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F3C8C" w14:textId="50438190" w:rsidR="00682204" w:rsidRPr="00E538FD" w:rsidRDefault="21C865CE">
      <w:pPr>
        <w:rPr>
          <w:rFonts w:cs="Arial"/>
        </w:rPr>
      </w:pPr>
      <w:r>
        <w:rPr>
          <w:noProof/>
        </w:rPr>
        <w:drawing>
          <wp:inline distT="0" distB="0" distL="0" distR="0" wp14:anchorId="1BFCDB86" wp14:editId="546E4C51">
            <wp:extent cx="2484165" cy="1244009"/>
            <wp:effectExtent l="0" t="0" r="0" b="0"/>
            <wp:docPr id="4" name="Picture 4" descr="HM Revenue &amp; Customs - Independent Adviser - Customer Experience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4165" cy="1244009"/>
                    </a:xfrm>
                    <a:prstGeom prst="rect">
                      <a:avLst/>
                    </a:prstGeom>
                  </pic:spPr>
                </pic:pic>
              </a:graphicData>
            </a:graphic>
          </wp:inline>
        </w:drawing>
      </w:r>
    </w:p>
    <w:p w14:paraId="45D70796" w14:textId="654AEA1E" w:rsidR="00F3270D" w:rsidRPr="00E538FD" w:rsidRDefault="00F3270D" w:rsidP="00F3270D">
      <w:pPr>
        <w:rPr>
          <w:rFonts w:cs="Arial"/>
        </w:rPr>
      </w:pPr>
    </w:p>
    <w:p w14:paraId="1A82CE56" w14:textId="273286F2" w:rsidR="00D35E29" w:rsidRPr="00E538FD" w:rsidRDefault="00D35E29" w:rsidP="00F3270D">
      <w:pPr>
        <w:rPr>
          <w:rFonts w:cs="Arial"/>
        </w:rPr>
      </w:pPr>
    </w:p>
    <w:p w14:paraId="586FB340" w14:textId="503C8713" w:rsidR="00D35E29" w:rsidRPr="00E538FD" w:rsidRDefault="00D35E29" w:rsidP="00F3270D">
      <w:pPr>
        <w:rPr>
          <w:rFonts w:cs="Arial"/>
        </w:rPr>
      </w:pPr>
    </w:p>
    <w:p w14:paraId="3D16C22A" w14:textId="77777777" w:rsidR="00D35E29" w:rsidRPr="00E538FD" w:rsidRDefault="00D35E29" w:rsidP="00F3270D">
      <w:pPr>
        <w:rPr>
          <w:rFonts w:cs="Arial"/>
        </w:rPr>
      </w:pPr>
    </w:p>
    <w:p w14:paraId="78D22DEC" w14:textId="451F336A" w:rsidR="00D44979" w:rsidRDefault="00D44979" w:rsidP="00D44979">
      <w:pPr>
        <w:tabs>
          <w:tab w:val="left" w:pos="3330"/>
        </w:tabs>
        <w:jc w:val="center"/>
        <w:rPr>
          <w:rFonts w:cs="Arial"/>
          <w:b/>
          <w:color w:val="009999"/>
        </w:rPr>
      </w:pPr>
      <w:r w:rsidRPr="002B56D3">
        <w:rPr>
          <w:rFonts w:cs="Arial"/>
          <w:b/>
          <w:color w:val="009999"/>
        </w:rPr>
        <w:t>His Majesty’s Revenue &amp; Customs (HMRC)</w:t>
      </w:r>
    </w:p>
    <w:p w14:paraId="19661FC8" w14:textId="77777777" w:rsidR="00CD0FDB" w:rsidRDefault="00CD0FDB" w:rsidP="00D44979">
      <w:pPr>
        <w:tabs>
          <w:tab w:val="left" w:pos="3330"/>
        </w:tabs>
        <w:jc w:val="center"/>
        <w:rPr>
          <w:rFonts w:cs="Arial"/>
          <w:b/>
          <w:color w:val="009999"/>
        </w:rPr>
      </w:pPr>
    </w:p>
    <w:p w14:paraId="10EECC56" w14:textId="23D88D4E" w:rsidR="00256CD8" w:rsidRDefault="00256CD8" w:rsidP="00256CD8">
      <w:pPr>
        <w:tabs>
          <w:tab w:val="left" w:pos="3330"/>
        </w:tabs>
        <w:jc w:val="center"/>
        <w:rPr>
          <w:rFonts w:cs="Arial"/>
          <w:b/>
          <w:color w:val="009999"/>
        </w:rPr>
      </w:pPr>
      <w:r>
        <w:rPr>
          <w:rFonts w:cs="Arial"/>
          <w:b/>
          <w:color w:val="009999"/>
        </w:rPr>
        <w:t>Conditions of Participation</w:t>
      </w:r>
    </w:p>
    <w:p w14:paraId="47E6691B" w14:textId="77777777" w:rsidR="00CD0FDB" w:rsidRPr="002B56D3" w:rsidRDefault="00CD0FDB" w:rsidP="00256CD8">
      <w:pPr>
        <w:tabs>
          <w:tab w:val="left" w:pos="3330"/>
        </w:tabs>
        <w:jc w:val="center"/>
        <w:rPr>
          <w:rFonts w:cs="Arial"/>
          <w:b/>
          <w:color w:val="009999"/>
        </w:rPr>
      </w:pPr>
    </w:p>
    <w:p w14:paraId="128B9C10" w14:textId="73999A60" w:rsidR="00256CD8" w:rsidRDefault="00256CD8" w:rsidP="00D12F74">
      <w:pPr>
        <w:tabs>
          <w:tab w:val="left" w:pos="3330"/>
        </w:tabs>
        <w:jc w:val="center"/>
        <w:rPr>
          <w:rFonts w:cs="Arial"/>
          <w:b/>
          <w:color w:val="009999"/>
        </w:rPr>
      </w:pPr>
      <w:r>
        <w:rPr>
          <w:rFonts w:cs="Arial"/>
          <w:b/>
          <w:color w:val="009999"/>
        </w:rPr>
        <w:t xml:space="preserve">for </w:t>
      </w:r>
      <w:r w:rsidR="00830C76">
        <w:rPr>
          <w:rFonts w:cs="Arial"/>
          <w:b/>
          <w:color w:val="009999"/>
        </w:rPr>
        <w:t>the</w:t>
      </w:r>
      <w:r w:rsidR="006E7153">
        <w:rPr>
          <w:rFonts w:cs="Arial"/>
          <w:b/>
          <w:color w:val="009999"/>
        </w:rPr>
        <w:t xml:space="preserve"> procurement </w:t>
      </w:r>
      <w:r w:rsidR="00B91711">
        <w:rPr>
          <w:rFonts w:cs="Arial"/>
          <w:b/>
          <w:color w:val="009999"/>
        </w:rPr>
        <w:t>o</w:t>
      </w:r>
      <w:r w:rsidR="00830C76">
        <w:rPr>
          <w:rFonts w:cs="Arial"/>
          <w:b/>
          <w:color w:val="009999"/>
        </w:rPr>
        <w:t>f</w:t>
      </w:r>
      <w:r w:rsidR="006E7153">
        <w:rPr>
          <w:rFonts w:cs="Arial"/>
          <w:b/>
          <w:color w:val="009999"/>
        </w:rPr>
        <w:t xml:space="preserve"> a</w:t>
      </w:r>
    </w:p>
    <w:p w14:paraId="5B43B67D" w14:textId="77777777" w:rsidR="00CD0FDB" w:rsidRPr="002B56D3" w:rsidRDefault="00CD0FDB" w:rsidP="00D44979">
      <w:pPr>
        <w:tabs>
          <w:tab w:val="left" w:pos="3330"/>
        </w:tabs>
        <w:jc w:val="center"/>
        <w:rPr>
          <w:rFonts w:cs="Arial"/>
          <w:b/>
          <w:color w:val="009999"/>
        </w:rPr>
      </w:pPr>
    </w:p>
    <w:p w14:paraId="43D2093E" w14:textId="15E6A51A" w:rsidR="00D44979" w:rsidRDefault="000919A1" w:rsidP="00D44979">
      <w:pPr>
        <w:tabs>
          <w:tab w:val="left" w:pos="3330"/>
        </w:tabs>
        <w:jc w:val="center"/>
        <w:rPr>
          <w:rFonts w:cs="Arial"/>
          <w:b/>
          <w:color w:val="009999"/>
        </w:rPr>
      </w:pPr>
      <w:r>
        <w:rPr>
          <w:rFonts w:cs="Arial"/>
          <w:b/>
          <w:color w:val="009999"/>
        </w:rPr>
        <w:t>Customer Relationship Management System (CRM)</w:t>
      </w:r>
    </w:p>
    <w:p w14:paraId="6865C7A6" w14:textId="77777777" w:rsidR="00CD0FDB" w:rsidRPr="00CD0FDB" w:rsidRDefault="00CD0FDB" w:rsidP="000229FC">
      <w:pPr>
        <w:tabs>
          <w:tab w:val="left" w:pos="3330"/>
        </w:tabs>
        <w:rPr>
          <w:rFonts w:cs="Arial"/>
          <w:b/>
          <w:color w:val="009999"/>
        </w:rPr>
      </w:pPr>
    </w:p>
    <w:p w14:paraId="75765E7C" w14:textId="1FE773AC" w:rsidR="00D44979" w:rsidRPr="002B56D3" w:rsidRDefault="00D44979" w:rsidP="00D44979">
      <w:pPr>
        <w:tabs>
          <w:tab w:val="left" w:pos="3330"/>
        </w:tabs>
        <w:jc w:val="center"/>
        <w:rPr>
          <w:rFonts w:cs="Arial"/>
          <w:b/>
        </w:rPr>
      </w:pPr>
      <w:r w:rsidRPr="002B56D3">
        <w:rPr>
          <w:rFonts w:cs="Arial"/>
          <w:b/>
          <w:color w:val="009999"/>
        </w:rPr>
        <w:t>(</w:t>
      </w:r>
      <w:r w:rsidR="00C10A81" w:rsidRPr="002B56D3">
        <w:rPr>
          <w:rFonts w:cs="Arial"/>
          <w:b/>
          <w:color w:val="009999"/>
        </w:rPr>
        <w:t>P</w:t>
      </w:r>
      <w:r w:rsidR="00DC7577" w:rsidRPr="002B56D3">
        <w:rPr>
          <w:rFonts w:cs="Arial"/>
          <w:b/>
          <w:color w:val="009999"/>
        </w:rPr>
        <w:t>rocurement Act</w:t>
      </w:r>
      <w:r w:rsidR="00C10A81" w:rsidRPr="002B56D3">
        <w:rPr>
          <w:rFonts w:cs="Arial"/>
          <w:b/>
          <w:color w:val="009999"/>
        </w:rPr>
        <w:t xml:space="preserve"> 2023</w:t>
      </w:r>
      <w:r w:rsidRPr="002B56D3">
        <w:rPr>
          <w:rFonts w:cs="Arial"/>
          <w:b/>
          <w:color w:val="009999"/>
        </w:rPr>
        <w:t>)</w:t>
      </w:r>
    </w:p>
    <w:p w14:paraId="5913B794" w14:textId="77777777" w:rsidR="00D44979" w:rsidRPr="002B56D3" w:rsidRDefault="00D44979" w:rsidP="00D44979">
      <w:pPr>
        <w:tabs>
          <w:tab w:val="left" w:pos="3330"/>
        </w:tabs>
        <w:jc w:val="center"/>
        <w:rPr>
          <w:rFonts w:cs="Arial"/>
          <w:b/>
        </w:rPr>
      </w:pPr>
    </w:p>
    <w:p w14:paraId="64767E68" w14:textId="52E145D6" w:rsidR="00D44979" w:rsidRDefault="00D12F74" w:rsidP="00D44979">
      <w:pPr>
        <w:tabs>
          <w:tab w:val="left" w:pos="3330"/>
        </w:tabs>
        <w:jc w:val="center"/>
        <w:rPr>
          <w:rFonts w:cs="Arial"/>
          <w:b/>
          <w:color w:val="009999"/>
        </w:rPr>
      </w:pPr>
      <w:r>
        <w:rPr>
          <w:rFonts w:cs="Arial"/>
          <w:b/>
          <w:color w:val="009999"/>
        </w:rPr>
        <w:t>1</w:t>
      </w:r>
      <w:r w:rsidR="00E64BC2">
        <w:rPr>
          <w:rFonts w:cs="Arial"/>
          <w:b/>
          <w:color w:val="009999"/>
        </w:rPr>
        <w:t>8</w:t>
      </w:r>
      <w:r w:rsidRPr="00D12F74">
        <w:rPr>
          <w:rFonts w:cs="Arial"/>
          <w:b/>
          <w:color w:val="009999"/>
          <w:vertAlign w:val="superscript"/>
        </w:rPr>
        <w:t>th</w:t>
      </w:r>
      <w:r>
        <w:rPr>
          <w:rFonts w:cs="Arial"/>
          <w:b/>
          <w:color w:val="009999"/>
        </w:rPr>
        <w:t xml:space="preserve"> </w:t>
      </w:r>
      <w:r w:rsidR="00DB7A84">
        <w:rPr>
          <w:rFonts w:cs="Arial"/>
          <w:b/>
          <w:color w:val="009999"/>
        </w:rPr>
        <w:t>July</w:t>
      </w:r>
      <w:r w:rsidR="006E1B57">
        <w:rPr>
          <w:rFonts w:cs="Arial"/>
          <w:b/>
          <w:color w:val="009999"/>
        </w:rPr>
        <w:t xml:space="preserve"> 2025</w:t>
      </w:r>
    </w:p>
    <w:p w14:paraId="5AF6EFC2" w14:textId="77777777" w:rsidR="00CD0FDB" w:rsidRDefault="00CD0FDB" w:rsidP="00D44979">
      <w:pPr>
        <w:tabs>
          <w:tab w:val="left" w:pos="3330"/>
        </w:tabs>
        <w:jc w:val="center"/>
        <w:rPr>
          <w:rFonts w:cs="Arial"/>
          <w:b/>
          <w:color w:val="009999"/>
        </w:rPr>
      </w:pPr>
    </w:p>
    <w:p w14:paraId="3E73CF4E" w14:textId="77777777" w:rsidR="00CD0FDB" w:rsidRPr="002B56D3" w:rsidRDefault="00CD0FDB" w:rsidP="00D44979">
      <w:pPr>
        <w:tabs>
          <w:tab w:val="left" w:pos="3330"/>
        </w:tabs>
        <w:jc w:val="center"/>
        <w:rPr>
          <w:rFonts w:cs="Arial"/>
          <w:b/>
          <w:color w:val="009999"/>
        </w:rPr>
      </w:pPr>
    </w:p>
    <w:p w14:paraId="005A0579" w14:textId="1F72860C" w:rsidR="002E0E22" w:rsidRPr="004F7322" w:rsidRDefault="00E64BC2" w:rsidP="00B56B5F">
      <w:pPr>
        <w:tabs>
          <w:tab w:val="left" w:pos="3330"/>
        </w:tabs>
        <w:jc w:val="center"/>
        <w:rPr>
          <w:rFonts w:cs="Arial"/>
          <w:b/>
          <w:color w:val="009999"/>
        </w:rPr>
      </w:pPr>
      <w:r w:rsidRPr="004F7322">
        <w:rPr>
          <w:rFonts w:cs="Arial"/>
          <w:b/>
          <w:color w:val="009999"/>
        </w:rPr>
        <w:t>V</w:t>
      </w:r>
      <w:r>
        <w:rPr>
          <w:rFonts w:cs="Arial"/>
          <w:b/>
          <w:color w:val="009999"/>
        </w:rPr>
        <w:t>1.0</w:t>
      </w:r>
    </w:p>
    <w:p w14:paraId="00C0BCD4" w14:textId="7D18C704" w:rsidR="002E0E22" w:rsidRPr="002B56D3" w:rsidRDefault="002E0E22" w:rsidP="00B56B5F">
      <w:pPr>
        <w:tabs>
          <w:tab w:val="left" w:pos="3330"/>
        </w:tabs>
        <w:jc w:val="center"/>
        <w:rPr>
          <w:rFonts w:cs="Arial"/>
          <w:b/>
          <w:color w:val="FF0000"/>
        </w:rPr>
      </w:pPr>
    </w:p>
    <w:p w14:paraId="3A97EB15" w14:textId="71225B2B" w:rsidR="002E0E22" w:rsidRPr="002B56D3" w:rsidRDefault="002E0E22" w:rsidP="00B56B5F">
      <w:pPr>
        <w:tabs>
          <w:tab w:val="left" w:pos="3330"/>
        </w:tabs>
        <w:jc w:val="center"/>
        <w:rPr>
          <w:rFonts w:cs="Arial"/>
          <w:b/>
          <w:color w:val="FF0000"/>
        </w:rPr>
      </w:pPr>
    </w:p>
    <w:p w14:paraId="532005C3" w14:textId="6D2527B3" w:rsidR="00B12E3F" w:rsidRPr="00957A1F" w:rsidRDefault="00957A1F" w:rsidP="00CD0FDB">
      <w:pPr>
        <w:pageBreakBefore/>
        <w:tabs>
          <w:tab w:val="left" w:pos="3330"/>
        </w:tabs>
        <w:rPr>
          <w:rFonts w:cs="Arial"/>
          <w:b/>
          <w:color w:val="009999"/>
          <w:sz w:val="24"/>
          <w:szCs w:val="24"/>
        </w:rPr>
      </w:pPr>
      <w:r w:rsidRPr="00957A1F">
        <w:rPr>
          <w:rFonts w:cs="Arial"/>
          <w:b/>
          <w:color w:val="009999"/>
          <w:sz w:val="24"/>
          <w:szCs w:val="24"/>
        </w:rPr>
        <w:lastRenderedPageBreak/>
        <w:t>CONTENTS</w:t>
      </w:r>
    </w:p>
    <w:sdt>
      <w:sdtPr>
        <w:rPr>
          <w:rFonts w:eastAsiaTheme="minorEastAsia" w:cstheme="minorBidi"/>
          <w:bCs w:val="0"/>
          <w:kern w:val="0"/>
          <w:szCs w:val="22"/>
          <w:lang w:eastAsia="en-US"/>
        </w:rPr>
        <w:id w:val="-144359684"/>
        <w:docPartObj>
          <w:docPartGallery w:val="Table of Contents"/>
          <w:docPartUnique/>
        </w:docPartObj>
      </w:sdtPr>
      <w:sdtEndPr>
        <w:rPr>
          <w:b/>
          <w:bCs/>
        </w:rPr>
      </w:sdtEndPr>
      <w:sdtContent>
        <w:p w14:paraId="46706493" w14:textId="5DF33758" w:rsidR="00C07DB5" w:rsidRDefault="00B12E3F">
          <w:pPr>
            <w:pStyle w:val="TOC1"/>
            <w:rPr>
              <w:rFonts w:asciiTheme="minorHAnsi" w:eastAsiaTheme="minorEastAsia" w:hAnsiTheme="minorHAnsi" w:cstheme="minorBidi"/>
              <w:bCs w:val="0"/>
              <w:noProof/>
              <w:kern w:val="2"/>
              <w:szCs w:val="22"/>
              <w14:ligatures w14:val="standardContextual"/>
            </w:rPr>
          </w:pPr>
          <w:r>
            <w:fldChar w:fldCharType="begin"/>
          </w:r>
          <w:r>
            <w:instrText xml:space="preserve"> TOC \t "Head 2,1" </w:instrText>
          </w:r>
          <w:r>
            <w:fldChar w:fldCharType="separate"/>
          </w:r>
          <w:r w:rsidR="00C07DB5" w:rsidRPr="00417C92">
            <w:rPr>
              <w:b/>
              <w:noProof/>
              <w:color w:val="009999"/>
            </w:rPr>
            <w:t>1</w:t>
          </w:r>
          <w:r w:rsidR="00C07DB5">
            <w:rPr>
              <w:rFonts w:asciiTheme="minorHAnsi" w:eastAsiaTheme="minorEastAsia" w:hAnsiTheme="minorHAnsi" w:cstheme="minorBidi"/>
              <w:bCs w:val="0"/>
              <w:noProof/>
              <w:kern w:val="2"/>
              <w:szCs w:val="22"/>
              <w14:ligatures w14:val="standardContextual"/>
            </w:rPr>
            <w:tab/>
          </w:r>
          <w:r w:rsidR="00C07DB5" w:rsidRPr="00417C92">
            <w:rPr>
              <w:rFonts w:cs="Arial"/>
              <w:b/>
              <w:noProof/>
              <w:color w:val="009999"/>
            </w:rPr>
            <w:t>OVERVIEW AND RESPONSE INSTRUCTIONS</w:t>
          </w:r>
          <w:r w:rsidR="00C07DB5">
            <w:rPr>
              <w:noProof/>
            </w:rPr>
            <w:tab/>
          </w:r>
          <w:r w:rsidR="00C07DB5">
            <w:rPr>
              <w:noProof/>
            </w:rPr>
            <w:fldChar w:fldCharType="begin"/>
          </w:r>
          <w:r w:rsidR="00C07DB5">
            <w:rPr>
              <w:noProof/>
            </w:rPr>
            <w:instrText xml:space="preserve"> PAGEREF _Toc203730825 \h </w:instrText>
          </w:r>
          <w:r w:rsidR="00C07DB5">
            <w:rPr>
              <w:noProof/>
            </w:rPr>
          </w:r>
          <w:r w:rsidR="00C07DB5">
            <w:rPr>
              <w:noProof/>
            </w:rPr>
            <w:fldChar w:fldCharType="separate"/>
          </w:r>
          <w:r w:rsidR="00C07DB5">
            <w:rPr>
              <w:noProof/>
            </w:rPr>
            <w:t>3</w:t>
          </w:r>
          <w:r w:rsidR="00C07DB5">
            <w:rPr>
              <w:noProof/>
            </w:rPr>
            <w:fldChar w:fldCharType="end"/>
          </w:r>
        </w:p>
        <w:p w14:paraId="60CF2834" w14:textId="6274ED5B"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2</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ABOUT HMRC</w:t>
          </w:r>
          <w:r>
            <w:rPr>
              <w:noProof/>
            </w:rPr>
            <w:tab/>
          </w:r>
          <w:r>
            <w:rPr>
              <w:noProof/>
            </w:rPr>
            <w:fldChar w:fldCharType="begin"/>
          </w:r>
          <w:r>
            <w:rPr>
              <w:noProof/>
            </w:rPr>
            <w:instrText xml:space="preserve"> PAGEREF _Toc203730826 \h </w:instrText>
          </w:r>
          <w:r>
            <w:rPr>
              <w:noProof/>
            </w:rPr>
          </w:r>
          <w:r>
            <w:rPr>
              <w:noProof/>
            </w:rPr>
            <w:fldChar w:fldCharType="separate"/>
          </w:r>
          <w:r>
            <w:rPr>
              <w:noProof/>
            </w:rPr>
            <w:t>5</w:t>
          </w:r>
          <w:r>
            <w:rPr>
              <w:noProof/>
            </w:rPr>
            <w:fldChar w:fldCharType="end"/>
          </w:r>
        </w:p>
        <w:p w14:paraId="064633B4" w14:textId="3A25D231"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3</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PROCUREMENT OVERVIEW</w:t>
          </w:r>
          <w:r>
            <w:rPr>
              <w:noProof/>
            </w:rPr>
            <w:tab/>
          </w:r>
          <w:r>
            <w:rPr>
              <w:noProof/>
            </w:rPr>
            <w:fldChar w:fldCharType="begin"/>
          </w:r>
          <w:r>
            <w:rPr>
              <w:noProof/>
            </w:rPr>
            <w:instrText xml:space="preserve"> PAGEREF _Toc203730827 \h </w:instrText>
          </w:r>
          <w:r>
            <w:rPr>
              <w:noProof/>
            </w:rPr>
          </w:r>
          <w:r>
            <w:rPr>
              <w:noProof/>
            </w:rPr>
            <w:fldChar w:fldCharType="separate"/>
          </w:r>
          <w:r>
            <w:rPr>
              <w:noProof/>
            </w:rPr>
            <w:t>6</w:t>
          </w:r>
          <w:r>
            <w:rPr>
              <w:noProof/>
            </w:rPr>
            <w:fldChar w:fldCharType="end"/>
          </w:r>
        </w:p>
        <w:p w14:paraId="4E3A2794" w14:textId="6DB91C30"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4</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PROCUREMENT TIMETABLE</w:t>
          </w:r>
          <w:r>
            <w:rPr>
              <w:noProof/>
            </w:rPr>
            <w:tab/>
          </w:r>
          <w:r>
            <w:rPr>
              <w:noProof/>
            </w:rPr>
            <w:fldChar w:fldCharType="begin"/>
          </w:r>
          <w:r>
            <w:rPr>
              <w:noProof/>
            </w:rPr>
            <w:instrText xml:space="preserve"> PAGEREF _Toc203730828 \h </w:instrText>
          </w:r>
          <w:r>
            <w:rPr>
              <w:noProof/>
            </w:rPr>
          </w:r>
          <w:r>
            <w:rPr>
              <w:noProof/>
            </w:rPr>
            <w:fldChar w:fldCharType="separate"/>
          </w:r>
          <w:r>
            <w:rPr>
              <w:noProof/>
            </w:rPr>
            <w:t>11</w:t>
          </w:r>
          <w:r>
            <w:rPr>
              <w:noProof/>
            </w:rPr>
            <w:fldChar w:fldCharType="end"/>
          </w:r>
        </w:p>
        <w:p w14:paraId="280D3288" w14:textId="56E02742"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5</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RESPONSE SUBMISSIONS, CONTACT DETAILS AND QUERIES</w:t>
          </w:r>
          <w:r>
            <w:rPr>
              <w:noProof/>
            </w:rPr>
            <w:tab/>
          </w:r>
          <w:r>
            <w:rPr>
              <w:noProof/>
            </w:rPr>
            <w:fldChar w:fldCharType="begin"/>
          </w:r>
          <w:r>
            <w:rPr>
              <w:noProof/>
            </w:rPr>
            <w:instrText xml:space="preserve"> PAGEREF _Toc203730829 \h </w:instrText>
          </w:r>
          <w:r>
            <w:rPr>
              <w:noProof/>
            </w:rPr>
          </w:r>
          <w:r>
            <w:rPr>
              <w:noProof/>
            </w:rPr>
            <w:fldChar w:fldCharType="separate"/>
          </w:r>
          <w:r>
            <w:rPr>
              <w:noProof/>
            </w:rPr>
            <w:t>12</w:t>
          </w:r>
          <w:r>
            <w:rPr>
              <w:noProof/>
            </w:rPr>
            <w:fldChar w:fldCharType="end"/>
          </w:r>
        </w:p>
        <w:p w14:paraId="1D58561D" w14:textId="24220449"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6</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CONFIDENTIALITY</w:t>
          </w:r>
          <w:r>
            <w:rPr>
              <w:noProof/>
            </w:rPr>
            <w:tab/>
          </w:r>
          <w:r>
            <w:rPr>
              <w:noProof/>
            </w:rPr>
            <w:fldChar w:fldCharType="begin"/>
          </w:r>
          <w:r>
            <w:rPr>
              <w:noProof/>
            </w:rPr>
            <w:instrText xml:space="preserve"> PAGEREF _Toc203730830 \h </w:instrText>
          </w:r>
          <w:r>
            <w:rPr>
              <w:noProof/>
            </w:rPr>
          </w:r>
          <w:r>
            <w:rPr>
              <w:noProof/>
            </w:rPr>
            <w:fldChar w:fldCharType="separate"/>
          </w:r>
          <w:r>
            <w:rPr>
              <w:noProof/>
            </w:rPr>
            <w:t>15</w:t>
          </w:r>
          <w:r>
            <w:rPr>
              <w:noProof/>
            </w:rPr>
            <w:fldChar w:fldCharType="end"/>
          </w:r>
        </w:p>
        <w:p w14:paraId="60EC4DAE" w14:textId="3019D90E"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7</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FOI ACT AND ENVIRONMENTAL INFORMATION REGULATIONS</w:t>
          </w:r>
          <w:r>
            <w:rPr>
              <w:noProof/>
            </w:rPr>
            <w:tab/>
          </w:r>
          <w:r>
            <w:rPr>
              <w:noProof/>
            </w:rPr>
            <w:fldChar w:fldCharType="begin"/>
          </w:r>
          <w:r>
            <w:rPr>
              <w:noProof/>
            </w:rPr>
            <w:instrText xml:space="preserve"> PAGEREF _Toc203730831 \h </w:instrText>
          </w:r>
          <w:r>
            <w:rPr>
              <w:noProof/>
            </w:rPr>
          </w:r>
          <w:r>
            <w:rPr>
              <w:noProof/>
            </w:rPr>
            <w:fldChar w:fldCharType="separate"/>
          </w:r>
          <w:r>
            <w:rPr>
              <w:noProof/>
            </w:rPr>
            <w:t>17</w:t>
          </w:r>
          <w:r>
            <w:rPr>
              <w:noProof/>
            </w:rPr>
            <w:fldChar w:fldCharType="end"/>
          </w:r>
        </w:p>
        <w:p w14:paraId="646D006C" w14:textId="7D29D772"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8</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SUPPLIER CONDUCT AND CONFLICTS OF INTEREST</w:t>
          </w:r>
          <w:r>
            <w:rPr>
              <w:noProof/>
            </w:rPr>
            <w:tab/>
          </w:r>
          <w:r>
            <w:rPr>
              <w:noProof/>
            </w:rPr>
            <w:fldChar w:fldCharType="begin"/>
          </w:r>
          <w:r>
            <w:rPr>
              <w:noProof/>
            </w:rPr>
            <w:instrText xml:space="preserve"> PAGEREF _Toc203730832 \h </w:instrText>
          </w:r>
          <w:r>
            <w:rPr>
              <w:noProof/>
            </w:rPr>
          </w:r>
          <w:r>
            <w:rPr>
              <w:noProof/>
            </w:rPr>
            <w:fldChar w:fldCharType="separate"/>
          </w:r>
          <w:r>
            <w:rPr>
              <w:noProof/>
            </w:rPr>
            <w:t>18</w:t>
          </w:r>
          <w:r>
            <w:rPr>
              <w:noProof/>
            </w:rPr>
            <w:fldChar w:fldCharType="end"/>
          </w:r>
        </w:p>
        <w:p w14:paraId="44B624DF" w14:textId="450A8C5F"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9</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WARNINGS AND DISCLAIMERS</w:t>
          </w:r>
          <w:r>
            <w:rPr>
              <w:noProof/>
            </w:rPr>
            <w:tab/>
          </w:r>
          <w:r>
            <w:rPr>
              <w:noProof/>
            </w:rPr>
            <w:fldChar w:fldCharType="begin"/>
          </w:r>
          <w:r>
            <w:rPr>
              <w:noProof/>
            </w:rPr>
            <w:instrText xml:space="preserve"> PAGEREF _Toc203730833 \h </w:instrText>
          </w:r>
          <w:r>
            <w:rPr>
              <w:noProof/>
            </w:rPr>
          </w:r>
          <w:r>
            <w:rPr>
              <w:noProof/>
            </w:rPr>
            <w:fldChar w:fldCharType="separate"/>
          </w:r>
          <w:r>
            <w:rPr>
              <w:noProof/>
            </w:rPr>
            <w:t>20</w:t>
          </w:r>
          <w:r>
            <w:rPr>
              <w:noProof/>
            </w:rPr>
            <w:fldChar w:fldCharType="end"/>
          </w:r>
        </w:p>
        <w:p w14:paraId="1AB15F99" w14:textId="2A89398B"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10</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TUPE REQUIREMENTS</w:t>
          </w:r>
          <w:r>
            <w:rPr>
              <w:noProof/>
            </w:rPr>
            <w:tab/>
          </w:r>
          <w:r>
            <w:rPr>
              <w:noProof/>
            </w:rPr>
            <w:fldChar w:fldCharType="begin"/>
          </w:r>
          <w:r>
            <w:rPr>
              <w:noProof/>
            </w:rPr>
            <w:instrText xml:space="preserve"> PAGEREF _Toc203730834 \h </w:instrText>
          </w:r>
          <w:r>
            <w:rPr>
              <w:noProof/>
            </w:rPr>
          </w:r>
          <w:r>
            <w:rPr>
              <w:noProof/>
            </w:rPr>
            <w:fldChar w:fldCharType="separate"/>
          </w:r>
          <w:r>
            <w:rPr>
              <w:noProof/>
            </w:rPr>
            <w:t>21</w:t>
          </w:r>
          <w:r>
            <w:rPr>
              <w:noProof/>
            </w:rPr>
            <w:fldChar w:fldCharType="end"/>
          </w:r>
        </w:p>
        <w:p w14:paraId="21AD293B" w14:textId="1235483E"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11</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SOCIAL VALUE</w:t>
          </w:r>
          <w:r>
            <w:rPr>
              <w:noProof/>
            </w:rPr>
            <w:tab/>
          </w:r>
          <w:r>
            <w:rPr>
              <w:noProof/>
            </w:rPr>
            <w:fldChar w:fldCharType="begin"/>
          </w:r>
          <w:r>
            <w:rPr>
              <w:noProof/>
            </w:rPr>
            <w:instrText xml:space="preserve"> PAGEREF _Toc203730835 \h </w:instrText>
          </w:r>
          <w:r>
            <w:rPr>
              <w:noProof/>
            </w:rPr>
          </w:r>
          <w:r>
            <w:rPr>
              <w:noProof/>
            </w:rPr>
            <w:fldChar w:fldCharType="separate"/>
          </w:r>
          <w:r>
            <w:rPr>
              <w:noProof/>
            </w:rPr>
            <w:t>22</w:t>
          </w:r>
          <w:r>
            <w:rPr>
              <w:noProof/>
            </w:rPr>
            <w:fldChar w:fldCharType="end"/>
          </w:r>
        </w:p>
        <w:p w14:paraId="0B137C33" w14:textId="7459480D"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12</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KEY PERFORMANCE INDICATORS (“KPIs”)</w:t>
          </w:r>
          <w:r>
            <w:rPr>
              <w:noProof/>
            </w:rPr>
            <w:tab/>
          </w:r>
          <w:r>
            <w:rPr>
              <w:noProof/>
            </w:rPr>
            <w:fldChar w:fldCharType="begin"/>
          </w:r>
          <w:r>
            <w:rPr>
              <w:noProof/>
            </w:rPr>
            <w:instrText xml:space="preserve"> PAGEREF _Toc203730836 \h </w:instrText>
          </w:r>
          <w:r>
            <w:rPr>
              <w:noProof/>
            </w:rPr>
          </w:r>
          <w:r>
            <w:rPr>
              <w:noProof/>
            </w:rPr>
            <w:fldChar w:fldCharType="separate"/>
          </w:r>
          <w:r>
            <w:rPr>
              <w:noProof/>
            </w:rPr>
            <w:t>23</w:t>
          </w:r>
          <w:r>
            <w:rPr>
              <w:noProof/>
            </w:rPr>
            <w:fldChar w:fldCharType="end"/>
          </w:r>
        </w:p>
        <w:p w14:paraId="05907A1C" w14:textId="67A456A3"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b/>
              <w:noProof/>
              <w:color w:val="009999"/>
            </w:rPr>
            <w:t>13</w:t>
          </w:r>
          <w:r>
            <w:rPr>
              <w:rFonts w:asciiTheme="minorHAnsi" w:eastAsiaTheme="minorEastAsia" w:hAnsiTheme="minorHAnsi" w:cstheme="minorBidi"/>
              <w:bCs w:val="0"/>
              <w:noProof/>
              <w:kern w:val="2"/>
              <w:szCs w:val="22"/>
              <w14:ligatures w14:val="standardContextual"/>
            </w:rPr>
            <w:tab/>
          </w:r>
          <w:r w:rsidRPr="00417C92">
            <w:rPr>
              <w:rFonts w:cs="Arial"/>
              <w:b/>
              <w:noProof/>
              <w:color w:val="009999"/>
            </w:rPr>
            <w:t>EVALUATION METHODOLOGY</w:t>
          </w:r>
          <w:r>
            <w:rPr>
              <w:noProof/>
            </w:rPr>
            <w:tab/>
          </w:r>
          <w:r>
            <w:rPr>
              <w:noProof/>
            </w:rPr>
            <w:fldChar w:fldCharType="begin"/>
          </w:r>
          <w:r>
            <w:rPr>
              <w:noProof/>
            </w:rPr>
            <w:instrText xml:space="preserve"> PAGEREF _Toc203730837 \h </w:instrText>
          </w:r>
          <w:r>
            <w:rPr>
              <w:noProof/>
            </w:rPr>
          </w:r>
          <w:r>
            <w:rPr>
              <w:noProof/>
            </w:rPr>
            <w:fldChar w:fldCharType="separate"/>
          </w:r>
          <w:r>
            <w:rPr>
              <w:noProof/>
            </w:rPr>
            <w:t>24</w:t>
          </w:r>
          <w:r>
            <w:rPr>
              <w:noProof/>
            </w:rPr>
            <w:fldChar w:fldCharType="end"/>
          </w:r>
        </w:p>
        <w:p w14:paraId="12A945E3" w14:textId="12F445E7"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rFonts w:cs="Arial"/>
              <w:b/>
              <w:noProof/>
              <w:color w:val="009999"/>
            </w:rPr>
            <w:t>SCHEDULE 1: PSQ GUIDANCE AND SELECTION CRITERIA</w:t>
          </w:r>
          <w:r>
            <w:rPr>
              <w:noProof/>
            </w:rPr>
            <w:tab/>
          </w:r>
          <w:r>
            <w:rPr>
              <w:noProof/>
            </w:rPr>
            <w:fldChar w:fldCharType="begin"/>
          </w:r>
          <w:r>
            <w:rPr>
              <w:noProof/>
            </w:rPr>
            <w:instrText xml:space="preserve"> PAGEREF _Toc203730838 \h </w:instrText>
          </w:r>
          <w:r>
            <w:rPr>
              <w:noProof/>
            </w:rPr>
          </w:r>
          <w:r>
            <w:rPr>
              <w:noProof/>
            </w:rPr>
            <w:fldChar w:fldCharType="separate"/>
          </w:r>
          <w:r>
            <w:rPr>
              <w:noProof/>
            </w:rPr>
            <w:t>26</w:t>
          </w:r>
          <w:r>
            <w:rPr>
              <w:noProof/>
            </w:rPr>
            <w:fldChar w:fldCharType="end"/>
          </w:r>
        </w:p>
        <w:p w14:paraId="02EAD469" w14:textId="3C3ED94B"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rFonts w:cs="Arial"/>
              <w:b/>
              <w:noProof/>
              <w:color w:val="009999"/>
            </w:rPr>
            <w:t>SCHEDULE 2: PSQ RESPONSE GUIDANCE</w:t>
          </w:r>
          <w:r>
            <w:rPr>
              <w:noProof/>
            </w:rPr>
            <w:tab/>
          </w:r>
          <w:r>
            <w:rPr>
              <w:noProof/>
            </w:rPr>
            <w:fldChar w:fldCharType="begin"/>
          </w:r>
          <w:r>
            <w:rPr>
              <w:noProof/>
            </w:rPr>
            <w:instrText xml:space="preserve"> PAGEREF _Toc203730839 \h </w:instrText>
          </w:r>
          <w:r>
            <w:rPr>
              <w:noProof/>
            </w:rPr>
          </w:r>
          <w:r>
            <w:rPr>
              <w:noProof/>
            </w:rPr>
            <w:fldChar w:fldCharType="separate"/>
          </w:r>
          <w:r>
            <w:rPr>
              <w:noProof/>
            </w:rPr>
            <w:t>66</w:t>
          </w:r>
          <w:r>
            <w:rPr>
              <w:noProof/>
            </w:rPr>
            <w:fldChar w:fldCharType="end"/>
          </w:r>
        </w:p>
        <w:p w14:paraId="05E36371" w14:textId="085DDDA8"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rFonts w:cs="Arial"/>
              <w:b/>
              <w:noProof/>
              <w:color w:val="009999"/>
            </w:rPr>
            <w:t>SCHEDULE 3: PSQ EVALUATION GUIDANCE AND CRITERIA</w:t>
          </w:r>
          <w:r>
            <w:rPr>
              <w:noProof/>
            </w:rPr>
            <w:tab/>
          </w:r>
          <w:r>
            <w:rPr>
              <w:noProof/>
            </w:rPr>
            <w:fldChar w:fldCharType="begin"/>
          </w:r>
          <w:r>
            <w:rPr>
              <w:noProof/>
            </w:rPr>
            <w:instrText xml:space="preserve"> PAGEREF _Toc203730840 \h </w:instrText>
          </w:r>
          <w:r>
            <w:rPr>
              <w:noProof/>
            </w:rPr>
          </w:r>
          <w:r>
            <w:rPr>
              <w:noProof/>
            </w:rPr>
            <w:fldChar w:fldCharType="separate"/>
          </w:r>
          <w:r>
            <w:rPr>
              <w:noProof/>
            </w:rPr>
            <w:t>68</w:t>
          </w:r>
          <w:r>
            <w:rPr>
              <w:noProof/>
            </w:rPr>
            <w:fldChar w:fldCharType="end"/>
          </w:r>
        </w:p>
        <w:p w14:paraId="7F6A885E" w14:textId="405DC464"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rFonts w:cs="Arial"/>
              <w:b/>
              <w:noProof/>
              <w:color w:val="009999"/>
            </w:rPr>
            <w:t>ANNEX 1: REQUIREMENTS OVERVIEW</w:t>
          </w:r>
          <w:r>
            <w:rPr>
              <w:noProof/>
            </w:rPr>
            <w:tab/>
          </w:r>
          <w:r>
            <w:rPr>
              <w:noProof/>
            </w:rPr>
            <w:fldChar w:fldCharType="begin"/>
          </w:r>
          <w:r>
            <w:rPr>
              <w:noProof/>
            </w:rPr>
            <w:instrText xml:space="preserve"> PAGEREF _Toc203730841 \h </w:instrText>
          </w:r>
          <w:r>
            <w:rPr>
              <w:noProof/>
            </w:rPr>
          </w:r>
          <w:r>
            <w:rPr>
              <w:noProof/>
            </w:rPr>
            <w:fldChar w:fldCharType="separate"/>
          </w:r>
          <w:r>
            <w:rPr>
              <w:noProof/>
            </w:rPr>
            <w:t>113</w:t>
          </w:r>
          <w:r>
            <w:rPr>
              <w:noProof/>
            </w:rPr>
            <w:fldChar w:fldCharType="end"/>
          </w:r>
        </w:p>
        <w:p w14:paraId="34FE7653" w14:textId="6DAFFAD9"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rFonts w:cs="Arial"/>
              <w:b/>
              <w:noProof/>
              <w:color w:val="009999"/>
            </w:rPr>
            <w:t>ANNEX 2: REQUIREMENTS CATALOGUE</w:t>
          </w:r>
          <w:r>
            <w:rPr>
              <w:noProof/>
            </w:rPr>
            <w:tab/>
          </w:r>
          <w:r>
            <w:rPr>
              <w:noProof/>
            </w:rPr>
            <w:fldChar w:fldCharType="begin"/>
          </w:r>
          <w:r>
            <w:rPr>
              <w:noProof/>
            </w:rPr>
            <w:instrText xml:space="preserve"> PAGEREF _Toc203730842 \h </w:instrText>
          </w:r>
          <w:r>
            <w:rPr>
              <w:noProof/>
            </w:rPr>
          </w:r>
          <w:r>
            <w:rPr>
              <w:noProof/>
            </w:rPr>
            <w:fldChar w:fldCharType="separate"/>
          </w:r>
          <w:r>
            <w:rPr>
              <w:noProof/>
            </w:rPr>
            <w:t>127</w:t>
          </w:r>
          <w:r>
            <w:rPr>
              <w:noProof/>
            </w:rPr>
            <w:fldChar w:fldCharType="end"/>
          </w:r>
        </w:p>
        <w:p w14:paraId="210E2658" w14:textId="05B372BC"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rFonts w:cs="Arial"/>
              <w:b/>
              <w:noProof/>
              <w:color w:val="009999"/>
            </w:rPr>
            <w:t>ANNEX 3: FINANCIAL CAPACITY METRIC DEFINITIONS</w:t>
          </w:r>
          <w:r>
            <w:rPr>
              <w:noProof/>
            </w:rPr>
            <w:tab/>
          </w:r>
          <w:r>
            <w:rPr>
              <w:noProof/>
            </w:rPr>
            <w:fldChar w:fldCharType="begin"/>
          </w:r>
          <w:r>
            <w:rPr>
              <w:noProof/>
            </w:rPr>
            <w:instrText xml:space="preserve"> PAGEREF _Toc203730843 \h </w:instrText>
          </w:r>
          <w:r>
            <w:rPr>
              <w:noProof/>
            </w:rPr>
          </w:r>
          <w:r>
            <w:rPr>
              <w:noProof/>
            </w:rPr>
            <w:fldChar w:fldCharType="separate"/>
          </w:r>
          <w:r>
            <w:rPr>
              <w:noProof/>
            </w:rPr>
            <w:t>128</w:t>
          </w:r>
          <w:r>
            <w:rPr>
              <w:noProof/>
            </w:rPr>
            <w:fldChar w:fldCharType="end"/>
          </w:r>
        </w:p>
        <w:p w14:paraId="36E1CFCB" w14:textId="6CAAE18C"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rFonts w:cs="Arial"/>
              <w:b/>
              <w:noProof/>
              <w:color w:val="009999"/>
            </w:rPr>
            <w:t>ANNEX 4: ACCESSIBILITY EVIDENCE QUESTIONNAIRE</w:t>
          </w:r>
          <w:r>
            <w:rPr>
              <w:noProof/>
            </w:rPr>
            <w:tab/>
          </w:r>
          <w:r>
            <w:rPr>
              <w:noProof/>
            </w:rPr>
            <w:fldChar w:fldCharType="begin"/>
          </w:r>
          <w:r>
            <w:rPr>
              <w:noProof/>
            </w:rPr>
            <w:instrText xml:space="preserve"> PAGEREF _Toc203730844 \h </w:instrText>
          </w:r>
          <w:r>
            <w:rPr>
              <w:noProof/>
            </w:rPr>
          </w:r>
          <w:r>
            <w:rPr>
              <w:noProof/>
            </w:rPr>
            <w:fldChar w:fldCharType="separate"/>
          </w:r>
          <w:r>
            <w:rPr>
              <w:noProof/>
            </w:rPr>
            <w:t>132</w:t>
          </w:r>
          <w:r>
            <w:rPr>
              <w:noProof/>
            </w:rPr>
            <w:fldChar w:fldCharType="end"/>
          </w:r>
        </w:p>
        <w:p w14:paraId="0FED5FB6" w14:textId="365A6F4A" w:rsidR="00C07DB5" w:rsidRDefault="00C07DB5">
          <w:pPr>
            <w:pStyle w:val="TOC1"/>
            <w:rPr>
              <w:rFonts w:asciiTheme="minorHAnsi" w:eastAsiaTheme="minorEastAsia" w:hAnsiTheme="minorHAnsi" w:cstheme="minorBidi"/>
              <w:bCs w:val="0"/>
              <w:noProof/>
              <w:kern w:val="2"/>
              <w:szCs w:val="22"/>
              <w14:ligatures w14:val="standardContextual"/>
            </w:rPr>
          </w:pPr>
          <w:r w:rsidRPr="00417C92">
            <w:rPr>
              <w:rFonts w:cs="Arial"/>
              <w:b/>
              <w:noProof/>
              <w:color w:val="009999"/>
            </w:rPr>
            <w:t>ANNEX 5: CRM CLARIFICATIONS TEMPLATE</w:t>
          </w:r>
          <w:r>
            <w:rPr>
              <w:noProof/>
            </w:rPr>
            <w:tab/>
          </w:r>
          <w:r>
            <w:rPr>
              <w:noProof/>
            </w:rPr>
            <w:fldChar w:fldCharType="begin"/>
          </w:r>
          <w:r>
            <w:rPr>
              <w:noProof/>
            </w:rPr>
            <w:instrText xml:space="preserve"> PAGEREF _Toc203730845 \h </w:instrText>
          </w:r>
          <w:r>
            <w:rPr>
              <w:noProof/>
            </w:rPr>
          </w:r>
          <w:r>
            <w:rPr>
              <w:noProof/>
            </w:rPr>
            <w:fldChar w:fldCharType="separate"/>
          </w:r>
          <w:r>
            <w:rPr>
              <w:noProof/>
            </w:rPr>
            <w:t>133</w:t>
          </w:r>
          <w:r>
            <w:rPr>
              <w:noProof/>
            </w:rPr>
            <w:fldChar w:fldCharType="end"/>
          </w:r>
        </w:p>
        <w:p w14:paraId="0A6D67DA" w14:textId="207D8F1A" w:rsidR="00B12E3F" w:rsidRDefault="00B12E3F">
          <w:r>
            <w:rPr>
              <w:rFonts w:eastAsia="Times New Roman" w:cs="Times New Roman"/>
              <w:kern w:val="28"/>
              <w:szCs w:val="24"/>
              <w:lang w:eastAsia="en-GB"/>
            </w:rPr>
            <w:fldChar w:fldCharType="end"/>
          </w:r>
        </w:p>
      </w:sdtContent>
    </w:sdt>
    <w:p w14:paraId="0E080AD8" w14:textId="3128DE97" w:rsidR="006E1B57" w:rsidRPr="002B56D3" w:rsidRDefault="006E1B57" w:rsidP="00B12E3F">
      <w:pPr>
        <w:tabs>
          <w:tab w:val="left" w:pos="3330"/>
        </w:tabs>
        <w:ind w:right="-897"/>
        <w:rPr>
          <w:rFonts w:cs="Arial"/>
          <w:b/>
          <w:color w:val="FF0000"/>
        </w:rPr>
      </w:pPr>
      <w:r w:rsidRPr="002B56D3">
        <w:rPr>
          <w:rFonts w:cs="Arial"/>
          <w:b/>
          <w:color w:val="FF0000"/>
        </w:rPr>
        <w:br w:type="page"/>
      </w:r>
    </w:p>
    <w:p w14:paraId="36AFB4DE" w14:textId="437BCEB7" w:rsidR="00686923" w:rsidRPr="00957A1F" w:rsidRDefault="00271281" w:rsidP="00320D15">
      <w:pPr>
        <w:pStyle w:val="Head2"/>
        <w:pageBreakBefore/>
        <w:numPr>
          <w:ilvl w:val="0"/>
          <w:numId w:val="5"/>
        </w:numPr>
        <w:spacing w:before="240"/>
        <w:rPr>
          <w:rFonts w:cs="Arial"/>
          <w:b/>
          <w:bCs/>
          <w:color w:val="009999"/>
          <w:sz w:val="24"/>
          <w:szCs w:val="24"/>
        </w:rPr>
      </w:pPr>
      <w:bookmarkStart w:id="0" w:name="_Toc203730825"/>
      <w:r w:rsidRPr="00957A1F">
        <w:rPr>
          <w:rFonts w:cs="Arial"/>
          <w:b/>
          <w:bCs/>
          <w:color w:val="009999"/>
          <w:sz w:val="24"/>
          <w:szCs w:val="24"/>
        </w:rPr>
        <w:lastRenderedPageBreak/>
        <w:t>OVERVIEW AND RESPONSE INSTRUCTIONS</w:t>
      </w:r>
      <w:bookmarkEnd w:id="0"/>
    </w:p>
    <w:p w14:paraId="7C9006B3" w14:textId="6AC824C3" w:rsidR="00AB07F3" w:rsidRDefault="00AB07F3" w:rsidP="00A71859">
      <w:pPr>
        <w:pStyle w:val="ListParagraph"/>
        <w:numPr>
          <w:ilvl w:val="1"/>
          <w:numId w:val="5"/>
        </w:numPr>
        <w:rPr>
          <w:rFonts w:eastAsiaTheme="majorEastAsia" w:cs="Arial"/>
        </w:rPr>
      </w:pPr>
      <w:r w:rsidRPr="00A97473">
        <w:rPr>
          <w:rFonts w:eastAsiaTheme="majorEastAsia" w:cs="Arial"/>
        </w:rPr>
        <w:t xml:space="preserve">This Conditions of Participation (CoP) document </w:t>
      </w:r>
      <w:r w:rsidR="004F3851" w:rsidRPr="00A97473">
        <w:rPr>
          <w:rFonts w:eastAsiaTheme="majorEastAsia" w:cs="Arial"/>
        </w:rPr>
        <w:t>has been issued following the publish</w:t>
      </w:r>
      <w:r w:rsidR="00AE522F">
        <w:rPr>
          <w:rFonts w:eastAsiaTheme="majorEastAsia" w:cs="Arial"/>
        </w:rPr>
        <w:t>ing</w:t>
      </w:r>
      <w:r w:rsidR="004F3851" w:rsidRPr="00A97473">
        <w:rPr>
          <w:rFonts w:eastAsiaTheme="majorEastAsia" w:cs="Arial"/>
        </w:rPr>
        <w:t xml:space="preserve"> of</w:t>
      </w:r>
      <w:r w:rsidR="00FD748D" w:rsidRPr="00A97473">
        <w:rPr>
          <w:rFonts w:eastAsiaTheme="majorEastAsia" w:cs="Arial"/>
        </w:rPr>
        <w:t xml:space="preserve"> the Preliminary Market Engagement Notice 2025/S 000-017466</w:t>
      </w:r>
      <w:r w:rsidR="00F36CF0" w:rsidRPr="00A97473">
        <w:rPr>
          <w:rFonts w:eastAsiaTheme="majorEastAsia" w:cs="Arial"/>
        </w:rPr>
        <w:t xml:space="preserve"> for the procurement of a</w:t>
      </w:r>
      <w:r w:rsidR="00CF36DA">
        <w:rPr>
          <w:rFonts w:eastAsiaTheme="majorEastAsia" w:cs="Arial"/>
        </w:rPr>
        <w:t>n enterprise</w:t>
      </w:r>
      <w:r w:rsidR="00E871C6">
        <w:rPr>
          <w:rFonts w:eastAsiaTheme="majorEastAsia" w:cs="Arial"/>
        </w:rPr>
        <w:t xml:space="preserve"> </w:t>
      </w:r>
      <w:r w:rsidR="00F36CF0" w:rsidRPr="00A97473">
        <w:rPr>
          <w:rFonts w:eastAsiaTheme="majorEastAsia" w:cs="Arial"/>
        </w:rPr>
        <w:t>Customer Relationship Management (</w:t>
      </w:r>
      <w:r w:rsidR="00CF36DA">
        <w:rPr>
          <w:rFonts w:eastAsiaTheme="majorEastAsia" w:cs="Arial"/>
        </w:rPr>
        <w:t>e</w:t>
      </w:r>
      <w:r w:rsidR="00F36CF0" w:rsidRPr="00A97473">
        <w:rPr>
          <w:rFonts w:eastAsiaTheme="majorEastAsia" w:cs="Arial"/>
        </w:rPr>
        <w:t>CRM) system.</w:t>
      </w:r>
    </w:p>
    <w:p w14:paraId="2AF6AF78" w14:textId="77777777" w:rsidR="007A39CF" w:rsidRPr="00A97473" w:rsidRDefault="007A39CF" w:rsidP="007A39CF">
      <w:pPr>
        <w:pStyle w:val="ListParagraph"/>
        <w:ind w:left="680"/>
        <w:rPr>
          <w:rFonts w:eastAsiaTheme="majorEastAsia" w:cs="Arial"/>
        </w:rPr>
      </w:pPr>
    </w:p>
    <w:p w14:paraId="39C58952" w14:textId="0D8542B3" w:rsidR="00D85299" w:rsidRDefault="00C80350" w:rsidP="00A71859">
      <w:pPr>
        <w:pStyle w:val="ListParagraph"/>
        <w:numPr>
          <w:ilvl w:val="1"/>
          <w:numId w:val="5"/>
        </w:numPr>
        <w:rPr>
          <w:rFonts w:eastAsiaTheme="majorEastAsia" w:cs="Arial"/>
        </w:rPr>
      </w:pPr>
      <w:r>
        <w:rPr>
          <w:rFonts w:eastAsiaTheme="majorEastAsia" w:cs="Arial"/>
        </w:rPr>
        <w:t>HMRC</w:t>
      </w:r>
      <w:r w:rsidR="002B6342" w:rsidRPr="00883E89">
        <w:rPr>
          <w:rFonts w:eastAsiaTheme="majorEastAsia" w:cs="Arial"/>
        </w:rPr>
        <w:t xml:space="preserve"> is seeking a CRM software provider to enable significant transformational change for our customers and internal colleagues. For an overview of the scope and requirements for this contract, </w:t>
      </w:r>
      <w:r w:rsidR="002B6342" w:rsidRPr="00AF7830">
        <w:rPr>
          <w:rFonts w:eastAsiaTheme="majorEastAsia" w:cs="Arial"/>
        </w:rPr>
        <w:t xml:space="preserve">see </w:t>
      </w:r>
      <w:r w:rsidR="002B6342" w:rsidRPr="00E66809">
        <w:rPr>
          <w:rFonts w:eastAsiaTheme="majorEastAsia" w:cs="Arial"/>
        </w:rPr>
        <w:t xml:space="preserve">Annex </w:t>
      </w:r>
      <w:r w:rsidR="00AF4613" w:rsidRPr="00E66809">
        <w:rPr>
          <w:rFonts w:eastAsiaTheme="majorEastAsia" w:cs="Arial"/>
        </w:rPr>
        <w:t>1</w:t>
      </w:r>
      <w:r w:rsidR="00E871C6" w:rsidRPr="00CC449C">
        <w:rPr>
          <w:rFonts w:eastAsiaTheme="majorEastAsia" w:cs="Arial"/>
        </w:rPr>
        <w:t xml:space="preserve"> (Requirements Overview)</w:t>
      </w:r>
      <w:r w:rsidR="007A39CF">
        <w:rPr>
          <w:rFonts w:eastAsiaTheme="majorEastAsia" w:cs="Arial"/>
        </w:rPr>
        <w:t>.</w:t>
      </w:r>
    </w:p>
    <w:p w14:paraId="1521F65F" w14:textId="77777777" w:rsidR="007A39CF" w:rsidRPr="00AF7830" w:rsidRDefault="007A39CF" w:rsidP="007A39CF">
      <w:pPr>
        <w:pStyle w:val="ListParagraph"/>
        <w:ind w:left="680"/>
        <w:rPr>
          <w:rFonts w:eastAsiaTheme="majorEastAsia" w:cs="Arial"/>
        </w:rPr>
      </w:pPr>
    </w:p>
    <w:p w14:paraId="6A31F31E" w14:textId="6A037B53" w:rsidR="00D85299" w:rsidRDefault="00D85299" w:rsidP="00A71859">
      <w:pPr>
        <w:pStyle w:val="ListParagraph"/>
        <w:numPr>
          <w:ilvl w:val="1"/>
          <w:numId w:val="5"/>
        </w:numPr>
        <w:rPr>
          <w:rFonts w:eastAsiaTheme="majorEastAsia" w:cs="Arial"/>
        </w:rPr>
      </w:pPr>
      <w:r w:rsidRPr="00883E89">
        <w:rPr>
          <w:rFonts w:eastAsiaTheme="majorEastAsia" w:cs="Arial"/>
        </w:rPr>
        <w:t xml:space="preserve">The duration of the contract </w:t>
      </w:r>
      <w:r w:rsidR="00A97473" w:rsidRPr="00883E89">
        <w:rPr>
          <w:rFonts w:eastAsiaTheme="majorEastAsia" w:cs="Arial"/>
        </w:rPr>
        <w:t xml:space="preserve">to be awarded </w:t>
      </w:r>
      <w:r w:rsidRPr="00883E89">
        <w:rPr>
          <w:rFonts w:eastAsiaTheme="majorEastAsia" w:cs="Arial"/>
        </w:rPr>
        <w:t>will be</w:t>
      </w:r>
      <w:r w:rsidR="002669FE">
        <w:rPr>
          <w:rFonts w:eastAsiaTheme="majorEastAsia" w:cs="Arial"/>
        </w:rPr>
        <w:t xml:space="preserve"> for an initial term of</w:t>
      </w:r>
      <w:r w:rsidRPr="00883E89">
        <w:rPr>
          <w:rFonts w:eastAsiaTheme="majorEastAsia" w:cs="Arial"/>
        </w:rPr>
        <w:t xml:space="preserve"> </w:t>
      </w:r>
      <w:r w:rsidR="00A47D92" w:rsidRPr="00C613CE">
        <w:rPr>
          <w:rFonts w:eastAsiaTheme="majorEastAsia" w:cs="Arial"/>
        </w:rPr>
        <w:t>ten</w:t>
      </w:r>
      <w:r w:rsidRPr="00C613CE">
        <w:rPr>
          <w:rFonts w:eastAsiaTheme="majorEastAsia" w:cs="Arial"/>
        </w:rPr>
        <w:t xml:space="preserve"> </w:t>
      </w:r>
      <w:r w:rsidRPr="00E66809">
        <w:rPr>
          <w:rFonts w:eastAsiaTheme="majorEastAsia" w:cs="Arial"/>
        </w:rPr>
        <w:t>(</w:t>
      </w:r>
      <w:r w:rsidR="00A47D92" w:rsidRPr="00E66809">
        <w:rPr>
          <w:rFonts w:eastAsiaTheme="majorEastAsia" w:cs="Arial"/>
        </w:rPr>
        <w:t>10</w:t>
      </w:r>
      <w:r w:rsidRPr="00E66809">
        <w:rPr>
          <w:rFonts w:eastAsiaTheme="majorEastAsia" w:cs="Arial"/>
        </w:rPr>
        <w:t>) years with</w:t>
      </w:r>
      <w:r w:rsidR="00516762" w:rsidRPr="00E66809">
        <w:rPr>
          <w:rFonts w:eastAsiaTheme="majorEastAsia" w:cs="Arial"/>
        </w:rPr>
        <w:t xml:space="preserve"> two </w:t>
      </w:r>
      <w:r w:rsidR="00517CA3" w:rsidRPr="00E66809">
        <w:rPr>
          <w:rFonts w:eastAsiaTheme="majorEastAsia" w:cs="Arial"/>
        </w:rPr>
        <w:t xml:space="preserve">consecutive </w:t>
      </w:r>
      <w:r w:rsidR="00516762" w:rsidRPr="00E66809">
        <w:rPr>
          <w:rFonts w:eastAsiaTheme="majorEastAsia" w:cs="Arial"/>
        </w:rPr>
        <w:t>extension options of</w:t>
      </w:r>
      <w:r w:rsidRPr="00E66809">
        <w:rPr>
          <w:rFonts w:eastAsiaTheme="majorEastAsia" w:cs="Arial"/>
        </w:rPr>
        <w:t xml:space="preserve"> </w:t>
      </w:r>
      <w:r w:rsidR="00DD261D">
        <w:rPr>
          <w:rFonts w:eastAsiaTheme="majorEastAsia" w:cs="Arial"/>
        </w:rPr>
        <w:t xml:space="preserve">up to </w:t>
      </w:r>
      <w:r w:rsidR="00516762" w:rsidRPr="00E66809">
        <w:rPr>
          <w:rFonts w:eastAsiaTheme="majorEastAsia" w:cs="Arial"/>
        </w:rPr>
        <w:t xml:space="preserve">36 months (3 years) and </w:t>
      </w:r>
      <w:r w:rsidR="00DD261D">
        <w:rPr>
          <w:rFonts w:eastAsiaTheme="majorEastAsia" w:cs="Arial"/>
        </w:rPr>
        <w:t xml:space="preserve">up to </w:t>
      </w:r>
      <w:r w:rsidR="00516762" w:rsidRPr="00E66809">
        <w:rPr>
          <w:rFonts w:eastAsiaTheme="majorEastAsia" w:cs="Arial"/>
        </w:rPr>
        <w:t>24 months</w:t>
      </w:r>
      <w:r w:rsidR="005E4A24" w:rsidRPr="00E66809">
        <w:rPr>
          <w:rFonts w:eastAsiaTheme="majorEastAsia" w:cs="Arial"/>
        </w:rPr>
        <w:t xml:space="preserve"> (2 years)</w:t>
      </w:r>
      <w:r w:rsidR="00516762" w:rsidRPr="00E66809">
        <w:rPr>
          <w:rFonts w:eastAsiaTheme="majorEastAsia" w:cs="Arial"/>
        </w:rPr>
        <w:t xml:space="preserve"> respectively</w:t>
      </w:r>
      <w:r w:rsidR="00517CA3" w:rsidRPr="00E66809">
        <w:rPr>
          <w:rFonts w:eastAsiaTheme="majorEastAsia" w:cs="Arial"/>
        </w:rPr>
        <w:t>.</w:t>
      </w:r>
      <w:r w:rsidR="00516762" w:rsidRPr="00E66809">
        <w:rPr>
          <w:rFonts w:eastAsiaTheme="majorEastAsia" w:cs="Arial"/>
        </w:rPr>
        <w:t xml:space="preserve"> </w:t>
      </w:r>
    </w:p>
    <w:p w14:paraId="1C5A4195" w14:textId="77777777" w:rsidR="007A39CF" w:rsidRPr="00883E89" w:rsidRDefault="007A39CF" w:rsidP="007A39CF">
      <w:pPr>
        <w:pStyle w:val="ListParagraph"/>
        <w:ind w:left="680"/>
        <w:rPr>
          <w:rFonts w:eastAsiaTheme="majorEastAsia" w:cs="Arial"/>
        </w:rPr>
      </w:pPr>
    </w:p>
    <w:p w14:paraId="2D3EBDDE" w14:textId="0B8AE509" w:rsidR="007A39CF" w:rsidRPr="007A39CF" w:rsidRDefault="00D85299" w:rsidP="007A39CF">
      <w:pPr>
        <w:pStyle w:val="ListParagraph"/>
        <w:numPr>
          <w:ilvl w:val="1"/>
          <w:numId w:val="5"/>
        </w:numPr>
        <w:rPr>
          <w:rFonts w:eastAsiaTheme="majorEastAsia" w:cs="Arial"/>
        </w:rPr>
      </w:pPr>
      <w:r w:rsidRPr="00D85299">
        <w:rPr>
          <w:rFonts w:eastAsiaTheme="majorEastAsia" w:cs="Arial"/>
        </w:rPr>
        <w:t xml:space="preserve">The estimated contract value </w:t>
      </w:r>
      <w:r w:rsidR="00C00F75">
        <w:rPr>
          <w:rFonts w:eastAsiaTheme="majorEastAsia" w:cs="Arial"/>
        </w:rPr>
        <w:t>for the initial term (10 years)</w:t>
      </w:r>
      <w:r w:rsidRPr="00D85299">
        <w:rPr>
          <w:rFonts w:eastAsiaTheme="majorEastAsia" w:cs="Arial"/>
        </w:rPr>
        <w:t xml:space="preserve"> </w:t>
      </w:r>
      <w:r w:rsidR="002468C8" w:rsidRPr="00E66809">
        <w:rPr>
          <w:rFonts w:eastAsiaTheme="majorEastAsia" w:cs="Arial"/>
        </w:rPr>
        <w:t xml:space="preserve">is </w:t>
      </w:r>
      <w:r w:rsidR="2AE8656B" w:rsidRPr="19BD2777">
        <w:rPr>
          <w:rFonts w:eastAsiaTheme="majorEastAsia" w:cs="Arial"/>
        </w:rPr>
        <w:t>£</w:t>
      </w:r>
      <w:r w:rsidR="008635D9">
        <w:rPr>
          <w:rFonts w:eastAsiaTheme="majorEastAsia" w:cs="Arial"/>
        </w:rPr>
        <w:t>1,</w:t>
      </w:r>
      <w:r w:rsidR="738DD8B5" w:rsidRPr="102B0B5D">
        <w:rPr>
          <w:rFonts w:eastAsiaTheme="majorEastAsia" w:cs="Arial"/>
        </w:rPr>
        <w:t>2</w:t>
      </w:r>
      <w:r w:rsidR="635904DF" w:rsidRPr="102B0B5D">
        <w:rPr>
          <w:rFonts w:eastAsiaTheme="majorEastAsia" w:cs="Arial"/>
        </w:rPr>
        <w:t>00</w:t>
      </w:r>
      <w:r w:rsidR="738DD8B5" w:rsidRPr="102B0B5D">
        <w:rPr>
          <w:rFonts w:eastAsiaTheme="majorEastAsia" w:cs="Arial"/>
        </w:rPr>
        <w:t>,</w:t>
      </w:r>
      <w:r w:rsidR="5FEAC9C1" w:rsidRPr="102B0B5D">
        <w:rPr>
          <w:rFonts w:eastAsiaTheme="majorEastAsia" w:cs="Arial"/>
        </w:rPr>
        <w:t>000</w:t>
      </w:r>
      <w:r w:rsidR="1CAE667A" w:rsidRPr="102B0B5D">
        <w:rPr>
          <w:rFonts w:eastAsiaTheme="majorEastAsia" w:cs="Arial"/>
        </w:rPr>
        <w:t>,</w:t>
      </w:r>
      <w:r w:rsidR="78D87C4C" w:rsidRPr="102B0B5D">
        <w:rPr>
          <w:rFonts w:eastAsiaTheme="majorEastAsia" w:cs="Arial"/>
        </w:rPr>
        <w:t>000</w:t>
      </w:r>
      <w:r w:rsidRPr="00D85299">
        <w:rPr>
          <w:rFonts w:eastAsiaTheme="majorEastAsia" w:cs="Arial"/>
        </w:rPr>
        <w:t xml:space="preserve"> (</w:t>
      </w:r>
      <w:r w:rsidR="0067065E">
        <w:rPr>
          <w:rFonts w:eastAsiaTheme="majorEastAsia" w:cs="Arial"/>
        </w:rPr>
        <w:t>excluding</w:t>
      </w:r>
      <w:r w:rsidRPr="00D85299">
        <w:rPr>
          <w:rFonts w:eastAsiaTheme="majorEastAsia" w:cs="Arial"/>
        </w:rPr>
        <w:t xml:space="preserve"> VAT). </w:t>
      </w:r>
      <w:r w:rsidR="00C00F75">
        <w:rPr>
          <w:rFonts w:eastAsiaTheme="majorEastAsia" w:cs="Arial"/>
        </w:rPr>
        <w:t>The estimated contract val</w:t>
      </w:r>
      <w:r w:rsidR="007033A9">
        <w:rPr>
          <w:rFonts w:eastAsiaTheme="majorEastAsia" w:cs="Arial"/>
        </w:rPr>
        <w:t>u</w:t>
      </w:r>
      <w:r w:rsidR="00C00F75">
        <w:rPr>
          <w:rFonts w:eastAsiaTheme="majorEastAsia" w:cs="Arial"/>
        </w:rPr>
        <w:t xml:space="preserve">e for the </w:t>
      </w:r>
      <w:r w:rsidR="007033A9">
        <w:rPr>
          <w:rFonts w:eastAsiaTheme="majorEastAsia" w:cs="Arial"/>
        </w:rPr>
        <w:t xml:space="preserve">total extension period (5 years) is </w:t>
      </w:r>
      <w:r w:rsidR="007033A9" w:rsidRPr="001B7C68">
        <w:rPr>
          <w:rFonts w:eastAsiaTheme="majorEastAsia" w:cs="Arial"/>
        </w:rPr>
        <w:t>£</w:t>
      </w:r>
      <w:r w:rsidR="08D2E20D" w:rsidRPr="102B0B5D">
        <w:rPr>
          <w:rFonts w:eastAsiaTheme="majorEastAsia" w:cs="Arial"/>
        </w:rPr>
        <w:t>800</w:t>
      </w:r>
      <w:r w:rsidR="743F7D59" w:rsidRPr="102B0B5D">
        <w:rPr>
          <w:rFonts w:eastAsiaTheme="majorEastAsia" w:cs="Arial"/>
        </w:rPr>
        <w:t>,</w:t>
      </w:r>
      <w:r w:rsidR="0923DB97" w:rsidRPr="102B0B5D">
        <w:rPr>
          <w:rFonts w:eastAsiaTheme="majorEastAsia" w:cs="Arial"/>
        </w:rPr>
        <w:t>000</w:t>
      </w:r>
      <w:r w:rsidR="743F7D59" w:rsidRPr="102B0B5D">
        <w:rPr>
          <w:rFonts w:eastAsiaTheme="majorEastAsia" w:cs="Arial"/>
        </w:rPr>
        <w:t>,</w:t>
      </w:r>
      <w:r w:rsidR="29D14790" w:rsidRPr="102B0B5D">
        <w:rPr>
          <w:rFonts w:eastAsiaTheme="majorEastAsia" w:cs="Arial"/>
        </w:rPr>
        <w:t>000</w:t>
      </w:r>
      <w:r w:rsidR="007033A9">
        <w:rPr>
          <w:rFonts w:eastAsiaTheme="majorEastAsia" w:cs="Arial"/>
        </w:rPr>
        <w:t xml:space="preserve"> (</w:t>
      </w:r>
      <w:r w:rsidR="35DC5928" w:rsidRPr="1B7D656A">
        <w:rPr>
          <w:rFonts w:eastAsiaTheme="majorEastAsia" w:cs="Arial"/>
        </w:rPr>
        <w:t xml:space="preserve">excluding </w:t>
      </w:r>
      <w:r w:rsidR="007033A9" w:rsidRPr="1B7D656A">
        <w:rPr>
          <w:rFonts w:eastAsiaTheme="majorEastAsia" w:cs="Arial"/>
        </w:rPr>
        <w:t>VAT).</w:t>
      </w:r>
      <w:r w:rsidRPr="00D85299">
        <w:rPr>
          <w:rFonts w:eastAsiaTheme="majorEastAsia" w:cs="Arial"/>
        </w:rPr>
        <w:t xml:space="preserve"> </w:t>
      </w:r>
      <w:r w:rsidR="006E138E">
        <w:rPr>
          <w:rFonts w:eastAsiaTheme="majorEastAsia" w:cs="Arial"/>
        </w:rPr>
        <w:t>These figures are</w:t>
      </w:r>
      <w:r w:rsidRPr="00D85299">
        <w:rPr>
          <w:rFonts w:eastAsiaTheme="majorEastAsia" w:cs="Arial"/>
        </w:rPr>
        <w:t xml:space="preserve"> estimate</w:t>
      </w:r>
      <w:r w:rsidR="006E138E">
        <w:rPr>
          <w:rFonts w:eastAsiaTheme="majorEastAsia" w:cs="Arial"/>
        </w:rPr>
        <w:t>s</w:t>
      </w:r>
      <w:r w:rsidRPr="00D85299">
        <w:rPr>
          <w:rFonts w:eastAsiaTheme="majorEastAsia" w:cs="Arial"/>
        </w:rPr>
        <w:t xml:space="preserve"> only. HMRC provides no guarantee as to the quantity or value of work that will be placed with any successful supplier. Any contract values, details of current expenditure or indications of potential future uptake provided in </w:t>
      </w:r>
      <w:r w:rsidR="00582746">
        <w:rPr>
          <w:rFonts w:eastAsiaTheme="majorEastAsia" w:cs="Arial"/>
        </w:rPr>
        <w:t>this document</w:t>
      </w:r>
      <w:r w:rsidRPr="00D85299">
        <w:rPr>
          <w:rFonts w:eastAsiaTheme="majorEastAsia" w:cs="Arial"/>
        </w:rPr>
        <w:t xml:space="preserve"> or otherwise as part of this procurement exercise are indicative only.</w:t>
      </w:r>
    </w:p>
    <w:p w14:paraId="3FB8BD30" w14:textId="77777777" w:rsidR="007A39CF" w:rsidRPr="00D85299" w:rsidRDefault="007A39CF" w:rsidP="007A39CF">
      <w:pPr>
        <w:pStyle w:val="ListParagraph"/>
        <w:ind w:left="680"/>
        <w:rPr>
          <w:rFonts w:eastAsiaTheme="majorEastAsia" w:cs="Arial"/>
        </w:rPr>
      </w:pPr>
    </w:p>
    <w:p w14:paraId="1363F8FB" w14:textId="5D9C733D" w:rsidR="00D85299" w:rsidRDefault="00CF36DA" w:rsidP="00A71859">
      <w:pPr>
        <w:pStyle w:val="ListParagraph"/>
        <w:numPr>
          <w:ilvl w:val="1"/>
          <w:numId w:val="5"/>
        </w:numPr>
        <w:rPr>
          <w:rFonts w:eastAsiaTheme="majorEastAsia" w:cs="Arial"/>
        </w:rPr>
      </w:pPr>
      <w:r>
        <w:rPr>
          <w:rFonts w:eastAsiaTheme="majorEastAsia" w:cs="Arial"/>
        </w:rPr>
        <w:t>HMRC intends to award the contract</w:t>
      </w:r>
      <w:r w:rsidR="00D85299" w:rsidRPr="00D85299">
        <w:rPr>
          <w:rFonts w:eastAsiaTheme="majorEastAsia" w:cs="Arial"/>
        </w:rPr>
        <w:t xml:space="preserve"> to a single supplier. </w:t>
      </w:r>
    </w:p>
    <w:p w14:paraId="7E4D2DDB" w14:textId="77777777" w:rsidR="007A39CF" w:rsidRDefault="007A39CF" w:rsidP="007A39CF">
      <w:pPr>
        <w:pStyle w:val="ListParagraph"/>
        <w:ind w:left="680"/>
        <w:rPr>
          <w:rFonts w:eastAsiaTheme="majorEastAsia" w:cs="Arial"/>
        </w:rPr>
      </w:pPr>
    </w:p>
    <w:p w14:paraId="716B3826" w14:textId="51DB529E" w:rsidR="007A39CF" w:rsidRPr="007A39CF" w:rsidRDefault="00D85299" w:rsidP="007A39CF">
      <w:pPr>
        <w:pStyle w:val="ListParagraph"/>
        <w:numPr>
          <w:ilvl w:val="1"/>
          <w:numId w:val="5"/>
        </w:numPr>
        <w:rPr>
          <w:rFonts w:eastAsiaTheme="majorEastAsia" w:cs="Arial"/>
        </w:rPr>
      </w:pPr>
      <w:bookmarkStart w:id="1" w:name="ORIGHIT_212"/>
      <w:bookmarkStart w:id="2" w:name="HIT_212"/>
      <w:bookmarkEnd w:id="1"/>
      <w:bookmarkEnd w:id="2"/>
      <w:r w:rsidRPr="00D85299">
        <w:rPr>
          <w:rFonts w:eastAsiaTheme="majorEastAsia" w:cs="Arial"/>
        </w:rPr>
        <w:t xml:space="preserve">HMRC provides no guarantee it will enter into any contract resulting from this procurement exercise. HMRC reserves the right to cancel and/or amend the requirements of this procurement process at any point </w:t>
      </w:r>
      <w:r w:rsidR="005A7CE5">
        <w:rPr>
          <w:rFonts w:eastAsiaTheme="majorEastAsia" w:cs="Arial"/>
        </w:rPr>
        <w:t>in line with the Procurement Act 2023</w:t>
      </w:r>
      <w:r w:rsidRPr="00D85299">
        <w:rPr>
          <w:rFonts w:eastAsiaTheme="majorEastAsia" w:cs="Arial"/>
        </w:rPr>
        <w:t xml:space="preserve"> and will not be liable to any third party should any such cancellation/amendment occur.</w:t>
      </w:r>
    </w:p>
    <w:p w14:paraId="6FFA53BC" w14:textId="77777777" w:rsidR="007A39CF" w:rsidRPr="00D85299" w:rsidRDefault="007A39CF" w:rsidP="007A39CF">
      <w:pPr>
        <w:pStyle w:val="ListParagraph"/>
        <w:ind w:left="680"/>
        <w:rPr>
          <w:rFonts w:eastAsiaTheme="majorEastAsia" w:cs="Arial"/>
        </w:rPr>
      </w:pPr>
    </w:p>
    <w:p w14:paraId="0B77EDC0" w14:textId="09030188" w:rsidR="006C50FA" w:rsidRDefault="006E7559" w:rsidP="00A71859">
      <w:pPr>
        <w:pStyle w:val="ListParagraph"/>
        <w:numPr>
          <w:ilvl w:val="1"/>
          <w:numId w:val="5"/>
        </w:numPr>
        <w:rPr>
          <w:rFonts w:eastAsiaTheme="majorEastAsia" w:cs="Arial"/>
        </w:rPr>
      </w:pPr>
      <w:r>
        <w:rPr>
          <w:rFonts w:eastAsiaTheme="majorEastAsia" w:cs="Arial"/>
        </w:rPr>
        <w:t xml:space="preserve">Suppliers </w:t>
      </w:r>
      <w:r w:rsidRPr="006E7559">
        <w:rPr>
          <w:rFonts w:eastAsiaTheme="majorEastAsia" w:cs="Arial"/>
        </w:rPr>
        <w:t xml:space="preserve">are required to provide their responses to </w:t>
      </w:r>
      <w:r w:rsidR="009031FA">
        <w:rPr>
          <w:rFonts w:eastAsiaTheme="majorEastAsia" w:cs="Arial"/>
        </w:rPr>
        <w:t>the</w:t>
      </w:r>
      <w:r w:rsidR="009031FA" w:rsidRPr="006E7559">
        <w:rPr>
          <w:rFonts w:eastAsiaTheme="majorEastAsia" w:cs="Arial"/>
        </w:rPr>
        <w:t xml:space="preserve"> </w:t>
      </w:r>
      <w:r w:rsidR="003776D9">
        <w:rPr>
          <w:rFonts w:eastAsiaTheme="majorEastAsia" w:cs="Arial"/>
        </w:rPr>
        <w:t>P</w:t>
      </w:r>
      <w:r>
        <w:rPr>
          <w:rFonts w:eastAsiaTheme="majorEastAsia" w:cs="Arial"/>
        </w:rPr>
        <w:t xml:space="preserve">rocurement </w:t>
      </w:r>
      <w:r w:rsidR="003776D9">
        <w:rPr>
          <w:rFonts w:eastAsiaTheme="majorEastAsia" w:cs="Arial"/>
        </w:rPr>
        <w:t>S</w:t>
      </w:r>
      <w:r>
        <w:rPr>
          <w:rFonts w:eastAsiaTheme="majorEastAsia" w:cs="Arial"/>
        </w:rPr>
        <w:t xml:space="preserve">pecific </w:t>
      </w:r>
      <w:r w:rsidR="003776D9">
        <w:rPr>
          <w:rFonts w:eastAsiaTheme="majorEastAsia" w:cs="Arial"/>
        </w:rPr>
        <w:t>Q</w:t>
      </w:r>
      <w:r>
        <w:rPr>
          <w:rFonts w:eastAsiaTheme="majorEastAsia" w:cs="Arial"/>
        </w:rPr>
        <w:t>uestionnaire</w:t>
      </w:r>
      <w:r w:rsidRPr="006E7559">
        <w:rPr>
          <w:rFonts w:eastAsiaTheme="majorEastAsia" w:cs="Arial"/>
        </w:rPr>
        <w:t xml:space="preserve"> (</w:t>
      </w:r>
      <w:r w:rsidR="00276A5D">
        <w:rPr>
          <w:rFonts w:eastAsiaTheme="majorEastAsia" w:cs="Arial"/>
        </w:rPr>
        <w:t>P</w:t>
      </w:r>
      <w:r w:rsidRPr="006E7559">
        <w:rPr>
          <w:rFonts w:eastAsiaTheme="majorEastAsia" w:cs="Arial"/>
        </w:rPr>
        <w:t xml:space="preserve">SQ) </w:t>
      </w:r>
      <w:r w:rsidR="002E2F6F">
        <w:rPr>
          <w:rFonts w:eastAsiaTheme="majorEastAsia" w:cs="Arial"/>
        </w:rPr>
        <w:t xml:space="preserve">published as part of this CoP document </w:t>
      </w:r>
      <w:r w:rsidRPr="006E7559">
        <w:rPr>
          <w:rFonts w:eastAsiaTheme="majorEastAsia" w:cs="Arial"/>
        </w:rPr>
        <w:t xml:space="preserve">by no later than </w:t>
      </w:r>
      <w:r w:rsidRPr="00E64BC2">
        <w:rPr>
          <w:rFonts w:eastAsiaTheme="majorEastAsia" w:cs="Arial"/>
        </w:rPr>
        <w:t xml:space="preserve">12:00 (midday) on the </w:t>
      </w:r>
      <w:proofErr w:type="gramStart"/>
      <w:r w:rsidR="00E64BC2" w:rsidRPr="00E64BC2">
        <w:rPr>
          <w:rFonts w:eastAsiaTheme="majorEastAsia" w:cs="Arial"/>
        </w:rPr>
        <w:t>13</w:t>
      </w:r>
      <w:r w:rsidR="00E64BC2" w:rsidRPr="00E64BC2">
        <w:rPr>
          <w:rFonts w:eastAsiaTheme="majorEastAsia" w:cs="Arial"/>
          <w:vertAlign w:val="superscript"/>
        </w:rPr>
        <w:t>th</w:t>
      </w:r>
      <w:proofErr w:type="gramEnd"/>
      <w:r w:rsidR="00E64BC2" w:rsidRPr="00E64BC2">
        <w:rPr>
          <w:rFonts w:eastAsiaTheme="majorEastAsia" w:cs="Arial"/>
          <w:vertAlign w:val="superscript"/>
        </w:rPr>
        <w:t xml:space="preserve"> </w:t>
      </w:r>
      <w:r w:rsidR="00E64BC2" w:rsidRPr="00E64BC2">
        <w:rPr>
          <w:rFonts w:eastAsiaTheme="majorEastAsia" w:cs="Arial"/>
        </w:rPr>
        <w:t>August</w:t>
      </w:r>
      <w:r w:rsidR="00D534FB" w:rsidRPr="00E64BC2">
        <w:rPr>
          <w:rFonts w:eastAsiaTheme="majorEastAsia" w:cs="Arial"/>
        </w:rPr>
        <w:t xml:space="preserve"> 202</w:t>
      </w:r>
      <w:r w:rsidR="00B25C2B" w:rsidRPr="00E64BC2">
        <w:rPr>
          <w:rFonts w:eastAsiaTheme="majorEastAsia" w:cs="Arial"/>
        </w:rPr>
        <w:t>5</w:t>
      </w:r>
      <w:r w:rsidRPr="00E64BC2">
        <w:rPr>
          <w:rFonts w:eastAsiaTheme="majorEastAsia" w:cs="Arial"/>
        </w:rPr>
        <w:t>.</w:t>
      </w:r>
    </w:p>
    <w:p w14:paraId="0C724877" w14:textId="5095DCFE" w:rsidR="00485A5D" w:rsidRPr="00485A5D" w:rsidRDefault="006C50FA" w:rsidP="00AD19D7">
      <w:pPr>
        <w:pStyle w:val="ListParagraph"/>
        <w:numPr>
          <w:ilvl w:val="0"/>
          <w:numId w:val="67"/>
        </w:numPr>
        <w:ind w:left="993" w:hanging="284"/>
        <w:rPr>
          <w:rFonts w:eastAsiaTheme="majorEastAsia" w:cs="Arial"/>
        </w:rPr>
      </w:pPr>
      <w:r>
        <w:rPr>
          <w:rFonts w:eastAsiaTheme="majorEastAsia" w:cs="Arial"/>
        </w:rPr>
        <w:t xml:space="preserve">Schedule 1 of this document provides the questions that </w:t>
      </w:r>
      <w:r w:rsidR="00C7086C">
        <w:rPr>
          <w:rFonts w:eastAsiaTheme="majorEastAsia" w:cs="Arial"/>
        </w:rPr>
        <w:t>together make up the PSQ within this CoP document.</w:t>
      </w:r>
    </w:p>
    <w:p w14:paraId="1822AB0E" w14:textId="52CEEC1D" w:rsidR="00C7086C" w:rsidRDefault="00C7086C" w:rsidP="00AD19D7">
      <w:pPr>
        <w:pStyle w:val="ListParagraph"/>
        <w:numPr>
          <w:ilvl w:val="0"/>
          <w:numId w:val="67"/>
        </w:numPr>
        <w:ind w:left="993" w:hanging="284"/>
        <w:rPr>
          <w:rFonts w:eastAsiaTheme="majorEastAsia" w:cs="Arial"/>
        </w:rPr>
      </w:pPr>
      <w:r>
        <w:rPr>
          <w:rFonts w:eastAsiaTheme="majorEastAsia" w:cs="Arial"/>
        </w:rPr>
        <w:t xml:space="preserve">Schedule 2 of this document provides further response instructions with respect to a </w:t>
      </w:r>
      <w:r w:rsidR="00FA5CF7">
        <w:rPr>
          <w:rFonts w:eastAsiaTheme="majorEastAsia" w:cs="Arial"/>
        </w:rPr>
        <w:t>Supplier</w:t>
      </w:r>
      <w:r>
        <w:rPr>
          <w:rFonts w:eastAsiaTheme="majorEastAsia" w:cs="Arial"/>
        </w:rPr>
        <w:t>’s response to the questions in Schedule 1.</w:t>
      </w:r>
    </w:p>
    <w:p w14:paraId="413C6D2E" w14:textId="377B64EB" w:rsidR="007A39CF" w:rsidRDefault="00C7086C" w:rsidP="00AD19D7">
      <w:pPr>
        <w:pStyle w:val="ListParagraph"/>
        <w:numPr>
          <w:ilvl w:val="0"/>
          <w:numId w:val="67"/>
        </w:numPr>
        <w:ind w:left="993" w:hanging="284"/>
        <w:rPr>
          <w:rFonts w:eastAsiaTheme="majorEastAsia" w:cs="Arial"/>
        </w:rPr>
      </w:pPr>
      <w:r>
        <w:rPr>
          <w:rFonts w:eastAsiaTheme="majorEastAsia" w:cs="Arial"/>
        </w:rPr>
        <w:t>Schedule 3 of this document provides the evaluation guidance and criteria that relate</w:t>
      </w:r>
      <w:r w:rsidR="00A71859">
        <w:rPr>
          <w:rFonts w:eastAsiaTheme="majorEastAsia" w:cs="Arial"/>
        </w:rPr>
        <w:t xml:space="preserve"> </w:t>
      </w:r>
      <w:r>
        <w:rPr>
          <w:rFonts w:eastAsiaTheme="majorEastAsia" w:cs="Arial"/>
        </w:rPr>
        <w:t>to the questions within Schedule 1.</w:t>
      </w:r>
    </w:p>
    <w:p w14:paraId="63C94EA6" w14:textId="77777777" w:rsidR="007A39CF" w:rsidRPr="007A39CF" w:rsidRDefault="007A39CF" w:rsidP="007A39CF">
      <w:pPr>
        <w:pStyle w:val="ListParagraph"/>
        <w:ind w:left="993"/>
        <w:rPr>
          <w:rFonts w:eastAsiaTheme="majorEastAsia" w:cs="Arial"/>
        </w:rPr>
      </w:pPr>
    </w:p>
    <w:p w14:paraId="016F93A3" w14:textId="77777777" w:rsidR="004878C7" w:rsidRPr="004878C7" w:rsidRDefault="004878C7" w:rsidP="00A71859">
      <w:pPr>
        <w:pStyle w:val="ListParagraph"/>
        <w:numPr>
          <w:ilvl w:val="1"/>
          <w:numId w:val="5"/>
        </w:numPr>
        <w:rPr>
          <w:rFonts w:eastAsiaTheme="majorEastAsia" w:cs="Arial"/>
        </w:rPr>
      </w:pPr>
      <w:r w:rsidRPr="004878C7">
        <w:rPr>
          <w:rFonts w:eastAsiaTheme="majorEastAsia" w:cs="Arial"/>
        </w:rPr>
        <w:t xml:space="preserve">The provision of a complete </w:t>
      </w:r>
      <w:r w:rsidR="002824BA">
        <w:rPr>
          <w:rFonts w:eastAsiaTheme="majorEastAsia" w:cs="Arial"/>
        </w:rPr>
        <w:t xml:space="preserve">PSQ </w:t>
      </w:r>
      <w:r w:rsidRPr="004878C7">
        <w:rPr>
          <w:rFonts w:eastAsiaTheme="majorEastAsia" w:cs="Arial"/>
        </w:rPr>
        <w:t xml:space="preserve">response will constitute a request to participate in the procurement process. For avoidance of doubt, a complete response </w:t>
      </w:r>
      <w:r w:rsidR="00E64A02">
        <w:rPr>
          <w:rFonts w:eastAsiaTheme="majorEastAsia" w:cs="Arial"/>
        </w:rPr>
        <w:t xml:space="preserve">to this PSQ </w:t>
      </w:r>
      <w:r w:rsidRPr="004878C7">
        <w:rPr>
          <w:rFonts w:eastAsiaTheme="majorEastAsia" w:cs="Arial"/>
        </w:rPr>
        <w:t>will comprise the following:</w:t>
      </w:r>
    </w:p>
    <w:p w14:paraId="307F8392" w14:textId="77777777" w:rsidR="005F32DB" w:rsidRPr="00A71859" w:rsidRDefault="005F32DB" w:rsidP="00AD19D7">
      <w:pPr>
        <w:pStyle w:val="ListParagraph"/>
        <w:numPr>
          <w:ilvl w:val="0"/>
          <w:numId w:val="68"/>
        </w:numPr>
        <w:ind w:left="993" w:hanging="284"/>
        <w:rPr>
          <w:rFonts w:eastAsiaTheme="majorEastAsia" w:cs="Arial"/>
        </w:rPr>
      </w:pPr>
      <w:r>
        <w:rPr>
          <w:rFonts w:eastAsiaTheme="majorEastAsia"/>
        </w:rPr>
        <w:t>Responses to all questions included within the PSQ at Schedule 1, including:</w:t>
      </w:r>
    </w:p>
    <w:p w14:paraId="26E74A17" w14:textId="535E787A" w:rsidR="005F32DB" w:rsidRDefault="005F32DB" w:rsidP="00AD19D7">
      <w:pPr>
        <w:pStyle w:val="ListParagraph"/>
        <w:numPr>
          <w:ilvl w:val="0"/>
          <w:numId w:val="69"/>
        </w:numPr>
        <w:ind w:left="1560"/>
      </w:pPr>
      <w:r>
        <w:t>Preliminary Questions (Q1.1 – Q1.5) for all relevant organisations within your supply chain/consortium</w:t>
      </w:r>
    </w:p>
    <w:p w14:paraId="12120F5D" w14:textId="77777777" w:rsidR="005F32DB" w:rsidRDefault="005F32DB" w:rsidP="00AD19D7">
      <w:pPr>
        <w:pStyle w:val="ListParagraph"/>
        <w:numPr>
          <w:ilvl w:val="0"/>
          <w:numId w:val="69"/>
        </w:numPr>
        <w:ind w:left="1560"/>
      </w:pPr>
      <w:r>
        <w:lastRenderedPageBreak/>
        <w:t xml:space="preserve">Part 1: Confirmation of Core Supplier Information (Q1.6) for all relevant organisations within your supply chain/consortium </w:t>
      </w:r>
    </w:p>
    <w:p w14:paraId="59E42B0D" w14:textId="77777777" w:rsidR="005F32DB" w:rsidRDefault="005F32DB" w:rsidP="00AD19D7">
      <w:pPr>
        <w:pStyle w:val="ListParagraph"/>
        <w:numPr>
          <w:ilvl w:val="0"/>
          <w:numId w:val="69"/>
        </w:numPr>
        <w:ind w:left="1560"/>
      </w:pPr>
      <w:r>
        <w:t xml:space="preserve">Part 2: Additional Exclusions information (Q2.1 – Q2.4) for all relevant organisations within your supply chain/consortium </w:t>
      </w:r>
    </w:p>
    <w:p w14:paraId="21548620" w14:textId="4BCDAC61" w:rsidR="005F32DB" w:rsidRDefault="005F32DB" w:rsidP="00AD19D7">
      <w:pPr>
        <w:pStyle w:val="ListParagraph"/>
        <w:numPr>
          <w:ilvl w:val="0"/>
          <w:numId w:val="69"/>
        </w:numPr>
        <w:ind w:left="1560"/>
      </w:pPr>
      <w:r>
        <w:t>Part 3: Questions Relating to the Conditions of Participation (Q3.1 – Q3.3</w:t>
      </w:r>
      <w:r w:rsidR="00D54398">
        <w:t>3</w:t>
      </w:r>
      <w:r>
        <w:t>)</w:t>
      </w:r>
      <w:r w:rsidR="00AC5D43">
        <w:t>, to be answered</w:t>
      </w:r>
      <w:r>
        <w:t xml:space="preserve"> in line with the specific question guidance provided.</w:t>
      </w:r>
    </w:p>
    <w:p w14:paraId="42AA471A" w14:textId="7569648A" w:rsidR="005F32DB" w:rsidRDefault="005F32DB" w:rsidP="00AD19D7">
      <w:pPr>
        <w:pStyle w:val="ListParagraph"/>
        <w:numPr>
          <w:ilvl w:val="0"/>
          <w:numId w:val="69"/>
        </w:numPr>
        <w:ind w:left="1560"/>
      </w:pPr>
      <w:r>
        <w:t>A completed Declaration at Q3.3</w:t>
      </w:r>
      <w:r w:rsidR="00F8343D">
        <w:t>4</w:t>
      </w:r>
    </w:p>
    <w:p w14:paraId="1976833E" w14:textId="7235849D" w:rsidR="005F32DB" w:rsidRDefault="005F32DB" w:rsidP="00AD19D7">
      <w:pPr>
        <w:pStyle w:val="ListParagraph"/>
        <w:numPr>
          <w:ilvl w:val="0"/>
          <w:numId w:val="69"/>
        </w:numPr>
        <w:ind w:left="1560"/>
      </w:pPr>
      <w:r w:rsidRPr="007A39CF">
        <w:t>Copies of all ancillary information requested within the above questions that</w:t>
      </w:r>
      <w:r w:rsidR="007A39CF">
        <w:t xml:space="preserve"> </w:t>
      </w:r>
      <w:r w:rsidRPr="007A39CF">
        <w:t>together make up the PSQ, in line with the specific question guidance provided.</w:t>
      </w:r>
    </w:p>
    <w:p w14:paraId="3CDE97E8" w14:textId="77777777" w:rsidR="007A39CF" w:rsidRPr="007A39CF" w:rsidRDefault="007A39CF" w:rsidP="007A39CF">
      <w:pPr>
        <w:pStyle w:val="ListParagraph"/>
        <w:ind w:left="1560"/>
      </w:pPr>
    </w:p>
    <w:p w14:paraId="26AA5684" w14:textId="5B219948" w:rsidR="00DB566E" w:rsidRDefault="00DB566E" w:rsidP="007A39CF">
      <w:pPr>
        <w:pStyle w:val="ListParagraph"/>
        <w:numPr>
          <w:ilvl w:val="1"/>
          <w:numId w:val="5"/>
        </w:numPr>
        <w:rPr>
          <w:rFonts w:eastAsiaTheme="majorEastAsia" w:cs="Arial"/>
        </w:rPr>
      </w:pPr>
      <w:r>
        <w:rPr>
          <w:rFonts w:eastAsiaTheme="majorEastAsia" w:cs="Arial"/>
        </w:rPr>
        <w:t xml:space="preserve">Please ensure all attachments are provided </w:t>
      </w:r>
      <w:r w:rsidR="00C75FD6">
        <w:rPr>
          <w:rFonts w:eastAsiaTheme="majorEastAsia" w:cs="Arial"/>
        </w:rPr>
        <w:t xml:space="preserve">in MS Word (docx) format. Where </w:t>
      </w:r>
      <w:r w:rsidR="00515F38">
        <w:rPr>
          <w:rFonts w:eastAsiaTheme="majorEastAsia" w:cs="Arial"/>
        </w:rPr>
        <w:t xml:space="preserve">this is not possible, </w:t>
      </w:r>
      <w:r w:rsidR="002F3703">
        <w:rPr>
          <w:rFonts w:eastAsiaTheme="majorEastAsia" w:cs="Arial"/>
        </w:rPr>
        <w:t>e.g. where information is extracted from an external data source and/or is in a non-editable format</w:t>
      </w:r>
      <w:r w:rsidR="001E2C28">
        <w:rPr>
          <w:rFonts w:eastAsiaTheme="majorEastAsia" w:cs="Arial"/>
        </w:rPr>
        <w:t>, please make this clear within your response</w:t>
      </w:r>
      <w:r w:rsidR="004C1981">
        <w:rPr>
          <w:rFonts w:eastAsiaTheme="majorEastAsia" w:cs="Arial"/>
        </w:rPr>
        <w:t xml:space="preserve"> and provide an explanation.</w:t>
      </w:r>
      <w:r w:rsidR="6E85D4F4" w:rsidRPr="0BFF4B20">
        <w:rPr>
          <w:rFonts w:eastAsiaTheme="majorEastAsia" w:cs="Arial"/>
        </w:rPr>
        <w:t xml:space="preserve"> The Ariba Portal restricts individual attachments to &lt;100mb </w:t>
      </w:r>
      <w:r w:rsidR="00AA06B2">
        <w:rPr>
          <w:rFonts w:eastAsiaTheme="majorEastAsia" w:cs="Arial"/>
        </w:rPr>
        <w:t>and Suppliers must</w:t>
      </w:r>
      <w:r w:rsidR="6E85D4F4" w:rsidRPr="0BFF4B20">
        <w:rPr>
          <w:rFonts w:eastAsiaTheme="majorEastAsia" w:cs="Arial"/>
        </w:rPr>
        <w:t xml:space="preserve"> ensure that all attachments </w:t>
      </w:r>
      <w:r w:rsidR="004B32A6">
        <w:rPr>
          <w:rFonts w:eastAsiaTheme="majorEastAsia" w:cs="Arial"/>
        </w:rPr>
        <w:t>do not exceed</w:t>
      </w:r>
      <w:r w:rsidR="6E85D4F4" w:rsidRPr="0BFF4B20">
        <w:rPr>
          <w:rFonts w:eastAsiaTheme="majorEastAsia" w:cs="Arial"/>
        </w:rPr>
        <w:t xml:space="preserve"> this </w:t>
      </w:r>
      <w:r w:rsidR="6E85D4F4" w:rsidRPr="4F72373F">
        <w:rPr>
          <w:rFonts w:eastAsiaTheme="majorEastAsia" w:cs="Arial"/>
        </w:rPr>
        <w:t>max</w:t>
      </w:r>
      <w:r w:rsidR="00F83240">
        <w:rPr>
          <w:rFonts w:eastAsiaTheme="majorEastAsia" w:cs="Arial"/>
        </w:rPr>
        <w:t xml:space="preserve">imum </w:t>
      </w:r>
      <w:r w:rsidR="6E85D4F4" w:rsidRPr="4F72373F">
        <w:rPr>
          <w:rFonts w:eastAsiaTheme="majorEastAsia" w:cs="Arial"/>
        </w:rPr>
        <w:t>file</w:t>
      </w:r>
      <w:r w:rsidR="6E85D4F4" w:rsidRPr="0BFF4B20">
        <w:rPr>
          <w:rFonts w:eastAsiaTheme="majorEastAsia" w:cs="Arial"/>
        </w:rPr>
        <w:t xml:space="preserve"> size.</w:t>
      </w:r>
    </w:p>
    <w:p w14:paraId="3D6914A4" w14:textId="77777777" w:rsidR="007A39CF" w:rsidRPr="00DB566E" w:rsidRDefault="007A39CF" w:rsidP="007A39CF">
      <w:pPr>
        <w:pStyle w:val="ListParagraph"/>
        <w:ind w:left="680"/>
        <w:rPr>
          <w:rFonts w:eastAsiaTheme="majorEastAsia" w:cs="Arial"/>
        </w:rPr>
      </w:pPr>
    </w:p>
    <w:p w14:paraId="236E92D1" w14:textId="4B8CA7EB" w:rsidR="004878C7" w:rsidRDefault="004878C7" w:rsidP="007A39CF">
      <w:pPr>
        <w:pStyle w:val="ListParagraph"/>
        <w:numPr>
          <w:ilvl w:val="1"/>
          <w:numId w:val="5"/>
        </w:numPr>
        <w:rPr>
          <w:rFonts w:eastAsiaTheme="majorEastAsia" w:cs="Arial"/>
        </w:rPr>
      </w:pPr>
      <w:bookmarkStart w:id="3" w:name="_Hlk201936557"/>
      <w:r w:rsidRPr="004878C7">
        <w:rPr>
          <w:rFonts w:eastAsiaTheme="majorEastAsia" w:cs="Arial"/>
        </w:rPr>
        <w:t>HMRC reserves the right to exclude suppliers from this procurement process should they provide an incomplete/inaccurate response</w:t>
      </w:r>
      <w:r w:rsidR="00E64A02">
        <w:rPr>
          <w:rFonts w:eastAsiaTheme="majorEastAsia" w:cs="Arial"/>
        </w:rPr>
        <w:t xml:space="preserve"> to this PSQ</w:t>
      </w:r>
      <w:r w:rsidRPr="004878C7">
        <w:rPr>
          <w:rFonts w:eastAsiaTheme="majorEastAsia" w:cs="Arial"/>
        </w:rPr>
        <w:t xml:space="preserve">. </w:t>
      </w:r>
      <w:r w:rsidRPr="008D5AA2">
        <w:rPr>
          <w:rFonts w:eastAsiaTheme="majorEastAsia" w:cs="Arial"/>
        </w:rPr>
        <w:t xml:space="preserve">In addition, HMRC will have the unilateral right to exclude a supplier on the basis of their responses to any element of this </w:t>
      </w:r>
      <w:r w:rsidR="001508B3" w:rsidRPr="008D5AA2">
        <w:rPr>
          <w:rFonts w:eastAsiaTheme="majorEastAsia" w:cs="Arial"/>
        </w:rPr>
        <w:t>P</w:t>
      </w:r>
      <w:r w:rsidRPr="008D5AA2">
        <w:rPr>
          <w:rFonts w:eastAsiaTheme="majorEastAsia" w:cs="Arial"/>
        </w:rPr>
        <w:t xml:space="preserve">SQ, where HMRC deems that such a </w:t>
      </w:r>
      <w:r w:rsidR="002824BA" w:rsidRPr="008D5AA2">
        <w:rPr>
          <w:rFonts w:eastAsiaTheme="majorEastAsia" w:cs="Arial"/>
        </w:rPr>
        <w:t xml:space="preserve">PSQ </w:t>
      </w:r>
      <w:r w:rsidRPr="008D5AA2">
        <w:rPr>
          <w:rFonts w:eastAsiaTheme="majorEastAsia" w:cs="Arial"/>
        </w:rPr>
        <w:t>response fails to meet its minimum requirements.</w:t>
      </w:r>
    </w:p>
    <w:p w14:paraId="3D6A3A7B" w14:textId="77777777" w:rsidR="007A39CF" w:rsidRPr="004878C7" w:rsidRDefault="007A39CF" w:rsidP="007A39CF">
      <w:pPr>
        <w:pStyle w:val="ListParagraph"/>
        <w:ind w:left="680"/>
        <w:rPr>
          <w:rFonts w:eastAsiaTheme="majorEastAsia" w:cs="Arial"/>
        </w:rPr>
      </w:pPr>
    </w:p>
    <w:bookmarkEnd w:id="3"/>
    <w:p w14:paraId="2516DFD0" w14:textId="7ADFAB93" w:rsidR="00485A5D" w:rsidRPr="007A39CF" w:rsidRDefault="004878C7" w:rsidP="007A39CF">
      <w:pPr>
        <w:pStyle w:val="ListParagraph"/>
        <w:numPr>
          <w:ilvl w:val="1"/>
          <w:numId w:val="5"/>
        </w:numPr>
        <w:rPr>
          <w:rFonts w:eastAsiaTheme="majorEastAsia" w:cs="Arial"/>
        </w:rPr>
      </w:pPr>
      <w:r w:rsidRPr="004878C7">
        <w:rPr>
          <w:rFonts w:eastAsiaTheme="majorEastAsia" w:cs="Arial"/>
        </w:rPr>
        <w:t>The information within this document may be subject to change and does not constitute an offer to enter into a contract. HMRC may cease or amend this process at its own discretion.</w:t>
      </w:r>
    </w:p>
    <w:p w14:paraId="2FD309EE" w14:textId="2BC16E42" w:rsidR="00F56BE9" w:rsidRPr="00957A1F" w:rsidRDefault="00F56BE9" w:rsidP="00320D15">
      <w:pPr>
        <w:pStyle w:val="Head2"/>
        <w:pageBreakBefore/>
        <w:numPr>
          <w:ilvl w:val="0"/>
          <w:numId w:val="5"/>
        </w:numPr>
        <w:spacing w:before="240"/>
        <w:rPr>
          <w:rFonts w:cs="Arial"/>
          <w:b/>
          <w:bCs/>
          <w:color w:val="009999"/>
          <w:sz w:val="24"/>
          <w:szCs w:val="24"/>
        </w:rPr>
      </w:pPr>
      <w:bookmarkStart w:id="4" w:name="_Toc203730826"/>
      <w:bookmarkStart w:id="5" w:name="_Hlk197085587"/>
      <w:r w:rsidRPr="00957A1F">
        <w:rPr>
          <w:rFonts w:cs="Arial"/>
          <w:b/>
          <w:bCs/>
          <w:color w:val="009999"/>
          <w:sz w:val="24"/>
          <w:szCs w:val="24"/>
        </w:rPr>
        <w:lastRenderedPageBreak/>
        <w:t>ABOUT HMRC</w:t>
      </w:r>
      <w:bookmarkEnd w:id="4"/>
    </w:p>
    <w:p w14:paraId="11C36685" w14:textId="09D986E5" w:rsidR="00EF0D78" w:rsidRDefault="00E01904" w:rsidP="007A39CF">
      <w:pPr>
        <w:pStyle w:val="ListParagraph"/>
        <w:numPr>
          <w:ilvl w:val="1"/>
          <w:numId w:val="5"/>
        </w:numPr>
        <w:rPr>
          <w:rFonts w:eastAsiaTheme="majorEastAsia" w:cs="Arial"/>
        </w:rPr>
      </w:pPr>
      <w:bookmarkStart w:id="6" w:name="_Hlk197085618"/>
      <w:bookmarkEnd w:id="5"/>
      <w:r w:rsidRPr="00B12E3F">
        <w:rPr>
          <w:rFonts w:eastAsiaTheme="majorEastAsia" w:cs="Arial"/>
        </w:rPr>
        <w:t>HM Revenue &amp; Customs (</w:t>
      </w:r>
      <w:r w:rsidR="00DA2878" w:rsidRPr="00B12E3F">
        <w:rPr>
          <w:rFonts w:eastAsiaTheme="majorEastAsia" w:cs="Arial"/>
        </w:rPr>
        <w:t>“</w:t>
      </w:r>
      <w:r w:rsidRPr="00B12E3F">
        <w:rPr>
          <w:rFonts w:eastAsiaTheme="majorEastAsia" w:cs="Arial"/>
        </w:rPr>
        <w:t>HMRC</w:t>
      </w:r>
      <w:r w:rsidR="00DA2878" w:rsidRPr="00B12E3F">
        <w:rPr>
          <w:rFonts w:eastAsiaTheme="majorEastAsia" w:cs="Arial"/>
        </w:rPr>
        <w:t>”</w:t>
      </w:r>
      <w:r w:rsidR="00645DE2" w:rsidRPr="00B12E3F">
        <w:rPr>
          <w:rFonts w:eastAsiaTheme="majorEastAsia" w:cs="Arial"/>
        </w:rPr>
        <w:t xml:space="preserve"> or, in this </w:t>
      </w:r>
      <w:r w:rsidR="001508B3" w:rsidRPr="00B12E3F">
        <w:rPr>
          <w:rFonts w:eastAsiaTheme="majorEastAsia" w:cs="Arial"/>
        </w:rPr>
        <w:t>document</w:t>
      </w:r>
      <w:r w:rsidR="00385458" w:rsidRPr="00B12E3F">
        <w:rPr>
          <w:rFonts w:eastAsiaTheme="majorEastAsia" w:cs="Arial"/>
        </w:rPr>
        <w:t>,</w:t>
      </w:r>
      <w:r w:rsidR="00645DE2" w:rsidRPr="00B12E3F">
        <w:rPr>
          <w:rFonts w:eastAsiaTheme="majorEastAsia" w:cs="Arial"/>
        </w:rPr>
        <w:t xml:space="preserve"> “we”</w:t>
      </w:r>
      <w:r w:rsidRPr="00B12E3F">
        <w:rPr>
          <w:rFonts w:eastAsiaTheme="majorEastAsia" w:cs="Arial"/>
        </w:rPr>
        <w:t xml:space="preserve">) </w:t>
      </w:r>
      <w:r w:rsidR="00C317D6" w:rsidRPr="00B12E3F">
        <w:rPr>
          <w:rFonts w:eastAsiaTheme="majorEastAsia" w:cs="Arial"/>
        </w:rPr>
        <w:t xml:space="preserve">is </w:t>
      </w:r>
      <w:r w:rsidR="00EF0D78" w:rsidRPr="00B12E3F">
        <w:rPr>
          <w:rFonts w:eastAsiaTheme="majorEastAsia" w:cs="Arial"/>
        </w:rPr>
        <w:t>the UK’s tax, payments and customs authority</w:t>
      </w:r>
      <w:r w:rsidRPr="00B12E3F">
        <w:rPr>
          <w:rFonts w:eastAsiaTheme="majorEastAsia" w:cs="Arial"/>
        </w:rPr>
        <w:t>. We</w:t>
      </w:r>
      <w:r w:rsidR="00EF0D78" w:rsidRPr="00B12E3F">
        <w:rPr>
          <w:rFonts w:eastAsiaTheme="majorEastAsia" w:cs="Arial"/>
        </w:rPr>
        <w:t xml:space="preserve"> have a vital purpose</w:t>
      </w:r>
      <w:r w:rsidR="00DB5FD4" w:rsidRPr="00B12E3F">
        <w:rPr>
          <w:rFonts w:eastAsiaTheme="majorEastAsia" w:cs="Arial"/>
        </w:rPr>
        <w:t>:</w:t>
      </w:r>
      <w:r w:rsidRPr="00B12E3F">
        <w:rPr>
          <w:rFonts w:eastAsiaTheme="majorEastAsia" w:cs="Arial"/>
        </w:rPr>
        <w:t xml:space="preserve"> to </w:t>
      </w:r>
      <w:r w:rsidR="00EF0D78" w:rsidRPr="00B12E3F">
        <w:rPr>
          <w:rFonts w:eastAsiaTheme="majorEastAsia" w:cs="Arial"/>
        </w:rPr>
        <w:t>collect the money that pays for the UK’s public services and help families and individuals with targeted financial support.</w:t>
      </w:r>
    </w:p>
    <w:p w14:paraId="50BD3A8D" w14:textId="77777777" w:rsidR="007A39CF" w:rsidRPr="00B12E3F" w:rsidRDefault="007A39CF" w:rsidP="007A39CF">
      <w:pPr>
        <w:pStyle w:val="ListParagraph"/>
        <w:ind w:left="680"/>
        <w:rPr>
          <w:rFonts w:eastAsiaTheme="majorEastAsia" w:cs="Arial"/>
        </w:rPr>
      </w:pPr>
    </w:p>
    <w:bookmarkEnd w:id="6"/>
    <w:p w14:paraId="1040C141" w14:textId="1CC8E5D3" w:rsidR="0029374C" w:rsidRPr="0029374C" w:rsidRDefault="00EF0D78" w:rsidP="0029374C">
      <w:pPr>
        <w:pStyle w:val="ListParagraph"/>
        <w:numPr>
          <w:ilvl w:val="1"/>
          <w:numId w:val="5"/>
        </w:numPr>
        <w:rPr>
          <w:rFonts w:eastAsiaTheme="majorEastAsia" w:cs="Arial"/>
        </w:rPr>
      </w:pPr>
      <w:r w:rsidRPr="00B12E3F">
        <w:rPr>
          <w:rFonts w:eastAsiaTheme="majorEastAsia" w:cs="Arial"/>
        </w:rPr>
        <w:t>We do this by being impartial and increasingly effective and efficient in our administration. We help the honest majority to get their tax right and make it hard for the dishonest minority to cheat the system.</w:t>
      </w:r>
    </w:p>
    <w:p w14:paraId="5FE9E3BF" w14:textId="77777777" w:rsidR="0029374C" w:rsidRPr="0029374C" w:rsidRDefault="0029374C" w:rsidP="0029374C">
      <w:pPr>
        <w:pStyle w:val="ListParagraph"/>
        <w:ind w:left="680"/>
        <w:rPr>
          <w:rFonts w:eastAsiaTheme="majorEastAsia" w:cs="Arial"/>
        </w:rPr>
      </w:pPr>
    </w:p>
    <w:p w14:paraId="058693A5" w14:textId="476FAD9D" w:rsidR="00F33D9B" w:rsidRPr="00B12E3F" w:rsidRDefault="00F33D9B" w:rsidP="0029374C">
      <w:pPr>
        <w:pStyle w:val="ListParagraph"/>
        <w:numPr>
          <w:ilvl w:val="1"/>
          <w:numId w:val="5"/>
        </w:numPr>
        <w:spacing w:before="240"/>
        <w:rPr>
          <w:rFonts w:eastAsiaTheme="majorEastAsia" w:cs="Arial"/>
        </w:rPr>
      </w:pPr>
      <w:r w:rsidRPr="00B12E3F">
        <w:rPr>
          <w:rFonts w:eastAsiaTheme="majorEastAsia" w:cs="Arial"/>
        </w:rPr>
        <w:t>Key responsibilities of HMRC include:</w:t>
      </w:r>
    </w:p>
    <w:p w14:paraId="16DAD552" w14:textId="7E281D80" w:rsidR="00F33D9B" w:rsidRPr="00E538FD" w:rsidRDefault="00F33D9B" w:rsidP="00AD19D7">
      <w:pPr>
        <w:pStyle w:val="ListParagraph"/>
        <w:numPr>
          <w:ilvl w:val="0"/>
          <w:numId w:val="67"/>
        </w:numPr>
        <w:ind w:left="993" w:hanging="284"/>
        <w:rPr>
          <w:rFonts w:cs="Arial"/>
        </w:rPr>
      </w:pPr>
      <w:r w:rsidRPr="00E538FD">
        <w:rPr>
          <w:rFonts w:cs="Arial"/>
        </w:rPr>
        <w:t xml:space="preserve">safeguarding the flow of money to the Exchequer through our collection, compliance and enforcement </w:t>
      </w:r>
      <w:proofErr w:type="gramStart"/>
      <w:r w:rsidRPr="00E538FD">
        <w:rPr>
          <w:rFonts w:cs="Arial"/>
        </w:rPr>
        <w:t>activities</w:t>
      </w:r>
      <w:r w:rsidR="004015CA">
        <w:rPr>
          <w:rFonts w:cs="Arial"/>
        </w:rPr>
        <w:t>;</w:t>
      </w:r>
      <w:proofErr w:type="gramEnd"/>
    </w:p>
    <w:p w14:paraId="64365CFD" w14:textId="11BAB8D6" w:rsidR="00F33D9B" w:rsidRPr="00E538FD" w:rsidRDefault="003439DF" w:rsidP="00AD19D7">
      <w:pPr>
        <w:pStyle w:val="ListParagraph"/>
        <w:numPr>
          <w:ilvl w:val="0"/>
          <w:numId w:val="67"/>
        </w:numPr>
        <w:ind w:left="993" w:hanging="284"/>
        <w:rPr>
          <w:rFonts w:cs="Arial"/>
        </w:rPr>
      </w:pPr>
      <w:r w:rsidRPr="00E538FD">
        <w:rPr>
          <w:rFonts w:cs="Arial"/>
        </w:rPr>
        <w:t>ensuring</w:t>
      </w:r>
      <w:r w:rsidR="00F33D9B" w:rsidRPr="00E538FD">
        <w:rPr>
          <w:rFonts w:cs="Arial"/>
        </w:rPr>
        <w:t xml:space="preserve"> money is available to fund the UK’s public </w:t>
      </w:r>
      <w:proofErr w:type="gramStart"/>
      <w:r w:rsidR="00F33D9B" w:rsidRPr="00E538FD">
        <w:rPr>
          <w:rFonts w:cs="Arial"/>
        </w:rPr>
        <w:t>services</w:t>
      </w:r>
      <w:r w:rsidR="004015CA">
        <w:rPr>
          <w:rFonts w:cs="Arial"/>
        </w:rPr>
        <w:t>;</w:t>
      </w:r>
      <w:proofErr w:type="gramEnd"/>
    </w:p>
    <w:p w14:paraId="149A4A94" w14:textId="0AA877A6" w:rsidR="00F33D9B" w:rsidRPr="00E538FD" w:rsidRDefault="00F33D9B" w:rsidP="00AD19D7">
      <w:pPr>
        <w:pStyle w:val="ListParagraph"/>
        <w:numPr>
          <w:ilvl w:val="0"/>
          <w:numId w:val="67"/>
        </w:numPr>
        <w:ind w:left="993" w:hanging="284"/>
        <w:rPr>
          <w:rFonts w:cs="Arial"/>
        </w:rPr>
      </w:pPr>
      <w:r w:rsidRPr="00E538FD">
        <w:rPr>
          <w:rFonts w:cs="Arial"/>
        </w:rPr>
        <w:t>facilitat</w:t>
      </w:r>
      <w:r w:rsidR="003439DF" w:rsidRPr="00E538FD">
        <w:rPr>
          <w:rFonts w:cs="Arial"/>
        </w:rPr>
        <w:t>ing</w:t>
      </w:r>
      <w:r w:rsidRPr="00E538FD">
        <w:rPr>
          <w:rFonts w:cs="Arial"/>
        </w:rPr>
        <w:t xml:space="preserve"> legitimate international trade, protect</w:t>
      </w:r>
      <w:r w:rsidR="00D93072" w:rsidRPr="00E538FD">
        <w:rPr>
          <w:rFonts w:cs="Arial"/>
        </w:rPr>
        <w:t>ing</w:t>
      </w:r>
      <w:r w:rsidRPr="00E538FD">
        <w:rPr>
          <w:rFonts w:cs="Arial"/>
        </w:rPr>
        <w:t xml:space="preserve"> the UK’s fiscal, economic, social and physical security before and at the border, and collect</w:t>
      </w:r>
      <w:r w:rsidR="00502168" w:rsidRPr="00E538FD">
        <w:rPr>
          <w:rFonts w:cs="Arial"/>
        </w:rPr>
        <w:t>ing</w:t>
      </w:r>
      <w:r w:rsidRPr="00E538FD">
        <w:rPr>
          <w:rFonts w:cs="Arial"/>
        </w:rPr>
        <w:t xml:space="preserve"> UK trade </w:t>
      </w:r>
      <w:proofErr w:type="gramStart"/>
      <w:r w:rsidRPr="00E538FD">
        <w:rPr>
          <w:rFonts w:cs="Arial"/>
        </w:rPr>
        <w:t>statistics</w:t>
      </w:r>
      <w:r w:rsidR="004015CA">
        <w:rPr>
          <w:rFonts w:cs="Arial"/>
        </w:rPr>
        <w:t>;</w:t>
      </w:r>
      <w:proofErr w:type="gramEnd"/>
    </w:p>
    <w:p w14:paraId="7E2BBC1F" w14:textId="753B4B83" w:rsidR="00F33D9B" w:rsidRPr="00E538FD" w:rsidRDefault="00F33D9B" w:rsidP="00AD19D7">
      <w:pPr>
        <w:pStyle w:val="ListParagraph"/>
        <w:numPr>
          <w:ilvl w:val="0"/>
          <w:numId w:val="67"/>
        </w:numPr>
        <w:ind w:left="993" w:hanging="284"/>
        <w:rPr>
          <w:rFonts w:cs="Arial"/>
        </w:rPr>
      </w:pPr>
      <w:r w:rsidRPr="00E538FD">
        <w:rPr>
          <w:rFonts w:cs="Arial"/>
        </w:rPr>
        <w:t>administer</w:t>
      </w:r>
      <w:r w:rsidR="003439DF" w:rsidRPr="00E538FD">
        <w:rPr>
          <w:rFonts w:cs="Arial"/>
        </w:rPr>
        <w:t>ing</w:t>
      </w:r>
      <w:r w:rsidRPr="00E538FD">
        <w:rPr>
          <w:rFonts w:cs="Arial"/>
        </w:rPr>
        <w:t xml:space="preserve"> Statutory Payments such as statutory sick pay and statutory maternity </w:t>
      </w:r>
      <w:proofErr w:type="gramStart"/>
      <w:r w:rsidRPr="00E538FD">
        <w:rPr>
          <w:rFonts w:cs="Arial"/>
        </w:rPr>
        <w:t>pay</w:t>
      </w:r>
      <w:r w:rsidR="004015CA">
        <w:rPr>
          <w:rFonts w:cs="Arial"/>
        </w:rPr>
        <w:t>;</w:t>
      </w:r>
      <w:proofErr w:type="gramEnd"/>
    </w:p>
    <w:p w14:paraId="6EDCDF7B" w14:textId="03D9FA34" w:rsidR="00F33D9B" w:rsidRPr="00E538FD" w:rsidRDefault="00F33D9B" w:rsidP="00AD19D7">
      <w:pPr>
        <w:pStyle w:val="ListParagraph"/>
        <w:numPr>
          <w:ilvl w:val="0"/>
          <w:numId w:val="67"/>
        </w:numPr>
        <w:ind w:left="993" w:hanging="284"/>
        <w:rPr>
          <w:rFonts w:cs="Arial"/>
        </w:rPr>
      </w:pPr>
      <w:r w:rsidRPr="00E538FD">
        <w:rPr>
          <w:rFonts w:cs="Arial"/>
        </w:rPr>
        <w:t>help</w:t>
      </w:r>
      <w:r w:rsidR="003439DF" w:rsidRPr="00E538FD">
        <w:rPr>
          <w:rFonts w:cs="Arial"/>
        </w:rPr>
        <w:t>ing</w:t>
      </w:r>
      <w:r w:rsidRPr="00E538FD">
        <w:rPr>
          <w:rFonts w:cs="Arial"/>
        </w:rPr>
        <w:t xml:space="preserve"> families and individuals with targeted financial support through payment of tax </w:t>
      </w:r>
      <w:proofErr w:type="gramStart"/>
      <w:r w:rsidRPr="00E538FD">
        <w:rPr>
          <w:rFonts w:cs="Arial"/>
        </w:rPr>
        <w:t>credits</w:t>
      </w:r>
      <w:r w:rsidR="004015CA">
        <w:rPr>
          <w:rFonts w:cs="Arial"/>
        </w:rPr>
        <w:t>;</w:t>
      </w:r>
      <w:proofErr w:type="gramEnd"/>
    </w:p>
    <w:p w14:paraId="2A765304" w14:textId="501726B0" w:rsidR="00F33D9B" w:rsidRPr="00E538FD" w:rsidRDefault="00F33D9B" w:rsidP="00AD19D7">
      <w:pPr>
        <w:pStyle w:val="ListParagraph"/>
        <w:numPr>
          <w:ilvl w:val="0"/>
          <w:numId w:val="67"/>
        </w:numPr>
        <w:ind w:left="993" w:hanging="284"/>
        <w:rPr>
          <w:rFonts w:cs="Arial"/>
        </w:rPr>
      </w:pPr>
      <w:r w:rsidRPr="00E538FD">
        <w:rPr>
          <w:rFonts w:cs="Arial"/>
        </w:rPr>
        <w:t>administer</w:t>
      </w:r>
      <w:r w:rsidR="003439DF" w:rsidRPr="00E538FD">
        <w:rPr>
          <w:rFonts w:cs="Arial"/>
        </w:rPr>
        <w:t>ing</w:t>
      </w:r>
      <w:r w:rsidRPr="00E538FD">
        <w:rPr>
          <w:rFonts w:cs="Arial"/>
        </w:rPr>
        <w:t xml:space="preserve"> Child Benefit</w:t>
      </w:r>
      <w:r w:rsidR="004015CA">
        <w:rPr>
          <w:rFonts w:cs="Arial"/>
        </w:rPr>
        <w:t>; and</w:t>
      </w:r>
    </w:p>
    <w:p w14:paraId="0740304D" w14:textId="77777777" w:rsidR="00307C76" w:rsidRPr="00E538FD" w:rsidRDefault="00F33D9B" w:rsidP="00AD19D7">
      <w:pPr>
        <w:pStyle w:val="ListParagraph"/>
        <w:numPr>
          <w:ilvl w:val="0"/>
          <w:numId w:val="67"/>
        </w:numPr>
        <w:ind w:left="993" w:hanging="284"/>
        <w:rPr>
          <w:rFonts w:cs="Arial"/>
        </w:rPr>
      </w:pPr>
      <w:r w:rsidRPr="00E538FD">
        <w:rPr>
          <w:rFonts w:cs="Arial"/>
        </w:rPr>
        <w:t>administer</w:t>
      </w:r>
      <w:r w:rsidR="009514B8" w:rsidRPr="00E538FD">
        <w:rPr>
          <w:rFonts w:cs="Arial"/>
        </w:rPr>
        <w:t>ing</w:t>
      </w:r>
      <w:r w:rsidRPr="00E538FD">
        <w:rPr>
          <w:rFonts w:cs="Arial"/>
        </w:rPr>
        <w:t xml:space="preserve"> the </w:t>
      </w:r>
      <w:hyperlink r:id="rId12" w:history="1">
        <w:r w:rsidRPr="00D056B4">
          <w:rPr>
            <w:rFonts w:eastAsiaTheme="majorEastAsia" w:cs="Arial"/>
          </w:rPr>
          <w:t>Government Banking Service</w:t>
        </w:r>
      </w:hyperlink>
      <w:r w:rsidR="002D279D" w:rsidRPr="00D056B4">
        <w:rPr>
          <w:rFonts w:eastAsiaTheme="majorEastAsia" w:cs="Arial"/>
        </w:rPr>
        <w:t>.</w:t>
      </w:r>
    </w:p>
    <w:p w14:paraId="198A5D5E" w14:textId="77777777" w:rsidR="00D056B4" w:rsidRPr="00D056B4" w:rsidRDefault="00D056B4" w:rsidP="00D056B4">
      <w:pPr>
        <w:pStyle w:val="ListParagraph"/>
        <w:ind w:left="993"/>
        <w:rPr>
          <w:rFonts w:eastAsiaTheme="majorEastAsia" w:cs="Arial"/>
        </w:rPr>
      </w:pPr>
    </w:p>
    <w:p w14:paraId="01F4661E" w14:textId="77777777" w:rsidR="00307C76" w:rsidRDefault="00C57F31" w:rsidP="00D056B4">
      <w:pPr>
        <w:pStyle w:val="ListParagraph"/>
        <w:numPr>
          <w:ilvl w:val="1"/>
          <w:numId w:val="5"/>
        </w:numPr>
        <w:rPr>
          <w:rFonts w:eastAsiaTheme="majorEastAsia" w:cs="Arial"/>
        </w:rPr>
      </w:pPr>
      <w:r w:rsidRPr="00B12E3F">
        <w:rPr>
          <w:rFonts w:eastAsiaTheme="majorEastAsia" w:cs="Arial"/>
        </w:rPr>
        <w:t xml:space="preserve">To aid with the delivery </w:t>
      </w:r>
      <w:r w:rsidR="00D02A6A" w:rsidRPr="00B12E3F">
        <w:rPr>
          <w:rFonts w:eastAsiaTheme="majorEastAsia" w:cs="Arial"/>
        </w:rPr>
        <w:t xml:space="preserve">of HMRC services, we </w:t>
      </w:r>
      <w:r w:rsidR="00D8570F" w:rsidRPr="00B12E3F">
        <w:rPr>
          <w:rFonts w:eastAsiaTheme="majorEastAsia" w:cs="Arial"/>
        </w:rPr>
        <w:t xml:space="preserve">engage with </w:t>
      </w:r>
      <w:r w:rsidR="00546D14" w:rsidRPr="00B12E3F">
        <w:rPr>
          <w:rFonts w:eastAsiaTheme="majorEastAsia" w:cs="Arial"/>
        </w:rPr>
        <w:t>supplie</w:t>
      </w:r>
      <w:r w:rsidR="00F44C6E" w:rsidRPr="00B12E3F">
        <w:rPr>
          <w:rFonts w:eastAsiaTheme="majorEastAsia" w:cs="Arial"/>
        </w:rPr>
        <w:t>r</w:t>
      </w:r>
      <w:r w:rsidR="00546D14" w:rsidRPr="00B12E3F">
        <w:rPr>
          <w:rFonts w:eastAsiaTheme="majorEastAsia" w:cs="Arial"/>
        </w:rPr>
        <w:t>s to deliver</w:t>
      </w:r>
      <w:r w:rsidR="007F58B8" w:rsidRPr="00B12E3F">
        <w:rPr>
          <w:rFonts w:eastAsiaTheme="majorEastAsia" w:cs="Arial"/>
        </w:rPr>
        <w:t xml:space="preserve"> </w:t>
      </w:r>
      <w:r w:rsidR="00B02C65" w:rsidRPr="00B12E3F">
        <w:rPr>
          <w:rFonts w:eastAsiaTheme="majorEastAsia" w:cs="Arial"/>
        </w:rPr>
        <w:t xml:space="preserve">contracts covering a wide range of </w:t>
      </w:r>
      <w:r w:rsidR="002B2CE3" w:rsidRPr="00B12E3F">
        <w:rPr>
          <w:rFonts w:eastAsiaTheme="majorEastAsia" w:cs="Arial"/>
        </w:rPr>
        <w:t>requirements</w:t>
      </w:r>
      <w:r w:rsidR="00907F7A" w:rsidRPr="00B12E3F">
        <w:rPr>
          <w:rFonts w:eastAsiaTheme="majorEastAsia" w:cs="Arial"/>
        </w:rPr>
        <w:t>. This procurement exercise is for the provision of such a contract.</w:t>
      </w:r>
    </w:p>
    <w:p w14:paraId="08D609B3" w14:textId="77777777" w:rsidR="00D056B4" w:rsidRPr="00B12E3F" w:rsidRDefault="00D056B4" w:rsidP="00D056B4">
      <w:pPr>
        <w:pStyle w:val="ListParagraph"/>
        <w:ind w:left="680"/>
        <w:rPr>
          <w:rFonts w:eastAsiaTheme="majorEastAsia" w:cs="Arial"/>
        </w:rPr>
      </w:pPr>
    </w:p>
    <w:p w14:paraId="7BB54B7E" w14:textId="4EB0CCD7" w:rsidR="00BD1E04" w:rsidRPr="00E538FD" w:rsidRDefault="00BD1E04" w:rsidP="00320D15">
      <w:pPr>
        <w:pStyle w:val="ListParagraph"/>
        <w:numPr>
          <w:ilvl w:val="1"/>
          <w:numId w:val="5"/>
        </w:numPr>
        <w:contextualSpacing w:val="0"/>
        <w:jc w:val="both"/>
        <w:rPr>
          <w:rFonts w:cs="Arial"/>
        </w:rPr>
      </w:pPr>
      <w:r w:rsidRPr="00E538FD">
        <w:rPr>
          <w:rFonts w:cs="Arial"/>
        </w:rPr>
        <w:t>Any contract resulting from this procurement process will be for the use of HMRC</w:t>
      </w:r>
      <w:r w:rsidRPr="00E538FD" w:rsidDel="00453983">
        <w:rPr>
          <w:rFonts w:cs="Arial"/>
        </w:rPr>
        <w:t>.</w:t>
      </w:r>
      <w:r w:rsidRPr="00E538FD">
        <w:rPr>
          <w:rFonts w:cs="Arial"/>
        </w:rPr>
        <w:t xml:space="preserve"> </w:t>
      </w:r>
    </w:p>
    <w:p w14:paraId="626D0535" w14:textId="0FC613FF" w:rsidR="0071091F" w:rsidRPr="00B12E3F" w:rsidRDefault="0071091F" w:rsidP="00D056B4">
      <w:pPr>
        <w:pStyle w:val="ListParagraph"/>
        <w:numPr>
          <w:ilvl w:val="1"/>
          <w:numId w:val="5"/>
        </w:numPr>
        <w:rPr>
          <w:rFonts w:eastAsiaTheme="majorEastAsia" w:cs="Arial"/>
        </w:rPr>
      </w:pPr>
      <w:r w:rsidRPr="00B12E3F">
        <w:rPr>
          <w:rFonts w:eastAsiaTheme="majorEastAsia" w:cs="Arial"/>
        </w:rPr>
        <w:t xml:space="preserve">HMRC is carrying out the procurement on behalf of itself and any </w:t>
      </w:r>
      <w:r w:rsidR="00A27125" w:rsidRPr="00B12E3F">
        <w:rPr>
          <w:rFonts w:eastAsiaTheme="majorEastAsia" w:cs="Arial"/>
        </w:rPr>
        <w:t>third-party</w:t>
      </w:r>
      <w:r w:rsidRPr="00B12E3F">
        <w:rPr>
          <w:rFonts w:eastAsiaTheme="majorEastAsia" w:cs="Arial"/>
        </w:rPr>
        <w:t xml:space="preserve"> beneficiary referred to in the </w:t>
      </w:r>
      <w:r w:rsidR="008F0B0D" w:rsidRPr="00B12E3F">
        <w:rPr>
          <w:rFonts w:eastAsiaTheme="majorEastAsia" w:cs="Arial"/>
        </w:rPr>
        <w:t>tender</w:t>
      </w:r>
      <w:r w:rsidR="00692E09" w:rsidRPr="00B12E3F">
        <w:rPr>
          <w:rFonts w:eastAsiaTheme="majorEastAsia" w:cs="Arial"/>
        </w:rPr>
        <w:t xml:space="preserve"> </w:t>
      </w:r>
      <w:r w:rsidRPr="00B12E3F">
        <w:rPr>
          <w:rFonts w:eastAsiaTheme="majorEastAsia" w:cs="Arial"/>
        </w:rPr>
        <w:t>notice. Any such beneficiaries will not have a direct contractual relationship with the supplier in respect of the services. They will be permitted to access the contract through HMRC, but HMRC gives no guarantee that they will do so.</w:t>
      </w:r>
    </w:p>
    <w:p w14:paraId="3E71BB43" w14:textId="68EA5D12" w:rsidR="00F56BE9" w:rsidRPr="003428D4" w:rsidRDefault="00736CAC" w:rsidP="00320D15">
      <w:pPr>
        <w:pStyle w:val="Head2"/>
        <w:pageBreakBefore/>
        <w:numPr>
          <w:ilvl w:val="0"/>
          <w:numId w:val="5"/>
        </w:numPr>
        <w:spacing w:before="240"/>
        <w:rPr>
          <w:rFonts w:cs="Arial"/>
          <w:b/>
          <w:color w:val="009999"/>
          <w:sz w:val="24"/>
          <w:szCs w:val="24"/>
        </w:rPr>
      </w:pPr>
      <w:bookmarkStart w:id="7" w:name="_Toc203730827"/>
      <w:r w:rsidRPr="00957A1F">
        <w:rPr>
          <w:rFonts w:cs="Arial"/>
          <w:b/>
          <w:bCs/>
          <w:color w:val="009999"/>
          <w:sz w:val="24"/>
          <w:szCs w:val="24"/>
        </w:rPr>
        <w:lastRenderedPageBreak/>
        <w:t>PROCUREMENT</w:t>
      </w:r>
      <w:r w:rsidR="000E6A99" w:rsidRPr="00957A1F">
        <w:rPr>
          <w:rFonts w:cs="Arial"/>
          <w:b/>
          <w:bCs/>
          <w:color w:val="009999"/>
          <w:sz w:val="24"/>
          <w:szCs w:val="24"/>
        </w:rPr>
        <w:t xml:space="preserve"> OVERVIEW</w:t>
      </w:r>
      <w:bookmarkEnd w:id="7"/>
    </w:p>
    <w:p w14:paraId="75475EDC" w14:textId="77175D14" w:rsidR="00DA0FFA" w:rsidRDefault="00DA0FFA" w:rsidP="00D056B4">
      <w:pPr>
        <w:pStyle w:val="ListParagraph"/>
        <w:numPr>
          <w:ilvl w:val="1"/>
          <w:numId w:val="5"/>
        </w:numPr>
        <w:rPr>
          <w:rFonts w:eastAsiaTheme="majorEastAsia" w:cs="Arial"/>
        </w:rPr>
      </w:pPr>
      <w:r w:rsidRPr="00B12E3F">
        <w:rPr>
          <w:rFonts w:eastAsiaTheme="majorEastAsia" w:cs="Arial"/>
        </w:rPr>
        <w:t xml:space="preserve">HMRC </w:t>
      </w:r>
      <w:r w:rsidR="00EF4C0B" w:rsidRPr="00B12E3F">
        <w:rPr>
          <w:rFonts w:eastAsiaTheme="majorEastAsia" w:cs="Arial"/>
        </w:rPr>
        <w:t xml:space="preserve">is </w:t>
      </w:r>
      <w:r w:rsidRPr="00B12E3F">
        <w:rPr>
          <w:rFonts w:eastAsiaTheme="majorEastAsia" w:cs="Arial"/>
        </w:rPr>
        <w:t xml:space="preserve">conducting this procurement process </w:t>
      </w:r>
      <w:r w:rsidR="00244FB9" w:rsidRPr="00B12E3F">
        <w:rPr>
          <w:rFonts w:eastAsiaTheme="majorEastAsia" w:cs="Arial"/>
        </w:rPr>
        <w:t>via</w:t>
      </w:r>
      <w:r w:rsidR="004C6605" w:rsidRPr="00B12E3F">
        <w:rPr>
          <w:rFonts w:eastAsiaTheme="majorEastAsia" w:cs="Arial"/>
        </w:rPr>
        <w:t xml:space="preserve"> </w:t>
      </w:r>
      <w:r w:rsidR="00AF13CC">
        <w:rPr>
          <w:rFonts w:eastAsiaTheme="majorEastAsia" w:cs="Arial"/>
        </w:rPr>
        <w:t>the</w:t>
      </w:r>
      <w:r w:rsidR="006E1B57" w:rsidRPr="00B12E3F">
        <w:rPr>
          <w:rFonts w:eastAsiaTheme="majorEastAsia" w:cs="Arial"/>
        </w:rPr>
        <w:t xml:space="preserve"> Competitive Flexible Procedure (CFP)</w:t>
      </w:r>
      <w:r w:rsidR="00D22A92" w:rsidRPr="00B12E3F">
        <w:rPr>
          <w:rFonts w:eastAsiaTheme="majorEastAsia" w:cs="Arial"/>
        </w:rPr>
        <w:t xml:space="preserve"> </w:t>
      </w:r>
      <w:r w:rsidR="008D5822" w:rsidRPr="00B12E3F">
        <w:rPr>
          <w:rFonts w:eastAsiaTheme="majorEastAsia" w:cs="Arial"/>
        </w:rPr>
        <w:t>in accordance with the requirements of</w:t>
      </w:r>
      <w:r w:rsidR="007B6125" w:rsidRPr="00B12E3F">
        <w:rPr>
          <w:rFonts w:eastAsiaTheme="majorEastAsia" w:cs="Arial"/>
        </w:rPr>
        <w:t xml:space="preserve"> the </w:t>
      </w:r>
      <w:r w:rsidR="003F0A39" w:rsidRPr="00B12E3F">
        <w:rPr>
          <w:rFonts w:eastAsiaTheme="majorEastAsia" w:cs="Arial"/>
        </w:rPr>
        <w:t>Procurement Act 202</w:t>
      </w:r>
      <w:r w:rsidR="00875A40" w:rsidRPr="00B12E3F">
        <w:rPr>
          <w:rFonts w:eastAsiaTheme="majorEastAsia" w:cs="Arial"/>
        </w:rPr>
        <w:t>3</w:t>
      </w:r>
      <w:r w:rsidR="00244FB9" w:rsidRPr="00B12E3F">
        <w:rPr>
          <w:rFonts w:eastAsiaTheme="majorEastAsia" w:cs="Arial"/>
        </w:rPr>
        <w:t xml:space="preserve"> (</w:t>
      </w:r>
      <w:r w:rsidR="00CC7773" w:rsidRPr="00B12E3F">
        <w:rPr>
          <w:rFonts w:eastAsiaTheme="majorEastAsia" w:cs="Arial"/>
        </w:rPr>
        <w:t>The Act</w:t>
      </w:r>
      <w:r w:rsidR="00244FB9" w:rsidRPr="00B12E3F">
        <w:rPr>
          <w:rFonts w:eastAsiaTheme="majorEastAsia" w:cs="Arial"/>
        </w:rPr>
        <w:t>)</w:t>
      </w:r>
      <w:r w:rsidR="00904782" w:rsidRPr="00B12E3F">
        <w:rPr>
          <w:rFonts w:eastAsiaTheme="majorEastAsia" w:cs="Arial"/>
        </w:rPr>
        <w:t>.</w:t>
      </w:r>
    </w:p>
    <w:p w14:paraId="6DA14F4B" w14:textId="77777777" w:rsidR="00D056B4" w:rsidRPr="00B12E3F" w:rsidRDefault="00D056B4" w:rsidP="00D056B4">
      <w:pPr>
        <w:pStyle w:val="ListParagraph"/>
        <w:ind w:left="680"/>
        <w:rPr>
          <w:rFonts w:eastAsiaTheme="majorEastAsia" w:cs="Arial"/>
        </w:rPr>
      </w:pPr>
    </w:p>
    <w:p w14:paraId="3B958B8C" w14:textId="672E6A46" w:rsidR="00197F93" w:rsidRPr="00B12E3F" w:rsidRDefault="00197F93" w:rsidP="00D056B4">
      <w:pPr>
        <w:pStyle w:val="ListParagraph"/>
        <w:numPr>
          <w:ilvl w:val="1"/>
          <w:numId w:val="5"/>
        </w:numPr>
        <w:rPr>
          <w:rFonts w:eastAsiaTheme="majorEastAsia" w:cs="Arial"/>
        </w:rPr>
      </w:pPr>
      <w:r>
        <w:rPr>
          <w:rFonts w:eastAsiaTheme="majorEastAsia" w:cs="Arial"/>
        </w:rPr>
        <w:t>HMRC have</w:t>
      </w:r>
      <w:r w:rsidR="008A2B86">
        <w:rPr>
          <w:rFonts w:eastAsiaTheme="majorEastAsia" w:cs="Arial"/>
        </w:rPr>
        <w:t xml:space="preserve"> conducted preliminary market engagement in order to help </w:t>
      </w:r>
      <w:r w:rsidR="00AF13CC">
        <w:rPr>
          <w:rFonts w:eastAsiaTheme="majorEastAsia" w:cs="Arial"/>
        </w:rPr>
        <w:t>both HMRC</w:t>
      </w:r>
      <w:r w:rsidR="008A2B86">
        <w:rPr>
          <w:rFonts w:eastAsiaTheme="majorEastAsia" w:cs="Arial"/>
        </w:rPr>
        <w:t xml:space="preserve"> and the market prepare for the procurement. This engagement has been undertaken in</w:t>
      </w:r>
      <w:r w:rsidR="00DF03D2">
        <w:rPr>
          <w:rFonts w:eastAsiaTheme="majorEastAsia" w:cs="Arial"/>
        </w:rPr>
        <w:t xml:space="preserve"> </w:t>
      </w:r>
      <w:r w:rsidR="008A2B86">
        <w:rPr>
          <w:rFonts w:eastAsiaTheme="majorEastAsia" w:cs="Arial"/>
        </w:rPr>
        <w:t>line with the guidance provided within The Act and has included:</w:t>
      </w:r>
    </w:p>
    <w:p w14:paraId="0A9858C8" w14:textId="07AD2BB1" w:rsidR="00AF13CC" w:rsidRDefault="003E474A" w:rsidP="00AD19D7">
      <w:pPr>
        <w:pStyle w:val="ListParagraph"/>
        <w:numPr>
          <w:ilvl w:val="0"/>
          <w:numId w:val="67"/>
        </w:numPr>
        <w:ind w:left="993" w:hanging="284"/>
        <w:rPr>
          <w:rFonts w:cs="Arial"/>
        </w:rPr>
      </w:pPr>
      <w:r w:rsidRPr="00DF03D2">
        <w:rPr>
          <w:rFonts w:cs="Arial"/>
        </w:rPr>
        <w:t>Market briefing sessions on 6th May and 13th May</w:t>
      </w:r>
      <w:r w:rsidR="00AF13CC">
        <w:rPr>
          <w:rFonts w:cs="Arial"/>
        </w:rPr>
        <w:t xml:space="preserve"> </w:t>
      </w:r>
      <w:proofErr w:type="gramStart"/>
      <w:r w:rsidR="00AF13CC">
        <w:rPr>
          <w:rFonts w:cs="Arial"/>
        </w:rPr>
        <w:t>2025</w:t>
      </w:r>
      <w:r w:rsidRPr="00DF03D2">
        <w:rPr>
          <w:rFonts w:cs="Arial"/>
        </w:rPr>
        <w:t>;</w:t>
      </w:r>
      <w:proofErr w:type="gramEnd"/>
      <w:r w:rsidRPr="00DF03D2">
        <w:rPr>
          <w:rFonts w:cs="Arial"/>
        </w:rPr>
        <w:t xml:space="preserve"> </w:t>
      </w:r>
    </w:p>
    <w:p w14:paraId="3B4688F5" w14:textId="6851B197" w:rsidR="008A2B86" w:rsidRPr="00DF03D2" w:rsidRDefault="00AF13CC" w:rsidP="00AD19D7">
      <w:pPr>
        <w:pStyle w:val="ListParagraph"/>
        <w:numPr>
          <w:ilvl w:val="0"/>
          <w:numId w:val="67"/>
        </w:numPr>
        <w:ind w:left="993" w:hanging="284"/>
        <w:rPr>
          <w:rFonts w:cs="Arial"/>
        </w:rPr>
      </w:pPr>
      <w:r>
        <w:rPr>
          <w:rFonts w:cs="Arial"/>
        </w:rPr>
        <w:t xml:space="preserve">A Pre-Procurement Briefing on the </w:t>
      </w:r>
      <w:proofErr w:type="gramStart"/>
      <w:r>
        <w:rPr>
          <w:rFonts w:cs="Arial"/>
        </w:rPr>
        <w:t>2</w:t>
      </w:r>
      <w:r w:rsidRPr="00AF13CC">
        <w:rPr>
          <w:rFonts w:cs="Arial"/>
          <w:vertAlign w:val="superscript"/>
        </w:rPr>
        <w:t>nd</w:t>
      </w:r>
      <w:proofErr w:type="gramEnd"/>
      <w:r>
        <w:rPr>
          <w:rFonts w:cs="Arial"/>
        </w:rPr>
        <w:t xml:space="preserve"> July 2025 </w:t>
      </w:r>
      <w:r w:rsidR="003E474A" w:rsidRPr="00DF03D2">
        <w:rPr>
          <w:rFonts w:cs="Arial"/>
        </w:rPr>
        <w:t>and</w:t>
      </w:r>
      <w:r>
        <w:rPr>
          <w:rFonts w:cs="Arial"/>
        </w:rPr>
        <w:t>;</w:t>
      </w:r>
    </w:p>
    <w:p w14:paraId="6AC0DB9F" w14:textId="0803ED17" w:rsidR="00EC466B" w:rsidRPr="00DF03D2" w:rsidRDefault="003E474A" w:rsidP="00AD19D7">
      <w:pPr>
        <w:pStyle w:val="ListParagraph"/>
        <w:numPr>
          <w:ilvl w:val="0"/>
          <w:numId w:val="67"/>
        </w:numPr>
        <w:ind w:left="993" w:hanging="284"/>
        <w:rPr>
          <w:rFonts w:cs="Arial"/>
        </w:rPr>
      </w:pPr>
      <w:r w:rsidRPr="00DF03D2">
        <w:rPr>
          <w:rFonts w:cs="Arial"/>
        </w:rPr>
        <w:t>The following document drops:</w:t>
      </w:r>
    </w:p>
    <w:p w14:paraId="45E9391A" w14:textId="001A62C6" w:rsidR="00FF50EE" w:rsidRPr="00FF50EE" w:rsidRDefault="00FF50EE" w:rsidP="00AD19D7">
      <w:pPr>
        <w:pStyle w:val="ListParagraph"/>
        <w:numPr>
          <w:ilvl w:val="0"/>
          <w:numId w:val="69"/>
        </w:numPr>
        <w:ind w:left="1560"/>
      </w:pPr>
      <w:r w:rsidRPr="00FF50EE">
        <w:t>Context Setting Session slides</w:t>
      </w:r>
      <w:r w:rsidR="0092201C">
        <w:t>.</w:t>
      </w:r>
    </w:p>
    <w:p w14:paraId="1F4072DD" w14:textId="0F4C02A0" w:rsidR="00FF50EE" w:rsidRPr="00FF50EE" w:rsidRDefault="00FF50EE" w:rsidP="00AD19D7">
      <w:pPr>
        <w:pStyle w:val="ListParagraph"/>
        <w:numPr>
          <w:ilvl w:val="0"/>
          <w:numId w:val="69"/>
        </w:numPr>
        <w:ind w:left="1560"/>
      </w:pPr>
      <w:r w:rsidRPr="00FF50EE">
        <w:t>Supplier Briefing slides</w:t>
      </w:r>
      <w:r w:rsidR="0092201C">
        <w:t>.</w:t>
      </w:r>
    </w:p>
    <w:p w14:paraId="068348A7" w14:textId="720D6C8B" w:rsidR="00FF50EE" w:rsidRPr="00FF50EE" w:rsidRDefault="00FF50EE" w:rsidP="00AD19D7">
      <w:pPr>
        <w:pStyle w:val="ListParagraph"/>
        <w:numPr>
          <w:ilvl w:val="0"/>
          <w:numId w:val="69"/>
        </w:numPr>
        <w:ind w:left="1560"/>
      </w:pPr>
      <w:r w:rsidRPr="00FF50EE">
        <w:t>Indicative Market &amp; Bidder Engagement timeline</w:t>
      </w:r>
      <w:r w:rsidR="0092201C">
        <w:t>.</w:t>
      </w:r>
    </w:p>
    <w:p w14:paraId="7586E344" w14:textId="080A1674" w:rsidR="00FF50EE" w:rsidRPr="00FF50EE" w:rsidRDefault="00FF50EE" w:rsidP="00AD19D7">
      <w:pPr>
        <w:pStyle w:val="ListParagraph"/>
        <w:numPr>
          <w:ilvl w:val="0"/>
          <w:numId w:val="69"/>
        </w:numPr>
        <w:ind w:left="1560"/>
      </w:pPr>
      <w:r w:rsidRPr="00FF50EE">
        <w:t>eCRM EPICs</w:t>
      </w:r>
      <w:r w:rsidR="0092201C">
        <w:t>.</w:t>
      </w:r>
    </w:p>
    <w:p w14:paraId="52C9952C" w14:textId="7D9ED430" w:rsidR="00FF50EE" w:rsidRPr="00FF50EE" w:rsidRDefault="00FF50EE" w:rsidP="00AD19D7">
      <w:pPr>
        <w:pStyle w:val="ListParagraph"/>
        <w:numPr>
          <w:ilvl w:val="0"/>
          <w:numId w:val="69"/>
        </w:numPr>
        <w:ind w:left="1560"/>
      </w:pPr>
      <w:r w:rsidRPr="00FF50EE">
        <w:t>Questions for feedback on the high-level principles of the proposed Model Services Contract (MSC) to support the drafting approach.</w:t>
      </w:r>
    </w:p>
    <w:p w14:paraId="1A6CA15D" w14:textId="060C12DF" w:rsidR="00FF50EE" w:rsidRDefault="00FF50EE" w:rsidP="00AD19D7">
      <w:pPr>
        <w:pStyle w:val="ListParagraph"/>
        <w:numPr>
          <w:ilvl w:val="0"/>
          <w:numId w:val="69"/>
        </w:numPr>
        <w:ind w:left="1560"/>
      </w:pPr>
      <w:r w:rsidRPr="00FF50EE">
        <w:t>eCRM requirements sample &amp; Social Value themes</w:t>
      </w:r>
      <w:r w:rsidR="0092201C">
        <w:t>.</w:t>
      </w:r>
    </w:p>
    <w:p w14:paraId="75526F3B" w14:textId="77777777" w:rsidR="00DF03D2" w:rsidRPr="00FF50EE" w:rsidRDefault="00DF03D2" w:rsidP="00DF03D2">
      <w:pPr>
        <w:pStyle w:val="ListParagraph"/>
        <w:ind w:left="1560"/>
      </w:pPr>
    </w:p>
    <w:p w14:paraId="6987EA50" w14:textId="7888828C" w:rsidR="00F231DF" w:rsidRPr="00B12E3F" w:rsidRDefault="00F231DF" w:rsidP="00DF03D2">
      <w:pPr>
        <w:pStyle w:val="ListParagraph"/>
        <w:numPr>
          <w:ilvl w:val="1"/>
          <w:numId w:val="5"/>
        </w:numPr>
        <w:rPr>
          <w:rFonts w:eastAsiaTheme="majorEastAsia" w:cs="Arial"/>
        </w:rPr>
      </w:pPr>
      <w:r w:rsidRPr="00B12E3F">
        <w:rPr>
          <w:rFonts w:eastAsiaTheme="majorEastAsia" w:cs="Arial"/>
        </w:rPr>
        <w:t xml:space="preserve">This </w:t>
      </w:r>
      <w:r w:rsidR="002246CB" w:rsidRPr="00B12E3F">
        <w:rPr>
          <w:rFonts w:eastAsiaTheme="majorEastAsia" w:cs="Arial"/>
        </w:rPr>
        <w:t>CFP</w:t>
      </w:r>
      <w:r w:rsidRPr="00B12E3F">
        <w:rPr>
          <w:rFonts w:eastAsiaTheme="majorEastAsia" w:cs="Arial"/>
        </w:rPr>
        <w:t xml:space="preserve"> will be conducted in f</w:t>
      </w:r>
      <w:r w:rsidR="00DB479B" w:rsidRPr="00B12E3F">
        <w:rPr>
          <w:rFonts w:eastAsiaTheme="majorEastAsia" w:cs="Arial"/>
        </w:rPr>
        <w:t>our</w:t>
      </w:r>
      <w:r w:rsidRPr="00B12E3F">
        <w:rPr>
          <w:rFonts w:eastAsiaTheme="majorEastAsia" w:cs="Arial"/>
        </w:rPr>
        <w:t xml:space="preserve"> (</w:t>
      </w:r>
      <w:r w:rsidR="00DB479B" w:rsidRPr="00B12E3F">
        <w:rPr>
          <w:rFonts w:eastAsiaTheme="majorEastAsia" w:cs="Arial"/>
        </w:rPr>
        <w:t>4</w:t>
      </w:r>
      <w:r w:rsidRPr="00B12E3F">
        <w:rPr>
          <w:rFonts w:eastAsiaTheme="majorEastAsia" w:cs="Arial"/>
        </w:rPr>
        <w:t xml:space="preserve">) stages. The </w:t>
      </w:r>
      <w:r w:rsidR="00DB479B" w:rsidRPr="00B12E3F">
        <w:rPr>
          <w:rFonts w:eastAsiaTheme="majorEastAsia" w:cs="Arial"/>
        </w:rPr>
        <w:t>four</w:t>
      </w:r>
      <w:r w:rsidRPr="00B12E3F">
        <w:rPr>
          <w:rFonts w:eastAsiaTheme="majorEastAsia" w:cs="Arial"/>
        </w:rPr>
        <w:t xml:space="preserve"> (</w:t>
      </w:r>
      <w:r w:rsidR="00DB479B" w:rsidRPr="00B12E3F">
        <w:rPr>
          <w:rFonts w:eastAsiaTheme="majorEastAsia" w:cs="Arial"/>
        </w:rPr>
        <w:t>4</w:t>
      </w:r>
      <w:r w:rsidRPr="00B12E3F">
        <w:rPr>
          <w:rFonts w:eastAsiaTheme="majorEastAsia" w:cs="Arial"/>
        </w:rPr>
        <w:t>) stages are described in more detail below.</w:t>
      </w:r>
    </w:p>
    <w:p w14:paraId="08939C71" w14:textId="6FAF2A58" w:rsidR="00BC2805" w:rsidRPr="00B12E3F" w:rsidRDefault="00BC2805" w:rsidP="00320D15">
      <w:pPr>
        <w:keepNext/>
        <w:numPr>
          <w:ilvl w:val="1"/>
          <w:numId w:val="5"/>
        </w:numPr>
        <w:jc w:val="both"/>
        <w:outlineLvl w:val="0"/>
        <w:rPr>
          <w:rFonts w:eastAsiaTheme="majorEastAsia" w:cs="Arial"/>
          <w:b/>
          <w:bCs/>
        </w:rPr>
      </w:pPr>
      <w:r w:rsidRPr="00B12E3F">
        <w:rPr>
          <w:rFonts w:eastAsiaTheme="majorEastAsia" w:cs="Arial"/>
          <w:b/>
          <w:bCs/>
        </w:rPr>
        <w:t xml:space="preserve">Stage 1: </w:t>
      </w:r>
      <w:r w:rsidR="009877EB" w:rsidRPr="00B12E3F">
        <w:rPr>
          <w:rFonts w:eastAsiaTheme="majorEastAsia" w:cs="Arial"/>
          <w:b/>
          <w:bCs/>
        </w:rPr>
        <w:t>CoP</w:t>
      </w:r>
      <w:r w:rsidR="00B717AB" w:rsidRPr="00B12E3F">
        <w:rPr>
          <w:rFonts w:eastAsiaTheme="majorEastAsia" w:cs="Arial"/>
          <w:b/>
          <w:bCs/>
        </w:rPr>
        <w:t xml:space="preserve"> &amp; PSQ Stage</w:t>
      </w:r>
      <w:r w:rsidRPr="00B12E3F">
        <w:rPr>
          <w:rFonts w:eastAsiaTheme="majorEastAsia" w:cs="Arial"/>
          <w:b/>
          <w:bCs/>
        </w:rPr>
        <w:t xml:space="preserve"> </w:t>
      </w:r>
    </w:p>
    <w:p w14:paraId="5C90277A" w14:textId="55781272" w:rsidR="002A073F" w:rsidRDefault="00CC467C" w:rsidP="00AD19D7">
      <w:pPr>
        <w:pStyle w:val="ListParagraph"/>
        <w:numPr>
          <w:ilvl w:val="0"/>
          <w:numId w:val="70"/>
        </w:numPr>
      </w:pPr>
      <w:r>
        <w:t xml:space="preserve">The issuance of the </w:t>
      </w:r>
      <w:r w:rsidRPr="003A1162">
        <w:t>Planned Procurement Notice (</w:t>
      </w:r>
      <w:hyperlink r:id="rId13" w:history="1">
        <w:r w:rsidR="003A1162" w:rsidRPr="003A1162">
          <w:rPr>
            <w:rStyle w:val="Hyperlink"/>
          </w:rPr>
          <w:t>HMRC Customer Relationship Management - Find a Tender</w:t>
        </w:r>
      </w:hyperlink>
      <w:r w:rsidRPr="003A1162">
        <w:t>)</w:t>
      </w:r>
      <w:r>
        <w:t xml:space="preserve"> to clarify that HMRC expect all potential </w:t>
      </w:r>
      <w:r w:rsidR="00FA5CF7">
        <w:t>Supplier</w:t>
      </w:r>
      <w:r>
        <w:t xml:space="preserve">s to have registered on </w:t>
      </w:r>
      <w:r w:rsidR="00435FA4">
        <w:t xml:space="preserve">the </w:t>
      </w:r>
      <w:r w:rsidR="00E85686" w:rsidRPr="00E85686">
        <w:t xml:space="preserve">SAP Ariba eSourcing Portal (“Ariba”) </w:t>
      </w:r>
      <w:r>
        <w:t>in order to request access to the Tender document set (including the PSQ and CoP)</w:t>
      </w:r>
      <w:r w:rsidR="002E6FC4">
        <w:t>.</w:t>
      </w:r>
    </w:p>
    <w:p w14:paraId="5B6E9F4E" w14:textId="77777777" w:rsidR="00054D2A" w:rsidRDefault="00054D2A" w:rsidP="00054D2A">
      <w:pPr>
        <w:pStyle w:val="ListParagraph"/>
      </w:pPr>
    </w:p>
    <w:p w14:paraId="761A3F53" w14:textId="1BF68634" w:rsidR="00054D2A" w:rsidRDefault="007C3FC2" w:rsidP="00AD19D7">
      <w:pPr>
        <w:pStyle w:val="ListParagraph"/>
        <w:numPr>
          <w:ilvl w:val="0"/>
          <w:numId w:val="70"/>
        </w:numPr>
      </w:pPr>
      <w:r>
        <w:t>The issuance of a Tender Notice and the publication of this document.</w:t>
      </w:r>
    </w:p>
    <w:p w14:paraId="7A037F3B" w14:textId="77777777" w:rsidR="00054D2A" w:rsidRDefault="00054D2A" w:rsidP="00054D2A">
      <w:pPr>
        <w:pStyle w:val="ListParagraph"/>
      </w:pPr>
    </w:p>
    <w:p w14:paraId="21E54EAE" w14:textId="0520A93B" w:rsidR="00054D2A" w:rsidRDefault="00BC2805" w:rsidP="00AD19D7">
      <w:pPr>
        <w:pStyle w:val="ListParagraph"/>
        <w:numPr>
          <w:ilvl w:val="0"/>
          <w:numId w:val="70"/>
        </w:numPr>
      </w:pPr>
      <w:r w:rsidRPr="002B56D3">
        <w:t xml:space="preserve">This document includes </w:t>
      </w:r>
      <w:r w:rsidR="002246CB">
        <w:t xml:space="preserve">a </w:t>
      </w:r>
      <w:r w:rsidR="009877EB">
        <w:t xml:space="preserve">PSQ </w:t>
      </w:r>
      <w:r w:rsidR="007E3796">
        <w:t xml:space="preserve">in Schedule 1 </w:t>
      </w:r>
      <w:r w:rsidRPr="007E3796">
        <w:t xml:space="preserve">which all Suppliers are required to complete and return in accordance with the </w:t>
      </w:r>
      <w:r w:rsidR="000F7F65">
        <w:t xml:space="preserve">deadline in the </w:t>
      </w:r>
      <w:r w:rsidRPr="007E3796">
        <w:t xml:space="preserve">Procurement Timetable </w:t>
      </w:r>
      <w:r w:rsidR="000F7F65">
        <w:t xml:space="preserve">in section 4 </w:t>
      </w:r>
      <w:r w:rsidRPr="007E3796">
        <w:t xml:space="preserve">and </w:t>
      </w:r>
      <w:r w:rsidR="000F7F65">
        <w:t xml:space="preserve">other </w:t>
      </w:r>
      <w:r w:rsidRPr="007E3796">
        <w:t xml:space="preserve">instructions within this document. </w:t>
      </w:r>
    </w:p>
    <w:p w14:paraId="665E9AF1" w14:textId="77777777" w:rsidR="00054D2A" w:rsidRPr="007E3796" w:rsidRDefault="00054D2A" w:rsidP="00054D2A">
      <w:pPr>
        <w:pStyle w:val="ListParagraph"/>
      </w:pPr>
    </w:p>
    <w:p w14:paraId="0CDEA18F" w14:textId="49525F84" w:rsidR="00054D2A" w:rsidRDefault="001D61D7" w:rsidP="00AD19D7">
      <w:pPr>
        <w:pStyle w:val="ListParagraph"/>
        <w:numPr>
          <w:ilvl w:val="0"/>
          <w:numId w:val="70"/>
        </w:numPr>
      </w:pPr>
      <w:r>
        <w:t>HMRC</w:t>
      </w:r>
      <w:r w:rsidR="00577617">
        <w:t xml:space="preserve"> may seek to arrange clarification sessions during the CoP response period (see Procurement Timetable)</w:t>
      </w:r>
      <w:r w:rsidR="005C5FEA">
        <w:t xml:space="preserve">. Suppliers will be advised if any such sessions are to be </w:t>
      </w:r>
      <w:r w:rsidR="00AF13CC">
        <w:t>conducted</w:t>
      </w:r>
      <w:r w:rsidR="005C5FEA">
        <w:t xml:space="preserve"> and the details of any session would be confirmed as part of any invite sent.</w:t>
      </w:r>
    </w:p>
    <w:p w14:paraId="26EBFC63" w14:textId="77777777" w:rsidR="00054D2A" w:rsidRPr="007E3796" w:rsidRDefault="00054D2A" w:rsidP="00054D2A">
      <w:pPr>
        <w:pStyle w:val="ListParagraph"/>
      </w:pPr>
    </w:p>
    <w:p w14:paraId="7204DF9E" w14:textId="495BBFFE" w:rsidR="00054D2A" w:rsidRDefault="00C80350" w:rsidP="00AD19D7">
      <w:pPr>
        <w:pStyle w:val="ListParagraph"/>
        <w:numPr>
          <w:ilvl w:val="0"/>
          <w:numId w:val="70"/>
        </w:numPr>
      </w:pPr>
      <w:r>
        <w:t>HMRC</w:t>
      </w:r>
      <w:r w:rsidR="00BC2805" w:rsidRPr="002B56D3">
        <w:t xml:space="preserve"> will use this stage to confirm that neither the Supplier, nor any related persons within its corporate group, associated persons relied on to meet the conditions of participation, or proposed sub-contractors are listed on the Cabinet Office debarment list. To the extent that any such entities are listed on the debarment list, </w:t>
      </w:r>
      <w:r>
        <w:t>HMRC</w:t>
      </w:r>
      <w:r w:rsidR="00BC2805" w:rsidRPr="002B56D3">
        <w:t xml:space="preserve"> will consider whether to exclude the Supplier from participating in the Procurement in accordance with its obligations under the Act. </w:t>
      </w:r>
    </w:p>
    <w:p w14:paraId="0D7BF4AB" w14:textId="77777777" w:rsidR="00054D2A" w:rsidRPr="002B56D3" w:rsidRDefault="00054D2A" w:rsidP="00054D2A">
      <w:pPr>
        <w:pStyle w:val="ListParagraph"/>
      </w:pPr>
    </w:p>
    <w:p w14:paraId="1C89BB89" w14:textId="551B53C0" w:rsidR="00054D2A" w:rsidRDefault="00BC2805" w:rsidP="00AD19D7">
      <w:pPr>
        <w:pStyle w:val="ListParagraph"/>
        <w:numPr>
          <w:ilvl w:val="0"/>
          <w:numId w:val="70"/>
        </w:numPr>
      </w:pPr>
      <w:r w:rsidRPr="002B56D3">
        <w:t xml:space="preserve">In addition, </w:t>
      </w:r>
      <w:r w:rsidR="00C80350">
        <w:t>HMRC</w:t>
      </w:r>
      <w:r w:rsidRPr="002B56D3">
        <w:t xml:space="preserve"> will consider whether any Supplier or related persons within its corporate group, associated persons relied on to meet the conditions of participation, or </w:t>
      </w:r>
      <w:r w:rsidRPr="002B56D3">
        <w:lastRenderedPageBreak/>
        <w:t xml:space="preserve">proposed sub-contractors are excluded or excludable Suppliers, and before </w:t>
      </w:r>
      <w:r w:rsidR="00C80350">
        <w:t xml:space="preserve">HMRC </w:t>
      </w:r>
      <w:r w:rsidRPr="002B56D3">
        <w:t xml:space="preserve">determines that a Supplier is an excluded or excludable Supplier, it will provide the Supplier reasonable opportunity to make representations and provide evidence as is proportionate in the circumstances. </w:t>
      </w:r>
    </w:p>
    <w:p w14:paraId="13CC5D0F" w14:textId="77777777" w:rsidR="00054D2A" w:rsidRDefault="00054D2A" w:rsidP="00054D2A">
      <w:pPr>
        <w:pStyle w:val="ListParagraph"/>
      </w:pPr>
    </w:p>
    <w:p w14:paraId="40039BC5" w14:textId="420FA69A" w:rsidR="00054D2A" w:rsidRDefault="00BC2805" w:rsidP="00AD19D7">
      <w:pPr>
        <w:pStyle w:val="ListParagraph"/>
        <w:numPr>
          <w:ilvl w:val="0"/>
          <w:numId w:val="70"/>
        </w:numPr>
      </w:pPr>
      <w:r w:rsidRPr="002B56D3">
        <w:t xml:space="preserve">If the Supplier is an excluded or excludable Supplier only by virtue of an associated person or proposed sub-contractor, </w:t>
      </w:r>
      <w:r w:rsidR="00C80350">
        <w:t>HMRC</w:t>
      </w:r>
      <w:r w:rsidRPr="002B56D3">
        <w:t xml:space="preserve"> will notify the Supplier of its intention to exclude the Supplier and provide the Supplier with reasonable opportunity to replace the associated person or sub-contractor. If as a consequence of this process </w:t>
      </w:r>
      <w:r w:rsidR="00C80350">
        <w:t>HMRC</w:t>
      </w:r>
      <w:r w:rsidRPr="002B56D3">
        <w:t xml:space="preserve"> excludes the Supplier from participating in the </w:t>
      </w:r>
      <w:r w:rsidR="00AF13CC">
        <w:t>p</w:t>
      </w:r>
      <w:r w:rsidR="00AF13CC" w:rsidRPr="002B56D3">
        <w:t>rocurement or</w:t>
      </w:r>
      <w:r w:rsidRPr="002B56D3">
        <w:t xml:space="preserve"> is aware of an associated person or sub-contract having been replaced, it will give notice of this fact within 30 days of its decision to the Procurement Review Unit (PRU).</w:t>
      </w:r>
    </w:p>
    <w:p w14:paraId="48D40A0E" w14:textId="77777777" w:rsidR="00054D2A" w:rsidRPr="002B56D3" w:rsidRDefault="00054D2A" w:rsidP="00054D2A">
      <w:pPr>
        <w:pStyle w:val="ListParagraph"/>
      </w:pPr>
    </w:p>
    <w:p w14:paraId="0C324B0F" w14:textId="542A8251" w:rsidR="00054D2A" w:rsidRDefault="00C80350" w:rsidP="00AD19D7">
      <w:pPr>
        <w:pStyle w:val="ListParagraph"/>
        <w:numPr>
          <w:ilvl w:val="0"/>
          <w:numId w:val="70"/>
        </w:numPr>
      </w:pPr>
      <w:r>
        <w:t>HMRC</w:t>
      </w:r>
      <w:r w:rsidR="00BC2805" w:rsidRPr="006B4C76">
        <w:t xml:space="preserve"> will also undertake a review of the completed PSQ with reference to any information held on the Central Digital Platform.</w:t>
      </w:r>
    </w:p>
    <w:p w14:paraId="0050C9C4" w14:textId="77777777" w:rsidR="00054D2A" w:rsidRDefault="00054D2A" w:rsidP="00054D2A">
      <w:pPr>
        <w:pStyle w:val="ListParagraph"/>
      </w:pPr>
    </w:p>
    <w:p w14:paraId="38DEDCB8" w14:textId="6840A2A9" w:rsidR="00054D2A" w:rsidRDefault="00BC2805" w:rsidP="00AD19D7">
      <w:pPr>
        <w:pStyle w:val="ListParagraph"/>
        <w:numPr>
          <w:ilvl w:val="0"/>
          <w:numId w:val="70"/>
        </w:numPr>
      </w:pPr>
      <w:r w:rsidRPr="006B4C76">
        <w:t>Responses will be assessed in accordance with the selection</w:t>
      </w:r>
      <w:r w:rsidR="000D657A">
        <w:t xml:space="preserve"> process and </w:t>
      </w:r>
      <w:r w:rsidR="00AF13CC">
        <w:t>the</w:t>
      </w:r>
      <w:r w:rsidR="000D657A">
        <w:t xml:space="preserve"> selection</w:t>
      </w:r>
      <w:r w:rsidRPr="006B4C76">
        <w:t xml:space="preserve"> criteria </w:t>
      </w:r>
      <w:r w:rsidR="000D657A">
        <w:t xml:space="preserve">as described within this document. </w:t>
      </w:r>
      <w:r w:rsidR="000171F2">
        <w:t>Following</w:t>
      </w:r>
      <w:r w:rsidR="000D657A">
        <w:t xml:space="preserve"> assessment of these responses</w:t>
      </w:r>
      <w:r w:rsidR="000171F2">
        <w:t>, HMRC intends to</w:t>
      </w:r>
      <w:r w:rsidR="000D657A">
        <w:t xml:space="preserve"> identify </w:t>
      </w:r>
      <w:r w:rsidR="00AF13CC">
        <w:t>the</w:t>
      </w:r>
      <w:r w:rsidR="000D657A">
        <w:t xml:space="preserve"> Suppliers to be invited to participate in Stage 2</w:t>
      </w:r>
      <w:r w:rsidR="00F1121A">
        <w:t xml:space="preserve">, subject </w:t>
      </w:r>
      <w:bookmarkStart w:id="8" w:name="_Hlk200640720"/>
      <w:r w:rsidR="0016317A">
        <w:t>to</w:t>
      </w:r>
      <w:r w:rsidR="009716C3">
        <w:t xml:space="preserve"> the </w:t>
      </w:r>
      <w:r w:rsidR="0016317A">
        <w:t xml:space="preserve">Shortlisting Procedure outlined in </w:t>
      </w:r>
      <w:r w:rsidR="0050030A">
        <w:t>Part 4 of Schedule 3</w:t>
      </w:r>
      <w:r w:rsidR="0073255F">
        <w:t xml:space="preserve"> of this document</w:t>
      </w:r>
      <w:r w:rsidR="000B59B3">
        <w:t>.</w:t>
      </w:r>
      <w:bookmarkEnd w:id="8"/>
    </w:p>
    <w:p w14:paraId="10AFC911" w14:textId="77777777" w:rsidR="00054D2A" w:rsidRPr="006B4C76" w:rsidRDefault="00054D2A" w:rsidP="00054D2A">
      <w:pPr>
        <w:pStyle w:val="ListParagraph"/>
      </w:pPr>
    </w:p>
    <w:p w14:paraId="58C64A85" w14:textId="77777777" w:rsidR="00054D2A" w:rsidRDefault="00BC2805" w:rsidP="00AD19D7">
      <w:pPr>
        <w:pStyle w:val="ListParagraph"/>
        <w:numPr>
          <w:ilvl w:val="0"/>
          <w:numId w:val="70"/>
        </w:numPr>
      </w:pPr>
      <w:r w:rsidRPr="002B56D3">
        <w:t>Stage 1 will complete with Suppliers being notified in writing of whether or not they have been successfully shortlisted to participate in Stage 2. Suppliers not invited to Stage 2 will be provided with a written explanation of the reasons why they have not been shortlisted to participate in Stage 2.</w:t>
      </w:r>
    </w:p>
    <w:p w14:paraId="44D5A48D" w14:textId="77777777" w:rsidR="00054D2A" w:rsidRPr="002B56D3" w:rsidRDefault="00054D2A" w:rsidP="00054D2A">
      <w:pPr>
        <w:pStyle w:val="ListParagraph"/>
      </w:pPr>
    </w:p>
    <w:p w14:paraId="657BB9A5" w14:textId="51A5020D" w:rsidR="00BC2805" w:rsidRPr="002B56D3" w:rsidRDefault="00BC2805" w:rsidP="00AD19D7">
      <w:pPr>
        <w:pStyle w:val="ListParagraph"/>
        <w:numPr>
          <w:ilvl w:val="0"/>
          <w:numId w:val="70"/>
        </w:numPr>
      </w:pPr>
      <w:r w:rsidRPr="002B56D3">
        <w:t xml:space="preserve">Suppliers should note that </w:t>
      </w:r>
      <w:r w:rsidR="00C80350">
        <w:t>HMRC</w:t>
      </w:r>
      <w:r w:rsidRPr="002B56D3">
        <w:t xml:space="preserve"> reserves the right to re-assess any </w:t>
      </w:r>
      <w:r w:rsidR="002824BA">
        <w:t>PSQ response</w:t>
      </w:r>
      <w:r w:rsidR="00036ABD">
        <w:t>s</w:t>
      </w:r>
      <w:r w:rsidR="00F43F30">
        <w:t xml:space="preserve"> at any point during the competition</w:t>
      </w:r>
      <w:r w:rsidRPr="002B56D3">
        <w:t xml:space="preserve">, in light of any new relevant information that comes to </w:t>
      </w:r>
      <w:r w:rsidR="00C80350">
        <w:t>HMRC</w:t>
      </w:r>
      <w:r w:rsidRPr="002B56D3">
        <w:t>’s attention.</w:t>
      </w:r>
    </w:p>
    <w:p w14:paraId="249E33F1" w14:textId="71F77939" w:rsidR="00BC2805" w:rsidRPr="00B12E3F" w:rsidRDefault="00BC2805" w:rsidP="00320D15">
      <w:pPr>
        <w:keepNext/>
        <w:numPr>
          <w:ilvl w:val="1"/>
          <w:numId w:val="5"/>
        </w:numPr>
        <w:jc w:val="both"/>
        <w:outlineLvl w:val="0"/>
        <w:rPr>
          <w:rFonts w:eastAsiaTheme="majorEastAsia" w:cs="Arial"/>
          <w:b/>
          <w:bCs/>
        </w:rPr>
      </w:pPr>
      <w:r w:rsidRPr="00B12E3F">
        <w:rPr>
          <w:rFonts w:eastAsiaTheme="majorEastAsia" w:cs="Arial"/>
          <w:b/>
          <w:bCs/>
        </w:rPr>
        <w:t xml:space="preserve">Stage 2: Invitation to </w:t>
      </w:r>
      <w:r w:rsidR="00987811" w:rsidRPr="00B12E3F">
        <w:rPr>
          <w:rFonts w:eastAsiaTheme="majorEastAsia" w:cs="Arial"/>
          <w:b/>
          <w:bCs/>
        </w:rPr>
        <w:t>S</w:t>
      </w:r>
      <w:r w:rsidRPr="00B12E3F">
        <w:rPr>
          <w:rFonts w:eastAsiaTheme="majorEastAsia" w:cs="Arial"/>
          <w:b/>
          <w:bCs/>
        </w:rPr>
        <w:t xml:space="preserve">ubmit </w:t>
      </w:r>
      <w:r w:rsidR="00987811" w:rsidRPr="00B12E3F">
        <w:rPr>
          <w:rFonts w:eastAsiaTheme="majorEastAsia" w:cs="Arial"/>
          <w:b/>
          <w:bCs/>
        </w:rPr>
        <w:t>I</w:t>
      </w:r>
      <w:r w:rsidR="00546F30" w:rsidRPr="00B12E3F">
        <w:rPr>
          <w:rFonts w:eastAsiaTheme="majorEastAsia" w:cs="Arial"/>
          <w:b/>
          <w:bCs/>
        </w:rPr>
        <w:t>nitial</w:t>
      </w:r>
      <w:r w:rsidRPr="00B12E3F">
        <w:rPr>
          <w:rFonts w:eastAsiaTheme="majorEastAsia" w:cs="Arial"/>
          <w:b/>
          <w:bCs/>
        </w:rPr>
        <w:t xml:space="preserve"> </w:t>
      </w:r>
      <w:r w:rsidR="00987811" w:rsidRPr="00B12E3F">
        <w:rPr>
          <w:rFonts w:eastAsiaTheme="majorEastAsia" w:cs="Arial"/>
          <w:b/>
          <w:bCs/>
        </w:rPr>
        <w:t>T</w:t>
      </w:r>
      <w:r w:rsidRPr="00B12E3F">
        <w:rPr>
          <w:rFonts w:eastAsiaTheme="majorEastAsia" w:cs="Arial"/>
          <w:b/>
          <w:bCs/>
        </w:rPr>
        <w:t>ender</w:t>
      </w:r>
      <w:r w:rsidR="00B156DD" w:rsidRPr="00B12E3F">
        <w:rPr>
          <w:rFonts w:eastAsiaTheme="majorEastAsia" w:cs="Arial"/>
          <w:b/>
          <w:bCs/>
        </w:rPr>
        <w:t xml:space="preserve"> (</w:t>
      </w:r>
      <w:r w:rsidR="00E75A34" w:rsidRPr="00B12E3F">
        <w:rPr>
          <w:rFonts w:eastAsiaTheme="majorEastAsia" w:cs="Arial"/>
          <w:b/>
          <w:bCs/>
        </w:rPr>
        <w:t>ITSIT</w:t>
      </w:r>
      <w:r w:rsidR="00B156DD" w:rsidRPr="00B12E3F">
        <w:rPr>
          <w:rFonts w:eastAsiaTheme="majorEastAsia" w:cs="Arial"/>
          <w:b/>
          <w:bCs/>
        </w:rPr>
        <w:t>)</w:t>
      </w:r>
    </w:p>
    <w:p w14:paraId="6E5895B1" w14:textId="4951983D" w:rsidR="001C5DF8" w:rsidRDefault="00244011" w:rsidP="00AD19D7">
      <w:pPr>
        <w:pStyle w:val="ListParagraph"/>
        <w:numPr>
          <w:ilvl w:val="0"/>
          <w:numId w:val="71"/>
        </w:numPr>
      </w:pPr>
      <w:r w:rsidRPr="002B56D3">
        <w:t xml:space="preserve">Stage 2 will commence with the issuing of </w:t>
      </w:r>
      <w:r w:rsidR="003C3876" w:rsidRPr="00E538FD">
        <w:t>a written invitation</w:t>
      </w:r>
      <w:r w:rsidRPr="002B56D3">
        <w:t xml:space="preserve"> </w:t>
      </w:r>
      <w:r w:rsidR="004B4320">
        <w:t>to</w:t>
      </w:r>
      <w:r w:rsidRPr="002B56D3">
        <w:t xml:space="preserve"> </w:t>
      </w:r>
      <w:r w:rsidR="004F6582">
        <w:t>submit initial tenders</w:t>
      </w:r>
      <w:r w:rsidRPr="002B56D3">
        <w:t xml:space="preserve"> </w:t>
      </w:r>
      <w:r w:rsidR="004B4320">
        <w:t>to</w:t>
      </w:r>
      <w:r w:rsidRPr="002B56D3">
        <w:t xml:space="preserve"> those Suppliers which have successfully been shortlisted at Stage 1 of the Procurement.</w:t>
      </w:r>
    </w:p>
    <w:p w14:paraId="6B2BF980" w14:textId="77777777" w:rsidR="001C5DF8" w:rsidRPr="002B56D3" w:rsidRDefault="001C5DF8" w:rsidP="001C5DF8">
      <w:pPr>
        <w:pStyle w:val="ListParagraph"/>
      </w:pPr>
    </w:p>
    <w:p w14:paraId="7A46BDD2" w14:textId="052BBCAD" w:rsidR="00244011" w:rsidRDefault="00244011" w:rsidP="00AD19D7">
      <w:pPr>
        <w:pStyle w:val="ListParagraph"/>
        <w:numPr>
          <w:ilvl w:val="0"/>
          <w:numId w:val="71"/>
        </w:numPr>
      </w:pPr>
      <w:r w:rsidRPr="002B56D3">
        <w:t xml:space="preserve">The letter will also provide details of any new information made available to Suppliers at this stage of the Procurement. </w:t>
      </w:r>
    </w:p>
    <w:p w14:paraId="3E382A6F" w14:textId="77777777" w:rsidR="001C5DF8" w:rsidRPr="002B56D3" w:rsidRDefault="001C5DF8" w:rsidP="001C5DF8">
      <w:pPr>
        <w:pStyle w:val="ListParagraph"/>
      </w:pPr>
    </w:p>
    <w:p w14:paraId="7AE75486" w14:textId="7758E01D" w:rsidR="001C5DF8" w:rsidRDefault="00C54050" w:rsidP="00AD19D7">
      <w:pPr>
        <w:pStyle w:val="ListParagraph"/>
        <w:numPr>
          <w:ilvl w:val="0"/>
          <w:numId w:val="71"/>
        </w:numPr>
      </w:pPr>
      <w:r>
        <w:t xml:space="preserve">HMRC </w:t>
      </w:r>
      <w:r w:rsidR="001E285C">
        <w:t xml:space="preserve">may host a supplier </w:t>
      </w:r>
      <w:r w:rsidR="004726AC">
        <w:t>familiarisation</w:t>
      </w:r>
      <w:r w:rsidR="001E285C">
        <w:t xml:space="preserve"> </w:t>
      </w:r>
      <w:r w:rsidR="004726AC">
        <w:t>session with all Suppliers invited to Stage 2</w:t>
      </w:r>
      <w:r w:rsidR="00702E6D">
        <w:t xml:space="preserve"> in order to supplement the detail provided within the invitation to submit initial tender documentation</w:t>
      </w:r>
      <w:r w:rsidR="000A0C96">
        <w:t>. This session may include the opportunity for invited Suppliers to ask clarification questions. HMRC will confirm whether this session will take place within the</w:t>
      </w:r>
      <w:r w:rsidR="004C19CE">
        <w:t xml:space="preserve"> invitation to submit initial tender documentation.</w:t>
      </w:r>
    </w:p>
    <w:p w14:paraId="1B287A44" w14:textId="77777777" w:rsidR="001C5DF8" w:rsidRPr="002B56D3" w:rsidRDefault="001C5DF8" w:rsidP="001C5DF8">
      <w:pPr>
        <w:pStyle w:val="ListParagraph"/>
      </w:pPr>
    </w:p>
    <w:p w14:paraId="2FBC3734" w14:textId="4176D21D" w:rsidR="005C5FEA" w:rsidRPr="005C5FEA" w:rsidRDefault="00AF13CC" w:rsidP="00AD19D7">
      <w:pPr>
        <w:pStyle w:val="ListParagraph"/>
        <w:numPr>
          <w:ilvl w:val="0"/>
          <w:numId w:val="71"/>
        </w:numPr>
      </w:pPr>
      <w:r>
        <w:t xml:space="preserve">HMRC </w:t>
      </w:r>
      <w:r w:rsidR="005C5FEA" w:rsidRPr="005C5FEA">
        <w:t xml:space="preserve">may seek to arrange clarification sessions during the </w:t>
      </w:r>
      <w:r w:rsidR="005C5FEA">
        <w:t>ITSIT</w:t>
      </w:r>
      <w:r w:rsidR="005C5FEA" w:rsidRPr="005C5FEA">
        <w:t xml:space="preserve"> response period (see Procurement Timetable). Suppliers will be advised if any such sessions are to be ran and the details of any session would be confirmed as part of any invite sent.</w:t>
      </w:r>
    </w:p>
    <w:p w14:paraId="06ED1F19" w14:textId="279AAB41" w:rsidR="00244011" w:rsidRDefault="00244011" w:rsidP="00AD19D7">
      <w:pPr>
        <w:pStyle w:val="ListParagraph"/>
        <w:numPr>
          <w:ilvl w:val="0"/>
          <w:numId w:val="71"/>
        </w:numPr>
      </w:pPr>
      <w:r w:rsidRPr="002B56D3">
        <w:lastRenderedPageBreak/>
        <w:t>Initial tenders must be submitted in accordance with the Procurement Timetable and instructions set out in this document and any additional information provided.</w:t>
      </w:r>
    </w:p>
    <w:p w14:paraId="25368DD2" w14:textId="77777777" w:rsidR="001C5DF8" w:rsidRPr="002B56D3" w:rsidRDefault="001C5DF8" w:rsidP="001C5DF8">
      <w:pPr>
        <w:pStyle w:val="ListParagraph"/>
      </w:pPr>
    </w:p>
    <w:p w14:paraId="300067F8" w14:textId="084EC4BD" w:rsidR="001C5DF8" w:rsidRDefault="009A4925" w:rsidP="00AD19D7">
      <w:pPr>
        <w:pStyle w:val="ListParagraph"/>
        <w:numPr>
          <w:ilvl w:val="0"/>
          <w:numId w:val="71"/>
        </w:numPr>
      </w:pPr>
      <w:r>
        <w:t>As part of the initial tenders</w:t>
      </w:r>
      <w:r w:rsidR="00970DFD">
        <w:t xml:space="preserve">, Suppliers </w:t>
      </w:r>
      <w:r w:rsidR="00B174DF" w:rsidRPr="00B174DF">
        <w:t xml:space="preserve">will be required to complete a security questionnaire. In the event that HMRC deems that the security questionnaire responses are insufficient for the purposes of delivering this contract, HMRC reserves the right to exclude </w:t>
      </w:r>
      <w:r w:rsidR="00C04E2C">
        <w:t>Suppliers</w:t>
      </w:r>
      <w:r w:rsidR="00B174DF" w:rsidRPr="00B174DF">
        <w:t xml:space="preserve"> from this procurement process. The security questionnaire responses </w:t>
      </w:r>
      <w:r w:rsidR="0012770F">
        <w:t>will</w:t>
      </w:r>
      <w:r w:rsidR="00B174DF" w:rsidRPr="00B174DF">
        <w:t xml:space="preserve"> be incorporated into the </w:t>
      </w:r>
      <w:r w:rsidR="00832B02">
        <w:t xml:space="preserve">final </w:t>
      </w:r>
      <w:r w:rsidR="00B174DF" w:rsidRPr="00B174DF">
        <w:t>contract.</w:t>
      </w:r>
    </w:p>
    <w:p w14:paraId="3E53CD86" w14:textId="77777777" w:rsidR="001C5DF8" w:rsidRPr="002B56D3" w:rsidRDefault="001C5DF8" w:rsidP="001C5DF8">
      <w:pPr>
        <w:pStyle w:val="ListParagraph"/>
      </w:pPr>
    </w:p>
    <w:p w14:paraId="432FE6B1" w14:textId="497D7B4A" w:rsidR="001C5DF8" w:rsidRDefault="00244011" w:rsidP="00AD19D7">
      <w:pPr>
        <w:pStyle w:val="ListParagraph"/>
        <w:numPr>
          <w:ilvl w:val="0"/>
          <w:numId w:val="71"/>
        </w:numPr>
      </w:pPr>
      <w:r w:rsidRPr="002B56D3">
        <w:t xml:space="preserve">Following the deadline for submission of initial tenders, </w:t>
      </w:r>
      <w:r w:rsidR="00C80350">
        <w:t>HMRC</w:t>
      </w:r>
      <w:r w:rsidRPr="00063EDC">
        <w:t xml:space="preserve"> will assess initial tenders in accordance with the assessment process </w:t>
      </w:r>
      <w:r w:rsidR="00C34E4C">
        <w:t>and award criteria</w:t>
      </w:r>
      <w:r w:rsidRPr="00063EDC">
        <w:t xml:space="preserve"> </w:t>
      </w:r>
      <w:r w:rsidR="0050365B" w:rsidRPr="002775BD">
        <w:t xml:space="preserve">which shall be outlined within the </w:t>
      </w:r>
      <w:r w:rsidR="00E75A34" w:rsidRPr="002775BD">
        <w:t>ITSIT</w:t>
      </w:r>
      <w:r w:rsidR="00987811" w:rsidRPr="002775BD">
        <w:t xml:space="preserve"> documentation</w:t>
      </w:r>
      <w:r w:rsidRPr="002B56D3">
        <w:t xml:space="preserve">. The assessment process will identify which Suppliers are to be selected to participate in </w:t>
      </w:r>
      <w:r w:rsidR="00F37F60" w:rsidRPr="00E538FD">
        <w:t xml:space="preserve">the </w:t>
      </w:r>
      <w:r w:rsidR="000155CF">
        <w:t>negotiation</w:t>
      </w:r>
      <w:r w:rsidRPr="002B56D3">
        <w:t xml:space="preserve"> stage as set out in Stage 3. </w:t>
      </w:r>
    </w:p>
    <w:p w14:paraId="07683117" w14:textId="77777777" w:rsidR="001C5DF8" w:rsidRDefault="001C5DF8" w:rsidP="001C5DF8">
      <w:pPr>
        <w:pStyle w:val="ListParagraph"/>
      </w:pPr>
    </w:p>
    <w:p w14:paraId="266D72F9" w14:textId="7032F9D3" w:rsidR="001C5DF8" w:rsidRDefault="00C80350" w:rsidP="00AD19D7">
      <w:pPr>
        <w:pStyle w:val="ListParagraph"/>
        <w:numPr>
          <w:ilvl w:val="0"/>
          <w:numId w:val="71"/>
        </w:numPr>
      </w:pPr>
      <w:r>
        <w:t>HMRC</w:t>
      </w:r>
      <w:r w:rsidR="007C1DDE">
        <w:t xml:space="preserve"> </w:t>
      </w:r>
      <w:r w:rsidR="00CA28E0">
        <w:t xml:space="preserve">may choose to </w:t>
      </w:r>
      <w:r w:rsidR="00C128C9">
        <w:t xml:space="preserve">utilise Supplier product demos as part of the evaluation at </w:t>
      </w:r>
      <w:r w:rsidR="00A90738">
        <w:t>this</w:t>
      </w:r>
      <w:r w:rsidR="00C128C9">
        <w:t xml:space="preserve"> stage. Further detail as to how product demos will be scored and evaluated will be communicated as part of the published ITSIT documentation.</w:t>
      </w:r>
    </w:p>
    <w:p w14:paraId="1E61BBC7" w14:textId="77777777" w:rsidR="001C5DF8" w:rsidRPr="002B56D3" w:rsidRDefault="001C5DF8" w:rsidP="001C5DF8">
      <w:pPr>
        <w:pStyle w:val="ListParagraph"/>
      </w:pPr>
    </w:p>
    <w:p w14:paraId="01F5822D" w14:textId="49257516" w:rsidR="00244011" w:rsidRPr="002B56D3" w:rsidRDefault="00244011" w:rsidP="00AD19D7">
      <w:pPr>
        <w:pStyle w:val="ListParagraph"/>
        <w:numPr>
          <w:ilvl w:val="0"/>
          <w:numId w:val="71"/>
        </w:numPr>
      </w:pPr>
      <w:r w:rsidRPr="002B56D3">
        <w:t xml:space="preserve">Once the assessment of initial tenders has concluded, Suppliers will be notified in writing whether they have successfully been invited to Stage 3. </w:t>
      </w:r>
      <w:r w:rsidR="00C80350">
        <w:t>HMRC</w:t>
      </w:r>
      <w:r w:rsidRPr="002B56D3">
        <w:t xml:space="preserve"> intends to shortlist </w:t>
      </w:r>
      <w:r w:rsidRPr="00063EDC">
        <w:t xml:space="preserve">a </w:t>
      </w:r>
      <w:r w:rsidR="00657CE2">
        <w:t>selection of</w:t>
      </w:r>
      <w:r w:rsidRPr="002B56D3">
        <w:t xml:space="preserve"> </w:t>
      </w:r>
      <w:r w:rsidRPr="00063EDC">
        <w:t xml:space="preserve">Suppliers to participate in the </w:t>
      </w:r>
      <w:r w:rsidR="003A406A" w:rsidRPr="00063EDC">
        <w:t>negotiation</w:t>
      </w:r>
      <w:r w:rsidRPr="00063EDC">
        <w:t xml:space="preserve"> stage</w:t>
      </w:r>
      <w:r w:rsidR="00657CE2">
        <w:t>, based on the criteria outlined in the ITSIT documentation</w:t>
      </w:r>
      <w:r w:rsidRPr="002B56D3">
        <w:t xml:space="preserve">. Any Suppliers not invited to participate in Stage 3 will be provided with reasons in writing to explain why they have not been </w:t>
      </w:r>
      <w:r w:rsidRPr="5BA4C3B4">
        <w:t>successful.</w:t>
      </w:r>
    </w:p>
    <w:p w14:paraId="27722687" w14:textId="2B0FE1F1" w:rsidR="000A3C2A" w:rsidRPr="00B12E3F" w:rsidRDefault="000A3C2A" w:rsidP="00320D15">
      <w:pPr>
        <w:keepNext/>
        <w:numPr>
          <w:ilvl w:val="1"/>
          <w:numId w:val="5"/>
        </w:numPr>
        <w:jc w:val="both"/>
        <w:outlineLvl w:val="0"/>
        <w:rPr>
          <w:rFonts w:eastAsiaTheme="majorEastAsia" w:cs="Arial"/>
          <w:b/>
          <w:bCs/>
        </w:rPr>
      </w:pPr>
      <w:r w:rsidRPr="00B12E3F">
        <w:rPr>
          <w:rFonts w:eastAsiaTheme="majorEastAsia" w:cs="Arial"/>
          <w:b/>
          <w:bCs/>
        </w:rPr>
        <w:t xml:space="preserve">Stage </w:t>
      </w:r>
      <w:r w:rsidR="00F9276C" w:rsidRPr="00B12E3F">
        <w:rPr>
          <w:rFonts w:eastAsiaTheme="majorEastAsia" w:cs="Arial"/>
          <w:b/>
          <w:bCs/>
        </w:rPr>
        <w:t>3</w:t>
      </w:r>
      <w:r w:rsidRPr="00B12E3F">
        <w:rPr>
          <w:rFonts w:eastAsiaTheme="majorEastAsia" w:cs="Arial"/>
          <w:b/>
          <w:bCs/>
        </w:rPr>
        <w:t xml:space="preserve">: </w:t>
      </w:r>
      <w:r w:rsidR="00B71F04">
        <w:rPr>
          <w:rFonts w:eastAsiaTheme="majorEastAsia" w:cs="Arial"/>
          <w:b/>
          <w:bCs/>
        </w:rPr>
        <w:t>Negotiation</w:t>
      </w:r>
    </w:p>
    <w:p w14:paraId="774EF54E" w14:textId="3CAB46C2" w:rsidR="001B59BD" w:rsidRDefault="0091603A" w:rsidP="00AD19D7">
      <w:pPr>
        <w:pStyle w:val="ListParagraph"/>
        <w:numPr>
          <w:ilvl w:val="0"/>
          <w:numId w:val="72"/>
        </w:numPr>
      </w:pPr>
      <w:r w:rsidRPr="002B56D3">
        <w:t xml:space="preserve">Stage </w:t>
      </w:r>
      <w:r w:rsidR="00F9276C">
        <w:t>3</w:t>
      </w:r>
      <w:r w:rsidRPr="002B56D3">
        <w:t xml:space="preserve"> will commence with the issuing of a letter inviting Suppliers that have been shortlisted to </w:t>
      </w:r>
      <w:r w:rsidR="008D5AA2">
        <w:t>participate in</w:t>
      </w:r>
      <w:r w:rsidRPr="00063EDC">
        <w:t xml:space="preserve"> </w:t>
      </w:r>
      <w:r w:rsidR="00A9433E">
        <w:t>negotiation</w:t>
      </w:r>
      <w:r w:rsidR="008D5AA2">
        <w:t>s</w:t>
      </w:r>
      <w:r w:rsidR="001B59BD">
        <w:t>.</w:t>
      </w:r>
    </w:p>
    <w:p w14:paraId="38E30ECB" w14:textId="77777777" w:rsidR="00D54595" w:rsidRDefault="00D54595" w:rsidP="00D54595">
      <w:pPr>
        <w:pStyle w:val="ListParagraph"/>
      </w:pPr>
    </w:p>
    <w:p w14:paraId="7D1FE8A1" w14:textId="58F95C93" w:rsidR="00D54595" w:rsidRDefault="00C80350" w:rsidP="00AD19D7">
      <w:pPr>
        <w:pStyle w:val="ListParagraph"/>
        <w:numPr>
          <w:ilvl w:val="0"/>
          <w:numId w:val="72"/>
        </w:numPr>
      </w:pPr>
      <w:r>
        <w:t>HMRC</w:t>
      </w:r>
      <w:r w:rsidR="006052D6">
        <w:t xml:space="preserve"> will also issue </w:t>
      </w:r>
      <w:r w:rsidR="00ED3B82">
        <w:t xml:space="preserve">the </w:t>
      </w:r>
      <w:r w:rsidR="00DC26AC">
        <w:t xml:space="preserve">updated </w:t>
      </w:r>
      <w:r w:rsidR="00ED3B82">
        <w:t>procurement documentation to</w:t>
      </w:r>
      <w:r w:rsidR="006052D6">
        <w:t xml:space="preserve"> all suppliers who have qualified for </w:t>
      </w:r>
      <w:r w:rsidR="00363A69">
        <w:t>S</w:t>
      </w:r>
      <w:r w:rsidR="006052D6">
        <w:t>tage 3</w:t>
      </w:r>
      <w:r w:rsidR="00ED3B82">
        <w:t xml:space="preserve">, should any updates </w:t>
      </w:r>
      <w:r w:rsidR="004D39A4">
        <w:t xml:space="preserve">be made following </w:t>
      </w:r>
      <w:r w:rsidR="0064569E">
        <w:t>S</w:t>
      </w:r>
      <w:r w:rsidR="004D39A4">
        <w:t>tage 2 of the procurement process.</w:t>
      </w:r>
      <w:r w:rsidR="001B59BD">
        <w:t xml:space="preserve"> At </w:t>
      </w:r>
      <w:r w:rsidR="00576B9B">
        <w:t xml:space="preserve">this point in time, </w:t>
      </w:r>
      <w:r>
        <w:t>HMRC</w:t>
      </w:r>
      <w:r w:rsidR="0091603A" w:rsidRPr="002B56D3">
        <w:t xml:space="preserve"> will also describe how the negotiations will be conducted, including the location and dates for the relevant meetings, as well as the attendee arrangements. </w:t>
      </w:r>
    </w:p>
    <w:p w14:paraId="21560C3B" w14:textId="77777777" w:rsidR="00D54595" w:rsidRDefault="00D54595" w:rsidP="00D54595">
      <w:pPr>
        <w:pStyle w:val="ListParagraph"/>
      </w:pPr>
    </w:p>
    <w:p w14:paraId="33510359" w14:textId="57D77DEE" w:rsidR="00D54595" w:rsidRDefault="00401AD2" w:rsidP="00AD19D7">
      <w:pPr>
        <w:pStyle w:val="ListParagraph"/>
        <w:numPr>
          <w:ilvl w:val="0"/>
          <w:numId w:val="72"/>
        </w:numPr>
      </w:pPr>
      <w:r w:rsidRPr="00F174A5">
        <w:t xml:space="preserve">It is anticipated that HMRC will hold at least two rounds of negotiation with shortlisted </w:t>
      </w:r>
      <w:r w:rsidR="00794BD9">
        <w:t>Supplier</w:t>
      </w:r>
      <w:r w:rsidRPr="00A16048">
        <w:t>s</w:t>
      </w:r>
      <w:r w:rsidRPr="00F174A5">
        <w:t>, where HMRC can set priority areas for negotiation, e.g. commercial terms, price,</w:t>
      </w:r>
      <w:r w:rsidRPr="00B12E3F">
        <w:t xml:space="preserve"> contractual flexibility, alignment of responsibilities and </w:t>
      </w:r>
      <w:r w:rsidR="00B71F04">
        <w:t xml:space="preserve">support </w:t>
      </w:r>
      <w:r>
        <w:t>Supplier</w:t>
      </w:r>
      <w:r w:rsidRPr="00B12E3F">
        <w:t xml:space="preserve">s to </w:t>
      </w:r>
      <w:r>
        <w:t>improve the quality of their tender submissions</w:t>
      </w:r>
      <w:r w:rsidR="00D54595">
        <w:t>.</w:t>
      </w:r>
    </w:p>
    <w:p w14:paraId="59BC9946" w14:textId="77777777" w:rsidR="00D54595" w:rsidRPr="00B12E3F" w:rsidRDefault="00D54595" w:rsidP="00D54595">
      <w:pPr>
        <w:pStyle w:val="ListParagraph"/>
      </w:pPr>
    </w:p>
    <w:p w14:paraId="09FCCF22" w14:textId="5CE376A1" w:rsidR="0091603A" w:rsidRDefault="0091603A" w:rsidP="00AD19D7">
      <w:pPr>
        <w:pStyle w:val="ListParagraph"/>
        <w:numPr>
          <w:ilvl w:val="0"/>
          <w:numId w:val="72"/>
        </w:numPr>
      </w:pPr>
      <w:r w:rsidRPr="002B56D3">
        <w:t xml:space="preserve">Stage </w:t>
      </w:r>
      <w:r w:rsidR="00F9276C">
        <w:t>3</w:t>
      </w:r>
      <w:r w:rsidRPr="002B56D3">
        <w:t xml:space="preserve"> will conclude with the issuing of letters to all participating Suppliers confirming the closure of the negotiations.</w:t>
      </w:r>
    </w:p>
    <w:p w14:paraId="78FF0002" w14:textId="747DEE3A" w:rsidR="00003AFA" w:rsidRPr="00B12E3F" w:rsidRDefault="00003AFA" w:rsidP="00320D15">
      <w:pPr>
        <w:keepNext/>
        <w:numPr>
          <w:ilvl w:val="1"/>
          <w:numId w:val="5"/>
        </w:numPr>
        <w:jc w:val="both"/>
        <w:outlineLvl w:val="0"/>
        <w:rPr>
          <w:rFonts w:eastAsiaTheme="majorEastAsia" w:cs="Arial"/>
          <w:b/>
          <w:bCs/>
        </w:rPr>
      </w:pPr>
      <w:r w:rsidRPr="00B12E3F">
        <w:rPr>
          <w:rFonts w:eastAsiaTheme="majorEastAsia" w:cs="Arial"/>
          <w:b/>
          <w:bCs/>
        </w:rPr>
        <w:t xml:space="preserve">Stage </w:t>
      </w:r>
      <w:r w:rsidR="000715D5" w:rsidRPr="00B12E3F">
        <w:rPr>
          <w:rFonts w:eastAsiaTheme="majorEastAsia" w:cs="Arial"/>
          <w:b/>
          <w:bCs/>
        </w:rPr>
        <w:t>4</w:t>
      </w:r>
      <w:r w:rsidRPr="00B12E3F">
        <w:rPr>
          <w:rFonts w:eastAsiaTheme="majorEastAsia" w:cs="Arial"/>
          <w:b/>
          <w:bCs/>
        </w:rPr>
        <w:t xml:space="preserve">: Invitation to </w:t>
      </w:r>
      <w:r w:rsidR="001B59BD" w:rsidRPr="00B12E3F">
        <w:rPr>
          <w:rFonts w:eastAsiaTheme="majorEastAsia" w:cs="Arial"/>
          <w:b/>
          <w:bCs/>
        </w:rPr>
        <w:t>S</w:t>
      </w:r>
      <w:r w:rsidRPr="00B12E3F">
        <w:rPr>
          <w:rFonts w:eastAsiaTheme="majorEastAsia" w:cs="Arial"/>
          <w:b/>
          <w:bCs/>
        </w:rPr>
        <w:t xml:space="preserve">ubmit </w:t>
      </w:r>
      <w:r w:rsidR="001B59BD" w:rsidRPr="00B12E3F">
        <w:rPr>
          <w:rFonts w:eastAsiaTheme="majorEastAsia" w:cs="Arial"/>
          <w:b/>
          <w:bCs/>
        </w:rPr>
        <w:t>F</w:t>
      </w:r>
      <w:r w:rsidRPr="00B12E3F">
        <w:rPr>
          <w:rFonts w:eastAsiaTheme="majorEastAsia" w:cs="Arial"/>
          <w:b/>
          <w:bCs/>
        </w:rPr>
        <w:t xml:space="preserve">inal </w:t>
      </w:r>
      <w:r w:rsidR="001B59BD" w:rsidRPr="00B12E3F">
        <w:rPr>
          <w:rFonts w:eastAsiaTheme="majorEastAsia" w:cs="Arial"/>
          <w:b/>
          <w:bCs/>
        </w:rPr>
        <w:t>Tender</w:t>
      </w:r>
      <w:r w:rsidRPr="00B12E3F">
        <w:rPr>
          <w:rFonts w:eastAsiaTheme="majorEastAsia" w:cs="Arial"/>
          <w:b/>
          <w:bCs/>
        </w:rPr>
        <w:t xml:space="preserve"> (</w:t>
      </w:r>
      <w:r w:rsidR="00E75A34" w:rsidRPr="00B12E3F">
        <w:rPr>
          <w:rFonts w:eastAsiaTheme="majorEastAsia" w:cs="Arial"/>
          <w:b/>
          <w:bCs/>
        </w:rPr>
        <w:t>ITSFT</w:t>
      </w:r>
      <w:r w:rsidRPr="00B12E3F">
        <w:rPr>
          <w:rFonts w:eastAsiaTheme="majorEastAsia" w:cs="Arial"/>
          <w:b/>
          <w:bCs/>
        </w:rPr>
        <w:t>)</w:t>
      </w:r>
    </w:p>
    <w:p w14:paraId="22995B40" w14:textId="5960C49C" w:rsidR="00A41256" w:rsidRDefault="000716F6" w:rsidP="008D5AA2">
      <w:pPr>
        <w:pStyle w:val="ListParagraph"/>
        <w:numPr>
          <w:ilvl w:val="0"/>
          <w:numId w:val="73"/>
        </w:numPr>
      </w:pPr>
      <w:r w:rsidRPr="002B56D3">
        <w:t xml:space="preserve">Following the conclusion of negotiations, </w:t>
      </w:r>
      <w:r w:rsidR="00794BD9">
        <w:t>Supplier</w:t>
      </w:r>
      <w:r w:rsidRPr="00A16048">
        <w:t>s</w:t>
      </w:r>
      <w:r w:rsidRPr="002B56D3">
        <w:t xml:space="preserve"> will be invited to submit final tenders. Final tenders must be submitted in accordance with the timetable and instructions </w:t>
      </w:r>
      <w:r w:rsidR="00B94558">
        <w:t xml:space="preserve">as will be </w:t>
      </w:r>
      <w:r w:rsidRPr="002B56D3">
        <w:t xml:space="preserve">set out </w:t>
      </w:r>
      <w:r w:rsidR="00B94558">
        <w:t>within</w:t>
      </w:r>
      <w:r w:rsidRPr="002B56D3">
        <w:t xml:space="preserve"> </w:t>
      </w:r>
      <w:r w:rsidR="00576B9B" w:rsidRPr="002B56D3">
        <w:t>t</w:t>
      </w:r>
      <w:r w:rsidR="00576B9B">
        <w:t xml:space="preserve">he </w:t>
      </w:r>
      <w:r w:rsidR="00B94558">
        <w:t>published ITSFT</w:t>
      </w:r>
      <w:r w:rsidR="00576B9B">
        <w:t xml:space="preserve"> documentation</w:t>
      </w:r>
      <w:r w:rsidR="00576B9B" w:rsidRPr="002B56D3">
        <w:t xml:space="preserve"> </w:t>
      </w:r>
      <w:r w:rsidRPr="002B56D3">
        <w:t>and any additional information provided.</w:t>
      </w:r>
    </w:p>
    <w:p w14:paraId="2D4D8AEF" w14:textId="670A96EC" w:rsidR="00A41256" w:rsidRDefault="001B4EA6" w:rsidP="00AD19D7">
      <w:pPr>
        <w:pStyle w:val="ListParagraph"/>
        <w:numPr>
          <w:ilvl w:val="0"/>
          <w:numId w:val="73"/>
        </w:numPr>
      </w:pPr>
      <w:r w:rsidRPr="00A16048">
        <w:lastRenderedPageBreak/>
        <w:t>Suppliers may be invited to present product demos at the ITSFT stage; HMRC retain the right to assess these as part of the ITSFT evaluation. The inclusion or exclusion of product demos within the ITSFT stage will be communicated within the published ITSFT documentation.</w:t>
      </w:r>
    </w:p>
    <w:p w14:paraId="33DC80FF" w14:textId="77777777" w:rsidR="00A41256" w:rsidRPr="00A16048" w:rsidRDefault="00A41256" w:rsidP="00A41256">
      <w:pPr>
        <w:pStyle w:val="ListParagraph"/>
      </w:pPr>
    </w:p>
    <w:p w14:paraId="2EEB7B88" w14:textId="6C6164A2" w:rsidR="00A41256" w:rsidRDefault="00AF13CC" w:rsidP="00AD19D7">
      <w:pPr>
        <w:pStyle w:val="ListParagraph"/>
        <w:numPr>
          <w:ilvl w:val="0"/>
          <w:numId w:val="73"/>
        </w:numPr>
      </w:pPr>
      <w:r>
        <w:t>HMRC</w:t>
      </w:r>
      <w:r w:rsidR="005C5FEA" w:rsidRPr="005C5FEA">
        <w:t xml:space="preserve"> may seek to arrange clarification sessions during the </w:t>
      </w:r>
      <w:r w:rsidR="005C5FEA">
        <w:t>ITSFT</w:t>
      </w:r>
      <w:r w:rsidR="005C5FEA" w:rsidRPr="005C5FEA">
        <w:t xml:space="preserve"> response period (see Procurement Timetable). Suppliers will be advised if any such sessions are to be ran and the details of any session would be confirmed as part of any invite sent.</w:t>
      </w:r>
    </w:p>
    <w:p w14:paraId="4762A89D" w14:textId="77777777" w:rsidR="00A41256" w:rsidRPr="00A16048" w:rsidRDefault="00A41256" w:rsidP="00A41256">
      <w:pPr>
        <w:pStyle w:val="ListParagraph"/>
      </w:pPr>
    </w:p>
    <w:p w14:paraId="13D3D9DE" w14:textId="02026C23" w:rsidR="00A41256" w:rsidRDefault="00D965E8" w:rsidP="00AD19D7">
      <w:pPr>
        <w:pStyle w:val="ListParagraph"/>
        <w:numPr>
          <w:ilvl w:val="0"/>
          <w:numId w:val="73"/>
        </w:numPr>
      </w:pPr>
      <w:r w:rsidRPr="000B37B7">
        <w:t xml:space="preserve">After the deadline for submission of final tenders, </w:t>
      </w:r>
      <w:r w:rsidR="00C80350">
        <w:t>HMRC</w:t>
      </w:r>
      <w:r w:rsidRPr="000B37B7">
        <w:t xml:space="preserve"> will consider, in respect of each Supplier that submitted a </w:t>
      </w:r>
      <w:r w:rsidR="00AC3A65" w:rsidRPr="000B37B7">
        <w:t>response</w:t>
      </w:r>
      <w:r w:rsidRPr="000B37B7">
        <w:t xml:space="preserve">, whether the Supplier or any related persons within its corporate group, associated persons relied on to meet the conditions of participation, or proposed sub-contractors, are excluded or excludable Suppliers and will consider whether to disregard the </w:t>
      </w:r>
      <w:r w:rsidR="00AC3A65" w:rsidRPr="000B37B7">
        <w:t>response</w:t>
      </w:r>
      <w:r w:rsidRPr="000B37B7">
        <w:t xml:space="preserve"> submitted in accordance with its obligations under the Act. </w:t>
      </w:r>
    </w:p>
    <w:p w14:paraId="2E6FD890" w14:textId="77777777" w:rsidR="00A41256" w:rsidRDefault="00A41256" w:rsidP="00A41256">
      <w:pPr>
        <w:pStyle w:val="ListParagraph"/>
      </w:pPr>
    </w:p>
    <w:p w14:paraId="09254A28" w14:textId="3655A2F1" w:rsidR="00A41256" w:rsidRDefault="00D965E8" w:rsidP="00AD19D7">
      <w:pPr>
        <w:pStyle w:val="ListParagraph"/>
        <w:numPr>
          <w:ilvl w:val="0"/>
          <w:numId w:val="73"/>
        </w:numPr>
      </w:pPr>
      <w:r w:rsidRPr="000B37B7">
        <w:t>If the Supplier is an excluded or excludable Supplier only by virtue of an associated person or proposed sub-contractor</w:t>
      </w:r>
      <w:r w:rsidR="00390D79">
        <w:t xml:space="preserve"> (as defined in the Act)</w:t>
      </w:r>
      <w:r w:rsidRPr="000B37B7">
        <w:t xml:space="preserve">, </w:t>
      </w:r>
      <w:r w:rsidR="00C80350">
        <w:t>HMRC</w:t>
      </w:r>
      <w:r w:rsidRPr="000B37B7">
        <w:t xml:space="preserve"> will notify the Supplier of its intention to disregard its </w:t>
      </w:r>
      <w:r w:rsidR="00AC3A65" w:rsidRPr="000B37B7">
        <w:t>response</w:t>
      </w:r>
      <w:r w:rsidRPr="000B37B7">
        <w:t xml:space="preserve"> and provide the Supplier with reasonable opportunity to replace the associated person or sub-contractor. If as a consequence of this process </w:t>
      </w:r>
      <w:r w:rsidR="00C80350">
        <w:t>HMRC</w:t>
      </w:r>
      <w:r w:rsidRPr="000B37B7">
        <w:t xml:space="preserve"> disregards a </w:t>
      </w:r>
      <w:r w:rsidR="00AC3A65" w:rsidRPr="000B37B7">
        <w:t>response</w:t>
      </w:r>
      <w:r w:rsidRPr="000B37B7">
        <w:t xml:space="preserve"> from an excluded or excludable </w:t>
      </w:r>
      <w:proofErr w:type="gramStart"/>
      <w:r w:rsidRPr="000B37B7">
        <w:t>Supplier, or</w:t>
      </w:r>
      <w:proofErr w:type="gramEnd"/>
      <w:r w:rsidRPr="000B37B7">
        <w:t xml:space="preserve"> is aware of an associated person or sub-contractor having been replaced, it will give notice of this fact within 30 days of its decision to the Procurement Review Unit (PRU).</w:t>
      </w:r>
    </w:p>
    <w:p w14:paraId="69AC116C" w14:textId="77777777" w:rsidR="00A41256" w:rsidRPr="000B37B7" w:rsidRDefault="00A41256" w:rsidP="00A41256">
      <w:pPr>
        <w:pStyle w:val="ListParagraph"/>
      </w:pPr>
    </w:p>
    <w:p w14:paraId="38FF6B3E" w14:textId="596A8E73" w:rsidR="00E069E2" w:rsidRDefault="00C80350" w:rsidP="00AD19D7">
      <w:pPr>
        <w:pStyle w:val="ListParagraph"/>
        <w:numPr>
          <w:ilvl w:val="0"/>
          <w:numId w:val="73"/>
        </w:numPr>
      </w:pPr>
      <w:r>
        <w:t>HMRC</w:t>
      </w:r>
      <w:r w:rsidR="00D965E8" w:rsidRPr="00E538FD">
        <w:t xml:space="preserve"> will </w:t>
      </w:r>
      <w:proofErr w:type="gramStart"/>
      <w:r w:rsidR="00D965E8" w:rsidRPr="00E538FD">
        <w:t>conduct an assessment of</w:t>
      </w:r>
      <w:proofErr w:type="gramEnd"/>
      <w:r w:rsidR="00D965E8" w:rsidRPr="00E538FD">
        <w:t xml:space="preserve"> all </w:t>
      </w:r>
      <w:r w:rsidR="00636E05">
        <w:t xml:space="preserve">ITSFT responses </w:t>
      </w:r>
      <w:r w:rsidR="00100042">
        <w:t xml:space="preserve">in </w:t>
      </w:r>
      <w:r w:rsidR="00D965E8" w:rsidRPr="00E538FD">
        <w:t>accordance with</w:t>
      </w:r>
      <w:r w:rsidR="00A0287C" w:rsidRPr="00E538FD">
        <w:t xml:space="preserve"> </w:t>
      </w:r>
      <w:r w:rsidR="00CC79C3" w:rsidRPr="00E538FD">
        <w:t xml:space="preserve">the assessment methodology and award criteria set out in </w:t>
      </w:r>
      <w:r w:rsidR="00AF02AE">
        <w:t>the ITSFT documentation.</w:t>
      </w:r>
      <w:r w:rsidR="00E069E2">
        <w:t xml:space="preserve"> In carrying out this assessment, </w:t>
      </w:r>
      <w:r>
        <w:t>HMRC</w:t>
      </w:r>
      <w:r w:rsidR="00E069E2">
        <w:t xml:space="preserve"> may disregard a tender:</w:t>
      </w:r>
    </w:p>
    <w:p w14:paraId="39C20B9B" w14:textId="4FF2C4F6" w:rsidR="00E069E2" w:rsidRDefault="00E069E2" w:rsidP="00AD19D7">
      <w:pPr>
        <w:pStyle w:val="ListParagraph"/>
        <w:numPr>
          <w:ilvl w:val="2"/>
          <w:numId w:val="74"/>
        </w:numPr>
        <w:ind w:left="1276" w:hanging="142"/>
      </w:pPr>
      <w:r>
        <w:t>from a Supplier that is not a United Kingdom Supplier or a treaty state Supplier or that intends to sub-contract the performance of all or part of the Contract to a Supplier that is not a United Kingdom Supplier or a treaty state Supplier; or</w:t>
      </w:r>
    </w:p>
    <w:p w14:paraId="64440A3B" w14:textId="098B14A0" w:rsidR="00E069E2" w:rsidRDefault="00E069E2" w:rsidP="00AD19D7">
      <w:pPr>
        <w:pStyle w:val="ListParagraph"/>
        <w:numPr>
          <w:ilvl w:val="2"/>
          <w:numId w:val="74"/>
        </w:numPr>
        <w:ind w:left="1276" w:hanging="142"/>
      </w:pPr>
      <w:r>
        <w:t xml:space="preserve">if the tender breaches a procedural requirement set out in the Tender Notice or associated tender documents; or </w:t>
      </w:r>
    </w:p>
    <w:p w14:paraId="214959DE" w14:textId="70638A15" w:rsidR="00E069E2" w:rsidRDefault="00E069E2" w:rsidP="00AD19D7">
      <w:pPr>
        <w:pStyle w:val="ListParagraph"/>
        <w:numPr>
          <w:ilvl w:val="2"/>
          <w:numId w:val="74"/>
        </w:numPr>
        <w:ind w:left="1276" w:hanging="142"/>
      </w:pPr>
      <w:r>
        <w:t xml:space="preserve">if the tender offers a price that </w:t>
      </w:r>
      <w:r w:rsidR="00C80350">
        <w:t>HMRC</w:t>
      </w:r>
      <w:r>
        <w:t xml:space="preserve"> considers to be abnormally low for the performance of the Contract. Where </w:t>
      </w:r>
      <w:r w:rsidR="00C80350">
        <w:t>HMRC</w:t>
      </w:r>
      <w:r>
        <w:t xml:space="preserve"> considers that a price offered by a Supplier in its tender is abnormally low, </w:t>
      </w:r>
      <w:r w:rsidR="00C80350">
        <w:t>HMRC</w:t>
      </w:r>
      <w:r>
        <w:t xml:space="preserve"> will notify the Supplier and give the Supplier reasonable opportunity to demonstrate that it will be able to perform the contract for the price offered. </w:t>
      </w:r>
      <w:r w:rsidR="00390D79">
        <w:t>I</w:t>
      </w:r>
      <w:r w:rsidR="00390D79" w:rsidRPr="00390D79">
        <w:t>f</w:t>
      </w:r>
      <w:r>
        <w:t xml:space="preserve"> the Supplier </w:t>
      </w:r>
      <w:r w:rsidR="00390D79" w:rsidRPr="00390D79">
        <w:t xml:space="preserve">demonstrates to HMRC's </w:t>
      </w:r>
      <w:r>
        <w:t xml:space="preserve">that it will </w:t>
      </w:r>
      <w:r w:rsidR="00390D79" w:rsidRPr="00390D79">
        <w:t xml:space="preserve">not </w:t>
      </w:r>
      <w:r>
        <w:t>be able to perform the Contract for the price offered</w:t>
      </w:r>
      <w:r w:rsidR="00390D79" w:rsidRPr="00390D79">
        <w:t>, HMRC may disregard the tender</w:t>
      </w:r>
      <w:r w:rsidR="00390D79">
        <w:t>.</w:t>
      </w:r>
      <w:r w:rsidR="4981C116">
        <w:t xml:space="preserve"> For the avoidance of doubt, the provisions of Section 19 of the Act shall apply. </w:t>
      </w:r>
    </w:p>
    <w:p w14:paraId="047240A6" w14:textId="77777777" w:rsidR="008D5AA2" w:rsidRDefault="008D5AA2" w:rsidP="008D5AA2">
      <w:pPr>
        <w:pStyle w:val="ListParagraph"/>
        <w:ind w:left="1276"/>
      </w:pPr>
    </w:p>
    <w:p w14:paraId="6A6B0DA4" w14:textId="14366E1F" w:rsidR="00CC79C3" w:rsidRPr="00063EDC" w:rsidRDefault="00CC79C3" w:rsidP="00AD19D7">
      <w:pPr>
        <w:pStyle w:val="ListParagraph"/>
        <w:numPr>
          <w:ilvl w:val="0"/>
          <w:numId w:val="73"/>
        </w:numPr>
      </w:pPr>
      <w:r w:rsidRPr="00063EDC">
        <w:t xml:space="preserve">Once the assessment has concluded, </w:t>
      </w:r>
      <w:r w:rsidR="00C80350">
        <w:t>HMRC</w:t>
      </w:r>
      <w:r w:rsidRPr="00063EDC">
        <w:t xml:space="preserve"> will provide an assessment summary to all Suppliers that submitted final tenders to:</w:t>
      </w:r>
    </w:p>
    <w:p w14:paraId="27F744FD" w14:textId="190A6232" w:rsidR="00CC79C3" w:rsidRPr="00E538FD" w:rsidRDefault="00CC79C3" w:rsidP="00AD19D7">
      <w:pPr>
        <w:pStyle w:val="ListParagraph"/>
        <w:numPr>
          <w:ilvl w:val="0"/>
          <w:numId w:val="75"/>
        </w:numPr>
        <w:ind w:left="1276" w:hanging="142"/>
      </w:pPr>
      <w:r w:rsidRPr="00E538FD">
        <w:t xml:space="preserve">inform them whether they have been successful in being awarded the </w:t>
      </w:r>
      <w:proofErr w:type="gramStart"/>
      <w:r w:rsidRPr="00E538FD">
        <w:t>Contract</w:t>
      </w:r>
      <w:r w:rsidR="00747538">
        <w:t>;</w:t>
      </w:r>
      <w:proofErr w:type="gramEnd"/>
    </w:p>
    <w:p w14:paraId="541E73C7" w14:textId="659D4CEE" w:rsidR="00CC79C3" w:rsidRPr="00E538FD" w:rsidRDefault="00CC79C3" w:rsidP="00AD19D7">
      <w:pPr>
        <w:pStyle w:val="ListParagraph"/>
        <w:numPr>
          <w:ilvl w:val="0"/>
          <w:numId w:val="75"/>
        </w:numPr>
        <w:ind w:left="1276" w:hanging="142"/>
      </w:pPr>
      <w:r w:rsidRPr="00E867AD">
        <w:t xml:space="preserve">provide an explanation of the assessment of the Supplier’s </w:t>
      </w:r>
      <w:r w:rsidR="00AC3A65" w:rsidRPr="00E867AD">
        <w:t>response</w:t>
      </w:r>
      <w:r w:rsidRPr="00E867AD">
        <w:t xml:space="preserve"> against the</w:t>
      </w:r>
      <w:r w:rsidRPr="00E538FD">
        <w:t xml:space="preserve"> relevant award criteria, in accordance with the requirements of the Act</w:t>
      </w:r>
      <w:r w:rsidR="00391B31">
        <w:t>;</w:t>
      </w:r>
      <w:r w:rsidR="00747538">
        <w:t xml:space="preserve"> and</w:t>
      </w:r>
    </w:p>
    <w:p w14:paraId="2F4C7947" w14:textId="5BD41776" w:rsidR="00CC79C3" w:rsidRDefault="00CC79C3" w:rsidP="00AD19D7">
      <w:pPr>
        <w:pStyle w:val="ListParagraph"/>
        <w:numPr>
          <w:ilvl w:val="0"/>
          <w:numId w:val="75"/>
        </w:numPr>
        <w:ind w:left="1276" w:hanging="142"/>
      </w:pPr>
      <w:r w:rsidRPr="00391B31">
        <w:lastRenderedPageBreak/>
        <w:t xml:space="preserve">where different to the Supplier concerned, provide information in respect of the most advantageous </w:t>
      </w:r>
      <w:r w:rsidR="00AC3A65" w:rsidRPr="00391B31">
        <w:t>response</w:t>
      </w:r>
      <w:r w:rsidRPr="00391B31">
        <w:t xml:space="preserve"> submitted, including details of the assessment of </w:t>
      </w:r>
      <w:r w:rsidR="00594829">
        <w:t>the tender</w:t>
      </w:r>
      <w:r w:rsidRPr="00391B31">
        <w:t xml:space="preserve"> against the relevant award criteria and the Supplier’s name</w:t>
      </w:r>
      <w:r w:rsidR="00100042" w:rsidRPr="00391B31">
        <w:t>.</w:t>
      </w:r>
    </w:p>
    <w:p w14:paraId="209AA839" w14:textId="77777777" w:rsidR="008D5AA2" w:rsidRPr="00391B31" w:rsidRDefault="008D5AA2" w:rsidP="008D5AA2">
      <w:pPr>
        <w:pStyle w:val="ListParagraph"/>
        <w:ind w:left="1276"/>
      </w:pPr>
    </w:p>
    <w:p w14:paraId="23D5666C" w14:textId="06A32B43" w:rsidR="00CC79C3" w:rsidRDefault="00CC79C3" w:rsidP="00AD19D7">
      <w:pPr>
        <w:pStyle w:val="ListParagraph"/>
        <w:numPr>
          <w:ilvl w:val="0"/>
          <w:numId w:val="73"/>
        </w:numPr>
      </w:pPr>
      <w:r w:rsidRPr="00E538FD">
        <w:t xml:space="preserve">Once the assessment summaries have been provided to the Suppliers that submitted final tenders, </w:t>
      </w:r>
      <w:r w:rsidR="00C80350">
        <w:t>HMRC</w:t>
      </w:r>
      <w:r w:rsidRPr="00E538FD">
        <w:t xml:space="preserve"> will also publish a </w:t>
      </w:r>
      <w:r w:rsidR="004F3058">
        <w:t>C</w:t>
      </w:r>
      <w:r w:rsidRPr="00E538FD">
        <w:t xml:space="preserve">ontract </w:t>
      </w:r>
      <w:r w:rsidR="004F3058">
        <w:t>A</w:t>
      </w:r>
      <w:r w:rsidRPr="00E538FD">
        <w:t xml:space="preserve">ward </w:t>
      </w:r>
      <w:r w:rsidR="00DF293F">
        <w:t>N</w:t>
      </w:r>
      <w:r w:rsidRPr="00E538FD">
        <w:t>otice on the Central Digital Platform to commence the mandatory standstill period.</w:t>
      </w:r>
    </w:p>
    <w:p w14:paraId="4ACE2BDF" w14:textId="77777777" w:rsidR="000972A0" w:rsidRDefault="000972A0" w:rsidP="000972A0">
      <w:pPr>
        <w:pStyle w:val="ListParagraph"/>
      </w:pPr>
    </w:p>
    <w:p w14:paraId="6A2972D1" w14:textId="6314B4D6" w:rsidR="000972A0" w:rsidRDefault="00C07A29" w:rsidP="00AD19D7">
      <w:pPr>
        <w:pStyle w:val="ListParagraph"/>
        <w:numPr>
          <w:ilvl w:val="0"/>
          <w:numId w:val="73"/>
        </w:numPr>
      </w:pPr>
      <w:r>
        <w:t xml:space="preserve">Prior to contract award, </w:t>
      </w:r>
      <w:r w:rsidR="00630ABE">
        <w:t xml:space="preserve">HMRC may seek to </w:t>
      </w:r>
      <w:r>
        <w:t xml:space="preserve">verify the information provided by the </w:t>
      </w:r>
      <w:r w:rsidR="005A7CE5">
        <w:t>preferred</w:t>
      </w:r>
      <w:r>
        <w:t xml:space="preserve"> </w:t>
      </w:r>
      <w:r w:rsidR="00794BD9">
        <w:t>Supplier</w:t>
      </w:r>
      <w:r>
        <w:t xml:space="preserve"> during the course of this procurement process.</w:t>
      </w:r>
      <w:r w:rsidR="00630ABE" w:rsidRPr="00630ABE">
        <w:t xml:space="preserve"> </w:t>
      </w:r>
      <w:r>
        <w:t xml:space="preserve">If the </w:t>
      </w:r>
      <w:r w:rsidR="00961533">
        <w:t>p</w:t>
      </w:r>
      <w:r w:rsidR="00630ABE" w:rsidRPr="00630ABE">
        <w:t>referred</w:t>
      </w:r>
      <w:r w:rsidR="00630ABE" w:rsidRPr="00630ABE" w:rsidDel="005F7300">
        <w:t xml:space="preserve"> </w:t>
      </w:r>
      <w:r w:rsidR="005F7300">
        <w:t>Supplier</w:t>
      </w:r>
      <w:r w:rsidR="00630ABE" w:rsidRPr="00630ABE">
        <w:t xml:space="preserve"> </w:t>
      </w:r>
      <w:r>
        <w:t>fails to</w:t>
      </w:r>
      <w:r w:rsidR="00630ABE" w:rsidRPr="00630ABE">
        <w:t xml:space="preserve"> supply any evidence requested in accordance with any timescales specified by HMRC or any evidence reviewed by HMRC (whose decision shall be final) is </w:t>
      </w:r>
      <w:r w:rsidR="00BB15D8">
        <w:t xml:space="preserve">deemed </w:t>
      </w:r>
      <w:r w:rsidR="008927D1">
        <w:t xml:space="preserve">non-compliant, the </w:t>
      </w:r>
      <w:r w:rsidR="00961533">
        <w:t>p</w:t>
      </w:r>
      <w:r w:rsidR="008927D1">
        <w:t xml:space="preserve">referred </w:t>
      </w:r>
      <w:r w:rsidR="005F7300">
        <w:t>Supplier</w:t>
      </w:r>
      <w:r w:rsidR="008927D1">
        <w:t xml:space="preserve"> may be excluded from the procurement process.</w:t>
      </w:r>
      <w:r w:rsidR="00630ABE" w:rsidRPr="00630ABE">
        <w:t xml:space="preserve"> </w:t>
      </w:r>
    </w:p>
    <w:p w14:paraId="03375C65" w14:textId="77777777" w:rsidR="000972A0" w:rsidRDefault="000972A0" w:rsidP="000972A0">
      <w:pPr>
        <w:pStyle w:val="ListParagraph"/>
      </w:pPr>
    </w:p>
    <w:p w14:paraId="2D0E0AC2" w14:textId="517F67E7" w:rsidR="000972A0" w:rsidRDefault="00630ABE" w:rsidP="00AD19D7">
      <w:pPr>
        <w:pStyle w:val="ListParagraph"/>
        <w:numPr>
          <w:ilvl w:val="0"/>
          <w:numId w:val="73"/>
        </w:numPr>
      </w:pPr>
      <w:r w:rsidRPr="00630ABE" w:rsidDel="008927D1">
        <w:t>HMRC may</w:t>
      </w:r>
      <w:r w:rsidRPr="00630ABE">
        <w:t xml:space="preserve">, at any point in the </w:t>
      </w:r>
      <w:r w:rsidR="004452DB">
        <w:t>procurement process</w:t>
      </w:r>
      <w:r w:rsidRPr="00630ABE">
        <w:t xml:space="preserve">, also carry out searches of relevant third-party databases to corroborate any information provided by </w:t>
      </w:r>
      <w:r w:rsidR="008D5AA2">
        <w:t>a Supplier</w:t>
      </w:r>
      <w:r w:rsidRPr="00630ABE">
        <w:t xml:space="preserve"> and, by participating in this </w:t>
      </w:r>
      <w:r w:rsidR="00016DD4">
        <w:t>procurement process</w:t>
      </w:r>
      <w:r w:rsidRPr="00630ABE">
        <w:t>, you grant your consent to HMRC to carry out such searches.</w:t>
      </w:r>
    </w:p>
    <w:p w14:paraId="60544C11" w14:textId="77777777" w:rsidR="000972A0" w:rsidRPr="00E538FD" w:rsidRDefault="000972A0" w:rsidP="000972A0">
      <w:pPr>
        <w:pStyle w:val="ListParagraph"/>
      </w:pPr>
    </w:p>
    <w:p w14:paraId="4CC6F79A" w14:textId="4CE5B567" w:rsidR="00CC79C3" w:rsidRPr="00E538FD" w:rsidRDefault="00CC79C3" w:rsidP="00AD19D7">
      <w:pPr>
        <w:pStyle w:val="ListParagraph"/>
        <w:numPr>
          <w:ilvl w:val="0"/>
          <w:numId w:val="73"/>
        </w:numPr>
      </w:pPr>
      <w:r w:rsidRPr="00E538FD">
        <w:t xml:space="preserve">Subject to completion of the mandatory standstill period, Stage </w:t>
      </w:r>
      <w:r w:rsidR="001125AF">
        <w:t>4</w:t>
      </w:r>
      <w:r w:rsidRPr="00E538FD">
        <w:t xml:space="preserve"> will end with </w:t>
      </w:r>
      <w:r w:rsidR="00C80350">
        <w:t>HMRC</w:t>
      </w:r>
      <w:r w:rsidRPr="00E538FD">
        <w:t xml:space="preserve"> entering into the Contract with the preferred Supplier and publication of a</w:t>
      </w:r>
      <w:r w:rsidR="00310CED">
        <w:t xml:space="preserve"> </w:t>
      </w:r>
      <w:r w:rsidRPr="00E538FD">
        <w:t xml:space="preserve">Contract Details Notice on the Central Digital Platform (within 30 days of the date on which the Contract is entered into). Where appropriate, a copy of the Contract may also be published on the Central Digital Platform. </w:t>
      </w:r>
    </w:p>
    <w:p w14:paraId="25B4E138" w14:textId="4C131E7E" w:rsidR="00173C5D" w:rsidRPr="00957A1F" w:rsidRDefault="00E64BC2" w:rsidP="00320D15">
      <w:pPr>
        <w:pStyle w:val="Head2"/>
        <w:pageBreakBefore/>
        <w:numPr>
          <w:ilvl w:val="0"/>
          <w:numId w:val="5"/>
        </w:numPr>
        <w:spacing w:before="240"/>
        <w:rPr>
          <w:rFonts w:cs="Arial"/>
          <w:b/>
          <w:bCs/>
          <w:color w:val="009999"/>
          <w:sz w:val="24"/>
          <w:szCs w:val="24"/>
        </w:rPr>
      </w:pPr>
      <w:bookmarkStart w:id="9" w:name="_Toc203730828"/>
      <w:r>
        <w:rPr>
          <w:rFonts w:cs="Arial"/>
          <w:b/>
          <w:bCs/>
          <w:color w:val="009999"/>
          <w:sz w:val="24"/>
          <w:szCs w:val="24"/>
        </w:rPr>
        <w:lastRenderedPageBreak/>
        <w:t>PROCUREMENT</w:t>
      </w:r>
      <w:r w:rsidR="00EA3670" w:rsidRPr="00957A1F">
        <w:rPr>
          <w:rFonts w:cs="Arial"/>
          <w:b/>
          <w:bCs/>
          <w:color w:val="009999"/>
          <w:sz w:val="24"/>
          <w:szCs w:val="24"/>
        </w:rPr>
        <w:t xml:space="preserve"> </w:t>
      </w:r>
      <w:r w:rsidR="003A2691" w:rsidRPr="00957A1F">
        <w:rPr>
          <w:rFonts w:cs="Arial"/>
          <w:b/>
          <w:bCs/>
          <w:color w:val="009999"/>
          <w:sz w:val="24"/>
          <w:szCs w:val="24"/>
        </w:rPr>
        <w:t>TIME</w:t>
      </w:r>
      <w:r w:rsidR="00EA3670" w:rsidRPr="00957A1F">
        <w:rPr>
          <w:rFonts w:cs="Arial"/>
          <w:b/>
          <w:bCs/>
          <w:color w:val="009999"/>
          <w:sz w:val="24"/>
          <w:szCs w:val="24"/>
        </w:rPr>
        <w:t>TABLE</w:t>
      </w:r>
      <w:bookmarkEnd w:id="9"/>
    </w:p>
    <w:p w14:paraId="50289A03" w14:textId="22A97A06" w:rsidR="00D54595" w:rsidRDefault="00EA3670" w:rsidP="00D54595">
      <w:pPr>
        <w:pStyle w:val="ListParagraph"/>
        <w:numPr>
          <w:ilvl w:val="1"/>
          <w:numId w:val="5"/>
        </w:numPr>
        <w:rPr>
          <w:rFonts w:eastAsiaTheme="majorEastAsia" w:cs="Arial"/>
        </w:rPr>
      </w:pPr>
      <w:bookmarkStart w:id="10" w:name="_Toc198554153"/>
      <w:bookmarkStart w:id="11" w:name="_Toc198554253"/>
      <w:bookmarkStart w:id="12" w:name="_Toc198554154"/>
      <w:bookmarkStart w:id="13" w:name="_Toc198554254"/>
      <w:bookmarkEnd w:id="10"/>
      <w:bookmarkEnd w:id="11"/>
      <w:bookmarkEnd w:id="12"/>
      <w:bookmarkEnd w:id="13"/>
      <w:r w:rsidRPr="00D54595">
        <w:rPr>
          <w:rFonts w:eastAsiaTheme="majorEastAsia" w:cs="Arial"/>
        </w:rPr>
        <w:t>The anticipated timetable for this procurement is outline</w:t>
      </w:r>
      <w:r w:rsidR="00E56594" w:rsidRPr="00D54595">
        <w:rPr>
          <w:rFonts w:eastAsiaTheme="majorEastAsia" w:cs="Arial"/>
        </w:rPr>
        <w:t>d</w:t>
      </w:r>
      <w:r w:rsidRPr="00D54595">
        <w:rPr>
          <w:rFonts w:eastAsiaTheme="majorEastAsia" w:cs="Arial"/>
        </w:rPr>
        <w:t xml:space="preserve"> </w:t>
      </w:r>
      <w:r w:rsidR="00E849F9" w:rsidRPr="00D54595">
        <w:rPr>
          <w:rFonts w:eastAsiaTheme="majorEastAsia" w:cs="Arial"/>
        </w:rPr>
        <w:t xml:space="preserve">in </w:t>
      </w:r>
      <w:r w:rsidR="008F011B" w:rsidRPr="00D54595">
        <w:rPr>
          <w:rFonts w:eastAsiaTheme="majorEastAsia" w:cs="Arial"/>
        </w:rPr>
        <w:t xml:space="preserve">the table </w:t>
      </w:r>
      <w:r w:rsidRPr="00D54595">
        <w:rPr>
          <w:rFonts w:eastAsiaTheme="majorEastAsia" w:cs="Arial"/>
        </w:rPr>
        <w:t>below</w:t>
      </w:r>
      <w:r w:rsidR="00E849F9" w:rsidRPr="00D54595">
        <w:rPr>
          <w:rFonts w:eastAsiaTheme="majorEastAsia" w:cs="Arial"/>
        </w:rPr>
        <w:t xml:space="preserve"> (the ‘Procurement Timetable’)</w:t>
      </w:r>
      <w:r w:rsidRPr="00D54595">
        <w:rPr>
          <w:rFonts w:eastAsiaTheme="majorEastAsia" w:cs="Arial"/>
        </w:rPr>
        <w:t xml:space="preserve">. This is intended </w:t>
      </w:r>
      <w:r w:rsidR="004458A6" w:rsidRPr="00D54595">
        <w:rPr>
          <w:rFonts w:eastAsiaTheme="majorEastAsia" w:cs="Arial"/>
        </w:rPr>
        <w:t xml:space="preserve">as a guide only and </w:t>
      </w:r>
      <w:r w:rsidR="00103719" w:rsidRPr="00D54595">
        <w:rPr>
          <w:rFonts w:eastAsiaTheme="majorEastAsia" w:cs="Arial"/>
        </w:rPr>
        <w:t>HMRC</w:t>
      </w:r>
      <w:r w:rsidR="00906F17" w:rsidRPr="00D54595">
        <w:rPr>
          <w:rFonts w:eastAsiaTheme="majorEastAsia" w:cs="Arial"/>
        </w:rPr>
        <w:t xml:space="preserve"> reserve the right to adjust th</w:t>
      </w:r>
      <w:r w:rsidR="004D475F" w:rsidRPr="00D54595">
        <w:rPr>
          <w:rFonts w:eastAsiaTheme="majorEastAsia" w:cs="Arial"/>
        </w:rPr>
        <w:t>is</w:t>
      </w:r>
      <w:r w:rsidR="00906F17" w:rsidRPr="00D54595">
        <w:rPr>
          <w:rFonts w:eastAsiaTheme="majorEastAsia" w:cs="Arial"/>
        </w:rPr>
        <w:t xml:space="preserve"> timetable</w:t>
      </w:r>
      <w:r w:rsidR="003956DA" w:rsidRPr="00D54595">
        <w:rPr>
          <w:rFonts w:eastAsiaTheme="majorEastAsia" w:cs="Arial"/>
        </w:rPr>
        <w:t xml:space="preserve">, </w:t>
      </w:r>
      <w:r w:rsidR="004D475F" w:rsidRPr="00D54595">
        <w:rPr>
          <w:rFonts w:eastAsiaTheme="majorEastAsia" w:cs="Arial"/>
        </w:rPr>
        <w:t xml:space="preserve">the </w:t>
      </w:r>
      <w:r w:rsidR="003956DA" w:rsidRPr="00D54595">
        <w:rPr>
          <w:rFonts w:eastAsiaTheme="majorEastAsia" w:cs="Arial"/>
        </w:rPr>
        <w:t xml:space="preserve">structure </w:t>
      </w:r>
      <w:r w:rsidR="004D475F" w:rsidRPr="00D54595">
        <w:rPr>
          <w:rFonts w:eastAsiaTheme="majorEastAsia" w:cs="Arial"/>
        </w:rPr>
        <w:t>and/</w:t>
      </w:r>
      <w:r w:rsidR="003956DA" w:rsidRPr="00D54595">
        <w:rPr>
          <w:rFonts w:eastAsiaTheme="majorEastAsia" w:cs="Arial"/>
        </w:rPr>
        <w:t xml:space="preserve">or </w:t>
      </w:r>
      <w:r w:rsidR="00D57BED" w:rsidRPr="00D54595">
        <w:rPr>
          <w:rFonts w:eastAsiaTheme="majorEastAsia" w:cs="Arial"/>
        </w:rPr>
        <w:t xml:space="preserve">the </w:t>
      </w:r>
      <w:r w:rsidR="003956DA" w:rsidRPr="00D54595">
        <w:rPr>
          <w:rFonts w:eastAsiaTheme="majorEastAsia" w:cs="Arial"/>
        </w:rPr>
        <w:t>content of the procuremen</w:t>
      </w:r>
      <w:r w:rsidR="004D475F" w:rsidRPr="00D54595">
        <w:rPr>
          <w:rFonts w:eastAsiaTheme="majorEastAsia" w:cs="Arial"/>
        </w:rPr>
        <w:t>t</w:t>
      </w:r>
      <w:r w:rsidR="003956DA" w:rsidRPr="00D54595">
        <w:rPr>
          <w:rFonts w:eastAsiaTheme="majorEastAsia" w:cs="Arial"/>
        </w:rPr>
        <w:t xml:space="preserve"> process</w:t>
      </w:r>
      <w:r w:rsidR="00906F17" w:rsidRPr="00D54595">
        <w:rPr>
          <w:rFonts w:eastAsiaTheme="majorEastAsia" w:cs="Arial"/>
        </w:rPr>
        <w:t xml:space="preserve"> at </w:t>
      </w:r>
      <w:r w:rsidR="00AF13CC">
        <w:rPr>
          <w:rFonts w:eastAsiaTheme="majorEastAsia" w:cs="Arial"/>
        </w:rPr>
        <w:t xml:space="preserve">HMRC’s </w:t>
      </w:r>
      <w:r w:rsidR="00191C71" w:rsidRPr="00D54595">
        <w:rPr>
          <w:rFonts w:eastAsiaTheme="majorEastAsia" w:cs="Arial"/>
        </w:rPr>
        <w:t>discretion</w:t>
      </w:r>
      <w:r w:rsidR="00E56594" w:rsidRPr="00D54595">
        <w:rPr>
          <w:rFonts w:eastAsiaTheme="majorEastAsia" w:cs="Arial"/>
        </w:rPr>
        <w:t xml:space="preserve">. </w:t>
      </w:r>
      <w:r w:rsidR="00957802" w:rsidRPr="00D54595">
        <w:rPr>
          <w:rFonts w:eastAsiaTheme="majorEastAsia" w:cs="Arial"/>
        </w:rPr>
        <w:t>HMRC</w:t>
      </w:r>
      <w:r w:rsidR="00900E5B" w:rsidRPr="00D54595">
        <w:rPr>
          <w:rFonts w:eastAsiaTheme="majorEastAsia" w:cs="Arial"/>
        </w:rPr>
        <w:t xml:space="preserve"> will notify all </w:t>
      </w:r>
      <w:r w:rsidR="00707514" w:rsidRPr="00D54595">
        <w:rPr>
          <w:rFonts w:eastAsiaTheme="majorEastAsia" w:cs="Arial"/>
        </w:rPr>
        <w:t>supplier</w:t>
      </w:r>
      <w:r w:rsidR="00C22F4A" w:rsidRPr="00D54595">
        <w:rPr>
          <w:rFonts w:eastAsiaTheme="majorEastAsia" w:cs="Arial"/>
        </w:rPr>
        <w:t>s</w:t>
      </w:r>
      <w:r w:rsidR="00900E5B" w:rsidRPr="00D54595">
        <w:rPr>
          <w:rFonts w:eastAsiaTheme="majorEastAsia" w:cs="Arial"/>
        </w:rPr>
        <w:t xml:space="preserve"> of any </w:t>
      </w:r>
      <w:r w:rsidR="007930DD" w:rsidRPr="00D54595">
        <w:rPr>
          <w:rFonts w:eastAsiaTheme="majorEastAsia" w:cs="Arial"/>
        </w:rPr>
        <w:t>changes</w:t>
      </w:r>
      <w:r w:rsidR="00902C57" w:rsidRPr="00D54595">
        <w:rPr>
          <w:rFonts w:eastAsiaTheme="majorEastAsia" w:cs="Arial"/>
        </w:rPr>
        <w:t xml:space="preserve"> to the timetable</w:t>
      </w:r>
      <w:r w:rsidR="00895E75" w:rsidRPr="00D54595">
        <w:rPr>
          <w:rFonts w:eastAsiaTheme="majorEastAsia" w:cs="Arial"/>
        </w:rPr>
        <w:t xml:space="preserve"> via the Ariba messaging function</w:t>
      </w:r>
      <w:r w:rsidR="00AC3006" w:rsidRPr="00D54595">
        <w:rPr>
          <w:rFonts w:eastAsiaTheme="majorEastAsia" w:cs="Arial"/>
        </w:rPr>
        <w:t>.</w:t>
      </w:r>
    </w:p>
    <w:p w14:paraId="4FC022E3" w14:textId="77777777" w:rsidR="00D54595" w:rsidRPr="00D54595" w:rsidRDefault="00D54595" w:rsidP="00D54595">
      <w:pPr>
        <w:pStyle w:val="ListParagraph"/>
        <w:ind w:left="680"/>
        <w:rPr>
          <w:rFonts w:eastAsiaTheme="majorEastAsia" w:cs="Arial"/>
        </w:rPr>
      </w:pPr>
    </w:p>
    <w:p w14:paraId="42462718" w14:textId="6CD8C838" w:rsidR="00B101BB" w:rsidRPr="00D54595" w:rsidRDefault="006D519E" w:rsidP="00D54595">
      <w:pPr>
        <w:pStyle w:val="ListParagraph"/>
        <w:numPr>
          <w:ilvl w:val="1"/>
          <w:numId w:val="5"/>
        </w:numPr>
        <w:rPr>
          <w:rFonts w:eastAsiaTheme="majorEastAsia" w:cs="Arial"/>
        </w:rPr>
      </w:pPr>
      <w:r w:rsidRPr="00D54595">
        <w:rPr>
          <w:rFonts w:eastAsiaTheme="majorEastAsia" w:cs="Arial"/>
        </w:rPr>
        <w:t xml:space="preserve">Any reference to a time of day </w:t>
      </w:r>
      <w:r w:rsidR="009117FD" w:rsidRPr="00D54595">
        <w:rPr>
          <w:rFonts w:eastAsiaTheme="majorEastAsia" w:cs="Arial"/>
        </w:rPr>
        <w:t>refers</w:t>
      </w:r>
      <w:r w:rsidRPr="00D54595">
        <w:rPr>
          <w:rFonts w:eastAsiaTheme="majorEastAsia" w:cs="Arial"/>
        </w:rPr>
        <w:t xml:space="preserve"> to</w:t>
      </w:r>
      <w:r w:rsidR="009117FD" w:rsidRPr="00D54595">
        <w:rPr>
          <w:rFonts w:eastAsiaTheme="majorEastAsia" w:cs="Arial"/>
        </w:rPr>
        <w:t xml:space="preserve"> the time in London, England</w:t>
      </w:r>
      <w:r w:rsidRPr="00D54595">
        <w:rPr>
          <w:rFonts w:eastAsiaTheme="majorEastAsia" w:cs="Arial"/>
        </w:rPr>
        <w:t>.</w:t>
      </w:r>
    </w:p>
    <w:p w14:paraId="53E76502" w14:textId="7AC6C6CE" w:rsidR="00103719" w:rsidRPr="00D54595" w:rsidRDefault="00103719" w:rsidP="00D54595">
      <w:pPr>
        <w:rPr>
          <w:b/>
          <w:bCs/>
        </w:rPr>
      </w:pPr>
      <w:r w:rsidRPr="00D54595">
        <w:rPr>
          <w:b/>
          <w:bCs/>
        </w:rPr>
        <w:t>Procurement Timetable</w:t>
      </w:r>
    </w:p>
    <w:tbl>
      <w:tblPr>
        <w:tblStyle w:val="TableGrid"/>
        <w:tblW w:w="0" w:type="auto"/>
        <w:tblInd w:w="1045" w:type="dxa"/>
        <w:tblLook w:val="04A0" w:firstRow="1" w:lastRow="0" w:firstColumn="1" w:lastColumn="0" w:noHBand="0" w:noVBand="1"/>
      </w:tblPr>
      <w:tblGrid>
        <w:gridCol w:w="4762"/>
        <w:gridCol w:w="2835"/>
      </w:tblGrid>
      <w:tr w:rsidR="00E13D2E" w:rsidRPr="00E538FD" w14:paraId="0D8625C2" w14:textId="77777777" w:rsidTr="006B0E8F">
        <w:tc>
          <w:tcPr>
            <w:tcW w:w="4762" w:type="dxa"/>
            <w:shd w:val="clear" w:color="auto" w:fill="009999"/>
          </w:tcPr>
          <w:p w14:paraId="259DC77A" w14:textId="77777777" w:rsidR="00E13D2E" w:rsidRPr="00E64BC2" w:rsidRDefault="00E13D2E">
            <w:pPr>
              <w:spacing w:before="240"/>
              <w:rPr>
                <w:rFonts w:cs="Arial"/>
                <w:b/>
                <w:color w:val="FFFFFF" w:themeColor="background1"/>
                <w:sz w:val="22"/>
                <w:szCs w:val="22"/>
              </w:rPr>
            </w:pPr>
            <w:r w:rsidRPr="00E64BC2">
              <w:rPr>
                <w:rFonts w:cs="Arial"/>
                <w:b/>
                <w:color w:val="FFFFFF" w:themeColor="background1"/>
                <w:sz w:val="22"/>
                <w:szCs w:val="22"/>
              </w:rPr>
              <w:t>Procurement Stage</w:t>
            </w:r>
          </w:p>
        </w:tc>
        <w:tc>
          <w:tcPr>
            <w:tcW w:w="2835" w:type="dxa"/>
            <w:shd w:val="clear" w:color="auto" w:fill="009999"/>
          </w:tcPr>
          <w:p w14:paraId="30FA4DC4" w14:textId="34DAF3C5" w:rsidR="00E13D2E" w:rsidRPr="00E64BC2" w:rsidRDefault="00E13D2E">
            <w:pPr>
              <w:spacing w:before="240"/>
              <w:rPr>
                <w:rFonts w:cs="Arial"/>
                <w:b/>
                <w:color w:val="FFFFFF" w:themeColor="background1"/>
                <w:sz w:val="22"/>
                <w:szCs w:val="22"/>
              </w:rPr>
            </w:pPr>
            <w:r w:rsidRPr="00E64BC2">
              <w:rPr>
                <w:rFonts w:cs="Arial"/>
                <w:b/>
                <w:color w:val="FFFFFF" w:themeColor="background1"/>
                <w:sz w:val="22"/>
                <w:szCs w:val="22"/>
              </w:rPr>
              <w:t>Date/Period</w:t>
            </w:r>
          </w:p>
        </w:tc>
      </w:tr>
      <w:tr w:rsidR="00E13D2E" w:rsidRPr="00AB103C" w14:paraId="17126CA4" w14:textId="77777777" w:rsidTr="006B0E8F">
        <w:tc>
          <w:tcPr>
            <w:tcW w:w="4762" w:type="dxa"/>
            <w:vAlign w:val="center"/>
          </w:tcPr>
          <w:p w14:paraId="6E6336E0" w14:textId="6C69275F" w:rsidR="00E13D2E" w:rsidRPr="00E64BC2" w:rsidRDefault="00E13D2E">
            <w:pPr>
              <w:spacing w:before="240"/>
              <w:rPr>
                <w:rFonts w:cs="Arial"/>
                <w:sz w:val="22"/>
                <w:szCs w:val="22"/>
              </w:rPr>
            </w:pPr>
            <w:r w:rsidRPr="00E64BC2">
              <w:rPr>
                <w:rFonts w:cs="Arial"/>
                <w:sz w:val="22"/>
                <w:szCs w:val="22"/>
              </w:rPr>
              <w:t>CoP Published</w:t>
            </w:r>
          </w:p>
        </w:tc>
        <w:tc>
          <w:tcPr>
            <w:tcW w:w="2835" w:type="dxa"/>
            <w:vAlign w:val="center"/>
          </w:tcPr>
          <w:p w14:paraId="6F3D2070" w14:textId="522D92BF" w:rsidR="00E13D2E" w:rsidRPr="00E64BC2" w:rsidRDefault="00E13D2E">
            <w:pPr>
              <w:spacing w:before="240"/>
              <w:rPr>
                <w:rFonts w:cs="Arial"/>
                <w:sz w:val="22"/>
                <w:szCs w:val="22"/>
              </w:rPr>
            </w:pPr>
            <w:r w:rsidRPr="00E64BC2">
              <w:rPr>
                <w:rFonts w:cs="Arial"/>
                <w:sz w:val="22"/>
                <w:szCs w:val="22"/>
              </w:rPr>
              <w:t>18</w:t>
            </w:r>
            <w:r w:rsidRPr="00E64BC2">
              <w:rPr>
                <w:rFonts w:cs="Arial"/>
                <w:vertAlign w:val="superscript"/>
              </w:rPr>
              <w:t>th</w:t>
            </w:r>
            <w:r w:rsidRPr="00E64BC2">
              <w:rPr>
                <w:rFonts w:cs="Arial"/>
                <w:sz w:val="22"/>
                <w:szCs w:val="22"/>
              </w:rPr>
              <w:t xml:space="preserve"> July 2025</w:t>
            </w:r>
          </w:p>
        </w:tc>
      </w:tr>
      <w:tr w:rsidR="00E13D2E" w:rsidRPr="00A912F7" w14:paraId="62957C15" w14:textId="77777777" w:rsidTr="006B0E8F">
        <w:trPr>
          <w:trHeight w:val="287"/>
        </w:trPr>
        <w:tc>
          <w:tcPr>
            <w:tcW w:w="4762" w:type="dxa"/>
            <w:vAlign w:val="center"/>
          </w:tcPr>
          <w:p w14:paraId="38DE7E1C" w14:textId="7655526B" w:rsidR="00E13D2E" w:rsidRPr="00E64BC2" w:rsidRDefault="000046F3">
            <w:pPr>
              <w:spacing w:before="240"/>
              <w:rPr>
                <w:rFonts w:cs="Arial"/>
                <w:sz w:val="22"/>
                <w:szCs w:val="22"/>
              </w:rPr>
            </w:pPr>
            <w:r>
              <w:rPr>
                <w:rFonts w:cs="Arial"/>
                <w:sz w:val="22"/>
                <w:szCs w:val="22"/>
              </w:rPr>
              <w:t>Supplier Clarification Deadline</w:t>
            </w:r>
          </w:p>
        </w:tc>
        <w:tc>
          <w:tcPr>
            <w:tcW w:w="2835" w:type="dxa"/>
            <w:vAlign w:val="center"/>
          </w:tcPr>
          <w:p w14:paraId="4A98CA4B" w14:textId="38F8ADE0" w:rsidR="00E13D2E" w:rsidRPr="00E64BC2" w:rsidRDefault="00E13D2E">
            <w:pPr>
              <w:spacing w:before="240"/>
              <w:rPr>
                <w:rFonts w:cs="Arial"/>
                <w:sz w:val="22"/>
                <w:szCs w:val="22"/>
              </w:rPr>
            </w:pPr>
            <w:r w:rsidRPr="00E64BC2">
              <w:rPr>
                <w:rFonts w:cs="Arial"/>
                <w:sz w:val="22"/>
                <w:szCs w:val="22"/>
              </w:rPr>
              <w:t xml:space="preserve">12:00 (Midday) </w:t>
            </w:r>
            <w:r w:rsidR="00580508" w:rsidRPr="00E64BC2">
              <w:rPr>
                <w:rFonts w:cs="Arial"/>
                <w:sz w:val="22"/>
                <w:szCs w:val="22"/>
              </w:rPr>
              <w:t>31</w:t>
            </w:r>
            <w:r w:rsidR="00580508" w:rsidRPr="00E64BC2">
              <w:rPr>
                <w:rFonts w:cs="Arial"/>
                <w:vertAlign w:val="superscript"/>
              </w:rPr>
              <w:t>st</w:t>
            </w:r>
            <w:r w:rsidR="00580508" w:rsidRPr="00E64BC2">
              <w:rPr>
                <w:rFonts w:cs="Arial"/>
                <w:sz w:val="22"/>
                <w:szCs w:val="22"/>
              </w:rPr>
              <w:t xml:space="preserve"> July </w:t>
            </w:r>
            <w:r w:rsidRPr="00E64BC2">
              <w:rPr>
                <w:rFonts w:cs="Arial"/>
                <w:sz w:val="22"/>
                <w:szCs w:val="22"/>
              </w:rPr>
              <w:t>2025</w:t>
            </w:r>
          </w:p>
        </w:tc>
      </w:tr>
      <w:tr w:rsidR="00E13D2E" w:rsidRPr="00AB103C" w14:paraId="62C05124" w14:textId="77777777" w:rsidTr="006B0E8F">
        <w:tc>
          <w:tcPr>
            <w:tcW w:w="4762" w:type="dxa"/>
            <w:vAlign w:val="center"/>
          </w:tcPr>
          <w:p w14:paraId="1BC60D7E" w14:textId="1F507639" w:rsidR="00E13D2E" w:rsidRPr="00E64BC2" w:rsidRDefault="00E13D2E">
            <w:pPr>
              <w:spacing w:before="240"/>
              <w:rPr>
                <w:rFonts w:cs="Arial"/>
                <w:sz w:val="22"/>
                <w:szCs w:val="22"/>
              </w:rPr>
            </w:pPr>
            <w:r w:rsidRPr="00E64BC2">
              <w:rPr>
                <w:rFonts w:cs="Arial"/>
                <w:sz w:val="22"/>
                <w:szCs w:val="22"/>
              </w:rPr>
              <w:t>CoP Responses Due</w:t>
            </w:r>
          </w:p>
        </w:tc>
        <w:tc>
          <w:tcPr>
            <w:tcW w:w="2835" w:type="dxa"/>
            <w:vAlign w:val="center"/>
          </w:tcPr>
          <w:p w14:paraId="180068C7" w14:textId="27E96E7E" w:rsidR="00E13D2E" w:rsidRPr="00E64BC2" w:rsidRDefault="00E13D2E">
            <w:pPr>
              <w:spacing w:before="240"/>
              <w:rPr>
                <w:rFonts w:cs="Arial"/>
                <w:sz w:val="22"/>
                <w:szCs w:val="22"/>
              </w:rPr>
            </w:pPr>
            <w:r w:rsidRPr="00E64BC2">
              <w:rPr>
                <w:rFonts w:cs="Arial"/>
                <w:sz w:val="22"/>
                <w:szCs w:val="22"/>
              </w:rPr>
              <w:t>12:00 (Midday) 13</w:t>
            </w:r>
            <w:r w:rsidRPr="00E64BC2">
              <w:rPr>
                <w:rFonts w:cs="Arial"/>
                <w:vertAlign w:val="superscript"/>
              </w:rPr>
              <w:t>th</w:t>
            </w:r>
            <w:r w:rsidR="006F7426" w:rsidRPr="00E64BC2">
              <w:rPr>
                <w:rFonts w:cs="Arial"/>
                <w:sz w:val="22"/>
                <w:szCs w:val="22"/>
              </w:rPr>
              <w:t xml:space="preserve"> August</w:t>
            </w:r>
            <w:r w:rsidRPr="00E64BC2">
              <w:rPr>
                <w:rFonts w:cs="Arial"/>
                <w:sz w:val="22"/>
                <w:szCs w:val="22"/>
              </w:rPr>
              <w:t xml:space="preserve"> 2025</w:t>
            </w:r>
          </w:p>
        </w:tc>
      </w:tr>
      <w:tr w:rsidR="00E13D2E" w:rsidRPr="00AB103C" w14:paraId="6A79C192" w14:textId="77777777" w:rsidTr="006B0E8F">
        <w:tc>
          <w:tcPr>
            <w:tcW w:w="4762" w:type="dxa"/>
            <w:vAlign w:val="center"/>
          </w:tcPr>
          <w:p w14:paraId="06F5AA6C" w14:textId="77777777" w:rsidR="00E13D2E" w:rsidRPr="00E64BC2" w:rsidRDefault="00E13D2E">
            <w:pPr>
              <w:spacing w:before="240"/>
              <w:rPr>
                <w:rFonts w:cs="Arial"/>
                <w:sz w:val="22"/>
                <w:szCs w:val="22"/>
              </w:rPr>
            </w:pPr>
            <w:r w:rsidRPr="00E64BC2">
              <w:rPr>
                <w:rFonts w:cs="Arial"/>
                <w:sz w:val="22"/>
                <w:szCs w:val="22"/>
              </w:rPr>
              <w:t>Shortlist Outcome Published</w:t>
            </w:r>
          </w:p>
        </w:tc>
        <w:tc>
          <w:tcPr>
            <w:tcW w:w="2835" w:type="dxa"/>
            <w:vAlign w:val="center"/>
          </w:tcPr>
          <w:p w14:paraId="1997AAA2" w14:textId="5A03FB15" w:rsidR="00E13D2E" w:rsidRPr="00E64BC2" w:rsidRDefault="00E13D2E">
            <w:pPr>
              <w:spacing w:before="240"/>
              <w:rPr>
                <w:rFonts w:cs="Arial"/>
                <w:sz w:val="22"/>
                <w:szCs w:val="22"/>
              </w:rPr>
            </w:pPr>
            <w:r w:rsidRPr="00E64BC2">
              <w:rPr>
                <w:rFonts w:cs="Arial"/>
                <w:sz w:val="22"/>
                <w:szCs w:val="22"/>
              </w:rPr>
              <w:t>September 2025</w:t>
            </w:r>
          </w:p>
        </w:tc>
      </w:tr>
      <w:tr w:rsidR="00E13D2E" w:rsidRPr="00AB103C" w14:paraId="15C97770" w14:textId="77777777" w:rsidTr="006B0E8F">
        <w:tc>
          <w:tcPr>
            <w:tcW w:w="4762" w:type="dxa"/>
            <w:vAlign w:val="center"/>
          </w:tcPr>
          <w:p w14:paraId="5C03EB22" w14:textId="77777777" w:rsidR="00E13D2E" w:rsidRPr="00E64BC2" w:rsidRDefault="00E13D2E">
            <w:pPr>
              <w:spacing w:before="240"/>
              <w:rPr>
                <w:rFonts w:cs="Arial"/>
                <w:sz w:val="22"/>
                <w:szCs w:val="22"/>
              </w:rPr>
            </w:pPr>
            <w:r w:rsidRPr="00E64BC2">
              <w:rPr>
                <w:rFonts w:cs="Arial"/>
                <w:sz w:val="22"/>
                <w:szCs w:val="22"/>
              </w:rPr>
              <w:t>Invitation to Submit Initial Response Published (ITSIT)</w:t>
            </w:r>
          </w:p>
        </w:tc>
        <w:tc>
          <w:tcPr>
            <w:tcW w:w="2835" w:type="dxa"/>
            <w:vAlign w:val="center"/>
          </w:tcPr>
          <w:p w14:paraId="1D60632D" w14:textId="7D1114E1" w:rsidR="00E13D2E" w:rsidRPr="00E64BC2" w:rsidRDefault="00E13D2E">
            <w:pPr>
              <w:spacing w:before="240"/>
              <w:rPr>
                <w:rFonts w:cs="Arial"/>
                <w:sz w:val="22"/>
                <w:szCs w:val="22"/>
              </w:rPr>
            </w:pPr>
            <w:r w:rsidRPr="00E64BC2">
              <w:rPr>
                <w:rFonts w:cs="Arial"/>
                <w:sz w:val="22"/>
                <w:szCs w:val="22"/>
              </w:rPr>
              <w:t>September 2025</w:t>
            </w:r>
          </w:p>
        </w:tc>
      </w:tr>
      <w:tr w:rsidR="00672D4D" w:rsidRPr="00AB103C" w14:paraId="6A0B3742" w14:textId="77777777" w:rsidTr="006B0E8F">
        <w:tc>
          <w:tcPr>
            <w:tcW w:w="4762" w:type="dxa"/>
            <w:vAlign w:val="center"/>
          </w:tcPr>
          <w:p w14:paraId="6CF7BF1A" w14:textId="77777777" w:rsidR="00672D4D" w:rsidRPr="00E64BC2" w:rsidRDefault="00672D4D" w:rsidP="00672D4D">
            <w:pPr>
              <w:spacing w:before="240"/>
              <w:rPr>
                <w:rFonts w:cs="Arial"/>
                <w:sz w:val="22"/>
                <w:szCs w:val="22"/>
              </w:rPr>
            </w:pPr>
            <w:r w:rsidRPr="00E64BC2">
              <w:rPr>
                <w:rFonts w:cs="Arial"/>
                <w:sz w:val="22"/>
                <w:szCs w:val="22"/>
              </w:rPr>
              <w:t>ITSIT Supplier Familiarisation Session</w:t>
            </w:r>
          </w:p>
        </w:tc>
        <w:tc>
          <w:tcPr>
            <w:tcW w:w="2835" w:type="dxa"/>
            <w:vAlign w:val="center"/>
          </w:tcPr>
          <w:p w14:paraId="776B4A38" w14:textId="4A2B3BFF" w:rsidR="00672D4D" w:rsidRPr="00E64BC2" w:rsidRDefault="001C6BC2" w:rsidP="00672D4D">
            <w:pPr>
              <w:spacing w:before="240"/>
              <w:rPr>
                <w:rFonts w:cs="Arial"/>
                <w:sz w:val="22"/>
                <w:szCs w:val="22"/>
              </w:rPr>
            </w:pPr>
            <w:r w:rsidRPr="00E64BC2">
              <w:rPr>
                <w:rFonts w:cs="Arial"/>
                <w:sz w:val="22"/>
                <w:szCs w:val="22"/>
              </w:rPr>
              <w:t>October</w:t>
            </w:r>
            <w:r w:rsidR="00672D4D" w:rsidRPr="00E64BC2">
              <w:rPr>
                <w:rFonts w:cs="Arial"/>
                <w:sz w:val="22"/>
                <w:szCs w:val="22"/>
              </w:rPr>
              <w:t xml:space="preserve"> 2025</w:t>
            </w:r>
          </w:p>
        </w:tc>
      </w:tr>
      <w:tr w:rsidR="00672D4D" w:rsidRPr="00AB103C" w14:paraId="3A5D7CDD" w14:textId="77777777" w:rsidTr="006B0E8F">
        <w:tc>
          <w:tcPr>
            <w:tcW w:w="4762" w:type="dxa"/>
            <w:vAlign w:val="center"/>
          </w:tcPr>
          <w:p w14:paraId="4B53D4FD" w14:textId="77777777" w:rsidR="00672D4D" w:rsidRPr="00E64BC2" w:rsidRDefault="00672D4D" w:rsidP="00672D4D">
            <w:pPr>
              <w:spacing w:before="240"/>
              <w:rPr>
                <w:rFonts w:cs="Arial"/>
                <w:sz w:val="22"/>
                <w:szCs w:val="22"/>
              </w:rPr>
            </w:pPr>
            <w:r w:rsidRPr="00E64BC2">
              <w:rPr>
                <w:rFonts w:cs="Arial"/>
                <w:sz w:val="22"/>
                <w:szCs w:val="22"/>
              </w:rPr>
              <w:t>Deadline for Supplier Clarification Questions</w:t>
            </w:r>
          </w:p>
        </w:tc>
        <w:tc>
          <w:tcPr>
            <w:tcW w:w="2835" w:type="dxa"/>
            <w:vAlign w:val="center"/>
          </w:tcPr>
          <w:p w14:paraId="6A1ECAF8" w14:textId="35D660DF" w:rsidR="00672D4D" w:rsidRPr="00E64BC2" w:rsidRDefault="00672D4D" w:rsidP="00672D4D">
            <w:pPr>
              <w:spacing w:before="240"/>
              <w:rPr>
                <w:rFonts w:cs="Arial"/>
                <w:sz w:val="22"/>
                <w:szCs w:val="22"/>
              </w:rPr>
            </w:pPr>
            <w:r w:rsidRPr="00E64BC2">
              <w:rPr>
                <w:rFonts w:cs="Arial"/>
                <w:sz w:val="22"/>
                <w:szCs w:val="22"/>
              </w:rPr>
              <w:t>October 2025</w:t>
            </w:r>
          </w:p>
        </w:tc>
      </w:tr>
      <w:tr w:rsidR="00672D4D" w:rsidRPr="00AB103C" w14:paraId="1AD7CF51" w14:textId="77777777" w:rsidTr="006B0E8F">
        <w:tc>
          <w:tcPr>
            <w:tcW w:w="4762" w:type="dxa"/>
            <w:vAlign w:val="center"/>
          </w:tcPr>
          <w:p w14:paraId="2F8BEBEC" w14:textId="77777777" w:rsidR="00672D4D" w:rsidRPr="00E64BC2" w:rsidRDefault="00672D4D" w:rsidP="00672D4D">
            <w:pPr>
              <w:spacing w:before="240"/>
              <w:rPr>
                <w:rFonts w:cs="Arial"/>
                <w:sz w:val="22"/>
                <w:szCs w:val="22"/>
              </w:rPr>
            </w:pPr>
            <w:r w:rsidRPr="00E64BC2">
              <w:rPr>
                <w:rFonts w:cs="Arial"/>
                <w:sz w:val="22"/>
                <w:szCs w:val="22"/>
              </w:rPr>
              <w:t>ITSIT Responses Due</w:t>
            </w:r>
          </w:p>
        </w:tc>
        <w:tc>
          <w:tcPr>
            <w:tcW w:w="2835" w:type="dxa"/>
            <w:vAlign w:val="center"/>
          </w:tcPr>
          <w:p w14:paraId="25E69B12" w14:textId="37A5B3C8" w:rsidR="00672D4D" w:rsidRPr="00E64BC2" w:rsidRDefault="00672D4D" w:rsidP="00672D4D">
            <w:pPr>
              <w:spacing w:before="240"/>
              <w:rPr>
                <w:rFonts w:cs="Arial"/>
                <w:sz w:val="22"/>
                <w:szCs w:val="22"/>
              </w:rPr>
            </w:pPr>
            <w:r w:rsidRPr="00E64BC2">
              <w:rPr>
                <w:rFonts w:cs="Arial"/>
                <w:sz w:val="22"/>
                <w:szCs w:val="22"/>
              </w:rPr>
              <w:t>October 2025</w:t>
            </w:r>
          </w:p>
        </w:tc>
      </w:tr>
      <w:tr w:rsidR="00E13D2E" w:rsidRPr="00AB103C" w14:paraId="49BCDBD9" w14:textId="77777777" w:rsidTr="006B0E8F">
        <w:tc>
          <w:tcPr>
            <w:tcW w:w="4762" w:type="dxa"/>
            <w:vAlign w:val="center"/>
          </w:tcPr>
          <w:p w14:paraId="64391EBB" w14:textId="77777777" w:rsidR="00E13D2E" w:rsidRPr="00E64BC2" w:rsidRDefault="00E13D2E">
            <w:pPr>
              <w:spacing w:before="240"/>
              <w:rPr>
                <w:rFonts w:cs="Arial"/>
                <w:sz w:val="22"/>
                <w:szCs w:val="22"/>
              </w:rPr>
            </w:pPr>
            <w:r w:rsidRPr="00E64BC2">
              <w:rPr>
                <w:rFonts w:cs="Arial"/>
                <w:sz w:val="22"/>
                <w:szCs w:val="22"/>
              </w:rPr>
              <w:t>ITSIT Shortlist Outcome Published</w:t>
            </w:r>
          </w:p>
        </w:tc>
        <w:tc>
          <w:tcPr>
            <w:tcW w:w="2835" w:type="dxa"/>
            <w:vAlign w:val="center"/>
          </w:tcPr>
          <w:p w14:paraId="7E5CD0A2" w14:textId="41072765" w:rsidR="00E13D2E" w:rsidRPr="00E64BC2" w:rsidRDefault="008A06BD">
            <w:pPr>
              <w:spacing w:before="240"/>
              <w:rPr>
                <w:rFonts w:cs="Arial"/>
                <w:sz w:val="22"/>
                <w:szCs w:val="22"/>
              </w:rPr>
            </w:pPr>
            <w:r w:rsidRPr="00E64BC2">
              <w:rPr>
                <w:rFonts w:cs="Arial"/>
                <w:sz w:val="22"/>
                <w:szCs w:val="22"/>
              </w:rPr>
              <w:t>December 2025</w:t>
            </w:r>
          </w:p>
        </w:tc>
      </w:tr>
      <w:tr w:rsidR="008A06BD" w:rsidRPr="00AB103C" w14:paraId="78C4D5E3" w14:textId="77777777" w:rsidTr="006B0E8F">
        <w:tc>
          <w:tcPr>
            <w:tcW w:w="4762" w:type="dxa"/>
            <w:vAlign w:val="center"/>
          </w:tcPr>
          <w:p w14:paraId="6D4AFD8E" w14:textId="77777777" w:rsidR="008A06BD" w:rsidRPr="00E64BC2" w:rsidRDefault="008A06BD" w:rsidP="008A06BD">
            <w:pPr>
              <w:spacing w:before="240"/>
              <w:rPr>
                <w:rFonts w:cs="Arial"/>
                <w:sz w:val="22"/>
                <w:szCs w:val="22"/>
              </w:rPr>
            </w:pPr>
            <w:r w:rsidRPr="00E64BC2">
              <w:rPr>
                <w:rFonts w:cs="Arial"/>
                <w:sz w:val="22"/>
                <w:szCs w:val="22"/>
              </w:rPr>
              <w:t>Negotiation Period</w:t>
            </w:r>
          </w:p>
        </w:tc>
        <w:tc>
          <w:tcPr>
            <w:tcW w:w="2835" w:type="dxa"/>
            <w:vAlign w:val="center"/>
          </w:tcPr>
          <w:p w14:paraId="70EE15BD" w14:textId="1520A26D" w:rsidR="008A06BD" w:rsidRPr="00E64BC2" w:rsidRDefault="008A06BD" w:rsidP="008A06BD">
            <w:pPr>
              <w:spacing w:before="240"/>
              <w:rPr>
                <w:rFonts w:cs="Arial"/>
                <w:sz w:val="22"/>
                <w:szCs w:val="22"/>
              </w:rPr>
            </w:pPr>
            <w:r w:rsidRPr="00E64BC2">
              <w:rPr>
                <w:rFonts w:cs="Arial"/>
                <w:sz w:val="22"/>
                <w:szCs w:val="22"/>
              </w:rPr>
              <w:t>December 2025</w:t>
            </w:r>
          </w:p>
        </w:tc>
      </w:tr>
      <w:tr w:rsidR="00E13D2E" w:rsidRPr="00AB103C" w14:paraId="32BD9F93" w14:textId="77777777" w:rsidTr="006B0E8F">
        <w:tc>
          <w:tcPr>
            <w:tcW w:w="4762" w:type="dxa"/>
            <w:vAlign w:val="center"/>
          </w:tcPr>
          <w:p w14:paraId="324E6AC3" w14:textId="77777777" w:rsidR="00E13D2E" w:rsidRPr="00E64BC2" w:rsidRDefault="00E13D2E">
            <w:pPr>
              <w:spacing w:before="240"/>
              <w:rPr>
                <w:rFonts w:cs="Arial"/>
                <w:sz w:val="22"/>
                <w:szCs w:val="22"/>
              </w:rPr>
            </w:pPr>
            <w:r w:rsidRPr="00E64BC2">
              <w:rPr>
                <w:rFonts w:cs="Arial"/>
                <w:sz w:val="22"/>
                <w:szCs w:val="22"/>
              </w:rPr>
              <w:t>Invitation to Submit Final Tenders Published (ITSFT)</w:t>
            </w:r>
          </w:p>
        </w:tc>
        <w:tc>
          <w:tcPr>
            <w:tcW w:w="2835" w:type="dxa"/>
            <w:vAlign w:val="center"/>
          </w:tcPr>
          <w:p w14:paraId="05629A14" w14:textId="12C9E3DD" w:rsidR="00E13D2E" w:rsidRPr="00E64BC2" w:rsidRDefault="00E13D2E">
            <w:pPr>
              <w:spacing w:before="240"/>
              <w:rPr>
                <w:rFonts w:cs="Arial"/>
                <w:sz w:val="22"/>
                <w:szCs w:val="22"/>
              </w:rPr>
            </w:pPr>
            <w:r w:rsidRPr="00E64BC2">
              <w:rPr>
                <w:rFonts w:cs="Arial"/>
                <w:sz w:val="22"/>
                <w:szCs w:val="22"/>
              </w:rPr>
              <w:t>January 2026</w:t>
            </w:r>
          </w:p>
        </w:tc>
      </w:tr>
      <w:tr w:rsidR="009E43B2" w:rsidRPr="00AB103C" w14:paraId="499E4552" w14:textId="77777777" w:rsidTr="006B0E8F">
        <w:tc>
          <w:tcPr>
            <w:tcW w:w="4762" w:type="dxa"/>
            <w:vAlign w:val="center"/>
          </w:tcPr>
          <w:p w14:paraId="2F9F879F" w14:textId="77777777" w:rsidR="009E43B2" w:rsidRPr="00E64BC2" w:rsidRDefault="009E43B2" w:rsidP="009E43B2">
            <w:pPr>
              <w:spacing w:before="240"/>
              <w:rPr>
                <w:rFonts w:cs="Arial"/>
              </w:rPr>
            </w:pPr>
            <w:r w:rsidRPr="00E64BC2">
              <w:rPr>
                <w:rFonts w:cs="Arial"/>
                <w:sz w:val="22"/>
                <w:szCs w:val="22"/>
              </w:rPr>
              <w:t>ITSFT Supplier Familiarisation Session</w:t>
            </w:r>
          </w:p>
        </w:tc>
        <w:tc>
          <w:tcPr>
            <w:tcW w:w="2835" w:type="dxa"/>
            <w:vAlign w:val="center"/>
          </w:tcPr>
          <w:p w14:paraId="1622A19A" w14:textId="27F9FE6B" w:rsidR="009E43B2" w:rsidRPr="00E64BC2" w:rsidRDefault="009E43B2" w:rsidP="009E43B2">
            <w:pPr>
              <w:spacing w:before="240"/>
              <w:rPr>
                <w:rFonts w:cs="Arial"/>
              </w:rPr>
            </w:pPr>
            <w:r w:rsidRPr="00E64BC2">
              <w:rPr>
                <w:rFonts w:cs="Arial"/>
                <w:sz w:val="22"/>
                <w:szCs w:val="22"/>
              </w:rPr>
              <w:t>January 2026</w:t>
            </w:r>
          </w:p>
        </w:tc>
      </w:tr>
      <w:tr w:rsidR="00E13D2E" w:rsidRPr="00AB103C" w14:paraId="0850B425" w14:textId="77777777" w:rsidTr="006B0E8F">
        <w:tc>
          <w:tcPr>
            <w:tcW w:w="4762" w:type="dxa"/>
            <w:vAlign w:val="center"/>
          </w:tcPr>
          <w:p w14:paraId="57D6335A" w14:textId="77777777" w:rsidR="00E13D2E" w:rsidRPr="00E64BC2" w:rsidRDefault="00E13D2E">
            <w:pPr>
              <w:spacing w:before="240"/>
              <w:rPr>
                <w:rFonts w:cs="Arial"/>
                <w:sz w:val="22"/>
                <w:szCs w:val="22"/>
              </w:rPr>
            </w:pPr>
            <w:r w:rsidRPr="00E64BC2">
              <w:rPr>
                <w:rFonts w:cs="Arial"/>
                <w:sz w:val="22"/>
                <w:szCs w:val="22"/>
              </w:rPr>
              <w:t xml:space="preserve">ITSFT Responses Due </w:t>
            </w:r>
          </w:p>
        </w:tc>
        <w:tc>
          <w:tcPr>
            <w:tcW w:w="2835" w:type="dxa"/>
            <w:vAlign w:val="center"/>
          </w:tcPr>
          <w:p w14:paraId="4F7CF85C" w14:textId="1BDD3F6B" w:rsidR="00E13D2E" w:rsidRPr="00E64BC2" w:rsidRDefault="00F924D2">
            <w:pPr>
              <w:spacing w:before="240"/>
              <w:rPr>
                <w:rFonts w:cs="Arial"/>
                <w:sz w:val="22"/>
                <w:szCs w:val="22"/>
              </w:rPr>
            </w:pPr>
            <w:r w:rsidRPr="00E64BC2">
              <w:rPr>
                <w:rFonts w:cs="Arial"/>
                <w:sz w:val="22"/>
                <w:szCs w:val="22"/>
              </w:rPr>
              <w:t>February 2026</w:t>
            </w:r>
          </w:p>
        </w:tc>
      </w:tr>
      <w:tr w:rsidR="00E13D2E" w:rsidRPr="00AB103C" w14:paraId="54F478A5" w14:textId="77777777" w:rsidTr="006B0E8F">
        <w:tc>
          <w:tcPr>
            <w:tcW w:w="4762" w:type="dxa"/>
            <w:vAlign w:val="center"/>
          </w:tcPr>
          <w:p w14:paraId="1B1BB74D" w14:textId="2824C901" w:rsidR="00E13D2E" w:rsidRPr="00E64BC2" w:rsidRDefault="00E41875">
            <w:pPr>
              <w:spacing w:before="240"/>
              <w:rPr>
                <w:rFonts w:cs="Arial"/>
                <w:sz w:val="22"/>
                <w:szCs w:val="22"/>
              </w:rPr>
            </w:pPr>
            <w:r>
              <w:rPr>
                <w:rFonts w:cs="Arial"/>
                <w:sz w:val="22"/>
                <w:szCs w:val="22"/>
              </w:rPr>
              <w:t>ITSFT</w:t>
            </w:r>
            <w:r w:rsidR="00E13D2E" w:rsidRPr="00E64BC2">
              <w:rPr>
                <w:rFonts w:cs="Arial"/>
                <w:sz w:val="22"/>
                <w:szCs w:val="22"/>
              </w:rPr>
              <w:t xml:space="preserve"> Outcome Published</w:t>
            </w:r>
          </w:p>
        </w:tc>
        <w:tc>
          <w:tcPr>
            <w:tcW w:w="2835" w:type="dxa"/>
            <w:vAlign w:val="center"/>
          </w:tcPr>
          <w:p w14:paraId="1153BFDF" w14:textId="5136775E" w:rsidR="00E13D2E" w:rsidRPr="00E64BC2" w:rsidRDefault="00E13D2E">
            <w:pPr>
              <w:spacing w:before="240"/>
              <w:rPr>
                <w:rFonts w:cs="Arial"/>
                <w:sz w:val="22"/>
                <w:szCs w:val="22"/>
              </w:rPr>
            </w:pPr>
            <w:r w:rsidRPr="00E64BC2">
              <w:rPr>
                <w:rFonts w:cs="Arial"/>
                <w:sz w:val="22"/>
                <w:szCs w:val="22"/>
              </w:rPr>
              <w:t>April 2026</w:t>
            </w:r>
          </w:p>
        </w:tc>
      </w:tr>
      <w:tr w:rsidR="00E13D2E" w:rsidRPr="00E538FD" w14:paraId="14F7731E" w14:textId="77777777" w:rsidTr="006B0E8F">
        <w:tc>
          <w:tcPr>
            <w:tcW w:w="4762" w:type="dxa"/>
            <w:vAlign w:val="center"/>
          </w:tcPr>
          <w:p w14:paraId="41C53958" w14:textId="77777777" w:rsidR="00E13D2E" w:rsidRPr="00E64BC2" w:rsidRDefault="00E13D2E">
            <w:pPr>
              <w:spacing w:before="240"/>
              <w:rPr>
                <w:rFonts w:cs="Arial"/>
                <w:sz w:val="22"/>
                <w:szCs w:val="22"/>
              </w:rPr>
            </w:pPr>
            <w:r w:rsidRPr="00E64BC2">
              <w:rPr>
                <w:rFonts w:cs="Arial"/>
                <w:sz w:val="22"/>
                <w:szCs w:val="22"/>
              </w:rPr>
              <w:t>Contract Award</w:t>
            </w:r>
          </w:p>
        </w:tc>
        <w:tc>
          <w:tcPr>
            <w:tcW w:w="2835" w:type="dxa"/>
            <w:vAlign w:val="center"/>
          </w:tcPr>
          <w:p w14:paraId="4635B1EC" w14:textId="36078CB4" w:rsidR="00E13D2E" w:rsidRPr="00E64BC2" w:rsidRDefault="00E13D2E">
            <w:pPr>
              <w:spacing w:before="240"/>
              <w:rPr>
                <w:rFonts w:cs="Arial"/>
                <w:sz w:val="22"/>
                <w:szCs w:val="22"/>
              </w:rPr>
            </w:pPr>
            <w:r w:rsidRPr="00E64BC2">
              <w:rPr>
                <w:rFonts w:cs="Arial"/>
                <w:sz w:val="22"/>
                <w:szCs w:val="22"/>
              </w:rPr>
              <w:t>May 2026</w:t>
            </w:r>
          </w:p>
        </w:tc>
      </w:tr>
    </w:tbl>
    <w:p w14:paraId="0A5CABF0" w14:textId="77777777" w:rsidR="00C77D77" w:rsidRDefault="00C77D77" w:rsidP="00D54595">
      <w:pPr>
        <w:rPr>
          <w:b/>
          <w:bCs/>
        </w:rPr>
      </w:pPr>
    </w:p>
    <w:p w14:paraId="77BE95AC" w14:textId="77777777" w:rsidR="00C77D77" w:rsidRPr="00D54595" w:rsidRDefault="00C77D77" w:rsidP="00D54595">
      <w:pPr>
        <w:rPr>
          <w:b/>
          <w:bCs/>
        </w:rPr>
      </w:pPr>
    </w:p>
    <w:p w14:paraId="251DD8C2" w14:textId="2AFCBC3C" w:rsidR="00040866" w:rsidRPr="00957A1F" w:rsidRDefault="00AC3A65" w:rsidP="00320D15">
      <w:pPr>
        <w:pStyle w:val="Head2"/>
        <w:pageBreakBefore/>
        <w:numPr>
          <w:ilvl w:val="0"/>
          <w:numId w:val="5"/>
        </w:numPr>
        <w:spacing w:before="240"/>
        <w:rPr>
          <w:rFonts w:cs="Arial"/>
          <w:b/>
          <w:bCs/>
          <w:color w:val="009999"/>
          <w:sz w:val="24"/>
          <w:szCs w:val="24"/>
        </w:rPr>
      </w:pPr>
      <w:bookmarkStart w:id="14" w:name="_Ref92812528"/>
      <w:bookmarkStart w:id="15" w:name="_Toc203730829"/>
      <w:r w:rsidRPr="00957A1F">
        <w:rPr>
          <w:rFonts w:cs="Arial"/>
          <w:b/>
          <w:bCs/>
          <w:color w:val="009999"/>
          <w:sz w:val="24"/>
          <w:szCs w:val="24"/>
        </w:rPr>
        <w:lastRenderedPageBreak/>
        <w:t>RESPONSE</w:t>
      </w:r>
      <w:r w:rsidR="00F41936" w:rsidRPr="00957A1F">
        <w:rPr>
          <w:rFonts w:cs="Arial"/>
          <w:b/>
          <w:bCs/>
          <w:color w:val="009999"/>
          <w:sz w:val="24"/>
          <w:szCs w:val="24"/>
        </w:rPr>
        <w:t xml:space="preserve"> SUBMISSIONS, CONTACT DETAILS AND QUERIES</w:t>
      </w:r>
      <w:bookmarkEnd w:id="14"/>
      <w:bookmarkEnd w:id="15"/>
    </w:p>
    <w:p w14:paraId="4DEA18D5" w14:textId="77777777" w:rsidR="00CC5B0A" w:rsidRPr="00CC5B0A" w:rsidRDefault="00CC5B0A" w:rsidP="00320D15">
      <w:pPr>
        <w:pStyle w:val="ListParagraph"/>
        <w:keepNext/>
        <w:keepLines/>
        <w:numPr>
          <w:ilvl w:val="0"/>
          <w:numId w:val="8"/>
        </w:numPr>
        <w:spacing w:before="240"/>
        <w:contextualSpacing w:val="0"/>
        <w:outlineLvl w:val="0"/>
        <w:rPr>
          <w:rFonts w:eastAsiaTheme="majorEastAsia" w:cs="Arial"/>
          <w:b/>
          <w:bCs/>
          <w:vanish/>
        </w:rPr>
      </w:pPr>
      <w:bookmarkStart w:id="16" w:name="_Toc198554158"/>
      <w:bookmarkStart w:id="17" w:name="_Toc198554258"/>
      <w:bookmarkEnd w:id="16"/>
      <w:bookmarkEnd w:id="17"/>
    </w:p>
    <w:p w14:paraId="3CB50A2E" w14:textId="3480BB3D" w:rsidR="004359A5" w:rsidRPr="00484299" w:rsidRDefault="004359A5" w:rsidP="00773579">
      <w:pPr>
        <w:rPr>
          <w:b/>
          <w:bCs/>
        </w:rPr>
      </w:pPr>
      <w:r w:rsidRPr="00484299">
        <w:rPr>
          <w:b/>
          <w:bCs/>
        </w:rPr>
        <w:t>SAP Ariba eSourcing</w:t>
      </w:r>
      <w:r w:rsidR="00252EF4" w:rsidRPr="00484299">
        <w:rPr>
          <w:b/>
          <w:bCs/>
        </w:rPr>
        <w:t>/eTrading</w:t>
      </w:r>
      <w:r w:rsidRPr="00484299">
        <w:rPr>
          <w:b/>
          <w:bCs/>
        </w:rPr>
        <w:t xml:space="preserve"> Portal </w:t>
      </w:r>
    </w:p>
    <w:p w14:paraId="3EF78898" w14:textId="424EBE0F" w:rsidR="00C93A0D" w:rsidRDefault="00C93A0D" w:rsidP="00484299">
      <w:pPr>
        <w:pStyle w:val="ListParagraph"/>
        <w:numPr>
          <w:ilvl w:val="1"/>
          <w:numId w:val="5"/>
        </w:numPr>
      </w:pPr>
      <w:r w:rsidRPr="00484299">
        <w:t xml:space="preserve">All </w:t>
      </w:r>
      <w:r w:rsidR="00B32B56" w:rsidRPr="00484299">
        <w:t>procurement</w:t>
      </w:r>
      <w:r w:rsidR="009C06DE" w:rsidRPr="00484299">
        <w:t xml:space="preserve"> </w:t>
      </w:r>
      <w:r w:rsidRPr="00484299">
        <w:t xml:space="preserve">documents </w:t>
      </w:r>
      <w:r w:rsidR="00B32B56" w:rsidRPr="00484299">
        <w:t xml:space="preserve">will be </w:t>
      </w:r>
      <w:r w:rsidR="002D1802" w:rsidRPr="00484299">
        <w:t>made</w:t>
      </w:r>
      <w:r w:rsidR="009722BA" w:rsidRPr="00484299">
        <w:t xml:space="preserve"> available </w:t>
      </w:r>
      <w:r w:rsidR="00F96E91" w:rsidRPr="00484299">
        <w:t>through</w:t>
      </w:r>
      <w:r w:rsidR="009722BA" w:rsidRPr="00484299" w:rsidDel="009C427C">
        <w:t xml:space="preserve"> Ariba </w:t>
      </w:r>
      <w:r w:rsidR="00CE0866" w:rsidRPr="00484299">
        <w:t>only</w:t>
      </w:r>
      <w:r w:rsidR="009722BA" w:rsidRPr="00484299">
        <w:t>.</w:t>
      </w:r>
      <w:r w:rsidR="00AC7CF4" w:rsidRPr="00484299">
        <w:t xml:space="preserve"> </w:t>
      </w:r>
      <w:r w:rsidR="00DA4F92" w:rsidRPr="00484299">
        <w:t>Please ensure</w:t>
      </w:r>
      <w:r w:rsidR="00AC7CF4" w:rsidRPr="00484299">
        <w:t xml:space="preserve"> you review all </w:t>
      </w:r>
      <w:r w:rsidR="00AC3A65" w:rsidRPr="00484299">
        <w:t>response</w:t>
      </w:r>
      <w:r w:rsidR="00AC7CF4" w:rsidRPr="00484299">
        <w:t xml:space="preserve"> documents in their entirety prior to completing your </w:t>
      </w:r>
      <w:r w:rsidR="002824BA" w:rsidRPr="00484299">
        <w:t>PSQ</w:t>
      </w:r>
      <w:r w:rsidR="00D54595">
        <w:t xml:space="preserve"> </w:t>
      </w:r>
      <w:r w:rsidR="00AC7CF4" w:rsidRPr="00484299">
        <w:t>response.</w:t>
      </w:r>
    </w:p>
    <w:p w14:paraId="20BC730F" w14:textId="77777777" w:rsidR="00D54595" w:rsidRPr="00484299" w:rsidRDefault="00D54595" w:rsidP="00484299">
      <w:pPr>
        <w:pStyle w:val="ListParagraph"/>
        <w:ind w:left="680"/>
      </w:pPr>
    </w:p>
    <w:p w14:paraId="49A0E6E3" w14:textId="02EC8FC5" w:rsidR="00D54595" w:rsidRPr="00484299" w:rsidRDefault="005C1638" w:rsidP="00484299">
      <w:pPr>
        <w:pStyle w:val="ListParagraph"/>
        <w:numPr>
          <w:ilvl w:val="1"/>
          <w:numId w:val="5"/>
        </w:numPr>
      </w:pPr>
      <w:r w:rsidRPr="00D54595">
        <w:t xml:space="preserve">Once logged onto the system, technical guidance relating to the use of the eSourcing Portal can be </w:t>
      </w:r>
      <w:r w:rsidRPr="00E538FD">
        <w:t>found</w:t>
      </w:r>
      <w:r w:rsidRPr="00D54595">
        <w:t xml:space="preserve"> in the Help Centre that can be accessed via the help tab at the top of the screen.</w:t>
      </w:r>
      <w:r w:rsidR="005A5F7B" w:rsidRPr="00D54595">
        <w:t xml:space="preserve"> Any technical issues identified with the Ariba system should be </w:t>
      </w:r>
      <w:r w:rsidR="00A40465" w:rsidRPr="00D54595">
        <w:t xml:space="preserve">raised via the instructions </w:t>
      </w:r>
      <w:r w:rsidR="009B493D" w:rsidRPr="00D54595">
        <w:t xml:space="preserve">outlined in the Help Centre. HMRC accepts no liability </w:t>
      </w:r>
      <w:r w:rsidR="000E7F46" w:rsidRPr="00D54595">
        <w:t xml:space="preserve">for any technical issues </w:t>
      </w:r>
      <w:r w:rsidR="00D1002E" w:rsidRPr="00D54595">
        <w:t>experienced with the Ariba system.</w:t>
      </w:r>
    </w:p>
    <w:p w14:paraId="1DC5D59F" w14:textId="77777777" w:rsidR="00D54595" w:rsidRPr="00484299" w:rsidRDefault="00D54595" w:rsidP="00484299">
      <w:pPr>
        <w:pStyle w:val="ListParagraph"/>
        <w:ind w:left="680"/>
      </w:pPr>
    </w:p>
    <w:p w14:paraId="01298740" w14:textId="07023399" w:rsidR="00D54595" w:rsidRPr="00484299" w:rsidRDefault="00586525" w:rsidP="00484299">
      <w:pPr>
        <w:pStyle w:val="ListParagraph"/>
        <w:numPr>
          <w:ilvl w:val="1"/>
          <w:numId w:val="5"/>
        </w:numPr>
      </w:pPr>
      <w:r w:rsidRPr="00D54595">
        <w:t xml:space="preserve">Successful </w:t>
      </w:r>
      <w:r w:rsidR="00F67A40" w:rsidRPr="00D54595">
        <w:t>suppliers</w:t>
      </w:r>
      <w:r w:rsidRPr="00D54595">
        <w:t xml:space="preserve"> are required to register on the SAP Ariba Network in order to transact with HMRC via the e-Trading system and to ensure that they will continue to be able to receive purchase orders from and issue invoices to HMRC</w:t>
      </w:r>
      <w:r w:rsidR="005C7BEE" w:rsidRPr="00D54595">
        <w:t>.</w:t>
      </w:r>
    </w:p>
    <w:p w14:paraId="5F2A9F2E" w14:textId="77777777" w:rsidR="00D54595" w:rsidRPr="00D54595" w:rsidRDefault="00D54595" w:rsidP="00484299">
      <w:pPr>
        <w:pStyle w:val="ListParagraph"/>
        <w:ind w:left="680"/>
      </w:pPr>
    </w:p>
    <w:p w14:paraId="63385606" w14:textId="5C1ACDC5" w:rsidR="00D54595" w:rsidRPr="00484299" w:rsidRDefault="00DC0817" w:rsidP="00484299">
      <w:pPr>
        <w:pStyle w:val="ListParagraph"/>
        <w:numPr>
          <w:ilvl w:val="1"/>
          <w:numId w:val="5"/>
        </w:numPr>
      </w:pPr>
      <w:r w:rsidRPr="00D54595">
        <w:t xml:space="preserve">Registration for HMRC’s eTrading </w:t>
      </w:r>
      <w:r w:rsidR="00331D14" w:rsidRPr="00D54595">
        <w:t xml:space="preserve">system </w:t>
      </w:r>
      <w:r w:rsidRPr="00D54595">
        <w:t xml:space="preserve">is undertaken by the successful </w:t>
      </w:r>
      <w:r w:rsidR="00707514" w:rsidRPr="00D54595">
        <w:t>supplier</w:t>
      </w:r>
      <w:r w:rsidRPr="00D54595">
        <w:t xml:space="preserve"> following the notification of award. Instruction</w:t>
      </w:r>
      <w:r w:rsidR="00426B71" w:rsidRPr="00D54595">
        <w:t>s</w:t>
      </w:r>
      <w:r w:rsidRPr="00D54595">
        <w:t xml:space="preserve"> will be provided by HMRC. SAP Ariba will not charge suppliers to HMRC</w:t>
      </w:r>
      <w:r w:rsidR="006E2E92" w:rsidRPr="00D54595">
        <w:t xml:space="preserve"> </w:t>
      </w:r>
      <w:r w:rsidR="00426B71" w:rsidRPr="00D54595">
        <w:t>for</w:t>
      </w:r>
      <w:r w:rsidRPr="00D54595">
        <w:t xml:space="preserve"> registr</w:t>
      </w:r>
      <w:r w:rsidR="00426B71" w:rsidRPr="00D54595">
        <w:t>ation</w:t>
      </w:r>
      <w:r w:rsidRPr="00D54595">
        <w:t xml:space="preserve"> on the SAP Ariba Network and suppliers will not incur any fees when transacting with HMRC</w:t>
      </w:r>
      <w:r w:rsidR="006E2E92" w:rsidRPr="00D54595">
        <w:t xml:space="preserve"> </w:t>
      </w:r>
      <w:r w:rsidRPr="00D54595">
        <w:t>across HMRC’s eTrading system. However</w:t>
      </w:r>
      <w:r w:rsidR="002824BA" w:rsidRPr="00D54595">
        <w:t>,</w:t>
      </w:r>
      <w:r w:rsidRPr="00D54595">
        <w:t xml:space="preserve"> fees may apply when transacting with suppliers’ other customers over the SAP Ariba Network. </w:t>
      </w:r>
    </w:p>
    <w:p w14:paraId="6F7B2B48" w14:textId="77777777" w:rsidR="00D54595" w:rsidRPr="00D54595" w:rsidRDefault="00D54595" w:rsidP="00484299">
      <w:pPr>
        <w:pStyle w:val="ListParagraph"/>
        <w:ind w:left="680"/>
      </w:pPr>
    </w:p>
    <w:p w14:paraId="5D4984B9" w14:textId="6E035B25" w:rsidR="00BA5550" w:rsidRPr="00D54595" w:rsidRDefault="00BA5550" w:rsidP="00484299">
      <w:pPr>
        <w:pStyle w:val="ListParagraph"/>
        <w:numPr>
          <w:ilvl w:val="1"/>
          <w:numId w:val="5"/>
        </w:numPr>
      </w:pPr>
      <w:r w:rsidRPr="00D54595">
        <w:t>Suppliers to HMRC</w:t>
      </w:r>
      <w:r w:rsidR="006E2E92" w:rsidRPr="00D54595">
        <w:t xml:space="preserve"> </w:t>
      </w:r>
      <w:r w:rsidRPr="00D54595">
        <w:t>are not required to invest in any additional products or services from SAP Ariba or from any other supplier in order to transact with HMRC</w:t>
      </w:r>
      <w:r w:rsidR="006E2E92" w:rsidRPr="00D54595">
        <w:t xml:space="preserve"> </w:t>
      </w:r>
      <w:r w:rsidRPr="00D54595">
        <w:t xml:space="preserve">using HMRC’s eTrading system. </w:t>
      </w:r>
    </w:p>
    <w:p w14:paraId="5540EF6E" w14:textId="11CC9B2C" w:rsidR="00D15BA7" w:rsidRPr="00484299" w:rsidRDefault="001D2F16" w:rsidP="00484299">
      <w:pPr>
        <w:rPr>
          <w:rFonts w:eastAsiaTheme="majorEastAsia" w:cs="Arial"/>
          <w:b/>
        </w:rPr>
      </w:pPr>
      <w:r w:rsidRPr="00484299">
        <w:rPr>
          <w:rFonts w:eastAsiaTheme="majorEastAsia" w:cs="Arial"/>
          <w:b/>
        </w:rPr>
        <w:t xml:space="preserve">Communications and </w:t>
      </w:r>
      <w:r w:rsidR="00EF380E" w:rsidRPr="00484299">
        <w:rPr>
          <w:rFonts w:eastAsiaTheme="majorEastAsia" w:cs="Arial"/>
          <w:b/>
        </w:rPr>
        <w:t>C</w:t>
      </w:r>
      <w:r w:rsidRPr="00484299">
        <w:rPr>
          <w:rFonts w:eastAsiaTheme="majorEastAsia" w:cs="Arial"/>
          <w:b/>
        </w:rPr>
        <w:t>larifications</w:t>
      </w:r>
    </w:p>
    <w:p w14:paraId="19BA617A" w14:textId="44EC7774" w:rsidR="00BA1FDF" w:rsidRDefault="006B53E2" w:rsidP="00484299">
      <w:pPr>
        <w:pStyle w:val="ListParagraph"/>
        <w:numPr>
          <w:ilvl w:val="1"/>
          <w:numId w:val="5"/>
        </w:numPr>
      </w:pPr>
      <w:r w:rsidRPr="00484299">
        <w:t xml:space="preserve">HMRC will </w:t>
      </w:r>
      <w:r w:rsidR="0085131B" w:rsidRPr="00484299">
        <w:t>ordinarily</w:t>
      </w:r>
      <w:r w:rsidRPr="00484299">
        <w:t xml:space="preserve"> send </w:t>
      </w:r>
      <w:r w:rsidR="00BA1FDF" w:rsidRPr="00484299">
        <w:t xml:space="preserve">communications or notifications </w:t>
      </w:r>
      <w:r w:rsidR="00DE3831" w:rsidRPr="00484299">
        <w:t xml:space="preserve">to </w:t>
      </w:r>
      <w:r w:rsidR="00707514" w:rsidRPr="00484299">
        <w:t>supplier</w:t>
      </w:r>
      <w:r w:rsidR="008964E5" w:rsidRPr="00484299">
        <w:t>s</w:t>
      </w:r>
      <w:r w:rsidR="00DE3831" w:rsidRPr="00484299">
        <w:t xml:space="preserve"> </w:t>
      </w:r>
      <w:r w:rsidR="00BA1FDF" w:rsidRPr="00484299">
        <w:t xml:space="preserve">in connection with </w:t>
      </w:r>
      <w:r w:rsidR="00131BE0" w:rsidRPr="00484299">
        <w:t>this procurement exercise</w:t>
      </w:r>
      <w:r w:rsidR="00A10123" w:rsidRPr="00484299">
        <w:t xml:space="preserve"> </w:t>
      </w:r>
      <w:r w:rsidR="006C3F74" w:rsidRPr="00484299">
        <w:t>via</w:t>
      </w:r>
      <w:r w:rsidR="00BA1FDF" w:rsidRPr="00484299">
        <w:t xml:space="preserve"> the messaging facility </w:t>
      </w:r>
      <w:r w:rsidR="006C0315" w:rsidRPr="00484299">
        <w:t>in Ariba</w:t>
      </w:r>
      <w:r w:rsidR="00BA1FDF" w:rsidRPr="00484299">
        <w:t xml:space="preserve">. </w:t>
      </w:r>
    </w:p>
    <w:p w14:paraId="35BAB0F8" w14:textId="77777777" w:rsidR="00D54595" w:rsidRPr="00484299" w:rsidRDefault="00D54595" w:rsidP="00484299">
      <w:pPr>
        <w:pStyle w:val="ListParagraph"/>
        <w:ind w:left="680"/>
      </w:pPr>
    </w:p>
    <w:p w14:paraId="73D130EA" w14:textId="3CED221E" w:rsidR="00D54595" w:rsidRPr="00484299" w:rsidRDefault="00BA1FDF" w:rsidP="00484299">
      <w:pPr>
        <w:pStyle w:val="ListParagraph"/>
        <w:numPr>
          <w:ilvl w:val="1"/>
          <w:numId w:val="5"/>
        </w:numPr>
      </w:pPr>
      <w:r w:rsidRPr="00484299">
        <w:t xml:space="preserve">Communications or notifications sent via the messaging system may relate to and represent material changes to information previously provided. Accordingly, until the </w:t>
      </w:r>
      <w:r w:rsidR="00675732" w:rsidRPr="00484299">
        <w:t>procurement exercise</w:t>
      </w:r>
      <w:r w:rsidRPr="00484299">
        <w:t xml:space="preserve"> has been fully concluded, </w:t>
      </w:r>
      <w:r w:rsidR="00707514" w:rsidRPr="00484299">
        <w:t>supplier</w:t>
      </w:r>
      <w:r w:rsidR="00BA6854" w:rsidRPr="00484299">
        <w:t>s</w:t>
      </w:r>
      <w:r w:rsidRPr="00484299">
        <w:t xml:space="preserve"> </w:t>
      </w:r>
      <w:r w:rsidR="00850B59" w:rsidRPr="00484299">
        <w:t>are advised to</w:t>
      </w:r>
      <w:r w:rsidRPr="00484299">
        <w:t xml:space="preserve"> log into the eSourcing </w:t>
      </w:r>
      <w:r w:rsidR="00D45C3A" w:rsidRPr="00484299">
        <w:t xml:space="preserve">event </w:t>
      </w:r>
      <w:r w:rsidR="008862EE" w:rsidRPr="00484299">
        <w:t xml:space="preserve">on </w:t>
      </w:r>
      <w:r w:rsidR="006C3F74" w:rsidRPr="00484299">
        <w:t>Ariba</w:t>
      </w:r>
      <w:r w:rsidRPr="00484299">
        <w:t xml:space="preserve"> at regular intervals</w:t>
      </w:r>
      <w:r w:rsidR="00653F6B" w:rsidRPr="00484299">
        <w:t xml:space="preserve"> to check for messages from HMRC.</w:t>
      </w:r>
    </w:p>
    <w:p w14:paraId="437ED57F" w14:textId="77777777" w:rsidR="00D54595" w:rsidRPr="00484299" w:rsidRDefault="00D54595" w:rsidP="00484299">
      <w:pPr>
        <w:pStyle w:val="ListParagraph"/>
        <w:ind w:left="680"/>
      </w:pPr>
    </w:p>
    <w:p w14:paraId="547A92D1" w14:textId="54916385" w:rsidR="00D54595" w:rsidRPr="00484299" w:rsidRDefault="0068213A" w:rsidP="00484299">
      <w:pPr>
        <w:pStyle w:val="ListParagraph"/>
        <w:numPr>
          <w:ilvl w:val="1"/>
          <w:numId w:val="5"/>
        </w:numPr>
      </w:pPr>
      <w:r w:rsidRPr="00484299">
        <w:t>Vague</w:t>
      </w:r>
      <w:r w:rsidR="00261806" w:rsidRPr="00484299">
        <w:t xml:space="preserve">, </w:t>
      </w:r>
      <w:r w:rsidRPr="00484299">
        <w:t>ambiguous</w:t>
      </w:r>
      <w:r w:rsidR="00261806" w:rsidRPr="00484299">
        <w:t xml:space="preserve"> or incomplete</w:t>
      </w:r>
      <w:r w:rsidRPr="00484299">
        <w:t xml:space="preserve"> answers are likely to score poorly or render the </w:t>
      </w:r>
      <w:r w:rsidR="00AC3A65" w:rsidRPr="00484299">
        <w:t>response</w:t>
      </w:r>
      <w:r w:rsidRPr="00484299">
        <w:t xml:space="preserve"> non-compliant. </w:t>
      </w:r>
      <w:r w:rsidR="00CD0349" w:rsidRPr="00484299">
        <w:t>HMRC reserves the right (but is not obliged) to seek clarification of a</w:t>
      </w:r>
      <w:r w:rsidR="00885716" w:rsidRPr="00484299">
        <w:t>ll or any part of</w:t>
      </w:r>
      <w:r w:rsidR="00CD0349" w:rsidRPr="00484299">
        <w:t xml:space="preserve"> a </w:t>
      </w:r>
      <w:r w:rsidR="00707514" w:rsidRPr="00484299">
        <w:t>supplier</w:t>
      </w:r>
      <w:r w:rsidR="00190B2E" w:rsidRPr="00484299">
        <w:t>’s</w:t>
      </w:r>
      <w:r w:rsidR="00CD0349" w:rsidRPr="00484299">
        <w:t xml:space="preserve"> </w:t>
      </w:r>
      <w:r w:rsidR="00AC3A65" w:rsidRPr="00484299">
        <w:t>response</w:t>
      </w:r>
      <w:r w:rsidR="00405476" w:rsidRPr="00484299">
        <w:t xml:space="preserve"> a</w:t>
      </w:r>
      <w:r w:rsidR="00EE603B" w:rsidRPr="00484299">
        <w:t>t</w:t>
      </w:r>
      <w:r w:rsidR="00405476" w:rsidRPr="00484299">
        <w:t xml:space="preserve"> any time during the procurement exercise</w:t>
      </w:r>
      <w:r w:rsidR="00CD0349" w:rsidRPr="00484299">
        <w:t xml:space="preserve">. </w:t>
      </w:r>
      <w:r w:rsidR="00707514" w:rsidRPr="00484299">
        <w:t>Supplier</w:t>
      </w:r>
      <w:r w:rsidR="00EA7AE1" w:rsidRPr="00484299">
        <w:t>s</w:t>
      </w:r>
      <w:r w:rsidR="00CD0349" w:rsidRPr="00484299">
        <w:t xml:space="preserve"> </w:t>
      </w:r>
      <w:r w:rsidR="00DD6C76" w:rsidRPr="00484299">
        <w:t xml:space="preserve">must </w:t>
      </w:r>
      <w:r w:rsidR="00CD0349" w:rsidRPr="00484299">
        <w:t>respond to such requests promptly</w:t>
      </w:r>
      <w:bookmarkStart w:id="18" w:name="_Hlk92812040"/>
      <w:r w:rsidR="00625103" w:rsidRPr="00484299">
        <w:t xml:space="preserve"> and within any timescales</w:t>
      </w:r>
      <w:r w:rsidR="00C72D9F" w:rsidRPr="00484299">
        <w:t xml:space="preserve"> set for responses</w:t>
      </w:r>
      <w:r w:rsidR="00CD0349" w:rsidRPr="00484299">
        <w:t xml:space="preserve">. </w:t>
      </w:r>
      <w:bookmarkEnd w:id="18"/>
    </w:p>
    <w:p w14:paraId="467A14BE" w14:textId="77777777" w:rsidR="00D54595" w:rsidRPr="00484299" w:rsidRDefault="00D54595" w:rsidP="00484299">
      <w:pPr>
        <w:pStyle w:val="ListParagraph"/>
        <w:ind w:left="680"/>
      </w:pPr>
    </w:p>
    <w:p w14:paraId="6C8A221E" w14:textId="2940BC47" w:rsidR="00D54595" w:rsidRPr="00484299" w:rsidRDefault="00707514" w:rsidP="00484299">
      <w:pPr>
        <w:pStyle w:val="ListParagraph"/>
        <w:numPr>
          <w:ilvl w:val="1"/>
          <w:numId w:val="5"/>
        </w:numPr>
      </w:pPr>
      <w:bookmarkStart w:id="19" w:name="_Ref92812673"/>
      <w:r w:rsidRPr="00484299">
        <w:t>Supplier</w:t>
      </w:r>
      <w:r w:rsidR="00816B11" w:rsidRPr="00484299">
        <w:t>s must submit a</w:t>
      </w:r>
      <w:r w:rsidR="00900629" w:rsidRPr="00484299">
        <w:t>ny queries or clarification questions via the messaging system in Ariba</w:t>
      </w:r>
      <w:r w:rsidR="006731F1">
        <w:t>, using the template enclosed alongside this document and referenced in Annex 5,</w:t>
      </w:r>
      <w:r w:rsidR="00900629" w:rsidRPr="00484299">
        <w:t xml:space="preserve"> prior to the </w:t>
      </w:r>
      <w:r w:rsidR="00B35A4B" w:rsidRPr="00484299">
        <w:t>c</w:t>
      </w:r>
      <w:r w:rsidR="00900629" w:rsidRPr="00484299">
        <w:t xml:space="preserve">larification </w:t>
      </w:r>
      <w:r w:rsidR="00B35A4B" w:rsidRPr="00484299">
        <w:t>d</w:t>
      </w:r>
      <w:r w:rsidR="00900629" w:rsidRPr="00484299">
        <w:t>eadline</w:t>
      </w:r>
      <w:r w:rsidR="00B35A4B" w:rsidRPr="00484299">
        <w:t xml:space="preserve"> detailed in the Procurement Timetable</w:t>
      </w:r>
      <w:r w:rsidR="00900629" w:rsidRPr="00484299">
        <w:t xml:space="preserve">. </w:t>
      </w:r>
      <w:r w:rsidR="005D7005" w:rsidRPr="00484299">
        <w:t xml:space="preserve">Unless there are exceptional circumstances determined by HMRC, </w:t>
      </w:r>
      <w:r w:rsidR="00900629" w:rsidRPr="00484299">
        <w:t xml:space="preserve">HMRC will not accept or respond to </w:t>
      </w:r>
      <w:r w:rsidR="00900629" w:rsidRPr="00484299">
        <w:lastRenderedPageBreak/>
        <w:t>any queries or clarification questions received</w:t>
      </w:r>
      <w:r w:rsidR="00DD39E6" w:rsidRPr="00484299">
        <w:t xml:space="preserve"> via any other method and/or received</w:t>
      </w:r>
      <w:r w:rsidR="00900629" w:rsidRPr="00484299">
        <w:t xml:space="preserve"> after the </w:t>
      </w:r>
      <w:r w:rsidR="0073255F">
        <w:t>c</w:t>
      </w:r>
      <w:r w:rsidR="00900629" w:rsidRPr="00484299">
        <w:t xml:space="preserve">larification </w:t>
      </w:r>
      <w:r w:rsidR="0073255F">
        <w:t>d</w:t>
      </w:r>
      <w:r w:rsidR="00900629" w:rsidRPr="00484299">
        <w:t>eadline.</w:t>
      </w:r>
      <w:bookmarkEnd w:id="19"/>
      <w:r w:rsidR="00900629" w:rsidRPr="00484299">
        <w:t xml:space="preserve"> </w:t>
      </w:r>
      <w:r w:rsidR="00961C4C" w:rsidRPr="00484299">
        <w:t>It is the</w:t>
      </w:r>
      <w:r w:rsidR="0099727D" w:rsidRPr="00484299">
        <w:t xml:space="preserve"> </w:t>
      </w:r>
      <w:r w:rsidRPr="00484299">
        <w:t>supplier</w:t>
      </w:r>
      <w:r w:rsidR="0099727D" w:rsidRPr="00484299">
        <w:t>’s</w:t>
      </w:r>
      <w:r w:rsidR="00961C4C" w:rsidRPr="00484299">
        <w:t xml:space="preserve"> responsibility to ensure that they have all of the information they need to prepare their </w:t>
      </w:r>
      <w:r w:rsidR="00AC3A65" w:rsidRPr="00484299">
        <w:t>response</w:t>
      </w:r>
      <w:r w:rsidR="00961C4C" w:rsidRPr="00484299">
        <w:t>.</w:t>
      </w:r>
    </w:p>
    <w:p w14:paraId="6EFA1B68" w14:textId="77777777" w:rsidR="00D54595" w:rsidRPr="00484299" w:rsidRDefault="00D54595" w:rsidP="00484299">
      <w:pPr>
        <w:pStyle w:val="ListParagraph"/>
        <w:ind w:left="680"/>
      </w:pPr>
    </w:p>
    <w:p w14:paraId="41A60C55" w14:textId="6F088AE0" w:rsidR="00D54595" w:rsidRPr="00484299" w:rsidRDefault="00900629" w:rsidP="00484299">
      <w:pPr>
        <w:pStyle w:val="ListParagraph"/>
        <w:numPr>
          <w:ilvl w:val="1"/>
          <w:numId w:val="5"/>
        </w:numPr>
      </w:pPr>
      <w:r w:rsidRPr="00484299">
        <w:t>HMRC will publish</w:t>
      </w:r>
      <w:r w:rsidR="00620D30" w:rsidRPr="00484299">
        <w:t xml:space="preserve"> all</w:t>
      </w:r>
      <w:r w:rsidRPr="00484299" w:rsidDel="00F24CDA">
        <w:t xml:space="preserve"> </w:t>
      </w:r>
      <w:r w:rsidRPr="00484299">
        <w:t xml:space="preserve">clarification questions received and HMRC’s </w:t>
      </w:r>
      <w:r w:rsidR="002824BA" w:rsidRPr="00484299">
        <w:t>response</w:t>
      </w:r>
      <w:r w:rsidRPr="00484299">
        <w:t xml:space="preserve"> to them on Ariba</w:t>
      </w:r>
      <w:r w:rsidR="00BB64A4" w:rsidRPr="00484299">
        <w:t>,</w:t>
      </w:r>
      <w:r w:rsidR="00620D30" w:rsidRPr="00484299">
        <w:t xml:space="preserve"> for visibility </w:t>
      </w:r>
      <w:r w:rsidR="00F24CDA" w:rsidRPr="00484299">
        <w:t>by</w:t>
      </w:r>
      <w:r w:rsidR="00620D30" w:rsidRPr="00484299">
        <w:t xml:space="preserve"> all </w:t>
      </w:r>
      <w:r w:rsidR="00F24CDA" w:rsidRPr="00484299">
        <w:t>suppliers</w:t>
      </w:r>
      <w:r w:rsidRPr="00484299">
        <w:t xml:space="preserve">. </w:t>
      </w:r>
      <w:r w:rsidR="00F24CDA" w:rsidRPr="00484299">
        <w:t>I</w:t>
      </w:r>
      <w:r w:rsidR="00295D72" w:rsidRPr="00484299">
        <w:t>f you wish</w:t>
      </w:r>
      <w:r w:rsidRPr="00484299">
        <w:t xml:space="preserve"> HMRC to treat a clarification as confidential and not publish the </w:t>
      </w:r>
      <w:r w:rsidR="008D5AA2">
        <w:t>clarification</w:t>
      </w:r>
      <w:r w:rsidR="002824BA" w:rsidRPr="00484299">
        <w:t xml:space="preserve"> response</w:t>
      </w:r>
      <w:r w:rsidRPr="00484299">
        <w:t xml:space="preserve">, </w:t>
      </w:r>
      <w:r w:rsidR="001D543D" w:rsidRPr="00484299">
        <w:t>you</w:t>
      </w:r>
      <w:r w:rsidRPr="00484299">
        <w:t xml:space="preserve"> must state this </w:t>
      </w:r>
      <w:r w:rsidR="006731F1">
        <w:t xml:space="preserve">in the body of the clarification question, </w:t>
      </w:r>
      <w:r w:rsidRPr="00484299">
        <w:t xml:space="preserve">when submitting the clarification. If, in the opinion of HMRC, the clarification is not confidential, HMRC will inform the </w:t>
      </w:r>
      <w:r w:rsidR="00707514" w:rsidRPr="00484299">
        <w:t>supplier</w:t>
      </w:r>
      <w:r w:rsidR="00DF6F25" w:rsidRPr="00484299">
        <w:t>,</w:t>
      </w:r>
      <w:r w:rsidRPr="00484299">
        <w:t xml:space="preserve"> who will have an opportunity to withdraw it. If the clarification is not withdrawn, the </w:t>
      </w:r>
      <w:r w:rsidR="008D5AA2">
        <w:t>clarification</w:t>
      </w:r>
      <w:r w:rsidR="002824BA" w:rsidRPr="00484299">
        <w:t xml:space="preserve"> response</w:t>
      </w:r>
      <w:r w:rsidRPr="00484299">
        <w:t xml:space="preserve"> will be issued to all </w:t>
      </w:r>
      <w:r w:rsidR="00C54AB3" w:rsidRPr="00484299">
        <w:t>S</w:t>
      </w:r>
      <w:r w:rsidR="00707514" w:rsidRPr="00484299">
        <w:t>upplier</w:t>
      </w:r>
      <w:r w:rsidR="008A2AE4" w:rsidRPr="00484299">
        <w:t>s</w:t>
      </w:r>
      <w:r w:rsidRPr="00484299">
        <w:t>.</w:t>
      </w:r>
      <w:r w:rsidR="00602DE2" w:rsidRPr="00484299">
        <w:t xml:space="preserve"> </w:t>
      </w:r>
    </w:p>
    <w:p w14:paraId="6D1E6217" w14:textId="77777777" w:rsidR="00D54595" w:rsidRPr="00484299" w:rsidRDefault="00D54595" w:rsidP="00484299">
      <w:pPr>
        <w:pStyle w:val="ListParagraph"/>
        <w:ind w:left="680"/>
      </w:pPr>
    </w:p>
    <w:p w14:paraId="4DA1EA49" w14:textId="1BEEFADA" w:rsidR="005A1133" w:rsidRPr="00484299" w:rsidRDefault="005A1133" w:rsidP="00484299">
      <w:pPr>
        <w:pStyle w:val="ListParagraph"/>
        <w:numPr>
          <w:ilvl w:val="1"/>
          <w:numId w:val="5"/>
        </w:numPr>
      </w:pPr>
      <w:r w:rsidRPr="00484299">
        <w:t>If you consider that there is</w:t>
      </w:r>
      <w:r w:rsidR="006F3DDD" w:rsidRPr="00484299">
        <w:t xml:space="preserve"> </w:t>
      </w:r>
      <w:r w:rsidRPr="00484299">
        <w:t>a fundamental error or omission in th</w:t>
      </w:r>
      <w:r w:rsidR="008D5AA2">
        <w:t>e CoP documentation</w:t>
      </w:r>
      <w:r w:rsidRPr="00484299">
        <w:t xml:space="preserve"> which affects your ability to provide a PSQ response, you must bring this to HMRC’s attention as soon as possible and no later than the </w:t>
      </w:r>
      <w:r w:rsidR="0073255F">
        <w:t>cl</w:t>
      </w:r>
      <w:r w:rsidRPr="00484299">
        <w:t xml:space="preserve">arification </w:t>
      </w:r>
      <w:r w:rsidR="0073255F">
        <w:t>d</w:t>
      </w:r>
      <w:r w:rsidRPr="00484299">
        <w:t>eadline.</w:t>
      </w:r>
    </w:p>
    <w:p w14:paraId="0D0B1B83" w14:textId="66F27A04" w:rsidR="00C8040E" w:rsidRPr="00D40FF2" w:rsidRDefault="00C8040E" w:rsidP="00D40FF2">
      <w:pPr>
        <w:rPr>
          <w:b/>
          <w:bCs/>
        </w:rPr>
      </w:pPr>
      <w:r w:rsidRPr="00D40FF2">
        <w:rPr>
          <w:b/>
          <w:bCs/>
        </w:rPr>
        <w:t xml:space="preserve">Contract </w:t>
      </w:r>
      <w:r w:rsidR="00BE052D" w:rsidRPr="00D40FF2">
        <w:rPr>
          <w:b/>
          <w:bCs/>
        </w:rPr>
        <w:t>T</w:t>
      </w:r>
      <w:r w:rsidRPr="00D40FF2">
        <w:rPr>
          <w:b/>
          <w:bCs/>
        </w:rPr>
        <w:t>erms</w:t>
      </w:r>
    </w:p>
    <w:p w14:paraId="49448DBD" w14:textId="77777777" w:rsidR="002E3FF4" w:rsidRDefault="0019649A" w:rsidP="00484299">
      <w:pPr>
        <w:pStyle w:val="ListParagraph"/>
        <w:numPr>
          <w:ilvl w:val="1"/>
          <w:numId w:val="5"/>
        </w:numPr>
      </w:pPr>
      <w:r w:rsidRPr="00484299">
        <w:t xml:space="preserve">The Model Services Contract (MSC) will be used as the basis for any and all contractual agreements that are to be formed following the conclusion of this procurement process. Those suppliers </w:t>
      </w:r>
      <w:r w:rsidR="00211187" w:rsidRPr="00484299">
        <w:t>who</w:t>
      </w:r>
      <w:r w:rsidRPr="00484299">
        <w:t xml:space="preserve"> are invited to submit an initial tender following the conclusion of the CoP stage will be provided a </w:t>
      </w:r>
      <w:r w:rsidR="568D622B" w:rsidRPr="00484299">
        <w:t>schedule or summary of</w:t>
      </w:r>
      <w:r w:rsidR="003F0621" w:rsidRPr="00484299">
        <w:t xml:space="preserve"> proposed</w:t>
      </w:r>
      <w:r w:rsidR="568D622B" w:rsidRPr="00484299">
        <w:t xml:space="preserve"> amendments to the core terms and schedules</w:t>
      </w:r>
      <w:r w:rsidRPr="00484299">
        <w:t xml:space="preserve">, to form the basis for subsequent negotiations. </w:t>
      </w:r>
    </w:p>
    <w:p w14:paraId="6C0A0B5A" w14:textId="77777777" w:rsidR="002E3FF4" w:rsidRDefault="002E3FF4" w:rsidP="00484299">
      <w:pPr>
        <w:pStyle w:val="ListParagraph"/>
        <w:ind w:left="680"/>
      </w:pPr>
    </w:p>
    <w:p w14:paraId="57DE5904" w14:textId="44B2B18A" w:rsidR="002E3FF4" w:rsidRPr="00484299" w:rsidRDefault="0019649A" w:rsidP="00484299">
      <w:pPr>
        <w:pStyle w:val="ListParagraph"/>
        <w:numPr>
          <w:ilvl w:val="1"/>
          <w:numId w:val="5"/>
        </w:numPr>
      </w:pPr>
      <w:r w:rsidRPr="00484299">
        <w:t xml:space="preserve">Performance management provisions will also be included in the contract terms shared at </w:t>
      </w:r>
      <w:r w:rsidR="00B35A4B" w:rsidRPr="00484299">
        <w:t>Stage 2</w:t>
      </w:r>
      <w:r w:rsidRPr="00484299">
        <w:t>. These will include details on key Service Level Agreements and Service Credits (likely to fall between 3-15% of the monthly service fee). HMRC will also consider other non-financial measures to incentivise performance. HMRC reserves the right to reject supplier qualifications with respect to contractual terms</w:t>
      </w:r>
      <w:r w:rsidRPr="00484299" w:rsidDel="00833BB6">
        <w:t>.</w:t>
      </w:r>
    </w:p>
    <w:p w14:paraId="5AEA7871" w14:textId="77777777" w:rsidR="002E3FF4" w:rsidRPr="00484299" w:rsidRDefault="002E3FF4" w:rsidP="00484299">
      <w:pPr>
        <w:pStyle w:val="ListParagraph"/>
        <w:ind w:left="680"/>
      </w:pPr>
    </w:p>
    <w:p w14:paraId="5A4D05A4" w14:textId="2E9A525C" w:rsidR="002E3FF4" w:rsidRPr="00484299" w:rsidRDefault="0019649A" w:rsidP="00484299">
      <w:pPr>
        <w:pStyle w:val="ListParagraph"/>
        <w:numPr>
          <w:ilvl w:val="1"/>
          <w:numId w:val="5"/>
        </w:numPr>
      </w:pPr>
      <w:r w:rsidRPr="00484299">
        <w:t xml:space="preserve">Further information regarding the payment model for the contracts will be shared at </w:t>
      </w:r>
      <w:r w:rsidR="00C54AB3" w:rsidRPr="00484299">
        <w:t>Stage 2</w:t>
      </w:r>
      <w:r w:rsidRPr="00484299">
        <w:t xml:space="preserve"> and </w:t>
      </w:r>
      <w:r w:rsidR="009C2EC5" w:rsidRPr="00484299">
        <w:t>may</w:t>
      </w:r>
      <w:r w:rsidRPr="00484299">
        <w:t xml:space="preserve"> be subject to negotiations between HMRC and the </w:t>
      </w:r>
      <w:r w:rsidR="005F7300" w:rsidRPr="00484299">
        <w:t>Supplier</w:t>
      </w:r>
      <w:r w:rsidRPr="00484299">
        <w:t>s.</w:t>
      </w:r>
    </w:p>
    <w:p w14:paraId="5B6171C4" w14:textId="77777777" w:rsidR="002E3FF4" w:rsidRPr="00484299" w:rsidRDefault="002E3FF4" w:rsidP="00484299">
      <w:pPr>
        <w:pStyle w:val="ListParagraph"/>
        <w:ind w:left="680"/>
      </w:pPr>
    </w:p>
    <w:p w14:paraId="4268BF47" w14:textId="4AD918B4" w:rsidR="00CA789F" w:rsidRPr="00484299" w:rsidRDefault="00D1689D" w:rsidP="00484299">
      <w:pPr>
        <w:pStyle w:val="ListParagraph"/>
        <w:numPr>
          <w:ilvl w:val="1"/>
          <w:numId w:val="5"/>
        </w:numPr>
      </w:pPr>
      <w:r w:rsidRPr="00484299">
        <w:t xml:space="preserve">HMRC reserves the right to set the topics for negotiation and communicate these to Suppliers. </w:t>
      </w:r>
      <w:r w:rsidR="00BE7E4F" w:rsidRPr="00484299">
        <w:t>Further detail will be provided within the published ITSIT documentation.</w:t>
      </w:r>
    </w:p>
    <w:p w14:paraId="07317090" w14:textId="441199F4" w:rsidR="006D3A70" w:rsidRPr="00D40FF2" w:rsidRDefault="00D90464" w:rsidP="00D40FF2">
      <w:pPr>
        <w:rPr>
          <w:b/>
          <w:bCs/>
        </w:rPr>
      </w:pPr>
      <w:r w:rsidRPr="00D40FF2">
        <w:rPr>
          <w:b/>
          <w:bCs/>
        </w:rPr>
        <w:t xml:space="preserve">Data </w:t>
      </w:r>
      <w:r w:rsidR="00E46F08" w:rsidRPr="00D40FF2">
        <w:rPr>
          <w:b/>
          <w:bCs/>
        </w:rPr>
        <w:t>Protection Compliance</w:t>
      </w:r>
    </w:p>
    <w:p w14:paraId="530D2BC9" w14:textId="41B24D00" w:rsidR="003E1AB5" w:rsidRDefault="003E1AB5" w:rsidP="00D40FF2">
      <w:pPr>
        <w:pStyle w:val="ListParagraph"/>
        <w:numPr>
          <w:ilvl w:val="1"/>
          <w:numId w:val="5"/>
        </w:numPr>
      </w:pPr>
      <w:r w:rsidRPr="002E3FF4">
        <w:t xml:space="preserve">HMRC reserves the right to reject a </w:t>
      </w:r>
      <w:r w:rsidR="00707514" w:rsidRPr="002E3FF4">
        <w:t>supplier</w:t>
      </w:r>
      <w:r w:rsidRPr="002E3FF4">
        <w:t xml:space="preserve">’s </w:t>
      </w:r>
      <w:r w:rsidR="00BE052D" w:rsidRPr="002E3FF4">
        <w:t xml:space="preserve">PSQ </w:t>
      </w:r>
      <w:r w:rsidR="00AC3A65" w:rsidRPr="002E3FF4">
        <w:t>response</w:t>
      </w:r>
      <w:r w:rsidRPr="002E3FF4">
        <w:t xml:space="preserve"> submission that proposes the transfer of personal data outside of the UK </w:t>
      </w:r>
      <w:r w:rsidR="00017A6B" w:rsidRPr="002E3FF4">
        <w:t>should this be</w:t>
      </w:r>
      <w:r w:rsidR="005012E4" w:rsidRPr="002E3FF4">
        <w:t xml:space="preserve"> </w:t>
      </w:r>
      <w:r w:rsidRPr="002E3FF4">
        <w:t>necessary for information security and/or UK GDPR compliance purposes, to be determined by HMRC at its discretion.</w:t>
      </w:r>
    </w:p>
    <w:p w14:paraId="66641DF9" w14:textId="77777777" w:rsidR="002E3FF4" w:rsidRPr="002E3FF4" w:rsidRDefault="002E3FF4" w:rsidP="00D40FF2">
      <w:pPr>
        <w:pStyle w:val="ListParagraph"/>
        <w:ind w:left="680"/>
      </w:pPr>
    </w:p>
    <w:p w14:paraId="4C641599" w14:textId="504ADA10" w:rsidR="002E3FF4" w:rsidRDefault="00E46F08" w:rsidP="00D40FF2">
      <w:pPr>
        <w:pStyle w:val="ListParagraph"/>
        <w:numPr>
          <w:ilvl w:val="1"/>
          <w:numId w:val="5"/>
        </w:numPr>
      </w:pPr>
      <w:r w:rsidRPr="002E3FF4">
        <w:t>HMRC also reserve the right to request additional information in order to complete the relevant data transfer risk assessments</w:t>
      </w:r>
      <w:r w:rsidR="00D955F1" w:rsidRPr="002E3FF4">
        <w:t xml:space="preserve"> and a</w:t>
      </w:r>
      <w:r w:rsidR="00167C2B" w:rsidRPr="002E3FF4">
        <w:t>ssociated</w:t>
      </w:r>
      <w:r w:rsidR="00D955F1" w:rsidRPr="002E3FF4">
        <w:t xml:space="preserve"> International Data </w:t>
      </w:r>
      <w:r w:rsidR="00167C2B" w:rsidRPr="002E3FF4">
        <w:t>Transfer Agreement (IDTA)</w:t>
      </w:r>
      <w:r w:rsidRPr="002E3FF4">
        <w:t>.</w:t>
      </w:r>
    </w:p>
    <w:p w14:paraId="43E5E297" w14:textId="77777777" w:rsidR="002E3FF4" w:rsidRPr="002E3FF4" w:rsidRDefault="002E3FF4" w:rsidP="00D40FF2">
      <w:pPr>
        <w:pStyle w:val="ListParagraph"/>
        <w:ind w:left="680"/>
      </w:pPr>
    </w:p>
    <w:p w14:paraId="164DAB99" w14:textId="2745CDA3" w:rsidR="00E6242F" w:rsidRPr="00E538FD" w:rsidRDefault="00465DBB" w:rsidP="00D40FF2">
      <w:pPr>
        <w:pStyle w:val="ListParagraph"/>
        <w:numPr>
          <w:ilvl w:val="1"/>
          <w:numId w:val="5"/>
        </w:numPr>
      </w:pPr>
      <w:r w:rsidRPr="002E3FF4">
        <w:lastRenderedPageBreak/>
        <w:t xml:space="preserve">Suppliers intending to share any information contained within this document outside </w:t>
      </w:r>
      <w:r w:rsidR="00390D79" w:rsidRPr="002E3FF4">
        <w:t xml:space="preserve">of </w:t>
      </w:r>
      <w:r w:rsidRPr="002E3FF4">
        <w:t xml:space="preserve">the UK must first seek approval from HMRC. </w:t>
      </w:r>
      <w:r w:rsidR="00EA4898" w:rsidRPr="002E3FF4">
        <w:t xml:space="preserve">HMRC </w:t>
      </w:r>
      <w:r w:rsidR="00631964" w:rsidRPr="002E3FF4">
        <w:t>will either approve or deny any such request at its sole discretion.</w:t>
      </w:r>
    </w:p>
    <w:p w14:paraId="3EBE1D23" w14:textId="1061AE1D" w:rsidR="00C009A8" w:rsidRPr="00957A1F" w:rsidRDefault="00C009A8" w:rsidP="00320D15">
      <w:pPr>
        <w:pStyle w:val="Head2"/>
        <w:pageBreakBefore/>
        <w:numPr>
          <w:ilvl w:val="0"/>
          <w:numId w:val="5"/>
        </w:numPr>
        <w:spacing w:before="240"/>
        <w:rPr>
          <w:rFonts w:cs="Arial"/>
          <w:b/>
          <w:bCs/>
          <w:color w:val="009999"/>
          <w:sz w:val="24"/>
          <w:szCs w:val="24"/>
        </w:rPr>
      </w:pPr>
      <w:bookmarkStart w:id="20" w:name="_Ref92898474"/>
      <w:bookmarkStart w:id="21" w:name="_Toc203730830"/>
      <w:r w:rsidRPr="00957A1F">
        <w:rPr>
          <w:rFonts w:cs="Arial"/>
          <w:b/>
          <w:bCs/>
          <w:color w:val="009999"/>
          <w:sz w:val="24"/>
          <w:szCs w:val="24"/>
        </w:rPr>
        <w:lastRenderedPageBreak/>
        <w:t>CONFIDENTIALITY</w:t>
      </w:r>
      <w:bookmarkEnd w:id="20"/>
      <w:bookmarkEnd w:id="21"/>
    </w:p>
    <w:p w14:paraId="51288B6E" w14:textId="77777777" w:rsidR="00CC5B0A" w:rsidRPr="00CC5B0A" w:rsidRDefault="00CC5B0A" w:rsidP="00320D15">
      <w:pPr>
        <w:pStyle w:val="ListParagraph"/>
        <w:numPr>
          <w:ilvl w:val="0"/>
          <w:numId w:val="8"/>
        </w:numPr>
        <w:contextualSpacing w:val="0"/>
        <w:jc w:val="both"/>
        <w:rPr>
          <w:rFonts w:cs="Arial"/>
          <w:vanish/>
          <w:color w:val="000000"/>
        </w:rPr>
      </w:pPr>
    </w:p>
    <w:p w14:paraId="5B8BFDAA" w14:textId="77777777" w:rsidR="00143B9E" w:rsidRPr="00143B9E" w:rsidRDefault="00143B9E" w:rsidP="00143B9E">
      <w:pPr>
        <w:pStyle w:val="ListParagraph"/>
        <w:numPr>
          <w:ilvl w:val="0"/>
          <w:numId w:val="8"/>
        </w:numPr>
        <w:contextualSpacing w:val="0"/>
        <w:jc w:val="both"/>
        <w:rPr>
          <w:rFonts w:cs="Arial"/>
          <w:vanish/>
          <w:color w:val="000000"/>
        </w:rPr>
      </w:pPr>
    </w:p>
    <w:p w14:paraId="2D4FD4DB" w14:textId="77777777" w:rsidR="00D751BD" w:rsidRPr="00D751BD" w:rsidRDefault="00D751BD" w:rsidP="00D751BD">
      <w:pPr>
        <w:pStyle w:val="ListParagraph"/>
        <w:numPr>
          <w:ilvl w:val="0"/>
          <w:numId w:val="8"/>
        </w:numPr>
        <w:contextualSpacing w:val="0"/>
        <w:jc w:val="both"/>
        <w:rPr>
          <w:rFonts w:cs="Arial"/>
          <w:vanish/>
          <w:color w:val="000000"/>
        </w:rPr>
      </w:pPr>
    </w:p>
    <w:p w14:paraId="51B0C892" w14:textId="1B79DE3F" w:rsidR="004E2017" w:rsidRDefault="00FA5CF7" w:rsidP="00D40FF2">
      <w:pPr>
        <w:pStyle w:val="ListParagraph"/>
        <w:numPr>
          <w:ilvl w:val="1"/>
          <w:numId w:val="5"/>
        </w:numPr>
      </w:pPr>
      <w:r>
        <w:t>Supplier</w:t>
      </w:r>
      <w:r w:rsidR="00D83C1A">
        <w:t>s</w:t>
      </w:r>
      <w:r w:rsidR="004E2017" w:rsidRPr="00E538FD">
        <w:t xml:space="preserve"> must keep their invitation to bid, intention to submit, and the content of, any tender confidential from any third party (other than professional advisers who need to be consulted), in order to maintain the competitive element of this procurement process.</w:t>
      </w:r>
    </w:p>
    <w:p w14:paraId="285F7110" w14:textId="77777777" w:rsidR="00D40FF2" w:rsidRPr="00E538FD" w:rsidRDefault="00D40FF2" w:rsidP="00D40FF2">
      <w:pPr>
        <w:pStyle w:val="ListParagraph"/>
        <w:ind w:left="680"/>
      </w:pPr>
    </w:p>
    <w:p w14:paraId="6F044ABE" w14:textId="37AFED15" w:rsidR="00D40FF2" w:rsidRDefault="003A6D26" w:rsidP="00D40FF2">
      <w:pPr>
        <w:pStyle w:val="ListParagraph"/>
        <w:numPr>
          <w:ilvl w:val="1"/>
          <w:numId w:val="5"/>
        </w:numPr>
      </w:pPr>
      <w:r w:rsidRPr="00D40FF2">
        <w:t xml:space="preserve">All information supplied by </w:t>
      </w:r>
      <w:r w:rsidR="00055D09" w:rsidRPr="00D40FF2">
        <w:t>HMRC</w:t>
      </w:r>
      <w:r w:rsidRPr="00D40FF2">
        <w:t xml:space="preserve"> to </w:t>
      </w:r>
      <w:r w:rsidR="00FA5CF7" w:rsidRPr="00D40FF2">
        <w:t>Supplier</w:t>
      </w:r>
      <w:r w:rsidRPr="00D40FF2">
        <w:t xml:space="preserve">s, whether in writing or orally, is supplied on condition that it be kept confidential by the </w:t>
      </w:r>
      <w:r w:rsidR="00FA5CF7" w:rsidRPr="00D40FF2">
        <w:t>Supplier</w:t>
      </w:r>
      <w:r w:rsidR="00C7198A" w:rsidRPr="00D40FF2">
        <w:t xml:space="preserve">. Unless the information is already in the public domain, </w:t>
      </w:r>
      <w:r w:rsidRPr="00D40FF2">
        <w:t>it must not be copied, reproduced, distributed or passed to any other person at any time (except to professional advisors, consortium members or sub</w:t>
      </w:r>
      <w:r w:rsidR="007F7FE4" w:rsidRPr="00D40FF2">
        <w:t>-</w:t>
      </w:r>
      <w:r w:rsidRPr="00D40FF2">
        <w:t>contractors</w:t>
      </w:r>
      <w:r w:rsidR="00086769" w:rsidRPr="00D40FF2">
        <w:t>, on a confidential basis,</w:t>
      </w:r>
      <w:r w:rsidRPr="00D40FF2">
        <w:t xml:space="preserve"> for the sole purpose of enabling the </w:t>
      </w:r>
      <w:r w:rsidR="00FA5CF7" w:rsidRPr="00D40FF2">
        <w:t>Supplier</w:t>
      </w:r>
      <w:r w:rsidRPr="00D40FF2">
        <w:t xml:space="preserve"> to submit </w:t>
      </w:r>
      <w:r w:rsidR="00876C76" w:rsidRPr="00D40FF2">
        <w:t xml:space="preserve">or clarify </w:t>
      </w:r>
      <w:r w:rsidRPr="00D40FF2">
        <w:t xml:space="preserve">a </w:t>
      </w:r>
      <w:r w:rsidR="00AC3A65" w:rsidRPr="00D40FF2">
        <w:t>response</w:t>
      </w:r>
      <w:r w:rsidR="00ED5F90" w:rsidRPr="00D40FF2">
        <w:t xml:space="preserve"> or attain sureties or quotations relating to the </w:t>
      </w:r>
      <w:r w:rsidR="00AC3A65" w:rsidRPr="00D40FF2">
        <w:t>response</w:t>
      </w:r>
      <w:r w:rsidRPr="00D40FF2">
        <w:t xml:space="preserve">). </w:t>
      </w:r>
    </w:p>
    <w:p w14:paraId="1933B06F" w14:textId="77777777" w:rsidR="00D40FF2" w:rsidRPr="00D40FF2" w:rsidRDefault="00D40FF2" w:rsidP="00D40FF2">
      <w:pPr>
        <w:pStyle w:val="ListParagraph"/>
        <w:ind w:left="680"/>
      </w:pPr>
    </w:p>
    <w:p w14:paraId="611AFFF5" w14:textId="24C4A695" w:rsidR="00C009A8" w:rsidRDefault="00C83845" w:rsidP="00D40FF2">
      <w:pPr>
        <w:pStyle w:val="ListParagraph"/>
        <w:numPr>
          <w:ilvl w:val="1"/>
          <w:numId w:val="5"/>
        </w:numPr>
      </w:pPr>
      <w:r w:rsidRPr="00D40FF2">
        <w:t xml:space="preserve">Although it is unlikely that </w:t>
      </w:r>
      <w:r w:rsidR="003D59A4" w:rsidRPr="00D40FF2">
        <w:t xml:space="preserve">official secrets will be disclosed </w:t>
      </w:r>
      <w:r w:rsidR="00183156" w:rsidRPr="00D40FF2">
        <w:t>pursuant to</w:t>
      </w:r>
      <w:r w:rsidR="008E3B19" w:rsidRPr="00D40FF2">
        <w:t xml:space="preserve"> this </w:t>
      </w:r>
      <w:r w:rsidR="00FB13A2" w:rsidRPr="00D40FF2">
        <w:t>document</w:t>
      </w:r>
      <w:r w:rsidR="008E3B19" w:rsidRPr="00D40FF2">
        <w:t>, please</w:t>
      </w:r>
      <w:r w:rsidR="002446A8" w:rsidRPr="00D40FF2">
        <w:t xml:space="preserve"> also</w:t>
      </w:r>
      <w:r w:rsidR="008E3B19" w:rsidRPr="00D40FF2">
        <w:t xml:space="preserve"> be aware of the terms of the Official Secrets Act 1989</w:t>
      </w:r>
      <w:r w:rsidR="001C3C13">
        <w:t xml:space="preserve"> (</w:t>
      </w:r>
      <w:hyperlink r:id="rId14" w:history="1">
        <w:r w:rsidR="001C3C13" w:rsidRPr="006C5650">
          <w:rPr>
            <w:rStyle w:val="Hyperlink"/>
          </w:rPr>
          <w:t>https://www.legislation.gov.uk/ukpga/1989/6/contents</w:t>
        </w:r>
      </w:hyperlink>
      <w:r w:rsidR="004D5824" w:rsidRPr="00D40FF2">
        <w:t>)</w:t>
      </w:r>
      <w:r w:rsidR="006077A5" w:rsidRPr="00D40FF2">
        <w:t>.</w:t>
      </w:r>
    </w:p>
    <w:p w14:paraId="3C0DFA59" w14:textId="77777777" w:rsidR="00D40FF2" w:rsidRPr="00D40FF2" w:rsidRDefault="00D40FF2" w:rsidP="00D40FF2">
      <w:pPr>
        <w:pStyle w:val="ListParagraph"/>
        <w:ind w:left="680"/>
      </w:pPr>
    </w:p>
    <w:p w14:paraId="7789E457" w14:textId="0A146D00" w:rsidR="00D40FF2" w:rsidRDefault="00C009A8" w:rsidP="00D40FF2">
      <w:pPr>
        <w:pStyle w:val="ListParagraph"/>
        <w:numPr>
          <w:ilvl w:val="1"/>
          <w:numId w:val="5"/>
        </w:numPr>
      </w:pPr>
      <w:r w:rsidRPr="00D40FF2">
        <w:t xml:space="preserve">All information provided by a </w:t>
      </w:r>
      <w:r w:rsidR="00FA5CF7" w:rsidRPr="00D40FF2">
        <w:t>Supplier</w:t>
      </w:r>
      <w:r w:rsidR="009570E8" w:rsidRPr="00D40FF2">
        <w:t xml:space="preserve"> </w:t>
      </w:r>
      <w:r w:rsidR="00201F51" w:rsidRPr="00D40FF2">
        <w:t xml:space="preserve">as part of this procurement exercise </w:t>
      </w:r>
      <w:r w:rsidRPr="00D40FF2">
        <w:t xml:space="preserve">will be treated as “OFFICIAL” by HMRC and (except where required </w:t>
      </w:r>
      <w:r w:rsidR="00FC4082" w:rsidRPr="00D40FF2">
        <w:t xml:space="preserve">by </w:t>
      </w:r>
      <w:r w:rsidRPr="00D40FF2">
        <w:t>law</w:t>
      </w:r>
      <w:r w:rsidR="00E82FD6" w:rsidRPr="00D40FF2">
        <w:t xml:space="preserve">, </w:t>
      </w:r>
      <w:r w:rsidR="00B34186" w:rsidRPr="00D40FF2">
        <w:t xml:space="preserve">for example </w:t>
      </w:r>
      <w:r w:rsidR="00052332" w:rsidRPr="00D40FF2">
        <w:t xml:space="preserve">under </w:t>
      </w:r>
      <w:r w:rsidR="00E82FD6" w:rsidRPr="00D40FF2">
        <w:t>the FOIA or EIR</w:t>
      </w:r>
      <w:r w:rsidR="004C7F1C" w:rsidRPr="00D40FF2">
        <w:t xml:space="preserve"> </w:t>
      </w:r>
      <w:r w:rsidR="00C37366" w:rsidRPr="00D40FF2">
        <w:t xml:space="preserve">(see paragraph </w:t>
      </w:r>
      <w:r w:rsidR="00ED7A3A" w:rsidRPr="00D40FF2">
        <w:t>7</w:t>
      </w:r>
      <w:r w:rsidR="00C37366" w:rsidRPr="00D40FF2">
        <w:t xml:space="preserve">) </w:t>
      </w:r>
      <w:r w:rsidR="004C7F1C" w:rsidRPr="00D40FF2">
        <w:t xml:space="preserve">or </w:t>
      </w:r>
      <w:r w:rsidR="00BD571F" w:rsidRPr="00D40FF2">
        <w:t>public sector transparency polices (see paragraph</w:t>
      </w:r>
      <w:r w:rsidR="00B34FD1" w:rsidRPr="00D40FF2">
        <w:t xml:space="preserve"> </w:t>
      </w:r>
      <w:r w:rsidR="007E6882" w:rsidRPr="00D40FF2">
        <w:t>6</w:t>
      </w:r>
      <w:r w:rsidR="00BD571F" w:rsidRPr="00D40FF2">
        <w:t>.</w:t>
      </w:r>
      <w:r w:rsidR="001C3C13">
        <w:t>8</w:t>
      </w:r>
      <w:r w:rsidR="00BD571F" w:rsidRPr="00D40FF2">
        <w:t>)</w:t>
      </w:r>
      <w:r w:rsidRPr="00D40FF2">
        <w:t xml:space="preserve">) will not be disclosed to a third party outside of </w:t>
      </w:r>
      <w:r w:rsidR="7712B336" w:rsidRPr="00D40FF2">
        <w:t>government</w:t>
      </w:r>
      <w:r w:rsidR="00AF261A" w:rsidRPr="00D40FF2">
        <w:t>, other than consultants</w:t>
      </w:r>
      <w:r w:rsidR="005F5A13" w:rsidRPr="00D40FF2">
        <w:t>/advisers</w:t>
      </w:r>
      <w:r w:rsidR="00B6442B" w:rsidRPr="00D40FF2">
        <w:t xml:space="preserve"> approved by HMRC</w:t>
      </w:r>
      <w:r w:rsidR="005F5A13" w:rsidRPr="00D40FF2">
        <w:t>,</w:t>
      </w:r>
      <w:r w:rsidRPr="00D40FF2">
        <w:t xml:space="preserve"> without the written permission of the </w:t>
      </w:r>
      <w:r w:rsidR="00FA5CF7" w:rsidRPr="00D40FF2">
        <w:t>Supplier</w:t>
      </w:r>
      <w:r w:rsidRPr="00D40FF2">
        <w:t>.</w:t>
      </w:r>
    </w:p>
    <w:p w14:paraId="7FC65A7A" w14:textId="77777777" w:rsidR="00D40FF2" w:rsidRPr="00D40FF2" w:rsidRDefault="00D40FF2" w:rsidP="00D40FF2">
      <w:pPr>
        <w:pStyle w:val="ListParagraph"/>
        <w:ind w:left="680"/>
      </w:pPr>
    </w:p>
    <w:p w14:paraId="07664319" w14:textId="677EE8FF" w:rsidR="00D40FF2" w:rsidRDefault="004F4648" w:rsidP="00D40FF2">
      <w:pPr>
        <w:pStyle w:val="ListParagraph"/>
        <w:numPr>
          <w:ilvl w:val="1"/>
          <w:numId w:val="5"/>
        </w:numPr>
      </w:pPr>
      <w:r w:rsidRPr="00D40FF2">
        <w:t xml:space="preserve">Suppliers </w:t>
      </w:r>
      <w:r w:rsidR="00FA1002">
        <w:t xml:space="preserve">may </w:t>
      </w:r>
      <w:r w:rsidRPr="00D40FF2">
        <w:t xml:space="preserve">be asked to </w:t>
      </w:r>
      <w:r w:rsidR="000E0579" w:rsidRPr="00D40FF2">
        <w:t>sign confidentiality</w:t>
      </w:r>
      <w:r w:rsidR="00775A9A" w:rsidRPr="00D40FF2">
        <w:t xml:space="preserve"> agreements and</w:t>
      </w:r>
      <w:r w:rsidR="00C57A8A">
        <w:t>, where HMRC deems it necessary,</w:t>
      </w:r>
      <w:r w:rsidR="00775A9A" w:rsidRPr="00D40FF2">
        <w:t xml:space="preserve"> ethical wall agreements</w:t>
      </w:r>
      <w:r w:rsidR="00C57A8A">
        <w:t xml:space="preserve">, </w:t>
      </w:r>
      <w:r w:rsidR="008E27B0">
        <w:t xml:space="preserve">during the </w:t>
      </w:r>
      <w:r w:rsidR="00D45193">
        <w:t xml:space="preserve">course of the procurement </w:t>
      </w:r>
      <w:r w:rsidR="008E27B0">
        <w:t>exercise</w:t>
      </w:r>
      <w:r w:rsidR="00025790">
        <w:t>.</w:t>
      </w:r>
      <w:r w:rsidR="00176EC2" w:rsidRPr="00D40FF2">
        <w:t xml:space="preserve"> HMRC </w:t>
      </w:r>
      <w:r w:rsidR="00D45193">
        <w:t xml:space="preserve">have </w:t>
      </w:r>
      <w:r w:rsidR="00B82594">
        <w:t>enclosed</w:t>
      </w:r>
      <w:r w:rsidR="00D45193">
        <w:t xml:space="preserve"> the relevant</w:t>
      </w:r>
      <w:r w:rsidR="00B82594">
        <w:t xml:space="preserve"> terms and conditions alongside this document an</w:t>
      </w:r>
      <w:r w:rsidR="00630FFC" w:rsidRPr="00D40FF2">
        <w:t xml:space="preserve">d </w:t>
      </w:r>
      <w:r w:rsidR="001A40BB" w:rsidRPr="00D40FF2">
        <w:t xml:space="preserve">the provisions of any such agreement shall </w:t>
      </w:r>
      <w:r w:rsidR="00AF1B41" w:rsidRPr="00D40FF2">
        <w:t>take precedence over any of the terms of this paragraph 6.</w:t>
      </w:r>
      <w:r w:rsidR="00E45433">
        <w:t xml:space="preserve"> By participating in this procurement exercise, Suppliers agree t</w:t>
      </w:r>
      <w:r w:rsidR="00BD493A">
        <w:t xml:space="preserve">o </w:t>
      </w:r>
      <w:r w:rsidR="00E85FE9">
        <w:t>execute any confidentiality agreements and/or ethical wall agreements</w:t>
      </w:r>
      <w:r w:rsidR="00B275CB">
        <w:t xml:space="preserve"> in the form provided, should this be requested </w:t>
      </w:r>
      <w:r w:rsidR="008D01E6">
        <w:t>by HMRC.</w:t>
      </w:r>
    </w:p>
    <w:p w14:paraId="478C5950" w14:textId="77777777" w:rsidR="001025B6" w:rsidRDefault="001025B6" w:rsidP="001025B6">
      <w:pPr>
        <w:pStyle w:val="ListParagraph"/>
      </w:pPr>
    </w:p>
    <w:p w14:paraId="7F1E46BA" w14:textId="66861182" w:rsidR="00C17DF2" w:rsidRPr="001C3C13" w:rsidRDefault="1D562314" w:rsidP="00C17DF2">
      <w:pPr>
        <w:pStyle w:val="ListParagraph"/>
        <w:numPr>
          <w:ilvl w:val="1"/>
          <w:numId w:val="5"/>
        </w:numPr>
      </w:pPr>
      <w:r w:rsidRPr="001C3C13">
        <w:t xml:space="preserve">When </w:t>
      </w:r>
      <w:r w:rsidR="00AF13CC" w:rsidRPr="001C3C13">
        <w:t>HMRC</w:t>
      </w:r>
      <w:r w:rsidRPr="001C3C13">
        <w:t xml:space="preserve"> is seeking </w:t>
      </w:r>
      <w:r w:rsidR="49D0F3A1" w:rsidRPr="001C3C13">
        <w:t xml:space="preserve">Non-Disclosure Agreements from suppliers, </w:t>
      </w:r>
      <w:r w:rsidR="222C4461" w:rsidRPr="001C3C13">
        <w:t xml:space="preserve">it is HMRC’s policy for these agreements to be unilateral. </w:t>
      </w:r>
      <w:r w:rsidR="5041CDCA" w:rsidRPr="001C3C13">
        <w:t xml:space="preserve">Suppliers should note that there exist significant and extensive </w:t>
      </w:r>
      <w:r w:rsidR="57A825DA" w:rsidRPr="001C3C13">
        <w:t>legal obligations</w:t>
      </w:r>
      <w:r w:rsidR="3ED3335C" w:rsidRPr="001C3C13">
        <w:t xml:space="preserve"> upon </w:t>
      </w:r>
      <w:r w:rsidR="029F8EA9" w:rsidRPr="001C3C13">
        <w:t xml:space="preserve">all employees and agents of HMRC under </w:t>
      </w:r>
      <w:r w:rsidR="52CEE8BD" w:rsidRPr="001C3C13">
        <w:t xml:space="preserve">Section 18(1) of the </w:t>
      </w:r>
      <w:r w:rsidR="0002668D" w:rsidRPr="001C3C13">
        <w:t>Commissioners for Revenue and Customs Act 2005 (</w:t>
      </w:r>
      <w:r w:rsidR="52CEE8BD" w:rsidRPr="001C3C13">
        <w:t>CRCA</w:t>
      </w:r>
      <w:r w:rsidR="0002668D" w:rsidRPr="001C3C13">
        <w:t>)</w:t>
      </w:r>
      <w:r w:rsidR="389FEA1F" w:rsidRPr="001C3C13">
        <w:t xml:space="preserve">, which </w:t>
      </w:r>
      <w:r w:rsidR="7FA5B477" w:rsidRPr="001C3C13">
        <w:t xml:space="preserve">only allows for limited exceptions </w:t>
      </w:r>
      <w:r w:rsidR="00C7C449" w:rsidRPr="001C3C13">
        <w:t xml:space="preserve">for the disclosure of </w:t>
      </w:r>
      <w:r w:rsidR="3077F568" w:rsidRPr="001C3C13">
        <w:t xml:space="preserve">any information that they have obtained while performing their official duties, with these obligations </w:t>
      </w:r>
      <w:r w:rsidR="1EB11108" w:rsidRPr="001C3C13">
        <w:t xml:space="preserve">remaining with individuals even after they have left the employment of HMRC. </w:t>
      </w:r>
      <w:r w:rsidR="50FF8C50" w:rsidRPr="001C3C13">
        <w:t>The</w:t>
      </w:r>
      <w:r w:rsidR="0DA2F97C" w:rsidRPr="001C3C13">
        <w:t xml:space="preserve">re are </w:t>
      </w:r>
      <w:r w:rsidR="50FF8C50" w:rsidRPr="001C3C13">
        <w:t>exceptions in the CRCA</w:t>
      </w:r>
      <w:r w:rsidR="4C2F8F1C" w:rsidRPr="001C3C13">
        <w:t xml:space="preserve"> that</w:t>
      </w:r>
      <w:r w:rsidR="50FF8C50" w:rsidRPr="001C3C13">
        <w:t xml:space="preserve"> enable disclosure of </w:t>
      </w:r>
      <w:r w:rsidR="08EDBDC1" w:rsidRPr="001C3C13">
        <w:t>information,</w:t>
      </w:r>
      <w:r w:rsidR="50FF8C50" w:rsidRPr="001C3C13">
        <w:t xml:space="preserve"> </w:t>
      </w:r>
      <w:r w:rsidR="5FF5282E" w:rsidRPr="001C3C13">
        <w:t xml:space="preserve">but these apply in the limited </w:t>
      </w:r>
      <w:r w:rsidR="50FF8C50" w:rsidRPr="001C3C13">
        <w:t>following circumstances:</w:t>
      </w:r>
    </w:p>
    <w:p w14:paraId="50778615" w14:textId="77777777" w:rsidR="00C17DF2" w:rsidRPr="001C3C13" w:rsidRDefault="00C17DF2" w:rsidP="00C17DF2">
      <w:pPr>
        <w:pStyle w:val="ListParagraph"/>
        <w:ind w:left="680"/>
      </w:pPr>
    </w:p>
    <w:p w14:paraId="02537C07" w14:textId="77777777" w:rsidR="00C17DF2" w:rsidRPr="001C3C13" w:rsidRDefault="00C17DF2" w:rsidP="00C17DF2">
      <w:pPr>
        <w:pStyle w:val="ListParagraph"/>
        <w:numPr>
          <w:ilvl w:val="0"/>
          <w:numId w:val="79"/>
        </w:numPr>
      </w:pPr>
      <w:r w:rsidRPr="001C3C13">
        <w:t xml:space="preserve">For internal purposes if it is connected with an HMRC function. For example, this enables different parts of HMRC to collaborate on contracts. </w:t>
      </w:r>
    </w:p>
    <w:p w14:paraId="5185D36F" w14:textId="77777777" w:rsidR="00C17DF2" w:rsidRPr="001C3C13" w:rsidRDefault="00C17DF2">
      <w:pPr>
        <w:pStyle w:val="ListParagraph"/>
        <w:numPr>
          <w:ilvl w:val="0"/>
          <w:numId w:val="79"/>
        </w:numPr>
      </w:pPr>
      <w:r w:rsidRPr="001C3C13">
        <w:t xml:space="preserve">If circumstances arise that are contained within section 18(2) of the CRCA such as (among other things) the consent of the person about whom the information is concerned, pursuant to a court order, connected to an HMRC function, or for the </w:t>
      </w:r>
      <w:r w:rsidRPr="001C3C13">
        <w:lastRenderedPageBreak/>
        <w:t xml:space="preserve">purposes of civil or criminal proceedings. HMRC has a discretion to disclose in these circumstances unless ordered by a court. </w:t>
      </w:r>
    </w:p>
    <w:p w14:paraId="5D5C30F6" w14:textId="5663E645" w:rsidR="00C17DF2" w:rsidRPr="001C3C13" w:rsidRDefault="00C17DF2">
      <w:pPr>
        <w:pStyle w:val="ListParagraph"/>
        <w:numPr>
          <w:ilvl w:val="0"/>
          <w:numId w:val="79"/>
        </w:numPr>
      </w:pPr>
      <w:r w:rsidRPr="001C3C13">
        <w:t>If disclosure is permitted under another statute known as an “information gateway”. The vast majority of these gateways are permissive and HMRC does not ‘have’ to disclose if the circumstances arise.</w:t>
      </w:r>
    </w:p>
    <w:p w14:paraId="023599DC" w14:textId="77777777" w:rsidR="00C17DF2" w:rsidRPr="005B2D50" w:rsidRDefault="00C17DF2" w:rsidP="00C17DF2">
      <w:pPr>
        <w:pStyle w:val="ListParagraph"/>
        <w:ind w:left="680"/>
      </w:pPr>
    </w:p>
    <w:p w14:paraId="1DEEBF68" w14:textId="3DDDDDA6" w:rsidR="00F54FAA" w:rsidRDefault="26714F48" w:rsidP="0002668D">
      <w:pPr>
        <w:pStyle w:val="ListParagraph"/>
        <w:numPr>
          <w:ilvl w:val="1"/>
          <w:numId w:val="5"/>
        </w:numPr>
      </w:pPr>
      <w:r w:rsidRPr="0002668D">
        <w:t>Any disclosure must also be compliant with the UK General Data Protection Regulation (GDPR), the Data Protection Act 2018 (DPA) the Freedom of Information Act 2000 (</w:t>
      </w:r>
      <w:proofErr w:type="spellStart"/>
      <w:r w:rsidRPr="0002668D">
        <w:t>FoIA</w:t>
      </w:r>
      <w:proofErr w:type="spellEnd"/>
      <w:r w:rsidRPr="0002668D">
        <w:t>) and be consistent with the Human Rights Act 1998 (HRA). These obligations apply to confidential data relating to</w:t>
      </w:r>
      <w:r w:rsidR="001C3C13">
        <w:t xml:space="preserve"> HMRC</w:t>
      </w:r>
      <w:r w:rsidRPr="0002668D">
        <w:t xml:space="preserve"> contracts, personal data, data concerning our customers, anonymised data, HR records and any other data held by HMRC.</w:t>
      </w:r>
    </w:p>
    <w:p w14:paraId="72216D2D" w14:textId="77777777" w:rsidR="00D40FF2" w:rsidRPr="00D40FF2" w:rsidRDefault="00D40FF2" w:rsidP="00D40FF2">
      <w:pPr>
        <w:pStyle w:val="ListParagraph"/>
        <w:ind w:left="680"/>
      </w:pPr>
    </w:p>
    <w:p w14:paraId="4C6FD211" w14:textId="2452F65F" w:rsidR="00D40FF2" w:rsidRDefault="00BD1A7C" w:rsidP="00D40FF2">
      <w:pPr>
        <w:pStyle w:val="ListParagraph"/>
        <w:numPr>
          <w:ilvl w:val="1"/>
          <w:numId w:val="5"/>
        </w:numPr>
      </w:pPr>
      <w:r w:rsidRPr="00D40FF2">
        <w:t>HMRC is also subject to various public sector transparency policies and legal requirements, including</w:t>
      </w:r>
      <w:r w:rsidR="005C0F16" w:rsidRPr="00D40FF2">
        <w:t>, but not limited to</w:t>
      </w:r>
      <w:r w:rsidR="00520B9C" w:rsidRPr="00D40FF2">
        <w:t xml:space="preserve">: </w:t>
      </w:r>
    </w:p>
    <w:p w14:paraId="0C58F9B2" w14:textId="77777777" w:rsidR="00D40FF2" w:rsidRPr="00D40FF2" w:rsidRDefault="00D40FF2" w:rsidP="00D40FF2">
      <w:pPr>
        <w:pStyle w:val="ListParagraph"/>
        <w:ind w:left="680"/>
      </w:pPr>
    </w:p>
    <w:p w14:paraId="49D1AA4B" w14:textId="30CB0081" w:rsidR="00520B9C" w:rsidRPr="00D40FF2" w:rsidRDefault="0003455B" w:rsidP="00AD19D7">
      <w:pPr>
        <w:pStyle w:val="ListParagraph"/>
        <w:numPr>
          <w:ilvl w:val="0"/>
          <w:numId w:val="67"/>
        </w:numPr>
        <w:ind w:left="993" w:hanging="284"/>
        <w:rPr>
          <w:rFonts w:cs="Arial"/>
        </w:rPr>
      </w:pPr>
      <w:r w:rsidRPr="00D40FF2">
        <w:rPr>
          <w:rFonts w:cs="Arial"/>
        </w:rPr>
        <w:t>T</w:t>
      </w:r>
      <w:r w:rsidR="00BD1A7C" w:rsidRPr="00D40FF2">
        <w:rPr>
          <w:rFonts w:cs="Arial"/>
        </w:rPr>
        <w:t xml:space="preserve">he </w:t>
      </w:r>
      <w:r w:rsidR="00C059A5" w:rsidRPr="00D40FF2">
        <w:rPr>
          <w:rFonts w:cs="Arial"/>
        </w:rPr>
        <w:t>publishing</w:t>
      </w:r>
      <w:r w:rsidR="00BD1A7C" w:rsidRPr="00D40FF2">
        <w:rPr>
          <w:rFonts w:cs="Arial"/>
        </w:rPr>
        <w:t xml:space="preserve"> of </w:t>
      </w:r>
      <w:r w:rsidR="00DC35CD" w:rsidRPr="00D40FF2">
        <w:rPr>
          <w:rFonts w:cs="Arial"/>
        </w:rPr>
        <w:t>KPI</w:t>
      </w:r>
      <w:r w:rsidR="00007072" w:rsidRPr="00D40FF2">
        <w:rPr>
          <w:rFonts w:cs="Arial"/>
        </w:rPr>
        <w:t>/</w:t>
      </w:r>
      <w:r w:rsidR="0014195A" w:rsidRPr="00D40FF2">
        <w:rPr>
          <w:rFonts w:cs="Arial"/>
        </w:rPr>
        <w:t xml:space="preserve">contract </w:t>
      </w:r>
      <w:r w:rsidR="00007072" w:rsidRPr="00D40FF2">
        <w:rPr>
          <w:rFonts w:cs="Arial"/>
        </w:rPr>
        <w:t xml:space="preserve">performance data in line with </w:t>
      </w:r>
      <w:r w:rsidR="000244B6" w:rsidRPr="00D40FF2">
        <w:rPr>
          <w:rFonts w:cs="Arial"/>
        </w:rPr>
        <w:t>Section</w:t>
      </w:r>
      <w:r w:rsidR="003D520F" w:rsidRPr="00D40FF2">
        <w:rPr>
          <w:rFonts w:cs="Arial"/>
        </w:rPr>
        <w:t xml:space="preserve"> </w:t>
      </w:r>
      <w:r w:rsidR="00007072" w:rsidRPr="00D40FF2">
        <w:rPr>
          <w:rFonts w:cs="Arial"/>
        </w:rPr>
        <w:t>71</w:t>
      </w:r>
      <w:r w:rsidR="00455CC7" w:rsidRPr="00D40FF2">
        <w:rPr>
          <w:rFonts w:cs="Arial"/>
        </w:rPr>
        <w:t xml:space="preserve"> of the </w:t>
      </w:r>
      <w:r w:rsidR="0021217B" w:rsidRPr="00D40FF2">
        <w:rPr>
          <w:rFonts w:cs="Arial"/>
        </w:rPr>
        <w:t>Act</w:t>
      </w:r>
      <w:r w:rsidR="00757974" w:rsidRPr="00D40FF2">
        <w:rPr>
          <w:rFonts w:cs="Arial"/>
        </w:rPr>
        <w:t>.</w:t>
      </w:r>
      <w:r w:rsidR="00520B9C" w:rsidRPr="00D40FF2">
        <w:rPr>
          <w:rFonts w:cs="Arial"/>
        </w:rPr>
        <w:t xml:space="preserve"> </w:t>
      </w:r>
    </w:p>
    <w:p w14:paraId="610F3AB7" w14:textId="1118C6E9" w:rsidR="001025B6" w:rsidRPr="001025B6" w:rsidRDefault="00920F8E" w:rsidP="001025B6">
      <w:pPr>
        <w:pStyle w:val="ListParagraph"/>
        <w:numPr>
          <w:ilvl w:val="0"/>
          <w:numId w:val="67"/>
        </w:numPr>
        <w:ind w:left="993" w:hanging="284"/>
        <w:rPr>
          <w:rFonts w:cs="Arial"/>
        </w:rPr>
      </w:pPr>
      <w:r w:rsidRPr="00D40FF2">
        <w:rPr>
          <w:rFonts w:cs="Arial"/>
        </w:rPr>
        <w:t>The publishing of contract award notices and contract details notices on “Find a Tender” (</w:t>
      </w:r>
      <w:hyperlink r:id="rId15" w:history="1">
        <w:r w:rsidRPr="00D40FF2">
          <w:rPr>
            <w:rFonts w:cs="Arial"/>
          </w:rPr>
          <w:t>https://www.gov.uk/find-tender</w:t>
        </w:r>
      </w:hyperlink>
      <w:r w:rsidRPr="00D40FF2">
        <w:rPr>
          <w:rFonts w:cs="Arial"/>
        </w:rPr>
        <w:t>) which identify the contract value and successful supplier, and the publishing of the awarded contract documents (subject to any redactions made by HMRC).</w:t>
      </w:r>
    </w:p>
    <w:p w14:paraId="76BDB1D7" w14:textId="77777777" w:rsidR="00D40FF2" w:rsidRPr="00D40FF2" w:rsidRDefault="00D40FF2" w:rsidP="00D40FF2">
      <w:pPr>
        <w:pStyle w:val="ListParagraph"/>
        <w:ind w:left="993"/>
        <w:rPr>
          <w:rFonts w:cs="Arial"/>
        </w:rPr>
      </w:pPr>
    </w:p>
    <w:p w14:paraId="6C3FD303" w14:textId="2D4BEBCA" w:rsidR="00184FAF" w:rsidRDefault="00184FAF" w:rsidP="00D40FF2">
      <w:pPr>
        <w:pStyle w:val="ListParagraph"/>
        <w:numPr>
          <w:ilvl w:val="1"/>
          <w:numId w:val="5"/>
        </w:numPr>
      </w:pPr>
      <w:r w:rsidRPr="00D40FF2">
        <w:t xml:space="preserve">By submitting a </w:t>
      </w:r>
      <w:r w:rsidR="00DA5CE9" w:rsidRPr="00D40FF2">
        <w:t>response</w:t>
      </w:r>
      <w:r w:rsidRPr="00D40FF2">
        <w:t xml:space="preserve">, </w:t>
      </w:r>
      <w:r w:rsidR="00FA5CF7" w:rsidRPr="00D40FF2">
        <w:t>Supplier</w:t>
      </w:r>
      <w:r w:rsidR="0079513D" w:rsidRPr="00D40FF2">
        <w:t xml:space="preserve">s are confirming their agreement to HMRC publishing </w:t>
      </w:r>
      <w:r w:rsidR="00226E54" w:rsidRPr="00D40FF2">
        <w:t>any information</w:t>
      </w:r>
      <w:r w:rsidR="001636DE" w:rsidRPr="00D40FF2">
        <w:t xml:space="preserve"> </w:t>
      </w:r>
      <w:r w:rsidR="00226E54" w:rsidRPr="00D40FF2">
        <w:t xml:space="preserve">required to meet </w:t>
      </w:r>
      <w:r w:rsidR="00AF2CC5" w:rsidRPr="00D40FF2">
        <w:t>HMRC’s</w:t>
      </w:r>
      <w:r w:rsidR="007D6D0E" w:rsidRPr="00D40FF2">
        <w:t xml:space="preserve"> public sector transparency </w:t>
      </w:r>
      <w:r w:rsidR="009477E2" w:rsidRPr="00D40FF2">
        <w:t>obligations</w:t>
      </w:r>
      <w:r w:rsidR="007D6D0E" w:rsidRPr="00D40FF2">
        <w:t xml:space="preserve"> and legal requirements</w:t>
      </w:r>
      <w:r w:rsidR="00BB1100" w:rsidRPr="00D40FF2">
        <w:t xml:space="preserve">, including but not limited to, those outlined within </w:t>
      </w:r>
      <w:r w:rsidR="0021217B" w:rsidRPr="00D40FF2">
        <w:t>the Act.</w:t>
      </w:r>
    </w:p>
    <w:p w14:paraId="24E53E02" w14:textId="77777777" w:rsidR="00D40FF2" w:rsidRPr="00D40FF2" w:rsidRDefault="00D40FF2" w:rsidP="00D40FF2">
      <w:pPr>
        <w:pStyle w:val="ListParagraph"/>
        <w:ind w:left="680"/>
      </w:pPr>
    </w:p>
    <w:p w14:paraId="00D8096B" w14:textId="52544468" w:rsidR="00851DD0" w:rsidRPr="00E538FD" w:rsidRDefault="00FA5CF7" w:rsidP="00D40FF2">
      <w:pPr>
        <w:pStyle w:val="ListParagraph"/>
        <w:numPr>
          <w:ilvl w:val="1"/>
          <w:numId w:val="5"/>
        </w:numPr>
      </w:pPr>
      <w:r w:rsidRPr="00D40FF2">
        <w:t>Supplier</w:t>
      </w:r>
      <w:r w:rsidR="00851DD0" w:rsidRPr="00D40FF2">
        <w:t xml:space="preserve">s must read the </w:t>
      </w:r>
      <w:hyperlink r:id="rId16" w:history="1">
        <w:r w:rsidR="00851DD0" w:rsidRPr="00D40FF2">
          <w:t>Government Security Classifications Policy</w:t>
        </w:r>
      </w:hyperlink>
      <w:r w:rsidR="00851DD0" w:rsidRPr="00D40FF2">
        <w:t xml:space="preserve"> (GSCP) and follow the minimum baseline security requirements for OFFICIAL, OFFICIAL information marked OFFICIAL-SENSITIVE, SECRET or TOP SECRET outlined in the GSCP and within the security requirements set out by HMRC. </w:t>
      </w:r>
      <w:r w:rsidRPr="00D40FF2">
        <w:t>Supplier</w:t>
      </w:r>
      <w:r w:rsidR="00851DD0" w:rsidRPr="00D40FF2">
        <w:t xml:space="preserve">s will handle and protect HMRC classified information entrusted to them, or produced by them under contract, in accordance with the GSCP. Unless HMRC stipulates more stringent requirements, the provisions of the GSCP are considered the baseline that all </w:t>
      </w:r>
      <w:r w:rsidR="001C3C13">
        <w:t>S</w:t>
      </w:r>
      <w:r w:rsidR="0000586C" w:rsidRPr="00D40FF2">
        <w:t>uppliers</w:t>
      </w:r>
      <w:r w:rsidR="00851DD0" w:rsidRPr="00D40FF2">
        <w:t xml:space="preserve"> </w:t>
      </w:r>
      <w:r w:rsidR="0000586C" w:rsidRPr="00D40FF2">
        <w:t>must</w:t>
      </w:r>
      <w:r w:rsidR="00851DD0" w:rsidRPr="00D40FF2">
        <w:t xml:space="preserve"> meet.</w:t>
      </w:r>
    </w:p>
    <w:p w14:paraId="5456DBE4" w14:textId="6A659B82" w:rsidR="00C009A8" w:rsidRPr="00957A1F" w:rsidRDefault="007A6E36" w:rsidP="00320D15">
      <w:pPr>
        <w:pStyle w:val="Head2"/>
        <w:pageBreakBefore/>
        <w:numPr>
          <w:ilvl w:val="0"/>
          <w:numId w:val="5"/>
        </w:numPr>
        <w:spacing w:before="240"/>
        <w:rPr>
          <w:rFonts w:cs="Arial"/>
          <w:b/>
          <w:bCs/>
          <w:color w:val="009999"/>
          <w:sz w:val="24"/>
          <w:szCs w:val="24"/>
        </w:rPr>
      </w:pPr>
      <w:bookmarkStart w:id="22" w:name="_Toc203730831"/>
      <w:r w:rsidRPr="00957A1F">
        <w:rPr>
          <w:rFonts w:cs="Arial"/>
          <w:b/>
          <w:bCs/>
          <w:color w:val="009999"/>
          <w:sz w:val="24"/>
          <w:szCs w:val="24"/>
        </w:rPr>
        <w:lastRenderedPageBreak/>
        <w:t>FOI</w:t>
      </w:r>
      <w:r w:rsidR="00157ADE" w:rsidRPr="00957A1F">
        <w:rPr>
          <w:rFonts w:cs="Arial"/>
          <w:b/>
          <w:bCs/>
          <w:color w:val="009999"/>
          <w:sz w:val="24"/>
          <w:szCs w:val="24"/>
        </w:rPr>
        <w:t xml:space="preserve"> ACT</w:t>
      </w:r>
      <w:r w:rsidR="00EA06CA" w:rsidRPr="00957A1F">
        <w:rPr>
          <w:rFonts w:cs="Arial"/>
          <w:b/>
          <w:bCs/>
          <w:color w:val="009999"/>
          <w:sz w:val="24"/>
          <w:szCs w:val="24"/>
        </w:rPr>
        <w:t xml:space="preserve"> AND ENVIRONMENTAL INFORMATION REGULATIONS</w:t>
      </w:r>
      <w:bookmarkEnd w:id="22"/>
    </w:p>
    <w:p w14:paraId="5B0DEC3C" w14:textId="77777777" w:rsidR="00CC5B0A" w:rsidRPr="00CC5B0A" w:rsidRDefault="00CC5B0A" w:rsidP="00320D15">
      <w:pPr>
        <w:pStyle w:val="ListParagraph"/>
        <w:numPr>
          <w:ilvl w:val="0"/>
          <w:numId w:val="8"/>
        </w:numPr>
        <w:contextualSpacing w:val="0"/>
        <w:jc w:val="both"/>
        <w:rPr>
          <w:rFonts w:cs="Arial"/>
          <w:vanish/>
          <w:color w:val="000000"/>
        </w:rPr>
      </w:pPr>
    </w:p>
    <w:p w14:paraId="6ED8DC21" w14:textId="64F661AC" w:rsidR="00E92C3D" w:rsidRDefault="00F360F2" w:rsidP="00DC5DA5">
      <w:pPr>
        <w:pStyle w:val="ListParagraph"/>
        <w:numPr>
          <w:ilvl w:val="1"/>
          <w:numId w:val="5"/>
        </w:numPr>
        <w:rPr>
          <w:rFonts w:eastAsiaTheme="majorEastAsia" w:cs="Arial"/>
        </w:rPr>
      </w:pPr>
      <w:r w:rsidRPr="00DC5DA5">
        <w:rPr>
          <w:rFonts w:eastAsiaTheme="majorEastAsia" w:cs="Arial"/>
        </w:rPr>
        <w:t xml:space="preserve">As a public body, </w:t>
      </w:r>
      <w:r w:rsidR="00C009A8" w:rsidRPr="00DC5DA5">
        <w:rPr>
          <w:rFonts w:eastAsiaTheme="majorEastAsia" w:cs="Arial"/>
        </w:rPr>
        <w:t xml:space="preserve">HMRC </w:t>
      </w:r>
      <w:r w:rsidR="00A02743" w:rsidRPr="00DC5DA5">
        <w:rPr>
          <w:rFonts w:eastAsiaTheme="majorEastAsia" w:cs="Arial"/>
        </w:rPr>
        <w:t>must</w:t>
      </w:r>
      <w:r w:rsidR="006F6621" w:rsidRPr="00DC5DA5">
        <w:rPr>
          <w:rFonts w:eastAsiaTheme="majorEastAsia" w:cs="Arial"/>
        </w:rPr>
        <w:t xml:space="preserve"> </w:t>
      </w:r>
      <w:r w:rsidR="00C009A8" w:rsidRPr="00DC5DA5">
        <w:rPr>
          <w:rFonts w:eastAsiaTheme="majorEastAsia" w:cs="Arial"/>
        </w:rPr>
        <w:t>meet its responsibilities under the Freedom of Information Act 2000 (</w:t>
      </w:r>
      <w:r w:rsidR="006361EC" w:rsidRPr="00DC5DA5">
        <w:rPr>
          <w:rFonts w:eastAsiaTheme="majorEastAsia" w:cs="Arial"/>
        </w:rPr>
        <w:t>“</w:t>
      </w:r>
      <w:r w:rsidR="00C009A8" w:rsidRPr="00DC5DA5">
        <w:rPr>
          <w:rFonts w:eastAsiaTheme="majorEastAsia" w:cs="Arial"/>
        </w:rPr>
        <w:t>FOIA</w:t>
      </w:r>
      <w:r w:rsidR="006361EC" w:rsidRPr="00DC5DA5">
        <w:rPr>
          <w:rFonts w:eastAsiaTheme="majorEastAsia" w:cs="Arial"/>
        </w:rPr>
        <w:t>”</w:t>
      </w:r>
      <w:r w:rsidR="00C009A8" w:rsidRPr="00DC5DA5">
        <w:rPr>
          <w:rFonts w:eastAsiaTheme="majorEastAsia" w:cs="Arial"/>
        </w:rPr>
        <w:t>)</w:t>
      </w:r>
      <w:r w:rsidR="00AD32E8" w:rsidRPr="00DC5DA5">
        <w:rPr>
          <w:rFonts w:eastAsiaTheme="majorEastAsia" w:cs="Arial"/>
        </w:rPr>
        <w:t xml:space="preserve"> and the</w:t>
      </w:r>
      <w:r w:rsidR="005727BA" w:rsidRPr="00DC5DA5">
        <w:rPr>
          <w:rFonts w:eastAsiaTheme="majorEastAsia" w:cs="Arial"/>
        </w:rPr>
        <w:t xml:space="preserve"> Environmental Information Regulations 2004 (</w:t>
      </w:r>
      <w:r w:rsidR="006361EC" w:rsidRPr="00DC5DA5">
        <w:rPr>
          <w:rFonts w:eastAsiaTheme="majorEastAsia" w:cs="Arial"/>
        </w:rPr>
        <w:t>“</w:t>
      </w:r>
      <w:r w:rsidR="005727BA" w:rsidRPr="00DC5DA5">
        <w:rPr>
          <w:rFonts w:eastAsiaTheme="majorEastAsia" w:cs="Arial"/>
        </w:rPr>
        <w:t>EIR</w:t>
      </w:r>
      <w:r w:rsidR="006361EC" w:rsidRPr="00DC5DA5">
        <w:rPr>
          <w:rFonts w:eastAsiaTheme="majorEastAsia" w:cs="Arial"/>
        </w:rPr>
        <w:t>”</w:t>
      </w:r>
      <w:r w:rsidR="005727BA" w:rsidRPr="00DC5DA5">
        <w:rPr>
          <w:rFonts w:eastAsiaTheme="majorEastAsia" w:cs="Arial"/>
        </w:rPr>
        <w:t>)</w:t>
      </w:r>
      <w:r w:rsidR="00E92C3D" w:rsidRPr="00DC5DA5">
        <w:rPr>
          <w:rFonts w:eastAsiaTheme="majorEastAsia" w:cs="Arial"/>
        </w:rPr>
        <w:t xml:space="preserve"> in respect of information </w:t>
      </w:r>
      <w:r w:rsidR="002803C9" w:rsidRPr="00DC5DA5">
        <w:rPr>
          <w:rFonts w:eastAsiaTheme="majorEastAsia" w:cs="Arial"/>
        </w:rPr>
        <w:t>that we</w:t>
      </w:r>
      <w:r w:rsidR="00E92C3D" w:rsidRPr="00DC5DA5">
        <w:rPr>
          <w:rFonts w:eastAsiaTheme="majorEastAsia" w:cs="Arial"/>
        </w:rPr>
        <w:t xml:space="preserve"> hold (including third party information)</w:t>
      </w:r>
      <w:r w:rsidR="00C009A8" w:rsidRPr="00DC5DA5">
        <w:rPr>
          <w:rFonts w:eastAsiaTheme="majorEastAsia" w:cs="Arial"/>
        </w:rPr>
        <w:t>.</w:t>
      </w:r>
    </w:p>
    <w:p w14:paraId="4B1F05EC" w14:textId="77777777" w:rsidR="00DC5DA5" w:rsidRPr="00DC5DA5" w:rsidRDefault="00DC5DA5" w:rsidP="00DC5DA5">
      <w:pPr>
        <w:pStyle w:val="ListParagraph"/>
        <w:ind w:left="680"/>
        <w:rPr>
          <w:rFonts w:eastAsiaTheme="majorEastAsia" w:cs="Arial"/>
        </w:rPr>
      </w:pPr>
    </w:p>
    <w:p w14:paraId="397A5998" w14:textId="402A8C65" w:rsidR="00DC5DA5" w:rsidRPr="00DC5DA5" w:rsidRDefault="00C009A8" w:rsidP="00DC5DA5">
      <w:pPr>
        <w:pStyle w:val="ListParagraph"/>
        <w:numPr>
          <w:ilvl w:val="1"/>
          <w:numId w:val="5"/>
        </w:numPr>
        <w:rPr>
          <w:rFonts w:eastAsiaTheme="majorEastAsia" w:cs="Arial"/>
        </w:rPr>
      </w:pPr>
      <w:r w:rsidRPr="00DC5DA5">
        <w:rPr>
          <w:rFonts w:eastAsiaTheme="majorEastAsia" w:cs="Arial"/>
        </w:rPr>
        <w:t xml:space="preserve">Consequently, information submitted to HMRC </w:t>
      </w:r>
      <w:r w:rsidR="0091273B" w:rsidRPr="00DC5DA5">
        <w:rPr>
          <w:rFonts w:eastAsiaTheme="majorEastAsia" w:cs="Arial"/>
        </w:rPr>
        <w:t xml:space="preserve">in connection with this procurement </w:t>
      </w:r>
      <w:r w:rsidRPr="00DC5DA5">
        <w:rPr>
          <w:rFonts w:eastAsiaTheme="majorEastAsia" w:cs="Arial"/>
        </w:rPr>
        <w:t xml:space="preserve">may be </w:t>
      </w:r>
      <w:r w:rsidR="00C95219" w:rsidRPr="00DC5DA5">
        <w:rPr>
          <w:rFonts w:eastAsiaTheme="majorEastAsia" w:cs="Arial"/>
        </w:rPr>
        <w:t>disclosed</w:t>
      </w:r>
      <w:r w:rsidRPr="00DC5DA5">
        <w:rPr>
          <w:rFonts w:eastAsiaTheme="majorEastAsia" w:cs="Arial"/>
        </w:rPr>
        <w:t xml:space="preserve"> to a third party in response to a </w:t>
      </w:r>
      <w:r w:rsidR="00D508B0" w:rsidRPr="00DC5DA5">
        <w:rPr>
          <w:rFonts w:eastAsiaTheme="majorEastAsia" w:cs="Arial"/>
        </w:rPr>
        <w:t>request for information under the FOIA or EIR</w:t>
      </w:r>
      <w:r w:rsidR="00DC5DA5">
        <w:rPr>
          <w:rFonts w:eastAsiaTheme="majorEastAsia" w:cs="Arial"/>
        </w:rPr>
        <w:t>.</w:t>
      </w:r>
    </w:p>
    <w:p w14:paraId="28F0D078" w14:textId="77777777" w:rsidR="00DC5DA5" w:rsidRPr="00DC5DA5" w:rsidRDefault="00DC5DA5" w:rsidP="00DC5DA5">
      <w:pPr>
        <w:pStyle w:val="ListParagraph"/>
        <w:ind w:left="680"/>
        <w:rPr>
          <w:rFonts w:eastAsiaTheme="majorEastAsia" w:cs="Arial"/>
        </w:rPr>
      </w:pPr>
    </w:p>
    <w:p w14:paraId="45E9E067" w14:textId="0107CF95" w:rsidR="00DC5DA5" w:rsidRPr="00DC5DA5" w:rsidRDefault="00C009A8" w:rsidP="00DC5DA5">
      <w:pPr>
        <w:pStyle w:val="ListParagraph"/>
        <w:numPr>
          <w:ilvl w:val="1"/>
          <w:numId w:val="5"/>
        </w:numPr>
        <w:rPr>
          <w:rFonts w:eastAsiaTheme="majorEastAsia" w:cs="Arial"/>
        </w:rPr>
      </w:pPr>
      <w:r w:rsidRPr="00DC5DA5">
        <w:rPr>
          <w:rFonts w:eastAsiaTheme="majorEastAsia" w:cs="Arial"/>
        </w:rPr>
        <w:t>By participating in t</w:t>
      </w:r>
      <w:r w:rsidR="00E9516B" w:rsidRPr="00DC5DA5">
        <w:rPr>
          <w:rFonts w:eastAsiaTheme="majorEastAsia" w:cs="Arial"/>
        </w:rPr>
        <w:t>his procurement exercise</w:t>
      </w:r>
      <w:r w:rsidRPr="00DC5DA5">
        <w:rPr>
          <w:rFonts w:eastAsiaTheme="majorEastAsia" w:cs="Arial"/>
        </w:rPr>
        <w:t xml:space="preserve">, </w:t>
      </w:r>
      <w:r w:rsidR="00FA5CF7" w:rsidRPr="00DC5DA5">
        <w:rPr>
          <w:rFonts w:eastAsiaTheme="majorEastAsia" w:cs="Arial"/>
        </w:rPr>
        <w:t>Supplier</w:t>
      </w:r>
      <w:r w:rsidR="002535E7" w:rsidRPr="00DC5DA5">
        <w:rPr>
          <w:rFonts w:eastAsiaTheme="majorEastAsia" w:cs="Arial"/>
        </w:rPr>
        <w:t xml:space="preserve">s </w:t>
      </w:r>
      <w:r w:rsidRPr="00DC5DA5">
        <w:rPr>
          <w:rFonts w:eastAsiaTheme="majorEastAsia" w:cs="Arial"/>
        </w:rPr>
        <w:t>are deemed to understand and accept that the decision to disclose information, and the application of any exemptions under the FOIA</w:t>
      </w:r>
      <w:r w:rsidR="00362456" w:rsidRPr="00DC5DA5">
        <w:rPr>
          <w:rFonts w:eastAsiaTheme="majorEastAsia" w:cs="Arial"/>
        </w:rPr>
        <w:t xml:space="preserve"> or EIR</w:t>
      </w:r>
      <w:r w:rsidRPr="00DC5DA5">
        <w:rPr>
          <w:rFonts w:eastAsiaTheme="majorEastAsia" w:cs="Arial"/>
        </w:rPr>
        <w:t xml:space="preserve">, will be at HMRC’s sole discretion. HMRC will, however, act reasonably and proportionately in exercising </w:t>
      </w:r>
      <w:r w:rsidR="00E13EEC" w:rsidRPr="00DC5DA5">
        <w:rPr>
          <w:rFonts w:eastAsiaTheme="majorEastAsia" w:cs="Arial"/>
        </w:rPr>
        <w:t xml:space="preserve">this </w:t>
      </w:r>
      <w:r w:rsidR="008D57D3" w:rsidRPr="00DC5DA5">
        <w:rPr>
          <w:rFonts w:eastAsiaTheme="majorEastAsia" w:cs="Arial"/>
        </w:rPr>
        <w:t>discretion</w:t>
      </w:r>
      <w:r w:rsidRPr="00DC5DA5">
        <w:rPr>
          <w:rFonts w:eastAsiaTheme="majorEastAsia" w:cs="Arial"/>
        </w:rPr>
        <w:t>.</w:t>
      </w:r>
    </w:p>
    <w:p w14:paraId="5991B56C" w14:textId="77777777" w:rsidR="00DC5DA5" w:rsidRPr="00DC5DA5" w:rsidRDefault="00DC5DA5" w:rsidP="00DC5DA5">
      <w:pPr>
        <w:pStyle w:val="ListParagraph"/>
        <w:ind w:left="680"/>
        <w:rPr>
          <w:rFonts w:eastAsiaTheme="majorEastAsia" w:cs="Arial"/>
        </w:rPr>
      </w:pPr>
    </w:p>
    <w:p w14:paraId="760C9A28" w14:textId="310D7BF1" w:rsidR="00DC5DA5" w:rsidRPr="00DC5DA5" w:rsidRDefault="00D437CA" w:rsidP="00DC5DA5">
      <w:pPr>
        <w:pStyle w:val="ListParagraph"/>
        <w:numPr>
          <w:ilvl w:val="1"/>
          <w:numId w:val="5"/>
        </w:numPr>
        <w:rPr>
          <w:rFonts w:eastAsiaTheme="majorEastAsia" w:cs="Arial"/>
        </w:rPr>
      </w:pPr>
      <w:r w:rsidRPr="00DC5DA5">
        <w:rPr>
          <w:rFonts w:eastAsiaTheme="majorEastAsia" w:cs="Arial"/>
        </w:rPr>
        <w:t xml:space="preserve">As a </w:t>
      </w:r>
      <w:r w:rsidR="00FA5CF7" w:rsidRPr="00DC5DA5">
        <w:rPr>
          <w:rFonts w:eastAsiaTheme="majorEastAsia" w:cs="Arial"/>
        </w:rPr>
        <w:t>Supplier</w:t>
      </w:r>
      <w:r w:rsidRPr="00DC5DA5">
        <w:rPr>
          <w:rFonts w:eastAsiaTheme="majorEastAsia" w:cs="Arial"/>
        </w:rPr>
        <w:t xml:space="preserve">, </w:t>
      </w:r>
      <w:r w:rsidR="005A46B4" w:rsidRPr="00DC5DA5">
        <w:rPr>
          <w:rFonts w:eastAsiaTheme="majorEastAsia" w:cs="Arial"/>
        </w:rPr>
        <w:t xml:space="preserve">if you </w:t>
      </w:r>
      <w:r w:rsidR="00C009A8" w:rsidRPr="00DC5DA5">
        <w:rPr>
          <w:rFonts w:eastAsiaTheme="majorEastAsia" w:cs="Arial"/>
        </w:rPr>
        <w:t xml:space="preserve">consider any of the information </w:t>
      </w:r>
      <w:r w:rsidR="00167CB6" w:rsidRPr="00DC5DA5">
        <w:rPr>
          <w:rFonts w:eastAsiaTheme="majorEastAsia" w:cs="Arial"/>
        </w:rPr>
        <w:t xml:space="preserve">you </w:t>
      </w:r>
      <w:r w:rsidR="00C009A8" w:rsidRPr="00DC5DA5">
        <w:rPr>
          <w:rFonts w:eastAsiaTheme="majorEastAsia" w:cs="Arial"/>
        </w:rPr>
        <w:t>have submitted to be commercially sensitive</w:t>
      </w:r>
      <w:r w:rsidR="003D3419" w:rsidRPr="00DC5DA5">
        <w:rPr>
          <w:rFonts w:eastAsiaTheme="majorEastAsia" w:cs="Arial"/>
        </w:rPr>
        <w:t xml:space="preserve"> or confidential</w:t>
      </w:r>
      <w:r w:rsidR="00C009A8" w:rsidRPr="00DC5DA5">
        <w:rPr>
          <w:rFonts w:eastAsiaTheme="majorEastAsia" w:cs="Arial"/>
        </w:rPr>
        <w:t xml:space="preserve">, then an explanation (in broad terms) of what harm may result from disclosure if a request is received, and the time period applicable to that sensitivity, should be included in the </w:t>
      </w:r>
      <w:r w:rsidR="002824BA" w:rsidRPr="00DC5DA5">
        <w:rPr>
          <w:rFonts w:eastAsiaTheme="majorEastAsia" w:cs="Arial"/>
        </w:rPr>
        <w:t>PSQ response</w:t>
      </w:r>
      <w:r w:rsidR="00C009A8" w:rsidRPr="00DC5DA5">
        <w:rPr>
          <w:rFonts w:eastAsiaTheme="majorEastAsia" w:cs="Arial"/>
        </w:rPr>
        <w:t xml:space="preserve"> to the relevant question</w:t>
      </w:r>
      <w:r w:rsidR="001D38F5" w:rsidRPr="00DC5DA5">
        <w:rPr>
          <w:rFonts w:eastAsiaTheme="majorEastAsia" w:cs="Arial"/>
        </w:rPr>
        <w:t xml:space="preserve"> in the questionnaire</w:t>
      </w:r>
      <w:r w:rsidR="007D0477" w:rsidRPr="00DC5DA5">
        <w:rPr>
          <w:rFonts w:eastAsiaTheme="majorEastAsia" w:cs="Arial"/>
        </w:rPr>
        <w:t>.</w:t>
      </w:r>
      <w:r w:rsidR="00EB431B" w:rsidRPr="00DC5DA5">
        <w:rPr>
          <w:rFonts w:eastAsiaTheme="majorEastAsia" w:cs="Arial"/>
        </w:rPr>
        <w:t xml:space="preserve"> </w:t>
      </w:r>
      <w:r w:rsidR="005458DB" w:rsidRPr="00DC5DA5">
        <w:rPr>
          <w:rFonts w:eastAsiaTheme="majorEastAsia" w:cs="Arial"/>
        </w:rPr>
        <w:t xml:space="preserve">HMRC </w:t>
      </w:r>
      <w:r w:rsidR="00D77F12" w:rsidRPr="00DC5DA5">
        <w:rPr>
          <w:rFonts w:eastAsiaTheme="majorEastAsia" w:cs="Arial"/>
        </w:rPr>
        <w:t>will consider this as part of any disclosure decision but t</w:t>
      </w:r>
      <w:r w:rsidR="00EB431B" w:rsidRPr="00DC5DA5">
        <w:rPr>
          <w:rFonts w:eastAsiaTheme="majorEastAsia" w:cs="Arial"/>
        </w:rPr>
        <w:t xml:space="preserve">he final decision as to whether information should be disclosed </w:t>
      </w:r>
      <w:r w:rsidR="000E5663" w:rsidRPr="00DC5DA5">
        <w:rPr>
          <w:rFonts w:eastAsiaTheme="majorEastAsia" w:cs="Arial"/>
        </w:rPr>
        <w:t>will</w:t>
      </w:r>
      <w:r w:rsidR="00EB431B" w:rsidRPr="00DC5DA5">
        <w:rPr>
          <w:rFonts w:eastAsiaTheme="majorEastAsia" w:cs="Arial"/>
        </w:rPr>
        <w:t xml:space="preserve"> be HMRC’s.</w:t>
      </w:r>
    </w:p>
    <w:p w14:paraId="2FCD679C" w14:textId="77777777" w:rsidR="00DC5DA5" w:rsidRPr="00DC5DA5" w:rsidRDefault="00DC5DA5" w:rsidP="00DC5DA5">
      <w:pPr>
        <w:pStyle w:val="ListParagraph"/>
        <w:ind w:left="680"/>
        <w:rPr>
          <w:rFonts w:eastAsiaTheme="majorEastAsia" w:cs="Arial"/>
        </w:rPr>
      </w:pPr>
    </w:p>
    <w:p w14:paraId="70B7E7DD" w14:textId="5748D3C6" w:rsidR="00C009A8" w:rsidRPr="00DC5DA5" w:rsidRDefault="00C009A8" w:rsidP="00DC5DA5">
      <w:pPr>
        <w:pStyle w:val="ListParagraph"/>
        <w:numPr>
          <w:ilvl w:val="1"/>
          <w:numId w:val="5"/>
        </w:numPr>
        <w:rPr>
          <w:rFonts w:eastAsiaTheme="majorEastAsia" w:cs="Arial"/>
        </w:rPr>
      </w:pPr>
      <w:r w:rsidRPr="00DC5DA5">
        <w:rPr>
          <w:rFonts w:eastAsiaTheme="majorEastAsia" w:cs="Arial"/>
        </w:rPr>
        <w:t>Further information about the FOIA</w:t>
      </w:r>
      <w:r w:rsidR="005458DB" w:rsidRPr="00DC5DA5">
        <w:rPr>
          <w:rFonts w:eastAsiaTheme="majorEastAsia" w:cs="Arial"/>
        </w:rPr>
        <w:t xml:space="preserve"> and EIR</w:t>
      </w:r>
      <w:r w:rsidRPr="00DC5DA5">
        <w:rPr>
          <w:rFonts w:eastAsiaTheme="majorEastAsia" w:cs="Arial"/>
        </w:rPr>
        <w:t xml:space="preserve"> is </w:t>
      </w:r>
      <w:r w:rsidR="005458DB" w:rsidRPr="00DC5DA5">
        <w:rPr>
          <w:rFonts w:eastAsiaTheme="majorEastAsia" w:cs="Arial"/>
        </w:rPr>
        <w:t xml:space="preserve">available </w:t>
      </w:r>
      <w:r w:rsidRPr="00DC5DA5">
        <w:rPr>
          <w:rFonts w:eastAsiaTheme="majorEastAsia" w:cs="Arial"/>
        </w:rPr>
        <w:t xml:space="preserve">on the </w:t>
      </w:r>
      <w:r w:rsidR="00785A80" w:rsidRPr="00DC5DA5">
        <w:rPr>
          <w:rFonts w:eastAsiaTheme="majorEastAsia" w:cs="Arial"/>
        </w:rPr>
        <w:t xml:space="preserve">Information Commissioner’s Office website </w:t>
      </w:r>
      <w:r w:rsidR="00F6383A">
        <w:rPr>
          <w:rFonts w:eastAsiaTheme="majorEastAsia" w:cs="Arial"/>
        </w:rPr>
        <w:t>(</w:t>
      </w:r>
      <w:hyperlink r:id="rId17" w:history="1">
        <w:r w:rsidR="00F6383A" w:rsidRPr="006310A4">
          <w:rPr>
            <w:rStyle w:val="Hyperlink"/>
            <w:rFonts w:eastAsiaTheme="majorEastAsia"/>
          </w:rPr>
          <w:t>www.ico.org.uk</w:t>
        </w:r>
      </w:hyperlink>
      <w:r w:rsidR="00F6383A">
        <w:rPr>
          <w:rFonts w:eastAsiaTheme="majorEastAsia"/>
        </w:rPr>
        <w:t xml:space="preserve">).  </w:t>
      </w:r>
      <w:r w:rsidR="00E822EE" w:rsidRPr="00DC5DA5" w:rsidDel="00E822EE">
        <w:rPr>
          <w:rFonts w:eastAsiaTheme="majorEastAsia" w:cs="Arial"/>
        </w:rPr>
        <w:t xml:space="preserve"> </w:t>
      </w:r>
    </w:p>
    <w:p w14:paraId="1781F17C" w14:textId="13928F46" w:rsidR="00C009A8" w:rsidRPr="00957A1F" w:rsidRDefault="00FA5CF7" w:rsidP="00320D15">
      <w:pPr>
        <w:pStyle w:val="Head2"/>
        <w:pageBreakBefore/>
        <w:numPr>
          <w:ilvl w:val="0"/>
          <w:numId w:val="5"/>
        </w:numPr>
        <w:spacing w:before="240"/>
        <w:rPr>
          <w:rFonts w:cs="Arial"/>
          <w:b/>
          <w:bCs/>
          <w:color w:val="009999"/>
          <w:sz w:val="24"/>
          <w:szCs w:val="24"/>
        </w:rPr>
      </w:pPr>
      <w:bookmarkStart w:id="23" w:name="_Toc203730832"/>
      <w:r>
        <w:rPr>
          <w:rFonts w:cs="Arial"/>
          <w:b/>
          <w:bCs/>
          <w:color w:val="009999"/>
          <w:sz w:val="24"/>
          <w:szCs w:val="24"/>
        </w:rPr>
        <w:lastRenderedPageBreak/>
        <w:t>SUPPLIER</w:t>
      </w:r>
      <w:r w:rsidR="007C5F37" w:rsidRPr="00957A1F">
        <w:rPr>
          <w:rFonts w:cs="Arial"/>
          <w:b/>
          <w:bCs/>
          <w:color w:val="009999"/>
          <w:sz w:val="24"/>
          <w:szCs w:val="24"/>
        </w:rPr>
        <w:t xml:space="preserve"> CONDUCT AND CONFLICTS OF INTEREST</w:t>
      </w:r>
      <w:bookmarkEnd w:id="23"/>
    </w:p>
    <w:p w14:paraId="24A7E31E" w14:textId="6AC6FC11" w:rsidR="00086127" w:rsidRPr="00E538FD" w:rsidRDefault="00086127" w:rsidP="00AD19D7">
      <w:pPr>
        <w:pStyle w:val="ListParagraph"/>
        <w:numPr>
          <w:ilvl w:val="1"/>
          <w:numId w:val="32"/>
        </w:numPr>
        <w:contextualSpacing w:val="0"/>
        <w:jc w:val="both"/>
        <w:rPr>
          <w:rFonts w:cs="Arial"/>
        </w:rPr>
      </w:pPr>
      <w:r w:rsidRPr="00E538FD">
        <w:rPr>
          <w:rFonts w:cs="Arial"/>
        </w:rPr>
        <w:t xml:space="preserve">Any attempt by </w:t>
      </w:r>
      <w:r w:rsidR="00FA5CF7">
        <w:rPr>
          <w:rFonts w:cs="Arial"/>
        </w:rPr>
        <w:t>Supplier</w:t>
      </w:r>
      <w:r w:rsidRPr="00E538FD">
        <w:rPr>
          <w:rFonts w:cs="Arial"/>
        </w:rPr>
        <w:t>s or their advisors to inappropriately influence the contract award process in any way</w:t>
      </w:r>
      <w:r w:rsidR="00FF7FB4">
        <w:rPr>
          <w:rFonts w:cs="Arial"/>
        </w:rPr>
        <w:t xml:space="preserve">, </w:t>
      </w:r>
      <w:r w:rsidRPr="00E538FD">
        <w:rPr>
          <w:rFonts w:cs="Arial"/>
        </w:rPr>
        <w:t xml:space="preserve">or any other improper conduct by </w:t>
      </w:r>
      <w:r w:rsidR="00FA5CF7">
        <w:rPr>
          <w:rFonts w:cs="Arial"/>
        </w:rPr>
        <w:t>Supplier</w:t>
      </w:r>
      <w:r w:rsidRPr="00E538FD">
        <w:rPr>
          <w:rFonts w:cs="Arial"/>
        </w:rPr>
        <w:t>s or their advisors</w:t>
      </w:r>
      <w:r w:rsidR="00FF7FB4">
        <w:rPr>
          <w:rFonts w:cs="Arial"/>
        </w:rPr>
        <w:t>,</w:t>
      </w:r>
      <w:r w:rsidRPr="00E538FD">
        <w:rPr>
          <w:rFonts w:cs="Arial"/>
        </w:rPr>
        <w:t xml:space="preserve"> may result in the </w:t>
      </w:r>
      <w:r w:rsidR="00FA5CF7">
        <w:rPr>
          <w:rFonts w:cs="Arial"/>
        </w:rPr>
        <w:t>Supplier</w:t>
      </w:r>
      <w:r w:rsidRPr="00E538FD">
        <w:rPr>
          <w:rFonts w:cs="Arial"/>
        </w:rPr>
        <w:t xml:space="preserve"> being disqualified.</w:t>
      </w:r>
    </w:p>
    <w:p w14:paraId="6F19EC73" w14:textId="10E0BE4B" w:rsidR="00C009A8" w:rsidRPr="00B12E3F" w:rsidRDefault="00FA5CF7" w:rsidP="00AD19D7">
      <w:pPr>
        <w:pStyle w:val="ListParagraph"/>
        <w:numPr>
          <w:ilvl w:val="1"/>
          <w:numId w:val="32"/>
        </w:numPr>
        <w:contextualSpacing w:val="0"/>
        <w:jc w:val="both"/>
        <w:rPr>
          <w:rFonts w:eastAsiaTheme="majorEastAsia"/>
        </w:rPr>
      </w:pPr>
      <w:r>
        <w:rPr>
          <w:rFonts w:cs="Arial"/>
        </w:rPr>
        <w:t>Supplier</w:t>
      </w:r>
      <w:r w:rsidR="00086127" w:rsidRPr="00E538FD">
        <w:rPr>
          <w:rFonts w:cs="Arial"/>
        </w:rPr>
        <w:t>s</w:t>
      </w:r>
      <w:r w:rsidR="00C009A8" w:rsidRPr="00B12E3F">
        <w:rPr>
          <w:rFonts w:eastAsiaTheme="majorEastAsia"/>
        </w:rPr>
        <w:t xml:space="preserve"> must not canvass any members of the Board of HMRC, any employee of HMRC or anyone acting on HMRC’s behalf with a view to obtaining more favourable consideration. </w:t>
      </w:r>
      <w:r>
        <w:rPr>
          <w:rFonts w:cs="Arial"/>
        </w:rPr>
        <w:t>Supplier</w:t>
      </w:r>
      <w:r w:rsidR="00086127" w:rsidRPr="00E538FD">
        <w:rPr>
          <w:rFonts w:cs="Arial"/>
        </w:rPr>
        <w:t>s</w:t>
      </w:r>
      <w:r w:rsidR="0095094C" w:rsidRPr="00B12E3F">
        <w:rPr>
          <w:rFonts w:eastAsiaTheme="majorEastAsia"/>
        </w:rPr>
        <w:t xml:space="preserve"> must also not attempt to obtain information from any of the employees</w:t>
      </w:r>
      <w:r w:rsidR="005B5637" w:rsidRPr="00B12E3F">
        <w:rPr>
          <w:rFonts w:eastAsiaTheme="majorEastAsia"/>
        </w:rPr>
        <w:t>, staff</w:t>
      </w:r>
      <w:r w:rsidR="007321C0" w:rsidRPr="00B12E3F">
        <w:rPr>
          <w:rFonts w:eastAsiaTheme="majorEastAsia"/>
        </w:rPr>
        <w:t>, advis</w:t>
      </w:r>
      <w:r w:rsidR="006361EC" w:rsidRPr="00B12E3F">
        <w:rPr>
          <w:rFonts w:eastAsiaTheme="majorEastAsia"/>
        </w:rPr>
        <w:t>e</w:t>
      </w:r>
      <w:r w:rsidR="007321C0" w:rsidRPr="00B12E3F">
        <w:rPr>
          <w:rFonts w:eastAsiaTheme="majorEastAsia"/>
        </w:rPr>
        <w:t>rs</w:t>
      </w:r>
      <w:r w:rsidR="0095094C" w:rsidRPr="00B12E3F">
        <w:rPr>
          <w:rFonts w:eastAsiaTheme="majorEastAsia"/>
        </w:rPr>
        <w:t xml:space="preserve"> or agents of </w:t>
      </w:r>
      <w:r w:rsidR="005B5637" w:rsidRPr="00B12E3F">
        <w:rPr>
          <w:rFonts w:eastAsiaTheme="majorEastAsia"/>
        </w:rPr>
        <w:t xml:space="preserve">HMRC </w:t>
      </w:r>
      <w:r w:rsidR="0095094C" w:rsidRPr="00B12E3F">
        <w:rPr>
          <w:rFonts w:eastAsiaTheme="majorEastAsia"/>
        </w:rPr>
        <w:t xml:space="preserve">concerning another </w:t>
      </w:r>
      <w:r>
        <w:rPr>
          <w:rFonts w:cs="Arial"/>
        </w:rPr>
        <w:t>Supplier</w:t>
      </w:r>
      <w:r w:rsidR="0095094C" w:rsidRPr="00B12E3F">
        <w:rPr>
          <w:rFonts w:eastAsiaTheme="majorEastAsia"/>
        </w:rPr>
        <w:t xml:space="preserve"> or </w:t>
      </w:r>
      <w:r w:rsidR="00086127" w:rsidRPr="00E538FD">
        <w:rPr>
          <w:rFonts w:cs="Arial"/>
        </w:rPr>
        <w:t>tender</w:t>
      </w:r>
      <w:r w:rsidR="0095094C" w:rsidRPr="00E538FD">
        <w:rPr>
          <w:rFonts w:cs="Arial"/>
        </w:rPr>
        <w:t>.</w:t>
      </w:r>
      <w:r w:rsidR="0095094C" w:rsidRPr="00B12E3F">
        <w:rPr>
          <w:rFonts w:eastAsiaTheme="majorEastAsia"/>
        </w:rPr>
        <w:t xml:space="preserve"> </w:t>
      </w:r>
    </w:p>
    <w:p w14:paraId="6265036E" w14:textId="72F5FDAE" w:rsidR="00C009A8" w:rsidRPr="00B12E3F" w:rsidRDefault="00C009A8" w:rsidP="00AD19D7">
      <w:pPr>
        <w:pStyle w:val="ListParagraph"/>
        <w:numPr>
          <w:ilvl w:val="1"/>
          <w:numId w:val="32"/>
        </w:numPr>
        <w:contextualSpacing w:val="0"/>
        <w:jc w:val="both"/>
        <w:rPr>
          <w:rFonts w:eastAsiaTheme="majorEastAsia"/>
        </w:rPr>
      </w:pPr>
      <w:r w:rsidRPr="00B12E3F">
        <w:rPr>
          <w:rFonts w:eastAsiaTheme="majorEastAsia"/>
        </w:rPr>
        <w:t>Offering an inducement in relation to a public contract may constitute a criminal offence</w:t>
      </w:r>
      <w:r w:rsidR="00E82139" w:rsidRPr="00B12E3F">
        <w:rPr>
          <w:rFonts w:eastAsiaTheme="majorEastAsia"/>
        </w:rPr>
        <w:t xml:space="preserve">. </w:t>
      </w:r>
      <w:r w:rsidR="00E82139" w:rsidRPr="00E538FD">
        <w:rPr>
          <w:rFonts w:cs="Arial"/>
        </w:rPr>
        <w:t>A</w:t>
      </w:r>
      <w:r w:rsidRPr="00E538FD">
        <w:rPr>
          <w:rFonts w:cs="Arial"/>
        </w:rPr>
        <w:t xml:space="preserve">ny </w:t>
      </w:r>
      <w:r w:rsidR="00FA5CF7">
        <w:rPr>
          <w:rFonts w:cs="Arial"/>
        </w:rPr>
        <w:t>Supplier</w:t>
      </w:r>
      <w:r w:rsidR="00AE1F9C" w:rsidRPr="00E538FD">
        <w:rPr>
          <w:rFonts w:cs="Arial"/>
        </w:rPr>
        <w:t xml:space="preserve"> </w:t>
      </w:r>
      <w:r w:rsidRPr="00E538FD">
        <w:rPr>
          <w:rFonts w:cs="Arial"/>
        </w:rPr>
        <w:t>found offering an inducement</w:t>
      </w:r>
      <w:r w:rsidR="005521C7" w:rsidRPr="00E538FD">
        <w:rPr>
          <w:rFonts w:cs="Arial"/>
        </w:rPr>
        <w:t xml:space="preserve">, </w:t>
      </w:r>
      <w:r w:rsidR="001C12A8" w:rsidRPr="00E538FD">
        <w:rPr>
          <w:rFonts w:cs="Arial"/>
        </w:rPr>
        <w:t>fee or reward</w:t>
      </w:r>
      <w:r w:rsidRPr="00E538FD">
        <w:rPr>
          <w:rFonts w:cs="Arial"/>
        </w:rPr>
        <w:t xml:space="preserve"> of any kind in relation to obtaining a contract with </w:t>
      </w:r>
      <w:r w:rsidR="00603026" w:rsidRPr="00E538FD">
        <w:rPr>
          <w:rFonts w:cs="Arial"/>
        </w:rPr>
        <w:t>HMRC or</w:t>
      </w:r>
      <w:r w:rsidR="001008FE" w:rsidRPr="00E538FD">
        <w:rPr>
          <w:rFonts w:cs="Arial"/>
        </w:rPr>
        <w:t xml:space="preserve"> doing anything </w:t>
      </w:r>
      <w:r w:rsidR="004C29C7" w:rsidRPr="00E538FD">
        <w:rPr>
          <w:rFonts w:cs="Arial"/>
        </w:rPr>
        <w:t>els</w:t>
      </w:r>
      <w:r w:rsidR="003A2C3C" w:rsidRPr="00E538FD">
        <w:rPr>
          <w:rFonts w:cs="Arial"/>
        </w:rPr>
        <w:t xml:space="preserve">e </w:t>
      </w:r>
      <w:r w:rsidR="00260734" w:rsidRPr="00E538FD">
        <w:rPr>
          <w:rFonts w:cs="Arial"/>
        </w:rPr>
        <w:t xml:space="preserve">in </w:t>
      </w:r>
      <w:r w:rsidR="001008FE" w:rsidRPr="00E538FD">
        <w:rPr>
          <w:rFonts w:cs="Arial"/>
        </w:rPr>
        <w:t xml:space="preserve">breach of the Bribery Act 2010, </w:t>
      </w:r>
      <w:r w:rsidRPr="00E538FD">
        <w:rPr>
          <w:rFonts w:cs="Arial"/>
        </w:rPr>
        <w:t xml:space="preserve">will be disqualified from the </w:t>
      </w:r>
      <w:r w:rsidR="00E9765F" w:rsidRPr="00E538FD">
        <w:rPr>
          <w:rFonts w:cs="Arial"/>
        </w:rPr>
        <w:t>procurement process</w:t>
      </w:r>
      <w:r w:rsidRPr="00E538FD">
        <w:rPr>
          <w:rFonts w:cs="Arial"/>
        </w:rPr>
        <w:t xml:space="preserve"> and any </w:t>
      </w:r>
      <w:r w:rsidR="00086127" w:rsidRPr="00E538FD">
        <w:rPr>
          <w:rFonts w:cs="Arial"/>
        </w:rPr>
        <w:t>tender</w:t>
      </w:r>
      <w:r w:rsidRPr="00E538FD">
        <w:rPr>
          <w:rFonts w:cs="Arial"/>
        </w:rPr>
        <w:t xml:space="preserve"> already submitted by the </w:t>
      </w:r>
      <w:r w:rsidR="00FA5CF7">
        <w:rPr>
          <w:rFonts w:cs="Arial"/>
        </w:rPr>
        <w:t>Supplier</w:t>
      </w:r>
      <w:r w:rsidR="00AE1F9C" w:rsidRPr="00B12E3F">
        <w:rPr>
          <w:rFonts w:eastAsiaTheme="majorEastAsia"/>
        </w:rPr>
        <w:t xml:space="preserve"> </w:t>
      </w:r>
      <w:r w:rsidRPr="00B12E3F">
        <w:rPr>
          <w:rFonts w:eastAsiaTheme="majorEastAsia"/>
        </w:rPr>
        <w:t xml:space="preserve">will </w:t>
      </w:r>
      <w:r w:rsidR="009562EF" w:rsidRPr="00B12E3F">
        <w:rPr>
          <w:rFonts w:eastAsiaTheme="majorEastAsia"/>
        </w:rPr>
        <w:t>be rejected</w:t>
      </w:r>
      <w:r w:rsidRPr="00B12E3F">
        <w:rPr>
          <w:rFonts w:eastAsiaTheme="majorEastAsia"/>
        </w:rPr>
        <w:t>.</w:t>
      </w:r>
    </w:p>
    <w:p w14:paraId="79E510B3" w14:textId="6212009C" w:rsidR="00086127" w:rsidRPr="00E538FD" w:rsidRDefault="00FA5CF7" w:rsidP="00AD19D7">
      <w:pPr>
        <w:pStyle w:val="ListParagraph"/>
        <w:numPr>
          <w:ilvl w:val="1"/>
          <w:numId w:val="32"/>
        </w:numPr>
        <w:contextualSpacing w:val="0"/>
        <w:jc w:val="both"/>
        <w:rPr>
          <w:rFonts w:cs="Arial"/>
        </w:rPr>
      </w:pPr>
      <w:r>
        <w:rPr>
          <w:rFonts w:cs="Arial"/>
        </w:rPr>
        <w:t>Supplier</w:t>
      </w:r>
      <w:r w:rsidR="00086127" w:rsidRPr="00E538FD">
        <w:rPr>
          <w:rFonts w:cs="Arial"/>
        </w:rPr>
        <w:t>s must not directly or indirectly at any time:</w:t>
      </w:r>
    </w:p>
    <w:p w14:paraId="63BEA480" w14:textId="77777777" w:rsidR="00086127" w:rsidRPr="00E538FD" w:rsidRDefault="00086127" w:rsidP="00AD19D7">
      <w:pPr>
        <w:pStyle w:val="ListParagraph"/>
        <w:numPr>
          <w:ilvl w:val="2"/>
          <w:numId w:val="32"/>
        </w:numPr>
        <w:contextualSpacing w:val="0"/>
        <w:jc w:val="both"/>
        <w:rPr>
          <w:rFonts w:cs="Arial"/>
        </w:rPr>
      </w:pPr>
      <w:r w:rsidRPr="00E538FD">
        <w:rPr>
          <w:rFonts w:cs="Arial"/>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E538FD">
        <w:rPr>
          <w:rFonts w:cs="Arial"/>
        </w:rPr>
        <w:t>finance;</w:t>
      </w:r>
      <w:proofErr w:type="gramEnd"/>
    </w:p>
    <w:p w14:paraId="23B9BDE9" w14:textId="77777777" w:rsidR="00086127" w:rsidRPr="00E538FD" w:rsidRDefault="00086127" w:rsidP="00AD19D7">
      <w:pPr>
        <w:pStyle w:val="ListParagraph"/>
        <w:numPr>
          <w:ilvl w:val="2"/>
          <w:numId w:val="32"/>
        </w:numPr>
        <w:contextualSpacing w:val="0"/>
        <w:jc w:val="both"/>
        <w:rPr>
          <w:rFonts w:cs="Arial"/>
        </w:rPr>
      </w:pPr>
      <w:r w:rsidRPr="00E538FD">
        <w:rPr>
          <w:rFonts w:cs="Arial"/>
        </w:rPr>
        <w:t xml:space="preserve">enter into any agreement or arrangement with any other person that has the effect of prohibiting or excluding that person from submitting a </w:t>
      </w:r>
      <w:proofErr w:type="gramStart"/>
      <w:r w:rsidRPr="00E538FD">
        <w:rPr>
          <w:rFonts w:cs="Arial"/>
        </w:rPr>
        <w:t>tender;</w:t>
      </w:r>
      <w:proofErr w:type="gramEnd"/>
    </w:p>
    <w:p w14:paraId="27B74D57" w14:textId="21CE07DA" w:rsidR="00086127" w:rsidRPr="00E538FD" w:rsidRDefault="00086127" w:rsidP="00AD19D7">
      <w:pPr>
        <w:pStyle w:val="ListParagraph"/>
        <w:numPr>
          <w:ilvl w:val="2"/>
          <w:numId w:val="32"/>
        </w:numPr>
        <w:contextualSpacing w:val="0"/>
        <w:jc w:val="both"/>
        <w:rPr>
          <w:rFonts w:cs="Arial"/>
        </w:rPr>
      </w:pPr>
      <w:r w:rsidRPr="00E538FD">
        <w:rPr>
          <w:rFonts w:cs="Arial"/>
        </w:rPr>
        <w:t xml:space="preserve">fix or adjust the amount of their tender by or in accordance with any agreement or arrangement with any other </w:t>
      </w:r>
      <w:r w:rsidR="00FA5CF7">
        <w:rPr>
          <w:rFonts w:cs="Arial"/>
        </w:rPr>
        <w:t>Supplier</w:t>
      </w:r>
      <w:r w:rsidRPr="00E538FD">
        <w:rPr>
          <w:rFonts w:cs="Arial"/>
        </w:rPr>
        <w:t xml:space="preserve"> or consortium member of a </w:t>
      </w:r>
      <w:r w:rsidR="00FA5CF7">
        <w:rPr>
          <w:rFonts w:cs="Arial"/>
        </w:rPr>
        <w:t>Supplier</w:t>
      </w:r>
      <w:r w:rsidRPr="00E538FD">
        <w:rPr>
          <w:rFonts w:cs="Arial"/>
        </w:rPr>
        <w:t xml:space="preserve"> (other than a member of its own consortium or supply chain</w:t>
      </w:r>
      <w:proofErr w:type="gramStart"/>
      <w:r w:rsidRPr="00E538FD">
        <w:rPr>
          <w:rFonts w:cs="Arial"/>
        </w:rPr>
        <w:t>);</w:t>
      </w:r>
      <w:proofErr w:type="gramEnd"/>
    </w:p>
    <w:p w14:paraId="3E1ED733" w14:textId="77777777" w:rsidR="00086127" w:rsidRPr="00E538FD" w:rsidRDefault="00086127" w:rsidP="00AD19D7">
      <w:pPr>
        <w:pStyle w:val="ListParagraph"/>
        <w:numPr>
          <w:ilvl w:val="2"/>
          <w:numId w:val="32"/>
        </w:numPr>
        <w:contextualSpacing w:val="0"/>
        <w:jc w:val="both"/>
        <w:rPr>
          <w:rFonts w:cs="Arial"/>
        </w:rPr>
      </w:pPr>
      <w:r w:rsidRPr="00E538FD">
        <w:rPr>
          <w:rFonts w:cs="Arial"/>
        </w:rPr>
        <w:t xml:space="preserve">enter into any agreement or arrangement with any other person as to the form or content of any other tender or as to the amount of any tender to be submitted, or offer to pay any sum of money or valuable consideration to any person to effect changes to the form or content or amount of any other </w:t>
      </w:r>
      <w:proofErr w:type="gramStart"/>
      <w:r w:rsidRPr="00E538FD">
        <w:rPr>
          <w:rFonts w:cs="Arial"/>
        </w:rPr>
        <w:t>tender;</w:t>
      </w:r>
      <w:proofErr w:type="gramEnd"/>
    </w:p>
    <w:p w14:paraId="0E791B73" w14:textId="01F1E707" w:rsidR="000F7F65" w:rsidRPr="000F7F65" w:rsidRDefault="4B2188A6" w:rsidP="000F7F65">
      <w:pPr>
        <w:pStyle w:val="ListParagraph"/>
        <w:numPr>
          <w:ilvl w:val="2"/>
          <w:numId w:val="32"/>
        </w:numPr>
        <w:jc w:val="both"/>
        <w:rPr>
          <w:rFonts w:cs="Arial"/>
        </w:rPr>
      </w:pPr>
      <w:r w:rsidRPr="00E538FD">
        <w:rPr>
          <w:rFonts w:cs="Arial"/>
        </w:rPr>
        <w:t>cause or induce any person to enter such agreement as is mentioned in any of paragraph</w:t>
      </w:r>
      <w:r w:rsidR="6D1AF4EF" w:rsidRPr="00E538FD">
        <w:rPr>
          <w:rFonts w:cs="Arial"/>
        </w:rPr>
        <w:t xml:space="preserve"> (a) to (d)</w:t>
      </w:r>
      <w:r w:rsidR="000F7F65">
        <w:rPr>
          <w:rFonts w:cs="Arial"/>
        </w:rPr>
        <w:t xml:space="preserve"> above or to inform the </w:t>
      </w:r>
      <w:r w:rsidR="00FA5CF7" w:rsidRPr="000F7F65">
        <w:rPr>
          <w:rFonts w:cs="Arial"/>
        </w:rPr>
        <w:t>Supplier</w:t>
      </w:r>
      <w:r w:rsidR="28E1FC07" w:rsidRPr="000F7F65">
        <w:rPr>
          <w:rFonts w:cs="Arial"/>
        </w:rPr>
        <w:t xml:space="preserve"> of the amount or approximate amount of any rival tender; or</w:t>
      </w:r>
    </w:p>
    <w:p w14:paraId="709CD808" w14:textId="77777777" w:rsidR="00086127" w:rsidRPr="00E538FD" w:rsidRDefault="00086127" w:rsidP="000F7F65">
      <w:pPr>
        <w:pStyle w:val="ListParagraph"/>
        <w:numPr>
          <w:ilvl w:val="2"/>
          <w:numId w:val="32"/>
        </w:numPr>
        <w:spacing w:before="240"/>
        <w:contextualSpacing w:val="0"/>
        <w:jc w:val="both"/>
        <w:rPr>
          <w:rFonts w:cs="Arial"/>
        </w:rPr>
      </w:pPr>
      <w:r w:rsidRPr="00E538FD">
        <w:rPr>
          <w:rFonts w:cs="Arial"/>
        </w:rPr>
        <w:t>communicate to any person other than HMRC the amount or approximate amount of its proposed tender (except where such disclosure is made in confidence in order to obtain quotations necessary for the preparation of a tender).</w:t>
      </w:r>
    </w:p>
    <w:p w14:paraId="6B606640" w14:textId="346BF545" w:rsidR="00560284" w:rsidRPr="00B12E3F" w:rsidRDefault="00425ADC" w:rsidP="00AD19D7">
      <w:pPr>
        <w:pStyle w:val="ListParagraph"/>
        <w:numPr>
          <w:ilvl w:val="1"/>
          <w:numId w:val="32"/>
        </w:numPr>
        <w:contextualSpacing w:val="0"/>
        <w:jc w:val="both"/>
        <w:rPr>
          <w:rFonts w:eastAsiaTheme="majorEastAsia"/>
        </w:rPr>
      </w:pPr>
      <w:r w:rsidRPr="00B12E3F">
        <w:rPr>
          <w:rFonts w:eastAsiaTheme="majorEastAsia"/>
        </w:rPr>
        <w:t>S</w:t>
      </w:r>
      <w:r w:rsidR="00864313" w:rsidRPr="00B12E3F">
        <w:rPr>
          <w:rFonts w:eastAsiaTheme="majorEastAsia"/>
        </w:rPr>
        <w:t xml:space="preserve">uch conduct by a </w:t>
      </w:r>
      <w:r w:rsidR="00FA5CF7">
        <w:rPr>
          <w:rFonts w:cs="Arial"/>
        </w:rPr>
        <w:t>Supplier</w:t>
      </w:r>
      <w:r w:rsidR="00864313" w:rsidRPr="00B12E3F">
        <w:rPr>
          <w:rFonts w:eastAsiaTheme="majorEastAsia"/>
        </w:rPr>
        <w:t xml:space="preserve">, sub-contractor or consortium member may </w:t>
      </w:r>
      <w:r w:rsidR="0091798A" w:rsidRPr="00B12E3F">
        <w:rPr>
          <w:rFonts w:eastAsiaTheme="majorEastAsia"/>
        </w:rPr>
        <w:t>also constitute a criminal offence and H</w:t>
      </w:r>
      <w:r w:rsidR="00833A94" w:rsidRPr="00B12E3F">
        <w:rPr>
          <w:rFonts w:eastAsiaTheme="majorEastAsia"/>
        </w:rPr>
        <w:t>MRC may have other civil remedies available</w:t>
      </w:r>
      <w:r w:rsidR="003C5D2A" w:rsidRPr="00B12E3F">
        <w:rPr>
          <w:rFonts w:eastAsiaTheme="majorEastAsia"/>
        </w:rPr>
        <w:t>, in addition to the</w:t>
      </w:r>
      <w:r w:rsidR="00776E61" w:rsidRPr="00B12E3F">
        <w:rPr>
          <w:rFonts w:eastAsiaTheme="majorEastAsia"/>
        </w:rPr>
        <w:t xml:space="preserve"> right to disqualify un</w:t>
      </w:r>
      <w:r w:rsidR="003C5D2A" w:rsidRPr="00B12E3F">
        <w:rPr>
          <w:rFonts w:eastAsiaTheme="majorEastAsia"/>
        </w:rPr>
        <w:t>der this</w:t>
      </w:r>
      <w:r w:rsidR="0091798A" w:rsidRPr="00B12E3F">
        <w:rPr>
          <w:rFonts w:eastAsiaTheme="majorEastAsia"/>
        </w:rPr>
        <w:t xml:space="preserve"> paragraph </w:t>
      </w:r>
      <w:r w:rsidR="00F61F51">
        <w:rPr>
          <w:rFonts w:eastAsiaTheme="majorEastAsia"/>
        </w:rPr>
        <w:t>8</w:t>
      </w:r>
      <w:r w:rsidR="00560284" w:rsidRPr="00B12E3F">
        <w:rPr>
          <w:rFonts w:eastAsiaTheme="majorEastAsia"/>
        </w:rPr>
        <w:t>.</w:t>
      </w:r>
    </w:p>
    <w:p w14:paraId="03145C8E" w14:textId="7E8FE4B0" w:rsidR="006506BC" w:rsidRPr="00B12E3F" w:rsidRDefault="00625533" w:rsidP="00AD19D7">
      <w:pPr>
        <w:pStyle w:val="ListParagraph"/>
        <w:numPr>
          <w:ilvl w:val="1"/>
          <w:numId w:val="32"/>
        </w:numPr>
        <w:contextualSpacing w:val="0"/>
        <w:jc w:val="both"/>
        <w:rPr>
          <w:rFonts w:eastAsiaTheme="majorEastAsia"/>
        </w:rPr>
      </w:pPr>
      <w:r w:rsidRPr="00B12E3F">
        <w:rPr>
          <w:rFonts w:eastAsiaTheme="majorEastAsia"/>
        </w:rPr>
        <w:t>HMRC requires that all actual or potential conflicts of interest are resolved to HMRC’s</w:t>
      </w:r>
      <w:r w:rsidR="00532244" w:rsidRPr="00B12E3F">
        <w:rPr>
          <w:rFonts w:eastAsiaTheme="majorEastAsia"/>
        </w:rPr>
        <w:t xml:space="preserve"> satisfaction</w:t>
      </w:r>
      <w:r w:rsidRPr="00B12E3F">
        <w:rPr>
          <w:rFonts w:eastAsiaTheme="majorEastAsia"/>
        </w:rPr>
        <w:t xml:space="preserve"> prior to the </w:t>
      </w:r>
      <w:r w:rsidR="009A0E47" w:rsidRPr="00B12E3F">
        <w:rPr>
          <w:rFonts w:eastAsiaTheme="majorEastAsia"/>
        </w:rPr>
        <w:t>award of contract</w:t>
      </w:r>
      <w:r w:rsidRPr="00B12E3F">
        <w:rPr>
          <w:rFonts w:eastAsiaTheme="majorEastAsia"/>
        </w:rPr>
        <w:t xml:space="preserve">. </w:t>
      </w:r>
      <w:r w:rsidR="00FA5CF7">
        <w:rPr>
          <w:rFonts w:cs="Arial"/>
        </w:rPr>
        <w:t>Supplier</w:t>
      </w:r>
      <w:r w:rsidR="00086127" w:rsidRPr="00E538FD">
        <w:rPr>
          <w:rFonts w:cs="Arial"/>
        </w:rPr>
        <w:t>s</w:t>
      </w:r>
      <w:r w:rsidRPr="00E538FD">
        <w:rPr>
          <w:rFonts w:cs="Arial"/>
        </w:rPr>
        <w:t xml:space="preserve"> should inform HMRC of any actual or potential conflicts of interest (and how these will be dealt with) within the </w:t>
      </w:r>
      <w:r w:rsidR="00086127" w:rsidRPr="00E538FD">
        <w:rPr>
          <w:rFonts w:cs="Arial"/>
        </w:rPr>
        <w:t>tender.</w:t>
      </w:r>
      <w:r w:rsidRPr="00E538FD">
        <w:rPr>
          <w:rFonts w:cs="Arial"/>
        </w:rPr>
        <w:t xml:space="preserve"> In the event that any actual or potential conflict of interest comes to a </w:t>
      </w:r>
      <w:r w:rsidR="00FA5CF7">
        <w:rPr>
          <w:rFonts w:cs="Arial"/>
        </w:rPr>
        <w:t>Supplier</w:t>
      </w:r>
      <w:r w:rsidR="00086127" w:rsidRPr="00E538FD">
        <w:rPr>
          <w:rFonts w:cs="Arial"/>
        </w:rPr>
        <w:t>’s</w:t>
      </w:r>
      <w:r w:rsidRPr="00E538FD">
        <w:rPr>
          <w:rFonts w:cs="Arial"/>
        </w:rPr>
        <w:t xml:space="preserve"> attention following the submission of its </w:t>
      </w:r>
      <w:r w:rsidR="00086127" w:rsidRPr="00E538FD">
        <w:rPr>
          <w:rFonts w:cs="Arial"/>
        </w:rPr>
        <w:t>tender</w:t>
      </w:r>
      <w:r w:rsidRPr="00E538FD">
        <w:rPr>
          <w:rFonts w:cs="Arial"/>
        </w:rPr>
        <w:t xml:space="preserve">, the </w:t>
      </w:r>
      <w:r w:rsidR="00FA5CF7">
        <w:rPr>
          <w:rFonts w:cs="Arial"/>
        </w:rPr>
        <w:t>Supplier</w:t>
      </w:r>
      <w:r w:rsidRPr="00B12E3F">
        <w:rPr>
          <w:rFonts w:eastAsiaTheme="majorEastAsia"/>
        </w:rPr>
        <w:t xml:space="preserve"> </w:t>
      </w:r>
      <w:r w:rsidR="00542049" w:rsidRPr="00B12E3F">
        <w:rPr>
          <w:rFonts w:eastAsiaTheme="majorEastAsia"/>
        </w:rPr>
        <w:t xml:space="preserve">must </w:t>
      </w:r>
      <w:r w:rsidRPr="00B12E3F">
        <w:rPr>
          <w:rFonts w:eastAsiaTheme="majorEastAsia"/>
        </w:rPr>
        <w:t>notify HMRC immediately.</w:t>
      </w:r>
      <w:r w:rsidR="007D2C24" w:rsidRPr="00B12E3F">
        <w:rPr>
          <w:rFonts w:eastAsiaTheme="majorEastAsia"/>
        </w:rPr>
        <w:t xml:space="preserve"> </w:t>
      </w:r>
    </w:p>
    <w:p w14:paraId="055D36D7" w14:textId="04A3B536" w:rsidR="00086127" w:rsidRDefault="00FA5CF7" w:rsidP="00AD19D7">
      <w:pPr>
        <w:pStyle w:val="ListParagraph"/>
        <w:numPr>
          <w:ilvl w:val="1"/>
          <w:numId w:val="32"/>
        </w:numPr>
        <w:contextualSpacing w:val="0"/>
        <w:jc w:val="both"/>
        <w:rPr>
          <w:rFonts w:cs="Arial"/>
        </w:rPr>
      </w:pPr>
      <w:r>
        <w:rPr>
          <w:rFonts w:cs="Arial"/>
        </w:rPr>
        <w:lastRenderedPageBreak/>
        <w:t>Supplier</w:t>
      </w:r>
      <w:r w:rsidR="00086127" w:rsidRPr="00E538FD">
        <w:rPr>
          <w:rFonts w:cs="Arial"/>
        </w:rPr>
        <w:t xml:space="preserve">s must notify HMRC if they have or have had access to information which creates or may create a conflict of interest. HMRC may request </w:t>
      </w:r>
      <w:r>
        <w:rPr>
          <w:rFonts w:cs="Arial"/>
        </w:rPr>
        <w:t>Supplier</w:t>
      </w:r>
      <w:r w:rsidR="00086127" w:rsidRPr="00E538FD">
        <w:rPr>
          <w:rFonts w:cs="Arial"/>
        </w:rPr>
        <w:t>s to complete an Ethical Wall Agreement (EWA) where necessary to help address potential conflicts of interest.</w:t>
      </w:r>
    </w:p>
    <w:p w14:paraId="1487F8A6" w14:textId="3CA3F334" w:rsidR="004959C3" w:rsidRPr="0078416A" w:rsidRDefault="004959C3" w:rsidP="00AD19D7">
      <w:pPr>
        <w:pStyle w:val="ListParagraph"/>
        <w:numPr>
          <w:ilvl w:val="1"/>
          <w:numId w:val="32"/>
        </w:numPr>
        <w:jc w:val="both"/>
        <w:rPr>
          <w:rFonts w:cs="Arial"/>
        </w:rPr>
      </w:pPr>
      <w:r w:rsidRPr="00F934C0">
        <w:rPr>
          <w:rFonts w:cs="Arial"/>
        </w:rPr>
        <w:t>Where an Ethical Wall Agreement is likely to be required,</w:t>
      </w:r>
      <w:r w:rsidRPr="0078416A">
        <w:rPr>
          <w:rFonts w:cs="Arial"/>
        </w:rPr>
        <w:t xml:space="preserve"> the </w:t>
      </w:r>
      <w:r w:rsidR="00C04E2C">
        <w:rPr>
          <w:rFonts w:cs="Arial"/>
        </w:rPr>
        <w:t>Supplier</w:t>
      </w:r>
      <w:r w:rsidRPr="0078416A">
        <w:rPr>
          <w:rFonts w:cs="Arial"/>
        </w:rPr>
        <w:t xml:space="preserve"> must </w:t>
      </w:r>
      <w:r>
        <w:rPr>
          <w:rFonts w:cs="Arial"/>
        </w:rPr>
        <w:t>inform HMRC</w:t>
      </w:r>
      <w:r w:rsidRPr="0078416A">
        <w:rPr>
          <w:rFonts w:cs="Arial"/>
        </w:rPr>
        <w:t xml:space="preserve"> as part of their Conditions of Participation submission </w:t>
      </w:r>
      <w:r>
        <w:rPr>
          <w:rFonts w:cs="Arial"/>
        </w:rPr>
        <w:t>of its headline ethical wall position</w:t>
      </w:r>
      <w:r w:rsidRPr="0078416A">
        <w:rPr>
          <w:rFonts w:cs="Arial"/>
        </w:rPr>
        <w:t>. This will comprise of:</w:t>
      </w:r>
    </w:p>
    <w:p w14:paraId="3F5AA676" w14:textId="751BADD6" w:rsidR="004959C3" w:rsidRPr="0078416A" w:rsidRDefault="004959C3" w:rsidP="00AD19D7">
      <w:pPr>
        <w:pStyle w:val="ListParagraph"/>
        <w:numPr>
          <w:ilvl w:val="2"/>
          <w:numId w:val="32"/>
        </w:numPr>
        <w:jc w:val="both"/>
        <w:rPr>
          <w:rFonts w:cs="Arial"/>
        </w:rPr>
      </w:pPr>
      <w:r w:rsidRPr="0078416A">
        <w:rPr>
          <w:rFonts w:cs="Arial"/>
        </w:rPr>
        <w:t xml:space="preserve">an indication of the </w:t>
      </w:r>
      <w:r w:rsidR="00C04E2C">
        <w:rPr>
          <w:rFonts w:cs="Arial"/>
        </w:rPr>
        <w:t>Supplier</w:t>
      </w:r>
      <w:r w:rsidRPr="0078416A">
        <w:rPr>
          <w:rFonts w:cs="Arial"/>
        </w:rPr>
        <w:t>’s intention to ensure a demarcation between bid teams and delivery personnel to HMRC</w:t>
      </w:r>
      <w:r>
        <w:rPr>
          <w:rFonts w:cs="Arial"/>
        </w:rPr>
        <w:t>, and</w:t>
      </w:r>
    </w:p>
    <w:p w14:paraId="13B0D283" w14:textId="77777777" w:rsidR="004959C3" w:rsidRPr="0078416A" w:rsidRDefault="004959C3" w:rsidP="00AD19D7">
      <w:pPr>
        <w:pStyle w:val="ListParagraph"/>
        <w:numPr>
          <w:ilvl w:val="2"/>
          <w:numId w:val="32"/>
        </w:numPr>
        <w:jc w:val="both"/>
        <w:rPr>
          <w:rFonts w:cs="Arial"/>
        </w:rPr>
      </w:pPr>
      <w:r w:rsidRPr="0078416A">
        <w:rPr>
          <w:rFonts w:cs="Arial"/>
        </w:rPr>
        <w:t>evidence of the above via submitted documentation, which shall include named individuals and their allocation across the bid team and existing delivery personnel.</w:t>
      </w:r>
    </w:p>
    <w:p w14:paraId="0188B6AC" w14:textId="77777777" w:rsidR="004959C3" w:rsidRDefault="004959C3" w:rsidP="004959C3">
      <w:pPr>
        <w:pStyle w:val="ListParagraph"/>
        <w:ind w:left="680"/>
        <w:jc w:val="both"/>
        <w:rPr>
          <w:rFonts w:cs="Arial"/>
        </w:rPr>
      </w:pPr>
    </w:p>
    <w:p w14:paraId="74D4981B" w14:textId="1C906FBF" w:rsidR="004959C3" w:rsidRPr="0078416A" w:rsidRDefault="004959C3" w:rsidP="00AD19D7">
      <w:pPr>
        <w:pStyle w:val="ListParagraph"/>
        <w:numPr>
          <w:ilvl w:val="1"/>
          <w:numId w:val="32"/>
        </w:numPr>
        <w:jc w:val="both"/>
        <w:rPr>
          <w:rFonts w:cs="Arial"/>
        </w:rPr>
      </w:pPr>
      <w:r w:rsidRPr="0078416A">
        <w:rPr>
          <w:rFonts w:cs="Arial"/>
        </w:rPr>
        <w:t xml:space="preserve">Where a </w:t>
      </w:r>
      <w:r w:rsidR="00C04E2C">
        <w:rPr>
          <w:rFonts w:cs="Arial"/>
        </w:rPr>
        <w:t>Supplier</w:t>
      </w:r>
      <w:r w:rsidRPr="0078416A">
        <w:rPr>
          <w:rFonts w:cs="Arial"/>
        </w:rPr>
        <w:t xml:space="preserve"> is deemed to be an incumbent</w:t>
      </w:r>
      <w:r w:rsidRPr="00FD1D6C">
        <w:rPr>
          <w:rFonts w:cs="Arial"/>
          <w:vertAlign w:val="superscript"/>
        </w:rPr>
        <w:t>1</w:t>
      </w:r>
      <w:r w:rsidRPr="0078416A">
        <w:rPr>
          <w:rFonts w:cs="Arial"/>
        </w:rPr>
        <w:t xml:space="preserve"> supplier to HMRC, an Ethical Wall Agreement is required to be signed and sent to HMRC in order for that </w:t>
      </w:r>
      <w:r w:rsidR="00C04E2C">
        <w:rPr>
          <w:rFonts w:cs="Arial"/>
        </w:rPr>
        <w:t>Supplier</w:t>
      </w:r>
      <w:r w:rsidRPr="0078416A">
        <w:rPr>
          <w:rFonts w:cs="Arial"/>
        </w:rPr>
        <w:t xml:space="preserve"> to access the Invitation to Submit Initial Tender (I</w:t>
      </w:r>
      <w:r>
        <w:rPr>
          <w:rFonts w:cs="Arial"/>
        </w:rPr>
        <w:t>T</w:t>
      </w:r>
      <w:r w:rsidRPr="0078416A">
        <w:rPr>
          <w:rFonts w:cs="Arial"/>
        </w:rPr>
        <w:t xml:space="preserve">SIT) documentation. An Ethical Wall Agreement will only be required once </w:t>
      </w:r>
      <w:r w:rsidR="00C04E2C">
        <w:rPr>
          <w:rFonts w:cs="Arial"/>
        </w:rPr>
        <w:t>Supplier</w:t>
      </w:r>
      <w:r w:rsidRPr="0078416A">
        <w:rPr>
          <w:rFonts w:cs="Arial"/>
        </w:rPr>
        <w:t>s have received confirmation that they have been down-selected and will proceed to the Invitation to Submit Initial Tender (I</w:t>
      </w:r>
      <w:r>
        <w:rPr>
          <w:rFonts w:cs="Arial"/>
        </w:rPr>
        <w:t>TS</w:t>
      </w:r>
      <w:r w:rsidRPr="0078416A">
        <w:rPr>
          <w:rFonts w:cs="Arial"/>
        </w:rPr>
        <w:t>IT) stage</w:t>
      </w:r>
      <w:r>
        <w:rPr>
          <w:rFonts w:cs="Arial"/>
        </w:rPr>
        <w:t>.</w:t>
      </w:r>
    </w:p>
    <w:p w14:paraId="1ADC49C9" w14:textId="77777777" w:rsidR="004959C3" w:rsidRDefault="004959C3" w:rsidP="004959C3">
      <w:pPr>
        <w:pStyle w:val="ListParagraph"/>
        <w:ind w:left="680"/>
        <w:jc w:val="both"/>
        <w:rPr>
          <w:rFonts w:cs="Arial"/>
        </w:rPr>
      </w:pPr>
    </w:p>
    <w:p w14:paraId="10075A59" w14:textId="13C82B44" w:rsidR="004959C3" w:rsidRPr="0078416A" w:rsidRDefault="004959C3" w:rsidP="00AD19D7">
      <w:pPr>
        <w:pStyle w:val="ListParagraph"/>
        <w:numPr>
          <w:ilvl w:val="1"/>
          <w:numId w:val="32"/>
        </w:numPr>
        <w:jc w:val="both"/>
        <w:rPr>
          <w:rFonts w:cs="Arial"/>
        </w:rPr>
      </w:pPr>
      <w:r w:rsidRPr="00FD1D6C">
        <w:rPr>
          <w:rFonts w:cs="Arial"/>
          <w:vertAlign w:val="superscript"/>
        </w:rPr>
        <w:t>1</w:t>
      </w:r>
      <w:r w:rsidRPr="0078416A">
        <w:rPr>
          <w:rFonts w:cs="Arial"/>
        </w:rPr>
        <w:t xml:space="preserve">A </w:t>
      </w:r>
      <w:r w:rsidR="00C04E2C">
        <w:rPr>
          <w:rFonts w:cs="Arial"/>
        </w:rPr>
        <w:t>Supplier</w:t>
      </w:r>
      <w:r w:rsidRPr="0078416A">
        <w:rPr>
          <w:rFonts w:cs="Arial"/>
        </w:rPr>
        <w:t xml:space="preserve"> will be considered an incumbent supplier if they:</w:t>
      </w:r>
    </w:p>
    <w:p w14:paraId="0521AFE6" w14:textId="77777777" w:rsidR="004959C3" w:rsidRPr="0078416A" w:rsidRDefault="004959C3" w:rsidP="00AD19D7">
      <w:pPr>
        <w:pStyle w:val="ListParagraph"/>
        <w:numPr>
          <w:ilvl w:val="2"/>
          <w:numId w:val="32"/>
        </w:numPr>
        <w:jc w:val="both"/>
        <w:rPr>
          <w:rFonts w:cs="Arial"/>
        </w:rPr>
      </w:pPr>
      <w:r w:rsidRPr="0078416A">
        <w:rPr>
          <w:rFonts w:cs="Arial"/>
        </w:rPr>
        <w:t xml:space="preserve">currently provide or deliver </w:t>
      </w:r>
      <w:r>
        <w:rPr>
          <w:rFonts w:cs="Arial"/>
        </w:rPr>
        <w:t>Customer Relationship Management</w:t>
      </w:r>
      <w:r w:rsidRPr="0078416A">
        <w:rPr>
          <w:rFonts w:cs="Arial"/>
        </w:rPr>
        <w:t>-related platforms or services for HMRC</w:t>
      </w:r>
      <w:r>
        <w:rPr>
          <w:rFonts w:cs="Arial"/>
        </w:rPr>
        <w:t>, or</w:t>
      </w:r>
    </w:p>
    <w:p w14:paraId="7865BA6E" w14:textId="77777777" w:rsidR="004959C3" w:rsidRDefault="004959C3" w:rsidP="00AD19D7">
      <w:pPr>
        <w:pStyle w:val="ListParagraph"/>
        <w:numPr>
          <w:ilvl w:val="2"/>
          <w:numId w:val="32"/>
        </w:numPr>
        <w:jc w:val="both"/>
        <w:rPr>
          <w:rFonts w:cs="Arial"/>
        </w:rPr>
      </w:pPr>
      <w:r w:rsidRPr="0078416A">
        <w:rPr>
          <w:rFonts w:cs="Arial"/>
        </w:rPr>
        <w:t xml:space="preserve">currently provide or deliver integrations that form part of HMRC's IT </w:t>
      </w:r>
      <w:r>
        <w:rPr>
          <w:rFonts w:cs="Arial"/>
        </w:rPr>
        <w:t>Customer Relationship Management</w:t>
      </w:r>
      <w:r w:rsidRPr="0078416A">
        <w:rPr>
          <w:rFonts w:cs="Arial"/>
        </w:rPr>
        <w:t xml:space="preserve"> estate or integrate with other areas within HMRC's IT estate</w:t>
      </w:r>
      <w:r>
        <w:rPr>
          <w:rFonts w:cs="Arial"/>
        </w:rPr>
        <w:t>.</w:t>
      </w:r>
    </w:p>
    <w:p w14:paraId="71AE10C8" w14:textId="77777777" w:rsidR="004959C3" w:rsidRPr="0078416A" w:rsidRDefault="004959C3" w:rsidP="004959C3">
      <w:pPr>
        <w:pStyle w:val="ListParagraph"/>
        <w:ind w:left="1419"/>
        <w:jc w:val="both"/>
        <w:rPr>
          <w:rFonts w:cs="Arial"/>
        </w:rPr>
      </w:pPr>
    </w:p>
    <w:p w14:paraId="3DC6CE8E" w14:textId="050B490E" w:rsidR="004959C3" w:rsidRDefault="004959C3" w:rsidP="00AD19D7">
      <w:pPr>
        <w:pStyle w:val="ListParagraph"/>
        <w:numPr>
          <w:ilvl w:val="1"/>
          <w:numId w:val="32"/>
        </w:numPr>
        <w:contextualSpacing w:val="0"/>
        <w:jc w:val="both"/>
        <w:rPr>
          <w:rFonts w:cs="Arial"/>
        </w:rPr>
      </w:pPr>
      <w:r w:rsidRPr="00E538FD">
        <w:rPr>
          <w:rFonts w:cs="Arial"/>
        </w:rPr>
        <w:t xml:space="preserve">If HMRC identifies a conflict of interest that could place the </w:t>
      </w:r>
      <w:r w:rsidR="00C04E2C">
        <w:rPr>
          <w:rFonts w:cs="Arial"/>
        </w:rPr>
        <w:t>Supplier</w:t>
      </w:r>
      <w:r w:rsidRPr="00E538FD">
        <w:rPr>
          <w:rFonts w:cs="Arial"/>
        </w:rPr>
        <w:t xml:space="preserve"> at an unfair advantage or disadvantage, HMRC may require the </w:t>
      </w:r>
      <w:r w:rsidR="00C04E2C">
        <w:rPr>
          <w:rFonts w:cs="Arial"/>
        </w:rPr>
        <w:t>Supplier</w:t>
      </w:r>
      <w:r w:rsidRPr="00E538FD">
        <w:rPr>
          <w:rFonts w:cs="Arial"/>
        </w:rPr>
        <w:t xml:space="preserve"> to take reasonable steps to mitigate this. Should the </w:t>
      </w:r>
      <w:r w:rsidR="00C04E2C">
        <w:rPr>
          <w:rFonts w:cs="Arial"/>
        </w:rPr>
        <w:t>Supplier</w:t>
      </w:r>
      <w:r w:rsidRPr="00E538FD">
        <w:rPr>
          <w:rFonts w:cs="Arial"/>
        </w:rPr>
        <w:t xml:space="preserve"> fail to take the necessary mitigating steps, or if the unfair advantage cannot be avoided, HMRC reserves the right to exclude the </w:t>
      </w:r>
      <w:r w:rsidR="00C04E2C">
        <w:rPr>
          <w:rFonts w:cs="Arial"/>
        </w:rPr>
        <w:t>Supplier</w:t>
      </w:r>
      <w:r w:rsidRPr="00E538FD">
        <w:rPr>
          <w:rFonts w:cs="Arial"/>
        </w:rPr>
        <w:t xml:space="preserve"> from the process</w:t>
      </w:r>
      <w:r>
        <w:rPr>
          <w:rFonts w:cs="Arial"/>
        </w:rPr>
        <w:t>.</w:t>
      </w:r>
    </w:p>
    <w:p w14:paraId="58417198" w14:textId="1DFACAFC" w:rsidR="00C009A8" w:rsidRPr="00957A1F" w:rsidRDefault="00100456" w:rsidP="00320D15">
      <w:pPr>
        <w:pStyle w:val="Head2"/>
        <w:pageBreakBefore/>
        <w:numPr>
          <w:ilvl w:val="0"/>
          <w:numId w:val="5"/>
        </w:numPr>
        <w:spacing w:before="240"/>
        <w:rPr>
          <w:rFonts w:cs="Arial"/>
          <w:b/>
          <w:bCs/>
          <w:color w:val="009999"/>
          <w:sz w:val="24"/>
          <w:szCs w:val="24"/>
        </w:rPr>
      </w:pPr>
      <w:bookmarkStart w:id="24" w:name="_Toc203730833"/>
      <w:r w:rsidRPr="00957A1F">
        <w:rPr>
          <w:rFonts w:cs="Arial"/>
          <w:b/>
          <w:bCs/>
          <w:color w:val="009999"/>
          <w:sz w:val="24"/>
          <w:szCs w:val="24"/>
        </w:rPr>
        <w:lastRenderedPageBreak/>
        <w:t>WARNING</w:t>
      </w:r>
      <w:r w:rsidR="004D3382" w:rsidRPr="00957A1F">
        <w:rPr>
          <w:rFonts w:cs="Arial"/>
          <w:b/>
          <w:bCs/>
          <w:color w:val="009999"/>
          <w:sz w:val="24"/>
          <w:szCs w:val="24"/>
        </w:rPr>
        <w:t>S</w:t>
      </w:r>
      <w:r w:rsidRPr="00957A1F">
        <w:rPr>
          <w:rFonts w:cs="Arial"/>
          <w:b/>
          <w:bCs/>
          <w:color w:val="009999"/>
          <w:sz w:val="24"/>
          <w:szCs w:val="24"/>
        </w:rPr>
        <w:t xml:space="preserve"> AND </w:t>
      </w:r>
      <w:r w:rsidR="00EA0885" w:rsidRPr="00957A1F">
        <w:rPr>
          <w:rFonts w:cs="Arial"/>
          <w:b/>
          <w:bCs/>
          <w:color w:val="009999"/>
          <w:sz w:val="24"/>
          <w:szCs w:val="24"/>
        </w:rPr>
        <w:t>DISCLAIMER</w:t>
      </w:r>
      <w:r w:rsidR="004D3382" w:rsidRPr="00957A1F">
        <w:rPr>
          <w:rFonts w:cs="Arial"/>
          <w:b/>
          <w:bCs/>
          <w:color w:val="009999"/>
          <w:sz w:val="24"/>
          <w:szCs w:val="24"/>
        </w:rPr>
        <w:t>S</w:t>
      </w:r>
      <w:bookmarkEnd w:id="24"/>
    </w:p>
    <w:p w14:paraId="1E4B809F" w14:textId="36EA4284" w:rsidR="001B65CC" w:rsidRPr="00E538FD" w:rsidRDefault="001B65CC" w:rsidP="00AD19D7">
      <w:pPr>
        <w:pStyle w:val="ListParagraph"/>
        <w:numPr>
          <w:ilvl w:val="1"/>
          <w:numId w:val="31"/>
        </w:numPr>
        <w:contextualSpacing w:val="0"/>
        <w:jc w:val="both"/>
        <w:rPr>
          <w:rFonts w:cs="Arial"/>
        </w:rPr>
      </w:pPr>
      <w:bookmarkStart w:id="25" w:name="_Toc198554181"/>
      <w:bookmarkStart w:id="26" w:name="_Toc198554281"/>
      <w:bookmarkEnd w:id="25"/>
      <w:bookmarkEnd w:id="26"/>
      <w:r w:rsidRPr="00E538FD">
        <w:rPr>
          <w:rFonts w:cs="Arial"/>
        </w:rPr>
        <w:t>HMRC provides no commitment or guarantee that it will award or enter into a contract as a result of this procurement exercise. HMRC reserves the right to cancel, suspend, and/or amend the requirements of this procurement process at any point. Nothing in this</w:t>
      </w:r>
      <w:r w:rsidR="00C03026">
        <w:rPr>
          <w:rFonts w:cs="Arial"/>
        </w:rPr>
        <w:t xml:space="preserve"> document</w:t>
      </w:r>
      <w:r w:rsidRPr="00E538FD" w:rsidDel="00C03026">
        <w:rPr>
          <w:rFonts w:cs="Arial"/>
        </w:rPr>
        <w:t xml:space="preserve"> </w:t>
      </w:r>
      <w:r w:rsidRPr="00E538FD">
        <w:rPr>
          <w:rFonts w:cs="Arial"/>
        </w:rPr>
        <w:t xml:space="preserve">or in any other communication made between HMRC and a </w:t>
      </w:r>
      <w:r w:rsidR="00FA5CF7">
        <w:rPr>
          <w:rFonts w:cs="Arial"/>
        </w:rPr>
        <w:t>Supplier</w:t>
      </w:r>
      <w:r w:rsidRPr="00E538FD">
        <w:rPr>
          <w:rFonts w:cs="Arial"/>
        </w:rPr>
        <w:t xml:space="preserve"> constitutes a representation or agreement that a contract will be offered.</w:t>
      </w:r>
    </w:p>
    <w:p w14:paraId="3DE6FE42" w14:textId="6BDE350F" w:rsidR="00315E15" w:rsidRPr="00E538FD" w:rsidRDefault="001B65CC" w:rsidP="00AD19D7">
      <w:pPr>
        <w:pStyle w:val="ListParagraph"/>
        <w:numPr>
          <w:ilvl w:val="1"/>
          <w:numId w:val="31"/>
        </w:numPr>
        <w:contextualSpacing w:val="0"/>
        <w:jc w:val="both"/>
        <w:rPr>
          <w:rFonts w:cs="Arial"/>
        </w:rPr>
      </w:pPr>
      <w:r w:rsidRPr="00E538FD">
        <w:rPr>
          <w:rFonts w:cs="Arial"/>
        </w:rPr>
        <w:t xml:space="preserve">HMRC will not be liable for any costs, expenditure, expenses, work or effort incurred by any </w:t>
      </w:r>
      <w:r w:rsidR="00FA5CF7">
        <w:rPr>
          <w:rFonts w:cs="Arial"/>
        </w:rPr>
        <w:t>Supplier</w:t>
      </w:r>
      <w:r w:rsidRPr="00E538FD">
        <w:rPr>
          <w:rFonts w:cs="Arial"/>
        </w:rPr>
        <w:t xml:space="preserve"> in preparing for, proceeding with or participating in this procurement exercise, including if the procurement exercise is terminated, suspended or amended by HMRC. This applies regardless of whether the </w:t>
      </w:r>
      <w:r w:rsidR="00FA5CF7">
        <w:rPr>
          <w:rFonts w:cs="Arial"/>
        </w:rPr>
        <w:t>Supplier</w:t>
      </w:r>
      <w:r w:rsidRPr="00E538FD">
        <w:rPr>
          <w:rFonts w:cs="Arial"/>
        </w:rPr>
        <w:t xml:space="preserve">’s tender is successful and regardless of whether HMRC makes any modifications or amendments to the Services Description </w:t>
      </w:r>
      <w:r w:rsidR="00016FB6">
        <w:rPr>
          <w:rFonts w:cs="Arial"/>
        </w:rPr>
        <w:t xml:space="preserve">(to be released at </w:t>
      </w:r>
      <w:r w:rsidR="006261FA">
        <w:rPr>
          <w:rFonts w:cs="Arial"/>
        </w:rPr>
        <w:t>the ITSIT stage of the procurement</w:t>
      </w:r>
      <w:r w:rsidR="00016FB6">
        <w:rPr>
          <w:rFonts w:cs="Arial"/>
        </w:rPr>
        <w:t>)</w:t>
      </w:r>
      <w:r w:rsidRPr="00E538FD">
        <w:rPr>
          <w:rFonts w:cs="Arial"/>
        </w:rPr>
        <w:t xml:space="preserve"> or other requirements in the course of the procurement exercise.</w:t>
      </w:r>
    </w:p>
    <w:p w14:paraId="6A23E138" w14:textId="1B8C48E3" w:rsidR="001B65CC" w:rsidRPr="001B65CC" w:rsidRDefault="001B65CC" w:rsidP="00AD19D7">
      <w:pPr>
        <w:pStyle w:val="ListParagraph"/>
        <w:numPr>
          <w:ilvl w:val="1"/>
          <w:numId w:val="31"/>
        </w:numPr>
        <w:contextualSpacing w:val="0"/>
        <w:jc w:val="both"/>
        <w:rPr>
          <w:rFonts w:cs="Arial"/>
        </w:rPr>
      </w:pPr>
      <w:r w:rsidRPr="001B65CC">
        <w:rPr>
          <w:rFonts w:cs="Arial"/>
        </w:rPr>
        <w:t xml:space="preserve">If a </w:t>
      </w:r>
      <w:r w:rsidR="00FA5CF7">
        <w:rPr>
          <w:rFonts w:cs="Arial"/>
        </w:rPr>
        <w:t>Supplier</w:t>
      </w:r>
      <w:r w:rsidRPr="001B65CC">
        <w:rPr>
          <w:rFonts w:cs="Arial"/>
        </w:rPr>
        <w:t xml:space="preserve"> proposes to enter into a contract with HMRC, it must rely on its own enquiries and on the terms and conditions set out in the contract (as and when finally executed). HMRC has prepared the information in this</w:t>
      </w:r>
      <w:r w:rsidR="005A73BE">
        <w:rPr>
          <w:rFonts w:cs="Arial"/>
        </w:rPr>
        <w:t xml:space="preserve"> document</w:t>
      </w:r>
      <w:r w:rsidRPr="001B65CC" w:rsidDel="005A73BE">
        <w:rPr>
          <w:rFonts w:cs="Arial"/>
        </w:rPr>
        <w:t xml:space="preserve"> </w:t>
      </w:r>
      <w:r w:rsidRPr="001B65CC">
        <w:rPr>
          <w:rFonts w:cs="Arial"/>
        </w:rPr>
        <w:t xml:space="preserve">in good faith, however, HMRC and its advisors do not accept any liability for (and do not give any express or implied warranty as to) the accuracy, adequacy or completeness of that information or any subsequent communication and they shall not be liable for any loss or damage (other than in respect of fraudulent misrepresentation) arising as a result of reliance on such information or communication. </w:t>
      </w:r>
    </w:p>
    <w:p w14:paraId="78A26316" w14:textId="71CEED40" w:rsidR="00315E15" w:rsidRPr="001B65CC" w:rsidRDefault="00315E15" w:rsidP="00AD19D7">
      <w:pPr>
        <w:pStyle w:val="ListParagraph"/>
        <w:numPr>
          <w:ilvl w:val="1"/>
          <w:numId w:val="31"/>
        </w:numPr>
        <w:contextualSpacing w:val="0"/>
        <w:jc w:val="both"/>
        <w:rPr>
          <w:rFonts w:cs="Arial"/>
        </w:rPr>
      </w:pPr>
      <w:r>
        <w:rPr>
          <w:rFonts w:cs="Arial"/>
        </w:rPr>
        <w:t>Where Supplier</w:t>
      </w:r>
      <w:r w:rsidR="007A6734">
        <w:rPr>
          <w:rFonts w:cs="Arial"/>
        </w:rPr>
        <w:t>(s)</w:t>
      </w:r>
      <w:r>
        <w:rPr>
          <w:rFonts w:cs="Arial"/>
        </w:rPr>
        <w:t xml:space="preserve"> </w:t>
      </w:r>
      <w:r w:rsidR="007A6734">
        <w:rPr>
          <w:rFonts w:cs="Arial"/>
        </w:rPr>
        <w:t>are</w:t>
      </w:r>
      <w:r>
        <w:rPr>
          <w:rFonts w:cs="Arial"/>
        </w:rPr>
        <w:t xml:space="preserve"> proposing to participate in this procurement as part of a </w:t>
      </w:r>
      <w:r w:rsidR="00D3295A">
        <w:rPr>
          <w:rFonts w:cs="Arial"/>
        </w:rPr>
        <w:t>consortium</w:t>
      </w:r>
      <w:r>
        <w:rPr>
          <w:rFonts w:cs="Arial"/>
        </w:rPr>
        <w:t xml:space="preserve">, the relevant Supplier(s) must confirm the identity of the lead </w:t>
      </w:r>
      <w:r w:rsidR="00C04E2C">
        <w:rPr>
          <w:rFonts w:cs="Arial"/>
        </w:rPr>
        <w:t>Supplier</w:t>
      </w:r>
      <w:r w:rsidR="00F34029">
        <w:rPr>
          <w:rFonts w:cs="Arial"/>
        </w:rPr>
        <w:t xml:space="preserve"> or provide an undertaking that they will form an integrated joint venture</w:t>
      </w:r>
      <w:r w:rsidR="004D58C4">
        <w:rPr>
          <w:rFonts w:cs="Arial"/>
        </w:rPr>
        <w:t xml:space="preserve"> (JV)</w:t>
      </w:r>
      <w:r w:rsidR="00F34029">
        <w:rPr>
          <w:rFonts w:cs="Arial"/>
        </w:rPr>
        <w:t xml:space="preserve"> </w:t>
      </w:r>
      <w:r w:rsidR="004901B7">
        <w:rPr>
          <w:rFonts w:cs="Arial"/>
        </w:rPr>
        <w:t xml:space="preserve">prior to contract award. HMRC will only contract with the lead vendor or </w:t>
      </w:r>
      <w:r w:rsidR="004D58C4">
        <w:rPr>
          <w:rFonts w:cs="Arial"/>
        </w:rPr>
        <w:t>JV</w:t>
      </w:r>
      <w:r w:rsidR="007E3499">
        <w:rPr>
          <w:rFonts w:cs="Arial"/>
        </w:rPr>
        <w:t>, as applicable, and</w:t>
      </w:r>
      <w:r w:rsidR="007A6734">
        <w:rPr>
          <w:rFonts w:cs="Arial"/>
        </w:rPr>
        <w:t xml:space="preserve"> reserve the right to not award the contract to the relevant Supplier</w:t>
      </w:r>
      <w:r w:rsidR="00BC0DCB">
        <w:rPr>
          <w:rFonts w:cs="Arial"/>
        </w:rPr>
        <w:t>(s)</w:t>
      </w:r>
      <w:r w:rsidR="007A6734">
        <w:rPr>
          <w:rFonts w:cs="Arial"/>
        </w:rPr>
        <w:t xml:space="preserve"> should </w:t>
      </w:r>
      <w:r w:rsidR="00BC0DCB">
        <w:rPr>
          <w:rFonts w:cs="Arial"/>
        </w:rPr>
        <w:t xml:space="preserve">they fail to identify a lead supplier or </w:t>
      </w:r>
      <w:r w:rsidR="004A63AA">
        <w:rPr>
          <w:rFonts w:cs="Arial"/>
        </w:rPr>
        <w:t>appropriate JV.</w:t>
      </w:r>
    </w:p>
    <w:p w14:paraId="211BBECB" w14:textId="69E3684C" w:rsidR="00A32BC9" w:rsidRPr="00957A1F" w:rsidRDefault="00157ADE" w:rsidP="00320D15">
      <w:pPr>
        <w:pStyle w:val="Head2"/>
        <w:pageBreakBefore/>
        <w:numPr>
          <w:ilvl w:val="0"/>
          <w:numId w:val="5"/>
        </w:numPr>
        <w:spacing w:before="240"/>
        <w:rPr>
          <w:rFonts w:cs="Arial"/>
          <w:b/>
          <w:bCs/>
          <w:color w:val="009999"/>
          <w:sz w:val="24"/>
          <w:szCs w:val="24"/>
        </w:rPr>
      </w:pPr>
      <w:bookmarkStart w:id="27" w:name="_Toc203730834"/>
      <w:r w:rsidRPr="00957A1F">
        <w:rPr>
          <w:rFonts w:cs="Arial"/>
          <w:b/>
          <w:bCs/>
          <w:color w:val="009999"/>
          <w:sz w:val="24"/>
          <w:szCs w:val="24"/>
        </w:rPr>
        <w:lastRenderedPageBreak/>
        <w:t>TUPE REQUIREMENTS</w:t>
      </w:r>
      <w:bookmarkEnd w:id="27"/>
    </w:p>
    <w:p w14:paraId="0D6CEEE3" w14:textId="77777777" w:rsidR="00CC5B0A" w:rsidRPr="00CC5B0A" w:rsidRDefault="00CC5B0A" w:rsidP="5FDA483C">
      <w:pPr>
        <w:pStyle w:val="ListParagraph"/>
        <w:ind w:left="709"/>
        <w:jc w:val="both"/>
        <w:rPr>
          <w:rFonts w:cs="Arial"/>
        </w:rPr>
      </w:pPr>
    </w:p>
    <w:p w14:paraId="22E506F9" w14:textId="6FD4EF39" w:rsidR="00A32BC9" w:rsidRPr="00463CE1" w:rsidRDefault="00E34099" w:rsidP="00463CE1">
      <w:pPr>
        <w:pStyle w:val="ListParagraph"/>
        <w:numPr>
          <w:ilvl w:val="1"/>
          <w:numId w:val="5"/>
        </w:numPr>
        <w:jc w:val="both"/>
        <w:rPr>
          <w:rFonts w:eastAsiaTheme="majorEastAsia"/>
        </w:rPr>
      </w:pPr>
      <w:r w:rsidRPr="00463CE1">
        <w:rPr>
          <w:rFonts w:eastAsiaTheme="majorEastAsia"/>
        </w:rPr>
        <w:t xml:space="preserve">HMRC </w:t>
      </w:r>
      <w:r w:rsidR="00AF3F2D" w:rsidRPr="00463CE1">
        <w:rPr>
          <w:rFonts w:eastAsiaTheme="majorEastAsia"/>
        </w:rPr>
        <w:t>anticipates that t</w:t>
      </w:r>
      <w:r w:rsidR="1730041A" w:rsidRPr="00463CE1">
        <w:rPr>
          <w:rFonts w:eastAsiaTheme="majorEastAsia"/>
        </w:rPr>
        <w:t>he Transfer of Undertakings (Protection of Employment) Regulations 2006 (</w:t>
      </w:r>
      <w:r w:rsidR="00A04D63" w:rsidRPr="00463CE1">
        <w:rPr>
          <w:rFonts w:eastAsiaTheme="majorEastAsia"/>
        </w:rPr>
        <w:t>“</w:t>
      </w:r>
      <w:r w:rsidR="1730041A" w:rsidRPr="00463CE1">
        <w:rPr>
          <w:rFonts w:eastAsiaTheme="majorEastAsia"/>
        </w:rPr>
        <w:t>TUPE</w:t>
      </w:r>
      <w:r w:rsidR="00A04D63" w:rsidRPr="00463CE1">
        <w:rPr>
          <w:rFonts w:eastAsiaTheme="majorEastAsia"/>
        </w:rPr>
        <w:t>”</w:t>
      </w:r>
      <w:r w:rsidR="1730041A" w:rsidRPr="00463CE1">
        <w:rPr>
          <w:rFonts w:eastAsiaTheme="majorEastAsia"/>
        </w:rPr>
        <w:t>)</w:t>
      </w:r>
      <w:r w:rsidR="00AF3F2D" w:rsidRPr="00463CE1">
        <w:rPr>
          <w:rFonts w:eastAsiaTheme="majorEastAsia"/>
        </w:rPr>
        <w:t xml:space="preserve"> will not</w:t>
      </w:r>
      <w:r w:rsidR="1730041A" w:rsidRPr="00463CE1">
        <w:rPr>
          <w:rFonts w:eastAsiaTheme="majorEastAsia"/>
        </w:rPr>
        <w:t xml:space="preserve"> apply to this contract.</w:t>
      </w:r>
      <w:r w:rsidR="00BD6E6C" w:rsidRPr="00463CE1">
        <w:rPr>
          <w:rFonts w:eastAsiaTheme="majorEastAsia"/>
        </w:rPr>
        <w:t xml:space="preserve"> However</w:t>
      </w:r>
      <w:r w:rsidR="00C0563B" w:rsidRPr="00463CE1">
        <w:rPr>
          <w:rFonts w:eastAsiaTheme="majorEastAsia"/>
        </w:rPr>
        <w:t>,</w:t>
      </w:r>
      <w:r w:rsidR="00BD6E6C" w:rsidRPr="00463CE1">
        <w:rPr>
          <w:rFonts w:eastAsiaTheme="majorEastAsia"/>
        </w:rPr>
        <w:t xml:space="preserve"> HMRC </w:t>
      </w:r>
      <w:r w:rsidR="00786C39" w:rsidRPr="00463CE1">
        <w:rPr>
          <w:rFonts w:eastAsiaTheme="majorEastAsia"/>
        </w:rPr>
        <w:t>does not give</w:t>
      </w:r>
      <w:r w:rsidR="00BD6E6C" w:rsidRPr="00463CE1">
        <w:rPr>
          <w:rFonts w:eastAsiaTheme="majorEastAsia"/>
        </w:rPr>
        <w:t xml:space="preserve"> any warranty in respect of TUPE and </w:t>
      </w:r>
      <w:r w:rsidR="00FA5CF7" w:rsidRPr="00463CE1">
        <w:rPr>
          <w:rFonts w:eastAsiaTheme="majorEastAsia"/>
        </w:rPr>
        <w:t>Supplier</w:t>
      </w:r>
      <w:r w:rsidR="001B65CC" w:rsidRPr="00463CE1">
        <w:rPr>
          <w:rFonts w:eastAsiaTheme="majorEastAsia"/>
        </w:rPr>
        <w:t>s</w:t>
      </w:r>
      <w:r w:rsidR="00BD6E6C" w:rsidRPr="00463CE1">
        <w:rPr>
          <w:rFonts w:eastAsiaTheme="majorEastAsia"/>
        </w:rPr>
        <w:t xml:space="preserve"> should rely on their own assessment of the likelihood that TUPE might apply.</w:t>
      </w:r>
    </w:p>
    <w:p w14:paraId="1068D904" w14:textId="77777777" w:rsidR="00E2208F" w:rsidRPr="00E2208F" w:rsidRDefault="00E2208F" w:rsidP="00320D15">
      <w:pPr>
        <w:pStyle w:val="Head2"/>
        <w:pageBreakBefore/>
        <w:numPr>
          <w:ilvl w:val="0"/>
          <w:numId w:val="5"/>
        </w:numPr>
        <w:spacing w:before="240"/>
        <w:rPr>
          <w:rFonts w:cs="Arial"/>
          <w:b/>
          <w:bCs/>
          <w:color w:val="009999"/>
          <w:sz w:val="24"/>
          <w:szCs w:val="24"/>
        </w:rPr>
      </w:pPr>
      <w:bookmarkStart w:id="28" w:name="_Toc203730835"/>
      <w:r w:rsidRPr="00E2208F">
        <w:rPr>
          <w:rFonts w:cs="Arial"/>
          <w:b/>
          <w:bCs/>
          <w:color w:val="009999"/>
          <w:sz w:val="24"/>
          <w:szCs w:val="24"/>
        </w:rPr>
        <w:lastRenderedPageBreak/>
        <w:t>SOCIAL VALUE</w:t>
      </w:r>
      <w:bookmarkEnd w:id="28"/>
      <w:r w:rsidRPr="00E2208F">
        <w:rPr>
          <w:rFonts w:cs="Arial"/>
          <w:b/>
          <w:bCs/>
          <w:color w:val="009999"/>
          <w:sz w:val="24"/>
          <w:szCs w:val="24"/>
        </w:rPr>
        <w:t xml:space="preserve"> </w:t>
      </w:r>
    </w:p>
    <w:p w14:paraId="6CEB39FA" w14:textId="27A85721" w:rsidR="00252307" w:rsidRPr="00252307" w:rsidRDefault="00E2208F" w:rsidP="00463CE1">
      <w:pPr>
        <w:pStyle w:val="ListParagraph"/>
        <w:numPr>
          <w:ilvl w:val="1"/>
          <w:numId w:val="5"/>
        </w:numPr>
        <w:jc w:val="both"/>
        <w:rPr>
          <w:rFonts w:eastAsiaTheme="majorEastAsia"/>
        </w:rPr>
      </w:pPr>
      <w:r w:rsidRPr="00463CE1">
        <w:rPr>
          <w:rFonts w:eastAsiaTheme="majorEastAsia"/>
        </w:rPr>
        <w:t xml:space="preserve">HMRC is committed to supporting key social outcomes as part of its commercial activity. To help achieve this goal, procurement exercises conducted by HMRC incorporate the requirements outlined under the </w:t>
      </w:r>
      <w:hyperlink r:id="rId18">
        <w:r w:rsidRPr="00463CE1">
          <w:rPr>
            <w:rFonts w:eastAsiaTheme="majorEastAsia"/>
          </w:rPr>
          <w:t>Government’s Social Value Model</w:t>
        </w:r>
      </w:hyperlink>
      <w:r w:rsidRPr="00463CE1">
        <w:rPr>
          <w:rFonts w:eastAsiaTheme="majorEastAsia"/>
        </w:rPr>
        <w:t xml:space="preserve"> (SVM), where in scope of Procurement Policy Note (PPN) 0</w:t>
      </w:r>
      <w:r w:rsidR="00564CE9" w:rsidRPr="00463CE1">
        <w:rPr>
          <w:rFonts w:eastAsiaTheme="majorEastAsia"/>
        </w:rPr>
        <w:t>02.</w:t>
      </w:r>
    </w:p>
    <w:p w14:paraId="23617B03" w14:textId="77777777" w:rsidR="00463CE1" w:rsidRPr="00463CE1" w:rsidRDefault="00463CE1" w:rsidP="00463CE1">
      <w:pPr>
        <w:pStyle w:val="ListParagraph"/>
        <w:ind w:left="680"/>
        <w:jc w:val="both"/>
        <w:rPr>
          <w:rFonts w:cs="Arial"/>
        </w:rPr>
      </w:pPr>
    </w:p>
    <w:p w14:paraId="0300421F" w14:textId="56EA57D7" w:rsidR="00E434DF" w:rsidRPr="00463CE1" w:rsidRDefault="00E2208F" w:rsidP="00463CE1">
      <w:pPr>
        <w:pStyle w:val="ListParagraph"/>
        <w:numPr>
          <w:ilvl w:val="1"/>
          <w:numId w:val="5"/>
        </w:numPr>
        <w:jc w:val="both"/>
        <w:rPr>
          <w:rFonts w:eastAsiaTheme="majorEastAsia"/>
        </w:rPr>
      </w:pPr>
      <w:r w:rsidRPr="00463CE1">
        <w:rPr>
          <w:rFonts w:eastAsiaTheme="majorEastAsia"/>
        </w:rPr>
        <w:t>This competitive procurement exercise</w:t>
      </w:r>
      <w:r w:rsidR="00C404A6" w:rsidRPr="00463CE1">
        <w:rPr>
          <w:rFonts w:eastAsiaTheme="majorEastAsia"/>
        </w:rPr>
        <w:t xml:space="preserve"> will</w:t>
      </w:r>
      <w:r w:rsidRPr="00463CE1">
        <w:rPr>
          <w:rFonts w:eastAsiaTheme="majorEastAsia"/>
        </w:rPr>
        <w:t xml:space="preserve"> incorporate the requirements of PPN </w:t>
      </w:r>
      <w:r w:rsidR="00564CE9" w:rsidRPr="00463CE1">
        <w:rPr>
          <w:rFonts w:eastAsiaTheme="majorEastAsia"/>
        </w:rPr>
        <w:t>002</w:t>
      </w:r>
      <w:r w:rsidR="00AA10BC" w:rsidRPr="00463CE1">
        <w:rPr>
          <w:rFonts w:eastAsiaTheme="majorEastAsia"/>
        </w:rPr>
        <w:t>.</w:t>
      </w:r>
    </w:p>
    <w:p w14:paraId="3FF436FC" w14:textId="77777777" w:rsidR="00E2208F" w:rsidRPr="00E2208F" w:rsidRDefault="00E2208F" w:rsidP="00320D15">
      <w:pPr>
        <w:pStyle w:val="Head2"/>
        <w:pageBreakBefore/>
        <w:numPr>
          <w:ilvl w:val="0"/>
          <w:numId w:val="5"/>
        </w:numPr>
        <w:spacing w:before="240"/>
        <w:rPr>
          <w:rFonts w:cs="Arial"/>
          <w:b/>
          <w:bCs/>
          <w:color w:val="009999"/>
          <w:sz w:val="24"/>
          <w:szCs w:val="24"/>
        </w:rPr>
      </w:pPr>
      <w:bookmarkStart w:id="29" w:name="_Toc203730836"/>
      <w:r w:rsidRPr="00E2208F">
        <w:rPr>
          <w:rFonts w:cs="Arial"/>
          <w:b/>
          <w:bCs/>
          <w:color w:val="009999"/>
          <w:sz w:val="24"/>
          <w:szCs w:val="24"/>
        </w:rPr>
        <w:lastRenderedPageBreak/>
        <w:t>KEY PERFORMANCE INDICATORS (“KPIs”)</w:t>
      </w:r>
      <w:bookmarkEnd w:id="29"/>
    </w:p>
    <w:p w14:paraId="16EE2D9A" w14:textId="46918CA8" w:rsidR="00E2208F" w:rsidRPr="00E2208F" w:rsidRDefault="00517394" w:rsidP="00463CE1">
      <w:pPr>
        <w:pStyle w:val="ListParagraph"/>
        <w:numPr>
          <w:ilvl w:val="1"/>
          <w:numId w:val="5"/>
        </w:numPr>
        <w:jc w:val="both"/>
        <w:rPr>
          <w:rFonts w:eastAsiaTheme="majorEastAsia"/>
        </w:rPr>
      </w:pPr>
      <w:r>
        <w:rPr>
          <w:rFonts w:eastAsiaTheme="majorEastAsia"/>
        </w:rPr>
        <w:t>Section 52 of the Act</w:t>
      </w:r>
      <w:r w:rsidR="00E2208F" w:rsidRPr="00E2208F">
        <w:rPr>
          <w:rFonts w:eastAsiaTheme="majorEastAsia"/>
        </w:rPr>
        <w:t xml:space="preserve"> requires a minimum of three KPIs to be set for contracts with an estimated value greater than £5 million. These KPIs and contract performance information must be published by HMRC in </w:t>
      </w:r>
      <w:r w:rsidR="002E10A4">
        <w:rPr>
          <w:rFonts w:eastAsiaTheme="majorEastAsia"/>
        </w:rPr>
        <w:t>accordance</w:t>
      </w:r>
      <w:r w:rsidR="00E2208F" w:rsidRPr="00E2208F">
        <w:rPr>
          <w:rFonts w:eastAsiaTheme="majorEastAsia"/>
        </w:rPr>
        <w:t xml:space="preserve"> with </w:t>
      </w:r>
      <w:r w:rsidR="002E10A4">
        <w:rPr>
          <w:rFonts w:eastAsiaTheme="majorEastAsia"/>
        </w:rPr>
        <w:t>the obligations set out under</w:t>
      </w:r>
      <w:r w:rsidR="00E2208F" w:rsidRPr="00E2208F">
        <w:rPr>
          <w:rFonts w:eastAsiaTheme="majorEastAsia"/>
        </w:rPr>
        <w:t xml:space="preserve"> Section 71</w:t>
      </w:r>
      <w:r w:rsidR="008571FC">
        <w:rPr>
          <w:rFonts w:eastAsiaTheme="majorEastAsia"/>
        </w:rPr>
        <w:t xml:space="preserve"> the Act</w:t>
      </w:r>
      <w:r w:rsidR="00E2208F" w:rsidRPr="00E2208F">
        <w:rPr>
          <w:rFonts w:eastAsiaTheme="majorEastAsia"/>
        </w:rPr>
        <w:t>. HMRC also reserves the right to set contractual KPIs and publish contract performance information for contracts that fall outside the requirements of Sections 52 and 71.</w:t>
      </w:r>
    </w:p>
    <w:p w14:paraId="1EC11790" w14:textId="77777777" w:rsidR="00463CE1" w:rsidRPr="00463CE1" w:rsidRDefault="00463CE1" w:rsidP="00463CE1">
      <w:pPr>
        <w:pStyle w:val="ListParagraph"/>
        <w:ind w:left="680"/>
        <w:jc w:val="both"/>
        <w:rPr>
          <w:rFonts w:cs="Arial"/>
        </w:rPr>
      </w:pPr>
    </w:p>
    <w:p w14:paraId="4A582E6F" w14:textId="16E5E494" w:rsidR="00E2208F" w:rsidRPr="00E2208F" w:rsidRDefault="00E2208F" w:rsidP="00463CE1">
      <w:pPr>
        <w:pStyle w:val="ListParagraph"/>
        <w:numPr>
          <w:ilvl w:val="1"/>
          <w:numId w:val="5"/>
        </w:numPr>
        <w:jc w:val="both"/>
        <w:rPr>
          <w:rFonts w:eastAsiaTheme="majorEastAsia"/>
        </w:rPr>
      </w:pPr>
      <w:r w:rsidRPr="00E2208F">
        <w:rPr>
          <w:rFonts w:eastAsiaTheme="majorEastAsia"/>
        </w:rPr>
        <w:t xml:space="preserve">The initial KPIs that will apply to this contract </w:t>
      </w:r>
      <w:r w:rsidR="00AA10BC">
        <w:rPr>
          <w:rFonts w:eastAsiaTheme="majorEastAsia"/>
        </w:rPr>
        <w:t>will be</w:t>
      </w:r>
      <w:r w:rsidRPr="00E2208F">
        <w:rPr>
          <w:rFonts w:eastAsiaTheme="majorEastAsia"/>
        </w:rPr>
        <w:t xml:space="preserve"> included within</w:t>
      </w:r>
      <w:r w:rsidRPr="00E2208F" w:rsidDel="00CF51EF">
        <w:rPr>
          <w:rFonts w:eastAsiaTheme="majorEastAsia"/>
        </w:rPr>
        <w:t xml:space="preserve"> </w:t>
      </w:r>
      <w:r w:rsidRPr="00E2208F">
        <w:rPr>
          <w:rFonts w:eastAsiaTheme="majorEastAsia"/>
        </w:rPr>
        <w:t>the draft Contract</w:t>
      </w:r>
      <w:r w:rsidR="00AA10BC">
        <w:rPr>
          <w:rFonts w:eastAsiaTheme="majorEastAsia"/>
        </w:rPr>
        <w:t xml:space="preserve">, to be published as part of </w:t>
      </w:r>
      <w:r w:rsidR="006261FA">
        <w:rPr>
          <w:rFonts w:eastAsiaTheme="majorEastAsia"/>
        </w:rPr>
        <w:t>the ITSIT stage</w:t>
      </w:r>
      <w:r w:rsidR="00AA10BC">
        <w:rPr>
          <w:rFonts w:eastAsiaTheme="majorEastAsia"/>
        </w:rPr>
        <w:t xml:space="preserve"> of this procurement</w:t>
      </w:r>
      <w:r w:rsidRPr="00E2208F">
        <w:rPr>
          <w:rFonts w:eastAsiaTheme="majorEastAsia"/>
        </w:rPr>
        <w:t xml:space="preserve">. HMRC reserves the right to agree additional/replacement KPIs with the successful supplier </w:t>
      </w:r>
      <w:r w:rsidR="4BBA45B0" w:rsidRPr="23A48297">
        <w:rPr>
          <w:rFonts w:eastAsiaTheme="majorEastAsia"/>
        </w:rPr>
        <w:t xml:space="preserve">at </w:t>
      </w:r>
      <w:r w:rsidR="761AAE9F" w:rsidRPr="23A48297">
        <w:rPr>
          <w:rFonts w:eastAsiaTheme="majorEastAsia"/>
        </w:rPr>
        <w:t xml:space="preserve">any </w:t>
      </w:r>
      <w:r w:rsidR="006B3E82">
        <w:rPr>
          <w:rFonts w:eastAsiaTheme="majorEastAsia"/>
        </w:rPr>
        <w:t xml:space="preserve">later </w:t>
      </w:r>
      <w:r w:rsidR="006261FA">
        <w:rPr>
          <w:rFonts w:eastAsiaTheme="majorEastAsia"/>
        </w:rPr>
        <w:t>s</w:t>
      </w:r>
      <w:r w:rsidR="761AAE9F" w:rsidRPr="23A48297">
        <w:rPr>
          <w:rFonts w:eastAsiaTheme="majorEastAsia"/>
        </w:rPr>
        <w:t>tage of the procur</w:t>
      </w:r>
      <w:r w:rsidR="736E25A9" w:rsidRPr="23A48297">
        <w:rPr>
          <w:rFonts w:eastAsiaTheme="majorEastAsia"/>
        </w:rPr>
        <w:t xml:space="preserve">ement </w:t>
      </w:r>
      <w:r w:rsidR="736E25A9" w:rsidRPr="352BC2B1">
        <w:rPr>
          <w:rFonts w:eastAsiaTheme="majorEastAsia"/>
        </w:rPr>
        <w:t>process</w:t>
      </w:r>
      <w:r w:rsidR="1B5E2113" w:rsidRPr="352BC2B1">
        <w:rPr>
          <w:rFonts w:eastAsiaTheme="majorEastAsia"/>
        </w:rPr>
        <w:t xml:space="preserve"> or</w:t>
      </w:r>
      <w:r w:rsidR="02BBCDF4" w:rsidRPr="23A48297">
        <w:rPr>
          <w:rFonts w:eastAsiaTheme="majorEastAsia"/>
        </w:rPr>
        <w:t xml:space="preserve"> </w:t>
      </w:r>
      <w:r w:rsidRPr="00E2208F">
        <w:rPr>
          <w:rFonts w:eastAsiaTheme="majorEastAsia"/>
        </w:rPr>
        <w:t>over the duration of the contract in accordance with the contract terms.</w:t>
      </w:r>
    </w:p>
    <w:p w14:paraId="0E433D08" w14:textId="6D6B20D7" w:rsidR="00A32BC9" w:rsidRPr="00957A1F" w:rsidRDefault="00E82324" w:rsidP="00320D15">
      <w:pPr>
        <w:pStyle w:val="Head2"/>
        <w:pageBreakBefore/>
        <w:numPr>
          <w:ilvl w:val="0"/>
          <w:numId w:val="5"/>
        </w:numPr>
        <w:spacing w:before="240"/>
        <w:rPr>
          <w:rFonts w:cs="Arial"/>
          <w:b/>
          <w:bCs/>
          <w:color w:val="009999"/>
          <w:sz w:val="24"/>
          <w:szCs w:val="24"/>
        </w:rPr>
      </w:pPr>
      <w:bookmarkStart w:id="30" w:name="_Ref94262412"/>
      <w:bookmarkStart w:id="31" w:name="_Ref93071005"/>
      <w:bookmarkStart w:id="32" w:name="_Toc203730837"/>
      <w:r w:rsidRPr="00957A1F">
        <w:rPr>
          <w:rFonts w:cs="Arial"/>
          <w:b/>
          <w:bCs/>
          <w:color w:val="009999"/>
          <w:sz w:val="24"/>
          <w:szCs w:val="24"/>
        </w:rPr>
        <w:lastRenderedPageBreak/>
        <w:t>EVALUATION METHODOLOGY</w:t>
      </w:r>
      <w:bookmarkEnd w:id="30"/>
      <w:bookmarkEnd w:id="31"/>
      <w:bookmarkEnd w:id="32"/>
    </w:p>
    <w:p w14:paraId="1F81FD16" w14:textId="77777777" w:rsidR="00CC5B0A" w:rsidRPr="00CC5B0A" w:rsidRDefault="00CC5B0A" w:rsidP="00320D15">
      <w:pPr>
        <w:pStyle w:val="ListParagraph"/>
        <w:numPr>
          <w:ilvl w:val="0"/>
          <w:numId w:val="7"/>
        </w:numPr>
        <w:contextualSpacing w:val="0"/>
        <w:jc w:val="both"/>
        <w:rPr>
          <w:rFonts w:cs="Arial"/>
          <w:vanish/>
        </w:rPr>
      </w:pPr>
    </w:p>
    <w:p w14:paraId="7B8567ED" w14:textId="0766D4B8" w:rsidR="00D22E1E" w:rsidRPr="00B12E3F" w:rsidRDefault="003D10B4" w:rsidP="00463CE1">
      <w:pPr>
        <w:pStyle w:val="ListParagraph"/>
        <w:numPr>
          <w:ilvl w:val="1"/>
          <w:numId w:val="5"/>
        </w:numPr>
        <w:jc w:val="both"/>
        <w:rPr>
          <w:rFonts w:eastAsiaTheme="majorEastAsia"/>
        </w:rPr>
      </w:pPr>
      <w:r w:rsidRPr="00B12E3F">
        <w:rPr>
          <w:rFonts w:eastAsiaTheme="majorEastAsia"/>
        </w:rPr>
        <w:t xml:space="preserve">The </w:t>
      </w:r>
      <w:r w:rsidR="00637EA0" w:rsidRPr="00B12E3F">
        <w:rPr>
          <w:rFonts w:eastAsiaTheme="majorEastAsia"/>
        </w:rPr>
        <w:t xml:space="preserve">responses to the </w:t>
      </w:r>
      <w:r w:rsidR="00382FC9">
        <w:rPr>
          <w:rFonts w:eastAsiaTheme="majorEastAsia"/>
        </w:rPr>
        <w:t>PSQ</w:t>
      </w:r>
      <w:r w:rsidR="005F3006" w:rsidRPr="00B12E3F">
        <w:rPr>
          <w:rFonts w:eastAsiaTheme="majorEastAsia"/>
        </w:rPr>
        <w:t xml:space="preserve"> will be evaluated </w:t>
      </w:r>
      <w:r w:rsidR="00FF4A3B" w:rsidRPr="00B12E3F">
        <w:rPr>
          <w:rFonts w:eastAsiaTheme="majorEastAsia"/>
        </w:rPr>
        <w:t xml:space="preserve">using the scoring methodology outlined in </w:t>
      </w:r>
      <w:r w:rsidR="00382FC9" w:rsidRPr="00E66809">
        <w:rPr>
          <w:rFonts w:eastAsiaTheme="majorEastAsia"/>
        </w:rPr>
        <w:t>Schedule 3</w:t>
      </w:r>
      <w:r w:rsidR="00FF4A3B" w:rsidRPr="006E30AA">
        <w:rPr>
          <w:rFonts w:eastAsiaTheme="majorEastAsia"/>
        </w:rPr>
        <w:t xml:space="preserve"> of this</w:t>
      </w:r>
      <w:r w:rsidR="00FF4A3B" w:rsidRPr="00B12E3F">
        <w:rPr>
          <w:rFonts w:eastAsiaTheme="majorEastAsia"/>
        </w:rPr>
        <w:t xml:space="preserve"> document.</w:t>
      </w:r>
    </w:p>
    <w:p w14:paraId="165AC2A8" w14:textId="77777777" w:rsidR="00463CE1" w:rsidRPr="00463CE1" w:rsidRDefault="00463CE1" w:rsidP="00463CE1">
      <w:pPr>
        <w:pStyle w:val="ListParagraph"/>
        <w:ind w:left="680"/>
        <w:jc w:val="both"/>
        <w:rPr>
          <w:rFonts w:cs="Arial"/>
        </w:rPr>
      </w:pPr>
    </w:p>
    <w:p w14:paraId="7E5BCE45" w14:textId="1767ED7D" w:rsidR="00463CE1" w:rsidRPr="00463CE1" w:rsidRDefault="00D22E1E" w:rsidP="00463CE1">
      <w:pPr>
        <w:pStyle w:val="ListParagraph"/>
        <w:numPr>
          <w:ilvl w:val="1"/>
          <w:numId w:val="5"/>
        </w:numPr>
        <w:jc w:val="both"/>
        <w:rPr>
          <w:rFonts w:eastAsiaTheme="majorEastAsia"/>
        </w:rPr>
      </w:pPr>
      <w:r w:rsidRPr="00B12E3F">
        <w:rPr>
          <w:rFonts w:eastAsiaTheme="majorEastAsia"/>
        </w:rPr>
        <w:t xml:space="preserve">Unless stated otherwise within the individual questions, </w:t>
      </w:r>
      <w:r w:rsidR="000A70E9">
        <w:rPr>
          <w:rFonts w:eastAsiaTheme="majorEastAsia"/>
        </w:rPr>
        <w:t>Suppliers</w:t>
      </w:r>
      <w:r w:rsidR="000A70E9" w:rsidRPr="00B12E3F">
        <w:rPr>
          <w:rFonts w:eastAsiaTheme="majorEastAsia"/>
        </w:rPr>
        <w:t xml:space="preserve"> </w:t>
      </w:r>
      <w:r w:rsidRPr="00B12E3F">
        <w:rPr>
          <w:rFonts w:eastAsiaTheme="majorEastAsia"/>
        </w:rPr>
        <w:t xml:space="preserve">must provide a </w:t>
      </w:r>
      <w:r w:rsidR="002824BA" w:rsidRPr="00B12E3F">
        <w:rPr>
          <w:rFonts w:eastAsiaTheme="majorEastAsia"/>
        </w:rPr>
        <w:t>response</w:t>
      </w:r>
      <w:r w:rsidRPr="00B12E3F">
        <w:rPr>
          <w:rFonts w:eastAsiaTheme="majorEastAsia"/>
        </w:rPr>
        <w:t xml:space="preserve"> to every question included within the PSQ. HMRC reserve the right to reject the</w:t>
      </w:r>
      <w:r w:rsidR="000A70E9">
        <w:rPr>
          <w:rFonts w:eastAsiaTheme="majorEastAsia"/>
        </w:rPr>
        <w:t xml:space="preserve"> Supplier’s</w:t>
      </w:r>
      <w:r w:rsidRPr="00B12E3F" w:rsidDel="000A70E9">
        <w:rPr>
          <w:rFonts w:eastAsiaTheme="majorEastAsia"/>
        </w:rPr>
        <w:t xml:space="preserve"> </w:t>
      </w:r>
      <w:r w:rsidR="00AC3A65" w:rsidRPr="00B12E3F">
        <w:rPr>
          <w:rFonts w:eastAsiaTheme="majorEastAsia"/>
        </w:rPr>
        <w:t>response</w:t>
      </w:r>
      <w:r w:rsidRPr="00B12E3F">
        <w:rPr>
          <w:rFonts w:eastAsiaTheme="majorEastAsia"/>
        </w:rPr>
        <w:t xml:space="preserve"> if it contains any of the following:</w:t>
      </w:r>
    </w:p>
    <w:p w14:paraId="23053BE2" w14:textId="77777777" w:rsidR="00D22E1E" w:rsidRPr="003C20B9" w:rsidRDefault="00D22E1E" w:rsidP="00AD19D7">
      <w:pPr>
        <w:pStyle w:val="ListParagraph"/>
        <w:numPr>
          <w:ilvl w:val="0"/>
          <w:numId w:val="67"/>
        </w:numPr>
        <w:ind w:left="993" w:hanging="284"/>
        <w:rPr>
          <w:rFonts w:cs="Arial"/>
        </w:rPr>
      </w:pPr>
      <w:r w:rsidRPr="003C20B9">
        <w:rPr>
          <w:rFonts w:cs="Arial"/>
        </w:rPr>
        <w:t xml:space="preserve">Unanswered questions and/or incomplete question responses; or </w:t>
      </w:r>
    </w:p>
    <w:p w14:paraId="1AD708AC" w14:textId="77777777" w:rsidR="00D22E1E" w:rsidRDefault="00D22E1E" w:rsidP="00AD19D7">
      <w:pPr>
        <w:pStyle w:val="ListParagraph"/>
        <w:numPr>
          <w:ilvl w:val="0"/>
          <w:numId w:val="67"/>
        </w:numPr>
        <w:ind w:left="993" w:hanging="284"/>
        <w:rPr>
          <w:rFonts w:cs="Arial"/>
        </w:rPr>
      </w:pPr>
      <w:r w:rsidRPr="003C20B9">
        <w:rPr>
          <w:rFonts w:cs="Arial"/>
        </w:rPr>
        <w:t>Erroneous and/or inaccurate information.</w:t>
      </w:r>
    </w:p>
    <w:p w14:paraId="56312B74" w14:textId="77777777" w:rsidR="000245FF" w:rsidRPr="003C20B9" w:rsidRDefault="000245FF" w:rsidP="000245FF">
      <w:pPr>
        <w:pStyle w:val="ListParagraph"/>
        <w:ind w:left="993"/>
        <w:rPr>
          <w:rFonts w:cs="Arial"/>
        </w:rPr>
      </w:pPr>
    </w:p>
    <w:p w14:paraId="46747178" w14:textId="2A20E986" w:rsidR="00D22E1E" w:rsidRPr="000245FF" w:rsidRDefault="00D22E1E" w:rsidP="000245FF">
      <w:pPr>
        <w:pStyle w:val="ListParagraph"/>
        <w:numPr>
          <w:ilvl w:val="1"/>
          <w:numId w:val="5"/>
        </w:numPr>
        <w:jc w:val="both"/>
        <w:rPr>
          <w:rFonts w:eastAsiaTheme="majorEastAsia"/>
        </w:rPr>
      </w:pPr>
      <w:r w:rsidRPr="000245FF">
        <w:rPr>
          <w:rFonts w:eastAsiaTheme="majorEastAsia"/>
        </w:rPr>
        <w:t>HMRC reserves the right to conduct further due diligence checks</w:t>
      </w:r>
      <w:r w:rsidR="005F269C" w:rsidRPr="000245FF">
        <w:rPr>
          <w:rFonts w:eastAsiaTheme="majorEastAsia"/>
        </w:rPr>
        <w:t xml:space="preserve"> at any point in the procurement process</w:t>
      </w:r>
      <w:r w:rsidRPr="000245FF">
        <w:rPr>
          <w:rFonts w:eastAsiaTheme="majorEastAsia"/>
        </w:rPr>
        <w:t xml:space="preserve"> to determine the accuracy of the information provided by </w:t>
      </w:r>
      <w:r w:rsidR="005F269C" w:rsidRPr="000245FF">
        <w:rPr>
          <w:rFonts w:eastAsiaTheme="majorEastAsia"/>
        </w:rPr>
        <w:t xml:space="preserve">Suppliers </w:t>
      </w:r>
      <w:r w:rsidRPr="000245FF">
        <w:rPr>
          <w:rFonts w:eastAsiaTheme="majorEastAsia"/>
        </w:rPr>
        <w:t xml:space="preserve">as part of their </w:t>
      </w:r>
      <w:r w:rsidR="002824BA" w:rsidRPr="000245FF">
        <w:rPr>
          <w:rFonts w:eastAsiaTheme="majorEastAsia"/>
        </w:rPr>
        <w:t>PSQ response</w:t>
      </w:r>
      <w:r w:rsidRPr="000245FF">
        <w:rPr>
          <w:rFonts w:eastAsiaTheme="majorEastAsia"/>
        </w:rPr>
        <w:t xml:space="preserve">. This may include, but is not limited to, checks of wider data sources (e.g. tax compliance checks) and requesting further evidence from </w:t>
      </w:r>
      <w:r w:rsidR="005F269C" w:rsidRPr="000245FF">
        <w:rPr>
          <w:rFonts w:eastAsiaTheme="majorEastAsia"/>
        </w:rPr>
        <w:t>Suppliers</w:t>
      </w:r>
      <w:r w:rsidRPr="000245FF">
        <w:rPr>
          <w:rFonts w:eastAsiaTheme="majorEastAsia"/>
        </w:rPr>
        <w:t xml:space="preserve">. HMRC reserves the right to fail </w:t>
      </w:r>
      <w:r w:rsidR="00382FC9" w:rsidRPr="000245FF">
        <w:rPr>
          <w:rFonts w:eastAsiaTheme="majorEastAsia"/>
        </w:rPr>
        <w:t xml:space="preserve">a </w:t>
      </w:r>
      <w:r w:rsidR="005F269C" w:rsidRPr="000245FF">
        <w:rPr>
          <w:rFonts w:eastAsiaTheme="majorEastAsia"/>
        </w:rPr>
        <w:t>Suppliers’</w:t>
      </w:r>
      <w:r w:rsidRPr="000245FF">
        <w:rPr>
          <w:rFonts w:eastAsiaTheme="majorEastAsia"/>
        </w:rPr>
        <w:t xml:space="preserve"> </w:t>
      </w:r>
      <w:r w:rsidR="00AC3A65" w:rsidRPr="000245FF">
        <w:rPr>
          <w:rFonts w:eastAsiaTheme="majorEastAsia"/>
        </w:rPr>
        <w:t>response</w:t>
      </w:r>
      <w:r w:rsidRPr="000245FF" w:rsidDel="005F269C">
        <w:rPr>
          <w:rFonts w:eastAsiaTheme="majorEastAsia"/>
        </w:rPr>
        <w:t xml:space="preserve"> </w:t>
      </w:r>
      <w:r w:rsidRPr="000245FF">
        <w:rPr>
          <w:rFonts w:eastAsiaTheme="majorEastAsia"/>
        </w:rPr>
        <w:t xml:space="preserve">should </w:t>
      </w:r>
      <w:r w:rsidR="00382FC9" w:rsidRPr="000245FF">
        <w:rPr>
          <w:rFonts w:eastAsiaTheme="majorEastAsia"/>
        </w:rPr>
        <w:t>they</w:t>
      </w:r>
      <w:r w:rsidRPr="000245FF">
        <w:rPr>
          <w:rFonts w:eastAsiaTheme="majorEastAsia"/>
        </w:rPr>
        <w:t xml:space="preserve"> fail to provide further evidence in any timescales stipulated and/or further due diligence checks identify non-compliance with the requirements outlined </w:t>
      </w:r>
      <w:r w:rsidR="00382FC9" w:rsidRPr="000245FF">
        <w:rPr>
          <w:rFonts w:eastAsiaTheme="majorEastAsia"/>
        </w:rPr>
        <w:t xml:space="preserve">within this CoP </w:t>
      </w:r>
      <w:r w:rsidRPr="000245FF">
        <w:rPr>
          <w:rFonts w:eastAsiaTheme="majorEastAsia"/>
        </w:rPr>
        <w:t>document.</w:t>
      </w:r>
    </w:p>
    <w:p w14:paraId="7C31F144" w14:textId="77777777" w:rsidR="00D22E1E" w:rsidRPr="000245FF" w:rsidRDefault="00D22E1E" w:rsidP="000245FF">
      <w:pPr>
        <w:rPr>
          <w:rFonts w:eastAsiaTheme="majorEastAsia"/>
          <w:b/>
        </w:rPr>
      </w:pPr>
      <w:r w:rsidRPr="000245FF">
        <w:rPr>
          <w:rFonts w:eastAsiaTheme="majorEastAsia"/>
          <w:b/>
        </w:rPr>
        <w:t>Procurement Specific Questionnaire (“PSQ”)</w:t>
      </w:r>
    </w:p>
    <w:p w14:paraId="2301B464" w14:textId="0AFD43E7" w:rsidR="00D22E1E" w:rsidRPr="00E538FD" w:rsidRDefault="00D22E1E" w:rsidP="000245FF">
      <w:pPr>
        <w:pStyle w:val="ListParagraph"/>
        <w:numPr>
          <w:ilvl w:val="1"/>
          <w:numId w:val="5"/>
        </w:numPr>
        <w:jc w:val="both"/>
        <w:rPr>
          <w:rFonts w:cs="Arial"/>
        </w:rPr>
      </w:pPr>
      <w:r w:rsidRPr="00E538FD">
        <w:rPr>
          <w:rFonts w:cs="Arial"/>
        </w:rPr>
        <w:t>The Procurement Regulations 2024 require certain sections of the PSQ (Core Supplier Information) to be completed on the Government</w:t>
      </w:r>
      <w:r w:rsidR="00BE1794">
        <w:rPr>
          <w:rFonts w:cs="Arial"/>
        </w:rPr>
        <w:t>’</w:t>
      </w:r>
      <w:r w:rsidRPr="00E538FD">
        <w:rPr>
          <w:rFonts w:cs="Arial"/>
        </w:rPr>
        <w:t xml:space="preserve">s Central Digital Platform (CDP), with the remainder of the questions completed directly on Ariba. </w:t>
      </w:r>
    </w:p>
    <w:p w14:paraId="1A09DE1C" w14:textId="77777777" w:rsidR="000245FF" w:rsidRPr="000245FF" w:rsidRDefault="000245FF" w:rsidP="000245FF">
      <w:pPr>
        <w:pStyle w:val="ListParagraph"/>
        <w:ind w:left="680"/>
        <w:jc w:val="both"/>
        <w:rPr>
          <w:rFonts w:eastAsiaTheme="majorEastAsia"/>
        </w:rPr>
      </w:pPr>
    </w:p>
    <w:p w14:paraId="1E9067EB" w14:textId="063D9CA6" w:rsidR="000245FF" w:rsidRPr="000245FF" w:rsidRDefault="00D22E1E" w:rsidP="000245FF">
      <w:pPr>
        <w:pStyle w:val="ListParagraph"/>
        <w:numPr>
          <w:ilvl w:val="1"/>
          <w:numId w:val="5"/>
        </w:numPr>
        <w:jc w:val="both"/>
        <w:rPr>
          <w:rFonts w:cs="Arial"/>
        </w:rPr>
      </w:pPr>
      <w:r w:rsidRPr="00B74DF4">
        <w:rPr>
          <w:rFonts w:cs="Arial"/>
        </w:rPr>
        <w:t>Core Supplier Information comprises basic information about the supplier (as listed in Regulation 9 of the Procurement Regulations 2024), economic and financial standing information about the supplier (as listed in Regulation 10), information about the supplier’s connected persons (as listed in Regulation 11) and exclusions information about the supplier and its connected persons (as listed in Regulation 12).</w:t>
      </w:r>
    </w:p>
    <w:p w14:paraId="1F84B5D0" w14:textId="77777777" w:rsidR="000245FF" w:rsidRPr="000245FF" w:rsidRDefault="000245FF" w:rsidP="000245FF">
      <w:pPr>
        <w:pStyle w:val="ListParagraph"/>
        <w:ind w:left="680"/>
        <w:jc w:val="both"/>
        <w:rPr>
          <w:rFonts w:eastAsiaTheme="majorEastAsia"/>
        </w:rPr>
      </w:pPr>
    </w:p>
    <w:p w14:paraId="39D8B9F6" w14:textId="515E5139" w:rsidR="000245FF" w:rsidRPr="000245FF" w:rsidRDefault="00707514" w:rsidP="000245FF">
      <w:pPr>
        <w:pStyle w:val="ListParagraph"/>
        <w:numPr>
          <w:ilvl w:val="1"/>
          <w:numId w:val="5"/>
        </w:numPr>
        <w:jc w:val="both"/>
        <w:rPr>
          <w:rFonts w:cs="Arial"/>
        </w:rPr>
      </w:pPr>
      <w:r>
        <w:rPr>
          <w:rFonts w:cs="Arial"/>
        </w:rPr>
        <w:t>Supplier</w:t>
      </w:r>
      <w:r w:rsidR="00D22E1E" w:rsidRPr="00E538FD">
        <w:rPr>
          <w:rFonts w:cs="Arial"/>
        </w:rPr>
        <w:t>s are required to register an account with the CDP</w:t>
      </w:r>
      <w:r w:rsidR="0019061F">
        <w:rPr>
          <w:rFonts w:cs="Arial"/>
        </w:rPr>
        <w:t xml:space="preserve"> </w:t>
      </w:r>
      <w:r w:rsidR="00D22E1E" w:rsidRPr="00E538FD">
        <w:rPr>
          <w:rFonts w:cs="Arial"/>
        </w:rPr>
        <w:t>(</w:t>
      </w:r>
      <w:hyperlink r:id="rId19" w:history="1">
        <w:r w:rsidR="00D22E1E" w:rsidRPr="003C20B9">
          <w:rPr>
            <w:rFonts w:eastAsiaTheme="majorEastAsia"/>
          </w:rPr>
          <w:t>https://www.gov.uk/find-</w:t>
        </w:r>
        <w:r w:rsidR="00AC3A65" w:rsidRPr="003C20B9">
          <w:rPr>
            <w:rFonts w:eastAsiaTheme="majorEastAsia"/>
          </w:rPr>
          <w:t>response</w:t>
        </w:r>
      </w:hyperlink>
      <w:r w:rsidR="00D22E1E" w:rsidRPr="00E538FD">
        <w:rPr>
          <w:rFonts w:cs="Arial"/>
        </w:rPr>
        <w:t xml:space="preserve">) and complete responses to the Core Supplier Information questions directly on the CDP. </w:t>
      </w:r>
    </w:p>
    <w:p w14:paraId="25B78565" w14:textId="77777777" w:rsidR="000245FF" w:rsidRPr="000245FF" w:rsidRDefault="000245FF" w:rsidP="000245FF">
      <w:pPr>
        <w:pStyle w:val="ListParagraph"/>
        <w:ind w:left="680"/>
        <w:jc w:val="both"/>
        <w:rPr>
          <w:rFonts w:eastAsiaTheme="majorEastAsia"/>
        </w:rPr>
      </w:pPr>
    </w:p>
    <w:p w14:paraId="24EF6762" w14:textId="53D3B097" w:rsidR="000245FF" w:rsidRPr="000245FF" w:rsidRDefault="00D22E1E" w:rsidP="000245FF">
      <w:pPr>
        <w:pStyle w:val="ListParagraph"/>
        <w:numPr>
          <w:ilvl w:val="1"/>
          <w:numId w:val="5"/>
        </w:numPr>
        <w:jc w:val="both"/>
        <w:rPr>
          <w:rFonts w:cs="Arial"/>
        </w:rPr>
      </w:pPr>
      <w:r w:rsidRPr="00E538FD">
        <w:rPr>
          <w:rFonts w:cs="Arial"/>
        </w:rPr>
        <w:t xml:space="preserve">Once complete, </w:t>
      </w:r>
      <w:r w:rsidR="00707514">
        <w:rPr>
          <w:rFonts w:cs="Arial"/>
        </w:rPr>
        <w:t>supplier</w:t>
      </w:r>
      <w:r w:rsidRPr="00E538FD">
        <w:rPr>
          <w:rFonts w:cs="Arial"/>
        </w:rPr>
        <w:t>s must share their responses to the questions with HMRC as part of this procurement process by providing their share code allocated by the CDP. This will allow HMRC to obtain the suppliers Core Supplier Information from the CDP.</w:t>
      </w:r>
    </w:p>
    <w:p w14:paraId="7BB533B4" w14:textId="77777777" w:rsidR="000245FF" w:rsidRPr="000245FF" w:rsidRDefault="000245FF" w:rsidP="000245FF">
      <w:pPr>
        <w:pStyle w:val="ListParagraph"/>
        <w:ind w:left="680"/>
        <w:jc w:val="both"/>
        <w:rPr>
          <w:rFonts w:eastAsiaTheme="majorEastAsia"/>
        </w:rPr>
      </w:pPr>
    </w:p>
    <w:p w14:paraId="555066EA" w14:textId="514BBD5E" w:rsidR="000245FF" w:rsidRPr="000245FF" w:rsidRDefault="00913908" w:rsidP="000245FF">
      <w:pPr>
        <w:pStyle w:val="ListParagraph"/>
        <w:numPr>
          <w:ilvl w:val="1"/>
          <w:numId w:val="5"/>
        </w:numPr>
        <w:jc w:val="both"/>
        <w:rPr>
          <w:rFonts w:cs="Arial"/>
        </w:rPr>
      </w:pPr>
      <w:r>
        <w:rPr>
          <w:rFonts w:cs="Arial"/>
        </w:rPr>
        <w:t>Note that at the point of publication, the ‘share code’ functionality of the CDP may not be operational in such a way to allow HMRC to view the information directly. Therefore</w:t>
      </w:r>
      <w:r w:rsidR="00805008">
        <w:rPr>
          <w:rFonts w:cs="Arial"/>
        </w:rPr>
        <w:t xml:space="preserve">, when responding to questions within the PSQ that request information be completed on the CDP, suppliers must generate a </w:t>
      </w:r>
      <w:r w:rsidR="006F6B8A">
        <w:rPr>
          <w:rFonts w:cs="Arial"/>
        </w:rPr>
        <w:t>document with</w:t>
      </w:r>
      <w:r w:rsidR="00805008">
        <w:rPr>
          <w:rFonts w:cs="Arial"/>
        </w:rPr>
        <w:t xml:space="preserve"> the required information from the CDP and attach</w:t>
      </w:r>
      <w:r w:rsidR="000245FF">
        <w:rPr>
          <w:rFonts w:cs="Arial"/>
        </w:rPr>
        <w:t xml:space="preserve"> </w:t>
      </w:r>
      <w:r w:rsidR="00805008">
        <w:rPr>
          <w:rFonts w:cs="Arial"/>
        </w:rPr>
        <w:t>this within the appropriate section of the question set on</w:t>
      </w:r>
      <w:r w:rsidR="00805008" w:rsidDel="00E85686">
        <w:rPr>
          <w:rFonts w:cs="Arial"/>
        </w:rPr>
        <w:t xml:space="preserve"> </w:t>
      </w:r>
      <w:r w:rsidR="00805008">
        <w:rPr>
          <w:rFonts w:cs="Arial"/>
        </w:rPr>
        <w:t>Ariba.</w:t>
      </w:r>
    </w:p>
    <w:p w14:paraId="5E775858" w14:textId="77777777" w:rsidR="000245FF" w:rsidRPr="000245FF" w:rsidRDefault="000245FF" w:rsidP="000245FF">
      <w:pPr>
        <w:pStyle w:val="ListParagraph"/>
        <w:ind w:left="680"/>
        <w:jc w:val="both"/>
        <w:rPr>
          <w:rFonts w:eastAsiaTheme="majorEastAsia"/>
        </w:rPr>
      </w:pPr>
    </w:p>
    <w:p w14:paraId="0F5DD93F" w14:textId="5ABCF84A" w:rsidR="000245FF" w:rsidRPr="000245FF" w:rsidRDefault="00D22E1E" w:rsidP="000245FF">
      <w:pPr>
        <w:pStyle w:val="ListParagraph"/>
        <w:numPr>
          <w:ilvl w:val="1"/>
          <w:numId w:val="5"/>
        </w:numPr>
        <w:jc w:val="both"/>
        <w:rPr>
          <w:rFonts w:cs="Arial"/>
        </w:rPr>
      </w:pPr>
      <w:r w:rsidRPr="00E538FD">
        <w:rPr>
          <w:rFonts w:cs="Arial"/>
        </w:rPr>
        <w:t xml:space="preserve">The PSQ contains questions assessing whether the </w:t>
      </w:r>
      <w:r w:rsidR="00707514">
        <w:rPr>
          <w:rFonts w:cs="Arial"/>
        </w:rPr>
        <w:t>supplier</w:t>
      </w:r>
      <w:r w:rsidRPr="00E538FD">
        <w:rPr>
          <w:rFonts w:cs="Arial"/>
        </w:rPr>
        <w:t xml:space="preserve"> meets HMRC’s minimum requirements in order to be considered capable of delivering the contract. This will be </w:t>
      </w:r>
      <w:r w:rsidRPr="00E538FD">
        <w:rPr>
          <w:rFonts w:cs="Arial"/>
        </w:rPr>
        <w:lastRenderedPageBreak/>
        <w:t xml:space="preserve">evaluated on a pass/fail basis. In addition to these, there will be a set of qualitative questions that will be scored based on </w:t>
      </w:r>
      <w:r w:rsidR="005423BD">
        <w:rPr>
          <w:rFonts w:cs="Arial"/>
        </w:rPr>
        <w:t xml:space="preserve">the scoring criteria in </w:t>
      </w:r>
      <w:r w:rsidR="005423BD" w:rsidRPr="006E30AA">
        <w:rPr>
          <w:rFonts w:cs="Arial"/>
        </w:rPr>
        <w:t>Schedule 3</w:t>
      </w:r>
      <w:r w:rsidR="005423BD">
        <w:rPr>
          <w:rFonts w:cs="Arial"/>
        </w:rPr>
        <w:t>.</w:t>
      </w:r>
    </w:p>
    <w:p w14:paraId="27029359" w14:textId="77777777" w:rsidR="000245FF" w:rsidRPr="000245FF" w:rsidRDefault="000245FF" w:rsidP="000245FF">
      <w:pPr>
        <w:pStyle w:val="ListParagraph"/>
        <w:ind w:left="680"/>
        <w:jc w:val="both"/>
        <w:rPr>
          <w:rFonts w:eastAsiaTheme="majorEastAsia"/>
        </w:rPr>
      </w:pPr>
    </w:p>
    <w:p w14:paraId="1E63F3AC" w14:textId="5A0C9D0C" w:rsidR="000245FF" w:rsidRPr="000245FF" w:rsidRDefault="00D22E1E" w:rsidP="000245FF">
      <w:pPr>
        <w:pStyle w:val="ListParagraph"/>
        <w:numPr>
          <w:ilvl w:val="1"/>
          <w:numId w:val="5"/>
        </w:numPr>
        <w:jc w:val="both"/>
        <w:rPr>
          <w:rFonts w:cs="Arial"/>
        </w:rPr>
      </w:pPr>
      <w:r w:rsidRPr="00E538FD">
        <w:rPr>
          <w:rFonts w:cs="Arial"/>
        </w:rPr>
        <w:t xml:space="preserve">HMRC will review the answers to the PSQ and if a </w:t>
      </w:r>
      <w:r w:rsidR="00707514">
        <w:rPr>
          <w:rFonts w:cs="Arial"/>
        </w:rPr>
        <w:t>supplier</w:t>
      </w:r>
      <w:r w:rsidRPr="00E538FD">
        <w:rPr>
          <w:rFonts w:cs="Arial"/>
        </w:rPr>
        <w:t xml:space="preserve"> attains a </w:t>
      </w:r>
      <w:proofErr w:type="gramStart"/>
      <w:r w:rsidRPr="00E538FD">
        <w:rPr>
          <w:rFonts w:cs="Arial"/>
        </w:rPr>
        <w:t>fail</w:t>
      </w:r>
      <w:proofErr w:type="gramEnd"/>
      <w:r w:rsidRPr="00E538FD">
        <w:rPr>
          <w:rFonts w:cs="Arial"/>
        </w:rPr>
        <w:t xml:space="preserve"> on any question, the </w:t>
      </w:r>
      <w:r w:rsidR="00AC3A65">
        <w:rPr>
          <w:rFonts w:cs="Arial"/>
        </w:rPr>
        <w:t>response</w:t>
      </w:r>
      <w:r w:rsidRPr="00E538FD">
        <w:rPr>
          <w:rFonts w:cs="Arial"/>
        </w:rPr>
        <w:t xml:space="preserve"> will be rejected and </w:t>
      </w:r>
      <w:r w:rsidR="00D43EFC">
        <w:rPr>
          <w:rFonts w:cs="Arial"/>
        </w:rPr>
        <w:t xml:space="preserve">the supplier will be </w:t>
      </w:r>
      <w:r w:rsidRPr="00E538FD">
        <w:rPr>
          <w:rFonts w:cs="Arial"/>
        </w:rPr>
        <w:t xml:space="preserve">excluded from </w:t>
      </w:r>
      <w:r w:rsidR="00D43EFC">
        <w:rPr>
          <w:rFonts w:cs="Arial"/>
        </w:rPr>
        <w:t>further consideration in</w:t>
      </w:r>
      <w:r w:rsidRPr="00E538FD">
        <w:rPr>
          <w:rFonts w:cs="Arial"/>
        </w:rPr>
        <w:t xml:space="preserve"> </w:t>
      </w:r>
      <w:r w:rsidR="00D43EFC">
        <w:rPr>
          <w:rFonts w:cs="Arial"/>
        </w:rPr>
        <w:t xml:space="preserve">the procurement </w:t>
      </w:r>
      <w:r w:rsidRPr="00E538FD">
        <w:rPr>
          <w:rFonts w:cs="Arial"/>
        </w:rPr>
        <w:t xml:space="preserve">process. </w:t>
      </w:r>
    </w:p>
    <w:p w14:paraId="29239C11" w14:textId="77777777" w:rsidR="000245FF" w:rsidRPr="000245FF" w:rsidRDefault="000245FF" w:rsidP="000245FF">
      <w:pPr>
        <w:pStyle w:val="ListParagraph"/>
        <w:ind w:left="680"/>
        <w:jc w:val="both"/>
        <w:rPr>
          <w:rFonts w:eastAsiaTheme="majorEastAsia"/>
        </w:rPr>
      </w:pPr>
    </w:p>
    <w:p w14:paraId="7B87C048" w14:textId="7CE0BF86" w:rsidR="00D22E1E" w:rsidRPr="00E538FD" w:rsidRDefault="0019061F" w:rsidP="000245FF">
      <w:pPr>
        <w:pStyle w:val="ListParagraph"/>
        <w:numPr>
          <w:ilvl w:val="1"/>
          <w:numId w:val="5"/>
        </w:numPr>
        <w:jc w:val="both"/>
        <w:rPr>
          <w:rFonts w:cs="Arial"/>
        </w:rPr>
      </w:pPr>
      <w:r>
        <w:rPr>
          <w:rFonts w:cs="Arial"/>
        </w:rPr>
        <w:t>Suppliers will be shortlisted to the ITSIT stage in line with the Shortlisting Procedure outlined in Part 4 of Schedule 3 of this document.</w:t>
      </w:r>
    </w:p>
    <w:p w14:paraId="61E0AC62" w14:textId="62CBEBCF" w:rsidR="00BD76BE" w:rsidRPr="000245FF" w:rsidRDefault="00BD76BE" w:rsidP="000245FF">
      <w:pPr>
        <w:rPr>
          <w:b/>
          <w:bCs/>
        </w:rPr>
      </w:pPr>
      <w:r w:rsidRPr="000245FF">
        <w:rPr>
          <w:b/>
          <w:bCs/>
        </w:rPr>
        <w:t xml:space="preserve">Award Criteria </w:t>
      </w:r>
    </w:p>
    <w:p w14:paraId="1C55EDC4" w14:textId="0A8A82FF" w:rsidR="005521A7" w:rsidRPr="005521A7" w:rsidRDefault="0019061F" w:rsidP="008F1057">
      <w:pPr>
        <w:pStyle w:val="ListParagraph"/>
        <w:numPr>
          <w:ilvl w:val="1"/>
          <w:numId w:val="5"/>
        </w:numPr>
        <w:jc w:val="both"/>
        <w:rPr>
          <w:rFonts w:eastAsiaTheme="majorEastAsia"/>
        </w:rPr>
      </w:pPr>
      <w:r>
        <w:rPr>
          <w:rFonts w:eastAsiaTheme="majorEastAsia"/>
        </w:rPr>
        <w:t>Unless they are excluded for any other reason, HMRC intends to invite all suppliers who participate in Stage 3 of the procurement process</w:t>
      </w:r>
      <w:r w:rsidR="00631964">
        <w:rPr>
          <w:rFonts w:eastAsiaTheme="majorEastAsia"/>
        </w:rPr>
        <w:t xml:space="preserve"> (Negotiation)</w:t>
      </w:r>
      <w:r w:rsidR="005521A7" w:rsidRPr="00B12E3F">
        <w:rPr>
          <w:rFonts w:eastAsiaTheme="majorEastAsia"/>
        </w:rPr>
        <w:t xml:space="preserve"> to submit a final</w:t>
      </w:r>
      <w:r w:rsidR="005521A7">
        <w:rPr>
          <w:rFonts w:eastAsiaTheme="majorEastAsia"/>
        </w:rPr>
        <w:t xml:space="preserve"> tender </w:t>
      </w:r>
      <w:r w:rsidR="005521A7" w:rsidRPr="00B12E3F">
        <w:rPr>
          <w:rFonts w:eastAsiaTheme="majorEastAsia"/>
        </w:rPr>
        <w:t>response (ITSFT) reflecting any agreed changes from the negotiation.</w:t>
      </w:r>
    </w:p>
    <w:p w14:paraId="19900813" w14:textId="77777777" w:rsidR="008F1057" w:rsidRPr="008F1057" w:rsidRDefault="008F1057" w:rsidP="008F1057">
      <w:pPr>
        <w:pStyle w:val="ListParagraph"/>
        <w:ind w:left="680"/>
        <w:jc w:val="both"/>
        <w:rPr>
          <w:rFonts w:cs="Arial"/>
        </w:rPr>
      </w:pPr>
    </w:p>
    <w:p w14:paraId="7FE7DA73" w14:textId="77777777" w:rsidR="008F1057" w:rsidRPr="008F1057" w:rsidRDefault="00E662CA" w:rsidP="008F1057">
      <w:pPr>
        <w:pStyle w:val="ListParagraph"/>
        <w:numPr>
          <w:ilvl w:val="1"/>
          <w:numId w:val="5"/>
        </w:numPr>
        <w:jc w:val="both"/>
        <w:rPr>
          <w:rFonts w:eastAsiaTheme="majorEastAsia"/>
        </w:rPr>
      </w:pPr>
      <w:r w:rsidRPr="00B12E3F">
        <w:rPr>
          <w:rFonts w:eastAsiaTheme="majorEastAsia"/>
        </w:rPr>
        <w:t xml:space="preserve">Contract </w:t>
      </w:r>
      <w:r w:rsidR="00DC6EC4" w:rsidRPr="003C20B9">
        <w:rPr>
          <w:rFonts w:eastAsiaTheme="majorEastAsia"/>
        </w:rPr>
        <w:t xml:space="preserve">award will be determined through the evaluation of final tender responses, </w:t>
      </w:r>
      <w:r w:rsidR="00D31A4E" w:rsidRPr="003C20B9">
        <w:rPr>
          <w:rFonts w:eastAsiaTheme="majorEastAsia"/>
        </w:rPr>
        <w:t xml:space="preserve">on the basis of the </w:t>
      </w:r>
      <w:r w:rsidR="007537C5" w:rsidRPr="003C20B9">
        <w:rPr>
          <w:rFonts w:eastAsiaTheme="majorEastAsia"/>
        </w:rPr>
        <w:t>award</w:t>
      </w:r>
      <w:r w:rsidR="00D31A4E" w:rsidRPr="003C20B9">
        <w:rPr>
          <w:rFonts w:eastAsiaTheme="majorEastAsia"/>
        </w:rPr>
        <w:t xml:space="preserve"> criteria that will be provided within the </w:t>
      </w:r>
      <w:r w:rsidR="007537C5" w:rsidRPr="003C20B9">
        <w:rPr>
          <w:rFonts w:eastAsiaTheme="majorEastAsia"/>
        </w:rPr>
        <w:t>invitation to submit a final tender (ITSFT)</w:t>
      </w:r>
      <w:r w:rsidR="007E0B10" w:rsidRPr="003C20B9">
        <w:rPr>
          <w:rFonts w:eastAsiaTheme="majorEastAsia"/>
        </w:rPr>
        <w:t xml:space="preserve"> documentation</w:t>
      </w:r>
      <w:r w:rsidR="007537C5" w:rsidRPr="003C20B9">
        <w:rPr>
          <w:rFonts w:eastAsiaTheme="majorEastAsia"/>
        </w:rPr>
        <w:t>.</w:t>
      </w:r>
      <w:r w:rsidR="00BA380F" w:rsidRPr="00B12E3F">
        <w:rPr>
          <w:rFonts w:eastAsiaTheme="majorEastAsia"/>
        </w:rPr>
        <w:t xml:space="preserve"> </w:t>
      </w:r>
    </w:p>
    <w:p w14:paraId="1D7C2AF1" w14:textId="77777777" w:rsidR="008F1057" w:rsidRPr="008F1057" w:rsidRDefault="008F1057" w:rsidP="008F1057">
      <w:pPr>
        <w:pStyle w:val="ListParagraph"/>
        <w:ind w:left="680"/>
        <w:jc w:val="both"/>
        <w:rPr>
          <w:rFonts w:cs="Arial"/>
        </w:rPr>
      </w:pPr>
    </w:p>
    <w:p w14:paraId="18DF637E" w14:textId="0B881DB2" w:rsidR="008F1057" w:rsidRPr="008F1057" w:rsidRDefault="00BA380F" w:rsidP="008F1057">
      <w:pPr>
        <w:pStyle w:val="ListParagraph"/>
        <w:numPr>
          <w:ilvl w:val="1"/>
          <w:numId w:val="5"/>
        </w:numPr>
        <w:jc w:val="both"/>
        <w:rPr>
          <w:rFonts w:eastAsiaTheme="majorEastAsia"/>
        </w:rPr>
      </w:pPr>
      <w:r w:rsidRPr="003C20B9">
        <w:rPr>
          <w:rFonts w:eastAsiaTheme="majorEastAsia"/>
        </w:rPr>
        <w:t xml:space="preserve">Suppliers </w:t>
      </w:r>
      <w:r w:rsidR="000E6F26" w:rsidRPr="003C20B9">
        <w:rPr>
          <w:rFonts w:eastAsiaTheme="majorEastAsia"/>
        </w:rPr>
        <w:t>may</w:t>
      </w:r>
      <w:r w:rsidRPr="003C20B9">
        <w:rPr>
          <w:rFonts w:eastAsiaTheme="majorEastAsia"/>
        </w:rPr>
        <w:t xml:space="preserve"> be required to meet a minimum scoring threshold in order to be considered for award of the </w:t>
      </w:r>
      <w:proofErr w:type="gramStart"/>
      <w:r w:rsidRPr="003C20B9">
        <w:rPr>
          <w:rFonts w:eastAsiaTheme="majorEastAsia"/>
        </w:rPr>
        <w:t>contract;</w:t>
      </w:r>
      <w:proofErr w:type="gramEnd"/>
      <w:r w:rsidRPr="003C20B9">
        <w:rPr>
          <w:rFonts w:eastAsiaTheme="majorEastAsia"/>
        </w:rPr>
        <w:t xml:space="preserve"> </w:t>
      </w:r>
      <w:r w:rsidR="000E6F26" w:rsidRPr="003C20B9">
        <w:rPr>
          <w:rFonts w:eastAsiaTheme="majorEastAsia"/>
        </w:rPr>
        <w:t xml:space="preserve">where applicable </w:t>
      </w:r>
      <w:r w:rsidR="00691992" w:rsidRPr="003C20B9">
        <w:rPr>
          <w:rFonts w:eastAsiaTheme="majorEastAsia"/>
        </w:rPr>
        <w:t>t</w:t>
      </w:r>
      <w:r w:rsidRPr="003C20B9">
        <w:rPr>
          <w:rFonts w:eastAsiaTheme="majorEastAsia"/>
        </w:rPr>
        <w:t>his will also be detailed within the ITSFT documents.</w:t>
      </w:r>
    </w:p>
    <w:p w14:paraId="74565941" w14:textId="77777777" w:rsidR="008F1057" w:rsidRPr="008F1057" w:rsidRDefault="008F1057" w:rsidP="008F1057">
      <w:pPr>
        <w:pStyle w:val="ListParagraph"/>
        <w:ind w:left="680"/>
        <w:jc w:val="both"/>
        <w:rPr>
          <w:rFonts w:cs="Arial"/>
        </w:rPr>
      </w:pPr>
    </w:p>
    <w:p w14:paraId="7A1FA46C" w14:textId="181E3C7F" w:rsidR="008F1057" w:rsidRPr="008F1057" w:rsidRDefault="00C90CCD" w:rsidP="008F1057">
      <w:pPr>
        <w:pStyle w:val="ListParagraph"/>
        <w:numPr>
          <w:ilvl w:val="1"/>
          <w:numId w:val="5"/>
        </w:numPr>
        <w:jc w:val="both"/>
        <w:rPr>
          <w:rFonts w:cs="Arial"/>
        </w:rPr>
      </w:pPr>
      <w:r w:rsidRPr="00B12E3F">
        <w:rPr>
          <w:rFonts w:eastAsiaTheme="majorEastAsia"/>
        </w:rPr>
        <w:t xml:space="preserve">Suppliers will </w:t>
      </w:r>
      <w:r w:rsidR="0019061F">
        <w:rPr>
          <w:rFonts w:eastAsiaTheme="majorEastAsia"/>
        </w:rPr>
        <w:t xml:space="preserve">also </w:t>
      </w:r>
      <w:r w:rsidRPr="00B12E3F">
        <w:rPr>
          <w:rFonts w:eastAsiaTheme="majorEastAsia"/>
        </w:rPr>
        <w:t xml:space="preserve">be asked to submit a cost model, in a format to be outlined </w:t>
      </w:r>
      <w:r w:rsidRPr="003C20B9">
        <w:rPr>
          <w:rFonts w:eastAsiaTheme="majorEastAsia"/>
        </w:rPr>
        <w:t xml:space="preserve">by </w:t>
      </w:r>
      <w:r w:rsidR="00C80350" w:rsidRPr="003C20B9">
        <w:rPr>
          <w:rFonts w:eastAsiaTheme="majorEastAsia"/>
        </w:rPr>
        <w:t>HMRC</w:t>
      </w:r>
      <w:r w:rsidRPr="003C20B9">
        <w:rPr>
          <w:rFonts w:eastAsiaTheme="majorEastAsia"/>
        </w:rPr>
        <w:t xml:space="preserve">, and this will be utilised to determine a </w:t>
      </w:r>
      <w:r w:rsidR="005F7300" w:rsidRPr="003C20B9">
        <w:rPr>
          <w:rFonts w:eastAsiaTheme="majorEastAsia"/>
        </w:rPr>
        <w:t>Supplier</w:t>
      </w:r>
      <w:r w:rsidRPr="003C20B9">
        <w:rPr>
          <w:rFonts w:eastAsiaTheme="majorEastAsia"/>
        </w:rPr>
        <w:t xml:space="preserve">s’ pricing score. </w:t>
      </w:r>
    </w:p>
    <w:p w14:paraId="02152AFD" w14:textId="77777777" w:rsidR="008F1057" w:rsidRPr="00E66809" w:rsidRDefault="008F1057" w:rsidP="008F1057">
      <w:pPr>
        <w:pStyle w:val="ListParagraph"/>
        <w:ind w:left="680"/>
        <w:jc w:val="both"/>
        <w:rPr>
          <w:rFonts w:cs="Arial"/>
        </w:rPr>
      </w:pPr>
    </w:p>
    <w:p w14:paraId="382CAF34" w14:textId="3C2ABCBF" w:rsidR="008F1057" w:rsidRPr="008F1057" w:rsidRDefault="00C80350" w:rsidP="008F1057">
      <w:pPr>
        <w:pStyle w:val="ListParagraph"/>
        <w:numPr>
          <w:ilvl w:val="1"/>
          <w:numId w:val="5"/>
        </w:numPr>
        <w:jc w:val="both"/>
        <w:rPr>
          <w:rFonts w:cs="Arial"/>
        </w:rPr>
      </w:pPr>
      <w:r>
        <w:rPr>
          <w:rFonts w:cs="Arial"/>
        </w:rPr>
        <w:t>HMRC</w:t>
      </w:r>
      <w:r w:rsidR="00F00FBC" w:rsidRPr="003C6793">
        <w:rPr>
          <w:rFonts w:cs="Arial"/>
        </w:rPr>
        <w:t xml:space="preserve"> reserve the right to make the acceptance of published contractual terms a mandatory requirement at ITSFT, if following the negotiation phase an agreed set of contractual terms </w:t>
      </w:r>
      <w:r w:rsidR="00BE2FF6" w:rsidRPr="003C6793">
        <w:rPr>
          <w:rFonts w:cs="Arial"/>
        </w:rPr>
        <w:t xml:space="preserve">has been reached. The published ITSFT documentation will set out </w:t>
      </w:r>
      <w:r>
        <w:rPr>
          <w:rFonts w:cs="Arial"/>
        </w:rPr>
        <w:t>HMRC</w:t>
      </w:r>
      <w:r w:rsidR="00BE2FF6" w:rsidRPr="003C6793">
        <w:rPr>
          <w:rFonts w:cs="Arial"/>
        </w:rPr>
        <w:t>’s confirmed position with respect to contractual terms</w:t>
      </w:r>
      <w:r w:rsidR="0019061F">
        <w:rPr>
          <w:rFonts w:cs="Arial"/>
        </w:rPr>
        <w:t>.</w:t>
      </w:r>
    </w:p>
    <w:p w14:paraId="4A4F757A" w14:textId="77777777" w:rsidR="008F1057" w:rsidRPr="00E66809" w:rsidRDefault="008F1057" w:rsidP="008F1057">
      <w:pPr>
        <w:pStyle w:val="ListParagraph"/>
        <w:ind w:left="680"/>
        <w:jc w:val="both"/>
        <w:rPr>
          <w:rFonts w:cs="Arial"/>
        </w:rPr>
      </w:pPr>
    </w:p>
    <w:p w14:paraId="568DCA0E" w14:textId="28C1D8EF" w:rsidR="00C77173" w:rsidRPr="002B56D3" w:rsidRDefault="00C80350" w:rsidP="008F1057">
      <w:pPr>
        <w:pStyle w:val="ListParagraph"/>
        <w:numPr>
          <w:ilvl w:val="1"/>
          <w:numId w:val="5"/>
        </w:numPr>
        <w:jc w:val="both"/>
        <w:rPr>
          <w:rFonts w:cs="Arial"/>
        </w:rPr>
      </w:pPr>
      <w:r>
        <w:rPr>
          <w:rFonts w:eastAsiaTheme="majorEastAsia"/>
        </w:rPr>
        <w:t>HMRC</w:t>
      </w:r>
      <w:r w:rsidR="0067645D" w:rsidRPr="00B12E3F">
        <w:rPr>
          <w:rFonts w:eastAsiaTheme="majorEastAsia"/>
        </w:rPr>
        <w:t xml:space="preserve"> is seeking to utilise the</w:t>
      </w:r>
      <w:r w:rsidR="00C77173" w:rsidRPr="002B56D3">
        <w:rPr>
          <w:rFonts w:cs="Arial"/>
        </w:rPr>
        <w:t xml:space="preserve"> P</w:t>
      </w:r>
      <w:r w:rsidR="009C5D43">
        <w:rPr>
          <w:rFonts w:cs="Arial"/>
        </w:rPr>
        <w:t xml:space="preserve">rice per </w:t>
      </w:r>
      <w:r w:rsidR="000E6F26">
        <w:rPr>
          <w:rFonts w:cs="Arial"/>
        </w:rPr>
        <w:t>Q</w:t>
      </w:r>
      <w:r w:rsidR="009C5D43">
        <w:rPr>
          <w:rFonts w:cs="Arial"/>
        </w:rPr>
        <w:t xml:space="preserve">uality </w:t>
      </w:r>
      <w:r w:rsidR="000E6F26">
        <w:rPr>
          <w:rFonts w:cs="Arial"/>
        </w:rPr>
        <w:t>P</w:t>
      </w:r>
      <w:r w:rsidR="009C5D43">
        <w:rPr>
          <w:rFonts w:cs="Arial"/>
        </w:rPr>
        <w:t>oint (</w:t>
      </w:r>
      <w:r w:rsidR="00C77173" w:rsidRPr="002B56D3">
        <w:rPr>
          <w:rFonts w:cs="Arial"/>
        </w:rPr>
        <w:t>PQP</w:t>
      </w:r>
      <w:r w:rsidR="009C5D43">
        <w:rPr>
          <w:rFonts w:cs="Arial"/>
        </w:rPr>
        <w:t>)</w:t>
      </w:r>
      <w:r w:rsidR="0067645D">
        <w:rPr>
          <w:rFonts w:cs="Arial"/>
        </w:rPr>
        <w:t xml:space="preserve"> methodology to</w:t>
      </w:r>
      <w:r w:rsidR="00C77173" w:rsidRPr="002B56D3">
        <w:rPr>
          <w:rFonts w:cs="Arial"/>
        </w:rPr>
        <w:t xml:space="preserve"> </w:t>
      </w:r>
      <w:r w:rsidR="00575755">
        <w:rPr>
          <w:rFonts w:cs="Arial"/>
        </w:rPr>
        <w:t xml:space="preserve">evaluate final tenders </w:t>
      </w:r>
      <w:r w:rsidR="00631964">
        <w:rPr>
          <w:rFonts w:cs="Arial"/>
        </w:rPr>
        <w:t>at Stage 4</w:t>
      </w:r>
      <w:r w:rsidR="00575755">
        <w:rPr>
          <w:rFonts w:cs="Arial"/>
        </w:rPr>
        <w:t xml:space="preserve"> against the award criteria. </w:t>
      </w:r>
      <w:r w:rsidR="007A3904">
        <w:rPr>
          <w:rFonts w:cs="Arial"/>
        </w:rPr>
        <w:t>This is a m</w:t>
      </w:r>
      <w:r w:rsidR="004E5AFD">
        <w:rPr>
          <w:rFonts w:cs="Arial"/>
        </w:rPr>
        <w:t xml:space="preserve">ethodology that seeks </w:t>
      </w:r>
      <w:r w:rsidR="00FF1BD7">
        <w:rPr>
          <w:rFonts w:cs="Arial"/>
        </w:rPr>
        <w:t xml:space="preserve">to </w:t>
      </w:r>
      <w:r w:rsidR="002D6853">
        <w:rPr>
          <w:rFonts w:cs="Arial"/>
        </w:rPr>
        <w:t xml:space="preserve">determine the price </w:t>
      </w:r>
      <w:r w:rsidR="00EC6FDF">
        <w:rPr>
          <w:rFonts w:cs="Arial"/>
        </w:rPr>
        <w:t>relative to the quality of the bid</w:t>
      </w:r>
      <w:r w:rsidR="009948B7">
        <w:rPr>
          <w:rFonts w:cs="Arial"/>
        </w:rPr>
        <w:t xml:space="preserve"> and allows for a representation of</w:t>
      </w:r>
      <w:r w:rsidR="00C77173" w:rsidRPr="002B56D3">
        <w:rPr>
          <w:rFonts w:cs="Arial"/>
        </w:rPr>
        <w:t xml:space="preserve"> the pound value of each quality point scored. </w:t>
      </w:r>
      <w:r w:rsidR="0019061F">
        <w:rPr>
          <w:rFonts w:cs="Arial"/>
        </w:rPr>
        <w:t>In these circumstances, t</w:t>
      </w:r>
      <w:r w:rsidR="00C77173" w:rsidRPr="002B56D3">
        <w:rPr>
          <w:rFonts w:cs="Arial"/>
        </w:rPr>
        <w:t xml:space="preserve">he bid with lowest PQP will be ranked first, whilst the </w:t>
      </w:r>
      <w:r w:rsidR="005F7300">
        <w:rPr>
          <w:rFonts w:cs="Arial"/>
        </w:rPr>
        <w:t>Supplier</w:t>
      </w:r>
      <w:r w:rsidR="00C77173" w:rsidRPr="002B56D3">
        <w:rPr>
          <w:rFonts w:cs="Arial"/>
        </w:rPr>
        <w:t xml:space="preserve"> with the second lowest PQP will be ranked second and so on. </w:t>
      </w:r>
    </w:p>
    <w:p w14:paraId="1D1EABBF" w14:textId="77777777" w:rsidR="0097765E" w:rsidRPr="00B12E3F" w:rsidRDefault="0097765E" w:rsidP="00F56D3C">
      <w:pPr>
        <w:pStyle w:val="BodyText1"/>
      </w:pPr>
    </w:p>
    <w:p w14:paraId="4255ECB2" w14:textId="359A9E2A" w:rsidR="00504695" w:rsidRPr="00B12E3F" w:rsidRDefault="00271281" w:rsidP="00B12E3F">
      <w:pPr>
        <w:pStyle w:val="Head2"/>
        <w:pageBreakBefore/>
        <w:numPr>
          <w:ilvl w:val="0"/>
          <w:numId w:val="0"/>
        </w:numPr>
        <w:spacing w:before="240"/>
        <w:rPr>
          <w:rFonts w:cs="Arial"/>
          <w:b/>
          <w:bCs/>
          <w:color w:val="009999"/>
          <w:szCs w:val="22"/>
        </w:rPr>
      </w:pPr>
      <w:bookmarkStart w:id="33" w:name="_Toc203730838"/>
      <w:r>
        <w:rPr>
          <w:rFonts w:cs="Arial"/>
          <w:b/>
          <w:bCs/>
          <w:color w:val="009999"/>
          <w:szCs w:val="22"/>
        </w:rPr>
        <w:lastRenderedPageBreak/>
        <w:t>SCHEDULE 1:</w:t>
      </w:r>
      <w:r w:rsidR="00504695" w:rsidRPr="00B12E3F">
        <w:rPr>
          <w:rFonts w:cs="Arial"/>
          <w:b/>
          <w:bCs/>
          <w:color w:val="009999"/>
          <w:szCs w:val="22"/>
        </w:rPr>
        <w:t xml:space="preserve"> </w:t>
      </w:r>
      <w:r>
        <w:rPr>
          <w:rFonts w:cs="Arial"/>
          <w:b/>
          <w:bCs/>
          <w:color w:val="009999"/>
          <w:szCs w:val="22"/>
        </w:rPr>
        <w:t>PSQ GUIDANCE AND SELECTION CRITERIA</w:t>
      </w:r>
      <w:bookmarkEnd w:id="33"/>
    </w:p>
    <w:p w14:paraId="08C635AC" w14:textId="77777777" w:rsidR="00504695" w:rsidRPr="00E538FD" w:rsidRDefault="00504695" w:rsidP="00320D15">
      <w:pPr>
        <w:pStyle w:val="ListParagraph"/>
        <w:numPr>
          <w:ilvl w:val="0"/>
          <w:numId w:val="6"/>
        </w:numPr>
        <w:contextualSpacing w:val="0"/>
        <w:jc w:val="both"/>
        <w:rPr>
          <w:rFonts w:cs="Arial"/>
          <w:b/>
        </w:rPr>
      </w:pPr>
      <w:r w:rsidRPr="00E538FD">
        <w:rPr>
          <w:rFonts w:cs="Arial"/>
          <w:b/>
        </w:rPr>
        <w:t>Procurement Specific Questionnaire (“PSQ”)</w:t>
      </w:r>
    </w:p>
    <w:p w14:paraId="3705B0EC" w14:textId="77777777" w:rsidR="00203BBA" w:rsidRPr="00E538FD" w:rsidRDefault="00203BBA" w:rsidP="00203BBA">
      <w:pPr>
        <w:pStyle w:val="ListParagraph"/>
        <w:numPr>
          <w:ilvl w:val="1"/>
          <w:numId w:val="6"/>
        </w:numPr>
        <w:contextualSpacing w:val="0"/>
        <w:jc w:val="both"/>
        <w:rPr>
          <w:rFonts w:cs="Arial"/>
          <w:bCs/>
        </w:rPr>
      </w:pPr>
      <w:r w:rsidRPr="00E538FD">
        <w:rPr>
          <w:rFonts w:cs="Arial"/>
        </w:rPr>
        <w:t xml:space="preserve">The table at the end of this Schedule sets out guidance and evaluation criteria for the PSQ. The rest of this Schedule sets out additional guidance. </w:t>
      </w:r>
    </w:p>
    <w:p w14:paraId="7061125E" w14:textId="13794ADE" w:rsidR="00203BBA" w:rsidRPr="00E538FD" w:rsidRDefault="00203BBA" w:rsidP="00203BBA">
      <w:pPr>
        <w:pStyle w:val="ListParagraph"/>
        <w:numPr>
          <w:ilvl w:val="1"/>
          <w:numId w:val="6"/>
        </w:numPr>
        <w:contextualSpacing w:val="0"/>
        <w:jc w:val="both"/>
        <w:rPr>
          <w:rFonts w:cs="Arial"/>
        </w:rPr>
      </w:pPr>
      <w:r w:rsidRPr="00E538FD">
        <w:rPr>
          <w:rFonts w:cs="Arial"/>
          <w:color w:val="000000"/>
        </w:rPr>
        <w:t xml:space="preserve">The PSQ has been designed to help </w:t>
      </w:r>
      <w:r>
        <w:rPr>
          <w:rFonts w:cs="Arial"/>
          <w:color w:val="000000"/>
        </w:rPr>
        <w:t>HMRC</w:t>
      </w:r>
      <w:r w:rsidRPr="00E538FD">
        <w:rPr>
          <w:rFonts w:cs="Arial"/>
          <w:color w:val="000000"/>
        </w:rPr>
        <w:t xml:space="preserve"> ensure that </w:t>
      </w:r>
      <w:r w:rsidR="00FA5CF7">
        <w:rPr>
          <w:rFonts w:cs="Arial"/>
          <w:color w:val="000000"/>
        </w:rPr>
        <w:t>Supplier</w:t>
      </w:r>
      <w:r w:rsidRPr="00E538FD">
        <w:rPr>
          <w:rFonts w:cs="Arial"/>
          <w:color w:val="000000"/>
        </w:rPr>
        <w:t>s share the</w:t>
      </w:r>
      <w:r w:rsidR="0099695F">
        <w:rPr>
          <w:rFonts w:cs="Arial"/>
          <w:color w:val="000000"/>
        </w:rPr>
        <w:t xml:space="preserve"> information</w:t>
      </w:r>
      <w:r w:rsidRPr="00E538FD">
        <w:rPr>
          <w:rFonts w:cs="Arial"/>
          <w:color w:val="000000"/>
        </w:rPr>
        <w:t xml:space="preserve"> </w:t>
      </w:r>
      <w:r w:rsidR="0099695F">
        <w:rPr>
          <w:rFonts w:cs="Arial"/>
          <w:color w:val="000000"/>
        </w:rPr>
        <w:t xml:space="preserve">necessary to allow HMRC to determine whether </w:t>
      </w:r>
      <w:r w:rsidR="00145923">
        <w:rPr>
          <w:rFonts w:cs="Arial"/>
          <w:color w:val="000000"/>
        </w:rPr>
        <w:t xml:space="preserve">suppliers possess the legal, </w:t>
      </w:r>
      <w:r w:rsidR="000C6D55">
        <w:rPr>
          <w:rFonts w:cs="Arial"/>
          <w:color w:val="000000"/>
        </w:rPr>
        <w:t xml:space="preserve">financial and technical capability to perform the contract and enable shortlisting for progression to the ITSIT stage. </w:t>
      </w:r>
      <w:r w:rsidRPr="00E538FD">
        <w:rPr>
          <w:rFonts w:cs="Arial"/>
          <w:color w:val="000000"/>
        </w:rPr>
        <w:t>The PSQ consists of</w:t>
      </w:r>
      <w:r w:rsidR="0022162D">
        <w:rPr>
          <w:rFonts w:cs="Arial"/>
          <w:color w:val="000000"/>
        </w:rPr>
        <w:t xml:space="preserve"> preliminary questions, followed by</w:t>
      </w:r>
      <w:r w:rsidRPr="00E538FD">
        <w:rPr>
          <w:rFonts w:cs="Arial"/>
          <w:color w:val="000000"/>
        </w:rPr>
        <w:t xml:space="preserve"> three main parts:</w:t>
      </w:r>
    </w:p>
    <w:p w14:paraId="4A2A174F" w14:textId="21099146" w:rsidR="00504695" w:rsidRPr="0078040F" w:rsidRDefault="00203BBA" w:rsidP="00320D15">
      <w:pPr>
        <w:pStyle w:val="ListParagraph"/>
        <w:numPr>
          <w:ilvl w:val="1"/>
          <w:numId w:val="6"/>
        </w:numPr>
        <w:contextualSpacing w:val="0"/>
        <w:jc w:val="both"/>
        <w:rPr>
          <w:rFonts w:cs="Arial"/>
        </w:rPr>
      </w:pPr>
      <w:r w:rsidRPr="0078040F">
        <w:rPr>
          <w:rFonts w:cs="Arial"/>
          <w:b/>
          <w:bCs/>
        </w:rPr>
        <w:t xml:space="preserve">Part </w:t>
      </w:r>
      <w:r w:rsidR="0078040F" w:rsidRPr="0078040F">
        <w:rPr>
          <w:rFonts w:cs="Arial"/>
          <w:b/>
          <w:bCs/>
        </w:rPr>
        <w:t>1</w:t>
      </w:r>
      <w:r w:rsidRPr="0078040F">
        <w:rPr>
          <w:rFonts w:cs="Arial"/>
          <w:b/>
          <w:bCs/>
        </w:rPr>
        <w:t xml:space="preserve"> - Core Supplier Information</w:t>
      </w:r>
      <w:r w:rsidRPr="0078040F">
        <w:rPr>
          <w:rFonts w:cs="Arial"/>
        </w:rPr>
        <w:t xml:space="preserve">: </w:t>
      </w:r>
      <w:r w:rsidR="000C6D55">
        <w:rPr>
          <w:rFonts w:cs="Arial"/>
          <w:color w:val="000000"/>
        </w:rPr>
        <w:t>suppliers</w:t>
      </w:r>
      <w:r w:rsidR="000C6D55" w:rsidRPr="0078040F">
        <w:rPr>
          <w:rFonts w:cs="Arial"/>
          <w:color w:val="000000"/>
        </w:rPr>
        <w:t xml:space="preserve"> </w:t>
      </w:r>
      <w:r w:rsidRPr="0078040F">
        <w:rPr>
          <w:rFonts w:cs="Arial"/>
          <w:color w:val="000000"/>
        </w:rPr>
        <w:t xml:space="preserve">participating in procurements are required to register on the Government’s central digital platform (CDP). </w:t>
      </w:r>
      <w:r w:rsidR="000C6D55">
        <w:rPr>
          <w:rFonts w:cs="Arial"/>
          <w:color w:val="000000"/>
        </w:rPr>
        <w:t>Supplie</w:t>
      </w:r>
      <w:r w:rsidR="003372DA">
        <w:rPr>
          <w:rFonts w:cs="Arial"/>
          <w:color w:val="000000"/>
        </w:rPr>
        <w:t>rs</w:t>
      </w:r>
      <w:r w:rsidR="000C6D55" w:rsidRPr="0078040F">
        <w:rPr>
          <w:rFonts w:cs="Arial"/>
          <w:color w:val="000000"/>
        </w:rPr>
        <w:t xml:space="preserve"> </w:t>
      </w:r>
      <w:r w:rsidRPr="0078040F">
        <w:rPr>
          <w:rFonts w:cs="Arial"/>
          <w:color w:val="000000"/>
        </w:rPr>
        <w:t xml:space="preserve">can submit their core supplier information and, where a procurement opportunity arises, share this information with HMRC via the CDP. It is free to use and will mean suppliers should no longer have to re-enter this information for each public procurement but simply ensure it is up to date and subsequently shared. The CDP is available at </w:t>
      </w:r>
      <w:hyperlink r:id="rId20" w:history="1">
        <w:r w:rsidRPr="0078040F">
          <w:rPr>
            <w:rStyle w:val="Hyperlink"/>
            <w:rFonts w:cs="Arial"/>
          </w:rPr>
          <w:t>https://www.gov.uk/find-tender</w:t>
        </w:r>
      </w:hyperlink>
      <w:r w:rsidR="00504695" w:rsidRPr="0078040F">
        <w:rPr>
          <w:rFonts w:cs="Arial"/>
          <w:color w:val="000000"/>
        </w:rPr>
        <w:t xml:space="preserve">. </w:t>
      </w:r>
      <w:r w:rsidR="0008480E">
        <w:rPr>
          <w:rFonts w:cs="Arial"/>
          <w:color w:val="000000"/>
        </w:rPr>
        <w:t xml:space="preserve">Part 1 provides confirmation that suppliers have taken these </w:t>
      </w:r>
      <w:r w:rsidR="0008480E" w:rsidRPr="002163BC">
        <w:t>steps.</w:t>
      </w:r>
      <w:r w:rsidR="00C73BB5">
        <w:t xml:space="preserve"> Please note </w:t>
      </w:r>
      <w:r w:rsidR="00CC0F1B">
        <w:t>specific</w:t>
      </w:r>
      <w:r w:rsidR="00C73BB5">
        <w:t xml:space="preserve"> guidance </w:t>
      </w:r>
      <w:r w:rsidR="00CC0F1B">
        <w:t xml:space="preserve">notes </w:t>
      </w:r>
      <w:r w:rsidR="00C73BB5">
        <w:t>within the PSQ that require a Supplier to upload a</w:t>
      </w:r>
      <w:r w:rsidR="00AB367D">
        <w:t>n</w:t>
      </w:r>
      <w:r w:rsidR="00C73BB5">
        <w:t xml:space="preserve"> output from the CDP</w:t>
      </w:r>
      <w:r w:rsidR="00CC0F1B">
        <w:t xml:space="preserve"> </w:t>
      </w:r>
      <w:r w:rsidR="00AB367D">
        <w:t>to be provided</w:t>
      </w:r>
      <w:r w:rsidR="00CC0F1B">
        <w:t xml:space="preserve"> in response to certain questions.</w:t>
      </w:r>
    </w:p>
    <w:p w14:paraId="4BCD0FF5" w14:textId="2F4B2FFD" w:rsidR="00203BBA" w:rsidRPr="0078040F" w:rsidRDefault="00203BBA" w:rsidP="00203BBA">
      <w:pPr>
        <w:pStyle w:val="ListParagraph"/>
        <w:numPr>
          <w:ilvl w:val="1"/>
          <w:numId w:val="6"/>
        </w:numPr>
        <w:contextualSpacing w:val="0"/>
        <w:jc w:val="both"/>
        <w:rPr>
          <w:rFonts w:cs="Arial"/>
        </w:rPr>
      </w:pPr>
      <w:r w:rsidRPr="0078040F">
        <w:rPr>
          <w:rFonts w:cs="Arial"/>
          <w:b/>
          <w:bCs/>
        </w:rPr>
        <w:t xml:space="preserve">Part </w:t>
      </w:r>
      <w:r w:rsidR="0078040F" w:rsidRPr="0078040F">
        <w:rPr>
          <w:rFonts w:cs="Arial"/>
          <w:b/>
          <w:bCs/>
        </w:rPr>
        <w:t>2</w:t>
      </w:r>
      <w:r w:rsidRPr="0078040F">
        <w:rPr>
          <w:rFonts w:cs="Arial"/>
          <w:b/>
          <w:bCs/>
        </w:rPr>
        <w:t xml:space="preserve"> - Additional Exclusions Information</w:t>
      </w:r>
      <w:r w:rsidRPr="0078040F">
        <w:rPr>
          <w:rFonts w:cs="Arial"/>
        </w:rPr>
        <w:t>: procurement legislation provides for an ‘exclusion regime’ and a published ‘debarment’ list to safeguard procurement from suppliers</w:t>
      </w:r>
      <w:r w:rsidRPr="0078040F">
        <w:rPr>
          <w:rFonts w:cs="Arial"/>
          <w:color w:val="000000"/>
        </w:rPr>
        <w:t xml:space="preserve"> who may pose a risk (for example, due to </w:t>
      </w:r>
      <w:r w:rsidRPr="0078040F">
        <w:rPr>
          <w:rFonts w:cs="Arial"/>
        </w:rPr>
        <w:t xml:space="preserve">misconduct or poor performance). </w:t>
      </w:r>
      <w:r w:rsidR="00C45131">
        <w:rPr>
          <w:rFonts w:cs="Arial"/>
        </w:rPr>
        <w:t>Suppliers</w:t>
      </w:r>
      <w:r w:rsidR="00C45131" w:rsidRPr="0078040F">
        <w:rPr>
          <w:rFonts w:cs="Arial"/>
        </w:rPr>
        <w:t xml:space="preserve"> </w:t>
      </w:r>
      <w:r w:rsidRPr="0078040F">
        <w:rPr>
          <w:rFonts w:cs="Arial"/>
        </w:rPr>
        <w:t>must submit their own (and their connected persons*) exclusions information via the CDP. This includes self-declarations as to whether any exclusion grounds apply to them and, if so, details about the event or conviction and what steps have been taken to prevent such circumstances from occurring again.</w:t>
      </w:r>
    </w:p>
    <w:p w14:paraId="14EA172D" w14:textId="77777777" w:rsidR="00504695" w:rsidRDefault="00504695" w:rsidP="009D7A31">
      <w:pPr>
        <w:pStyle w:val="BodyText1"/>
        <w:ind w:left="720"/>
        <w:jc w:val="both"/>
        <w:rPr>
          <w:rFonts w:ascii="Arial" w:hAnsi="Arial" w:cs="Arial"/>
          <w:i/>
          <w:iCs/>
          <w:sz w:val="22"/>
          <w:szCs w:val="22"/>
        </w:rPr>
      </w:pPr>
      <w:r w:rsidRPr="00E538FD">
        <w:rPr>
          <w:rFonts w:ascii="Arial" w:hAnsi="Arial" w:cs="Arial"/>
          <w:i/>
          <w:iCs/>
          <w:sz w:val="22"/>
          <w:szCs w:val="22"/>
        </w:rPr>
        <w:t>*Connected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p w14:paraId="385573A0" w14:textId="43AFC38C" w:rsidR="007F3705" w:rsidRPr="00E538FD" w:rsidRDefault="007F3705" w:rsidP="007F3705">
      <w:pPr>
        <w:pStyle w:val="ListParagraph"/>
        <w:numPr>
          <w:ilvl w:val="1"/>
          <w:numId w:val="6"/>
        </w:numPr>
        <w:contextualSpacing w:val="0"/>
        <w:jc w:val="both"/>
        <w:rPr>
          <w:rFonts w:cs="Arial"/>
        </w:rPr>
      </w:pPr>
      <w:r w:rsidRPr="00E538FD">
        <w:rPr>
          <w:rFonts w:cs="Arial"/>
        </w:rPr>
        <w:t xml:space="preserve">As </w:t>
      </w:r>
      <w:r w:rsidRPr="00E538FD">
        <w:rPr>
          <w:rFonts w:cs="Arial"/>
          <w:color w:val="000000"/>
        </w:rPr>
        <w:t xml:space="preserve">part of </w:t>
      </w:r>
      <w:r w:rsidR="00C45131">
        <w:rPr>
          <w:rFonts w:cs="Arial"/>
          <w:color w:val="000000"/>
        </w:rPr>
        <w:t>the</w:t>
      </w:r>
      <w:r w:rsidRPr="00E538FD">
        <w:rPr>
          <w:rFonts w:cs="Arial"/>
          <w:color w:val="000000"/>
        </w:rPr>
        <w:t xml:space="preserve"> procurement, </w:t>
      </w:r>
      <w:r w:rsidR="00C45131">
        <w:rPr>
          <w:rFonts w:cs="Arial"/>
          <w:color w:val="000000"/>
        </w:rPr>
        <w:t>the</w:t>
      </w:r>
      <w:r w:rsidRPr="00E538FD">
        <w:rPr>
          <w:rFonts w:cs="Arial"/>
          <w:color w:val="000000"/>
        </w:rPr>
        <w:t xml:space="preserve"> </w:t>
      </w:r>
      <w:r w:rsidR="00C45131">
        <w:rPr>
          <w:rFonts w:cs="Arial"/>
          <w:color w:val="000000"/>
        </w:rPr>
        <w:t>S</w:t>
      </w:r>
      <w:r>
        <w:rPr>
          <w:rFonts w:cs="Arial"/>
          <w:color w:val="000000"/>
        </w:rPr>
        <w:t>upplier</w:t>
      </w:r>
      <w:r w:rsidRPr="00E538FD">
        <w:rPr>
          <w:rFonts w:cs="Arial"/>
          <w:color w:val="000000"/>
        </w:rPr>
        <w:t xml:space="preserve"> will need to also share additional exclusions information for any </w:t>
      </w:r>
      <w:r w:rsidR="00D6786B">
        <w:rPr>
          <w:rFonts w:cs="Arial"/>
          <w:color w:val="000000"/>
        </w:rPr>
        <w:t>S</w:t>
      </w:r>
      <w:r w:rsidRPr="00E538FD">
        <w:rPr>
          <w:rFonts w:cs="Arial"/>
          <w:color w:val="000000"/>
        </w:rPr>
        <w:t xml:space="preserve">uppliers that they are relying on to meet the </w:t>
      </w:r>
      <w:r>
        <w:rPr>
          <w:rFonts w:cs="Arial"/>
          <w:color w:val="000000"/>
        </w:rPr>
        <w:t>C</w:t>
      </w:r>
      <w:r w:rsidRPr="00E538FD">
        <w:rPr>
          <w:rFonts w:cs="Arial"/>
          <w:color w:val="000000"/>
        </w:rPr>
        <w:t xml:space="preserve">onditions of </w:t>
      </w:r>
      <w:r w:rsidR="00613B0A">
        <w:rPr>
          <w:rFonts w:cs="Arial"/>
          <w:color w:val="000000"/>
        </w:rPr>
        <w:t>P</w:t>
      </w:r>
      <w:r w:rsidRPr="00E538FD">
        <w:rPr>
          <w:rFonts w:cs="Arial"/>
          <w:color w:val="000000"/>
        </w:rPr>
        <w:t xml:space="preserve">articipation. These could either be consortium members or key sub-contractors (but excludes any guarantors). These suppliers are ‘associated persons’ and their exclusions information must be shared with </w:t>
      </w:r>
      <w:r>
        <w:rPr>
          <w:rFonts w:cs="Arial"/>
          <w:color w:val="000000"/>
        </w:rPr>
        <w:t>HMRC</w:t>
      </w:r>
      <w:r w:rsidRPr="00E538FD">
        <w:rPr>
          <w:rFonts w:cs="Arial"/>
          <w:color w:val="000000"/>
        </w:rPr>
        <w:t xml:space="preserve"> by ensuring that </w:t>
      </w:r>
      <w:r w:rsidR="00613B0A">
        <w:rPr>
          <w:rFonts w:cs="Arial"/>
          <w:color w:val="000000"/>
        </w:rPr>
        <w:t xml:space="preserve">the </w:t>
      </w:r>
      <w:r w:rsidRPr="00E538FD">
        <w:rPr>
          <w:rFonts w:cs="Arial"/>
          <w:color w:val="000000"/>
        </w:rPr>
        <w:t>associated persons register, submit and share their information via the CDP</w:t>
      </w:r>
      <w:r w:rsidR="00613B0A">
        <w:rPr>
          <w:rFonts w:cs="Arial"/>
          <w:color w:val="000000"/>
        </w:rPr>
        <w:t>.</w:t>
      </w:r>
    </w:p>
    <w:p w14:paraId="41419E56" w14:textId="5F489610" w:rsidR="007F3705" w:rsidRPr="00E538FD" w:rsidRDefault="007F3705" w:rsidP="007F3705">
      <w:pPr>
        <w:pStyle w:val="ListParagraph"/>
        <w:numPr>
          <w:ilvl w:val="1"/>
          <w:numId w:val="6"/>
        </w:numPr>
        <w:contextualSpacing w:val="0"/>
        <w:jc w:val="both"/>
        <w:rPr>
          <w:rFonts w:cs="Arial"/>
        </w:rPr>
      </w:pPr>
      <w:r w:rsidRPr="00E538FD">
        <w:rPr>
          <w:rFonts w:cs="Arial"/>
        </w:rPr>
        <w:t xml:space="preserve">In </w:t>
      </w:r>
      <w:r w:rsidRPr="00E538FD">
        <w:rPr>
          <w:rFonts w:cs="Arial"/>
          <w:color w:val="000000"/>
        </w:rPr>
        <w:t xml:space="preserve">addition to the sub-contractors who are being relied on to meet the </w:t>
      </w:r>
      <w:r>
        <w:rPr>
          <w:rFonts w:cs="Arial"/>
          <w:color w:val="000000"/>
        </w:rPr>
        <w:t>C</w:t>
      </w:r>
      <w:r w:rsidRPr="00E538FD">
        <w:rPr>
          <w:rFonts w:cs="Arial"/>
          <w:color w:val="000000"/>
        </w:rPr>
        <w:t xml:space="preserve">onditions of </w:t>
      </w:r>
      <w:r>
        <w:rPr>
          <w:rFonts w:cs="Arial"/>
          <w:color w:val="000000"/>
        </w:rPr>
        <w:t>P</w:t>
      </w:r>
      <w:r w:rsidRPr="00E538FD">
        <w:rPr>
          <w:rFonts w:cs="Arial"/>
          <w:color w:val="000000"/>
        </w:rPr>
        <w:t xml:space="preserve">articipation (who are associated persons), </w:t>
      </w:r>
      <w:r w:rsidR="00613B0A">
        <w:rPr>
          <w:rFonts w:cs="Arial"/>
          <w:color w:val="000000"/>
        </w:rPr>
        <w:t>Suppliers</w:t>
      </w:r>
      <w:r w:rsidR="00613B0A" w:rsidRPr="00E538FD">
        <w:rPr>
          <w:rFonts w:cs="Arial"/>
          <w:color w:val="000000"/>
        </w:rPr>
        <w:t xml:space="preserve"> </w:t>
      </w:r>
      <w:r w:rsidRPr="00E538FD">
        <w:rPr>
          <w:rFonts w:cs="Arial"/>
          <w:color w:val="000000"/>
        </w:rPr>
        <w:t>will need to share an exhaustive list of all their intended sub-contractors, which will be checked against the debarment list</w:t>
      </w:r>
      <w:r w:rsidRPr="00E538FD">
        <w:rPr>
          <w:rFonts w:cs="Arial"/>
        </w:rPr>
        <w:t>.</w:t>
      </w:r>
    </w:p>
    <w:p w14:paraId="0D642196" w14:textId="77E8FA61" w:rsidR="007F3705" w:rsidRPr="00E538FD" w:rsidRDefault="007F3705" w:rsidP="007F3705">
      <w:pPr>
        <w:pStyle w:val="ListParagraph"/>
        <w:numPr>
          <w:ilvl w:val="1"/>
          <w:numId w:val="6"/>
        </w:numPr>
        <w:contextualSpacing w:val="0"/>
        <w:jc w:val="both"/>
        <w:rPr>
          <w:rFonts w:cs="Arial"/>
        </w:rPr>
      </w:pPr>
      <w:r w:rsidRPr="00E538FD">
        <w:rPr>
          <w:rFonts w:cs="Arial"/>
        </w:rPr>
        <w:t xml:space="preserve">If </w:t>
      </w:r>
      <w:r w:rsidRPr="00E538FD">
        <w:rPr>
          <w:rFonts w:cs="Arial"/>
          <w:color w:val="000000"/>
        </w:rPr>
        <w:t xml:space="preserve">a sub-contractor is unknown at the start of the procurement (or </w:t>
      </w:r>
      <w:r w:rsidR="00613B0A">
        <w:rPr>
          <w:rFonts w:cs="Arial"/>
          <w:color w:val="000000"/>
        </w:rPr>
        <w:t>onboarded during the process</w:t>
      </w:r>
      <w:r w:rsidRPr="00E538FD">
        <w:rPr>
          <w:rFonts w:cs="Arial"/>
          <w:color w:val="000000"/>
        </w:rPr>
        <w:t xml:space="preserve">), this should be made clear by the </w:t>
      </w:r>
      <w:r w:rsidR="00613B0A">
        <w:rPr>
          <w:rFonts w:cs="Arial"/>
          <w:color w:val="000000"/>
        </w:rPr>
        <w:t xml:space="preserve">Supplier </w:t>
      </w:r>
      <w:r w:rsidRPr="00E538FD">
        <w:rPr>
          <w:rFonts w:cs="Arial"/>
          <w:color w:val="000000"/>
        </w:rPr>
        <w:t xml:space="preserve">and relevant details of the sub-contractor should be provided once their identity and role is confirmed. This information </w:t>
      </w:r>
      <w:r w:rsidRPr="00E538FD">
        <w:rPr>
          <w:rFonts w:cs="Arial"/>
          <w:color w:val="000000"/>
        </w:rPr>
        <w:lastRenderedPageBreak/>
        <w:t xml:space="preserve">should be shared with </w:t>
      </w:r>
      <w:r>
        <w:rPr>
          <w:rFonts w:cs="Arial"/>
          <w:color w:val="000000"/>
        </w:rPr>
        <w:t>HMRC</w:t>
      </w:r>
      <w:r w:rsidRPr="00E538FD">
        <w:rPr>
          <w:rFonts w:cs="Arial"/>
          <w:color w:val="000000"/>
        </w:rPr>
        <w:t xml:space="preserve"> as soon as possible and</w:t>
      </w:r>
      <w:r w:rsidR="00613B0A">
        <w:rPr>
          <w:rFonts w:cs="Arial"/>
          <w:color w:val="000000"/>
        </w:rPr>
        <w:t>, at the very latest, by the point of ITS</w:t>
      </w:r>
      <w:r w:rsidR="0019061F">
        <w:rPr>
          <w:rFonts w:cs="Arial"/>
          <w:color w:val="000000"/>
        </w:rPr>
        <w:t>I</w:t>
      </w:r>
      <w:r w:rsidR="00613B0A">
        <w:rPr>
          <w:rFonts w:cs="Arial"/>
          <w:color w:val="000000"/>
        </w:rPr>
        <w:t>T submission</w:t>
      </w:r>
      <w:r w:rsidRPr="00E538FD">
        <w:rPr>
          <w:rFonts w:cs="Arial"/>
        </w:rPr>
        <w:t>.</w:t>
      </w:r>
    </w:p>
    <w:p w14:paraId="4579B608" w14:textId="458C7C10" w:rsidR="0078040F" w:rsidRPr="00A753AC" w:rsidRDefault="0078040F" w:rsidP="0078040F">
      <w:pPr>
        <w:pStyle w:val="ListParagraph"/>
        <w:numPr>
          <w:ilvl w:val="1"/>
          <w:numId w:val="6"/>
        </w:numPr>
        <w:contextualSpacing w:val="0"/>
        <w:jc w:val="both"/>
        <w:rPr>
          <w:rFonts w:cs="Arial"/>
        </w:rPr>
      </w:pPr>
      <w:r w:rsidRPr="00A753AC">
        <w:rPr>
          <w:rFonts w:cs="Arial"/>
          <w:b/>
          <w:bCs/>
        </w:rPr>
        <w:t>Part 3 - Conditions of Participation</w:t>
      </w:r>
      <w:r w:rsidRPr="00A753AC">
        <w:rPr>
          <w:rFonts w:cs="Arial"/>
        </w:rPr>
        <w:t xml:space="preserve">: </w:t>
      </w:r>
      <w:r w:rsidRPr="00A753AC">
        <w:rPr>
          <w:rFonts w:cs="Arial"/>
          <w:color w:val="000000"/>
        </w:rPr>
        <w:t xml:space="preserve">Conditions of Participation </w:t>
      </w:r>
      <w:r w:rsidR="00A753AC" w:rsidRPr="00A753AC">
        <w:rPr>
          <w:rFonts w:cs="Arial"/>
          <w:color w:val="000000"/>
        </w:rPr>
        <w:t xml:space="preserve">set by HMRC </w:t>
      </w:r>
      <w:r w:rsidRPr="00A753AC">
        <w:rPr>
          <w:rFonts w:cs="Arial"/>
          <w:color w:val="000000"/>
        </w:rPr>
        <w:t xml:space="preserve">which a </w:t>
      </w:r>
      <w:r w:rsidR="00613B0A">
        <w:rPr>
          <w:rFonts w:cs="Arial"/>
          <w:color w:val="000000"/>
        </w:rPr>
        <w:t>Supplier</w:t>
      </w:r>
      <w:r w:rsidR="00613B0A" w:rsidRPr="00A753AC">
        <w:rPr>
          <w:rFonts w:cs="Arial"/>
          <w:color w:val="000000"/>
        </w:rPr>
        <w:t xml:space="preserve"> </w:t>
      </w:r>
      <w:r w:rsidRPr="00A753AC">
        <w:rPr>
          <w:rFonts w:cs="Arial"/>
          <w:color w:val="000000"/>
        </w:rPr>
        <w:t xml:space="preserve">must satisfy in order to be </w:t>
      </w:r>
      <w:r w:rsidR="0019061F">
        <w:rPr>
          <w:rFonts w:cs="Arial"/>
          <w:color w:val="000000"/>
        </w:rPr>
        <w:t xml:space="preserve">considered for </w:t>
      </w:r>
      <w:r w:rsidRPr="00A753AC">
        <w:rPr>
          <w:rFonts w:cs="Arial"/>
          <w:color w:val="000000"/>
        </w:rPr>
        <w:t>award</w:t>
      </w:r>
      <w:r w:rsidR="0019061F">
        <w:rPr>
          <w:rFonts w:cs="Arial"/>
          <w:color w:val="000000"/>
        </w:rPr>
        <w:t xml:space="preserve"> of </w:t>
      </w:r>
      <w:r w:rsidR="00A753AC" w:rsidRPr="00A753AC">
        <w:rPr>
          <w:rFonts w:cs="Arial"/>
          <w:color w:val="000000"/>
        </w:rPr>
        <w:t>the contract</w:t>
      </w:r>
      <w:r w:rsidR="0019061F">
        <w:rPr>
          <w:rFonts w:cs="Arial"/>
          <w:color w:val="000000"/>
        </w:rPr>
        <w:t xml:space="preserve"> and progression to the next stage of the procurement process</w:t>
      </w:r>
      <w:r w:rsidRPr="00A753AC">
        <w:rPr>
          <w:rFonts w:cs="Arial"/>
          <w:color w:val="000000"/>
        </w:rPr>
        <w:t xml:space="preserve">. </w:t>
      </w:r>
      <w:r w:rsidR="00A753AC" w:rsidRPr="00A753AC">
        <w:rPr>
          <w:rFonts w:cs="Arial"/>
          <w:color w:val="000000"/>
        </w:rPr>
        <w:t xml:space="preserve">These conditions relate to the </w:t>
      </w:r>
      <w:r w:rsidR="00613B0A">
        <w:rPr>
          <w:rFonts w:cs="Arial"/>
          <w:color w:val="000000"/>
        </w:rPr>
        <w:t>Supplier</w:t>
      </w:r>
      <w:r w:rsidR="00613B0A" w:rsidRPr="00A753AC">
        <w:rPr>
          <w:rFonts w:cs="Arial"/>
          <w:color w:val="000000"/>
        </w:rPr>
        <w:t xml:space="preserve">’s </w:t>
      </w:r>
      <w:r w:rsidRPr="00A753AC">
        <w:rPr>
          <w:rFonts w:cs="Arial"/>
          <w:color w:val="000000"/>
        </w:rPr>
        <w:t>legal</w:t>
      </w:r>
      <w:r w:rsidR="00A753AC" w:rsidRPr="00A753AC">
        <w:rPr>
          <w:rFonts w:cs="Arial"/>
          <w:color w:val="000000"/>
        </w:rPr>
        <w:t xml:space="preserve">, </w:t>
      </w:r>
      <w:r w:rsidRPr="00A753AC">
        <w:rPr>
          <w:rFonts w:cs="Arial"/>
          <w:color w:val="000000"/>
        </w:rPr>
        <w:t xml:space="preserve">financial </w:t>
      </w:r>
      <w:r w:rsidR="00A753AC" w:rsidRPr="00A753AC">
        <w:rPr>
          <w:rFonts w:cs="Arial"/>
          <w:color w:val="000000"/>
        </w:rPr>
        <w:t xml:space="preserve">and technical </w:t>
      </w:r>
      <w:r w:rsidRPr="00A753AC">
        <w:rPr>
          <w:rFonts w:cs="Arial"/>
          <w:color w:val="000000"/>
        </w:rPr>
        <w:t>capacity</w:t>
      </w:r>
      <w:r w:rsidR="00A753AC" w:rsidRPr="00A753AC">
        <w:rPr>
          <w:rFonts w:cs="Arial"/>
          <w:color w:val="000000"/>
        </w:rPr>
        <w:t xml:space="preserve"> and and/or ability</w:t>
      </w:r>
      <w:r w:rsidRPr="00A753AC">
        <w:rPr>
          <w:rFonts w:cs="Arial"/>
        </w:rPr>
        <w:t>.</w:t>
      </w:r>
    </w:p>
    <w:p w14:paraId="3009471D" w14:textId="345081B1" w:rsidR="00203BBA" w:rsidRDefault="00FD777B" w:rsidP="00203BBA">
      <w:pPr>
        <w:pStyle w:val="ListParagraph"/>
        <w:numPr>
          <w:ilvl w:val="1"/>
          <w:numId w:val="6"/>
        </w:numPr>
        <w:contextualSpacing w:val="0"/>
        <w:jc w:val="both"/>
        <w:rPr>
          <w:rFonts w:cs="Arial"/>
        </w:rPr>
      </w:pPr>
      <w:r>
        <w:rPr>
          <w:rFonts w:cs="Arial"/>
        </w:rPr>
        <w:t>The questions contained within this Schedule 1</w:t>
      </w:r>
      <w:r w:rsidR="009952F8">
        <w:rPr>
          <w:rFonts w:cs="Arial"/>
        </w:rPr>
        <w:t>,</w:t>
      </w:r>
      <w:r>
        <w:rPr>
          <w:rFonts w:cs="Arial"/>
        </w:rPr>
        <w:t xml:space="preserve"> in tandem with the information</w:t>
      </w:r>
      <w:r w:rsidR="009952F8">
        <w:rPr>
          <w:rFonts w:cs="Arial"/>
        </w:rPr>
        <w:t xml:space="preserve"> provided</w:t>
      </w:r>
      <w:r>
        <w:rPr>
          <w:rFonts w:cs="Arial"/>
        </w:rPr>
        <w:t xml:space="preserve"> in Schedules 2 </w:t>
      </w:r>
      <w:r w:rsidR="00A774A9">
        <w:rPr>
          <w:rFonts w:cs="Arial"/>
        </w:rPr>
        <w:t>and</w:t>
      </w:r>
      <w:r>
        <w:rPr>
          <w:rFonts w:cs="Arial"/>
        </w:rPr>
        <w:t xml:space="preserve"> 3</w:t>
      </w:r>
      <w:r w:rsidR="009952F8">
        <w:rPr>
          <w:rFonts w:cs="Arial"/>
        </w:rPr>
        <w:t>,</w:t>
      </w:r>
      <w:r>
        <w:rPr>
          <w:rFonts w:cs="Arial"/>
        </w:rPr>
        <w:t xml:space="preserve"> make clear whether a question is:</w:t>
      </w:r>
    </w:p>
    <w:p w14:paraId="51D41467" w14:textId="664E17A6" w:rsidR="00FD777B" w:rsidRDefault="00FD777B" w:rsidP="00FD777B">
      <w:pPr>
        <w:pStyle w:val="ListParagraph"/>
        <w:numPr>
          <w:ilvl w:val="0"/>
          <w:numId w:val="11"/>
        </w:numPr>
        <w:pBdr>
          <w:top w:val="nil"/>
          <w:left w:val="nil"/>
          <w:bottom w:val="nil"/>
          <w:right w:val="nil"/>
          <w:between w:val="nil"/>
        </w:pBdr>
        <w:spacing w:after="120"/>
        <w:jc w:val="both"/>
        <w:rPr>
          <w:rFonts w:cs="Arial"/>
        </w:rPr>
      </w:pPr>
      <w:r>
        <w:rPr>
          <w:rFonts w:cs="Arial"/>
        </w:rPr>
        <w:t xml:space="preserve">For information </w:t>
      </w:r>
      <w:proofErr w:type="gramStart"/>
      <w:r>
        <w:rPr>
          <w:rFonts w:cs="Arial"/>
        </w:rPr>
        <w:t>only;</w:t>
      </w:r>
      <w:proofErr w:type="gramEnd"/>
    </w:p>
    <w:p w14:paraId="36F583DC" w14:textId="3D8808D3" w:rsidR="00FD777B" w:rsidRDefault="00FD777B" w:rsidP="00FD777B">
      <w:pPr>
        <w:pStyle w:val="ListParagraph"/>
        <w:numPr>
          <w:ilvl w:val="0"/>
          <w:numId w:val="11"/>
        </w:numPr>
        <w:pBdr>
          <w:top w:val="nil"/>
          <w:left w:val="nil"/>
          <w:bottom w:val="nil"/>
          <w:right w:val="nil"/>
          <w:between w:val="nil"/>
        </w:pBdr>
        <w:spacing w:after="120"/>
        <w:jc w:val="both"/>
        <w:rPr>
          <w:rFonts w:cs="Arial"/>
        </w:rPr>
      </w:pPr>
      <w:r>
        <w:rPr>
          <w:rFonts w:cs="Arial"/>
        </w:rPr>
        <w:t>To be evaluated as a pass/</w:t>
      </w:r>
      <w:proofErr w:type="gramStart"/>
      <w:r>
        <w:rPr>
          <w:rFonts w:cs="Arial"/>
        </w:rPr>
        <w:t>fail</w:t>
      </w:r>
      <w:proofErr w:type="gramEnd"/>
      <w:r>
        <w:rPr>
          <w:rFonts w:cs="Arial"/>
        </w:rPr>
        <w:t>; or</w:t>
      </w:r>
    </w:p>
    <w:p w14:paraId="612C37FE" w14:textId="1B7FCD8D" w:rsidR="00FD777B" w:rsidRDefault="00FD777B" w:rsidP="00A0632B">
      <w:pPr>
        <w:pStyle w:val="ListParagraph"/>
        <w:numPr>
          <w:ilvl w:val="0"/>
          <w:numId w:val="11"/>
        </w:numPr>
        <w:pBdr>
          <w:top w:val="nil"/>
          <w:left w:val="nil"/>
          <w:bottom w:val="nil"/>
          <w:right w:val="nil"/>
          <w:between w:val="nil"/>
        </w:pBdr>
        <w:ind w:left="1434" w:hanging="357"/>
        <w:contextualSpacing w:val="0"/>
        <w:jc w:val="both"/>
        <w:rPr>
          <w:rFonts w:cs="Arial"/>
        </w:rPr>
      </w:pPr>
      <w:r>
        <w:rPr>
          <w:rFonts w:cs="Arial"/>
        </w:rPr>
        <w:t>Is to be evaluated by a scored evaluation.</w:t>
      </w:r>
    </w:p>
    <w:p w14:paraId="6EF9FBB9" w14:textId="408A1FC0" w:rsidR="00203BBA" w:rsidRPr="00E538FD" w:rsidRDefault="00C04E2C" w:rsidP="00203BBA">
      <w:pPr>
        <w:pStyle w:val="ListParagraph"/>
        <w:numPr>
          <w:ilvl w:val="1"/>
          <w:numId w:val="6"/>
        </w:numPr>
        <w:contextualSpacing w:val="0"/>
        <w:jc w:val="both"/>
        <w:rPr>
          <w:rFonts w:cs="Arial"/>
        </w:rPr>
      </w:pPr>
      <w:r>
        <w:rPr>
          <w:rFonts w:cs="Arial"/>
        </w:rPr>
        <w:t>Suppliers</w:t>
      </w:r>
      <w:r w:rsidR="00A774A9" w:rsidRPr="00E538FD">
        <w:rPr>
          <w:rFonts w:cs="Arial"/>
        </w:rPr>
        <w:t xml:space="preserve"> </w:t>
      </w:r>
      <w:r w:rsidR="00203BBA" w:rsidRPr="00E538FD">
        <w:rPr>
          <w:rFonts w:cs="Arial"/>
        </w:rPr>
        <w:t xml:space="preserve">should note that </w:t>
      </w:r>
      <w:r w:rsidR="00203BBA">
        <w:rPr>
          <w:rFonts w:cs="Arial"/>
        </w:rPr>
        <w:t>HMRC</w:t>
      </w:r>
      <w:r w:rsidR="00203BBA" w:rsidRPr="00E538FD">
        <w:rPr>
          <w:rFonts w:cs="Arial"/>
        </w:rPr>
        <w:t xml:space="preserve"> have legislative duties to publish certain information which relate to the </w:t>
      </w:r>
      <w:r w:rsidR="00FA5CF7">
        <w:rPr>
          <w:rFonts w:cs="Arial"/>
        </w:rPr>
        <w:t>Supplier</w:t>
      </w:r>
      <w:r w:rsidR="00203BBA" w:rsidRPr="00E538FD">
        <w:rPr>
          <w:rFonts w:cs="Arial"/>
        </w:rPr>
        <w:t xml:space="preserve"> in their contract award notices. This information includes, but is not limited to:</w:t>
      </w:r>
    </w:p>
    <w:p w14:paraId="073AE065" w14:textId="243E53BD" w:rsidR="00203BBA" w:rsidRPr="00E538FD" w:rsidRDefault="00203BBA" w:rsidP="00FB397E">
      <w:pPr>
        <w:pStyle w:val="ListParagraph"/>
        <w:numPr>
          <w:ilvl w:val="0"/>
          <w:numId w:val="11"/>
        </w:numPr>
        <w:pBdr>
          <w:top w:val="nil"/>
          <w:left w:val="nil"/>
          <w:bottom w:val="nil"/>
          <w:right w:val="nil"/>
          <w:between w:val="nil"/>
        </w:pBdr>
        <w:spacing w:after="120"/>
        <w:jc w:val="both"/>
        <w:rPr>
          <w:rFonts w:eastAsia="Arial" w:cs="Arial"/>
        </w:rPr>
      </w:pPr>
      <w:r w:rsidRPr="00E538FD">
        <w:rPr>
          <w:rFonts w:eastAsia="Arial" w:cs="Arial"/>
        </w:rPr>
        <w:t xml:space="preserve">details of the winning </w:t>
      </w:r>
      <w:r w:rsidR="00FA5CF7">
        <w:rPr>
          <w:rFonts w:eastAsia="Arial" w:cs="Arial"/>
        </w:rPr>
        <w:t>Supplier</w:t>
      </w:r>
      <w:r w:rsidRPr="00E538FD">
        <w:rPr>
          <w:rFonts w:eastAsia="Arial" w:cs="Arial"/>
        </w:rPr>
        <w:t xml:space="preserve">’s associated </w:t>
      </w:r>
      <w:proofErr w:type="gramStart"/>
      <w:r w:rsidRPr="00E538FD">
        <w:rPr>
          <w:rFonts w:eastAsia="Arial" w:cs="Arial"/>
        </w:rPr>
        <w:t>persons</w:t>
      </w:r>
      <w:r w:rsidR="00A0632B">
        <w:rPr>
          <w:rFonts w:eastAsia="Arial" w:cs="Arial"/>
        </w:rPr>
        <w:t>;</w:t>
      </w:r>
      <w:proofErr w:type="gramEnd"/>
    </w:p>
    <w:p w14:paraId="78BF43A7" w14:textId="061F3E73" w:rsidR="00203BBA" w:rsidRPr="00E538FD" w:rsidRDefault="00203BBA" w:rsidP="00FB397E">
      <w:pPr>
        <w:pStyle w:val="ListParagraph"/>
        <w:numPr>
          <w:ilvl w:val="0"/>
          <w:numId w:val="11"/>
        </w:numPr>
        <w:pBdr>
          <w:top w:val="nil"/>
          <w:left w:val="nil"/>
          <w:bottom w:val="nil"/>
          <w:right w:val="nil"/>
          <w:between w:val="nil"/>
        </w:pBdr>
        <w:spacing w:after="120"/>
        <w:jc w:val="both"/>
        <w:rPr>
          <w:rFonts w:eastAsia="Arial" w:cs="Arial"/>
        </w:rPr>
      </w:pPr>
      <w:r w:rsidRPr="00E538FD">
        <w:rPr>
          <w:rFonts w:eastAsia="Arial" w:cs="Arial"/>
        </w:rPr>
        <w:t xml:space="preserve">details of the winning </w:t>
      </w:r>
      <w:r w:rsidR="00FA5CF7">
        <w:rPr>
          <w:rFonts w:eastAsia="Arial" w:cs="Arial"/>
        </w:rPr>
        <w:t>Supplier</w:t>
      </w:r>
      <w:r w:rsidRPr="00E538FD">
        <w:rPr>
          <w:rFonts w:eastAsia="Arial" w:cs="Arial"/>
        </w:rPr>
        <w:t>’s connected person information</w:t>
      </w:r>
      <w:r w:rsidR="00A0632B">
        <w:rPr>
          <w:rFonts w:eastAsia="Arial" w:cs="Arial"/>
        </w:rPr>
        <w:t>; and</w:t>
      </w:r>
    </w:p>
    <w:p w14:paraId="5C934A03" w14:textId="77AB6B82" w:rsidR="00203BBA" w:rsidRPr="00E538FD" w:rsidRDefault="00203BBA" w:rsidP="00FB397E">
      <w:pPr>
        <w:pStyle w:val="ListParagraph"/>
        <w:numPr>
          <w:ilvl w:val="0"/>
          <w:numId w:val="11"/>
        </w:numPr>
        <w:pBdr>
          <w:top w:val="nil"/>
          <w:left w:val="nil"/>
          <w:bottom w:val="nil"/>
          <w:right w:val="nil"/>
          <w:between w:val="nil"/>
        </w:pBdr>
        <w:spacing w:after="120"/>
        <w:jc w:val="both"/>
        <w:rPr>
          <w:rFonts w:eastAsia="Arial" w:cs="Arial"/>
        </w:rPr>
      </w:pPr>
      <w:r w:rsidRPr="00E538FD">
        <w:rPr>
          <w:rFonts w:eastAsia="Arial" w:cs="Arial"/>
        </w:rPr>
        <w:t xml:space="preserve">for certain procurements over £5 million, details of unsuccessful </w:t>
      </w:r>
      <w:r w:rsidR="00FA5CF7">
        <w:rPr>
          <w:rFonts w:eastAsia="Arial" w:cs="Arial"/>
        </w:rPr>
        <w:t>Supplier</w:t>
      </w:r>
      <w:r w:rsidRPr="00E538FD">
        <w:rPr>
          <w:rFonts w:eastAsia="Arial" w:cs="Arial"/>
        </w:rPr>
        <w:t>s</w:t>
      </w:r>
      <w:r w:rsidR="00A0632B">
        <w:rPr>
          <w:rFonts w:eastAsia="Arial" w:cs="Arial"/>
        </w:rPr>
        <w:t>.</w:t>
      </w:r>
    </w:p>
    <w:p w14:paraId="198B481C" w14:textId="77777777" w:rsidR="00203BBA" w:rsidRPr="00E538FD" w:rsidRDefault="00203BBA" w:rsidP="00203BBA">
      <w:pPr>
        <w:pStyle w:val="ListParagraph"/>
        <w:pBdr>
          <w:top w:val="nil"/>
          <w:left w:val="nil"/>
          <w:bottom w:val="nil"/>
          <w:right w:val="nil"/>
          <w:between w:val="nil"/>
        </w:pBdr>
        <w:spacing w:after="120"/>
        <w:ind w:left="1440"/>
        <w:jc w:val="both"/>
        <w:rPr>
          <w:rFonts w:eastAsia="Arial" w:cs="Arial"/>
        </w:rPr>
      </w:pPr>
    </w:p>
    <w:p w14:paraId="0F5A06AF" w14:textId="23F39383" w:rsidR="00203BBA" w:rsidRPr="00E538FD" w:rsidRDefault="00203BBA" w:rsidP="00203BBA">
      <w:pPr>
        <w:pStyle w:val="ListParagraph"/>
        <w:numPr>
          <w:ilvl w:val="1"/>
          <w:numId w:val="6"/>
        </w:numPr>
        <w:contextualSpacing w:val="0"/>
        <w:jc w:val="both"/>
        <w:rPr>
          <w:rFonts w:cs="Arial"/>
        </w:rPr>
      </w:pPr>
      <w:r w:rsidRPr="00E538FD">
        <w:rPr>
          <w:rFonts w:cs="Arial"/>
        </w:rPr>
        <w:t>Where a</w:t>
      </w:r>
      <w:r w:rsidRPr="00E538FD" w:rsidDel="00A774A9">
        <w:rPr>
          <w:rFonts w:cs="Arial"/>
        </w:rPr>
        <w:t xml:space="preserve"> </w:t>
      </w:r>
      <w:r w:rsidR="00A774A9">
        <w:rPr>
          <w:rFonts w:cs="Arial"/>
        </w:rPr>
        <w:t>Supplier</w:t>
      </w:r>
      <w:r w:rsidR="00A774A9" w:rsidRPr="00E538FD">
        <w:rPr>
          <w:rFonts w:cs="Arial"/>
        </w:rPr>
        <w:t xml:space="preserve"> </w:t>
      </w:r>
      <w:r w:rsidRPr="00E538FD">
        <w:rPr>
          <w:rFonts w:cs="Arial"/>
        </w:rPr>
        <w:t xml:space="preserve">is unsure or requires any clarification, they should check with </w:t>
      </w:r>
      <w:r>
        <w:rPr>
          <w:rFonts w:cs="Arial"/>
        </w:rPr>
        <w:t>HMRC</w:t>
      </w:r>
      <w:r w:rsidR="00A0632B">
        <w:rPr>
          <w:rFonts w:cs="Arial"/>
        </w:rPr>
        <w:t xml:space="preserve"> during the clarification period outlined in the Procurement Timetable</w:t>
      </w:r>
      <w:r w:rsidRPr="00E538FD">
        <w:rPr>
          <w:rFonts w:cs="Arial"/>
        </w:rPr>
        <w:t>.</w:t>
      </w:r>
    </w:p>
    <w:p w14:paraId="0BBF1702" w14:textId="25FA7C50" w:rsidR="00504695" w:rsidRPr="00E538FD" w:rsidRDefault="00504695" w:rsidP="00320D15">
      <w:pPr>
        <w:pStyle w:val="ListParagraph"/>
        <w:numPr>
          <w:ilvl w:val="1"/>
          <w:numId w:val="6"/>
        </w:numPr>
        <w:contextualSpacing w:val="0"/>
        <w:jc w:val="both"/>
        <w:rPr>
          <w:rFonts w:eastAsia="Arial" w:cs="Arial"/>
          <w:color w:val="000000"/>
        </w:rPr>
      </w:pPr>
      <w:r w:rsidRPr="00E538FD">
        <w:rPr>
          <w:rFonts w:eastAsia="Arial" w:cs="Arial"/>
          <w:color w:val="000000"/>
        </w:rPr>
        <w:t>Please ensure that all questions are completed in full, and in the format requested.</w:t>
      </w:r>
    </w:p>
    <w:p w14:paraId="3CE25A61" w14:textId="40DFF2D3" w:rsidR="00504695" w:rsidRPr="00E66809" w:rsidRDefault="00504695" w:rsidP="00320D15">
      <w:pPr>
        <w:pStyle w:val="ListParagraph"/>
        <w:numPr>
          <w:ilvl w:val="1"/>
          <w:numId w:val="6"/>
        </w:numPr>
        <w:contextualSpacing w:val="0"/>
        <w:jc w:val="both"/>
        <w:rPr>
          <w:rFonts w:eastAsia="Helvetica Neue Light" w:cs="Arial"/>
        </w:rPr>
      </w:pPr>
      <w:r w:rsidRPr="00E66809">
        <w:rPr>
          <w:rFonts w:eastAsia="Arial" w:cs="Arial"/>
          <w:color w:val="000000"/>
        </w:rPr>
        <w:t xml:space="preserve">The Core Supplier Information must be completed on the CDP, with the remaining </w:t>
      </w:r>
      <w:r w:rsidR="00193BD2" w:rsidRPr="00E66809">
        <w:rPr>
          <w:rFonts w:eastAsia="Arial" w:cs="Arial"/>
          <w:color w:val="000000"/>
        </w:rPr>
        <w:t>PSQ</w:t>
      </w:r>
      <w:r w:rsidRPr="00E66809">
        <w:rPr>
          <w:rFonts w:eastAsia="Arial" w:cs="Arial"/>
          <w:color w:val="000000"/>
        </w:rPr>
        <w:t xml:space="preserve"> questions submitted via Ariba</w:t>
      </w:r>
      <w:r w:rsidR="00EA341E" w:rsidRPr="00E66809">
        <w:rPr>
          <w:rFonts w:eastAsia="Arial" w:cs="Arial"/>
          <w:color w:val="000000"/>
        </w:rPr>
        <w:t>.</w:t>
      </w:r>
      <w:r w:rsidR="00CC0F1B">
        <w:rPr>
          <w:rFonts w:eastAsia="Arial" w:cs="Arial"/>
          <w:color w:val="000000"/>
        </w:rPr>
        <w:t xml:space="preserve"> </w:t>
      </w:r>
      <w:r w:rsidR="00AB367D">
        <w:rPr>
          <w:rFonts w:eastAsia="Arial" w:cs="Arial"/>
          <w:color w:val="000000"/>
        </w:rPr>
        <w:t>O</w:t>
      </w:r>
      <w:r w:rsidR="00CC0F1B">
        <w:rPr>
          <w:rFonts w:eastAsia="Arial" w:cs="Arial"/>
          <w:color w:val="000000"/>
        </w:rPr>
        <w:t>utputs from the CDP must be provided where requested within the PSQ.</w:t>
      </w:r>
    </w:p>
    <w:p w14:paraId="52B20CFC" w14:textId="09B28E46" w:rsidR="00203BBA" w:rsidRPr="00F72791" w:rsidRDefault="00203BBA" w:rsidP="00203BBA">
      <w:pPr>
        <w:pStyle w:val="ListParagraph"/>
        <w:numPr>
          <w:ilvl w:val="1"/>
          <w:numId w:val="6"/>
        </w:numPr>
        <w:contextualSpacing w:val="0"/>
        <w:jc w:val="both"/>
        <w:rPr>
          <w:rFonts w:cs="Arial"/>
        </w:rPr>
      </w:pPr>
      <w:r w:rsidRPr="00E538FD">
        <w:rPr>
          <w:rFonts w:cs="Arial"/>
        </w:rPr>
        <w:t xml:space="preserve">If a </w:t>
      </w:r>
      <w:r w:rsidR="00FA5CF7">
        <w:rPr>
          <w:rFonts w:cs="Arial"/>
        </w:rPr>
        <w:t>Supplier</w:t>
      </w:r>
      <w:r w:rsidRPr="00F72791">
        <w:rPr>
          <w:rFonts w:cs="Arial"/>
        </w:rPr>
        <w:t>, including their connected persons or associated persons</w:t>
      </w:r>
      <w:r w:rsidR="00A774A9">
        <w:rPr>
          <w:rFonts w:cs="Arial"/>
        </w:rPr>
        <w:t>,</w:t>
      </w:r>
      <w:r w:rsidRPr="00F72791" w:rsidDel="00A774A9">
        <w:rPr>
          <w:rFonts w:cs="Arial"/>
        </w:rPr>
        <w:t xml:space="preserve"> </w:t>
      </w:r>
      <w:r w:rsidRPr="00F72791">
        <w:rPr>
          <w:rFonts w:cs="Arial"/>
        </w:rPr>
        <w:t xml:space="preserve">meet any of the grounds for exclusion, there is an opportunity for the </w:t>
      </w:r>
      <w:r w:rsidR="00A774A9">
        <w:rPr>
          <w:rFonts w:cs="Arial"/>
        </w:rPr>
        <w:t xml:space="preserve">Supplier </w:t>
      </w:r>
      <w:r w:rsidRPr="00F72791">
        <w:rPr>
          <w:rFonts w:cs="Arial"/>
        </w:rPr>
        <w:t xml:space="preserve">to </w:t>
      </w:r>
      <w:r w:rsidR="00A774A9">
        <w:rPr>
          <w:rFonts w:cs="Arial"/>
        </w:rPr>
        <w:t>provide further explanation</w:t>
      </w:r>
      <w:r w:rsidRPr="00F72791">
        <w:rPr>
          <w:rFonts w:cs="Arial"/>
        </w:rPr>
        <w:t xml:space="preserve"> and any measures taken to rectify the situation (we call this self</w:t>
      </w:r>
      <w:r w:rsidR="00A774A9">
        <w:rPr>
          <w:rFonts w:cs="Arial"/>
        </w:rPr>
        <w:t>-</w:t>
      </w:r>
      <w:r w:rsidRPr="00F72791">
        <w:rPr>
          <w:rFonts w:cs="Arial"/>
        </w:rPr>
        <w:t xml:space="preserve">cleaning). </w:t>
      </w:r>
      <w:r>
        <w:rPr>
          <w:rFonts w:cs="Arial"/>
        </w:rPr>
        <w:t>HMRC</w:t>
      </w:r>
      <w:r w:rsidRPr="00F72791">
        <w:rPr>
          <w:rFonts w:cs="Arial"/>
        </w:rPr>
        <w:t xml:space="preserve"> reserves the right to request any evidence </w:t>
      </w:r>
      <w:r>
        <w:rPr>
          <w:rFonts w:cs="Arial"/>
        </w:rPr>
        <w:t>HMRC</w:t>
      </w:r>
      <w:r w:rsidRPr="00F72791">
        <w:rPr>
          <w:rFonts w:cs="Arial"/>
        </w:rPr>
        <w:t xml:space="preserve"> deems appropriate to confirm the accuracy of the self-declarations made by </w:t>
      </w:r>
      <w:r w:rsidR="00FA5CF7">
        <w:rPr>
          <w:rFonts w:cs="Arial"/>
          <w:bCs/>
        </w:rPr>
        <w:t>Supplier</w:t>
      </w:r>
      <w:r>
        <w:rPr>
          <w:rFonts w:cs="Arial"/>
          <w:bCs/>
        </w:rPr>
        <w:t>s</w:t>
      </w:r>
      <w:r w:rsidRPr="00F72791">
        <w:rPr>
          <w:rFonts w:cs="Arial"/>
        </w:rPr>
        <w:t xml:space="preserve">, at any point during the procurement process. </w:t>
      </w:r>
      <w:r>
        <w:rPr>
          <w:rFonts w:cs="Arial"/>
        </w:rPr>
        <w:t>HMRC</w:t>
      </w:r>
      <w:r w:rsidRPr="00F72791">
        <w:rPr>
          <w:rFonts w:cs="Arial"/>
        </w:rPr>
        <w:t xml:space="preserve"> may reject any </w:t>
      </w:r>
      <w:r w:rsidR="00244FF0">
        <w:rPr>
          <w:rFonts w:cs="Arial"/>
        </w:rPr>
        <w:t>submission</w:t>
      </w:r>
      <w:r w:rsidR="00244FF0" w:rsidRPr="00F72791">
        <w:rPr>
          <w:rFonts w:cs="Arial"/>
        </w:rPr>
        <w:t xml:space="preserve"> </w:t>
      </w:r>
      <w:r w:rsidRPr="00F72791">
        <w:rPr>
          <w:rFonts w:cs="Arial"/>
        </w:rPr>
        <w:t xml:space="preserve">where the </w:t>
      </w:r>
      <w:r w:rsidR="00244FF0">
        <w:rPr>
          <w:rFonts w:cs="Arial"/>
        </w:rPr>
        <w:t xml:space="preserve">Supplier </w:t>
      </w:r>
      <w:r w:rsidRPr="00F72791">
        <w:rPr>
          <w:rFonts w:cs="Arial"/>
        </w:rPr>
        <w:t xml:space="preserve">fails to provide such evidence in accordance with any timescales stipulated by </w:t>
      </w:r>
      <w:r>
        <w:rPr>
          <w:rFonts w:cs="Arial"/>
        </w:rPr>
        <w:t>HMRC</w:t>
      </w:r>
      <w:r w:rsidRPr="00F72791">
        <w:rPr>
          <w:rFonts w:cs="Arial"/>
        </w:rPr>
        <w:t xml:space="preserve"> and/or the evidence shows, in the opinion of </w:t>
      </w:r>
      <w:r>
        <w:rPr>
          <w:rFonts w:cs="Arial"/>
        </w:rPr>
        <w:t>HMRC</w:t>
      </w:r>
      <w:r w:rsidRPr="00F72791">
        <w:rPr>
          <w:rFonts w:cs="Arial"/>
        </w:rPr>
        <w:t>, that there is a ground for exclusion.</w:t>
      </w:r>
    </w:p>
    <w:p w14:paraId="13A8FFE8" w14:textId="4508AC5C" w:rsidR="00203BBA" w:rsidRPr="00E538FD" w:rsidRDefault="00203BBA" w:rsidP="00203BBA">
      <w:pPr>
        <w:pStyle w:val="ListParagraph"/>
        <w:numPr>
          <w:ilvl w:val="1"/>
          <w:numId w:val="6"/>
        </w:numPr>
        <w:contextualSpacing w:val="0"/>
        <w:jc w:val="both"/>
        <w:rPr>
          <w:rFonts w:cs="Arial"/>
        </w:rPr>
      </w:pPr>
      <w:r>
        <w:rPr>
          <w:rFonts w:cs="Arial"/>
        </w:rPr>
        <w:t>HMRC</w:t>
      </w:r>
      <w:r w:rsidRPr="00E538FD">
        <w:rPr>
          <w:rFonts w:cs="Arial"/>
        </w:rPr>
        <w:t xml:space="preserve"> will </w:t>
      </w:r>
      <w:r w:rsidRPr="00E538FD">
        <w:rPr>
          <w:rFonts w:cs="Arial"/>
          <w:bCs/>
        </w:rPr>
        <w:t>require</w:t>
      </w:r>
      <w:r w:rsidRPr="00E538FD">
        <w:rPr>
          <w:rFonts w:cs="Arial"/>
        </w:rPr>
        <w:t xml:space="preserve"> that the </w:t>
      </w:r>
      <w:r w:rsidR="00244FF0">
        <w:rPr>
          <w:rFonts w:cs="Arial"/>
        </w:rPr>
        <w:t>Supplier</w:t>
      </w:r>
      <w:r w:rsidR="00244FF0" w:rsidRPr="00E538FD">
        <w:rPr>
          <w:rFonts w:cs="Arial"/>
        </w:rPr>
        <w:t xml:space="preserve"> </w:t>
      </w:r>
      <w:r w:rsidRPr="00E538FD">
        <w:rPr>
          <w:rFonts w:cs="Arial"/>
        </w:rPr>
        <w:t xml:space="preserve">replaces an entity (e.g. associated persons or sub-contractors) who do not meet a relevant </w:t>
      </w:r>
      <w:r>
        <w:rPr>
          <w:rFonts w:cs="Arial"/>
        </w:rPr>
        <w:t>C</w:t>
      </w:r>
      <w:r w:rsidRPr="00E538FD">
        <w:rPr>
          <w:rFonts w:cs="Arial"/>
        </w:rPr>
        <w:t xml:space="preserve">ondition of </w:t>
      </w:r>
      <w:r>
        <w:rPr>
          <w:rFonts w:cs="Arial"/>
        </w:rPr>
        <w:t>P</w:t>
      </w:r>
      <w:r w:rsidRPr="00E538FD">
        <w:rPr>
          <w:rFonts w:cs="Arial"/>
        </w:rPr>
        <w:t xml:space="preserve">articipation, or in respect of which there are compulsory grounds for </w:t>
      </w:r>
      <w:proofErr w:type="gramStart"/>
      <w:r w:rsidRPr="00E538FD">
        <w:rPr>
          <w:rFonts w:cs="Arial"/>
        </w:rPr>
        <w:t>exclusion, and</w:t>
      </w:r>
      <w:proofErr w:type="gramEnd"/>
      <w:r w:rsidRPr="00E538FD">
        <w:rPr>
          <w:rFonts w:cs="Arial"/>
        </w:rPr>
        <w:t xml:space="preserve"> may require that the </w:t>
      </w:r>
      <w:r w:rsidR="00FA5CF7">
        <w:rPr>
          <w:rFonts w:cs="Arial"/>
        </w:rPr>
        <w:t>Supplier</w:t>
      </w:r>
      <w:r w:rsidRPr="00E538FD">
        <w:rPr>
          <w:rFonts w:cs="Arial"/>
        </w:rPr>
        <w:t xml:space="preserve"> substitutes an entity in respect of which there are discretionary grounds for exclusion.</w:t>
      </w:r>
    </w:p>
    <w:p w14:paraId="556E3162" w14:textId="094A5CBE" w:rsidR="00504695" w:rsidRPr="00E538FD" w:rsidRDefault="00203BBA" w:rsidP="00320D15">
      <w:pPr>
        <w:pStyle w:val="ListParagraph"/>
        <w:numPr>
          <w:ilvl w:val="1"/>
          <w:numId w:val="6"/>
        </w:numPr>
        <w:contextualSpacing w:val="0"/>
        <w:jc w:val="both"/>
        <w:rPr>
          <w:rFonts w:eastAsia="Arial" w:cs="Arial"/>
          <w:color w:val="000000"/>
        </w:rPr>
      </w:pPr>
      <w:r>
        <w:rPr>
          <w:rFonts w:eastAsia="Arial" w:cs="Arial"/>
        </w:rPr>
        <w:t>HMRC</w:t>
      </w:r>
      <w:r w:rsidR="00504695" w:rsidRPr="00E538FD">
        <w:rPr>
          <w:rFonts w:eastAsia="Arial" w:cs="Arial"/>
        </w:rPr>
        <w:t xml:space="preserve"> may decline to consider </w:t>
      </w:r>
      <w:r w:rsidRPr="00E538FD">
        <w:rPr>
          <w:rFonts w:eastAsia="Arial" w:cs="Arial"/>
        </w:rPr>
        <w:t>bids</w:t>
      </w:r>
      <w:r w:rsidR="00504695" w:rsidRPr="00E538FD">
        <w:rPr>
          <w:rFonts w:eastAsia="Arial" w:cs="Arial"/>
        </w:rPr>
        <w:t xml:space="preserve"> (or otherwise exclude from participating in the procurement) from </w:t>
      </w:r>
      <w:r w:rsidR="00244FF0">
        <w:rPr>
          <w:rFonts w:eastAsia="Arial" w:cs="Arial"/>
        </w:rPr>
        <w:t>Supplier</w:t>
      </w:r>
      <w:r w:rsidR="00244FF0" w:rsidRPr="00E538FD">
        <w:rPr>
          <w:rFonts w:eastAsia="Arial" w:cs="Arial"/>
        </w:rPr>
        <w:t xml:space="preserve"> </w:t>
      </w:r>
      <w:r w:rsidR="00504695" w:rsidRPr="00E538FD">
        <w:rPr>
          <w:rFonts w:eastAsia="Arial" w:cs="Arial"/>
        </w:rPr>
        <w:t xml:space="preserve">who are constituted or organised under the law of Russia or Belarus, or whose ‘Persons of Significant Control’ information states Russia or Belarus as the place of residency, unless the </w:t>
      </w:r>
      <w:r w:rsidR="00244FF0">
        <w:rPr>
          <w:rFonts w:eastAsia="Arial" w:cs="Arial"/>
        </w:rPr>
        <w:t>S</w:t>
      </w:r>
      <w:r w:rsidR="00504695" w:rsidRPr="00E538FD">
        <w:rPr>
          <w:rFonts w:eastAsia="Arial" w:cs="Arial"/>
        </w:rPr>
        <w:t xml:space="preserve">upplier (or any member of their supply chain they rely on to deliver the contract): </w:t>
      </w:r>
    </w:p>
    <w:p w14:paraId="7F696F17" w14:textId="77777777" w:rsidR="00504695" w:rsidRPr="00E538FD" w:rsidRDefault="00504695" w:rsidP="00FB397E">
      <w:pPr>
        <w:pStyle w:val="ListParagraph"/>
        <w:numPr>
          <w:ilvl w:val="0"/>
          <w:numId w:val="11"/>
        </w:numPr>
        <w:pBdr>
          <w:top w:val="nil"/>
          <w:left w:val="nil"/>
          <w:bottom w:val="nil"/>
          <w:right w:val="nil"/>
          <w:between w:val="nil"/>
        </w:pBdr>
        <w:spacing w:after="120"/>
        <w:jc w:val="both"/>
        <w:rPr>
          <w:rFonts w:eastAsia="Arial" w:cs="Arial"/>
        </w:rPr>
      </w:pPr>
      <w:r w:rsidRPr="00E538FD">
        <w:rPr>
          <w:rFonts w:eastAsia="Arial" w:cs="Arial"/>
        </w:rPr>
        <w:lastRenderedPageBreak/>
        <w:t xml:space="preserve">is registered in the UK or in a country the UK has a relevant international agreement with reciprocal rights of access to public procurement; and/or </w:t>
      </w:r>
    </w:p>
    <w:p w14:paraId="0AD7B42E" w14:textId="77777777" w:rsidR="00504695" w:rsidRPr="00E538FD" w:rsidRDefault="00504695" w:rsidP="00FB397E">
      <w:pPr>
        <w:pStyle w:val="ListParagraph"/>
        <w:numPr>
          <w:ilvl w:val="0"/>
          <w:numId w:val="11"/>
        </w:numPr>
        <w:pBdr>
          <w:top w:val="nil"/>
          <w:left w:val="nil"/>
          <w:bottom w:val="nil"/>
          <w:right w:val="nil"/>
          <w:between w:val="nil"/>
        </w:pBdr>
        <w:spacing w:after="120"/>
        <w:jc w:val="both"/>
        <w:rPr>
          <w:rFonts w:eastAsia="Arial" w:cs="Arial"/>
        </w:rPr>
      </w:pPr>
      <w:r w:rsidRPr="00E538FD">
        <w:rPr>
          <w:rFonts w:eastAsia="Arial" w:cs="Arial"/>
        </w:rPr>
        <w:t>has significant business operations in the UK or in a country the UK has a relevant international agreement with reciprocal rights of access to public procurement.</w:t>
      </w:r>
    </w:p>
    <w:p w14:paraId="1027EEB4" w14:textId="77777777" w:rsidR="00504695" w:rsidRPr="00E538FD" w:rsidRDefault="00504695" w:rsidP="009D7A31">
      <w:pPr>
        <w:pStyle w:val="ListParagraph"/>
        <w:pBdr>
          <w:top w:val="nil"/>
          <w:left w:val="nil"/>
          <w:bottom w:val="nil"/>
          <w:right w:val="nil"/>
          <w:between w:val="nil"/>
        </w:pBdr>
        <w:spacing w:after="120"/>
        <w:ind w:left="1440"/>
        <w:jc w:val="both"/>
        <w:rPr>
          <w:rFonts w:eastAsia="Arial" w:cs="Arial"/>
        </w:rPr>
      </w:pPr>
    </w:p>
    <w:p w14:paraId="18B68A3F" w14:textId="13E9CFE5" w:rsidR="00203BBA" w:rsidRPr="00E538FD" w:rsidRDefault="00203BBA" w:rsidP="00203BBA">
      <w:pPr>
        <w:pStyle w:val="ListParagraph"/>
        <w:numPr>
          <w:ilvl w:val="1"/>
          <w:numId w:val="6"/>
        </w:numPr>
        <w:contextualSpacing w:val="0"/>
        <w:jc w:val="both"/>
        <w:rPr>
          <w:rFonts w:cs="Arial"/>
        </w:rPr>
      </w:pPr>
      <w:r w:rsidRPr="00E538FD">
        <w:rPr>
          <w:rFonts w:cs="Arial"/>
        </w:rPr>
        <w:t xml:space="preserve">If a </w:t>
      </w:r>
      <w:r w:rsidR="00FA5CF7">
        <w:rPr>
          <w:rFonts w:cs="Arial"/>
        </w:rPr>
        <w:t>Supplier</w:t>
      </w:r>
      <w:r w:rsidRPr="00E538FD">
        <w:rPr>
          <w:rFonts w:cs="Arial"/>
        </w:rPr>
        <w:t xml:space="preserve"> seriously misrepresents any factual information </w:t>
      </w:r>
      <w:r w:rsidR="004E5DA7">
        <w:rPr>
          <w:rFonts w:cs="Arial"/>
        </w:rPr>
        <w:t>when completing</w:t>
      </w:r>
      <w:r w:rsidRPr="00E538FD" w:rsidDel="004E5DA7">
        <w:rPr>
          <w:rFonts w:cs="Arial"/>
        </w:rPr>
        <w:t xml:space="preserve"> </w:t>
      </w:r>
      <w:r w:rsidRPr="00E538FD">
        <w:rPr>
          <w:rFonts w:cs="Arial"/>
        </w:rPr>
        <w:t xml:space="preserve">the PSQ, and so induce </w:t>
      </w:r>
      <w:r>
        <w:rPr>
          <w:rFonts w:cs="Arial"/>
        </w:rPr>
        <w:t>HMRC</w:t>
      </w:r>
      <w:r w:rsidRPr="00E538FD">
        <w:rPr>
          <w:rFonts w:cs="Arial"/>
        </w:rPr>
        <w:t xml:space="preserve"> to enter into a contract, there may be significant consequences. The</w:t>
      </w:r>
      <w:r w:rsidRPr="00E538FD" w:rsidDel="004E5DA7">
        <w:rPr>
          <w:rFonts w:cs="Arial"/>
        </w:rPr>
        <w:t xml:space="preserve"> </w:t>
      </w:r>
      <w:r w:rsidR="004E5DA7">
        <w:rPr>
          <w:rFonts w:cs="Arial"/>
        </w:rPr>
        <w:t xml:space="preserve">Supplier </w:t>
      </w:r>
      <w:r w:rsidRPr="00E538FD">
        <w:rPr>
          <w:rFonts w:cs="Arial"/>
        </w:rPr>
        <w:t>may be excluded from the procurement procedure, and from bidding for other contracts for</w:t>
      </w:r>
      <w:r w:rsidR="004E5DA7">
        <w:rPr>
          <w:rFonts w:cs="Arial"/>
        </w:rPr>
        <w:t xml:space="preserve"> a period of</w:t>
      </w:r>
      <w:r w:rsidRPr="00E538FD">
        <w:rPr>
          <w:rFonts w:cs="Arial"/>
        </w:rPr>
        <w:t xml:space="preserve"> three years. If a contract has been entered into the </w:t>
      </w:r>
      <w:r w:rsidR="004E5DA7">
        <w:rPr>
          <w:rFonts w:cs="Arial"/>
        </w:rPr>
        <w:t>Supplier</w:t>
      </w:r>
      <w:r w:rsidRPr="00E538FD">
        <w:rPr>
          <w:rFonts w:cs="Arial"/>
        </w:rPr>
        <w:t xml:space="preserve"> may be sued for damages and the contract may be rescinded. If fraud, or fraudulent intent, can be proved, the </w:t>
      </w:r>
      <w:r w:rsidR="004E5DA7">
        <w:rPr>
          <w:rFonts w:cs="Arial"/>
        </w:rPr>
        <w:t>Supplier</w:t>
      </w:r>
      <w:r w:rsidR="004E5DA7" w:rsidRPr="00E538FD">
        <w:rPr>
          <w:rFonts w:cs="Arial"/>
        </w:rPr>
        <w:t xml:space="preserve"> </w:t>
      </w:r>
      <w:r w:rsidRPr="00E538FD">
        <w:rPr>
          <w:rFonts w:cs="Arial"/>
        </w:rPr>
        <w:t xml:space="preserve">or its responsible officers may be prosecuted and convicted of the offence of fraud by false representation, and the </w:t>
      </w:r>
      <w:r w:rsidR="004E5DA7">
        <w:rPr>
          <w:rFonts w:cs="Arial"/>
        </w:rPr>
        <w:t>Supplier</w:t>
      </w:r>
      <w:r w:rsidR="004E5DA7" w:rsidRPr="00E538FD">
        <w:rPr>
          <w:rFonts w:cs="Arial"/>
        </w:rPr>
        <w:t xml:space="preserve"> </w:t>
      </w:r>
      <w:r w:rsidR="004E5DA7">
        <w:rPr>
          <w:rFonts w:cs="Arial"/>
        </w:rPr>
        <w:t xml:space="preserve">will </w:t>
      </w:r>
      <w:r w:rsidRPr="00E538FD">
        <w:rPr>
          <w:rFonts w:cs="Arial"/>
        </w:rPr>
        <w:t>be excluded from further procurements for</w:t>
      </w:r>
      <w:r w:rsidR="004E5DA7">
        <w:rPr>
          <w:rFonts w:cs="Arial"/>
        </w:rPr>
        <w:t xml:space="preserve"> a period of</w:t>
      </w:r>
      <w:r w:rsidRPr="00E538FD">
        <w:rPr>
          <w:rFonts w:cs="Arial"/>
        </w:rPr>
        <w:t xml:space="preserve"> five years.</w:t>
      </w:r>
    </w:p>
    <w:p w14:paraId="2B696D1F" w14:textId="77777777" w:rsidR="009546F5" w:rsidRPr="009546F5" w:rsidRDefault="009546F5" w:rsidP="009546F5"/>
    <w:p w14:paraId="46493D58" w14:textId="77777777" w:rsidR="009546F5" w:rsidRDefault="009546F5" w:rsidP="009546F5">
      <w:pPr>
        <w:rPr>
          <w:rFonts w:cs="Arial"/>
        </w:rPr>
      </w:pPr>
    </w:p>
    <w:p w14:paraId="01206A2C" w14:textId="77777777" w:rsidR="009546F5" w:rsidRDefault="009546F5" w:rsidP="009546F5">
      <w:pPr>
        <w:tabs>
          <w:tab w:val="left" w:pos="1509"/>
        </w:tabs>
        <w:sectPr w:rsidR="009546F5">
          <w:headerReference w:type="default" r:id="rId21"/>
          <w:footerReference w:type="default" r:id="rId22"/>
          <w:pgSz w:w="12240" w:h="15840"/>
          <w:pgMar w:top="1440" w:right="1440" w:bottom="1440" w:left="1440" w:header="720" w:footer="720" w:gutter="0"/>
          <w:cols w:space="720"/>
        </w:sectPr>
      </w:pPr>
      <w:r>
        <w:tab/>
      </w:r>
    </w:p>
    <w:p w14:paraId="335863B4" w14:textId="7319AF04" w:rsidR="00BB70C3" w:rsidRPr="00E538FD" w:rsidRDefault="009546F5" w:rsidP="009546F5">
      <w:pPr>
        <w:pStyle w:val="ListParagraph"/>
        <w:pageBreakBefore/>
        <w:numPr>
          <w:ilvl w:val="0"/>
          <w:numId w:val="6"/>
        </w:numPr>
        <w:contextualSpacing w:val="0"/>
        <w:jc w:val="both"/>
        <w:rPr>
          <w:rFonts w:cs="Arial"/>
          <w:b/>
          <w:bCs/>
        </w:rPr>
      </w:pPr>
      <w:r>
        <w:rPr>
          <w:rFonts w:cs="Arial"/>
          <w:b/>
          <w:bCs/>
        </w:rPr>
        <w:lastRenderedPageBreak/>
        <w:t>Procurement Specific Questionnaire</w:t>
      </w:r>
    </w:p>
    <w:p w14:paraId="078301CB" w14:textId="2B415E5E" w:rsidR="003937B1" w:rsidRDefault="00E07197" w:rsidP="00320D15">
      <w:pPr>
        <w:pStyle w:val="ListParagraph"/>
        <w:numPr>
          <w:ilvl w:val="1"/>
          <w:numId w:val="6"/>
        </w:numPr>
        <w:contextualSpacing w:val="0"/>
        <w:jc w:val="both"/>
        <w:rPr>
          <w:rFonts w:cs="Arial"/>
        </w:rPr>
      </w:pPr>
      <w:r>
        <w:rPr>
          <w:rFonts w:cs="Arial"/>
        </w:rPr>
        <w:t xml:space="preserve">The tables within this section set </w:t>
      </w:r>
      <w:r w:rsidR="003937B1" w:rsidRPr="00E538FD">
        <w:rPr>
          <w:rFonts w:cs="Arial"/>
        </w:rPr>
        <w:t xml:space="preserve">out the </w:t>
      </w:r>
      <w:r>
        <w:rPr>
          <w:rFonts w:cs="Arial"/>
        </w:rPr>
        <w:t xml:space="preserve">PSQ questions that must be responded to by </w:t>
      </w:r>
      <w:r w:rsidR="004E5DA7">
        <w:rPr>
          <w:rFonts w:cs="Arial"/>
        </w:rPr>
        <w:t xml:space="preserve">Suppliers </w:t>
      </w:r>
      <w:r>
        <w:rPr>
          <w:rFonts w:cs="Arial"/>
        </w:rPr>
        <w:t>in line with the guidance provided</w:t>
      </w:r>
      <w:r w:rsidR="000C4E88" w:rsidRPr="00E538FD">
        <w:rPr>
          <w:rFonts w:cs="Arial"/>
        </w:rPr>
        <w:t>.</w:t>
      </w:r>
    </w:p>
    <w:p w14:paraId="69CAFA6E" w14:textId="05CDFFE3" w:rsidR="001F6145" w:rsidRDefault="001F6145" w:rsidP="00320D15">
      <w:pPr>
        <w:pStyle w:val="ListParagraph"/>
        <w:numPr>
          <w:ilvl w:val="1"/>
          <w:numId w:val="6"/>
        </w:numPr>
        <w:contextualSpacing w:val="0"/>
        <w:jc w:val="both"/>
        <w:rPr>
          <w:rFonts w:cs="Arial"/>
        </w:rPr>
      </w:pPr>
      <w:r>
        <w:rPr>
          <w:rFonts w:cs="Arial"/>
        </w:rPr>
        <w:t xml:space="preserve">Schedule 2 provides further guidance with respect to any page and/or word limits, and the required format of a </w:t>
      </w:r>
      <w:r w:rsidR="004E5DA7">
        <w:rPr>
          <w:rFonts w:cs="Arial"/>
        </w:rPr>
        <w:t xml:space="preserve">Supplier’s </w:t>
      </w:r>
      <w:r>
        <w:rPr>
          <w:rFonts w:cs="Arial"/>
        </w:rPr>
        <w:t>response.</w:t>
      </w:r>
    </w:p>
    <w:p w14:paraId="0DFAEA88" w14:textId="4E988212" w:rsidR="00EB5B89" w:rsidRDefault="00EB5B89" w:rsidP="00320D15">
      <w:pPr>
        <w:pStyle w:val="ListParagraph"/>
        <w:numPr>
          <w:ilvl w:val="1"/>
          <w:numId w:val="6"/>
        </w:numPr>
        <w:contextualSpacing w:val="0"/>
        <w:jc w:val="both"/>
        <w:rPr>
          <w:rFonts w:cs="Arial"/>
        </w:rPr>
      </w:pPr>
      <w:r>
        <w:rPr>
          <w:rFonts w:cs="Arial"/>
        </w:rPr>
        <w:t>Schedule 3 contains the detailed evaluation guidance for the PSQ, which should be read in conjunction with the below questions.</w:t>
      </w:r>
    </w:p>
    <w:p w14:paraId="28D0C43B" w14:textId="507E93C6" w:rsidR="00A62632" w:rsidRPr="00A62632" w:rsidRDefault="004E5DA7" w:rsidP="5E5883BE">
      <w:pPr>
        <w:pStyle w:val="ListParagraph"/>
        <w:numPr>
          <w:ilvl w:val="1"/>
          <w:numId w:val="6"/>
        </w:numPr>
        <w:contextualSpacing w:val="0"/>
        <w:jc w:val="both"/>
        <w:rPr>
          <w:rFonts w:cs="Arial"/>
        </w:rPr>
      </w:pPr>
      <w:r>
        <w:rPr>
          <w:rFonts w:cs="Arial"/>
        </w:rPr>
        <w:t>Suppliers</w:t>
      </w:r>
      <w:r w:rsidR="00A62632" w:rsidRPr="00A62632">
        <w:rPr>
          <w:rFonts w:cs="Arial"/>
        </w:rPr>
        <w:t xml:space="preserve"> must ensure that every organisation on which they will rely to meet the selection criteria completes and submits their own answers and declaration for </w:t>
      </w:r>
      <w:r w:rsidR="00A74322">
        <w:rPr>
          <w:rFonts w:cs="Arial"/>
        </w:rPr>
        <w:t xml:space="preserve">the preliminary questions, </w:t>
      </w:r>
      <w:r w:rsidR="00A62632" w:rsidRPr="00A62632">
        <w:rPr>
          <w:rFonts w:cs="Arial"/>
        </w:rPr>
        <w:t>part 1 and 2.</w:t>
      </w:r>
    </w:p>
    <w:p w14:paraId="4F22DF28" w14:textId="3AED0B15" w:rsidR="00BB5EC3" w:rsidRPr="00BB5EC3" w:rsidRDefault="00BB5EC3" w:rsidP="5E5883BE">
      <w:pPr>
        <w:pStyle w:val="ListParagraph"/>
        <w:numPr>
          <w:ilvl w:val="1"/>
          <w:numId w:val="6"/>
        </w:numPr>
        <w:contextualSpacing w:val="0"/>
        <w:jc w:val="both"/>
        <w:rPr>
          <w:rFonts w:cs="Arial"/>
        </w:rPr>
      </w:pPr>
      <w:r>
        <w:rPr>
          <w:rFonts w:cs="Arial"/>
        </w:rPr>
        <w:t xml:space="preserve">Note that at the point of publication, the ‘share code’ functionality of the CDP may not be operational in such a way to allow HMRC to view the information directly. Therefore, when responding to questions within the PSQ that request information be completed on the CDP, suppliers must generate a </w:t>
      </w:r>
      <w:r w:rsidR="00AB367D">
        <w:rPr>
          <w:rFonts w:cs="Arial"/>
        </w:rPr>
        <w:t>word document</w:t>
      </w:r>
      <w:r>
        <w:rPr>
          <w:rFonts w:cs="Arial"/>
        </w:rPr>
        <w:t xml:space="preserve"> </w:t>
      </w:r>
      <w:r w:rsidR="00AB367D">
        <w:rPr>
          <w:rFonts w:cs="Arial"/>
        </w:rPr>
        <w:t>with</w:t>
      </w:r>
      <w:r>
        <w:rPr>
          <w:rFonts w:cs="Arial"/>
        </w:rPr>
        <w:t xml:space="preserve"> the required information from the CDP and attach this within the appropriate section of the </w:t>
      </w:r>
      <w:r w:rsidR="00435FA4">
        <w:rPr>
          <w:rFonts w:cs="Arial"/>
        </w:rPr>
        <w:t>questionnaire</w:t>
      </w:r>
      <w:r>
        <w:rPr>
          <w:rFonts w:cs="Arial"/>
        </w:rPr>
        <w:t xml:space="preserve"> on</w:t>
      </w:r>
      <w:r w:rsidDel="00E85686">
        <w:rPr>
          <w:rFonts w:cs="Arial"/>
        </w:rPr>
        <w:t xml:space="preserve"> </w:t>
      </w:r>
      <w:r>
        <w:rPr>
          <w:rFonts w:cs="Arial"/>
        </w:rPr>
        <w:t>Ariba.</w:t>
      </w:r>
    </w:p>
    <w:p w14:paraId="0BB38502" w14:textId="77777777" w:rsidR="00286052" w:rsidRPr="00E66809" w:rsidRDefault="00286052" w:rsidP="00286052">
      <w:pPr>
        <w:keepNext/>
        <w:keepLines/>
        <w:spacing w:after="0" w:line="276" w:lineRule="auto"/>
        <w:outlineLvl w:val="2"/>
        <w:rPr>
          <w:rFonts w:eastAsia="Arial" w:cs="Calibri"/>
          <w:b/>
        </w:rPr>
      </w:pPr>
      <w:r w:rsidRPr="00E66809">
        <w:rPr>
          <w:rFonts w:eastAsia="Arial" w:cs="Calibri"/>
          <w:b/>
        </w:rPr>
        <w:t>Preliminary Questions</w:t>
      </w:r>
    </w:p>
    <w:p w14:paraId="01024691" w14:textId="77777777" w:rsidR="00286052" w:rsidRPr="00E66809" w:rsidRDefault="00286052" w:rsidP="00286052">
      <w:pPr>
        <w:spacing w:after="0" w:line="276" w:lineRule="auto"/>
        <w:rPr>
          <w:rFonts w:eastAsia="Arial" w:cs="Calibri"/>
        </w:rPr>
      </w:pPr>
      <w:bookmarkStart w:id="34" w:name="_Toc289071595"/>
      <w:bookmarkStart w:id="35" w:name="_Toc1137240"/>
      <w:bookmarkStart w:id="36" w:name="_Toc414530191"/>
      <w:bookmarkStart w:id="37" w:name="_Toc415475603"/>
      <w:bookmarkStart w:id="38" w:name="_Toc415561555"/>
      <w:bookmarkStart w:id="39" w:name="_Toc415561668"/>
      <w:bookmarkStart w:id="40" w:name="_Toc415561745"/>
      <w:bookmarkStart w:id="41" w:name="_Toc415561814"/>
      <w:bookmarkStart w:id="42" w:name="_Toc535334460"/>
      <w:bookmarkStart w:id="43" w:name="_Toc138059341"/>
      <w:bookmarkStart w:id="44" w:name="_Toc141778554"/>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385"/>
        <w:gridCol w:w="4436"/>
      </w:tblGrid>
      <w:tr w:rsidR="00286052" w:rsidRPr="009F58F2" w14:paraId="56E4DBF7" w14:textId="77777777" w:rsidTr="006B0E8F">
        <w:tc>
          <w:tcPr>
            <w:tcW w:w="0" w:type="auto"/>
            <w:tcBorders>
              <w:top w:val="single" w:sz="6" w:space="0" w:color="000000"/>
              <w:bottom w:val="single" w:sz="6" w:space="0" w:color="000000"/>
            </w:tcBorders>
            <w:shd w:val="clear" w:color="auto" w:fill="009999"/>
          </w:tcPr>
          <w:p w14:paraId="4F59DBED" w14:textId="77777777" w:rsidR="00286052" w:rsidRPr="009F58F2" w:rsidRDefault="00286052">
            <w:pPr>
              <w:spacing w:after="0" w:line="276" w:lineRule="auto"/>
              <w:ind w:right="101"/>
              <w:rPr>
                <w:rFonts w:eastAsia="Times New Roman" w:cs="Calibri"/>
                <w:b/>
                <w:bCs/>
                <w:color w:val="FFFFFF" w:themeColor="background1"/>
              </w:rPr>
            </w:pPr>
            <w:r w:rsidRPr="009F58F2">
              <w:rPr>
                <w:rFonts w:eastAsia="Times New Roman" w:cs="Calibri"/>
                <w:b/>
                <w:bCs/>
                <w:color w:val="FFFFFF" w:themeColor="background1"/>
              </w:rPr>
              <w:t>Question Number</w:t>
            </w:r>
          </w:p>
        </w:tc>
        <w:tc>
          <w:tcPr>
            <w:tcW w:w="7385" w:type="dxa"/>
            <w:tcBorders>
              <w:top w:val="single" w:sz="6" w:space="0" w:color="000000"/>
              <w:bottom w:val="single" w:sz="6" w:space="0" w:color="000000"/>
            </w:tcBorders>
            <w:shd w:val="clear" w:color="auto" w:fill="009999"/>
          </w:tcPr>
          <w:p w14:paraId="4556F63B" w14:textId="77777777" w:rsidR="00286052" w:rsidRPr="009F58F2" w:rsidRDefault="00286052">
            <w:pPr>
              <w:spacing w:after="0" w:line="276" w:lineRule="auto"/>
              <w:rPr>
                <w:rFonts w:eastAsia="Times New Roman" w:cs="Calibri"/>
                <w:b/>
                <w:bCs/>
                <w:color w:val="FFFFFF" w:themeColor="background1"/>
              </w:rPr>
            </w:pPr>
            <w:r w:rsidRPr="009F58F2">
              <w:rPr>
                <w:rFonts w:eastAsia="Arial" w:cs="Calibri"/>
                <w:b/>
                <w:bCs/>
                <w:color w:val="FFFFFF" w:themeColor="background1"/>
              </w:rPr>
              <w:t>Question</w:t>
            </w:r>
          </w:p>
        </w:tc>
        <w:tc>
          <w:tcPr>
            <w:tcW w:w="4436" w:type="dxa"/>
            <w:tcBorders>
              <w:top w:val="single" w:sz="6" w:space="0" w:color="000000"/>
              <w:bottom w:val="single" w:sz="6" w:space="0" w:color="000000"/>
            </w:tcBorders>
            <w:shd w:val="clear" w:color="auto" w:fill="009999"/>
          </w:tcPr>
          <w:p w14:paraId="3431004A" w14:textId="77777777" w:rsidR="00286052" w:rsidRPr="009F58F2" w:rsidRDefault="00286052">
            <w:pPr>
              <w:spacing w:after="0" w:line="276" w:lineRule="auto"/>
              <w:rPr>
                <w:rFonts w:eastAsia="Times New Roman" w:cs="Calibri"/>
                <w:b/>
                <w:bCs/>
                <w:color w:val="FFFFFF" w:themeColor="background1"/>
              </w:rPr>
            </w:pPr>
            <w:r w:rsidRPr="009F58F2">
              <w:rPr>
                <w:rFonts w:eastAsia="Arial" w:cs="Calibri"/>
                <w:b/>
                <w:bCs/>
                <w:color w:val="FFFFFF" w:themeColor="background1"/>
              </w:rPr>
              <w:t>Response</w:t>
            </w:r>
          </w:p>
        </w:tc>
      </w:tr>
      <w:tr w:rsidR="00286052" w:rsidRPr="009F58F2" w14:paraId="4DAE3B98" w14:textId="77777777" w:rsidTr="006B0E8F">
        <w:tc>
          <w:tcPr>
            <w:tcW w:w="0" w:type="auto"/>
            <w:tcBorders>
              <w:top w:val="single" w:sz="6" w:space="0" w:color="000000"/>
            </w:tcBorders>
            <w:shd w:val="clear" w:color="auto" w:fill="F2F2F2" w:themeFill="background1" w:themeFillShade="F2"/>
          </w:tcPr>
          <w:p w14:paraId="24D77EB4" w14:textId="75EA8AC0" w:rsidR="00286052" w:rsidRPr="009F58F2" w:rsidRDefault="00286052">
            <w:pPr>
              <w:spacing w:after="0" w:line="276" w:lineRule="auto"/>
              <w:rPr>
                <w:rFonts w:eastAsia="Arial" w:cs="Arial"/>
                <w:b/>
                <w:bCs/>
              </w:rPr>
            </w:pPr>
            <w:r w:rsidRPr="009F58F2">
              <w:rPr>
                <w:rFonts w:eastAsia="Arial" w:cs="Arial"/>
                <w:b/>
                <w:bCs/>
              </w:rPr>
              <w:t>1.1</w:t>
            </w:r>
          </w:p>
        </w:tc>
        <w:tc>
          <w:tcPr>
            <w:tcW w:w="7385" w:type="dxa"/>
            <w:tcBorders>
              <w:top w:val="single" w:sz="6" w:space="0" w:color="000000"/>
            </w:tcBorders>
            <w:shd w:val="clear" w:color="auto" w:fill="F2F2F2" w:themeFill="background1" w:themeFillShade="F2"/>
          </w:tcPr>
          <w:p w14:paraId="7A248F69" w14:textId="77777777" w:rsidR="00286052" w:rsidRPr="009F58F2" w:rsidRDefault="00286052">
            <w:pPr>
              <w:spacing w:after="0" w:line="276" w:lineRule="auto"/>
              <w:rPr>
                <w:rFonts w:eastAsia="Arial" w:cs="Arial"/>
              </w:rPr>
            </w:pPr>
            <w:r w:rsidRPr="009F58F2">
              <w:rPr>
                <w:rFonts w:eastAsia="Arial" w:cs="Arial"/>
              </w:rPr>
              <w:t>What is your name?</w:t>
            </w:r>
          </w:p>
        </w:tc>
        <w:tc>
          <w:tcPr>
            <w:tcW w:w="4436" w:type="dxa"/>
            <w:tcBorders>
              <w:top w:val="single" w:sz="6" w:space="0" w:color="000000"/>
            </w:tcBorders>
          </w:tcPr>
          <w:p w14:paraId="679EAF0C" w14:textId="77777777" w:rsidR="00286052" w:rsidRPr="009F58F2" w:rsidRDefault="00286052">
            <w:pPr>
              <w:tabs>
                <w:tab w:val="left" w:pos="602"/>
              </w:tabs>
              <w:spacing w:after="0" w:line="276" w:lineRule="auto"/>
              <w:rPr>
                <w:rFonts w:eastAsia="Arial" w:cs="Calibri"/>
              </w:rPr>
            </w:pPr>
            <w:r w:rsidRPr="009F58F2">
              <w:rPr>
                <w:rFonts w:eastAsia="Arial" w:cs="Calibri"/>
              </w:rPr>
              <w:t>[Insert Supplier name]</w:t>
            </w:r>
          </w:p>
        </w:tc>
      </w:tr>
      <w:tr w:rsidR="00286052" w:rsidRPr="009F58F2" w14:paraId="008F7226" w14:textId="77777777" w:rsidTr="006B0E8F">
        <w:tc>
          <w:tcPr>
            <w:tcW w:w="0" w:type="auto"/>
            <w:tcBorders>
              <w:top w:val="single" w:sz="6" w:space="0" w:color="000000"/>
            </w:tcBorders>
            <w:shd w:val="clear" w:color="auto" w:fill="F2F2F2" w:themeFill="background1" w:themeFillShade="F2"/>
          </w:tcPr>
          <w:p w14:paraId="30312710" w14:textId="5C4E93DF" w:rsidR="00286052" w:rsidRPr="009F58F2" w:rsidRDefault="00286052">
            <w:pPr>
              <w:spacing w:after="0" w:line="276" w:lineRule="auto"/>
              <w:rPr>
                <w:rFonts w:eastAsia="Arial" w:cs="Arial"/>
                <w:b/>
                <w:bCs/>
              </w:rPr>
            </w:pPr>
            <w:r w:rsidRPr="009F58F2">
              <w:rPr>
                <w:rFonts w:eastAsia="Arial" w:cs="Arial"/>
                <w:b/>
                <w:bCs/>
              </w:rPr>
              <w:t>1.2</w:t>
            </w:r>
          </w:p>
        </w:tc>
        <w:tc>
          <w:tcPr>
            <w:tcW w:w="7385" w:type="dxa"/>
            <w:tcBorders>
              <w:top w:val="single" w:sz="6" w:space="0" w:color="000000"/>
            </w:tcBorders>
            <w:shd w:val="clear" w:color="auto" w:fill="F2F2F2" w:themeFill="background1" w:themeFillShade="F2"/>
          </w:tcPr>
          <w:p w14:paraId="68B4596A" w14:textId="77777777" w:rsidR="00286052" w:rsidRPr="009F58F2" w:rsidRDefault="00286052">
            <w:pPr>
              <w:spacing w:after="0" w:line="276" w:lineRule="auto"/>
              <w:rPr>
                <w:rFonts w:eastAsia="Arial" w:cs="Arial"/>
              </w:rPr>
            </w:pPr>
            <w:r w:rsidRPr="009F58F2">
              <w:rPr>
                <w:rFonts w:eastAsia="Arial" w:cs="Arial"/>
              </w:rPr>
              <w:t>What is your central digital platform unique identifier?</w:t>
            </w:r>
          </w:p>
        </w:tc>
        <w:tc>
          <w:tcPr>
            <w:tcW w:w="4436" w:type="dxa"/>
            <w:tcBorders>
              <w:top w:val="single" w:sz="6" w:space="0" w:color="000000"/>
            </w:tcBorders>
          </w:tcPr>
          <w:p w14:paraId="69D73815" w14:textId="77777777" w:rsidR="00286052" w:rsidRPr="009F58F2" w:rsidRDefault="00286052">
            <w:pPr>
              <w:tabs>
                <w:tab w:val="left" w:pos="602"/>
              </w:tabs>
              <w:spacing w:after="0" w:line="276" w:lineRule="auto"/>
              <w:rPr>
                <w:rFonts w:eastAsia="Arial" w:cs="Calibri"/>
              </w:rPr>
            </w:pPr>
            <w:r w:rsidRPr="009F58F2">
              <w:rPr>
                <w:rFonts w:eastAsia="Arial" w:cs="Calibri"/>
              </w:rPr>
              <w:t>[Insert unique identifier]</w:t>
            </w:r>
          </w:p>
        </w:tc>
      </w:tr>
      <w:tr w:rsidR="00286052" w:rsidRPr="009F58F2" w14:paraId="70EC8E14" w14:textId="77777777" w:rsidTr="006B0E8F">
        <w:tc>
          <w:tcPr>
            <w:tcW w:w="0" w:type="auto"/>
            <w:tcBorders>
              <w:top w:val="single" w:sz="6" w:space="0" w:color="000000"/>
            </w:tcBorders>
            <w:shd w:val="clear" w:color="auto" w:fill="F2F2F2" w:themeFill="background1" w:themeFillShade="F2"/>
          </w:tcPr>
          <w:p w14:paraId="1A1ABA3A" w14:textId="03C52AEE" w:rsidR="00286052" w:rsidRPr="009F58F2" w:rsidRDefault="00286052">
            <w:pPr>
              <w:spacing w:after="0" w:line="276" w:lineRule="auto"/>
              <w:rPr>
                <w:rFonts w:eastAsia="Times New Roman" w:cs="Arial"/>
                <w:b/>
                <w:bCs/>
              </w:rPr>
            </w:pPr>
            <w:r w:rsidRPr="009F58F2">
              <w:rPr>
                <w:rFonts w:eastAsia="Arial" w:cs="Arial"/>
                <w:b/>
                <w:bCs/>
              </w:rPr>
              <w:t>1.3</w:t>
            </w:r>
          </w:p>
        </w:tc>
        <w:tc>
          <w:tcPr>
            <w:tcW w:w="7385" w:type="dxa"/>
            <w:tcBorders>
              <w:top w:val="single" w:sz="6" w:space="0" w:color="000000"/>
            </w:tcBorders>
            <w:shd w:val="clear" w:color="auto" w:fill="F2F2F2" w:themeFill="background1" w:themeFillShade="F2"/>
          </w:tcPr>
          <w:p w14:paraId="0E67132C" w14:textId="77777777" w:rsidR="00286052" w:rsidRPr="009F58F2" w:rsidRDefault="00286052">
            <w:pPr>
              <w:spacing w:after="0" w:line="276" w:lineRule="auto"/>
              <w:rPr>
                <w:rFonts w:eastAsia="Arial" w:cs="Arial"/>
              </w:rPr>
            </w:pPr>
            <w:r w:rsidRPr="009F58F2">
              <w:rPr>
                <w:rFonts w:eastAsia="Arial" w:cs="Arial"/>
              </w:rPr>
              <w:t>Please indicate if you are bidding as a single supplier (with or without sub-contractors) or as part of a group or consortium?</w:t>
            </w:r>
          </w:p>
        </w:tc>
        <w:tc>
          <w:tcPr>
            <w:tcW w:w="4436" w:type="dxa"/>
            <w:tcBorders>
              <w:top w:val="single" w:sz="6" w:space="0" w:color="000000"/>
            </w:tcBorders>
          </w:tcPr>
          <w:p w14:paraId="235744A2" w14:textId="77777777" w:rsidR="00286052" w:rsidRPr="009F58F2" w:rsidRDefault="00286052">
            <w:pPr>
              <w:tabs>
                <w:tab w:val="left" w:pos="602"/>
              </w:tabs>
              <w:spacing w:after="0" w:line="276" w:lineRule="auto"/>
              <w:rPr>
                <w:rFonts w:eastAsia="Times New Roman" w:cs="Calibri"/>
              </w:rPr>
            </w:pPr>
            <w:bookmarkStart w:id="45" w:name="_4d34og8" w:colFirst="0" w:colLast="0"/>
            <w:bookmarkEnd w:id="45"/>
            <w:r w:rsidRPr="009F58F2">
              <w:rPr>
                <w:rFonts w:eastAsia="Arial" w:cs="Calibri"/>
              </w:rPr>
              <w:t xml:space="preserve">Single Supplier </w:t>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9F58F2">
              <w:rPr>
                <w:rFonts w:eastAsia="Times New Roman" w:cs="Calibri"/>
              </w:rPr>
              <w:fldChar w:fldCharType="end"/>
            </w:r>
          </w:p>
          <w:p w14:paraId="65F0BB2D" w14:textId="50CE0D42" w:rsidR="00286052" w:rsidRPr="009F58F2" w:rsidRDefault="00286052">
            <w:pPr>
              <w:tabs>
                <w:tab w:val="left" w:pos="612"/>
              </w:tabs>
              <w:spacing w:after="0" w:line="276" w:lineRule="auto"/>
              <w:rPr>
                <w:rFonts w:eastAsia="Times New Roman" w:cs="Calibri"/>
              </w:rPr>
            </w:pPr>
            <w:r w:rsidRPr="009F58F2">
              <w:rPr>
                <w:rFonts w:eastAsia="Arial" w:cs="Calibri"/>
              </w:rPr>
              <w:t>Group</w:t>
            </w:r>
            <w:r w:rsidR="00360014">
              <w:rPr>
                <w:rFonts w:eastAsia="Arial" w:cs="Calibri"/>
              </w:rPr>
              <w:t xml:space="preserve"> </w:t>
            </w:r>
            <w:r w:rsidRPr="009F58F2">
              <w:rPr>
                <w:rFonts w:eastAsia="Arial" w:cs="Calibri"/>
              </w:rPr>
              <w:tab/>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9F58F2">
              <w:rPr>
                <w:rFonts w:eastAsia="Times New Roman" w:cs="Calibri"/>
              </w:rPr>
              <w:fldChar w:fldCharType="end"/>
            </w:r>
          </w:p>
          <w:p w14:paraId="5F499802" w14:textId="77777777" w:rsidR="00286052" w:rsidRPr="009F58F2" w:rsidRDefault="00286052">
            <w:pPr>
              <w:tabs>
                <w:tab w:val="left" w:pos="612"/>
              </w:tabs>
              <w:spacing w:after="0" w:line="276" w:lineRule="auto"/>
              <w:rPr>
                <w:rFonts w:eastAsia="Times New Roman" w:cs="Calibri"/>
              </w:rPr>
            </w:pPr>
            <w:r w:rsidRPr="009F58F2">
              <w:rPr>
                <w:rFonts w:eastAsia="Arial" w:cs="Calibri"/>
              </w:rPr>
              <w:t xml:space="preserve">Consortium </w:t>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9F58F2">
              <w:rPr>
                <w:rFonts w:eastAsia="Times New Roman" w:cs="Calibri"/>
              </w:rPr>
              <w:fldChar w:fldCharType="end"/>
            </w:r>
          </w:p>
          <w:p w14:paraId="2559610A" w14:textId="77777777" w:rsidR="00286052" w:rsidRPr="009F58F2" w:rsidRDefault="00286052">
            <w:pPr>
              <w:spacing w:after="0" w:line="276" w:lineRule="auto"/>
              <w:rPr>
                <w:rFonts w:eastAsia="Times New Roman" w:cs="Calibri"/>
              </w:rPr>
            </w:pPr>
          </w:p>
        </w:tc>
      </w:tr>
      <w:tr w:rsidR="00286052" w:rsidRPr="009F58F2" w14:paraId="622AF466" w14:textId="77777777" w:rsidTr="006B0E8F">
        <w:tc>
          <w:tcPr>
            <w:tcW w:w="0" w:type="auto"/>
            <w:tcBorders>
              <w:top w:val="single" w:sz="6" w:space="0" w:color="000000"/>
              <w:bottom w:val="single" w:sz="6" w:space="0" w:color="000000"/>
            </w:tcBorders>
            <w:shd w:val="clear" w:color="auto" w:fill="F2F2F2" w:themeFill="background1" w:themeFillShade="F2"/>
          </w:tcPr>
          <w:p w14:paraId="3E13801D" w14:textId="04E4F16D" w:rsidR="00286052" w:rsidRPr="009F58F2" w:rsidRDefault="00286052">
            <w:pPr>
              <w:spacing w:after="0" w:line="276" w:lineRule="auto"/>
              <w:rPr>
                <w:rFonts w:eastAsia="Arial" w:cs="Arial"/>
                <w:b/>
                <w:bCs/>
              </w:rPr>
            </w:pPr>
            <w:r w:rsidRPr="009F58F2">
              <w:rPr>
                <w:rFonts w:eastAsia="Arial" w:cs="Arial"/>
                <w:b/>
                <w:bCs/>
              </w:rPr>
              <w:t>1.4</w:t>
            </w:r>
          </w:p>
        </w:tc>
        <w:tc>
          <w:tcPr>
            <w:tcW w:w="7385" w:type="dxa"/>
            <w:tcBorders>
              <w:top w:val="single" w:sz="6" w:space="0" w:color="000000"/>
              <w:bottom w:val="single" w:sz="6" w:space="0" w:color="000000"/>
            </w:tcBorders>
            <w:shd w:val="clear" w:color="auto" w:fill="F2F2F2" w:themeFill="background1" w:themeFillShade="F2"/>
          </w:tcPr>
          <w:p w14:paraId="0D26B347" w14:textId="77777777" w:rsidR="00286052" w:rsidRPr="009F58F2" w:rsidRDefault="00286052">
            <w:pPr>
              <w:spacing w:after="120" w:line="276" w:lineRule="auto"/>
              <w:rPr>
                <w:rFonts w:eastAsia="Arial" w:cs="Arial"/>
              </w:rPr>
            </w:pPr>
            <w:r w:rsidRPr="009F58F2">
              <w:rPr>
                <w:rFonts w:eastAsia="Arial" w:cs="Arial"/>
              </w:rPr>
              <w:t xml:space="preserve">If you are bidding as part of a group or consortium (including where you intend to establish a legal entity to deliver the contract, or you are a subcontractor), please provide: </w:t>
            </w:r>
          </w:p>
          <w:p w14:paraId="20B85CFF" w14:textId="77777777" w:rsidR="00286052" w:rsidRPr="009F58F2" w:rsidRDefault="00286052" w:rsidP="00AC5D43">
            <w:pPr>
              <w:pStyle w:val="Normal1"/>
              <w:numPr>
                <w:ilvl w:val="0"/>
                <w:numId w:val="51"/>
              </w:numPr>
              <w:spacing w:after="120" w:line="276" w:lineRule="auto"/>
              <w:ind w:hanging="397"/>
              <w:rPr>
                <w:rFonts w:ascii="Arial" w:eastAsia="Arial" w:hAnsi="Arial" w:cs="Arial"/>
                <w:color w:val="auto"/>
                <w:sz w:val="22"/>
                <w:szCs w:val="22"/>
              </w:rPr>
            </w:pPr>
            <w:r w:rsidRPr="009F58F2">
              <w:rPr>
                <w:rFonts w:ascii="Arial" w:eastAsia="Arial" w:hAnsi="Arial" w:cs="Arial"/>
                <w:color w:val="auto"/>
                <w:sz w:val="22"/>
                <w:szCs w:val="22"/>
              </w:rPr>
              <w:t>The name of the group/consortium</w:t>
            </w:r>
          </w:p>
          <w:p w14:paraId="5BD470EF" w14:textId="77777777" w:rsidR="00286052" w:rsidRPr="009F58F2" w:rsidRDefault="00286052" w:rsidP="00AC5D43">
            <w:pPr>
              <w:pStyle w:val="Normal1"/>
              <w:numPr>
                <w:ilvl w:val="0"/>
                <w:numId w:val="51"/>
              </w:numPr>
              <w:spacing w:after="120" w:line="276" w:lineRule="auto"/>
              <w:ind w:hanging="397"/>
              <w:rPr>
                <w:rFonts w:ascii="Arial" w:eastAsia="Arial" w:hAnsi="Arial" w:cs="Arial"/>
                <w:color w:val="auto"/>
                <w:sz w:val="22"/>
                <w:szCs w:val="22"/>
              </w:rPr>
            </w:pPr>
            <w:r w:rsidRPr="009F58F2">
              <w:rPr>
                <w:rFonts w:ascii="Arial" w:eastAsia="Arial" w:hAnsi="Arial" w:cs="Arial"/>
                <w:color w:val="auto"/>
                <w:sz w:val="22"/>
                <w:szCs w:val="22"/>
              </w:rPr>
              <w:t>The proposed structure of the group/consortium, including the legal structure where applicable</w:t>
            </w:r>
          </w:p>
          <w:p w14:paraId="7FFD79E8" w14:textId="77777777" w:rsidR="00286052" w:rsidRPr="009F58F2" w:rsidRDefault="00286052" w:rsidP="00AC5D43">
            <w:pPr>
              <w:pStyle w:val="Normal1"/>
              <w:numPr>
                <w:ilvl w:val="0"/>
                <w:numId w:val="51"/>
              </w:numPr>
              <w:spacing w:after="120" w:line="276" w:lineRule="auto"/>
              <w:ind w:hanging="397"/>
              <w:rPr>
                <w:rFonts w:ascii="Arial" w:eastAsia="Arial" w:hAnsi="Arial" w:cs="Arial"/>
                <w:color w:val="auto"/>
                <w:sz w:val="22"/>
                <w:szCs w:val="22"/>
              </w:rPr>
            </w:pPr>
            <w:r w:rsidRPr="009F58F2">
              <w:rPr>
                <w:rFonts w:ascii="Arial" w:eastAsia="Arial" w:hAnsi="Arial" w:cs="Arial"/>
                <w:color w:val="auto"/>
                <w:sz w:val="22"/>
                <w:szCs w:val="22"/>
              </w:rPr>
              <w:lastRenderedPageBreak/>
              <w:t>The name of the prime/lead member in the group/consortium</w:t>
            </w:r>
          </w:p>
          <w:p w14:paraId="3A3AA780" w14:textId="77777777" w:rsidR="00286052" w:rsidRPr="009F58F2" w:rsidRDefault="00286052" w:rsidP="00AC5D43">
            <w:pPr>
              <w:pStyle w:val="Normal1"/>
              <w:numPr>
                <w:ilvl w:val="0"/>
                <w:numId w:val="51"/>
              </w:numPr>
              <w:spacing w:after="120" w:line="276" w:lineRule="auto"/>
              <w:ind w:hanging="397"/>
              <w:rPr>
                <w:rFonts w:ascii="Arial" w:eastAsia="Arial" w:hAnsi="Arial" w:cs="Arial"/>
                <w:color w:val="auto"/>
                <w:sz w:val="22"/>
                <w:szCs w:val="22"/>
              </w:rPr>
            </w:pPr>
            <w:r w:rsidRPr="009F58F2">
              <w:rPr>
                <w:rFonts w:ascii="Arial" w:eastAsia="Arial" w:hAnsi="Arial" w:cs="Arial"/>
                <w:color w:val="auto"/>
                <w:sz w:val="22"/>
                <w:szCs w:val="22"/>
              </w:rPr>
              <w:t>Your role in the group/consortium (e.g. prime/lead member, consortium member, subcontractor)</w:t>
            </w:r>
          </w:p>
          <w:p w14:paraId="7738BAD4" w14:textId="77777777" w:rsidR="00286052" w:rsidRPr="009F58F2" w:rsidRDefault="00286052" w:rsidP="00AD19D7">
            <w:pPr>
              <w:pStyle w:val="Normal1"/>
              <w:numPr>
                <w:ilvl w:val="0"/>
                <w:numId w:val="51"/>
              </w:numPr>
              <w:spacing w:line="276" w:lineRule="auto"/>
              <w:ind w:left="714" w:hanging="357"/>
              <w:rPr>
                <w:rFonts w:ascii="Arial" w:eastAsia="Arial" w:hAnsi="Arial" w:cs="Arial"/>
                <w:sz w:val="22"/>
                <w:szCs w:val="22"/>
              </w:rPr>
            </w:pPr>
            <w:r w:rsidRPr="009F58F2">
              <w:rPr>
                <w:rFonts w:ascii="Arial" w:eastAsia="Arial" w:hAnsi="Arial" w:cs="Arial"/>
                <w:color w:val="auto"/>
                <w:sz w:val="22"/>
                <w:szCs w:val="22"/>
              </w:rPr>
              <w:t>Confirmation (if you are the prime/lead member in the group/consortium) whether you are relying on other consortium members to meet the selection criteria (i.e. are you relying on other consortium members for economic and technical standing and/or technical and professional ability?). If so, please confirm to which criteria this applies.</w:t>
            </w:r>
          </w:p>
        </w:tc>
        <w:tc>
          <w:tcPr>
            <w:tcW w:w="4436" w:type="dxa"/>
            <w:tcBorders>
              <w:top w:val="single" w:sz="6" w:space="0" w:color="000000"/>
              <w:bottom w:val="single" w:sz="6" w:space="0" w:color="000000"/>
            </w:tcBorders>
          </w:tcPr>
          <w:p w14:paraId="56645558" w14:textId="33A2324B" w:rsidR="00286052" w:rsidRPr="009F58F2" w:rsidRDefault="00602CB2">
            <w:pPr>
              <w:tabs>
                <w:tab w:val="left" w:pos="602"/>
              </w:tabs>
              <w:spacing w:after="0" w:line="276" w:lineRule="auto"/>
              <w:rPr>
                <w:rFonts w:eastAsia="Arial" w:cs="Calibri"/>
              </w:rPr>
            </w:pPr>
            <w:r w:rsidRPr="009F58F2">
              <w:rPr>
                <w:rFonts w:eastAsia="Arial" w:cs="Calibri"/>
              </w:rPr>
              <w:lastRenderedPageBreak/>
              <w:t>[Insert details here]</w:t>
            </w:r>
          </w:p>
        </w:tc>
      </w:tr>
      <w:tr w:rsidR="00286052" w:rsidRPr="009F58F2" w14:paraId="4290FEBB" w14:textId="77777777" w:rsidTr="006B0E8F">
        <w:trPr>
          <w:trHeight w:val="787"/>
        </w:trPr>
        <w:tc>
          <w:tcPr>
            <w:tcW w:w="0" w:type="auto"/>
            <w:vMerge w:val="restart"/>
            <w:tcBorders>
              <w:top w:val="single" w:sz="6" w:space="0" w:color="000000"/>
            </w:tcBorders>
            <w:shd w:val="clear" w:color="auto" w:fill="F2F2F2" w:themeFill="background1" w:themeFillShade="F2"/>
          </w:tcPr>
          <w:p w14:paraId="24EEC852" w14:textId="6E5E6291" w:rsidR="00286052" w:rsidRPr="009F58F2" w:rsidRDefault="00286052">
            <w:pPr>
              <w:spacing w:after="0" w:line="276" w:lineRule="auto"/>
              <w:rPr>
                <w:rFonts w:eastAsia="Arial" w:cs="Arial"/>
                <w:b/>
                <w:bCs/>
              </w:rPr>
            </w:pPr>
            <w:r w:rsidRPr="009F58F2">
              <w:rPr>
                <w:rFonts w:eastAsia="Arial" w:cs="Arial"/>
                <w:b/>
                <w:bCs/>
              </w:rPr>
              <w:t>1.5</w:t>
            </w:r>
          </w:p>
        </w:tc>
        <w:tc>
          <w:tcPr>
            <w:tcW w:w="7385" w:type="dxa"/>
            <w:vMerge w:val="restart"/>
            <w:tcBorders>
              <w:top w:val="single" w:sz="6" w:space="0" w:color="000000"/>
            </w:tcBorders>
            <w:shd w:val="clear" w:color="auto" w:fill="F2F2F2" w:themeFill="background1" w:themeFillShade="F2"/>
          </w:tcPr>
          <w:p w14:paraId="7787AE67" w14:textId="77777777" w:rsidR="00286052" w:rsidRPr="009F58F2" w:rsidRDefault="00286052">
            <w:pPr>
              <w:spacing w:after="0" w:line="276" w:lineRule="auto"/>
              <w:rPr>
                <w:rFonts w:eastAsia="Arial" w:cs="Calibri"/>
              </w:rPr>
            </w:pPr>
            <w:r w:rsidRPr="009F58F2">
              <w:rPr>
                <w:rFonts w:eastAsia="Arial" w:cs="Calibri"/>
              </w:rPr>
              <w:t>Are you on the debarment list?</w:t>
            </w:r>
          </w:p>
          <w:p w14:paraId="2B3AA399" w14:textId="77777777" w:rsidR="00286052" w:rsidRPr="009F58F2" w:rsidRDefault="00286052">
            <w:pPr>
              <w:spacing w:after="0" w:line="276" w:lineRule="auto"/>
              <w:rPr>
                <w:rFonts w:eastAsia="Arial" w:cs="Calibri"/>
              </w:rPr>
            </w:pPr>
          </w:p>
          <w:p w14:paraId="03A2F9EE" w14:textId="77777777" w:rsidR="00286052" w:rsidRPr="009F58F2" w:rsidRDefault="00286052">
            <w:pPr>
              <w:spacing w:after="120" w:line="276" w:lineRule="auto"/>
              <w:rPr>
                <w:rFonts w:eastAsia="Arial" w:cs="Arial"/>
              </w:rPr>
            </w:pPr>
            <w:r w:rsidRPr="009F58F2">
              <w:rPr>
                <w:rFonts w:eastAsia="Arial" w:cs="Calibri"/>
              </w:rPr>
              <w:t>If ‘Yes’, please provide details</w:t>
            </w:r>
          </w:p>
        </w:tc>
        <w:tc>
          <w:tcPr>
            <w:tcW w:w="4436" w:type="dxa"/>
            <w:tcBorders>
              <w:top w:val="single" w:sz="6" w:space="0" w:color="000000"/>
              <w:bottom w:val="single" w:sz="6" w:space="0" w:color="000000"/>
            </w:tcBorders>
          </w:tcPr>
          <w:p w14:paraId="1E5ACEAB" w14:textId="77777777" w:rsidR="00286052" w:rsidRPr="009F58F2" w:rsidRDefault="00286052">
            <w:pPr>
              <w:tabs>
                <w:tab w:val="left" w:pos="600"/>
              </w:tabs>
              <w:spacing w:after="0" w:line="276" w:lineRule="auto"/>
              <w:rPr>
                <w:rFonts w:eastAsia="Times New Roman" w:cs="Calibri"/>
              </w:rPr>
            </w:pPr>
            <w:r w:rsidRPr="009F58F2">
              <w:rPr>
                <w:rFonts w:eastAsia="Arial" w:cs="Calibri"/>
              </w:rPr>
              <w:t>Yes</w:t>
            </w:r>
            <w:r w:rsidRPr="009F58F2">
              <w:rPr>
                <w:rFonts w:eastAsia="Menlo Regular" w:cs="Calibri"/>
              </w:rPr>
              <w:t xml:space="preserve"> </w:t>
            </w:r>
            <w:r w:rsidRPr="009F58F2">
              <w:rPr>
                <w:rFonts w:eastAsia="Menlo Regular" w:cs="Calibri"/>
              </w:rPr>
              <w:tab/>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9F58F2">
              <w:rPr>
                <w:rFonts w:eastAsia="Times New Roman" w:cs="Calibri"/>
              </w:rPr>
              <w:fldChar w:fldCharType="end"/>
            </w:r>
          </w:p>
          <w:p w14:paraId="1CB73A3C" w14:textId="77777777" w:rsidR="00286052" w:rsidRPr="009F58F2" w:rsidRDefault="00286052">
            <w:pPr>
              <w:tabs>
                <w:tab w:val="left" w:pos="600"/>
              </w:tabs>
              <w:spacing w:after="0" w:line="276" w:lineRule="auto"/>
              <w:rPr>
                <w:rFonts w:eastAsia="Times New Roman" w:cs="Calibri"/>
              </w:rPr>
            </w:pPr>
            <w:r w:rsidRPr="009F58F2">
              <w:rPr>
                <w:rFonts w:eastAsia="Arial" w:cs="Calibri"/>
              </w:rPr>
              <w:t xml:space="preserve">No </w:t>
            </w:r>
            <w:r w:rsidRPr="009F58F2">
              <w:rPr>
                <w:rFonts w:eastAsia="Arial" w:cs="Calibri"/>
              </w:rPr>
              <w:tab/>
            </w:r>
            <w:r w:rsidRPr="009F58F2">
              <w:rPr>
                <w:rFonts w:eastAsia="Times New Roman" w:cs="Calibri"/>
              </w:rPr>
              <w:fldChar w:fldCharType="begin">
                <w:ffData>
                  <w:name w:val="Check1"/>
                  <w:enabled/>
                  <w:calcOnExit w:val="0"/>
                  <w:checkBox>
                    <w:sizeAuto/>
                    <w:default w:val="0"/>
                  </w:checkBox>
                </w:ffData>
              </w:fldChar>
            </w:r>
            <w:r w:rsidRPr="009F58F2">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9F58F2">
              <w:rPr>
                <w:rFonts w:eastAsia="Times New Roman" w:cs="Calibri"/>
              </w:rPr>
              <w:fldChar w:fldCharType="end"/>
            </w:r>
          </w:p>
          <w:p w14:paraId="3C41C78B" w14:textId="77777777" w:rsidR="00286052" w:rsidRPr="009F58F2" w:rsidRDefault="00286052">
            <w:pPr>
              <w:tabs>
                <w:tab w:val="left" w:pos="602"/>
              </w:tabs>
              <w:spacing w:after="0" w:line="276" w:lineRule="auto"/>
              <w:rPr>
                <w:rFonts w:eastAsia="Arial" w:cs="Calibri"/>
              </w:rPr>
            </w:pPr>
          </w:p>
        </w:tc>
      </w:tr>
      <w:tr w:rsidR="00286052" w:rsidRPr="009F58F2" w14:paraId="0FFE0A7B" w14:textId="77777777" w:rsidTr="006B0E8F">
        <w:trPr>
          <w:trHeight w:val="786"/>
        </w:trPr>
        <w:tc>
          <w:tcPr>
            <w:tcW w:w="0" w:type="auto"/>
            <w:vMerge/>
            <w:shd w:val="clear" w:color="auto" w:fill="F2F2F2" w:themeFill="background1" w:themeFillShade="F2"/>
          </w:tcPr>
          <w:p w14:paraId="4F89209A" w14:textId="77777777" w:rsidR="00286052" w:rsidRPr="009F58F2" w:rsidRDefault="00286052">
            <w:pPr>
              <w:spacing w:after="0" w:line="276" w:lineRule="auto"/>
              <w:rPr>
                <w:rFonts w:eastAsia="Arial" w:cs="Arial"/>
                <w:b/>
                <w:bCs/>
              </w:rPr>
            </w:pPr>
          </w:p>
        </w:tc>
        <w:tc>
          <w:tcPr>
            <w:tcW w:w="7385" w:type="dxa"/>
            <w:vMerge/>
            <w:shd w:val="clear" w:color="auto" w:fill="F2F2F2" w:themeFill="background1" w:themeFillShade="F2"/>
          </w:tcPr>
          <w:p w14:paraId="5AB49786" w14:textId="77777777" w:rsidR="00286052" w:rsidRPr="009F58F2" w:rsidRDefault="00286052">
            <w:pPr>
              <w:spacing w:after="0" w:line="276" w:lineRule="auto"/>
              <w:rPr>
                <w:rFonts w:eastAsia="Arial" w:cs="Calibri"/>
              </w:rPr>
            </w:pPr>
          </w:p>
        </w:tc>
        <w:tc>
          <w:tcPr>
            <w:tcW w:w="4436" w:type="dxa"/>
            <w:tcBorders>
              <w:top w:val="single" w:sz="6" w:space="0" w:color="000000"/>
            </w:tcBorders>
          </w:tcPr>
          <w:p w14:paraId="5D25D8E1" w14:textId="77777777" w:rsidR="00286052" w:rsidRPr="009F58F2" w:rsidRDefault="00286052">
            <w:pPr>
              <w:tabs>
                <w:tab w:val="left" w:pos="600"/>
              </w:tabs>
              <w:spacing w:after="0" w:line="276" w:lineRule="auto"/>
              <w:rPr>
                <w:rFonts w:eastAsia="Arial" w:cs="Calibri"/>
              </w:rPr>
            </w:pPr>
            <w:r w:rsidRPr="009F58F2">
              <w:rPr>
                <w:rFonts w:eastAsia="Arial" w:cs="Calibri"/>
              </w:rPr>
              <w:t>[Insert details here]</w:t>
            </w:r>
          </w:p>
        </w:tc>
      </w:tr>
    </w:tbl>
    <w:p w14:paraId="1FE4C2E3" w14:textId="77777777" w:rsidR="00286052" w:rsidRDefault="00286052" w:rsidP="00286052">
      <w:pPr>
        <w:spacing w:after="0" w:line="276" w:lineRule="auto"/>
        <w:rPr>
          <w:rFonts w:cs="Calibri"/>
        </w:rPr>
      </w:pPr>
    </w:p>
    <w:p w14:paraId="26154CC4" w14:textId="77777777" w:rsidR="00286052" w:rsidRDefault="00286052" w:rsidP="00286052">
      <w:pPr>
        <w:spacing w:after="0" w:line="276" w:lineRule="auto"/>
        <w:rPr>
          <w:rFonts w:cs="Calibri"/>
        </w:rPr>
      </w:pPr>
    </w:p>
    <w:p w14:paraId="1A2ECDED" w14:textId="77777777" w:rsidR="00286052" w:rsidRPr="001439F7" w:rsidRDefault="00286052" w:rsidP="00286052">
      <w:pPr>
        <w:spacing w:after="0" w:line="276" w:lineRule="auto"/>
        <w:rPr>
          <w:rFonts w:cs="Calibri"/>
        </w:rPr>
      </w:pPr>
    </w:p>
    <w:p w14:paraId="109EC4F5" w14:textId="77777777" w:rsidR="00286052" w:rsidRPr="00E66809" w:rsidRDefault="00286052" w:rsidP="00286052">
      <w:pPr>
        <w:rPr>
          <w:rFonts w:eastAsia="Times New Roman" w:cs="Calibri"/>
          <w:color w:val="A5A5A5" w:themeColor="accent3"/>
        </w:rPr>
      </w:pPr>
      <w:bookmarkStart w:id="46" w:name="_Toc414530193"/>
      <w:bookmarkStart w:id="47" w:name="_Toc415475605"/>
      <w:bookmarkStart w:id="48" w:name="_Toc415561557"/>
      <w:bookmarkStart w:id="49" w:name="_Toc415561670"/>
      <w:bookmarkStart w:id="50" w:name="_Toc415561747"/>
      <w:bookmarkStart w:id="51" w:name="_Toc415561816"/>
      <w:bookmarkStart w:id="52" w:name="_Toc535334462"/>
      <w:bookmarkStart w:id="53" w:name="_Toc1137242"/>
      <w:bookmarkStart w:id="54" w:name="_Toc138059343"/>
      <w:bookmarkStart w:id="55" w:name="_Toc141778556"/>
    </w:p>
    <w:bookmarkEnd w:id="34"/>
    <w:bookmarkEnd w:id="35"/>
    <w:bookmarkEnd w:id="36"/>
    <w:bookmarkEnd w:id="37"/>
    <w:bookmarkEnd w:id="38"/>
    <w:bookmarkEnd w:id="39"/>
    <w:bookmarkEnd w:id="40"/>
    <w:bookmarkEnd w:id="41"/>
    <w:bookmarkEnd w:id="42"/>
    <w:bookmarkEnd w:id="43"/>
    <w:bookmarkEnd w:id="44"/>
    <w:bookmarkEnd w:id="46"/>
    <w:bookmarkEnd w:id="47"/>
    <w:bookmarkEnd w:id="48"/>
    <w:bookmarkEnd w:id="49"/>
    <w:bookmarkEnd w:id="50"/>
    <w:bookmarkEnd w:id="51"/>
    <w:bookmarkEnd w:id="52"/>
    <w:bookmarkEnd w:id="53"/>
    <w:bookmarkEnd w:id="54"/>
    <w:bookmarkEnd w:id="55"/>
    <w:p w14:paraId="35F6A5E6" w14:textId="5B9BF196" w:rsidR="00286052" w:rsidRPr="00E66809" w:rsidRDefault="00286052" w:rsidP="00286052">
      <w:pPr>
        <w:keepNext/>
        <w:keepLines/>
        <w:pageBreakBefore/>
        <w:spacing w:after="0" w:line="276" w:lineRule="auto"/>
        <w:outlineLvl w:val="2"/>
        <w:rPr>
          <w:rFonts w:eastAsia="Arial" w:cs="Calibri"/>
          <w:b/>
        </w:rPr>
      </w:pPr>
      <w:r w:rsidRPr="00E66809">
        <w:rPr>
          <w:rFonts w:eastAsia="Arial" w:cs="Calibri"/>
          <w:b/>
        </w:rPr>
        <w:lastRenderedPageBreak/>
        <w:t xml:space="preserve">Part 1: Confirmation of </w:t>
      </w:r>
      <w:r w:rsidR="00D6225A">
        <w:rPr>
          <w:rFonts w:eastAsia="Arial" w:cs="Calibri"/>
          <w:b/>
        </w:rPr>
        <w:t>C</w:t>
      </w:r>
      <w:r w:rsidRPr="00E66809">
        <w:rPr>
          <w:rFonts w:eastAsia="Arial" w:cs="Calibri"/>
          <w:b/>
        </w:rPr>
        <w:t xml:space="preserve">ore </w:t>
      </w:r>
      <w:r w:rsidR="00D6225A">
        <w:rPr>
          <w:rFonts w:eastAsia="Arial" w:cs="Calibri"/>
          <w:b/>
        </w:rPr>
        <w:t>S</w:t>
      </w:r>
      <w:r w:rsidRPr="00E66809">
        <w:rPr>
          <w:rFonts w:eastAsia="Arial" w:cs="Calibri"/>
          <w:b/>
        </w:rPr>
        <w:t xml:space="preserve">upplier </w:t>
      </w:r>
      <w:r w:rsidR="00D6225A">
        <w:rPr>
          <w:rFonts w:eastAsia="Arial" w:cs="Calibri"/>
          <w:b/>
        </w:rPr>
        <w:t>I</w:t>
      </w:r>
      <w:r w:rsidRPr="00E66809">
        <w:rPr>
          <w:rFonts w:eastAsia="Arial" w:cs="Calibri"/>
          <w:b/>
        </w:rPr>
        <w:t>nformation</w:t>
      </w:r>
    </w:p>
    <w:p w14:paraId="5247398D" w14:textId="77777777" w:rsidR="00286052" w:rsidRPr="00E66809" w:rsidRDefault="00286052" w:rsidP="00286052">
      <w:pPr>
        <w:spacing w:after="0" w:line="276" w:lineRule="auto"/>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381"/>
        <w:gridCol w:w="4440"/>
      </w:tblGrid>
      <w:tr w:rsidR="00286052" w:rsidRPr="00605283" w14:paraId="6134E09D" w14:textId="77777777" w:rsidTr="006B0E8F">
        <w:tc>
          <w:tcPr>
            <w:tcW w:w="0" w:type="auto"/>
            <w:tcBorders>
              <w:top w:val="single" w:sz="6" w:space="0" w:color="000000"/>
              <w:bottom w:val="single" w:sz="6" w:space="0" w:color="000000"/>
            </w:tcBorders>
            <w:shd w:val="clear" w:color="auto" w:fill="009999"/>
          </w:tcPr>
          <w:p w14:paraId="1177BDA0"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39B27014"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0D8277A6"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605283" w14:paraId="3B55BA2E" w14:textId="77777777" w:rsidTr="006B0E8F">
        <w:trPr>
          <w:trHeight w:val="6923"/>
        </w:trPr>
        <w:tc>
          <w:tcPr>
            <w:tcW w:w="0" w:type="auto"/>
            <w:vMerge w:val="restart"/>
            <w:tcBorders>
              <w:top w:val="single" w:sz="6" w:space="0" w:color="000000"/>
            </w:tcBorders>
            <w:shd w:val="clear" w:color="auto" w:fill="F2F2F2" w:themeFill="background1" w:themeFillShade="F2"/>
          </w:tcPr>
          <w:p w14:paraId="4499C18C" w14:textId="58D65865" w:rsidR="00286052" w:rsidRPr="00E66809" w:rsidRDefault="007F191E">
            <w:pPr>
              <w:spacing w:after="0" w:line="276" w:lineRule="auto"/>
              <w:rPr>
                <w:rFonts w:eastAsia="Arial" w:cs="Arial"/>
                <w:b/>
              </w:rPr>
            </w:pPr>
            <w:r>
              <w:rPr>
                <w:rFonts w:eastAsia="Arial" w:cs="Arial"/>
                <w:b/>
              </w:rPr>
              <w:t>1</w:t>
            </w:r>
            <w:r w:rsidR="00F02B37">
              <w:rPr>
                <w:rFonts w:eastAsia="Arial" w:cs="Arial"/>
                <w:b/>
              </w:rPr>
              <w:t>.</w:t>
            </w:r>
            <w:r>
              <w:rPr>
                <w:rFonts w:eastAsia="Arial" w:cs="Arial"/>
                <w:b/>
              </w:rPr>
              <w:t>6</w:t>
            </w:r>
          </w:p>
        </w:tc>
        <w:tc>
          <w:tcPr>
            <w:tcW w:w="7837" w:type="dxa"/>
            <w:vMerge w:val="restart"/>
            <w:tcBorders>
              <w:top w:val="single" w:sz="6" w:space="0" w:color="000000"/>
            </w:tcBorders>
            <w:shd w:val="clear" w:color="auto" w:fill="F2F2F2" w:themeFill="background1" w:themeFillShade="F2"/>
          </w:tcPr>
          <w:p w14:paraId="59A301E2" w14:textId="5B9D6543" w:rsidR="00286052" w:rsidRPr="00E66809" w:rsidRDefault="00286052">
            <w:pPr>
              <w:spacing w:after="0" w:line="276" w:lineRule="auto"/>
              <w:rPr>
                <w:rFonts w:cs="Arial"/>
              </w:rPr>
            </w:pPr>
            <w:r w:rsidRPr="00E66809">
              <w:rPr>
                <w:rFonts w:cs="Arial"/>
              </w:rPr>
              <w:t xml:space="preserve">Regulation 6 of the Procurement Regulations 2024 (PR 2024) requires that </w:t>
            </w:r>
            <w:r w:rsidR="009A3F6B">
              <w:rPr>
                <w:rFonts w:cs="Arial"/>
              </w:rPr>
              <w:t>S</w:t>
            </w:r>
            <w:r w:rsidRPr="00E66809">
              <w:rPr>
                <w:rFonts w:cs="Arial"/>
              </w:rPr>
              <w:t>uppliers must provide confirmation of the following:</w:t>
            </w:r>
          </w:p>
          <w:p w14:paraId="5D8C15C3" w14:textId="77777777" w:rsidR="00286052" w:rsidRPr="00E66809" w:rsidRDefault="00286052">
            <w:pPr>
              <w:spacing w:after="0" w:line="276" w:lineRule="auto"/>
              <w:rPr>
                <w:rFonts w:cs="Arial"/>
              </w:rPr>
            </w:pPr>
          </w:p>
          <w:p w14:paraId="622BD1CC" w14:textId="77777777" w:rsidR="00286052" w:rsidRPr="00E66809" w:rsidRDefault="00286052" w:rsidP="00AD19D7">
            <w:pPr>
              <w:pStyle w:val="Normal1"/>
              <w:numPr>
                <w:ilvl w:val="0"/>
                <w:numId w:val="44"/>
              </w:numPr>
              <w:spacing w:after="120" w:line="276" w:lineRule="auto"/>
              <w:ind w:hanging="360"/>
              <w:rPr>
                <w:rFonts w:ascii="Arial" w:eastAsia="Arial" w:hAnsi="Arial" w:cs="Arial"/>
                <w:color w:val="auto"/>
                <w:sz w:val="22"/>
                <w:szCs w:val="22"/>
              </w:rPr>
            </w:pPr>
            <w:r w:rsidRPr="00E66809">
              <w:rPr>
                <w:rFonts w:ascii="Arial" w:eastAsia="Arial" w:hAnsi="Arial" w:cs="Arial"/>
                <w:color w:val="auto"/>
                <w:sz w:val="22"/>
                <w:szCs w:val="22"/>
              </w:rPr>
              <w:t>You have registered on the CDP</w:t>
            </w:r>
          </w:p>
          <w:p w14:paraId="461C77E5" w14:textId="77777777" w:rsidR="00286052" w:rsidRPr="00E66809" w:rsidRDefault="00286052" w:rsidP="00AD19D7">
            <w:pPr>
              <w:pStyle w:val="Normal1"/>
              <w:numPr>
                <w:ilvl w:val="0"/>
                <w:numId w:val="44"/>
              </w:numPr>
              <w:spacing w:after="120" w:line="276" w:lineRule="auto"/>
              <w:ind w:hanging="360"/>
              <w:rPr>
                <w:rFonts w:ascii="Arial" w:eastAsia="Arial" w:hAnsi="Arial" w:cs="Arial"/>
                <w:color w:val="auto"/>
                <w:sz w:val="22"/>
                <w:szCs w:val="22"/>
              </w:rPr>
            </w:pPr>
            <w:r w:rsidRPr="00E66809">
              <w:rPr>
                <w:rFonts w:ascii="Arial" w:eastAsia="Arial" w:hAnsi="Arial" w:cs="Arial"/>
                <w:color w:val="auto"/>
                <w:sz w:val="22"/>
                <w:szCs w:val="22"/>
              </w:rPr>
              <w:t>You have submitted up-to-date core supplier information on the CDP, which includes your:</w:t>
            </w:r>
          </w:p>
          <w:p w14:paraId="4D305E8A" w14:textId="77777777" w:rsidR="00286052" w:rsidRPr="00E66809" w:rsidRDefault="00286052" w:rsidP="00AD19D7">
            <w:pPr>
              <w:pStyle w:val="ListParagraph"/>
              <w:numPr>
                <w:ilvl w:val="1"/>
                <w:numId w:val="45"/>
              </w:numPr>
              <w:spacing w:after="0" w:line="276" w:lineRule="auto"/>
              <w:rPr>
                <w:rFonts w:eastAsia="Arial" w:cs="Arial"/>
              </w:rPr>
            </w:pPr>
            <w:r w:rsidRPr="00E66809">
              <w:rPr>
                <w:rFonts w:eastAsia="Arial" w:cs="Arial"/>
              </w:rPr>
              <w:t>basic information (Reg 9 of PR 2024)</w:t>
            </w:r>
          </w:p>
          <w:p w14:paraId="53A79F83" w14:textId="77777777" w:rsidR="00286052" w:rsidRPr="00E66809" w:rsidRDefault="00286052" w:rsidP="00AD19D7">
            <w:pPr>
              <w:pStyle w:val="ListParagraph"/>
              <w:numPr>
                <w:ilvl w:val="1"/>
                <w:numId w:val="45"/>
              </w:numPr>
              <w:spacing w:after="0" w:line="276" w:lineRule="auto"/>
              <w:rPr>
                <w:rFonts w:eastAsia="Arial" w:cs="Arial"/>
              </w:rPr>
            </w:pPr>
            <w:r w:rsidRPr="00E66809">
              <w:rPr>
                <w:rFonts w:eastAsia="Arial" w:cs="Arial"/>
              </w:rPr>
              <w:t xml:space="preserve">economic and financial standing (Reg 10 of PR 2024) information </w:t>
            </w:r>
          </w:p>
          <w:p w14:paraId="609F3416" w14:textId="348AC4CB" w:rsidR="00286052" w:rsidRPr="00E66809" w:rsidRDefault="00286052" w:rsidP="00AD19D7">
            <w:pPr>
              <w:pStyle w:val="ListParagraph"/>
              <w:numPr>
                <w:ilvl w:val="1"/>
                <w:numId w:val="45"/>
              </w:numPr>
              <w:spacing w:after="0" w:line="276" w:lineRule="auto"/>
              <w:rPr>
                <w:rFonts w:eastAsia="Arial" w:cs="Arial"/>
              </w:rPr>
            </w:pPr>
            <w:r w:rsidRPr="00E66809">
              <w:rPr>
                <w:rFonts w:eastAsia="Arial" w:cs="Arial"/>
              </w:rPr>
              <w:t>connected person information (Reg 11 of P</w:t>
            </w:r>
            <w:r w:rsidR="00357326">
              <w:rPr>
                <w:rFonts w:eastAsia="Arial" w:cs="Arial"/>
              </w:rPr>
              <w:t>R</w:t>
            </w:r>
            <w:r w:rsidRPr="00E66809">
              <w:rPr>
                <w:rFonts w:eastAsia="Arial" w:cs="Arial"/>
              </w:rPr>
              <w:t xml:space="preserve"> 2024) </w:t>
            </w:r>
          </w:p>
          <w:p w14:paraId="569E257B" w14:textId="54502BF4" w:rsidR="00286052" w:rsidRPr="00E66809" w:rsidRDefault="00286052" w:rsidP="00AD19D7">
            <w:pPr>
              <w:pStyle w:val="ListParagraph"/>
              <w:numPr>
                <w:ilvl w:val="1"/>
                <w:numId w:val="45"/>
              </w:numPr>
              <w:spacing w:after="0" w:line="276" w:lineRule="auto"/>
              <w:rPr>
                <w:rFonts w:eastAsia="Arial" w:cs="Arial"/>
              </w:rPr>
            </w:pPr>
            <w:r w:rsidRPr="00E66809">
              <w:rPr>
                <w:rFonts w:eastAsia="Arial" w:cs="Arial"/>
              </w:rPr>
              <w:t>exclusion grounds information (this includes exclusion information about the supplier and its connected persons; Reg 12 of P</w:t>
            </w:r>
            <w:r w:rsidR="00357326">
              <w:rPr>
                <w:rFonts w:eastAsia="Arial" w:cs="Arial"/>
              </w:rPr>
              <w:t>R</w:t>
            </w:r>
            <w:r w:rsidRPr="00E66809">
              <w:rPr>
                <w:rFonts w:eastAsia="Arial" w:cs="Arial"/>
              </w:rPr>
              <w:t xml:space="preserve"> 2024); and</w:t>
            </w:r>
          </w:p>
          <w:p w14:paraId="0C10B255" w14:textId="41629B2B" w:rsidR="00286052" w:rsidRPr="00E66809" w:rsidRDefault="00286052" w:rsidP="00AD19D7">
            <w:pPr>
              <w:pStyle w:val="Normal1"/>
              <w:numPr>
                <w:ilvl w:val="0"/>
                <w:numId w:val="44"/>
              </w:numPr>
              <w:spacing w:after="120" w:line="276" w:lineRule="auto"/>
              <w:ind w:hanging="360"/>
              <w:rPr>
                <w:rFonts w:ascii="Arial" w:eastAsia="Arial" w:hAnsi="Arial" w:cs="Arial"/>
                <w:color w:val="auto"/>
                <w:sz w:val="22"/>
                <w:szCs w:val="22"/>
              </w:rPr>
            </w:pPr>
            <w:r w:rsidRPr="00E66809">
              <w:rPr>
                <w:rFonts w:ascii="Arial" w:eastAsia="Arial" w:hAnsi="Arial" w:cs="Arial"/>
                <w:color w:val="auto"/>
                <w:sz w:val="22"/>
                <w:szCs w:val="22"/>
              </w:rPr>
              <w:t xml:space="preserve">You have provided that information to </w:t>
            </w:r>
            <w:r w:rsidR="00AF13CC">
              <w:rPr>
                <w:rFonts w:ascii="Arial" w:eastAsia="Arial" w:hAnsi="Arial" w:cs="Arial"/>
                <w:color w:val="auto"/>
                <w:sz w:val="22"/>
                <w:szCs w:val="22"/>
              </w:rPr>
              <w:t xml:space="preserve">HMRC </w:t>
            </w:r>
            <w:r w:rsidR="009A7065">
              <w:rPr>
                <w:rFonts w:ascii="Arial" w:eastAsia="Arial" w:hAnsi="Arial" w:cs="Arial"/>
                <w:color w:val="auto"/>
                <w:sz w:val="22"/>
                <w:szCs w:val="22"/>
              </w:rPr>
              <w:t xml:space="preserve">via a link and </w:t>
            </w:r>
            <w:r w:rsidR="00AB367D">
              <w:rPr>
                <w:rFonts w:ascii="Arial" w:eastAsia="Arial" w:hAnsi="Arial" w:cs="Arial"/>
                <w:color w:val="auto"/>
                <w:sz w:val="22"/>
                <w:szCs w:val="22"/>
              </w:rPr>
              <w:t>MS Word</w:t>
            </w:r>
            <w:r w:rsidR="009A7065">
              <w:rPr>
                <w:rFonts w:ascii="Arial" w:eastAsia="Arial" w:hAnsi="Arial" w:cs="Arial"/>
                <w:color w:val="auto"/>
                <w:sz w:val="22"/>
                <w:szCs w:val="22"/>
              </w:rPr>
              <w:t xml:space="preserve"> attachment</w:t>
            </w:r>
            <w:r w:rsidR="004E5C77" w:rsidRPr="00E66809">
              <w:rPr>
                <w:rFonts w:ascii="Arial" w:eastAsia="Arial" w:hAnsi="Arial" w:cs="Arial"/>
                <w:color w:val="auto"/>
                <w:sz w:val="22"/>
                <w:szCs w:val="22"/>
              </w:rPr>
              <w:t>.</w:t>
            </w:r>
          </w:p>
          <w:p w14:paraId="779627C4" w14:textId="77777777" w:rsidR="00286052" w:rsidRPr="00E66809" w:rsidRDefault="00286052">
            <w:pPr>
              <w:spacing w:after="0" w:line="276" w:lineRule="auto"/>
              <w:rPr>
                <w:rFonts w:eastAsia="Arial" w:cs="Arial"/>
              </w:rPr>
            </w:pPr>
          </w:p>
          <w:p w14:paraId="0C042F84" w14:textId="4528B238" w:rsidR="00C93343" w:rsidRDefault="00286052">
            <w:pPr>
              <w:spacing w:after="0" w:line="276" w:lineRule="auto"/>
              <w:rPr>
                <w:rFonts w:cs="Arial"/>
              </w:rPr>
            </w:pPr>
            <w:r w:rsidRPr="00E66809">
              <w:rPr>
                <w:rFonts w:eastAsia="Arial" w:cs="Arial"/>
              </w:rPr>
              <w:t xml:space="preserve">Please provide a link to your information on the CDP in response to this question and your </w:t>
            </w:r>
            <w:r w:rsidRPr="00E66809">
              <w:rPr>
                <w:rFonts w:cs="Arial"/>
              </w:rPr>
              <w:t>unique identifier that has been accepted or allocated by the CDP.</w:t>
            </w:r>
          </w:p>
          <w:p w14:paraId="3E071423" w14:textId="77777777" w:rsidR="00357326" w:rsidRPr="00357326" w:rsidRDefault="00357326">
            <w:pPr>
              <w:spacing w:after="0" w:line="276" w:lineRule="auto"/>
              <w:rPr>
                <w:rFonts w:cs="Arial"/>
              </w:rPr>
            </w:pPr>
          </w:p>
          <w:p w14:paraId="5EE5DD99" w14:textId="71EB138E" w:rsidR="00C93343" w:rsidRPr="00E66809" w:rsidRDefault="00C93343">
            <w:pPr>
              <w:spacing w:after="0" w:line="276" w:lineRule="auto"/>
              <w:rPr>
                <w:rFonts w:eastAsia="Arial" w:cs="Arial"/>
              </w:rPr>
            </w:pPr>
            <w:r>
              <w:rPr>
                <w:rFonts w:eastAsia="Arial" w:cs="Arial"/>
              </w:rPr>
              <w:lastRenderedPageBreak/>
              <w:t xml:space="preserve">Please also </w:t>
            </w:r>
            <w:r w:rsidR="001175D8">
              <w:rPr>
                <w:rFonts w:eastAsia="Arial" w:cs="Arial"/>
              </w:rPr>
              <w:t xml:space="preserve">upload a </w:t>
            </w:r>
            <w:r w:rsidR="00C01B9F">
              <w:rPr>
                <w:rFonts w:eastAsia="Arial" w:cs="Arial"/>
              </w:rPr>
              <w:t>word</w:t>
            </w:r>
            <w:r w:rsidR="001175D8">
              <w:rPr>
                <w:rFonts w:eastAsia="Arial" w:cs="Arial"/>
              </w:rPr>
              <w:t xml:space="preserve"> document generated via the CDP and attach this to your response, such that HMRC are still able to view this information should there be any issues with the CDP.</w:t>
            </w:r>
          </w:p>
          <w:p w14:paraId="184577D4" w14:textId="77777777" w:rsidR="00286052" w:rsidRPr="00E66809" w:rsidRDefault="00286052">
            <w:pPr>
              <w:spacing w:after="0" w:line="276" w:lineRule="auto"/>
              <w:rPr>
                <w:rFonts w:eastAsia="Times New Roman" w:cs="Calibri"/>
              </w:rPr>
            </w:pPr>
          </w:p>
          <w:p w14:paraId="3C12CB8B" w14:textId="08D09A86" w:rsidR="00286052" w:rsidRPr="00E66809" w:rsidRDefault="00286052">
            <w:pPr>
              <w:keepNext/>
              <w:spacing w:after="0" w:line="276" w:lineRule="auto"/>
              <w:rPr>
                <w:rFonts w:cs="Calibri"/>
                <w:b/>
              </w:rPr>
            </w:pPr>
            <w:r w:rsidRPr="00E66809">
              <w:rPr>
                <w:rFonts w:cs="Calibri"/>
              </w:rPr>
              <w:t>Please note that providing a ‘No’ response or failing to provide a relevant link</w:t>
            </w:r>
            <w:r>
              <w:rPr>
                <w:rFonts w:cs="Calibri"/>
              </w:rPr>
              <w:t xml:space="preserve"> </w:t>
            </w:r>
            <w:r w:rsidR="001175D8">
              <w:rPr>
                <w:rFonts w:cs="Calibri"/>
              </w:rPr>
              <w:t xml:space="preserve">and </w:t>
            </w:r>
            <w:r w:rsidR="00DB566E">
              <w:rPr>
                <w:rFonts w:cs="Calibri"/>
              </w:rPr>
              <w:t>accompanying document</w:t>
            </w:r>
            <w:r w:rsidRPr="00E66809">
              <w:rPr>
                <w:rFonts w:cs="Calibri"/>
              </w:rPr>
              <w:t xml:space="preserve"> may result in disqualification</w:t>
            </w:r>
            <w:r w:rsidRPr="00E66809">
              <w:rPr>
                <w:rFonts w:cs="Calibri"/>
                <w:b/>
              </w:rPr>
              <w:t xml:space="preserve">. </w:t>
            </w:r>
          </w:p>
          <w:p w14:paraId="381770EF" w14:textId="77777777" w:rsidR="00286052" w:rsidRPr="00E66809" w:rsidRDefault="00286052">
            <w:pPr>
              <w:keepNext/>
              <w:spacing w:after="0" w:line="276" w:lineRule="auto"/>
              <w:ind w:left="72"/>
              <w:rPr>
                <w:rFonts w:cs="Calibri"/>
                <w:b/>
              </w:rPr>
            </w:pPr>
          </w:p>
          <w:p w14:paraId="35F30BFD" w14:textId="0D2FB810" w:rsidR="005A15C4" w:rsidRPr="00E66809" w:rsidRDefault="005A15C4" w:rsidP="005A15C4">
            <w:pPr>
              <w:keepNext/>
              <w:spacing w:after="0" w:line="276" w:lineRule="auto"/>
              <w:rPr>
                <w:rFonts w:cs="Calibri"/>
              </w:rPr>
            </w:pPr>
            <w:r w:rsidRPr="005A15C4">
              <w:rPr>
                <w:rFonts w:cs="Calibri"/>
              </w:rPr>
              <w:t>Where a supplier is disqualified, the remainder of its response will not be evaluated.</w:t>
            </w:r>
          </w:p>
          <w:p w14:paraId="1A4FBE27" w14:textId="77777777" w:rsidR="00286052" w:rsidRPr="00E66809" w:rsidRDefault="00286052" w:rsidP="00E66809">
            <w:pPr>
              <w:keepNext/>
              <w:spacing w:after="0" w:line="276" w:lineRule="auto"/>
              <w:rPr>
                <w:rFonts w:cs="Calibri"/>
                <w:b/>
              </w:rPr>
            </w:pPr>
          </w:p>
          <w:p w14:paraId="003E9817" w14:textId="77777777" w:rsidR="00286052" w:rsidRPr="00E66809" w:rsidRDefault="00286052">
            <w:pPr>
              <w:spacing w:after="0" w:line="276" w:lineRule="auto"/>
              <w:rPr>
                <w:rFonts w:eastAsia="Arial" w:cs="Arial"/>
              </w:rPr>
            </w:pPr>
            <w:r w:rsidRPr="00E66809">
              <w:rPr>
                <w:rFonts w:cs="Calibri"/>
                <w:b/>
              </w:rPr>
              <w:t>Please note, if the CDP is not working properly during the tendering period, please indicate this within your response. This will not immediately disqualify your submission; however, HMRC will request confirmation during the evaluation period that the information requested within this question is compliant.</w:t>
            </w:r>
          </w:p>
        </w:tc>
        <w:tc>
          <w:tcPr>
            <w:tcW w:w="4734" w:type="dxa"/>
            <w:tcBorders>
              <w:top w:val="single" w:sz="6" w:space="0" w:color="000000"/>
              <w:bottom w:val="single" w:sz="6" w:space="0" w:color="000000"/>
            </w:tcBorders>
          </w:tcPr>
          <w:p w14:paraId="7C5D6D7D" w14:textId="77777777" w:rsidR="00286052" w:rsidRPr="00E66809" w:rsidRDefault="00286052">
            <w:pPr>
              <w:tabs>
                <w:tab w:val="left" w:pos="600"/>
              </w:tabs>
              <w:spacing w:after="0" w:line="276" w:lineRule="auto"/>
              <w:rPr>
                <w:rFonts w:eastAsia="Times New Roman" w:cs="Calibri"/>
              </w:rPr>
            </w:pPr>
            <w:r w:rsidRPr="00E66809">
              <w:rPr>
                <w:rFonts w:eastAsia="Arial" w:cs="Calibri"/>
              </w:rPr>
              <w:lastRenderedPageBreak/>
              <w:t>Yes</w:t>
            </w:r>
            <w:r w:rsidRPr="00E66809">
              <w:rPr>
                <w:rFonts w:eastAsia="Menlo Regular" w:cs="Calibri"/>
              </w:rPr>
              <w:t xml:space="preserve"> </w:t>
            </w:r>
            <w:r w:rsidRPr="00E66809">
              <w:rPr>
                <w:rFonts w:eastAsia="Menlo Regular"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273E4B06" w14:textId="77777777" w:rsidR="00286052" w:rsidRPr="00E66809" w:rsidRDefault="00286052">
            <w:pPr>
              <w:tabs>
                <w:tab w:val="left" w:pos="600"/>
              </w:tabs>
              <w:spacing w:after="0" w:line="276" w:lineRule="auto"/>
              <w:rPr>
                <w:rFonts w:eastAsia="Times New Roman" w:cs="Calibri"/>
              </w:rPr>
            </w:pPr>
            <w:r w:rsidRPr="00E66809">
              <w:rPr>
                <w:rFonts w:eastAsia="Arial" w:cs="Calibri"/>
              </w:rPr>
              <w:t xml:space="preserve">No </w:t>
            </w:r>
            <w:r w:rsidRPr="00E66809">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1BD0FBB9" w14:textId="77777777" w:rsidR="00286052" w:rsidRPr="00E66809" w:rsidRDefault="00286052">
            <w:pPr>
              <w:tabs>
                <w:tab w:val="left" w:pos="602"/>
              </w:tabs>
              <w:spacing w:after="0" w:line="276" w:lineRule="auto"/>
              <w:rPr>
                <w:rFonts w:eastAsia="Arial" w:cs="Calibri"/>
              </w:rPr>
            </w:pPr>
          </w:p>
        </w:tc>
      </w:tr>
      <w:tr w:rsidR="00286052" w:rsidRPr="00605283" w14:paraId="0477F8F1" w14:textId="77777777" w:rsidTr="006B0E8F">
        <w:trPr>
          <w:trHeight w:val="6923"/>
        </w:trPr>
        <w:tc>
          <w:tcPr>
            <w:tcW w:w="0" w:type="auto"/>
            <w:vMerge/>
            <w:shd w:val="clear" w:color="auto" w:fill="F2F2F2" w:themeFill="background1" w:themeFillShade="F2"/>
          </w:tcPr>
          <w:p w14:paraId="62D4459C" w14:textId="77777777" w:rsidR="00286052" w:rsidRDefault="00286052">
            <w:pPr>
              <w:spacing w:after="0" w:line="276" w:lineRule="auto"/>
              <w:rPr>
                <w:rFonts w:eastAsia="Arial" w:cs="Arial"/>
                <w:b/>
                <w:bCs/>
              </w:rPr>
            </w:pPr>
          </w:p>
        </w:tc>
        <w:tc>
          <w:tcPr>
            <w:tcW w:w="7837" w:type="dxa"/>
            <w:vMerge/>
            <w:shd w:val="clear" w:color="auto" w:fill="F2F2F2" w:themeFill="background1" w:themeFillShade="F2"/>
          </w:tcPr>
          <w:p w14:paraId="047F55C8" w14:textId="77777777" w:rsidR="00286052" w:rsidRPr="008213A1" w:rsidRDefault="00286052">
            <w:pPr>
              <w:spacing w:after="0" w:line="276" w:lineRule="auto"/>
              <w:rPr>
                <w:rFonts w:cs="Arial"/>
              </w:rPr>
            </w:pPr>
          </w:p>
        </w:tc>
        <w:tc>
          <w:tcPr>
            <w:tcW w:w="4734" w:type="dxa"/>
            <w:tcBorders>
              <w:top w:val="single" w:sz="6" w:space="0" w:color="000000"/>
            </w:tcBorders>
          </w:tcPr>
          <w:p w14:paraId="240A808C" w14:textId="77777777" w:rsidR="00286052" w:rsidRDefault="00286052">
            <w:pPr>
              <w:tabs>
                <w:tab w:val="left" w:pos="600"/>
              </w:tabs>
              <w:spacing w:after="0" w:line="276" w:lineRule="auto"/>
              <w:rPr>
                <w:rFonts w:eastAsia="Arial" w:cs="Calibri"/>
              </w:rPr>
            </w:pPr>
            <w:r w:rsidRPr="00E66809">
              <w:rPr>
                <w:rFonts w:eastAsia="Arial" w:cs="Calibri"/>
              </w:rPr>
              <w:t>[Link to your information on the CDP]</w:t>
            </w:r>
          </w:p>
          <w:p w14:paraId="1BAF6D41" w14:textId="77777777" w:rsidR="001175D8" w:rsidRDefault="001175D8">
            <w:pPr>
              <w:tabs>
                <w:tab w:val="left" w:pos="600"/>
              </w:tabs>
              <w:spacing w:after="0" w:line="276" w:lineRule="auto"/>
              <w:rPr>
                <w:rFonts w:eastAsia="Arial" w:cs="Calibri"/>
              </w:rPr>
            </w:pPr>
          </w:p>
          <w:p w14:paraId="72F31EF1" w14:textId="50C14B7C" w:rsidR="001175D8" w:rsidRPr="00E66809" w:rsidRDefault="001175D8">
            <w:pPr>
              <w:tabs>
                <w:tab w:val="left" w:pos="600"/>
              </w:tabs>
              <w:spacing w:after="0" w:line="276" w:lineRule="auto"/>
              <w:rPr>
                <w:rFonts w:eastAsia="Arial" w:cs="Calibri"/>
              </w:rPr>
            </w:pPr>
            <w:r>
              <w:rPr>
                <w:rFonts w:eastAsia="Arial" w:cs="Calibri"/>
              </w:rPr>
              <w:t>[Attachment]</w:t>
            </w:r>
          </w:p>
          <w:p w14:paraId="41F238C0" w14:textId="77777777" w:rsidR="00286052" w:rsidRPr="008213A1" w:rsidRDefault="00286052">
            <w:pPr>
              <w:tabs>
                <w:tab w:val="left" w:pos="600"/>
              </w:tabs>
              <w:spacing w:after="0" w:line="276" w:lineRule="auto"/>
              <w:rPr>
                <w:rFonts w:eastAsia="Arial" w:cs="Calibri"/>
              </w:rPr>
            </w:pPr>
          </w:p>
        </w:tc>
      </w:tr>
    </w:tbl>
    <w:p w14:paraId="0995EB34" w14:textId="77777777" w:rsidR="00286052" w:rsidRPr="00E66809" w:rsidRDefault="00286052" w:rsidP="00286052">
      <w:pPr>
        <w:spacing w:after="0" w:line="276" w:lineRule="auto"/>
        <w:rPr>
          <w:rFonts w:eastAsia="Times New Roman" w:cs="Calibri"/>
        </w:rPr>
      </w:pPr>
    </w:p>
    <w:p w14:paraId="576CDF77" w14:textId="77777777" w:rsidR="00286052" w:rsidRPr="00E66809" w:rsidRDefault="00286052" w:rsidP="00286052">
      <w:pPr>
        <w:spacing w:after="0" w:line="276" w:lineRule="auto"/>
        <w:rPr>
          <w:rFonts w:eastAsia="Times New Roman" w:cs="Calibri"/>
        </w:rPr>
      </w:pPr>
    </w:p>
    <w:p w14:paraId="06C5AD34" w14:textId="77777777" w:rsidR="00286052" w:rsidRPr="00E66809" w:rsidRDefault="00286052" w:rsidP="00286052">
      <w:pPr>
        <w:spacing w:after="0" w:line="276" w:lineRule="auto"/>
        <w:rPr>
          <w:rFonts w:eastAsia="Times New Roman" w:cs="Calibri"/>
        </w:rPr>
      </w:pPr>
      <w:bookmarkStart w:id="56" w:name="_Toc236714002"/>
      <w:bookmarkStart w:id="57" w:name="_Toc414530192"/>
      <w:bookmarkStart w:id="58" w:name="_Toc415475604"/>
      <w:bookmarkStart w:id="59" w:name="_Toc415561556"/>
      <w:bookmarkStart w:id="60" w:name="_Toc415561669"/>
      <w:bookmarkStart w:id="61" w:name="_Toc415561746"/>
      <w:bookmarkStart w:id="62" w:name="_Toc415561815"/>
      <w:bookmarkStart w:id="63" w:name="_Toc535334461"/>
      <w:bookmarkStart w:id="64" w:name="_Toc1137241"/>
      <w:bookmarkStart w:id="65" w:name="_Toc138059342"/>
      <w:bookmarkStart w:id="66" w:name="_Hlk141451640"/>
      <w:bookmarkStart w:id="67" w:name="_Toc155975921"/>
      <w:bookmarkStart w:id="68" w:name="_Toc304290534"/>
    </w:p>
    <w:p w14:paraId="6892569D" w14:textId="77777777" w:rsidR="00286052" w:rsidRPr="00E66809" w:rsidRDefault="00286052" w:rsidP="00286052">
      <w:pPr>
        <w:keepNext/>
        <w:keepLines/>
        <w:pageBreakBefore/>
        <w:spacing w:after="0" w:line="276" w:lineRule="auto"/>
        <w:outlineLvl w:val="2"/>
        <w:rPr>
          <w:rFonts w:eastAsia="Arial" w:cs="Calibri"/>
          <w:b/>
        </w:rPr>
      </w:pPr>
      <w:bookmarkStart w:id="69" w:name="_Toc192615541"/>
      <w:bookmarkStart w:id="70" w:name="_Toc535334464"/>
      <w:bookmarkStart w:id="71" w:name="_Toc1137244"/>
      <w:bookmarkStart w:id="72" w:name="_Toc138059344"/>
      <w:bookmarkStart w:id="73" w:name="_Toc141778557"/>
      <w:bookmarkEnd w:id="56"/>
      <w:bookmarkEnd w:id="57"/>
      <w:bookmarkEnd w:id="58"/>
      <w:bookmarkEnd w:id="59"/>
      <w:bookmarkEnd w:id="60"/>
      <w:bookmarkEnd w:id="61"/>
      <w:bookmarkEnd w:id="62"/>
      <w:bookmarkEnd w:id="63"/>
      <w:bookmarkEnd w:id="64"/>
      <w:bookmarkEnd w:id="65"/>
      <w:bookmarkEnd w:id="66"/>
      <w:bookmarkEnd w:id="67"/>
      <w:bookmarkEnd w:id="68"/>
      <w:r w:rsidRPr="00E66809">
        <w:rPr>
          <w:rFonts w:eastAsia="Arial" w:cs="Calibri"/>
          <w:b/>
        </w:rPr>
        <w:lastRenderedPageBreak/>
        <w:t>Part 2: Additional Exclusions Information</w:t>
      </w:r>
      <w:bookmarkEnd w:id="69"/>
    </w:p>
    <w:p w14:paraId="5111C41D" w14:textId="77777777" w:rsidR="00286052" w:rsidRPr="00E66809" w:rsidRDefault="00286052" w:rsidP="00286052">
      <w:pPr>
        <w:spacing w:after="0" w:line="276" w:lineRule="auto"/>
        <w:rPr>
          <w:rFonts w:eastAsia="Arial" w:cs="Calibri"/>
        </w:rPr>
      </w:pPr>
    </w:p>
    <w:p w14:paraId="319D68C6" w14:textId="77777777" w:rsidR="00286052" w:rsidRPr="00E66809" w:rsidRDefault="00286052" w:rsidP="00286052">
      <w:pPr>
        <w:spacing w:after="0" w:line="276" w:lineRule="auto"/>
        <w:rPr>
          <w:rFonts w:eastAsia="Arial" w:cs="Calibri"/>
          <w:b/>
          <w:u w:val="single"/>
        </w:rPr>
      </w:pPr>
      <w:bookmarkStart w:id="74" w:name="_Toc192615542"/>
      <w:r w:rsidRPr="00E66809">
        <w:rPr>
          <w:rFonts w:eastAsia="Arial" w:cs="Calibri"/>
          <w:b/>
          <w:u w:val="single"/>
        </w:rPr>
        <w:t>Part 2A – Associated Persons</w:t>
      </w:r>
      <w:bookmarkEnd w:id="74"/>
    </w:p>
    <w:p w14:paraId="7EC93E68" w14:textId="77777777" w:rsidR="00286052" w:rsidRPr="00E66809" w:rsidRDefault="00286052" w:rsidP="00286052">
      <w:pPr>
        <w:spacing w:after="0" w:line="276" w:lineRule="auto"/>
        <w:rPr>
          <w:rFonts w:eastAsia="Arial" w:cs="Calibri"/>
          <w:b/>
          <w:u w:val="single"/>
        </w:rPr>
      </w:pPr>
    </w:p>
    <w:bookmarkEnd w:id="70"/>
    <w:bookmarkEnd w:id="71"/>
    <w:bookmarkEnd w:id="72"/>
    <w:bookmarkEnd w:id="73"/>
    <w:p w14:paraId="096C0AC1" w14:textId="04A27088" w:rsidR="00286052" w:rsidRPr="00E66809" w:rsidRDefault="00286052" w:rsidP="00286052">
      <w:pPr>
        <w:spacing w:after="0" w:line="276" w:lineRule="auto"/>
        <w:rPr>
          <w:rFonts w:eastAsia="Arial" w:cs="Calibri"/>
        </w:rPr>
      </w:pPr>
      <w:r w:rsidRPr="00E66809">
        <w:rPr>
          <w:rFonts w:eastAsia="Arial" w:cs="Calibri"/>
        </w:rPr>
        <w:t>Please answer the following questions in full. Note that every organisation that forms part of your bidding group/consortium, as well as every organisation that is being relied on (including subcontractors) to meet the selection criteria must complete and submit responses to Part 1 and Part 2.</w:t>
      </w:r>
    </w:p>
    <w:p w14:paraId="10E5420B" w14:textId="77777777" w:rsidR="00286052" w:rsidRPr="00E66809" w:rsidRDefault="00286052" w:rsidP="00286052">
      <w:pPr>
        <w:spacing w:after="0" w:line="276" w:lineRule="auto"/>
        <w:rPr>
          <w:rFonts w:eastAsia="Arial" w:cs="Calibri"/>
        </w:rPr>
      </w:pPr>
    </w:p>
    <w:p w14:paraId="46234EC0" w14:textId="77777777" w:rsidR="00286052" w:rsidRPr="00E66809" w:rsidRDefault="00286052" w:rsidP="00286052">
      <w:pPr>
        <w:spacing w:after="0" w:line="276" w:lineRule="auto"/>
        <w:rPr>
          <w:rFonts w:eastAsia="Arial" w:cs="Calibri"/>
        </w:rPr>
      </w:pPr>
      <w:r w:rsidRPr="00E66809">
        <w:rPr>
          <w:rFonts w:eastAsia="Arial" w:cs="Calibri"/>
        </w:rPr>
        <w:t>Associated persons are sub-contractors or consortium members who are being relied on by the prime/lead supplier to satisfy the conditions of participation in the particular procurement. This does not include guarantors, even if they are relied on to meet conditions of participation.</w:t>
      </w:r>
    </w:p>
    <w:p w14:paraId="539102C7" w14:textId="77777777" w:rsidR="00286052" w:rsidRPr="00E66809" w:rsidRDefault="00286052" w:rsidP="00286052">
      <w:pPr>
        <w:spacing w:after="0" w:line="276" w:lineRule="auto"/>
        <w:rPr>
          <w:rFonts w:eastAsia="Arial"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380"/>
        <w:gridCol w:w="4441"/>
      </w:tblGrid>
      <w:tr w:rsidR="00286052" w:rsidRPr="00605283" w14:paraId="617380DD" w14:textId="77777777" w:rsidTr="006B0E8F">
        <w:tc>
          <w:tcPr>
            <w:tcW w:w="0" w:type="auto"/>
            <w:tcBorders>
              <w:top w:val="single" w:sz="6" w:space="0" w:color="000000" w:themeColor="text1"/>
              <w:bottom w:val="single" w:sz="6" w:space="0" w:color="000000" w:themeColor="text1"/>
            </w:tcBorders>
            <w:shd w:val="clear" w:color="auto" w:fill="009999"/>
          </w:tcPr>
          <w:p w14:paraId="7D245CC3"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themeColor="text1"/>
              <w:bottom w:val="single" w:sz="6" w:space="0" w:color="000000" w:themeColor="text1"/>
            </w:tcBorders>
            <w:shd w:val="clear" w:color="auto" w:fill="009999"/>
          </w:tcPr>
          <w:p w14:paraId="7707A830"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themeColor="text1"/>
              <w:bottom w:val="single" w:sz="6" w:space="0" w:color="000000" w:themeColor="text1"/>
            </w:tcBorders>
            <w:shd w:val="clear" w:color="auto" w:fill="009999"/>
          </w:tcPr>
          <w:p w14:paraId="7BCC234F"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605283" w14:paraId="0B4F681F" w14:textId="77777777" w:rsidTr="006B0E8F">
        <w:trPr>
          <w:trHeight w:val="4422"/>
        </w:trPr>
        <w:tc>
          <w:tcPr>
            <w:tcW w:w="0" w:type="auto"/>
            <w:tcBorders>
              <w:top w:val="single" w:sz="6" w:space="0" w:color="000000" w:themeColor="text1"/>
            </w:tcBorders>
            <w:shd w:val="clear" w:color="auto" w:fill="F2F2F2" w:themeFill="background1" w:themeFillShade="F2"/>
          </w:tcPr>
          <w:p w14:paraId="27237F2B" w14:textId="54C3A565" w:rsidR="00286052" w:rsidRPr="001439F7" w:rsidRDefault="00286052">
            <w:pPr>
              <w:spacing w:after="0" w:line="276" w:lineRule="auto"/>
              <w:rPr>
                <w:rFonts w:eastAsia="Arial" w:cs="Arial"/>
                <w:b/>
                <w:bCs/>
              </w:rPr>
            </w:pPr>
            <w:r w:rsidRPr="00E66809">
              <w:rPr>
                <w:rFonts w:eastAsia="Arial" w:cs="Calibri"/>
                <w:b/>
              </w:rPr>
              <w:t>2.1</w:t>
            </w:r>
          </w:p>
        </w:tc>
        <w:tc>
          <w:tcPr>
            <w:tcW w:w="7837" w:type="dxa"/>
            <w:tcBorders>
              <w:top w:val="single" w:sz="6" w:space="0" w:color="000000" w:themeColor="text1"/>
            </w:tcBorders>
            <w:shd w:val="clear" w:color="auto" w:fill="F2F2F2" w:themeFill="background1" w:themeFillShade="F2"/>
          </w:tcPr>
          <w:p w14:paraId="17D26925" w14:textId="77777777" w:rsidR="00286052" w:rsidRPr="00E66809" w:rsidRDefault="00286052">
            <w:pPr>
              <w:spacing w:after="0" w:line="276" w:lineRule="auto"/>
              <w:rPr>
                <w:rFonts w:eastAsia="Arial" w:cs="Calibri"/>
              </w:rPr>
            </w:pPr>
            <w:r w:rsidRPr="00E66809">
              <w:rPr>
                <w:rFonts w:eastAsia="Arial" w:cs="Calibri"/>
              </w:rPr>
              <w:t>Please confirm whether you will rely on any associated persons in the procurement</w:t>
            </w:r>
            <w:r w:rsidRPr="00E66809">
              <w:t xml:space="preserve"> to satisfy the conditions of participation.</w:t>
            </w:r>
          </w:p>
          <w:p w14:paraId="7E185FB8" w14:textId="77777777" w:rsidR="00286052" w:rsidRPr="00E66809" w:rsidRDefault="00286052">
            <w:pPr>
              <w:spacing w:after="0" w:line="276" w:lineRule="auto"/>
              <w:rPr>
                <w:rFonts w:eastAsia="Arial" w:cs="Calibri"/>
              </w:rPr>
            </w:pPr>
          </w:p>
          <w:p w14:paraId="081D074A" w14:textId="27D8081C" w:rsidR="00286052" w:rsidRPr="00E66809" w:rsidRDefault="00286052">
            <w:pPr>
              <w:spacing w:after="0" w:line="276" w:lineRule="auto"/>
              <w:rPr>
                <w:rFonts w:eastAsia="Arial" w:cs="Calibri"/>
              </w:rPr>
            </w:pPr>
            <w:r w:rsidRPr="00E66809">
              <w:rPr>
                <w:rFonts w:eastAsia="Arial" w:cs="Calibri"/>
              </w:rPr>
              <w:t xml:space="preserve">If you have answered “No” to this question, you are confirming you will not be relying on any other entity to satisfy the conditions of participation. If this is the case, questions 2.2 – 2.4 are not applicable and do not require a response. </w:t>
            </w:r>
          </w:p>
          <w:p w14:paraId="5CAD55A8" w14:textId="77777777" w:rsidR="00286052" w:rsidRPr="00E66809" w:rsidRDefault="00286052">
            <w:pPr>
              <w:spacing w:after="0" w:line="276" w:lineRule="auto"/>
              <w:rPr>
                <w:rFonts w:eastAsia="Arial" w:cs="Calibri"/>
              </w:rPr>
            </w:pPr>
          </w:p>
          <w:p w14:paraId="00BBFB95" w14:textId="69C570C3" w:rsidR="00286052" w:rsidRPr="001439F7" w:rsidRDefault="00286052">
            <w:pPr>
              <w:spacing w:after="0" w:line="276" w:lineRule="auto"/>
              <w:rPr>
                <w:rFonts w:eastAsia="Arial" w:cs="Arial"/>
              </w:rPr>
            </w:pPr>
            <w:r w:rsidRPr="00E66809">
              <w:rPr>
                <w:rFonts w:eastAsia="Arial" w:cs="Calibri"/>
              </w:rPr>
              <w:t>Otherwise, you must comply with the requirements of 2</w:t>
            </w:r>
            <w:r w:rsidR="00165614">
              <w:rPr>
                <w:rFonts w:eastAsia="Arial" w:cs="Calibri"/>
              </w:rPr>
              <w:t>.</w:t>
            </w:r>
            <w:r w:rsidRPr="00E66809">
              <w:rPr>
                <w:rFonts w:eastAsia="Arial" w:cs="Calibri"/>
              </w:rPr>
              <w:t>2 – 2.4 in respect of all associated persons.</w:t>
            </w:r>
          </w:p>
          <w:p w14:paraId="46AF25AC" w14:textId="77777777" w:rsidR="00286052" w:rsidRPr="001439F7" w:rsidRDefault="00286052">
            <w:pPr>
              <w:spacing w:after="0" w:line="276" w:lineRule="auto"/>
              <w:rPr>
                <w:rFonts w:eastAsia="Arial" w:cs="Arial"/>
              </w:rPr>
            </w:pPr>
          </w:p>
        </w:tc>
        <w:tc>
          <w:tcPr>
            <w:tcW w:w="4734" w:type="dxa"/>
            <w:tcBorders>
              <w:top w:val="single" w:sz="6" w:space="0" w:color="000000" w:themeColor="text1"/>
              <w:bottom w:val="single" w:sz="6" w:space="0" w:color="000000" w:themeColor="text1"/>
            </w:tcBorders>
          </w:tcPr>
          <w:p w14:paraId="48450736" w14:textId="77777777" w:rsidR="00286052" w:rsidRPr="00E66809" w:rsidRDefault="00286052">
            <w:pPr>
              <w:spacing w:after="0" w:line="276" w:lineRule="auto"/>
              <w:rPr>
                <w:rFonts w:eastAsia="Arial" w:cs="Calibri"/>
              </w:rPr>
            </w:pPr>
            <w:r w:rsidRPr="00E66809">
              <w:rPr>
                <w:rFonts w:eastAsia="Arial" w:cs="Calibri"/>
              </w:rPr>
              <w:t xml:space="preserve">Yes </w:t>
            </w:r>
            <w:r w:rsidRPr="00E66809">
              <w:rPr>
                <w:rFonts w:eastAsia="Arial" w:cs="Calibri"/>
              </w:rPr>
              <w:tab/>
            </w:r>
            <w:r w:rsidRPr="00E66809">
              <w:rPr>
                <w:rFonts w:eastAsia="Arial" w:cs="Calibri"/>
              </w:rPr>
              <w:fldChar w:fldCharType="begin">
                <w:ffData>
                  <w:name w:val="Check1"/>
                  <w:enabled/>
                  <w:calcOnExit w:val="0"/>
                  <w:checkBox>
                    <w:sizeAuto/>
                    <w:default w:val="0"/>
                  </w:checkBox>
                </w:ffData>
              </w:fldChar>
            </w:r>
            <w:r w:rsidRPr="00E66809">
              <w:rPr>
                <w:rFonts w:eastAsia="Arial" w:cs="Calibri"/>
              </w:rPr>
              <w:instrText xml:space="preserve"> FORMCHECKBOX </w:instrText>
            </w:r>
            <w:r w:rsidR="0029045A">
              <w:rPr>
                <w:rFonts w:eastAsia="Arial" w:cs="Calibri"/>
              </w:rPr>
            </w:r>
            <w:r w:rsidR="0029045A">
              <w:rPr>
                <w:rFonts w:eastAsia="Arial" w:cs="Calibri"/>
              </w:rPr>
              <w:fldChar w:fldCharType="separate"/>
            </w:r>
            <w:r w:rsidRPr="00E66809">
              <w:rPr>
                <w:rFonts w:eastAsia="Arial" w:cs="Calibri"/>
              </w:rPr>
              <w:fldChar w:fldCharType="end"/>
            </w:r>
          </w:p>
          <w:p w14:paraId="1B326BC0" w14:textId="77777777" w:rsidR="00286052" w:rsidRPr="00E66809" w:rsidRDefault="00286052">
            <w:pPr>
              <w:spacing w:after="0" w:line="276" w:lineRule="auto"/>
              <w:rPr>
                <w:rFonts w:eastAsia="Arial" w:cs="Calibri"/>
              </w:rPr>
            </w:pPr>
            <w:r w:rsidRPr="00E66809">
              <w:rPr>
                <w:rFonts w:eastAsia="Arial" w:cs="Calibri"/>
              </w:rPr>
              <w:t xml:space="preserve">No </w:t>
            </w:r>
            <w:r w:rsidRPr="00E66809">
              <w:rPr>
                <w:rFonts w:eastAsia="Arial" w:cs="Calibri"/>
              </w:rPr>
              <w:tab/>
            </w:r>
            <w:r w:rsidRPr="00E66809">
              <w:rPr>
                <w:rFonts w:eastAsia="Arial" w:cs="Calibri"/>
              </w:rPr>
              <w:fldChar w:fldCharType="begin">
                <w:ffData>
                  <w:name w:val="Check1"/>
                  <w:enabled/>
                  <w:calcOnExit w:val="0"/>
                  <w:checkBox>
                    <w:sizeAuto/>
                    <w:default w:val="0"/>
                  </w:checkBox>
                </w:ffData>
              </w:fldChar>
            </w:r>
            <w:r w:rsidRPr="00E66809">
              <w:rPr>
                <w:rFonts w:eastAsia="Arial" w:cs="Calibri"/>
              </w:rPr>
              <w:instrText xml:space="preserve"> FORMCHECKBOX </w:instrText>
            </w:r>
            <w:r w:rsidR="0029045A">
              <w:rPr>
                <w:rFonts w:eastAsia="Arial" w:cs="Calibri"/>
              </w:rPr>
            </w:r>
            <w:r w:rsidR="0029045A">
              <w:rPr>
                <w:rFonts w:eastAsia="Arial" w:cs="Calibri"/>
              </w:rPr>
              <w:fldChar w:fldCharType="separate"/>
            </w:r>
            <w:r w:rsidRPr="00E66809">
              <w:rPr>
                <w:rFonts w:eastAsia="Arial" w:cs="Calibri"/>
              </w:rPr>
              <w:fldChar w:fldCharType="end"/>
            </w:r>
          </w:p>
          <w:p w14:paraId="785C6303" w14:textId="77777777" w:rsidR="00286052" w:rsidRPr="00E66809" w:rsidRDefault="00286052">
            <w:pPr>
              <w:tabs>
                <w:tab w:val="left" w:pos="602"/>
              </w:tabs>
              <w:spacing w:after="0" w:line="276" w:lineRule="auto"/>
              <w:rPr>
                <w:rFonts w:eastAsia="Arial" w:cs="Calibri"/>
              </w:rPr>
            </w:pPr>
          </w:p>
        </w:tc>
      </w:tr>
      <w:tr w:rsidR="00286052" w:rsidRPr="00605283" w14:paraId="0D2E8C06" w14:textId="77777777" w:rsidTr="006B0E8F">
        <w:trPr>
          <w:trHeight w:val="1247"/>
        </w:trPr>
        <w:tc>
          <w:tcPr>
            <w:tcW w:w="0" w:type="auto"/>
            <w:shd w:val="clear" w:color="auto" w:fill="F2F2F2" w:themeFill="background1" w:themeFillShade="F2"/>
          </w:tcPr>
          <w:p w14:paraId="005A34D3" w14:textId="3820C98D" w:rsidR="00286052" w:rsidRPr="00E66809" w:rsidRDefault="00286052">
            <w:pPr>
              <w:spacing w:after="0" w:line="276" w:lineRule="auto"/>
              <w:rPr>
                <w:rFonts w:eastAsia="Times New Roman" w:cs="Calibri"/>
                <w:b/>
              </w:rPr>
            </w:pPr>
            <w:r w:rsidRPr="00E66809">
              <w:rPr>
                <w:rFonts w:eastAsia="Times New Roman" w:cs="Calibri"/>
                <w:b/>
              </w:rPr>
              <w:lastRenderedPageBreak/>
              <w:t>2.2</w:t>
            </w:r>
          </w:p>
        </w:tc>
        <w:tc>
          <w:tcPr>
            <w:tcW w:w="7837" w:type="dxa"/>
            <w:shd w:val="clear" w:color="auto" w:fill="F2F2F2" w:themeFill="background1" w:themeFillShade="F2"/>
          </w:tcPr>
          <w:p w14:paraId="1FA921AD" w14:textId="77777777" w:rsidR="00286052" w:rsidRPr="00E66809" w:rsidRDefault="00286052">
            <w:pPr>
              <w:spacing w:after="0" w:line="276" w:lineRule="auto"/>
              <w:ind w:right="306"/>
            </w:pPr>
            <w:r w:rsidRPr="00E66809">
              <w:t>For each associated person, please confirm which condition(s) of participation you are relying on them to satisfy</w:t>
            </w:r>
          </w:p>
        </w:tc>
        <w:tc>
          <w:tcPr>
            <w:tcW w:w="4734" w:type="dxa"/>
            <w:tcBorders>
              <w:top w:val="single" w:sz="6" w:space="0" w:color="000000" w:themeColor="text1"/>
              <w:bottom w:val="single" w:sz="6" w:space="0" w:color="000000" w:themeColor="text1"/>
            </w:tcBorders>
          </w:tcPr>
          <w:p w14:paraId="367DA4F8" w14:textId="77777777" w:rsidR="00286052" w:rsidRPr="00E66809" w:rsidRDefault="00286052">
            <w:pPr>
              <w:spacing w:after="0" w:line="276" w:lineRule="auto"/>
              <w:rPr>
                <w:rFonts w:eastAsia="Arial" w:cs="Calibri"/>
              </w:rPr>
            </w:pPr>
            <w:r w:rsidRPr="00E66809">
              <w:t>[Insert name of associated person(s) and brief description for each relevant condition of participation]</w:t>
            </w:r>
          </w:p>
        </w:tc>
      </w:tr>
      <w:tr w:rsidR="00286052" w:rsidRPr="00605283" w14:paraId="16509AA5" w14:textId="77777777" w:rsidTr="006B0E8F">
        <w:trPr>
          <w:trHeight w:val="2778"/>
        </w:trPr>
        <w:tc>
          <w:tcPr>
            <w:tcW w:w="0" w:type="auto"/>
            <w:vMerge w:val="restart"/>
            <w:shd w:val="clear" w:color="auto" w:fill="F2F2F2" w:themeFill="background1" w:themeFillShade="F2"/>
          </w:tcPr>
          <w:p w14:paraId="4DBE720F" w14:textId="3AD2A544" w:rsidR="00286052" w:rsidRDefault="00286052">
            <w:pPr>
              <w:spacing w:after="0" w:line="276" w:lineRule="auto"/>
              <w:rPr>
                <w:rFonts w:eastAsia="Arial" w:cs="Arial"/>
                <w:b/>
                <w:bCs/>
              </w:rPr>
            </w:pPr>
            <w:r w:rsidRPr="00E66809">
              <w:rPr>
                <w:rFonts w:eastAsia="Times New Roman" w:cs="Calibri"/>
                <w:b/>
              </w:rPr>
              <w:t>2</w:t>
            </w:r>
            <w:r w:rsidR="00165614">
              <w:rPr>
                <w:rFonts w:eastAsia="Times New Roman" w:cs="Calibri"/>
                <w:b/>
              </w:rPr>
              <w:t>.</w:t>
            </w:r>
            <w:r w:rsidRPr="00E66809">
              <w:rPr>
                <w:rFonts w:eastAsia="Times New Roman" w:cs="Calibri"/>
                <w:b/>
              </w:rPr>
              <w:t>3</w:t>
            </w:r>
          </w:p>
        </w:tc>
        <w:tc>
          <w:tcPr>
            <w:tcW w:w="7837" w:type="dxa"/>
            <w:vMerge w:val="restart"/>
            <w:shd w:val="clear" w:color="auto" w:fill="F2F2F2" w:themeFill="background1" w:themeFillShade="F2"/>
          </w:tcPr>
          <w:p w14:paraId="1E2A85EA" w14:textId="77777777" w:rsidR="00286052" w:rsidRPr="00E66809" w:rsidRDefault="00286052">
            <w:pPr>
              <w:spacing w:after="0" w:line="276" w:lineRule="auto"/>
              <w:ind w:right="306"/>
              <w:rPr>
                <w:rFonts w:eastAsia="Arial" w:cs="Calibri"/>
              </w:rPr>
            </w:pPr>
            <w:r w:rsidRPr="00E66809">
              <w:t>Please confirm the following</w:t>
            </w:r>
            <w:r w:rsidRPr="00E66809">
              <w:rPr>
                <w:rFonts w:eastAsia="Arial" w:cs="Calibri"/>
              </w:rPr>
              <w:t xml:space="preserve"> in respect of all associated persons:</w:t>
            </w:r>
          </w:p>
          <w:p w14:paraId="60601B07" w14:textId="77777777" w:rsidR="00286052" w:rsidRPr="00E66809" w:rsidRDefault="00286052">
            <w:pPr>
              <w:spacing w:after="0" w:line="276" w:lineRule="auto"/>
              <w:ind w:right="306"/>
              <w:rPr>
                <w:rFonts w:eastAsia="Arial" w:cs="Calibri"/>
              </w:rPr>
            </w:pPr>
          </w:p>
          <w:p w14:paraId="61F9BE26" w14:textId="77777777" w:rsidR="00286052" w:rsidRPr="00E66809" w:rsidRDefault="00286052" w:rsidP="00AD19D7">
            <w:pPr>
              <w:pStyle w:val="ListParagraph"/>
              <w:numPr>
                <w:ilvl w:val="0"/>
                <w:numId w:val="52"/>
              </w:numPr>
              <w:spacing w:after="0" w:line="276" w:lineRule="auto"/>
              <w:rPr>
                <w:rFonts w:eastAsia="Arial" w:cs="Calibri"/>
              </w:rPr>
            </w:pPr>
            <w:r w:rsidRPr="00E66809">
              <w:rPr>
                <w:rFonts w:eastAsia="Arial" w:cs="Calibri"/>
              </w:rPr>
              <w:t>They have registered on the CDP</w:t>
            </w:r>
          </w:p>
          <w:p w14:paraId="45009324" w14:textId="69D033FD" w:rsidR="00286052" w:rsidRPr="00E66809" w:rsidRDefault="00286052" w:rsidP="00AD19D7">
            <w:pPr>
              <w:pStyle w:val="ListParagraph"/>
              <w:numPr>
                <w:ilvl w:val="0"/>
                <w:numId w:val="52"/>
              </w:numPr>
              <w:spacing w:after="0" w:line="276" w:lineRule="auto"/>
              <w:rPr>
                <w:rFonts w:eastAsia="Arial" w:cs="Calibri"/>
              </w:rPr>
            </w:pPr>
            <w:r w:rsidRPr="00E66809">
              <w:rPr>
                <w:rFonts w:eastAsia="Arial" w:cs="Calibri"/>
              </w:rPr>
              <w:t xml:space="preserve">They have submitted up-to-date core supplier information on the CDP, which includes </w:t>
            </w:r>
            <w:proofErr w:type="spellStart"/>
            <w:r w:rsidR="00334B16">
              <w:rPr>
                <w:rFonts w:eastAsia="Arial" w:cs="Calibri"/>
              </w:rPr>
              <w:t>their</w:t>
            </w:r>
            <w:proofErr w:type="spellEnd"/>
            <w:r w:rsidRPr="00E66809">
              <w:rPr>
                <w:rFonts w:eastAsia="Arial" w:cs="Calibri"/>
              </w:rPr>
              <w:t>:</w:t>
            </w:r>
          </w:p>
          <w:p w14:paraId="4219B607" w14:textId="77777777" w:rsidR="00286052" w:rsidRPr="00E66809" w:rsidRDefault="00286052" w:rsidP="00AD19D7">
            <w:pPr>
              <w:pStyle w:val="ListParagraph"/>
              <w:numPr>
                <w:ilvl w:val="1"/>
                <w:numId w:val="52"/>
              </w:numPr>
              <w:spacing w:after="0" w:line="276" w:lineRule="auto"/>
              <w:rPr>
                <w:rFonts w:eastAsia="Arial" w:cs="Calibri"/>
              </w:rPr>
            </w:pPr>
            <w:r w:rsidRPr="00E66809">
              <w:rPr>
                <w:rFonts w:eastAsia="Arial" w:cs="Calibri"/>
              </w:rPr>
              <w:t xml:space="preserve">basic information </w:t>
            </w:r>
          </w:p>
          <w:p w14:paraId="6F68FE3C" w14:textId="77777777" w:rsidR="00286052" w:rsidRPr="00E66809" w:rsidRDefault="00286052" w:rsidP="00AD19D7">
            <w:pPr>
              <w:pStyle w:val="ListParagraph"/>
              <w:numPr>
                <w:ilvl w:val="1"/>
                <w:numId w:val="52"/>
              </w:numPr>
              <w:spacing w:after="0" w:line="276" w:lineRule="auto"/>
              <w:rPr>
                <w:rFonts w:eastAsia="Arial" w:cs="Calibri"/>
              </w:rPr>
            </w:pPr>
            <w:r w:rsidRPr="00E66809">
              <w:rPr>
                <w:rFonts w:eastAsia="Arial" w:cs="Calibri"/>
              </w:rPr>
              <w:t xml:space="preserve">economic and financial standing information </w:t>
            </w:r>
          </w:p>
          <w:p w14:paraId="29EE3FE1" w14:textId="77777777" w:rsidR="00286052" w:rsidRPr="00E66809" w:rsidRDefault="00286052" w:rsidP="00AD19D7">
            <w:pPr>
              <w:pStyle w:val="ListParagraph"/>
              <w:numPr>
                <w:ilvl w:val="1"/>
                <w:numId w:val="52"/>
              </w:numPr>
              <w:spacing w:after="0" w:line="276" w:lineRule="auto"/>
              <w:rPr>
                <w:rFonts w:eastAsia="Arial" w:cs="Calibri"/>
              </w:rPr>
            </w:pPr>
            <w:r w:rsidRPr="00E66809">
              <w:rPr>
                <w:rFonts w:eastAsia="Arial" w:cs="Calibri"/>
              </w:rPr>
              <w:t>connected person information</w:t>
            </w:r>
          </w:p>
          <w:p w14:paraId="34156CC9" w14:textId="77777777" w:rsidR="00286052" w:rsidRPr="00E66809" w:rsidRDefault="00286052" w:rsidP="00AD19D7">
            <w:pPr>
              <w:pStyle w:val="ListParagraph"/>
              <w:numPr>
                <w:ilvl w:val="1"/>
                <w:numId w:val="52"/>
              </w:numPr>
              <w:spacing w:after="0" w:line="276" w:lineRule="auto"/>
              <w:rPr>
                <w:rFonts w:eastAsia="Arial" w:cs="Calibri"/>
              </w:rPr>
            </w:pPr>
            <w:r w:rsidRPr="00E66809">
              <w:rPr>
                <w:rFonts w:eastAsia="Arial" w:cs="Calibri"/>
              </w:rPr>
              <w:t>exclusion grounds information (this includes exclusion information about the supplier and its connected persons); and</w:t>
            </w:r>
          </w:p>
          <w:p w14:paraId="34FB30E3" w14:textId="7CE46B0E" w:rsidR="00286052" w:rsidRPr="00E66809" w:rsidRDefault="00286052" w:rsidP="00AD19D7">
            <w:pPr>
              <w:pStyle w:val="ListParagraph"/>
              <w:numPr>
                <w:ilvl w:val="0"/>
                <w:numId w:val="52"/>
              </w:numPr>
              <w:spacing w:after="0" w:line="276" w:lineRule="auto"/>
              <w:rPr>
                <w:rFonts w:eastAsia="Arial" w:cs="Calibri"/>
              </w:rPr>
            </w:pPr>
            <w:r w:rsidRPr="00E66809">
              <w:rPr>
                <w:rFonts w:eastAsia="Arial" w:cs="Calibri"/>
              </w:rPr>
              <w:t xml:space="preserve">You have provided that information to </w:t>
            </w:r>
            <w:r w:rsidR="00AF13CC">
              <w:rPr>
                <w:rFonts w:eastAsia="Arial" w:cs="Calibri"/>
              </w:rPr>
              <w:t xml:space="preserve">HMRC </w:t>
            </w:r>
            <w:r w:rsidR="009A7065">
              <w:rPr>
                <w:rFonts w:eastAsia="Arial" w:cs="Calibri"/>
              </w:rPr>
              <w:t xml:space="preserve">via a link and </w:t>
            </w:r>
            <w:r w:rsidR="00DB566E">
              <w:rPr>
                <w:rFonts w:eastAsia="Arial" w:cs="Calibri"/>
              </w:rPr>
              <w:t>MS Wor</w:t>
            </w:r>
            <w:r w:rsidR="00F750BC">
              <w:rPr>
                <w:rFonts w:eastAsia="Arial" w:cs="Calibri"/>
              </w:rPr>
              <w:t>d</w:t>
            </w:r>
            <w:r w:rsidR="009A7065">
              <w:rPr>
                <w:rFonts w:eastAsia="Arial" w:cs="Calibri"/>
              </w:rPr>
              <w:t xml:space="preserve"> attachment</w:t>
            </w:r>
            <w:r w:rsidRPr="00E66809">
              <w:rPr>
                <w:rFonts w:eastAsia="Arial" w:cs="Calibri"/>
              </w:rPr>
              <w:t>.</w:t>
            </w:r>
          </w:p>
          <w:p w14:paraId="238F5473" w14:textId="77777777" w:rsidR="00286052" w:rsidRPr="00E66809" w:rsidRDefault="00286052">
            <w:pPr>
              <w:spacing w:after="0" w:line="276" w:lineRule="auto"/>
              <w:ind w:right="306"/>
              <w:rPr>
                <w:rFonts w:eastAsia="Arial" w:cs="Calibri"/>
              </w:rPr>
            </w:pPr>
          </w:p>
          <w:p w14:paraId="55F34F58" w14:textId="77777777" w:rsidR="001175D8" w:rsidRDefault="001175D8" w:rsidP="001175D8">
            <w:pPr>
              <w:spacing w:after="0" w:line="276" w:lineRule="auto"/>
              <w:rPr>
                <w:rFonts w:cs="Arial"/>
              </w:rPr>
            </w:pPr>
            <w:r w:rsidRPr="00E77417">
              <w:rPr>
                <w:rFonts w:eastAsia="Arial" w:cs="Arial"/>
              </w:rPr>
              <w:t xml:space="preserve">Please provide a link to your information on the CDP in response to this question and your </w:t>
            </w:r>
            <w:r w:rsidRPr="00E77417">
              <w:rPr>
                <w:rFonts w:cs="Arial"/>
              </w:rPr>
              <w:t>unique identifier that has been accepted or allocated by the CDP.</w:t>
            </w:r>
          </w:p>
          <w:p w14:paraId="7237B6A9" w14:textId="77777777" w:rsidR="001175D8" w:rsidRDefault="001175D8" w:rsidP="001175D8">
            <w:pPr>
              <w:spacing w:after="0" w:line="276" w:lineRule="auto"/>
              <w:rPr>
                <w:rFonts w:eastAsia="Arial" w:cs="Arial"/>
              </w:rPr>
            </w:pPr>
          </w:p>
          <w:p w14:paraId="5E676D79" w14:textId="37A13099" w:rsidR="001175D8" w:rsidRPr="00E77417" w:rsidRDefault="001175D8" w:rsidP="001175D8">
            <w:pPr>
              <w:spacing w:after="0" w:line="276" w:lineRule="auto"/>
              <w:rPr>
                <w:rFonts w:eastAsia="Arial" w:cs="Arial"/>
              </w:rPr>
            </w:pPr>
            <w:r>
              <w:rPr>
                <w:rFonts w:eastAsia="Arial" w:cs="Arial"/>
              </w:rPr>
              <w:t xml:space="preserve">Please also upload a </w:t>
            </w:r>
            <w:r w:rsidR="00DB566E">
              <w:rPr>
                <w:rFonts w:eastAsia="Arial" w:cs="Arial"/>
              </w:rPr>
              <w:t>MS Word</w:t>
            </w:r>
            <w:r>
              <w:rPr>
                <w:rFonts w:eastAsia="Arial" w:cs="Arial"/>
              </w:rPr>
              <w:t xml:space="preserve"> document generated via the CDP and attach this to your response, such that HMRC are still able to view this information should there be any issues with the CDP.</w:t>
            </w:r>
          </w:p>
          <w:p w14:paraId="40DFB35E" w14:textId="77777777" w:rsidR="001175D8" w:rsidRPr="00E77417" w:rsidRDefault="001175D8" w:rsidP="001175D8">
            <w:pPr>
              <w:spacing w:after="0" w:line="276" w:lineRule="auto"/>
              <w:rPr>
                <w:rFonts w:eastAsia="Times New Roman" w:cs="Calibri"/>
              </w:rPr>
            </w:pPr>
          </w:p>
          <w:p w14:paraId="60F0F304" w14:textId="183375E1" w:rsidR="001175D8" w:rsidRPr="00E77417" w:rsidRDefault="001175D8" w:rsidP="001175D8">
            <w:pPr>
              <w:keepNext/>
              <w:spacing w:after="0" w:line="276" w:lineRule="auto"/>
              <w:rPr>
                <w:rFonts w:cs="Calibri"/>
                <w:b/>
                <w:bCs/>
              </w:rPr>
            </w:pPr>
            <w:r w:rsidRPr="00E77417">
              <w:rPr>
                <w:rFonts w:cs="Calibri"/>
              </w:rPr>
              <w:t>Please note that providing a ‘No’ response or failing to provide a relevant link</w:t>
            </w:r>
            <w:r>
              <w:rPr>
                <w:rFonts w:cs="Calibri"/>
              </w:rPr>
              <w:t xml:space="preserve"> and </w:t>
            </w:r>
            <w:r w:rsidR="00DB566E">
              <w:rPr>
                <w:rFonts w:cs="Calibri"/>
              </w:rPr>
              <w:t>MS Word document</w:t>
            </w:r>
            <w:r w:rsidRPr="00E77417">
              <w:rPr>
                <w:rFonts w:cs="Calibri"/>
              </w:rPr>
              <w:t xml:space="preserve"> may result in disqualification</w:t>
            </w:r>
            <w:r w:rsidRPr="00E77417">
              <w:rPr>
                <w:rFonts w:cs="Calibri"/>
                <w:b/>
                <w:bCs/>
              </w:rPr>
              <w:t xml:space="preserve">. </w:t>
            </w:r>
          </w:p>
          <w:p w14:paraId="579C9A87" w14:textId="77777777" w:rsidR="00286052" w:rsidRDefault="00286052">
            <w:pPr>
              <w:spacing w:after="0" w:line="276" w:lineRule="auto"/>
              <w:ind w:right="306"/>
              <w:rPr>
                <w:rFonts w:eastAsia="Arial" w:cs="Calibri"/>
              </w:rPr>
            </w:pPr>
          </w:p>
          <w:p w14:paraId="2EBB1675" w14:textId="77777777" w:rsidR="005A15C4" w:rsidRPr="00E66809" w:rsidRDefault="005A15C4">
            <w:pPr>
              <w:spacing w:after="0" w:line="276" w:lineRule="auto"/>
              <w:ind w:right="306"/>
              <w:rPr>
                <w:rFonts w:eastAsia="Arial" w:cs="Calibri"/>
              </w:rPr>
            </w:pPr>
          </w:p>
          <w:p w14:paraId="2DE10F80" w14:textId="77777777" w:rsidR="00286052" w:rsidRPr="008213A1" w:rsidRDefault="00286052">
            <w:pPr>
              <w:spacing w:after="0" w:line="276" w:lineRule="auto"/>
              <w:rPr>
                <w:rFonts w:cs="Arial"/>
              </w:rPr>
            </w:pPr>
            <w:r w:rsidRPr="00E66809">
              <w:rPr>
                <w:rFonts w:eastAsia="Arial" w:cs="Calibri"/>
                <w:b/>
              </w:rPr>
              <w:lastRenderedPageBreak/>
              <w:t>Please note, if the CDP is not working properly during the tendering period, please indicate this within your response. This will not immediately disqualify your submission; however, HMRC will request confirmation during the evaluation period that the information requested within this question is compliant.</w:t>
            </w:r>
          </w:p>
        </w:tc>
        <w:tc>
          <w:tcPr>
            <w:tcW w:w="4734" w:type="dxa"/>
            <w:tcBorders>
              <w:top w:val="single" w:sz="6" w:space="0" w:color="000000" w:themeColor="text1"/>
              <w:bottom w:val="single" w:sz="6" w:space="0" w:color="000000" w:themeColor="text1"/>
            </w:tcBorders>
          </w:tcPr>
          <w:p w14:paraId="2E1C6EE7" w14:textId="77777777" w:rsidR="00286052" w:rsidRPr="00E66809" w:rsidRDefault="00286052">
            <w:pPr>
              <w:spacing w:after="0" w:line="276" w:lineRule="auto"/>
              <w:rPr>
                <w:rFonts w:eastAsia="Arial" w:cs="Calibri"/>
              </w:rPr>
            </w:pPr>
            <w:r w:rsidRPr="00E66809">
              <w:rPr>
                <w:rFonts w:eastAsia="Arial" w:cs="Calibri"/>
              </w:rPr>
              <w:lastRenderedPageBreak/>
              <w:t xml:space="preserve">Yes </w:t>
            </w:r>
            <w:r w:rsidRPr="00E66809">
              <w:rPr>
                <w:rFonts w:eastAsia="Arial" w:cs="Calibri"/>
              </w:rPr>
              <w:tab/>
            </w:r>
            <w:r w:rsidRPr="00E66809">
              <w:rPr>
                <w:rFonts w:eastAsia="Arial" w:cs="Calibri"/>
              </w:rPr>
              <w:fldChar w:fldCharType="begin">
                <w:ffData>
                  <w:name w:val="Check1"/>
                  <w:enabled/>
                  <w:calcOnExit w:val="0"/>
                  <w:checkBox>
                    <w:sizeAuto/>
                    <w:default w:val="0"/>
                  </w:checkBox>
                </w:ffData>
              </w:fldChar>
            </w:r>
            <w:r w:rsidRPr="00E66809">
              <w:rPr>
                <w:rFonts w:eastAsia="Arial" w:cs="Calibri"/>
              </w:rPr>
              <w:instrText xml:space="preserve"> FORMCHECKBOX </w:instrText>
            </w:r>
            <w:r w:rsidR="0029045A">
              <w:rPr>
                <w:rFonts w:eastAsia="Arial" w:cs="Calibri"/>
              </w:rPr>
            </w:r>
            <w:r w:rsidR="0029045A">
              <w:rPr>
                <w:rFonts w:eastAsia="Arial" w:cs="Calibri"/>
              </w:rPr>
              <w:fldChar w:fldCharType="separate"/>
            </w:r>
            <w:r w:rsidRPr="00E66809">
              <w:rPr>
                <w:rFonts w:eastAsia="Arial" w:cs="Calibri"/>
              </w:rPr>
              <w:fldChar w:fldCharType="end"/>
            </w:r>
          </w:p>
          <w:p w14:paraId="13D75FC0" w14:textId="77777777" w:rsidR="00286052" w:rsidRPr="00E66809" w:rsidRDefault="00286052">
            <w:pPr>
              <w:spacing w:after="0" w:line="276" w:lineRule="auto"/>
              <w:rPr>
                <w:rFonts w:eastAsia="Arial" w:cs="Calibri"/>
              </w:rPr>
            </w:pPr>
            <w:r w:rsidRPr="00E66809">
              <w:rPr>
                <w:rFonts w:eastAsia="Arial" w:cs="Calibri"/>
              </w:rPr>
              <w:t xml:space="preserve">No </w:t>
            </w:r>
            <w:r w:rsidRPr="00E66809">
              <w:rPr>
                <w:rFonts w:eastAsia="Arial" w:cs="Calibri"/>
              </w:rPr>
              <w:tab/>
            </w:r>
            <w:r w:rsidRPr="00E66809">
              <w:rPr>
                <w:rFonts w:eastAsia="Arial" w:cs="Calibri"/>
              </w:rPr>
              <w:fldChar w:fldCharType="begin">
                <w:ffData>
                  <w:name w:val="Check1"/>
                  <w:enabled/>
                  <w:calcOnExit w:val="0"/>
                  <w:checkBox>
                    <w:sizeAuto/>
                    <w:default w:val="0"/>
                  </w:checkBox>
                </w:ffData>
              </w:fldChar>
            </w:r>
            <w:r w:rsidRPr="00E66809">
              <w:rPr>
                <w:rFonts w:eastAsia="Arial" w:cs="Calibri"/>
              </w:rPr>
              <w:instrText xml:space="preserve"> FORMCHECKBOX </w:instrText>
            </w:r>
            <w:r w:rsidR="0029045A">
              <w:rPr>
                <w:rFonts w:eastAsia="Arial" w:cs="Calibri"/>
              </w:rPr>
            </w:r>
            <w:r w:rsidR="0029045A">
              <w:rPr>
                <w:rFonts w:eastAsia="Arial" w:cs="Calibri"/>
              </w:rPr>
              <w:fldChar w:fldCharType="separate"/>
            </w:r>
            <w:r w:rsidRPr="00E66809">
              <w:rPr>
                <w:rFonts w:eastAsia="Arial" w:cs="Calibri"/>
              </w:rPr>
              <w:fldChar w:fldCharType="end"/>
            </w:r>
          </w:p>
          <w:p w14:paraId="4880F555" w14:textId="23D972CE" w:rsidR="00286052" w:rsidRPr="00E66809" w:rsidRDefault="00286052">
            <w:pPr>
              <w:tabs>
                <w:tab w:val="left" w:pos="600"/>
              </w:tabs>
              <w:spacing w:after="0" w:line="276" w:lineRule="auto"/>
              <w:rPr>
                <w:rFonts w:eastAsia="Arial" w:cs="Calibri"/>
              </w:rPr>
            </w:pPr>
            <w:r w:rsidRPr="00E66809">
              <w:rPr>
                <w:rFonts w:eastAsia="Arial" w:cs="Calibri"/>
              </w:rPr>
              <w:t>N/</w:t>
            </w:r>
            <w:proofErr w:type="gramStart"/>
            <w:r w:rsidRPr="00E66809">
              <w:rPr>
                <w:rFonts w:eastAsia="Arial" w:cs="Calibri"/>
              </w:rPr>
              <w:t xml:space="preserve">A </w:t>
            </w:r>
            <w:r w:rsidR="00397015">
              <w:rPr>
                <w:rFonts w:eastAsia="Arial" w:cs="Calibri"/>
              </w:rPr>
              <w:t xml:space="preserve"> </w:t>
            </w:r>
            <w:r w:rsidRPr="00E66809">
              <w:rPr>
                <w:rFonts w:eastAsia="Arial" w:cs="Calibri"/>
              </w:rPr>
              <w:tab/>
            </w:r>
            <w:proofErr w:type="gramEnd"/>
            <w:r>
              <w:rPr>
                <w:rFonts w:eastAsia="Arial" w:cs="Calibri"/>
              </w:rPr>
              <w:t xml:space="preserve">  </w:t>
            </w:r>
            <w:r w:rsidRPr="00E66809">
              <w:rPr>
                <w:rFonts w:eastAsia="Arial" w:cs="Calibri"/>
              </w:rPr>
              <w:fldChar w:fldCharType="begin">
                <w:ffData>
                  <w:name w:val="Check1"/>
                  <w:enabled/>
                  <w:calcOnExit w:val="0"/>
                  <w:checkBox>
                    <w:sizeAuto/>
                    <w:default w:val="0"/>
                  </w:checkBox>
                </w:ffData>
              </w:fldChar>
            </w:r>
            <w:r w:rsidRPr="00E66809">
              <w:rPr>
                <w:rFonts w:eastAsia="Arial" w:cs="Calibri"/>
              </w:rPr>
              <w:instrText xml:space="preserve"> FORMCHECKBOX </w:instrText>
            </w:r>
            <w:r w:rsidR="0029045A">
              <w:rPr>
                <w:rFonts w:eastAsia="Arial" w:cs="Calibri"/>
              </w:rPr>
            </w:r>
            <w:r w:rsidR="0029045A">
              <w:rPr>
                <w:rFonts w:eastAsia="Arial" w:cs="Calibri"/>
              </w:rPr>
              <w:fldChar w:fldCharType="separate"/>
            </w:r>
            <w:r w:rsidRPr="00E66809">
              <w:rPr>
                <w:rFonts w:eastAsia="Arial" w:cs="Calibri"/>
              </w:rPr>
              <w:fldChar w:fldCharType="end"/>
            </w:r>
          </w:p>
        </w:tc>
      </w:tr>
      <w:tr w:rsidR="00286052" w:rsidRPr="00605283" w14:paraId="75FF0920" w14:textId="77777777" w:rsidTr="006B0E8F">
        <w:trPr>
          <w:trHeight w:val="1701"/>
        </w:trPr>
        <w:tc>
          <w:tcPr>
            <w:tcW w:w="0" w:type="auto"/>
            <w:vMerge/>
          </w:tcPr>
          <w:p w14:paraId="2D495A79" w14:textId="77777777" w:rsidR="00286052" w:rsidRDefault="00286052">
            <w:pPr>
              <w:spacing w:after="0" w:line="276" w:lineRule="auto"/>
              <w:rPr>
                <w:rFonts w:eastAsia="Arial" w:cs="Arial"/>
                <w:b/>
                <w:bCs/>
              </w:rPr>
            </w:pPr>
          </w:p>
        </w:tc>
        <w:tc>
          <w:tcPr>
            <w:tcW w:w="7837" w:type="dxa"/>
            <w:vMerge/>
          </w:tcPr>
          <w:p w14:paraId="7220A613" w14:textId="77777777" w:rsidR="00286052" w:rsidRPr="008213A1" w:rsidRDefault="00286052">
            <w:pPr>
              <w:spacing w:after="0" w:line="276" w:lineRule="auto"/>
              <w:rPr>
                <w:rFonts w:cs="Arial"/>
              </w:rPr>
            </w:pPr>
          </w:p>
        </w:tc>
        <w:tc>
          <w:tcPr>
            <w:tcW w:w="4734" w:type="dxa"/>
            <w:tcBorders>
              <w:top w:val="single" w:sz="6" w:space="0" w:color="000000" w:themeColor="text1"/>
              <w:bottom w:val="single" w:sz="6" w:space="0" w:color="000000" w:themeColor="text1"/>
            </w:tcBorders>
          </w:tcPr>
          <w:p w14:paraId="69902A19" w14:textId="77777777" w:rsidR="00286052" w:rsidRDefault="00286052">
            <w:pPr>
              <w:tabs>
                <w:tab w:val="left" w:pos="600"/>
              </w:tabs>
              <w:spacing w:after="0" w:line="276" w:lineRule="auto"/>
              <w:rPr>
                <w:rFonts w:eastAsia="Arial" w:cs="Calibri"/>
              </w:rPr>
            </w:pPr>
            <w:r w:rsidRPr="00E66809">
              <w:rPr>
                <w:rFonts w:eastAsia="Arial" w:cs="Calibri"/>
              </w:rPr>
              <w:t>[Links for all associated persons information on the CDP]</w:t>
            </w:r>
          </w:p>
          <w:p w14:paraId="62308F60" w14:textId="77777777" w:rsidR="00FA7E07" w:rsidRDefault="00FA7E07">
            <w:pPr>
              <w:tabs>
                <w:tab w:val="left" w:pos="600"/>
              </w:tabs>
              <w:spacing w:after="0" w:line="276" w:lineRule="auto"/>
              <w:rPr>
                <w:rFonts w:eastAsia="Arial" w:cs="Calibri"/>
              </w:rPr>
            </w:pPr>
          </w:p>
          <w:p w14:paraId="31D71504" w14:textId="5AFE4B00" w:rsidR="00FA7E07" w:rsidRPr="00E66809" w:rsidRDefault="00FA7E07">
            <w:pPr>
              <w:tabs>
                <w:tab w:val="left" w:pos="600"/>
              </w:tabs>
              <w:spacing w:after="0" w:line="276" w:lineRule="auto"/>
              <w:rPr>
                <w:rFonts w:eastAsia="Arial" w:cs="Calibri"/>
              </w:rPr>
            </w:pPr>
            <w:r>
              <w:rPr>
                <w:rFonts w:eastAsia="Arial" w:cs="Calibri"/>
              </w:rPr>
              <w:t>[</w:t>
            </w:r>
            <w:r w:rsidR="00DB566E">
              <w:rPr>
                <w:rFonts w:eastAsia="Arial" w:cs="Calibri"/>
              </w:rPr>
              <w:t>MS Word</w:t>
            </w:r>
            <w:r>
              <w:rPr>
                <w:rFonts w:eastAsia="Arial" w:cs="Calibri"/>
              </w:rPr>
              <w:t xml:space="preserve"> Attachment of information]</w:t>
            </w:r>
          </w:p>
          <w:p w14:paraId="5AAC0362" w14:textId="77777777" w:rsidR="00286052" w:rsidRPr="00E66809" w:rsidRDefault="00286052">
            <w:pPr>
              <w:tabs>
                <w:tab w:val="left" w:pos="600"/>
              </w:tabs>
              <w:spacing w:after="0" w:line="276" w:lineRule="auto"/>
              <w:rPr>
                <w:rFonts w:eastAsia="Arial" w:cs="Calibri"/>
              </w:rPr>
            </w:pPr>
          </w:p>
          <w:p w14:paraId="140A9B93" w14:textId="77777777" w:rsidR="00286052" w:rsidRPr="00E66809" w:rsidRDefault="00286052">
            <w:pPr>
              <w:tabs>
                <w:tab w:val="left" w:pos="600"/>
              </w:tabs>
              <w:spacing w:after="0" w:line="276" w:lineRule="auto"/>
              <w:rPr>
                <w:rFonts w:eastAsia="Arial" w:cs="Calibri"/>
              </w:rPr>
            </w:pPr>
          </w:p>
        </w:tc>
      </w:tr>
      <w:tr w:rsidR="00286052" w:rsidRPr="00605283" w14:paraId="14DC7CB4" w14:textId="77777777" w:rsidTr="006B0E8F">
        <w:trPr>
          <w:trHeight w:val="1701"/>
        </w:trPr>
        <w:tc>
          <w:tcPr>
            <w:tcW w:w="0" w:type="auto"/>
            <w:vMerge/>
          </w:tcPr>
          <w:p w14:paraId="540E0FB4" w14:textId="77777777" w:rsidR="00286052" w:rsidRDefault="00286052">
            <w:pPr>
              <w:spacing w:after="0" w:line="276" w:lineRule="auto"/>
              <w:rPr>
                <w:rFonts w:eastAsia="Arial" w:cs="Arial"/>
                <w:b/>
                <w:bCs/>
              </w:rPr>
            </w:pPr>
          </w:p>
        </w:tc>
        <w:tc>
          <w:tcPr>
            <w:tcW w:w="7837" w:type="dxa"/>
            <w:vMerge/>
          </w:tcPr>
          <w:p w14:paraId="3A7D48A1" w14:textId="77777777" w:rsidR="00286052" w:rsidRPr="008213A1" w:rsidRDefault="00286052">
            <w:pPr>
              <w:spacing w:after="0" w:line="276" w:lineRule="auto"/>
              <w:rPr>
                <w:rFonts w:cs="Arial"/>
              </w:rPr>
            </w:pPr>
          </w:p>
        </w:tc>
        <w:tc>
          <w:tcPr>
            <w:tcW w:w="4734" w:type="dxa"/>
            <w:tcBorders>
              <w:top w:val="single" w:sz="6" w:space="0" w:color="000000" w:themeColor="text1"/>
              <w:bottom w:val="single" w:sz="6" w:space="0" w:color="000000" w:themeColor="text1"/>
            </w:tcBorders>
          </w:tcPr>
          <w:p w14:paraId="735812F7" w14:textId="77777777" w:rsidR="00286052" w:rsidRPr="00E66809" w:rsidRDefault="00286052">
            <w:pPr>
              <w:tabs>
                <w:tab w:val="left" w:pos="600"/>
              </w:tabs>
              <w:spacing w:after="0" w:line="276" w:lineRule="auto"/>
              <w:rPr>
                <w:rFonts w:eastAsia="Arial" w:cs="Calibri"/>
              </w:rPr>
            </w:pPr>
            <w:r w:rsidRPr="00E66809">
              <w:rPr>
                <w:rFonts w:eastAsia="Arial" w:cs="Calibri"/>
              </w:rPr>
              <w:t>[List of each associated persons’ CDP unique identifier]</w:t>
            </w:r>
          </w:p>
        </w:tc>
      </w:tr>
      <w:tr w:rsidR="00286052" w:rsidRPr="00605283" w14:paraId="5531E728" w14:textId="77777777" w:rsidTr="006B0E8F">
        <w:trPr>
          <w:trHeight w:val="964"/>
        </w:trPr>
        <w:tc>
          <w:tcPr>
            <w:tcW w:w="0" w:type="auto"/>
            <w:vMerge w:val="restart"/>
            <w:shd w:val="clear" w:color="auto" w:fill="F2F2F2" w:themeFill="background1" w:themeFillShade="F2"/>
          </w:tcPr>
          <w:p w14:paraId="69A8B950" w14:textId="2C47D423" w:rsidR="00286052" w:rsidRDefault="00286052">
            <w:pPr>
              <w:spacing w:after="0" w:line="276" w:lineRule="auto"/>
              <w:rPr>
                <w:rFonts w:eastAsia="Arial" w:cs="Arial"/>
                <w:b/>
                <w:bCs/>
              </w:rPr>
            </w:pPr>
            <w:r w:rsidRPr="00E66809">
              <w:rPr>
                <w:rFonts w:eastAsia="Times New Roman" w:cs="Calibri"/>
                <w:b/>
              </w:rPr>
              <w:t>2.4</w:t>
            </w:r>
          </w:p>
        </w:tc>
        <w:tc>
          <w:tcPr>
            <w:tcW w:w="7837" w:type="dxa"/>
            <w:vMerge w:val="restart"/>
            <w:shd w:val="clear" w:color="auto" w:fill="F2F2F2" w:themeFill="background1" w:themeFillShade="F2"/>
          </w:tcPr>
          <w:p w14:paraId="08DA2D8C" w14:textId="77777777" w:rsidR="00286052" w:rsidRPr="00E66809" w:rsidRDefault="00286052">
            <w:pPr>
              <w:spacing w:after="0" w:line="276" w:lineRule="auto"/>
              <w:rPr>
                <w:rFonts w:eastAsia="Arial" w:cs="Calibri"/>
              </w:rPr>
            </w:pPr>
            <w:r w:rsidRPr="00E66809">
              <w:rPr>
                <w:rFonts w:eastAsia="Arial" w:cs="Calibri"/>
              </w:rPr>
              <w:t>Please confirm if any of your associated persons are on the debarment list?</w:t>
            </w:r>
          </w:p>
          <w:p w14:paraId="35121486" w14:textId="77777777" w:rsidR="00286052" w:rsidRPr="00E66809" w:rsidRDefault="00286052">
            <w:pPr>
              <w:spacing w:after="0" w:line="276" w:lineRule="auto"/>
              <w:rPr>
                <w:rFonts w:eastAsia="Arial" w:cs="Calibri"/>
              </w:rPr>
            </w:pPr>
          </w:p>
          <w:p w14:paraId="11AA2928" w14:textId="77777777" w:rsidR="00286052" w:rsidRPr="008213A1" w:rsidRDefault="00286052">
            <w:pPr>
              <w:spacing w:after="0" w:line="276" w:lineRule="auto"/>
              <w:rPr>
                <w:rFonts w:cs="Arial"/>
              </w:rPr>
            </w:pPr>
            <w:r w:rsidRPr="00E66809">
              <w:rPr>
                <w:rFonts w:eastAsia="Arial" w:cs="Calibri"/>
              </w:rPr>
              <w:t>If ‘Yes’, please provide details</w:t>
            </w:r>
          </w:p>
        </w:tc>
        <w:tc>
          <w:tcPr>
            <w:tcW w:w="4734" w:type="dxa"/>
            <w:tcBorders>
              <w:top w:val="single" w:sz="6" w:space="0" w:color="000000" w:themeColor="text1"/>
              <w:bottom w:val="single" w:sz="6" w:space="0" w:color="000000" w:themeColor="text1"/>
            </w:tcBorders>
          </w:tcPr>
          <w:p w14:paraId="47F99A27" w14:textId="77777777" w:rsidR="00286052" w:rsidRPr="00E66809" w:rsidRDefault="00286052">
            <w:pPr>
              <w:tabs>
                <w:tab w:val="left" w:pos="600"/>
              </w:tabs>
              <w:spacing w:after="0" w:line="276" w:lineRule="auto"/>
              <w:rPr>
                <w:rFonts w:eastAsia="Times New Roman" w:cs="Calibri"/>
              </w:rPr>
            </w:pPr>
            <w:r w:rsidRPr="00E66809">
              <w:rPr>
                <w:rFonts w:eastAsia="Arial" w:cs="Calibri"/>
              </w:rPr>
              <w:t>Yes</w:t>
            </w:r>
            <w:r w:rsidRPr="00E66809">
              <w:rPr>
                <w:rFonts w:eastAsia="Menlo Regular" w:cs="Calibri"/>
              </w:rPr>
              <w:t xml:space="preserve"> </w:t>
            </w:r>
            <w:r w:rsidRPr="00E66809">
              <w:rPr>
                <w:rFonts w:eastAsia="Menlo Regular"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4D9BB3F7" w14:textId="77777777" w:rsidR="00286052" w:rsidRPr="00E66809" w:rsidRDefault="00286052">
            <w:pPr>
              <w:tabs>
                <w:tab w:val="left" w:pos="600"/>
              </w:tabs>
              <w:spacing w:after="0" w:line="276" w:lineRule="auto"/>
              <w:rPr>
                <w:rFonts w:eastAsia="Times New Roman" w:cs="Calibri"/>
              </w:rPr>
            </w:pPr>
            <w:r w:rsidRPr="00E66809">
              <w:rPr>
                <w:rFonts w:eastAsia="Arial" w:cs="Calibri"/>
              </w:rPr>
              <w:t xml:space="preserve">No </w:t>
            </w:r>
            <w:r w:rsidRPr="00E66809">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6953F6DA" w14:textId="77777777" w:rsidR="00286052" w:rsidRPr="00E66809" w:rsidRDefault="00286052">
            <w:pPr>
              <w:tabs>
                <w:tab w:val="left" w:pos="600"/>
              </w:tabs>
              <w:spacing w:after="0" w:line="276" w:lineRule="auto"/>
              <w:rPr>
                <w:rFonts w:eastAsia="Arial" w:cs="Calibri"/>
              </w:rPr>
            </w:pPr>
          </w:p>
        </w:tc>
      </w:tr>
      <w:tr w:rsidR="00286052" w:rsidRPr="00605283" w14:paraId="6A958D57" w14:textId="77777777" w:rsidTr="006B0E8F">
        <w:trPr>
          <w:trHeight w:val="1701"/>
        </w:trPr>
        <w:tc>
          <w:tcPr>
            <w:tcW w:w="0" w:type="auto"/>
            <w:vMerge/>
          </w:tcPr>
          <w:p w14:paraId="767DBAD3" w14:textId="77777777" w:rsidR="00286052" w:rsidRDefault="00286052">
            <w:pPr>
              <w:spacing w:after="0" w:line="276" w:lineRule="auto"/>
              <w:rPr>
                <w:rFonts w:eastAsia="Arial" w:cs="Arial"/>
                <w:b/>
                <w:bCs/>
              </w:rPr>
            </w:pPr>
          </w:p>
        </w:tc>
        <w:tc>
          <w:tcPr>
            <w:tcW w:w="7837" w:type="dxa"/>
            <w:vMerge/>
          </w:tcPr>
          <w:p w14:paraId="507533ED" w14:textId="77777777" w:rsidR="00286052" w:rsidRPr="008213A1" w:rsidRDefault="00286052">
            <w:pPr>
              <w:spacing w:after="0" w:line="276" w:lineRule="auto"/>
              <w:rPr>
                <w:rFonts w:cs="Arial"/>
              </w:rPr>
            </w:pPr>
          </w:p>
        </w:tc>
        <w:tc>
          <w:tcPr>
            <w:tcW w:w="4734" w:type="dxa"/>
            <w:tcBorders>
              <w:top w:val="single" w:sz="6" w:space="0" w:color="000000" w:themeColor="text1"/>
              <w:bottom w:val="single" w:sz="6" w:space="0" w:color="000000" w:themeColor="text1"/>
            </w:tcBorders>
          </w:tcPr>
          <w:p w14:paraId="3B55EDEE" w14:textId="77777777" w:rsidR="00286052" w:rsidRPr="00E66809" w:rsidRDefault="00286052">
            <w:pPr>
              <w:tabs>
                <w:tab w:val="left" w:pos="600"/>
              </w:tabs>
              <w:spacing w:after="0" w:line="276" w:lineRule="auto"/>
              <w:rPr>
                <w:rFonts w:eastAsia="Arial" w:cs="Calibri"/>
              </w:rPr>
            </w:pPr>
            <w:r w:rsidRPr="00E66809">
              <w:rPr>
                <w:rFonts w:eastAsia="Arial" w:cs="Calibri"/>
              </w:rPr>
              <w:t>[Insert details if applicable]</w:t>
            </w:r>
          </w:p>
        </w:tc>
      </w:tr>
    </w:tbl>
    <w:p w14:paraId="065C2032" w14:textId="77777777" w:rsidR="00286052" w:rsidRPr="00E66809" w:rsidRDefault="00286052" w:rsidP="00286052">
      <w:pPr>
        <w:spacing w:after="0" w:line="276" w:lineRule="auto"/>
        <w:rPr>
          <w:rFonts w:eastAsia="Arial" w:cs="Calibri"/>
        </w:rPr>
      </w:pPr>
    </w:p>
    <w:p w14:paraId="174BCC9F" w14:textId="77777777" w:rsidR="00286052" w:rsidRPr="00E66809" w:rsidRDefault="00286052" w:rsidP="00286052">
      <w:pPr>
        <w:spacing w:after="0" w:line="276" w:lineRule="auto"/>
        <w:rPr>
          <w:rFonts w:eastAsia="Arial" w:cs="Calibri"/>
        </w:rPr>
      </w:pPr>
    </w:p>
    <w:p w14:paraId="51F5BAEA" w14:textId="77777777" w:rsidR="00286052" w:rsidRPr="00E66809" w:rsidRDefault="00286052" w:rsidP="00286052">
      <w:pPr>
        <w:spacing w:after="0" w:line="276" w:lineRule="auto"/>
        <w:rPr>
          <w:rFonts w:eastAsia="Arial" w:cs="Calibri"/>
          <w:b/>
          <w:u w:val="single"/>
        </w:rPr>
      </w:pPr>
      <w:bookmarkStart w:id="75" w:name="_Toc192615544"/>
      <w:bookmarkStart w:id="76" w:name="_Toc464044812"/>
      <w:bookmarkStart w:id="77" w:name="_Toc535334465"/>
      <w:r w:rsidRPr="00E66809">
        <w:rPr>
          <w:rFonts w:eastAsia="Arial" w:cs="Calibri"/>
          <w:b/>
          <w:u w:val="single"/>
        </w:rPr>
        <w:t>Part 2B – List of all intended sub-contractors</w:t>
      </w:r>
      <w:bookmarkEnd w:id="75"/>
    </w:p>
    <w:p w14:paraId="5B1083F7" w14:textId="77777777" w:rsidR="00286052" w:rsidRPr="005B2D50" w:rsidRDefault="00286052" w:rsidP="00286052">
      <w:pPr>
        <w:spacing w:after="0" w:line="276" w:lineRule="auto"/>
        <w:rPr>
          <w:rFonts w:eastAsia="Times New Roman" w:cs="Calibri"/>
        </w:rPr>
      </w:pPr>
    </w:p>
    <w:bookmarkEnd w:id="76"/>
    <w:bookmarkEnd w:id="77"/>
    <w:p w14:paraId="23A37638" w14:textId="77777777" w:rsidR="00286052" w:rsidRPr="00E66809" w:rsidRDefault="00286052" w:rsidP="00286052">
      <w:pPr>
        <w:spacing w:after="0" w:line="276" w:lineRule="auto"/>
        <w:rPr>
          <w:rFonts w:eastAsia="Arial" w:cs="Calibri"/>
        </w:rPr>
      </w:pPr>
      <w:r w:rsidRPr="00E66809">
        <w:rPr>
          <w:rFonts w:eastAsia="Arial" w:cs="Calibri"/>
        </w:rPr>
        <w:t xml:space="preserve">Under The Procurement Act 2023, HMRC must ask for details of all sub-contractors in the supply chain that a supplier intends to use to deliver the contract. This is not restricted to sub-contractors that the supplier is relying on to meet conditions of participation (who will also be associated persons) but </w:t>
      </w:r>
      <w:r w:rsidRPr="00E66809">
        <w:rPr>
          <w:rFonts w:eastAsia="Arial" w:cs="Calibri"/>
          <w:b/>
          <w:i/>
          <w:u w:val="single"/>
        </w:rPr>
        <w:t>applies to all sub-contractors</w:t>
      </w:r>
      <w:r w:rsidRPr="00E66809">
        <w:rPr>
          <w:rFonts w:eastAsia="Arial" w:cs="Calibri"/>
        </w:rPr>
        <w:t xml:space="preserve"> to whom the supplier intends to sub-contract the performance of all or part of the contract.</w:t>
      </w:r>
    </w:p>
    <w:p w14:paraId="50FB13DD" w14:textId="77777777" w:rsidR="00286052" w:rsidRDefault="00286052" w:rsidP="00286052">
      <w:pPr>
        <w:spacing w:after="0" w:line="276" w:lineRule="auto"/>
        <w:rPr>
          <w:rFonts w:eastAsia="Arial"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375"/>
        <w:gridCol w:w="4446"/>
      </w:tblGrid>
      <w:tr w:rsidR="00286052" w:rsidRPr="00605283" w14:paraId="6B4FD82F" w14:textId="77777777" w:rsidTr="006B0E8F">
        <w:tc>
          <w:tcPr>
            <w:tcW w:w="0" w:type="auto"/>
            <w:tcBorders>
              <w:top w:val="single" w:sz="6" w:space="0" w:color="000000"/>
              <w:bottom w:val="single" w:sz="6" w:space="0" w:color="000000"/>
            </w:tcBorders>
            <w:shd w:val="clear" w:color="auto" w:fill="009999"/>
          </w:tcPr>
          <w:p w14:paraId="4B35F71A"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705576E9"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19BFBA04"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605283" w14:paraId="58443A8B" w14:textId="77777777" w:rsidTr="006B0E8F">
        <w:trPr>
          <w:trHeight w:val="1587"/>
        </w:trPr>
        <w:tc>
          <w:tcPr>
            <w:tcW w:w="0" w:type="auto"/>
            <w:tcBorders>
              <w:top w:val="single" w:sz="6" w:space="0" w:color="000000"/>
            </w:tcBorders>
            <w:shd w:val="clear" w:color="auto" w:fill="F2F2F2" w:themeFill="background1" w:themeFillShade="F2"/>
          </w:tcPr>
          <w:p w14:paraId="71256DC5" w14:textId="132C3EF1" w:rsidR="00286052" w:rsidRPr="00E66809" w:rsidRDefault="00286052">
            <w:pPr>
              <w:spacing w:after="0" w:line="276" w:lineRule="auto"/>
              <w:rPr>
                <w:rFonts w:eastAsia="Arial" w:cs="Arial"/>
                <w:b/>
              </w:rPr>
            </w:pPr>
            <w:r w:rsidRPr="00E66809">
              <w:rPr>
                <w:rFonts w:eastAsia="Arial" w:cs="Arial"/>
                <w:b/>
              </w:rPr>
              <w:t>2.</w:t>
            </w:r>
            <w:r w:rsidR="00AE0A28">
              <w:rPr>
                <w:rFonts w:eastAsia="Arial" w:cs="Arial"/>
                <w:b/>
              </w:rPr>
              <w:t>5</w:t>
            </w:r>
          </w:p>
        </w:tc>
        <w:tc>
          <w:tcPr>
            <w:tcW w:w="7837" w:type="dxa"/>
            <w:tcBorders>
              <w:top w:val="single" w:sz="6" w:space="0" w:color="000000"/>
            </w:tcBorders>
            <w:shd w:val="clear" w:color="auto" w:fill="F2F2F2" w:themeFill="background1" w:themeFillShade="F2"/>
          </w:tcPr>
          <w:p w14:paraId="4367EFCA" w14:textId="77777777" w:rsidR="00286052" w:rsidRPr="00E66809" w:rsidRDefault="00286052">
            <w:pPr>
              <w:spacing w:after="0" w:line="276" w:lineRule="auto"/>
              <w:rPr>
                <w:rFonts w:eastAsia="Arial" w:cs="Calibri"/>
              </w:rPr>
            </w:pPr>
            <w:r w:rsidRPr="00E66809">
              <w:rPr>
                <w:rFonts w:eastAsia="Arial" w:cs="Calibri"/>
              </w:rPr>
              <w:t xml:space="preserve">Please provide: </w:t>
            </w:r>
          </w:p>
          <w:p w14:paraId="0566F539" w14:textId="77777777" w:rsidR="00286052" w:rsidRPr="00E66809" w:rsidRDefault="00286052" w:rsidP="00AD19D7">
            <w:pPr>
              <w:pStyle w:val="ListParagraph"/>
              <w:numPr>
                <w:ilvl w:val="0"/>
                <w:numId w:val="53"/>
              </w:numPr>
              <w:spacing w:after="0" w:line="276" w:lineRule="auto"/>
              <w:rPr>
                <w:rFonts w:eastAsia="Arial" w:cs="Calibri"/>
              </w:rPr>
            </w:pPr>
            <w:r w:rsidRPr="00E66809">
              <w:rPr>
                <w:rFonts w:eastAsia="Arial" w:cs="Calibri"/>
              </w:rPr>
              <w:t>a list of all suppliers who you intend to sub-contract the performance of all or part of the contract to (either directly or in your wider supply chain</w:t>
            </w:r>
            <w:proofErr w:type="gramStart"/>
            <w:r w:rsidRPr="00E66809">
              <w:rPr>
                <w:rFonts w:eastAsia="Arial" w:cs="Calibri"/>
              </w:rPr>
              <w:t>);</w:t>
            </w:r>
            <w:proofErr w:type="gramEnd"/>
          </w:p>
          <w:p w14:paraId="59DA4134" w14:textId="77777777" w:rsidR="00286052" w:rsidRPr="00E66809" w:rsidRDefault="00286052" w:rsidP="00AD19D7">
            <w:pPr>
              <w:pStyle w:val="ListParagraph"/>
              <w:numPr>
                <w:ilvl w:val="0"/>
                <w:numId w:val="53"/>
              </w:numPr>
              <w:spacing w:after="0" w:line="276" w:lineRule="auto"/>
              <w:rPr>
                <w:rFonts w:eastAsia="Arial" w:cs="Calibri"/>
              </w:rPr>
            </w:pPr>
            <w:r w:rsidRPr="00E66809">
              <w:rPr>
                <w:rFonts w:eastAsia="Arial" w:cs="Calibri"/>
              </w:rPr>
              <w:lastRenderedPageBreak/>
              <w:t xml:space="preserve">their unique identifier (if they are registered on the CDP), or otherwise, a Companies House number, charity number, VAT registration number, or </w:t>
            </w:r>
            <w:proofErr w:type="gramStart"/>
            <w:r w:rsidRPr="00E66809">
              <w:rPr>
                <w:rFonts w:eastAsia="Arial" w:cs="Calibri"/>
              </w:rPr>
              <w:t>equivalent;</w:t>
            </w:r>
            <w:proofErr w:type="gramEnd"/>
          </w:p>
          <w:p w14:paraId="25045C42" w14:textId="77777777" w:rsidR="00286052" w:rsidRPr="00E66809" w:rsidRDefault="00286052" w:rsidP="00AD19D7">
            <w:pPr>
              <w:pStyle w:val="ListParagraph"/>
              <w:numPr>
                <w:ilvl w:val="0"/>
                <w:numId w:val="53"/>
              </w:numPr>
              <w:spacing w:after="0" w:line="276" w:lineRule="auto"/>
              <w:rPr>
                <w:rFonts w:eastAsia="Arial" w:cs="Calibri"/>
              </w:rPr>
            </w:pPr>
            <w:r w:rsidRPr="00E66809">
              <w:rPr>
                <w:rFonts w:eastAsia="Arial" w:cs="Calibri"/>
              </w:rPr>
              <w:t xml:space="preserve">a brief description of their intended role in the performance of the contract, including any known </w:t>
            </w:r>
            <w:proofErr w:type="gramStart"/>
            <w:r w:rsidRPr="00E66809">
              <w:rPr>
                <w:rFonts w:eastAsia="Arial" w:cs="Calibri"/>
              </w:rPr>
              <w:t>deliverables;</w:t>
            </w:r>
            <w:proofErr w:type="gramEnd"/>
          </w:p>
          <w:p w14:paraId="335406D3" w14:textId="77777777" w:rsidR="00286052" w:rsidRPr="00E66809" w:rsidRDefault="00286052" w:rsidP="00AD19D7">
            <w:pPr>
              <w:pStyle w:val="ListParagraph"/>
              <w:numPr>
                <w:ilvl w:val="0"/>
                <w:numId w:val="53"/>
              </w:numPr>
              <w:spacing w:after="120" w:line="276" w:lineRule="auto"/>
              <w:rPr>
                <w:rFonts w:eastAsia="Times New Roman" w:cs="Calibri"/>
              </w:rPr>
            </w:pPr>
            <w:r w:rsidRPr="00E66809">
              <w:rPr>
                <w:rFonts w:eastAsia="Times New Roman" w:cs="Calibri"/>
              </w:rPr>
              <w:t>The approximate % of contractual obligations assigned to each subcontractor, if known; and</w:t>
            </w:r>
          </w:p>
          <w:p w14:paraId="3996A4FE" w14:textId="77777777" w:rsidR="00286052" w:rsidRPr="00E66809" w:rsidRDefault="00286052" w:rsidP="00AD19D7">
            <w:pPr>
              <w:pStyle w:val="ListParagraph"/>
              <w:numPr>
                <w:ilvl w:val="0"/>
                <w:numId w:val="53"/>
              </w:numPr>
              <w:spacing w:after="120" w:line="276" w:lineRule="auto"/>
              <w:rPr>
                <w:rFonts w:eastAsia="Times New Roman" w:cs="Calibri"/>
              </w:rPr>
            </w:pPr>
            <w:r w:rsidRPr="00E66809">
              <w:rPr>
                <w:rFonts w:eastAsia="Times New Roman" w:cs="Calibri"/>
              </w:rPr>
              <w:t>Their SME status (Yes/No).</w:t>
            </w:r>
          </w:p>
          <w:p w14:paraId="63448408" w14:textId="77777777" w:rsidR="00286052" w:rsidRPr="00E66809" w:rsidRDefault="00286052">
            <w:pPr>
              <w:spacing w:after="0" w:line="276" w:lineRule="auto"/>
              <w:rPr>
                <w:rFonts w:eastAsia="Arial" w:cs="Calibri"/>
              </w:rPr>
            </w:pPr>
          </w:p>
          <w:p w14:paraId="568A05FD" w14:textId="7C41DB48" w:rsidR="00286052" w:rsidRPr="00E66809" w:rsidRDefault="00286052">
            <w:pPr>
              <w:spacing w:after="0" w:line="276" w:lineRule="auto"/>
              <w:rPr>
                <w:rFonts w:eastAsia="Arial" w:cs="Calibri"/>
              </w:rPr>
            </w:pPr>
            <w:r w:rsidRPr="00E66809">
              <w:rPr>
                <w:rFonts w:eastAsia="Arial" w:cs="Calibri"/>
              </w:rPr>
              <w:t xml:space="preserve">If a sub-contractor is unknown at the start of the procurement (or brought in during it), this should be made clear by the supplier and relevant details of the sub-contractor should be provided once their identity and role is confirmed. This information should be shared with </w:t>
            </w:r>
            <w:r w:rsidR="00AF13CC">
              <w:rPr>
                <w:rFonts w:eastAsia="Arial" w:cs="Calibri"/>
              </w:rPr>
              <w:t>HMRC</w:t>
            </w:r>
            <w:r w:rsidRPr="00E66809">
              <w:rPr>
                <w:rFonts w:eastAsia="Arial" w:cs="Calibri"/>
              </w:rPr>
              <w:t xml:space="preserve"> as soon as possible and at least </w:t>
            </w:r>
            <w:r w:rsidR="00AF13CC">
              <w:rPr>
                <w:rFonts w:eastAsia="Arial" w:cs="Calibri"/>
              </w:rPr>
              <w:t>by the point of ITSIT submission</w:t>
            </w:r>
            <w:r w:rsidRPr="00E66809">
              <w:rPr>
                <w:rFonts w:eastAsia="Arial" w:cs="Calibri"/>
              </w:rPr>
              <w:t>.</w:t>
            </w:r>
          </w:p>
          <w:p w14:paraId="0814A802" w14:textId="77777777" w:rsidR="00286052" w:rsidRPr="00E66809" w:rsidRDefault="00286052">
            <w:pPr>
              <w:spacing w:after="0" w:line="276" w:lineRule="auto"/>
              <w:rPr>
                <w:rFonts w:eastAsia="Arial" w:cs="Calibri"/>
              </w:rPr>
            </w:pPr>
          </w:p>
          <w:p w14:paraId="1B7E1A30" w14:textId="78FC3BDD" w:rsidR="00286052" w:rsidRPr="001439F7" w:rsidRDefault="00286052">
            <w:pPr>
              <w:spacing w:after="0" w:line="276" w:lineRule="auto"/>
              <w:rPr>
                <w:rFonts w:eastAsia="Arial" w:cs="Arial"/>
              </w:rPr>
            </w:pPr>
            <w:r w:rsidRPr="00E66809">
              <w:rPr>
                <w:rFonts w:eastAsia="Arial" w:cs="Calibri"/>
              </w:rPr>
              <w:t xml:space="preserve">Please note that if you are not intending to sub-contract the performance of all or part of the contract, then this question and </w:t>
            </w:r>
            <w:r w:rsidR="00345FF1">
              <w:rPr>
                <w:rFonts w:eastAsia="Arial" w:cs="Calibri"/>
              </w:rPr>
              <w:t>2.6</w:t>
            </w:r>
            <w:r w:rsidRPr="00E66809">
              <w:rPr>
                <w:rFonts w:eastAsia="Arial" w:cs="Calibri"/>
              </w:rPr>
              <w:t xml:space="preserve"> are not applicable.</w:t>
            </w:r>
          </w:p>
        </w:tc>
        <w:tc>
          <w:tcPr>
            <w:tcW w:w="4734" w:type="dxa"/>
            <w:tcBorders>
              <w:top w:val="single" w:sz="6" w:space="0" w:color="000000"/>
              <w:bottom w:val="single" w:sz="6" w:space="0" w:color="000000"/>
            </w:tcBorders>
          </w:tcPr>
          <w:p w14:paraId="4FBF6586" w14:textId="77777777" w:rsidR="00286052" w:rsidRPr="00E66809" w:rsidRDefault="00286052">
            <w:pPr>
              <w:spacing w:after="0" w:line="276" w:lineRule="auto"/>
              <w:rPr>
                <w:rFonts w:eastAsia="Arial" w:cs="Calibri"/>
              </w:rPr>
            </w:pPr>
            <w:r w:rsidRPr="00E66809">
              <w:rPr>
                <w:rFonts w:eastAsia="Arial" w:cs="Calibri"/>
              </w:rPr>
              <w:lastRenderedPageBreak/>
              <w:t xml:space="preserve">N/A </w:t>
            </w:r>
            <w:r w:rsidRPr="00E66809">
              <w:rPr>
                <w:rFonts w:eastAsia="Arial" w:cs="Calibri"/>
              </w:rPr>
              <w:tab/>
            </w:r>
            <w:r w:rsidRPr="00E66809">
              <w:rPr>
                <w:rFonts w:eastAsia="Arial" w:cs="Calibri"/>
              </w:rPr>
              <w:fldChar w:fldCharType="begin">
                <w:ffData>
                  <w:name w:val="Check1"/>
                  <w:enabled/>
                  <w:calcOnExit w:val="0"/>
                  <w:checkBox>
                    <w:sizeAuto/>
                    <w:default w:val="0"/>
                  </w:checkBox>
                </w:ffData>
              </w:fldChar>
            </w:r>
            <w:r w:rsidRPr="00E66809">
              <w:rPr>
                <w:rFonts w:eastAsia="Arial" w:cs="Calibri"/>
              </w:rPr>
              <w:instrText xml:space="preserve"> FORMCHECKBOX </w:instrText>
            </w:r>
            <w:r w:rsidR="0029045A">
              <w:rPr>
                <w:rFonts w:eastAsia="Arial" w:cs="Calibri"/>
              </w:rPr>
            </w:r>
            <w:r w:rsidR="0029045A">
              <w:rPr>
                <w:rFonts w:eastAsia="Arial" w:cs="Calibri"/>
              </w:rPr>
              <w:fldChar w:fldCharType="separate"/>
            </w:r>
            <w:r w:rsidRPr="00E66809">
              <w:rPr>
                <w:rFonts w:eastAsia="Arial" w:cs="Calibri"/>
              </w:rPr>
              <w:fldChar w:fldCharType="end"/>
            </w:r>
          </w:p>
          <w:p w14:paraId="7CA6A775" w14:textId="77777777" w:rsidR="00286052" w:rsidRPr="00E66809" w:rsidRDefault="00286052">
            <w:pPr>
              <w:spacing w:after="0" w:line="276" w:lineRule="auto"/>
              <w:rPr>
                <w:rFonts w:eastAsia="Arial" w:cs="Calibri"/>
              </w:rPr>
            </w:pPr>
          </w:p>
          <w:p w14:paraId="20733548" w14:textId="77777777" w:rsidR="00286052" w:rsidRPr="00E66809" w:rsidRDefault="00286052">
            <w:pPr>
              <w:spacing w:after="0" w:line="276" w:lineRule="auto"/>
              <w:rPr>
                <w:rFonts w:eastAsia="Arial" w:cs="Calibri"/>
              </w:rPr>
            </w:pPr>
            <w:r w:rsidRPr="00E66809">
              <w:rPr>
                <w:rFonts w:eastAsia="Arial" w:cs="Calibri"/>
              </w:rPr>
              <w:t>Or</w:t>
            </w:r>
          </w:p>
          <w:p w14:paraId="7ECFD5B5" w14:textId="77777777" w:rsidR="00286052" w:rsidRPr="00E66809" w:rsidRDefault="00286052">
            <w:pPr>
              <w:spacing w:after="0" w:line="276" w:lineRule="auto"/>
              <w:rPr>
                <w:rFonts w:eastAsia="Arial" w:cs="Calibri"/>
              </w:rPr>
            </w:pPr>
          </w:p>
          <w:p w14:paraId="064676B2" w14:textId="77777777" w:rsidR="00286052" w:rsidRPr="00E66809" w:rsidRDefault="00286052">
            <w:pPr>
              <w:tabs>
                <w:tab w:val="left" w:pos="602"/>
              </w:tabs>
              <w:spacing w:after="0" w:line="276" w:lineRule="auto"/>
              <w:rPr>
                <w:rFonts w:eastAsia="Arial" w:cs="Calibri"/>
              </w:rPr>
            </w:pPr>
            <w:r w:rsidRPr="00E66809">
              <w:rPr>
                <w:rFonts w:eastAsia="Arial" w:cs="Calibri"/>
              </w:rPr>
              <w:lastRenderedPageBreak/>
              <w:t>[provide the information as requested in the question]</w:t>
            </w:r>
          </w:p>
        </w:tc>
      </w:tr>
      <w:tr w:rsidR="00286052" w:rsidRPr="00605283" w14:paraId="22A89383" w14:textId="77777777" w:rsidTr="006B0E8F">
        <w:trPr>
          <w:trHeight w:val="170"/>
        </w:trPr>
        <w:tc>
          <w:tcPr>
            <w:tcW w:w="0" w:type="auto"/>
            <w:vMerge w:val="restart"/>
            <w:shd w:val="clear" w:color="auto" w:fill="F2F2F2" w:themeFill="background1" w:themeFillShade="F2"/>
          </w:tcPr>
          <w:p w14:paraId="4C86C2F5" w14:textId="33BCFFF1" w:rsidR="00286052" w:rsidRPr="00E66809" w:rsidRDefault="00286052">
            <w:pPr>
              <w:spacing w:after="0" w:line="276" w:lineRule="auto"/>
              <w:rPr>
                <w:rFonts w:eastAsia="Arial" w:cs="Arial"/>
                <w:b/>
              </w:rPr>
            </w:pPr>
            <w:r w:rsidRPr="00E66809">
              <w:rPr>
                <w:rFonts w:eastAsia="Arial" w:cs="Arial"/>
                <w:b/>
              </w:rPr>
              <w:lastRenderedPageBreak/>
              <w:t>2.</w:t>
            </w:r>
            <w:r w:rsidR="00AE0A28">
              <w:rPr>
                <w:rFonts w:eastAsia="Arial" w:cs="Arial"/>
                <w:b/>
              </w:rPr>
              <w:t>6</w:t>
            </w:r>
          </w:p>
          <w:p w14:paraId="68F21063" w14:textId="77777777" w:rsidR="00286052" w:rsidRPr="00E66809" w:rsidRDefault="00286052">
            <w:pPr>
              <w:spacing w:after="0" w:line="276" w:lineRule="auto"/>
              <w:rPr>
                <w:rFonts w:eastAsia="Arial" w:cs="Arial"/>
                <w:b/>
              </w:rPr>
            </w:pPr>
          </w:p>
        </w:tc>
        <w:tc>
          <w:tcPr>
            <w:tcW w:w="7837" w:type="dxa"/>
            <w:vMerge w:val="restart"/>
            <w:shd w:val="clear" w:color="auto" w:fill="F2F2F2" w:themeFill="background1" w:themeFillShade="F2"/>
          </w:tcPr>
          <w:p w14:paraId="296B8892" w14:textId="77777777" w:rsidR="00286052" w:rsidRPr="00E66809" w:rsidRDefault="00286052">
            <w:pPr>
              <w:spacing w:after="0" w:line="276" w:lineRule="auto"/>
              <w:rPr>
                <w:rFonts w:eastAsia="Arial" w:cs="Calibri"/>
              </w:rPr>
            </w:pPr>
            <w:r w:rsidRPr="00E66809">
              <w:rPr>
                <w:rFonts w:eastAsia="Arial" w:cs="Calibri"/>
              </w:rPr>
              <w:t>Please confirm if any intended sub-contractor is on the debarment list?</w:t>
            </w:r>
          </w:p>
          <w:p w14:paraId="1D632461" w14:textId="77777777" w:rsidR="00286052" w:rsidRPr="00E66809" w:rsidRDefault="00286052">
            <w:pPr>
              <w:spacing w:after="0" w:line="276" w:lineRule="auto"/>
              <w:rPr>
                <w:rFonts w:eastAsia="Arial" w:cs="Calibri"/>
              </w:rPr>
            </w:pPr>
          </w:p>
          <w:p w14:paraId="7F7760D2" w14:textId="77777777" w:rsidR="00286052" w:rsidRPr="00E66809" w:rsidRDefault="00286052">
            <w:pPr>
              <w:spacing w:after="0" w:line="276" w:lineRule="auto"/>
              <w:ind w:right="306"/>
            </w:pPr>
            <w:r w:rsidRPr="00E66809">
              <w:rPr>
                <w:rFonts w:eastAsia="Arial" w:cs="Calibri"/>
              </w:rPr>
              <w:t>If ‘Yes’, please provide details</w:t>
            </w:r>
          </w:p>
        </w:tc>
        <w:tc>
          <w:tcPr>
            <w:tcW w:w="4734" w:type="dxa"/>
            <w:tcBorders>
              <w:top w:val="single" w:sz="6" w:space="0" w:color="000000"/>
              <w:bottom w:val="single" w:sz="6" w:space="0" w:color="000000"/>
            </w:tcBorders>
          </w:tcPr>
          <w:p w14:paraId="21CA5259" w14:textId="77777777" w:rsidR="00286052" w:rsidRPr="00E66809" w:rsidRDefault="00286052">
            <w:pPr>
              <w:tabs>
                <w:tab w:val="left" w:pos="600"/>
              </w:tabs>
              <w:spacing w:after="0" w:line="276" w:lineRule="auto"/>
              <w:rPr>
                <w:rFonts w:eastAsia="Times New Roman" w:cs="Calibri"/>
              </w:rPr>
            </w:pPr>
            <w:r w:rsidRPr="00E66809">
              <w:rPr>
                <w:rFonts w:eastAsia="Arial" w:cs="Calibri"/>
              </w:rPr>
              <w:t>Yes</w:t>
            </w:r>
            <w:r w:rsidRPr="00E66809">
              <w:rPr>
                <w:rFonts w:eastAsia="Menlo Regular" w:cs="Calibri"/>
              </w:rPr>
              <w:t xml:space="preserve"> </w:t>
            </w:r>
            <w:r w:rsidRPr="00E66809">
              <w:rPr>
                <w:rFonts w:eastAsia="Menlo Regular"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69C5F61F" w14:textId="77777777" w:rsidR="00286052" w:rsidRPr="00E66809" w:rsidRDefault="00286052">
            <w:pPr>
              <w:tabs>
                <w:tab w:val="left" w:pos="600"/>
              </w:tabs>
              <w:spacing w:after="0" w:line="276" w:lineRule="auto"/>
              <w:rPr>
                <w:rFonts w:eastAsia="Times New Roman" w:cs="Calibri"/>
              </w:rPr>
            </w:pPr>
            <w:r w:rsidRPr="00E66809">
              <w:rPr>
                <w:rFonts w:eastAsia="Arial" w:cs="Calibri"/>
              </w:rPr>
              <w:t xml:space="preserve">No </w:t>
            </w:r>
            <w:r w:rsidRPr="00E66809">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6A8002A3" w14:textId="49930617" w:rsidR="00286052" w:rsidRPr="00E66809" w:rsidRDefault="00286052">
            <w:pPr>
              <w:spacing w:after="0" w:line="276" w:lineRule="auto"/>
              <w:rPr>
                <w:rFonts w:eastAsia="Arial" w:cs="Calibri"/>
              </w:rPr>
            </w:pPr>
            <w:r w:rsidRPr="00E66809">
              <w:rPr>
                <w:rFonts w:eastAsia="Arial" w:cs="Calibri"/>
              </w:rPr>
              <w:t>N/A</w:t>
            </w:r>
            <w:r>
              <w:rPr>
                <w:rFonts w:eastAsia="Arial" w:cs="Calibri"/>
              </w:rPr>
              <w:t xml:space="preserve">  </w:t>
            </w:r>
            <w:r w:rsidR="00397015">
              <w:rPr>
                <w:rFonts w:eastAsia="Arial" w:cs="Calibri"/>
              </w:rPr>
              <w:t xml:space="preserve"> </w:t>
            </w:r>
            <w:r w:rsidR="00D66586">
              <w:rPr>
                <w:rFonts w:eastAsia="Arial" w:cs="Calibri"/>
              </w:rPr>
              <w:t xml:space="preserve"> </w:t>
            </w:r>
            <w:r w:rsidRPr="00E66809">
              <w:rPr>
                <w:rFonts w:eastAsia="Arial" w:cs="Calibri"/>
              </w:rPr>
              <w:fldChar w:fldCharType="begin">
                <w:ffData>
                  <w:name w:val="Check1"/>
                  <w:enabled/>
                  <w:calcOnExit w:val="0"/>
                  <w:checkBox>
                    <w:sizeAuto/>
                    <w:default w:val="0"/>
                  </w:checkBox>
                </w:ffData>
              </w:fldChar>
            </w:r>
            <w:r w:rsidRPr="00E66809">
              <w:rPr>
                <w:rFonts w:eastAsia="Arial" w:cs="Calibri"/>
              </w:rPr>
              <w:instrText xml:space="preserve"> FORMCHECKBOX </w:instrText>
            </w:r>
            <w:r w:rsidR="0029045A">
              <w:rPr>
                <w:rFonts w:eastAsia="Arial" w:cs="Calibri"/>
              </w:rPr>
            </w:r>
            <w:r w:rsidR="0029045A">
              <w:rPr>
                <w:rFonts w:eastAsia="Arial" w:cs="Calibri"/>
              </w:rPr>
              <w:fldChar w:fldCharType="separate"/>
            </w:r>
            <w:r w:rsidRPr="00E66809">
              <w:rPr>
                <w:rFonts w:eastAsia="Arial" w:cs="Calibri"/>
              </w:rPr>
              <w:fldChar w:fldCharType="end"/>
            </w:r>
          </w:p>
          <w:p w14:paraId="4BF21F53" w14:textId="77777777" w:rsidR="00286052" w:rsidRPr="00E66809" w:rsidRDefault="00286052">
            <w:pPr>
              <w:spacing w:after="0" w:line="276" w:lineRule="auto"/>
              <w:rPr>
                <w:rFonts w:eastAsia="Arial" w:cs="Calibri"/>
              </w:rPr>
            </w:pPr>
          </w:p>
        </w:tc>
      </w:tr>
      <w:tr w:rsidR="00286052" w:rsidRPr="00605283" w14:paraId="6C12CD2A" w14:textId="77777777" w:rsidTr="006B0E8F">
        <w:trPr>
          <w:trHeight w:val="2154"/>
        </w:trPr>
        <w:tc>
          <w:tcPr>
            <w:tcW w:w="0" w:type="auto"/>
            <w:vMerge/>
            <w:shd w:val="clear" w:color="auto" w:fill="F2F2F2" w:themeFill="background1" w:themeFillShade="F2"/>
          </w:tcPr>
          <w:p w14:paraId="382FD2B2" w14:textId="77777777" w:rsidR="00286052" w:rsidRPr="00E66809" w:rsidRDefault="00286052">
            <w:pPr>
              <w:spacing w:after="0" w:line="276" w:lineRule="auto"/>
              <w:rPr>
                <w:rFonts w:eastAsia="Arial" w:cs="Arial"/>
                <w:b/>
              </w:rPr>
            </w:pPr>
          </w:p>
        </w:tc>
        <w:tc>
          <w:tcPr>
            <w:tcW w:w="7837" w:type="dxa"/>
            <w:vMerge/>
            <w:shd w:val="clear" w:color="auto" w:fill="F2F2F2" w:themeFill="background1" w:themeFillShade="F2"/>
          </w:tcPr>
          <w:p w14:paraId="1DB2C2CB" w14:textId="77777777" w:rsidR="00286052" w:rsidRPr="008213A1" w:rsidRDefault="00286052">
            <w:pPr>
              <w:spacing w:after="0" w:line="276" w:lineRule="auto"/>
              <w:rPr>
                <w:rFonts w:cs="Arial"/>
              </w:rPr>
            </w:pPr>
          </w:p>
        </w:tc>
        <w:tc>
          <w:tcPr>
            <w:tcW w:w="4734" w:type="dxa"/>
            <w:tcBorders>
              <w:top w:val="single" w:sz="6" w:space="0" w:color="000000"/>
              <w:bottom w:val="single" w:sz="6" w:space="0" w:color="000000"/>
            </w:tcBorders>
          </w:tcPr>
          <w:p w14:paraId="6DE7AE33" w14:textId="77777777" w:rsidR="00286052" w:rsidRPr="00E66809" w:rsidRDefault="00286052">
            <w:pPr>
              <w:tabs>
                <w:tab w:val="left" w:pos="600"/>
              </w:tabs>
              <w:spacing w:after="0" w:line="276" w:lineRule="auto"/>
              <w:rPr>
                <w:rFonts w:eastAsia="Arial" w:cs="Calibri"/>
              </w:rPr>
            </w:pPr>
            <w:r w:rsidRPr="00E66809">
              <w:rPr>
                <w:rFonts w:eastAsia="Arial" w:cs="Calibri"/>
              </w:rPr>
              <w:t>[Insert details if applicable]</w:t>
            </w:r>
          </w:p>
        </w:tc>
      </w:tr>
    </w:tbl>
    <w:p w14:paraId="2855C12A" w14:textId="77777777" w:rsidR="00286052" w:rsidRPr="009D2C3C" w:rsidRDefault="00286052" w:rsidP="00286052">
      <w:pPr>
        <w:spacing w:after="0" w:line="276" w:lineRule="auto"/>
        <w:rPr>
          <w:rFonts w:eastAsia="Arial" w:cs="Calibri"/>
        </w:rPr>
      </w:pPr>
    </w:p>
    <w:p w14:paraId="7CE03A4D" w14:textId="77777777" w:rsidR="00286052" w:rsidRPr="00E66809" w:rsidRDefault="00286052" w:rsidP="00286052">
      <w:pPr>
        <w:spacing w:after="0" w:line="276" w:lineRule="auto"/>
        <w:rPr>
          <w:rFonts w:eastAsia="Arial" w:cs="Calibri"/>
        </w:rPr>
      </w:pPr>
    </w:p>
    <w:p w14:paraId="73C0E305" w14:textId="77777777" w:rsidR="00286052" w:rsidRPr="00E66809" w:rsidRDefault="00286052" w:rsidP="00286052">
      <w:pPr>
        <w:keepNext/>
        <w:keepLines/>
        <w:pageBreakBefore/>
        <w:spacing w:after="0" w:line="276" w:lineRule="auto"/>
        <w:outlineLvl w:val="2"/>
        <w:rPr>
          <w:rFonts w:eastAsia="Arial" w:cs="Calibri"/>
          <w:b/>
        </w:rPr>
      </w:pPr>
      <w:bookmarkStart w:id="78" w:name="_Toc192615546"/>
      <w:r w:rsidRPr="00E66809">
        <w:rPr>
          <w:rFonts w:eastAsia="Arial" w:cs="Calibri"/>
          <w:b/>
        </w:rPr>
        <w:lastRenderedPageBreak/>
        <w:t>Part 3: Questions Relating to the Conditions of Participation</w:t>
      </w:r>
      <w:bookmarkEnd w:id="78"/>
    </w:p>
    <w:p w14:paraId="49D238BE" w14:textId="77777777" w:rsidR="00286052" w:rsidRPr="00E66809" w:rsidRDefault="00286052" w:rsidP="00286052">
      <w:pPr>
        <w:spacing w:after="0" w:line="276" w:lineRule="auto"/>
        <w:rPr>
          <w:rFonts w:eastAsia="Arial" w:cs="Calibri"/>
          <w:b/>
          <w:u w:val="single"/>
        </w:rPr>
      </w:pPr>
      <w:bookmarkStart w:id="79" w:name="_Toc192615547"/>
    </w:p>
    <w:p w14:paraId="20D7A9AA" w14:textId="77777777" w:rsidR="00286052" w:rsidRPr="00E66809" w:rsidRDefault="00286052" w:rsidP="00286052">
      <w:pPr>
        <w:spacing w:after="0" w:line="276" w:lineRule="auto"/>
        <w:rPr>
          <w:rFonts w:eastAsia="Arial" w:cs="Calibri"/>
          <w:b/>
          <w:u w:val="single"/>
        </w:rPr>
      </w:pPr>
      <w:r w:rsidRPr="00E66809">
        <w:rPr>
          <w:rFonts w:eastAsia="Arial" w:cs="Calibri"/>
          <w:b/>
          <w:u w:val="single"/>
        </w:rPr>
        <w:t>Part 3A – Standard Questions</w:t>
      </w:r>
      <w:bookmarkEnd w:id="79"/>
    </w:p>
    <w:p w14:paraId="0C94B408" w14:textId="77777777" w:rsidR="00286052" w:rsidRPr="00E66809" w:rsidRDefault="00286052" w:rsidP="00286052">
      <w:pPr>
        <w:spacing w:after="0" w:line="276" w:lineRule="auto"/>
        <w:rPr>
          <w:rFonts w:eastAsia="Arial" w:cs="Calibri"/>
          <w:b/>
          <w:u w:val="single"/>
        </w:rPr>
      </w:pPr>
    </w:p>
    <w:p w14:paraId="3FCB3F25" w14:textId="77777777" w:rsidR="00286052" w:rsidRPr="00E66809" w:rsidRDefault="00286052" w:rsidP="00286052">
      <w:pPr>
        <w:spacing w:after="0" w:line="276" w:lineRule="auto"/>
        <w:rPr>
          <w:rFonts w:eastAsia="Arial" w:cs="Calibri"/>
          <w:b/>
        </w:rPr>
      </w:pPr>
      <w:r w:rsidRPr="00E66809">
        <w:rPr>
          <w:rFonts w:eastAsia="Arial" w:cs="Calibri"/>
          <w:b/>
        </w:rPr>
        <w:t>Financial Capacity</w:t>
      </w:r>
    </w:p>
    <w:p w14:paraId="734236AB" w14:textId="77777777" w:rsidR="00286052" w:rsidRPr="00E66809" w:rsidRDefault="00286052" w:rsidP="00286052">
      <w:pPr>
        <w:spacing w:after="0" w:line="276" w:lineRule="auto"/>
        <w:rPr>
          <w:rFonts w:eastAsia="Arial" w:cs="Calibri"/>
          <w:b/>
          <w:u w:val="single"/>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383"/>
        <w:gridCol w:w="4438"/>
      </w:tblGrid>
      <w:tr w:rsidR="00286052" w:rsidRPr="00605283" w14:paraId="2A26FFA8" w14:textId="77777777" w:rsidTr="006B0E8F">
        <w:tc>
          <w:tcPr>
            <w:tcW w:w="0" w:type="auto"/>
            <w:tcBorders>
              <w:top w:val="single" w:sz="6" w:space="0" w:color="000000" w:themeColor="text1"/>
              <w:bottom w:val="single" w:sz="6" w:space="0" w:color="000000" w:themeColor="text1"/>
            </w:tcBorders>
            <w:shd w:val="clear" w:color="auto" w:fill="009999"/>
          </w:tcPr>
          <w:p w14:paraId="4E384238"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themeColor="text1"/>
              <w:bottom w:val="single" w:sz="6" w:space="0" w:color="000000" w:themeColor="text1"/>
            </w:tcBorders>
            <w:shd w:val="clear" w:color="auto" w:fill="009999"/>
          </w:tcPr>
          <w:p w14:paraId="5F51412C"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themeColor="text1"/>
              <w:bottom w:val="single" w:sz="6" w:space="0" w:color="000000" w:themeColor="text1"/>
            </w:tcBorders>
            <w:shd w:val="clear" w:color="auto" w:fill="009999"/>
          </w:tcPr>
          <w:p w14:paraId="4B3E253A"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605283" w14:paraId="0C6A9D38" w14:textId="77777777" w:rsidTr="006B0E8F">
        <w:trPr>
          <w:trHeight w:val="1587"/>
        </w:trPr>
        <w:tc>
          <w:tcPr>
            <w:tcW w:w="0" w:type="auto"/>
            <w:tcBorders>
              <w:top w:val="single" w:sz="6" w:space="0" w:color="000000" w:themeColor="text1"/>
            </w:tcBorders>
            <w:shd w:val="clear" w:color="auto" w:fill="F2F2F2" w:themeFill="background1" w:themeFillShade="F2"/>
          </w:tcPr>
          <w:p w14:paraId="352AA4DA" w14:textId="2C4DF374" w:rsidR="00286052" w:rsidRPr="00E66809" w:rsidRDefault="005E0179">
            <w:pPr>
              <w:spacing w:after="0" w:line="276" w:lineRule="auto"/>
              <w:rPr>
                <w:rFonts w:eastAsia="Arial" w:cs="Arial"/>
                <w:b/>
              </w:rPr>
            </w:pPr>
            <w:r>
              <w:rPr>
                <w:rFonts w:eastAsia="Arial" w:cs="Arial"/>
                <w:b/>
              </w:rPr>
              <w:t>3.1</w:t>
            </w:r>
          </w:p>
        </w:tc>
        <w:tc>
          <w:tcPr>
            <w:tcW w:w="7837" w:type="dxa"/>
            <w:tcBorders>
              <w:top w:val="single" w:sz="6" w:space="0" w:color="000000" w:themeColor="text1"/>
            </w:tcBorders>
            <w:shd w:val="clear" w:color="auto" w:fill="F2F2F2" w:themeFill="background1" w:themeFillShade="F2"/>
            <w:vAlign w:val="center"/>
          </w:tcPr>
          <w:p w14:paraId="40030A59" w14:textId="26ADBB3E" w:rsidR="00286052" w:rsidRPr="002B147A" w:rsidRDefault="00FA5CF7" w:rsidP="4CF841CD">
            <w:pPr>
              <w:widowControl w:val="0"/>
              <w:overflowPunct w:val="0"/>
              <w:autoSpaceDE w:val="0"/>
              <w:autoSpaceDN w:val="0"/>
              <w:adjustRightInd w:val="0"/>
              <w:spacing w:before="120" w:after="120"/>
              <w:jc w:val="both"/>
              <w:rPr>
                <w:rFonts w:cs="Arial"/>
              </w:rPr>
            </w:pPr>
            <w:r w:rsidRPr="4CF841CD">
              <w:rPr>
                <w:rFonts w:cs="Arial"/>
              </w:rPr>
              <w:t>Supplier</w:t>
            </w:r>
            <w:r w:rsidR="00286052" w:rsidRPr="4CF841CD">
              <w:rPr>
                <w:rFonts w:cs="Arial"/>
              </w:rPr>
              <w:t>s must provide the following:</w:t>
            </w:r>
          </w:p>
          <w:p w14:paraId="0C6979BA" w14:textId="73CB9E81" w:rsidR="00286052" w:rsidRPr="002B147A" w:rsidRDefault="00286052" w:rsidP="00AA31F5">
            <w:pPr>
              <w:pStyle w:val="ListParagraph"/>
              <w:widowControl w:val="0"/>
              <w:numPr>
                <w:ilvl w:val="0"/>
                <w:numId w:val="4"/>
              </w:numPr>
              <w:overflowPunct w:val="0"/>
              <w:autoSpaceDE w:val="0"/>
              <w:autoSpaceDN w:val="0"/>
              <w:adjustRightInd w:val="0"/>
              <w:jc w:val="both"/>
              <w:rPr>
                <w:rFonts w:cs="Arial"/>
              </w:rPr>
            </w:pPr>
            <w:r w:rsidRPr="4CF841CD">
              <w:rPr>
                <w:rFonts w:cs="Arial"/>
              </w:rPr>
              <w:t>A copy of your</w:t>
            </w:r>
            <w:r w:rsidR="006A51D0">
              <w:rPr>
                <w:rFonts w:cs="Arial"/>
              </w:rPr>
              <w:t xml:space="preserve">, and if applicable, </w:t>
            </w:r>
            <w:r w:rsidR="00D57CB6">
              <w:rPr>
                <w:rFonts w:cs="Arial"/>
              </w:rPr>
              <w:t xml:space="preserve">organisations </w:t>
            </w:r>
            <w:r w:rsidR="006A51D0">
              <w:rPr>
                <w:rFonts w:cs="Arial"/>
              </w:rPr>
              <w:t xml:space="preserve">in your supply chain and / or </w:t>
            </w:r>
            <w:r w:rsidR="00D3295A">
              <w:rPr>
                <w:rFonts w:cs="Arial"/>
              </w:rPr>
              <w:t>consortium</w:t>
            </w:r>
            <w:r w:rsidR="00DC2BD2">
              <w:rPr>
                <w:rFonts w:cs="Arial"/>
              </w:rPr>
              <w:t>’s</w:t>
            </w:r>
            <w:r w:rsidRPr="4CF841CD">
              <w:rPr>
                <w:rFonts w:cs="Arial"/>
              </w:rPr>
              <w:t xml:space="preserve"> detailed </w:t>
            </w:r>
            <w:r w:rsidR="00DC2BD2">
              <w:rPr>
                <w:rFonts w:cs="Arial"/>
              </w:rPr>
              <w:t>audited</w:t>
            </w:r>
            <w:r w:rsidRPr="4CF841CD">
              <w:rPr>
                <w:rFonts w:cs="Arial"/>
              </w:rPr>
              <w:t xml:space="preserve"> </w:t>
            </w:r>
            <w:r w:rsidR="00E824B7">
              <w:rPr>
                <w:rFonts w:cs="Arial"/>
              </w:rPr>
              <w:t xml:space="preserve">statutory </w:t>
            </w:r>
            <w:r w:rsidRPr="4CF841CD">
              <w:rPr>
                <w:rFonts w:cs="Arial"/>
              </w:rPr>
              <w:t xml:space="preserve">accounts for the most recent year </w:t>
            </w:r>
            <w:r w:rsidR="003941F0" w:rsidRPr="4CF841CD">
              <w:rPr>
                <w:rFonts w:cs="Arial"/>
              </w:rPr>
              <w:t>of</w:t>
            </w:r>
            <w:r w:rsidRPr="4CF841CD">
              <w:rPr>
                <w:rFonts w:cs="Arial"/>
              </w:rPr>
              <w:t xml:space="preserve"> trading</w:t>
            </w:r>
            <w:r w:rsidR="003941F0">
              <w:rPr>
                <w:rFonts w:cs="Arial"/>
              </w:rPr>
              <w:t xml:space="preserve">. These should </w:t>
            </w:r>
            <w:proofErr w:type="gramStart"/>
            <w:r w:rsidR="003941F0">
              <w:rPr>
                <w:rFonts w:cs="Arial"/>
              </w:rPr>
              <w:t>include</w:t>
            </w:r>
            <w:r w:rsidR="002A6CA6">
              <w:rPr>
                <w:rFonts w:cs="Arial"/>
              </w:rPr>
              <w:t>:</w:t>
            </w:r>
            <w:proofErr w:type="gramEnd"/>
            <w:r w:rsidR="002A6CA6">
              <w:rPr>
                <w:rFonts w:cs="Arial"/>
              </w:rPr>
              <w:t xml:space="preserve"> </w:t>
            </w:r>
            <w:r w:rsidR="006D24AC" w:rsidRPr="4CF841CD">
              <w:rPr>
                <w:rFonts w:cs="Arial"/>
              </w:rPr>
              <w:t>Profit and Loss Account/Income Statement, Balance Sheet/Statement of Financial Position and Statement of Cash Flow</w:t>
            </w:r>
            <w:r w:rsidRPr="4CF841CD">
              <w:rPr>
                <w:rFonts w:cs="Arial"/>
              </w:rPr>
              <w:t xml:space="preserve"> for </w:t>
            </w:r>
            <w:r w:rsidR="006D24AC" w:rsidRPr="4CF841CD">
              <w:rPr>
                <w:rFonts w:cs="Arial"/>
              </w:rPr>
              <w:t>the most recent year of trading</w:t>
            </w:r>
            <w:r w:rsidR="00E824B7">
              <w:rPr>
                <w:rFonts w:cs="Arial"/>
              </w:rPr>
              <w:t>.</w:t>
            </w:r>
          </w:p>
          <w:p w14:paraId="7D36B93A" w14:textId="5163C1BC" w:rsidR="003D6F2B" w:rsidRDefault="003D6F2B" w:rsidP="009E4E0C">
            <w:pPr>
              <w:jc w:val="both"/>
              <w:rPr>
                <w:rFonts w:eastAsia="Arial" w:cs="Arial"/>
              </w:rPr>
            </w:pPr>
            <w:r w:rsidRPr="003D6F2B">
              <w:rPr>
                <w:rFonts w:eastAsia="Arial" w:cs="Arial"/>
              </w:rPr>
              <w:t xml:space="preserve">HMRC will use this information to calculate the financial metrics outlined in Annex </w:t>
            </w:r>
            <w:r w:rsidR="00497EC3">
              <w:rPr>
                <w:rFonts w:eastAsia="Arial" w:cs="Arial"/>
              </w:rPr>
              <w:t>3</w:t>
            </w:r>
            <w:r w:rsidRPr="003D6F2B">
              <w:rPr>
                <w:rFonts w:eastAsia="Arial" w:cs="Arial"/>
              </w:rPr>
              <w:t xml:space="preserve"> and assess whether the financial capacity of the supplier</w:t>
            </w:r>
            <w:r>
              <w:rPr>
                <w:rFonts w:eastAsia="Arial" w:cs="Arial"/>
              </w:rPr>
              <w:t xml:space="preserve"> </w:t>
            </w:r>
            <w:r w:rsidRPr="003D6F2B">
              <w:rPr>
                <w:rFonts w:eastAsia="Arial" w:cs="Arial"/>
              </w:rPr>
              <w:t xml:space="preserve">and, where applicable, any organisations in their supply chain or </w:t>
            </w:r>
            <w:r w:rsidR="00D3295A">
              <w:rPr>
                <w:rFonts w:eastAsia="Arial" w:cs="Arial"/>
              </w:rPr>
              <w:t>consortium</w:t>
            </w:r>
            <w:r>
              <w:rPr>
                <w:rFonts w:eastAsia="Arial" w:cs="Arial"/>
              </w:rPr>
              <w:t xml:space="preserve"> </w:t>
            </w:r>
            <w:r w:rsidRPr="003D6F2B">
              <w:rPr>
                <w:rFonts w:eastAsia="Arial" w:cs="Arial"/>
              </w:rPr>
              <w:t>is suitable for this procurement.</w:t>
            </w:r>
            <w:r>
              <w:rPr>
                <w:rFonts w:eastAsia="Arial" w:cs="Arial"/>
              </w:rPr>
              <w:t xml:space="preserve"> </w:t>
            </w:r>
          </w:p>
          <w:p w14:paraId="456F84AD" w14:textId="1CD1FA33" w:rsidR="00286052" w:rsidRPr="002B147A" w:rsidRDefault="003F604A" w:rsidP="009E4E0C">
            <w:pPr>
              <w:jc w:val="both"/>
              <w:rPr>
                <w:rFonts w:eastAsia="Arial" w:cs="Arial"/>
              </w:rPr>
            </w:pPr>
            <w:r>
              <w:rPr>
                <w:rFonts w:eastAsia="Arial" w:cs="Arial"/>
              </w:rPr>
              <w:t xml:space="preserve">Note: </w:t>
            </w:r>
            <w:r w:rsidR="005A338D">
              <w:rPr>
                <w:rFonts w:eastAsia="Arial" w:cs="Arial"/>
              </w:rPr>
              <w:t xml:space="preserve">At any point during the procurement process, </w:t>
            </w:r>
            <w:r>
              <w:rPr>
                <w:rFonts w:eastAsia="Arial" w:cs="Arial"/>
              </w:rPr>
              <w:t xml:space="preserve">HMRC may request that </w:t>
            </w:r>
            <w:r w:rsidR="00E10BEE">
              <w:rPr>
                <w:rFonts w:eastAsia="Arial" w:cs="Arial"/>
              </w:rPr>
              <w:t xml:space="preserve">the Supplier </w:t>
            </w:r>
            <w:r w:rsidR="005A338D">
              <w:rPr>
                <w:rFonts w:cs="Arial"/>
              </w:rPr>
              <w:t xml:space="preserve">and if applicable, organisations in their supply chain and / or </w:t>
            </w:r>
            <w:r w:rsidR="00D3295A">
              <w:rPr>
                <w:rFonts w:cs="Arial"/>
              </w:rPr>
              <w:t>consortium</w:t>
            </w:r>
            <w:r w:rsidR="005A338D">
              <w:rPr>
                <w:rFonts w:cs="Arial"/>
              </w:rPr>
              <w:t xml:space="preserve">, </w:t>
            </w:r>
            <w:r w:rsidR="00E10BEE">
              <w:rPr>
                <w:rFonts w:eastAsia="Arial" w:cs="Arial"/>
              </w:rPr>
              <w:t xml:space="preserve">provides further information to verify their </w:t>
            </w:r>
            <w:r w:rsidR="00C953BC">
              <w:rPr>
                <w:rFonts w:eastAsia="Arial" w:cs="Arial"/>
              </w:rPr>
              <w:t>financial capacity</w:t>
            </w:r>
            <w:r w:rsidR="005A338D">
              <w:rPr>
                <w:rFonts w:eastAsia="Arial" w:cs="Arial"/>
              </w:rPr>
              <w:t xml:space="preserve">. </w:t>
            </w:r>
          </w:p>
        </w:tc>
        <w:tc>
          <w:tcPr>
            <w:tcW w:w="4734" w:type="dxa"/>
            <w:tcBorders>
              <w:top w:val="single" w:sz="6" w:space="0" w:color="000000" w:themeColor="text1"/>
              <w:bottom w:val="single" w:sz="6" w:space="0" w:color="000000" w:themeColor="text1"/>
            </w:tcBorders>
          </w:tcPr>
          <w:p w14:paraId="6241ABD9" w14:textId="77777777" w:rsidR="00286052" w:rsidRPr="00E66809" w:rsidRDefault="00286052">
            <w:pPr>
              <w:tabs>
                <w:tab w:val="left" w:pos="602"/>
              </w:tabs>
              <w:spacing w:after="0" w:line="276" w:lineRule="auto"/>
              <w:rPr>
                <w:rFonts w:eastAsia="Arial" w:cs="Calibri"/>
              </w:rPr>
            </w:pPr>
            <w:r w:rsidRPr="00E66809">
              <w:rPr>
                <w:rFonts w:eastAsia="Arial" w:cs="Calibri"/>
              </w:rPr>
              <w:t>[Attach information requested]</w:t>
            </w:r>
          </w:p>
        </w:tc>
      </w:tr>
      <w:tr w:rsidR="00286052" w:rsidRPr="00605283" w14:paraId="34265CA1" w14:textId="77777777" w:rsidTr="006B0E8F">
        <w:trPr>
          <w:trHeight w:val="3965"/>
        </w:trPr>
        <w:tc>
          <w:tcPr>
            <w:tcW w:w="0" w:type="auto"/>
            <w:vMerge w:val="restart"/>
            <w:shd w:val="clear" w:color="auto" w:fill="F2F2F2" w:themeFill="background1" w:themeFillShade="F2"/>
          </w:tcPr>
          <w:p w14:paraId="711E2AB5" w14:textId="40A8DD99" w:rsidR="00286052" w:rsidRPr="00E66809" w:rsidRDefault="005E0179">
            <w:pPr>
              <w:spacing w:after="0" w:line="276" w:lineRule="auto"/>
              <w:rPr>
                <w:rFonts w:eastAsia="Arial" w:cs="Arial"/>
                <w:b/>
              </w:rPr>
            </w:pPr>
            <w:r>
              <w:rPr>
                <w:rFonts w:eastAsia="Arial" w:cs="Arial"/>
                <w:b/>
              </w:rPr>
              <w:lastRenderedPageBreak/>
              <w:t>3.2</w:t>
            </w:r>
          </w:p>
        </w:tc>
        <w:tc>
          <w:tcPr>
            <w:tcW w:w="7837" w:type="dxa"/>
            <w:vMerge w:val="restart"/>
            <w:shd w:val="clear" w:color="auto" w:fill="F2F2F2" w:themeFill="background1" w:themeFillShade="F2"/>
          </w:tcPr>
          <w:p w14:paraId="2D5958E4" w14:textId="77777777" w:rsidR="00286052" w:rsidRPr="00E66809" w:rsidRDefault="00286052">
            <w:pPr>
              <w:spacing w:after="0" w:line="276" w:lineRule="auto"/>
              <w:rPr>
                <w:rFonts w:cs="Arial"/>
              </w:rPr>
            </w:pPr>
            <w:r w:rsidRPr="00E66809">
              <w:rPr>
                <w:rFonts w:cs="Arial"/>
              </w:rPr>
              <w:t>Are you relying on another supplier to act as a guarantor?</w:t>
            </w:r>
          </w:p>
          <w:p w14:paraId="57B3F579" w14:textId="77777777" w:rsidR="00286052" w:rsidRPr="00E66809" w:rsidRDefault="00286052">
            <w:pPr>
              <w:spacing w:after="0" w:line="276" w:lineRule="auto"/>
              <w:rPr>
                <w:rFonts w:cs="Arial"/>
              </w:rPr>
            </w:pPr>
          </w:p>
          <w:p w14:paraId="2DDD0A36" w14:textId="77777777" w:rsidR="00286052" w:rsidRPr="00E66809" w:rsidRDefault="00286052">
            <w:pPr>
              <w:spacing w:after="0" w:line="276" w:lineRule="auto"/>
              <w:rPr>
                <w:rFonts w:cs="Arial"/>
              </w:rPr>
            </w:pPr>
            <w:r w:rsidRPr="00E66809">
              <w:rPr>
                <w:rFonts w:cs="Arial"/>
              </w:rPr>
              <w:t>If so, please provide their name and one of the following:</w:t>
            </w:r>
          </w:p>
          <w:p w14:paraId="13DD78A3" w14:textId="77777777" w:rsidR="00286052" w:rsidRPr="00E66809" w:rsidRDefault="00286052">
            <w:pPr>
              <w:spacing w:after="0" w:line="276" w:lineRule="auto"/>
              <w:rPr>
                <w:rFonts w:cs="Arial"/>
              </w:rPr>
            </w:pPr>
          </w:p>
          <w:p w14:paraId="3269AF7A"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cs="Arial"/>
              </w:rPr>
            </w:pPr>
            <w:r w:rsidRPr="00E66809">
              <w:rPr>
                <w:rFonts w:cs="Arial"/>
              </w:rPr>
              <w:t>A copy of their detailed accounts (audited if required by law) for the last two years (or most recent financial year if trading for less than 2 years); or</w:t>
            </w:r>
          </w:p>
          <w:p w14:paraId="1B7D9FE2" w14:textId="77777777" w:rsidR="00286052" w:rsidRPr="00E66809" w:rsidRDefault="00286052">
            <w:pPr>
              <w:pStyle w:val="ListParagraph"/>
              <w:widowControl w:val="0"/>
              <w:tabs>
                <w:tab w:val="left" w:pos="0"/>
              </w:tabs>
              <w:overflowPunct w:val="0"/>
              <w:autoSpaceDE w:val="0"/>
              <w:autoSpaceDN w:val="0"/>
              <w:adjustRightInd w:val="0"/>
              <w:jc w:val="both"/>
              <w:rPr>
                <w:rFonts w:cs="Arial"/>
              </w:rPr>
            </w:pPr>
          </w:p>
          <w:p w14:paraId="3D6B5C4C"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cs="Arial"/>
              </w:rPr>
            </w:pPr>
            <w:r w:rsidRPr="00E66809">
              <w:rPr>
                <w:rFonts w:cs="Arial"/>
              </w:rPr>
              <w:t>A statement of their annual turnover, Profit and Loss Account/Income Statement, Balance Sheet/Statement of Financial Position and Statement of Cash Flow for the most recent year of trading and a bank letter outlining the current cash and credit facility position; or</w:t>
            </w:r>
          </w:p>
          <w:p w14:paraId="5AC0961E" w14:textId="77777777" w:rsidR="00286052" w:rsidRPr="00E66809" w:rsidRDefault="00286052">
            <w:pPr>
              <w:pStyle w:val="ListParagraph"/>
              <w:jc w:val="both"/>
              <w:rPr>
                <w:rFonts w:cs="Arial"/>
              </w:rPr>
            </w:pPr>
          </w:p>
          <w:p w14:paraId="294BD3D1" w14:textId="77777777" w:rsidR="00286052" w:rsidRPr="00E66809" w:rsidRDefault="00286052">
            <w:pPr>
              <w:pStyle w:val="ListParagraph"/>
              <w:numPr>
                <w:ilvl w:val="0"/>
                <w:numId w:val="4"/>
              </w:numPr>
              <w:jc w:val="both"/>
              <w:rPr>
                <w:rFonts w:cs="Arial"/>
              </w:rPr>
            </w:pPr>
            <w:r w:rsidRPr="00E66809">
              <w:rPr>
                <w:rFonts w:cs="Arial"/>
              </w:rPr>
              <w:t>Alternative information to evidence economic and financial standing (e.g. forecast financial statements and a statement of funding provided by the owners and/or the bank, charity accruals accounts or an alternative means of demonstrating financial status).</w:t>
            </w:r>
          </w:p>
          <w:p w14:paraId="5D09C760" w14:textId="77777777" w:rsidR="00286052" w:rsidRPr="008213A1" w:rsidRDefault="00286052">
            <w:pPr>
              <w:spacing w:after="0" w:line="276" w:lineRule="auto"/>
              <w:rPr>
                <w:rFonts w:cs="Arial"/>
              </w:rPr>
            </w:pPr>
          </w:p>
        </w:tc>
        <w:tc>
          <w:tcPr>
            <w:tcW w:w="4734" w:type="dxa"/>
            <w:tcBorders>
              <w:top w:val="single" w:sz="6" w:space="0" w:color="000000" w:themeColor="text1"/>
              <w:bottom w:val="single" w:sz="6" w:space="0" w:color="000000" w:themeColor="text1"/>
            </w:tcBorders>
          </w:tcPr>
          <w:p w14:paraId="5B328E88" w14:textId="77777777" w:rsidR="00286052" w:rsidRPr="00E66809" w:rsidRDefault="00286052">
            <w:pPr>
              <w:tabs>
                <w:tab w:val="left" w:pos="600"/>
              </w:tabs>
              <w:spacing w:after="0" w:line="276" w:lineRule="auto"/>
              <w:rPr>
                <w:rFonts w:eastAsia="Times New Roman" w:cs="Calibri"/>
              </w:rPr>
            </w:pPr>
            <w:r w:rsidRPr="00E66809">
              <w:rPr>
                <w:rFonts w:eastAsia="Arial" w:cs="Calibri"/>
              </w:rPr>
              <w:t>Yes</w:t>
            </w:r>
            <w:r w:rsidRPr="00E66809">
              <w:rPr>
                <w:rFonts w:eastAsia="Menlo Regular" w:cs="Calibri"/>
              </w:rPr>
              <w:t xml:space="preserve"> </w:t>
            </w:r>
            <w:r w:rsidRPr="00E66809">
              <w:rPr>
                <w:rFonts w:eastAsia="Menlo Regular"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3D92DD62" w14:textId="77777777" w:rsidR="00286052" w:rsidRPr="00E66809" w:rsidRDefault="00286052">
            <w:pPr>
              <w:tabs>
                <w:tab w:val="left" w:pos="600"/>
              </w:tabs>
              <w:spacing w:after="0" w:line="276" w:lineRule="auto"/>
              <w:rPr>
                <w:rFonts w:eastAsia="Times New Roman" w:cs="Calibri"/>
              </w:rPr>
            </w:pPr>
            <w:r w:rsidRPr="00E66809">
              <w:rPr>
                <w:rFonts w:eastAsia="Arial" w:cs="Calibri"/>
              </w:rPr>
              <w:t xml:space="preserve">No </w:t>
            </w:r>
            <w:r w:rsidRPr="00E66809">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4643DA9C" w14:textId="77777777" w:rsidR="00286052" w:rsidRPr="00E66809" w:rsidRDefault="00286052">
            <w:pPr>
              <w:tabs>
                <w:tab w:val="left" w:pos="600"/>
              </w:tabs>
              <w:spacing w:after="0" w:line="276" w:lineRule="auto"/>
              <w:rPr>
                <w:rFonts w:eastAsia="Arial" w:cs="Calibri"/>
              </w:rPr>
            </w:pPr>
          </w:p>
        </w:tc>
      </w:tr>
      <w:tr w:rsidR="00286052" w:rsidRPr="00605283" w14:paraId="4609406B" w14:textId="77777777" w:rsidTr="006B0E8F">
        <w:trPr>
          <w:trHeight w:val="2494"/>
        </w:trPr>
        <w:tc>
          <w:tcPr>
            <w:tcW w:w="0" w:type="auto"/>
            <w:vMerge/>
          </w:tcPr>
          <w:p w14:paraId="3EBC4AAE" w14:textId="77777777" w:rsidR="00286052" w:rsidRPr="00E66809" w:rsidRDefault="00286052">
            <w:pPr>
              <w:spacing w:after="0" w:line="276" w:lineRule="auto"/>
              <w:rPr>
                <w:rFonts w:eastAsia="Arial" w:cs="Arial"/>
                <w:b/>
              </w:rPr>
            </w:pPr>
          </w:p>
        </w:tc>
        <w:tc>
          <w:tcPr>
            <w:tcW w:w="7837" w:type="dxa"/>
            <w:vMerge/>
          </w:tcPr>
          <w:p w14:paraId="5889C5E8" w14:textId="77777777" w:rsidR="00286052" w:rsidRPr="00E66809" w:rsidRDefault="00286052">
            <w:pPr>
              <w:spacing w:after="0" w:line="276" w:lineRule="auto"/>
              <w:rPr>
                <w:rFonts w:cs="Arial"/>
              </w:rPr>
            </w:pPr>
          </w:p>
        </w:tc>
        <w:tc>
          <w:tcPr>
            <w:tcW w:w="4734" w:type="dxa"/>
            <w:tcBorders>
              <w:top w:val="single" w:sz="6" w:space="0" w:color="000000" w:themeColor="text1"/>
              <w:bottom w:val="single" w:sz="6" w:space="0" w:color="000000" w:themeColor="text1"/>
            </w:tcBorders>
          </w:tcPr>
          <w:p w14:paraId="387A472C" w14:textId="77777777" w:rsidR="00286052" w:rsidRPr="00E66809" w:rsidRDefault="00286052">
            <w:pPr>
              <w:tabs>
                <w:tab w:val="left" w:pos="600"/>
              </w:tabs>
              <w:spacing w:after="0" w:line="276" w:lineRule="auto"/>
              <w:rPr>
                <w:rFonts w:eastAsia="Arial" w:cs="Calibri"/>
              </w:rPr>
            </w:pPr>
            <w:r w:rsidRPr="00E66809">
              <w:rPr>
                <w:rFonts w:eastAsia="Arial" w:cs="Calibri"/>
              </w:rPr>
              <w:t>[Attach information requested if ‘Yes’]</w:t>
            </w:r>
          </w:p>
        </w:tc>
      </w:tr>
      <w:tr w:rsidR="00286052" w:rsidRPr="00605283" w14:paraId="475A66AD" w14:textId="77777777" w:rsidTr="006B0E8F">
        <w:trPr>
          <w:trHeight w:val="2494"/>
        </w:trPr>
        <w:tc>
          <w:tcPr>
            <w:tcW w:w="0" w:type="auto"/>
            <w:shd w:val="clear" w:color="auto" w:fill="F2F2F2" w:themeFill="background1" w:themeFillShade="F2"/>
          </w:tcPr>
          <w:p w14:paraId="6BF9361D" w14:textId="585670FD" w:rsidR="00286052" w:rsidRPr="004845CB" w:rsidRDefault="005E0179">
            <w:pPr>
              <w:spacing w:after="0" w:line="276" w:lineRule="auto"/>
              <w:rPr>
                <w:rFonts w:eastAsia="Arial" w:cs="Arial"/>
                <w:b/>
              </w:rPr>
            </w:pPr>
            <w:r>
              <w:rPr>
                <w:rFonts w:eastAsia="Arial" w:cs="Arial"/>
                <w:b/>
              </w:rPr>
              <w:t>3.3</w:t>
            </w:r>
          </w:p>
        </w:tc>
        <w:tc>
          <w:tcPr>
            <w:tcW w:w="7837" w:type="dxa"/>
            <w:shd w:val="clear" w:color="auto" w:fill="F2F2F2" w:themeFill="background1" w:themeFillShade="F2"/>
          </w:tcPr>
          <w:p w14:paraId="529DF04B" w14:textId="77777777" w:rsidR="00286052" w:rsidRPr="004845CB" w:rsidRDefault="00286052">
            <w:pPr>
              <w:widowControl w:val="0"/>
              <w:overflowPunct w:val="0"/>
              <w:autoSpaceDE w:val="0"/>
              <w:autoSpaceDN w:val="0"/>
              <w:adjustRightInd w:val="0"/>
              <w:spacing w:before="120" w:after="120" w:line="240" w:lineRule="auto"/>
              <w:jc w:val="both"/>
              <w:rPr>
                <w:rFonts w:cs="Arial"/>
              </w:rPr>
            </w:pPr>
            <w:r w:rsidRPr="004845CB">
              <w:rPr>
                <w:rFonts w:cs="Arial"/>
              </w:rPr>
              <w:t>Please confirm whether you already have, or can commit to obtain, prior to the commencement of the contract, the minimum levels of insurance cover indicated below:</w:t>
            </w:r>
          </w:p>
          <w:p w14:paraId="10184D88" w14:textId="77777777" w:rsidR="00286052" w:rsidRPr="004845CB" w:rsidRDefault="00286052">
            <w:pPr>
              <w:widowControl w:val="0"/>
              <w:overflowPunct w:val="0"/>
              <w:autoSpaceDE w:val="0"/>
              <w:autoSpaceDN w:val="0"/>
              <w:adjustRightInd w:val="0"/>
              <w:spacing w:before="120" w:after="120" w:line="240" w:lineRule="auto"/>
              <w:jc w:val="both"/>
              <w:rPr>
                <w:rFonts w:eastAsia="Times New Roman" w:cs="Arial"/>
                <w:lang w:eastAsia="en-GB"/>
              </w:rPr>
            </w:pPr>
          </w:p>
          <w:p w14:paraId="0F631D8C" w14:textId="6982664C" w:rsidR="00286052" w:rsidRDefault="00286052">
            <w:pPr>
              <w:spacing w:after="0" w:line="276" w:lineRule="auto"/>
              <w:rPr>
                <w:rFonts w:cs="Arial"/>
              </w:rPr>
            </w:pPr>
            <w:r w:rsidRPr="004845CB">
              <w:rPr>
                <w:rFonts w:cs="Arial"/>
              </w:rPr>
              <w:t xml:space="preserve">Employer’s (Compulsory) Liability Insurance </w:t>
            </w:r>
            <w:r w:rsidR="00352D2D">
              <w:rPr>
                <w:rFonts w:cs="Arial"/>
              </w:rPr>
              <w:t>-</w:t>
            </w:r>
            <w:r w:rsidRPr="004845CB">
              <w:rPr>
                <w:rFonts w:cs="Arial"/>
              </w:rPr>
              <w:t xml:space="preserve"> £10</w:t>
            </w:r>
            <w:r w:rsidR="004845CB">
              <w:rPr>
                <w:rFonts w:cs="Arial"/>
              </w:rPr>
              <w:t xml:space="preserve"> million</w:t>
            </w:r>
          </w:p>
          <w:p w14:paraId="68A261BF" w14:textId="57E7DEF0" w:rsidR="004845CB" w:rsidRDefault="004845CB">
            <w:pPr>
              <w:spacing w:after="0" w:line="276" w:lineRule="auto"/>
              <w:rPr>
                <w:rFonts w:cs="Arial"/>
              </w:rPr>
            </w:pPr>
            <w:r>
              <w:rPr>
                <w:rFonts w:cs="Arial"/>
              </w:rPr>
              <w:t>Professional Indemnity Insurance - £10 million</w:t>
            </w:r>
          </w:p>
          <w:p w14:paraId="29AC555B" w14:textId="4168CC9E" w:rsidR="004845CB" w:rsidRPr="004845CB" w:rsidRDefault="004845CB">
            <w:pPr>
              <w:spacing w:after="0" w:line="276" w:lineRule="auto"/>
              <w:rPr>
                <w:rFonts w:cs="Arial"/>
              </w:rPr>
            </w:pPr>
            <w:r>
              <w:rPr>
                <w:rFonts w:cs="Arial"/>
              </w:rPr>
              <w:t>Cyber Liability Insurance - £</w:t>
            </w:r>
            <w:r w:rsidR="00487F84">
              <w:rPr>
                <w:rFonts w:cs="Arial"/>
              </w:rPr>
              <w:t>2</w:t>
            </w:r>
            <w:r>
              <w:rPr>
                <w:rFonts w:cs="Arial"/>
              </w:rPr>
              <w:t>0 million</w:t>
            </w:r>
          </w:p>
          <w:p w14:paraId="68712DBE" w14:textId="77777777" w:rsidR="00286052" w:rsidRPr="004845CB" w:rsidRDefault="00286052">
            <w:pPr>
              <w:spacing w:after="0" w:line="276" w:lineRule="auto"/>
              <w:rPr>
                <w:rFonts w:cs="Arial"/>
              </w:rPr>
            </w:pPr>
          </w:p>
          <w:p w14:paraId="15980364" w14:textId="77777777" w:rsidR="00286052" w:rsidRDefault="00286052">
            <w:pPr>
              <w:spacing w:after="0" w:line="276" w:lineRule="auto"/>
              <w:rPr>
                <w:rFonts w:cs="Arial"/>
              </w:rPr>
            </w:pPr>
            <w:r w:rsidRPr="004845CB">
              <w:rPr>
                <w:rFonts w:cs="Arial"/>
              </w:rPr>
              <w:lastRenderedPageBreak/>
              <w:t>Note that the above insurance levels are subject to confirmation and the full insurance requirements will be confirmed within the ITSIT and/or ITSFT documentation.</w:t>
            </w:r>
          </w:p>
          <w:p w14:paraId="7DB12864" w14:textId="77777777" w:rsidR="00CF0A0E" w:rsidRDefault="00CF0A0E">
            <w:pPr>
              <w:spacing w:after="0" w:line="276" w:lineRule="auto"/>
              <w:rPr>
                <w:rFonts w:cs="Arial"/>
              </w:rPr>
            </w:pPr>
          </w:p>
          <w:p w14:paraId="58F4C077" w14:textId="3DAF95EA" w:rsidR="00CF0A0E" w:rsidRPr="004845CB" w:rsidRDefault="00CF0A0E">
            <w:pPr>
              <w:spacing w:after="0" w:line="276" w:lineRule="auto"/>
              <w:rPr>
                <w:rFonts w:cs="Arial"/>
              </w:rPr>
            </w:pPr>
            <w:r>
              <w:rPr>
                <w:rFonts w:cs="Arial"/>
              </w:rPr>
              <w:t>Where you answer ‘No’ to this question, please provide an explanation as to why this is the case.</w:t>
            </w:r>
          </w:p>
        </w:tc>
        <w:tc>
          <w:tcPr>
            <w:tcW w:w="4734" w:type="dxa"/>
            <w:tcBorders>
              <w:top w:val="single" w:sz="6" w:space="0" w:color="000000" w:themeColor="text1"/>
              <w:bottom w:val="single" w:sz="6" w:space="0" w:color="000000" w:themeColor="text1"/>
            </w:tcBorders>
          </w:tcPr>
          <w:p w14:paraId="40888B65" w14:textId="77777777" w:rsidR="00286052" w:rsidRPr="00E66809" w:rsidRDefault="00286052">
            <w:pPr>
              <w:tabs>
                <w:tab w:val="left" w:pos="600"/>
              </w:tabs>
              <w:spacing w:after="0" w:line="276" w:lineRule="auto"/>
              <w:rPr>
                <w:rFonts w:eastAsia="Times New Roman" w:cs="Calibri"/>
              </w:rPr>
            </w:pPr>
            <w:r w:rsidRPr="00E66809">
              <w:rPr>
                <w:rFonts w:eastAsia="Arial" w:cs="Calibri"/>
              </w:rPr>
              <w:lastRenderedPageBreak/>
              <w:t>Yes</w:t>
            </w:r>
            <w:r w:rsidRPr="00E66809">
              <w:rPr>
                <w:rFonts w:eastAsia="Menlo Regular" w:cs="Calibri"/>
              </w:rPr>
              <w:t xml:space="preserve"> </w:t>
            </w:r>
            <w:r w:rsidRPr="00E66809">
              <w:rPr>
                <w:rFonts w:eastAsia="Menlo Regular"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51586653" w14:textId="77777777" w:rsidR="00286052" w:rsidRPr="00E66809" w:rsidRDefault="00286052">
            <w:pPr>
              <w:tabs>
                <w:tab w:val="left" w:pos="600"/>
              </w:tabs>
              <w:spacing w:after="0" w:line="276" w:lineRule="auto"/>
              <w:rPr>
                <w:rFonts w:eastAsia="Arial" w:cs="Calibri"/>
              </w:rPr>
            </w:pPr>
            <w:r w:rsidRPr="00E66809">
              <w:rPr>
                <w:rFonts w:eastAsia="Arial" w:cs="Calibri"/>
              </w:rPr>
              <w:t xml:space="preserve">No </w:t>
            </w:r>
            <w:r w:rsidRPr="00E66809">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tc>
      </w:tr>
    </w:tbl>
    <w:p w14:paraId="19253BE0" w14:textId="6A0ADFA1" w:rsidR="00286052" w:rsidRPr="00E66809" w:rsidRDefault="00286052" w:rsidP="00286052">
      <w:pPr>
        <w:pageBreakBefore/>
        <w:spacing w:after="0" w:line="276" w:lineRule="auto"/>
        <w:rPr>
          <w:rFonts w:eastAsia="Arial" w:cs="Calibri"/>
          <w:b/>
        </w:rPr>
      </w:pPr>
      <w:r w:rsidRPr="00E66809">
        <w:rPr>
          <w:rFonts w:eastAsia="Arial" w:cs="Calibri"/>
          <w:b/>
        </w:rPr>
        <w:lastRenderedPageBreak/>
        <w:t>Legal Capacity</w:t>
      </w:r>
    </w:p>
    <w:p w14:paraId="4476CB61" w14:textId="77777777" w:rsidR="00286052" w:rsidRPr="00E66809" w:rsidRDefault="00286052" w:rsidP="00286052">
      <w:pPr>
        <w:spacing w:after="0" w:line="276" w:lineRule="auto"/>
        <w:rPr>
          <w:rFonts w:eastAsia="Arial" w:cs="Calibri"/>
          <w:b/>
          <w:u w:val="single"/>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377"/>
        <w:gridCol w:w="4444"/>
      </w:tblGrid>
      <w:tr w:rsidR="00286052" w:rsidRPr="00605283" w14:paraId="412203B0" w14:textId="77777777" w:rsidTr="006B0E8F">
        <w:tc>
          <w:tcPr>
            <w:tcW w:w="0" w:type="auto"/>
            <w:tcBorders>
              <w:top w:val="single" w:sz="6" w:space="0" w:color="000000"/>
              <w:bottom w:val="single" w:sz="6" w:space="0" w:color="000000"/>
            </w:tcBorders>
            <w:shd w:val="clear" w:color="auto" w:fill="009999"/>
          </w:tcPr>
          <w:p w14:paraId="1C651B43"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6DD396B4"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69496E86"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605283" w14:paraId="64C17BA0" w14:textId="77777777" w:rsidTr="006B0E8F">
        <w:trPr>
          <w:trHeight w:val="4592"/>
        </w:trPr>
        <w:tc>
          <w:tcPr>
            <w:tcW w:w="0" w:type="auto"/>
            <w:vMerge w:val="restart"/>
            <w:tcBorders>
              <w:top w:val="single" w:sz="6" w:space="0" w:color="000000"/>
            </w:tcBorders>
            <w:shd w:val="clear" w:color="auto" w:fill="F2F2F2" w:themeFill="background1" w:themeFillShade="F2"/>
          </w:tcPr>
          <w:p w14:paraId="50F45E30" w14:textId="1EBC62E3" w:rsidR="00286052" w:rsidRPr="00E66809" w:rsidRDefault="005E0179">
            <w:pPr>
              <w:spacing w:after="0" w:line="276" w:lineRule="auto"/>
              <w:rPr>
                <w:rFonts w:eastAsia="Arial" w:cs="Arial"/>
                <w:b/>
              </w:rPr>
            </w:pPr>
            <w:r>
              <w:rPr>
                <w:rFonts w:eastAsia="Arial" w:cs="Arial"/>
                <w:b/>
              </w:rPr>
              <w:t>3.4</w:t>
            </w:r>
          </w:p>
        </w:tc>
        <w:tc>
          <w:tcPr>
            <w:tcW w:w="7837" w:type="dxa"/>
            <w:vMerge w:val="restart"/>
            <w:tcBorders>
              <w:top w:val="single" w:sz="6" w:space="0" w:color="000000"/>
            </w:tcBorders>
            <w:shd w:val="clear" w:color="auto" w:fill="F2F2F2" w:themeFill="background1" w:themeFillShade="F2"/>
          </w:tcPr>
          <w:p w14:paraId="49CE3CD1" w14:textId="309C53CA" w:rsidR="00286052" w:rsidRPr="00E66809" w:rsidRDefault="00286052" w:rsidP="00352D2D">
            <w:pPr>
              <w:widowControl w:val="0"/>
              <w:spacing w:after="0" w:line="276" w:lineRule="auto"/>
              <w:jc w:val="both"/>
            </w:pPr>
            <w:r w:rsidRPr="00E66809">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r w:rsidR="00357326">
              <w:t>.</w:t>
            </w:r>
          </w:p>
          <w:p w14:paraId="07FFEE8D" w14:textId="77777777" w:rsidR="00286052" w:rsidRPr="00E66809" w:rsidRDefault="00286052" w:rsidP="00352D2D">
            <w:pPr>
              <w:widowControl w:val="0"/>
              <w:spacing w:after="0" w:line="276" w:lineRule="auto"/>
              <w:jc w:val="both"/>
              <w:rPr>
                <w:b/>
              </w:rPr>
            </w:pPr>
          </w:p>
          <w:p w14:paraId="006F5BC9" w14:textId="77777777" w:rsidR="00286052" w:rsidRPr="00E66809" w:rsidRDefault="00286052" w:rsidP="00352D2D">
            <w:pPr>
              <w:widowControl w:val="0"/>
              <w:spacing w:after="120"/>
              <w:jc w:val="both"/>
            </w:pPr>
            <w:r w:rsidRPr="00E66809">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4B20E936"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eastAsia="Arial" w:cs="Arial"/>
              </w:rPr>
            </w:pPr>
            <w:r w:rsidRPr="00E66809">
              <w:rPr>
                <w:rFonts w:eastAsia="Arial" w:cs="Arial"/>
              </w:rPr>
              <w:t>to ensure ongoing confidentiality, integrity, availability and resilience of processing systems and services</w:t>
            </w:r>
          </w:p>
          <w:p w14:paraId="489FA97D"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eastAsia="Arial" w:cs="Arial"/>
              </w:rPr>
            </w:pPr>
            <w:r w:rsidRPr="00E66809">
              <w:rPr>
                <w:rFonts w:eastAsia="Arial" w:cs="Arial"/>
              </w:rPr>
              <w:t>to comply with the rights of data subjects in respect of receiving privacy information, and access, rectification, deletion and portability of personal data</w:t>
            </w:r>
          </w:p>
          <w:p w14:paraId="303602CB"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eastAsia="Arial" w:cs="Arial"/>
              </w:rPr>
            </w:pPr>
            <w:r w:rsidRPr="00E66809">
              <w:rPr>
                <w:rFonts w:eastAsia="Arial" w:cs="Arial"/>
              </w:rPr>
              <w:t xml:space="preserve">to ensure that any consent-based processing meets standards of </w:t>
            </w:r>
            <w:r w:rsidRPr="00E66809">
              <w:rPr>
                <w:rFonts w:eastAsia="Arial" w:cs="Arial"/>
              </w:rPr>
              <w:lastRenderedPageBreak/>
              <w:t>active, informed consent, and that such consents are recorded and auditable</w:t>
            </w:r>
          </w:p>
          <w:p w14:paraId="2315EC2E"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eastAsia="Arial" w:cs="Arial"/>
              </w:rPr>
            </w:pPr>
            <w:r w:rsidRPr="00E66809">
              <w:rPr>
                <w:rFonts w:eastAsia="Arial" w:cs="Arial"/>
              </w:rPr>
              <w:t>to ensure legal safeguards are in place to legitimise transfers of personal data outside the UK (if such transfers will take place)</w:t>
            </w:r>
          </w:p>
          <w:p w14:paraId="1B1270A9"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pPr>
            <w:r w:rsidRPr="00E66809">
              <w:rPr>
                <w:rFonts w:eastAsia="Arial" w:cs="Arial"/>
              </w:rPr>
              <w:t>to maintain records of personal data processing activities</w:t>
            </w:r>
            <w:r w:rsidRPr="00E66809">
              <w:t xml:space="preserve"> </w:t>
            </w:r>
          </w:p>
          <w:p w14:paraId="2D78D5F8"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eastAsia="Arial" w:cs="Arial"/>
              </w:rPr>
            </w:pPr>
            <w:r w:rsidRPr="00E66809">
              <w:t>to regularly test, assess and evaluate the effectiveness of the above measures</w:t>
            </w:r>
          </w:p>
        </w:tc>
        <w:tc>
          <w:tcPr>
            <w:tcW w:w="4734" w:type="dxa"/>
            <w:tcBorders>
              <w:top w:val="single" w:sz="6" w:space="0" w:color="000000"/>
              <w:bottom w:val="single" w:sz="6" w:space="0" w:color="000000"/>
            </w:tcBorders>
          </w:tcPr>
          <w:p w14:paraId="0FB54504" w14:textId="77777777" w:rsidR="00286052" w:rsidRPr="00E66809" w:rsidRDefault="00286052">
            <w:pPr>
              <w:tabs>
                <w:tab w:val="left" w:pos="594"/>
              </w:tabs>
              <w:spacing w:after="0" w:line="276" w:lineRule="auto"/>
              <w:rPr>
                <w:rFonts w:eastAsia="Times New Roman" w:cs="Calibri"/>
              </w:rPr>
            </w:pPr>
            <w:r w:rsidRPr="00E66809">
              <w:rPr>
                <w:rFonts w:eastAsia="Arial" w:cs="Calibri"/>
              </w:rPr>
              <w:lastRenderedPageBreak/>
              <w:t xml:space="preserve">Yes </w:t>
            </w:r>
            <w:r w:rsidRPr="00E66809">
              <w:rPr>
                <w:rFonts w:eastAsia="Arial" w:cs="Calibri"/>
              </w:rPr>
              <w:tab/>
            </w:r>
            <w:r w:rsidRPr="00E66809">
              <w:rPr>
                <w:rFonts w:eastAsia="Times New Roman" w:cs="Calibri"/>
                <w:color w:val="2B579A"/>
                <w:shd w:val="clear" w:color="auto" w:fill="E6E6E6"/>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E66809">
              <w:rPr>
                <w:rFonts w:eastAsia="Times New Roman" w:cs="Calibri"/>
                <w:color w:val="2B579A"/>
                <w:shd w:val="clear" w:color="auto" w:fill="E6E6E6"/>
              </w:rPr>
              <w:fldChar w:fldCharType="end"/>
            </w:r>
          </w:p>
          <w:p w14:paraId="38256D97" w14:textId="54EF7276" w:rsidR="00286052" w:rsidRPr="00E66809" w:rsidRDefault="00286052">
            <w:pPr>
              <w:tabs>
                <w:tab w:val="left" w:pos="602"/>
              </w:tabs>
              <w:spacing w:after="0" w:line="276" w:lineRule="auto"/>
              <w:rPr>
                <w:rFonts w:cs="Calibri"/>
                <w:color w:val="2B579A"/>
                <w:shd w:val="clear" w:color="auto" w:fill="E6E6E6"/>
              </w:rPr>
            </w:pPr>
            <w:r w:rsidRPr="00E66809">
              <w:rPr>
                <w:rFonts w:eastAsia="Arial" w:cs="Calibri"/>
              </w:rPr>
              <w:t>No</w:t>
            </w:r>
            <w:r>
              <w:rPr>
                <w:rFonts w:eastAsia="Arial" w:cs="Calibri"/>
              </w:rPr>
              <w:t xml:space="preserve">    </w:t>
            </w:r>
            <w:r w:rsidDel="00906508">
              <w:rPr>
                <w:rFonts w:eastAsia="Arial" w:cs="Calibri"/>
              </w:rPr>
              <w:t xml:space="preserve"> </w:t>
            </w:r>
            <w:r w:rsidRPr="00E66809">
              <w:rPr>
                <w:rFonts w:cs="Calibri"/>
                <w:color w:val="2B579A"/>
                <w:shd w:val="clear" w:color="auto" w:fill="E6E6E6"/>
              </w:rPr>
              <w:fldChar w:fldCharType="begin">
                <w:ffData>
                  <w:name w:val="Check1"/>
                  <w:enabled/>
                  <w:calcOnExit w:val="0"/>
                  <w:checkBox>
                    <w:sizeAuto/>
                    <w:default w:val="0"/>
                  </w:checkBox>
                </w:ffData>
              </w:fldChar>
            </w:r>
            <w:r w:rsidRPr="00E66809">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E66809">
              <w:rPr>
                <w:rFonts w:cs="Calibri"/>
                <w:color w:val="2B579A"/>
                <w:shd w:val="clear" w:color="auto" w:fill="E6E6E6"/>
              </w:rPr>
              <w:fldChar w:fldCharType="end"/>
            </w:r>
          </w:p>
          <w:p w14:paraId="0EEA0A1B" w14:textId="77777777" w:rsidR="00286052" w:rsidRPr="00E66809" w:rsidRDefault="00286052">
            <w:pPr>
              <w:tabs>
                <w:tab w:val="left" w:pos="602"/>
              </w:tabs>
              <w:spacing w:after="0" w:line="276" w:lineRule="auto"/>
              <w:rPr>
                <w:rFonts w:cs="Calibri"/>
                <w:color w:val="2B579A"/>
                <w:shd w:val="clear" w:color="auto" w:fill="E6E6E6"/>
              </w:rPr>
            </w:pPr>
          </w:p>
          <w:p w14:paraId="439275E4" w14:textId="77777777" w:rsidR="00286052" w:rsidRPr="00E66809" w:rsidRDefault="00286052">
            <w:pPr>
              <w:tabs>
                <w:tab w:val="left" w:pos="602"/>
              </w:tabs>
              <w:spacing w:after="0" w:line="276" w:lineRule="auto"/>
              <w:rPr>
                <w:rFonts w:eastAsia="Arial" w:cs="Calibri"/>
              </w:rPr>
            </w:pPr>
          </w:p>
        </w:tc>
      </w:tr>
      <w:tr w:rsidR="00286052" w:rsidRPr="00605283" w14:paraId="59CC60BA" w14:textId="77777777" w:rsidTr="006B0E8F">
        <w:trPr>
          <w:trHeight w:val="5251"/>
        </w:trPr>
        <w:tc>
          <w:tcPr>
            <w:tcW w:w="0" w:type="auto"/>
            <w:vMerge/>
            <w:shd w:val="clear" w:color="auto" w:fill="F2F2F2" w:themeFill="background1" w:themeFillShade="F2"/>
          </w:tcPr>
          <w:p w14:paraId="6DB0941F" w14:textId="77777777" w:rsidR="00286052" w:rsidRPr="00E66809" w:rsidRDefault="00286052">
            <w:pPr>
              <w:spacing w:after="0" w:line="276" w:lineRule="auto"/>
              <w:rPr>
                <w:rFonts w:eastAsia="Arial" w:cs="Arial"/>
                <w:b/>
              </w:rPr>
            </w:pPr>
          </w:p>
        </w:tc>
        <w:tc>
          <w:tcPr>
            <w:tcW w:w="7837" w:type="dxa"/>
            <w:vMerge/>
            <w:shd w:val="clear" w:color="auto" w:fill="F2F2F2" w:themeFill="background1" w:themeFillShade="F2"/>
          </w:tcPr>
          <w:p w14:paraId="2A2F51CA" w14:textId="77777777" w:rsidR="00286052" w:rsidRPr="00E66809" w:rsidRDefault="00286052">
            <w:pPr>
              <w:widowControl w:val="0"/>
              <w:spacing w:after="0" w:line="276" w:lineRule="auto"/>
            </w:pPr>
          </w:p>
        </w:tc>
        <w:tc>
          <w:tcPr>
            <w:tcW w:w="4734" w:type="dxa"/>
            <w:tcBorders>
              <w:top w:val="single" w:sz="6" w:space="0" w:color="000000"/>
              <w:bottom w:val="single" w:sz="6" w:space="0" w:color="000000"/>
            </w:tcBorders>
          </w:tcPr>
          <w:p w14:paraId="746174D7" w14:textId="7AC67C56" w:rsidR="00286052" w:rsidRPr="00E66809" w:rsidRDefault="00286052">
            <w:pPr>
              <w:tabs>
                <w:tab w:val="left" w:pos="594"/>
              </w:tabs>
              <w:spacing w:after="0" w:line="276" w:lineRule="auto"/>
              <w:rPr>
                <w:rFonts w:eastAsia="Arial" w:cs="Calibri"/>
              </w:rPr>
            </w:pPr>
            <w:r w:rsidRPr="00E66809">
              <w:rPr>
                <w:rFonts w:eastAsia="Arial" w:cs="Calibri"/>
              </w:rPr>
              <w:t>[</w:t>
            </w:r>
            <w:r w:rsidR="0048683B">
              <w:rPr>
                <w:rFonts w:eastAsia="Arial" w:cs="Calibri"/>
              </w:rPr>
              <w:t xml:space="preserve">Provide further details] – Response to not exceed </w:t>
            </w:r>
            <w:r w:rsidR="00EF1769">
              <w:rPr>
                <w:rFonts w:eastAsia="Arial" w:cs="Calibri"/>
              </w:rPr>
              <w:t>5 A4 pages.</w:t>
            </w:r>
          </w:p>
        </w:tc>
      </w:tr>
    </w:tbl>
    <w:p w14:paraId="10A7ACE5" w14:textId="77777777" w:rsidR="00286052" w:rsidRPr="00E66809" w:rsidRDefault="00286052" w:rsidP="00286052">
      <w:pPr>
        <w:rPr>
          <w:rFonts w:cs="Calibri"/>
        </w:rPr>
      </w:pPr>
    </w:p>
    <w:p w14:paraId="0BA08132" w14:textId="77777777" w:rsidR="00286052" w:rsidRPr="00E66809" w:rsidRDefault="00286052" w:rsidP="00286052">
      <w:pPr>
        <w:spacing w:after="0" w:line="276" w:lineRule="auto"/>
        <w:ind w:firstLine="720"/>
        <w:rPr>
          <w:rFonts w:cs="Calibri"/>
        </w:rPr>
      </w:pPr>
    </w:p>
    <w:p w14:paraId="278910E4" w14:textId="77777777" w:rsidR="00286052" w:rsidRPr="00E66809" w:rsidRDefault="00286052" w:rsidP="00286052">
      <w:pPr>
        <w:pageBreakBefore/>
        <w:spacing w:after="0" w:line="276" w:lineRule="auto"/>
        <w:rPr>
          <w:rFonts w:eastAsia="Arial" w:cs="Calibri"/>
          <w:b/>
        </w:rPr>
      </w:pPr>
      <w:r w:rsidRPr="00E66809">
        <w:rPr>
          <w:rFonts w:eastAsia="Arial" w:cs="Calibri"/>
          <w:b/>
        </w:rPr>
        <w:lastRenderedPageBreak/>
        <w:t>Technical Ability</w:t>
      </w:r>
    </w:p>
    <w:p w14:paraId="5059B75F" w14:textId="77777777" w:rsidR="00286052" w:rsidRPr="00E66809" w:rsidRDefault="00286052" w:rsidP="00286052">
      <w:pPr>
        <w:spacing w:after="0" w:line="276" w:lineRule="auto"/>
        <w:rPr>
          <w:rFonts w:eastAsia="Arial" w:cs="Calibri"/>
          <w:b/>
          <w:u w:val="single"/>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479"/>
        <w:gridCol w:w="7262"/>
        <w:gridCol w:w="4351"/>
      </w:tblGrid>
      <w:tr w:rsidR="009E6AE3" w:rsidRPr="00605283" w14:paraId="513A2AF0" w14:textId="77777777" w:rsidTr="006B0E8F">
        <w:tc>
          <w:tcPr>
            <w:tcW w:w="13092" w:type="dxa"/>
            <w:gridSpan w:val="3"/>
            <w:tcBorders>
              <w:top w:val="single" w:sz="6" w:space="0" w:color="000000" w:themeColor="text1"/>
              <w:bottom w:val="single" w:sz="6" w:space="0" w:color="000000" w:themeColor="text1"/>
            </w:tcBorders>
            <w:shd w:val="clear" w:color="auto" w:fill="F2F2F2" w:themeFill="background1" w:themeFillShade="F2"/>
          </w:tcPr>
          <w:p w14:paraId="151B3E85" w14:textId="231E37F8" w:rsidR="009E6AE3" w:rsidRPr="00D32770" w:rsidRDefault="009E6AE3">
            <w:pPr>
              <w:spacing w:after="0" w:line="276" w:lineRule="auto"/>
              <w:rPr>
                <w:rFonts w:eastAsia="Arial" w:cs="Calibri"/>
                <w:b/>
                <w:bCs/>
                <w:i/>
                <w:iCs/>
                <w:color w:val="FFFFFF" w:themeColor="background1"/>
              </w:rPr>
            </w:pPr>
            <w:r w:rsidRPr="00D32770">
              <w:rPr>
                <w:rFonts w:eastAsia="Arial" w:cs="Arial"/>
                <w:i/>
                <w:iCs/>
              </w:rPr>
              <w:t xml:space="preserve">All organisations in the </w:t>
            </w:r>
            <w:r w:rsidR="00D3295A">
              <w:rPr>
                <w:rFonts w:eastAsia="Arial" w:cs="Arial"/>
                <w:i/>
                <w:iCs/>
              </w:rPr>
              <w:t>consortium</w:t>
            </w:r>
            <w:r w:rsidRPr="00D32770">
              <w:rPr>
                <w:rFonts w:eastAsia="Arial" w:cs="Arial"/>
                <w:i/>
                <w:iCs/>
              </w:rPr>
              <w:t xml:space="preserve"> </w:t>
            </w:r>
            <w:r w:rsidR="00FE351B">
              <w:rPr>
                <w:rFonts w:eastAsia="Arial" w:cs="Arial"/>
                <w:i/>
                <w:iCs/>
              </w:rPr>
              <w:t>and/or supply chain</w:t>
            </w:r>
            <w:r w:rsidRPr="00D32770">
              <w:rPr>
                <w:rFonts w:eastAsia="Arial" w:cs="Arial"/>
                <w:i/>
                <w:iCs/>
              </w:rPr>
              <w:t xml:space="preserve"> (if applicable) must demonstrate that they comply with the following technical standards</w:t>
            </w:r>
          </w:p>
        </w:tc>
      </w:tr>
      <w:tr w:rsidR="00286052" w:rsidRPr="00605283" w14:paraId="3172CA07" w14:textId="77777777" w:rsidTr="006B0E8F">
        <w:tc>
          <w:tcPr>
            <w:tcW w:w="0" w:type="auto"/>
            <w:tcBorders>
              <w:top w:val="single" w:sz="6" w:space="0" w:color="000000" w:themeColor="text1"/>
              <w:bottom w:val="single" w:sz="6" w:space="0" w:color="000000" w:themeColor="text1"/>
            </w:tcBorders>
            <w:shd w:val="clear" w:color="auto" w:fill="009999"/>
          </w:tcPr>
          <w:p w14:paraId="1CDC885D"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262" w:type="dxa"/>
            <w:tcBorders>
              <w:top w:val="single" w:sz="6" w:space="0" w:color="000000" w:themeColor="text1"/>
              <w:bottom w:val="single" w:sz="6" w:space="0" w:color="000000" w:themeColor="text1"/>
            </w:tcBorders>
            <w:shd w:val="clear" w:color="auto" w:fill="009999"/>
          </w:tcPr>
          <w:p w14:paraId="53680AE3"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351" w:type="dxa"/>
            <w:tcBorders>
              <w:top w:val="single" w:sz="6" w:space="0" w:color="000000" w:themeColor="text1"/>
              <w:bottom w:val="single" w:sz="6" w:space="0" w:color="000000" w:themeColor="text1"/>
            </w:tcBorders>
            <w:shd w:val="clear" w:color="auto" w:fill="009999"/>
          </w:tcPr>
          <w:p w14:paraId="59767BA8"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605283" w14:paraId="25C7C54A" w14:textId="77777777" w:rsidTr="006B0E8F">
        <w:trPr>
          <w:trHeight w:val="1993"/>
        </w:trPr>
        <w:tc>
          <w:tcPr>
            <w:tcW w:w="0" w:type="auto"/>
            <w:vMerge w:val="restart"/>
            <w:tcBorders>
              <w:top w:val="single" w:sz="6" w:space="0" w:color="000000" w:themeColor="text1"/>
            </w:tcBorders>
            <w:shd w:val="clear" w:color="auto" w:fill="F2F2F2" w:themeFill="background1" w:themeFillShade="F2"/>
          </w:tcPr>
          <w:p w14:paraId="1BBD3AE6" w14:textId="67113C2A" w:rsidR="00286052" w:rsidRPr="00E66809" w:rsidRDefault="005E0179">
            <w:pPr>
              <w:spacing w:after="0" w:line="276" w:lineRule="auto"/>
              <w:rPr>
                <w:rFonts w:eastAsia="Arial" w:cs="Arial"/>
                <w:b/>
              </w:rPr>
            </w:pPr>
            <w:r>
              <w:rPr>
                <w:rFonts w:eastAsia="Arial" w:cs="Arial"/>
                <w:b/>
              </w:rPr>
              <w:t>3.5</w:t>
            </w:r>
          </w:p>
        </w:tc>
        <w:tc>
          <w:tcPr>
            <w:tcW w:w="7262" w:type="dxa"/>
            <w:vMerge w:val="restart"/>
            <w:tcBorders>
              <w:top w:val="single" w:sz="6" w:space="0" w:color="000000" w:themeColor="text1"/>
            </w:tcBorders>
            <w:shd w:val="clear" w:color="auto" w:fill="F2F2F2" w:themeFill="background1" w:themeFillShade="F2"/>
          </w:tcPr>
          <w:p w14:paraId="4589408D" w14:textId="77777777" w:rsidR="00286052" w:rsidRPr="00E66809" w:rsidRDefault="00286052">
            <w:pPr>
              <w:widowControl w:val="0"/>
              <w:overflowPunct w:val="0"/>
              <w:autoSpaceDE w:val="0"/>
              <w:autoSpaceDN w:val="0"/>
              <w:adjustRightInd w:val="0"/>
              <w:spacing w:before="120" w:after="120"/>
              <w:jc w:val="both"/>
              <w:rPr>
                <w:rFonts w:cs="Arial"/>
                <w:b/>
              </w:rPr>
            </w:pPr>
            <w:r w:rsidRPr="00E66809">
              <w:rPr>
                <w:rFonts w:cs="Arial"/>
                <w:b/>
              </w:rPr>
              <w:t>Security and Compliance [1/2]</w:t>
            </w:r>
          </w:p>
          <w:p w14:paraId="40FA10C1" w14:textId="24B378F3" w:rsidR="00406674" w:rsidRPr="00406674" w:rsidRDefault="00953479" w:rsidP="00406674">
            <w:pPr>
              <w:widowControl w:val="0"/>
              <w:tabs>
                <w:tab w:val="left" w:pos="0"/>
              </w:tabs>
              <w:overflowPunct w:val="0"/>
              <w:autoSpaceDE w:val="0"/>
              <w:autoSpaceDN w:val="0"/>
              <w:adjustRightInd w:val="0"/>
              <w:jc w:val="both"/>
              <w:rPr>
                <w:rFonts w:eastAsia="Arial" w:cs="Arial"/>
              </w:rPr>
            </w:pPr>
            <w:r w:rsidRPr="00406674">
              <w:rPr>
                <w:rFonts w:eastAsia="Arial" w:cs="Arial"/>
              </w:rPr>
              <w:t>Please confirm that your organisation</w:t>
            </w:r>
            <w:r w:rsidR="0085473F">
              <w:rPr>
                <w:rFonts w:eastAsia="Arial" w:cs="Arial"/>
              </w:rPr>
              <w:t xml:space="preserve"> currently</w:t>
            </w:r>
            <w:r w:rsidRPr="00406674">
              <w:rPr>
                <w:rFonts w:eastAsia="Arial" w:cs="Arial"/>
              </w:rPr>
              <w:t xml:space="preserve"> </w:t>
            </w:r>
            <w:r w:rsidR="00406674">
              <w:rPr>
                <w:rFonts w:eastAsia="Arial" w:cs="Arial"/>
              </w:rPr>
              <w:t>holds the</w:t>
            </w:r>
            <w:r w:rsidR="00406674" w:rsidRPr="00406674">
              <w:rPr>
                <w:rFonts w:eastAsia="Arial" w:cs="Arial"/>
              </w:rPr>
              <w:t xml:space="preserve"> ISO27001 Information Security Management Systems (ISMS)</w:t>
            </w:r>
            <w:r w:rsidR="00406674">
              <w:rPr>
                <w:rFonts w:eastAsia="Arial" w:cs="Arial"/>
              </w:rPr>
              <w:t xml:space="preserve"> certification.</w:t>
            </w:r>
          </w:p>
          <w:p w14:paraId="3224664A" w14:textId="0D8F8CC9" w:rsidR="00FF1EEB" w:rsidRPr="00E66809" w:rsidRDefault="00B7684B" w:rsidP="0085473F">
            <w:pPr>
              <w:widowControl w:val="0"/>
              <w:overflowPunct w:val="0"/>
              <w:autoSpaceDE w:val="0"/>
              <w:autoSpaceDN w:val="0"/>
              <w:adjustRightInd w:val="0"/>
              <w:jc w:val="both"/>
              <w:rPr>
                <w:rFonts w:eastAsia="Arial" w:cs="Arial"/>
              </w:rPr>
            </w:pPr>
            <w:r w:rsidRPr="00E66809">
              <w:rPr>
                <w:rFonts w:eastAsia="Arial" w:cs="Arial"/>
              </w:rPr>
              <w:t xml:space="preserve">Where you have responded ‘no’, please confirm </w:t>
            </w:r>
            <w:r w:rsidR="00C317D4">
              <w:rPr>
                <w:rFonts w:eastAsia="Arial" w:cs="Arial"/>
              </w:rPr>
              <w:t>provide an</w:t>
            </w:r>
            <w:r w:rsidRPr="00E66809">
              <w:rPr>
                <w:rFonts w:eastAsia="Arial" w:cs="Arial"/>
              </w:rPr>
              <w:t xml:space="preserve"> explanation as to why this is the case</w:t>
            </w:r>
            <w:r w:rsidR="000C3BFB">
              <w:rPr>
                <w:rFonts w:eastAsia="Arial" w:cs="Arial"/>
              </w:rPr>
              <w:t xml:space="preserve"> and </w:t>
            </w:r>
            <w:r w:rsidR="00B02831">
              <w:rPr>
                <w:rFonts w:eastAsia="Arial" w:cs="Arial"/>
              </w:rPr>
              <w:t xml:space="preserve">the relevant measures you have put in place, in the absence of </w:t>
            </w:r>
            <w:r w:rsidR="005140F2">
              <w:rPr>
                <w:rFonts w:eastAsia="Arial" w:cs="Arial"/>
              </w:rPr>
              <w:t>IS027001 certification.</w:t>
            </w:r>
          </w:p>
        </w:tc>
        <w:tc>
          <w:tcPr>
            <w:tcW w:w="4351" w:type="dxa"/>
            <w:tcBorders>
              <w:top w:val="single" w:sz="6" w:space="0" w:color="000000" w:themeColor="text1"/>
              <w:bottom w:val="single" w:sz="6" w:space="0" w:color="000000" w:themeColor="text1"/>
            </w:tcBorders>
          </w:tcPr>
          <w:p w14:paraId="3974E493" w14:textId="23687B26" w:rsidR="00286052" w:rsidRPr="00E66809" w:rsidRDefault="00286052">
            <w:pPr>
              <w:tabs>
                <w:tab w:val="left" w:pos="594"/>
              </w:tabs>
              <w:spacing w:after="0" w:line="276" w:lineRule="auto"/>
              <w:rPr>
                <w:rFonts w:eastAsia="Times New Roman" w:cs="Calibri"/>
              </w:rPr>
            </w:pPr>
            <w:r w:rsidRPr="00E66809">
              <w:rPr>
                <w:rFonts w:eastAsia="Arial" w:cs="Calibri"/>
              </w:rPr>
              <w:t xml:space="preserve">Yes </w:t>
            </w:r>
            <w:r w:rsidR="00D66586">
              <w:rPr>
                <w:rFonts w:eastAsia="Arial" w:cs="Calibri"/>
              </w:rPr>
              <w:t xml:space="preserve"> </w:t>
            </w:r>
            <w:r w:rsidRPr="00E66809">
              <w:rPr>
                <w:rFonts w:eastAsia="Times New Roman" w:cs="Calibri"/>
                <w:color w:val="2B579A"/>
                <w:shd w:val="clear" w:color="auto" w:fill="E6E6E6"/>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E66809">
              <w:rPr>
                <w:rFonts w:eastAsia="Times New Roman" w:cs="Calibri"/>
                <w:color w:val="2B579A"/>
                <w:shd w:val="clear" w:color="auto" w:fill="E6E6E6"/>
              </w:rPr>
              <w:fldChar w:fldCharType="end"/>
            </w:r>
          </w:p>
          <w:p w14:paraId="51FC252E" w14:textId="041A7C50" w:rsidR="004B5745" w:rsidRDefault="00286052">
            <w:pPr>
              <w:tabs>
                <w:tab w:val="left" w:pos="602"/>
              </w:tabs>
              <w:spacing w:after="0" w:line="276" w:lineRule="auto"/>
              <w:rPr>
                <w:rFonts w:cs="Calibri"/>
                <w:color w:val="2B579A"/>
                <w:shd w:val="clear" w:color="auto" w:fill="E6E6E6"/>
              </w:rPr>
            </w:pPr>
            <w:r w:rsidRPr="00E66809">
              <w:rPr>
                <w:rFonts w:eastAsia="Arial" w:cs="Calibri"/>
              </w:rPr>
              <w:t>No</w:t>
            </w:r>
            <w:r>
              <w:rPr>
                <w:rFonts w:eastAsia="Arial" w:cs="Calibri"/>
              </w:rPr>
              <w:t xml:space="preserve">  </w:t>
            </w:r>
            <w:r w:rsidR="00861EA2">
              <w:rPr>
                <w:rFonts w:eastAsia="Arial" w:cs="Calibri"/>
              </w:rPr>
              <w:t xml:space="preserve"> </w:t>
            </w:r>
            <w:r w:rsidRPr="00E66809">
              <w:rPr>
                <w:rFonts w:cs="Calibri"/>
                <w:color w:val="2B579A"/>
                <w:shd w:val="clear" w:color="auto" w:fill="E6E6E6"/>
              </w:rPr>
              <w:fldChar w:fldCharType="begin">
                <w:ffData>
                  <w:name w:val="Check1"/>
                  <w:enabled/>
                  <w:calcOnExit w:val="0"/>
                  <w:checkBox>
                    <w:sizeAuto/>
                    <w:default w:val="0"/>
                  </w:checkBox>
                </w:ffData>
              </w:fldChar>
            </w:r>
            <w:r w:rsidRPr="00E66809">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E66809">
              <w:rPr>
                <w:rFonts w:cs="Calibri"/>
                <w:color w:val="2B579A"/>
                <w:shd w:val="clear" w:color="auto" w:fill="E6E6E6"/>
              </w:rPr>
              <w:fldChar w:fldCharType="end"/>
            </w:r>
          </w:p>
          <w:p w14:paraId="1586B878" w14:textId="77777777" w:rsidR="004B5745" w:rsidRDefault="004B5745">
            <w:pPr>
              <w:tabs>
                <w:tab w:val="left" w:pos="602"/>
              </w:tabs>
              <w:spacing w:after="0" w:line="276" w:lineRule="auto"/>
              <w:rPr>
                <w:rFonts w:eastAsia="Arial" w:cs="Calibri"/>
                <w:color w:val="2B579A"/>
                <w:shd w:val="clear" w:color="auto" w:fill="E6E6E6"/>
              </w:rPr>
            </w:pPr>
          </w:p>
          <w:p w14:paraId="54719E03" w14:textId="77777777" w:rsidR="00286052" w:rsidRPr="00E66809" w:rsidRDefault="00286052">
            <w:pPr>
              <w:tabs>
                <w:tab w:val="left" w:pos="602"/>
              </w:tabs>
              <w:spacing w:after="0" w:line="276" w:lineRule="auto"/>
              <w:rPr>
                <w:rFonts w:eastAsia="Arial" w:cs="Calibri"/>
              </w:rPr>
            </w:pPr>
          </w:p>
        </w:tc>
      </w:tr>
      <w:tr w:rsidR="004B5745" w:rsidRPr="002B147A" w14:paraId="2D4F0FED" w14:textId="77777777" w:rsidTr="006B0E8F">
        <w:trPr>
          <w:trHeight w:val="1726"/>
        </w:trPr>
        <w:tc>
          <w:tcPr>
            <w:tcW w:w="0" w:type="auto"/>
            <w:vMerge/>
          </w:tcPr>
          <w:p w14:paraId="70E2291F" w14:textId="77777777" w:rsidR="004B5745" w:rsidRPr="004B5745" w:rsidRDefault="004B5745">
            <w:pPr>
              <w:spacing w:after="0" w:line="276" w:lineRule="auto"/>
              <w:rPr>
                <w:rFonts w:eastAsia="Arial" w:cs="Arial"/>
                <w:b/>
                <w:bCs/>
              </w:rPr>
            </w:pPr>
          </w:p>
        </w:tc>
        <w:tc>
          <w:tcPr>
            <w:tcW w:w="7262" w:type="dxa"/>
            <w:vMerge/>
          </w:tcPr>
          <w:p w14:paraId="2F50860C" w14:textId="77777777" w:rsidR="004B5745" w:rsidRPr="004B5745" w:rsidRDefault="004B5745">
            <w:pPr>
              <w:widowControl w:val="0"/>
              <w:overflowPunct w:val="0"/>
              <w:autoSpaceDE w:val="0"/>
              <w:autoSpaceDN w:val="0"/>
              <w:adjustRightInd w:val="0"/>
              <w:spacing w:before="120" w:after="120"/>
              <w:jc w:val="both"/>
              <w:rPr>
                <w:rFonts w:cs="Arial"/>
                <w:b/>
              </w:rPr>
            </w:pPr>
          </w:p>
        </w:tc>
        <w:tc>
          <w:tcPr>
            <w:tcW w:w="4351" w:type="dxa"/>
            <w:tcBorders>
              <w:top w:val="single" w:sz="6" w:space="0" w:color="000000" w:themeColor="text1"/>
              <w:bottom w:val="single" w:sz="6" w:space="0" w:color="000000" w:themeColor="text1"/>
            </w:tcBorders>
          </w:tcPr>
          <w:p w14:paraId="3F33479C" w14:textId="469C3186" w:rsidR="004B5745" w:rsidRPr="004B5745" w:rsidRDefault="004B5745">
            <w:pPr>
              <w:tabs>
                <w:tab w:val="left" w:pos="594"/>
              </w:tabs>
              <w:spacing w:after="0" w:line="276" w:lineRule="auto"/>
              <w:rPr>
                <w:rFonts w:eastAsia="Arial" w:cs="Calibri"/>
              </w:rPr>
            </w:pPr>
            <w:r>
              <w:rPr>
                <w:rFonts w:eastAsia="Arial" w:cs="Calibri"/>
              </w:rPr>
              <w:t xml:space="preserve">[If </w:t>
            </w:r>
            <w:r w:rsidR="003C39E7">
              <w:rPr>
                <w:rFonts w:eastAsia="Arial" w:cs="Calibri"/>
              </w:rPr>
              <w:t>you have entered a ‘no’ response, include further details here]</w:t>
            </w:r>
          </w:p>
        </w:tc>
      </w:tr>
      <w:tr w:rsidR="00286052" w:rsidRPr="00605283" w14:paraId="63F720CE" w14:textId="77777777" w:rsidTr="006B0E8F">
        <w:trPr>
          <w:trHeight w:val="2144"/>
        </w:trPr>
        <w:tc>
          <w:tcPr>
            <w:tcW w:w="0" w:type="auto"/>
            <w:vMerge w:val="restart"/>
            <w:tcBorders>
              <w:top w:val="single" w:sz="6" w:space="0" w:color="000000" w:themeColor="text1"/>
            </w:tcBorders>
            <w:shd w:val="clear" w:color="auto" w:fill="F2F2F2" w:themeFill="background1" w:themeFillShade="F2"/>
          </w:tcPr>
          <w:p w14:paraId="7BE86672" w14:textId="4F2DAB56" w:rsidR="00286052" w:rsidRPr="00E66809" w:rsidRDefault="005E0179">
            <w:pPr>
              <w:spacing w:after="0" w:line="276" w:lineRule="auto"/>
              <w:rPr>
                <w:rFonts w:eastAsia="Arial" w:cs="Arial"/>
                <w:b/>
              </w:rPr>
            </w:pPr>
            <w:r>
              <w:rPr>
                <w:rFonts w:eastAsia="Arial" w:cs="Arial"/>
                <w:b/>
              </w:rPr>
              <w:t>3.6</w:t>
            </w:r>
          </w:p>
        </w:tc>
        <w:tc>
          <w:tcPr>
            <w:tcW w:w="7262" w:type="dxa"/>
            <w:vMerge w:val="restart"/>
            <w:tcBorders>
              <w:top w:val="single" w:sz="6" w:space="0" w:color="000000" w:themeColor="text1"/>
            </w:tcBorders>
            <w:shd w:val="clear" w:color="auto" w:fill="F2F2F2" w:themeFill="background1" w:themeFillShade="F2"/>
          </w:tcPr>
          <w:p w14:paraId="1DAF16F5" w14:textId="77777777" w:rsidR="00286052" w:rsidRPr="00E66809" w:rsidRDefault="00286052">
            <w:pPr>
              <w:widowControl w:val="0"/>
              <w:overflowPunct w:val="0"/>
              <w:autoSpaceDE w:val="0"/>
              <w:autoSpaceDN w:val="0"/>
              <w:adjustRightInd w:val="0"/>
              <w:spacing w:before="120" w:after="120"/>
              <w:jc w:val="both"/>
              <w:rPr>
                <w:rFonts w:cs="Arial"/>
                <w:b/>
              </w:rPr>
            </w:pPr>
            <w:r w:rsidRPr="00E66809">
              <w:rPr>
                <w:rFonts w:cs="Arial"/>
                <w:b/>
              </w:rPr>
              <w:t>Security and Compliance [2/2]</w:t>
            </w:r>
          </w:p>
          <w:p w14:paraId="61106C13" w14:textId="56199907" w:rsidR="00286052" w:rsidRPr="00E66809" w:rsidRDefault="00C80350">
            <w:pPr>
              <w:widowControl w:val="0"/>
              <w:overflowPunct w:val="0"/>
              <w:autoSpaceDE w:val="0"/>
              <w:autoSpaceDN w:val="0"/>
              <w:adjustRightInd w:val="0"/>
              <w:spacing w:before="120" w:after="120"/>
              <w:jc w:val="both"/>
              <w:rPr>
                <w:rFonts w:cs="Arial"/>
              </w:rPr>
            </w:pPr>
            <w:r>
              <w:rPr>
                <w:rFonts w:cs="Arial"/>
              </w:rPr>
              <w:t>HMRC</w:t>
            </w:r>
            <w:r w:rsidR="00286052" w:rsidRPr="00E66809">
              <w:rPr>
                <w:rFonts w:cs="Arial"/>
              </w:rPr>
              <w:t xml:space="preserve"> requires a CRM solution that complies with</w:t>
            </w:r>
            <w:r w:rsidR="00403153">
              <w:rPr>
                <w:rFonts w:cs="Arial"/>
              </w:rPr>
              <w:t xml:space="preserve"> all of</w:t>
            </w:r>
            <w:r w:rsidR="00286052" w:rsidRPr="00E66809">
              <w:rPr>
                <w:rFonts w:cs="Arial"/>
              </w:rPr>
              <w:t xml:space="preserve"> the following standards. </w:t>
            </w:r>
          </w:p>
          <w:p w14:paraId="4E0F0226" w14:textId="77777777"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eastAsia="Arial" w:cs="Arial"/>
              </w:rPr>
            </w:pPr>
            <w:r w:rsidRPr="00E66809">
              <w:rPr>
                <w:rFonts w:eastAsia="Arial" w:cs="Arial"/>
              </w:rPr>
              <w:t xml:space="preserve">NCSC Cyber Assurance </w:t>
            </w:r>
            <w:proofErr w:type="gramStart"/>
            <w:r w:rsidRPr="00E66809">
              <w:rPr>
                <w:rFonts w:eastAsia="Arial" w:cs="Arial"/>
              </w:rPr>
              <w:t>Framework;</w:t>
            </w:r>
            <w:proofErr w:type="gramEnd"/>
          </w:p>
          <w:p w14:paraId="30D23F33" w14:textId="07307B14" w:rsidR="00286052" w:rsidRPr="00E66809" w:rsidRDefault="00286052">
            <w:pPr>
              <w:pStyle w:val="ListParagraph"/>
              <w:widowControl w:val="0"/>
              <w:numPr>
                <w:ilvl w:val="0"/>
                <w:numId w:val="4"/>
              </w:numPr>
              <w:tabs>
                <w:tab w:val="left" w:pos="0"/>
              </w:tabs>
              <w:overflowPunct w:val="0"/>
              <w:autoSpaceDE w:val="0"/>
              <w:autoSpaceDN w:val="0"/>
              <w:adjustRightInd w:val="0"/>
              <w:jc w:val="both"/>
              <w:rPr>
                <w:rFonts w:eastAsia="Arial" w:cs="Arial"/>
              </w:rPr>
            </w:pPr>
            <w:r w:rsidRPr="00E66809">
              <w:rPr>
                <w:rFonts w:eastAsia="Arial" w:cs="Arial"/>
              </w:rPr>
              <w:t xml:space="preserve">NCSC Cloud Security </w:t>
            </w:r>
            <w:proofErr w:type="gramStart"/>
            <w:r w:rsidRPr="00E66809">
              <w:rPr>
                <w:rFonts w:eastAsia="Arial" w:cs="Arial"/>
              </w:rPr>
              <w:t>Principles;</w:t>
            </w:r>
            <w:proofErr w:type="gramEnd"/>
          </w:p>
          <w:p w14:paraId="0CCF67BD" w14:textId="0E865ADE" w:rsidR="00286052" w:rsidRDefault="00286052">
            <w:pPr>
              <w:pStyle w:val="ListParagraph"/>
              <w:widowControl w:val="0"/>
              <w:numPr>
                <w:ilvl w:val="0"/>
                <w:numId w:val="4"/>
              </w:numPr>
              <w:tabs>
                <w:tab w:val="left" w:pos="0"/>
              </w:tabs>
              <w:overflowPunct w:val="0"/>
              <w:autoSpaceDE w:val="0"/>
              <w:autoSpaceDN w:val="0"/>
              <w:adjustRightInd w:val="0"/>
              <w:jc w:val="both"/>
              <w:rPr>
                <w:rFonts w:eastAsia="Arial" w:cs="Arial"/>
              </w:rPr>
            </w:pPr>
            <w:r w:rsidRPr="00E66809">
              <w:rPr>
                <w:rFonts w:eastAsia="Arial" w:cs="Arial"/>
              </w:rPr>
              <w:t xml:space="preserve">Cyber Essentials Plus </w:t>
            </w:r>
            <w:r w:rsidR="00345577">
              <w:rPr>
                <w:rFonts w:eastAsia="Arial" w:cs="Arial"/>
              </w:rPr>
              <w:t>S</w:t>
            </w:r>
            <w:r w:rsidRPr="00E66809">
              <w:rPr>
                <w:rFonts w:eastAsia="Arial" w:cs="Arial"/>
              </w:rPr>
              <w:t>tandards</w:t>
            </w:r>
            <w:r w:rsidR="003A6276">
              <w:rPr>
                <w:rFonts w:eastAsia="Arial" w:cs="Arial"/>
              </w:rPr>
              <w:t>; and</w:t>
            </w:r>
          </w:p>
          <w:p w14:paraId="5FA50131" w14:textId="5358A421" w:rsidR="00C03CB6" w:rsidRPr="00E66809" w:rsidRDefault="00F33674">
            <w:pPr>
              <w:pStyle w:val="ListParagraph"/>
              <w:widowControl w:val="0"/>
              <w:numPr>
                <w:ilvl w:val="0"/>
                <w:numId w:val="4"/>
              </w:numPr>
              <w:tabs>
                <w:tab w:val="left" w:pos="0"/>
              </w:tabs>
              <w:overflowPunct w:val="0"/>
              <w:autoSpaceDE w:val="0"/>
              <w:autoSpaceDN w:val="0"/>
              <w:adjustRightInd w:val="0"/>
              <w:jc w:val="both"/>
              <w:rPr>
                <w:rFonts w:eastAsia="Arial" w:cs="Arial"/>
              </w:rPr>
            </w:pPr>
            <w:r>
              <w:rPr>
                <w:rFonts w:eastAsia="Arial" w:cs="Arial"/>
              </w:rPr>
              <w:lastRenderedPageBreak/>
              <w:t xml:space="preserve">Government Digital </w:t>
            </w:r>
            <w:r w:rsidR="006D5C41">
              <w:rPr>
                <w:rFonts w:eastAsia="Arial" w:cs="Arial"/>
              </w:rPr>
              <w:t xml:space="preserve">Service </w:t>
            </w:r>
            <w:r w:rsidR="00512856">
              <w:rPr>
                <w:rFonts w:eastAsia="Arial" w:cs="Arial"/>
              </w:rPr>
              <w:t xml:space="preserve">(GDS) </w:t>
            </w:r>
            <w:r w:rsidR="006D5C41">
              <w:rPr>
                <w:rFonts w:eastAsia="Arial" w:cs="Arial"/>
              </w:rPr>
              <w:t xml:space="preserve">Secure </w:t>
            </w:r>
            <w:r w:rsidR="00832968">
              <w:rPr>
                <w:rFonts w:eastAsia="Arial" w:cs="Arial"/>
              </w:rPr>
              <w:t>b</w:t>
            </w:r>
            <w:r w:rsidR="006D5C41">
              <w:rPr>
                <w:rFonts w:eastAsia="Arial" w:cs="Arial"/>
              </w:rPr>
              <w:t>y Design Principles</w:t>
            </w:r>
            <w:r w:rsidR="003A6276">
              <w:rPr>
                <w:rFonts w:eastAsia="Arial" w:cs="Arial"/>
              </w:rPr>
              <w:t>.</w:t>
            </w:r>
          </w:p>
          <w:p w14:paraId="2595E23F" w14:textId="77777777" w:rsidR="00286052" w:rsidRDefault="00286052">
            <w:pPr>
              <w:widowControl w:val="0"/>
              <w:tabs>
                <w:tab w:val="left" w:pos="0"/>
              </w:tabs>
              <w:overflowPunct w:val="0"/>
              <w:autoSpaceDE w:val="0"/>
              <w:autoSpaceDN w:val="0"/>
              <w:adjustRightInd w:val="0"/>
              <w:jc w:val="both"/>
              <w:rPr>
                <w:rFonts w:eastAsia="Arial" w:cs="Arial"/>
              </w:rPr>
            </w:pPr>
            <w:r w:rsidRPr="00E66809">
              <w:rPr>
                <w:rFonts w:eastAsia="Arial" w:cs="Arial"/>
              </w:rPr>
              <w:t>Please confirm that your CRM solution will comply with the above standards at the time of contract signature.</w:t>
            </w:r>
          </w:p>
          <w:p w14:paraId="0BCB79D5" w14:textId="51145F20" w:rsidR="00286052" w:rsidRPr="00E66809" w:rsidRDefault="0007007E">
            <w:pPr>
              <w:widowControl w:val="0"/>
              <w:tabs>
                <w:tab w:val="left" w:pos="0"/>
              </w:tabs>
              <w:overflowPunct w:val="0"/>
              <w:autoSpaceDE w:val="0"/>
              <w:autoSpaceDN w:val="0"/>
              <w:adjustRightInd w:val="0"/>
              <w:jc w:val="both"/>
              <w:rPr>
                <w:rFonts w:eastAsia="Arial" w:cs="Arial"/>
              </w:rPr>
            </w:pPr>
            <w:r w:rsidRPr="0012467C">
              <w:rPr>
                <w:rFonts w:eastAsia="Arial" w:cs="Arial"/>
              </w:rPr>
              <w:t>Where you have responded ‘no’, please confirm which of the above standards you do not comply with</w:t>
            </w:r>
            <w:r w:rsidR="00664E6D">
              <w:rPr>
                <w:rFonts w:eastAsia="Arial" w:cs="Arial"/>
              </w:rPr>
              <w:t xml:space="preserve"> and</w:t>
            </w:r>
            <w:r w:rsidRPr="0012467C">
              <w:rPr>
                <w:rFonts w:eastAsia="Arial" w:cs="Arial"/>
              </w:rPr>
              <w:t xml:space="preserve"> an explanation </w:t>
            </w:r>
            <w:r w:rsidR="00F74B46">
              <w:rPr>
                <w:rFonts w:eastAsia="Arial" w:cs="Arial"/>
              </w:rPr>
              <w:t xml:space="preserve">of the </w:t>
            </w:r>
            <w:r w:rsidR="001B1EE1">
              <w:rPr>
                <w:rFonts w:eastAsia="Arial" w:cs="Arial"/>
              </w:rPr>
              <w:t>arrangements you have in place to ensure IT security and resilience</w:t>
            </w:r>
            <w:r w:rsidR="003664AB">
              <w:rPr>
                <w:rFonts w:eastAsia="Arial" w:cs="Arial"/>
              </w:rPr>
              <w:t xml:space="preserve">, in the absence of </w:t>
            </w:r>
            <w:r w:rsidR="002D6907">
              <w:rPr>
                <w:rFonts w:eastAsia="Arial" w:cs="Arial"/>
              </w:rPr>
              <w:t>compliance.</w:t>
            </w:r>
          </w:p>
        </w:tc>
        <w:tc>
          <w:tcPr>
            <w:tcW w:w="4351" w:type="dxa"/>
            <w:tcBorders>
              <w:top w:val="single" w:sz="6" w:space="0" w:color="000000" w:themeColor="text1"/>
              <w:bottom w:val="single" w:sz="6" w:space="0" w:color="000000" w:themeColor="text1"/>
            </w:tcBorders>
          </w:tcPr>
          <w:p w14:paraId="180D8E63" w14:textId="77777777" w:rsidR="00286052" w:rsidRPr="00E66809" w:rsidRDefault="00286052">
            <w:pPr>
              <w:tabs>
                <w:tab w:val="left" w:pos="594"/>
              </w:tabs>
              <w:spacing w:after="0" w:line="276" w:lineRule="auto"/>
              <w:rPr>
                <w:rFonts w:eastAsia="Times New Roman" w:cs="Calibri"/>
              </w:rPr>
            </w:pPr>
            <w:r w:rsidRPr="00E66809">
              <w:rPr>
                <w:rFonts w:eastAsia="Arial" w:cs="Calibri"/>
              </w:rPr>
              <w:lastRenderedPageBreak/>
              <w:t xml:space="preserve">Yes </w:t>
            </w:r>
            <w:r w:rsidRPr="00E66809">
              <w:rPr>
                <w:rFonts w:eastAsia="Arial" w:cs="Calibri"/>
              </w:rPr>
              <w:tab/>
            </w:r>
            <w:r w:rsidRPr="00E66809">
              <w:rPr>
                <w:rFonts w:eastAsia="Times New Roman" w:cs="Calibri"/>
                <w:color w:val="2B579A"/>
                <w:shd w:val="clear" w:color="auto" w:fill="E6E6E6"/>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E66809">
              <w:rPr>
                <w:rFonts w:eastAsia="Times New Roman" w:cs="Calibri"/>
                <w:color w:val="2B579A"/>
                <w:shd w:val="clear" w:color="auto" w:fill="E6E6E6"/>
              </w:rPr>
              <w:fldChar w:fldCharType="end"/>
            </w:r>
          </w:p>
          <w:p w14:paraId="10BB59E0" w14:textId="0EC4E8F3" w:rsidR="003C39E7" w:rsidRDefault="00286052">
            <w:pPr>
              <w:tabs>
                <w:tab w:val="left" w:pos="602"/>
              </w:tabs>
              <w:spacing w:after="0" w:line="276" w:lineRule="auto"/>
              <w:rPr>
                <w:rFonts w:cs="Calibri"/>
                <w:color w:val="2B579A"/>
                <w:shd w:val="clear" w:color="auto" w:fill="E6E6E6"/>
              </w:rPr>
            </w:pPr>
            <w:r w:rsidRPr="00E66809">
              <w:rPr>
                <w:rFonts w:eastAsia="Arial" w:cs="Calibri"/>
              </w:rPr>
              <w:t>No</w:t>
            </w:r>
            <w:r>
              <w:rPr>
                <w:rFonts w:eastAsia="Arial" w:cs="Calibri"/>
              </w:rPr>
              <w:t xml:space="preserve">     </w:t>
            </w:r>
            <w:r w:rsidRPr="00E66809">
              <w:rPr>
                <w:rFonts w:cs="Calibri"/>
                <w:color w:val="2B579A"/>
                <w:shd w:val="clear" w:color="auto" w:fill="E6E6E6"/>
              </w:rPr>
              <w:fldChar w:fldCharType="begin">
                <w:ffData>
                  <w:name w:val="Check1"/>
                  <w:enabled/>
                  <w:calcOnExit w:val="0"/>
                  <w:checkBox>
                    <w:sizeAuto/>
                    <w:default w:val="0"/>
                  </w:checkBox>
                </w:ffData>
              </w:fldChar>
            </w:r>
            <w:r w:rsidRPr="00E66809">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E66809">
              <w:rPr>
                <w:rFonts w:cs="Calibri"/>
                <w:color w:val="2B579A"/>
                <w:shd w:val="clear" w:color="auto" w:fill="E6E6E6"/>
              </w:rPr>
              <w:fldChar w:fldCharType="end"/>
            </w:r>
          </w:p>
          <w:p w14:paraId="7A923D00" w14:textId="77777777" w:rsidR="003C39E7" w:rsidRDefault="003C39E7">
            <w:pPr>
              <w:tabs>
                <w:tab w:val="left" w:pos="602"/>
              </w:tabs>
              <w:spacing w:after="0" w:line="276" w:lineRule="auto"/>
              <w:rPr>
                <w:rFonts w:cs="Calibri"/>
                <w:color w:val="2B579A"/>
                <w:shd w:val="clear" w:color="auto" w:fill="E6E6E6"/>
              </w:rPr>
            </w:pPr>
          </w:p>
          <w:p w14:paraId="5B1C33AB" w14:textId="46466595" w:rsidR="00286052" w:rsidRPr="00E66809" w:rsidRDefault="00286052">
            <w:pPr>
              <w:tabs>
                <w:tab w:val="left" w:pos="602"/>
              </w:tabs>
              <w:spacing w:after="0" w:line="276" w:lineRule="auto"/>
              <w:rPr>
                <w:rFonts w:eastAsia="Arial" w:cs="Calibri"/>
              </w:rPr>
            </w:pPr>
          </w:p>
        </w:tc>
      </w:tr>
      <w:tr w:rsidR="003C39E7" w:rsidRPr="002B147A" w14:paraId="317CD214" w14:textId="77777777" w:rsidTr="006B0E8F">
        <w:trPr>
          <w:trHeight w:val="2143"/>
        </w:trPr>
        <w:tc>
          <w:tcPr>
            <w:tcW w:w="0" w:type="auto"/>
            <w:vMerge/>
          </w:tcPr>
          <w:p w14:paraId="3839247C" w14:textId="77777777" w:rsidR="003C39E7" w:rsidRPr="003C39E7" w:rsidRDefault="003C39E7">
            <w:pPr>
              <w:spacing w:after="0" w:line="276" w:lineRule="auto"/>
              <w:rPr>
                <w:rFonts w:eastAsia="Arial" w:cs="Arial"/>
                <w:b/>
                <w:bCs/>
              </w:rPr>
            </w:pPr>
          </w:p>
        </w:tc>
        <w:tc>
          <w:tcPr>
            <w:tcW w:w="7262" w:type="dxa"/>
            <w:vMerge/>
          </w:tcPr>
          <w:p w14:paraId="03396A3D" w14:textId="77777777" w:rsidR="003C39E7" w:rsidRPr="003C39E7" w:rsidRDefault="003C39E7">
            <w:pPr>
              <w:widowControl w:val="0"/>
              <w:overflowPunct w:val="0"/>
              <w:autoSpaceDE w:val="0"/>
              <w:autoSpaceDN w:val="0"/>
              <w:adjustRightInd w:val="0"/>
              <w:spacing w:before="120" w:after="120"/>
              <w:jc w:val="both"/>
              <w:rPr>
                <w:rFonts w:cs="Arial"/>
                <w:b/>
                <w:bCs/>
              </w:rPr>
            </w:pPr>
          </w:p>
        </w:tc>
        <w:tc>
          <w:tcPr>
            <w:tcW w:w="4351" w:type="dxa"/>
            <w:tcBorders>
              <w:top w:val="single" w:sz="6" w:space="0" w:color="000000" w:themeColor="text1"/>
              <w:bottom w:val="single" w:sz="6" w:space="0" w:color="000000" w:themeColor="text1"/>
            </w:tcBorders>
          </w:tcPr>
          <w:p w14:paraId="4CAD5AAF" w14:textId="794E9420" w:rsidR="003C39E7" w:rsidRPr="003C39E7" w:rsidRDefault="003C39E7">
            <w:pPr>
              <w:tabs>
                <w:tab w:val="left" w:pos="594"/>
              </w:tabs>
              <w:spacing w:after="0" w:line="276" w:lineRule="auto"/>
              <w:rPr>
                <w:rFonts w:eastAsia="Arial" w:cs="Calibri"/>
              </w:rPr>
            </w:pPr>
            <w:r>
              <w:rPr>
                <w:rFonts w:eastAsia="Arial" w:cs="Calibri"/>
              </w:rPr>
              <w:t>[If you have entered a ‘no’ response, include further details here]</w:t>
            </w:r>
          </w:p>
        </w:tc>
      </w:tr>
      <w:tr w:rsidR="003C39E7" w:rsidRPr="002B147A" w14:paraId="176365DE" w14:textId="77777777" w:rsidTr="006B0E8F">
        <w:trPr>
          <w:trHeight w:val="3424"/>
        </w:trPr>
        <w:tc>
          <w:tcPr>
            <w:tcW w:w="0" w:type="auto"/>
            <w:vMerge/>
          </w:tcPr>
          <w:p w14:paraId="644764EA" w14:textId="77777777" w:rsidR="003C39E7" w:rsidRPr="003C39E7" w:rsidRDefault="003C39E7">
            <w:pPr>
              <w:spacing w:after="0" w:line="276" w:lineRule="auto"/>
              <w:rPr>
                <w:rFonts w:eastAsia="Arial" w:cs="Arial"/>
                <w:b/>
                <w:bCs/>
              </w:rPr>
            </w:pPr>
          </w:p>
        </w:tc>
        <w:tc>
          <w:tcPr>
            <w:tcW w:w="7262" w:type="dxa"/>
            <w:vMerge/>
            <w:vAlign w:val="center"/>
          </w:tcPr>
          <w:p w14:paraId="21F745F8" w14:textId="77777777" w:rsidR="003C39E7" w:rsidRPr="003C39E7" w:rsidRDefault="003C39E7">
            <w:pPr>
              <w:widowControl w:val="0"/>
              <w:overflowPunct w:val="0"/>
              <w:autoSpaceDE w:val="0"/>
              <w:autoSpaceDN w:val="0"/>
              <w:adjustRightInd w:val="0"/>
              <w:spacing w:before="120" w:after="120"/>
              <w:jc w:val="both"/>
              <w:rPr>
                <w:rFonts w:cs="Arial"/>
                <w:b/>
              </w:rPr>
            </w:pPr>
          </w:p>
        </w:tc>
        <w:tc>
          <w:tcPr>
            <w:tcW w:w="4351" w:type="dxa"/>
            <w:tcBorders>
              <w:top w:val="single" w:sz="6" w:space="0" w:color="000000" w:themeColor="text1"/>
              <w:bottom w:val="single" w:sz="6" w:space="0" w:color="000000" w:themeColor="text1"/>
            </w:tcBorders>
          </w:tcPr>
          <w:p w14:paraId="2643F038" w14:textId="3BBE32C9" w:rsidR="003C39E7" w:rsidRPr="003C39E7" w:rsidRDefault="003C39E7">
            <w:pPr>
              <w:tabs>
                <w:tab w:val="left" w:pos="594"/>
              </w:tabs>
              <w:spacing w:after="0" w:line="276" w:lineRule="auto"/>
              <w:rPr>
                <w:rFonts w:eastAsia="Arial" w:cs="Calibri"/>
              </w:rPr>
            </w:pPr>
            <w:r>
              <w:rPr>
                <w:rFonts w:eastAsia="Arial" w:cs="Calibri"/>
              </w:rPr>
              <w:t>[Further information</w:t>
            </w:r>
            <w:r w:rsidR="00D479D8">
              <w:rPr>
                <w:rFonts w:eastAsia="Arial" w:cs="Calibri"/>
              </w:rPr>
              <w:t xml:space="preserve"> if applicable]</w:t>
            </w:r>
          </w:p>
        </w:tc>
      </w:tr>
    </w:tbl>
    <w:p w14:paraId="126D1DBA" w14:textId="77777777" w:rsidR="00682410" w:rsidRDefault="00682410"/>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657"/>
        <w:gridCol w:w="7262"/>
        <w:gridCol w:w="5135"/>
      </w:tblGrid>
      <w:tr w:rsidR="00C33B28" w:rsidRPr="002B147A" w14:paraId="33595C80" w14:textId="77777777" w:rsidTr="006B0E8F">
        <w:trPr>
          <w:trHeight w:val="298"/>
        </w:trPr>
        <w:tc>
          <w:tcPr>
            <w:tcW w:w="13042" w:type="dxa"/>
            <w:gridSpan w:val="3"/>
            <w:tcBorders>
              <w:top w:val="single" w:sz="6" w:space="0" w:color="000000" w:themeColor="text1"/>
            </w:tcBorders>
            <w:shd w:val="clear" w:color="auto" w:fill="F2F2F2" w:themeFill="background1" w:themeFillShade="F2"/>
          </w:tcPr>
          <w:p w14:paraId="722C94E7" w14:textId="54391659" w:rsidR="00C33B28" w:rsidRPr="00FA307B" w:rsidRDefault="00C33B28" w:rsidP="001642B8">
            <w:pPr>
              <w:tabs>
                <w:tab w:val="left" w:pos="594"/>
              </w:tabs>
              <w:spacing w:after="0" w:line="276" w:lineRule="auto"/>
              <w:rPr>
                <w:rFonts w:eastAsia="Arial" w:cs="Calibri"/>
              </w:rPr>
            </w:pPr>
            <w:r>
              <w:rPr>
                <w:rFonts w:eastAsia="Arial" w:cs="Calibri"/>
              </w:rPr>
              <w:t xml:space="preserve">Where you are bidding as part of a </w:t>
            </w:r>
            <w:r w:rsidR="00D3295A">
              <w:rPr>
                <w:rFonts w:eastAsia="Arial" w:cs="Calibri"/>
              </w:rPr>
              <w:t>consortium</w:t>
            </w:r>
            <w:r w:rsidR="00403B45">
              <w:rPr>
                <w:rFonts w:eastAsia="Arial" w:cs="Calibri"/>
              </w:rPr>
              <w:t xml:space="preserve">, the lead </w:t>
            </w:r>
            <w:r w:rsidR="00D3295A">
              <w:rPr>
                <w:rFonts w:eastAsia="Arial" w:cs="Calibri"/>
              </w:rPr>
              <w:t>consortium</w:t>
            </w:r>
            <w:r w:rsidR="00403B45">
              <w:rPr>
                <w:rFonts w:eastAsia="Arial" w:cs="Calibri"/>
              </w:rPr>
              <w:t xml:space="preserve"> member is required to respond to questions </w:t>
            </w:r>
            <w:r w:rsidR="00063C0E">
              <w:rPr>
                <w:rFonts w:eastAsia="Arial" w:cs="Calibri"/>
              </w:rPr>
              <w:t>3.7a</w:t>
            </w:r>
            <w:r w:rsidR="00403B45">
              <w:rPr>
                <w:rFonts w:eastAsia="Arial" w:cs="Calibri"/>
              </w:rPr>
              <w:t xml:space="preserve"> and </w:t>
            </w:r>
            <w:r w:rsidR="00063C0E">
              <w:rPr>
                <w:rFonts w:eastAsia="Arial" w:cs="Calibri"/>
              </w:rPr>
              <w:t>3.7b</w:t>
            </w:r>
            <w:r w:rsidR="00403B45">
              <w:rPr>
                <w:rFonts w:eastAsia="Arial" w:cs="Calibri"/>
              </w:rPr>
              <w:t xml:space="preserve"> below</w:t>
            </w:r>
            <w:r>
              <w:rPr>
                <w:rFonts w:eastAsia="Arial" w:cs="Calibri"/>
              </w:rPr>
              <w:t xml:space="preserve"> </w:t>
            </w:r>
          </w:p>
        </w:tc>
      </w:tr>
      <w:tr w:rsidR="00453712" w:rsidRPr="002B147A" w14:paraId="3CD62348" w14:textId="77777777" w:rsidTr="006B0E8F">
        <w:trPr>
          <w:trHeight w:val="2385"/>
        </w:trPr>
        <w:tc>
          <w:tcPr>
            <w:tcW w:w="0" w:type="auto"/>
            <w:vMerge w:val="restart"/>
            <w:tcBorders>
              <w:top w:val="single" w:sz="6" w:space="0" w:color="000000" w:themeColor="text1"/>
            </w:tcBorders>
            <w:shd w:val="clear" w:color="auto" w:fill="F2F2F2" w:themeFill="background1" w:themeFillShade="F2"/>
          </w:tcPr>
          <w:p w14:paraId="2A2BF3BB" w14:textId="70244D43" w:rsidR="0046755C" w:rsidRPr="0046755C" w:rsidRDefault="00063C0E">
            <w:pPr>
              <w:spacing w:after="0" w:line="276" w:lineRule="auto"/>
              <w:rPr>
                <w:rFonts w:eastAsia="Arial" w:cs="Arial"/>
                <w:b/>
                <w:bCs/>
              </w:rPr>
            </w:pPr>
            <w:r>
              <w:rPr>
                <w:rFonts w:eastAsia="Arial" w:cs="Arial"/>
                <w:b/>
              </w:rPr>
              <w:t>3.7a</w:t>
            </w:r>
          </w:p>
        </w:tc>
        <w:tc>
          <w:tcPr>
            <w:tcW w:w="7262" w:type="dxa"/>
            <w:vMerge w:val="restart"/>
            <w:tcBorders>
              <w:top w:val="single" w:sz="6" w:space="0" w:color="000000" w:themeColor="text1"/>
            </w:tcBorders>
            <w:shd w:val="clear" w:color="auto" w:fill="F2F2F2" w:themeFill="background1" w:themeFillShade="F2"/>
            <w:vAlign w:val="center"/>
          </w:tcPr>
          <w:p w14:paraId="40B54B33" w14:textId="6904EFFD" w:rsidR="00FD064B" w:rsidRPr="007E6211" w:rsidRDefault="003532B3" w:rsidP="00A840F5">
            <w:pPr>
              <w:widowControl w:val="0"/>
              <w:overflowPunct w:val="0"/>
              <w:autoSpaceDE w:val="0"/>
              <w:autoSpaceDN w:val="0"/>
              <w:adjustRightInd w:val="0"/>
              <w:spacing w:after="120"/>
              <w:jc w:val="both"/>
              <w:rPr>
                <w:rFonts w:cs="Arial"/>
                <w:b/>
                <w:bCs/>
              </w:rPr>
            </w:pPr>
            <w:r>
              <w:rPr>
                <w:rFonts w:cs="Arial"/>
                <w:b/>
              </w:rPr>
              <w:t>First</w:t>
            </w:r>
            <w:r w:rsidR="008236B7">
              <w:rPr>
                <w:rFonts w:cs="Arial"/>
                <w:b/>
              </w:rPr>
              <w:t xml:space="preserve"> </w:t>
            </w:r>
            <w:r>
              <w:rPr>
                <w:rFonts w:cs="Arial"/>
                <w:b/>
              </w:rPr>
              <w:t>Party</w:t>
            </w:r>
            <w:r w:rsidR="00BA58EB" w:rsidRPr="00E66809">
              <w:rPr>
                <w:rFonts w:cs="Arial"/>
                <w:b/>
              </w:rPr>
              <w:t xml:space="preserve"> </w:t>
            </w:r>
            <w:r w:rsidR="00FD064B" w:rsidRPr="007E6211">
              <w:rPr>
                <w:rFonts w:cs="Arial"/>
                <w:b/>
              </w:rPr>
              <w:t>Capabilities</w:t>
            </w:r>
            <w:r w:rsidR="00FD064B">
              <w:rPr>
                <w:rFonts w:cs="Arial"/>
                <w:b/>
              </w:rPr>
              <w:t xml:space="preserve"> </w:t>
            </w:r>
          </w:p>
          <w:p w14:paraId="0612C576" w14:textId="5692E9BA" w:rsidR="00FD064B" w:rsidRPr="007E6211" w:rsidRDefault="00C80350" w:rsidP="00FD064B">
            <w:pPr>
              <w:widowControl w:val="0"/>
              <w:overflowPunct w:val="0"/>
              <w:autoSpaceDE w:val="0"/>
              <w:autoSpaceDN w:val="0"/>
              <w:adjustRightInd w:val="0"/>
              <w:spacing w:before="120" w:after="120"/>
              <w:jc w:val="both"/>
              <w:rPr>
                <w:rFonts w:cs="Arial"/>
              </w:rPr>
            </w:pPr>
            <w:r>
              <w:rPr>
                <w:rFonts w:cs="Arial"/>
              </w:rPr>
              <w:t>HMRC</w:t>
            </w:r>
            <w:r w:rsidR="00FD064B" w:rsidRPr="007E6211">
              <w:rPr>
                <w:rFonts w:cs="Arial"/>
              </w:rPr>
              <w:t xml:space="preserve"> requires a CRM solution that is able to deliver all of the capabilities* listed below</w:t>
            </w:r>
            <w:r w:rsidR="00FD064B">
              <w:rPr>
                <w:rFonts w:cs="Arial"/>
              </w:rPr>
              <w:t xml:space="preserve"> using the core functionality of your platform</w:t>
            </w:r>
            <w:r w:rsidR="00FD064B" w:rsidRPr="007E6211">
              <w:rPr>
                <w:rFonts w:cs="Arial"/>
              </w:rPr>
              <w:t>:</w:t>
            </w:r>
          </w:p>
          <w:p w14:paraId="1977C837" w14:textId="77777777" w:rsidR="009D28F2" w:rsidRPr="00752EA5" w:rsidRDefault="009D28F2" w:rsidP="009D28F2">
            <w:pPr>
              <w:pStyle w:val="ListParagraph"/>
              <w:numPr>
                <w:ilvl w:val="0"/>
                <w:numId w:val="12"/>
              </w:numPr>
              <w:rPr>
                <w:rFonts w:cs="Arial"/>
                <w:color w:val="000000" w:themeColor="text1"/>
              </w:rPr>
            </w:pPr>
            <w:r w:rsidRPr="003C07DC">
              <w:rPr>
                <w:rFonts w:cs="Arial"/>
                <w:color w:val="000000" w:themeColor="text1"/>
              </w:rPr>
              <w:t>Marketing &amp; Campaign Management</w:t>
            </w:r>
          </w:p>
          <w:p w14:paraId="192E02DB" w14:textId="77777777" w:rsidR="00FD064B" w:rsidRPr="007E6211" w:rsidRDefault="00FD064B" w:rsidP="00FD064B">
            <w:pPr>
              <w:pStyle w:val="ListParagraph"/>
              <w:widowControl w:val="0"/>
              <w:numPr>
                <w:ilvl w:val="0"/>
                <w:numId w:val="12"/>
              </w:numPr>
              <w:rPr>
                <w:rFonts w:cs="Arial"/>
                <w:bCs/>
                <w:color w:val="000000" w:themeColor="text1"/>
                <w:kern w:val="24"/>
              </w:rPr>
            </w:pPr>
            <w:r w:rsidRPr="007E6211">
              <w:rPr>
                <w:rFonts w:cs="Arial"/>
                <w:bCs/>
                <w:color w:val="000000" w:themeColor="text1"/>
                <w:kern w:val="24"/>
              </w:rPr>
              <w:t>Customer Management</w:t>
            </w:r>
          </w:p>
          <w:p w14:paraId="15304DE0" w14:textId="77777777" w:rsidR="00FD064B" w:rsidRPr="007E6211" w:rsidRDefault="00FD064B" w:rsidP="00FD064B">
            <w:pPr>
              <w:pStyle w:val="ListParagraph"/>
              <w:widowControl w:val="0"/>
              <w:numPr>
                <w:ilvl w:val="0"/>
                <w:numId w:val="12"/>
              </w:numPr>
              <w:rPr>
                <w:rFonts w:cs="Arial"/>
                <w:color w:val="000000" w:themeColor="text1"/>
              </w:rPr>
            </w:pPr>
            <w:r w:rsidRPr="007E6211">
              <w:rPr>
                <w:rFonts w:cs="Arial"/>
                <w:color w:val="000000" w:themeColor="text1"/>
              </w:rPr>
              <w:t>Case Management</w:t>
            </w:r>
          </w:p>
          <w:p w14:paraId="79283455" w14:textId="77777777" w:rsidR="00FD064B" w:rsidRDefault="00FD064B" w:rsidP="00FD064B">
            <w:pPr>
              <w:pStyle w:val="ListParagraph"/>
              <w:widowControl w:val="0"/>
              <w:numPr>
                <w:ilvl w:val="0"/>
                <w:numId w:val="12"/>
              </w:numPr>
              <w:rPr>
                <w:rFonts w:cs="Arial"/>
                <w:color w:val="000000" w:themeColor="text1"/>
              </w:rPr>
            </w:pPr>
            <w:r w:rsidRPr="007E6211">
              <w:rPr>
                <w:rFonts w:cs="Arial"/>
                <w:color w:val="000000" w:themeColor="text1"/>
              </w:rPr>
              <w:t>Interaction, Channel and Messaging Management</w:t>
            </w:r>
          </w:p>
          <w:p w14:paraId="166C964B" w14:textId="77777777" w:rsidR="00FD064B" w:rsidRDefault="00FD064B" w:rsidP="00FD064B">
            <w:pPr>
              <w:pStyle w:val="ListParagraph"/>
              <w:widowControl w:val="0"/>
              <w:numPr>
                <w:ilvl w:val="0"/>
                <w:numId w:val="12"/>
              </w:numPr>
              <w:rPr>
                <w:rFonts w:cs="Arial"/>
                <w:bCs/>
                <w:color w:val="000000" w:themeColor="text1"/>
                <w:kern w:val="24"/>
              </w:rPr>
            </w:pPr>
            <w:r w:rsidRPr="007E6211">
              <w:rPr>
                <w:rFonts w:cs="Arial"/>
                <w:bCs/>
                <w:color w:val="000000" w:themeColor="text1"/>
                <w:kern w:val="24"/>
              </w:rPr>
              <w:lastRenderedPageBreak/>
              <w:t>AI</w:t>
            </w:r>
          </w:p>
          <w:p w14:paraId="5ECE86FF" w14:textId="77777777" w:rsidR="00FD064B" w:rsidRPr="007E6211" w:rsidRDefault="00FD064B" w:rsidP="00FD064B">
            <w:pPr>
              <w:pStyle w:val="ListParagraph"/>
              <w:widowControl w:val="0"/>
              <w:numPr>
                <w:ilvl w:val="0"/>
                <w:numId w:val="12"/>
              </w:numPr>
              <w:rPr>
                <w:rFonts w:cs="Arial"/>
                <w:bCs/>
                <w:color w:val="000000" w:themeColor="text1"/>
                <w:kern w:val="24"/>
              </w:rPr>
            </w:pPr>
            <w:r w:rsidRPr="007E6211">
              <w:rPr>
                <w:rFonts w:cs="Arial"/>
                <w:bCs/>
                <w:color w:val="000000" w:themeColor="text1"/>
                <w:kern w:val="24"/>
              </w:rPr>
              <w:t>Insights</w:t>
            </w:r>
          </w:p>
          <w:p w14:paraId="341DD6FA" w14:textId="21B240AC" w:rsidR="00FD064B" w:rsidRDefault="00FD064B" w:rsidP="00FD064B">
            <w:pPr>
              <w:pStyle w:val="ListParagraph"/>
              <w:widowControl w:val="0"/>
              <w:numPr>
                <w:ilvl w:val="0"/>
                <w:numId w:val="12"/>
              </w:numPr>
              <w:rPr>
                <w:rFonts w:cs="Arial"/>
                <w:color w:val="000000" w:themeColor="text1"/>
              </w:rPr>
            </w:pPr>
            <w:r w:rsidRPr="007E6211">
              <w:rPr>
                <w:rFonts w:cs="Arial"/>
                <w:color w:val="000000" w:themeColor="text1"/>
              </w:rPr>
              <w:t>Reporting &amp; Intelligence</w:t>
            </w:r>
          </w:p>
          <w:p w14:paraId="47F564D8" w14:textId="0BF01603" w:rsidR="003D4E12" w:rsidRPr="00E66809" w:rsidRDefault="003D4E12" w:rsidP="003D4E12">
            <w:pPr>
              <w:pStyle w:val="ListParagraph"/>
              <w:widowControl w:val="0"/>
              <w:numPr>
                <w:ilvl w:val="0"/>
                <w:numId w:val="12"/>
              </w:numPr>
              <w:rPr>
                <w:rFonts w:cs="Arial"/>
                <w:color w:val="000000" w:themeColor="text1"/>
                <w:kern w:val="24"/>
              </w:rPr>
            </w:pPr>
            <w:r w:rsidRPr="00D13CCE">
              <w:rPr>
                <w:rFonts w:cs="Arial"/>
                <w:color w:val="000000" w:themeColor="text1"/>
                <w:kern w:val="24"/>
              </w:rPr>
              <w:t xml:space="preserve">Customer Experience (Customer Portal and App) </w:t>
            </w:r>
          </w:p>
          <w:p w14:paraId="24DBB55B" w14:textId="2F9C0FD3" w:rsidR="0046755C" w:rsidRPr="00A840F5" w:rsidRDefault="00FD064B" w:rsidP="00352D2D">
            <w:pPr>
              <w:jc w:val="both"/>
              <w:rPr>
                <w:rFonts w:cs="Arial"/>
              </w:rPr>
            </w:pPr>
            <w:r w:rsidRPr="007E6211">
              <w:rPr>
                <w:rFonts w:cs="Arial"/>
              </w:rPr>
              <w:t>Please confirm that your CRM solution is able to meet all of the above capabilities</w:t>
            </w:r>
            <w:r>
              <w:rPr>
                <w:rFonts w:cs="Arial"/>
              </w:rPr>
              <w:t xml:space="preserve"> with your core platform</w:t>
            </w:r>
            <w:r w:rsidR="008A0688">
              <w:rPr>
                <w:rFonts w:cs="Arial"/>
              </w:rPr>
              <w:t xml:space="preserve"> and the </w:t>
            </w:r>
            <w:r w:rsidR="006D4D63">
              <w:rPr>
                <w:rFonts w:cs="Arial"/>
              </w:rPr>
              <w:t xml:space="preserve">relevant </w:t>
            </w:r>
            <w:r w:rsidR="0021710D">
              <w:rPr>
                <w:rFonts w:cs="Arial"/>
              </w:rPr>
              <w:t>F</w:t>
            </w:r>
            <w:r w:rsidR="00F51E10">
              <w:rPr>
                <w:rFonts w:cs="Arial"/>
              </w:rPr>
              <w:t>irst</w:t>
            </w:r>
            <w:r w:rsidR="0021710D">
              <w:rPr>
                <w:rFonts w:cs="Arial"/>
              </w:rPr>
              <w:t xml:space="preserve"> P</w:t>
            </w:r>
            <w:r w:rsidR="00F51E10">
              <w:rPr>
                <w:rFonts w:cs="Arial"/>
              </w:rPr>
              <w:t>arty</w:t>
            </w:r>
            <w:r w:rsidR="002F003F">
              <w:rPr>
                <w:rFonts w:cs="Arial"/>
              </w:rPr>
              <w:t>*</w:t>
            </w:r>
            <w:r w:rsidR="00F51E10">
              <w:rPr>
                <w:rFonts w:cs="Arial"/>
              </w:rPr>
              <w:t xml:space="preserve"> </w:t>
            </w:r>
            <w:r w:rsidR="008A0688" w:rsidRPr="00A840F5">
              <w:rPr>
                <w:rFonts w:cs="Arial"/>
              </w:rPr>
              <w:t xml:space="preserve">products/modules </w:t>
            </w:r>
            <w:r w:rsidR="006D4D63" w:rsidRPr="00A840F5">
              <w:rPr>
                <w:rFonts w:cs="Arial"/>
              </w:rPr>
              <w:t>which possess this capability</w:t>
            </w:r>
            <w:r w:rsidRPr="00A840F5">
              <w:rPr>
                <w:rFonts w:cs="Arial"/>
              </w:rPr>
              <w:t>.</w:t>
            </w:r>
          </w:p>
          <w:p w14:paraId="5348A06A" w14:textId="5E084E90" w:rsidR="00487F84" w:rsidRDefault="002F003F" w:rsidP="006324B1">
            <w:pPr>
              <w:rPr>
                <w:rFonts w:cs="Arial"/>
                <w:b/>
                <w:iCs/>
                <w:color w:val="000000" w:themeColor="text1"/>
              </w:rPr>
            </w:pPr>
            <w:r w:rsidRPr="00C650A2">
              <w:rPr>
                <w:rFonts w:cs="Arial"/>
                <w:b/>
                <w:iCs/>
                <w:color w:val="000000" w:themeColor="text1"/>
              </w:rPr>
              <w:t xml:space="preserve">*First </w:t>
            </w:r>
            <w:r w:rsidR="0021710D">
              <w:rPr>
                <w:rFonts w:cs="Arial"/>
                <w:b/>
                <w:iCs/>
                <w:color w:val="000000" w:themeColor="text1"/>
              </w:rPr>
              <w:t>P</w:t>
            </w:r>
            <w:r w:rsidRPr="00C650A2">
              <w:rPr>
                <w:rFonts w:cs="Arial"/>
                <w:b/>
                <w:iCs/>
                <w:color w:val="000000" w:themeColor="text1"/>
              </w:rPr>
              <w:t>arty refers to software</w:t>
            </w:r>
            <w:r w:rsidR="0052785E" w:rsidRPr="00C650A2">
              <w:rPr>
                <w:rFonts w:cs="Arial"/>
                <w:b/>
                <w:iCs/>
                <w:color w:val="000000" w:themeColor="text1"/>
              </w:rPr>
              <w:t xml:space="preserve"> owned by the Supplier</w:t>
            </w:r>
            <w:r w:rsidR="00A840F5" w:rsidRPr="00C650A2">
              <w:rPr>
                <w:rFonts w:cs="Arial"/>
                <w:b/>
                <w:iCs/>
                <w:color w:val="000000" w:themeColor="text1"/>
              </w:rPr>
              <w:t xml:space="preserve"> or another group company</w:t>
            </w:r>
            <w:r w:rsidR="00C650A2">
              <w:rPr>
                <w:rFonts w:cs="Arial"/>
                <w:b/>
                <w:iCs/>
                <w:color w:val="000000" w:themeColor="text1"/>
              </w:rPr>
              <w:t xml:space="preserve">. The definition of a group company is </w:t>
            </w:r>
            <w:r w:rsidR="00C650A2" w:rsidRPr="00C650A2">
              <w:rPr>
                <w:rFonts w:cs="Arial"/>
                <w:b/>
                <w:iCs/>
                <w:color w:val="000000" w:themeColor="text1"/>
              </w:rPr>
              <w:t xml:space="preserve">the body corporate, any other body corporate which is its holding company or subsidiary, and any other body corporate which is a subsidiary of that holding </w:t>
            </w:r>
            <w:r w:rsidR="00C650A2">
              <w:rPr>
                <w:rFonts w:cs="Arial"/>
                <w:b/>
                <w:iCs/>
                <w:color w:val="000000" w:themeColor="text1"/>
              </w:rPr>
              <w:t>company, as per section 1261 of the Companies Act 2006.</w:t>
            </w:r>
          </w:p>
          <w:p w14:paraId="52607FE3" w14:textId="5293E83F" w:rsidR="00BE4F42" w:rsidRDefault="001275E1" w:rsidP="00352D2D">
            <w:pPr>
              <w:jc w:val="both"/>
              <w:rPr>
                <w:rFonts w:cs="Arial"/>
              </w:rPr>
            </w:pPr>
            <w:r w:rsidRPr="007E6211">
              <w:rPr>
                <w:rFonts w:cs="Arial"/>
              </w:rPr>
              <w:t xml:space="preserve">See </w:t>
            </w:r>
            <w:r w:rsidR="00357326">
              <w:rPr>
                <w:rFonts w:cs="Arial"/>
              </w:rPr>
              <w:t>paragraph</w:t>
            </w:r>
            <w:r w:rsidRPr="007E6211">
              <w:rPr>
                <w:rFonts w:cs="Arial"/>
              </w:rPr>
              <w:t xml:space="preserve"> 5.</w:t>
            </w:r>
            <w:r>
              <w:rPr>
                <w:rFonts w:cs="Arial"/>
              </w:rPr>
              <w:t xml:space="preserve">2 </w:t>
            </w:r>
            <w:r w:rsidRPr="007E6211">
              <w:rPr>
                <w:rFonts w:cs="Arial"/>
              </w:rPr>
              <w:t xml:space="preserve">of Annex 1 </w:t>
            </w:r>
            <w:r w:rsidR="00BE4F42">
              <w:rPr>
                <w:rFonts w:cs="Arial"/>
              </w:rPr>
              <w:t>(Requirements Overview)</w:t>
            </w:r>
            <w:r w:rsidRPr="007E6211">
              <w:rPr>
                <w:rFonts w:cs="Arial"/>
              </w:rPr>
              <w:t xml:space="preserve"> for a </w:t>
            </w:r>
            <w:proofErr w:type="gramStart"/>
            <w:r w:rsidR="00BE4F42">
              <w:rPr>
                <w:rFonts w:cs="Arial"/>
              </w:rPr>
              <w:t>high level</w:t>
            </w:r>
            <w:proofErr w:type="gramEnd"/>
            <w:r w:rsidR="00BE4F42">
              <w:rPr>
                <w:rFonts w:cs="Arial"/>
              </w:rPr>
              <w:t xml:space="preserve"> </w:t>
            </w:r>
            <w:r w:rsidRPr="007E6211">
              <w:rPr>
                <w:rFonts w:cs="Arial"/>
              </w:rPr>
              <w:t>description of each of the above capabilities.</w:t>
            </w:r>
          </w:p>
          <w:p w14:paraId="733206B3" w14:textId="043BD089" w:rsidR="0046755C" w:rsidRPr="001F0599" w:rsidRDefault="0046755C" w:rsidP="00352D2D">
            <w:pPr>
              <w:jc w:val="both"/>
              <w:rPr>
                <w:rFonts w:eastAsia="Arial" w:cs="Calibri"/>
              </w:rPr>
            </w:pPr>
          </w:p>
        </w:tc>
        <w:tc>
          <w:tcPr>
            <w:tcW w:w="5135" w:type="dxa"/>
            <w:tcBorders>
              <w:top w:val="single" w:sz="6" w:space="0" w:color="000000" w:themeColor="text1"/>
              <w:bottom w:val="single" w:sz="6" w:space="0" w:color="000000" w:themeColor="text1"/>
            </w:tcBorders>
          </w:tcPr>
          <w:p w14:paraId="4D75D7DA" w14:textId="77777777" w:rsidR="001642B8" w:rsidRPr="00FA307B" w:rsidRDefault="001642B8" w:rsidP="001642B8">
            <w:pPr>
              <w:tabs>
                <w:tab w:val="left" w:pos="594"/>
              </w:tabs>
              <w:spacing w:after="0" w:line="276" w:lineRule="auto"/>
              <w:rPr>
                <w:rFonts w:eastAsia="Times New Roman" w:cs="Calibri"/>
              </w:rPr>
            </w:pPr>
            <w:r w:rsidRPr="00FA307B">
              <w:rPr>
                <w:rFonts w:eastAsia="Arial" w:cs="Calibri"/>
              </w:rPr>
              <w:lastRenderedPageBreak/>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3CE6A14F" w14:textId="6F2ECD5D" w:rsidR="001642B8" w:rsidRDefault="001642B8" w:rsidP="001642B8">
            <w:pPr>
              <w:tabs>
                <w:tab w:val="left" w:pos="602"/>
              </w:tabs>
              <w:spacing w:after="0" w:line="276" w:lineRule="auto"/>
              <w:rPr>
                <w:rFonts w:cs="Calibri"/>
                <w:color w:val="2B579A"/>
                <w:shd w:val="clear" w:color="auto" w:fill="E6E6E6"/>
              </w:rPr>
            </w:pPr>
            <w:r w:rsidRPr="00FA307B">
              <w:rPr>
                <w:rFonts w:eastAsia="Arial" w:cs="Calibri"/>
              </w:rPr>
              <w:t xml:space="preserve">No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76C728BD" w14:textId="77777777" w:rsidR="001642B8" w:rsidRDefault="001642B8" w:rsidP="001642B8">
            <w:pPr>
              <w:tabs>
                <w:tab w:val="left" w:pos="602"/>
              </w:tabs>
              <w:spacing w:after="0" w:line="276" w:lineRule="auto"/>
              <w:rPr>
                <w:rFonts w:cs="Calibri"/>
                <w:color w:val="2B579A"/>
                <w:shd w:val="clear" w:color="auto" w:fill="E6E6E6"/>
              </w:rPr>
            </w:pPr>
          </w:p>
          <w:p w14:paraId="613802F4" w14:textId="77777777" w:rsidR="0046755C" w:rsidRPr="0046755C" w:rsidRDefault="0046755C">
            <w:pPr>
              <w:tabs>
                <w:tab w:val="left" w:pos="594"/>
              </w:tabs>
              <w:spacing w:after="0" w:line="276" w:lineRule="auto"/>
              <w:rPr>
                <w:rFonts w:eastAsia="Arial" w:cs="Calibri"/>
              </w:rPr>
            </w:pPr>
          </w:p>
        </w:tc>
      </w:tr>
      <w:tr w:rsidR="006324B1" w:rsidRPr="002B147A" w14:paraId="18962C34" w14:textId="77777777" w:rsidTr="006B0E8F">
        <w:trPr>
          <w:trHeight w:val="2385"/>
        </w:trPr>
        <w:tc>
          <w:tcPr>
            <w:tcW w:w="0" w:type="auto"/>
            <w:vMerge/>
          </w:tcPr>
          <w:p w14:paraId="144AFDF4" w14:textId="77777777" w:rsidR="006324B1" w:rsidRDefault="006324B1">
            <w:pPr>
              <w:spacing w:after="0" w:line="276" w:lineRule="auto"/>
              <w:rPr>
                <w:rFonts w:eastAsia="Arial" w:cs="Arial"/>
                <w:b/>
                <w:bCs/>
              </w:rPr>
            </w:pPr>
          </w:p>
        </w:tc>
        <w:tc>
          <w:tcPr>
            <w:tcW w:w="7262" w:type="dxa"/>
            <w:vMerge/>
            <w:vAlign w:val="center"/>
          </w:tcPr>
          <w:p w14:paraId="1BFD362F" w14:textId="77777777" w:rsidR="006324B1" w:rsidRDefault="006324B1" w:rsidP="00FD064B">
            <w:pPr>
              <w:widowControl w:val="0"/>
              <w:overflowPunct w:val="0"/>
              <w:autoSpaceDE w:val="0"/>
              <w:autoSpaceDN w:val="0"/>
              <w:adjustRightInd w:val="0"/>
              <w:spacing w:before="120" w:after="120"/>
              <w:jc w:val="both"/>
              <w:rPr>
                <w:rFonts w:cs="Arial"/>
              </w:rPr>
            </w:pPr>
          </w:p>
        </w:tc>
        <w:tc>
          <w:tcPr>
            <w:tcW w:w="5135" w:type="dxa"/>
            <w:tcBorders>
              <w:top w:val="single" w:sz="6" w:space="0" w:color="000000" w:themeColor="text1"/>
              <w:bottom w:val="single" w:sz="6" w:space="0" w:color="000000" w:themeColor="text1"/>
            </w:tcBorders>
          </w:tcPr>
          <w:p w14:paraId="5C1479EC" w14:textId="6EA438C0" w:rsidR="006324B1" w:rsidRPr="006324B1" w:rsidRDefault="009F10DF" w:rsidP="006324B1">
            <w:pPr>
              <w:tabs>
                <w:tab w:val="left" w:pos="1365"/>
              </w:tabs>
              <w:rPr>
                <w:rFonts w:eastAsia="Arial" w:cs="Calibri"/>
              </w:rPr>
            </w:pPr>
            <w:r>
              <w:rPr>
                <w:rFonts w:eastAsia="Arial" w:cs="Calibri"/>
              </w:rPr>
              <w:t xml:space="preserve">[Please confirm relevant </w:t>
            </w:r>
            <w:r w:rsidR="00801C16">
              <w:rPr>
                <w:rFonts w:eastAsia="Arial" w:cs="Calibri"/>
              </w:rPr>
              <w:t xml:space="preserve">first-party </w:t>
            </w:r>
            <w:r>
              <w:rPr>
                <w:rFonts w:eastAsia="Arial" w:cs="Calibri"/>
              </w:rPr>
              <w:t>products/modules</w:t>
            </w:r>
            <w:r w:rsidR="00C46839">
              <w:rPr>
                <w:rFonts w:eastAsia="Arial" w:cs="Calibri"/>
              </w:rPr>
              <w:t xml:space="preserve"> for each capability</w:t>
            </w:r>
            <w:r>
              <w:rPr>
                <w:rFonts w:eastAsia="Arial" w:cs="Calibri"/>
              </w:rPr>
              <w:t>]</w:t>
            </w:r>
          </w:p>
        </w:tc>
      </w:tr>
      <w:tr w:rsidR="007037B2" w:rsidRPr="002B147A" w14:paraId="3BC49E9A" w14:textId="77777777" w:rsidTr="006B0E8F">
        <w:trPr>
          <w:trHeight w:val="1358"/>
        </w:trPr>
        <w:tc>
          <w:tcPr>
            <w:tcW w:w="0" w:type="auto"/>
            <w:vMerge w:val="restart"/>
            <w:shd w:val="clear" w:color="auto" w:fill="F2F2F2" w:themeFill="background1" w:themeFillShade="F2"/>
          </w:tcPr>
          <w:p w14:paraId="1B2AF92D" w14:textId="70FCCCB4" w:rsidR="007037B2" w:rsidRDefault="00063C0E">
            <w:pPr>
              <w:spacing w:after="0" w:line="276" w:lineRule="auto"/>
              <w:rPr>
                <w:rFonts w:eastAsia="Arial" w:cs="Arial"/>
                <w:b/>
                <w:bCs/>
              </w:rPr>
            </w:pPr>
            <w:r>
              <w:rPr>
                <w:rFonts w:eastAsia="Arial" w:cs="Arial"/>
                <w:b/>
              </w:rPr>
              <w:t>3.7b</w:t>
            </w:r>
          </w:p>
        </w:tc>
        <w:tc>
          <w:tcPr>
            <w:tcW w:w="7262" w:type="dxa"/>
            <w:vMerge w:val="restart"/>
            <w:shd w:val="clear" w:color="auto" w:fill="F2F2F2" w:themeFill="background1" w:themeFillShade="F2"/>
            <w:vAlign w:val="center"/>
          </w:tcPr>
          <w:p w14:paraId="7EDD68B0" w14:textId="60497E2D" w:rsidR="006324B1" w:rsidRPr="00D4031C" w:rsidRDefault="00F37C54" w:rsidP="00A840F5">
            <w:pPr>
              <w:widowControl w:val="0"/>
              <w:overflowPunct w:val="0"/>
              <w:autoSpaceDE w:val="0"/>
              <w:autoSpaceDN w:val="0"/>
              <w:adjustRightInd w:val="0"/>
              <w:spacing w:after="120"/>
              <w:jc w:val="both"/>
              <w:rPr>
                <w:rFonts w:cs="Arial"/>
                <w:b/>
                <w:bCs/>
              </w:rPr>
            </w:pPr>
            <w:r>
              <w:rPr>
                <w:rFonts w:cs="Arial"/>
                <w:b/>
                <w:bCs/>
              </w:rPr>
              <w:t>First</w:t>
            </w:r>
            <w:r w:rsidR="007C16DD">
              <w:rPr>
                <w:rFonts w:cs="Arial"/>
                <w:b/>
                <w:bCs/>
              </w:rPr>
              <w:t xml:space="preserve"> or </w:t>
            </w:r>
            <w:proofErr w:type="gramStart"/>
            <w:r>
              <w:rPr>
                <w:rFonts w:cs="Arial"/>
                <w:b/>
                <w:bCs/>
              </w:rPr>
              <w:t>Third</w:t>
            </w:r>
            <w:r w:rsidR="008236B7">
              <w:rPr>
                <w:rFonts w:cs="Arial"/>
                <w:b/>
                <w:bCs/>
              </w:rPr>
              <w:t xml:space="preserve"> </w:t>
            </w:r>
            <w:r>
              <w:rPr>
                <w:rFonts w:cs="Arial"/>
                <w:b/>
                <w:bCs/>
              </w:rPr>
              <w:t>Party</w:t>
            </w:r>
            <w:proofErr w:type="gramEnd"/>
            <w:r>
              <w:rPr>
                <w:rFonts w:cs="Arial"/>
                <w:b/>
                <w:bCs/>
              </w:rPr>
              <w:t xml:space="preserve"> </w:t>
            </w:r>
            <w:r w:rsidR="006324B1" w:rsidRPr="00D4031C">
              <w:rPr>
                <w:rFonts w:cs="Arial"/>
                <w:b/>
                <w:bCs/>
              </w:rPr>
              <w:t>Capabilities</w:t>
            </w:r>
          </w:p>
          <w:p w14:paraId="0F062A8A" w14:textId="083F7473" w:rsidR="006324B1" w:rsidRPr="003C07DC" w:rsidRDefault="00C80350" w:rsidP="006324B1">
            <w:pPr>
              <w:widowControl w:val="0"/>
              <w:overflowPunct w:val="0"/>
              <w:autoSpaceDE w:val="0"/>
              <w:autoSpaceDN w:val="0"/>
              <w:adjustRightInd w:val="0"/>
              <w:spacing w:before="120" w:after="120"/>
              <w:jc w:val="both"/>
              <w:rPr>
                <w:rFonts w:cs="Arial"/>
              </w:rPr>
            </w:pPr>
            <w:r>
              <w:rPr>
                <w:rFonts w:cs="Arial"/>
              </w:rPr>
              <w:t>HMRC</w:t>
            </w:r>
            <w:r w:rsidR="006324B1" w:rsidRPr="00D4031C">
              <w:rPr>
                <w:rFonts w:cs="Arial"/>
              </w:rPr>
              <w:t xml:space="preserve"> also requires the capabilities listed below which may be either delivered by core functionality of your platform, or by the integration of </w:t>
            </w:r>
            <w:r w:rsidR="007C16DD">
              <w:rPr>
                <w:rFonts w:cs="Arial"/>
              </w:rPr>
              <w:t>Third Party*</w:t>
            </w:r>
            <w:r w:rsidR="006324B1" w:rsidRPr="00D4031C">
              <w:rPr>
                <w:rFonts w:cs="Arial"/>
              </w:rPr>
              <w:t xml:space="preserve"> </w:t>
            </w:r>
            <w:r w:rsidR="006324B1">
              <w:rPr>
                <w:rFonts w:cs="Arial"/>
              </w:rPr>
              <w:t>S</w:t>
            </w:r>
            <w:r w:rsidR="006324B1" w:rsidRPr="00D4031C">
              <w:rPr>
                <w:rFonts w:cs="Arial"/>
              </w:rPr>
              <w:t>aa</w:t>
            </w:r>
            <w:r w:rsidR="006324B1">
              <w:rPr>
                <w:rFonts w:cs="Arial"/>
              </w:rPr>
              <w:t>S</w:t>
            </w:r>
            <w:r w:rsidR="006324B1" w:rsidRPr="00D4031C">
              <w:rPr>
                <w:rFonts w:cs="Arial"/>
              </w:rPr>
              <w:t xml:space="preserve"> solutions:</w:t>
            </w:r>
          </w:p>
          <w:p w14:paraId="7A9ABAAF" w14:textId="74FC486E" w:rsidR="006324B1" w:rsidRPr="00E66809" w:rsidRDefault="006324B1" w:rsidP="006324B1">
            <w:pPr>
              <w:pStyle w:val="ListParagraph"/>
              <w:widowControl w:val="0"/>
              <w:numPr>
                <w:ilvl w:val="0"/>
                <w:numId w:val="12"/>
              </w:numPr>
              <w:rPr>
                <w:rFonts w:cs="Arial"/>
                <w:color w:val="000000" w:themeColor="text1"/>
                <w:kern w:val="24"/>
              </w:rPr>
            </w:pPr>
            <w:r w:rsidRPr="00E66809">
              <w:rPr>
                <w:rFonts w:cs="Arial"/>
                <w:color w:val="000000" w:themeColor="text1"/>
                <w:kern w:val="24"/>
              </w:rPr>
              <w:lastRenderedPageBreak/>
              <w:t xml:space="preserve">Identity, Verification </w:t>
            </w:r>
            <w:r w:rsidR="00382F2A">
              <w:rPr>
                <w:rFonts w:cs="Arial"/>
                <w:color w:val="000000" w:themeColor="text1"/>
                <w:kern w:val="24"/>
              </w:rPr>
              <w:t>&amp; Authentication</w:t>
            </w:r>
          </w:p>
          <w:p w14:paraId="1CF8C184" w14:textId="2CE13606" w:rsidR="006324B1" w:rsidRPr="00E66809" w:rsidRDefault="006324B1" w:rsidP="006324B1">
            <w:pPr>
              <w:pStyle w:val="ListParagraph"/>
              <w:widowControl w:val="0"/>
              <w:numPr>
                <w:ilvl w:val="0"/>
                <w:numId w:val="12"/>
              </w:numPr>
              <w:rPr>
                <w:rFonts w:cs="Arial"/>
                <w:color w:val="000000" w:themeColor="text1"/>
              </w:rPr>
            </w:pPr>
            <w:r w:rsidRPr="00E66809">
              <w:rPr>
                <w:rFonts w:cs="Arial"/>
                <w:color w:val="000000" w:themeColor="text1"/>
              </w:rPr>
              <w:t>S</w:t>
            </w:r>
            <w:r w:rsidR="00C26E2B">
              <w:rPr>
                <w:rFonts w:cs="Arial"/>
                <w:color w:val="000000" w:themeColor="text1"/>
              </w:rPr>
              <w:t>ecure Digital Exchange Communications (SDEC)</w:t>
            </w:r>
          </w:p>
          <w:p w14:paraId="0E2494D6" w14:textId="2A6E19DF" w:rsidR="006324B1" w:rsidRPr="00E66809" w:rsidRDefault="006324B1" w:rsidP="006324B1">
            <w:pPr>
              <w:pStyle w:val="ListParagraph"/>
              <w:widowControl w:val="0"/>
              <w:numPr>
                <w:ilvl w:val="0"/>
                <w:numId w:val="12"/>
              </w:numPr>
              <w:rPr>
                <w:rFonts w:cs="Arial"/>
                <w:color w:val="000000" w:themeColor="text1"/>
              </w:rPr>
            </w:pPr>
            <w:r w:rsidRPr="00E66809">
              <w:rPr>
                <w:rFonts w:cs="Arial"/>
                <w:color w:val="000000" w:themeColor="text1"/>
              </w:rPr>
              <w:t>Fraud</w:t>
            </w:r>
          </w:p>
          <w:p w14:paraId="2C6E8BD8" w14:textId="2C68A7EC" w:rsidR="006324B1" w:rsidRDefault="006324B1" w:rsidP="006324B1">
            <w:pPr>
              <w:pStyle w:val="ListParagraph"/>
              <w:widowControl w:val="0"/>
              <w:numPr>
                <w:ilvl w:val="0"/>
                <w:numId w:val="12"/>
              </w:numPr>
              <w:rPr>
                <w:rFonts w:cs="Arial"/>
                <w:color w:val="000000" w:themeColor="text1"/>
              </w:rPr>
            </w:pPr>
            <w:r w:rsidRPr="007E6211">
              <w:rPr>
                <w:rFonts w:cs="Arial"/>
                <w:color w:val="000000" w:themeColor="text1"/>
              </w:rPr>
              <w:t>Data &amp; Integration Management</w:t>
            </w:r>
          </w:p>
          <w:p w14:paraId="27F7967E" w14:textId="4A61BADF" w:rsidR="006324B1" w:rsidRPr="007E6211" w:rsidRDefault="006324B1" w:rsidP="006324B1">
            <w:pPr>
              <w:pStyle w:val="ListParagraph"/>
              <w:widowControl w:val="0"/>
              <w:numPr>
                <w:ilvl w:val="0"/>
                <w:numId w:val="12"/>
              </w:numPr>
              <w:rPr>
                <w:rFonts w:cs="Arial"/>
                <w:color w:val="000000" w:themeColor="text1"/>
              </w:rPr>
            </w:pPr>
            <w:r w:rsidRPr="00E66809">
              <w:rPr>
                <w:rFonts w:cs="Arial"/>
                <w:color w:val="000000" w:themeColor="text1"/>
              </w:rPr>
              <w:t>Operational Management</w:t>
            </w:r>
          </w:p>
          <w:p w14:paraId="4AC54F55" w14:textId="1157C2B9" w:rsidR="006324B1" w:rsidRPr="006C7A77" w:rsidRDefault="006324B1" w:rsidP="00E66809">
            <w:pPr>
              <w:pStyle w:val="ListParagraph"/>
              <w:widowControl w:val="0"/>
              <w:numPr>
                <w:ilvl w:val="0"/>
                <w:numId w:val="12"/>
              </w:numPr>
              <w:rPr>
                <w:rFonts w:cs="Arial"/>
                <w:b/>
                <w:i/>
              </w:rPr>
            </w:pPr>
            <w:r w:rsidRPr="007037B2">
              <w:rPr>
                <w:rFonts w:cs="Arial"/>
                <w:bCs/>
                <w:color w:val="000000" w:themeColor="text1"/>
                <w:kern w:val="24"/>
              </w:rPr>
              <w:t>Knowledge Management</w:t>
            </w:r>
          </w:p>
          <w:p w14:paraId="04995E69" w14:textId="51AA8E13" w:rsidR="003A0957" w:rsidRPr="006C7A77" w:rsidRDefault="003A0957" w:rsidP="00E66809">
            <w:pPr>
              <w:pStyle w:val="ListParagraph"/>
              <w:widowControl w:val="0"/>
              <w:numPr>
                <w:ilvl w:val="0"/>
                <w:numId w:val="12"/>
              </w:numPr>
              <w:rPr>
                <w:rFonts w:cs="Arial"/>
                <w:b/>
                <w:i/>
              </w:rPr>
            </w:pPr>
            <w:r>
              <w:rPr>
                <w:rFonts w:cs="Arial"/>
                <w:bCs/>
                <w:color w:val="000000" w:themeColor="text1"/>
                <w:kern w:val="24"/>
              </w:rPr>
              <w:t>Non-Compliance Management</w:t>
            </w:r>
          </w:p>
          <w:p w14:paraId="0E814394" w14:textId="6A14EB44" w:rsidR="006324B1" w:rsidRPr="00E66809" w:rsidRDefault="006324B1" w:rsidP="00352D2D">
            <w:pPr>
              <w:widowControl w:val="0"/>
              <w:jc w:val="both"/>
              <w:rPr>
                <w:rFonts w:cs="Arial"/>
              </w:rPr>
            </w:pPr>
            <w:r w:rsidRPr="00E66809">
              <w:rPr>
                <w:rFonts w:cs="Arial"/>
              </w:rPr>
              <w:t>Please confirm that all these can be delivered by your core platform</w:t>
            </w:r>
            <w:r>
              <w:rPr>
                <w:rFonts w:cs="Arial"/>
              </w:rPr>
              <w:t xml:space="preserve"> </w:t>
            </w:r>
            <w:r w:rsidR="003D7F4B">
              <w:rPr>
                <w:rFonts w:cs="Arial"/>
              </w:rPr>
              <w:t xml:space="preserve">and, if so, the relevant </w:t>
            </w:r>
            <w:r w:rsidR="007C16DD">
              <w:rPr>
                <w:rFonts w:cs="Arial"/>
              </w:rPr>
              <w:t>First Party</w:t>
            </w:r>
            <w:r w:rsidR="003D7F4B">
              <w:rPr>
                <w:rFonts w:cs="Arial"/>
              </w:rPr>
              <w:t xml:space="preserve"> products/modules</w:t>
            </w:r>
            <w:r w:rsidR="00F63018">
              <w:rPr>
                <w:rFonts w:cs="Arial"/>
              </w:rPr>
              <w:t xml:space="preserve">. </w:t>
            </w:r>
            <w:r w:rsidRPr="00E66809">
              <w:rPr>
                <w:rFonts w:cs="Arial"/>
              </w:rPr>
              <w:t xml:space="preserve">If </w:t>
            </w:r>
            <w:r w:rsidR="003D7F4B">
              <w:rPr>
                <w:rFonts w:cs="Arial"/>
              </w:rPr>
              <w:t>all capabilities cannot be</w:t>
            </w:r>
            <w:r w:rsidRPr="00E66809">
              <w:rPr>
                <w:rFonts w:cs="Arial"/>
              </w:rPr>
              <w:t xml:space="preserve"> delivered </w:t>
            </w:r>
            <w:r w:rsidR="00F63018">
              <w:rPr>
                <w:rFonts w:cs="Arial"/>
              </w:rPr>
              <w:t xml:space="preserve">via </w:t>
            </w:r>
            <w:r w:rsidR="007C16DD">
              <w:rPr>
                <w:rFonts w:cs="Arial"/>
              </w:rPr>
              <w:t>First Party</w:t>
            </w:r>
            <w:r w:rsidR="00F63018">
              <w:rPr>
                <w:rFonts w:cs="Arial"/>
              </w:rPr>
              <w:t xml:space="preserve"> product</w:t>
            </w:r>
            <w:r w:rsidR="003D7F4B">
              <w:rPr>
                <w:rFonts w:cs="Arial"/>
              </w:rPr>
              <w:t>s</w:t>
            </w:r>
            <w:r w:rsidR="00F63018">
              <w:rPr>
                <w:rFonts w:cs="Arial"/>
              </w:rPr>
              <w:t>,</w:t>
            </w:r>
            <w:r w:rsidRPr="00E66809">
              <w:rPr>
                <w:rFonts w:cs="Arial"/>
              </w:rPr>
              <w:t xml:space="preserve"> please state </w:t>
            </w:r>
            <w:r w:rsidR="003D7F4B">
              <w:rPr>
                <w:rFonts w:cs="Arial"/>
              </w:rPr>
              <w:t xml:space="preserve">the relevant </w:t>
            </w:r>
            <w:r w:rsidR="00C84F00">
              <w:rPr>
                <w:rFonts w:cs="Arial"/>
              </w:rPr>
              <w:t>Third Party*</w:t>
            </w:r>
            <w:r w:rsidR="003D7F4B">
              <w:rPr>
                <w:rFonts w:cs="Arial"/>
              </w:rPr>
              <w:t xml:space="preserve"> produ</w:t>
            </w:r>
            <w:r w:rsidR="004D2B27">
              <w:rPr>
                <w:rFonts w:cs="Arial"/>
              </w:rPr>
              <w:t xml:space="preserve">cts </w:t>
            </w:r>
            <w:r w:rsidR="00BA5498">
              <w:rPr>
                <w:rFonts w:cs="Arial"/>
              </w:rPr>
              <w:t xml:space="preserve">which are able to </w:t>
            </w:r>
            <w:r w:rsidR="00751E97">
              <w:rPr>
                <w:rFonts w:cs="Arial"/>
              </w:rPr>
              <w:t xml:space="preserve">provide to </w:t>
            </w:r>
            <w:r w:rsidR="00BA5498">
              <w:rPr>
                <w:rFonts w:cs="Arial"/>
              </w:rPr>
              <w:t xml:space="preserve">deliver the </w:t>
            </w:r>
            <w:r w:rsidR="00751E97">
              <w:rPr>
                <w:rFonts w:cs="Arial"/>
              </w:rPr>
              <w:t>required capabilities.</w:t>
            </w:r>
          </w:p>
          <w:p w14:paraId="5B34FE2A" w14:textId="67FD5A5D" w:rsidR="00AE6BB2" w:rsidRDefault="006324B1" w:rsidP="00352D2D">
            <w:pPr>
              <w:jc w:val="both"/>
              <w:rPr>
                <w:rFonts w:cs="Arial"/>
              </w:rPr>
            </w:pPr>
            <w:r w:rsidRPr="007E6211">
              <w:rPr>
                <w:rFonts w:cs="Arial"/>
              </w:rPr>
              <w:t xml:space="preserve">See </w:t>
            </w:r>
            <w:r w:rsidR="00357326">
              <w:rPr>
                <w:rFonts w:cs="Arial"/>
              </w:rPr>
              <w:t>paragraph</w:t>
            </w:r>
            <w:r w:rsidRPr="007E6211">
              <w:rPr>
                <w:rFonts w:cs="Arial"/>
              </w:rPr>
              <w:t xml:space="preserve"> 5.</w:t>
            </w:r>
            <w:r w:rsidR="001275E1">
              <w:rPr>
                <w:rFonts w:cs="Arial"/>
              </w:rPr>
              <w:t>2</w:t>
            </w:r>
            <w:r w:rsidR="001F0599">
              <w:rPr>
                <w:rFonts w:cs="Arial"/>
              </w:rPr>
              <w:t xml:space="preserve"> </w:t>
            </w:r>
            <w:r w:rsidRPr="007E6211">
              <w:rPr>
                <w:rFonts w:cs="Arial"/>
              </w:rPr>
              <w:t>of Annex 1 for a description of each of the above capabilities.</w:t>
            </w:r>
          </w:p>
          <w:p w14:paraId="66EE4543" w14:textId="3F92802C" w:rsidR="0053571D" w:rsidRPr="00A71064" w:rsidRDefault="00C84F00" w:rsidP="00352D2D">
            <w:pPr>
              <w:jc w:val="both"/>
              <w:rPr>
                <w:rFonts w:cs="Arial"/>
              </w:rPr>
            </w:pPr>
            <w:r w:rsidRPr="00C650A2">
              <w:rPr>
                <w:rFonts w:cs="Arial"/>
              </w:rPr>
              <w:t>*</w:t>
            </w:r>
            <w:r w:rsidRPr="00C650A2">
              <w:rPr>
                <w:rFonts w:cs="Arial"/>
                <w:b/>
                <w:bCs/>
              </w:rPr>
              <w:t>Third Party</w:t>
            </w:r>
            <w:r w:rsidR="00C650A2">
              <w:rPr>
                <w:rFonts w:cs="Arial"/>
                <w:b/>
                <w:bCs/>
              </w:rPr>
              <w:t xml:space="preserve"> products</w:t>
            </w:r>
            <w:r w:rsidRPr="00C650A2">
              <w:rPr>
                <w:rFonts w:cs="Arial"/>
                <w:b/>
                <w:bCs/>
              </w:rPr>
              <w:t xml:space="preserve"> refer to software</w:t>
            </w:r>
            <w:r w:rsidR="00F224D3" w:rsidRPr="00C650A2">
              <w:rPr>
                <w:rFonts w:cs="Arial"/>
                <w:b/>
                <w:bCs/>
              </w:rPr>
              <w:t xml:space="preserve"> </w:t>
            </w:r>
            <w:r w:rsidR="00AA1FD6" w:rsidRPr="00C650A2">
              <w:rPr>
                <w:rFonts w:cs="Arial"/>
                <w:b/>
                <w:bCs/>
              </w:rPr>
              <w:t xml:space="preserve">owned </w:t>
            </w:r>
            <w:r w:rsidR="00F224D3" w:rsidRPr="00C650A2">
              <w:rPr>
                <w:rFonts w:cs="Arial"/>
                <w:b/>
                <w:bCs/>
              </w:rPr>
              <w:t xml:space="preserve">by </w:t>
            </w:r>
            <w:r w:rsidR="00CB3966" w:rsidRPr="00C650A2">
              <w:rPr>
                <w:rFonts w:cs="Arial"/>
                <w:b/>
                <w:bCs/>
              </w:rPr>
              <w:t xml:space="preserve">a </w:t>
            </w:r>
            <w:r w:rsidR="0020530A" w:rsidRPr="00C650A2">
              <w:rPr>
                <w:rFonts w:cs="Arial"/>
                <w:b/>
                <w:bCs/>
              </w:rPr>
              <w:t>company</w:t>
            </w:r>
            <w:r w:rsidR="00CB3966" w:rsidRPr="00C650A2">
              <w:rPr>
                <w:rFonts w:cs="Arial"/>
                <w:b/>
                <w:bCs/>
              </w:rPr>
              <w:t xml:space="preserve"> other than the </w:t>
            </w:r>
            <w:r w:rsidR="00AA1FD6" w:rsidRPr="00C650A2">
              <w:rPr>
                <w:rFonts w:cs="Arial"/>
                <w:b/>
                <w:bCs/>
              </w:rPr>
              <w:t>Supplier</w:t>
            </w:r>
            <w:r w:rsidR="00A840F5" w:rsidRPr="00C650A2">
              <w:rPr>
                <w:rFonts w:cs="Arial"/>
                <w:b/>
                <w:bCs/>
              </w:rPr>
              <w:t xml:space="preserve"> or a </w:t>
            </w:r>
            <w:r w:rsidR="00C650A2" w:rsidRPr="00C650A2">
              <w:rPr>
                <w:rFonts w:cs="Arial"/>
                <w:b/>
                <w:bCs/>
              </w:rPr>
              <w:t>group company of the Supplier</w:t>
            </w:r>
            <w:r w:rsidR="00C650A2">
              <w:rPr>
                <w:rFonts w:cs="Arial"/>
                <w:b/>
                <w:bCs/>
              </w:rPr>
              <w:t>, as defined in question 3.7a.</w:t>
            </w:r>
            <w:r w:rsidR="002512A9" w:rsidRPr="00C650A2">
              <w:rPr>
                <w:rFonts w:cs="Arial"/>
                <w:b/>
                <w:bCs/>
              </w:rPr>
              <w:t xml:space="preserve"> The </w:t>
            </w:r>
            <w:r w:rsidR="00FC65E0" w:rsidRPr="00C650A2">
              <w:rPr>
                <w:rFonts w:cs="Arial"/>
                <w:b/>
                <w:bCs/>
              </w:rPr>
              <w:t xml:space="preserve">relevant </w:t>
            </w:r>
            <w:proofErr w:type="gramStart"/>
            <w:r w:rsidR="002512A9" w:rsidRPr="00C650A2">
              <w:rPr>
                <w:rFonts w:cs="Arial"/>
                <w:b/>
                <w:bCs/>
              </w:rPr>
              <w:t>Third Party</w:t>
            </w:r>
            <w:proofErr w:type="gramEnd"/>
            <w:r w:rsidR="002512A9" w:rsidRPr="00C650A2">
              <w:rPr>
                <w:rFonts w:cs="Arial"/>
                <w:b/>
                <w:bCs/>
              </w:rPr>
              <w:t xml:space="preserve"> </w:t>
            </w:r>
            <w:r w:rsidR="0020530A" w:rsidRPr="00C650A2">
              <w:rPr>
                <w:rFonts w:cs="Arial"/>
                <w:b/>
                <w:bCs/>
              </w:rPr>
              <w:t xml:space="preserve">company </w:t>
            </w:r>
            <w:r w:rsidR="002512A9" w:rsidRPr="00C650A2">
              <w:rPr>
                <w:rFonts w:cs="Arial"/>
                <w:b/>
                <w:bCs/>
              </w:rPr>
              <w:t>must be a part of the Supplier’s consortium</w:t>
            </w:r>
            <w:r w:rsidR="0053571D" w:rsidRPr="00C650A2">
              <w:rPr>
                <w:rFonts w:cs="Arial"/>
                <w:b/>
                <w:bCs/>
              </w:rPr>
              <w:t xml:space="preserve"> or supply chain.</w:t>
            </w:r>
            <w:r w:rsidR="0053571D" w:rsidRPr="00A840F5">
              <w:rPr>
                <w:rFonts w:cs="Arial"/>
              </w:rPr>
              <w:t xml:space="preserve"> </w:t>
            </w:r>
          </w:p>
          <w:p w14:paraId="5AA5FC07" w14:textId="60B785E7" w:rsidR="007037B2" w:rsidRDefault="007037B2" w:rsidP="006324B1">
            <w:pPr>
              <w:rPr>
                <w:rFonts w:cs="Arial"/>
              </w:rPr>
            </w:pPr>
          </w:p>
        </w:tc>
        <w:tc>
          <w:tcPr>
            <w:tcW w:w="5135" w:type="dxa"/>
            <w:tcBorders>
              <w:top w:val="single" w:sz="6" w:space="0" w:color="000000" w:themeColor="text1"/>
              <w:bottom w:val="single" w:sz="6" w:space="0" w:color="000000" w:themeColor="text1"/>
            </w:tcBorders>
          </w:tcPr>
          <w:p w14:paraId="01F74967" w14:textId="77777777" w:rsidR="00AE6BB2" w:rsidRPr="00FA307B" w:rsidRDefault="00AE6BB2" w:rsidP="00AE6BB2">
            <w:pPr>
              <w:tabs>
                <w:tab w:val="left" w:pos="594"/>
              </w:tabs>
              <w:spacing w:after="0" w:line="276" w:lineRule="auto"/>
              <w:rPr>
                <w:rFonts w:eastAsia="Times New Roman" w:cs="Calibri"/>
              </w:rPr>
            </w:pPr>
            <w:r w:rsidRPr="00FA307B">
              <w:rPr>
                <w:rFonts w:eastAsia="Arial" w:cs="Calibri"/>
              </w:rPr>
              <w:lastRenderedPageBreak/>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06C79551" w14:textId="668D60E4" w:rsidR="00AE6BB2" w:rsidRDefault="00AE6BB2" w:rsidP="00AE6BB2">
            <w:pPr>
              <w:tabs>
                <w:tab w:val="left" w:pos="602"/>
              </w:tabs>
              <w:spacing w:after="0" w:line="276" w:lineRule="auto"/>
              <w:rPr>
                <w:rFonts w:cs="Calibri"/>
                <w:color w:val="2B579A"/>
                <w:shd w:val="clear" w:color="auto" w:fill="E6E6E6"/>
              </w:rPr>
            </w:pPr>
            <w:r w:rsidRPr="00FA307B">
              <w:rPr>
                <w:rFonts w:eastAsia="Arial" w:cs="Calibri"/>
              </w:rPr>
              <w:t xml:space="preserve">No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31B7EDF1" w14:textId="77777777" w:rsidR="00AE6BB2" w:rsidRDefault="00AE6BB2" w:rsidP="00AE6BB2">
            <w:pPr>
              <w:tabs>
                <w:tab w:val="left" w:pos="602"/>
              </w:tabs>
              <w:spacing w:after="0" w:line="276" w:lineRule="auto"/>
              <w:rPr>
                <w:rFonts w:cs="Calibri"/>
                <w:color w:val="2B579A"/>
                <w:shd w:val="clear" w:color="auto" w:fill="E6E6E6"/>
              </w:rPr>
            </w:pPr>
          </w:p>
          <w:p w14:paraId="2CC279BA" w14:textId="77777777" w:rsidR="007037B2" w:rsidRPr="00FA307B" w:rsidRDefault="007037B2" w:rsidP="001642B8">
            <w:pPr>
              <w:tabs>
                <w:tab w:val="left" w:pos="594"/>
              </w:tabs>
              <w:spacing w:after="0" w:line="276" w:lineRule="auto"/>
              <w:rPr>
                <w:rFonts w:eastAsia="Arial" w:cs="Calibri"/>
              </w:rPr>
            </w:pPr>
          </w:p>
        </w:tc>
      </w:tr>
      <w:tr w:rsidR="00AE6BB2" w:rsidRPr="002B147A" w14:paraId="4513A0A2" w14:textId="77777777" w:rsidTr="006B0E8F">
        <w:trPr>
          <w:trHeight w:val="8655"/>
        </w:trPr>
        <w:tc>
          <w:tcPr>
            <w:tcW w:w="0" w:type="auto"/>
            <w:vMerge/>
          </w:tcPr>
          <w:p w14:paraId="47B9F35F" w14:textId="77777777" w:rsidR="00AE6BB2" w:rsidRDefault="00AE6BB2">
            <w:pPr>
              <w:spacing w:after="0" w:line="276" w:lineRule="auto"/>
              <w:rPr>
                <w:rFonts w:eastAsia="Arial" w:cs="Arial"/>
                <w:b/>
                <w:bCs/>
              </w:rPr>
            </w:pPr>
          </w:p>
        </w:tc>
        <w:tc>
          <w:tcPr>
            <w:tcW w:w="7262" w:type="dxa"/>
            <w:vMerge/>
            <w:vAlign w:val="center"/>
          </w:tcPr>
          <w:p w14:paraId="43BA6166" w14:textId="77777777" w:rsidR="00AE6BB2" w:rsidRDefault="00AE6BB2" w:rsidP="006324B1">
            <w:pPr>
              <w:widowControl w:val="0"/>
              <w:overflowPunct w:val="0"/>
              <w:autoSpaceDE w:val="0"/>
              <w:autoSpaceDN w:val="0"/>
              <w:adjustRightInd w:val="0"/>
              <w:spacing w:before="120" w:after="120"/>
              <w:jc w:val="both"/>
              <w:rPr>
                <w:rFonts w:cs="Arial"/>
                <w:b/>
                <w:bCs/>
              </w:rPr>
            </w:pPr>
          </w:p>
        </w:tc>
        <w:tc>
          <w:tcPr>
            <w:tcW w:w="5135" w:type="dxa"/>
            <w:tcBorders>
              <w:top w:val="single" w:sz="6" w:space="0" w:color="000000" w:themeColor="text1"/>
            </w:tcBorders>
          </w:tcPr>
          <w:p w14:paraId="006C658F" w14:textId="722D1949" w:rsidR="00AE6BB2" w:rsidRDefault="00AE6BB2" w:rsidP="001642B8">
            <w:pPr>
              <w:tabs>
                <w:tab w:val="left" w:pos="594"/>
              </w:tabs>
              <w:spacing w:after="0" w:line="276" w:lineRule="auto"/>
              <w:rPr>
                <w:rFonts w:eastAsia="Arial" w:cs="Calibri"/>
              </w:rPr>
            </w:pPr>
            <w:r>
              <w:rPr>
                <w:rFonts w:eastAsia="Arial" w:cs="Calibri"/>
              </w:rPr>
              <w:t>[Please confirm relevant products/modules</w:t>
            </w:r>
            <w:r w:rsidR="00C46839">
              <w:rPr>
                <w:rFonts w:eastAsia="Arial" w:cs="Calibri"/>
              </w:rPr>
              <w:t xml:space="preserve"> for each capability</w:t>
            </w:r>
            <w:r>
              <w:rPr>
                <w:rFonts w:eastAsia="Arial" w:cs="Calibri"/>
              </w:rPr>
              <w:t>]</w:t>
            </w:r>
          </w:p>
          <w:p w14:paraId="4797E79A" w14:textId="77777777" w:rsidR="00AE6BB2" w:rsidRDefault="00AE6BB2" w:rsidP="001642B8">
            <w:pPr>
              <w:tabs>
                <w:tab w:val="left" w:pos="594"/>
              </w:tabs>
              <w:spacing w:after="0" w:line="276" w:lineRule="auto"/>
              <w:rPr>
                <w:rFonts w:eastAsia="Arial" w:cs="Calibri"/>
              </w:rPr>
            </w:pPr>
          </w:p>
          <w:p w14:paraId="15FD0AAF" w14:textId="77777777" w:rsidR="00AE6BB2" w:rsidRDefault="00AE6BB2" w:rsidP="001642B8">
            <w:pPr>
              <w:tabs>
                <w:tab w:val="left" w:pos="594"/>
              </w:tabs>
              <w:spacing w:after="0" w:line="276" w:lineRule="auto"/>
              <w:rPr>
                <w:rFonts w:eastAsia="Arial" w:cs="Calibri"/>
              </w:rPr>
            </w:pPr>
          </w:p>
          <w:p w14:paraId="140BDB09" w14:textId="77777777" w:rsidR="00AE6BB2" w:rsidRDefault="00AE6BB2" w:rsidP="001642B8">
            <w:pPr>
              <w:tabs>
                <w:tab w:val="left" w:pos="594"/>
              </w:tabs>
              <w:spacing w:after="0" w:line="276" w:lineRule="auto"/>
              <w:rPr>
                <w:rFonts w:eastAsia="Arial" w:cs="Calibri"/>
              </w:rPr>
            </w:pPr>
          </w:p>
          <w:p w14:paraId="2253EB5B" w14:textId="77777777" w:rsidR="00AE6BB2" w:rsidRDefault="00AE6BB2" w:rsidP="001642B8">
            <w:pPr>
              <w:tabs>
                <w:tab w:val="left" w:pos="594"/>
              </w:tabs>
              <w:spacing w:after="0" w:line="276" w:lineRule="auto"/>
              <w:rPr>
                <w:rFonts w:eastAsia="Arial" w:cs="Calibri"/>
              </w:rPr>
            </w:pPr>
          </w:p>
          <w:p w14:paraId="60375062" w14:textId="6F7A81C0" w:rsidR="00AE6BB2" w:rsidRPr="00FA307B" w:rsidRDefault="00AE6BB2" w:rsidP="001642B8">
            <w:pPr>
              <w:tabs>
                <w:tab w:val="left" w:pos="594"/>
              </w:tabs>
              <w:spacing w:after="0" w:line="276" w:lineRule="auto"/>
              <w:rPr>
                <w:rFonts w:eastAsia="Arial" w:cs="Calibri"/>
              </w:rPr>
            </w:pPr>
          </w:p>
        </w:tc>
      </w:tr>
      <w:tr w:rsidR="00286052" w:rsidRPr="00605283" w14:paraId="41D9EE44" w14:textId="77777777" w:rsidTr="006B0E8F">
        <w:trPr>
          <w:trHeight w:val="5208"/>
        </w:trPr>
        <w:tc>
          <w:tcPr>
            <w:tcW w:w="0" w:type="auto"/>
            <w:vMerge w:val="restart"/>
            <w:tcBorders>
              <w:top w:val="single" w:sz="6" w:space="0" w:color="000000" w:themeColor="text1"/>
            </w:tcBorders>
            <w:shd w:val="clear" w:color="auto" w:fill="F2F2F2" w:themeFill="background1" w:themeFillShade="F2"/>
          </w:tcPr>
          <w:p w14:paraId="4EBD2A36" w14:textId="71621E26" w:rsidR="00286052" w:rsidRPr="00E66809" w:rsidRDefault="005F2A2C">
            <w:pPr>
              <w:spacing w:after="0" w:line="276" w:lineRule="auto"/>
              <w:rPr>
                <w:rFonts w:eastAsia="Arial" w:cs="Arial"/>
                <w:b/>
              </w:rPr>
            </w:pPr>
            <w:r>
              <w:rPr>
                <w:rFonts w:eastAsia="Arial" w:cs="Arial"/>
                <w:b/>
              </w:rPr>
              <w:lastRenderedPageBreak/>
              <w:t>3.8</w:t>
            </w:r>
          </w:p>
        </w:tc>
        <w:tc>
          <w:tcPr>
            <w:tcW w:w="7262" w:type="dxa"/>
            <w:vMerge w:val="restart"/>
            <w:tcBorders>
              <w:top w:val="single" w:sz="6" w:space="0" w:color="000000" w:themeColor="text1"/>
            </w:tcBorders>
            <w:shd w:val="clear" w:color="auto" w:fill="F2F2F2" w:themeFill="background1" w:themeFillShade="F2"/>
            <w:vAlign w:val="center"/>
          </w:tcPr>
          <w:p w14:paraId="4A093D46" w14:textId="77777777" w:rsidR="00286052" w:rsidRPr="00E66809" w:rsidRDefault="00286052">
            <w:pPr>
              <w:widowControl w:val="0"/>
              <w:overflowPunct w:val="0"/>
              <w:autoSpaceDE w:val="0"/>
              <w:autoSpaceDN w:val="0"/>
              <w:adjustRightInd w:val="0"/>
              <w:spacing w:before="120" w:after="120"/>
              <w:jc w:val="both"/>
              <w:rPr>
                <w:rFonts w:cs="Arial"/>
                <w:b/>
              </w:rPr>
            </w:pPr>
            <w:r w:rsidRPr="00E66809">
              <w:rPr>
                <w:rFonts w:cs="Arial"/>
                <w:b/>
              </w:rPr>
              <w:t>Performance and Scalability</w:t>
            </w:r>
          </w:p>
          <w:p w14:paraId="5F80703C" w14:textId="36C28457" w:rsidR="00286052" w:rsidRPr="00E66809" w:rsidRDefault="00C80350">
            <w:pPr>
              <w:widowControl w:val="0"/>
              <w:overflowPunct w:val="0"/>
              <w:autoSpaceDE w:val="0"/>
              <w:autoSpaceDN w:val="0"/>
              <w:adjustRightInd w:val="0"/>
              <w:spacing w:before="120" w:after="120"/>
              <w:jc w:val="both"/>
              <w:rPr>
                <w:rFonts w:cs="Arial"/>
              </w:rPr>
            </w:pPr>
            <w:r>
              <w:rPr>
                <w:rFonts w:cs="Arial"/>
              </w:rPr>
              <w:t>HMRC</w:t>
            </w:r>
            <w:r w:rsidR="00286052" w:rsidRPr="00E66809">
              <w:rPr>
                <w:rFonts w:cs="Arial"/>
              </w:rPr>
              <w:t xml:space="preserve"> requires a CRM solution with proven scalability and reliability. The proposed solution must be built on a Software as a Service (SaaS) platform that is capable of scaling to meet the peak demands expected by </w:t>
            </w:r>
            <w:r>
              <w:rPr>
                <w:rFonts w:cs="Arial"/>
              </w:rPr>
              <w:t>HMRC</w:t>
            </w:r>
            <w:r w:rsidR="00286052" w:rsidRPr="00E66809">
              <w:rPr>
                <w:rFonts w:cs="Arial"/>
              </w:rPr>
              <w:t>.</w:t>
            </w:r>
          </w:p>
          <w:p w14:paraId="5D5E846A" w14:textId="77777777" w:rsidR="00286052" w:rsidRPr="00E66809" w:rsidRDefault="00286052">
            <w:pPr>
              <w:widowControl w:val="0"/>
              <w:overflowPunct w:val="0"/>
              <w:autoSpaceDE w:val="0"/>
              <w:autoSpaceDN w:val="0"/>
              <w:adjustRightInd w:val="0"/>
              <w:spacing w:before="120" w:after="120"/>
              <w:jc w:val="both"/>
              <w:rPr>
                <w:rFonts w:cs="Arial"/>
              </w:rPr>
            </w:pPr>
            <w:r w:rsidRPr="00E66809">
              <w:rPr>
                <w:rFonts w:cs="Arial"/>
              </w:rPr>
              <w:t>Please confirm that your CRM solution:</w:t>
            </w:r>
          </w:p>
          <w:p w14:paraId="0E0AAF73" w14:textId="099FFA12" w:rsidR="00286052" w:rsidRPr="00E66809" w:rsidRDefault="00286052" w:rsidP="00C06284">
            <w:pPr>
              <w:pStyle w:val="ListParagraph"/>
              <w:widowControl w:val="0"/>
              <w:numPr>
                <w:ilvl w:val="0"/>
                <w:numId w:val="14"/>
              </w:numPr>
              <w:overflowPunct w:val="0"/>
              <w:autoSpaceDE w:val="0"/>
              <w:autoSpaceDN w:val="0"/>
              <w:adjustRightInd w:val="0"/>
              <w:spacing w:before="120" w:after="120"/>
              <w:ind w:hanging="106"/>
              <w:jc w:val="both"/>
              <w:rPr>
                <w:rFonts w:cs="Arial"/>
              </w:rPr>
            </w:pPr>
            <w:r w:rsidRPr="00E66809">
              <w:rPr>
                <w:rFonts w:cs="Arial"/>
              </w:rPr>
              <w:t xml:space="preserve">Can handle at least 100 million active </w:t>
            </w:r>
            <w:r w:rsidR="25066177" w:rsidRPr="3971FC05">
              <w:rPr>
                <w:rFonts w:cs="Arial"/>
              </w:rPr>
              <w:t>customer</w:t>
            </w:r>
            <w:r w:rsidRPr="3971FC05">
              <w:rPr>
                <w:rFonts w:cs="Arial"/>
              </w:rPr>
              <w:t xml:space="preserve"> </w:t>
            </w:r>
            <w:r w:rsidRPr="00E66809">
              <w:rPr>
                <w:rFonts w:cs="Arial"/>
              </w:rPr>
              <w:t xml:space="preserve">accounts (combinations of both individuals and corporate entities) without degradation in system </w:t>
            </w:r>
            <w:proofErr w:type="gramStart"/>
            <w:r w:rsidRPr="00E66809">
              <w:rPr>
                <w:rFonts w:cs="Arial"/>
              </w:rPr>
              <w:t>performance;</w:t>
            </w:r>
            <w:proofErr w:type="gramEnd"/>
          </w:p>
          <w:p w14:paraId="4AF9998E" w14:textId="13C390B9" w:rsidR="00286052" w:rsidRPr="00E66809" w:rsidRDefault="00286052" w:rsidP="00C06284">
            <w:pPr>
              <w:pStyle w:val="ListParagraph"/>
              <w:widowControl w:val="0"/>
              <w:numPr>
                <w:ilvl w:val="0"/>
                <w:numId w:val="14"/>
              </w:numPr>
              <w:overflowPunct w:val="0"/>
              <w:autoSpaceDE w:val="0"/>
              <w:autoSpaceDN w:val="0"/>
              <w:adjustRightInd w:val="0"/>
              <w:spacing w:before="120" w:after="120"/>
              <w:ind w:hanging="106"/>
              <w:jc w:val="both"/>
              <w:rPr>
                <w:rFonts w:cs="Arial"/>
              </w:rPr>
            </w:pPr>
            <w:r w:rsidRPr="00E66809">
              <w:rPr>
                <w:rFonts w:cs="Arial"/>
              </w:rPr>
              <w:t xml:space="preserve">Can support </w:t>
            </w:r>
            <w:r w:rsidR="2BE8151C" w:rsidRPr="7AA0BDDF">
              <w:rPr>
                <w:rFonts w:cs="Arial"/>
              </w:rPr>
              <w:t>6</w:t>
            </w:r>
            <w:r w:rsidR="6EF1101B" w:rsidRPr="3B339BA9">
              <w:rPr>
                <w:rFonts w:cs="Arial"/>
              </w:rPr>
              <w:t xml:space="preserve"> million </w:t>
            </w:r>
            <w:r w:rsidR="6EF1101B" w:rsidRPr="4E3A6DE2">
              <w:rPr>
                <w:rFonts w:cs="Arial"/>
              </w:rPr>
              <w:t>open</w:t>
            </w:r>
            <w:r w:rsidR="00382298">
              <w:rPr>
                <w:rFonts w:cs="Arial"/>
              </w:rPr>
              <w:t xml:space="preserve"> </w:t>
            </w:r>
            <w:r w:rsidR="14B0473E" w:rsidRPr="317311E3">
              <w:rPr>
                <w:rFonts w:cs="Arial"/>
              </w:rPr>
              <w:t xml:space="preserve">concurrent </w:t>
            </w:r>
            <w:r w:rsidRPr="00E66809">
              <w:rPr>
                <w:rFonts w:cs="Arial"/>
              </w:rPr>
              <w:t>cases</w:t>
            </w:r>
            <w:r w:rsidRPr="3B339BA9">
              <w:rPr>
                <w:rFonts w:cs="Arial"/>
              </w:rPr>
              <w:t xml:space="preserve"> </w:t>
            </w:r>
            <w:r w:rsidRPr="00E66809">
              <w:rPr>
                <w:rFonts w:cs="Arial"/>
              </w:rPr>
              <w:t xml:space="preserve">that must be accessible, searchable, updatable and able to be processed in the background without significant service interruption or performance </w:t>
            </w:r>
            <w:proofErr w:type="gramStart"/>
            <w:r w:rsidRPr="00E66809">
              <w:rPr>
                <w:rFonts w:cs="Arial"/>
              </w:rPr>
              <w:t>degradation;</w:t>
            </w:r>
            <w:proofErr w:type="gramEnd"/>
          </w:p>
          <w:p w14:paraId="6484C110" w14:textId="77777777" w:rsidR="00286052" w:rsidRPr="00E66809" w:rsidRDefault="00286052" w:rsidP="00C06284">
            <w:pPr>
              <w:pStyle w:val="ListParagraph"/>
              <w:widowControl w:val="0"/>
              <w:numPr>
                <w:ilvl w:val="0"/>
                <w:numId w:val="14"/>
              </w:numPr>
              <w:overflowPunct w:val="0"/>
              <w:autoSpaceDE w:val="0"/>
              <w:autoSpaceDN w:val="0"/>
              <w:adjustRightInd w:val="0"/>
              <w:spacing w:before="120" w:after="120"/>
              <w:ind w:hanging="106"/>
              <w:jc w:val="both"/>
              <w:rPr>
                <w:rFonts w:cs="Arial"/>
              </w:rPr>
            </w:pPr>
            <w:r w:rsidRPr="00E66809">
              <w:rPr>
                <w:rFonts w:cs="Arial"/>
              </w:rPr>
              <w:t xml:space="preserve">Can support a minimum of 45,000 internal concurrent users performing routine operations (case lookup, update, workflow trigger) without significant service interruption or performance </w:t>
            </w:r>
            <w:proofErr w:type="gramStart"/>
            <w:r w:rsidRPr="00E66809">
              <w:rPr>
                <w:rFonts w:cs="Arial"/>
              </w:rPr>
              <w:t>degradation;</w:t>
            </w:r>
            <w:proofErr w:type="gramEnd"/>
          </w:p>
          <w:p w14:paraId="53EF72E8" w14:textId="5093BC9B" w:rsidR="00286052" w:rsidRPr="00E66809" w:rsidRDefault="00286052" w:rsidP="00C06284">
            <w:pPr>
              <w:pStyle w:val="ListParagraph"/>
              <w:widowControl w:val="0"/>
              <w:numPr>
                <w:ilvl w:val="0"/>
                <w:numId w:val="14"/>
              </w:numPr>
              <w:overflowPunct w:val="0"/>
              <w:autoSpaceDE w:val="0"/>
              <w:autoSpaceDN w:val="0"/>
              <w:adjustRightInd w:val="0"/>
              <w:spacing w:before="120" w:after="120"/>
              <w:ind w:hanging="106"/>
              <w:jc w:val="both"/>
              <w:rPr>
                <w:rFonts w:cs="Arial"/>
              </w:rPr>
            </w:pPr>
            <w:r w:rsidRPr="00E66809">
              <w:rPr>
                <w:rFonts w:cs="Arial"/>
              </w:rPr>
              <w:lastRenderedPageBreak/>
              <w:t xml:space="preserve">Can support bulk operations (e.g. case imports, status updates, bulk communications) on large datasets e.g. sending a campaign to 9 million users during Self-Assessment; supporting 500M outbound campaign emails </w:t>
            </w:r>
            <w:proofErr w:type="gramStart"/>
            <w:r w:rsidRPr="00E66809">
              <w:rPr>
                <w:rFonts w:cs="Arial"/>
              </w:rPr>
              <w:t>annually;</w:t>
            </w:r>
            <w:proofErr w:type="gramEnd"/>
          </w:p>
          <w:p w14:paraId="2417FDEF" w14:textId="1E37F5C2" w:rsidR="00286052" w:rsidRPr="00E66809" w:rsidRDefault="38B5FB00" w:rsidP="00C06284">
            <w:pPr>
              <w:pStyle w:val="ListParagraph"/>
              <w:widowControl w:val="0"/>
              <w:numPr>
                <w:ilvl w:val="0"/>
                <w:numId w:val="14"/>
              </w:numPr>
              <w:overflowPunct w:val="0"/>
              <w:autoSpaceDE w:val="0"/>
              <w:autoSpaceDN w:val="0"/>
              <w:adjustRightInd w:val="0"/>
              <w:spacing w:before="120" w:after="120"/>
              <w:ind w:hanging="106"/>
              <w:jc w:val="both"/>
              <w:rPr>
                <w:rFonts w:cs="Arial"/>
              </w:rPr>
            </w:pPr>
            <w:r w:rsidRPr="66D82A2B">
              <w:rPr>
                <w:rFonts w:cs="Arial"/>
              </w:rPr>
              <w:t xml:space="preserve">The Platform has the ability to scale up to handle peaks of up to 7500 HTTP requests per second and sustain this rate for a minimum of 1 </w:t>
            </w:r>
            <w:proofErr w:type="gramStart"/>
            <w:r w:rsidRPr="66D82A2B">
              <w:rPr>
                <w:rFonts w:cs="Arial"/>
              </w:rPr>
              <w:t>hour</w:t>
            </w:r>
            <w:r w:rsidR="00286052" w:rsidRPr="66D82A2B">
              <w:rPr>
                <w:rFonts w:cs="Arial"/>
              </w:rPr>
              <w:t>;</w:t>
            </w:r>
            <w:proofErr w:type="gramEnd"/>
            <w:r w:rsidR="192E0A93" w:rsidRPr="66D82A2B">
              <w:rPr>
                <w:rFonts w:cs="Arial"/>
              </w:rPr>
              <w:t xml:space="preserve"> </w:t>
            </w:r>
          </w:p>
          <w:p w14:paraId="47757086" w14:textId="25DE45AC" w:rsidR="00286052" w:rsidRPr="00E66809" w:rsidRDefault="00286052" w:rsidP="00C06284">
            <w:pPr>
              <w:pStyle w:val="ListParagraph"/>
              <w:widowControl w:val="0"/>
              <w:numPr>
                <w:ilvl w:val="0"/>
                <w:numId w:val="14"/>
              </w:numPr>
              <w:overflowPunct w:val="0"/>
              <w:autoSpaceDE w:val="0"/>
              <w:autoSpaceDN w:val="0"/>
              <w:adjustRightInd w:val="0"/>
              <w:spacing w:before="120" w:after="120"/>
              <w:ind w:hanging="106"/>
              <w:jc w:val="both"/>
              <w:rPr>
                <w:rFonts w:cs="Arial"/>
              </w:rPr>
            </w:pPr>
            <w:r w:rsidRPr="00E66809">
              <w:rPr>
                <w:rFonts w:cs="Arial"/>
              </w:rPr>
              <w:t>Can support up to 30 APIs in parallel per user</w:t>
            </w:r>
            <w:r w:rsidR="009744AE">
              <w:rPr>
                <w:rFonts w:cs="Arial"/>
                <w:bCs/>
              </w:rPr>
              <w:t>-</w:t>
            </w:r>
            <w:r w:rsidRPr="00E66809">
              <w:rPr>
                <w:rFonts w:cs="Arial"/>
              </w:rPr>
              <w:t>initiated transaction</w:t>
            </w:r>
            <w:r w:rsidR="00A3579F">
              <w:rPr>
                <w:rFonts w:cs="Arial"/>
                <w:bCs/>
              </w:rPr>
              <w:t>,</w:t>
            </w:r>
            <w:r w:rsidRPr="00E66809">
              <w:rPr>
                <w:rFonts w:cs="Arial"/>
              </w:rPr>
              <w:t xml:space="preserve"> without significant service interruption or performance degradation (APIs may include either internal APIs from other HMRC systems, or external APIs</w:t>
            </w:r>
            <w:r w:rsidR="007C16DD">
              <w:rPr>
                <w:rFonts w:cs="Arial"/>
              </w:rPr>
              <w:t>,</w:t>
            </w:r>
            <w:r w:rsidRPr="00E66809">
              <w:rPr>
                <w:rFonts w:cs="Arial"/>
              </w:rPr>
              <w:t xml:space="preserve"> for example data received from Companies House</w:t>
            </w:r>
            <w:proofErr w:type="gramStart"/>
            <w:r w:rsidRPr="00E66809">
              <w:rPr>
                <w:rFonts w:cs="Arial"/>
              </w:rPr>
              <w:t>);</w:t>
            </w:r>
            <w:proofErr w:type="gramEnd"/>
          </w:p>
          <w:p w14:paraId="7F6A8F14" w14:textId="77777777" w:rsidR="00286052" w:rsidRPr="00E66809" w:rsidRDefault="00286052" w:rsidP="00C06284">
            <w:pPr>
              <w:pStyle w:val="ListParagraph"/>
              <w:widowControl w:val="0"/>
              <w:numPr>
                <w:ilvl w:val="0"/>
                <w:numId w:val="14"/>
              </w:numPr>
              <w:overflowPunct w:val="0"/>
              <w:autoSpaceDE w:val="0"/>
              <w:autoSpaceDN w:val="0"/>
              <w:adjustRightInd w:val="0"/>
              <w:spacing w:before="120" w:after="120"/>
              <w:ind w:hanging="106"/>
              <w:jc w:val="both"/>
              <w:rPr>
                <w:rFonts w:cs="Arial"/>
              </w:rPr>
            </w:pPr>
            <w:r w:rsidRPr="00E66809">
              <w:rPr>
                <w:rFonts w:cs="Arial"/>
              </w:rPr>
              <w:t>Can support third parties acting on behalf of a customer to manage their account; and</w:t>
            </w:r>
          </w:p>
          <w:p w14:paraId="5A319042" w14:textId="351E0757" w:rsidR="00211799" w:rsidRPr="00294413" w:rsidRDefault="00286052" w:rsidP="00C06284">
            <w:pPr>
              <w:pStyle w:val="ListParagraph"/>
              <w:widowControl w:val="0"/>
              <w:numPr>
                <w:ilvl w:val="0"/>
                <w:numId w:val="14"/>
              </w:numPr>
              <w:overflowPunct w:val="0"/>
              <w:autoSpaceDE w:val="0"/>
              <w:autoSpaceDN w:val="0"/>
              <w:adjustRightInd w:val="0"/>
              <w:spacing w:before="120" w:after="120"/>
              <w:ind w:hanging="106"/>
              <w:jc w:val="both"/>
              <w:rPr>
                <w:rFonts w:eastAsia="Arial" w:cs="Arial"/>
              </w:rPr>
            </w:pPr>
            <w:r w:rsidRPr="00E66809">
              <w:rPr>
                <w:rFonts w:cs="Arial"/>
              </w:rPr>
              <w:t>Can provide a service availability of at least 99</w:t>
            </w:r>
            <w:r w:rsidR="000553D5">
              <w:rPr>
                <w:rFonts w:cs="Arial"/>
              </w:rPr>
              <w:t>.9</w:t>
            </w:r>
            <w:r w:rsidRPr="00E66809">
              <w:rPr>
                <w:rFonts w:cs="Arial"/>
              </w:rPr>
              <w:t>% over a 365</w:t>
            </w:r>
            <w:r w:rsidR="00DD63B5">
              <w:rPr>
                <w:rFonts w:cs="Arial"/>
              </w:rPr>
              <w:t>-</w:t>
            </w:r>
            <w:r w:rsidRPr="00E66809">
              <w:rPr>
                <w:rFonts w:cs="Arial"/>
              </w:rPr>
              <w:t>day</w:t>
            </w:r>
            <w:r w:rsidR="006C7A77">
              <w:rPr>
                <w:rFonts w:cs="Arial"/>
              </w:rPr>
              <w:t>, 24x7</w:t>
            </w:r>
            <w:r w:rsidRPr="00E66809">
              <w:rPr>
                <w:rFonts w:cs="Arial"/>
              </w:rPr>
              <w:t xml:space="preserve"> period.</w:t>
            </w:r>
          </w:p>
          <w:p w14:paraId="360000A1" w14:textId="4D31F456" w:rsidR="00286052" w:rsidRPr="00E66809" w:rsidRDefault="00211799" w:rsidP="00E66809">
            <w:pPr>
              <w:widowControl w:val="0"/>
              <w:overflowPunct w:val="0"/>
              <w:autoSpaceDE w:val="0"/>
              <w:autoSpaceDN w:val="0"/>
              <w:adjustRightInd w:val="0"/>
              <w:spacing w:before="120" w:after="120"/>
              <w:jc w:val="both"/>
              <w:rPr>
                <w:rFonts w:eastAsia="Arial" w:cs="Arial"/>
              </w:rPr>
            </w:pPr>
            <w:r w:rsidRPr="0012467C">
              <w:rPr>
                <w:rFonts w:eastAsia="Arial" w:cs="Arial"/>
              </w:rPr>
              <w:t xml:space="preserve">Where you have responded ‘no’, please confirm which of the above </w:t>
            </w:r>
            <w:r w:rsidR="008D2F27">
              <w:rPr>
                <w:rFonts w:eastAsia="Arial" w:cs="Arial"/>
              </w:rPr>
              <w:t>metrics</w:t>
            </w:r>
            <w:r w:rsidRPr="0012467C">
              <w:rPr>
                <w:rFonts w:eastAsia="Arial" w:cs="Arial"/>
              </w:rPr>
              <w:t xml:space="preserve"> you </w:t>
            </w:r>
            <w:r w:rsidR="008D2F27">
              <w:rPr>
                <w:rFonts w:eastAsia="Arial" w:cs="Arial"/>
              </w:rPr>
              <w:t>cannot meet</w:t>
            </w:r>
            <w:r w:rsidRPr="0012467C">
              <w:rPr>
                <w:rFonts w:eastAsia="Arial" w:cs="Arial"/>
              </w:rPr>
              <w:t xml:space="preserve"> along with an explanation detailing why this is the case.</w:t>
            </w:r>
          </w:p>
        </w:tc>
        <w:tc>
          <w:tcPr>
            <w:tcW w:w="5135" w:type="dxa"/>
            <w:tcBorders>
              <w:top w:val="single" w:sz="6" w:space="0" w:color="000000" w:themeColor="text1"/>
              <w:bottom w:val="single" w:sz="6" w:space="0" w:color="000000" w:themeColor="text1"/>
            </w:tcBorders>
          </w:tcPr>
          <w:p w14:paraId="61A51E20" w14:textId="77777777" w:rsidR="00FC5051" w:rsidRPr="00FA307B" w:rsidRDefault="00FC5051" w:rsidP="00FC5051">
            <w:pPr>
              <w:tabs>
                <w:tab w:val="left" w:pos="594"/>
              </w:tabs>
              <w:spacing w:after="0" w:line="276" w:lineRule="auto"/>
              <w:rPr>
                <w:rFonts w:eastAsia="Times New Roman" w:cs="Calibri"/>
              </w:rPr>
            </w:pPr>
            <w:r w:rsidRPr="00FA307B">
              <w:rPr>
                <w:rFonts w:eastAsia="Arial" w:cs="Calibri"/>
              </w:rPr>
              <w:lastRenderedPageBreak/>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1681A072" w14:textId="252DBAE8" w:rsidR="00FC5051" w:rsidRDefault="00FC5051" w:rsidP="00FC5051">
            <w:pPr>
              <w:tabs>
                <w:tab w:val="left" w:pos="602"/>
              </w:tabs>
              <w:spacing w:after="0" w:line="276" w:lineRule="auto"/>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5B50B26D" w14:textId="4F4835C1" w:rsidR="00286052" w:rsidRPr="00E66809" w:rsidRDefault="00286052">
            <w:pPr>
              <w:tabs>
                <w:tab w:val="left" w:pos="602"/>
              </w:tabs>
              <w:spacing w:after="0" w:line="276" w:lineRule="auto"/>
              <w:rPr>
                <w:rFonts w:eastAsia="Arial" w:cs="Calibri"/>
              </w:rPr>
            </w:pPr>
          </w:p>
        </w:tc>
      </w:tr>
      <w:tr w:rsidR="00211799" w:rsidRPr="002B147A" w14:paraId="3D9D61D9" w14:textId="77777777" w:rsidTr="006B0E8F">
        <w:trPr>
          <w:trHeight w:val="5207"/>
        </w:trPr>
        <w:tc>
          <w:tcPr>
            <w:tcW w:w="0" w:type="auto"/>
            <w:vMerge/>
          </w:tcPr>
          <w:p w14:paraId="118D1BCE" w14:textId="77777777" w:rsidR="00211799" w:rsidRPr="00211799" w:rsidRDefault="00211799">
            <w:pPr>
              <w:spacing w:after="0" w:line="276" w:lineRule="auto"/>
              <w:rPr>
                <w:rFonts w:eastAsia="Arial" w:cs="Arial"/>
                <w:b/>
                <w:bCs/>
              </w:rPr>
            </w:pPr>
          </w:p>
        </w:tc>
        <w:tc>
          <w:tcPr>
            <w:tcW w:w="7262" w:type="dxa"/>
            <w:vMerge/>
            <w:vAlign w:val="center"/>
          </w:tcPr>
          <w:p w14:paraId="6D707949" w14:textId="77777777" w:rsidR="00211799" w:rsidRPr="00211799" w:rsidRDefault="00211799">
            <w:pPr>
              <w:widowControl w:val="0"/>
              <w:overflowPunct w:val="0"/>
              <w:autoSpaceDE w:val="0"/>
              <w:autoSpaceDN w:val="0"/>
              <w:adjustRightInd w:val="0"/>
              <w:spacing w:before="120" w:after="120"/>
              <w:jc w:val="both"/>
              <w:rPr>
                <w:rFonts w:cs="Arial"/>
                <w:b/>
                <w:bCs/>
              </w:rPr>
            </w:pPr>
          </w:p>
        </w:tc>
        <w:tc>
          <w:tcPr>
            <w:tcW w:w="5135" w:type="dxa"/>
            <w:tcBorders>
              <w:top w:val="single" w:sz="6" w:space="0" w:color="000000" w:themeColor="text1"/>
              <w:bottom w:val="single" w:sz="6" w:space="0" w:color="000000" w:themeColor="text1"/>
            </w:tcBorders>
          </w:tcPr>
          <w:p w14:paraId="0EE9E25A" w14:textId="4335B288" w:rsidR="00211799" w:rsidRPr="00211799" w:rsidRDefault="00211799">
            <w:pPr>
              <w:tabs>
                <w:tab w:val="left" w:pos="594"/>
              </w:tabs>
              <w:spacing w:after="0" w:line="276" w:lineRule="auto"/>
              <w:rPr>
                <w:rFonts w:eastAsia="Arial" w:cs="Calibri"/>
              </w:rPr>
            </w:pPr>
            <w:r>
              <w:rPr>
                <w:rFonts w:eastAsia="Arial" w:cs="Calibri"/>
              </w:rPr>
              <w:t>[Further information if applicable]</w:t>
            </w:r>
          </w:p>
        </w:tc>
      </w:tr>
      <w:tr w:rsidR="00286052" w:rsidRPr="00605283" w14:paraId="25EE5C38" w14:textId="77777777" w:rsidTr="006B0E8F">
        <w:trPr>
          <w:trHeight w:val="1450"/>
        </w:trPr>
        <w:tc>
          <w:tcPr>
            <w:tcW w:w="0" w:type="auto"/>
            <w:vMerge w:val="restart"/>
            <w:tcBorders>
              <w:top w:val="single" w:sz="6" w:space="0" w:color="000000" w:themeColor="text1"/>
            </w:tcBorders>
            <w:shd w:val="clear" w:color="auto" w:fill="F2F2F2" w:themeFill="background1" w:themeFillShade="F2"/>
          </w:tcPr>
          <w:p w14:paraId="60968B68" w14:textId="674E412F" w:rsidR="00286052" w:rsidRPr="00E66809" w:rsidRDefault="005F2A2C">
            <w:pPr>
              <w:spacing w:after="0" w:line="276" w:lineRule="auto"/>
              <w:rPr>
                <w:rFonts w:eastAsia="Arial" w:cs="Arial"/>
                <w:b/>
              </w:rPr>
            </w:pPr>
            <w:r>
              <w:rPr>
                <w:rFonts w:eastAsia="Arial" w:cs="Arial"/>
                <w:b/>
              </w:rPr>
              <w:t>3.9</w:t>
            </w:r>
          </w:p>
        </w:tc>
        <w:tc>
          <w:tcPr>
            <w:tcW w:w="7262" w:type="dxa"/>
            <w:vMerge w:val="restart"/>
            <w:tcBorders>
              <w:top w:val="single" w:sz="6" w:space="0" w:color="000000" w:themeColor="text1"/>
            </w:tcBorders>
            <w:shd w:val="clear" w:color="auto" w:fill="F2F2F2" w:themeFill="background1" w:themeFillShade="F2"/>
          </w:tcPr>
          <w:p w14:paraId="0A6EF36B" w14:textId="77777777" w:rsidR="00286052" w:rsidRPr="00E66809" w:rsidRDefault="00286052">
            <w:pPr>
              <w:widowControl w:val="0"/>
              <w:overflowPunct w:val="0"/>
              <w:autoSpaceDE w:val="0"/>
              <w:autoSpaceDN w:val="0"/>
              <w:adjustRightInd w:val="0"/>
              <w:spacing w:before="120" w:after="120"/>
              <w:jc w:val="both"/>
              <w:rPr>
                <w:rFonts w:cs="Arial"/>
                <w:b/>
              </w:rPr>
            </w:pPr>
            <w:r w:rsidRPr="00E66809">
              <w:rPr>
                <w:rFonts w:cs="Arial"/>
                <w:b/>
              </w:rPr>
              <w:t>Data Hosting</w:t>
            </w:r>
          </w:p>
          <w:p w14:paraId="5D7D1328" w14:textId="4FD35319" w:rsidR="00286052" w:rsidRPr="00E66809" w:rsidRDefault="00286052">
            <w:pPr>
              <w:widowControl w:val="0"/>
              <w:overflowPunct w:val="0"/>
              <w:autoSpaceDE w:val="0"/>
              <w:autoSpaceDN w:val="0"/>
              <w:adjustRightInd w:val="0"/>
              <w:spacing w:before="120" w:after="120"/>
              <w:jc w:val="both"/>
              <w:rPr>
                <w:rFonts w:cs="Arial"/>
              </w:rPr>
            </w:pPr>
            <w:r w:rsidRPr="00E66809">
              <w:rPr>
                <w:rFonts w:cs="Arial"/>
              </w:rPr>
              <w:t>Please confirm that</w:t>
            </w:r>
            <w:r w:rsidR="001E2C00">
              <w:rPr>
                <w:rFonts w:cs="Arial"/>
              </w:rPr>
              <w:t xml:space="preserve"> all products/modules within</w:t>
            </w:r>
            <w:r w:rsidRPr="00E66809">
              <w:rPr>
                <w:rFonts w:cs="Arial"/>
              </w:rPr>
              <w:t xml:space="preserve"> your CRM solution </w:t>
            </w:r>
            <w:r w:rsidR="00484041">
              <w:rPr>
                <w:rFonts w:cs="Arial"/>
              </w:rPr>
              <w:t>are</w:t>
            </w:r>
            <w:r w:rsidRPr="00E66809">
              <w:rPr>
                <w:rFonts w:cs="Arial"/>
              </w:rPr>
              <w:t xml:space="preserve"> capable of being hosted within the UK, with all data </w:t>
            </w:r>
            <w:r w:rsidR="002E1354">
              <w:rPr>
                <w:rFonts w:cs="Arial"/>
              </w:rPr>
              <w:t>resident</w:t>
            </w:r>
            <w:r w:rsidR="002E1354" w:rsidRPr="00E66809">
              <w:rPr>
                <w:rFonts w:cs="Arial"/>
              </w:rPr>
              <w:t xml:space="preserve"> </w:t>
            </w:r>
            <w:r w:rsidRPr="00E66809">
              <w:rPr>
                <w:rFonts w:cs="Arial"/>
              </w:rPr>
              <w:t>in the UK.</w:t>
            </w:r>
          </w:p>
          <w:p w14:paraId="64CFECCD" w14:textId="3A15BC99" w:rsidR="00031D5D" w:rsidRDefault="00286052">
            <w:pPr>
              <w:widowControl w:val="0"/>
              <w:overflowPunct w:val="0"/>
              <w:autoSpaceDE w:val="0"/>
              <w:autoSpaceDN w:val="0"/>
              <w:adjustRightInd w:val="0"/>
              <w:spacing w:before="120" w:after="120"/>
              <w:jc w:val="both"/>
              <w:rPr>
                <w:rFonts w:eastAsia="Arial" w:cs="Arial"/>
              </w:rPr>
            </w:pPr>
            <w:r w:rsidRPr="00E66809">
              <w:rPr>
                <w:rFonts w:cs="Arial"/>
              </w:rPr>
              <w:t>Please share a relevant example</w:t>
            </w:r>
            <w:r>
              <w:rPr>
                <w:rFonts w:cs="Arial"/>
              </w:rPr>
              <w:t xml:space="preserve"> </w:t>
            </w:r>
            <w:r w:rsidR="00317CF2">
              <w:rPr>
                <w:rFonts w:cs="Arial"/>
              </w:rPr>
              <w:t>(max 500 words)</w:t>
            </w:r>
            <w:r w:rsidRPr="00E66809">
              <w:rPr>
                <w:rFonts w:cs="Arial"/>
              </w:rPr>
              <w:t xml:space="preserve"> for your organisation’s CRM solution</w:t>
            </w:r>
            <w:r w:rsidR="002E1354">
              <w:rPr>
                <w:rFonts w:cs="Arial"/>
              </w:rPr>
              <w:t>,</w:t>
            </w:r>
            <w:r w:rsidRPr="00E66809">
              <w:rPr>
                <w:rFonts w:cs="Arial"/>
              </w:rPr>
              <w:t xml:space="preserve"> which demonstrates</w:t>
            </w:r>
            <w:r w:rsidR="002E1354">
              <w:rPr>
                <w:rFonts w:cs="Arial"/>
              </w:rPr>
              <w:t xml:space="preserve"> where</w:t>
            </w:r>
            <w:r w:rsidRPr="00E66809">
              <w:rPr>
                <w:rFonts w:cs="Arial"/>
              </w:rPr>
              <w:t xml:space="preserve"> the above hosting requirements have been previously met.</w:t>
            </w:r>
          </w:p>
          <w:p w14:paraId="7A3A0919" w14:textId="4860A5ED" w:rsidR="0015724D" w:rsidRPr="0015724D" w:rsidRDefault="0015724D" w:rsidP="008E6E6E">
            <w:pPr>
              <w:widowControl w:val="0"/>
              <w:overflowPunct w:val="0"/>
              <w:autoSpaceDE w:val="0"/>
              <w:autoSpaceDN w:val="0"/>
              <w:adjustRightInd w:val="0"/>
              <w:spacing w:before="120" w:after="120"/>
              <w:jc w:val="both"/>
              <w:rPr>
                <w:rFonts w:cs="Arial"/>
              </w:rPr>
            </w:pPr>
            <w:r w:rsidRPr="008E6E6E">
              <w:rPr>
                <w:rFonts w:cs="Arial"/>
                <w:b/>
                <w:bCs/>
              </w:rPr>
              <w:t>Note:</w:t>
            </w:r>
            <w:r w:rsidRPr="008E6E6E">
              <w:rPr>
                <w:rFonts w:cs="Arial"/>
              </w:rPr>
              <w:t xml:space="preserve"> </w:t>
            </w:r>
            <w:r w:rsidR="008E6E6E" w:rsidRPr="008E6E6E">
              <w:rPr>
                <w:rFonts w:cs="Arial"/>
              </w:rPr>
              <w:t xml:space="preserve">By participating in this procurement exercise, you acknowledge that </w:t>
            </w:r>
            <w:r w:rsidR="008E6E6E">
              <w:rPr>
                <w:rFonts w:cs="Arial"/>
              </w:rPr>
              <w:t>s</w:t>
            </w:r>
            <w:r w:rsidRPr="0015724D">
              <w:rPr>
                <w:rFonts w:cs="Arial"/>
              </w:rPr>
              <w:t>taff supporting your CRM solution will need to meet one of three</w:t>
            </w:r>
            <w:r w:rsidR="00232220">
              <w:rPr>
                <w:rFonts w:cs="Arial"/>
              </w:rPr>
              <w:t xml:space="preserve"> </w:t>
            </w:r>
            <w:r w:rsidRPr="0015724D">
              <w:rPr>
                <w:rFonts w:cs="Arial"/>
              </w:rPr>
              <w:t xml:space="preserve">classifications </w:t>
            </w:r>
            <w:r w:rsidR="00F65D82">
              <w:rPr>
                <w:rFonts w:cs="Arial"/>
              </w:rPr>
              <w:t xml:space="preserve">below </w:t>
            </w:r>
            <w:r w:rsidRPr="0015724D">
              <w:rPr>
                <w:rFonts w:cs="Arial"/>
              </w:rPr>
              <w:t>according to their role and the information to which they have access:</w:t>
            </w:r>
          </w:p>
          <w:p w14:paraId="1F7C08DB" w14:textId="77777777" w:rsidR="0015724D" w:rsidRPr="008E6E6E" w:rsidRDefault="0015724D" w:rsidP="00AD19D7">
            <w:pPr>
              <w:pStyle w:val="ListParagraph"/>
              <w:widowControl w:val="0"/>
              <w:numPr>
                <w:ilvl w:val="0"/>
                <w:numId w:val="62"/>
              </w:numPr>
              <w:overflowPunct w:val="0"/>
              <w:autoSpaceDE w:val="0"/>
              <w:autoSpaceDN w:val="0"/>
              <w:adjustRightInd w:val="0"/>
              <w:spacing w:before="120" w:after="120"/>
              <w:jc w:val="both"/>
              <w:rPr>
                <w:rFonts w:eastAsia="Times New Roman" w:cs="Arial"/>
                <w:lang w:eastAsia="en-GB"/>
              </w:rPr>
            </w:pPr>
            <w:r w:rsidRPr="008E6E6E">
              <w:rPr>
                <w:rFonts w:eastAsia="Times New Roman" w:cs="Arial"/>
                <w:lang w:eastAsia="en-GB"/>
              </w:rPr>
              <w:t xml:space="preserve">It may be acceptable for some roles to be offshored, subject to approval through HMRC's offshoring governance processes. This </w:t>
            </w:r>
            <w:r w:rsidRPr="008E6E6E">
              <w:rPr>
                <w:rFonts w:eastAsia="Times New Roman" w:cs="Arial"/>
                <w:lang w:eastAsia="en-GB"/>
              </w:rPr>
              <w:lastRenderedPageBreak/>
              <w:t>will depend on the functionality, environment and data to which the role has access. Individuals in these roles must be BPSS-checked or the equivalent, as a minimum.</w:t>
            </w:r>
          </w:p>
          <w:p w14:paraId="746C8E4D" w14:textId="77777777" w:rsidR="0015724D" w:rsidRPr="008E6E6E" w:rsidRDefault="0015724D" w:rsidP="00AD19D7">
            <w:pPr>
              <w:pStyle w:val="ListParagraph"/>
              <w:widowControl w:val="0"/>
              <w:numPr>
                <w:ilvl w:val="0"/>
                <w:numId w:val="62"/>
              </w:numPr>
              <w:overflowPunct w:val="0"/>
              <w:autoSpaceDE w:val="0"/>
              <w:autoSpaceDN w:val="0"/>
              <w:adjustRightInd w:val="0"/>
              <w:spacing w:before="120" w:after="120"/>
              <w:jc w:val="both"/>
              <w:rPr>
                <w:rFonts w:eastAsia="Times New Roman" w:cs="Arial"/>
                <w:lang w:eastAsia="en-GB"/>
              </w:rPr>
            </w:pPr>
            <w:r w:rsidRPr="008E6E6E">
              <w:rPr>
                <w:rFonts w:eastAsia="Times New Roman" w:cs="Arial"/>
                <w:lang w:eastAsia="en-GB"/>
              </w:rPr>
              <w:t>For some roles, the staff member must be in the UK and BPSS-</w:t>
            </w:r>
            <w:proofErr w:type="gramStart"/>
            <w:r w:rsidRPr="008E6E6E">
              <w:rPr>
                <w:rFonts w:eastAsia="Times New Roman" w:cs="Arial"/>
                <w:lang w:eastAsia="en-GB"/>
              </w:rPr>
              <w:t>checked;</w:t>
            </w:r>
            <w:proofErr w:type="gramEnd"/>
          </w:p>
          <w:p w14:paraId="039C0A86" w14:textId="77777777" w:rsidR="0015724D" w:rsidRPr="008E6E6E" w:rsidRDefault="0015724D" w:rsidP="00AD19D7">
            <w:pPr>
              <w:pStyle w:val="ListParagraph"/>
              <w:widowControl w:val="0"/>
              <w:numPr>
                <w:ilvl w:val="0"/>
                <w:numId w:val="62"/>
              </w:numPr>
              <w:overflowPunct w:val="0"/>
              <w:autoSpaceDE w:val="0"/>
              <w:autoSpaceDN w:val="0"/>
              <w:adjustRightInd w:val="0"/>
              <w:spacing w:before="120" w:after="120"/>
              <w:jc w:val="both"/>
              <w:rPr>
                <w:rFonts w:eastAsia="Times New Roman" w:cs="Arial"/>
                <w:lang w:eastAsia="en-GB"/>
              </w:rPr>
            </w:pPr>
            <w:r w:rsidRPr="008E6E6E">
              <w:rPr>
                <w:rFonts w:eastAsia="Times New Roman" w:cs="Arial"/>
                <w:lang w:eastAsia="en-GB"/>
              </w:rPr>
              <w:t>For some roles, the staff member must be in the UK and SC-cleared.</w:t>
            </w:r>
          </w:p>
          <w:p w14:paraId="2254C3B8" w14:textId="78E6EF78" w:rsidR="0015724D" w:rsidRPr="0015724D" w:rsidRDefault="0015724D" w:rsidP="008E6E6E">
            <w:pPr>
              <w:widowControl w:val="0"/>
              <w:overflowPunct w:val="0"/>
              <w:autoSpaceDE w:val="0"/>
              <w:autoSpaceDN w:val="0"/>
              <w:adjustRightInd w:val="0"/>
              <w:spacing w:before="120" w:after="120"/>
              <w:jc w:val="both"/>
              <w:rPr>
                <w:rFonts w:ascii="Times New Roman" w:eastAsia="Times New Roman" w:hAnsi="Times New Roman" w:cs="Times New Roman"/>
                <w:sz w:val="24"/>
                <w:szCs w:val="24"/>
                <w:lang w:eastAsia="en-GB"/>
              </w:rPr>
            </w:pPr>
            <w:r w:rsidRPr="0015724D">
              <w:rPr>
                <w:rFonts w:eastAsia="Times New Roman" w:cs="Arial"/>
                <w:lang w:eastAsia="en-GB"/>
              </w:rPr>
              <w:t xml:space="preserve">The criteria for determining the classification for each programme role will be agreed during </w:t>
            </w:r>
            <w:r w:rsidR="008E6E6E" w:rsidRPr="008E6E6E">
              <w:rPr>
                <w:rFonts w:cs="Arial"/>
              </w:rPr>
              <w:t>finalisation of the contract</w:t>
            </w:r>
            <w:r w:rsidRPr="0015724D">
              <w:rPr>
                <w:rFonts w:cs="Arial"/>
              </w:rPr>
              <w:t>.</w:t>
            </w:r>
            <w:r w:rsidR="00354CF2">
              <w:rPr>
                <w:rFonts w:eastAsia="Times New Roman" w:cs="Arial"/>
                <w:lang w:eastAsia="en-GB"/>
              </w:rPr>
              <w:t xml:space="preserve"> </w:t>
            </w:r>
          </w:p>
        </w:tc>
        <w:tc>
          <w:tcPr>
            <w:tcW w:w="5135" w:type="dxa"/>
            <w:tcBorders>
              <w:top w:val="single" w:sz="6" w:space="0" w:color="000000" w:themeColor="text1"/>
              <w:bottom w:val="single" w:sz="6" w:space="0" w:color="000000" w:themeColor="text1"/>
            </w:tcBorders>
          </w:tcPr>
          <w:p w14:paraId="6A26B9A2" w14:textId="77777777" w:rsidR="00FC5051" w:rsidRPr="00FA307B" w:rsidRDefault="00FC5051" w:rsidP="00FC5051">
            <w:pPr>
              <w:tabs>
                <w:tab w:val="left" w:pos="594"/>
              </w:tabs>
              <w:spacing w:after="0" w:line="276" w:lineRule="auto"/>
              <w:rPr>
                <w:rFonts w:eastAsia="Times New Roman" w:cs="Calibri"/>
              </w:rPr>
            </w:pPr>
            <w:r w:rsidRPr="00FA307B">
              <w:rPr>
                <w:rFonts w:eastAsia="Arial" w:cs="Calibri"/>
              </w:rPr>
              <w:lastRenderedPageBreak/>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6AAC68A5" w14:textId="42D7ABF0" w:rsidR="00FC5051" w:rsidRDefault="00FC5051" w:rsidP="00FC5051">
            <w:pPr>
              <w:tabs>
                <w:tab w:val="left" w:pos="602"/>
              </w:tabs>
              <w:spacing w:after="0" w:line="276" w:lineRule="auto"/>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7A7CEF1E" w14:textId="099CB71F" w:rsidR="00286052" w:rsidRPr="00E66809" w:rsidRDefault="00286052">
            <w:pPr>
              <w:tabs>
                <w:tab w:val="left" w:pos="602"/>
              </w:tabs>
              <w:spacing w:after="0" w:line="276" w:lineRule="auto"/>
              <w:rPr>
                <w:rFonts w:eastAsia="Arial" w:cs="Calibri"/>
              </w:rPr>
            </w:pPr>
          </w:p>
        </w:tc>
      </w:tr>
      <w:tr w:rsidR="00286052" w:rsidRPr="00605283" w14:paraId="4097FF38" w14:textId="77777777" w:rsidTr="006B0E8F">
        <w:trPr>
          <w:trHeight w:val="1449"/>
        </w:trPr>
        <w:tc>
          <w:tcPr>
            <w:tcW w:w="0" w:type="auto"/>
            <w:vMerge/>
          </w:tcPr>
          <w:p w14:paraId="44548FCF" w14:textId="77777777" w:rsidR="00286052" w:rsidRPr="00E66809" w:rsidRDefault="00286052">
            <w:pPr>
              <w:spacing w:after="0" w:line="276" w:lineRule="auto"/>
              <w:rPr>
                <w:rFonts w:eastAsia="Arial" w:cs="Arial"/>
                <w:b/>
              </w:rPr>
            </w:pPr>
          </w:p>
        </w:tc>
        <w:tc>
          <w:tcPr>
            <w:tcW w:w="7262" w:type="dxa"/>
            <w:vMerge/>
          </w:tcPr>
          <w:p w14:paraId="7B1DCC44" w14:textId="77777777" w:rsidR="00286052" w:rsidRPr="00E66809" w:rsidRDefault="00286052">
            <w:pPr>
              <w:widowControl w:val="0"/>
              <w:overflowPunct w:val="0"/>
              <w:autoSpaceDE w:val="0"/>
              <w:autoSpaceDN w:val="0"/>
              <w:adjustRightInd w:val="0"/>
              <w:spacing w:before="120" w:after="120"/>
              <w:jc w:val="both"/>
              <w:rPr>
                <w:rFonts w:cs="Arial"/>
                <w:b/>
              </w:rPr>
            </w:pPr>
          </w:p>
        </w:tc>
        <w:tc>
          <w:tcPr>
            <w:tcW w:w="5135" w:type="dxa"/>
            <w:tcBorders>
              <w:top w:val="single" w:sz="6" w:space="0" w:color="000000" w:themeColor="text1"/>
              <w:bottom w:val="single" w:sz="6" w:space="0" w:color="000000" w:themeColor="text1"/>
            </w:tcBorders>
          </w:tcPr>
          <w:p w14:paraId="41324543" w14:textId="77777777" w:rsidR="00286052" w:rsidRPr="00E66809" w:rsidRDefault="00286052">
            <w:pPr>
              <w:tabs>
                <w:tab w:val="left" w:pos="602"/>
              </w:tabs>
              <w:spacing w:after="0" w:line="276" w:lineRule="auto"/>
              <w:rPr>
                <w:rFonts w:eastAsia="Arial" w:cs="Calibri"/>
              </w:rPr>
            </w:pPr>
            <w:r w:rsidRPr="00E66809">
              <w:rPr>
                <w:rFonts w:eastAsia="Arial" w:cs="Calibri"/>
              </w:rPr>
              <w:t>[Insert example]</w:t>
            </w:r>
          </w:p>
        </w:tc>
      </w:tr>
      <w:tr w:rsidR="00286052" w:rsidRPr="00605283" w14:paraId="162E6BBB" w14:textId="77777777" w:rsidTr="006B0E8F">
        <w:trPr>
          <w:trHeight w:val="1449"/>
        </w:trPr>
        <w:tc>
          <w:tcPr>
            <w:tcW w:w="0" w:type="auto"/>
            <w:tcBorders>
              <w:bottom w:val="single" w:sz="6" w:space="0" w:color="000000" w:themeColor="text1"/>
            </w:tcBorders>
            <w:shd w:val="clear" w:color="auto" w:fill="F2F2F2" w:themeFill="background1" w:themeFillShade="F2"/>
          </w:tcPr>
          <w:p w14:paraId="2226E60E" w14:textId="1B635E15" w:rsidR="00286052" w:rsidRPr="00E66809" w:rsidRDefault="005F2A2C">
            <w:pPr>
              <w:spacing w:after="0" w:line="276" w:lineRule="auto"/>
              <w:rPr>
                <w:rFonts w:eastAsia="Arial" w:cs="Arial"/>
                <w:b/>
              </w:rPr>
            </w:pPr>
            <w:r>
              <w:rPr>
                <w:rFonts w:eastAsia="Arial" w:cs="Arial"/>
                <w:b/>
              </w:rPr>
              <w:t>3.10</w:t>
            </w:r>
          </w:p>
        </w:tc>
        <w:tc>
          <w:tcPr>
            <w:tcW w:w="7262" w:type="dxa"/>
            <w:tcBorders>
              <w:bottom w:val="single" w:sz="6" w:space="0" w:color="000000" w:themeColor="text1"/>
            </w:tcBorders>
            <w:shd w:val="clear" w:color="auto" w:fill="F2F2F2" w:themeFill="background1" w:themeFillShade="F2"/>
          </w:tcPr>
          <w:p w14:paraId="49547157" w14:textId="77777777" w:rsidR="00286052" w:rsidRPr="00E66809" w:rsidRDefault="00286052">
            <w:pPr>
              <w:jc w:val="both"/>
              <w:rPr>
                <w:rFonts w:eastAsia="Arial" w:cs="Arial"/>
                <w:b/>
              </w:rPr>
            </w:pPr>
            <w:r w:rsidRPr="00E66809">
              <w:rPr>
                <w:rFonts w:eastAsia="Arial" w:cs="Arial"/>
                <w:b/>
              </w:rPr>
              <w:t>Accessibility Questionnaire</w:t>
            </w:r>
          </w:p>
          <w:p w14:paraId="478CF0AB" w14:textId="2E6B9343" w:rsidR="00286052" w:rsidRPr="00E66809" w:rsidRDefault="00286052">
            <w:pPr>
              <w:jc w:val="both"/>
              <w:rPr>
                <w:rFonts w:eastAsia="Arial" w:cs="Arial"/>
              </w:rPr>
            </w:pPr>
            <w:r w:rsidRPr="00E66809">
              <w:rPr>
                <w:rFonts w:eastAsia="Arial" w:cs="Arial"/>
              </w:rPr>
              <w:t>Please find HMRC's accessibility evidence questionnaire document attached at Annex</w:t>
            </w:r>
            <w:r w:rsidR="006E30AA">
              <w:rPr>
                <w:rFonts w:eastAsia="Arial" w:cs="Arial"/>
              </w:rPr>
              <w:t xml:space="preserve"> </w:t>
            </w:r>
            <w:r w:rsidR="0056432A">
              <w:rPr>
                <w:rFonts w:eastAsia="Arial" w:cs="Arial"/>
              </w:rPr>
              <w:t>4</w:t>
            </w:r>
            <w:r w:rsidRPr="00E66809">
              <w:rPr>
                <w:rFonts w:eastAsia="Arial" w:cs="Arial"/>
              </w:rPr>
              <w:t xml:space="preserve">. </w:t>
            </w:r>
          </w:p>
          <w:p w14:paraId="04F9B6B4" w14:textId="0CD9946B" w:rsidR="00286052" w:rsidRPr="00E66809" w:rsidRDefault="00286052">
            <w:pPr>
              <w:jc w:val="both"/>
              <w:rPr>
                <w:rFonts w:eastAsia="Arial" w:cs="Arial"/>
              </w:rPr>
            </w:pPr>
            <w:r w:rsidRPr="00E66809">
              <w:rPr>
                <w:rFonts w:eastAsia="Arial" w:cs="Arial"/>
              </w:rPr>
              <w:t xml:space="preserve">Please respond to each question in the document and attach your completed copy, along with any supporting documents requested, as part of your </w:t>
            </w:r>
            <w:r w:rsidR="00D16249">
              <w:rPr>
                <w:rFonts w:eastAsia="Arial" w:cs="Arial"/>
              </w:rPr>
              <w:t>CoP</w:t>
            </w:r>
            <w:r w:rsidRPr="00E66809">
              <w:rPr>
                <w:rFonts w:eastAsia="Arial" w:cs="Arial"/>
              </w:rPr>
              <w:t xml:space="preserve"> </w:t>
            </w:r>
            <w:r w:rsidR="00D16249">
              <w:rPr>
                <w:rFonts w:eastAsia="Arial" w:cs="Arial"/>
              </w:rPr>
              <w:t>response</w:t>
            </w:r>
            <w:r w:rsidRPr="00E66809">
              <w:rPr>
                <w:rFonts w:eastAsia="Arial" w:cs="Arial"/>
              </w:rPr>
              <w:t>.</w:t>
            </w:r>
          </w:p>
          <w:p w14:paraId="7AE2BE0D" w14:textId="77777777" w:rsidR="00286052" w:rsidRPr="00E66809" w:rsidRDefault="00286052">
            <w:pPr>
              <w:jc w:val="both"/>
              <w:rPr>
                <w:rFonts w:eastAsia="Arial" w:cs="Arial"/>
              </w:rPr>
            </w:pPr>
            <w:r w:rsidRPr="00E66809">
              <w:rPr>
                <w:rFonts w:eastAsia="Arial" w:cs="Arial"/>
              </w:rPr>
              <w:t>HMRC are required to ensure all digital services/products purchased and/or operated by HMRC meet public sector accessibility regulations.</w:t>
            </w:r>
          </w:p>
          <w:p w14:paraId="67A1EE6F" w14:textId="77777777" w:rsidR="00286052" w:rsidRPr="00E66809" w:rsidRDefault="00286052">
            <w:pPr>
              <w:jc w:val="both"/>
              <w:rPr>
                <w:rFonts w:eastAsia="Arial" w:cs="Arial"/>
              </w:rPr>
            </w:pPr>
            <w:r w:rsidRPr="00E66809">
              <w:rPr>
                <w:rFonts w:eastAsia="Arial" w:cs="Arial"/>
              </w:rPr>
              <w:t xml:space="preserve">The accessibility questionnaire should therefore be answered in relation to any product(s) or service(s) you intend to </w:t>
            </w:r>
            <w:bookmarkStart w:id="80" w:name="_Hlk203398567"/>
            <w:r w:rsidRPr="00E66809">
              <w:rPr>
                <w:rFonts w:eastAsia="Arial" w:cs="Arial"/>
              </w:rPr>
              <w:t>provide through a web browser, desktop application or mobile application</w:t>
            </w:r>
            <w:bookmarkEnd w:id="80"/>
            <w:r w:rsidRPr="00E66809">
              <w:rPr>
                <w:rFonts w:eastAsia="Arial" w:cs="Arial"/>
              </w:rPr>
              <w:t>, that will be used as part of any contract resulting from this procurement exercise.</w:t>
            </w:r>
          </w:p>
          <w:p w14:paraId="4A44FFF3" w14:textId="77777777" w:rsidR="00286052" w:rsidRPr="00E66809" w:rsidRDefault="00286052">
            <w:pPr>
              <w:jc w:val="both"/>
              <w:rPr>
                <w:rFonts w:cs="Arial"/>
                <w:b/>
              </w:rPr>
            </w:pPr>
            <w:r w:rsidRPr="00E66809">
              <w:rPr>
                <w:rFonts w:eastAsia="Arial" w:cs="Arial"/>
              </w:rPr>
              <w:t>Please respond “Yes” to confirm you have attached a completed version of the accessibility questionnaire.</w:t>
            </w:r>
          </w:p>
        </w:tc>
        <w:tc>
          <w:tcPr>
            <w:tcW w:w="5135" w:type="dxa"/>
            <w:tcBorders>
              <w:top w:val="single" w:sz="6" w:space="0" w:color="000000" w:themeColor="text1"/>
              <w:bottom w:val="single" w:sz="6" w:space="0" w:color="000000" w:themeColor="text1"/>
            </w:tcBorders>
          </w:tcPr>
          <w:p w14:paraId="21508071" w14:textId="77777777" w:rsidR="00FC5051" w:rsidRPr="00FA307B" w:rsidRDefault="00FC5051" w:rsidP="00FC5051">
            <w:pPr>
              <w:tabs>
                <w:tab w:val="left" w:pos="594"/>
              </w:tabs>
              <w:spacing w:after="0" w:line="276" w:lineRule="auto"/>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285C3D6D" w14:textId="75A2DD48" w:rsidR="00FC5051" w:rsidRDefault="00FC5051" w:rsidP="00FC5051">
            <w:pPr>
              <w:tabs>
                <w:tab w:val="left" w:pos="602"/>
              </w:tabs>
              <w:spacing w:after="0" w:line="276" w:lineRule="auto"/>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4EB1CDBB" w14:textId="4D5014E9" w:rsidR="00286052" w:rsidRPr="00E66809" w:rsidRDefault="00286052">
            <w:pPr>
              <w:tabs>
                <w:tab w:val="left" w:pos="602"/>
              </w:tabs>
              <w:spacing w:after="0" w:line="276" w:lineRule="auto"/>
              <w:rPr>
                <w:rFonts w:eastAsia="Arial" w:cs="Calibri"/>
              </w:rPr>
            </w:pPr>
          </w:p>
        </w:tc>
      </w:tr>
      <w:tr w:rsidR="00286052" w:rsidRPr="00605283" w14:paraId="6CA64CEA" w14:textId="77777777" w:rsidTr="006B0E8F">
        <w:trPr>
          <w:trHeight w:val="1701"/>
        </w:trPr>
        <w:tc>
          <w:tcPr>
            <w:tcW w:w="0" w:type="auto"/>
            <w:tcBorders>
              <w:top w:val="single" w:sz="6" w:space="0" w:color="000000" w:themeColor="text1"/>
              <w:bottom w:val="single" w:sz="6" w:space="0" w:color="000000" w:themeColor="text1"/>
            </w:tcBorders>
            <w:shd w:val="clear" w:color="auto" w:fill="F2F2F2" w:themeFill="background1" w:themeFillShade="F2"/>
          </w:tcPr>
          <w:p w14:paraId="55032DB0" w14:textId="46343E44" w:rsidR="00286052" w:rsidRPr="00E66809" w:rsidRDefault="005F2A2C">
            <w:pPr>
              <w:spacing w:after="0" w:line="276" w:lineRule="auto"/>
              <w:rPr>
                <w:rFonts w:eastAsia="Arial" w:cs="Arial"/>
                <w:b/>
              </w:rPr>
            </w:pPr>
            <w:r>
              <w:rPr>
                <w:rFonts w:eastAsia="Arial" w:cs="Arial"/>
                <w:b/>
              </w:rPr>
              <w:t>3.11</w:t>
            </w:r>
          </w:p>
        </w:tc>
        <w:tc>
          <w:tcPr>
            <w:tcW w:w="7262" w:type="dxa"/>
            <w:tcBorders>
              <w:top w:val="single" w:sz="6" w:space="0" w:color="000000" w:themeColor="text1"/>
              <w:bottom w:val="single" w:sz="6" w:space="0" w:color="000000" w:themeColor="text1"/>
            </w:tcBorders>
            <w:shd w:val="clear" w:color="auto" w:fill="F2F2F2" w:themeFill="background1" w:themeFillShade="F2"/>
            <w:vAlign w:val="center"/>
          </w:tcPr>
          <w:p w14:paraId="75FCA1D6" w14:textId="77777777" w:rsidR="00286052" w:rsidRPr="00E66809" w:rsidRDefault="00286052">
            <w:pPr>
              <w:widowControl w:val="0"/>
              <w:jc w:val="both"/>
              <w:rPr>
                <w:rFonts w:cs="Arial"/>
                <w:b/>
              </w:rPr>
            </w:pPr>
            <w:r w:rsidRPr="00E66809">
              <w:rPr>
                <w:rFonts w:cs="Arial"/>
                <w:b/>
              </w:rPr>
              <w:t>Relevant Experience &amp; Capability</w:t>
            </w:r>
          </w:p>
          <w:p w14:paraId="6C42DA37" w14:textId="68476858" w:rsidR="00286052" w:rsidRPr="00E66809" w:rsidRDefault="00286052">
            <w:pPr>
              <w:widowControl w:val="0"/>
              <w:jc w:val="both"/>
              <w:rPr>
                <w:rFonts w:cs="Arial"/>
              </w:rPr>
            </w:pPr>
            <w:r w:rsidRPr="00E66809">
              <w:rPr>
                <w:rFonts w:cs="Arial"/>
              </w:rPr>
              <w:t xml:space="preserve">In no more than 1 side of A4 per case study, provide </w:t>
            </w:r>
            <w:r w:rsidR="00A97DE9">
              <w:rPr>
                <w:rFonts w:cs="Arial"/>
              </w:rPr>
              <w:t>three</w:t>
            </w:r>
            <w:r w:rsidRPr="00E66809">
              <w:rPr>
                <w:rFonts w:cs="Arial"/>
              </w:rPr>
              <w:t xml:space="preserve"> </w:t>
            </w:r>
            <w:r w:rsidR="00A97DE9">
              <w:rPr>
                <w:rFonts w:cs="Arial"/>
              </w:rPr>
              <w:t xml:space="preserve">different </w:t>
            </w:r>
            <w:r w:rsidRPr="00E66809">
              <w:rPr>
                <w:rFonts w:cs="Arial"/>
              </w:rPr>
              <w:t>case studies</w:t>
            </w:r>
            <w:r w:rsidR="004335B5">
              <w:rPr>
                <w:rFonts w:cs="Arial"/>
              </w:rPr>
              <w:t xml:space="preserve"> which evidence</w:t>
            </w:r>
            <w:r w:rsidRPr="00E66809">
              <w:rPr>
                <w:rFonts w:cs="Arial"/>
              </w:rPr>
              <w:t xml:space="preserve"> where you have successfully delivered a</w:t>
            </w:r>
            <w:r w:rsidR="00514D93" w:rsidRPr="00E66809">
              <w:rPr>
                <w:rFonts w:cs="Arial"/>
              </w:rPr>
              <w:t>n enterprise</w:t>
            </w:r>
            <w:r w:rsidR="004335B5">
              <w:rPr>
                <w:rFonts w:cs="Arial"/>
              </w:rPr>
              <w:t>-</w:t>
            </w:r>
            <w:r w:rsidR="00514D93" w:rsidRPr="00E66809">
              <w:rPr>
                <w:rFonts w:cs="Arial"/>
              </w:rPr>
              <w:t>wide</w:t>
            </w:r>
            <w:r w:rsidRPr="00E66809">
              <w:rPr>
                <w:rFonts w:cs="Arial"/>
              </w:rPr>
              <w:t xml:space="preserve"> CRM solution with similar requirements to those outlined by </w:t>
            </w:r>
            <w:r w:rsidR="00C80350">
              <w:rPr>
                <w:rFonts w:cs="Arial"/>
              </w:rPr>
              <w:t>HMRC</w:t>
            </w:r>
            <w:r w:rsidRPr="00E66809">
              <w:rPr>
                <w:rFonts w:cs="Arial"/>
              </w:rPr>
              <w:t xml:space="preserve"> within this document (including Annexes).</w:t>
            </w:r>
          </w:p>
          <w:p w14:paraId="5BBA6A30" w14:textId="02BE4E4D" w:rsidR="00286052" w:rsidRPr="00E66809" w:rsidRDefault="008B61F6">
            <w:pPr>
              <w:widowControl w:val="0"/>
              <w:jc w:val="both"/>
              <w:rPr>
                <w:rFonts w:cs="Arial"/>
                <w:color w:val="000000" w:themeColor="text1"/>
                <w:kern w:val="24"/>
              </w:rPr>
            </w:pPr>
            <w:r w:rsidRPr="00C453EE">
              <w:rPr>
                <w:rFonts w:cs="Arial"/>
                <w:color w:val="000000" w:themeColor="text1"/>
                <w:kern w:val="24"/>
              </w:rPr>
              <w:lastRenderedPageBreak/>
              <w:t xml:space="preserve">Where </w:t>
            </w:r>
            <w:r w:rsidR="00F63BD5" w:rsidRPr="00C453EE">
              <w:rPr>
                <w:rFonts w:cs="Arial"/>
                <w:color w:val="000000" w:themeColor="text1"/>
                <w:kern w:val="24"/>
              </w:rPr>
              <w:t xml:space="preserve">you are bidding as part of a </w:t>
            </w:r>
            <w:r w:rsidR="00D3295A">
              <w:rPr>
                <w:rFonts w:cs="Arial"/>
                <w:color w:val="000000" w:themeColor="text1"/>
                <w:kern w:val="24"/>
              </w:rPr>
              <w:t>consortium</w:t>
            </w:r>
            <w:r w:rsidR="00A840F5">
              <w:rPr>
                <w:rFonts w:cs="Arial"/>
                <w:color w:val="000000" w:themeColor="text1"/>
                <w:kern w:val="24"/>
              </w:rPr>
              <w:t>/with subcontractors</w:t>
            </w:r>
            <w:r w:rsidR="00F63BD5" w:rsidRPr="00C453EE">
              <w:rPr>
                <w:rFonts w:cs="Arial"/>
                <w:color w:val="000000" w:themeColor="text1"/>
                <w:kern w:val="24"/>
              </w:rPr>
              <w:t xml:space="preserve">, </w:t>
            </w:r>
            <w:r w:rsidR="004762A6">
              <w:rPr>
                <w:rFonts w:cs="Arial"/>
                <w:color w:val="000000" w:themeColor="text1"/>
                <w:kern w:val="24"/>
              </w:rPr>
              <w:t>the lead Supplier</w:t>
            </w:r>
            <w:r w:rsidR="00741904" w:rsidRPr="00C453EE">
              <w:rPr>
                <w:rFonts w:cs="Arial"/>
                <w:color w:val="000000" w:themeColor="text1"/>
                <w:kern w:val="24"/>
              </w:rPr>
              <w:t xml:space="preserve"> must be included in all of the case studies. </w:t>
            </w:r>
            <w:r w:rsidR="0034059D" w:rsidRPr="00C453EE">
              <w:rPr>
                <w:rFonts w:cs="Arial"/>
                <w:color w:val="000000" w:themeColor="text1"/>
                <w:kern w:val="24"/>
              </w:rPr>
              <w:t xml:space="preserve">Other Suppliers within the </w:t>
            </w:r>
            <w:r w:rsidR="00D3295A">
              <w:rPr>
                <w:rFonts w:cs="Arial"/>
                <w:color w:val="000000" w:themeColor="text1"/>
                <w:kern w:val="24"/>
              </w:rPr>
              <w:t>consortium</w:t>
            </w:r>
            <w:r w:rsidR="004762A6">
              <w:rPr>
                <w:rFonts w:cs="Arial"/>
                <w:color w:val="000000" w:themeColor="text1"/>
                <w:kern w:val="24"/>
              </w:rPr>
              <w:t>/supply chain</w:t>
            </w:r>
            <w:r w:rsidR="0034059D" w:rsidRPr="00C453EE">
              <w:rPr>
                <w:rFonts w:cs="Arial"/>
                <w:color w:val="000000" w:themeColor="text1"/>
                <w:kern w:val="24"/>
              </w:rPr>
              <w:t xml:space="preserve"> </w:t>
            </w:r>
            <w:r w:rsidR="0023422C" w:rsidRPr="00C453EE">
              <w:rPr>
                <w:rFonts w:cs="Arial"/>
                <w:color w:val="000000" w:themeColor="text1"/>
                <w:kern w:val="24"/>
              </w:rPr>
              <w:t>may also be mentioned within the case studies</w:t>
            </w:r>
            <w:r w:rsidR="00741904" w:rsidRPr="00C453EE">
              <w:rPr>
                <w:rFonts w:cs="Arial"/>
                <w:color w:val="000000" w:themeColor="text1"/>
                <w:kern w:val="24"/>
              </w:rPr>
              <w:t xml:space="preserve"> for reference</w:t>
            </w:r>
            <w:r w:rsidR="0023422C" w:rsidRPr="00C453EE">
              <w:rPr>
                <w:rFonts w:cs="Arial"/>
                <w:color w:val="000000" w:themeColor="text1"/>
                <w:kern w:val="24"/>
              </w:rPr>
              <w:t>.</w:t>
            </w:r>
          </w:p>
          <w:p w14:paraId="1988972B" w14:textId="09D499FB" w:rsidR="00286052" w:rsidRPr="00E66809" w:rsidRDefault="00286052">
            <w:pPr>
              <w:widowControl w:val="0"/>
              <w:jc w:val="both"/>
              <w:rPr>
                <w:rFonts w:cs="Arial"/>
                <w:color w:val="000000" w:themeColor="text1"/>
                <w:kern w:val="24"/>
              </w:rPr>
            </w:pPr>
            <w:r w:rsidRPr="00E66809">
              <w:rPr>
                <w:rFonts w:cs="Arial"/>
                <w:color w:val="000000" w:themeColor="text1"/>
                <w:kern w:val="24"/>
              </w:rPr>
              <w:t xml:space="preserve">Your 3 case studies must include </w:t>
            </w:r>
            <w:r w:rsidR="004335B5" w:rsidRPr="1FBE6A34">
              <w:rPr>
                <w:rFonts w:cs="Arial"/>
                <w:color w:val="000000" w:themeColor="text1"/>
              </w:rPr>
              <w:t xml:space="preserve">at </w:t>
            </w:r>
            <w:r w:rsidR="00BD7E73" w:rsidRPr="1FBE6A34">
              <w:rPr>
                <w:rFonts w:cs="Arial"/>
                <w:color w:val="000000" w:themeColor="text1"/>
              </w:rPr>
              <w:t xml:space="preserve">least </w:t>
            </w:r>
            <w:r w:rsidRPr="00E66809">
              <w:rPr>
                <w:rFonts w:cs="Arial"/>
                <w:color w:val="000000" w:themeColor="text1"/>
                <w:kern w:val="24"/>
              </w:rPr>
              <w:t xml:space="preserve">2 case studies </w:t>
            </w:r>
            <w:r w:rsidR="00A74A15" w:rsidRPr="1FBE6A34">
              <w:rPr>
                <w:rFonts w:cs="Arial"/>
                <w:color w:val="000000" w:themeColor="text1"/>
              </w:rPr>
              <w:t>where your solution has supported at least</w:t>
            </w:r>
            <w:r w:rsidRPr="00E66809">
              <w:rPr>
                <w:rFonts w:cs="Arial"/>
                <w:color w:val="000000" w:themeColor="text1"/>
                <w:kern w:val="24"/>
              </w:rPr>
              <w:t xml:space="preserve"> 5,000 concurrent internal users, and 1 case study </w:t>
            </w:r>
            <w:r w:rsidR="00A74A15" w:rsidRPr="1FBE6A34">
              <w:rPr>
                <w:rFonts w:cs="Arial"/>
                <w:color w:val="000000" w:themeColor="text1"/>
              </w:rPr>
              <w:t>where your solution has supported at</w:t>
            </w:r>
            <w:r w:rsidRPr="00E66809">
              <w:rPr>
                <w:rFonts w:cs="Arial"/>
                <w:color w:val="000000" w:themeColor="text1"/>
                <w:kern w:val="24"/>
              </w:rPr>
              <w:t xml:space="preserve"> least 10,000 concurrent internal users.</w:t>
            </w:r>
          </w:p>
          <w:p w14:paraId="59A07E30" w14:textId="488757F4" w:rsidR="00286052" w:rsidRPr="00E66809" w:rsidRDefault="00286052">
            <w:pPr>
              <w:widowControl w:val="0"/>
              <w:jc w:val="both"/>
              <w:rPr>
                <w:rFonts w:cs="Arial"/>
                <w:color w:val="000000" w:themeColor="text1"/>
                <w:kern w:val="24"/>
              </w:rPr>
            </w:pPr>
            <w:r w:rsidRPr="00E66809">
              <w:rPr>
                <w:rFonts w:cs="Arial"/>
                <w:color w:val="000000" w:themeColor="text1"/>
                <w:kern w:val="24"/>
              </w:rPr>
              <w:t>Each case study must include the below information:</w:t>
            </w:r>
          </w:p>
          <w:p w14:paraId="48F6435F" w14:textId="11D8C6D9" w:rsidR="00286052" w:rsidRPr="00E66809" w:rsidRDefault="00286052" w:rsidP="00C06284">
            <w:pPr>
              <w:pStyle w:val="ListParagraph"/>
              <w:widowControl w:val="0"/>
              <w:numPr>
                <w:ilvl w:val="0"/>
                <w:numId w:val="15"/>
              </w:numPr>
              <w:overflowPunct w:val="0"/>
              <w:autoSpaceDE w:val="0"/>
              <w:autoSpaceDN w:val="0"/>
              <w:adjustRightInd w:val="0"/>
              <w:spacing w:before="120" w:after="120"/>
              <w:ind w:hanging="106"/>
              <w:jc w:val="both"/>
              <w:rPr>
                <w:rFonts w:cs="Arial"/>
              </w:rPr>
            </w:pPr>
            <w:r w:rsidRPr="00E66809">
              <w:rPr>
                <w:rFonts w:cs="Arial"/>
              </w:rPr>
              <w:t xml:space="preserve">Name of </w:t>
            </w:r>
            <w:proofErr w:type="gramStart"/>
            <w:r w:rsidR="004762A6">
              <w:rPr>
                <w:rFonts w:cs="Arial"/>
              </w:rPr>
              <w:t>c</w:t>
            </w:r>
            <w:r w:rsidRPr="00E66809">
              <w:rPr>
                <w:rFonts w:cs="Arial"/>
              </w:rPr>
              <w:t>ustomer;</w:t>
            </w:r>
            <w:proofErr w:type="gramEnd"/>
          </w:p>
          <w:p w14:paraId="2A836376" w14:textId="41185416" w:rsidR="00286052" w:rsidRPr="00E66809" w:rsidRDefault="00286052" w:rsidP="00C06284">
            <w:pPr>
              <w:pStyle w:val="ListParagraph"/>
              <w:widowControl w:val="0"/>
              <w:numPr>
                <w:ilvl w:val="0"/>
                <w:numId w:val="15"/>
              </w:numPr>
              <w:overflowPunct w:val="0"/>
              <w:autoSpaceDE w:val="0"/>
              <w:autoSpaceDN w:val="0"/>
              <w:adjustRightInd w:val="0"/>
              <w:spacing w:before="120" w:after="120"/>
              <w:ind w:hanging="106"/>
              <w:jc w:val="both"/>
              <w:rPr>
                <w:rFonts w:cs="Arial"/>
              </w:rPr>
            </w:pPr>
            <w:r w:rsidRPr="00E66809">
              <w:rPr>
                <w:rFonts w:cs="Arial"/>
              </w:rPr>
              <w:t xml:space="preserve">Contract </w:t>
            </w:r>
            <w:proofErr w:type="gramStart"/>
            <w:r w:rsidR="004762A6">
              <w:rPr>
                <w:rFonts w:cs="Arial"/>
              </w:rPr>
              <w:t>t</w:t>
            </w:r>
            <w:r w:rsidRPr="00E66809">
              <w:rPr>
                <w:rFonts w:cs="Arial"/>
              </w:rPr>
              <w:t>erm;</w:t>
            </w:r>
            <w:proofErr w:type="gramEnd"/>
          </w:p>
          <w:p w14:paraId="0D8B7871" w14:textId="096BEA5F" w:rsidR="00286052" w:rsidRPr="00E66809" w:rsidRDefault="00286052" w:rsidP="00C06284">
            <w:pPr>
              <w:pStyle w:val="ListParagraph"/>
              <w:widowControl w:val="0"/>
              <w:numPr>
                <w:ilvl w:val="0"/>
                <w:numId w:val="15"/>
              </w:numPr>
              <w:overflowPunct w:val="0"/>
              <w:autoSpaceDE w:val="0"/>
              <w:autoSpaceDN w:val="0"/>
              <w:adjustRightInd w:val="0"/>
              <w:spacing w:before="120" w:after="120"/>
              <w:ind w:hanging="106"/>
              <w:jc w:val="both"/>
              <w:rPr>
                <w:rFonts w:cs="Arial"/>
              </w:rPr>
            </w:pPr>
            <w:r w:rsidRPr="00E66809">
              <w:rPr>
                <w:rFonts w:cs="Arial"/>
              </w:rPr>
              <w:t xml:space="preserve">Estimated total contract </w:t>
            </w:r>
            <w:proofErr w:type="gramStart"/>
            <w:r w:rsidRPr="00E66809">
              <w:rPr>
                <w:rFonts w:cs="Arial"/>
              </w:rPr>
              <w:t>value</w:t>
            </w:r>
            <w:r w:rsidR="0085113D">
              <w:rPr>
                <w:rFonts w:cs="Arial"/>
              </w:rPr>
              <w:t>;</w:t>
            </w:r>
            <w:proofErr w:type="gramEnd"/>
          </w:p>
          <w:p w14:paraId="3A9840F9" w14:textId="0C0B040C" w:rsidR="00286052" w:rsidRPr="00E66809" w:rsidRDefault="00286052" w:rsidP="00C06284">
            <w:pPr>
              <w:pStyle w:val="ListParagraph"/>
              <w:widowControl w:val="0"/>
              <w:numPr>
                <w:ilvl w:val="0"/>
                <w:numId w:val="15"/>
              </w:numPr>
              <w:overflowPunct w:val="0"/>
              <w:autoSpaceDE w:val="0"/>
              <w:autoSpaceDN w:val="0"/>
              <w:adjustRightInd w:val="0"/>
              <w:spacing w:before="120" w:after="120"/>
              <w:ind w:hanging="106"/>
              <w:jc w:val="both"/>
              <w:rPr>
                <w:rFonts w:cs="Arial"/>
              </w:rPr>
            </w:pPr>
            <w:r w:rsidRPr="00E66809">
              <w:rPr>
                <w:rFonts w:cs="Arial"/>
              </w:rPr>
              <w:t xml:space="preserve">Contract start and end </w:t>
            </w:r>
            <w:proofErr w:type="gramStart"/>
            <w:r w:rsidRPr="00E66809">
              <w:rPr>
                <w:rFonts w:cs="Arial"/>
              </w:rPr>
              <w:t>dates</w:t>
            </w:r>
            <w:r w:rsidR="0085113D">
              <w:rPr>
                <w:rFonts w:cs="Arial"/>
              </w:rPr>
              <w:t>;</w:t>
            </w:r>
            <w:proofErr w:type="gramEnd"/>
          </w:p>
          <w:p w14:paraId="7E015397" w14:textId="77777777" w:rsidR="00286052" w:rsidRPr="00E66809" w:rsidRDefault="00286052" w:rsidP="00C06284">
            <w:pPr>
              <w:pStyle w:val="ListParagraph"/>
              <w:widowControl w:val="0"/>
              <w:numPr>
                <w:ilvl w:val="0"/>
                <w:numId w:val="15"/>
              </w:numPr>
              <w:overflowPunct w:val="0"/>
              <w:autoSpaceDE w:val="0"/>
              <w:autoSpaceDN w:val="0"/>
              <w:adjustRightInd w:val="0"/>
              <w:spacing w:before="120" w:after="120"/>
              <w:ind w:hanging="106"/>
              <w:jc w:val="both"/>
              <w:rPr>
                <w:rFonts w:cs="Arial"/>
              </w:rPr>
            </w:pPr>
            <w:r w:rsidRPr="00E66809">
              <w:rPr>
                <w:rFonts w:cs="Arial"/>
              </w:rPr>
              <w:t xml:space="preserve">Number of </w:t>
            </w:r>
            <w:proofErr w:type="gramStart"/>
            <w:r w:rsidRPr="00E66809">
              <w:rPr>
                <w:rFonts w:cs="Arial"/>
              </w:rPr>
              <w:t>end</w:t>
            </w:r>
            <w:proofErr w:type="gramEnd"/>
            <w:r w:rsidRPr="00E66809">
              <w:rPr>
                <w:rFonts w:cs="Arial"/>
              </w:rPr>
              <w:t xml:space="preserve"> users;</w:t>
            </w:r>
          </w:p>
          <w:p w14:paraId="13F0BE78" w14:textId="77777777" w:rsidR="00286052" w:rsidRPr="00E66809" w:rsidRDefault="00286052" w:rsidP="00C06284">
            <w:pPr>
              <w:pStyle w:val="ListParagraph"/>
              <w:widowControl w:val="0"/>
              <w:numPr>
                <w:ilvl w:val="0"/>
                <w:numId w:val="15"/>
              </w:numPr>
              <w:overflowPunct w:val="0"/>
              <w:autoSpaceDE w:val="0"/>
              <w:autoSpaceDN w:val="0"/>
              <w:adjustRightInd w:val="0"/>
              <w:spacing w:before="120" w:after="120"/>
              <w:ind w:hanging="106"/>
              <w:jc w:val="both"/>
              <w:rPr>
                <w:rFonts w:cs="Arial"/>
              </w:rPr>
            </w:pPr>
            <w:r w:rsidRPr="00E66809">
              <w:rPr>
                <w:rFonts w:cs="Arial"/>
              </w:rPr>
              <w:t>A brief description of the customer scenario and how your CRM solution addressed this scenario; and</w:t>
            </w:r>
          </w:p>
          <w:p w14:paraId="15C7C9C1" w14:textId="31F25F75" w:rsidR="00286052" w:rsidRPr="00E66809" w:rsidRDefault="00286052" w:rsidP="00C06284">
            <w:pPr>
              <w:pStyle w:val="ListParagraph"/>
              <w:widowControl w:val="0"/>
              <w:numPr>
                <w:ilvl w:val="0"/>
                <w:numId w:val="15"/>
              </w:numPr>
              <w:overflowPunct w:val="0"/>
              <w:autoSpaceDE w:val="0"/>
              <w:autoSpaceDN w:val="0"/>
              <w:adjustRightInd w:val="0"/>
              <w:spacing w:before="120" w:after="120"/>
              <w:ind w:hanging="106"/>
              <w:jc w:val="both"/>
              <w:rPr>
                <w:rFonts w:cs="Arial"/>
              </w:rPr>
            </w:pPr>
            <w:r w:rsidRPr="00E66809">
              <w:rPr>
                <w:rFonts w:cs="Arial"/>
              </w:rPr>
              <w:t>A named c</w:t>
            </w:r>
            <w:r w:rsidR="004762A6">
              <w:rPr>
                <w:rFonts w:cs="Arial"/>
              </w:rPr>
              <w:t xml:space="preserve">ustomer </w:t>
            </w:r>
            <w:proofErr w:type="gramStart"/>
            <w:r w:rsidRPr="00E66809">
              <w:rPr>
                <w:rFonts w:cs="Arial"/>
              </w:rPr>
              <w:t>contact</w:t>
            </w:r>
            <w:proofErr w:type="gramEnd"/>
            <w:r w:rsidRPr="00E66809">
              <w:rPr>
                <w:rFonts w:cs="Arial"/>
              </w:rPr>
              <w:t>.</w:t>
            </w:r>
          </w:p>
          <w:p w14:paraId="2C93A185" w14:textId="292A49C0" w:rsidR="00286052" w:rsidRPr="00E66809" w:rsidRDefault="001839DA">
            <w:pPr>
              <w:widowControl w:val="0"/>
              <w:tabs>
                <w:tab w:val="left" w:pos="0"/>
              </w:tabs>
              <w:overflowPunct w:val="0"/>
              <w:autoSpaceDE w:val="0"/>
              <w:autoSpaceDN w:val="0"/>
              <w:adjustRightInd w:val="0"/>
              <w:jc w:val="both"/>
              <w:rPr>
                <w:rFonts w:eastAsia="Arial" w:cs="Arial"/>
              </w:rPr>
            </w:pPr>
            <w:r>
              <w:rPr>
                <w:rFonts w:cs="Arial"/>
              </w:rPr>
              <w:t>HMRC</w:t>
            </w:r>
            <w:r w:rsidR="00286052" w:rsidRPr="00E66809">
              <w:rPr>
                <w:rFonts w:cs="Arial"/>
              </w:rPr>
              <w:t xml:space="preserve"> reserves the right to conduct due diligence on this response by contacting the named c</w:t>
            </w:r>
            <w:r w:rsidR="004762A6">
              <w:rPr>
                <w:rFonts w:cs="Arial"/>
              </w:rPr>
              <w:t xml:space="preserve">ustomer </w:t>
            </w:r>
            <w:r w:rsidR="00286052" w:rsidRPr="00E66809">
              <w:rPr>
                <w:rFonts w:cs="Arial"/>
              </w:rPr>
              <w:t>contact to verify the information provided.</w:t>
            </w:r>
          </w:p>
        </w:tc>
        <w:tc>
          <w:tcPr>
            <w:tcW w:w="5135" w:type="dxa"/>
            <w:tcBorders>
              <w:top w:val="single" w:sz="6" w:space="0" w:color="000000" w:themeColor="text1"/>
              <w:bottom w:val="single" w:sz="6" w:space="0" w:color="000000" w:themeColor="text1"/>
            </w:tcBorders>
          </w:tcPr>
          <w:p w14:paraId="09A7FB8F" w14:textId="679BC269" w:rsidR="00286052" w:rsidRDefault="00E75C1D">
            <w:pPr>
              <w:tabs>
                <w:tab w:val="left" w:pos="602"/>
              </w:tabs>
              <w:spacing w:after="0" w:line="276" w:lineRule="auto"/>
              <w:rPr>
                <w:rFonts w:eastAsia="Arial" w:cs="Calibri"/>
              </w:rPr>
            </w:pPr>
            <w:r>
              <w:rPr>
                <w:rFonts w:eastAsia="Arial" w:cs="Calibri"/>
              </w:rPr>
              <w:lastRenderedPageBreak/>
              <w:t>500 words</w:t>
            </w:r>
            <w:r w:rsidR="002021F9">
              <w:rPr>
                <w:rFonts w:eastAsia="Arial" w:cs="Calibri"/>
              </w:rPr>
              <w:t xml:space="preserve"> per case study (</w:t>
            </w:r>
            <w:r>
              <w:rPr>
                <w:rFonts w:eastAsia="Arial" w:cs="Calibri"/>
              </w:rPr>
              <w:t>1</w:t>
            </w:r>
            <w:r w:rsidR="00455751">
              <w:rPr>
                <w:rFonts w:eastAsia="Arial" w:cs="Calibri"/>
              </w:rPr>
              <w:t>,</w:t>
            </w:r>
            <w:r>
              <w:rPr>
                <w:rFonts w:eastAsia="Arial" w:cs="Calibri"/>
              </w:rPr>
              <w:t>500</w:t>
            </w:r>
            <w:r w:rsidR="002021F9">
              <w:rPr>
                <w:rFonts w:eastAsia="Arial" w:cs="Calibri"/>
              </w:rPr>
              <w:t xml:space="preserve"> </w:t>
            </w:r>
            <w:r>
              <w:rPr>
                <w:rFonts w:eastAsia="Arial" w:cs="Calibri"/>
              </w:rPr>
              <w:t xml:space="preserve">words in </w:t>
            </w:r>
            <w:r w:rsidR="002021F9">
              <w:rPr>
                <w:rFonts w:eastAsia="Arial" w:cs="Calibri"/>
              </w:rPr>
              <w:t>total)</w:t>
            </w:r>
          </w:p>
          <w:p w14:paraId="6399AE6B" w14:textId="77777777" w:rsidR="002021F9" w:rsidRDefault="002021F9">
            <w:pPr>
              <w:tabs>
                <w:tab w:val="left" w:pos="602"/>
              </w:tabs>
              <w:spacing w:after="0" w:line="276" w:lineRule="auto"/>
              <w:rPr>
                <w:rFonts w:eastAsia="Arial" w:cs="Calibri"/>
              </w:rPr>
            </w:pPr>
          </w:p>
          <w:p w14:paraId="36A82BD5" w14:textId="305E60AA" w:rsidR="00286052" w:rsidRPr="00E66809" w:rsidRDefault="00286052">
            <w:pPr>
              <w:tabs>
                <w:tab w:val="left" w:pos="602"/>
              </w:tabs>
              <w:spacing w:after="0" w:line="276" w:lineRule="auto"/>
              <w:rPr>
                <w:rFonts w:eastAsia="Arial" w:cs="Calibri"/>
              </w:rPr>
            </w:pPr>
          </w:p>
        </w:tc>
      </w:tr>
      <w:tr w:rsidR="00286052" w:rsidRPr="00605283" w14:paraId="78543A3F" w14:textId="77777777" w:rsidTr="006B0E8F">
        <w:trPr>
          <w:trHeight w:val="411"/>
        </w:trPr>
        <w:tc>
          <w:tcPr>
            <w:tcW w:w="0" w:type="auto"/>
            <w:tcBorders>
              <w:top w:val="single" w:sz="6" w:space="0" w:color="000000" w:themeColor="text1"/>
              <w:bottom w:val="single" w:sz="6" w:space="0" w:color="000000" w:themeColor="text1"/>
            </w:tcBorders>
            <w:shd w:val="clear" w:color="auto" w:fill="F2F2F2" w:themeFill="background1" w:themeFillShade="F2"/>
          </w:tcPr>
          <w:p w14:paraId="42E1923C" w14:textId="744534D4" w:rsidR="00286052" w:rsidRPr="00E66809" w:rsidRDefault="00AB5A24">
            <w:pPr>
              <w:spacing w:after="0" w:line="276" w:lineRule="auto"/>
              <w:rPr>
                <w:rFonts w:eastAsia="Arial" w:cs="Arial"/>
                <w:b/>
              </w:rPr>
            </w:pPr>
            <w:r>
              <w:rPr>
                <w:rFonts w:eastAsia="Arial" w:cs="Arial"/>
                <w:b/>
              </w:rPr>
              <w:t>3.12</w:t>
            </w:r>
          </w:p>
        </w:tc>
        <w:tc>
          <w:tcPr>
            <w:tcW w:w="7262" w:type="dxa"/>
            <w:tcBorders>
              <w:top w:val="single" w:sz="6" w:space="0" w:color="000000" w:themeColor="text1"/>
              <w:bottom w:val="single" w:sz="6" w:space="0" w:color="000000" w:themeColor="text1"/>
            </w:tcBorders>
            <w:shd w:val="clear" w:color="auto" w:fill="F2F2F2" w:themeFill="background1" w:themeFillShade="F2"/>
            <w:vAlign w:val="center"/>
          </w:tcPr>
          <w:p w14:paraId="62B3F0EB" w14:textId="31260C12" w:rsidR="00286052" w:rsidRPr="00E66809" w:rsidRDefault="00286052">
            <w:pPr>
              <w:spacing w:before="100" w:beforeAutospacing="1" w:after="100" w:afterAutospacing="1"/>
              <w:jc w:val="both"/>
              <w:rPr>
                <w:rFonts w:cs="Arial"/>
                <w:b/>
                <w:color w:val="000000"/>
              </w:rPr>
            </w:pPr>
            <w:r w:rsidRPr="00E66809">
              <w:rPr>
                <w:rFonts w:cs="Arial"/>
                <w:b/>
                <w:color w:val="000000"/>
              </w:rPr>
              <w:t>Fitness for Purpose</w:t>
            </w:r>
          </w:p>
          <w:p w14:paraId="2C2E6181" w14:textId="67F6D2D9" w:rsidR="00286052" w:rsidRPr="00E66809" w:rsidRDefault="00286052">
            <w:pPr>
              <w:spacing w:before="100" w:beforeAutospacing="1" w:after="100" w:afterAutospacing="1"/>
              <w:jc w:val="both"/>
              <w:rPr>
                <w:rFonts w:cs="Arial"/>
                <w:color w:val="000000"/>
              </w:rPr>
            </w:pPr>
            <w:r w:rsidRPr="00E66809">
              <w:rPr>
                <w:rFonts w:cs="Arial"/>
                <w:color w:val="000000" w:themeColor="text1"/>
              </w:rPr>
              <w:t xml:space="preserve">Using one or more of the case studies provided in your response to </w:t>
            </w:r>
            <w:r w:rsidR="00E228C0" w:rsidRPr="00E228C0">
              <w:rPr>
                <w:rFonts w:cs="Arial"/>
                <w:color w:val="000000" w:themeColor="text1"/>
              </w:rPr>
              <w:t>3.11</w:t>
            </w:r>
            <w:r w:rsidRPr="00E66809">
              <w:rPr>
                <w:rFonts w:cs="Arial"/>
                <w:color w:val="000000" w:themeColor="text1"/>
              </w:rPr>
              <w:t>, please answer the following questions:</w:t>
            </w:r>
          </w:p>
          <w:p w14:paraId="0A5F6E8E" w14:textId="66005D72" w:rsidR="00286052" w:rsidRPr="00E66809" w:rsidRDefault="002A3E91" w:rsidP="00C06284">
            <w:pPr>
              <w:pStyle w:val="ListParagraph"/>
              <w:widowControl w:val="0"/>
              <w:numPr>
                <w:ilvl w:val="0"/>
                <w:numId w:val="17"/>
              </w:numPr>
              <w:overflowPunct w:val="0"/>
              <w:autoSpaceDE w:val="0"/>
              <w:autoSpaceDN w:val="0"/>
              <w:adjustRightInd w:val="0"/>
              <w:spacing w:before="120" w:after="120"/>
              <w:ind w:hanging="110"/>
              <w:jc w:val="both"/>
              <w:rPr>
                <w:rFonts w:cs="Arial"/>
                <w:color w:val="000000"/>
              </w:rPr>
            </w:pPr>
            <w:r>
              <w:rPr>
                <w:rFonts w:cs="Arial"/>
              </w:rPr>
              <w:t>How</w:t>
            </w:r>
            <w:r w:rsidR="00286052" w:rsidRPr="00E66809">
              <w:rPr>
                <w:rFonts w:cs="Arial"/>
              </w:rPr>
              <w:t xml:space="preserve"> did the software meet</w:t>
            </w:r>
            <w:r w:rsidR="001D5674">
              <w:rPr>
                <w:rFonts w:cs="Arial"/>
              </w:rPr>
              <w:t xml:space="preserve"> and/or exceed</w:t>
            </w:r>
            <w:r w:rsidR="00286052" w:rsidRPr="00E66809">
              <w:rPr>
                <w:rFonts w:cs="Arial"/>
              </w:rPr>
              <w:t xml:space="preserve"> the functional needs and expectations of users across the organisation?</w:t>
            </w:r>
          </w:p>
          <w:p w14:paraId="0A20E527" w14:textId="35B3CDA4" w:rsidR="00286052" w:rsidRPr="00E66809" w:rsidRDefault="00286052" w:rsidP="00C06284">
            <w:pPr>
              <w:pStyle w:val="ListParagraph"/>
              <w:widowControl w:val="0"/>
              <w:numPr>
                <w:ilvl w:val="0"/>
                <w:numId w:val="17"/>
              </w:numPr>
              <w:overflowPunct w:val="0"/>
              <w:autoSpaceDE w:val="0"/>
              <w:autoSpaceDN w:val="0"/>
              <w:adjustRightInd w:val="0"/>
              <w:spacing w:before="120" w:after="120"/>
              <w:ind w:hanging="110"/>
              <w:jc w:val="both"/>
              <w:rPr>
                <w:rFonts w:cs="Arial"/>
                <w:color w:val="000000"/>
              </w:rPr>
            </w:pPr>
            <w:r w:rsidRPr="00E66809">
              <w:rPr>
                <w:rFonts w:cs="Arial"/>
                <w:color w:val="000000"/>
              </w:rPr>
              <w:t xml:space="preserve">How did you measure whether the functional needs and expectations of users </w:t>
            </w:r>
            <w:r w:rsidR="00D67480">
              <w:rPr>
                <w:rFonts w:cs="Arial"/>
                <w:color w:val="000000"/>
              </w:rPr>
              <w:t>were</w:t>
            </w:r>
            <w:r w:rsidRPr="00E66809">
              <w:rPr>
                <w:rFonts w:cs="Arial"/>
                <w:color w:val="000000"/>
              </w:rPr>
              <w:t xml:space="preserve"> met</w:t>
            </w:r>
            <w:r w:rsidR="00576B23">
              <w:rPr>
                <w:rFonts w:cs="Arial"/>
                <w:color w:val="000000"/>
              </w:rPr>
              <w:t xml:space="preserve"> and/or exceeded</w:t>
            </w:r>
            <w:r w:rsidRPr="00E66809">
              <w:rPr>
                <w:rFonts w:cs="Arial"/>
                <w:color w:val="000000"/>
              </w:rPr>
              <w:t>?</w:t>
            </w:r>
          </w:p>
          <w:p w14:paraId="2B03B90C" w14:textId="5F03CC3E" w:rsidR="00286052" w:rsidRPr="00E66809" w:rsidRDefault="002A3E91" w:rsidP="00C06284">
            <w:pPr>
              <w:pStyle w:val="ListParagraph"/>
              <w:widowControl w:val="0"/>
              <w:numPr>
                <w:ilvl w:val="0"/>
                <w:numId w:val="17"/>
              </w:numPr>
              <w:overflowPunct w:val="0"/>
              <w:autoSpaceDE w:val="0"/>
              <w:autoSpaceDN w:val="0"/>
              <w:adjustRightInd w:val="0"/>
              <w:spacing w:before="120" w:after="120"/>
              <w:ind w:hanging="110"/>
              <w:jc w:val="both"/>
              <w:rPr>
                <w:rFonts w:cs="Arial"/>
                <w:color w:val="000000"/>
              </w:rPr>
            </w:pPr>
            <w:r>
              <w:rPr>
                <w:rFonts w:cs="Arial"/>
                <w:color w:val="000000"/>
              </w:rPr>
              <w:t>How</w:t>
            </w:r>
            <w:r w:rsidR="00286052" w:rsidRPr="00E66809">
              <w:rPr>
                <w:rFonts w:cs="Arial"/>
                <w:color w:val="000000"/>
              </w:rPr>
              <w:t xml:space="preserve"> was the business / customer able to configure the software to meet their requirements</w:t>
            </w:r>
            <w:r w:rsidR="005A5503">
              <w:rPr>
                <w:rFonts w:cs="Arial"/>
                <w:color w:val="000000"/>
              </w:rPr>
              <w:t xml:space="preserve"> and what, if any, custom development was required</w:t>
            </w:r>
            <w:r w:rsidR="00286052" w:rsidRPr="00E66809">
              <w:rPr>
                <w:rFonts w:cs="Arial"/>
                <w:color w:val="000000"/>
              </w:rPr>
              <w:t>?</w:t>
            </w:r>
          </w:p>
          <w:p w14:paraId="31C807D0" w14:textId="668991E5" w:rsidR="00C32CAB" w:rsidRPr="00E66809" w:rsidRDefault="002A3E91" w:rsidP="00C06284">
            <w:pPr>
              <w:pStyle w:val="ListParagraph"/>
              <w:widowControl w:val="0"/>
              <w:numPr>
                <w:ilvl w:val="0"/>
                <w:numId w:val="17"/>
              </w:numPr>
              <w:overflowPunct w:val="0"/>
              <w:autoSpaceDE w:val="0"/>
              <w:autoSpaceDN w:val="0"/>
              <w:adjustRightInd w:val="0"/>
              <w:spacing w:before="120" w:after="120"/>
              <w:ind w:hanging="110"/>
              <w:jc w:val="both"/>
              <w:rPr>
                <w:rFonts w:cs="Arial"/>
                <w:color w:val="000000"/>
              </w:rPr>
            </w:pPr>
            <w:r>
              <w:rPr>
                <w:rFonts w:cs="Arial"/>
                <w:color w:val="000000"/>
              </w:rPr>
              <w:lastRenderedPageBreak/>
              <w:t>How</w:t>
            </w:r>
            <w:r w:rsidR="00C32CAB" w:rsidRPr="00E66809">
              <w:rPr>
                <w:rFonts w:cs="Arial"/>
                <w:color w:val="000000"/>
              </w:rPr>
              <w:t xml:space="preserve"> d</w:t>
            </w:r>
            <w:r w:rsidR="00B75593" w:rsidRPr="00E66809">
              <w:rPr>
                <w:rFonts w:cs="Arial"/>
                <w:color w:val="000000"/>
              </w:rPr>
              <w:t xml:space="preserve">id the </w:t>
            </w:r>
            <w:r w:rsidR="00E86DCE">
              <w:rPr>
                <w:rFonts w:cs="Arial"/>
                <w:color w:val="000000"/>
              </w:rPr>
              <w:t>software solution</w:t>
            </w:r>
            <w:r w:rsidR="00B75593">
              <w:rPr>
                <w:rFonts w:cs="Arial"/>
                <w:color w:val="000000"/>
              </w:rPr>
              <w:t xml:space="preserve"> </w:t>
            </w:r>
            <w:r w:rsidR="00B75593" w:rsidRPr="00E66809">
              <w:rPr>
                <w:rFonts w:cs="Arial"/>
                <w:color w:val="000000"/>
              </w:rPr>
              <w:t>need to rely on</w:t>
            </w:r>
            <w:r w:rsidR="00C32CAB" w:rsidRPr="00E66809">
              <w:rPr>
                <w:rFonts w:cs="Arial"/>
                <w:color w:val="000000"/>
              </w:rPr>
              <w:t xml:space="preserve"> bolt-on capabilities within their ecosystems or through</w:t>
            </w:r>
            <w:r w:rsidR="008614A0">
              <w:rPr>
                <w:rFonts w:cs="Arial"/>
                <w:color w:val="000000"/>
              </w:rPr>
              <w:t xml:space="preserve"> additional</w:t>
            </w:r>
            <w:r w:rsidR="00C32CAB" w:rsidRPr="00E66809">
              <w:rPr>
                <w:rFonts w:cs="Arial"/>
                <w:color w:val="000000"/>
              </w:rPr>
              <w:t xml:space="preserve"> partnerships</w:t>
            </w:r>
            <w:r w:rsidR="00B75593" w:rsidRPr="00E66809">
              <w:rPr>
                <w:rFonts w:cs="Arial"/>
                <w:color w:val="000000"/>
              </w:rPr>
              <w:t xml:space="preserve"> to meet all the functional needs</w:t>
            </w:r>
            <w:r w:rsidR="00315122">
              <w:rPr>
                <w:rFonts w:cs="Arial"/>
                <w:color w:val="000000"/>
              </w:rPr>
              <w:t>?</w:t>
            </w:r>
          </w:p>
          <w:p w14:paraId="48DEDDD2" w14:textId="5B9BC834" w:rsidR="00286052" w:rsidRPr="00E66809" w:rsidRDefault="00286052" w:rsidP="00C06284">
            <w:pPr>
              <w:pStyle w:val="ListParagraph"/>
              <w:widowControl w:val="0"/>
              <w:numPr>
                <w:ilvl w:val="0"/>
                <w:numId w:val="17"/>
              </w:numPr>
              <w:overflowPunct w:val="0"/>
              <w:autoSpaceDE w:val="0"/>
              <w:autoSpaceDN w:val="0"/>
              <w:adjustRightInd w:val="0"/>
              <w:spacing w:before="120" w:after="120"/>
              <w:ind w:hanging="110"/>
              <w:jc w:val="both"/>
              <w:rPr>
                <w:rFonts w:cs="Arial"/>
                <w:color w:val="000000"/>
              </w:rPr>
            </w:pPr>
            <w:r w:rsidRPr="00E66809">
              <w:rPr>
                <w:rFonts w:cs="Arial"/>
                <w:color w:val="000000"/>
              </w:rPr>
              <w:t>How many instances (or your platform’s equivalent) were used in order to deliver the customer’s requirements? Include metrics to support your response e.g. number of use cases / personas / entities</w:t>
            </w:r>
            <w:r w:rsidR="00AF75DA">
              <w:rPr>
                <w:rFonts w:cs="Arial"/>
                <w:color w:val="000000"/>
              </w:rPr>
              <w:t>/</w:t>
            </w:r>
            <w:r w:rsidR="002F6DD4">
              <w:rPr>
                <w:rFonts w:cs="Arial"/>
                <w:color w:val="000000"/>
              </w:rPr>
              <w:t xml:space="preserve">costs and </w:t>
            </w:r>
            <w:r w:rsidR="001744AD">
              <w:rPr>
                <w:rFonts w:cs="Arial"/>
                <w:color w:val="000000"/>
              </w:rPr>
              <w:t>efficienc</w:t>
            </w:r>
            <w:r w:rsidR="006E7A02">
              <w:rPr>
                <w:rFonts w:cs="Arial"/>
                <w:color w:val="000000"/>
              </w:rPr>
              <w:t>y savings</w:t>
            </w:r>
            <w:r w:rsidRPr="00E66809">
              <w:rPr>
                <w:rFonts w:cs="Arial"/>
                <w:color w:val="000000"/>
              </w:rPr>
              <w:t>.</w:t>
            </w:r>
          </w:p>
          <w:p w14:paraId="3250C917" w14:textId="48B9EC0A" w:rsidR="00286052" w:rsidRPr="00E66809" w:rsidRDefault="00286052" w:rsidP="00C06284">
            <w:pPr>
              <w:pStyle w:val="ListParagraph"/>
              <w:widowControl w:val="0"/>
              <w:numPr>
                <w:ilvl w:val="0"/>
                <w:numId w:val="17"/>
              </w:numPr>
              <w:overflowPunct w:val="0"/>
              <w:autoSpaceDE w:val="0"/>
              <w:autoSpaceDN w:val="0"/>
              <w:adjustRightInd w:val="0"/>
              <w:spacing w:before="120" w:after="120"/>
              <w:ind w:hanging="110"/>
              <w:jc w:val="both"/>
              <w:rPr>
                <w:rFonts w:eastAsia="Arial" w:cs="Arial"/>
              </w:rPr>
            </w:pPr>
            <w:r w:rsidRPr="00E66809">
              <w:rPr>
                <w:rFonts w:cs="Arial"/>
              </w:rPr>
              <w:t>Did any critical gaps or unexpected capabili</w:t>
            </w:r>
            <w:r w:rsidR="00DB4DCF">
              <w:rPr>
                <w:rFonts w:cs="Arial"/>
              </w:rPr>
              <w:t>ty needs</w:t>
            </w:r>
            <w:r w:rsidRPr="00E66809">
              <w:rPr>
                <w:rFonts w:cs="Arial"/>
              </w:rPr>
              <w:t xml:space="preserve"> arise during the contract, and if </w:t>
            </w:r>
            <w:proofErr w:type="gramStart"/>
            <w:r w:rsidRPr="00E66809">
              <w:rPr>
                <w:rFonts w:cs="Arial"/>
              </w:rPr>
              <w:t>so</w:t>
            </w:r>
            <w:proofErr w:type="gramEnd"/>
            <w:r w:rsidRPr="00E66809">
              <w:rPr>
                <w:rFonts w:cs="Arial"/>
              </w:rPr>
              <w:t xml:space="preserve"> how were these managed</w:t>
            </w:r>
            <w:r w:rsidR="00C43613">
              <w:rPr>
                <w:rFonts w:cs="Arial"/>
              </w:rPr>
              <w:t xml:space="preserve"> in line with the expectations of the customer</w:t>
            </w:r>
            <w:r w:rsidRPr="00E66809">
              <w:rPr>
                <w:rFonts w:cs="Arial"/>
              </w:rPr>
              <w:t>?</w:t>
            </w:r>
          </w:p>
        </w:tc>
        <w:tc>
          <w:tcPr>
            <w:tcW w:w="5135" w:type="dxa"/>
            <w:tcBorders>
              <w:top w:val="single" w:sz="6" w:space="0" w:color="000000" w:themeColor="text1"/>
              <w:bottom w:val="single" w:sz="6" w:space="0" w:color="000000" w:themeColor="text1"/>
            </w:tcBorders>
          </w:tcPr>
          <w:p w14:paraId="159F66F9" w14:textId="7E57C53A" w:rsidR="00286052" w:rsidRDefault="002021F9">
            <w:pPr>
              <w:tabs>
                <w:tab w:val="left" w:pos="602"/>
              </w:tabs>
              <w:spacing w:after="0" w:line="276" w:lineRule="auto"/>
              <w:rPr>
                <w:rFonts w:eastAsia="Arial" w:cs="Calibri"/>
              </w:rPr>
            </w:pPr>
            <w:r>
              <w:rPr>
                <w:rFonts w:eastAsia="Arial" w:cs="Calibri"/>
              </w:rPr>
              <w:lastRenderedPageBreak/>
              <w:t>Word Limit: 1,500 words</w:t>
            </w:r>
          </w:p>
          <w:p w14:paraId="2EB267EC" w14:textId="77777777" w:rsidR="002021F9" w:rsidRDefault="002021F9">
            <w:pPr>
              <w:tabs>
                <w:tab w:val="left" w:pos="602"/>
              </w:tabs>
              <w:spacing w:after="0" w:line="276" w:lineRule="auto"/>
              <w:rPr>
                <w:rFonts w:eastAsia="Arial" w:cs="Calibri"/>
              </w:rPr>
            </w:pPr>
          </w:p>
          <w:p w14:paraId="603F52B1" w14:textId="722A8B90" w:rsidR="00286052" w:rsidRPr="00E66809" w:rsidRDefault="002021F9">
            <w:pPr>
              <w:tabs>
                <w:tab w:val="left" w:pos="602"/>
              </w:tabs>
              <w:spacing w:after="0" w:line="276" w:lineRule="auto"/>
              <w:rPr>
                <w:rFonts w:eastAsia="Arial" w:cs="Calibri"/>
              </w:rPr>
            </w:pPr>
            <w:r>
              <w:rPr>
                <w:rFonts w:eastAsia="Arial" w:cs="Calibri"/>
              </w:rPr>
              <w:t>Weighting: 25%</w:t>
            </w:r>
          </w:p>
        </w:tc>
      </w:tr>
      <w:tr w:rsidR="00286052" w:rsidRPr="00605283" w14:paraId="6EB23788" w14:textId="77777777" w:rsidTr="006B0E8F">
        <w:trPr>
          <w:trHeight w:val="1701"/>
        </w:trPr>
        <w:tc>
          <w:tcPr>
            <w:tcW w:w="0" w:type="auto"/>
            <w:tcBorders>
              <w:top w:val="single" w:sz="6" w:space="0" w:color="000000" w:themeColor="text1"/>
              <w:bottom w:val="single" w:sz="6" w:space="0" w:color="000000" w:themeColor="text1"/>
            </w:tcBorders>
            <w:shd w:val="clear" w:color="auto" w:fill="F2F2F2" w:themeFill="background1" w:themeFillShade="F2"/>
          </w:tcPr>
          <w:p w14:paraId="524B7CF2" w14:textId="7ACA9309" w:rsidR="00286052" w:rsidRPr="00E66809" w:rsidRDefault="00E228C0">
            <w:pPr>
              <w:spacing w:after="0" w:line="276" w:lineRule="auto"/>
              <w:rPr>
                <w:rFonts w:eastAsia="Arial" w:cs="Arial"/>
                <w:b/>
              </w:rPr>
            </w:pPr>
            <w:r>
              <w:rPr>
                <w:rFonts w:eastAsia="Arial" w:cs="Arial"/>
                <w:b/>
              </w:rPr>
              <w:t>3.13</w:t>
            </w:r>
          </w:p>
        </w:tc>
        <w:tc>
          <w:tcPr>
            <w:tcW w:w="7262" w:type="dxa"/>
            <w:tcBorders>
              <w:top w:val="single" w:sz="6" w:space="0" w:color="000000" w:themeColor="text1"/>
              <w:bottom w:val="single" w:sz="6" w:space="0" w:color="000000" w:themeColor="text1"/>
            </w:tcBorders>
            <w:shd w:val="clear" w:color="auto" w:fill="F2F2F2" w:themeFill="background1" w:themeFillShade="F2"/>
            <w:vAlign w:val="center"/>
          </w:tcPr>
          <w:p w14:paraId="350525B5" w14:textId="77777777" w:rsidR="00286052" w:rsidRPr="00E66809" w:rsidRDefault="00286052">
            <w:pPr>
              <w:spacing w:before="100" w:beforeAutospacing="1" w:after="100" w:afterAutospacing="1"/>
              <w:rPr>
                <w:b/>
                <w:color w:val="000000"/>
              </w:rPr>
            </w:pPr>
            <w:r w:rsidRPr="00E66809">
              <w:rPr>
                <w:b/>
                <w:color w:val="000000"/>
              </w:rPr>
              <w:t>Scalability</w:t>
            </w:r>
          </w:p>
          <w:p w14:paraId="218469C5" w14:textId="035F7FAA" w:rsidR="00286052" w:rsidRPr="00E66809" w:rsidRDefault="00286052">
            <w:pPr>
              <w:spacing w:before="100" w:beforeAutospacing="1" w:after="100" w:afterAutospacing="1"/>
              <w:rPr>
                <w:color w:val="000000"/>
              </w:rPr>
            </w:pPr>
            <w:r w:rsidRPr="00E66809">
              <w:rPr>
                <w:color w:val="000000"/>
              </w:rPr>
              <w:t xml:space="preserve">Using one or more of the case studies provided in your response to </w:t>
            </w:r>
            <w:r w:rsidR="00E228C0" w:rsidRPr="00E228C0">
              <w:rPr>
                <w:rFonts w:cs="Arial"/>
                <w:color w:val="000000" w:themeColor="text1"/>
              </w:rPr>
              <w:t>3.11</w:t>
            </w:r>
            <w:r w:rsidRPr="00E66809">
              <w:rPr>
                <w:color w:val="000000"/>
              </w:rPr>
              <w:t>, please answer the following questions:</w:t>
            </w:r>
          </w:p>
          <w:p w14:paraId="6FDA7C50" w14:textId="4AAB511F" w:rsidR="00286052" w:rsidRPr="00E66809" w:rsidRDefault="00286052" w:rsidP="00C06284">
            <w:pPr>
              <w:pStyle w:val="ListParagraph"/>
              <w:numPr>
                <w:ilvl w:val="0"/>
                <w:numId w:val="24"/>
              </w:numPr>
              <w:overflowPunct w:val="0"/>
              <w:autoSpaceDE w:val="0"/>
              <w:autoSpaceDN w:val="0"/>
              <w:spacing w:before="120" w:after="120"/>
              <w:ind w:hanging="111"/>
              <w:jc w:val="both"/>
            </w:pPr>
            <w:r w:rsidRPr="00E66809">
              <w:t>How did the software scale to support the intended number of users and customers</w:t>
            </w:r>
            <w:r w:rsidR="005D08F4">
              <w:t xml:space="preserve"> and what associated tooling was utilised</w:t>
            </w:r>
            <w:r w:rsidRPr="00E66809">
              <w:t>?</w:t>
            </w:r>
          </w:p>
          <w:p w14:paraId="480A9E7D" w14:textId="7AE8EA3F" w:rsidR="00286052" w:rsidRPr="00546950" w:rsidRDefault="00286052" w:rsidP="00546950">
            <w:pPr>
              <w:pStyle w:val="ListParagraph"/>
              <w:numPr>
                <w:ilvl w:val="0"/>
                <w:numId w:val="24"/>
              </w:numPr>
              <w:overflowPunct w:val="0"/>
              <w:autoSpaceDE w:val="0"/>
              <w:autoSpaceDN w:val="0"/>
              <w:spacing w:before="120" w:after="120"/>
              <w:ind w:hanging="111"/>
              <w:jc w:val="both"/>
              <w:rPr>
                <w:rFonts w:eastAsia="Arial" w:cs="Arial"/>
              </w:rPr>
            </w:pPr>
            <w:r w:rsidRPr="00E66809">
              <w:t xml:space="preserve">How did your solution handle </w:t>
            </w:r>
            <w:proofErr w:type="gramStart"/>
            <w:r w:rsidRPr="00E66809">
              <w:t>peaks</w:t>
            </w:r>
            <w:proofErr w:type="gramEnd"/>
            <w:r w:rsidRPr="00E66809">
              <w:t xml:space="preserve"> in usage without causing service degradation?</w:t>
            </w:r>
          </w:p>
        </w:tc>
        <w:tc>
          <w:tcPr>
            <w:tcW w:w="5135" w:type="dxa"/>
            <w:tcBorders>
              <w:top w:val="single" w:sz="6" w:space="0" w:color="000000" w:themeColor="text1"/>
              <w:bottom w:val="single" w:sz="6" w:space="0" w:color="000000" w:themeColor="text1"/>
            </w:tcBorders>
          </w:tcPr>
          <w:p w14:paraId="0291915E" w14:textId="765C6135" w:rsidR="002021F9" w:rsidRDefault="002021F9" w:rsidP="002021F9">
            <w:pPr>
              <w:tabs>
                <w:tab w:val="left" w:pos="602"/>
              </w:tabs>
              <w:spacing w:after="0" w:line="276" w:lineRule="auto"/>
              <w:rPr>
                <w:rFonts w:eastAsia="Arial" w:cs="Calibri"/>
              </w:rPr>
            </w:pPr>
            <w:r>
              <w:rPr>
                <w:rFonts w:eastAsia="Arial" w:cs="Calibri"/>
              </w:rPr>
              <w:t>Word Limit: 1,000 words</w:t>
            </w:r>
          </w:p>
          <w:p w14:paraId="25827128" w14:textId="77777777" w:rsidR="002021F9" w:rsidRDefault="002021F9" w:rsidP="002021F9">
            <w:pPr>
              <w:tabs>
                <w:tab w:val="left" w:pos="602"/>
              </w:tabs>
              <w:spacing w:after="0" w:line="276" w:lineRule="auto"/>
              <w:rPr>
                <w:rFonts w:eastAsia="Arial" w:cs="Calibri"/>
              </w:rPr>
            </w:pPr>
          </w:p>
          <w:p w14:paraId="5A6EFB79" w14:textId="5E86BB61" w:rsidR="00286052" w:rsidRPr="00E66809" w:rsidRDefault="002021F9">
            <w:pPr>
              <w:tabs>
                <w:tab w:val="left" w:pos="602"/>
              </w:tabs>
              <w:spacing w:after="0" w:line="276" w:lineRule="auto"/>
              <w:rPr>
                <w:rFonts w:eastAsia="Arial" w:cs="Calibri"/>
              </w:rPr>
            </w:pPr>
            <w:r>
              <w:rPr>
                <w:rFonts w:eastAsia="Arial" w:cs="Calibri"/>
              </w:rPr>
              <w:t>Weighting: 20%</w:t>
            </w:r>
          </w:p>
        </w:tc>
      </w:tr>
      <w:tr w:rsidR="00286052" w:rsidRPr="00605283" w14:paraId="71A1C66D" w14:textId="77777777" w:rsidTr="006B0E8F">
        <w:trPr>
          <w:trHeight w:val="836"/>
        </w:trPr>
        <w:tc>
          <w:tcPr>
            <w:tcW w:w="0" w:type="auto"/>
            <w:tcBorders>
              <w:top w:val="single" w:sz="6" w:space="0" w:color="000000" w:themeColor="text1"/>
              <w:left w:val="single" w:sz="8" w:space="0" w:color="000000" w:themeColor="text1"/>
              <w:bottom w:val="single" w:sz="6" w:space="0" w:color="000000" w:themeColor="text1"/>
              <w:right w:val="single" w:sz="8" w:space="0" w:color="000000" w:themeColor="text1"/>
            </w:tcBorders>
            <w:shd w:val="clear" w:color="auto" w:fill="F2F2F2" w:themeFill="background1" w:themeFillShade="F2"/>
          </w:tcPr>
          <w:p w14:paraId="46094FCC" w14:textId="173560BB" w:rsidR="00286052" w:rsidRPr="00E66809" w:rsidRDefault="00E228C0">
            <w:pPr>
              <w:spacing w:after="0" w:line="276" w:lineRule="auto"/>
              <w:rPr>
                <w:rFonts w:eastAsia="Arial" w:cs="Arial"/>
                <w:b/>
              </w:rPr>
            </w:pPr>
            <w:r>
              <w:rPr>
                <w:rFonts w:eastAsia="Arial" w:cs="Arial"/>
                <w:b/>
              </w:rPr>
              <w:t>3.14</w:t>
            </w:r>
          </w:p>
        </w:tc>
        <w:tc>
          <w:tcPr>
            <w:tcW w:w="7262" w:type="dxa"/>
            <w:tcBorders>
              <w:top w:val="single" w:sz="6" w:space="0" w:color="000000" w:themeColor="text1"/>
              <w:left w:val="single" w:sz="8" w:space="0" w:color="000000" w:themeColor="text1"/>
              <w:bottom w:val="single" w:sz="6" w:space="0" w:color="000000" w:themeColor="text1"/>
              <w:right w:val="single" w:sz="8" w:space="0" w:color="000000" w:themeColor="text1"/>
            </w:tcBorders>
            <w:shd w:val="clear" w:color="auto" w:fill="F2F2F2" w:themeFill="background1" w:themeFillShade="F2"/>
            <w:vAlign w:val="center"/>
          </w:tcPr>
          <w:p w14:paraId="6E471475" w14:textId="45229C7B" w:rsidR="00286052" w:rsidRPr="00E66809" w:rsidRDefault="00286052">
            <w:pPr>
              <w:spacing w:before="100" w:beforeAutospacing="1" w:after="100" w:afterAutospacing="1"/>
              <w:rPr>
                <w:b/>
                <w:color w:val="000000"/>
              </w:rPr>
            </w:pPr>
            <w:r w:rsidRPr="00E66809">
              <w:rPr>
                <w:b/>
                <w:color w:val="000000" w:themeColor="text1"/>
              </w:rPr>
              <w:t>Data &amp; Integration Management</w:t>
            </w:r>
          </w:p>
          <w:p w14:paraId="37E8B40E" w14:textId="0863165D" w:rsidR="00286052" w:rsidRPr="00E66809" w:rsidRDefault="00286052">
            <w:pPr>
              <w:spacing w:before="100" w:beforeAutospacing="1" w:after="100" w:afterAutospacing="1"/>
              <w:jc w:val="both"/>
              <w:rPr>
                <w:rFonts w:cs="Arial"/>
                <w:color w:val="000000"/>
              </w:rPr>
            </w:pPr>
            <w:r w:rsidRPr="00E66809">
              <w:rPr>
                <w:rFonts w:cs="Arial"/>
                <w:color w:val="000000"/>
              </w:rPr>
              <w:t xml:space="preserve">Using one or more of the case studies provided in your response to </w:t>
            </w:r>
            <w:r w:rsidR="00E228C0" w:rsidRPr="00E228C0">
              <w:rPr>
                <w:rFonts w:cs="Arial"/>
                <w:color w:val="000000" w:themeColor="text1"/>
              </w:rPr>
              <w:t>3.11</w:t>
            </w:r>
            <w:r w:rsidRPr="00E66809">
              <w:rPr>
                <w:rFonts w:cs="Arial"/>
                <w:color w:val="000000"/>
              </w:rPr>
              <w:t>, please answer the following questions:</w:t>
            </w:r>
          </w:p>
          <w:p w14:paraId="7550581F" w14:textId="675997F7" w:rsidR="00286052" w:rsidRPr="00E66809" w:rsidRDefault="00286052" w:rsidP="00C06284">
            <w:pPr>
              <w:pStyle w:val="ListParagraph"/>
              <w:widowControl w:val="0"/>
              <w:numPr>
                <w:ilvl w:val="0"/>
                <w:numId w:val="16"/>
              </w:numPr>
              <w:overflowPunct w:val="0"/>
              <w:autoSpaceDE w:val="0"/>
              <w:autoSpaceDN w:val="0"/>
              <w:adjustRightInd w:val="0"/>
              <w:spacing w:before="120" w:after="120"/>
              <w:ind w:hanging="110"/>
              <w:jc w:val="both"/>
              <w:rPr>
                <w:rFonts w:cs="Arial"/>
              </w:rPr>
            </w:pPr>
            <w:r w:rsidRPr="00E66809">
              <w:rPr>
                <w:rFonts w:cs="Arial"/>
              </w:rPr>
              <w:t xml:space="preserve">How </w:t>
            </w:r>
            <w:r w:rsidR="00B822E4">
              <w:rPr>
                <w:rFonts w:cs="Arial"/>
              </w:rPr>
              <w:t>did</w:t>
            </w:r>
            <w:r w:rsidRPr="00E66809">
              <w:rPr>
                <w:rFonts w:cs="Arial"/>
              </w:rPr>
              <w:t xml:space="preserve"> the software’s hosting model </w:t>
            </w:r>
            <w:r w:rsidR="00B822E4">
              <w:rPr>
                <w:rFonts w:cs="Arial"/>
              </w:rPr>
              <w:t>meet</w:t>
            </w:r>
            <w:r w:rsidRPr="00E66809">
              <w:rPr>
                <w:rFonts w:cs="Arial"/>
              </w:rPr>
              <w:t xml:space="preserve"> </w:t>
            </w:r>
            <w:r w:rsidR="003B113C">
              <w:rPr>
                <w:rFonts w:cs="Arial"/>
              </w:rPr>
              <w:t xml:space="preserve">and/or exceed </w:t>
            </w:r>
            <w:r w:rsidRPr="00E66809">
              <w:rPr>
                <w:rFonts w:cs="Arial"/>
              </w:rPr>
              <w:t>the c</w:t>
            </w:r>
            <w:r w:rsidR="000F1E46">
              <w:rPr>
                <w:rFonts w:cs="Arial"/>
              </w:rPr>
              <w:t>ustomer</w:t>
            </w:r>
            <w:r w:rsidRPr="00E66809">
              <w:rPr>
                <w:rFonts w:cs="Arial"/>
              </w:rPr>
              <w:t>’s data residency, sovereignty, and compliance requirements?</w:t>
            </w:r>
          </w:p>
          <w:p w14:paraId="224F645C" w14:textId="05A7257C" w:rsidR="00286052" w:rsidRDefault="00286052" w:rsidP="00C06284">
            <w:pPr>
              <w:pStyle w:val="ListParagraph"/>
              <w:widowControl w:val="0"/>
              <w:numPr>
                <w:ilvl w:val="0"/>
                <w:numId w:val="16"/>
              </w:numPr>
              <w:overflowPunct w:val="0"/>
              <w:autoSpaceDE w:val="0"/>
              <w:autoSpaceDN w:val="0"/>
              <w:adjustRightInd w:val="0"/>
              <w:spacing w:before="120" w:after="120"/>
              <w:ind w:hanging="110"/>
              <w:jc w:val="both"/>
              <w:rPr>
                <w:rFonts w:cs="Arial"/>
              </w:rPr>
            </w:pPr>
            <w:r w:rsidRPr="00E66809">
              <w:rPr>
                <w:rFonts w:cs="Arial"/>
              </w:rPr>
              <w:t>How did the software integrate with existing systems and infrastructure, including both on-premise and cloud hosted examples?</w:t>
            </w:r>
          </w:p>
          <w:p w14:paraId="1B3C463A" w14:textId="0B6D577F" w:rsidR="0090765A" w:rsidRPr="00E66809" w:rsidRDefault="0090765A" w:rsidP="00C06284">
            <w:pPr>
              <w:pStyle w:val="ListParagraph"/>
              <w:widowControl w:val="0"/>
              <w:numPr>
                <w:ilvl w:val="0"/>
                <w:numId w:val="16"/>
              </w:numPr>
              <w:overflowPunct w:val="0"/>
              <w:autoSpaceDE w:val="0"/>
              <w:autoSpaceDN w:val="0"/>
              <w:adjustRightInd w:val="0"/>
              <w:spacing w:before="120" w:after="120"/>
              <w:ind w:hanging="110"/>
              <w:jc w:val="both"/>
              <w:rPr>
                <w:rFonts w:cs="Arial"/>
              </w:rPr>
            </w:pPr>
            <w:r>
              <w:rPr>
                <w:rFonts w:cs="Arial"/>
              </w:rPr>
              <w:t xml:space="preserve">How </w:t>
            </w:r>
            <w:r w:rsidR="00EC1854">
              <w:rPr>
                <w:rFonts w:cs="Arial"/>
              </w:rPr>
              <w:t xml:space="preserve">did integrations </w:t>
            </w:r>
            <w:r w:rsidR="00CB180E">
              <w:rPr>
                <w:rFonts w:cs="Arial"/>
              </w:rPr>
              <w:t>minimise complexity and manage technical debt?</w:t>
            </w:r>
          </w:p>
          <w:p w14:paraId="5AC9D937" w14:textId="62B47F2E" w:rsidR="00286052" w:rsidRPr="00E66809" w:rsidRDefault="00286052" w:rsidP="00C06284">
            <w:pPr>
              <w:pStyle w:val="ListParagraph"/>
              <w:widowControl w:val="0"/>
              <w:numPr>
                <w:ilvl w:val="0"/>
                <w:numId w:val="16"/>
              </w:numPr>
              <w:overflowPunct w:val="0"/>
              <w:autoSpaceDE w:val="0"/>
              <w:autoSpaceDN w:val="0"/>
              <w:adjustRightInd w:val="0"/>
              <w:spacing w:before="120" w:after="120"/>
              <w:ind w:hanging="110"/>
              <w:jc w:val="both"/>
              <w:rPr>
                <w:rFonts w:cs="Arial"/>
              </w:rPr>
            </w:pPr>
            <w:r w:rsidRPr="00E66809">
              <w:rPr>
                <w:rFonts w:cs="Arial"/>
              </w:rPr>
              <w:t>How did you manage data flows across multiple systems</w:t>
            </w:r>
            <w:r w:rsidR="006A6F4F">
              <w:rPr>
                <w:rFonts w:cs="Arial"/>
              </w:rPr>
              <w:t xml:space="preserve"> incl. any </w:t>
            </w:r>
            <w:r w:rsidR="006037C3">
              <w:rPr>
                <w:rFonts w:cs="Arial"/>
              </w:rPr>
              <w:lastRenderedPageBreak/>
              <w:t>potential downsides</w:t>
            </w:r>
            <w:r w:rsidRPr="00E66809">
              <w:rPr>
                <w:rFonts w:cs="Arial"/>
              </w:rPr>
              <w:t>?</w:t>
            </w:r>
          </w:p>
          <w:p w14:paraId="0C9EEAE0" w14:textId="03021011" w:rsidR="00286052" w:rsidRPr="00E66809" w:rsidRDefault="00E075FF" w:rsidP="00C06284">
            <w:pPr>
              <w:pStyle w:val="ListParagraph"/>
              <w:widowControl w:val="0"/>
              <w:numPr>
                <w:ilvl w:val="0"/>
                <w:numId w:val="16"/>
              </w:numPr>
              <w:overflowPunct w:val="0"/>
              <w:autoSpaceDE w:val="0"/>
              <w:autoSpaceDN w:val="0"/>
              <w:adjustRightInd w:val="0"/>
              <w:spacing w:before="120" w:after="120"/>
              <w:ind w:hanging="110"/>
              <w:jc w:val="both"/>
              <w:rPr>
                <w:rFonts w:cs="Arial"/>
              </w:rPr>
            </w:pPr>
            <w:r>
              <w:rPr>
                <w:rFonts w:cs="Arial"/>
              </w:rPr>
              <w:t>How</w:t>
            </w:r>
            <w:r w:rsidR="00286052" w:rsidRPr="00E66809">
              <w:rPr>
                <w:rFonts w:cs="Arial"/>
              </w:rPr>
              <w:t xml:space="preserve"> was real-time data integration used within your solution</w:t>
            </w:r>
            <w:r w:rsidR="00AC2261">
              <w:rPr>
                <w:rFonts w:cs="Arial"/>
              </w:rPr>
              <w:t xml:space="preserve"> and how were any </w:t>
            </w:r>
            <w:r w:rsidR="001A4727">
              <w:rPr>
                <w:rFonts w:cs="Arial"/>
              </w:rPr>
              <w:t>challenges resolved</w:t>
            </w:r>
            <w:r w:rsidR="00286052" w:rsidRPr="00E66809">
              <w:rPr>
                <w:rFonts w:cs="Arial"/>
              </w:rPr>
              <w:t>?</w:t>
            </w:r>
          </w:p>
          <w:p w14:paraId="47A54953" w14:textId="77777777" w:rsidR="00286052" w:rsidRPr="00E66809" w:rsidRDefault="00286052" w:rsidP="00C06284">
            <w:pPr>
              <w:pStyle w:val="ListParagraph"/>
              <w:widowControl w:val="0"/>
              <w:numPr>
                <w:ilvl w:val="0"/>
                <w:numId w:val="16"/>
              </w:numPr>
              <w:overflowPunct w:val="0"/>
              <w:autoSpaceDE w:val="0"/>
              <w:autoSpaceDN w:val="0"/>
              <w:adjustRightInd w:val="0"/>
              <w:spacing w:before="120" w:after="120"/>
              <w:ind w:hanging="110"/>
              <w:jc w:val="both"/>
              <w:rPr>
                <w:rFonts w:eastAsia="Arial" w:cs="Arial"/>
              </w:rPr>
            </w:pPr>
            <w:r w:rsidRPr="00E66809">
              <w:rPr>
                <w:rFonts w:cs="Arial"/>
              </w:rPr>
              <w:t>How did your solution ensure data accuracy and support open standards?</w:t>
            </w:r>
          </w:p>
        </w:tc>
        <w:tc>
          <w:tcPr>
            <w:tcW w:w="5135" w:type="dxa"/>
            <w:tcBorders>
              <w:top w:val="single" w:sz="6" w:space="0" w:color="000000" w:themeColor="text1"/>
              <w:left w:val="single" w:sz="8" w:space="0" w:color="000000" w:themeColor="text1"/>
              <w:bottom w:val="single" w:sz="6" w:space="0" w:color="000000" w:themeColor="text1"/>
              <w:right w:val="single" w:sz="8" w:space="0" w:color="000000" w:themeColor="text1"/>
            </w:tcBorders>
          </w:tcPr>
          <w:p w14:paraId="0B67B82C" w14:textId="4057684B" w:rsidR="002021F9" w:rsidRDefault="002021F9" w:rsidP="002021F9">
            <w:pPr>
              <w:tabs>
                <w:tab w:val="left" w:pos="602"/>
              </w:tabs>
              <w:spacing w:after="0" w:line="276" w:lineRule="auto"/>
              <w:rPr>
                <w:rFonts w:eastAsia="Arial" w:cs="Calibri"/>
              </w:rPr>
            </w:pPr>
            <w:r>
              <w:rPr>
                <w:rFonts w:eastAsia="Arial" w:cs="Calibri"/>
              </w:rPr>
              <w:lastRenderedPageBreak/>
              <w:t>Word Limit: 750 words</w:t>
            </w:r>
          </w:p>
          <w:p w14:paraId="25112E2D" w14:textId="77777777" w:rsidR="002021F9" w:rsidRDefault="002021F9" w:rsidP="002021F9">
            <w:pPr>
              <w:tabs>
                <w:tab w:val="left" w:pos="602"/>
              </w:tabs>
              <w:spacing w:after="0" w:line="276" w:lineRule="auto"/>
              <w:rPr>
                <w:rFonts w:eastAsia="Arial" w:cs="Calibri"/>
              </w:rPr>
            </w:pPr>
          </w:p>
          <w:p w14:paraId="2AFAC69A" w14:textId="294A302F" w:rsidR="00286052" w:rsidRPr="00E66809" w:rsidRDefault="002021F9">
            <w:pPr>
              <w:tabs>
                <w:tab w:val="left" w:pos="602"/>
              </w:tabs>
              <w:spacing w:after="0" w:line="276" w:lineRule="auto"/>
              <w:rPr>
                <w:rFonts w:eastAsia="Arial" w:cs="Calibri"/>
              </w:rPr>
            </w:pPr>
            <w:r>
              <w:rPr>
                <w:rFonts w:eastAsia="Arial" w:cs="Calibri"/>
              </w:rPr>
              <w:t>Weighting: 15%</w:t>
            </w:r>
          </w:p>
        </w:tc>
      </w:tr>
      <w:tr w:rsidR="00286052" w:rsidRPr="00605283" w14:paraId="11D1819C" w14:textId="77777777" w:rsidTr="006B0E8F">
        <w:trPr>
          <w:trHeight w:val="1701"/>
        </w:trPr>
        <w:tc>
          <w:tcPr>
            <w:tcW w:w="0" w:type="auto"/>
            <w:tcBorders>
              <w:top w:val="single" w:sz="6" w:space="0" w:color="000000" w:themeColor="text1"/>
              <w:bottom w:val="single" w:sz="6" w:space="0" w:color="000000" w:themeColor="text1"/>
            </w:tcBorders>
            <w:shd w:val="clear" w:color="auto" w:fill="F2F2F2" w:themeFill="background1" w:themeFillShade="F2"/>
          </w:tcPr>
          <w:p w14:paraId="6646448C" w14:textId="1B00B81B" w:rsidR="00286052" w:rsidRPr="00E66809" w:rsidRDefault="00E228C0">
            <w:pPr>
              <w:spacing w:after="0" w:line="276" w:lineRule="auto"/>
              <w:rPr>
                <w:rFonts w:eastAsia="Arial" w:cs="Arial"/>
                <w:b/>
              </w:rPr>
            </w:pPr>
            <w:r>
              <w:rPr>
                <w:rFonts w:eastAsia="Arial" w:cs="Arial"/>
                <w:b/>
              </w:rPr>
              <w:t>3.15</w:t>
            </w:r>
          </w:p>
        </w:tc>
        <w:tc>
          <w:tcPr>
            <w:tcW w:w="7262" w:type="dxa"/>
            <w:tcBorders>
              <w:top w:val="single" w:sz="6" w:space="0" w:color="000000" w:themeColor="text1"/>
              <w:bottom w:val="single" w:sz="6" w:space="0" w:color="000000" w:themeColor="text1"/>
            </w:tcBorders>
            <w:shd w:val="clear" w:color="auto" w:fill="F2F2F2" w:themeFill="background1" w:themeFillShade="F2"/>
            <w:vAlign w:val="center"/>
          </w:tcPr>
          <w:p w14:paraId="30C09FED" w14:textId="77777777" w:rsidR="00286052" w:rsidRPr="00E66809" w:rsidRDefault="00286052">
            <w:pPr>
              <w:spacing w:before="100" w:beforeAutospacing="1" w:after="100" w:afterAutospacing="1"/>
              <w:jc w:val="both"/>
              <w:rPr>
                <w:rFonts w:cs="Arial"/>
                <w:b/>
                <w:color w:val="000000"/>
              </w:rPr>
            </w:pPr>
            <w:r w:rsidRPr="00E66809">
              <w:rPr>
                <w:rFonts w:cs="Arial"/>
                <w:b/>
                <w:color w:val="000000"/>
              </w:rPr>
              <w:t>Security, Robustness and Performance</w:t>
            </w:r>
          </w:p>
          <w:p w14:paraId="68C4249B" w14:textId="0F034FE1" w:rsidR="00286052" w:rsidRPr="00E66809" w:rsidRDefault="00286052">
            <w:pPr>
              <w:spacing w:before="100" w:beforeAutospacing="1" w:after="100" w:afterAutospacing="1"/>
              <w:jc w:val="both"/>
              <w:rPr>
                <w:rFonts w:cs="Arial"/>
                <w:color w:val="000000"/>
              </w:rPr>
            </w:pPr>
            <w:r w:rsidRPr="00E66809">
              <w:rPr>
                <w:rFonts w:cs="Arial"/>
                <w:color w:val="000000"/>
              </w:rPr>
              <w:t xml:space="preserve">Using one or more of the case studies provided in your response to </w:t>
            </w:r>
            <w:r w:rsidR="00E228C0" w:rsidRPr="00E228C0">
              <w:rPr>
                <w:rFonts w:cs="Arial"/>
                <w:color w:val="000000" w:themeColor="text1"/>
              </w:rPr>
              <w:t>3.11</w:t>
            </w:r>
            <w:r w:rsidRPr="00E66809">
              <w:rPr>
                <w:rFonts w:cs="Arial"/>
                <w:color w:val="000000"/>
              </w:rPr>
              <w:t>, please answer the following questions:</w:t>
            </w:r>
          </w:p>
          <w:p w14:paraId="47BD4286" w14:textId="3F399C7C" w:rsidR="00286052" w:rsidRPr="00E66809" w:rsidRDefault="00286052" w:rsidP="00C06284">
            <w:pPr>
              <w:pStyle w:val="ListParagraph"/>
              <w:widowControl w:val="0"/>
              <w:numPr>
                <w:ilvl w:val="0"/>
                <w:numId w:val="18"/>
              </w:numPr>
              <w:overflowPunct w:val="0"/>
              <w:autoSpaceDE w:val="0"/>
              <w:autoSpaceDN w:val="0"/>
              <w:adjustRightInd w:val="0"/>
              <w:spacing w:before="120" w:after="120"/>
              <w:ind w:hanging="110"/>
              <w:jc w:val="both"/>
              <w:rPr>
                <w:rFonts w:cs="Arial"/>
              </w:rPr>
            </w:pPr>
            <w:r w:rsidRPr="00E66809">
              <w:rPr>
                <w:rFonts w:cs="Arial"/>
              </w:rPr>
              <w:t>How well did the software perform in terms of reliability, speed and security?</w:t>
            </w:r>
          </w:p>
          <w:p w14:paraId="2328BA3A" w14:textId="0D9F28D8" w:rsidR="00286052" w:rsidRPr="00546950" w:rsidRDefault="00363035" w:rsidP="00546950">
            <w:pPr>
              <w:pStyle w:val="ListParagraph"/>
              <w:widowControl w:val="0"/>
              <w:numPr>
                <w:ilvl w:val="0"/>
                <w:numId w:val="18"/>
              </w:numPr>
              <w:overflowPunct w:val="0"/>
              <w:autoSpaceDE w:val="0"/>
              <w:autoSpaceDN w:val="0"/>
              <w:adjustRightInd w:val="0"/>
              <w:spacing w:before="120" w:after="120"/>
              <w:ind w:hanging="110"/>
              <w:jc w:val="both"/>
              <w:rPr>
                <w:rFonts w:eastAsia="Arial" w:cs="Arial"/>
              </w:rPr>
            </w:pPr>
            <w:r>
              <w:rPr>
                <w:rFonts w:cs="Arial"/>
              </w:rPr>
              <w:t xml:space="preserve">What measures were put in place to ensure that any </w:t>
            </w:r>
            <w:r w:rsidR="00286052" w:rsidRPr="00E66809">
              <w:rPr>
                <w:rFonts w:cs="Arial"/>
              </w:rPr>
              <w:t>significant incidents</w:t>
            </w:r>
            <w:r w:rsidR="002908F9">
              <w:rPr>
                <w:rFonts w:cs="Arial"/>
              </w:rPr>
              <w:t>, e.g.</w:t>
            </w:r>
            <w:r w:rsidR="00135D13">
              <w:rPr>
                <w:rFonts w:cs="Arial"/>
              </w:rPr>
              <w:t xml:space="preserve"> system outages </w:t>
            </w:r>
            <w:r w:rsidR="002F4171">
              <w:rPr>
                <w:rFonts w:cs="Arial"/>
              </w:rPr>
              <w:t>or data breaches,</w:t>
            </w:r>
            <w:r w:rsidR="00286052" w:rsidRPr="00E66809">
              <w:rPr>
                <w:rFonts w:cs="Arial"/>
              </w:rPr>
              <w:t xml:space="preserve"> were managed to a satisfactory conclusion?</w:t>
            </w:r>
            <w:r w:rsidR="00365982">
              <w:rPr>
                <w:rFonts w:cs="Arial"/>
              </w:rPr>
              <w:t xml:space="preserve"> How did this meet and/or exceed the customer’s expectations?</w:t>
            </w:r>
          </w:p>
        </w:tc>
        <w:tc>
          <w:tcPr>
            <w:tcW w:w="5135" w:type="dxa"/>
            <w:tcBorders>
              <w:top w:val="single" w:sz="6" w:space="0" w:color="000000" w:themeColor="text1"/>
              <w:bottom w:val="single" w:sz="6" w:space="0" w:color="000000" w:themeColor="text1"/>
            </w:tcBorders>
          </w:tcPr>
          <w:p w14:paraId="6544EE70" w14:textId="05B5F84D" w:rsidR="002021F9" w:rsidRDefault="002021F9" w:rsidP="002021F9">
            <w:pPr>
              <w:tabs>
                <w:tab w:val="left" w:pos="602"/>
              </w:tabs>
              <w:spacing w:after="0" w:line="276" w:lineRule="auto"/>
              <w:rPr>
                <w:rFonts w:eastAsia="Arial" w:cs="Calibri"/>
              </w:rPr>
            </w:pPr>
            <w:r>
              <w:rPr>
                <w:rFonts w:eastAsia="Arial" w:cs="Calibri"/>
              </w:rPr>
              <w:t>Word Limit: 500 words</w:t>
            </w:r>
          </w:p>
          <w:p w14:paraId="207C292A" w14:textId="77777777" w:rsidR="002021F9" w:rsidRDefault="002021F9" w:rsidP="002021F9">
            <w:pPr>
              <w:tabs>
                <w:tab w:val="left" w:pos="602"/>
              </w:tabs>
              <w:spacing w:after="0" w:line="276" w:lineRule="auto"/>
              <w:rPr>
                <w:rFonts w:eastAsia="Arial" w:cs="Calibri"/>
              </w:rPr>
            </w:pPr>
          </w:p>
          <w:p w14:paraId="6C7CFBB7" w14:textId="49C7CE69" w:rsidR="00286052" w:rsidRPr="00E66809" w:rsidRDefault="002021F9">
            <w:pPr>
              <w:tabs>
                <w:tab w:val="left" w:pos="602"/>
              </w:tabs>
              <w:spacing w:after="0" w:line="276" w:lineRule="auto"/>
              <w:rPr>
                <w:rFonts w:eastAsia="Arial" w:cs="Calibri"/>
              </w:rPr>
            </w:pPr>
            <w:r>
              <w:rPr>
                <w:rFonts w:eastAsia="Arial" w:cs="Calibri"/>
              </w:rPr>
              <w:t>Weighting: 10%</w:t>
            </w:r>
          </w:p>
        </w:tc>
      </w:tr>
      <w:tr w:rsidR="00286052" w:rsidRPr="00605283" w14:paraId="1A3F317C" w14:textId="77777777" w:rsidTr="006B0E8F">
        <w:trPr>
          <w:trHeight w:val="1701"/>
        </w:trPr>
        <w:tc>
          <w:tcPr>
            <w:tcW w:w="0" w:type="auto"/>
            <w:tcBorders>
              <w:top w:val="single" w:sz="6" w:space="0" w:color="000000" w:themeColor="text1"/>
              <w:bottom w:val="single" w:sz="6" w:space="0" w:color="000000" w:themeColor="text1"/>
            </w:tcBorders>
            <w:shd w:val="clear" w:color="auto" w:fill="F2F2F2" w:themeFill="background1" w:themeFillShade="F2"/>
          </w:tcPr>
          <w:p w14:paraId="2D660754" w14:textId="03C26A2F" w:rsidR="00286052" w:rsidRPr="00E66809" w:rsidRDefault="00E228C0">
            <w:pPr>
              <w:spacing w:after="0" w:line="276" w:lineRule="auto"/>
              <w:rPr>
                <w:rFonts w:eastAsia="Arial" w:cs="Arial"/>
                <w:b/>
              </w:rPr>
            </w:pPr>
            <w:r>
              <w:rPr>
                <w:rFonts w:eastAsia="Arial" w:cs="Arial"/>
                <w:b/>
              </w:rPr>
              <w:t>3.16</w:t>
            </w:r>
          </w:p>
        </w:tc>
        <w:tc>
          <w:tcPr>
            <w:tcW w:w="7262" w:type="dxa"/>
            <w:tcBorders>
              <w:top w:val="single" w:sz="6" w:space="0" w:color="000000" w:themeColor="text1"/>
              <w:bottom w:val="single" w:sz="6" w:space="0" w:color="000000" w:themeColor="text1"/>
            </w:tcBorders>
            <w:shd w:val="clear" w:color="auto" w:fill="F2F2F2" w:themeFill="background1" w:themeFillShade="F2"/>
            <w:vAlign w:val="center"/>
          </w:tcPr>
          <w:p w14:paraId="3E33EA32" w14:textId="77777777" w:rsidR="00286052" w:rsidRPr="00E66809" w:rsidRDefault="00286052">
            <w:pPr>
              <w:spacing w:before="100" w:beforeAutospacing="1" w:after="100" w:afterAutospacing="1"/>
              <w:jc w:val="both"/>
              <w:rPr>
                <w:rFonts w:cs="Arial"/>
                <w:b/>
                <w:color w:val="000000"/>
              </w:rPr>
            </w:pPr>
            <w:r w:rsidRPr="00E66809">
              <w:rPr>
                <w:rFonts w:cs="Arial"/>
                <w:b/>
                <w:color w:val="000000"/>
              </w:rPr>
              <w:t>User Interface and User Experience</w:t>
            </w:r>
          </w:p>
          <w:p w14:paraId="68AC6158" w14:textId="0C2A255C" w:rsidR="00286052" w:rsidRPr="00E66809" w:rsidRDefault="00286052">
            <w:pPr>
              <w:spacing w:before="100" w:beforeAutospacing="1" w:after="100" w:afterAutospacing="1"/>
              <w:jc w:val="both"/>
              <w:rPr>
                <w:rFonts w:cs="Arial"/>
                <w:color w:val="000000"/>
              </w:rPr>
            </w:pPr>
            <w:r w:rsidRPr="00E66809">
              <w:rPr>
                <w:rFonts w:cs="Arial"/>
                <w:color w:val="000000"/>
              </w:rPr>
              <w:t xml:space="preserve">Using one or more of the case studies provided in your response to </w:t>
            </w:r>
            <w:r w:rsidR="00E228C0" w:rsidRPr="00E228C0">
              <w:rPr>
                <w:rFonts w:cs="Arial"/>
                <w:color w:val="000000" w:themeColor="text1"/>
              </w:rPr>
              <w:t>3.11</w:t>
            </w:r>
            <w:r w:rsidRPr="00E66809">
              <w:rPr>
                <w:rFonts w:cs="Arial"/>
                <w:color w:val="000000"/>
              </w:rPr>
              <w:t>, please answer the following questions:</w:t>
            </w:r>
          </w:p>
          <w:p w14:paraId="381F5D5D" w14:textId="5D5DCEC1" w:rsidR="00286052" w:rsidRPr="00E66809" w:rsidRDefault="00286052" w:rsidP="00C06284">
            <w:pPr>
              <w:pStyle w:val="ListParagraph"/>
              <w:widowControl w:val="0"/>
              <w:numPr>
                <w:ilvl w:val="0"/>
                <w:numId w:val="21"/>
              </w:numPr>
              <w:overflowPunct w:val="0"/>
              <w:autoSpaceDE w:val="0"/>
              <w:autoSpaceDN w:val="0"/>
              <w:adjustRightInd w:val="0"/>
              <w:spacing w:before="120" w:after="120"/>
              <w:ind w:hanging="110"/>
              <w:jc w:val="both"/>
              <w:rPr>
                <w:rFonts w:cs="Arial"/>
              </w:rPr>
            </w:pPr>
            <w:r w:rsidRPr="00E66809">
              <w:rPr>
                <w:rFonts w:cs="Arial"/>
              </w:rPr>
              <w:t>How did users across different roles rate the usability and design of the software interface</w:t>
            </w:r>
            <w:r w:rsidR="005004D4">
              <w:rPr>
                <w:rFonts w:cs="Arial"/>
              </w:rPr>
              <w:t xml:space="preserve"> and how was their feedback captured</w:t>
            </w:r>
            <w:r w:rsidRPr="00E66809">
              <w:rPr>
                <w:rFonts w:cs="Arial"/>
              </w:rPr>
              <w:t>?</w:t>
            </w:r>
          </w:p>
          <w:p w14:paraId="264D7DF2" w14:textId="77777777" w:rsidR="00286052" w:rsidRPr="00E66809" w:rsidRDefault="00286052" w:rsidP="00C06284">
            <w:pPr>
              <w:pStyle w:val="ListParagraph"/>
              <w:widowControl w:val="0"/>
              <w:numPr>
                <w:ilvl w:val="0"/>
                <w:numId w:val="21"/>
              </w:numPr>
              <w:overflowPunct w:val="0"/>
              <w:autoSpaceDE w:val="0"/>
              <w:autoSpaceDN w:val="0"/>
              <w:adjustRightInd w:val="0"/>
              <w:spacing w:before="120" w:after="120"/>
              <w:ind w:hanging="110"/>
              <w:jc w:val="both"/>
              <w:rPr>
                <w:rFonts w:cs="Arial"/>
              </w:rPr>
            </w:pPr>
            <w:r w:rsidRPr="00E66809">
              <w:rPr>
                <w:rFonts w:cs="Arial"/>
              </w:rPr>
              <w:t>What feedback was received on the ease of use and visual clarity?</w:t>
            </w:r>
          </w:p>
          <w:p w14:paraId="4F72A2AD" w14:textId="3B99B1F7" w:rsidR="00286052" w:rsidRPr="00C86E8E" w:rsidRDefault="00286052" w:rsidP="00C86E8E">
            <w:pPr>
              <w:pStyle w:val="ListParagraph"/>
              <w:widowControl w:val="0"/>
              <w:numPr>
                <w:ilvl w:val="0"/>
                <w:numId w:val="21"/>
              </w:numPr>
              <w:overflowPunct w:val="0"/>
              <w:autoSpaceDE w:val="0"/>
              <w:autoSpaceDN w:val="0"/>
              <w:adjustRightInd w:val="0"/>
              <w:spacing w:before="120" w:after="120"/>
              <w:ind w:hanging="110"/>
              <w:jc w:val="both"/>
              <w:rPr>
                <w:rFonts w:cs="Arial"/>
              </w:rPr>
            </w:pPr>
            <w:r w:rsidRPr="00E66809">
              <w:rPr>
                <w:rFonts w:cs="Arial"/>
              </w:rPr>
              <w:t>How did the use of Artificial Intelligence (AI) capabilities affect user experience and efficiency of the solution?</w:t>
            </w:r>
          </w:p>
        </w:tc>
        <w:tc>
          <w:tcPr>
            <w:tcW w:w="5135" w:type="dxa"/>
            <w:tcBorders>
              <w:top w:val="single" w:sz="6" w:space="0" w:color="000000" w:themeColor="text1"/>
              <w:bottom w:val="single" w:sz="6" w:space="0" w:color="000000" w:themeColor="text1"/>
            </w:tcBorders>
          </w:tcPr>
          <w:p w14:paraId="544F1208" w14:textId="77777777" w:rsidR="002021F9" w:rsidRDefault="002021F9" w:rsidP="002021F9">
            <w:pPr>
              <w:tabs>
                <w:tab w:val="left" w:pos="602"/>
              </w:tabs>
              <w:spacing w:after="0" w:line="276" w:lineRule="auto"/>
              <w:rPr>
                <w:rFonts w:eastAsia="Arial" w:cs="Calibri"/>
              </w:rPr>
            </w:pPr>
            <w:r>
              <w:rPr>
                <w:rFonts w:eastAsia="Arial" w:cs="Calibri"/>
              </w:rPr>
              <w:t>Word Limit: 500 words</w:t>
            </w:r>
          </w:p>
          <w:p w14:paraId="78739851" w14:textId="77777777" w:rsidR="002021F9" w:rsidRDefault="002021F9" w:rsidP="002021F9">
            <w:pPr>
              <w:tabs>
                <w:tab w:val="left" w:pos="602"/>
              </w:tabs>
              <w:spacing w:after="0" w:line="276" w:lineRule="auto"/>
              <w:rPr>
                <w:rFonts w:eastAsia="Arial" w:cs="Calibri"/>
              </w:rPr>
            </w:pPr>
          </w:p>
          <w:p w14:paraId="7BD7A0C2" w14:textId="05A74C59" w:rsidR="00286052" w:rsidRPr="00E66809" w:rsidRDefault="002021F9">
            <w:pPr>
              <w:tabs>
                <w:tab w:val="left" w:pos="602"/>
              </w:tabs>
              <w:spacing w:after="0" w:line="276" w:lineRule="auto"/>
              <w:rPr>
                <w:rFonts w:eastAsia="Arial" w:cs="Calibri"/>
              </w:rPr>
            </w:pPr>
            <w:r>
              <w:rPr>
                <w:rFonts w:eastAsia="Arial" w:cs="Calibri"/>
              </w:rPr>
              <w:t>Weighting: 10%</w:t>
            </w:r>
          </w:p>
        </w:tc>
      </w:tr>
      <w:tr w:rsidR="00286052" w:rsidRPr="00605283" w14:paraId="42B53ABC" w14:textId="77777777" w:rsidTr="006B0E8F">
        <w:trPr>
          <w:trHeight w:val="1701"/>
        </w:trPr>
        <w:tc>
          <w:tcPr>
            <w:tcW w:w="0" w:type="auto"/>
            <w:tcBorders>
              <w:top w:val="single" w:sz="6" w:space="0" w:color="000000" w:themeColor="text1"/>
              <w:bottom w:val="single" w:sz="6" w:space="0" w:color="000000" w:themeColor="text1"/>
            </w:tcBorders>
            <w:shd w:val="clear" w:color="auto" w:fill="F2F2F2" w:themeFill="background1" w:themeFillShade="F2"/>
          </w:tcPr>
          <w:p w14:paraId="055A1108" w14:textId="6D92CC06" w:rsidR="00286052" w:rsidRPr="00E66809" w:rsidRDefault="00E228C0">
            <w:pPr>
              <w:spacing w:after="0" w:line="276" w:lineRule="auto"/>
              <w:rPr>
                <w:rFonts w:eastAsia="Arial" w:cs="Arial"/>
                <w:b/>
              </w:rPr>
            </w:pPr>
            <w:r>
              <w:rPr>
                <w:rFonts w:eastAsia="Arial" w:cs="Arial"/>
                <w:b/>
              </w:rPr>
              <w:t>3.17</w:t>
            </w:r>
          </w:p>
        </w:tc>
        <w:tc>
          <w:tcPr>
            <w:tcW w:w="7262" w:type="dxa"/>
            <w:tcBorders>
              <w:top w:val="single" w:sz="6" w:space="0" w:color="000000" w:themeColor="text1"/>
              <w:bottom w:val="single" w:sz="6" w:space="0" w:color="000000" w:themeColor="text1"/>
            </w:tcBorders>
            <w:shd w:val="clear" w:color="auto" w:fill="F2F2F2" w:themeFill="background1" w:themeFillShade="F2"/>
            <w:vAlign w:val="center"/>
          </w:tcPr>
          <w:p w14:paraId="6B4C0F1C" w14:textId="77777777" w:rsidR="00286052" w:rsidRPr="00E66809" w:rsidRDefault="00286052">
            <w:pPr>
              <w:spacing w:before="100" w:beforeAutospacing="1" w:after="100" w:afterAutospacing="1"/>
              <w:jc w:val="both"/>
              <w:rPr>
                <w:rFonts w:cs="Arial"/>
                <w:b/>
                <w:color w:val="000000"/>
              </w:rPr>
            </w:pPr>
            <w:r w:rsidRPr="00E66809">
              <w:rPr>
                <w:rFonts w:cs="Arial"/>
                <w:b/>
                <w:color w:val="000000"/>
              </w:rPr>
              <w:t>Future Proofing and Roadmap Access</w:t>
            </w:r>
          </w:p>
          <w:p w14:paraId="5FEC8FA5" w14:textId="2A394439" w:rsidR="00286052" w:rsidRPr="00E66809" w:rsidRDefault="00286052">
            <w:pPr>
              <w:spacing w:before="100" w:beforeAutospacing="1" w:after="100" w:afterAutospacing="1"/>
              <w:jc w:val="both"/>
              <w:rPr>
                <w:rFonts w:cs="Arial"/>
                <w:color w:val="000000"/>
              </w:rPr>
            </w:pPr>
            <w:r w:rsidRPr="00E66809">
              <w:rPr>
                <w:rFonts w:cs="Arial"/>
                <w:color w:val="000000"/>
              </w:rPr>
              <w:t xml:space="preserve">Using one or more of the case studies provided in your response to </w:t>
            </w:r>
            <w:r w:rsidR="00E228C0" w:rsidRPr="00E228C0">
              <w:rPr>
                <w:rFonts w:cs="Arial"/>
                <w:color w:val="000000" w:themeColor="text1"/>
              </w:rPr>
              <w:t>3.11</w:t>
            </w:r>
            <w:r w:rsidRPr="00E66809">
              <w:rPr>
                <w:rFonts w:cs="Arial"/>
                <w:color w:val="000000"/>
              </w:rPr>
              <w:t>, please answer the following questions:</w:t>
            </w:r>
          </w:p>
          <w:p w14:paraId="114F8B21" w14:textId="614D648A" w:rsidR="00286052" w:rsidRPr="00E66809" w:rsidRDefault="00286052" w:rsidP="00C06284">
            <w:pPr>
              <w:pStyle w:val="ListParagraph"/>
              <w:widowControl w:val="0"/>
              <w:numPr>
                <w:ilvl w:val="0"/>
                <w:numId w:val="19"/>
              </w:numPr>
              <w:overflowPunct w:val="0"/>
              <w:autoSpaceDE w:val="0"/>
              <w:autoSpaceDN w:val="0"/>
              <w:adjustRightInd w:val="0"/>
              <w:spacing w:before="120" w:after="120"/>
              <w:ind w:hanging="110"/>
              <w:jc w:val="both"/>
              <w:rPr>
                <w:rFonts w:cs="Arial"/>
              </w:rPr>
            </w:pPr>
            <w:r w:rsidRPr="00E66809">
              <w:rPr>
                <w:rFonts w:cs="Arial"/>
              </w:rPr>
              <w:t>How well has the software kept pace with organisation</w:t>
            </w:r>
            <w:r w:rsidR="00F750BC">
              <w:rPr>
                <w:rFonts w:cs="Arial"/>
              </w:rPr>
              <w:t>al</w:t>
            </w:r>
            <w:r w:rsidRPr="00E66809">
              <w:rPr>
                <w:rFonts w:cs="Arial"/>
              </w:rPr>
              <w:t xml:space="preserve"> needs </w:t>
            </w:r>
            <w:r w:rsidRPr="00E66809">
              <w:rPr>
                <w:rFonts w:cs="Arial"/>
              </w:rPr>
              <w:lastRenderedPageBreak/>
              <w:t>and external developments?</w:t>
            </w:r>
          </w:p>
          <w:p w14:paraId="339930D4" w14:textId="178F0793" w:rsidR="00286052" w:rsidRPr="00E66809" w:rsidRDefault="00286052" w:rsidP="00C06284">
            <w:pPr>
              <w:pStyle w:val="ListParagraph"/>
              <w:widowControl w:val="0"/>
              <w:numPr>
                <w:ilvl w:val="0"/>
                <w:numId w:val="19"/>
              </w:numPr>
              <w:overflowPunct w:val="0"/>
              <w:autoSpaceDE w:val="0"/>
              <w:autoSpaceDN w:val="0"/>
              <w:adjustRightInd w:val="0"/>
              <w:spacing w:before="120" w:after="120"/>
              <w:ind w:hanging="110"/>
              <w:jc w:val="both"/>
              <w:rPr>
                <w:rFonts w:cs="Arial"/>
              </w:rPr>
            </w:pPr>
            <w:r w:rsidRPr="00E66809">
              <w:rPr>
                <w:rFonts w:cs="Arial"/>
              </w:rPr>
              <w:t>Was the c</w:t>
            </w:r>
            <w:r w:rsidR="008A6618">
              <w:rPr>
                <w:rFonts w:cs="Arial"/>
              </w:rPr>
              <w:t>ustomer</w:t>
            </w:r>
            <w:r w:rsidRPr="00E66809">
              <w:rPr>
                <w:rFonts w:cs="Arial"/>
              </w:rPr>
              <w:t xml:space="preserve"> able to access and benefit from product updates and innovations in a timely</w:t>
            </w:r>
            <w:r w:rsidR="00E63253">
              <w:rPr>
                <w:rFonts w:cs="Arial"/>
              </w:rPr>
              <w:t xml:space="preserve">, </w:t>
            </w:r>
            <w:r w:rsidRPr="00E66809">
              <w:rPr>
                <w:rFonts w:cs="Arial"/>
              </w:rPr>
              <w:t xml:space="preserve">transparent </w:t>
            </w:r>
            <w:r w:rsidR="00E63253">
              <w:rPr>
                <w:rFonts w:cs="Arial"/>
              </w:rPr>
              <w:t xml:space="preserve">and cost-efficient </w:t>
            </w:r>
            <w:r w:rsidRPr="00E66809">
              <w:rPr>
                <w:rFonts w:cs="Arial"/>
              </w:rPr>
              <w:t>way?</w:t>
            </w:r>
          </w:p>
          <w:p w14:paraId="16F30591" w14:textId="51E2600D" w:rsidR="00286052" w:rsidRPr="00E66809" w:rsidRDefault="00286052" w:rsidP="00C06284">
            <w:pPr>
              <w:pStyle w:val="ListParagraph"/>
              <w:widowControl w:val="0"/>
              <w:numPr>
                <w:ilvl w:val="0"/>
                <w:numId w:val="19"/>
              </w:numPr>
              <w:overflowPunct w:val="0"/>
              <w:autoSpaceDE w:val="0"/>
              <w:autoSpaceDN w:val="0"/>
              <w:adjustRightInd w:val="0"/>
              <w:spacing w:before="120" w:after="120"/>
              <w:ind w:hanging="110"/>
              <w:jc w:val="both"/>
              <w:rPr>
                <w:rFonts w:cs="Arial"/>
              </w:rPr>
            </w:pPr>
            <w:r w:rsidRPr="00E66809">
              <w:rPr>
                <w:rFonts w:cs="Arial"/>
              </w:rPr>
              <w:t>What was your approach to training / supporting training of c</w:t>
            </w:r>
            <w:r w:rsidR="00BC446C">
              <w:rPr>
                <w:rFonts w:cs="Arial"/>
              </w:rPr>
              <w:t>ustomer</w:t>
            </w:r>
            <w:r w:rsidRPr="00E66809">
              <w:rPr>
                <w:rFonts w:cs="Arial"/>
              </w:rPr>
              <w:t xml:space="preserve"> teams to use your solution throughout the contract?</w:t>
            </w:r>
          </w:p>
          <w:p w14:paraId="3EEC9B62" w14:textId="0A34880D" w:rsidR="00286052" w:rsidRPr="004762A6" w:rsidRDefault="00FE2D30" w:rsidP="004762A6">
            <w:pPr>
              <w:pStyle w:val="ListParagraph"/>
              <w:widowControl w:val="0"/>
              <w:numPr>
                <w:ilvl w:val="0"/>
                <w:numId w:val="19"/>
              </w:numPr>
              <w:overflowPunct w:val="0"/>
              <w:autoSpaceDE w:val="0"/>
              <w:autoSpaceDN w:val="0"/>
              <w:adjustRightInd w:val="0"/>
              <w:spacing w:before="120" w:after="120"/>
              <w:ind w:hanging="110"/>
              <w:jc w:val="both"/>
              <w:rPr>
                <w:rFonts w:cs="Arial"/>
              </w:rPr>
            </w:pPr>
            <w:r>
              <w:rPr>
                <w:rFonts w:cs="Arial"/>
              </w:rPr>
              <w:t>Did</w:t>
            </w:r>
            <w:r w:rsidR="00286052" w:rsidRPr="00E66809">
              <w:rPr>
                <w:rFonts w:cs="Arial"/>
              </w:rPr>
              <w:t xml:space="preserve"> you co-develop your product roadmap with the c</w:t>
            </w:r>
            <w:r w:rsidR="008B7F54">
              <w:rPr>
                <w:rFonts w:cs="Arial"/>
              </w:rPr>
              <w:t>ustomer</w:t>
            </w:r>
            <w:r w:rsidR="00286052" w:rsidRPr="00E66809">
              <w:rPr>
                <w:rFonts w:cs="Arial"/>
              </w:rPr>
              <w:t>? Where there was co-development of the roadmap, how was this managed?</w:t>
            </w:r>
          </w:p>
        </w:tc>
        <w:tc>
          <w:tcPr>
            <w:tcW w:w="5135" w:type="dxa"/>
            <w:tcBorders>
              <w:top w:val="single" w:sz="6" w:space="0" w:color="000000" w:themeColor="text1"/>
              <w:bottom w:val="single" w:sz="6" w:space="0" w:color="000000" w:themeColor="text1"/>
            </w:tcBorders>
          </w:tcPr>
          <w:p w14:paraId="2B9A54E2" w14:textId="77777777" w:rsidR="002021F9" w:rsidRDefault="002021F9" w:rsidP="002021F9">
            <w:pPr>
              <w:tabs>
                <w:tab w:val="left" w:pos="602"/>
              </w:tabs>
              <w:spacing w:after="0" w:line="276" w:lineRule="auto"/>
              <w:rPr>
                <w:rFonts w:eastAsia="Arial" w:cs="Calibri"/>
              </w:rPr>
            </w:pPr>
            <w:r>
              <w:rPr>
                <w:rFonts w:eastAsia="Arial" w:cs="Calibri"/>
              </w:rPr>
              <w:lastRenderedPageBreak/>
              <w:t>Word Limit: 500 words</w:t>
            </w:r>
          </w:p>
          <w:p w14:paraId="5AB73F29" w14:textId="77777777" w:rsidR="002021F9" w:rsidRDefault="002021F9" w:rsidP="002021F9">
            <w:pPr>
              <w:tabs>
                <w:tab w:val="left" w:pos="602"/>
              </w:tabs>
              <w:spacing w:after="0" w:line="276" w:lineRule="auto"/>
              <w:rPr>
                <w:rFonts w:eastAsia="Arial" w:cs="Calibri"/>
              </w:rPr>
            </w:pPr>
          </w:p>
          <w:p w14:paraId="1611C4BD" w14:textId="333E73C3" w:rsidR="00286052" w:rsidRPr="00E66809" w:rsidRDefault="002021F9">
            <w:pPr>
              <w:tabs>
                <w:tab w:val="left" w:pos="602"/>
              </w:tabs>
              <w:spacing w:after="0" w:line="276" w:lineRule="auto"/>
              <w:rPr>
                <w:rFonts w:eastAsia="Arial" w:cs="Calibri"/>
              </w:rPr>
            </w:pPr>
            <w:r>
              <w:rPr>
                <w:rFonts w:eastAsia="Arial" w:cs="Calibri"/>
              </w:rPr>
              <w:t>Weighting: 7.5%</w:t>
            </w:r>
          </w:p>
        </w:tc>
      </w:tr>
      <w:tr w:rsidR="00286052" w:rsidRPr="00605283" w14:paraId="44BC26A9" w14:textId="77777777" w:rsidTr="006B0E8F">
        <w:trPr>
          <w:trHeight w:val="1701"/>
        </w:trPr>
        <w:tc>
          <w:tcPr>
            <w:tcW w:w="0" w:type="auto"/>
            <w:tcBorders>
              <w:top w:val="single" w:sz="6" w:space="0" w:color="000000" w:themeColor="text1"/>
              <w:bottom w:val="single" w:sz="6" w:space="0" w:color="000000" w:themeColor="text1"/>
            </w:tcBorders>
            <w:shd w:val="clear" w:color="auto" w:fill="F2F2F2" w:themeFill="background1" w:themeFillShade="F2"/>
          </w:tcPr>
          <w:p w14:paraId="3D9B215A" w14:textId="08D637BF" w:rsidR="00286052" w:rsidRPr="00E66809" w:rsidRDefault="00E228C0">
            <w:pPr>
              <w:spacing w:after="0" w:line="276" w:lineRule="auto"/>
              <w:rPr>
                <w:rFonts w:eastAsia="Arial" w:cs="Arial"/>
                <w:b/>
              </w:rPr>
            </w:pPr>
            <w:r>
              <w:rPr>
                <w:rFonts w:eastAsia="Arial" w:cs="Arial"/>
                <w:b/>
              </w:rPr>
              <w:t>3.18</w:t>
            </w:r>
          </w:p>
        </w:tc>
        <w:tc>
          <w:tcPr>
            <w:tcW w:w="7262" w:type="dxa"/>
            <w:tcBorders>
              <w:top w:val="single" w:sz="6" w:space="0" w:color="000000" w:themeColor="text1"/>
              <w:bottom w:val="single" w:sz="6" w:space="0" w:color="000000" w:themeColor="text1"/>
            </w:tcBorders>
            <w:shd w:val="clear" w:color="auto" w:fill="F2F2F2" w:themeFill="background1" w:themeFillShade="F2"/>
            <w:vAlign w:val="center"/>
          </w:tcPr>
          <w:p w14:paraId="70D8D193" w14:textId="49351365" w:rsidR="00286052" w:rsidRPr="00E66809" w:rsidRDefault="00286052">
            <w:pPr>
              <w:spacing w:before="100" w:beforeAutospacing="1" w:after="100" w:afterAutospacing="1"/>
              <w:jc w:val="both"/>
              <w:rPr>
                <w:rFonts w:cs="Arial"/>
                <w:b/>
                <w:color w:val="000000"/>
              </w:rPr>
            </w:pPr>
            <w:r w:rsidRPr="00E66809">
              <w:rPr>
                <w:rFonts w:cs="Arial"/>
                <w:b/>
                <w:color w:val="000000"/>
              </w:rPr>
              <w:t xml:space="preserve">Third Party </w:t>
            </w:r>
            <w:r w:rsidR="00FE0113">
              <w:rPr>
                <w:rFonts w:cs="Arial"/>
                <w:b/>
                <w:color w:val="000000"/>
              </w:rPr>
              <w:t>Contact</w:t>
            </w:r>
            <w:r w:rsidRPr="00E66809">
              <w:rPr>
                <w:rFonts w:cs="Arial"/>
                <w:b/>
                <w:color w:val="000000"/>
              </w:rPr>
              <w:t xml:space="preserve"> </w:t>
            </w:r>
            <w:r w:rsidR="00232D61">
              <w:rPr>
                <w:rFonts w:cs="Arial"/>
                <w:b/>
                <w:color w:val="000000"/>
              </w:rPr>
              <w:t>Centre as a Service (CCaaS)</w:t>
            </w:r>
            <w:r w:rsidRPr="00E66809">
              <w:rPr>
                <w:rFonts w:cs="Arial"/>
                <w:b/>
                <w:color w:val="000000"/>
              </w:rPr>
              <w:t xml:space="preserve"> Integrations</w:t>
            </w:r>
          </w:p>
          <w:p w14:paraId="45191966" w14:textId="6B6CF2E6" w:rsidR="00F439EF" w:rsidRDefault="00286052">
            <w:pPr>
              <w:spacing w:before="100" w:beforeAutospacing="1" w:after="100" w:afterAutospacing="1"/>
              <w:jc w:val="both"/>
              <w:rPr>
                <w:rFonts w:cs="Arial"/>
                <w:color w:val="000000" w:themeColor="text1"/>
                <w:kern w:val="24"/>
              </w:rPr>
            </w:pPr>
            <w:r w:rsidRPr="00E66809">
              <w:rPr>
                <w:rFonts w:cs="Arial"/>
                <w:color w:val="000000" w:themeColor="text1"/>
                <w:kern w:val="24"/>
              </w:rPr>
              <w:t>Please</w:t>
            </w:r>
            <w:r w:rsidR="00020628">
              <w:rPr>
                <w:rFonts w:cs="Arial"/>
                <w:color w:val="000000" w:themeColor="text1"/>
                <w:kern w:val="24"/>
              </w:rPr>
              <w:t xml:space="preserve"> provide two case studies</w:t>
            </w:r>
            <w:r w:rsidR="00840DCE">
              <w:rPr>
                <w:rFonts w:cs="Arial"/>
                <w:color w:val="000000" w:themeColor="text1"/>
                <w:kern w:val="24"/>
              </w:rPr>
              <w:t xml:space="preserve"> which</w:t>
            </w:r>
            <w:r w:rsidRPr="00E66809">
              <w:rPr>
                <w:rFonts w:cs="Arial"/>
                <w:color w:val="000000" w:themeColor="text1"/>
                <w:kern w:val="24"/>
              </w:rPr>
              <w:t xml:space="preserve"> describe your experience integrating your CRM solution with a range of contact centre solutions in large-scale environments</w:t>
            </w:r>
            <w:r w:rsidR="00B86C6A">
              <w:rPr>
                <w:rFonts w:cs="Arial"/>
                <w:color w:val="000000" w:themeColor="text1"/>
                <w:kern w:val="24"/>
              </w:rPr>
              <w:t xml:space="preserve"> (tens of thousands of internal users)</w:t>
            </w:r>
            <w:r w:rsidRPr="00E66809">
              <w:rPr>
                <w:rFonts w:cs="Arial"/>
                <w:color w:val="000000" w:themeColor="text1"/>
                <w:kern w:val="24"/>
              </w:rPr>
              <w:t>.</w:t>
            </w:r>
            <w:r w:rsidR="00020628">
              <w:rPr>
                <w:rFonts w:cs="Arial"/>
                <w:color w:val="000000" w:themeColor="text1"/>
                <w:kern w:val="24"/>
              </w:rPr>
              <w:t xml:space="preserve"> </w:t>
            </w:r>
            <w:r w:rsidR="00306FC7">
              <w:rPr>
                <w:rFonts w:cs="Arial"/>
                <w:color w:val="000000" w:themeColor="text1"/>
                <w:kern w:val="24"/>
              </w:rPr>
              <w:t xml:space="preserve">Your </w:t>
            </w:r>
            <w:r w:rsidR="00DE5AF2">
              <w:rPr>
                <w:rFonts w:cs="Arial"/>
                <w:color w:val="000000" w:themeColor="text1"/>
                <w:kern w:val="24"/>
              </w:rPr>
              <w:t>case studies should cover the following</w:t>
            </w:r>
            <w:r w:rsidR="00F439EF">
              <w:rPr>
                <w:rFonts w:cs="Arial"/>
                <w:color w:val="000000" w:themeColor="text1"/>
                <w:kern w:val="24"/>
              </w:rPr>
              <w:t>:</w:t>
            </w:r>
          </w:p>
          <w:p w14:paraId="19706DEF" w14:textId="5583E03A" w:rsidR="00F439EF" w:rsidRDefault="005C6AC7" w:rsidP="00AD19D7">
            <w:pPr>
              <w:pStyle w:val="ListParagraph"/>
              <w:numPr>
                <w:ilvl w:val="0"/>
                <w:numId w:val="77"/>
              </w:numPr>
              <w:spacing w:before="100" w:beforeAutospacing="1" w:after="100" w:afterAutospacing="1"/>
              <w:jc w:val="both"/>
              <w:rPr>
                <w:rFonts w:cs="Arial"/>
                <w:color w:val="000000" w:themeColor="text1"/>
                <w:kern w:val="24"/>
              </w:rPr>
            </w:pPr>
            <w:r>
              <w:rPr>
                <w:rFonts w:cs="Arial"/>
                <w:color w:val="000000" w:themeColor="text1"/>
                <w:kern w:val="24"/>
              </w:rPr>
              <w:t>The development of the s</w:t>
            </w:r>
            <w:r w:rsidR="00286052" w:rsidRPr="00F439EF">
              <w:rPr>
                <w:rFonts w:cs="Arial"/>
                <w:color w:val="000000" w:themeColor="text1"/>
                <w:kern w:val="24"/>
              </w:rPr>
              <w:t xml:space="preserve">ystem architecture, </w:t>
            </w:r>
          </w:p>
          <w:p w14:paraId="0F6FFE6B" w14:textId="77777777" w:rsidR="00FE10CA" w:rsidRDefault="00F439EF" w:rsidP="00AD19D7">
            <w:pPr>
              <w:pStyle w:val="ListParagraph"/>
              <w:numPr>
                <w:ilvl w:val="0"/>
                <w:numId w:val="77"/>
              </w:numPr>
              <w:spacing w:before="100" w:beforeAutospacing="1" w:after="100" w:afterAutospacing="1"/>
              <w:jc w:val="both"/>
              <w:rPr>
                <w:rFonts w:cs="Arial"/>
                <w:color w:val="000000" w:themeColor="text1"/>
                <w:kern w:val="24"/>
              </w:rPr>
            </w:pPr>
            <w:r>
              <w:rPr>
                <w:rFonts w:cs="Arial"/>
                <w:color w:val="000000" w:themeColor="text1"/>
                <w:kern w:val="24"/>
              </w:rPr>
              <w:t>I</w:t>
            </w:r>
            <w:r w:rsidR="00286052" w:rsidRPr="00F439EF">
              <w:rPr>
                <w:rFonts w:cs="Arial"/>
                <w:color w:val="000000" w:themeColor="text1"/>
                <w:kern w:val="24"/>
              </w:rPr>
              <w:t>nteroperability</w:t>
            </w:r>
            <w:r w:rsidR="00FE10CA">
              <w:rPr>
                <w:rFonts w:cs="Arial"/>
                <w:color w:val="000000" w:themeColor="text1"/>
                <w:kern w:val="24"/>
              </w:rPr>
              <w:t xml:space="preserve"> across the systems landscape</w:t>
            </w:r>
          </w:p>
          <w:p w14:paraId="7952B78C" w14:textId="77777777" w:rsidR="009C70D7" w:rsidRDefault="009C70D7" w:rsidP="00AD19D7">
            <w:pPr>
              <w:pStyle w:val="ListParagraph"/>
              <w:numPr>
                <w:ilvl w:val="0"/>
                <w:numId w:val="77"/>
              </w:numPr>
              <w:spacing w:before="100" w:beforeAutospacing="1" w:after="100" w:afterAutospacing="1"/>
              <w:jc w:val="both"/>
              <w:rPr>
                <w:rFonts w:cs="Arial"/>
                <w:color w:val="000000" w:themeColor="text1"/>
                <w:kern w:val="24"/>
              </w:rPr>
            </w:pPr>
            <w:r>
              <w:rPr>
                <w:rFonts w:cs="Arial"/>
                <w:color w:val="000000" w:themeColor="text1"/>
                <w:kern w:val="24"/>
              </w:rPr>
              <w:t>The integration lifecycle management (ILM) approach</w:t>
            </w:r>
          </w:p>
          <w:p w14:paraId="48ECDE0D" w14:textId="399F49C7" w:rsidR="00286052" w:rsidRPr="00F439EF" w:rsidRDefault="00A91A25" w:rsidP="00AD19D7">
            <w:pPr>
              <w:pStyle w:val="ListParagraph"/>
              <w:numPr>
                <w:ilvl w:val="0"/>
                <w:numId w:val="77"/>
              </w:numPr>
              <w:spacing w:before="100" w:beforeAutospacing="1" w:after="100" w:afterAutospacing="1"/>
              <w:jc w:val="both"/>
              <w:rPr>
                <w:rFonts w:cs="Arial"/>
                <w:color w:val="000000" w:themeColor="text1"/>
                <w:kern w:val="24"/>
              </w:rPr>
            </w:pPr>
            <w:r>
              <w:rPr>
                <w:rFonts w:cs="Arial"/>
                <w:color w:val="000000" w:themeColor="text1"/>
                <w:kern w:val="24"/>
              </w:rPr>
              <w:t>M</w:t>
            </w:r>
            <w:r w:rsidR="00286052" w:rsidRPr="00F439EF">
              <w:rPr>
                <w:rFonts w:cs="Arial"/>
                <w:color w:val="000000" w:themeColor="text1"/>
                <w:kern w:val="24"/>
              </w:rPr>
              <w:t>easurable outcomes demonstrating successful operation across multiple communication channels (e.g. online, mobile).</w:t>
            </w:r>
          </w:p>
          <w:p w14:paraId="764D217A" w14:textId="5DCEBCCB" w:rsidR="00286052" w:rsidRDefault="00286052">
            <w:pPr>
              <w:spacing w:before="100" w:beforeAutospacing="1" w:after="100" w:afterAutospacing="1"/>
              <w:jc w:val="both"/>
              <w:rPr>
                <w:rFonts w:cs="Arial"/>
                <w:color w:val="000000" w:themeColor="text1"/>
                <w:kern w:val="24"/>
              </w:rPr>
            </w:pPr>
            <w:r w:rsidRPr="00E66809">
              <w:rPr>
                <w:rFonts w:cs="Arial"/>
                <w:color w:val="000000" w:themeColor="text1"/>
                <w:kern w:val="24"/>
              </w:rPr>
              <w:t>Note that your response to this question may include some or all of the case studies provided in your response to Question 3.1</w:t>
            </w:r>
            <w:r w:rsidR="002158EF">
              <w:rPr>
                <w:rFonts w:cs="Arial"/>
                <w:color w:val="000000" w:themeColor="text1"/>
                <w:kern w:val="24"/>
              </w:rPr>
              <w:t>1</w:t>
            </w:r>
            <w:r w:rsidR="00020628">
              <w:rPr>
                <w:rFonts w:cs="Arial"/>
                <w:color w:val="000000" w:themeColor="text1"/>
                <w:kern w:val="24"/>
              </w:rPr>
              <w:t>,</w:t>
            </w:r>
            <w:r w:rsidRPr="00E66809">
              <w:rPr>
                <w:rFonts w:cs="Arial"/>
                <w:color w:val="000000" w:themeColor="text1"/>
                <w:kern w:val="24"/>
              </w:rPr>
              <w:t xml:space="preserve"> however you may also use alternative case studies in your response to this question.</w:t>
            </w:r>
          </w:p>
          <w:p w14:paraId="55BA8DA5" w14:textId="1E07667C" w:rsidR="001E261C" w:rsidRPr="004762A6" w:rsidRDefault="004762A6" w:rsidP="004762A6">
            <w:pPr>
              <w:widowControl w:val="0"/>
              <w:jc w:val="both"/>
              <w:rPr>
                <w:rFonts w:cs="Arial"/>
                <w:color w:val="000000" w:themeColor="text1"/>
                <w:kern w:val="24"/>
              </w:rPr>
            </w:pPr>
            <w:r w:rsidRPr="00C453EE">
              <w:rPr>
                <w:rFonts w:cs="Arial"/>
                <w:color w:val="000000" w:themeColor="text1"/>
                <w:kern w:val="24"/>
              </w:rPr>
              <w:t xml:space="preserve">Where you are bidding as part of a </w:t>
            </w:r>
            <w:r>
              <w:rPr>
                <w:rFonts w:cs="Arial"/>
                <w:color w:val="000000" w:themeColor="text1"/>
                <w:kern w:val="24"/>
              </w:rPr>
              <w:t>consortium/with subcontractors</w:t>
            </w:r>
            <w:r w:rsidRPr="00C453EE">
              <w:rPr>
                <w:rFonts w:cs="Arial"/>
                <w:color w:val="000000" w:themeColor="text1"/>
                <w:kern w:val="24"/>
              </w:rPr>
              <w:t xml:space="preserve">, </w:t>
            </w:r>
            <w:r>
              <w:rPr>
                <w:rFonts w:cs="Arial"/>
                <w:color w:val="000000" w:themeColor="text1"/>
                <w:kern w:val="24"/>
              </w:rPr>
              <w:t>the lead Supplier</w:t>
            </w:r>
            <w:r w:rsidRPr="00C453EE">
              <w:rPr>
                <w:rFonts w:cs="Arial"/>
                <w:color w:val="000000" w:themeColor="text1"/>
                <w:kern w:val="24"/>
              </w:rPr>
              <w:t xml:space="preserve"> must be included in all of the case studies. Other Suppliers within the </w:t>
            </w:r>
            <w:r>
              <w:rPr>
                <w:rFonts w:cs="Arial"/>
                <w:color w:val="000000" w:themeColor="text1"/>
                <w:kern w:val="24"/>
              </w:rPr>
              <w:t>consortium/supply chain</w:t>
            </w:r>
            <w:r w:rsidRPr="00C453EE">
              <w:rPr>
                <w:rFonts w:cs="Arial"/>
                <w:color w:val="000000" w:themeColor="text1"/>
                <w:kern w:val="24"/>
              </w:rPr>
              <w:t xml:space="preserve"> may also be mentioned within the case studies for reference.</w:t>
            </w:r>
          </w:p>
        </w:tc>
        <w:tc>
          <w:tcPr>
            <w:tcW w:w="5135" w:type="dxa"/>
            <w:tcBorders>
              <w:top w:val="single" w:sz="6" w:space="0" w:color="000000" w:themeColor="text1"/>
              <w:bottom w:val="single" w:sz="6" w:space="0" w:color="000000" w:themeColor="text1"/>
            </w:tcBorders>
          </w:tcPr>
          <w:p w14:paraId="5B7DE038" w14:textId="204BF5C6" w:rsidR="002021F9" w:rsidRDefault="002021F9" w:rsidP="002021F9">
            <w:pPr>
              <w:tabs>
                <w:tab w:val="left" w:pos="602"/>
              </w:tabs>
              <w:spacing w:after="0" w:line="276" w:lineRule="auto"/>
              <w:rPr>
                <w:rFonts w:eastAsia="Arial" w:cs="Calibri"/>
              </w:rPr>
            </w:pPr>
            <w:r>
              <w:rPr>
                <w:rFonts w:eastAsia="Arial" w:cs="Calibri"/>
              </w:rPr>
              <w:t>Word Limit: 500 words</w:t>
            </w:r>
            <w:r w:rsidR="00546950">
              <w:rPr>
                <w:rFonts w:eastAsia="Arial" w:cs="Calibri"/>
              </w:rPr>
              <w:t xml:space="preserve"> per case study (1000 words in total)</w:t>
            </w:r>
          </w:p>
          <w:p w14:paraId="070FA7ED" w14:textId="77777777" w:rsidR="002021F9" w:rsidRDefault="002021F9" w:rsidP="002021F9">
            <w:pPr>
              <w:tabs>
                <w:tab w:val="left" w:pos="602"/>
              </w:tabs>
              <w:spacing w:after="0" w:line="276" w:lineRule="auto"/>
              <w:rPr>
                <w:rFonts w:eastAsia="Arial" w:cs="Calibri"/>
              </w:rPr>
            </w:pPr>
          </w:p>
          <w:p w14:paraId="5F9726E6" w14:textId="69D77D03" w:rsidR="00286052" w:rsidRPr="00E66809" w:rsidRDefault="002021F9">
            <w:pPr>
              <w:tabs>
                <w:tab w:val="left" w:pos="602"/>
              </w:tabs>
              <w:spacing w:after="0" w:line="276" w:lineRule="auto"/>
              <w:rPr>
                <w:rFonts w:eastAsia="Arial" w:cs="Calibri"/>
              </w:rPr>
            </w:pPr>
            <w:r>
              <w:rPr>
                <w:rFonts w:eastAsia="Arial" w:cs="Calibri"/>
              </w:rPr>
              <w:t>Weighting: 7.5%</w:t>
            </w:r>
          </w:p>
        </w:tc>
      </w:tr>
      <w:tr w:rsidR="00286052" w:rsidRPr="00605283" w14:paraId="578D7C94" w14:textId="77777777" w:rsidTr="006B0E8F">
        <w:trPr>
          <w:trHeight w:val="978"/>
        </w:trPr>
        <w:tc>
          <w:tcPr>
            <w:tcW w:w="0" w:type="auto"/>
            <w:tcBorders>
              <w:top w:val="single" w:sz="6" w:space="0" w:color="000000" w:themeColor="text1"/>
              <w:bottom w:val="single" w:sz="6" w:space="0" w:color="000000" w:themeColor="text1"/>
            </w:tcBorders>
            <w:shd w:val="clear" w:color="auto" w:fill="F2F2F2" w:themeFill="background1" w:themeFillShade="F2"/>
          </w:tcPr>
          <w:p w14:paraId="01240AD3" w14:textId="3EDB1468" w:rsidR="00286052" w:rsidRPr="00E66809" w:rsidRDefault="00E228C0">
            <w:pPr>
              <w:spacing w:after="0" w:line="276" w:lineRule="auto"/>
              <w:rPr>
                <w:rFonts w:eastAsia="Arial" w:cs="Arial"/>
                <w:b/>
              </w:rPr>
            </w:pPr>
            <w:r>
              <w:rPr>
                <w:rFonts w:eastAsia="Arial" w:cs="Arial"/>
                <w:b/>
              </w:rPr>
              <w:lastRenderedPageBreak/>
              <w:t>3.19</w:t>
            </w:r>
          </w:p>
        </w:tc>
        <w:tc>
          <w:tcPr>
            <w:tcW w:w="7262" w:type="dxa"/>
            <w:tcBorders>
              <w:top w:val="single" w:sz="6" w:space="0" w:color="000000" w:themeColor="text1"/>
              <w:bottom w:val="single" w:sz="6" w:space="0" w:color="000000" w:themeColor="text1"/>
            </w:tcBorders>
            <w:shd w:val="clear" w:color="auto" w:fill="F2F2F2" w:themeFill="background1" w:themeFillShade="F2"/>
            <w:vAlign w:val="center"/>
          </w:tcPr>
          <w:p w14:paraId="5EBFE391" w14:textId="77777777" w:rsidR="00286052" w:rsidRPr="00E66809" w:rsidRDefault="00286052">
            <w:pPr>
              <w:spacing w:before="100" w:beforeAutospacing="1" w:after="100" w:afterAutospacing="1"/>
              <w:jc w:val="both"/>
              <w:rPr>
                <w:rFonts w:cs="Arial"/>
                <w:b/>
                <w:color w:val="000000"/>
              </w:rPr>
            </w:pPr>
            <w:r w:rsidRPr="00E66809">
              <w:rPr>
                <w:rFonts w:cs="Arial"/>
                <w:b/>
                <w:color w:val="000000"/>
              </w:rPr>
              <w:t>Developer Ecosystem and SI Compatibility</w:t>
            </w:r>
          </w:p>
          <w:p w14:paraId="028A243F" w14:textId="494B4022" w:rsidR="00286052" w:rsidRPr="00E66809" w:rsidRDefault="00286052">
            <w:pPr>
              <w:spacing w:before="100" w:beforeAutospacing="1" w:after="100" w:afterAutospacing="1"/>
              <w:jc w:val="both"/>
              <w:rPr>
                <w:rFonts w:cs="Arial"/>
                <w:color w:val="000000"/>
              </w:rPr>
            </w:pPr>
            <w:r w:rsidRPr="00E66809">
              <w:rPr>
                <w:rFonts w:cs="Arial"/>
                <w:color w:val="000000"/>
              </w:rPr>
              <w:t xml:space="preserve">Using one or more of the case studies provided in your response to </w:t>
            </w:r>
            <w:r w:rsidR="00E228C0" w:rsidRPr="00E228C0">
              <w:rPr>
                <w:rFonts w:cs="Arial"/>
                <w:color w:val="000000" w:themeColor="text1"/>
              </w:rPr>
              <w:t>3.11</w:t>
            </w:r>
            <w:r w:rsidRPr="00E66809">
              <w:rPr>
                <w:rFonts w:cs="Arial"/>
                <w:color w:val="000000"/>
              </w:rPr>
              <w:t>, please answer the following questions:</w:t>
            </w:r>
          </w:p>
          <w:p w14:paraId="089D396A" w14:textId="67BF96B4" w:rsidR="00286052" w:rsidRPr="00E66809" w:rsidRDefault="002A3E91" w:rsidP="00C06284">
            <w:pPr>
              <w:pStyle w:val="ListParagraph"/>
              <w:widowControl w:val="0"/>
              <w:numPr>
                <w:ilvl w:val="0"/>
                <w:numId w:val="20"/>
              </w:numPr>
              <w:overflowPunct w:val="0"/>
              <w:autoSpaceDE w:val="0"/>
              <w:autoSpaceDN w:val="0"/>
              <w:adjustRightInd w:val="0"/>
              <w:spacing w:before="120" w:after="120"/>
              <w:ind w:hanging="110"/>
              <w:jc w:val="both"/>
              <w:rPr>
                <w:rFonts w:cs="Arial"/>
              </w:rPr>
            </w:pPr>
            <w:r>
              <w:rPr>
                <w:rFonts w:cs="Arial"/>
              </w:rPr>
              <w:t>How</w:t>
            </w:r>
            <w:r w:rsidR="00286052" w:rsidRPr="00E66809">
              <w:rPr>
                <w:rFonts w:cs="Arial"/>
              </w:rPr>
              <w:t xml:space="preserve"> was the developer ecosystem</w:t>
            </w:r>
            <w:r w:rsidR="00746A00">
              <w:rPr>
                <w:rFonts w:cs="Arial"/>
              </w:rPr>
              <w:t xml:space="preserve"> </w:t>
            </w:r>
            <w:r w:rsidR="00286052" w:rsidRPr="00E66809">
              <w:rPr>
                <w:rFonts w:cs="Arial"/>
              </w:rPr>
              <w:t>provided by yourself</w:t>
            </w:r>
            <w:r w:rsidR="004C2E31">
              <w:rPr>
                <w:rFonts w:cs="Arial"/>
              </w:rPr>
              <w:t>,</w:t>
            </w:r>
            <w:r w:rsidR="00286052" w:rsidRPr="00E66809">
              <w:rPr>
                <w:rFonts w:cs="Arial"/>
              </w:rPr>
              <w:t xml:space="preserve"> as the CRM vendor</w:t>
            </w:r>
            <w:r w:rsidR="004C2E31">
              <w:rPr>
                <w:rFonts w:cs="Arial"/>
              </w:rPr>
              <w:t>,</w:t>
            </w:r>
            <w:r w:rsidR="00286052" w:rsidRPr="00E66809">
              <w:rPr>
                <w:rFonts w:cs="Arial"/>
              </w:rPr>
              <w:t xml:space="preserve"> used and valued during the implementation and operational phases</w:t>
            </w:r>
            <w:r w:rsidR="005979B4">
              <w:rPr>
                <w:rFonts w:cs="Arial"/>
              </w:rPr>
              <w:t xml:space="preserve"> of the project</w:t>
            </w:r>
            <w:r w:rsidR="00286052" w:rsidRPr="00E66809">
              <w:rPr>
                <w:rFonts w:cs="Arial"/>
              </w:rPr>
              <w:t>?</w:t>
            </w:r>
          </w:p>
          <w:p w14:paraId="1E3ADB32" w14:textId="50249237" w:rsidR="00286052" w:rsidRPr="00362B1F" w:rsidRDefault="00286052" w:rsidP="00C06284">
            <w:pPr>
              <w:pStyle w:val="ListParagraph"/>
              <w:widowControl w:val="0"/>
              <w:numPr>
                <w:ilvl w:val="0"/>
                <w:numId w:val="20"/>
              </w:numPr>
              <w:overflowPunct w:val="0"/>
              <w:autoSpaceDE w:val="0"/>
              <w:autoSpaceDN w:val="0"/>
              <w:adjustRightInd w:val="0"/>
              <w:spacing w:before="120" w:after="120"/>
              <w:ind w:hanging="110"/>
              <w:jc w:val="both"/>
              <w:rPr>
                <w:rFonts w:eastAsia="Arial" w:cs="Arial"/>
              </w:rPr>
            </w:pPr>
            <w:r w:rsidRPr="00E66809">
              <w:rPr>
                <w:rFonts w:cs="Arial"/>
              </w:rPr>
              <w:t xml:space="preserve">Describe the experience of internal teams and </w:t>
            </w:r>
            <w:r w:rsidRPr="00411BF4" w:rsidDel="00411BF4">
              <w:rPr>
                <w:rFonts w:cs="Arial"/>
              </w:rPr>
              <w:t>third</w:t>
            </w:r>
            <w:r w:rsidR="00411BF4" w:rsidRPr="00411BF4">
              <w:rPr>
                <w:rFonts w:cs="Arial"/>
              </w:rPr>
              <w:t>-party</w:t>
            </w:r>
            <w:r w:rsidRPr="00E66809">
              <w:rPr>
                <w:rFonts w:cs="Arial"/>
              </w:rPr>
              <w:t xml:space="preserve"> developers in engaging with the ecosystem</w:t>
            </w:r>
            <w:r w:rsidR="00401180">
              <w:rPr>
                <w:rFonts w:cs="Arial"/>
              </w:rPr>
              <w:t xml:space="preserve"> and how their feedback was captured</w:t>
            </w:r>
            <w:r w:rsidRPr="00E66809">
              <w:rPr>
                <w:rFonts w:cs="Arial"/>
              </w:rPr>
              <w:t>.</w:t>
            </w:r>
          </w:p>
          <w:p w14:paraId="12B057A7" w14:textId="081F3AA9" w:rsidR="00362B1F" w:rsidRPr="00362B1F" w:rsidRDefault="00362B1F" w:rsidP="00362B1F">
            <w:pPr>
              <w:widowControl w:val="0"/>
              <w:overflowPunct w:val="0"/>
              <w:autoSpaceDE w:val="0"/>
              <w:autoSpaceDN w:val="0"/>
              <w:adjustRightInd w:val="0"/>
              <w:spacing w:before="120" w:after="120"/>
              <w:jc w:val="both"/>
              <w:rPr>
                <w:rFonts w:eastAsia="Arial" w:cs="Arial"/>
              </w:rPr>
            </w:pPr>
            <w:r>
              <w:rPr>
                <w:rFonts w:eastAsia="Arial" w:cs="Arial"/>
              </w:rPr>
              <w:t>Note:</w:t>
            </w:r>
            <w:r>
              <w:t xml:space="preserve"> </w:t>
            </w:r>
            <w:r w:rsidRPr="0059581D">
              <w:t xml:space="preserve">By "developer ecosystem", we mean the full set of tools, resources, documentation, support, and community provided alongside your CRM platform to help internal and third-party developers </w:t>
            </w:r>
            <w:r w:rsidR="0059581D" w:rsidRPr="0059581D">
              <w:t>configure, customise and deploy the system.</w:t>
            </w:r>
          </w:p>
        </w:tc>
        <w:tc>
          <w:tcPr>
            <w:tcW w:w="5135" w:type="dxa"/>
            <w:tcBorders>
              <w:top w:val="single" w:sz="6" w:space="0" w:color="000000" w:themeColor="text1"/>
              <w:bottom w:val="single" w:sz="6" w:space="0" w:color="000000" w:themeColor="text1"/>
            </w:tcBorders>
          </w:tcPr>
          <w:p w14:paraId="214F6E7F" w14:textId="77777777" w:rsidR="002021F9" w:rsidRDefault="002021F9" w:rsidP="002021F9">
            <w:pPr>
              <w:tabs>
                <w:tab w:val="left" w:pos="602"/>
              </w:tabs>
              <w:spacing w:after="0" w:line="276" w:lineRule="auto"/>
              <w:rPr>
                <w:rFonts w:eastAsia="Arial" w:cs="Calibri"/>
              </w:rPr>
            </w:pPr>
            <w:r>
              <w:rPr>
                <w:rFonts w:eastAsia="Arial" w:cs="Calibri"/>
              </w:rPr>
              <w:t>Word Limit: 500 words</w:t>
            </w:r>
          </w:p>
          <w:p w14:paraId="7F4ECFF4" w14:textId="77777777" w:rsidR="002021F9" w:rsidRDefault="002021F9" w:rsidP="002021F9">
            <w:pPr>
              <w:tabs>
                <w:tab w:val="left" w:pos="602"/>
              </w:tabs>
              <w:spacing w:after="0" w:line="276" w:lineRule="auto"/>
              <w:rPr>
                <w:rFonts w:eastAsia="Arial" w:cs="Calibri"/>
              </w:rPr>
            </w:pPr>
          </w:p>
          <w:p w14:paraId="121F585C" w14:textId="08649A49" w:rsidR="00286052" w:rsidRPr="00E66809" w:rsidRDefault="002021F9">
            <w:pPr>
              <w:tabs>
                <w:tab w:val="left" w:pos="602"/>
              </w:tabs>
              <w:spacing w:after="0" w:line="276" w:lineRule="auto"/>
              <w:rPr>
                <w:rFonts w:eastAsia="Arial" w:cs="Calibri"/>
              </w:rPr>
            </w:pPr>
            <w:r>
              <w:rPr>
                <w:rFonts w:eastAsia="Arial" w:cs="Calibri"/>
              </w:rPr>
              <w:t>Weighting: 5%</w:t>
            </w:r>
          </w:p>
        </w:tc>
      </w:tr>
    </w:tbl>
    <w:p w14:paraId="69F10FF8" w14:textId="77777777" w:rsidR="00286052" w:rsidRPr="00E66809" w:rsidRDefault="00286052" w:rsidP="00286052">
      <w:pPr>
        <w:spacing w:after="0" w:line="276" w:lineRule="auto"/>
        <w:ind w:firstLine="720"/>
        <w:rPr>
          <w:rFonts w:eastAsia="Times New Roman" w:cs="Calibri"/>
        </w:rPr>
      </w:pPr>
    </w:p>
    <w:p w14:paraId="5FFE894A" w14:textId="77777777" w:rsidR="00286052" w:rsidRPr="00E66809" w:rsidRDefault="00286052" w:rsidP="00286052">
      <w:pPr>
        <w:spacing w:after="0" w:line="276" w:lineRule="auto"/>
        <w:ind w:firstLine="720"/>
        <w:rPr>
          <w:rFonts w:eastAsia="Times New Roman" w:cs="Calibri"/>
        </w:rPr>
      </w:pPr>
    </w:p>
    <w:p w14:paraId="42E5C0D0" w14:textId="77777777" w:rsidR="00286052" w:rsidRPr="00E66809" w:rsidRDefault="00286052" w:rsidP="00286052">
      <w:pPr>
        <w:pageBreakBefore/>
        <w:spacing w:after="0" w:line="276" w:lineRule="auto"/>
        <w:rPr>
          <w:rFonts w:eastAsia="Arial" w:cs="Calibri"/>
          <w:b/>
          <w:u w:val="single"/>
        </w:rPr>
      </w:pPr>
      <w:r w:rsidRPr="00E66809">
        <w:rPr>
          <w:rFonts w:eastAsia="Arial" w:cs="Calibri"/>
          <w:b/>
          <w:u w:val="single"/>
        </w:rPr>
        <w:lastRenderedPageBreak/>
        <w:t>Part 3B – Requirements for Central Government Departments, their Executive Agencies and Non-Departmental Public Bodies</w:t>
      </w:r>
    </w:p>
    <w:p w14:paraId="0322B8BE" w14:textId="77777777" w:rsidR="00286052" w:rsidRPr="00E66809" w:rsidRDefault="00286052" w:rsidP="00286052">
      <w:pPr>
        <w:spacing w:after="0" w:line="276" w:lineRule="auto"/>
        <w:rPr>
          <w:rFonts w:eastAsia="Arial" w:cs="Calibri"/>
          <w:b/>
          <w:u w:val="single"/>
        </w:rPr>
      </w:pPr>
    </w:p>
    <w:p w14:paraId="661607F2" w14:textId="77777777" w:rsidR="00286052" w:rsidRPr="00E66809" w:rsidRDefault="00286052" w:rsidP="00286052">
      <w:pPr>
        <w:spacing w:after="0" w:line="276" w:lineRule="auto"/>
        <w:rPr>
          <w:rFonts w:eastAsia="Arial" w:cs="Calibri"/>
          <w:b/>
        </w:rPr>
      </w:pPr>
      <w:r w:rsidRPr="00E66809">
        <w:rPr>
          <w:rFonts w:eastAsia="Arial" w:cs="Calibri"/>
          <w:b/>
        </w:rPr>
        <w:t>Payments in Contracts</w:t>
      </w:r>
    </w:p>
    <w:p w14:paraId="5439C9F8" w14:textId="77777777" w:rsidR="00FC242A" w:rsidRDefault="00FC242A" w:rsidP="00286052">
      <w:pPr>
        <w:spacing w:after="0" w:line="276" w:lineRule="auto"/>
        <w:rPr>
          <w:rFonts w:eastAsia="Arial" w:cs="Calibri"/>
          <w:b/>
        </w:rPr>
      </w:pPr>
    </w:p>
    <w:p w14:paraId="348E7A36" w14:textId="69F9433E" w:rsidR="00FC242A" w:rsidRPr="00E66809" w:rsidRDefault="00FC242A" w:rsidP="00FC242A">
      <w:pPr>
        <w:spacing w:after="0" w:line="276" w:lineRule="auto"/>
        <w:rPr>
          <w:rFonts w:eastAsia="Arial" w:cs="Calibri"/>
          <w:b/>
        </w:rPr>
      </w:pPr>
      <w:r w:rsidRPr="00E66809">
        <w:rPr>
          <w:rFonts w:eastAsia="Times New Roman" w:cs="Calibri"/>
        </w:rPr>
        <w:t>Please see</w:t>
      </w:r>
      <w:r w:rsidR="000D71F4">
        <w:rPr>
          <w:rFonts w:eastAsia="Times New Roman" w:cs="Calibri"/>
        </w:rPr>
        <w:t xml:space="preserve"> </w:t>
      </w:r>
      <w:r w:rsidRPr="00E66809">
        <w:rPr>
          <w:rFonts w:eastAsia="Times New Roman" w:cs="Calibri"/>
        </w:rPr>
        <w:t xml:space="preserve"> </w:t>
      </w:r>
      <w:hyperlink r:id="rId23" w:history="1">
        <w:r w:rsidR="000D71F4">
          <w:rPr>
            <w:rStyle w:val="Hyperlink"/>
            <w:rFonts w:cs="Arial"/>
            <w:color w:val="auto"/>
          </w:rPr>
          <w:t>PPN015: Taking account of a supplier’s approach to payment in the procurement of major contracts - GOV.UK</w:t>
        </w:r>
      </w:hyperlink>
      <w:r w:rsidRPr="00E66809">
        <w:rPr>
          <w:rStyle w:val="eop"/>
          <w:rFonts w:cs="Arial"/>
        </w:rPr>
        <w:t> for further information.</w:t>
      </w:r>
    </w:p>
    <w:p w14:paraId="763BAE39" w14:textId="77777777" w:rsidR="00286052" w:rsidRPr="00E66809" w:rsidRDefault="00286052" w:rsidP="00286052">
      <w:pPr>
        <w:spacing w:after="0" w:line="276" w:lineRule="auto"/>
        <w:ind w:firstLine="720"/>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490"/>
        <w:gridCol w:w="4331"/>
      </w:tblGrid>
      <w:tr w:rsidR="00286052" w:rsidRPr="001439F7" w14:paraId="6D7D273B" w14:textId="77777777" w:rsidTr="006B0E8F">
        <w:tc>
          <w:tcPr>
            <w:tcW w:w="0" w:type="auto"/>
            <w:tcBorders>
              <w:top w:val="single" w:sz="6" w:space="0" w:color="000000" w:themeColor="text1"/>
              <w:bottom w:val="single" w:sz="6" w:space="0" w:color="000000" w:themeColor="text1"/>
            </w:tcBorders>
            <w:shd w:val="clear" w:color="auto" w:fill="009999"/>
          </w:tcPr>
          <w:p w14:paraId="6A97B358"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490" w:type="dxa"/>
            <w:tcBorders>
              <w:top w:val="single" w:sz="6" w:space="0" w:color="000000" w:themeColor="text1"/>
              <w:bottom w:val="single" w:sz="6" w:space="0" w:color="000000" w:themeColor="text1"/>
            </w:tcBorders>
            <w:shd w:val="clear" w:color="auto" w:fill="009999"/>
          </w:tcPr>
          <w:p w14:paraId="58C833DF"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331" w:type="dxa"/>
            <w:tcBorders>
              <w:top w:val="single" w:sz="6" w:space="0" w:color="000000" w:themeColor="text1"/>
              <w:bottom w:val="single" w:sz="6" w:space="0" w:color="000000" w:themeColor="text1"/>
            </w:tcBorders>
            <w:shd w:val="clear" w:color="auto" w:fill="009999"/>
          </w:tcPr>
          <w:p w14:paraId="137AEA59"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420561" w14:paraId="5161179C" w14:textId="77777777" w:rsidTr="006B0E8F">
        <w:trPr>
          <w:trHeight w:val="2583"/>
        </w:trPr>
        <w:tc>
          <w:tcPr>
            <w:tcW w:w="0" w:type="auto"/>
            <w:tcBorders>
              <w:top w:val="single" w:sz="6" w:space="0" w:color="000000" w:themeColor="text1"/>
              <w:bottom w:val="single" w:sz="6" w:space="0" w:color="000000" w:themeColor="text1"/>
            </w:tcBorders>
            <w:shd w:val="clear" w:color="auto" w:fill="F2F2F2" w:themeFill="background1" w:themeFillShade="F2"/>
          </w:tcPr>
          <w:p w14:paraId="7556E689" w14:textId="12D04582" w:rsidR="00286052" w:rsidRPr="00E66809" w:rsidRDefault="00286052">
            <w:pPr>
              <w:spacing w:after="0" w:line="276" w:lineRule="auto"/>
              <w:rPr>
                <w:rFonts w:eastAsia="Arial" w:cs="Arial"/>
                <w:b/>
              </w:rPr>
            </w:pPr>
            <w:r w:rsidRPr="00E66809">
              <w:rPr>
                <w:rFonts w:eastAsia="Arial" w:cs="Calibri"/>
                <w:b/>
              </w:rPr>
              <w:t>3.2</w:t>
            </w:r>
            <w:r w:rsidR="002158EF">
              <w:rPr>
                <w:rFonts w:eastAsia="Arial" w:cs="Calibri"/>
                <w:b/>
              </w:rPr>
              <w:t>0</w:t>
            </w:r>
          </w:p>
        </w:tc>
        <w:tc>
          <w:tcPr>
            <w:tcW w:w="7490" w:type="dxa"/>
            <w:tcBorders>
              <w:top w:val="single" w:sz="6" w:space="0" w:color="000000" w:themeColor="text1"/>
              <w:bottom w:val="single" w:sz="6" w:space="0" w:color="000000" w:themeColor="text1"/>
            </w:tcBorders>
            <w:shd w:val="clear" w:color="auto" w:fill="F2F2F2" w:themeFill="background1" w:themeFillShade="F2"/>
          </w:tcPr>
          <w:p w14:paraId="21D70963" w14:textId="5580B408" w:rsidR="00286052" w:rsidRPr="00E66809" w:rsidRDefault="00286052">
            <w:pPr>
              <w:widowControl w:val="0"/>
              <w:spacing w:after="0" w:line="276" w:lineRule="auto"/>
              <w:rPr>
                <w:rFonts w:eastAsia="Times New Roman" w:cs="Calibri"/>
              </w:rPr>
            </w:pPr>
            <w:r w:rsidRPr="00E66809">
              <w:rPr>
                <w:rFonts w:eastAsia="Times New Roman" w:cs="Calibri"/>
              </w:rPr>
              <w:t>Please confirm if you intend to use a supply chain* for this contract. If you answer “No” you do not need to complete the rest of this section (questions 3.2</w:t>
            </w:r>
            <w:r w:rsidR="002158EF">
              <w:rPr>
                <w:rFonts w:eastAsia="Times New Roman" w:cs="Calibri"/>
              </w:rPr>
              <w:t>1</w:t>
            </w:r>
            <w:r w:rsidRPr="00E66809">
              <w:rPr>
                <w:rFonts w:eastAsia="Times New Roman" w:cs="Calibri"/>
              </w:rPr>
              <w:t xml:space="preserve"> – 3.2</w:t>
            </w:r>
            <w:r w:rsidR="002158EF">
              <w:rPr>
                <w:rFonts w:eastAsia="Times New Roman" w:cs="Calibri"/>
              </w:rPr>
              <w:t>3</w:t>
            </w:r>
            <w:r w:rsidRPr="00E66809">
              <w:rPr>
                <w:rFonts w:eastAsia="Times New Roman" w:cs="Calibri"/>
              </w:rPr>
              <w:t>)</w:t>
            </w:r>
          </w:p>
          <w:p w14:paraId="518FD8EE" w14:textId="77777777" w:rsidR="00286052" w:rsidRPr="00E66809" w:rsidRDefault="00286052">
            <w:pPr>
              <w:widowControl w:val="0"/>
              <w:spacing w:after="0" w:line="276" w:lineRule="auto"/>
              <w:rPr>
                <w:rFonts w:eastAsia="Times New Roman" w:cs="Calibri"/>
              </w:rPr>
            </w:pPr>
          </w:p>
          <w:p w14:paraId="1682049F" w14:textId="77777777" w:rsidR="00286052" w:rsidRPr="00E66809" w:rsidRDefault="00286052">
            <w:pPr>
              <w:widowControl w:val="0"/>
              <w:tabs>
                <w:tab w:val="left" w:pos="0"/>
              </w:tabs>
              <w:overflowPunct w:val="0"/>
              <w:autoSpaceDE w:val="0"/>
              <w:autoSpaceDN w:val="0"/>
              <w:adjustRightInd w:val="0"/>
              <w:jc w:val="both"/>
              <w:rPr>
                <w:rFonts w:eastAsia="Arial" w:cs="Arial"/>
              </w:rPr>
            </w:pPr>
            <w:r w:rsidRPr="00E66809">
              <w:rPr>
                <w:rFonts w:eastAsia="Times New Roman" w:cs="Calibri"/>
                <w:i/>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tc>
        <w:tc>
          <w:tcPr>
            <w:tcW w:w="4331" w:type="dxa"/>
            <w:tcBorders>
              <w:top w:val="single" w:sz="6" w:space="0" w:color="000000" w:themeColor="text1"/>
              <w:bottom w:val="single" w:sz="6" w:space="0" w:color="000000" w:themeColor="text1"/>
            </w:tcBorders>
          </w:tcPr>
          <w:p w14:paraId="794E32AE" w14:textId="77777777" w:rsidR="00FC5051" w:rsidRPr="00FA307B" w:rsidRDefault="00FC5051" w:rsidP="00FC5051">
            <w:pPr>
              <w:tabs>
                <w:tab w:val="left" w:pos="594"/>
              </w:tabs>
              <w:spacing w:after="0" w:line="276" w:lineRule="auto"/>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47FB3E50" w14:textId="73F762CF" w:rsidR="00FC5051" w:rsidRDefault="00FC5051" w:rsidP="00FC5051">
            <w:pPr>
              <w:tabs>
                <w:tab w:val="left" w:pos="602"/>
              </w:tabs>
              <w:spacing w:after="0" w:line="276" w:lineRule="auto"/>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08236833" w14:textId="67A97686" w:rsidR="00286052" w:rsidRPr="00E66809" w:rsidRDefault="00286052">
            <w:pPr>
              <w:tabs>
                <w:tab w:val="left" w:pos="602"/>
              </w:tabs>
              <w:spacing w:after="0" w:line="276" w:lineRule="auto"/>
              <w:rPr>
                <w:rFonts w:eastAsia="Arial" w:cs="Calibri"/>
              </w:rPr>
            </w:pPr>
          </w:p>
        </w:tc>
      </w:tr>
      <w:tr w:rsidR="00286052" w:rsidRPr="00420561" w14:paraId="5CB80C68" w14:textId="77777777" w:rsidTr="006B0E8F">
        <w:trPr>
          <w:trHeight w:val="1361"/>
        </w:trPr>
        <w:tc>
          <w:tcPr>
            <w:tcW w:w="0" w:type="auto"/>
            <w:tcBorders>
              <w:top w:val="single" w:sz="6" w:space="0" w:color="000000" w:themeColor="text1"/>
              <w:bottom w:val="single" w:sz="6" w:space="0" w:color="000000" w:themeColor="text1"/>
            </w:tcBorders>
            <w:shd w:val="clear" w:color="auto" w:fill="F2F2F2" w:themeFill="background1" w:themeFillShade="F2"/>
          </w:tcPr>
          <w:p w14:paraId="14D3A686" w14:textId="7A364773" w:rsidR="00286052" w:rsidRPr="00E66809" w:rsidRDefault="00286052">
            <w:pPr>
              <w:spacing w:after="0" w:line="276" w:lineRule="auto"/>
              <w:rPr>
                <w:rFonts w:eastAsia="Arial" w:cs="Arial"/>
                <w:b/>
              </w:rPr>
            </w:pPr>
            <w:r w:rsidRPr="00E66809">
              <w:rPr>
                <w:rFonts w:eastAsia="Arial" w:cs="Calibri"/>
                <w:b/>
              </w:rPr>
              <w:t>3.2</w:t>
            </w:r>
            <w:r w:rsidR="002158EF">
              <w:rPr>
                <w:rFonts w:eastAsia="Arial" w:cs="Calibri"/>
                <w:b/>
              </w:rPr>
              <w:t>1</w:t>
            </w:r>
          </w:p>
        </w:tc>
        <w:tc>
          <w:tcPr>
            <w:tcW w:w="7490" w:type="dxa"/>
            <w:tcBorders>
              <w:top w:val="single" w:sz="6" w:space="0" w:color="000000" w:themeColor="text1"/>
              <w:bottom w:val="single" w:sz="6" w:space="0" w:color="000000" w:themeColor="text1"/>
            </w:tcBorders>
            <w:shd w:val="clear" w:color="auto" w:fill="F2F2F2" w:themeFill="background1" w:themeFillShade="F2"/>
          </w:tcPr>
          <w:p w14:paraId="16A816E8" w14:textId="77777777" w:rsidR="00286052" w:rsidRPr="00E66809" w:rsidRDefault="00286052">
            <w:pPr>
              <w:widowControl w:val="0"/>
              <w:tabs>
                <w:tab w:val="left" w:pos="0"/>
              </w:tabs>
              <w:overflowPunct w:val="0"/>
              <w:autoSpaceDE w:val="0"/>
              <w:autoSpaceDN w:val="0"/>
              <w:adjustRightInd w:val="0"/>
              <w:jc w:val="both"/>
              <w:rPr>
                <w:rFonts w:eastAsia="Arial" w:cs="Arial"/>
              </w:rPr>
            </w:pPr>
            <w:r w:rsidRPr="00E66809">
              <w:rPr>
                <w:rFonts w:eastAsia="Times New Roman" w:cs="Calibri"/>
              </w:rPr>
              <w:t>Please confirm that you have systems in place to pay those in your supply chain promptly and effectively, i.e. within your agreed contractual terms.</w:t>
            </w:r>
          </w:p>
        </w:tc>
        <w:tc>
          <w:tcPr>
            <w:tcW w:w="4331" w:type="dxa"/>
            <w:tcBorders>
              <w:top w:val="single" w:sz="6" w:space="0" w:color="000000" w:themeColor="text1"/>
              <w:bottom w:val="single" w:sz="6" w:space="0" w:color="000000" w:themeColor="text1"/>
            </w:tcBorders>
          </w:tcPr>
          <w:p w14:paraId="1EE9F5ED" w14:textId="77777777" w:rsidR="00FC5051" w:rsidRPr="00FA307B" w:rsidRDefault="00FC5051" w:rsidP="00FC5051">
            <w:pPr>
              <w:tabs>
                <w:tab w:val="left" w:pos="594"/>
              </w:tabs>
              <w:spacing w:after="0" w:line="276" w:lineRule="auto"/>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108C4936" w14:textId="42004C36" w:rsidR="00FC5051" w:rsidRDefault="00FC5051" w:rsidP="00FC5051">
            <w:pPr>
              <w:tabs>
                <w:tab w:val="left" w:pos="602"/>
              </w:tabs>
              <w:spacing w:after="0" w:line="276" w:lineRule="auto"/>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56C19D30" w14:textId="05CFACB9" w:rsidR="00286052" w:rsidRPr="00E66809" w:rsidRDefault="00286052">
            <w:pPr>
              <w:tabs>
                <w:tab w:val="left" w:pos="602"/>
              </w:tabs>
              <w:spacing w:after="0" w:line="276" w:lineRule="auto"/>
              <w:rPr>
                <w:rFonts w:eastAsia="Arial" w:cs="Calibri"/>
              </w:rPr>
            </w:pPr>
          </w:p>
        </w:tc>
      </w:tr>
      <w:tr w:rsidR="00A61AAE" w:rsidRPr="00420561" w14:paraId="6D724635" w14:textId="77777777" w:rsidTr="006B0E8F">
        <w:trPr>
          <w:trHeight w:val="1361"/>
        </w:trPr>
        <w:tc>
          <w:tcPr>
            <w:tcW w:w="0" w:type="auto"/>
            <w:tcBorders>
              <w:top w:val="single" w:sz="6" w:space="0" w:color="000000" w:themeColor="text1"/>
              <w:bottom w:val="single" w:sz="6" w:space="0" w:color="000000" w:themeColor="text1"/>
            </w:tcBorders>
            <w:shd w:val="clear" w:color="auto" w:fill="F2F2F2" w:themeFill="background1" w:themeFillShade="F2"/>
          </w:tcPr>
          <w:p w14:paraId="7CCCEFB6" w14:textId="40BBC358" w:rsidR="00A61AAE" w:rsidRPr="00D11BCD" w:rsidRDefault="00A61AAE">
            <w:pPr>
              <w:spacing w:after="0" w:line="276" w:lineRule="auto"/>
              <w:rPr>
                <w:rFonts w:eastAsia="Arial" w:cs="Calibri"/>
                <w:b/>
              </w:rPr>
            </w:pPr>
            <w:r>
              <w:rPr>
                <w:rFonts w:eastAsia="Arial" w:cs="Calibri"/>
                <w:b/>
              </w:rPr>
              <w:t>3.2</w:t>
            </w:r>
            <w:r w:rsidR="002158EF">
              <w:rPr>
                <w:rFonts w:eastAsia="Arial" w:cs="Calibri"/>
                <w:b/>
              </w:rPr>
              <w:t>1a</w:t>
            </w:r>
          </w:p>
        </w:tc>
        <w:tc>
          <w:tcPr>
            <w:tcW w:w="7490" w:type="dxa"/>
            <w:tcBorders>
              <w:top w:val="single" w:sz="6" w:space="0" w:color="000000" w:themeColor="text1"/>
              <w:bottom w:val="single" w:sz="6" w:space="0" w:color="000000" w:themeColor="text1"/>
            </w:tcBorders>
            <w:shd w:val="clear" w:color="auto" w:fill="F2F2F2" w:themeFill="background1" w:themeFillShade="F2"/>
          </w:tcPr>
          <w:p w14:paraId="5D151C17" w14:textId="2A54221F" w:rsidR="00A61AAE" w:rsidRPr="00D11BCD" w:rsidRDefault="006365C7">
            <w:pPr>
              <w:widowControl w:val="0"/>
              <w:tabs>
                <w:tab w:val="left" w:pos="0"/>
              </w:tabs>
              <w:overflowPunct w:val="0"/>
              <w:autoSpaceDE w:val="0"/>
              <w:autoSpaceDN w:val="0"/>
              <w:adjustRightInd w:val="0"/>
              <w:jc w:val="both"/>
              <w:rPr>
                <w:rFonts w:eastAsia="Times New Roman" w:cs="Calibri"/>
              </w:rPr>
            </w:pPr>
            <w:r>
              <w:rPr>
                <w:rFonts w:eastAsia="Times New Roman" w:cs="Calibri"/>
              </w:rPr>
              <w:t>P</w:t>
            </w:r>
            <w:r>
              <w:t>lease confirm you have procedures for resolving disputed invoices with those in your supply chain promptly and effectively.</w:t>
            </w:r>
          </w:p>
        </w:tc>
        <w:tc>
          <w:tcPr>
            <w:tcW w:w="4331" w:type="dxa"/>
            <w:tcBorders>
              <w:top w:val="single" w:sz="6" w:space="0" w:color="000000" w:themeColor="text1"/>
              <w:bottom w:val="single" w:sz="6" w:space="0" w:color="000000" w:themeColor="text1"/>
            </w:tcBorders>
          </w:tcPr>
          <w:p w14:paraId="28CABD23" w14:textId="77777777" w:rsidR="00FC5051" w:rsidRPr="00FA307B" w:rsidRDefault="00FC5051" w:rsidP="00FC5051">
            <w:pPr>
              <w:tabs>
                <w:tab w:val="left" w:pos="594"/>
              </w:tabs>
              <w:spacing w:after="0" w:line="276" w:lineRule="auto"/>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04C6B263" w14:textId="4DE866D3" w:rsidR="00FC5051" w:rsidRDefault="00FC5051" w:rsidP="00FC5051">
            <w:pPr>
              <w:tabs>
                <w:tab w:val="left" w:pos="602"/>
              </w:tabs>
              <w:spacing w:after="0" w:line="276" w:lineRule="auto"/>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0DE38BAE" w14:textId="3D455D62" w:rsidR="00A61AAE" w:rsidRPr="00D11BCD" w:rsidRDefault="00A61AAE">
            <w:pPr>
              <w:tabs>
                <w:tab w:val="left" w:pos="594"/>
              </w:tabs>
              <w:spacing w:after="0" w:line="276" w:lineRule="auto"/>
              <w:rPr>
                <w:rFonts w:eastAsia="Arial" w:cs="Calibri"/>
              </w:rPr>
            </w:pPr>
          </w:p>
        </w:tc>
      </w:tr>
      <w:tr w:rsidR="00546981" w:rsidRPr="00420561" w14:paraId="1B69D0AC" w14:textId="77777777" w:rsidTr="006B0E8F">
        <w:trPr>
          <w:trHeight w:val="4153"/>
        </w:trPr>
        <w:tc>
          <w:tcPr>
            <w:tcW w:w="0" w:type="auto"/>
            <w:vMerge w:val="restart"/>
            <w:tcBorders>
              <w:top w:val="single" w:sz="6" w:space="0" w:color="000000" w:themeColor="text1"/>
            </w:tcBorders>
            <w:shd w:val="clear" w:color="auto" w:fill="F2F2F2" w:themeFill="background1" w:themeFillShade="F2"/>
          </w:tcPr>
          <w:p w14:paraId="1BC0E70C" w14:textId="41A4C800" w:rsidR="00546981" w:rsidRPr="00E66809" w:rsidRDefault="00546981">
            <w:pPr>
              <w:spacing w:after="0" w:line="276" w:lineRule="auto"/>
              <w:rPr>
                <w:rFonts w:eastAsia="Arial" w:cs="Arial"/>
                <w:b/>
              </w:rPr>
            </w:pPr>
            <w:r w:rsidRPr="00E66809">
              <w:rPr>
                <w:rFonts w:eastAsia="Arial" w:cs="Calibri"/>
                <w:b/>
              </w:rPr>
              <w:lastRenderedPageBreak/>
              <w:t>3.2</w:t>
            </w:r>
            <w:r w:rsidR="002158EF">
              <w:rPr>
                <w:rFonts w:eastAsia="Arial" w:cs="Calibri"/>
                <w:b/>
              </w:rPr>
              <w:t>2</w:t>
            </w:r>
          </w:p>
        </w:tc>
        <w:tc>
          <w:tcPr>
            <w:tcW w:w="7490" w:type="dxa"/>
            <w:tcBorders>
              <w:top w:val="single" w:sz="6" w:space="0" w:color="000000" w:themeColor="text1"/>
              <w:bottom w:val="single" w:sz="6" w:space="0" w:color="000000" w:themeColor="text1"/>
            </w:tcBorders>
            <w:shd w:val="clear" w:color="auto" w:fill="F2F2F2" w:themeFill="background1" w:themeFillShade="F2"/>
          </w:tcPr>
          <w:p w14:paraId="526C7519" w14:textId="77777777" w:rsidR="00546981" w:rsidRPr="00E66809" w:rsidRDefault="00546981">
            <w:pPr>
              <w:widowControl w:val="0"/>
              <w:tabs>
                <w:tab w:val="left" w:pos="0"/>
              </w:tabs>
              <w:overflowPunct w:val="0"/>
              <w:autoSpaceDE w:val="0"/>
              <w:autoSpaceDN w:val="0"/>
              <w:adjustRightInd w:val="0"/>
              <w:jc w:val="both"/>
              <w:rPr>
                <w:rFonts w:eastAsia="Times New Roman" w:cs="Calibri"/>
              </w:rPr>
            </w:pPr>
            <w:r w:rsidRPr="00E66809">
              <w:rPr>
                <w:rFonts w:eastAsia="Times New Roman" w:cs="Calibri"/>
              </w:rPr>
              <w:t>Please confirm that for public sector contracts awarded under the Procurement Act 2023 you have systems in place to include (as a minimum) 30-day payment terms in all of your supply chain contracts and require that such terms are passed down through your supply chain.</w:t>
            </w:r>
          </w:p>
          <w:p w14:paraId="24C97625" w14:textId="4BB80E83" w:rsidR="00546981" w:rsidRPr="00E66809" w:rsidRDefault="00546981" w:rsidP="00546981">
            <w:pPr>
              <w:widowControl w:val="0"/>
              <w:spacing w:after="0" w:line="276" w:lineRule="auto"/>
              <w:rPr>
                <w:rFonts w:eastAsia="Arial" w:cs="Arial"/>
              </w:rPr>
            </w:pPr>
          </w:p>
        </w:tc>
        <w:tc>
          <w:tcPr>
            <w:tcW w:w="4331" w:type="dxa"/>
            <w:vMerge w:val="restart"/>
            <w:tcBorders>
              <w:top w:val="single" w:sz="6" w:space="0" w:color="000000" w:themeColor="text1"/>
            </w:tcBorders>
          </w:tcPr>
          <w:p w14:paraId="2FC3459B" w14:textId="77777777" w:rsidR="00FC5051" w:rsidRPr="00FA307B" w:rsidRDefault="00FC5051" w:rsidP="00FC5051">
            <w:pPr>
              <w:tabs>
                <w:tab w:val="left" w:pos="594"/>
              </w:tabs>
              <w:spacing w:after="0" w:line="276" w:lineRule="auto"/>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71521D6D" w14:textId="3885D272" w:rsidR="00FC5051" w:rsidRDefault="00FC5051" w:rsidP="00FC5051">
            <w:pPr>
              <w:tabs>
                <w:tab w:val="left" w:pos="602"/>
              </w:tabs>
              <w:spacing w:after="0" w:line="276" w:lineRule="auto"/>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4EB1F0A5" w14:textId="6B72E709" w:rsidR="00546981" w:rsidRPr="00E66809" w:rsidRDefault="00546981">
            <w:pPr>
              <w:tabs>
                <w:tab w:val="left" w:pos="594"/>
              </w:tabs>
              <w:spacing w:after="0" w:line="276" w:lineRule="auto"/>
              <w:rPr>
                <w:rFonts w:eastAsia="Arial" w:cs="Calibri"/>
              </w:rPr>
            </w:pPr>
          </w:p>
        </w:tc>
      </w:tr>
      <w:tr w:rsidR="00546981" w:rsidRPr="00420561" w14:paraId="69EC3EA6" w14:textId="77777777" w:rsidTr="006B0E8F">
        <w:trPr>
          <w:trHeight w:val="1403"/>
        </w:trPr>
        <w:tc>
          <w:tcPr>
            <w:tcW w:w="0" w:type="auto"/>
            <w:vMerge/>
            <w:tcBorders>
              <w:bottom w:val="single" w:sz="6" w:space="0" w:color="000000" w:themeColor="text1"/>
            </w:tcBorders>
            <w:shd w:val="clear" w:color="auto" w:fill="F2F2F2" w:themeFill="background1" w:themeFillShade="F2"/>
          </w:tcPr>
          <w:p w14:paraId="77AE0D42" w14:textId="77777777" w:rsidR="00546981" w:rsidRPr="00546981" w:rsidRDefault="00546981">
            <w:pPr>
              <w:spacing w:after="0" w:line="276" w:lineRule="auto"/>
              <w:rPr>
                <w:rFonts w:eastAsia="Arial" w:cs="Calibri"/>
                <w:b/>
              </w:rPr>
            </w:pPr>
          </w:p>
        </w:tc>
        <w:tc>
          <w:tcPr>
            <w:tcW w:w="7490" w:type="dxa"/>
            <w:tcBorders>
              <w:top w:val="single" w:sz="6" w:space="0" w:color="000000" w:themeColor="text1"/>
              <w:bottom w:val="single" w:sz="6" w:space="0" w:color="000000" w:themeColor="text1"/>
            </w:tcBorders>
            <w:shd w:val="clear" w:color="auto" w:fill="F2F2F2" w:themeFill="background1" w:themeFillShade="F2"/>
          </w:tcPr>
          <w:p w14:paraId="0D3F7041" w14:textId="53BF0A47" w:rsidR="00546981" w:rsidRPr="002158EF" w:rsidRDefault="00546981" w:rsidP="00352D2D">
            <w:pPr>
              <w:widowControl w:val="0"/>
              <w:spacing w:after="0" w:line="276" w:lineRule="auto"/>
              <w:jc w:val="both"/>
              <w:rPr>
                <w:rFonts w:eastAsia="Times New Roman" w:cs="Calibri"/>
                <w:b/>
              </w:rPr>
            </w:pPr>
            <w:r w:rsidRPr="00A5764C">
              <w:rPr>
                <w:rFonts w:eastAsia="Times New Roman" w:cs="Calibri"/>
                <w:b/>
              </w:rPr>
              <w:t xml:space="preserve">For Information Only - </w:t>
            </w:r>
            <w:r w:rsidRPr="00E66809">
              <w:rPr>
                <w:rFonts w:eastAsia="Times New Roman" w:cs="Calibri"/>
                <w:b/>
              </w:rPr>
              <w:t xml:space="preserve">Evidence for self-declarations (questions </w:t>
            </w:r>
            <w:r w:rsidRPr="00A5764C">
              <w:rPr>
                <w:rFonts w:eastAsia="Times New Roman" w:cs="Calibri"/>
                <w:b/>
              </w:rPr>
              <w:t>3.2</w:t>
            </w:r>
            <w:r w:rsidR="002158EF">
              <w:rPr>
                <w:rFonts w:eastAsia="Times New Roman" w:cs="Calibri"/>
                <w:b/>
              </w:rPr>
              <w:t>1</w:t>
            </w:r>
            <w:r w:rsidRPr="00A5764C">
              <w:rPr>
                <w:rFonts w:eastAsia="Times New Roman" w:cs="Calibri"/>
                <w:b/>
              </w:rPr>
              <w:t>,</w:t>
            </w:r>
            <w:r>
              <w:rPr>
                <w:rFonts w:eastAsia="Times New Roman" w:cs="Calibri"/>
                <w:b/>
              </w:rPr>
              <w:t xml:space="preserve"> </w:t>
            </w:r>
            <w:r w:rsidRPr="00E66809">
              <w:rPr>
                <w:rFonts w:eastAsia="Times New Roman" w:cs="Calibri"/>
                <w:b/>
              </w:rPr>
              <w:t>3.2</w:t>
            </w:r>
            <w:r w:rsidDel="003D32A3">
              <w:rPr>
                <w:rFonts w:eastAsia="Times New Roman" w:cs="Calibri"/>
                <w:b/>
              </w:rPr>
              <w:t>2</w:t>
            </w:r>
            <w:r w:rsidRPr="00E66809">
              <w:rPr>
                <w:rFonts w:eastAsia="Times New Roman" w:cs="Calibri"/>
                <w:b/>
              </w:rPr>
              <w:t xml:space="preserve"> and 3.2</w:t>
            </w:r>
            <w:r w:rsidR="002158EF">
              <w:rPr>
                <w:rFonts w:eastAsia="Times New Roman" w:cs="Calibri"/>
                <w:b/>
              </w:rPr>
              <w:t>3</w:t>
            </w:r>
            <w:r w:rsidRPr="00E66809">
              <w:rPr>
                <w:rFonts w:eastAsia="Times New Roman" w:cs="Calibri"/>
                <w:b/>
              </w:rPr>
              <w:t>):</w:t>
            </w:r>
            <w:r w:rsidRPr="00E66809">
              <w:rPr>
                <w:rFonts w:eastAsia="Times New Roman" w:cs="Calibri"/>
              </w:rPr>
              <w:t xml:space="preserve"> Prior to contract award, the following evidence will be required from the successful </w:t>
            </w:r>
            <w:r>
              <w:rPr>
                <w:rFonts w:eastAsia="Times New Roman" w:cs="Calibri"/>
              </w:rPr>
              <w:t>S</w:t>
            </w:r>
            <w:r w:rsidRPr="00E66809">
              <w:rPr>
                <w:rFonts w:eastAsia="Times New Roman" w:cs="Calibri"/>
              </w:rPr>
              <w:t xml:space="preserve">upplier (where the </w:t>
            </w:r>
            <w:r>
              <w:rPr>
                <w:rFonts w:eastAsia="Times New Roman" w:cs="Calibri"/>
              </w:rPr>
              <w:t>S</w:t>
            </w:r>
            <w:r w:rsidRPr="00E66809">
              <w:rPr>
                <w:rFonts w:eastAsia="Times New Roman" w:cs="Calibri"/>
              </w:rPr>
              <w:t>upplier has answered ‘Yes’ to question 3.2</w:t>
            </w:r>
            <w:r w:rsidR="002158EF">
              <w:rPr>
                <w:rFonts w:eastAsia="Times New Roman" w:cs="Calibri"/>
              </w:rPr>
              <w:t>0</w:t>
            </w:r>
            <w:r w:rsidRPr="00E66809">
              <w:rPr>
                <w:rFonts w:eastAsia="Times New Roman" w:cs="Calibri"/>
              </w:rPr>
              <w:t xml:space="preserve"> above) to verify the </w:t>
            </w:r>
            <w:r>
              <w:rPr>
                <w:rFonts w:eastAsia="Times New Roman" w:cs="Calibri"/>
              </w:rPr>
              <w:t>S</w:t>
            </w:r>
            <w:r w:rsidRPr="00E66809">
              <w:rPr>
                <w:rFonts w:eastAsia="Times New Roman" w:cs="Calibri"/>
              </w:rPr>
              <w:t>upplier's responses:</w:t>
            </w:r>
          </w:p>
          <w:p w14:paraId="55C21998" w14:textId="77777777" w:rsidR="00546981" w:rsidRPr="00E66809" w:rsidRDefault="00546981" w:rsidP="00352D2D">
            <w:pPr>
              <w:widowControl w:val="0"/>
              <w:spacing w:after="0" w:line="276" w:lineRule="auto"/>
              <w:jc w:val="both"/>
              <w:rPr>
                <w:rFonts w:eastAsia="Times New Roman" w:cs="Calibri"/>
              </w:rPr>
            </w:pPr>
          </w:p>
          <w:p w14:paraId="125CCDF7" w14:textId="326566F6" w:rsidR="00546981" w:rsidRPr="00E66809" w:rsidRDefault="00546981" w:rsidP="00AD19D7">
            <w:pPr>
              <w:pStyle w:val="ListParagraph"/>
              <w:widowControl w:val="0"/>
              <w:numPr>
                <w:ilvl w:val="0"/>
                <w:numId w:val="49"/>
              </w:numPr>
              <w:spacing w:after="0" w:line="276" w:lineRule="auto"/>
              <w:jc w:val="both"/>
              <w:rPr>
                <w:rFonts w:eastAsia="Times New Roman" w:cs="Calibri"/>
              </w:rPr>
            </w:pPr>
            <w:r w:rsidRPr="00E66809">
              <w:rPr>
                <w:rFonts w:eastAsia="Times New Roman" w:cs="Calibri"/>
              </w:rPr>
              <w:t>3.2</w:t>
            </w:r>
            <w:r w:rsidR="002158EF">
              <w:rPr>
                <w:rFonts w:eastAsia="Times New Roman" w:cs="Calibri"/>
              </w:rPr>
              <w:t>2</w:t>
            </w:r>
            <w:r w:rsidRPr="00E66809">
              <w:rPr>
                <w:rFonts w:eastAsia="Times New Roman" w:cs="Calibri"/>
              </w:rPr>
              <w:t>a - A copy of your standard payment terms for all of your supply chain contracts.</w:t>
            </w:r>
          </w:p>
          <w:p w14:paraId="0D5625DF" w14:textId="64B23A01" w:rsidR="00546981" w:rsidRPr="00E66809" w:rsidRDefault="00546981" w:rsidP="00AD19D7">
            <w:pPr>
              <w:pStyle w:val="ListParagraph"/>
              <w:widowControl w:val="0"/>
              <w:numPr>
                <w:ilvl w:val="0"/>
                <w:numId w:val="49"/>
              </w:numPr>
              <w:spacing w:after="0" w:line="276" w:lineRule="auto"/>
              <w:jc w:val="both"/>
              <w:rPr>
                <w:rFonts w:eastAsia="Times New Roman" w:cs="Calibri"/>
              </w:rPr>
            </w:pPr>
            <w:r w:rsidRPr="00E66809">
              <w:rPr>
                <w:rFonts w:eastAsia="Times New Roman" w:cs="Calibri"/>
              </w:rPr>
              <w:t>3.2</w:t>
            </w:r>
            <w:r w:rsidR="002158EF">
              <w:rPr>
                <w:rFonts w:eastAsia="Times New Roman" w:cs="Calibri"/>
              </w:rPr>
              <w:t>2</w:t>
            </w:r>
            <w:r w:rsidRPr="00E66809">
              <w:rPr>
                <w:rFonts w:eastAsia="Times New Roman" w:cs="Calibri"/>
              </w:rPr>
              <w:t>b - A copy of your procedures for resolving disputed invoices promptly and effectively.</w:t>
            </w:r>
          </w:p>
          <w:p w14:paraId="3CF784C6" w14:textId="47C8A3FA" w:rsidR="00546981" w:rsidRPr="00E66809" w:rsidRDefault="00546981" w:rsidP="00AD19D7">
            <w:pPr>
              <w:pStyle w:val="ListParagraph"/>
              <w:widowControl w:val="0"/>
              <w:numPr>
                <w:ilvl w:val="0"/>
                <w:numId w:val="49"/>
              </w:numPr>
              <w:spacing w:after="0" w:line="276" w:lineRule="auto"/>
              <w:jc w:val="both"/>
              <w:rPr>
                <w:rFonts w:eastAsia="Times New Roman" w:cs="Calibri"/>
              </w:rPr>
            </w:pPr>
            <w:r w:rsidRPr="00E66809">
              <w:rPr>
                <w:rFonts w:eastAsia="Times New Roman" w:cs="Calibri"/>
              </w:rPr>
              <w:t>3.2</w:t>
            </w:r>
            <w:r w:rsidR="002158EF">
              <w:rPr>
                <w:rFonts w:eastAsia="Times New Roman" w:cs="Calibri"/>
              </w:rPr>
              <w:t>2</w:t>
            </w:r>
            <w:r w:rsidRPr="00E66809">
              <w:rPr>
                <w:rFonts w:eastAsia="Times New Roman" w:cs="Calibri"/>
              </w:rPr>
              <w:t>c - Details of any payments of interest for late payments you have paid in the past 12 months or which became due during the past 12 months and remain payable (contractually or under late payment legislation) and, if any such payment has been made (or arose), an explanation as to why this occurred and an outline of what remedial steps have been taken to ensure this does not occur again.</w:t>
            </w:r>
          </w:p>
          <w:p w14:paraId="7EAD7292" w14:textId="0D407AAD" w:rsidR="00546981" w:rsidRPr="00E66809" w:rsidRDefault="00546981" w:rsidP="00AD19D7">
            <w:pPr>
              <w:pStyle w:val="ListParagraph"/>
              <w:widowControl w:val="0"/>
              <w:numPr>
                <w:ilvl w:val="0"/>
                <w:numId w:val="49"/>
              </w:numPr>
              <w:spacing w:after="0" w:line="276" w:lineRule="auto"/>
              <w:jc w:val="both"/>
              <w:rPr>
                <w:rFonts w:eastAsia="Arial" w:cs="Arial"/>
              </w:rPr>
            </w:pPr>
            <w:r w:rsidRPr="00E66809">
              <w:rPr>
                <w:rFonts w:eastAsia="Times New Roman" w:cs="Calibri"/>
              </w:rPr>
              <w:t>3.2</w:t>
            </w:r>
            <w:r w:rsidR="002158EF">
              <w:rPr>
                <w:rFonts w:eastAsia="Times New Roman" w:cs="Calibri"/>
              </w:rPr>
              <w:t>2</w:t>
            </w:r>
            <w:r w:rsidRPr="00E66809">
              <w:rPr>
                <w:rFonts w:eastAsia="Times New Roman" w:cs="Calibri"/>
              </w:rPr>
              <w:t xml:space="preserve">d - A copy of your standard payment terms used with sub-contractors on public sector contracts subject to the Procurement </w:t>
            </w:r>
            <w:r w:rsidRPr="00E66809">
              <w:rPr>
                <w:rFonts w:eastAsia="Times New Roman" w:cs="Calibri"/>
              </w:rPr>
              <w:lastRenderedPageBreak/>
              <w:t>Act 2023</w:t>
            </w:r>
          </w:p>
          <w:p w14:paraId="6B3FA7BE" w14:textId="3A683946" w:rsidR="00546981" w:rsidRPr="00546981" w:rsidRDefault="00546981" w:rsidP="00AD19D7">
            <w:pPr>
              <w:pStyle w:val="ListParagraph"/>
              <w:widowControl w:val="0"/>
              <w:numPr>
                <w:ilvl w:val="0"/>
                <w:numId w:val="49"/>
              </w:numPr>
              <w:spacing w:after="0" w:line="276" w:lineRule="auto"/>
              <w:jc w:val="both"/>
              <w:rPr>
                <w:rFonts w:eastAsia="Times New Roman" w:cs="Calibri"/>
              </w:rPr>
            </w:pPr>
            <w:r>
              <w:t>3.2</w:t>
            </w:r>
            <w:r w:rsidR="002158EF">
              <w:t>2</w:t>
            </w:r>
            <w:r>
              <w:t>e - A link to your data published online under the Reporting on Payment Practices and Performance Regulations 2017 if you are required to publish under these regulations.</w:t>
            </w:r>
          </w:p>
        </w:tc>
        <w:tc>
          <w:tcPr>
            <w:tcW w:w="4331" w:type="dxa"/>
            <w:vMerge/>
            <w:tcBorders>
              <w:bottom w:val="single" w:sz="6" w:space="0" w:color="000000" w:themeColor="text1"/>
            </w:tcBorders>
          </w:tcPr>
          <w:p w14:paraId="04130D27" w14:textId="77777777" w:rsidR="00546981" w:rsidRPr="00546981" w:rsidRDefault="00546981">
            <w:pPr>
              <w:tabs>
                <w:tab w:val="left" w:pos="594"/>
              </w:tabs>
              <w:spacing w:after="0" w:line="276" w:lineRule="auto"/>
              <w:rPr>
                <w:rFonts w:eastAsia="Arial" w:cs="Calibri"/>
              </w:rPr>
            </w:pPr>
          </w:p>
        </w:tc>
      </w:tr>
      <w:tr w:rsidR="00C4759B" w:rsidRPr="00420561" w14:paraId="3B070ACE" w14:textId="77777777" w:rsidTr="006B0E8F">
        <w:trPr>
          <w:trHeight w:val="2041"/>
        </w:trPr>
        <w:tc>
          <w:tcPr>
            <w:tcW w:w="0" w:type="auto"/>
            <w:vMerge w:val="restart"/>
            <w:tcBorders>
              <w:top w:val="single" w:sz="6" w:space="0" w:color="000000" w:themeColor="text1"/>
            </w:tcBorders>
            <w:shd w:val="clear" w:color="auto" w:fill="F2F2F2" w:themeFill="background1" w:themeFillShade="F2"/>
          </w:tcPr>
          <w:p w14:paraId="7F3F7A7C" w14:textId="013FC33D" w:rsidR="00C4759B" w:rsidRPr="00C4759B" w:rsidRDefault="00C4759B" w:rsidP="00352D2D">
            <w:pPr>
              <w:spacing w:after="0" w:line="276" w:lineRule="auto"/>
              <w:jc w:val="both"/>
              <w:rPr>
                <w:rFonts w:eastAsia="Arial" w:cs="Calibri"/>
                <w:b/>
              </w:rPr>
            </w:pPr>
            <w:r>
              <w:rPr>
                <w:rFonts w:eastAsia="Arial" w:cs="Calibri"/>
                <w:b/>
              </w:rPr>
              <w:t>3.2</w:t>
            </w:r>
            <w:r w:rsidR="002158EF">
              <w:rPr>
                <w:rFonts w:eastAsia="Arial" w:cs="Calibri"/>
                <w:b/>
              </w:rPr>
              <w:t>3</w:t>
            </w:r>
          </w:p>
        </w:tc>
        <w:tc>
          <w:tcPr>
            <w:tcW w:w="7490" w:type="dxa"/>
            <w:vMerge w:val="restart"/>
            <w:tcBorders>
              <w:top w:val="single" w:sz="6" w:space="0" w:color="000000" w:themeColor="text1"/>
            </w:tcBorders>
            <w:shd w:val="clear" w:color="auto" w:fill="F2F2F2" w:themeFill="background1" w:themeFillShade="F2"/>
          </w:tcPr>
          <w:p w14:paraId="133A34A4" w14:textId="1965C883" w:rsidR="00C4759B" w:rsidRPr="00E66809" w:rsidRDefault="00C4759B" w:rsidP="00352D2D">
            <w:pPr>
              <w:widowControl w:val="0"/>
              <w:spacing w:after="0" w:line="276" w:lineRule="auto"/>
              <w:jc w:val="both"/>
              <w:rPr>
                <w:rFonts w:eastAsia="Times New Roman" w:cs="Calibri"/>
              </w:rPr>
            </w:pPr>
            <w:r w:rsidRPr="00E66809">
              <w:rPr>
                <w:rFonts w:eastAsia="Times New Roman" w:cs="Calibri"/>
              </w:rPr>
              <w:t>A) Please provide the percentage of invoices paid by you to those in your immediate supply chain</w:t>
            </w:r>
            <w:r w:rsidR="00DE3EB9">
              <w:rPr>
                <w:rFonts w:eastAsia="Times New Roman" w:cs="Calibri"/>
              </w:rPr>
              <w:t>*</w:t>
            </w:r>
            <w:r w:rsidRPr="00E66809">
              <w:rPr>
                <w:rFonts w:eastAsia="Times New Roman" w:cs="Calibri"/>
              </w:rPr>
              <w:t xml:space="preserve"> on all contracts for each of the two previous six-month reporting </w:t>
            </w:r>
            <w:proofErr w:type="gramStart"/>
            <w:r w:rsidRPr="00E66809">
              <w:rPr>
                <w:rFonts w:eastAsia="Times New Roman" w:cs="Calibri"/>
              </w:rPr>
              <w:t>periods.*</w:t>
            </w:r>
            <w:proofErr w:type="gramEnd"/>
            <w:r w:rsidRPr="00E66809">
              <w:rPr>
                <w:rFonts w:eastAsia="Times New Roman" w:cs="Calibri"/>
              </w:rPr>
              <w:t>* This should include the percentage of invoices paid within each of the following categories:</w:t>
            </w:r>
          </w:p>
          <w:p w14:paraId="3B02388B" w14:textId="77777777" w:rsidR="00C4759B" w:rsidRPr="00E66809" w:rsidRDefault="00C4759B" w:rsidP="00AD19D7">
            <w:pPr>
              <w:pStyle w:val="ListParagraph"/>
              <w:widowControl w:val="0"/>
              <w:numPr>
                <w:ilvl w:val="0"/>
                <w:numId w:val="47"/>
              </w:numPr>
              <w:spacing w:after="0" w:line="276" w:lineRule="auto"/>
              <w:jc w:val="both"/>
              <w:rPr>
                <w:rFonts w:eastAsia="Times New Roman" w:cs="Calibri"/>
              </w:rPr>
            </w:pPr>
            <w:r w:rsidRPr="00E66809">
              <w:rPr>
                <w:rFonts w:eastAsia="Times New Roman" w:cs="Calibri"/>
              </w:rPr>
              <w:t>within 30 days</w:t>
            </w:r>
          </w:p>
          <w:p w14:paraId="5F3FF27A" w14:textId="77777777" w:rsidR="00C4759B" w:rsidRPr="00E66809" w:rsidRDefault="00C4759B" w:rsidP="00AD19D7">
            <w:pPr>
              <w:pStyle w:val="ListParagraph"/>
              <w:widowControl w:val="0"/>
              <w:numPr>
                <w:ilvl w:val="0"/>
                <w:numId w:val="47"/>
              </w:numPr>
              <w:spacing w:after="0" w:line="276" w:lineRule="auto"/>
              <w:jc w:val="both"/>
              <w:rPr>
                <w:rFonts w:eastAsia="Times New Roman" w:cs="Calibri"/>
              </w:rPr>
            </w:pPr>
            <w:r w:rsidRPr="00E66809">
              <w:rPr>
                <w:rFonts w:eastAsia="Times New Roman" w:cs="Calibri"/>
              </w:rPr>
              <w:t>in 31 to 60 days</w:t>
            </w:r>
          </w:p>
          <w:p w14:paraId="33462530" w14:textId="77777777" w:rsidR="00C4759B" w:rsidRPr="00E66809" w:rsidRDefault="00C4759B" w:rsidP="00AD19D7">
            <w:pPr>
              <w:pStyle w:val="ListParagraph"/>
              <w:widowControl w:val="0"/>
              <w:numPr>
                <w:ilvl w:val="0"/>
                <w:numId w:val="47"/>
              </w:numPr>
              <w:spacing w:after="0" w:line="276" w:lineRule="auto"/>
              <w:jc w:val="both"/>
              <w:rPr>
                <w:rFonts w:eastAsia="Times New Roman" w:cs="Calibri"/>
              </w:rPr>
            </w:pPr>
            <w:r w:rsidRPr="00E66809">
              <w:rPr>
                <w:rFonts w:eastAsia="Times New Roman" w:cs="Calibri"/>
              </w:rPr>
              <w:t>in 61 days or more</w:t>
            </w:r>
          </w:p>
          <w:p w14:paraId="250D6760" w14:textId="77777777" w:rsidR="00C4759B" w:rsidRPr="00E66809" w:rsidRDefault="00C4759B" w:rsidP="00AD19D7">
            <w:pPr>
              <w:pStyle w:val="ListParagraph"/>
              <w:widowControl w:val="0"/>
              <w:numPr>
                <w:ilvl w:val="0"/>
                <w:numId w:val="47"/>
              </w:numPr>
              <w:spacing w:after="0" w:line="276" w:lineRule="auto"/>
              <w:jc w:val="both"/>
              <w:rPr>
                <w:rFonts w:eastAsia="Times New Roman" w:cs="Calibri"/>
              </w:rPr>
            </w:pPr>
            <w:r w:rsidRPr="00E66809">
              <w:rPr>
                <w:rFonts w:eastAsia="Times New Roman" w:cs="Calibri"/>
              </w:rPr>
              <w:t>due but not paid by the last date for payment under agreed contractual terms</w:t>
            </w:r>
          </w:p>
          <w:p w14:paraId="3340D67F" w14:textId="77777777" w:rsidR="00C4759B" w:rsidRDefault="00C4759B">
            <w:pPr>
              <w:widowControl w:val="0"/>
              <w:tabs>
                <w:tab w:val="left" w:pos="0"/>
              </w:tabs>
              <w:overflowPunct w:val="0"/>
              <w:autoSpaceDE w:val="0"/>
              <w:autoSpaceDN w:val="0"/>
              <w:adjustRightInd w:val="0"/>
              <w:jc w:val="both"/>
              <w:rPr>
                <w:rFonts w:eastAsia="Times New Roman" w:cs="Calibri"/>
              </w:rPr>
            </w:pPr>
          </w:p>
          <w:p w14:paraId="097DE15B" w14:textId="2CD45654" w:rsidR="00C4759B" w:rsidRDefault="00C4759B">
            <w:pPr>
              <w:widowControl w:val="0"/>
              <w:tabs>
                <w:tab w:val="left" w:pos="0"/>
              </w:tabs>
              <w:overflowPunct w:val="0"/>
              <w:autoSpaceDE w:val="0"/>
              <w:autoSpaceDN w:val="0"/>
              <w:adjustRightInd w:val="0"/>
              <w:jc w:val="both"/>
            </w:pPr>
            <w:r w:rsidRPr="00E66809">
              <w:rPr>
                <w:rFonts w:eastAsia="Times New Roman" w:cs="Calibri"/>
              </w:rPr>
              <w:t>B) Please provide the average number of days</w:t>
            </w:r>
            <w:r w:rsidR="002844B0">
              <w:rPr>
                <w:rFonts w:eastAsia="Times New Roman" w:cs="Calibri"/>
              </w:rPr>
              <w:t>***</w:t>
            </w:r>
            <w:r w:rsidRPr="00E66809">
              <w:rPr>
                <w:rFonts w:eastAsia="Times New Roman" w:cs="Calibri"/>
              </w:rPr>
              <w:t xml:space="preserve"> taken by you to pay an invoice to those in your immediate supply chain on all contracts for each of the two previous six-month reporting periods.</w:t>
            </w:r>
            <w:r>
              <w:rPr>
                <w:rFonts w:eastAsia="Times New Roman" w:cs="Calibri"/>
              </w:rPr>
              <w:t xml:space="preserve"> It is acceptable to cross refer to information</w:t>
            </w:r>
            <w:r w:rsidR="00B7745F">
              <w:rPr>
                <w:rFonts w:eastAsia="Times New Roman" w:cs="Calibri"/>
              </w:rPr>
              <w:t xml:space="preserve"> that </w:t>
            </w:r>
            <w:r w:rsidR="00B7745F">
              <w:t>has previously been submitted to government or other bodies or is publicly available (provided it covers the required reporting periods), including data published in accordance with the Reporting on Payment Practices and Performance Regulations 2017. If you do wish to cross-refer, please provide details and/or insert link(s).</w:t>
            </w:r>
          </w:p>
          <w:p w14:paraId="334F0B5B" w14:textId="3AABE8F0" w:rsidR="00951C5A" w:rsidRDefault="00951C5A">
            <w:pPr>
              <w:widowControl w:val="0"/>
              <w:tabs>
                <w:tab w:val="left" w:pos="0"/>
              </w:tabs>
              <w:overflowPunct w:val="0"/>
              <w:autoSpaceDE w:val="0"/>
              <w:autoSpaceDN w:val="0"/>
              <w:adjustRightInd w:val="0"/>
              <w:jc w:val="both"/>
            </w:pPr>
            <w:r>
              <w:t xml:space="preserve">C) If you are unable to demonstrate that all invoices have been paid within the agreed contractual terms, please explain why. Note: if you are required to submit an action plan under </w:t>
            </w:r>
            <w:r w:rsidR="00EB5A62">
              <w:t>question 3.2</w:t>
            </w:r>
            <w:r w:rsidR="002158EF">
              <w:t>3</w:t>
            </w:r>
            <w:r w:rsidR="00EB5A62">
              <w:t>(D)</w:t>
            </w:r>
            <w:r w:rsidR="001A172C">
              <w:t xml:space="preserve"> of this question</w:t>
            </w:r>
            <w:r>
              <w:t xml:space="preserve">, this action plan must also set out steps to address your payment within agreed terms, to achieve a pass for </w:t>
            </w:r>
            <w:r w:rsidR="00EB5A62">
              <w:t>question 3.2</w:t>
            </w:r>
            <w:r w:rsidR="002158EF">
              <w:t>3</w:t>
            </w:r>
            <w:r w:rsidR="00EB5A62">
              <w:t>(D)</w:t>
            </w:r>
            <w:r>
              <w:t xml:space="preserve">. </w:t>
            </w:r>
          </w:p>
          <w:p w14:paraId="20967298" w14:textId="77777777" w:rsidR="00D73AA5" w:rsidRDefault="00951C5A">
            <w:pPr>
              <w:widowControl w:val="0"/>
              <w:tabs>
                <w:tab w:val="left" w:pos="0"/>
              </w:tabs>
              <w:overflowPunct w:val="0"/>
              <w:autoSpaceDE w:val="0"/>
              <w:autoSpaceDN w:val="0"/>
              <w:adjustRightInd w:val="0"/>
              <w:jc w:val="both"/>
            </w:pPr>
            <w:r>
              <w:t xml:space="preserve">(D) If you are unable to demonstrate that at least 95% of invoices payable </w:t>
            </w:r>
            <w:r>
              <w:lastRenderedPageBreak/>
              <w:t>to your supply chain on all contracts have been paid within 60 days of the receipt of the invoice in at least one of the last two six-month reporting periods, please provide an action plan for improvement which includes (as a minimum) the following:</w:t>
            </w:r>
          </w:p>
          <w:p w14:paraId="0CC71B93" w14:textId="77777777" w:rsidR="00D73AA5" w:rsidRPr="00E66809" w:rsidRDefault="00D73AA5" w:rsidP="00AD19D7">
            <w:pPr>
              <w:pStyle w:val="ListParagraph"/>
              <w:widowControl w:val="0"/>
              <w:numPr>
                <w:ilvl w:val="0"/>
                <w:numId w:val="48"/>
              </w:numPr>
              <w:spacing w:after="0" w:line="276" w:lineRule="auto"/>
              <w:jc w:val="both"/>
              <w:rPr>
                <w:rFonts w:eastAsia="Times New Roman" w:cs="Calibri"/>
              </w:rPr>
            </w:pPr>
            <w:r w:rsidRPr="00E66809">
              <w:rPr>
                <w:rFonts w:eastAsia="Times New Roman" w:cs="Calibri"/>
              </w:rPr>
              <w:t>Identification of the primary causes of failure to pay:</w:t>
            </w:r>
          </w:p>
          <w:p w14:paraId="4D7988D4" w14:textId="77777777" w:rsidR="00D73AA5" w:rsidRPr="00E66809" w:rsidRDefault="00D73AA5" w:rsidP="00AD19D7">
            <w:pPr>
              <w:pStyle w:val="ListParagraph"/>
              <w:widowControl w:val="0"/>
              <w:numPr>
                <w:ilvl w:val="1"/>
                <w:numId w:val="48"/>
              </w:numPr>
              <w:spacing w:after="0" w:line="276" w:lineRule="auto"/>
              <w:jc w:val="both"/>
              <w:rPr>
                <w:rFonts w:eastAsia="Times New Roman" w:cs="Calibri"/>
              </w:rPr>
            </w:pPr>
            <w:r w:rsidRPr="00E66809">
              <w:rPr>
                <w:rFonts w:eastAsia="Times New Roman" w:cs="Calibri"/>
              </w:rPr>
              <w:t>95% of all supply chain invoices within 60 days; and</w:t>
            </w:r>
          </w:p>
          <w:p w14:paraId="4A831038" w14:textId="4BE90C0C" w:rsidR="00D73AA5" w:rsidRPr="00E66809" w:rsidRDefault="00D73AA5" w:rsidP="00AD19D7">
            <w:pPr>
              <w:pStyle w:val="ListParagraph"/>
              <w:widowControl w:val="0"/>
              <w:numPr>
                <w:ilvl w:val="1"/>
                <w:numId w:val="48"/>
              </w:numPr>
              <w:spacing w:after="0" w:line="276" w:lineRule="auto"/>
              <w:jc w:val="both"/>
              <w:rPr>
                <w:rFonts w:eastAsia="Times New Roman" w:cs="Calibri"/>
              </w:rPr>
            </w:pPr>
            <w:r w:rsidRPr="00E66809">
              <w:rPr>
                <w:rFonts w:eastAsia="Times New Roman" w:cs="Calibri"/>
              </w:rPr>
              <w:t xml:space="preserve">if relevant under question </w:t>
            </w:r>
            <w:r>
              <w:rPr>
                <w:rFonts w:eastAsia="Times New Roman" w:cs="Calibri"/>
              </w:rPr>
              <w:t>3.2</w:t>
            </w:r>
            <w:r w:rsidR="002158EF">
              <w:rPr>
                <w:rFonts w:eastAsia="Times New Roman" w:cs="Calibri"/>
              </w:rPr>
              <w:t>3</w:t>
            </w:r>
            <w:r w:rsidRPr="00E66809">
              <w:rPr>
                <w:rFonts w:eastAsia="Times New Roman" w:cs="Calibri"/>
              </w:rPr>
              <w:t>(</w:t>
            </w:r>
            <w:r>
              <w:rPr>
                <w:rFonts w:eastAsia="Times New Roman" w:cs="Calibri"/>
              </w:rPr>
              <w:t>C</w:t>
            </w:r>
            <w:r w:rsidRPr="00E66809">
              <w:rPr>
                <w:rFonts w:eastAsia="Times New Roman" w:cs="Calibri"/>
              </w:rPr>
              <w:t>), all invoices within agreed terms</w:t>
            </w:r>
          </w:p>
          <w:p w14:paraId="21122111" w14:textId="77777777" w:rsidR="00D73AA5" w:rsidRPr="00E66809" w:rsidRDefault="00D73AA5" w:rsidP="00AD19D7">
            <w:pPr>
              <w:pStyle w:val="ListParagraph"/>
              <w:widowControl w:val="0"/>
              <w:numPr>
                <w:ilvl w:val="0"/>
                <w:numId w:val="48"/>
              </w:numPr>
              <w:spacing w:after="0" w:line="276" w:lineRule="auto"/>
              <w:jc w:val="both"/>
              <w:rPr>
                <w:rFonts w:eastAsia="Times New Roman" w:cs="Calibri"/>
              </w:rPr>
            </w:pPr>
            <w:r w:rsidRPr="00E66809">
              <w:rPr>
                <w:rFonts w:eastAsia="Times New Roman" w:cs="Calibri"/>
              </w:rPr>
              <w:t>Actions to address each of these causes.</w:t>
            </w:r>
          </w:p>
          <w:p w14:paraId="4F8B5228" w14:textId="77777777" w:rsidR="00D73AA5" w:rsidRPr="00E66809" w:rsidRDefault="00D73AA5" w:rsidP="00AD19D7">
            <w:pPr>
              <w:pStyle w:val="ListParagraph"/>
              <w:widowControl w:val="0"/>
              <w:numPr>
                <w:ilvl w:val="0"/>
                <w:numId w:val="48"/>
              </w:numPr>
              <w:spacing w:after="0" w:line="276" w:lineRule="auto"/>
              <w:jc w:val="both"/>
              <w:rPr>
                <w:rFonts w:eastAsia="Times New Roman" w:cs="Calibri"/>
              </w:rPr>
            </w:pPr>
            <w:r w:rsidRPr="00E66809">
              <w:rPr>
                <w:rFonts w:eastAsia="Times New Roman" w:cs="Calibri"/>
              </w:rPr>
              <w:t>A mechanism for and commitment to regular reporting on progress to the supplier's audit committee (or equivalent).</w:t>
            </w:r>
          </w:p>
          <w:p w14:paraId="2EDB9F3A" w14:textId="77777777" w:rsidR="00D73AA5" w:rsidRPr="00E66809" w:rsidRDefault="00D73AA5" w:rsidP="00AD19D7">
            <w:pPr>
              <w:pStyle w:val="ListParagraph"/>
              <w:widowControl w:val="0"/>
              <w:numPr>
                <w:ilvl w:val="0"/>
                <w:numId w:val="48"/>
              </w:numPr>
              <w:spacing w:after="0" w:line="276" w:lineRule="auto"/>
              <w:jc w:val="both"/>
              <w:rPr>
                <w:rFonts w:eastAsia="Times New Roman" w:cs="Calibri"/>
              </w:rPr>
            </w:pPr>
            <w:r w:rsidRPr="00E66809">
              <w:rPr>
                <w:rFonts w:eastAsia="Times New Roman" w:cs="Calibri"/>
              </w:rPr>
              <w:t>Plan signed off by director.</w:t>
            </w:r>
          </w:p>
          <w:p w14:paraId="3A782D9E" w14:textId="77777777" w:rsidR="00D73AA5" w:rsidRPr="00E66809" w:rsidRDefault="00D73AA5" w:rsidP="00AD19D7">
            <w:pPr>
              <w:pStyle w:val="ListParagraph"/>
              <w:widowControl w:val="0"/>
              <w:numPr>
                <w:ilvl w:val="0"/>
                <w:numId w:val="48"/>
              </w:numPr>
              <w:spacing w:after="0" w:line="276" w:lineRule="auto"/>
              <w:jc w:val="both"/>
              <w:rPr>
                <w:rFonts w:eastAsia="Times New Roman" w:cs="Calibri"/>
              </w:rPr>
            </w:pPr>
            <w:r w:rsidRPr="00E66809">
              <w:rPr>
                <w:rFonts w:eastAsia="Times New Roman" w:cs="Calibri"/>
              </w:rPr>
              <w:t>Plan published on its website (this can be a shorter summary plan).</w:t>
            </w:r>
          </w:p>
          <w:p w14:paraId="2F7ACD0F" w14:textId="77777777" w:rsidR="00D73AA5" w:rsidRPr="00E66809" w:rsidRDefault="00D73AA5" w:rsidP="00352D2D">
            <w:pPr>
              <w:pStyle w:val="ListParagraph"/>
              <w:widowControl w:val="0"/>
              <w:spacing w:after="0" w:line="276" w:lineRule="auto"/>
              <w:ind w:left="360"/>
              <w:jc w:val="both"/>
              <w:rPr>
                <w:rFonts w:eastAsia="Times New Roman" w:cs="Calibri"/>
              </w:rPr>
            </w:pPr>
          </w:p>
          <w:p w14:paraId="151976F1" w14:textId="77777777" w:rsidR="00D73AA5" w:rsidRPr="00E66809" w:rsidRDefault="00D73AA5" w:rsidP="00352D2D">
            <w:pPr>
              <w:widowControl w:val="0"/>
              <w:spacing w:after="0" w:line="276" w:lineRule="auto"/>
              <w:jc w:val="both"/>
              <w:rPr>
                <w:rFonts w:eastAsia="Times New Roman" w:cs="Calibri"/>
              </w:rPr>
            </w:pPr>
            <w:r w:rsidRPr="00E66809">
              <w:rPr>
                <w:rFonts w:eastAsia="Times New Roman" w:cs="Calibri"/>
              </w:rPr>
              <w:t xml:space="preserve">If you have an existing action plan prepared for a different purpose, it is acceptable to attach </w:t>
            </w:r>
            <w:proofErr w:type="gramStart"/>
            <w:r w:rsidRPr="00E66809">
              <w:rPr>
                <w:rFonts w:eastAsia="Times New Roman" w:cs="Calibri"/>
              </w:rPr>
              <w:t>this</w:t>
            </w:r>
            <w:proofErr w:type="gramEnd"/>
            <w:r w:rsidRPr="00E66809">
              <w:rPr>
                <w:rFonts w:eastAsia="Times New Roman" w:cs="Calibri"/>
              </w:rPr>
              <w:t xml:space="preserve"> but it should contain the above features.</w:t>
            </w:r>
          </w:p>
          <w:p w14:paraId="0CF4C1C3" w14:textId="77777777" w:rsidR="00D73AA5" w:rsidRPr="00E66809" w:rsidRDefault="00D73AA5" w:rsidP="00352D2D">
            <w:pPr>
              <w:pStyle w:val="ListParagraph"/>
              <w:widowControl w:val="0"/>
              <w:spacing w:after="0" w:line="276" w:lineRule="auto"/>
              <w:jc w:val="both"/>
              <w:rPr>
                <w:rFonts w:eastAsia="Times New Roman" w:cs="Calibri"/>
              </w:rPr>
            </w:pPr>
          </w:p>
          <w:p w14:paraId="24BA10E3" w14:textId="77777777" w:rsidR="00D73AA5" w:rsidRPr="00E66809" w:rsidRDefault="00D73AA5" w:rsidP="00352D2D">
            <w:pPr>
              <w:widowControl w:val="0"/>
              <w:spacing w:after="0" w:line="276" w:lineRule="auto"/>
              <w:jc w:val="both"/>
              <w:rPr>
                <w:rFonts w:eastAsia="Times New Roman" w:cs="Calibri"/>
                <w:i/>
              </w:rPr>
            </w:pPr>
            <w:r w:rsidRPr="00E66809">
              <w:rPr>
                <w:rFonts w:eastAsia="Times New Roman" w:cs="Calibri"/>
                <w:i/>
              </w:rPr>
              <w:t>*References to supply chain means suppliers or sub-contractors of any tier that execute any works, supply any products or provide any services that are used wholly or substantially for the purpose of performing (or contributing to the performance of) the whole or any part of the contract.</w:t>
            </w:r>
          </w:p>
          <w:p w14:paraId="11268D0A" w14:textId="77777777" w:rsidR="00D73AA5" w:rsidRPr="00E66809" w:rsidRDefault="00D73AA5" w:rsidP="00352D2D">
            <w:pPr>
              <w:widowControl w:val="0"/>
              <w:spacing w:after="0" w:line="276" w:lineRule="auto"/>
              <w:jc w:val="both"/>
              <w:rPr>
                <w:rFonts w:eastAsia="Times New Roman" w:cs="Calibri"/>
                <w:i/>
              </w:rPr>
            </w:pPr>
          </w:p>
          <w:p w14:paraId="6A88A60F" w14:textId="36CAE53B" w:rsidR="00C4759B" w:rsidRDefault="00D73AA5">
            <w:pPr>
              <w:widowControl w:val="0"/>
              <w:tabs>
                <w:tab w:val="left" w:pos="0"/>
              </w:tabs>
              <w:overflowPunct w:val="0"/>
              <w:autoSpaceDE w:val="0"/>
              <w:autoSpaceDN w:val="0"/>
              <w:adjustRightInd w:val="0"/>
              <w:jc w:val="both"/>
            </w:pPr>
            <w:r w:rsidRPr="00E66809">
              <w:rPr>
                <w:rFonts w:eastAsia="Times New Roman" w:cs="Calibri"/>
                <w:i/>
              </w:rPr>
              <w:t>**</w:t>
            </w:r>
            <w:r w:rsidR="00C07DB5">
              <w:rPr>
                <w:rFonts w:eastAsia="Times New Roman" w:cs="Calibri"/>
                <w:i/>
              </w:rPr>
              <w:t>The definition of reporting period can be found</w:t>
            </w:r>
            <w:r w:rsidRPr="00E66809">
              <w:rPr>
                <w:rFonts w:eastAsia="Times New Roman" w:cs="Calibri"/>
                <w:i/>
              </w:rPr>
              <w:t xml:space="preserve"> by referring to the DBT Guidance:</w:t>
            </w:r>
            <w:hyperlink r:id="rId24" w:history="1">
              <w:r w:rsidR="00C07DB5" w:rsidRPr="003C1CD7">
                <w:rPr>
                  <w:rStyle w:val="Hyperlink"/>
                  <w:rFonts w:eastAsia="Times New Roman" w:cs="Calibri"/>
                  <w:i/>
                </w:rPr>
                <w:t>www.gov.uk/government/publications/business-payment-practices-and-performance-reporting-requirements</w:t>
              </w:r>
            </w:hyperlink>
          </w:p>
          <w:p w14:paraId="414AE3F4" w14:textId="377DC23F" w:rsidR="002844B0" w:rsidRPr="00E13EAA" w:rsidRDefault="002844B0">
            <w:pPr>
              <w:widowControl w:val="0"/>
              <w:tabs>
                <w:tab w:val="left" w:pos="0"/>
              </w:tabs>
              <w:overflowPunct w:val="0"/>
              <w:autoSpaceDE w:val="0"/>
              <w:autoSpaceDN w:val="0"/>
              <w:adjustRightInd w:val="0"/>
              <w:jc w:val="both"/>
              <w:rPr>
                <w:i/>
                <w:iCs/>
                <w:sz w:val="28"/>
                <w:szCs w:val="28"/>
              </w:rPr>
            </w:pPr>
            <w:r w:rsidRPr="002844B0">
              <w:rPr>
                <w:i/>
                <w:iCs/>
              </w:rPr>
              <w:t>***The calculation is the average (mean) number of days within which payments are made under qualifying contracts during the reporting period. To find the mean, add together the number of days it took to make all payments to be reported and divide it by the number of payments made.</w:t>
            </w:r>
          </w:p>
        </w:tc>
        <w:tc>
          <w:tcPr>
            <w:tcW w:w="4331" w:type="dxa"/>
            <w:tcBorders>
              <w:top w:val="single" w:sz="6" w:space="0" w:color="000000" w:themeColor="text1"/>
              <w:bottom w:val="single" w:sz="6" w:space="0" w:color="000000" w:themeColor="text1"/>
            </w:tcBorders>
          </w:tcPr>
          <w:p w14:paraId="6791D81E" w14:textId="77C8CBBB" w:rsidR="00C4759B" w:rsidRDefault="00C4759B" w:rsidP="00352D2D">
            <w:pPr>
              <w:tabs>
                <w:tab w:val="left" w:pos="594"/>
              </w:tabs>
              <w:spacing w:after="0" w:line="276" w:lineRule="auto"/>
              <w:jc w:val="both"/>
              <w:rPr>
                <w:rFonts w:eastAsia="Arial" w:cs="Calibri"/>
              </w:rPr>
            </w:pPr>
            <w:r w:rsidRPr="00E66809">
              <w:rPr>
                <w:rFonts w:eastAsia="Arial" w:cs="Calibri"/>
              </w:rPr>
              <w:lastRenderedPageBreak/>
              <w:t>A1</w:t>
            </w:r>
            <w:r>
              <w:rPr>
                <w:rFonts w:eastAsia="Arial" w:cs="Calibri"/>
              </w:rPr>
              <w:t xml:space="preserve"> (Within 30 </w:t>
            </w:r>
            <w:r w:rsidR="002B0DD9">
              <w:rPr>
                <w:rFonts w:eastAsia="Arial" w:cs="Calibri"/>
              </w:rPr>
              <w:t>d</w:t>
            </w:r>
            <w:r w:rsidR="00D73AA5">
              <w:rPr>
                <w:rFonts w:eastAsia="Arial" w:cs="Calibri"/>
              </w:rPr>
              <w:t>ays</w:t>
            </w:r>
            <w:r>
              <w:rPr>
                <w:rFonts w:eastAsia="Arial" w:cs="Calibri"/>
              </w:rPr>
              <w:t xml:space="preserve">) </w:t>
            </w:r>
            <w:r w:rsidRPr="00E66809">
              <w:rPr>
                <w:rFonts w:eastAsia="Arial" w:cs="Calibri"/>
              </w:rPr>
              <w:t>– [Insert %]</w:t>
            </w:r>
          </w:p>
          <w:p w14:paraId="786B14E2" w14:textId="77777777" w:rsidR="002B0DD9" w:rsidRPr="00E66809" w:rsidRDefault="002B0DD9" w:rsidP="00352D2D">
            <w:pPr>
              <w:tabs>
                <w:tab w:val="left" w:pos="594"/>
              </w:tabs>
              <w:spacing w:after="0" w:line="276" w:lineRule="auto"/>
              <w:jc w:val="both"/>
              <w:rPr>
                <w:rFonts w:eastAsia="Arial" w:cs="Calibri"/>
              </w:rPr>
            </w:pPr>
          </w:p>
          <w:p w14:paraId="611CEFFB" w14:textId="165913E6" w:rsidR="00C4759B" w:rsidRDefault="00C4759B" w:rsidP="00352D2D">
            <w:pPr>
              <w:tabs>
                <w:tab w:val="left" w:pos="594"/>
              </w:tabs>
              <w:spacing w:after="0" w:line="276" w:lineRule="auto"/>
              <w:jc w:val="both"/>
              <w:rPr>
                <w:rFonts w:eastAsia="Arial" w:cs="Calibri"/>
              </w:rPr>
            </w:pPr>
            <w:r w:rsidRPr="00E66809">
              <w:rPr>
                <w:rFonts w:eastAsia="Arial" w:cs="Calibri"/>
              </w:rPr>
              <w:t>A2</w:t>
            </w:r>
            <w:r>
              <w:rPr>
                <w:rFonts w:eastAsia="Arial" w:cs="Calibri"/>
              </w:rPr>
              <w:t xml:space="preserve"> (In 31 to 60 </w:t>
            </w:r>
            <w:r w:rsidR="002B0DD9">
              <w:rPr>
                <w:rFonts w:eastAsia="Arial" w:cs="Calibri"/>
              </w:rPr>
              <w:t>d</w:t>
            </w:r>
            <w:r w:rsidR="00D73AA5">
              <w:rPr>
                <w:rFonts w:eastAsia="Arial" w:cs="Calibri"/>
              </w:rPr>
              <w:t>ays</w:t>
            </w:r>
            <w:r>
              <w:rPr>
                <w:rFonts w:eastAsia="Arial" w:cs="Calibri"/>
              </w:rPr>
              <w:t>)</w:t>
            </w:r>
            <w:r w:rsidRPr="00E66809">
              <w:rPr>
                <w:rFonts w:eastAsia="Arial" w:cs="Calibri"/>
              </w:rPr>
              <w:t xml:space="preserve"> – [Insert %]</w:t>
            </w:r>
          </w:p>
          <w:p w14:paraId="75995FB3" w14:textId="77777777" w:rsidR="002B0DD9" w:rsidRPr="00E66809" w:rsidRDefault="002B0DD9" w:rsidP="00352D2D">
            <w:pPr>
              <w:tabs>
                <w:tab w:val="left" w:pos="594"/>
              </w:tabs>
              <w:spacing w:after="0" w:line="276" w:lineRule="auto"/>
              <w:jc w:val="both"/>
              <w:rPr>
                <w:rFonts w:eastAsia="Arial" w:cs="Calibri"/>
              </w:rPr>
            </w:pPr>
          </w:p>
          <w:p w14:paraId="2E2F5E68" w14:textId="21733C1D" w:rsidR="00C4759B" w:rsidRDefault="00C4759B" w:rsidP="00352D2D">
            <w:pPr>
              <w:tabs>
                <w:tab w:val="left" w:pos="594"/>
              </w:tabs>
              <w:spacing w:after="0" w:line="276" w:lineRule="auto"/>
              <w:jc w:val="both"/>
              <w:rPr>
                <w:rFonts w:eastAsia="Arial" w:cs="Calibri"/>
              </w:rPr>
            </w:pPr>
            <w:r w:rsidRPr="00E66809">
              <w:rPr>
                <w:rFonts w:eastAsia="Arial" w:cs="Calibri"/>
              </w:rPr>
              <w:t>A3</w:t>
            </w:r>
            <w:r>
              <w:rPr>
                <w:rFonts w:eastAsia="Arial" w:cs="Calibri"/>
              </w:rPr>
              <w:t xml:space="preserve"> (</w:t>
            </w:r>
            <w:r w:rsidR="00FF7F92">
              <w:rPr>
                <w:rFonts w:eastAsia="Arial" w:cs="Calibri"/>
              </w:rPr>
              <w:t xml:space="preserve">in </w:t>
            </w:r>
            <w:r w:rsidR="002B0DD9">
              <w:rPr>
                <w:rFonts w:eastAsia="Arial" w:cs="Calibri"/>
              </w:rPr>
              <w:t>61 days or more) –</w:t>
            </w:r>
            <w:r w:rsidRPr="00E66809">
              <w:rPr>
                <w:rFonts w:eastAsia="Arial" w:cs="Calibri"/>
              </w:rPr>
              <w:t xml:space="preserve"> [Insert %]</w:t>
            </w:r>
          </w:p>
          <w:p w14:paraId="54737B7C" w14:textId="77777777" w:rsidR="002B0DD9" w:rsidRPr="00E66809" w:rsidRDefault="002B0DD9" w:rsidP="00352D2D">
            <w:pPr>
              <w:tabs>
                <w:tab w:val="left" w:pos="594"/>
              </w:tabs>
              <w:spacing w:after="0" w:line="276" w:lineRule="auto"/>
              <w:jc w:val="both"/>
              <w:rPr>
                <w:rFonts w:eastAsia="Arial" w:cs="Calibri"/>
              </w:rPr>
            </w:pPr>
          </w:p>
          <w:p w14:paraId="6A4576AC" w14:textId="676A5A6C" w:rsidR="00C4759B" w:rsidRPr="00E66809" w:rsidRDefault="00D73AA5" w:rsidP="00352D2D">
            <w:pPr>
              <w:tabs>
                <w:tab w:val="left" w:pos="594"/>
              </w:tabs>
              <w:spacing w:after="0" w:line="276" w:lineRule="auto"/>
              <w:jc w:val="both"/>
              <w:rPr>
                <w:rFonts w:eastAsia="Arial" w:cs="Calibri"/>
              </w:rPr>
            </w:pPr>
            <w:r w:rsidRPr="00E66809">
              <w:rPr>
                <w:rFonts w:eastAsia="Arial" w:cs="Calibri"/>
              </w:rPr>
              <w:t>A4 –</w:t>
            </w:r>
            <w:r w:rsidR="002B0DD9">
              <w:rPr>
                <w:rFonts w:eastAsia="Arial" w:cs="Calibri"/>
              </w:rPr>
              <w:t xml:space="preserve"> (due but not paid by the last date for payment under agreed contractual terms – </w:t>
            </w:r>
            <w:r w:rsidRPr="00E66809">
              <w:rPr>
                <w:rFonts w:eastAsia="Arial" w:cs="Calibri"/>
              </w:rPr>
              <w:t>[Insert %]</w:t>
            </w:r>
          </w:p>
          <w:p w14:paraId="05E69BD9" w14:textId="77777777" w:rsidR="00C4759B" w:rsidRPr="00E66809" w:rsidRDefault="00C4759B" w:rsidP="00352D2D">
            <w:pPr>
              <w:tabs>
                <w:tab w:val="left" w:pos="594"/>
              </w:tabs>
              <w:spacing w:after="0" w:line="276" w:lineRule="auto"/>
              <w:jc w:val="both"/>
              <w:rPr>
                <w:rFonts w:eastAsia="Arial" w:cs="Calibri"/>
              </w:rPr>
            </w:pPr>
          </w:p>
          <w:p w14:paraId="7AF594DE" w14:textId="016C7464" w:rsidR="00C4759B" w:rsidRPr="00E66809" w:rsidRDefault="00C4759B" w:rsidP="00352D2D">
            <w:pPr>
              <w:tabs>
                <w:tab w:val="left" w:pos="594"/>
              </w:tabs>
              <w:spacing w:after="0" w:line="276" w:lineRule="auto"/>
              <w:jc w:val="both"/>
              <w:rPr>
                <w:rFonts w:eastAsia="Arial" w:cs="Calibri"/>
              </w:rPr>
            </w:pPr>
          </w:p>
          <w:p w14:paraId="3A5CFBF7" w14:textId="77777777" w:rsidR="00C4759B" w:rsidRPr="00E66809" w:rsidRDefault="00C4759B" w:rsidP="00352D2D">
            <w:pPr>
              <w:tabs>
                <w:tab w:val="left" w:pos="594"/>
              </w:tabs>
              <w:spacing w:after="0" w:line="276" w:lineRule="auto"/>
              <w:jc w:val="both"/>
              <w:rPr>
                <w:rFonts w:eastAsia="Arial" w:cs="Calibri"/>
              </w:rPr>
            </w:pPr>
          </w:p>
          <w:p w14:paraId="7117D9AF" w14:textId="77777777" w:rsidR="00C4759B" w:rsidRPr="00C4759B" w:rsidRDefault="00C4759B" w:rsidP="00352D2D">
            <w:pPr>
              <w:tabs>
                <w:tab w:val="left" w:pos="594"/>
              </w:tabs>
              <w:spacing w:after="0" w:line="276" w:lineRule="auto"/>
              <w:jc w:val="both"/>
              <w:rPr>
                <w:rFonts w:eastAsia="Arial" w:cs="Calibri"/>
              </w:rPr>
            </w:pPr>
          </w:p>
        </w:tc>
      </w:tr>
      <w:tr w:rsidR="00D73AA5" w:rsidRPr="00420561" w14:paraId="6E468E57" w14:textId="77777777" w:rsidTr="006B0E8F">
        <w:trPr>
          <w:trHeight w:val="1701"/>
        </w:trPr>
        <w:tc>
          <w:tcPr>
            <w:tcW w:w="0" w:type="auto"/>
            <w:vMerge/>
            <w:shd w:val="clear" w:color="auto" w:fill="F2F2F2" w:themeFill="background1" w:themeFillShade="F2"/>
          </w:tcPr>
          <w:p w14:paraId="25FE19EA" w14:textId="77777777" w:rsidR="00D73AA5" w:rsidRDefault="00D73AA5">
            <w:pPr>
              <w:spacing w:after="0" w:line="276" w:lineRule="auto"/>
              <w:rPr>
                <w:rFonts w:eastAsia="Arial" w:cs="Calibri"/>
                <w:b/>
              </w:rPr>
            </w:pPr>
          </w:p>
        </w:tc>
        <w:tc>
          <w:tcPr>
            <w:tcW w:w="7490" w:type="dxa"/>
            <w:vMerge/>
            <w:shd w:val="clear" w:color="auto" w:fill="F2F2F2" w:themeFill="background1" w:themeFillShade="F2"/>
          </w:tcPr>
          <w:p w14:paraId="2034F582" w14:textId="77777777" w:rsidR="00D73AA5" w:rsidRPr="00121665" w:rsidRDefault="00D73AA5" w:rsidP="00C4759B">
            <w:pPr>
              <w:widowControl w:val="0"/>
              <w:spacing w:after="0" w:line="276" w:lineRule="auto"/>
              <w:rPr>
                <w:rFonts w:eastAsia="Times New Roman" w:cs="Calibri"/>
              </w:rPr>
            </w:pPr>
          </w:p>
        </w:tc>
        <w:tc>
          <w:tcPr>
            <w:tcW w:w="4331" w:type="dxa"/>
            <w:tcBorders>
              <w:top w:val="single" w:sz="6" w:space="0" w:color="000000" w:themeColor="text1"/>
              <w:bottom w:val="single" w:sz="6" w:space="0" w:color="000000" w:themeColor="text1"/>
            </w:tcBorders>
          </w:tcPr>
          <w:p w14:paraId="7E0BE462" w14:textId="3BACCF1A" w:rsidR="00D73AA5" w:rsidRDefault="00D73AA5" w:rsidP="00C4759B">
            <w:pPr>
              <w:tabs>
                <w:tab w:val="left" w:pos="594"/>
              </w:tabs>
              <w:spacing w:after="0" w:line="276" w:lineRule="auto"/>
              <w:rPr>
                <w:rFonts w:eastAsia="Arial" w:cs="Calibri"/>
              </w:rPr>
            </w:pPr>
            <w:r w:rsidRPr="00E66809">
              <w:rPr>
                <w:rFonts w:eastAsia="Arial" w:cs="Calibri"/>
              </w:rPr>
              <w:t xml:space="preserve">B – </w:t>
            </w:r>
            <w:r w:rsidR="00834107">
              <w:rPr>
                <w:rFonts w:eastAsia="Arial" w:cs="Calibri"/>
              </w:rPr>
              <w:t>[Insert average number of days]</w:t>
            </w:r>
          </w:p>
          <w:p w14:paraId="68AAE0EE" w14:textId="77777777" w:rsidR="001E2FB0" w:rsidRDefault="001E2FB0" w:rsidP="00C4759B">
            <w:pPr>
              <w:tabs>
                <w:tab w:val="left" w:pos="594"/>
              </w:tabs>
              <w:spacing w:after="0" w:line="276" w:lineRule="auto"/>
              <w:rPr>
                <w:rFonts w:eastAsia="Arial" w:cs="Calibri"/>
              </w:rPr>
            </w:pPr>
          </w:p>
          <w:p w14:paraId="2ABB4B5A" w14:textId="7AB2848D" w:rsidR="001E2FB0" w:rsidRPr="00121665" w:rsidRDefault="001E2FB0" w:rsidP="00C4759B">
            <w:pPr>
              <w:tabs>
                <w:tab w:val="left" w:pos="594"/>
              </w:tabs>
              <w:spacing w:after="0" w:line="276" w:lineRule="auto"/>
              <w:rPr>
                <w:rFonts w:eastAsia="Arial" w:cs="Calibri"/>
              </w:rPr>
            </w:pPr>
          </w:p>
        </w:tc>
      </w:tr>
      <w:tr w:rsidR="00D73AA5" w:rsidRPr="00420561" w14:paraId="3BFA930E" w14:textId="77777777" w:rsidTr="006B0E8F">
        <w:trPr>
          <w:trHeight w:val="1757"/>
        </w:trPr>
        <w:tc>
          <w:tcPr>
            <w:tcW w:w="0" w:type="auto"/>
            <w:vMerge/>
            <w:shd w:val="clear" w:color="auto" w:fill="F2F2F2" w:themeFill="background1" w:themeFillShade="F2"/>
          </w:tcPr>
          <w:p w14:paraId="23CF86DC" w14:textId="77777777" w:rsidR="00D73AA5" w:rsidRDefault="00D73AA5">
            <w:pPr>
              <w:spacing w:after="0" w:line="276" w:lineRule="auto"/>
              <w:rPr>
                <w:rFonts w:eastAsia="Arial" w:cs="Calibri"/>
                <w:b/>
              </w:rPr>
            </w:pPr>
          </w:p>
        </w:tc>
        <w:tc>
          <w:tcPr>
            <w:tcW w:w="7490" w:type="dxa"/>
            <w:vMerge/>
            <w:shd w:val="clear" w:color="auto" w:fill="F2F2F2" w:themeFill="background1" w:themeFillShade="F2"/>
          </w:tcPr>
          <w:p w14:paraId="6B756516" w14:textId="77777777" w:rsidR="00D73AA5" w:rsidRPr="00121665" w:rsidRDefault="00D73AA5" w:rsidP="00C4759B">
            <w:pPr>
              <w:widowControl w:val="0"/>
              <w:spacing w:after="0" w:line="276" w:lineRule="auto"/>
              <w:rPr>
                <w:rFonts w:eastAsia="Times New Roman" w:cs="Calibri"/>
              </w:rPr>
            </w:pPr>
          </w:p>
        </w:tc>
        <w:tc>
          <w:tcPr>
            <w:tcW w:w="4331" w:type="dxa"/>
            <w:tcBorders>
              <w:top w:val="single" w:sz="6" w:space="0" w:color="000000" w:themeColor="text1"/>
              <w:bottom w:val="single" w:sz="6" w:space="0" w:color="000000" w:themeColor="text1"/>
            </w:tcBorders>
          </w:tcPr>
          <w:p w14:paraId="515B0B47" w14:textId="77777777" w:rsidR="00C97A3A" w:rsidRPr="00E66809" w:rsidRDefault="00D73AA5" w:rsidP="00C97A3A">
            <w:pPr>
              <w:tabs>
                <w:tab w:val="left" w:pos="594"/>
              </w:tabs>
              <w:spacing w:after="0" w:line="276" w:lineRule="auto"/>
              <w:rPr>
                <w:rFonts w:eastAsia="Arial" w:cs="Calibri"/>
              </w:rPr>
            </w:pPr>
            <w:r w:rsidRPr="00E66809">
              <w:rPr>
                <w:rFonts w:eastAsia="Arial" w:cs="Calibri"/>
              </w:rPr>
              <w:t xml:space="preserve">C – </w:t>
            </w:r>
            <w:r w:rsidR="00C97A3A" w:rsidRPr="00E66809">
              <w:rPr>
                <w:rFonts w:eastAsia="Arial" w:cs="Calibri"/>
              </w:rPr>
              <w:t>[Insert response]</w:t>
            </w:r>
          </w:p>
          <w:p w14:paraId="6CA19086" w14:textId="2CCC730B" w:rsidR="00D73AA5" w:rsidRPr="00E66809" w:rsidRDefault="00D73AA5" w:rsidP="00D73AA5">
            <w:pPr>
              <w:tabs>
                <w:tab w:val="left" w:pos="594"/>
              </w:tabs>
              <w:spacing w:after="0" w:line="276" w:lineRule="auto"/>
              <w:rPr>
                <w:rFonts w:cs="Calibri"/>
                <w:color w:val="2B579A"/>
                <w:shd w:val="clear" w:color="auto" w:fill="E6E6E6"/>
              </w:rPr>
            </w:pPr>
          </w:p>
          <w:p w14:paraId="11B3DB8E" w14:textId="2D7E53D3" w:rsidR="00D73AA5" w:rsidRPr="00121665" w:rsidRDefault="00C97A3A" w:rsidP="00C97A3A">
            <w:pPr>
              <w:tabs>
                <w:tab w:val="left" w:pos="594"/>
              </w:tabs>
              <w:spacing w:after="0" w:line="276" w:lineRule="auto"/>
              <w:rPr>
                <w:rFonts w:eastAsia="Arial" w:cs="Calibri"/>
              </w:rPr>
            </w:pPr>
            <w:r w:rsidRPr="00E66809">
              <w:rPr>
                <w:rFonts w:eastAsia="Arial" w:cs="Calibri"/>
              </w:rPr>
              <w:t>N/A</w:t>
            </w:r>
            <w:r w:rsidDel="00906508">
              <w:rPr>
                <w:rFonts w:eastAsia="Arial" w:cs="Calibri"/>
              </w:rPr>
              <w:t xml:space="preserve"> </w:t>
            </w:r>
            <w:r w:rsidRPr="00E66809">
              <w:rPr>
                <w:rFonts w:cs="Calibri"/>
                <w:color w:val="2B579A"/>
                <w:shd w:val="clear" w:color="auto" w:fill="E6E6E6"/>
              </w:rPr>
              <w:fldChar w:fldCharType="begin">
                <w:ffData>
                  <w:name w:val="Check1"/>
                  <w:enabled/>
                  <w:calcOnExit w:val="0"/>
                  <w:checkBox>
                    <w:sizeAuto/>
                    <w:default w:val="0"/>
                  </w:checkBox>
                </w:ffData>
              </w:fldChar>
            </w:r>
            <w:r w:rsidRPr="00E66809">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E66809">
              <w:rPr>
                <w:rFonts w:cs="Calibri"/>
                <w:color w:val="2B579A"/>
                <w:shd w:val="clear" w:color="auto" w:fill="E6E6E6"/>
              </w:rPr>
              <w:fldChar w:fldCharType="end"/>
            </w:r>
          </w:p>
        </w:tc>
      </w:tr>
      <w:tr w:rsidR="00D73AA5" w:rsidRPr="00420561" w14:paraId="4AD06A0A" w14:textId="77777777" w:rsidTr="006B0E8F">
        <w:trPr>
          <w:trHeight w:val="3345"/>
        </w:trPr>
        <w:tc>
          <w:tcPr>
            <w:tcW w:w="0" w:type="auto"/>
            <w:vMerge/>
            <w:tcBorders>
              <w:bottom w:val="single" w:sz="6" w:space="0" w:color="000000" w:themeColor="text1"/>
            </w:tcBorders>
            <w:shd w:val="clear" w:color="auto" w:fill="F2F2F2" w:themeFill="background1" w:themeFillShade="F2"/>
          </w:tcPr>
          <w:p w14:paraId="16E849F8" w14:textId="77777777" w:rsidR="00D73AA5" w:rsidRDefault="00D73AA5">
            <w:pPr>
              <w:spacing w:after="0" w:line="276" w:lineRule="auto"/>
              <w:rPr>
                <w:rFonts w:eastAsia="Arial" w:cs="Calibri"/>
                <w:b/>
              </w:rPr>
            </w:pPr>
          </w:p>
        </w:tc>
        <w:tc>
          <w:tcPr>
            <w:tcW w:w="7490" w:type="dxa"/>
            <w:vMerge/>
            <w:tcBorders>
              <w:bottom w:val="single" w:sz="6" w:space="0" w:color="000000" w:themeColor="text1"/>
            </w:tcBorders>
            <w:shd w:val="clear" w:color="auto" w:fill="F2F2F2" w:themeFill="background1" w:themeFillShade="F2"/>
          </w:tcPr>
          <w:p w14:paraId="686A6650" w14:textId="77777777" w:rsidR="00D73AA5" w:rsidRPr="00121665" w:rsidRDefault="00D73AA5" w:rsidP="00C4759B">
            <w:pPr>
              <w:widowControl w:val="0"/>
              <w:spacing w:after="0" w:line="276" w:lineRule="auto"/>
              <w:rPr>
                <w:rFonts w:eastAsia="Times New Roman" w:cs="Calibri"/>
              </w:rPr>
            </w:pPr>
          </w:p>
        </w:tc>
        <w:tc>
          <w:tcPr>
            <w:tcW w:w="4331" w:type="dxa"/>
            <w:tcBorders>
              <w:top w:val="single" w:sz="6" w:space="0" w:color="000000" w:themeColor="text1"/>
              <w:bottom w:val="single" w:sz="6" w:space="0" w:color="000000" w:themeColor="text1"/>
            </w:tcBorders>
          </w:tcPr>
          <w:p w14:paraId="144FC17B" w14:textId="7A8D0AB9" w:rsidR="00C97A3A" w:rsidRPr="00E66809" w:rsidRDefault="00C97A3A" w:rsidP="00C97A3A">
            <w:pPr>
              <w:tabs>
                <w:tab w:val="left" w:pos="594"/>
              </w:tabs>
              <w:spacing w:after="0" w:line="276" w:lineRule="auto"/>
              <w:rPr>
                <w:rFonts w:eastAsia="Arial" w:cs="Calibri"/>
              </w:rPr>
            </w:pPr>
            <w:r>
              <w:rPr>
                <w:rFonts w:eastAsia="Arial" w:cs="Calibri"/>
              </w:rPr>
              <w:t>D</w:t>
            </w:r>
            <w:r w:rsidRPr="00E66809">
              <w:rPr>
                <w:rFonts w:eastAsia="Arial" w:cs="Calibri"/>
              </w:rPr>
              <w:t xml:space="preserve"> – [Insert response]</w:t>
            </w:r>
          </w:p>
          <w:p w14:paraId="52BE3A37" w14:textId="77777777" w:rsidR="00C97A3A" w:rsidRPr="00E66809" w:rsidRDefault="00C97A3A" w:rsidP="00C97A3A">
            <w:pPr>
              <w:tabs>
                <w:tab w:val="left" w:pos="594"/>
              </w:tabs>
              <w:spacing w:after="0" w:line="276" w:lineRule="auto"/>
              <w:rPr>
                <w:rFonts w:cs="Calibri"/>
                <w:color w:val="2B579A"/>
                <w:shd w:val="clear" w:color="auto" w:fill="E6E6E6"/>
              </w:rPr>
            </w:pPr>
          </w:p>
          <w:p w14:paraId="54E4063E" w14:textId="7D0ED09F" w:rsidR="00D73AA5" w:rsidRPr="00121665" w:rsidRDefault="00C97A3A" w:rsidP="00C97A3A">
            <w:pPr>
              <w:tabs>
                <w:tab w:val="left" w:pos="594"/>
              </w:tabs>
              <w:spacing w:after="0" w:line="276" w:lineRule="auto"/>
              <w:rPr>
                <w:rFonts w:eastAsia="Arial" w:cs="Calibri"/>
              </w:rPr>
            </w:pPr>
            <w:r w:rsidRPr="00E66809">
              <w:rPr>
                <w:rFonts w:eastAsia="Arial" w:cs="Calibri"/>
              </w:rPr>
              <w:t>N/A</w:t>
            </w:r>
            <w:r w:rsidDel="00906508">
              <w:rPr>
                <w:rFonts w:eastAsia="Arial" w:cs="Calibri"/>
              </w:rPr>
              <w:t xml:space="preserve"> </w:t>
            </w:r>
            <w:r w:rsidRPr="00E66809">
              <w:rPr>
                <w:rFonts w:cs="Calibri"/>
                <w:color w:val="2B579A"/>
                <w:shd w:val="clear" w:color="auto" w:fill="E6E6E6"/>
              </w:rPr>
              <w:fldChar w:fldCharType="begin">
                <w:ffData>
                  <w:name w:val="Check1"/>
                  <w:enabled/>
                  <w:calcOnExit w:val="0"/>
                  <w:checkBox>
                    <w:sizeAuto/>
                    <w:default w:val="0"/>
                  </w:checkBox>
                </w:ffData>
              </w:fldChar>
            </w:r>
            <w:r w:rsidRPr="00E66809">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E66809">
              <w:rPr>
                <w:rFonts w:cs="Calibri"/>
                <w:color w:val="2B579A"/>
                <w:shd w:val="clear" w:color="auto" w:fill="E6E6E6"/>
              </w:rPr>
              <w:fldChar w:fldCharType="end"/>
            </w:r>
          </w:p>
        </w:tc>
      </w:tr>
    </w:tbl>
    <w:p w14:paraId="113A2FCA" w14:textId="77777777" w:rsidR="00286052" w:rsidRPr="00E66809" w:rsidRDefault="00286052" w:rsidP="00286052">
      <w:pPr>
        <w:spacing w:after="0" w:line="276" w:lineRule="auto"/>
        <w:ind w:firstLine="720"/>
        <w:rPr>
          <w:rFonts w:eastAsia="Times New Roman" w:cs="Calibri"/>
        </w:rPr>
      </w:pPr>
    </w:p>
    <w:p w14:paraId="004823C4" w14:textId="77777777" w:rsidR="00286052" w:rsidRPr="00E66809" w:rsidRDefault="00286052" w:rsidP="00286052">
      <w:pPr>
        <w:spacing w:after="0" w:line="276" w:lineRule="auto"/>
        <w:ind w:firstLine="720"/>
        <w:rPr>
          <w:rFonts w:eastAsia="Times New Roman" w:cs="Calibri"/>
        </w:rPr>
      </w:pPr>
    </w:p>
    <w:p w14:paraId="6A90BF56" w14:textId="77777777" w:rsidR="00286052" w:rsidRPr="00E66809" w:rsidRDefault="00286052" w:rsidP="00286052">
      <w:pPr>
        <w:pageBreakBefore/>
        <w:spacing w:after="0" w:line="276" w:lineRule="auto"/>
        <w:rPr>
          <w:rFonts w:eastAsia="Arial" w:cs="Calibri"/>
          <w:b/>
        </w:rPr>
      </w:pPr>
      <w:r w:rsidRPr="00E66809">
        <w:rPr>
          <w:rFonts w:eastAsia="Arial" w:cs="Calibri"/>
          <w:b/>
        </w:rPr>
        <w:lastRenderedPageBreak/>
        <w:t>Carbon Reduction Plan</w:t>
      </w:r>
    </w:p>
    <w:p w14:paraId="4E093BBB" w14:textId="77E289E2" w:rsidR="00286052" w:rsidRPr="00E66809" w:rsidRDefault="00286052" w:rsidP="00286052">
      <w:pPr>
        <w:spacing w:after="0" w:line="276" w:lineRule="auto"/>
        <w:rPr>
          <w:rFonts w:eastAsia="Arial" w:cs="Calibri"/>
          <w:b/>
        </w:rPr>
      </w:pPr>
      <w:r w:rsidRPr="00E66809">
        <w:rPr>
          <w:rFonts w:eastAsia="Times New Roman" w:cs="Calibri"/>
        </w:rPr>
        <w:t xml:space="preserve">Please see </w:t>
      </w:r>
      <w:hyperlink r:id="rId25" w:history="1">
        <w:r w:rsidRPr="00E66809">
          <w:rPr>
            <w:rStyle w:val="Hyperlink"/>
            <w:rFonts w:cs="Arial"/>
            <w:color w:val="auto"/>
          </w:rPr>
          <w:t>PPN 006: Taking account of Carbon Reduction Plans (HTML) - GOV.UK</w:t>
        </w:r>
      </w:hyperlink>
      <w:r w:rsidRPr="00E66809">
        <w:rPr>
          <w:rStyle w:val="eop"/>
          <w:rFonts w:cs="Arial"/>
        </w:rPr>
        <w:t> for further information.</w:t>
      </w:r>
    </w:p>
    <w:p w14:paraId="534555F7" w14:textId="77777777" w:rsidR="00286052" w:rsidRPr="00E66809" w:rsidRDefault="00286052" w:rsidP="00286052">
      <w:pPr>
        <w:spacing w:after="0" w:line="276" w:lineRule="auto"/>
        <w:ind w:firstLine="720"/>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355"/>
        <w:gridCol w:w="4466"/>
      </w:tblGrid>
      <w:tr w:rsidR="00286052" w:rsidRPr="001439F7" w14:paraId="46AC0BC5" w14:textId="77777777" w:rsidTr="006B0E8F">
        <w:tc>
          <w:tcPr>
            <w:tcW w:w="0" w:type="auto"/>
            <w:tcBorders>
              <w:top w:val="single" w:sz="6" w:space="0" w:color="000000"/>
              <w:bottom w:val="single" w:sz="6" w:space="0" w:color="000000"/>
            </w:tcBorders>
            <w:shd w:val="clear" w:color="auto" w:fill="009999"/>
          </w:tcPr>
          <w:p w14:paraId="25FFC730"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837" w:type="dxa"/>
            <w:tcBorders>
              <w:top w:val="single" w:sz="6" w:space="0" w:color="000000"/>
              <w:bottom w:val="single" w:sz="6" w:space="0" w:color="000000"/>
            </w:tcBorders>
            <w:shd w:val="clear" w:color="auto" w:fill="009999"/>
          </w:tcPr>
          <w:p w14:paraId="608949D6"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734" w:type="dxa"/>
            <w:tcBorders>
              <w:top w:val="single" w:sz="6" w:space="0" w:color="000000"/>
              <w:bottom w:val="single" w:sz="6" w:space="0" w:color="000000"/>
            </w:tcBorders>
            <w:shd w:val="clear" w:color="auto" w:fill="009999"/>
          </w:tcPr>
          <w:p w14:paraId="0DE288F0"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420561" w14:paraId="61BC3BCF" w14:textId="77777777" w:rsidTr="006B0E8F">
        <w:trPr>
          <w:trHeight w:val="1651"/>
        </w:trPr>
        <w:tc>
          <w:tcPr>
            <w:tcW w:w="0" w:type="auto"/>
            <w:vMerge w:val="restart"/>
            <w:tcBorders>
              <w:top w:val="single" w:sz="6" w:space="0" w:color="000000"/>
            </w:tcBorders>
            <w:shd w:val="clear" w:color="auto" w:fill="F2F2F2" w:themeFill="background1" w:themeFillShade="F2"/>
          </w:tcPr>
          <w:p w14:paraId="514C6154" w14:textId="35ADC98C" w:rsidR="00286052" w:rsidRPr="00E66809" w:rsidRDefault="00286052" w:rsidP="00352D2D">
            <w:pPr>
              <w:spacing w:after="0" w:line="276" w:lineRule="auto"/>
              <w:jc w:val="both"/>
              <w:rPr>
                <w:rFonts w:eastAsia="Arial" w:cs="Arial"/>
                <w:b/>
              </w:rPr>
            </w:pPr>
            <w:r w:rsidRPr="00E66809">
              <w:rPr>
                <w:rFonts w:eastAsia="Arial" w:cs="Calibri"/>
                <w:b/>
              </w:rPr>
              <w:t>3.2</w:t>
            </w:r>
            <w:r w:rsidR="002158EF">
              <w:rPr>
                <w:rFonts w:eastAsia="Arial" w:cs="Calibri"/>
                <w:b/>
              </w:rPr>
              <w:t>4</w:t>
            </w:r>
          </w:p>
        </w:tc>
        <w:tc>
          <w:tcPr>
            <w:tcW w:w="7837" w:type="dxa"/>
            <w:vMerge w:val="restart"/>
            <w:tcBorders>
              <w:top w:val="single" w:sz="6" w:space="0" w:color="000000"/>
            </w:tcBorders>
            <w:shd w:val="clear" w:color="auto" w:fill="F2F2F2" w:themeFill="background1" w:themeFillShade="F2"/>
          </w:tcPr>
          <w:p w14:paraId="7A3EA868" w14:textId="77777777" w:rsidR="00286052" w:rsidRPr="00E66809" w:rsidRDefault="00286052" w:rsidP="00352D2D">
            <w:pPr>
              <w:widowControl w:val="0"/>
              <w:spacing w:after="0" w:line="276" w:lineRule="auto"/>
              <w:jc w:val="both"/>
              <w:rPr>
                <w:rFonts w:eastAsia="Times New Roman" w:cs="Calibri"/>
              </w:rPr>
            </w:pPr>
            <w:r w:rsidRPr="00E66809">
              <w:rPr>
                <w:rFonts w:eastAsia="Times New Roman" w:cs="Calibri"/>
              </w:rPr>
              <w:t>Please confirm that you have detailed your environmental management measures by completing and publishing a Carbon Reduction Plan which meets the required reporting standard.</w:t>
            </w:r>
          </w:p>
          <w:p w14:paraId="50CF9644" w14:textId="77777777" w:rsidR="00286052" w:rsidRPr="00E66809" w:rsidRDefault="00286052" w:rsidP="00352D2D">
            <w:pPr>
              <w:widowControl w:val="0"/>
              <w:spacing w:after="0" w:line="276" w:lineRule="auto"/>
              <w:jc w:val="both"/>
              <w:rPr>
                <w:rFonts w:eastAsia="Times New Roman" w:cs="Calibri"/>
              </w:rPr>
            </w:pPr>
          </w:p>
          <w:p w14:paraId="46C48B8A" w14:textId="77777777" w:rsidR="00286052" w:rsidRPr="00E66809" w:rsidRDefault="00286052">
            <w:pPr>
              <w:widowControl w:val="0"/>
              <w:tabs>
                <w:tab w:val="left" w:pos="0"/>
              </w:tabs>
              <w:overflowPunct w:val="0"/>
              <w:autoSpaceDE w:val="0"/>
              <w:autoSpaceDN w:val="0"/>
              <w:adjustRightInd w:val="0"/>
              <w:jc w:val="both"/>
              <w:rPr>
                <w:rFonts w:eastAsia="Times New Roman" w:cs="Calibri"/>
              </w:rPr>
            </w:pPr>
            <w:r w:rsidRPr="00E66809">
              <w:rPr>
                <w:rFonts w:eastAsia="Times New Roman" w:cs="Calibri"/>
              </w:rPr>
              <w:t>Provide a link to your most recently published Carbon Reduction Plan.</w:t>
            </w:r>
          </w:p>
        </w:tc>
        <w:tc>
          <w:tcPr>
            <w:tcW w:w="4734" w:type="dxa"/>
            <w:tcBorders>
              <w:top w:val="single" w:sz="6" w:space="0" w:color="000000"/>
              <w:bottom w:val="single" w:sz="6" w:space="0" w:color="000000"/>
            </w:tcBorders>
          </w:tcPr>
          <w:p w14:paraId="45D48400" w14:textId="77777777" w:rsidR="00FC5051" w:rsidRPr="00FA307B" w:rsidRDefault="00FC5051" w:rsidP="00352D2D">
            <w:pPr>
              <w:tabs>
                <w:tab w:val="left" w:pos="594"/>
              </w:tabs>
              <w:spacing w:after="0" w:line="276" w:lineRule="auto"/>
              <w:jc w:val="both"/>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04D8D9FB" w14:textId="54A549CF" w:rsidR="00FC5051" w:rsidRDefault="00FC5051" w:rsidP="00352D2D">
            <w:pPr>
              <w:tabs>
                <w:tab w:val="left" w:pos="602"/>
              </w:tabs>
              <w:spacing w:after="0" w:line="276" w:lineRule="auto"/>
              <w:jc w:val="both"/>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552E0680" w14:textId="77777777" w:rsidR="00286052" w:rsidRPr="00E66809" w:rsidRDefault="00286052" w:rsidP="00352D2D">
            <w:pPr>
              <w:tabs>
                <w:tab w:val="left" w:pos="602"/>
              </w:tabs>
              <w:spacing w:after="0" w:line="276" w:lineRule="auto"/>
              <w:jc w:val="both"/>
              <w:rPr>
                <w:rFonts w:eastAsia="Arial" w:cs="Calibri"/>
              </w:rPr>
            </w:pPr>
          </w:p>
        </w:tc>
      </w:tr>
      <w:tr w:rsidR="00286052" w:rsidRPr="00420561" w14:paraId="271716AA" w14:textId="77777777" w:rsidTr="006B0E8F">
        <w:trPr>
          <w:trHeight w:val="1651"/>
        </w:trPr>
        <w:tc>
          <w:tcPr>
            <w:tcW w:w="0" w:type="auto"/>
            <w:vMerge/>
            <w:tcBorders>
              <w:bottom w:val="single" w:sz="6" w:space="0" w:color="000000"/>
            </w:tcBorders>
            <w:shd w:val="clear" w:color="auto" w:fill="F2F2F2" w:themeFill="background1" w:themeFillShade="F2"/>
          </w:tcPr>
          <w:p w14:paraId="0D4F4FD7" w14:textId="77777777" w:rsidR="00286052" w:rsidRPr="00E66809" w:rsidRDefault="00286052" w:rsidP="00352D2D">
            <w:pPr>
              <w:spacing w:after="0" w:line="276" w:lineRule="auto"/>
              <w:jc w:val="both"/>
              <w:rPr>
                <w:rFonts w:eastAsia="Arial" w:cs="Calibri"/>
                <w:b/>
              </w:rPr>
            </w:pPr>
          </w:p>
        </w:tc>
        <w:tc>
          <w:tcPr>
            <w:tcW w:w="7837" w:type="dxa"/>
            <w:vMerge/>
            <w:tcBorders>
              <w:bottom w:val="single" w:sz="6" w:space="0" w:color="000000"/>
            </w:tcBorders>
            <w:shd w:val="clear" w:color="auto" w:fill="F2F2F2" w:themeFill="background1" w:themeFillShade="F2"/>
          </w:tcPr>
          <w:p w14:paraId="36B6A434" w14:textId="77777777" w:rsidR="00286052" w:rsidRPr="00E66809" w:rsidRDefault="00286052">
            <w:pPr>
              <w:widowControl w:val="0"/>
              <w:tabs>
                <w:tab w:val="left" w:pos="0"/>
              </w:tabs>
              <w:overflowPunct w:val="0"/>
              <w:autoSpaceDE w:val="0"/>
              <w:autoSpaceDN w:val="0"/>
              <w:adjustRightInd w:val="0"/>
              <w:jc w:val="both"/>
              <w:rPr>
                <w:rFonts w:eastAsia="Arial" w:cs="Arial"/>
              </w:rPr>
            </w:pPr>
          </w:p>
        </w:tc>
        <w:tc>
          <w:tcPr>
            <w:tcW w:w="4734" w:type="dxa"/>
            <w:tcBorders>
              <w:top w:val="single" w:sz="6" w:space="0" w:color="000000"/>
              <w:bottom w:val="single" w:sz="6" w:space="0" w:color="000000"/>
            </w:tcBorders>
          </w:tcPr>
          <w:p w14:paraId="17C6221B" w14:textId="77777777" w:rsidR="00286052" w:rsidRPr="00E66809" w:rsidRDefault="00286052" w:rsidP="00352D2D">
            <w:pPr>
              <w:tabs>
                <w:tab w:val="left" w:pos="594"/>
              </w:tabs>
              <w:spacing w:after="0" w:line="276" w:lineRule="auto"/>
              <w:jc w:val="both"/>
              <w:rPr>
                <w:rFonts w:eastAsia="Arial" w:cs="Calibri"/>
              </w:rPr>
            </w:pPr>
            <w:r w:rsidRPr="00E66809">
              <w:rPr>
                <w:rFonts w:eastAsia="Arial" w:cs="Calibri"/>
              </w:rPr>
              <w:t>[Insert Link]</w:t>
            </w:r>
          </w:p>
        </w:tc>
      </w:tr>
      <w:tr w:rsidR="00286052" w:rsidRPr="00420561" w14:paraId="56F2D3DC" w14:textId="77777777" w:rsidTr="006B0E8F">
        <w:trPr>
          <w:trHeight w:val="1651"/>
        </w:trPr>
        <w:tc>
          <w:tcPr>
            <w:tcW w:w="0" w:type="auto"/>
            <w:shd w:val="clear" w:color="auto" w:fill="F2F2F2" w:themeFill="background1" w:themeFillShade="F2"/>
          </w:tcPr>
          <w:p w14:paraId="3BCD3BB8" w14:textId="6600B6DA" w:rsidR="00286052" w:rsidRPr="00E66809" w:rsidRDefault="00286052" w:rsidP="00352D2D">
            <w:pPr>
              <w:spacing w:after="0" w:line="276" w:lineRule="auto"/>
              <w:jc w:val="both"/>
              <w:rPr>
                <w:rFonts w:eastAsia="Arial" w:cs="Calibri"/>
                <w:b/>
              </w:rPr>
            </w:pPr>
            <w:r w:rsidRPr="00E66809">
              <w:rPr>
                <w:rFonts w:eastAsia="Arial" w:cs="Calibri"/>
                <w:b/>
              </w:rPr>
              <w:t>3.2</w:t>
            </w:r>
            <w:r w:rsidR="002158EF">
              <w:rPr>
                <w:rFonts w:eastAsia="Arial" w:cs="Calibri"/>
                <w:b/>
              </w:rPr>
              <w:t>5</w:t>
            </w:r>
          </w:p>
        </w:tc>
        <w:tc>
          <w:tcPr>
            <w:tcW w:w="7837" w:type="dxa"/>
            <w:shd w:val="clear" w:color="auto" w:fill="F2F2F2" w:themeFill="background1" w:themeFillShade="F2"/>
          </w:tcPr>
          <w:p w14:paraId="4B78D204" w14:textId="77777777" w:rsidR="00286052" w:rsidRPr="00E66809" w:rsidRDefault="00286052">
            <w:pPr>
              <w:widowControl w:val="0"/>
              <w:tabs>
                <w:tab w:val="left" w:pos="0"/>
              </w:tabs>
              <w:overflowPunct w:val="0"/>
              <w:autoSpaceDE w:val="0"/>
              <w:autoSpaceDN w:val="0"/>
              <w:adjustRightInd w:val="0"/>
              <w:jc w:val="both"/>
              <w:rPr>
                <w:rFonts w:eastAsia="Arial" w:cs="Arial"/>
              </w:rPr>
            </w:pPr>
            <w:r w:rsidRPr="00E66809">
              <w:rPr>
                <w:rFonts w:eastAsia="Times New Roman" w:cs="Arial"/>
              </w:rPr>
              <w:t>Please confirm that your organisation is taking steps to reduce your GHG emissions over time and is publicly committed to achieving net zero by 2050.</w:t>
            </w:r>
          </w:p>
        </w:tc>
        <w:tc>
          <w:tcPr>
            <w:tcW w:w="4734" w:type="dxa"/>
            <w:tcBorders>
              <w:top w:val="single" w:sz="6" w:space="0" w:color="000000"/>
              <w:bottom w:val="single" w:sz="6" w:space="0" w:color="000000"/>
            </w:tcBorders>
          </w:tcPr>
          <w:p w14:paraId="3DED8687" w14:textId="77777777" w:rsidR="00FC5051" w:rsidRPr="00FA307B" w:rsidRDefault="00FC5051" w:rsidP="00352D2D">
            <w:pPr>
              <w:tabs>
                <w:tab w:val="left" w:pos="594"/>
              </w:tabs>
              <w:spacing w:after="0" w:line="276" w:lineRule="auto"/>
              <w:jc w:val="both"/>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5C4EB47F" w14:textId="0E3084D0" w:rsidR="00FC5051" w:rsidRDefault="00FC5051" w:rsidP="00352D2D">
            <w:pPr>
              <w:tabs>
                <w:tab w:val="left" w:pos="602"/>
              </w:tabs>
              <w:spacing w:after="0" w:line="276" w:lineRule="auto"/>
              <w:jc w:val="both"/>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12FEE062" w14:textId="67B5221C" w:rsidR="00286052" w:rsidRPr="00E66809" w:rsidRDefault="00286052" w:rsidP="00352D2D">
            <w:pPr>
              <w:tabs>
                <w:tab w:val="left" w:pos="594"/>
              </w:tabs>
              <w:spacing w:after="0" w:line="276" w:lineRule="auto"/>
              <w:jc w:val="both"/>
              <w:rPr>
                <w:rFonts w:eastAsia="Arial" w:cs="Arial"/>
              </w:rPr>
            </w:pPr>
          </w:p>
        </w:tc>
      </w:tr>
      <w:tr w:rsidR="00286052" w:rsidRPr="00420561" w14:paraId="623F10AE" w14:textId="77777777" w:rsidTr="006B0E8F">
        <w:trPr>
          <w:trHeight w:val="1651"/>
        </w:trPr>
        <w:tc>
          <w:tcPr>
            <w:tcW w:w="0" w:type="auto"/>
            <w:shd w:val="clear" w:color="auto" w:fill="F2F2F2" w:themeFill="background1" w:themeFillShade="F2"/>
          </w:tcPr>
          <w:p w14:paraId="3CB68AF8" w14:textId="26DA388F" w:rsidR="00286052" w:rsidRPr="00E66809" w:rsidRDefault="00286052" w:rsidP="00352D2D">
            <w:pPr>
              <w:spacing w:after="0" w:line="276" w:lineRule="auto"/>
              <w:jc w:val="both"/>
              <w:rPr>
                <w:rFonts w:eastAsia="Arial" w:cs="Calibri"/>
                <w:b/>
              </w:rPr>
            </w:pPr>
            <w:r w:rsidRPr="00E66809">
              <w:rPr>
                <w:rFonts w:eastAsia="Arial" w:cs="Calibri"/>
                <w:b/>
              </w:rPr>
              <w:t>3.2</w:t>
            </w:r>
            <w:r w:rsidR="002158EF">
              <w:rPr>
                <w:rFonts w:eastAsia="Arial" w:cs="Calibri"/>
                <w:b/>
              </w:rPr>
              <w:t>6</w:t>
            </w:r>
          </w:p>
        </w:tc>
        <w:tc>
          <w:tcPr>
            <w:tcW w:w="7837" w:type="dxa"/>
            <w:shd w:val="clear" w:color="auto" w:fill="F2F2F2" w:themeFill="background1" w:themeFillShade="F2"/>
          </w:tcPr>
          <w:p w14:paraId="41FE2316" w14:textId="77777777" w:rsidR="00286052" w:rsidRPr="00E66809" w:rsidRDefault="00286052">
            <w:pPr>
              <w:widowControl w:val="0"/>
              <w:tabs>
                <w:tab w:val="left" w:pos="0"/>
              </w:tabs>
              <w:overflowPunct w:val="0"/>
              <w:autoSpaceDE w:val="0"/>
              <w:autoSpaceDN w:val="0"/>
              <w:adjustRightInd w:val="0"/>
              <w:jc w:val="both"/>
              <w:rPr>
                <w:rFonts w:eastAsia="Arial" w:cs="Arial"/>
              </w:rPr>
            </w:pPr>
            <w:r w:rsidRPr="00E66809">
              <w:rPr>
                <w:rFonts w:eastAsia="Times New Roman" w:cs="Arial"/>
              </w:rPr>
              <w:t>Please confirm your Net Zero Target Date (e.g. 2050)</w:t>
            </w:r>
          </w:p>
        </w:tc>
        <w:tc>
          <w:tcPr>
            <w:tcW w:w="4734" w:type="dxa"/>
            <w:tcBorders>
              <w:top w:val="single" w:sz="6" w:space="0" w:color="000000"/>
              <w:bottom w:val="single" w:sz="6" w:space="0" w:color="000000"/>
            </w:tcBorders>
          </w:tcPr>
          <w:p w14:paraId="4D94D869" w14:textId="77777777" w:rsidR="00286052" w:rsidRPr="00E66809" w:rsidRDefault="00286052" w:rsidP="00352D2D">
            <w:pPr>
              <w:tabs>
                <w:tab w:val="left" w:pos="594"/>
              </w:tabs>
              <w:spacing w:after="0" w:line="276" w:lineRule="auto"/>
              <w:jc w:val="both"/>
              <w:rPr>
                <w:rFonts w:eastAsia="Arial" w:cs="Arial"/>
              </w:rPr>
            </w:pPr>
            <w:r w:rsidRPr="00E66809">
              <w:rPr>
                <w:rFonts w:eastAsia="Arial" w:cs="Arial"/>
              </w:rPr>
              <w:t>[Insert Date]</w:t>
            </w:r>
          </w:p>
        </w:tc>
      </w:tr>
      <w:tr w:rsidR="00286052" w:rsidRPr="00420561" w14:paraId="4979D629" w14:textId="77777777" w:rsidTr="006B0E8F">
        <w:trPr>
          <w:trHeight w:val="1651"/>
        </w:trPr>
        <w:tc>
          <w:tcPr>
            <w:tcW w:w="0" w:type="auto"/>
            <w:tcBorders>
              <w:bottom w:val="single" w:sz="6" w:space="0" w:color="000000"/>
            </w:tcBorders>
            <w:shd w:val="clear" w:color="auto" w:fill="F2F2F2" w:themeFill="background1" w:themeFillShade="F2"/>
          </w:tcPr>
          <w:p w14:paraId="286FC991" w14:textId="6F9DB3A9" w:rsidR="00286052" w:rsidRPr="00E66809" w:rsidRDefault="00286052">
            <w:pPr>
              <w:spacing w:after="0" w:line="276" w:lineRule="auto"/>
              <w:rPr>
                <w:rFonts w:eastAsia="Arial" w:cs="Calibri"/>
                <w:b/>
              </w:rPr>
            </w:pPr>
            <w:r w:rsidRPr="00E66809">
              <w:rPr>
                <w:rFonts w:eastAsia="Arial" w:cs="Calibri"/>
                <w:b/>
              </w:rPr>
              <w:lastRenderedPageBreak/>
              <w:t>3.2</w:t>
            </w:r>
            <w:r w:rsidR="002158EF">
              <w:rPr>
                <w:rFonts w:eastAsia="Arial" w:cs="Calibri"/>
                <w:b/>
              </w:rPr>
              <w:t>7</w:t>
            </w:r>
          </w:p>
        </w:tc>
        <w:tc>
          <w:tcPr>
            <w:tcW w:w="7837" w:type="dxa"/>
            <w:tcBorders>
              <w:bottom w:val="single" w:sz="6" w:space="0" w:color="000000"/>
            </w:tcBorders>
            <w:shd w:val="clear" w:color="auto" w:fill="F2F2F2" w:themeFill="background1" w:themeFillShade="F2"/>
          </w:tcPr>
          <w:p w14:paraId="639477CC" w14:textId="77777777" w:rsidR="00286052" w:rsidRPr="00E66809" w:rsidRDefault="00286052">
            <w:pPr>
              <w:spacing w:after="120"/>
              <w:rPr>
                <w:rFonts w:cs="Arial"/>
                <w:color w:val="000000"/>
              </w:rPr>
            </w:pPr>
            <w:r w:rsidRPr="00E66809">
              <w:rPr>
                <w:rFonts w:cs="Arial"/>
                <w:color w:val="000000"/>
              </w:rPr>
              <w:t>Please complete the following Supplier Emissions Declaration:</w:t>
            </w:r>
          </w:p>
          <w:p w14:paraId="51C4A8D2" w14:textId="77777777" w:rsidR="00286052" w:rsidRPr="00E66809" w:rsidRDefault="00286052">
            <w:pPr>
              <w:spacing w:after="120"/>
              <w:rPr>
                <w:rFonts w:eastAsia="Times New Roman" w:cs="Arial"/>
              </w:rPr>
            </w:pPr>
            <w:r w:rsidRPr="00E66809">
              <w:rPr>
                <w:rFonts w:eastAsia="Times New Roman" w:cs="Arial"/>
                <w:color w:val="000000"/>
              </w:rPr>
              <w:t xml:space="preserve">Baseline Year: </w:t>
            </w:r>
            <w:r w:rsidRPr="00E66809">
              <w:rPr>
                <w:rFonts w:eastAsia="Times New Roman" w:cs="Arial"/>
                <w:b/>
                <w:color w:val="000000"/>
              </w:rPr>
              <w:t>[Insert Year]</w:t>
            </w:r>
          </w:p>
          <w:p w14:paraId="008D66B8" w14:textId="77777777" w:rsidR="00286052" w:rsidRPr="00E66809" w:rsidRDefault="00286052">
            <w:pPr>
              <w:spacing w:after="120"/>
              <w:rPr>
                <w:rFonts w:eastAsia="Times New Roman" w:cs="Arial"/>
              </w:rPr>
            </w:pPr>
            <w:r w:rsidRPr="00E66809">
              <w:rPr>
                <w:rFonts w:eastAsia="Times New Roman" w:cs="Arial"/>
                <w:color w:val="000000"/>
              </w:rPr>
              <w:t>Scope 1:</w:t>
            </w:r>
            <w:r w:rsidRPr="00E66809">
              <w:rPr>
                <w:rFonts w:eastAsia="Times New Roman" w:cs="Arial"/>
                <w:b/>
                <w:color w:val="000000"/>
              </w:rPr>
              <w:t xml:space="preserve"> [Insert emissions (tCO2e)]</w:t>
            </w:r>
          </w:p>
          <w:p w14:paraId="4BAA5FEF" w14:textId="77777777" w:rsidR="00286052" w:rsidRPr="00E66809" w:rsidRDefault="00286052">
            <w:pPr>
              <w:spacing w:after="120"/>
              <w:rPr>
                <w:rFonts w:eastAsia="Times New Roman" w:cs="Arial"/>
              </w:rPr>
            </w:pPr>
            <w:r w:rsidRPr="00E66809">
              <w:rPr>
                <w:rFonts w:eastAsia="Times New Roman" w:cs="Arial"/>
                <w:color w:val="000000"/>
              </w:rPr>
              <w:t>Scope 2:</w:t>
            </w:r>
            <w:r w:rsidRPr="00E66809">
              <w:rPr>
                <w:rFonts w:eastAsia="Times New Roman" w:cs="Arial"/>
                <w:b/>
                <w:color w:val="000000"/>
              </w:rPr>
              <w:t xml:space="preserve"> [Insert emissions (tCO2e)]</w:t>
            </w:r>
          </w:p>
          <w:p w14:paraId="622F2B6A" w14:textId="77777777" w:rsidR="00286052" w:rsidRPr="00E66809" w:rsidRDefault="00286052">
            <w:pPr>
              <w:spacing w:after="120"/>
              <w:rPr>
                <w:rFonts w:eastAsia="Times New Roman" w:cs="Arial"/>
              </w:rPr>
            </w:pPr>
            <w:r w:rsidRPr="00E66809">
              <w:rPr>
                <w:rFonts w:eastAsia="Times New Roman" w:cs="Arial"/>
                <w:color w:val="000000"/>
              </w:rPr>
              <w:t xml:space="preserve">Scope 3: </w:t>
            </w:r>
            <w:r w:rsidRPr="00E66809">
              <w:rPr>
                <w:rFonts w:eastAsia="Times New Roman" w:cs="Arial"/>
                <w:b/>
                <w:color w:val="000000"/>
              </w:rPr>
              <w:t>[Insert emissions (tCO2e)]</w:t>
            </w:r>
          </w:p>
          <w:p w14:paraId="46A173C6" w14:textId="77777777" w:rsidR="00286052" w:rsidRPr="00E66809" w:rsidRDefault="00286052">
            <w:pPr>
              <w:spacing w:after="120"/>
              <w:rPr>
                <w:rFonts w:eastAsia="Times New Roman" w:cs="Arial"/>
              </w:rPr>
            </w:pPr>
          </w:p>
          <w:p w14:paraId="3AE34CD8" w14:textId="77777777" w:rsidR="00286052" w:rsidRPr="00E66809" w:rsidRDefault="00286052">
            <w:pPr>
              <w:spacing w:after="120"/>
              <w:rPr>
                <w:rFonts w:eastAsia="Times New Roman" w:cs="Arial"/>
              </w:rPr>
            </w:pPr>
            <w:r w:rsidRPr="00E66809">
              <w:rPr>
                <w:rFonts w:eastAsia="Times New Roman" w:cs="Arial"/>
                <w:color w:val="000000"/>
              </w:rPr>
              <w:t xml:space="preserve">Current/Most Recent Reporting Year: </w:t>
            </w:r>
            <w:r w:rsidRPr="00E66809">
              <w:rPr>
                <w:rFonts w:eastAsia="Times New Roman" w:cs="Arial"/>
                <w:b/>
                <w:color w:val="000000"/>
              </w:rPr>
              <w:t>[Insert Year]</w:t>
            </w:r>
          </w:p>
          <w:p w14:paraId="3D07D31C" w14:textId="77777777" w:rsidR="00286052" w:rsidRPr="00E66809" w:rsidRDefault="00286052">
            <w:pPr>
              <w:spacing w:after="120"/>
              <w:rPr>
                <w:rFonts w:eastAsia="Times New Roman" w:cs="Arial"/>
              </w:rPr>
            </w:pPr>
            <w:r w:rsidRPr="00E66809">
              <w:rPr>
                <w:rFonts w:eastAsia="Times New Roman" w:cs="Arial"/>
                <w:color w:val="000000"/>
              </w:rPr>
              <w:t>Scope 1:</w:t>
            </w:r>
            <w:r w:rsidRPr="00E66809">
              <w:rPr>
                <w:rFonts w:eastAsia="Times New Roman" w:cs="Arial"/>
                <w:b/>
                <w:color w:val="000000"/>
              </w:rPr>
              <w:t xml:space="preserve"> [Insert emissions (tCO2e)]</w:t>
            </w:r>
          </w:p>
          <w:p w14:paraId="703AAE70" w14:textId="77777777" w:rsidR="00286052" w:rsidRPr="00E66809" w:rsidRDefault="00286052">
            <w:pPr>
              <w:spacing w:after="120"/>
              <w:rPr>
                <w:rFonts w:eastAsia="Times New Roman" w:cs="Arial"/>
              </w:rPr>
            </w:pPr>
            <w:r w:rsidRPr="00E66809">
              <w:rPr>
                <w:rFonts w:eastAsia="Times New Roman" w:cs="Arial"/>
                <w:color w:val="000000"/>
              </w:rPr>
              <w:t>Scope 2:</w:t>
            </w:r>
            <w:r w:rsidRPr="00E66809">
              <w:rPr>
                <w:rFonts w:eastAsia="Times New Roman" w:cs="Arial"/>
                <w:b/>
                <w:color w:val="000000"/>
              </w:rPr>
              <w:t xml:space="preserve"> [Insert emissions (tCO2e)]</w:t>
            </w:r>
          </w:p>
          <w:p w14:paraId="1642F3A7" w14:textId="77777777" w:rsidR="00286052" w:rsidRPr="00E66809" w:rsidRDefault="00286052">
            <w:pPr>
              <w:widowControl w:val="0"/>
              <w:tabs>
                <w:tab w:val="left" w:pos="0"/>
              </w:tabs>
              <w:overflowPunct w:val="0"/>
              <w:autoSpaceDE w:val="0"/>
              <w:autoSpaceDN w:val="0"/>
              <w:adjustRightInd w:val="0"/>
              <w:jc w:val="both"/>
              <w:rPr>
                <w:rFonts w:eastAsia="Arial" w:cs="Arial"/>
              </w:rPr>
            </w:pPr>
            <w:r w:rsidRPr="00E66809">
              <w:rPr>
                <w:rFonts w:cs="Arial"/>
                <w:color w:val="000000"/>
              </w:rPr>
              <w:t xml:space="preserve">Scope 3: </w:t>
            </w:r>
            <w:r w:rsidRPr="00E66809">
              <w:rPr>
                <w:rFonts w:cs="Arial"/>
                <w:b/>
                <w:color w:val="000000"/>
              </w:rPr>
              <w:t>[Insert emissions (tCO2e)]</w:t>
            </w:r>
          </w:p>
        </w:tc>
        <w:tc>
          <w:tcPr>
            <w:tcW w:w="4734" w:type="dxa"/>
            <w:tcBorders>
              <w:top w:val="single" w:sz="6" w:space="0" w:color="000000"/>
              <w:bottom w:val="single" w:sz="6" w:space="0" w:color="000000"/>
            </w:tcBorders>
          </w:tcPr>
          <w:p w14:paraId="218A15FA" w14:textId="77777777" w:rsidR="00286052" w:rsidRPr="00E66809" w:rsidRDefault="00286052">
            <w:pPr>
              <w:tabs>
                <w:tab w:val="left" w:pos="594"/>
              </w:tabs>
              <w:spacing w:after="0" w:line="276" w:lineRule="auto"/>
              <w:rPr>
                <w:rFonts w:eastAsia="Arial" w:cs="Arial"/>
              </w:rPr>
            </w:pPr>
          </w:p>
        </w:tc>
      </w:tr>
    </w:tbl>
    <w:p w14:paraId="6219C187" w14:textId="77777777" w:rsidR="00286052" w:rsidRPr="00E66809" w:rsidRDefault="00286052" w:rsidP="00286052">
      <w:pPr>
        <w:spacing w:after="0" w:line="276" w:lineRule="auto"/>
        <w:ind w:firstLine="720"/>
        <w:rPr>
          <w:rFonts w:eastAsia="Times New Roman" w:cs="Calibri"/>
        </w:rPr>
      </w:pPr>
    </w:p>
    <w:p w14:paraId="112241B2" w14:textId="77777777" w:rsidR="00286052" w:rsidRPr="00E66809" w:rsidRDefault="00286052" w:rsidP="00286052">
      <w:pPr>
        <w:pageBreakBefore/>
        <w:spacing w:after="0" w:line="276" w:lineRule="auto"/>
        <w:rPr>
          <w:rFonts w:eastAsia="Arial" w:cs="Calibri"/>
          <w:b/>
        </w:rPr>
      </w:pPr>
      <w:r w:rsidRPr="00E66809">
        <w:rPr>
          <w:rFonts w:eastAsia="Arial" w:cs="Calibri"/>
          <w:b/>
        </w:rPr>
        <w:lastRenderedPageBreak/>
        <w:t>Tackling Modern Slavery in Supply Chains</w:t>
      </w:r>
    </w:p>
    <w:p w14:paraId="6A3F017C" w14:textId="77777777" w:rsidR="00286052" w:rsidRPr="00E66809" w:rsidRDefault="00286052" w:rsidP="00286052">
      <w:pPr>
        <w:spacing w:after="0" w:line="276" w:lineRule="auto"/>
        <w:rPr>
          <w:rFonts w:eastAsia="Arial" w:cs="Calibri"/>
          <w:b/>
        </w:rPr>
      </w:pPr>
      <w:r w:rsidRPr="00E66809">
        <w:rPr>
          <w:rFonts w:eastAsia="Times New Roman" w:cs="Calibri"/>
        </w:rPr>
        <w:t xml:space="preserve">Please see </w:t>
      </w:r>
      <w:hyperlink r:id="rId26" w:history="1">
        <w:r w:rsidRPr="00E66809">
          <w:rPr>
            <w:rStyle w:val="Hyperlink"/>
            <w:rFonts w:cs="Arial"/>
            <w:color w:val="auto"/>
          </w:rPr>
          <w:t>PPN 009: Tackling Modern Slavery in Supply Chains (HTML) - GOV.UK</w:t>
        </w:r>
      </w:hyperlink>
      <w:r w:rsidRPr="00E66809">
        <w:rPr>
          <w:rStyle w:val="eop"/>
          <w:rFonts w:cs="Arial"/>
        </w:rPr>
        <w:t> for further information.</w:t>
      </w:r>
    </w:p>
    <w:p w14:paraId="0E28D841" w14:textId="77777777" w:rsidR="00286052" w:rsidRPr="00E66809" w:rsidRDefault="00286052" w:rsidP="00286052">
      <w:pPr>
        <w:spacing w:after="0" w:line="276" w:lineRule="auto"/>
        <w:ind w:firstLine="720"/>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756"/>
        <w:gridCol w:w="4065"/>
      </w:tblGrid>
      <w:tr w:rsidR="00286052" w:rsidRPr="001439F7" w14:paraId="1535E7E9" w14:textId="77777777" w:rsidTr="006B0E8F">
        <w:tc>
          <w:tcPr>
            <w:tcW w:w="0" w:type="auto"/>
            <w:tcBorders>
              <w:top w:val="single" w:sz="6" w:space="0" w:color="000000" w:themeColor="text1"/>
              <w:bottom w:val="single" w:sz="6" w:space="0" w:color="000000" w:themeColor="text1"/>
            </w:tcBorders>
            <w:shd w:val="clear" w:color="auto" w:fill="009999"/>
          </w:tcPr>
          <w:p w14:paraId="4FFCDFCC"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756" w:type="dxa"/>
            <w:tcBorders>
              <w:top w:val="single" w:sz="6" w:space="0" w:color="000000" w:themeColor="text1"/>
              <w:bottom w:val="single" w:sz="6" w:space="0" w:color="000000" w:themeColor="text1"/>
            </w:tcBorders>
            <w:shd w:val="clear" w:color="auto" w:fill="009999"/>
          </w:tcPr>
          <w:p w14:paraId="33227911"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065" w:type="dxa"/>
            <w:tcBorders>
              <w:top w:val="single" w:sz="6" w:space="0" w:color="000000" w:themeColor="text1"/>
              <w:bottom w:val="single" w:sz="6" w:space="0" w:color="000000" w:themeColor="text1"/>
            </w:tcBorders>
            <w:shd w:val="clear" w:color="auto" w:fill="009999"/>
          </w:tcPr>
          <w:p w14:paraId="4C8B407D"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814891" w:rsidRPr="00420561" w14:paraId="45099827" w14:textId="77777777" w:rsidTr="006B0E8F">
        <w:trPr>
          <w:trHeight w:val="1651"/>
        </w:trPr>
        <w:tc>
          <w:tcPr>
            <w:tcW w:w="0" w:type="auto"/>
            <w:shd w:val="clear" w:color="auto" w:fill="F2F2F2" w:themeFill="background1" w:themeFillShade="F2"/>
          </w:tcPr>
          <w:p w14:paraId="7C62B57D" w14:textId="41162279" w:rsidR="00814891" w:rsidRPr="00814891" w:rsidRDefault="00FF18FC" w:rsidP="00352D2D">
            <w:pPr>
              <w:spacing w:after="0" w:line="276" w:lineRule="auto"/>
              <w:jc w:val="both"/>
              <w:rPr>
                <w:rFonts w:eastAsia="Arial" w:cs="Arial"/>
                <w:b/>
              </w:rPr>
            </w:pPr>
            <w:r>
              <w:rPr>
                <w:rFonts w:eastAsia="Arial" w:cs="Arial"/>
                <w:b/>
              </w:rPr>
              <w:t>3.2</w:t>
            </w:r>
            <w:r w:rsidR="002158EF">
              <w:rPr>
                <w:rFonts w:eastAsia="Arial" w:cs="Arial"/>
                <w:b/>
              </w:rPr>
              <w:t>8</w:t>
            </w:r>
          </w:p>
        </w:tc>
        <w:tc>
          <w:tcPr>
            <w:tcW w:w="7756" w:type="dxa"/>
            <w:shd w:val="clear" w:color="auto" w:fill="F2F2F2" w:themeFill="background1" w:themeFillShade="F2"/>
          </w:tcPr>
          <w:p w14:paraId="107227DB" w14:textId="77777777" w:rsidR="00814891" w:rsidRDefault="00A64D99" w:rsidP="00352D2D">
            <w:pPr>
              <w:widowControl w:val="0"/>
              <w:spacing w:after="0" w:line="276" w:lineRule="auto"/>
              <w:jc w:val="both"/>
              <w:rPr>
                <w:rFonts w:eastAsia="Times New Roman" w:cs="Arial"/>
              </w:rPr>
            </w:pPr>
            <w:r w:rsidRPr="00814891">
              <w:rPr>
                <w:rFonts w:eastAsia="Times New Roman" w:cs="Arial"/>
              </w:rPr>
              <w:t>Please confirm that your organisation is ‘a relevant commercial organisation</w:t>
            </w:r>
            <w:r w:rsidR="00EE1ADF">
              <w:rPr>
                <w:rFonts w:eastAsia="Times New Roman" w:cs="Arial"/>
              </w:rPr>
              <w:t>’* for the purposes of the Modern Slavery Act 2015</w:t>
            </w:r>
            <w:r w:rsidR="00DA283E">
              <w:rPr>
                <w:rFonts w:eastAsia="Times New Roman" w:cs="Arial"/>
              </w:rPr>
              <w:t>.</w:t>
            </w:r>
          </w:p>
          <w:p w14:paraId="30057507" w14:textId="77777777" w:rsidR="00DA283E" w:rsidRDefault="00DA283E" w:rsidP="00352D2D">
            <w:pPr>
              <w:widowControl w:val="0"/>
              <w:spacing w:after="0" w:line="276" w:lineRule="auto"/>
              <w:jc w:val="both"/>
              <w:rPr>
                <w:rFonts w:eastAsia="Times New Roman" w:cs="Arial"/>
              </w:rPr>
            </w:pPr>
          </w:p>
          <w:p w14:paraId="71D97A83" w14:textId="2B54A901" w:rsidR="00DA283E" w:rsidRPr="00E66809" w:rsidRDefault="00DA283E" w:rsidP="00352D2D">
            <w:pPr>
              <w:pStyle w:val="NormalWeb"/>
              <w:spacing w:before="0" w:beforeAutospacing="0" w:after="120" w:afterAutospacing="0"/>
              <w:jc w:val="both"/>
              <w:rPr>
                <w:rFonts w:cs="Arial"/>
                <w:i/>
                <w:color w:val="222222"/>
              </w:rPr>
            </w:pPr>
            <w:r w:rsidRPr="00814891">
              <w:rPr>
                <w:rFonts w:ascii="Arial" w:hAnsi="Arial" w:cs="Arial"/>
                <w:i/>
                <w:color w:val="222222"/>
                <w:sz w:val="22"/>
                <w:szCs w:val="22"/>
              </w:rPr>
              <w:t>*‘Relevant commercial organisations’ are defined as commercial organisations that carry on a business or part of business in the UK, supply goods or services and have an annual turnover of £36 million or more.</w:t>
            </w:r>
          </w:p>
        </w:tc>
        <w:tc>
          <w:tcPr>
            <w:tcW w:w="4065" w:type="dxa"/>
            <w:tcBorders>
              <w:top w:val="single" w:sz="6" w:space="0" w:color="000000" w:themeColor="text1"/>
              <w:bottom w:val="single" w:sz="6" w:space="0" w:color="000000" w:themeColor="text1"/>
            </w:tcBorders>
          </w:tcPr>
          <w:p w14:paraId="15723E83" w14:textId="77777777" w:rsidR="00DA283E" w:rsidRPr="00814891" w:rsidRDefault="00DA283E" w:rsidP="00352D2D">
            <w:pPr>
              <w:tabs>
                <w:tab w:val="left" w:pos="591"/>
              </w:tabs>
              <w:spacing w:after="0" w:line="276" w:lineRule="auto"/>
              <w:jc w:val="both"/>
              <w:rPr>
                <w:rFonts w:eastAsia="Times New Roman" w:cs="Calibri"/>
              </w:rPr>
            </w:pPr>
            <w:r w:rsidRPr="00814891">
              <w:rPr>
                <w:rFonts w:eastAsia="Arial" w:cs="Calibri"/>
              </w:rPr>
              <w:t xml:space="preserve">Yes </w:t>
            </w:r>
            <w:r w:rsidRPr="00814891">
              <w:rPr>
                <w:rFonts w:eastAsia="Arial" w:cs="Calibri"/>
              </w:rPr>
              <w:tab/>
            </w:r>
            <w:r w:rsidRPr="00B57D96">
              <w:rPr>
                <w:rFonts w:eastAsia="Times New Roman" w:cs="Calibri"/>
              </w:rPr>
              <w:fldChar w:fldCharType="begin">
                <w:ffData>
                  <w:name w:val="Check1"/>
                  <w:enabled/>
                  <w:calcOnExit w:val="0"/>
                  <w:checkBox>
                    <w:sizeAuto/>
                    <w:default w:val="0"/>
                  </w:checkBox>
                </w:ffData>
              </w:fldChar>
            </w:r>
            <w:r w:rsidRPr="00814891">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B57D96">
              <w:rPr>
                <w:rFonts w:eastAsia="Times New Roman" w:cs="Calibri"/>
              </w:rPr>
              <w:fldChar w:fldCharType="end"/>
            </w:r>
          </w:p>
          <w:p w14:paraId="3F3DE867" w14:textId="5AD4E27B" w:rsidR="00814891" w:rsidRPr="00814891" w:rsidRDefault="00DA283E" w:rsidP="00352D2D">
            <w:pPr>
              <w:tabs>
                <w:tab w:val="left" w:pos="591"/>
              </w:tabs>
              <w:spacing w:after="0" w:line="276" w:lineRule="auto"/>
              <w:jc w:val="both"/>
              <w:rPr>
                <w:rFonts w:eastAsia="Arial" w:cs="Calibri"/>
              </w:rPr>
            </w:pPr>
            <w:r w:rsidRPr="00814891">
              <w:rPr>
                <w:rFonts w:eastAsia="Arial" w:cs="Calibri"/>
              </w:rPr>
              <w:t xml:space="preserve">No </w:t>
            </w:r>
            <w:r w:rsidRPr="00814891">
              <w:rPr>
                <w:rFonts w:eastAsia="Arial" w:cs="Calibri"/>
              </w:rPr>
              <w:tab/>
            </w:r>
            <w:r w:rsidRPr="00B57D96">
              <w:rPr>
                <w:rFonts w:eastAsia="Times New Roman" w:cs="Calibri"/>
              </w:rPr>
              <w:fldChar w:fldCharType="begin">
                <w:ffData>
                  <w:name w:val="Check1"/>
                  <w:enabled/>
                  <w:calcOnExit w:val="0"/>
                  <w:checkBox>
                    <w:sizeAuto/>
                    <w:default w:val="0"/>
                  </w:checkBox>
                </w:ffData>
              </w:fldChar>
            </w:r>
            <w:r w:rsidRPr="00814891">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B57D96">
              <w:rPr>
                <w:rFonts w:eastAsia="Times New Roman" w:cs="Calibri"/>
              </w:rPr>
              <w:fldChar w:fldCharType="end"/>
            </w:r>
          </w:p>
        </w:tc>
      </w:tr>
      <w:tr w:rsidR="00C869EB" w:rsidRPr="00420561" w14:paraId="11E7970C" w14:textId="77777777" w:rsidTr="006B0E8F">
        <w:trPr>
          <w:trHeight w:val="978"/>
        </w:trPr>
        <w:tc>
          <w:tcPr>
            <w:tcW w:w="0" w:type="auto"/>
            <w:vMerge w:val="restart"/>
            <w:shd w:val="clear" w:color="auto" w:fill="F2F2F2" w:themeFill="background1" w:themeFillShade="F2"/>
          </w:tcPr>
          <w:p w14:paraId="500E89B8" w14:textId="65E5B792" w:rsidR="00C869EB" w:rsidRPr="00814891" w:rsidRDefault="00C869EB" w:rsidP="00352D2D">
            <w:pPr>
              <w:spacing w:after="0" w:line="276" w:lineRule="auto"/>
              <w:jc w:val="both"/>
              <w:rPr>
                <w:rFonts w:eastAsia="Arial" w:cs="Arial"/>
                <w:b/>
              </w:rPr>
            </w:pPr>
            <w:r w:rsidRPr="00814891">
              <w:rPr>
                <w:rFonts w:eastAsia="Arial" w:cs="Arial"/>
                <w:b/>
              </w:rPr>
              <w:t>3.</w:t>
            </w:r>
            <w:r w:rsidRPr="00814891" w:rsidDel="00FF18FC">
              <w:rPr>
                <w:rFonts w:eastAsia="Arial" w:cs="Arial"/>
                <w:b/>
              </w:rPr>
              <w:t>29</w:t>
            </w:r>
          </w:p>
        </w:tc>
        <w:tc>
          <w:tcPr>
            <w:tcW w:w="7756" w:type="dxa"/>
            <w:vMerge w:val="restart"/>
            <w:shd w:val="clear" w:color="auto" w:fill="F2F2F2" w:themeFill="background1" w:themeFillShade="F2"/>
          </w:tcPr>
          <w:p w14:paraId="58C63AE6" w14:textId="4166E455" w:rsidR="00C869EB" w:rsidRPr="00814891" w:rsidRDefault="00C869EB" w:rsidP="00352D2D">
            <w:pPr>
              <w:widowControl w:val="0"/>
              <w:spacing w:after="0" w:line="276" w:lineRule="auto"/>
              <w:jc w:val="both"/>
              <w:rPr>
                <w:rFonts w:eastAsia="Times New Roman" w:cs="Arial"/>
              </w:rPr>
            </w:pPr>
            <w:r>
              <w:rPr>
                <w:rFonts w:eastAsia="Times New Roman" w:cs="Arial"/>
              </w:rPr>
              <w:t>If you have answered ‘Yes’ to question 3.2</w:t>
            </w:r>
            <w:r w:rsidR="002158EF">
              <w:rPr>
                <w:rFonts w:eastAsia="Times New Roman" w:cs="Arial"/>
              </w:rPr>
              <w:t>8</w:t>
            </w:r>
            <w:r>
              <w:rPr>
                <w:rFonts w:eastAsia="Times New Roman" w:cs="Arial"/>
              </w:rPr>
              <w:t>, p</w:t>
            </w:r>
            <w:r w:rsidRPr="00814891">
              <w:rPr>
                <w:rFonts w:eastAsia="Times New Roman" w:cs="Arial"/>
              </w:rPr>
              <w:t xml:space="preserve">lease confirm that your organisation </w:t>
            </w:r>
            <w:r w:rsidRPr="00814891" w:rsidDel="00B803A2">
              <w:rPr>
                <w:rFonts w:eastAsia="Times New Roman" w:cs="Arial"/>
              </w:rPr>
              <w:t xml:space="preserve">is </w:t>
            </w:r>
            <w:r w:rsidRPr="00814891">
              <w:rPr>
                <w:rFonts w:eastAsia="Times New Roman" w:cs="Arial"/>
              </w:rPr>
              <w:t>compliant with the requirements contained within section 54 of the Modern Slavery Act 2015 and associated guidance</w:t>
            </w:r>
            <w:r>
              <w:rPr>
                <w:rFonts w:eastAsia="Times New Roman" w:cs="Arial"/>
              </w:rPr>
              <w:t>,</w:t>
            </w:r>
            <w:r w:rsidRPr="00814891">
              <w:rPr>
                <w:rFonts w:eastAsia="Times New Roman" w:cs="Arial"/>
              </w:rPr>
              <w:t xml:space="preserve"> and </w:t>
            </w:r>
            <w:r>
              <w:rPr>
                <w:rFonts w:eastAsia="Times New Roman" w:cs="Arial"/>
              </w:rPr>
              <w:t>your Modern Slavery Statement</w:t>
            </w:r>
            <w:r w:rsidRPr="00814891">
              <w:rPr>
                <w:rFonts w:eastAsia="Times New Roman" w:cs="Arial"/>
              </w:rPr>
              <w:t xml:space="preserve"> includes information relating to: </w:t>
            </w:r>
          </w:p>
          <w:p w14:paraId="47CE6857" w14:textId="77777777" w:rsidR="00C869EB" w:rsidRPr="00814891" w:rsidRDefault="00C869EB" w:rsidP="00AD19D7">
            <w:pPr>
              <w:pStyle w:val="ListParagraph"/>
              <w:widowControl w:val="0"/>
              <w:numPr>
                <w:ilvl w:val="0"/>
                <w:numId w:val="50"/>
              </w:numPr>
              <w:spacing w:after="0" w:line="276" w:lineRule="auto"/>
              <w:jc w:val="both"/>
              <w:rPr>
                <w:rFonts w:eastAsia="Times New Roman" w:cs="Arial"/>
              </w:rPr>
            </w:pPr>
            <w:r w:rsidRPr="00814891">
              <w:rPr>
                <w:rFonts w:eastAsia="Times New Roman" w:cs="Arial"/>
              </w:rPr>
              <w:t xml:space="preserve">the organisation’s structure, its business and its supply chains </w:t>
            </w:r>
          </w:p>
          <w:p w14:paraId="5485A2D4" w14:textId="77777777" w:rsidR="00C869EB" w:rsidRPr="00814891" w:rsidRDefault="00C869EB" w:rsidP="00AD19D7">
            <w:pPr>
              <w:pStyle w:val="ListParagraph"/>
              <w:widowControl w:val="0"/>
              <w:numPr>
                <w:ilvl w:val="0"/>
                <w:numId w:val="50"/>
              </w:numPr>
              <w:spacing w:after="0" w:line="276" w:lineRule="auto"/>
              <w:jc w:val="both"/>
              <w:rPr>
                <w:rFonts w:eastAsia="Times New Roman" w:cs="Arial"/>
              </w:rPr>
            </w:pPr>
            <w:r w:rsidRPr="00814891">
              <w:rPr>
                <w:rFonts w:eastAsia="Times New Roman" w:cs="Arial"/>
              </w:rPr>
              <w:t xml:space="preserve">its policies in relation to slavery and human </w:t>
            </w:r>
            <w:proofErr w:type="gramStart"/>
            <w:r w:rsidRPr="00814891">
              <w:rPr>
                <w:rFonts w:eastAsia="Times New Roman" w:cs="Arial"/>
              </w:rPr>
              <w:t>trafficking;</w:t>
            </w:r>
            <w:proofErr w:type="gramEnd"/>
            <w:r w:rsidRPr="00814891">
              <w:rPr>
                <w:rFonts w:eastAsia="Times New Roman" w:cs="Arial"/>
              </w:rPr>
              <w:t xml:space="preserve"> </w:t>
            </w:r>
          </w:p>
          <w:p w14:paraId="25C474F6" w14:textId="77777777" w:rsidR="00C869EB" w:rsidRPr="00814891" w:rsidRDefault="00C869EB" w:rsidP="00AD19D7">
            <w:pPr>
              <w:pStyle w:val="ListParagraph"/>
              <w:widowControl w:val="0"/>
              <w:numPr>
                <w:ilvl w:val="0"/>
                <w:numId w:val="50"/>
              </w:numPr>
              <w:spacing w:after="0" w:line="276" w:lineRule="auto"/>
              <w:jc w:val="both"/>
              <w:rPr>
                <w:rFonts w:eastAsia="Times New Roman" w:cs="Arial"/>
              </w:rPr>
            </w:pPr>
            <w:r w:rsidRPr="00814891">
              <w:rPr>
                <w:rFonts w:eastAsia="Times New Roman" w:cs="Arial"/>
              </w:rPr>
              <w:t xml:space="preserve">its due diligence processes in relation to slavery and human trafficking in its business and supply </w:t>
            </w:r>
            <w:proofErr w:type="gramStart"/>
            <w:r w:rsidRPr="00814891">
              <w:rPr>
                <w:rFonts w:eastAsia="Times New Roman" w:cs="Arial"/>
              </w:rPr>
              <w:t>chains;</w:t>
            </w:r>
            <w:proofErr w:type="gramEnd"/>
            <w:r w:rsidRPr="00814891">
              <w:rPr>
                <w:rFonts w:eastAsia="Times New Roman" w:cs="Arial"/>
              </w:rPr>
              <w:t xml:space="preserve"> </w:t>
            </w:r>
          </w:p>
          <w:p w14:paraId="7CC7C1F4" w14:textId="77777777" w:rsidR="00C869EB" w:rsidRPr="00814891" w:rsidRDefault="00C869EB" w:rsidP="00AD19D7">
            <w:pPr>
              <w:pStyle w:val="ListParagraph"/>
              <w:widowControl w:val="0"/>
              <w:numPr>
                <w:ilvl w:val="0"/>
                <w:numId w:val="50"/>
              </w:numPr>
              <w:spacing w:after="0" w:line="276" w:lineRule="auto"/>
              <w:jc w:val="both"/>
              <w:rPr>
                <w:rFonts w:eastAsia="Times New Roman" w:cs="Arial"/>
              </w:rPr>
            </w:pPr>
            <w:r w:rsidRPr="00814891">
              <w:rPr>
                <w:rFonts w:eastAsia="Times New Roman" w:cs="Arial"/>
              </w:rPr>
              <w:t xml:space="preserve">the parts of its business and supply chains where there is a risk of slavery and human trafficking taking place, and the steps it has taken to assess and manage that </w:t>
            </w:r>
            <w:proofErr w:type="gramStart"/>
            <w:r w:rsidRPr="00814891">
              <w:rPr>
                <w:rFonts w:eastAsia="Times New Roman" w:cs="Arial"/>
              </w:rPr>
              <w:t>risk;</w:t>
            </w:r>
            <w:proofErr w:type="gramEnd"/>
            <w:r w:rsidRPr="00814891">
              <w:rPr>
                <w:rFonts w:eastAsia="Times New Roman" w:cs="Arial"/>
              </w:rPr>
              <w:t xml:space="preserve"> </w:t>
            </w:r>
          </w:p>
          <w:p w14:paraId="16689D83" w14:textId="77777777" w:rsidR="00C869EB" w:rsidRPr="00814891" w:rsidRDefault="00C869EB" w:rsidP="00AD19D7">
            <w:pPr>
              <w:pStyle w:val="ListParagraph"/>
              <w:widowControl w:val="0"/>
              <w:numPr>
                <w:ilvl w:val="0"/>
                <w:numId w:val="50"/>
              </w:numPr>
              <w:spacing w:after="0" w:line="276" w:lineRule="auto"/>
              <w:jc w:val="both"/>
              <w:rPr>
                <w:rFonts w:eastAsia="Times New Roman" w:cs="Arial"/>
              </w:rPr>
            </w:pPr>
            <w:r w:rsidRPr="00814891">
              <w:rPr>
                <w:rFonts w:eastAsia="Times New Roman" w:cs="Arial"/>
              </w:rPr>
              <w:t xml:space="preserve">its effectiveness in ensuring that slavery and human trafficking is not taking place in its business or supply chains, measured against such performance indicators as it considers appropriate; and </w:t>
            </w:r>
          </w:p>
          <w:p w14:paraId="466F6569" w14:textId="15207F7A" w:rsidR="00C869EB" w:rsidRPr="00814891" w:rsidRDefault="00C869EB" w:rsidP="00AD19D7">
            <w:pPr>
              <w:pStyle w:val="ListParagraph"/>
              <w:widowControl w:val="0"/>
              <w:numPr>
                <w:ilvl w:val="0"/>
                <w:numId w:val="50"/>
              </w:numPr>
              <w:spacing w:after="0" w:line="276" w:lineRule="auto"/>
              <w:jc w:val="both"/>
              <w:rPr>
                <w:rFonts w:eastAsia="Times New Roman" w:cs="Arial"/>
              </w:rPr>
            </w:pPr>
            <w:r w:rsidRPr="00814891">
              <w:rPr>
                <w:rFonts w:eastAsia="Times New Roman" w:cs="Arial"/>
              </w:rPr>
              <w:t xml:space="preserve">the training and capacity building about slavery and human trafficking available to its staff. </w:t>
            </w:r>
          </w:p>
          <w:p w14:paraId="165B7E82" w14:textId="45F24EDA" w:rsidR="00C869EB" w:rsidRPr="00814891" w:rsidRDefault="00C869EB" w:rsidP="00352D2D">
            <w:pPr>
              <w:pStyle w:val="NormalWeb"/>
              <w:spacing w:before="0" w:beforeAutospacing="0" w:after="120" w:afterAutospacing="0"/>
              <w:jc w:val="both"/>
              <w:rPr>
                <w:rFonts w:ascii="Arial" w:hAnsi="Arial" w:cs="Arial"/>
                <w:i/>
                <w:color w:val="222222"/>
                <w:sz w:val="22"/>
                <w:szCs w:val="22"/>
              </w:rPr>
            </w:pPr>
          </w:p>
          <w:p w14:paraId="01A9F1FF" w14:textId="3BC0E944" w:rsidR="00C869EB" w:rsidRDefault="00F57CE6" w:rsidP="00352D2D">
            <w:pPr>
              <w:pStyle w:val="NormalWeb"/>
              <w:spacing w:before="0" w:beforeAutospacing="0" w:after="120" w:afterAutospacing="0"/>
              <w:jc w:val="both"/>
              <w:rPr>
                <w:rFonts w:ascii="Arial" w:hAnsi="Arial" w:cs="Arial"/>
                <w:b/>
                <w:color w:val="222222"/>
                <w:sz w:val="22"/>
                <w:szCs w:val="22"/>
              </w:rPr>
            </w:pPr>
            <w:r>
              <w:rPr>
                <w:rFonts w:ascii="Arial" w:hAnsi="Arial" w:cs="Arial"/>
                <w:color w:val="222222"/>
                <w:sz w:val="22"/>
                <w:szCs w:val="22"/>
              </w:rPr>
              <w:t>If you have</w:t>
            </w:r>
            <w:r w:rsidR="00C869EB" w:rsidRPr="00814891">
              <w:rPr>
                <w:rFonts w:ascii="Arial" w:hAnsi="Arial" w:cs="Arial"/>
                <w:color w:val="222222"/>
                <w:sz w:val="22"/>
                <w:szCs w:val="22"/>
              </w:rPr>
              <w:t xml:space="preserve"> answer</w:t>
            </w:r>
            <w:r>
              <w:rPr>
                <w:rFonts w:ascii="Arial" w:hAnsi="Arial" w:cs="Arial"/>
                <w:color w:val="222222"/>
                <w:sz w:val="22"/>
                <w:szCs w:val="22"/>
              </w:rPr>
              <w:t>ed</w:t>
            </w:r>
            <w:r w:rsidR="00C869EB" w:rsidRPr="00814891">
              <w:rPr>
                <w:rFonts w:ascii="Arial" w:hAnsi="Arial" w:cs="Arial"/>
                <w:color w:val="222222"/>
                <w:sz w:val="22"/>
                <w:szCs w:val="22"/>
              </w:rPr>
              <w:t xml:space="preserve"> “No” to this question, please </w:t>
            </w:r>
            <w:r w:rsidR="00356288">
              <w:rPr>
                <w:rFonts w:ascii="Arial" w:hAnsi="Arial" w:cs="Arial"/>
                <w:color w:val="222222"/>
                <w:sz w:val="22"/>
                <w:szCs w:val="22"/>
              </w:rPr>
              <w:t xml:space="preserve">provide an explanation as to why this is the case </w:t>
            </w:r>
            <w:r w:rsidR="00020576">
              <w:rPr>
                <w:rFonts w:ascii="Arial" w:hAnsi="Arial" w:cs="Arial"/>
                <w:color w:val="222222"/>
                <w:sz w:val="22"/>
                <w:szCs w:val="22"/>
              </w:rPr>
              <w:t>and assurance that you will be able to demonstrate compliance in advance of contract award.</w:t>
            </w:r>
          </w:p>
          <w:p w14:paraId="4F110DCD" w14:textId="77F749CB" w:rsidR="00C04E2C" w:rsidRPr="00762795" w:rsidRDefault="00252BC5" w:rsidP="00762795">
            <w:pPr>
              <w:pStyle w:val="NormalWeb"/>
              <w:spacing w:before="0" w:beforeAutospacing="0" w:after="120" w:afterAutospacing="0"/>
              <w:jc w:val="both"/>
              <w:rPr>
                <w:rFonts w:ascii="Arial" w:hAnsi="Arial" w:cs="Arial"/>
                <w:color w:val="222222"/>
                <w:sz w:val="22"/>
                <w:szCs w:val="22"/>
              </w:rPr>
            </w:pPr>
            <w:r w:rsidRPr="00E66809">
              <w:rPr>
                <w:rFonts w:ascii="Arial" w:hAnsi="Arial" w:cs="Arial"/>
                <w:color w:val="222222"/>
                <w:sz w:val="22"/>
                <w:szCs w:val="22"/>
              </w:rPr>
              <w:lastRenderedPageBreak/>
              <w:t>If you have answered ‘No’ to question 3.</w:t>
            </w:r>
            <w:r w:rsidRPr="00E66809">
              <w:rPr>
                <w:rFonts w:ascii="Arial" w:hAnsi="Arial" w:cs="Arial"/>
                <w:bCs/>
                <w:color w:val="222222"/>
                <w:sz w:val="22"/>
                <w:szCs w:val="22"/>
              </w:rPr>
              <w:t>2</w:t>
            </w:r>
            <w:r w:rsidR="002158EF">
              <w:rPr>
                <w:rFonts w:ascii="Arial" w:hAnsi="Arial" w:cs="Arial"/>
                <w:bCs/>
                <w:color w:val="222222"/>
                <w:sz w:val="22"/>
                <w:szCs w:val="22"/>
              </w:rPr>
              <w:t>8</w:t>
            </w:r>
            <w:r w:rsidRPr="00E66809">
              <w:rPr>
                <w:rFonts w:ascii="Arial" w:hAnsi="Arial" w:cs="Arial"/>
                <w:color w:val="222222"/>
                <w:sz w:val="22"/>
                <w:szCs w:val="22"/>
              </w:rPr>
              <w:t>, please respond ‘N/A’ to this question.</w:t>
            </w:r>
          </w:p>
        </w:tc>
        <w:tc>
          <w:tcPr>
            <w:tcW w:w="4065" w:type="dxa"/>
            <w:tcBorders>
              <w:top w:val="single" w:sz="6" w:space="0" w:color="000000" w:themeColor="text1"/>
              <w:bottom w:val="single" w:sz="6" w:space="0" w:color="000000" w:themeColor="text1"/>
            </w:tcBorders>
          </w:tcPr>
          <w:p w14:paraId="5C4B63BD" w14:textId="77777777" w:rsidR="00C869EB" w:rsidRPr="00814891" w:rsidRDefault="00C869EB" w:rsidP="00352D2D">
            <w:pPr>
              <w:tabs>
                <w:tab w:val="left" w:pos="591"/>
              </w:tabs>
              <w:spacing w:after="0" w:line="276" w:lineRule="auto"/>
              <w:jc w:val="both"/>
              <w:rPr>
                <w:rFonts w:eastAsia="Times New Roman" w:cs="Calibri"/>
              </w:rPr>
            </w:pPr>
            <w:r w:rsidRPr="00814891">
              <w:rPr>
                <w:rFonts w:eastAsia="Arial" w:cs="Calibri"/>
              </w:rPr>
              <w:lastRenderedPageBreak/>
              <w:t xml:space="preserve">Yes </w:t>
            </w:r>
            <w:r w:rsidRPr="00814891">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814891">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32FDD5FB" w14:textId="77777777" w:rsidR="00C869EB" w:rsidRDefault="00C869EB" w:rsidP="00352D2D">
            <w:pPr>
              <w:tabs>
                <w:tab w:val="left" w:pos="594"/>
              </w:tabs>
              <w:spacing w:after="0" w:line="276" w:lineRule="auto"/>
              <w:jc w:val="both"/>
              <w:rPr>
                <w:rFonts w:eastAsia="Times New Roman" w:cs="Calibri"/>
              </w:rPr>
            </w:pPr>
            <w:r w:rsidRPr="00814891">
              <w:rPr>
                <w:rFonts w:eastAsia="Arial" w:cs="Calibri"/>
              </w:rPr>
              <w:t xml:space="preserve">No </w:t>
            </w:r>
            <w:r w:rsidRPr="00814891">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814891">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533E2393" w14:textId="2B48B800" w:rsidR="00C869EB" w:rsidRPr="00814891" w:rsidRDefault="00C869EB" w:rsidP="00352D2D">
            <w:pPr>
              <w:tabs>
                <w:tab w:val="left" w:pos="594"/>
              </w:tabs>
              <w:spacing w:after="0" w:line="276" w:lineRule="auto"/>
              <w:jc w:val="both"/>
              <w:rPr>
                <w:rFonts w:eastAsia="Arial" w:cs="Arial"/>
              </w:rPr>
            </w:pPr>
            <w:r w:rsidRPr="00B57D96">
              <w:rPr>
                <w:rFonts w:eastAsia="Arial" w:cs="Calibri"/>
              </w:rPr>
              <w:t xml:space="preserve">N/A </w:t>
            </w:r>
            <w:r w:rsidRPr="00B57D96">
              <w:rPr>
                <w:rFonts w:eastAsia="Arial" w:cs="Calibri"/>
              </w:rPr>
              <w:tab/>
            </w:r>
            <w:r w:rsidRPr="00B57D96">
              <w:rPr>
                <w:rFonts w:eastAsia="Times New Roman" w:cs="Calibri"/>
              </w:rPr>
              <w:fldChar w:fldCharType="begin">
                <w:ffData>
                  <w:name w:val="Check1"/>
                  <w:enabled/>
                  <w:calcOnExit w:val="0"/>
                  <w:checkBox>
                    <w:sizeAuto/>
                    <w:default w:val="0"/>
                  </w:checkBox>
                </w:ffData>
              </w:fldChar>
            </w:r>
            <w:r w:rsidRPr="00B57D96">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B57D96">
              <w:rPr>
                <w:rFonts w:eastAsia="Times New Roman" w:cs="Calibri"/>
              </w:rPr>
              <w:fldChar w:fldCharType="end"/>
            </w:r>
          </w:p>
        </w:tc>
      </w:tr>
      <w:tr w:rsidR="00C869EB" w:rsidRPr="00420561" w14:paraId="3DEE57E7" w14:textId="77777777" w:rsidTr="006B0E8F">
        <w:trPr>
          <w:trHeight w:val="1651"/>
        </w:trPr>
        <w:tc>
          <w:tcPr>
            <w:tcW w:w="0" w:type="auto"/>
            <w:vMerge/>
          </w:tcPr>
          <w:p w14:paraId="5746D85A" w14:textId="77777777" w:rsidR="00C869EB" w:rsidRPr="00814891" w:rsidRDefault="00C869EB" w:rsidP="00352D2D">
            <w:pPr>
              <w:spacing w:after="0" w:line="276" w:lineRule="auto"/>
              <w:jc w:val="both"/>
              <w:rPr>
                <w:rFonts w:eastAsia="Arial" w:cs="Arial"/>
                <w:b/>
              </w:rPr>
            </w:pPr>
          </w:p>
        </w:tc>
        <w:tc>
          <w:tcPr>
            <w:tcW w:w="7756" w:type="dxa"/>
            <w:vMerge/>
          </w:tcPr>
          <w:p w14:paraId="53E6DD4B" w14:textId="77777777" w:rsidR="00C869EB" w:rsidRDefault="00C869EB" w:rsidP="00352D2D">
            <w:pPr>
              <w:widowControl w:val="0"/>
              <w:spacing w:after="0" w:line="276" w:lineRule="auto"/>
              <w:jc w:val="both"/>
              <w:rPr>
                <w:rFonts w:eastAsia="Times New Roman" w:cs="Arial"/>
              </w:rPr>
            </w:pPr>
          </w:p>
        </w:tc>
        <w:tc>
          <w:tcPr>
            <w:tcW w:w="4065" w:type="dxa"/>
            <w:tcBorders>
              <w:top w:val="single" w:sz="6" w:space="0" w:color="000000" w:themeColor="text1"/>
              <w:bottom w:val="single" w:sz="6" w:space="0" w:color="000000" w:themeColor="text1"/>
            </w:tcBorders>
          </w:tcPr>
          <w:p w14:paraId="5AC475F6" w14:textId="226F07A3" w:rsidR="00C869EB" w:rsidRPr="00814891" w:rsidRDefault="00C869EB" w:rsidP="00352D2D">
            <w:pPr>
              <w:tabs>
                <w:tab w:val="left" w:pos="591"/>
              </w:tabs>
              <w:spacing w:after="0" w:line="276" w:lineRule="auto"/>
              <w:jc w:val="both"/>
              <w:rPr>
                <w:rFonts w:eastAsia="Arial" w:cs="Calibri"/>
              </w:rPr>
            </w:pPr>
            <w:r>
              <w:rPr>
                <w:rFonts w:eastAsia="Arial" w:cs="Calibri"/>
              </w:rPr>
              <w:t>[Insert link to Modern Slavery Statement</w:t>
            </w:r>
            <w:r w:rsidR="00FA22B0">
              <w:rPr>
                <w:rFonts w:eastAsia="Arial" w:cs="Calibri"/>
              </w:rPr>
              <w:t xml:space="preserve"> or </w:t>
            </w:r>
            <w:r w:rsidR="00C53179">
              <w:rPr>
                <w:rFonts w:eastAsia="Arial" w:cs="Calibri"/>
              </w:rPr>
              <w:t>Explanation</w:t>
            </w:r>
            <w:r w:rsidR="00FA22B0">
              <w:rPr>
                <w:rFonts w:eastAsia="Arial" w:cs="Calibri"/>
              </w:rPr>
              <w:t xml:space="preserve"> for Lack of Compliance</w:t>
            </w:r>
            <w:r w:rsidR="00571CBE">
              <w:rPr>
                <w:rFonts w:eastAsia="Arial" w:cs="Calibri"/>
              </w:rPr>
              <w:t>]</w:t>
            </w:r>
          </w:p>
        </w:tc>
      </w:tr>
      <w:tr w:rsidR="00286052" w:rsidRPr="00420561" w14:paraId="6EC2A1F0" w14:textId="77777777" w:rsidTr="006B0E8F">
        <w:trPr>
          <w:trHeight w:val="1623"/>
        </w:trPr>
        <w:tc>
          <w:tcPr>
            <w:tcW w:w="0" w:type="auto"/>
            <w:vMerge w:val="restart"/>
            <w:shd w:val="clear" w:color="auto" w:fill="F2F2F2" w:themeFill="background1" w:themeFillShade="F2"/>
          </w:tcPr>
          <w:p w14:paraId="7C9A5643" w14:textId="45940739" w:rsidR="00286052" w:rsidRPr="00E66809" w:rsidRDefault="00286052" w:rsidP="00352D2D">
            <w:pPr>
              <w:spacing w:after="0" w:line="276" w:lineRule="auto"/>
              <w:jc w:val="both"/>
              <w:rPr>
                <w:rFonts w:eastAsia="Arial" w:cs="Arial"/>
                <w:b/>
              </w:rPr>
            </w:pPr>
            <w:r w:rsidRPr="00E66809">
              <w:rPr>
                <w:rFonts w:eastAsia="Arial" w:cs="Arial"/>
                <w:b/>
              </w:rPr>
              <w:t>3.3</w:t>
            </w:r>
            <w:r w:rsidR="00650479">
              <w:rPr>
                <w:rFonts w:eastAsia="Arial" w:cs="Arial"/>
                <w:b/>
              </w:rPr>
              <w:t>0</w:t>
            </w:r>
          </w:p>
        </w:tc>
        <w:tc>
          <w:tcPr>
            <w:tcW w:w="7756" w:type="dxa"/>
            <w:vMerge w:val="restart"/>
            <w:shd w:val="clear" w:color="auto" w:fill="F2F2F2" w:themeFill="background1" w:themeFillShade="F2"/>
          </w:tcPr>
          <w:p w14:paraId="47EC3D4E" w14:textId="3FA4F18D" w:rsidR="00286052" w:rsidRPr="00E66809" w:rsidRDefault="00286052" w:rsidP="00352D2D">
            <w:pPr>
              <w:widowControl w:val="0"/>
              <w:spacing w:after="0" w:line="276" w:lineRule="auto"/>
              <w:jc w:val="both"/>
              <w:rPr>
                <w:rFonts w:eastAsia="Times New Roman" w:cs="Arial"/>
              </w:rPr>
            </w:pPr>
            <w:r w:rsidRPr="00E66809">
              <w:rPr>
                <w:rFonts w:eastAsia="Times New Roman" w:cs="Arial"/>
              </w:rPr>
              <w:t>If you have responded ‘</w:t>
            </w:r>
            <w:r w:rsidR="0080573C">
              <w:rPr>
                <w:rFonts w:eastAsia="Times New Roman" w:cs="Arial"/>
              </w:rPr>
              <w:t>N</w:t>
            </w:r>
            <w:r w:rsidRPr="00E66809">
              <w:rPr>
                <w:rFonts w:eastAsia="Times New Roman" w:cs="Arial"/>
              </w:rPr>
              <w:t>o’ to question 3.2</w:t>
            </w:r>
            <w:r w:rsidR="00650479">
              <w:rPr>
                <w:rFonts w:eastAsia="Times New Roman" w:cs="Arial"/>
              </w:rPr>
              <w:t>8</w:t>
            </w:r>
            <w:r w:rsidRPr="00E66809">
              <w:rPr>
                <w:rFonts w:eastAsia="Times New Roman" w:cs="Arial"/>
              </w:rPr>
              <w:t xml:space="preserve">, please confirm whether </w:t>
            </w:r>
            <w:r w:rsidR="00C17F70">
              <w:rPr>
                <w:rFonts w:eastAsia="Times New Roman" w:cs="Arial"/>
              </w:rPr>
              <w:t xml:space="preserve">your organisation has </w:t>
            </w:r>
            <w:r w:rsidRPr="00E66809">
              <w:rPr>
                <w:rFonts w:eastAsia="Times New Roman" w:cs="Arial"/>
              </w:rPr>
              <w:t xml:space="preserve">a turnover of more than £36 million and is able to provide a link to an equivalent statement or document which demonstrates information relating to </w:t>
            </w:r>
            <w:r w:rsidR="0083111C">
              <w:rPr>
                <w:rFonts w:eastAsia="Times New Roman" w:cs="Arial"/>
              </w:rPr>
              <w:t xml:space="preserve">paragraphs </w:t>
            </w:r>
            <w:r w:rsidRPr="00E66809">
              <w:rPr>
                <w:rFonts w:eastAsia="Times New Roman" w:cs="Arial"/>
              </w:rPr>
              <w:t>a</w:t>
            </w:r>
            <w:r w:rsidR="006A0AB0">
              <w:rPr>
                <w:rFonts w:eastAsia="Times New Roman" w:cs="Arial"/>
              </w:rPr>
              <w:t>)</w:t>
            </w:r>
            <w:r w:rsidRPr="00E66809">
              <w:rPr>
                <w:rFonts w:eastAsia="Times New Roman" w:cs="Arial"/>
              </w:rPr>
              <w:t xml:space="preserve"> to f</w:t>
            </w:r>
            <w:r w:rsidR="006A0AB0">
              <w:rPr>
                <w:rFonts w:eastAsia="Times New Roman" w:cs="Arial"/>
              </w:rPr>
              <w:t>)</w:t>
            </w:r>
            <w:r w:rsidRPr="00E66809">
              <w:rPr>
                <w:rFonts w:eastAsia="Times New Roman" w:cs="Arial"/>
              </w:rPr>
              <w:t xml:space="preserve"> as specified in question 3.2</w:t>
            </w:r>
            <w:r w:rsidR="007E128B">
              <w:rPr>
                <w:rFonts w:eastAsia="Times New Roman" w:cs="Arial"/>
              </w:rPr>
              <w:t>9</w:t>
            </w:r>
            <w:r w:rsidRPr="00E66809">
              <w:rPr>
                <w:rFonts w:eastAsia="Times New Roman" w:cs="Arial"/>
              </w:rPr>
              <w:t xml:space="preserve"> above.</w:t>
            </w:r>
          </w:p>
          <w:p w14:paraId="1909E67B" w14:textId="77777777" w:rsidR="002C7AAA" w:rsidRPr="00E66809" w:rsidRDefault="002C7AAA" w:rsidP="00352D2D">
            <w:pPr>
              <w:widowControl w:val="0"/>
              <w:spacing w:after="0" w:line="276" w:lineRule="auto"/>
              <w:jc w:val="both"/>
              <w:rPr>
                <w:rFonts w:eastAsia="Times New Roman" w:cs="Arial"/>
              </w:rPr>
            </w:pPr>
          </w:p>
          <w:p w14:paraId="32905AE5" w14:textId="6303EF09" w:rsidR="00FA22B0" w:rsidRDefault="00FA22B0" w:rsidP="00352D2D">
            <w:pPr>
              <w:widowControl w:val="0"/>
              <w:spacing w:after="0" w:line="276" w:lineRule="auto"/>
              <w:jc w:val="both"/>
              <w:rPr>
                <w:rFonts w:cs="Arial"/>
                <w:color w:val="222222"/>
              </w:rPr>
            </w:pPr>
            <w:r>
              <w:rPr>
                <w:rFonts w:cs="Arial"/>
                <w:color w:val="222222"/>
              </w:rPr>
              <w:t>If you have answered ‘No’ to this question</w:t>
            </w:r>
            <w:r w:rsidR="00A727DA">
              <w:rPr>
                <w:rFonts w:cs="Arial"/>
                <w:color w:val="222222"/>
              </w:rPr>
              <w:t xml:space="preserve">. </w:t>
            </w:r>
            <w:r w:rsidR="00A727DA" w:rsidRPr="00814891">
              <w:rPr>
                <w:rFonts w:cs="Arial"/>
                <w:color w:val="222222"/>
              </w:rPr>
              <w:t xml:space="preserve">please </w:t>
            </w:r>
            <w:r w:rsidR="00A727DA">
              <w:rPr>
                <w:rFonts w:cs="Arial"/>
                <w:color w:val="222222"/>
              </w:rPr>
              <w:t>provide an explanation as to why this is the case and assurance that you will be able to demonstrate compliance in advance of contract award.</w:t>
            </w:r>
          </w:p>
          <w:p w14:paraId="507A01B4" w14:textId="77777777" w:rsidR="00FA22B0" w:rsidRDefault="00FA22B0" w:rsidP="00352D2D">
            <w:pPr>
              <w:widowControl w:val="0"/>
              <w:spacing w:after="0" w:line="276" w:lineRule="auto"/>
              <w:jc w:val="both"/>
              <w:rPr>
                <w:rFonts w:eastAsia="Times New Roman" w:cs="Arial"/>
              </w:rPr>
            </w:pPr>
          </w:p>
          <w:p w14:paraId="795DF547" w14:textId="5A468800" w:rsidR="00286052" w:rsidRDefault="00286052" w:rsidP="00352D2D">
            <w:pPr>
              <w:widowControl w:val="0"/>
              <w:spacing w:after="0" w:line="276" w:lineRule="auto"/>
              <w:jc w:val="both"/>
              <w:rPr>
                <w:rFonts w:cs="Arial"/>
                <w:color w:val="222222"/>
              </w:rPr>
            </w:pPr>
            <w:r w:rsidRPr="00E66809">
              <w:rPr>
                <w:rFonts w:eastAsia="Times New Roman" w:cs="Arial"/>
              </w:rPr>
              <w:t>If you have answered “Yes” to question 3.2</w:t>
            </w:r>
            <w:r w:rsidR="00650479">
              <w:rPr>
                <w:rFonts w:eastAsia="Times New Roman" w:cs="Arial"/>
              </w:rPr>
              <w:t>8</w:t>
            </w:r>
            <w:r w:rsidRPr="00E66809">
              <w:rPr>
                <w:rFonts w:eastAsia="Times New Roman" w:cs="Arial"/>
              </w:rPr>
              <w:t xml:space="preserve">, please respond “N/A” to this question </w:t>
            </w:r>
            <w:r w:rsidRPr="00E66809">
              <w:rPr>
                <w:rFonts w:cs="Arial"/>
                <w:color w:val="222222"/>
              </w:rPr>
              <w:t>3.30.</w:t>
            </w:r>
          </w:p>
          <w:p w14:paraId="2497A9CB" w14:textId="77777777" w:rsidR="00286052" w:rsidRPr="00E66809" w:rsidRDefault="00286052" w:rsidP="00352D2D">
            <w:pPr>
              <w:widowControl w:val="0"/>
              <w:spacing w:after="0" w:line="276" w:lineRule="auto"/>
              <w:jc w:val="both"/>
              <w:rPr>
                <w:rFonts w:eastAsia="Times New Roman" w:cs="Arial"/>
                <w:color w:val="222222"/>
              </w:rPr>
            </w:pPr>
          </w:p>
          <w:p w14:paraId="6959941B" w14:textId="77777777" w:rsidR="00286052" w:rsidRPr="00E66809" w:rsidRDefault="00286052" w:rsidP="00352D2D">
            <w:pPr>
              <w:widowControl w:val="0"/>
              <w:spacing w:after="0" w:line="276" w:lineRule="auto"/>
              <w:jc w:val="both"/>
              <w:rPr>
                <w:rFonts w:eastAsia="Times New Roman" w:cs="Arial"/>
              </w:rPr>
            </w:pPr>
            <w:r w:rsidRPr="00E66809">
              <w:rPr>
                <w:rFonts w:eastAsia="Times New Roman" w:cs="Arial"/>
                <w:color w:val="222222"/>
              </w:rPr>
              <w:t>If your organisation’s turnover is less than £36m, please respond ‘N/A’.</w:t>
            </w:r>
          </w:p>
          <w:p w14:paraId="5158FED6" w14:textId="77777777" w:rsidR="00286052" w:rsidRDefault="00286052" w:rsidP="00352D2D">
            <w:pPr>
              <w:widowControl w:val="0"/>
              <w:spacing w:after="0" w:line="276" w:lineRule="auto"/>
              <w:jc w:val="both"/>
              <w:rPr>
                <w:rFonts w:eastAsia="Times New Roman" w:cs="Arial"/>
              </w:rPr>
            </w:pPr>
          </w:p>
          <w:p w14:paraId="2C93B4F7" w14:textId="4F38E46B" w:rsidR="00355870" w:rsidRPr="00E66809" w:rsidRDefault="00355870" w:rsidP="00352D2D">
            <w:pPr>
              <w:tabs>
                <w:tab w:val="left" w:pos="6345"/>
              </w:tabs>
              <w:jc w:val="both"/>
              <w:rPr>
                <w:rFonts w:eastAsia="Times New Roman" w:cs="Arial"/>
              </w:rPr>
            </w:pPr>
          </w:p>
        </w:tc>
        <w:tc>
          <w:tcPr>
            <w:tcW w:w="4065" w:type="dxa"/>
            <w:tcBorders>
              <w:top w:val="single" w:sz="6" w:space="0" w:color="000000" w:themeColor="text1"/>
              <w:bottom w:val="single" w:sz="6" w:space="0" w:color="000000" w:themeColor="text1"/>
            </w:tcBorders>
          </w:tcPr>
          <w:p w14:paraId="39922373" w14:textId="77777777" w:rsidR="00286052" w:rsidRPr="00E66809" w:rsidRDefault="00286052" w:rsidP="00352D2D">
            <w:pPr>
              <w:tabs>
                <w:tab w:val="left" w:pos="591"/>
              </w:tabs>
              <w:spacing w:after="0" w:line="276" w:lineRule="auto"/>
              <w:jc w:val="both"/>
              <w:rPr>
                <w:rFonts w:eastAsia="Times New Roman" w:cs="Calibri"/>
              </w:rPr>
            </w:pPr>
            <w:r w:rsidRPr="00E66809">
              <w:rPr>
                <w:rFonts w:eastAsia="Arial" w:cs="Calibri"/>
              </w:rPr>
              <w:t xml:space="preserve">Yes </w:t>
            </w:r>
            <w:r w:rsidRPr="00E66809">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3666C3B3" w14:textId="77777777" w:rsidR="00286052" w:rsidRPr="00E66809" w:rsidRDefault="00286052" w:rsidP="00352D2D">
            <w:pPr>
              <w:tabs>
                <w:tab w:val="left" w:pos="591"/>
              </w:tabs>
              <w:spacing w:after="0" w:line="276" w:lineRule="auto"/>
              <w:jc w:val="both"/>
              <w:rPr>
                <w:rFonts w:eastAsia="Times New Roman" w:cs="Calibri"/>
              </w:rPr>
            </w:pPr>
            <w:r w:rsidRPr="00E66809">
              <w:rPr>
                <w:rFonts w:eastAsia="Arial" w:cs="Calibri"/>
              </w:rPr>
              <w:t xml:space="preserve">No </w:t>
            </w:r>
            <w:r w:rsidRPr="00E66809">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p w14:paraId="1F6E8A76" w14:textId="77777777" w:rsidR="00286052" w:rsidRPr="00E66809" w:rsidRDefault="00286052" w:rsidP="00352D2D">
            <w:pPr>
              <w:tabs>
                <w:tab w:val="left" w:pos="591"/>
              </w:tabs>
              <w:spacing w:after="0" w:line="276" w:lineRule="auto"/>
              <w:jc w:val="both"/>
              <w:rPr>
                <w:rFonts w:eastAsia="Arial" w:cs="Calibri"/>
              </w:rPr>
            </w:pPr>
            <w:r w:rsidRPr="00E66809">
              <w:rPr>
                <w:rFonts w:eastAsia="Arial" w:cs="Calibri"/>
              </w:rPr>
              <w:t xml:space="preserve">N/A </w:t>
            </w:r>
            <w:r w:rsidRPr="00E66809">
              <w:rPr>
                <w:rFonts w:eastAsia="Arial" w:cs="Calibri"/>
              </w:rPr>
              <w:tab/>
            </w:r>
            <w:r w:rsidRPr="00E66809">
              <w:rPr>
                <w:rFonts w:eastAsia="Times New Roman" w:cs="Calibri"/>
              </w:rPr>
              <w:fldChar w:fldCharType="begin">
                <w:ffData>
                  <w:name w:val="Check1"/>
                  <w:enabled/>
                  <w:calcOnExit w:val="0"/>
                  <w:checkBox>
                    <w:sizeAuto/>
                    <w:default w:val="0"/>
                  </w:checkBox>
                </w:ffData>
              </w:fldChar>
            </w:r>
            <w:r w:rsidRPr="00E66809">
              <w:rPr>
                <w:rFonts w:eastAsia="Times New Roman" w:cs="Calibri"/>
              </w:rPr>
              <w:instrText xml:space="preserve"> FORMCHECKBOX </w:instrText>
            </w:r>
            <w:r w:rsidR="0029045A">
              <w:rPr>
                <w:rFonts w:eastAsia="Times New Roman" w:cs="Calibri"/>
              </w:rPr>
            </w:r>
            <w:r w:rsidR="0029045A">
              <w:rPr>
                <w:rFonts w:eastAsia="Times New Roman" w:cs="Calibri"/>
              </w:rPr>
              <w:fldChar w:fldCharType="separate"/>
            </w:r>
            <w:r w:rsidRPr="00E66809">
              <w:rPr>
                <w:rFonts w:eastAsia="Times New Roman" w:cs="Calibri"/>
              </w:rPr>
              <w:fldChar w:fldCharType="end"/>
            </w:r>
          </w:p>
        </w:tc>
      </w:tr>
      <w:tr w:rsidR="00A727DA" w:rsidRPr="00420561" w14:paraId="428E2CDB" w14:textId="77777777" w:rsidTr="006B0E8F">
        <w:trPr>
          <w:trHeight w:val="4903"/>
        </w:trPr>
        <w:tc>
          <w:tcPr>
            <w:tcW w:w="0" w:type="auto"/>
            <w:vMerge/>
          </w:tcPr>
          <w:p w14:paraId="00B18477" w14:textId="77777777" w:rsidR="00A727DA" w:rsidRPr="00406874" w:rsidRDefault="00A727DA">
            <w:pPr>
              <w:spacing w:after="0" w:line="276" w:lineRule="auto"/>
              <w:rPr>
                <w:rFonts w:eastAsia="Arial" w:cs="Arial"/>
                <w:b/>
              </w:rPr>
            </w:pPr>
          </w:p>
        </w:tc>
        <w:tc>
          <w:tcPr>
            <w:tcW w:w="7756" w:type="dxa"/>
            <w:vMerge/>
          </w:tcPr>
          <w:p w14:paraId="35336B53" w14:textId="77777777" w:rsidR="00A727DA" w:rsidRPr="00406874" w:rsidRDefault="00A727DA">
            <w:pPr>
              <w:widowControl w:val="0"/>
              <w:spacing w:after="0" w:line="276" w:lineRule="auto"/>
              <w:rPr>
                <w:rFonts w:eastAsia="Times New Roman" w:cs="Arial"/>
              </w:rPr>
            </w:pPr>
          </w:p>
        </w:tc>
        <w:tc>
          <w:tcPr>
            <w:tcW w:w="4065" w:type="dxa"/>
            <w:tcBorders>
              <w:top w:val="single" w:sz="6" w:space="0" w:color="000000" w:themeColor="text1"/>
            </w:tcBorders>
          </w:tcPr>
          <w:p w14:paraId="10A91B6F" w14:textId="25CF417A" w:rsidR="00A727DA" w:rsidRPr="00406874" w:rsidRDefault="00571CBE" w:rsidP="00352D2D">
            <w:pPr>
              <w:tabs>
                <w:tab w:val="left" w:pos="591"/>
              </w:tabs>
              <w:spacing w:after="0" w:line="276" w:lineRule="auto"/>
              <w:jc w:val="both"/>
              <w:rPr>
                <w:rFonts w:eastAsia="Arial" w:cs="Calibri"/>
              </w:rPr>
            </w:pPr>
            <w:r>
              <w:rPr>
                <w:rFonts w:eastAsia="Arial" w:cs="Calibri"/>
              </w:rPr>
              <w:t xml:space="preserve">[Insert </w:t>
            </w:r>
            <w:r w:rsidR="009765C0">
              <w:rPr>
                <w:rFonts w:eastAsia="Arial" w:cs="Calibri"/>
              </w:rPr>
              <w:t xml:space="preserve">link to relevant statement </w:t>
            </w:r>
            <w:r w:rsidR="00762795">
              <w:rPr>
                <w:rFonts w:eastAsia="Arial" w:cs="Calibri"/>
              </w:rPr>
              <w:t>o</w:t>
            </w:r>
            <w:r w:rsidR="00B76CA1">
              <w:rPr>
                <w:rFonts w:eastAsia="Arial" w:cs="Calibri"/>
              </w:rPr>
              <w:t xml:space="preserve">r </w:t>
            </w:r>
            <w:r w:rsidR="009765C0">
              <w:rPr>
                <w:rFonts w:eastAsia="Arial" w:cs="Calibri"/>
              </w:rPr>
              <w:t>d</w:t>
            </w:r>
            <w:r w:rsidR="00B76CA1">
              <w:rPr>
                <w:rFonts w:eastAsia="Arial" w:cs="Calibri"/>
              </w:rPr>
              <w:t xml:space="preserve">ocument </w:t>
            </w:r>
            <w:r>
              <w:rPr>
                <w:rFonts w:eastAsia="Arial" w:cs="Calibri"/>
              </w:rPr>
              <w:t>or</w:t>
            </w:r>
            <w:r w:rsidR="00B76CA1">
              <w:rPr>
                <w:rFonts w:eastAsia="Arial" w:cs="Calibri"/>
              </w:rPr>
              <w:t xml:space="preserve"> </w:t>
            </w:r>
            <w:r w:rsidR="009765C0">
              <w:rPr>
                <w:rFonts w:eastAsia="Arial" w:cs="Calibri"/>
              </w:rPr>
              <w:t>p</w:t>
            </w:r>
            <w:r w:rsidR="00B76CA1">
              <w:rPr>
                <w:rFonts w:eastAsia="Arial" w:cs="Calibri"/>
              </w:rPr>
              <w:t>rovide</w:t>
            </w:r>
            <w:r>
              <w:rPr>
                <w:rFonts w:eastAsia="Arial" w:cs="Calibri"/>
              </w:rPr>
              <w:t xml:space="preserve"> </w:t>
            </w:r>
            <w:r w:rsidR="009765C0">
              <w:rPr>
                <w:rFonts w:eastAsia="Arial" w:cs="Calibri"/>
              </w:rPr>
              <w:t>e</w:t>
            </w:r>
            <w:r>
              <w:rPr>
                <w:rFonts w:eastAsia="Arial" w:cs="Calibri"/>
              </w:rPr>
              <w:t xml:space="preserve">xplanation for </w:t>
            </w:r>
            <w:r w:rsidR="009765C0">
              <w:rPr>
                <w:rFonts w:eastAsia="Arial" w:cs="Calibri"/>
              </w:rPr>
              <w:t>l</w:t>
            </w:r>
            <w:r>
              <w:rPr>
                <w:rFonts w:eastAsia="Arial" w:cs="Calibri"/>
              </w:rPr>
              <w:t xml:space="preserve">ack of </w:t>
            </w:r>
            <w:r w:rsidR="009765C0">
              <w:rPr>
                <w:rFonts w:eastAsia="Arial" w:cs="Calibri"/>
              </w:rPr>
              <w:t>c</w:t>
            </w:r>
            <w:r>
              <w:rPr>
                <w:rFonts w:eastAsia="Arial" w:cs="Calibri"/>
              </w:rPr>
              <w:t>ompliance</w:t>
            </w:r>
            <w:r w:rsidR="00A727DA" w:rsidDel="00A727DA">
              <w:rPr>
                <w:rFonts w:eastAsia="Arial" w:cs="Calibri"/>
              </w:rPr>
              <w:t>]</w:t>
            </w:r>
          </w:p>
        </w:tc>
      </w:tr>
    </w:tbl>
    <w:p w14:paraId="4586A6B8" w14:textId="77777777" w:rsidR="00286052" w:rsidRPr="00E66809" w:rsidRDefault="00286052" w:rsidP="00286052">
      <w:pPr>
        <w:spacing w:after="0" w:line="276" w:lineRule="auto"/>
        <w:ind w:firstLine="720"/>
        <w:rPr>
          <w:rFonts w:cs="Calibri"/>
        </w:rPr>
      </w:pPr>
    </w:p>
    <w:p w14:paraId="59B6C95E" w14:textId="77777777" w:rsidR="00286052" w:rsidRPr="00E66809" w:rsidRDefault="00286052" w:rsidP="00286052">
      <w:pPr>
        <w:pageBreakBefore/>
        <w:spacing w:after="0" w:line="276" w:lineRule="auto"/>
        <w:rPr>
          <w:rFonts w:eastAsia="Arial" w:cs="Calibri"/>
          <w:b/>
        </w:rPr>
      </w:pPr>
      <w:r w:rsidRPr="00E66809">
        <w:rPr>
          <w:rFonts w:eastAsia="Arial" w:cs="Calibri"/>
          <w:b/>
        </w:rPr>
        <w:lastRenderedPageBreak/>
        <w:t>Conflict of Interest</w:t>
      </w:r>
    </w:p>
    <w:p w14:paraId="545803E6" w14:textId="77777777" w:rsidR="00286052" w:rsidRPr="00E66809" w:rsidRDefault="00286052" w:rsidP="00286052">
      <w:pPr>
        <w:spacing w:after="0" w:line="276" w:lineRule="auto"/>
        <w:ind w:firstLine="720"/>
        <w:rPr>
          <w:rFonts w:eastAsia="Times New Roman" w:cs="Calibri"/>
        </w:rPr>
      </w:pPr>
    </w:p>
    <w:tbl>
      <w:tblPr>
        <w:tblW w:w="0" w:type="auto"/>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271"/>
        <w:gridCol w:w="7694"/>
        <w:gridCol w:w="4127"/>
      </w:tblGrid>
      <w:tr w:rsidR="00286052" w:rsidRPr="001439F7" w14:paraId="5CDC86C1" w14:textId="77777777" w:rsidTr="006B0E8F">
        <w:tc>
          <w:tcPr>
            <w:tcW w:w="0" w:type="auto"/>
            <w:tcBorders>
              <w:top w:val="single" w:sz="6" w:space="0" w:color="000000" w:themeColor="text1"/>
              <w:bottom w:val="single" w:sz="6" w:space="0" w:color="000000" w:themeColor="text1"/>
            </w:tcBorders>
            <w:shd w:val="clear" w:color="auto" w:fill="009999"/>
          </w:tcPr>
          <w:p w14:paraId="4F9A65D8" w14:textId="77777777" w:rsidR="00286052" w:rsidRPr="001439F7" w:rsidRDefault="00286052">
            <w:pPr>
              <w:spacing w:after="0" w:line="276" w:lineRule="auto"/>
              <w:ind w:right="101"/>
              <w:rPr>
                <w:rFonts w:eastAsia="Times New Roman" w:cs="Calibri"/>
                <w:b/>
                <w:bCs/>
                <w:color w:val="FFFFFF" w:themeColor="background1"/>
              </w:rPr>
            </w:pPr>
            <w:r w:rsidRPr="001439F7">
              <w:rPr>
                <w:rFonts w:eastAsia="Times New Roman" w:cs="Calibri"/>
                <w:b/>
                <w:bCs/>
                <w:color w:val="FFFFFF" w:themeColor="background1"/>
              </w:rPr>
              <w:t>Question Number</w:t>
            </w:r>
          </w:p>
        </w:tc>
        <w:tc>
          <w:tcPr>
            <w:tcW w:w="7694" w:type="dxa"/>
            <w:tcBorders>
              <w:top w:val="single" w:sz="6" w:space="0" w:color="000000" w:themeColor="text1"/>
              <w:bottom w:val="single" w:sz="6" w:space="0" w:color="000000" w:themeColor="text1"/>
            </w:tcBorders>
            <w:shd w:val="clear" w:color="auto" w:fill="009999"/>
          </w:tcPr>
          <w:p w14:paraId="714200C2"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Question</w:t>
            </w:r>
          </w:p>
        </w:tc>
        <w:tc>
          <w:tcPr>
            <w:tcW w:w="4127" w:type="dxa"/>
            <w:tcBorders>
              <w:top w:val="single" w:sz="6" w:space="0" w:color="000000" w:themeColor="text1"/>
              <w:bottom w:val="single" w:sz="6" w:space="0" w:color="000000" w:themeColor="text1"/>
            </w:tcBorders>
            <w:shd w:val="clear" w:color="auto" w:fill="009999"/>
          </w:tcPr>
          <w:p w14:paraId="0C2404E5" w14:textId="77777777" w:rsidR="00286052" w:rsidRPr="001439F7" w:rsidRDefault="00286052">
            <w:pPr>
              <w:spacing w:after="0" w:line="276" w:lineRule="auto"/>
              <w:rPr>
                <w:rFonts w:eastAsia="Times New Roman" w:cs="Calibri"/>
                <w:b/>
                <w:bCs/>
                <w:color w:val="FFFFFF" w:themeColor="background1"/>
              </w:rPr>
            </w:pPr>
            <w:r w:rsidRPr="001439F7">
              <w:rPr>
                <w:rFonts w:eastAsia="Arial" w:cs="Calibri"/>
                <w:b/>
                <w:bCs/>
                <w:color w:val="FFFFFF" w:themeColor="background1"/>
              </w:rPr>
              <w:t>Response</w:t>
            </w:r>
          </w:p>
        </w:tc>
      </w:tr>
      <w:tr w:rsidR="00286052" w:rsidRPr="00420561" w14:paraId="4D2B8286" w14:textId="77777777" w:rsidTr="006B0E8F">
        <w:trPr>
          <w:trHeight w:val="1056"/>
        </w:trPr>
        <w:tc>
          <w:tcPr>
            <w:tcW w:w="0" w:type="auto"/>
            <w:vMerge w:val="restart"/>
            <w:shd w:val="clear" w:color="auto" w:fill="F2F2F2" w:themeFill="background1" w:themeFillShade="F2"/>
          </w:tcPr>
          <w:p w14:paraId="132A717C" w14:textId="40DBEE46" w:rsidR="00286052" w:rsidRPr="00E66809" w:rsidRDefault="00286052" w:rsidP="00352D2D">
            <w:pPr>
              <w:spacing w:after="0" w:line="276" w:lineRule="auto"/>
              <w:jc w:val="both"/>
              <w:rPr>
                <w:rFonts w:eastAsia="Arial" w:cs="Arial"/>
                <w:b/>
              </w:rPr>
            </w:pPr>
            <w:r w:rsidRPr="00E66809">
              <w:rPr>
                <w:rFonts w:eastAsia="Arial" w:cs="Arial"/>
                <w:b/>
              </w:rPr>
              <w:t>3.3</w:t>
            </w:r>
            <w:r w:rsidR="00650479">
              <w:rPr>
                <w:rFonts w:eastAsia="Arial" w:cs="Arial"/>
                <w:b/>
              </w:rPr>
              <w:t>1</w:t>
            </w:r>
          </w:p>
        </w:tc>
        <w:tc>
          <w:tcPr>
            <w:tcW w:w="7694" w:type="dxa"/>
            <w:vMerge w:val="restart"/>
            <w:shd w:val="clear" w:color="auto" w:fill="F2F2F2" w:themeFill="background1" w:themeFillShade="F2"/>
          </w:tcPr>
          <w:p w14:paraId="6BEEB25D" w14:textId="025924FF" w:rsidR="00286052" w:rsidRPr="00E66809" w:rsidRDefault="00286052" w:rsidP="00352D2D">
            <w:pPr>
              <w:pStyle w:val="NormalWeb"/>
              <w:spacing w:before="0" w:beforeAutospacing="0" w:after="120" w:afterAutospacing="0"/>
              <w:jc w:val="both"/>
              <w:rPr>
                <w:rFonts w:ascii="Arial" w:hAnsi="Arial" w:cs="Arial"/>
                <w:sz w:val="22"/>
                <w:szCs w:val="22"/>
              </w:rPr>
            </w:pPr>
            <w:r w:rsidRPr="00E66809">
              <w:rPr>
                <w:rFonts w:ascii="Arial" w:hAnsi="Arial" w:cs="Arial"/>
                <w:sz w:val="22"/>
                <w:szCs w:val="22"/>
              </w:rPr>
              <w:t xml:space="preserve">Please confirm </w:t>
            </w:r>
            <w:r w:rsidR="00762795">
              <w:rPr>
                <w:rFonts w:ascii="Arial" w:hAnsi="Arial" w:cs="Arial"/>
                <w:sz w:val="22"/>
                <w:szCs w:val="22"/>
              </w:rPr>
              <w:t>whether you have</w:t>
            </w:r>
            <w:r w:rsidRPr="00E66809">
              <w:rPr>
                <w:rFonts w:ascii="Arial" w:hAnsi="Arial" w:cs="Arial"/>
                <w:sz w:val="22"/>
                <w:szCs w:val="22"/>
              </w:rPr>
              <w:t xml:space="preserve"> identified any conflict(s) of interest in submitting your </w:t>
            </w:r>
            <w:r w:rsidR="00762795">
              <w:rPr>
                <w:rFonts w:ascii="Arial" w:hAnsi="Arial" w:cs="Arial"/>
                <w:sz w:val="22"/>
                <w:szCs w:val="22"/>
              </w:rPr>
              <w:t>CoP</w:t>
            </w:r>
            <w:r w:rsidRPr="00E66809">
              <w:rPr>
                <w:rFonts w:ascii="Arial" w:hAnsi="Arial" w:cs="Arial"/>
                <w:sz w:val="22"/>
                <w:szCs w:val="22"/>
              </w:rPr>
              <w:t xml:space="preserve"> response to this procurement.</w:t>
            </w:r>
          </w:p>
          <w:p w14:paraId="3F3D9412" w14:textId="6768F306" w:rsidR="00286052" w:rsidRPr="00E66809" w:rsidRDefault="00286052" w:rsidP="00352D2D">
            <w:pPr>
              <w:pStyle w:val="NormalWeb"/>
              <w:spacing w:before="0" w:beforeAutospacing="0" w:after="120" w:afterAutospacing="0"/>
              <w:jc w:val="both"/>
              <w:rPr>
                <w:rFonts w:ascii="Arial" w:hAnsi="Arial" w:cs="Arial"/>
                <w:sz w:val="22"/>
                <w:szCs w:val="22"/>
              </w:rPr>
            </w:pPr>
            <w:r w:rsidRPr="00E66809">
              <w:rPr>
                <w:rFonts w:ascii="Arial" w:hAnsi="Arial" w:cs="Arial"/>
                <w:sz w:val="22"/>
                <w:szCs w:val="22"/>
              </w:rPr>
              <w:t>Where a conflict of interest</w:t>
            </w:r>
            <w:r w:rsidR="00C04E2C">
              <w:rPr>
                <w:rFonts w:ascii="Arial" w:hAnsi="Arial" w:cs="Arial"/>
                <w:sz w:val="22"/>
                <w:szCs w:val="22"/>
              </w:rPr>
              <w:t xml:space="preserve"> (COI)</w:t>
            </w:r>
            <w:r w:rsidRPr="00E66809">
              <w:rPr>
                <w:rFonts w:ascii="Arial" w:hAnsi="Arial" w:cs="Arial"/>
                <w:sz w:val="22"/>
                <w:szCs w:val="22"/>
              </w:rPr>
              <w:t xml:space="preserve"> has been identified, please respond ‘</w:t>
            </w:r>
            <w:r w:rsidR="00762795">
              <w:rPr>
                <w:rFonts w:ascii="Arial" w:hAnsi="Arial" w:cs="Arial"/>
                <w:sz w:val="22"/>
                <w:szCs w:val="22"/>
              </w:rPr>
              <w:t>Yes</w:t>
            </w:r>
            <w:r w:rsidRPr="00E66809">
              <w:rPr>
                <w:rFonts w:ascii="Arial" w:hAnsi="Arial" w:cs="Arial"/>
                <w:sz w:val="22"/>
                <w:szCs w:val="22"/>
              </w:rPr>
              <w:t>’ and provide further details</w:t>
            </w:r>
            <w:r w:rsidR="00676764">
              <w:rPr>
                <w:rFonts w:ascii="Arial" w:hAnsi="Arial" w:cs="Arial"/>
                <w:sz w:val="22"/>
                <w:szCs w:val="22"/>
              </w:rPr>
              <w:t xml:space="preserve">, including the nature of the conflict, the </w:t>
            </w:r>
            <w:r w:rsidR="00E87D47">
              <w:rPr>
                <w:rFonts w:ascii="Arial" w:hAnsi="Arial" w:cs="Arial"/>
                <w:sz w:val="22"/>
                <w:szCs w:val="22"/>
              </w:rPr>
              <w:t>duration of the conflict,</w:t>
            </w:r>
            <w:r w:rsidR="00A74DFC">
              <w:rPr>
                <w:rFonts w:ascii="Arial" w:hAnsi="Arial" w:cs="Arial"/>
                <w:sz w:val="22"/>
                <w:szCs w:val="22"/>
              </w:rPr>
              <w:t xml:space="preserve"> the parties involved and your proposed mitigations</w:t>
            </w:r>
            <w:r>
              <w:rPr>
                <w:rFonts w:ascii="Arial" w:hAnsi="Arial" w:cs="Arial"/>
                <w:sz w:val="22"/>
                <w:szCs w:val="22"/>
              </w:rPr>
              <w:t>.</w:t>
            </w:r>
          </w:p>
          <w:p w14:paraId="38663ACD" w14:textId="3F55696F" w:rsidR="00286052" w:rsidRPr="00E66809" w:rsidRDefault="00286052" w:rsidP="00352D2D">
            <w:pPr>
              <w:pStyle w:val="NormalWeb"/>
              <w:spacing w:before="0" w:beforeAutospacing="0" w:after="120" w:afterAutospacing="0"/>
              <w:jc w:val="both"/>
              <w:rPr>
                <w:rFonts w:ascii="Arial" w:hAnsi="Arial" w:cs="Arial"/>
                <w:sz w:val="22"/>
                <w:szCs w:val="22"/>
              </w:rPr>
            </w:pPr>
            <w:r w:rsidRPr="00E66809">
              <w:rPr>
                <w:rFonts w:ascii="Arial" w:hAnsi="Arial" w:cs="Arial"/>
                <w:sz w:val="22"/>
                <w:szCs w:val="22"/>
              </w:rPr>
              <w:t xml:space="preserve">Where a </w:t>
            </w:r>
            <w:r w:rsidR="00FA5CF7">
              <w:rPr>
                <w:rFonts w:ascii="Arial" w:hAnsi="Arial" w:cs="Arial"/>
                <w:sz w:val="22"/>
                <w:szCs w:val="22"/>
              </w:rPr>
              <w:t>Supplier</w:t>
            </w:r>
            <w:r w:rsidRPr="00E66809">
              <w:rPr>
                <w:rFonts w:ascii="Arial" w:hAnsi="Arial" w:cs="Arial"/>
                <w:sz w:val="22"/>
                <w:szCs w:val="22"/>
              </w:rPr>
              <w:t xml:space="preserve"> identifies a potential COI, HMRC will look to remedy any COI without excluding the </w:t>
            </w:r>
            <w:r w:rsidR="00FA5CF7">
              <w:rPr>
                <w:rFonts w:ascii="Arial" w:hAnsi="Arial" w:cs="Arial"/>
                <w:sz w:val="22"/>
                <w:szCs w:val="22"/>
              </w:rPr>
              <w:t>Supplier</w:t>
            </w:r>
            <w:r w:rsidRPr="00E66809">
              <w:rPr>
                <w:rFonts w:ascii="Arial" w:hAnsi="Arial" w:cs="Arial"/>
                <w:sz w:val="22"/>
                <w:szCs w:val="22"/>
              </w:rPr>
              <w:t xml:space="preserve"> from the procurement process wherever possible. HMRC does however reserve the right to exclude the </w:t>
            </w:r>
            <w:r w:rsidR="00FA5CF7">
              <w:rPr>
                <w:rFonts w:ascii="Arial" w:hAnsi="Arial" w:cs="Arial"/>
                <w:sz w:val="22"/>
                <w:szCs w:val="22"/>
              </w:rPr>
              <w:t>Supplier</w:t>
            </w:r>
            <w:r w:rsidRPr="00E66809">
              <w:rPr>
                <w:rFonts w:ascii="Arial" w:hAnsi="Arial" w:cs="Arial"/>
                <w:sz w:val="22"/>
                <w:szCs w:val="22"/>
              </w:rPr>
              <w:t xml:space="preserve"> from this procurement process where such a COI cannot be remedied by other means, to the satisfaction of HMRC.</w:t>
            </w:r>
          </w:p>
          <w:p w14:paraId="12A20035" w14:textId="0BCE4901" w:rsidR="00286052" w:rsidRPr="0057198A" w:rsidRDefault="00286052" w:rsidP="00352D2D">
            <w:pPr>
              <w:pStyle w:val="NormalWeb"/>
              <w:spacing w:before="0" w:beforeAutospacing="0" w:after="120" w:afterAutospacing="0"/>
              <w:jc w:val="both"/>
              <w:rPr>
                <w:rFonts w:ascii="Arial" w:hAnsi="Arial" w:cs="Arial"/>
                <w:sz w:val="22"/>
                <w:szCs w:val="22"/>
              </w:rPr>
            </w:pPr>
            <w:r w:rsidRPr="00E66809">
              <w:rPr>
                <w:rFonts w:ascii="Arial" w:hAnsi="Arial" w:cs="Arial"/>
                <w:sz w:val="22"/>
                <w:szCs w:val="22"/>
              </w:rPr>
              <w:t xml:space="preserve">Withholding knowledge of a COI may result in disqualification from the </w:t>
            </w:r>
            <w:r w:rsidR="00C04E2C">
              <w:rPr>
                <w:rFonts w:ascii="Arial" w:hAnsi="Arial" w:cs="Arial"/>
                <w:sz w:val="22"/>
                <w:szCs w:val="22"/>
              </w:rPr>
              <w:t>procurement</w:t>
            </w:r>
            <w:r w:rsidRPr="00E66809">
              <w:rPr>
                <w:rFonts w:ascii="Arial" w:hAnsi="Arial" w:cs="Arial"/>
                <w:sz w:val="22"/>
                <w:szCs w:val="22"/>
              </w:rPr>
              <w:t xml:space="preserve"> exercise. Once a contract is awarded, the </w:t>
            </w:r>
            <w:r w:rsidR="00C04E2C">
              <w:rPr>
                <w:rFonts w:ascii="Arial" w:hAnsi="Arial" w:cs="Arial"/>
                <w:sz w:val="22"/>
                <w:szCs w:val="22"/>
              </w:rPr>
              <w:t>S</w:t>
            </w:r>
            <w:r w:rsidRPr="00E66809">
              <w:rPr>
                <w:rFonts w:ascii="Arial" w:hAnsi="Arial" w:cs="Arial"/>
                <w:sz w:val="22"/>
                <w:szCs w:val="22"/>
              </w:rPr>
              <w:t>upplier still has a continuing obligation to make HMRC aware of any new conflicts and to maintain where necessary any mitigating actions.</w:t>
            </w:r>
          </w:p>
        </w:tc>
        <w:tc>
          <w:tcPr>
            <w:tcW w:w="4127" w:type="dxa"/>
            <w:tcBorders>
              <w:top w:val="single" w:sz="6" w:space="0" w:color="000000" w:themeColor="text1"/>
              <w:bottom w:val="single" w:sz="6" w:space="0" w:color="000000" w:themeColor="text1"/>
            </w:tcBorders>
          </w:tcPr>
          <w:p w14:paraId="79554C9A" w14:textId="77777777" w:rsidR="00FC5051" w:rsidRPr="00FA307B" w:rsidRDefault="00FC5051" w:rsidP="00352D2D">
            <w:pPr>
              <w:tabs>
                <w:tab w:val="left" w:pos="594"/>
              </w:tabs>
              <w:spacing w:after="0" w:line="276" w:lineRule="auto"/>
              <w:jc w:val="both"/>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5868AB0D" w14:textId="075DD966" w:rsidR="00FC5051" w:rsidRDefault="00FC5051" w:rsidP="00352D2D">
            <w:pPr>
              <w:tabs>
                <w:tab w:val="left" w:pos="602"/>
              </w:tabs>
              <w:spacing w:after="0" w:line="276" w:lineRule="auto"/>
              <w:jc w:val="both"/>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0C0691F5" w14:textId="77777777" w:rsidR="00286052" w:rsidRPr="00E66809" w:rsidRDefault="00286052" w:rsidP="00352D2D">
            <w:pPr>
              <w:tabs>
                <w:tab w:val="left" w:pos="594"/>
              </w:tabs>
              <w:spacing w:after="0" w:line="276" w:lineRule="auto"/>
              <w:jc w:val="both"/>
              <w:rPr>
                <w:rFonts w:eastAsia="Times New Roman" w:cs="Calibri"/>
              </w:rPr>
            </w:pPr>
          </w:p>
          <w:p w14:paraId="731A25DD" w14:textId="77777777" w:rsidR="00286052" w:rsidRPr="00E66809" w:rsidRDefault="00286052" w:rsidP="00352D2D">
            <w:pPr>
              <w:tabs>
                <w:tab w:val="left" w:pos="594"/>
              </w:tabs>
              <w:spacing w:after="0" w:line="276" w:lineRule="auto"/>
              <w:jc w:val="both"/>
              <w:rPr>
                <w:rFonts w:eastAsia="Arial" w:cs="Arial"/>
              </w:rPr>
            </w:pPr>
          </w:p>
        </w:tc>
      </w:tr>
      <w:tr w:rsidR="00286052" w:rsidRPr="00420561" w14:paraId="19A6D452" w14:textId="77777777" w:rsidTr="006B0E8F">
        <w:trPr>
          <w:trHeight w:val="1056"/>
        </w:trPr>
        <w:tc>
          <w:tcPr>
            <w:tcW w:w="0" w:type="auto"/>
            <w:vMerge/>
          </w:tcPr>
          <w:p w14:paraId="193B369C" w14:textId="77777777" w:rsidR="00286052" w:rsidRPr="00E66809" w:rsidRDefault="00286052" w:rsidP="00352D2D">
            <w:pPr>
              <w:spacing w:after="0" w:line="276" w:lineRule="auto"/>
              <w:jc w:val="both"/>
              <w:rPr>
                <w:rFonts w:eastAsia="Arial" w:cs="Arial"/>
                <w:b/>
              </w:rPr>
            </w:pPr>
          </w:p>
        </w:tc>
        <w:tc>
          <w:tcPr>
            <w:tcW w:w="7694" w:type="dxa"/>
            <w:vMerge/>
          </w:tcPr>
          <w:p w14:paraId="0FAAAFAE" w14:textId="77777777" w:rsidR="00286052" w:rsidRPr="00E66809" w:rsidRDefault="00286052" w:rsidP="00352D2D">
            <w:pPr>
              <w:pStyle w:val="NormalWeb"/>
              <w:spacing w:before="0" w:beforeAutospacing="0" w:after="120" w:afterAutospacing="0"/>
              <w:jc w:val="both"/>
              <w:rPr>
                <w:rFonts w:ascii="Arial" w:hAnsi="Arial" w:cs="Arial"/>
                <w:sz w:val="22"/>
                <w:szCs w:val="22"/>
              </w:rPr>
            </w:pPr>
          </w:p>
        </w:tc>
        <w:tc>
          <w:tcPr>
            <w:tcW w:w="4127" w:type="dxa"/>
            <w:tcBorders>
              <w:top w:val="single" w:sz="6" w:space="0" w:color="000000" w:themeColor="text1"/>
              <w:bottom w:val="single" w:sz="6" w:space="0" w:color="000000" w:themeColor="text1"/>
            </w:tcBorders>
          </w:tcPr>
          <w:p w14:paraId="222251BF" w14:textId="77777777" w:rsidR="00286052" w:rsidRPr="00E66809" w:rsidRDefault="00286052" w:rsidP="00352D2D">
            <w:pPr>
              <w:tabs>
                <w:tab w:val="left" w:pos="591"/>
              </w:tabs>
              <w:spacing w:after="0" w:line="276" w:lineRule="auto"/>
              <w:jc w:val="both"/>
              <w:rPr>
                <w:rFonts w:eastAsia="Arial" w:cs="Calibri"/>
              </w:rPr>
            </w:pPr>
            <w:r w:rsidRPr="00E66809">
              <w:rPr>
                <w:rFonts w:eastAsia="Arial" w:cs="Calibri"/>
              </w:rPr>
              <w:t>[If a conflict of interest has been identified, provide further detail here]</w:t>
            </w:r>
          </w:p>
        </w:tc>
      </w:tr>
      <w:tr w:rsidR="00DE46C8" w:rsidRPr="00420561" w14:paraId="60801C0E" w14:textId="77777777" w:rsidTr="006B0E8F">
        <w:trPr>
          <w:trHeight w:val="3700"/>
        </w:trPr>
        <w:tc>
          <w:tcPr>
            <w:tcW w:w="0" w:type="auto"/>
            <w:vMerge w:val="restart"/>
            <w:shd w:val="clear" w:color="auto" w:fill="F2F2F2" w:themeFill="background1" w:themeFillShade="F2"/>
          </w:tcPr>
          <w:p w14:paraId="78DDD4FD" w14:textId="4CAB3642" w:rsidR="00DE46C8" w:rsidRPr="00E66809" w:rsidRDefault="00DE46C8" w:rsidP="00CD1F05">
            <w:pPr>
              <w:spacing w:after="0" w:line="276" w:lineRule="auto"/>
              <w:jc w:val="both"/>
              <w:rPr>
                <w:rFonts w:eastAsia="Arial" w:cs="Arial"/>
                <w:b/>
              </w:rPr>
            </w:pPr>
            <w:r w:rsidRPr="00E66809">
              <w:rPr>
                <w:rFonts w:eastAsia="Arial" w:cs="Arial"/>
                <w:b/>
              </w:rPr>
              <w:t>3.3</w:t>
            </w:r>
            <w:r>
              <w:rPr>
                <w:rFonts w:eastAsia="Arial" w:cs="Arial"/>
                <w:b/>
              </w:rPr>
              <w:t>2</w:t>
            </w:r>
          </w:p>
        </w:tc>
        <w:tc>
          <w:tcPr>
            <w:tcW w:w="7694" w:type="dxa"/>
            <w:vMerge w:val="restart"/>
            <w:shd w:val="clear" w:color="auto" w:fill="F2F2F2" w:themeFill="background1" w:themeFillShade="F2"/>
          </w:tcPr>
          <w:p w14:paraId="44927C66" w14:textId="0E143944" w:rsidR="00DE46C8" w:rsidRPr="00DB39AD" w:rsidRDefault="00DE46C8" w:rsidP="00DB39AD">
            <w:pPr>
              <w:jc w:val="both"/>
              <w:rPr>
                <w:rFonts w:cs="Arial"/>
              </w:rPr>
            </w:pPr>
            <w:r w:rsidRPr="000F0227">
              <w:rPr>
                <w:rFonts w:cs="Arial"/>
              </w:rPr>
              <w:t xml:space="preserve">Where a </w:t>
            </w:r>
            <w:r w:rsidR="00C04E2C">
              <w:rPr>
                <w:rFonts w:cs="Arial"/>
              </w:rPr>
              <w:t>Supplier</w:t>
            </w:r>
            <w:r w:rsidRPr="000F0227">
              <w:rPr>
                <w:rFonts w:cs="Arial"/>
              </w:rPr>
              <w:t xml:space="preserve"> is deemed to be an incumbent</w:t>
            </w:r>
            <w:r w:rsidRPr="000F0227">
              <w:rPr>
                <w:rFonts w:cs="Arial"/>
                <w:vertAlign w:val="superscript"/>
              </w:rPr>
              <w:t>1</w:t>
            </w:r>
            <w:r w:rsidRPr="000F0227">
              <w:rPr>
                <w:rFonts w:cs="Arial"/>
              </w:rPr>
              <w:t xml:space="preserve"> </w:t>
            </w:r>
            <w:r w:rsidR="00762795">
              <w:rPr>
                <w:rFonts w:cs="Arial"/>
              </w:rPr>
              <w:t>S</w:t>
            </w:r>
            <w:r w:rsidRPr="000F0227">
              <w:rPr>
                <w:rFonts w:cs="Arial"/>
              </w:rPr>
              <w:t xml:space="preserve">upplier to HMRC, an Ethical Wall Agreement is required to be </w:t>
            </w:r>
            <w:r>
              <w:rPr>
                <w:rFonts w:cs="Arial"/>
              </w:rPr>
              <w:t xml:space="preserve">in place </w:t>
            </w:r>
            <w:r w:rsidRPr="000F0227">
              <w:rPr>
                <w:rFonts w:cs="Arial"/>
              </w:rPr>
              <w:t xml:space="preserve">in order for that </w:t>
            </w:r>
            <w:r w:rsidR="00C04E2C">
              <w:rPr>
                <w:rFonts w:cs="Arial"/>
              </w:rPr>
              <w:t>Supplier</w:t>
            </w:r>
            <w:r w:rsidRPr="000F0227">
              <w:rPr>
                <w:rFonts w:cs="Arial"/>
              </w:rPr>
              <w:t xml:space="preserve"> to access the Invitation to Submit Initial Tender (ITSIT) documentation. An Ethical Wall Agreement will only be required </w:t>
            </w:r>
            <w:r>
              <w:rPr>
                <w:rFonts w:cs="Arial"/>
              </w:rPr>
              <w:t xml:space="preserve">to be countersigned </w:t>
            </w:r>
            <w:r w:rsidRPr="000F0227">
              <w:rPr>
                <w:rFonts w:cs="Arial"/>
              </w:rPr>
              <w:t xml:space="preserve">once </w:t>
            </w:r>
            <w:r w:rsidR="00C04E2C">
              <w:rPr>
                <w:rFonts w:cs="Arial"/>
              </w:rPr>
              <w:t>Suppliers</w:t>
            </w:r>
            <w:r w:rsidRPr="000F0227">
              <w:rPr>
                <w:rFonts w:cs="Arial"/>
              </w:rPr>
              <w:t xml:space="preserve"> have received confirmation that they have been down-selected and will proceed to the Invitation to Submit Initial Tender (ITSIT) stage.</w:t>
            </w:r>
            <w:r>
              <w:rPr>
                <w:rFonts w:cs="Arial"/>
              </w:rPr>
              <w:t xml:space="preserve"> </w:t>
            </w:r>
          </w:p>
          <w:p w14:paraId="42BB1CD6" w14:textId="70A464A6" w:rsidR="00DE46C8" w:rsidRPr="000F0227" w:rsidRDefault="00DE46C8" w:rsidP="000F0227">
            <w:pPr>
              <w:jc w:val="both"/>
              <w:rPr>
                <w:rFonts w:cs="Arial"/>
              </w:rPr>
            </w:pPr>
            <w:r w:rsidRPr="000F0227">
              <w:rPr>
                <w:rFonts w:cs="Arial"/>
                <w:vertAlign w:val="superscript"/>
              </w:rPr>
              <w:t>1</w:t>
            </w:r>
            <w:r w:rsidRPr="000F0227">
              <w:rPr>
                <w:rFonts w:cs="Arial"/>
              </w:rPr>
              <w:t xml:space="preserve">A </w:t>
            </w:r>
            <w:r w:rsidR="00C04E2C">
              <w:rPr>
                <w:rFonts w:cs="Arial"/>
              </w:rPr>
              <w:t>Supplier</w:t>
            </w:r>
            <w:r w:rsidRPr="000F0227">
              <w:rPr>
                <w:rFonts w:cs="Arial"/>
              </w:rPr>
              <w:t xml:space="preserve"> will be considered an incumbent </w:t>
            </w:r>
            <w:r w:rsidR="00762795">
              <w:rPr>
                <w:rFonts w:cs="Arial"/>
              </w:rPr>
              <w:t>S</w:t>
            </w:r>
            <w:r w:rsidRPr="000F0227">
              <w:rPr>
                <w:rFonts w:cs="Arial"/>
              </w:rPr>
              <w:t>upplier if they:</w:t>
            </w:r>
          </w:p>
          <w:p w14:paraId="1F4E1808" w14:textId="77777777" w:rsidR="00DE46C8" w:rsidRPr="00AD19D7" w:rsidRDefault="00DE46C8" w:rsidP="00AD19D7">
            <w:pPr>
              <w:pStyle w:val="ListParagraph"/>
              <w:numPr>
                <w:ilvl w:val="0"/>
                <w:numId w:val="78"/>
              </w:numPr>
              <w:jc w:val="both"/>
              <w:rPr>
                <w:rFonts w:cs="Arial"/>
              </w:rPr>
            </w:pPr>
            <w:r w:rsidRPr="00AD19D7">
              <w:rPr>
                <w:rFonts w:cs="Arial"/>
              </w:rPr>
              <w:t>currently provide or deliver Customer Relationship Management-related platforms or services for HMRC, or</w:t>
            </w:r>
          </w:p>
          <w:p w14:paraId="11FCC007" w14:textId="77777777" w:rsidR="00DE46C8" w:rsidRPr="00AD19D7" w:rsidRDefault="00DE46C8" w:rsidP="00AD19D7">
            <w:pPr>
              <w:pStyle w:val="ListParagraph"/>
              <w:numPr>
                <w:ilvl w:val="0"/>
                <w:numId w:val="78"/>
              </w:numPr>
              <w:jc w:val="both"/>
              <w:rPr>
                <w:rFonts w:cs="Arial"/>
              </w:rPr>
            </w:pPr>
            <w:r w:rsidRPr="00AD19D7">
              <w:rPr>
                <w:rFonts w:cs="Arial"/>
              </w:rPr>
              <w:lastRenderedPageBreak/>
              <w:t>currently provide or deliver integrations that form part of HMRC's IT Customer Relationship Management estate or integrate with other areas within HMRC's IT estate.</w:t>
            </w:r>
          </w:p>
          <w:p w14:paraId="1FBEC47C" w14:textId="209170AF" w:rsidR="00DE46C8" w:rsidRPr="004C00FA" w:rsidRDefault="00DE46C8" w:rsidP="004C00FA">
            <w:pPr>
              <w:pStyle w:val="NormalWeb"/>
              <w:spacing w:after="120"/>
              <w:jc w:val="both"/>
              <w:rPr>
                <w:rFonts w:ascii="Arial" w:hAnsi="Arial" w:cs="Arial"/>
                <w:sz w:val="22"/>
                <w:szCs w:val="22"/>
              </w:rPr>
            </w:pPr>
            <w:r w:rsidRPr="004C00FA">
              <w:rPr>
                <w:rFonts w:ascii="Arial" w:hAnsi="Arial" w:cs="Arial"/>
                <w:sz w:val="22"/>
                <w:szCs w:val="22"/>
              </w:rPr>
              <w:t xml:space="preserve">Where an Ethical Wall Agreement is likely to be required, the </w:t>
            </w:r>
            <w:r w:rsidR="00C04E2C">
              <w:rPr>
                <w:rFonts w:ascii="Arial" w:hAnsi="Arial" w:cs="Arial"/>
                <w:sz w:val="22"/>
                <w:szCs w:val="22"/>
              </w:rPr>
              <w:t>Supplier</w:t>
            </w:r>
            <w:r w:rsidRPr="004C00FA">
              <w:rPr>
                <w:rFonts w:ascii="Arial" w:hAnsi="Arial" w:cs="Arial"/>
                <w:sz w:val="22"/>
                <w:szCs w:val="22"/>
              </w:rPr>
              <w:t xml:space="preserve"> must </w:t>
            </w:r>
            <w:r w:rsidR="006E7E4A">
              <w:rPr>
                <w:rFonts w:ascii="Arial" w:hAnsi="Arial" w:cs="Arial"/>
                <w:sz w:val="22"/>
                <w:szCs w:val="22"/>
              </w:rPr>
              <w:t xml:space="preserve">complete Appendix 1 of the Ethical Wall </w:t>
            </w:r>
            <w:r w:rsidR="00D14D61">
              <w:rPr>
                <w:rFonts w:ascii="Arial" w:hAnsi="Arial" w:cs="Arial"/>
                <w:sz w:val="22"/>
                <w:szCs w:val="22"/>
              </w:rPr>
              <w:t xml:space="preserve">Agreement </w:t>
            </w:r>
            <w:r w:rsidR="00D14D61" w:rsidRPr="004C00FA">
              <w:rPr>
                <w:rFonts w:ascii="Arial" w:hAnsi="Arial" w:cs="Arial"/>
                <w:sz w:val="22"/>
                <w:szCs w:val="22"/>
              </w:rPr>
              <w:t>as</w:t>
            </w:r>
            <w:r w:rsidRPr="004C00FA">
              <w:rPr>
                <w:rFonts w:ascii="Arial" w:hAnsi="Arial" w:cs="Arial"/>
                <w:sz w:val="22"/>
                <w:szCs w:val="22"/>
              </w:rPr>
              <w:t xml:space="preserve"> part of their Conditions of Participation submission </w:t>
            </w:r>
            <w:r w:rsidR="00E13EAA">
              <w:rPr>
                <w:rFonts w:ascii="Arial" w:hAnsi="Arial" w:cs="Arial"/>
                <w:sz w:val="22"/>
                <w:szCs w:val="22"/>
              </w:rPr>
              <w:t>and confirm</w:t>
            </w:r>
            <w:r w:rsidRPr="004C00FA">
              <w:rPr>
                <w:rFonts w:ascii="Arial" w:hAnsi="Arial" w:cs="Arial"/>
                <w:sz w:val="22"/>
                <w:szCs w:val="22"/>
              </w:rPr>
              <w:t xml:space="preserve"> it</w:t>
            </w:r>
            <w:r w:rsidR="00E13EAA">
              <w:rPr>
                <w:rFonts w:ascii="Arial" w:hAnsi="Arial" w:cs="Arial"/>
                <w:sz w:val="22"/>
                <w:szCs w:val="22"/>
              </w:rPr>
              <w:t>’</w:t>
            </w:r>
            <w:r w:rsidRPr="004C00FA">
              <w:rPr>
                <w:rFonts w:ascii="Arial" w:hAnsi="Arial" w:cs="Arial"/>
                <w:sz w:val="22"/>
                <w:szCs w:val="22"/>
              </w:rPr>
              <w:t>s headline ethical wall position. This will comprise of:</w:t>
            </w:r>
          </w:p>
          <w:p w14:paraId="7484806A" w14:textId="283A9A05" w:rsidR="00DE46C8" w:rsidRPr="004C00FA" w:rsidRDefault="00DE46C8" w:rsidP="004C00FA">
            <w:pPr>
              <w:pStyle w:val="NormalWeb"/>
              <w:spacing w:after="120"/>
              <w:jc w:val="both"/>
              <w:rPr>
                <w:rFonts w:ascii="Arial" w:hAnsi="Arial" w:cs="Arial"/>
                <w:sz w:val="22"/>
                <w:szCs w:val="22"/>
              </w:rPr>
            </w:pPr>
            <w:r w:rsidRPr="004C00FA">
              <w:rPr>
                <w:rFonts w:ascii="Arial" w:hAnsi="Arial" w:cs="Arial"/>
                <w:sz w:val="22"/>
                <w:szCs w:val="22"/>
              </w:rPr>
              <w:t>(a)</w:t>
            </w:r>
            <w:r w:rsidRPr="004C00FA">
              <w:rPr>
                <w:rFonts w:ascii="Arial" w:hAnsi="Arial" w:cs="Arial"/>
                <w:sz w:val="22"/>
                <w:szCs w:val="22"/>
              </w:rPr>
              <w:tab/>
              <w:t xml:space="preserve">an indication of the </w:t>
            </w:r>
            <w:r w:rsidR="00C04E2C">
              <w:rPr>
                <w:rFonts w:ascii="Arial" w:hAnsi="Arial" w:cs="Arial"/>
                <w:sz w:val="22"/>
                <w:szCs w:val="22"/>
              </w:rPr>
              <w:t>Supplier</w:t>
            </w:r>
            <w:r w:rsidRPr="004C00FA">
              <w:rPr>
                <w:rFonts w:ascii="Arial" w:hAnsi="Arial" w:cs="Arial"/>
                <w:sz w:val="22"/>
                <w:szCs w:val="22"/>
              </w:rPr>
              <w:t>’s intention to ensure a demarcation between bid teams and delivery personnel to HMRC, and</w:t>
            </w:r>
          </w:p>
          <w:p w14:paraId="3C2B7D06" w14:textId="7D4F5FF1" w:rsidR="00C04E2C" w:rsidRDefault="00DE46C8" w:rsidP="004C00FA">
            <w:pPr>
              <w:pStyle w:val="NormalWeb"/>
              <w:spacing w:before="0" w:beforeAutospacing="0" w:after="120" w:afterAutospacing="0"/>
              <w:jc w:val="both"/>
              <w:rPr>
                <w:rFonts w:ascii="Arial" w:hAnsi="Arial" w:cs="Arial"/>
                <w:sz w:val="22"/>
                <w:szCs w:val="22"/>
              </w:rPr>
            </w:pPr>
            <w:r w:rsidRPr="004C00FA">
              <w:rPr>
                <w:rFonts w:ascii="Arial" w:hAnsi="Arial" w:cs="Arial"/>
                <w:sz w:val="22"/>
                <w:szCs w:val="22"/>
              </w:rPr>
              <w:t>(b)</w:t>
            </w:r>
            <w:r w:rsidRPr="004C00FA">
              <w:rPr>
                <w:rFonts w:ascii="Arial" w:hAnsi="Arial" w:cs="Arial"/>
                <w:sz w:val="22"/>
                <w:szCs w:val="22"/>
              </w:rPr>
              <w:tab/>
              <w:t>evidence of the above, which shall include named individuals and their allocation across the bid team and existing delivery personnel.</w:t>
            </w:r>
          </w:p>
          <w:p w14:paraId="21D5741B" w14:textId="77777777" w:rsidR="00C04E2C" w:rsidRDefault="00C04E2C" w:rsidP="00C04E2C">
            <w:pPr>
              <w:pStyle w:val="NormalWeb"/>
              <w:spacing w:before="0" w:beforeAutospacing="0" w:after="0" w:afterAutospacing="0"/>
              <w:jc w:val="both"/>
              <w:rPr>
                <w:rFonts w:ascii="Arial" w:hAnsi="Arial" w:cs="Arial"/>
                <w:sz w:val="22"/>
                <w:szCs w:val="22"/>
              </w:rPr>
            </w:pPr>
          </w:p>
          <w:p w14:paraId="2C92831E" w14:textId="3364889E" w:rsidR="00DE46C8" w:rsidRDefault="00DE46C8" w:rsidP="004C00FA">
            <w:pPr>
              <w:pStyle w:val="NormalWeb"/>
              <w:spacing w:before="0" w:beforeAutospacing="0" w:after="120" w:afterAutospacing="0"/>
              <w:jc w:val="both"/>
              <w:rPr>
                <w:rFonts w:ascii="Arial" w:hAnsi="Arial" w:cs="Arial"/>
                <w:sz w:val="22"/>
                <w:szCs w:val="22"/>
              </w:rPr>
            </w:pPr>
            <w:r>
              <w:rPr>
                <w:rFonts w:ascii="Arial" w:hAnsi="Arial" w:cs="Arial"/>
                <w:sz w:val="22"/>
                <w:szCs w:val="22"/>
              </w:rPr>
              <w:t xml:space="preserve">Suppliers should complete the attached Ethical Wall Agreement template if they believe themselves to be considered an incumbent supplier as per the definition above. </w:t>
            </w:r>
          </w:p>
          <w:p w14:paraId="7140EA5D" w14:textId="7CB6567E" w:rsidR="0002668D" w:rsidRPr="00E66809" w:rsidRDefault="00DE46C8" w:rsidP="004C00FA">
            <w:pPr>
              <w:pStyle w:val="NormalWeb"/>
              <w:spacing w:before="0" w:beforeAutospacing="0" w:after="120" w:afterAutospacing="0"/>
              <w:jc w:val="both"/>
              <w:rPr>
                <w:rFonts w:ascii="Arial" w:hAnsi="Arial" w:cs="Arial"/>
                <w:sz w:val="22"/>
                <w:szCs w:val="22"/>
              </w:rPr>
            </w:pPr>
            <w:r>
              <w:rPr>
                <w:rFonts w:ascii="Arial" w:hAnsi="Arial" w:cs="Arial"/>
                <w:sz w:val="22"/>
                <w:szCs w:val="22"/>
              </w:rPr>
              <w:t xml:space="preserve">If </w:t>
            </w:r>
            <w:r w:rsidR="00C04E2C">
              <w:rPr>
                <w:rFonts w:ascii="Arial" w:hAnsi="Arial" w:cs="Arial"/>
                <w:sz w:val="22"/>
                <w:szCs w:val="22"/>
              </w:rPr>
              <w:t>S</w:t>
            </w:r>
            <w:r>
              <w:rPr>
                <w:rFonts w:ascii="Arial" w:hAnsi="Arial" w:cs="Arial"/>
                <w:sz w:val="22"/>
                <w:szCs w:val="22"/>
              </w:rPr>
              <w:t>uppliers are unsure if they need to complete the Ethical Wall Agreement template, they should contact HMRC through the SAP Ariba messaging portal.</w:t>
            </w:r>
          </w:p>
        </w:tc>
        <w:tc>
          <w:tcPr>
            <w:tcW w:w="4127" w:type="dxa"/>
            <w:tcBorders>
              <w:top w:val="single" w:sz="6" w:space="0" w:color="000000" w:themeColor="text1"/>
              <w:bottom w:val="single" w:sz="6" w:space="0" w:color="000000" w:themeColor="text1"/>
            </w:tcBorders>
          </w:tcPr>
          <w:p w14:paraId="17BD0AD8" w14:textId="5BD06445" w:rsidR="00DE46C8" w:rsidRDefault="00DE46C8" w:rsidP="00CD1F05">
            <w:pPr>
              <w:tabs>
                <w:tab w:val="left" w:pos="594"/>
              </w:tabs>
              <w:spacing w:after="0" w:line="276" w:lineRule="auto"/>
              <w:jc w:val="both"/>
              <w:rPr>
                <w:rFonts w:eastAsia="Arial" w:cs="Calibri"/>
              </w:rPr>
            </w:pPr>
            <w:r>
              <w:rPr>
                <w:rFonts w:eastAsia="Arial" w:cs="Calibri"/>
              </w:rPr>
              <w:lastRenderedPageBreak/>
              <w:t xml:space="preserve">Do you consider yourself to be an incumbent </w:t>
            </w:r>
            <w:r w:rsidR="00762795">
              <w:rPr>
                <w:rFonts w:eastAsia="Arial" w:cs="Calibri"/>
              </w:rPr>
              <w:t>S</w:t>
            </w:r>
            <w:r>
              <w:rPr>
                <w:rFonts w:eastAsia="Arial" w:cs="Calibri"/>
              </w:rPr>
              <w:t>upplier to HMRC, and as such in need of completing an Ethical Wall Agreement:</w:t>
            </w:r>
          </w:p>
          <w:p w14:paraId="224449E7" w14:textId="652A02DF" w:rsidR="00DE46C8" w:rsidRPr="00FA307B" w:rsidRDefault="00DE46C8" w:rsidP="00CD1F05">
            <w:pPr>
              <w:tabs>
                <w:tab w:val="left" w:pos="594"/>
              </w:tabs>
              <w:spacing w:after="0" w:line="276" w:lineRule="auto"/>
              <w:jc w:val="both"/>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30D3D918" w14:textId="77777777" w:rsidR="00DE46C8" w:rsidRDefault="00DE46C8" w:rsidP="00CD1F05">
            <w:pPr>
              <w:tabs>
                <w:tab w:val="left" w:pos="602"/>
              </w:tabs>
              <w:spacing w:after="0" w:line="276" w:lineRule="auto"/>
              <w:jc w:val="both"/>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4A3C2DB5" w14:textId="77777777" w:rsidR="00DE46C8" w:rsidRPr="00E66809" w:rsidRDefault="00DE46C8" w:rsidP="00CD1F05">
            <w:pPr>
              <w:tabs>
                <w:tab w:val="left" w:pos="594"/>
              </w:tabs>
              <w:spacing w:after="0" w:line="276" w:lineRule="auto"/>
              <w:jc w:val="both"/>
              <w:rPr>
                <w:rFonts w:eastAsia="Times New Roman" w:cs="Calibri"/>
              </w:rPr>
            </w:pPr>
          </w:p>
          <w:p w14:paraId="626BE6BF" w14:textId="0F12C5AA" w:rsidR="00DE46C8" w:rsidRPr="00E66809" w:rsidRDefault="00DE46C8" w:rsidP="00CD1F05">
            <w:pPr>
              <w:tabs>
                <w:tab w:val="left" w:pos="591"/>
              </w:tabs>
              <w:spacing w:after="0" w:line="276" w:lineRule="auto"/>
              <w:jc w:val="both"/>
              <w:rPr>
                <w:rFonts w:eastAsia="Arial" w:cs="Calibri"/>
              </w:rPr>
            </w:pPr>
          </w:p>
        </w:tc>
      </w:tr>
      <w:tr w:rsidR="00DE46C8" w:rsidRPr="00420561" w14:paraId="721E30BC" w14:textId="77777777" w:rsidTr="006B0E8F">
        <w:trPr>
          <w:trHeight w:val="3700"/>
        </w:trPr>
        <w:tc>
          <w:tcPr>
            <w:tcW w:w="0" w:type="auto"/>
            <w:vMerge/>
            <w:shd w:val="clear" w:color="auto" w:fill="F2F2F2" w:themeFill="background1" w:themeFillShade="F2"/>
          </w:tcPr>
          <w:p w14:paraId="38A12F0C" w14:textId="77777777" w:rsidR="00DE46C8" w:rsidRPr="00E66809" w:rsidRDefault="00DE46C8" w:rsidP="00CD1F05">
            <w:pPr>
              <w:spacing w:after="0" w:line="276" w:lineRule="auto"/>
              <w:jc w:val="both"/>
              <w:rPr>
                <w:rFonts w:eastAsia="Arial" w:cs="Arial"/>
                <w:b/>
              </w:rPr>
            </w:pPr>
          </w:p>
        </w:tc>
        <w:tc>
          <w:tcPr>
            <w:tcW w:w="7694" w:type="dxa"/>
            <w:vMerge/>
            <w:shd w:val="clear" w:color="auto" w:fill="F2F2F2" w:themeFill="background1" w:themeFillShade="F2"/>
          </w:tcPr>
          <w:p w14:paraId="1A96ACFD" w14:textId="77777777" w:rsidR="00DE46C8" w:rsidRPr="000F0227" w:rsidRDefault="00DE46C8" w:rsidP="00DB39AD">
            <w:pPr>
              <w:jc w:val="both"/>
              <w:rPr>
                <w:rFonts w:cs="Arial"/>
              </w:rPr>
            </w:pPr>
          </w:p>
        </w:tc>
        <w:tc>
          <w:tcPr>
            <w:tcW w:w="4127" w:type="dxa"/>
            <w:tcBorders>
              <w:top w:val="single" w:sz="6" w:space="0" w:color="000000" w:themeColor="text1"/>
              <w:bottom w:val="single" w:sz="6" w:space="0" w:color="000000" w:themeColor="text1"/>
            </w:tcBorders>
          </w:tcPr>
          <w:p w14:paraId="5AF4AF75" w14:textId="77777777" w:rsidR="00DE46C8" w:rsidRDefault="007F78F9" w:rsidP="00CD1F05">
            <w:pPr>
              <w:tabs>
                <w:tab w:val="left" w:pos="594"/>
              </w:tabs>
              <w:spacing w:after="0" w:line="276" w:lineRule="auto"/>
              <w:jc w:val="both"/>
              <w:rPr>
                <w:rFonts w:eastAsia="Arial" w:cs="Calibri"/>
              </w:rPr>
            </w:pPr>
            <w:r>
              <w:rPr>
                <w:rFonts w:eastAsia="Arial" w:cs="Calibri"/>
              </w:rPr>
              <w:t>[</w:t>
            </w:r>
            <w:r w:rsidR="00DE46C8">
              <w:rPr>
                <w:rFonts w:eastAsia="Arial" w:cs="Calibri"/>
              </w:rPr>
              <w:t>If yes, please upload a completed Ethical Wall Agreement to this question</w:t>
            </w:r>
            <w:r>
              <w:rPr>
                <w:rFonts w:eastAsia="Arial" w:cs="Calibri"/>
              </w:rPr>
              <w:t>]</w:t>
            </w:r>
          </w:p>
          <w:p w14:paraId="1A8F6528" w14:textId="77777777" w:rsidR="0002668D" w:rsidRDefault="0002668D" w:rsidP="00CD1F05">
            <w:pPr>
              <w:tabs>
                <w:tab w:val="left" w:pos="594"/>
              </w:tabs>
              <w:spacing w:after="0" w:line="276" w:lineRule="auto"/>
              <w:jc w:val="both"/>
              <w:rPr>
                <w:rFonts w:eastAsia="Arial" w:cs="Calibri"/>
              </w:rPr>
            </w:pPr>
          </w:p>
          <w:p w14:paraId="21772048" w14:textId="2BBB4B20" w:rsidR="0002668D" w:rsidRDefault="0002668D" w:rsidP="00CD1F05">
            <w:pPr>
              <w:tabs>
                <w:tab w:val="left" w:pos="594"/>
              </w:tabs>
              <w:spacing w:after="0" w:line="276" w:lineRule="auto"/>
              <w:jc w:val="both"/>
              <w:rPr>
                <w:rFonts w:eastAsia="Arial" w:cs="Calibri"/>
              </w:rPr>
            </w:pPr>
            <w:r>
              <w:rPr>
                <w:rFonts w:eastAsia="Arial" w:cs="Calibri"/>
              </w:rPr>
              <w:t xml:space="preserve">Note: This document does not require execution by the Supplier as part of </w:t>
            </w:r>
            <w:proofErr w:type="spellStart"/>
            <w:proofErr w:type="gramStart"/>
            <w:r>
              <w:rPr>
                <w:rFonts w:eastAsia="Arial" w:cs="Calibri"/>
              </w:rPr>
              <w:t>it’s</w:t>
            </w:r>
            <w:proofErr w:type="spellEnd"/>
            <w:proofErr w:type="gramEnd"/>
            <w:r>
              <w:rPr>
                <w:rFonts w:eastAsia="Arial" w:cs="Calibri"/>
              </w:rPr>
              <w:t xml:space="preserve"> CoP response</w:t>
            </w:r>
          </w:p>
        </w:tc>
      </w:tr>
      <w:tr w:rsidR="007F78F9" w:rsidRPr="00420561" w14:paraId="33E7E8A4" w14:textId="77777777" w:rsidTr="006B0E8F">
        <w:trPr>
          <w:trHeight w:val="1309"/>
        </w:trPr>
        <w:tc>
          <w:tcPr>
            <w:tcW w:w="0" w:type="auto"/>
            <w:vMerge w:val="restart"/>
            <w:shd w:val="clear" w:color="auto" w:fill="F2F2F2" w:themeFill="background1" w:themeFillShade="F2"/>
          </w:tcPr>
          <w:p w14:paraId="07F950EE" w14:textId="68D3E76F" w:rsidR="007F78F9" w:rsidRPr="00E66809" w:rsidRDefault="007F78F9" w:rsidP="00CD1F05">
            <w:pPr>
              <w:spacing w:after="0" w:line="276" w:lineRule="auto"/>
              <w:jc w:val="both"/>
              <w:rPr>
                <w:rFonts w:eastAsia="Arial" w:cs="Arial"/>
                <w:b/>
              </w:rPr>
            </w:pPr>
            <w:r w:rsidRPr="00E66809">
              <w:rPr>
                <w:rFonts w:eastAsia="Arial" w:cs="Arial"/>
                <w:b/>
              </w:rPr>
              <w:t>3.3</w:t>
            </w:r>
            <w:r>
              <w:rPr>
                <w:rFonts w:eastAsia="Arial" w:cs="Arial"/>
                <w:b/>
              </w:rPr>
              <w:t>3</w:t>
            </w:r>
          </w:p>
        </w:tc>
        <w:tc>
          <w:tcPr>
            <w:tcW w:w="7694" w:type="dxa"/>
            <w:vMerge w:val="restart"/>
            <w:shd w:val="clear" w:color="auto" w:fill="F2F2F2" w:themeFill="background1" w:themeFillShade="F2"/>
          </w:tcPr>
          <w:p w14:paraId="67A78906" w14:textId="2066FB6C" w:rsidR="007F78F9" w:rsidRDefault="007F78F9" w:rsidP="00CD1F05">
            <w:pPr>
              <w:pStyle w:val="NormalWeb"/>
              <w:spacing w:before="0" w:beforeAutospacing="0" w:after="120" w:afterAutospacing="0"/>
              <w:jc w:val="both"/>
              <w:rPr>
                <w:rFonts w:ascii="Arial" w:hAnsi="Arial" w:cs="Arial"/>
                <w:sz w:val="22"/>
                <w:szCs w:val="22"/>
              </w:rPr>
            </w:pPr>
            <w:r>
              <w:rPr>
                <w:rFonts w:ascii="Arial" w:hAnsi="Arial" w:cs="Arial"/>
                <w:sz w:val="22"/>
                <w:szCs w:val="22"/>
              </w:rPr>
              <w:t>Suppliers that are successful at the Conditions of Participation stage and are down</w:t>
            </w:r>
            <w:r w:rsidR="00B662D1">
              <w:rPr>
                <w:rFonts w:ascii="Arial" w:hAnsi="Arial" w:cs="Arial"/>
                <w:sz w:val="22"/>
                <w:szCs w:val="22"/>
              </w:rPr>
              <w:t>-</w:t>
            </w:r>
            <w:r>
              <w:rPr>
                <w:rFonts w:ascii="Arial" w:hAnsi="Arial" w:cs="Arial"/>
                <w:sz w:val="22"/>
                <w:szCs w:val="22"/>
              </w:rPr>
              <w:t xml:space="preserve">selected for the </w:t>
            </w:r>
            <w:r w:rsidRPr="005D6FB6">
              <w:rPr>
                <w:rFonts w:ascii="Arial" w:hAnsi="Arial" w:cs="Arial"/>
                <w:sz w:val="22"/>
                <w:szCs w:val="22"/>
              </w:rPr>
              <w:t>Invitation to Submit Initial Tender (ITSIT)</w:t>
            </w:r>
            <w:r>
              <w:rPr>
                <w:rFonts w:ascii="Arial" w:hAnsi="Arial" w:cs="Arial"/>
                <w:sz w:val="22"/>
                <w:szCs w:val="22"/>
              </w:rPr>
              <w:t xml:space="preserve"> stage will need to have a new Non-Disclosure Agreement (NDA) in place with </w:t>
            </w:r>
            <w:r w:rsidR="00CF36DA">
              <w:rPr>
                <w:rFonts w:ascii="Arial" w:hAnsi="Arial" w:cs="Arial"/>
                <w:sz w:val="22"/>
                <w:szCs w:val="22"/>
              </w:rPr>
              <w:t>HMRC</w:t>
            </w:r>
            <w:r>
              <w:rPr>
                <w:rFonts w:ascii="Arial" w:hAnsi="Arial" w:cs="Arial"/>
                <w:sz w:val="22"/>
                <w:szCs w:val="22"/>
              </w:rPr>
              <w:t xml:space="preserve"> to cover the procurement process from the ITSIT through</w:t>
            </w:r>
            <w:r w:rsidR="00CD0DE6">
              <w:rPr>
                <w:rFonts w:ascii="Arial" w:hAnsi="Arial" w:cs="Arial"/>
                <w:sz w:val="22"/>
                <w:szCs w:val="22"/>
              </w:rPr>
              <w:t xml:space="preserve"> to</w:t>
            </w:r>
            <w:r>
              <w:rPr>
                <w:rFonts w:ascii="Arial" w:hAnsi="Arial" w:cs="Arial"/>
                <w:sz w:val="22"/>
                <w:szCs w:val="22"/>
              </w:rPr>
              <w:t xml:space="preserve"> contract award. </w:t>
            </w:r>
          </w:p>
          <w:p w14:paraId="62078B5F" w14:textId="77777777" w:rsidR="007F78F9" w:rsidRDefault="007F78F9" w:rsidP="00C04E2C">
            <w:pPr>
              <w:pStyle w:val="NormalWeb"/>
              <w:spacing w:before="0" w:beforeAutospacing="0" w:after="0" w:afterAutospacing="0"/>
              <w:jc w:val="both"/>
              <w:rPr>
                <w:rFonts w:ascii="Arial" w:hAnsi="Arial" w:cs="Arial"/>
                <w:sz w:val="22"/>
                <w:szCs w:val="22"/>
              </w:rPr>
            </w:pPr>
          </w:p>
          <w:p w14:paraId="3285F154" w14:textId="77777777" w:rsidR="007F78F9" w:rsidRDefault="007F78F9" w:rsidP="00CD1F05">
            <w:pPr>
              <w:pStyle w:val="NormalWeb"/>
              <w:spacing w:before="0" w:beforeAutospacing="0" w:after="120" w:afterAutospacing="0"/>
              <w:jc w:val="both"/>
              <w:rPr>
                <w:rFonts w:ascii="Arial" w:hAnsi="Arial" w:cs="Arial"/>
                <w:sz w:val="22"/>
                <w:szCs w:val="22"/>
              </w:rPr>
            </w:pPr>
            <w:r>
              <w:rPr>
                <w:rFonts w:ascii="Arial" w:hAnsi="Arial" w:cs="Arial"/>
                <w:sz w:val="22"/>
                <w:szCs w:val="22"/>
              </w:rPr>
              <w:t xml:space="preserve">Please confirm that you agree to sign the NDA template provided. </w:t>
            </w:r>
          </w:p>
          <w:p w14:paraId="15E18B50" w14:textId="77777777" w:rsidR="007F78F9" w:rsidRDefault="007F78F9" w:rsidP="00C04E2C">
            <w:pPr>
              <w:pStyle w:val="NormalWeb"/>
              <w:spacing w:before="0" w:beforeAutospacing="0" w:after="0" w:afterAutospacing="0"/>
              <w:jc w:val="both"/>
              <w:rPr>
                <w:rFonts w:ascii="Arial" w:hAnsi="Arial" w:cs="Arial"/>
                <w:sz w:val="22"/>
                <w:szCs w:val="22"/>
              </w:rPr>
            </w:pPr>
          </w:p>
          <w:p w14:paraId="02A26E3B" w14:textId="267CC5C7" w:rsidR="007F78F9" w:rsidRPr="00E66809" w:rsidRDefault="007F78F9" w:rsidP="00CD1F05">
            <w:pPr>
              <w:pStyle w:val="NormalWeb"/>
              <w:spacing w:before="0" w:beforeAutospacing="0" w:after="120" w:afterAutospacing="0"/>
              <w:jc w:val="both"/>
              <w:rPr>
                <w:rFonts w:ascii="Arial" w:hAnsi="Arial" w:cs="Arial"/>
                <w:sz w:val="22"/>
                <w:szCs w:val="22"/>
              </w:rPr>
            </w:pPr>
            <w:r>
              <w:rPr>
                <w:rFonts w:ascii="Arial" w:hAnsi="Arial" w:cs="Arial"/>
                <w:sz w:val="22"/>
                <w:szCs w:val="22"/>
              </w:rPr>
              <w:t xml:space="preserve">Please fill out this NDA template and provide a completed copy attached to this question. Suppliers will only be required to countersign this copy if they are </w:t>
            </w:r>
            <w:r w:rsidR="00C04E2C">
              <w:rPr>
                <w:rFonts w:ascii="Arial" w:hAnsi="Arial" w:cs="Arial"/>
                <w:sz w:val="22"/>
                <w:szCs w:val="22"/>
              </w:rPr>
              <w:t>shortlisted to the ITSIT stage of the procurement</w:t>
            </w:r>
            <w:r>
              <w:rPr>
                <w:rFonts w:ascii="Arial" w:hAnsi="Arial" w:cs="Arial"/>
                <w:sz w:val="22"/>
                <w:szCs w:val="22"/>
              </w:rPr>
              <w:t>.</w:t>
            </w:r>
          </w:p>
        </w:tc>
        <w:tc>
          <w:tcPr>
            <w:tcW w:w="4127" w:type="dxa"/>
            <w:tcBorders>
              <w:top w:val="single" w:sz="6" w:space="0" w:color="000000" w:themeColor="text1"/>
              <w:bottom w:val="single" w:sz="6" w:space="0" w:color="000000" w:themeColor="text1"/>
            </w:tcBorders>
          </w:tcPr>
          <w:p w14:paraId="6EF69D49" w14:textId="77777777" w:rsidR="007F78F9" w:rsidRPr="00FA307B" w:rsidRDefault="007F78F9" w:rsidP="00CD1F05">
            <w:pPr>
              <w:tabs>
                <w:tab w:val="left" w:pos="594"/>
              </w:tabs>
              <w:spacing w:after="0" w:line="276" w:lineRule="auto"/>
              <w:jc w:val="both"/>
              <w:rPr>
                <w:rFonts w:eastAsia="Times New Roman" w:cs="Calibri"/>
              </w:rPr>
            </w:pPr>
            <w:r w:rsidRPr="00FA307B">
              <w:rPr>
                <w:rFonts w:eastAsia="Arial" w:cs="Calibri"/>
              </w:rPr>
              <w:t xml:space="preserve">Yes </w:t>
            </w:r>
            <w:r w:rsidRPr="00FA307B">
              <w:rPr>
                <w:rFonts w:eastAsia="Arial" w:cs="Calibri"/>
              </w:rPr>
              <w:tab/>
            </w:r>
            <w:r w:rsidRPr="00FA307B">
              <w:rPr>
                <w:rFonts w:eastAsia="Times New Roman" w:cs="Calibri"/>
                <w:color w:val="2B579A"/>
                <w:shd w:val="clear" w:color="auto" w:fill="E6E6E6"/>
              </w:rPr>
              <w:fldChar w:fldCharType="begin">
                <w:ffData>
                  <w:name w:val="Check1"/>
                  <w:enabled/>
                  <w:calcOnExit w:val="0"/>
                  <w:checkBox>
                    <w:sizeAuto/>
                    <w:default w:val="0"/>
                  </w:checkBox>
                </w:ffData>
              </w:fldChar>
            </w:r>
            <w:r w:rsidRPr="00FA307B">
              <w:rPr>
                <w:rFonts w:eastAsia="Times New Roman" w:cs="Calibri"/>
              </w:rPr>
              <w:instrText xml:space="preserve"> FORMCHECKBOX </w:instrText>
            </w:r>
            <w:r w:rsidR="0029045A">
              <w:rPr>
                <w:rFonts w:eastAsia="Times New Roman" w:cs="Calibri"/>
                <w:color w:val="2B579A"/>
                <w:shd w:val="clear" w:color="auto" w:fill="E6E6E6"/>
              </w:rPr>
            </w:r>
            <w:r w:rsidR="0029045A">
              <w:rPr>
                <w:rFonts w:eastAsia="Times New Roman" w:cs="Calibri"/>
                <w:color w:val="2B579A"/>
                <w:shd w:val="clear" w:color="auto" w:fill="E6E6E6"/>
              </w:rPr>
              <w:fldChar w:fldCharType="separate"/>
            </w:r>
            <w:r w:rsidRPr="00FA307B">
              <w:rPr>
                <w:rFonts w:eastAsia="Times New Roman" w:cs="Calibri"/>
                <w:color w:val="2B579A"/>
                <w:shd w:val="clear" w:color="auto" w:fill="E6E6E6"/>
              </w:rPr>
              <w:fldChar w:fldCharType="end"/>
            </w:r>
          </w:p>
          <w:p w14:paraId="05FCF0CF" w14:textId="77777777" w:rsidR="007F78F9" w:rsidRDefault="007F78F9" w:rsidP="00CD1F05">
            <w:pPr>
              <w:tabs>
                <w:tab w:val="left" w:pos="602"/>
              </w:tabs>
              <w:spacing w:after="0" w:line="276" w:lineRule="auto"/>
              <w:jc w:val="both"/>
              <w:rPr>
                <w:rFonts w:cs="Calibri"/>
                <w:color w:val="2B579A"/>
                <w:shd w:val="clear" w:color="auto" w:fill="E6E6E6"/>
              </w:rPr>
            </w:pPr>
            <w:r w:rsidRPr="00FA307B">
              <w:rPr>
                <w:rFonts w:eastAsia="Arial" w:cs="Calibri"/>
              </w:rPr>
              <w:t xml:space="preserve">No </w:t>
            </w:r>
            <w:r>
              <w:rPr>
                <w:rFonts w:eastAsia="Arial" w:cs="Calibri"/>
              </w:rPr>
              <w:t xml:space="preserve"> </w:t>
            </w:r>
            <w:r w:rsidRPr="00FA307B">
              <w:rPr>
                <w:rFonts w:eastAsia="Arial" w:cs="Calibri"/>
              </w:rPr>
              <w:t xml:space="preserve"> </w:t>
            </w:r>
            <w:r>
              <w:rPr>
                <w:rFonts w:eastAsia="Arial" w:cs="Calibri"/>
              </w:rPr>
              <w:t xml:space="preserve"> </w:t>
            </w:r>
            <w:r w:rsidRPr="00FA307B">
              <w:rPr>
                <w:rFonts w:eastAsia="Arial" w:cs="Calibri"/>
              </w:rPr>
              <w:t xml:space="preserve"> </w:t>
            </w:r>
            <w:r w:rsidRPr="00FA307B">
              <w:rPr>
                <w:rFonts w:cs="Calibri"/>
                <w:color w:val="2B579A"/>
                <w:shd w:val="clear" w:color="auto" w:fill="E6E6E6"/>
              </w:rPr>
              <w:fldChar w:fldCharType="begin">
                <w:ffData>
                  <w:name w:val="Check1"/>
                  <w:enabled/>
                  <w:calcOnExit w:val="0"/>
                  <w:checkBox>
                    <w:sizeAuto/>
                    <w:default w:val="0"/>
                  </w:checkBox>
                </w:ffData>
              </w:fldChar>
            </w:r>
            <w:r w:rsidRPr="00FA307B">
              <w:rPr>
                <w:rFonts w:cs="Calibri"/>
              </w:rPr>
              <w:instrText xml:space="preserve"> FORMCHECKBOX </w:instrText>
            </w:r>
            <w:r w:rsidR="0029045A">
              <w:rPr>
                <w:rFonts w:cs="Calibri"/>
                <w:color w:val="2B579A"/>
                <w:shd w:val="clear" w:color="auto" w:fill="E6E6E6"/>
              </w:rPr>
            </w:r>
            <w:r w:rsidR="0029045A">
              <w:rPr>
                <w:rFonts w:cs="Calibri"/>
                <w:color w:val="2B579A"/>
                <w:shd w:val="clear" w:color="auto" w:fill="E6E6E6"/>
              </w:rPr>
              <w:fldChar w:fldCharType="separate"/>
            </w:r>
            <w:r w:rsidRPr="00FA307B">
              <w:rPr>
                <w:rFonts w:cs="Calibri"/>
                <w:color w:val="2B579A"/>
                <w:shd w:val="clear" w:color="auto" w:fill="E6E6E6"/>
              </w:rPr>
              <w:fldChar w:fldCharType="end"/>
            </w:r>
          </w:p>
          <w:p w14:paraId="53AEEF45" w14:textId="77777777" w:rsidR="007F78F9" w:rsidRPr="00E66809" w:rsidRDefault="007F78F9" w:rsidP="00CD1F05">
            <w:pPr>
              <w:tabs>
                <w:tab w:val="left" w:pos="594"/>
              </w:tabs>
              <w:spacing w:after="0" w:line="276" w:lineRule="auto"/>
              <w:jc w:val="both"/>
              <w:rPr>
                <w:rFonts w:eastAsia="Times New Roman" w:cs="Calibri"/>
              </w:rPr>
            </w:pPr>
          </w:p>
          <w:p w14:paraId="2C6B855C" w14:textId="77777777" w:rsidR="007F78F9" w:rsidRPr="00FA307B" w:rsidRDefault="007F78F9" w:rsidP="00CD1F05">
            <w:pPr>
              <w:tabs>
                <w:tab w:val="left" w:pos="594"/>
              </w:tabs>
              <w:spacing w:after="0" w:line="276" w:lineRule="auto"/>
              <w:jc w:val="both"/>
              <w:rPr>
                <w:rFonts w:eastAsia="Arial" w:cs="Calibri"/>
              </w:rPr>
            </w:pPr>
          </w:p>
        </w:tc>
      </w:tr>
      <w:tr w:rsidR="007F78F9" w:rsidRPr="00420561" w14:paraId="06E4003E" w14:textId="77777777" w:rsidTr="006B0E8F">
        <w:trPr>
          <w:trHeight w:val="1308"/>
        </w:trPr>
        <w:tc>
          <w:tcPr>
            <w:tcW w:w="0" w:type="auto"/>
            <w:vMerge/>
            <w:shd w:val="clear" w:color="auto" w:fill="F2F2F2" w:themeFill="background1" w:themeFillShade="F2"/>
          </w:tcPr>
          <w:p w14:paraId="04EC1A92" w14:textId="77777777" w:rsidR="007F78F9" w:rsidRPr="00E66809" w:rsidRDefault="007F78F9" w:rsidP="00CD1F05">
            <w:pPr>
              <w:spacing w:after="0" w:line="276" w:lineRule="auto"/>
              <w:jc w:val="both"/>
              <w:rPr>
                <w:rFonts w:eastAsia="Arial" w:cs="Arial"/>
                <w:b/>
              </w:rPr>
            </w:pPr>
          </w:p>
        </w:tc>
        <w:tc>
          <w:tcPr>
            <w:tcW w:w="7694" w:type="dxa"/>
            <w:vMerge/>
            <w:shd w:val="clear" w:color="auto" w:fill="F2F2F2" w:themeFill="background1" w:themeFillShade="F2"/>
          </w:tcPr>
          <w:p w14:paraId="70C40D8E" w14:textId="77777777" w:rsidR="007F78F9" w:rsidRDefault="007F78F9" w:rsidP="00CD1F05">
            <w:pPr>
              <w:pStyle w:val="NormalWeb"/>
              <w:spacing w:before="0" w:beforeAutospacing="0" w:after="120" w:afterAutospacing="0"/>
              <w:jc w:val="both"/>
              <w:rPr>
                <w:rFonts w:ascii="Arial" w:hAnsi="Arial" w:cs="Arial"/>
                <w:sz w:val="22"/>
                <w:szCs w:val="22"/>
              </w:rPr>
            </w:pPr>
          </w:p>
        </w:tc>
        <w:tc>
          <w:tcPr>
            <w:tcW w:w="4127" w:type="dxa"/>
            <w:tcBorders>
              <w:top w:val="single" w:sz="6" w:space="0" w:color="000000" w:themeColor="text1"/>
              <w:bottom w:val="single" w:sz="6" w:space="0" w:color="000000" w:themeColor="text1"/>
            </w:tcBorders>
          </w:tcPr>
          <w:p w14:paraId="6E68F095" w14:textId="18C07BDD" w:rsidR="007F78F9" w:rsidRDefault="007F78F9" w:rsidP="00CD1F05">
            <w:pPr>
              <w:tabs>
                <w:tab w:val="left" w:pos="594"/>
              </w:tabs>
              <w:spacing w:after="0" w:line="276" w:lineRule="auto"/>
              <w:jc w:val="both"/>
              <w:rPr>
                <w:rFonts w:eastAsia="Arial" w:cs="Calibri"/>
              </w:rPr>
            </w:pPr>
            <w:r>
              <w:rPr>
                <w:rFonts w:eastAsia="Arial" w:cs="Calibri"/>
              </w:rPr>
              <w:t xml:space="preserve">[Please upload a </w:t>
            </w:r>
            <w:r w:rsidR="00160CEC" w:rsidRPr="00160CEC">
              <w:rPr>
                <w:rFonts w:eastAsia="Arial" w:cs="Calibri"/>
              </w:rPr>
              <w:t>completed version of the NDA provided to this question</w:t>
            </w:r>
            <w:r>
              <w:rPr>
                <w:rFonts w:eastAsia="Arial" w:cs="Calibri"/>
              </w:rPr>
              <w:t>]</w:t>
            </w:r>
          </w:p>
          <w:p w14:paraId="6AE531B3" w14:textId="77777777" w:rsidR="0002668D" w:rsidRDefault="0002668D" w:rsidP="00CD1F05">
            <w:pPr>
              <w:tabs>
                <w:tab w:val="left" w:pos="594"/>
              </w:tabs>
              <w:spacing w:after="0" w:line="276" w:lineRule="auto"/>
              <w:jc w:val="both"/>
              <w:rPr>
                <w:rFonts w:eastAsia="Arial" w:cs="Calibri"/>
              </w:rPr>
            </w:pPr>
          </w:p>
          <w:p w14:paraId="2C48FB78" w14:textId="3C01B70C" w:rsidR="0002668D" w:rsidRPr="00FA307B" w:rsidRDefault="0002668D" w:rsidP="00CD1F05">
            <w:pPr>
              <w:tabs>
                <w:tab w:val="left" w:pos="594"/>
              </w:tabs>
              <w:spacing w:after="0" w:line="276" w:lineRule="auto"/>
              <w:jc w:val="both"/>
              <w:rPr>
                <w:rFonts w:eastAsia="Arial" w:cs="Calibri"/>
              </w:rPr>
            </w:pPr>
            <w:r>
              <w:rPr>
                <w:rFonts w:eastAsia="Arial" w:cs="Calibri"/>
              </w:rPr>
              <w:t xml:space="preserve">Note: This document does not require execution by the Supplier as part of </w:t>
            </w:r>
            <w:proofErr w:type="spellStart"/>
            <w:proofErr w:type="gramStart"/>
            <w:r>
              <w:rPr>
                <w:rFonts w:eastAsia="Arial" w:cs="Calibri"/>
              </w:rPr>
              <w:t>it’s</w:t>
            </w:r>
            <w:proofErr w:type="spellEnd"/>
            <w:proofErr w:type="gramEnd"/>
            <w:r>
              <w:rPr>
                <w:rFonts w:eastAsia="Arial" w:cs="Calibri"/>
              </w:rPr>
              <w:t xml:space="preserve"> CoP response</w:t>
            </w:r>
          </w:p>
        </w:tc>
      </w:tr>
    </w:tbl>
    <w:p w14:paraId="2561468C" w14:textId="77777777" w:rsidR="00286052" w:rsidRPr="00E66809" w:rsidRDefault="00286052" w:rsidP="00286052">
      <w:pPr>
        <w:pageBreakBefore/>
        <w:spacing w:after="0" w:line="276" w:lineRule="auto"/>
        <w:rPr>
          <w:rFonts w:eastAsia="Arial" w:cs="Calibri"/>
          <w:b/>
        </w:rPr>
      </w:pPr>
      <w:bookmarkStart w:id="81" w:name="_Toc192615565"/>
      <w:r w:rsidRPr="00E66809">
        <w:rPr>
          <w:rFonts w:eastAsia="Arial" w:cs="Calibri"/>
          <w:b/>
        </w:rPr>
        <w:lastRenderedPageBreak/>
        <w:t>Declaration and Contact Details</w:t>
      </w:r>
    </w:p>
    <w:p w14:paraId="1FDC2A46" w14:textId="77777777" w:rsidR="00286052" w:rsidRPr="00E66809" w:rsidRDefault="00286052" w:rsidP="00F56D3C">
      <w:pPr>
        <w:pStyle w:val="BodyText1"/>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6920"/>
        <w:gridCol w:w="6020"/>
      </w:tblGrid>
      <w:tr w:rsidR="00286052" w:rsidRPr="00605283" w14:paraId="4BE53A0F" w14:textId="77777777" w:rsidTr="006B0E8F">
        <w:trPr>
          <w:trHeight w:val="283"/>
        </w:trPr>
        <w:tc>
          <w:tcPr>
            <w:tcW w:w="5000" w:type="pct"/>
            <w:gridSpan w:val="2"/>
            <w:tcBorders>
              <w:top w:val="single" w:sz="6" w:space="0" w:color="000000"/>
              <w:bottom w:val="single" w:sz="6" w:space="0" w:color="000000"/>
            </w:tcBorders>
            <w:shd w:val="clear" w:color="auto" w:fill="009999"/>
          </w:tcPr>
          <w:bookmarkEnd w:id="81"/>
          <w:p w14:paraId="5C4E88DC" w14:textId="027C321F" w:rsidR="00286052" w:rsidRPr="00E66809" w:rsidRDefault="00286052">
            <w:pPr>
              <w:tabs>
                <w:tab w:val="center" w:pos="4005"/>
              </w:tabs>
              <w:spacing w:after="0" w:line="276" w:lineRule="auto"/>
              <w:rPr>
                <w:rFonts w:eastAsia="Arial" w:cs="Calibri"/>
                <w:b/>
              </w:rPr>
            </w:pPr>
            <w:r w:rsidRPr="00D73AD6">
              <w:rPr>
                <w:rFonts w:eastAsia="Arial" w:cs="Calibri"/>
                <w:b/>
                <w:color w:val="FFFFFF" w:themeColor="background1"/>
              </w:rPr>
              <w:t>3.3</w:t>
            </w:r>
            <w:r w:rsidR="00F8343D">
              <w:rPr>
                <w:rFonts w:eastAsia="Arial" w:cs="Calibri"/>
                <w:b/>
                <w:color w:val="FFFFFF" w:themeColor="background1"/>
              </w:rPr>
              <w:t>4</w:t>
            </w:r>
            <w:r w:rsidRPr="00D73AD6">
              <w:rPr>
                <w:rFonts w:eastAsia="Arial" w:cs="Calibri"/>
                <w:b/>
                <w:color w:val="FFFFFF" w:themeColor="background1"/>
              </w:rPr>
              <w:t xml:space="preserve"> Declaration</w:t>
            </w:r>
          </w:p>
        </w:tc>
      </w:tr>
      <w:tr w:rsidR="00286052" w:rsidRPr="00605283" w14:paraId="194FCB19" w14:textId="77777777" w:rsidTr="006B0E8F">
        <w:trPr>
          <w:trHeight w:val="283"/>
        </w:trPr>
        <w:tc>
          <w:tcPr>
            <w:tcW w:w="5000" w:type="pct"/>
            <w:gridSpan w:val="2"/>
            <w:tcBorders>
              <w:top w:val="single" w:sz="6" w:space="0" w:color="000000"/>
              <w:bottom w:val="single" w:sz="6" w:space="0" w:color="000000"/>
            </w:tcBorders>
            <w:shd w:val="clear" w:color="auto" w:fill="D9E2F3" w:themeFill="accent1" w:themeFillTint="33"/>
          </w:tcPr>
          <w:p w14:paraId="33F13EFF" w14:textId="77777777" w:rsidR="00286052" w:rsidRPr="00E66809" w:rsidRDefault="00286052" w:rsidP="00352D2D">
            <w:pPr>
              <w:tabs>
                <w:tab w:val="center" w:pos="4005"/>
              </w:tabs>
              <w:spacing w:after="0" w:line="276" w:lineRule="auto"/>
              <w:jc w:val="both"/>
              <w:rPr>
                <w:rFonts w:eastAsia="Arial" w:cs="Calibri"/>
              </w:rPr>
            </w:pPr>
            <w:r w:rsidRPr="00E66809">
              <w:rPr>
                <w:rFonts w:eastAsia="Arial" w:cs="Calibri"/>
              </w:rPr>
              <w:t>I declare that:</w:t>
            </w:r>
          </w:p>
          <w:p w14:paraId="490A858B" w14:textId="77777777" w:rsidR="00286052" w:rsidRPr="00E66809" w:rsidRDefault="00286052" w:rsidP="00AD19D7">
            <w:pPr>
              <w:pStyle w:val="ListParagraph"/>
              <w:numPr>
                <w:ilvl w:val="0"/>
                <w:numId w:val="46"/>
              </w:numPr>
              <w:jc w:val="both"/>
              <w:rPr>
                <w:rFonts w:eastAsia="Arial" w:cs="Calibri"/>
              </w:rPr>
            </w:pPr>
            <w:r w:rsidRPr="00E66809">
              <w:rPr>
                <w:rFonts w:eastAsia="Arial" w:cs="Calibri"/>
              </w:rPr>
              <w:t xml:space="preserve">to the best of my knowledge the answers </w:t>
            </w:r>
            <w:proofErr w:type="gramStart"/>
            <w:r w:rsidRPr="00E66809">
              <w:rPr>
                <w:rFonts w:eastAsia="Arial" w:cs="Calibri"/>
              </w:rPr>
              <w:t>submitted</w:t>
            </w:r>
            <w:proofErr w:type="gramEnd"/>
            <w:r w:rsidRPr="00E66809">
              <w:rPr>
                <w:rFonts w:eastAsia="Arial" w:cs="Calibri"/>
              </w:rPr>
              <w:t xml:space="preserve"> and information contained in this document are complete, accurate and not misleading</w:t>
            </w:r>
          </w:p>
          <w:p w14:paraId="33B1F539" w14:textId="556F5DBB" w:rsidR="00286052" w:rsidRPr="00E66809" w:rsidRDefault="00286052" w:rsidP="00AD19D7">
            <w:pPr>
              <w:pStyle w:val="ListParagraph"/>
              <w:numPr>
                <w:ilvl w:val="0"/>
                <w:numId w:val="46"/>
              </w:numPr>
              <w:jc w:val="both"/>
              <w:rPr>
                <w:rFonts w:eastAsia="Arial" w:cs="Calibri"/>
              </w:rPr>
            </w:pPr>
            <w:r w:rsidRPr="00E66809">
              <w:rPr>
                <w:rFonts w:eastAsia="Arial" w:cs="Calibri"/>
              </w:rPr>
              <w:t xml:space="preserve">upon request and without delay I will provide the certificates and/or documentary evidence referred to in this document except where this documentation can be accessed by the contracting </w:t>
            </w:r>
            <w:r w:rsidR="00C80350">
              <w:rPr>
                <w:rFonts w:eastAsia="Arial" w:cs="Calibri"/>
              </w:rPr>
              <w:t>A</w:t>
            </w:r>
            <w:r w:rsidRPr="00E66809">
              <w:rPr>
                <w:rFonts w:eastAsia="Arial" w:cs="Calibri"/>
              </w:rPr>
              <w:t xml:space="preserve">uthority via a national database free of charge or the contracting </w:t>
            </w:r>
            <w:r w:rsidR="00C80350">
              <w:rPr>
                <w:rFonts w:eastAsia="Arial" w:cs="Calibri"/>
              </w:rPr>
              <w:t>A</w:t>
            </w:r>
            <w:r w:rsidRPr="00E66809">
              <w:rPr>
                <w:rFonts w:eastAsia="Arial" w:cs="Calibri"/>
              </w:rPr>
              <w:t>uthority already possesses the documentation</w:t>
            </w:r>
          </w:p>
          <w:p w14:paraId="4D19495F" w14:textId="77777777" w:rsidR="00286052" w:rsidRPr="00E66809" w:rsidRDefault="00286052" w:rsidP="00AD19D7">
            <w:pPr>
              <w:pStyle w:val="ListParagraph"/>
              <w:numPr>
                <w:ilvl w:val="0"/>
                <w:numId w:val="46"/>
              </w:numPr>
              <w:jc w:val="both"/>
              <w:rPr>
                <w:rFonts w:eastAsia="Arial" w:cs="Calibri"/>
              </w:rPr>
            </w:pPr>
            <w:r w:rsidRPr="00E66809">
              <w:rPr>
                <w:rFonts w:eastAsia="Arial" w:cs="Calibri"/>
              </w:rPr>
              <w:t>I understand that the response to this questionnaire will be used to assess whether our organisation is entitled to participate in, or continue to participate in, this procurement</w:t>
            </w:r>
          </w:p>
          <w:p w14:paraId="5E20AE28" w14:textId="77777777" w:rsidR="00286052" w:rsidRPr="00E66809" w:rsidRDefault="00286052" w:rsidP="00AD19D7">
            <w:pPr>
              <w:pStyle w:val="ListParagraph"/>
              <w:numPr>
                <w:ilvl w:val="0"/>
                <w:numId w:val="46"/>
              </w:numPr>
              <w:jc w:val="both"/>
              <w:rPr>
                <w:rFonts w:eastAsia="Times New Roman" w:cs="Calibri"/>
                <w:b/>
              </w:rPr>
            </w:pPr>
            <w:r w:rsidRPr="00E66809">
              <w:rPr>
                <w:rFonts w:eastAsia="Arial" w:cs="Calibr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26C61CE9" w14:textId="77777777" w:rsidR="00286052" w:rsidRPr="00E66809" w:rsidRDefault="00286052" w:rsidP="00AD19D7">
            <w:pPr>
              <w:pStyle w:val="ListParagraph"/>
              <w:numPr>
                <w:ilvl w:val="0"/>
                <w:numId w:val="46"/>
              </w:numPr>
              <w:jc w:val="both"/>
              <w:rPr>
                <w:rFonts w:eastAsia="Times New Roman" w:cs="Calibri"/>
                <w:b/>
              </w:rPr>
            </w:pPr>
            <w:r w:rsidRPr="00E66809">
              <w:rPr>
                <w:rFonts w:eastAsia="Arial" w:cs="Calibri"/>
              </w:rPr>
              <w:t>I am aware of the consequences of serious misrepresentation</w:t>
            </w:r>
          </w:p>
        </w:tc>
      </w:tr>
      <w:tr w:rsidR="00286052" w:rsidRPr="00605283" w14:paraId="611178D7" w14:textId="77777777" w:rsidTr="006B0E8F">
        <w:trPr>
          <w:trHeight w:val="300"/>
        </w:trPr>
        <w:tc>
          <w:tcPr>
            <w:tcW w:w="2674" w:type="pct"/>
            <w:tcBorders>
              <w:top w:val="single" w:sz="6" w:space="0" w:color="000000"/>
              <w:bottom w:val="single" w:sz="6" w:space="0" w:color="000000"/>
            </w:tcBorders>
            <w:shd w:val="clear" w:color="auto" w:fill="D9E2F3" w:themeFill="accent1" w:themeFillTint="33"/>
          </w:tcPr>
          <w:p w14:paraId="252F3741" w14:textId="77777777" w:rsidR="00286052" w:rsidRPr="00E66809" w:rsidRDefault="00286052">
            <w:pPr>
              <w:spacing w:after="0" w:line="276" w:lineRule="auto"/>
              <w:rPr>
                <w:rFonts w:eastAsia="Times New Roman" w:cs="Calibri"/>
              </w:rPr>
            </w:pPr>
            <w:r w:rsidRPr="00E66809">
              <w:rPr>
                <w:rFonts w:eastAsia="Arial" w:cs="Calibri"/>
              </w:rPr>
              <w:t>Signature (electronic is acceptable)</w:t>
            </w:r>
          </w:p>
        </w:tc>
        <w:tc>
          <w:tcPr>
            <w:tcW w:w="2326" w:type="pct"/>
            <w:tcBorders>
              <w:top w:val="single" w:sz="6" w:space="0" w:color="000000"/>
              <w:bottom w:val="single" w:sz="6" w:space="0" w:color="000000"/>
            </w:tcBorders>
          </w:tcPr>
          <w:p w14:paraId="1F6782CB" w14:textId="77777777" w:rsidR="00286052" w:rsidRPr="00E66809" w:rsidRDefault="00286052" w:rsidP="00352D2D">
            <w:pPr>
              <w:spacing w:after="0" w:line="276" w:lineRule="auto"/>
              <w:jc w:val="both"/>
              <w:rPr>
                <w:rFonts w:eastAsia="Times New Roman" w:cs="Calibri"/>
              </w:rPr>
            </w:pPr>
          </w:p>
        </w:tc>
      </w:tr>
      <w:tr w:rsidR="00286052" w:rsidRPr="00605283" w14:paraId="6EFFB75A" w14:textId="77777777" w:rsidTr="006B0E8F">
        <w:trPr>
          <w:trHeight w:val="300"/>
        </w:trPr>
        <w:tc>
          <w:tcPr>
            <w:tcW w:w="2674" w:type="pct"/>
            <w:tcBorders>
              <w:top w:val="single" w:sz="6" w:space="0" w:color="000000"/>
              <w:bottom w:val="single" w:sz="6" w:space="0" w:color="000000"/>
            </w:tcBorders>
            <w:shd w:val="clear" w:color="auto" w:fill="D9E2F3" w:themeFill="accent1" w:themeFillTint="33"/>
          </w:tcPr>
          <w:p w14:paraId="7655BACD" w14:textId="77777777" w:rsidR="00286052" w:rsidRPr="00E66809" w:rsidRDefault="00286052">
            <w:pPr>
              <w:spacing w:after="0" w:line="276" w:lineRule="auto"/>
              <w:rPr>
                <w:rFonts w:eastAsia="Arial" w:cs="Calibri"/>
              </w:rPr>
            </w:pPr>
            <w:r w:rsidRPr="00E66809">
              <w:rPr>
                <w:rFonts w:eastAsia="Arial" w:cs="Calibri"/>
              </w:rPr>
              <w:t>Date</w:t>
            </w:r>
          </w:p>
        </w:tc>
        <w:tc>
          <w:tcPr>
            <w:tcW w:w="2326" w:type="pct"/>
            <w:tcBorders>
              <w:top w:val="single" w:sz="6" w:space="0" w:color="000000"/>
              <w:bottom w:val="single" w:sz="6" w:space="0" w:color="000000"/>
            </w:tcBorders>
          </w:tcPr>
          <w:p w14:paraId="51EC3D7D" w14:textId="77777777" w:rsidR="00286052" w:rsidRPr="00E66809" w:rsidRDefault="00286052" w:rsidP="00352D2D">
            <w:pPr>
              <w:spacing w:after="0" w:line="276" w:lineRule="auto"/>
              <w:jc w:val="both"/>
              <w:rPr>
                <w:rFonts w:eastAsia="Times New Roman" w:cs="Calibri"/>
              </w:rPr>
            </w:pPr>
          </w:p>
        </w:tc>
      </w:tr>
      <w:tr w:rsidR="00286052" w:rsidRPr="00605283" w14:paraId="6D26DFEF" w14:textId="77777777" w:rsidTr="006B0E8F">
        <w:trPr>
          <w:trHeight w:val="300"/>
        </w:trPr>
        <w:tc>
          <w:tcPr>
            <w:tcW w:w="2674" w:type="pct"/>
            <w:tcBorders>
              <w:top w:val="single" w:sz="6" w:space="0" w:color="000000"/>
              <w:bottom w:val="single" w:sz="6" w:space="0" w:color="000000"/>
            </w:tcBorders>
            <w:shd w:val="clear" w:color="auto" w:fill="D9E2F3" w:themeFill="accent1" w:themeFillTint="33"/>
          </w:tcPr>
          <w:p w14:paraId="6329FAD1" w14:textId="77777777" w:rsidR="00286052" w:rsidRPr="00E66809" w:rsidRDefault="00286052">
            <w:pPr>
              <w:spacing w:after="0" w:line="276" w:lineRule="auto"/>
              <w:rPr>
                <w:rFonts w:eastAsia="Arial" w:cs="Calibri"/>
              </w:rPr>
            </w:pPr>
            <w:r w:rsidRPr="00E66809">
              <w:rPr>
                <w:rFonts w:eastAsia="Arial" w:cs="Calibri"/>
              </w:rPr>
              <w:t>Name</w:t>
            </w:r>
          </w:p>
        </w:tc>
        <w:tc>
          <w:tcPr>
            <w:tcW w:w="2326" w:type="pct"/>
            <w:tcBorders>
              <w:top w:val="single" w:sz="6" w:space="0" w:color="000000"/>
              <w:bottom w:val="single" w:sz="6" w:space="0" w:color="000000"/>
            </w:tcBorders>
          </w:tcPr>
          <w:p w14:paraId="5C881F55" w14:textId="77777777" w:rsidR="00286052" w:rsidRPr="00E66809" w:rsidRDefault="00286052" w:rsidP="00352D2D">
            <w:pPr>
              <w:spacing w:after="0" w:line="276" w:lineRule="auto"/>
              <w:jc w:val="both"/>
              <w:rPr>
                <w:rFonts w:eastAsia="Times New Roman" w:cs="Calibri"/>
              </w:rPr>
            </w:pPr>
          </w:p>
        </w:tc>
      </w:tr>
      <w:tr w:rsidR="00286052" w:rsidRPr="00605283" w14:paraId="76701CE4" w14:textId="77777777" w:rsidTr="006B0E8F">
        <w:trPr>
          <w:trHeight w:val="300"/>
        </w:trPr>
        <w:tc>
          <w:tcPr>
            <w:tcW w:w="2674" w:type="pct"/>
            <w:tcBorders>
              <w:top w:val="single" w:sz="6" w:space="0" w:color="000000"/>
              <w:bottom w:val="single" w:sz="6" w:space="0" w:color="000000"/>
            </w:tcBorders>
            <w:shd w:val="clear" w:color="auto" w:fill="D9E2F3" w:themeFill="accent1" w:themeFillTint="33"/>
          </w:tcPr>
          <w:p w14:paraId="0769CEC9" w14:textId="77777777" w:rsidR="00286052" w:rsidRPr="00E66809" w:rsidRDefault="00286052">
            <w:pPr>
              <w:spacing w:after="0" w:line="276" w:lineRule="auto"/>
              <w:rPr>
                <w:rFonts w:eastAsia="Arial" w:cs="Calibri"/>
              </w:rPr>
            </w:pPr>
            <w:r w:rsidRPr="00E66809">
              <w:rPr>
                <w:rFonts w:eastAsia="Arial" w:cs="Calibri"/>
              </w:rPr>
              <w:t>Role</w:t>
            </w:r>
          </w:p>
        </w:tc>
        <w:tc>
          <w:tcPr>
            <w:tcW w:w="2326" w:type="pct"/>
            <w:tcBorders>
              <w:top w:val="single" w:sz="6" w:space="0" w:color="000000"/>
              <w:bottom w:val="single" w:sz="6" w:space="0" w:color="000000"/>
            </w:tcBorders>
          </w:tcPr>
          <w:p w14:paraId="012EAB59" w14:textId="77777777" w:rsidR="00286052" w:rsidRPr="00E66809" w:rsidRDefault="00286052" w:rsidP="00352D2D">
            <w:pPr>
              <w:spacing w:after="0" w:line="276" w:lineRule="auto"/>
              <w:jc w:val="both"/>
              <w:rPr>
                <w:rFonts w:eastAsia="Times New Roman" w:cs="Calibri"/>
              </w:rPr>
            </w:pPr>
          </w:p>
        </w:tc>
      </w:tr>
      <w:tr w:rsidR="00286052" w:rsidRPr="00605283" w14:paraId="12347B5C" w14:textId="77777777" w:rsidTr="006B0E8F">
        <w:trPr>
          <w:trHeight w:val="300"/>
        </w:trPr>
        <w:tc>
          <w:tcPr>
            <w:tcW w:w="2674" w:type="pct"/>
            <w:tcBorders>
              <w:top w:val="single" w:sz="6" w:space="0" w:color="000000"/>
              <w:bottom w:val="single" w:sz="6" w:space="0" w:color="000000"/>
            </w:tcBorders>
            <w:shd w:val="clear" w:color="auto" w:fill="D9E2F3" w:themeFill="accent1" w:themeFillTint="33"/>
          </w:tcPr>
          <w:p w14:paraId="4611536F" w14:textId="77777777" w:rsidR="00286052" w:rsidRPr="00E66809" w:rsidRDefault="00286052">
            <w:pPr>
              <w:spacing w:after="0" w:line="276" w:lineRule="auto"/>
              <w:rPr>
                <w:rFonts w:eastAsia="Arial" w:cs="Calibri"/>
              </w:rPr>
            </w:pPr>
            <w:r w:rsidRPr="00E66809">
              <w:rPr>
                <w:rFonts w:eastAsia="Arial" w:cs="Calibri"/>
              </w:rPr>
              <w:t>Phone Number</w:t>
            </w:r>
          </w:p>
        </w:tc>
        <w:tc>
          <w:tcPr>
            <w:tcW w:w="2326" w:type="pct"/>
            <w:tcBorders>
              <w:top w:val="single" w:sz="6" w:space="0" w:color="000000"/>
              <w:bottom w:val="single" w:sz="6" w:space="0" w:color="000000"/>
            </w:tcBorders>
          </w:tcPr>
          <w:p w14:paraId="21BAB167" w14:textId="77777777" w:rsidR="00286052" w:rsidRPr="00E66809" w:rsidRDefault="00286052" w:rsidP="00352D2D">
            <w:pPr>
              <w:spacing w:after="0" w:line="276" w:lineRule="auto"/>
              <w:jc w:val="both"/>
              <w:rPr>
                <w:rFonts w:eastAsia="Times New Roman" w:cs="Calibri"/>
              </w:rPr>
            </w:pPr>
          </w:p>
        </w:tc>
      </w:tr>
      <w:tr w:rsidR="00286052" w:rsidRPr="00605283" w14:paraId="16F9421A" w14:textId="77777777" w:rsidTr="006B0E8F">
        <w:trPr>
          <w:trHeight w:val="300"/>
        </w:trPr>
        <w:tc>
          <w:tcPr>
            <w:tcW w:w="2674" w:type="pct"/>
            <w:tcBorders>
              <w:top w:val="single" w:sz="6" w:space="0" w:color="000000"/>
              <w:bottom w:val="single" w:sz="6" w:space="0" w:color="000000"/>
            </w:tcBorders>
            <w:shd w:val="clear" w:color="auto" w:fill="D9E2F3" w:themeFill="accent1" w:themeFillTint="33"/>
          </w:tcPr>
          <w:p w14:paraId="026D4215" w14:textId="77777777" w:rsidR="00286052" w:rsidRPr="00E66809" w:rsidRDefault="00286052">
            <w:pPr>
              <w:spacing w:after="0" w:line="276" w:lineRule="auto"/>
              <w:rPr>
                <w:rFonts w:eastAsia="Arial" w:cs="Calibri"/>
              </w:rPr>
            </w:pPr>
            <w:r w:rsidRPr="00E66809">
              <w:rPr>
                <w:rFonts w:eastAsia="Arial" w:cs="Calibri"/>
              </w:rPr>
              <w:t>Email</w:t>
            </w:r>
          </w:p>
        </w:tc>
        <w:tc>
          <w:tcPr>
            <w:tcW w:w="2326" w:type="pct"/>
            <w:tcBorders>
              <w:top w:val="single" w:sz="6" w:space="0" w:color="000000"/>
              <w:bottom w:val="single" w:sz="6" w:space="0" w:color="000000"/>
            </w:tcBorders>
          </w:tcPr>
          <w:p w14:paraId="348CC1F2" w14:textId="77777777" w:rsidR="00286052" w:rsidRPr="00E66809" w:rsidRDefault="00286052" w:rsidP="00352D2D">
            <w:pPr>
              <w:spacing w:after="0" w:line="276" w:lineRule="auto"/>
              <w:jc w:val="both"/>
              <w:rPr>
                <w:rFonts w:eastAsia="Times New Roman" w:cs="Calibri"/>
              </w:rPr>
            </w:pPr>
          </w:p>
        </w:tc>
      </w:tr>
      <w:tr w:rsidR="00286052" w:rsidRPr="00605283" w14:paraId="79ACD9D2" w14:textId="77777777" w:rsidTr="006B0E8F">
        <w:trPr>
          <w:trHeight w:val="1928"/>
        </w:trPr>
        <w:tc>
          <w:tcPr>
            <w:tcW w:w="2674" w:type="pct"/>
            <w:tcBorders>
              <w:top w:val="single" w:sz="6" w:space="0" w:color="000000"/>
            </w:tcBorders>
            <w:shd w:val="clear" w:color="auto" w:fill="D9E2F3" w:themeFill="accent1" w:themeFillTint="33"/>
          </w:tcPr>
          <w:p w14:paraId="73699A1D" w14:textId="77777777" w:rsidR="00286052" w:rsidRPr="00E66809" w:rsidRDefault="00286052">
            <w:pPr>
              <w:spacing w:after="0" w:line="276" w:lineRule="auto"/>
              <w:rPr>
                <w:rFonts w:eastAsia="Arial" w:cs="Calibri"/>
              </w:rPr>
            </w:pPr>
            <w:r w:rsidRPr="00E66809">
              <w:rPr>
                <w:rFonts w:eastAsia="Arial" w:cs="Calibri"/>
              </w:rPr>
              <w:t>Postal Address</w:t>
            </w:r>
          </w:p>
        </w:tc>
        <w:tc>
          <w:tcPr>
            <w:tcW w:w="2326" w:type="pct"/>
            <w:tcBorders>
              <w:top w:val="single" w:sz="6" w:space="0" w:color="000000"/>
            </w:tcBorders>
          </w:tcPr>
          <w:p w14:paraId="354A2CFE" w14:textId="77777777" w:rsidR="00286052" w:rsidRPr="00E66809" w:rsidRDefault="00286052" w:rsidP="00352D2D">
            <w:pPr>
              <w:spacing w:after="0" w:line="276" w:lineRule="auto"/>
              <w:jc w:val="both"/>
              <w:rPr>
                <w:rFonts w:eastAsia="Times New Roman" w:cs="Calibri"/>
              </w:rPr>
            </w:pPr>
          </w:p>
        </w:tc>
      </w:tr>
    </w:tbl>
    <w:p w14:paraId="33B620B7" w14:textId="77777777" w:rsidR="00085045" w:rsidRPr="00E538FD" w:rsidRDefault="00085045" w:rsidP="00085045">
      <w:pPr>
        <w:pStyle w:val="ListParagraph"/>
        <w:ind w:left="680"/>
        <w:contextualSpacing w:val="0"/>
        <w:jc w:val="both"/>
        <w:rPr>
          <w:rFonts w:cs="Arial"/>
        </w:rPr>
      </w:pPr>
    </w:p>
    <w:p w14:paraId="1A5F0795" w14:textId="43AD2773" w:rsidR="00A837E3" w:rsidRPr="00E66809" w:rsidRDefault="00A837E3" w:rsidP="00A837E3">
      <w:pPr>
        <w:pStyle w:val="Head2"/>
        <w:pageBreakBefore/>
        <w:numPr>
          <w:ilvl w:val="0"/>
          <w:numId w:val="0"/>
        </w:numPr>
        <w:spacing w:before="240"/>
        <w:rPr>
          <w:rFonts w:cs="Arial"/>
          <w:b/>
          <w:color w:val="009999"/>
          <w:szCs w:val="22"/>
        </w:rPr>
      </w:pPr>
      <w:bookmarkStart w:id="82" w:name="_Toc203730839"/>
      <w:r w:rsidRPr="00E66809">
        <w:rPr>
          <w:rFonts w:cs="Arial"/>
          <w:b/>
          <w:color w:val="009999"/>
          <w:szCs w:val="22"/>
        </w:rPr>
        <w:lastRenderedPageBreak/>
        <w:t>SCHEDULE 2: PSQ RESPONSE GUIDANCE</w:t>
      </w:r>
      <w:bookmarkEnd w:id="82"/>
    </w:p>
    <w:p w14:paraId="255D29DB" w14:textId="15D4D251" w:rsidR="00F54D1E" w:rsidRPr="002B56D3" w:rsidRDefault="00FA5CF7" w:rsidP="00C06284">
      <w:pPr>
        <w:pStyle w:val="Schedule2"/>
        <w:numPr>
          <w:ilvl w:val="1"/>
          <w:numId w:val="26"/>
        </w:numPr>
        <w:jc w:val="both"/>
        <w:rPr>
          <w:rFonts w:cs="Arial"/>
        </w:rPr>
      </w:pPr>
      <w:r>
        <w:rPr>
          <w:rFonts w:cs="Arial"/>
        </w:rPr>
        <w:t>Supplier</w:t>
      </w:r>
      <w:r w:rsidR="00F54D1E" w:rsidRPr="002B147A">
        <w:rPr>
          <w:rFonts w:cs="Arial"/>
        </w:rPr>
        <w:t>s</w:t>
      </w:r>
      <w:r w:rsidR="00F54D1E" w:rsidRPr="002B56D3">
        <w:rPr>
          <w:rFonts w:cs="Arial"/>
        </w:rPr>
        <w:t xml:space="preserve"> must provide a written response for each question</w:t>
      </w:r>
      <w:r w:rsidR="000E73E5">
        <w:rPr>
          <w:rFonts w:cs="Arial"/>
        </w:rPr>
        <w:t xml:space="preserve"> referenced in the table below</w:t>
      </w:r>
      <w:r w:rsidR="00F54D1E" w:rsidRPr="002B56D3">
        <w:rPr>
          <w:rFonts w:cs="Arial"/>
        </w:rPr>
        <w:t>.</w:t>
      </w:r>
    </w:p>
    <w:p w14:paraId="36F39855" w14:textId="63D31C62" w:rsidR="00F54D1E" w:rsidRPr="00D42265" w:rsidRDefault="00F54D1E" w:rsidP="00C06284">
      <w:pPr>
        <w:pStyle w:val="Schedule2"/>
        <w:numPr>
          <w:ilvl w:val="1"/>
          <w:numId w:val="26"/>
        </w:numPr>
        <w:jc w:val="both"/>
        <w:rPr>
          <w:rFonts w:cs="Arial"/>
        </w:rPr>
      </w:pPr>
      <w:r>
        <w:rPr>
          <w:rFonts w:cs="Arial"/>
        </w:rPr>
        <w:t xml:space="preserve">The page and/or word limits for each qualitative question are as per the </w:t>
      </w:r>
      <w:r w:rsidR="00D42265">
        <w:rPr>
          <w:rFonts w:cs="Arial"/>
        </w:rPr>
        <w:t>below table.</w:t>
      </w:r>
    </w:p>
    <w:tbl>
      <w:tblPr>
        <w:tblW w:w="8992" w:type="dxa"/>
        <w:tblCellMar>
          <w:left w:w="0" w:type="dxa"/>
          <w:right w:w="0" w:type="dxa"/>
        </w:tblCellMar>
        <w:tblLook w:val="0400" w:firstRow="0" w:lastRow="0" w:firstColumn="0" w:lastColumn="0" w:noHBand="0" w:noVBand="1"/>
      </w:tblPr>
      <w:tblGrid>
        <w:gridCol w:w="4535"/>
        <w:gridCol w:w="4457"/>
      </w:tblGrid>
      <w:tr w:rsidR="00F54D1E" w:rsidRPr="00E16E27" w14:paraId="58725DC0" w14:textId="77777777" w:rsidTr="006B0E8F">
        <w:trPr>
          <w:trHeight w:val="507"/>
        </w:trPr>
        <w:tc>
          <w:tcPr>
            <w:tcW w:w="4535" w:type="dxa"/>
            <w:tcBorders>
              <w:top w:val="single" w:sz="6" w:space="0" w:color="0B0C0C"/>
              <w:left w:val="single" w:sz="6" w:space="0" w:color="0B0C0C"/>
              <w:bottom w:val="single" w:sz="6" w:space="0" w:color="0B0C0C"/>
              <w:right w:val="single" w:sz="6" w:space="0" w:color="0B0C0C"/>
            </w:tcBorders>
            <w:shd w:val="clear" w:color="auto" w:fill="009999"/>
            <w:tcMar>
              <w:top w:w="72" w:type="dxa"/>
              <w:left w:w="57" w:type="dxa"/>
              <w:bottom w:w="72" w:type="dxa"/>
              <w:right w:w="57" w:type="dxa"/>
            </w:tcMar>
            <w:vAlign w:val="center"/>
            <w:hideMark/>
          </w:tcPr>
          <w:p w14:paraId="2FD77452" w14:textId="27933BBF" w:rsidR="00F54D1E" w:rsidRPr="00E16E27" w:rsidRDefault="00F54D1E">
            <w:pPr>
              <w:jc w:val="center"/>
              <w:rPr>
                <w:rFonts w:cs="Arial"/>
                <w:b/>
                <w:bCs/>
                <w:color w:val="FFFFFF" w:themeColor="background1"/>
              </w:rPr>
            </w:pPr>
            <w:r>
              <w:rPr>
                <w:rFonts w:cs="Arial"/>
                <w:b/>
                <w:bCs/>
                <w:color w:val="FFFFFF" w:themeColor="background1"/>
              </w:rPr>
              <w:t>Question</w:t>
            </w:r>
          </w:p>
        </w:tc>
        <w:tc>
          <w:tcPr>
            <w:tcW w:w="4457" w:type="dxa"/>
            <w:tcBorders>
              <w:top w:val="single" w:sz="6" w:space="0" w:color="0B0C0C"/>
              <w:left w:val="single" w:sz="6" w:space="0" w:color="0B0C0C"/>
              <w:bottom w:val="single" w:sz="6" w:space="0" w:color="0B0C0C"/>
              <w:right w:val="single" w:sz="6" w:space="0" w:color="0B0C0C"/>
            </w:tcBorders>
            <w:shd w:val="clear" w:color="auto" w:fill="009999"/>
            <w:tcMar>
              <w:top w:w="72" w:type="dxa"/>
              <w:left w:w="57" w:type="dxa"/>
              <w:bottom w:w="72" w:type="dxa"/>
              <w:right w:w="57" w:type="dxa"/>
            </w:tcMar>
            <w:vAlign w:val="center"/>
            <w:hideMark/>
          </w:tcPr>
          <w:p w14:paraId="779634BE" w14:textId="4D509DA1" w:rsidR="00F54D1E" w:rsidRPr="00E16E27" w:rsidRDefault="008B4A80" w:rsidP="00A1115A">
            <w:pPr>
              <w:jc w:val="center"/>
              <w:rPr>
                <w:rFonts w:cs="Arial"/>
                <w:b/>
                <w:bCs/>
                <w:color w:val="FFFFFF" w:themeColor="background1"/>
              </w:rPr>
            </w:pPr>
            <w:r>
              <w:rPr>
                <w:rFonts w:cs="Arial"/>
                <w:b/>
                <w:bCs/>
                <w:color w:val="FFFFFF" w:themeColor="background1"/>
              </w:rPr>
              <w:t>Page and/or Word Limit</w:t>
            </w:r>
          </w:p>
        </w:tc>
      </w:tr>
      <w:tr w:rsidR="00F54D1E" w:rsidRPr="00E16E27" w14:paraId="6BAF62EE" w14:textId="77777777" w:rsidTr="006B0E8F">
        <w:trPr>
          <w:trHeight w:val="580"/>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36836AFD" w14:textId="13679B50" w:rsidR="00F54D1E" w:rsidRPr="00E16E27" w:rsidRDefault="000E73E5">
            <w:pPr>
              <w:jc w:val="center"/>
              <w:rPr>
                <w:rFonts w:cs="Arial"/>
              </w:rPr>
            </w:pPr>
            <w:r>
              <w:rPr>
                <w:rFonts w:cs="Arial"/>
              </w:rPr>
              <w:t>3</w:t>
            </w:r>
            <w:r w:rsidR="00D42265">
              <w:rPr>
                <w:rFonts w:cs="Arial"/>
              </w:rPr>
              <w:t>.1</w:t>
            </w:r>
            <w:r w:rsidR="00650479">
              <w:rPr>
                <w:rFonts w:cs="Arial"/>
              </w:rPr>
              <w:t>1</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6AAC3663" w14:textId="579DD2A6" w:rsidR="00F54D1E" w:rsidRPr="00E16E27" w:rsidRDefault="00546950" w:rsidP="00A1115A">
            <w:pPr>
              <w:jc w:val="center"/>
              <w:rPr>
                <w:rFonts w:cs="Arial"/>
              </w:rPr>
            </w:pPr>
            <w:r>
              <w:rPr>
                <w:rFonts w:cs="Arial"/>
              </w:rPr>
              <w:t xml:space="preserve">500 words per case study </w:t>
            </w:r>
            <w:r w:rsidR="00364D6C">
              <w:rPr>
                <w:rFonts w:cs="Arial"/>
              </w:rPr>
              <w:t>(</w:t>
            </w:r>
            <w:r>
              <w:rPr>
                <w:rFonts w:cs="Arial"/>
              </w:rPr>
              <w:t>1</w:t>
            </w:r>
            <w:r w:rsidR="00E75C1D">
              <w:rPr>
                <w:rFonts w:cs="Arial"/>
              </w:rPr>
              <w:t>500</w:t>
            </w:r>
            <w:r w:rsidR="00364D6C">
              <w:rPr>
                <w:rFonts w:cs="Arial"/>
              </w:rPr>
              <w:t xml:space="preserve"> </w:t>
            </w:r>
            <w:r>
              <w:rPr>
                <w:rFonts w:cs="Arial"/>
              </w:rPr>
              <w:t>words in</w:t>
            </w:r>
            <w:r w:rsidR="00364D6C">
              <w:rPr>
                <w:rFonts w:cs="Arial"/>
              </w:rPr>
              <w:t xml:space="preserve"> total)</w:t>
            </w:r>
          </w:p>
        </w:tc>
      </w:tr>
      <w:tr w:rsidR="00F54D1E" w:rsidRPr="00E16E27" w14:paraId="503D09CE" w14:textId="77777777" w:rsidTr="006B0E8F">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4273450A" w14:textId="7D151663" w:rsidR="00F54D1E" w:rsidRPr="00E16E27" w:rsidRDefault="00D42265">
            <w:pPr>
              <w:jc w:val="center"/>
              <w:rPr>
                <w:rFonts w:cs="Arial"/>
              </w:rPr>
            </w:pPr>
            <w:r>
              <w:rPr>
                <w:rFonts w:cs="Arial"/>
              </w:rPr>
              <w:t>3.1</w:t>
            </w:r>
            <w:r w:rsidR="00650479">
              <w:rPr>
                <w:rFonts w:cs="Arial"/>
              </w:rPr>
              <w:t>2</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5B2C5EC8" w14:textId="26DF57AB" w:rsidR="00F54D1E" w:rsidRPr="00E16E27" w:rsidRDefault="007121F5" w:rsidP="00A1115A">
            <w:pPr>
              <w:jc w:val="center"/>
              <w:rPr>
                <w:rFonts w:cs="Arial"/>
              </w:rPr>
            </w:pPr>
            <w:r>
              <w:rPr>
                <w:rFonts w:cs="Arial"/>
              </w:rPr>
              <w:t>1</w:t>
            </w:r>
            <w:r w:rsidR="00642950">
              <w:rPr>
                <w:rFonts w:cs="Arial"/>
              </w:rPr>
              <w:t>,</w:t>
            </w:r>
            <w:r w:rsidR="00924E07">
              <w:rPr>
                <w:rFonts w:cs="Arial"/>
              </w:rPr>
              <w:t>500</w:t>
            </w:r>
            <w:r w:rsidR="00D33C26">
              <w:rPr>
                <w:rFonts w:cs="Arial"/>
              </w:rPr>
              <w:t xml:space="preserve"> words</w:t>
            </w:r>
          </w:p>
        </w:tc>
      </w:tr>
      <w:tr w:rsidR="00F54D1E" w:rsidRPr="00E16E27" w14:paraId="480AACEB" w14:textId="77777777" w:rsidTr="006B0E8F">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50ADF3EF" w14:textId="44E31CD6" w:rsidR="00F54D1E" w:rsidRPr="00E16E27" w:rsidRDefault="00D42265">
            <w:pPr>
              <w:jc w:val="center"/>
              <w:rPr>
                <w:rFonts w:cs="Arial"/>
              </w:rPr>
            </w:pPr>
            <w:r>
              <w:rPr>
                <w:rFonts w:cs="Arial"/>
              </w:rPr>
              <w:t>3.1</w:t>
            </w:r>
            <w:r w:rsidR="00650479">
              <w:rPr>
                <w:rFonts w:cs="Arial"/>
              </w:rPr>
              <w:t>3</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3C73F855" w14:textId="613301C7" w:rsidR="00F54D1E" w:rsidRPr="00E16E27" w:rsidRDefault="007631D3" w:rsidP="00A1115A">
            <w:pPr>
              <w:jc w:val="center"/>
              <w:rPr>
                <w:rFonts w:cs="Arial"/>
              </w:rPr>
            </w:pPr>
            <w:r>
              <w:rPr>
                <w:rFonts w:cs="Arial"/>
              </w:rPr>
              <w:t>1</w:t>
            </w:r>
            <w:r w:rsidR="00642950">
              <w:rPr>
                <w:rFonts w:cs="Arial"/>
              </w:rPr>
              <w:t>,</w:t>
            </w:r>
            <w:r>
              <w:rPr>
                <w:rFonts w:cs="Arial"/>
              </w:rPr>
              <w:t>0</w:t>
            </w:r>
            <w:r w:rsidR="00924E07" w:rsidRPr="00764114">
              <w:rPr>
                <w:rFonts w:cs="Arial"/>
              </w:rPr>
              <w:t>00</w:t>
            </w:r>
            <w:r w:rsidR="00D33C26" w:rsidRPr="00AA7A71">
              <w:rPr>
                <w:rFonts w:cs="Arial"/>
              </w:rPr>
              <w:t xml:space="preserve"> words</w:t>
            </w:r>
          </w:p>
        </w:tc>
      </w:tr>
      <w:tr w:rsidR="00F54D1E" w:rsidRPr="00E16E27" w14:paraId="6962E053" w14:textId="77777777" w:rsidTr="006B0E8F">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5C989D9E" w14:textId="4B5660AC" w:rsidR="00F54D1E" w:rsidRPr="00E16E27" w:rsidRDefault="00D42265">
            <w:pPr>
              <w:jc w:val="center"/>
              <w:rPr>
                <w:rFonts w:cs="Arial"/>
              </w:rPr>
            </w:pPr>
            <w:r>
              <w:rPr>
                <w:rFonts w:cs="Arial"/>
              </w:rPr>
              <w:t>3.1</w:t>
            </w:r>
            <w:r w:rsidR="00650479">
              <w:rPr>
                <w:rFonts w:cs="Arial"/>
              </w:rPr>
              <w:t>4</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65E3A5F7" w14:textId="2B239B7A" w:rsidR="00F54D1E" w:rsidRPr="00E16E27" w:rsidRDefault="007631D3" w:rsidP="00A1115A">
            <w:pPr>
              <w:jc w:val="center"/>
              <w:rPr>
                <w:rFonts w:cs="Arial"/>
              </w:rPr>
            </w:pPr>
            <w:r>
              <w:rPr>
                <w:rFonts w:cs="Arial"/>
              </w:rPr>
              <w:t>750</w:t>
            </w:r>
            <w:r w:rsidR="00D33C26" w:rsidRPr="00AA7A71">
              <w:rPr>
                <w:rFonts w:cs="Arial"/>
              </w:rPr>
              <w:t xml:space="preserve"> words</w:t>
            </w:r>
          </w:p>
        </w:tc>
      </w:tr>
      <w:tr w:rsidR="00F54D1E" w:rsidRPr="00E16E27" w14:paraId="3E799482" w14:textId="77777777" w:rsidTr="006B0E8F">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144CA10" w14:textId="3EE369B7" w:rsidR="00F54D1E" w:rsidRPr="00E16E27" w:rsidRDefault="00D42265">
            <w:pPr>
              <w:jc w:val="center"/>
              <w:rPr>
                <w:rFonts w:cs="Arial"/>
              </w:rPr>
            </w:pPr>
            <w:r>
              <w:rPr>
                <w:rFonts w:cs="Arial"/>
              </w:rPr>
              <w:t>3.1</w:t>
            </w:r>
            <w:r w:rsidR="00650479">
              <w:rPr>
                <w:rFonts w:cs="Arial"/>
              </w:rPr>
              <w:t>5</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17088F99" w14:textId="6E9FBD55" w:rsidR="00F54D1E" w:rsidRPr="00E16E27" w:rsidRDefault="00924E07" w:rsidP="00A1115A">
            <w:pPr>
              <w:jc w:val="center"/>
              <w:rPr>
                <w:rFonts w:cs="Arial"/>
              </w:rPr>
            </w:pPr>
            <w:r w:rsidRPr="00764114">
              <w:rPr>
                <w:rFonts w:cs="Arial"/>
              </w:rPr>
              <w:t>500</w:t>
            </w:r>
            <w:r w:rsidR="00D33C26" w:rsidRPr="00AA7A71">
              <w:rPr>
                <w:rFonts w:cs="Arial"/>
              </w:rPr>
              <w:t xml:space="preserve"> words</w:t>
            </w:r>
          </w:p>
        </w:tc>
      </w:tr>
      <w:tr w:rsidR="00F54D1E" w:rsidRPr="00E16E27" w14:paraId="5A5FB91C" w14:textId="77777777" w:rsidTr="006B0E8F">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59431458" w14:textId="0C8D78DB" w:rsidR="00F54D1E" w:rsidRPr="00E16E27" w:rsidRDefault="00D42265">
            <w:pPr>
              <w:jc w:val="center"/>
              <w:rPr>
                <w:rFonts w:cs="Arial"/>
              </w:rPr>
            </w:pPr>
            <w:r>
              <w:rPr>
                <w:rFonts w:cs="Arial"/>
              </w:rPr>
              <w:t>3.1</w:t>
            </w:r>
            <w:r w:rsidR="00650479">
              <w:rPr>
                <w:rFonts w:cs="Arial"/>
              </w:rPr>
              <w:t>6</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7D705AFE" w14:textId="0ECE6F06" w:rsidR="00F54D1E" w:rsidRPr="00E16E27" w:rsidRDefault="00924E07" w:rsidP="00A1115A">
            <w:pPr>
              <w:jc w:val="center"/>
              <w:rPr>
                <w:rFonts w:cs="Arial"/>
              </w:rPr>
            </w:pPr>
            <w:r w:rsidRPr="00764114">
              <w:rPr>
                <w:rFonts w:cs="Arial"/>
              </w:rPr>
              <w:t>500</w:t>
            </w:r>
            <w:r w:rsidR="00D33C26" w:rsidRPr="00AA7A71">
              <w:rPr>
                <w:rFonts w:cs="Arial"/>
              </w:rPr>
              <w:t xml:space="preserve"> words</w:t>
            </w:r>
          </w:p>
        </w:tc>
      </w:tr>
      <w:tr w:rsidR="00F54D1E" w:rsidRPr="00E16E27" w14:paraId="2CD3026C" w14:textId="77777777" w:rsidTr="006B0E8F">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254D444F" w14:textId="1256C48E" w:rsidR="00F54D1E" w:rsidRPr="00E16E27" w:rsidRDefault="00D42265">
            <w:pPr>
              <w:jc w:val="center"/>
              <w:rPr>
                <w:rFonts w:cs="Arial"/>
              </w:rPr>
            </w:pPr>
            <w:r>
              <w:rPr>
                <w:rFonts w:cs="Arial"/>
              </w:rPr>
              <w:t>3.1</w:t>
            </w:r>
            <w:r w:rsidR="00650479">
              <w:rPr>
                <w:rFonts w:cs="Arial"/>
              </w:rPr>
              <w:t>7</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20425C13" w14:textId="4B73361C" w:rsidR="00F54D1E" w:rsidRPr="00E16E27" w:rsidRDefault="00924E07" w:rsidP="00A1115A">
            <w:pPr>
              <w:jc w:val="center"/>
              <w:rPr>
                <w:rFonts w:cs="Arial"/>
              </w:rPr>
            </w:pPr>
            <w:r w:rsidRPr="00764114">
              <w:rPr>
                <w:rFonts w:cs="Arial"/>
              </w:rPr>
              <w:t>500</w:t>
            </w:r>
            <w:r w:rsidR="00D33C26" w:rsidRPr="00AA7A71">
              <w:rPr>
                <w:rFonts w:cs="Arial"/>
              </w:rPr>
              <w:t xml:space="preserve"> words</w:t>
            </w:r>
          </w:p>
        </w:tc>
      </w:tr>
      <w:tr w:rsidR="00A1115A" w:rsidRPr="00E16E27" w14:paraId="555B56EA" w14:textId="77777777" w:rsidTr="006B0E8F">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35D5B85" w14:textId="33AB1CE8" w:rsidR="00A1115A" w:rsidRDefault="00D42265" w:rsidP="00A1115A">
            <w:pPr>
              <w:jc w:val="center"/>
              <w:rPr>
                <w:rFonts w:cs="Arial"/>
              </w:rPr>
            </w:pPr>
            <w:r>
              <w:rPr>
                <w:rFonts w:cs="Arial"/>
              </w:rPr>
              <w:t>3.1</w:t>
            </w:r>
            <w:r w:rsidR="00650479">
              <w:rPr>
                <w:rFonts w:cs="Arial"/>
              </w:rPr>
              <w:t>8</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7F8CBDD3" w14:textId="22E4F537" w:rsidR="00A1115A" w:rsidRPr="00E16E27" w:rsidRDefault="00924E07" w:rsidP="00A1115A">
            <w:pPr>
              <w:jc w:val="center"/>
              <w:rPr>
                <w:rFonts w:cs="Arial"/>
              </w:rPr>
            </w:pPr>
            <w:r w:rsidRPr="00764114">
              <w:rPr>
                <w:rFonts w:cs="Arial"/>
              </w:rPr>
              <w:t>500</w:t>
            </w:r>
            <w:r w:rsidR="00D33C26" w:rsidRPr="00AA7A71">
              <w:rPr>
                <w:rFonts w:cs="Arial"/>
              </w:rPr>
              <w:t xml:space="preserve"> words</w:t>
            </w:r>
            <w:r w:rsidR="00546950">
              <w:rPr>
                <w:rFonts w:cs="Arial"/>
              </w:rPr>
              <w:t xml:space="preserve"> per case study (1000 words in total)</w:t>
            </w:r>
          </w:p>
        </w:tc>
      </w:tr>
      <w:tr w:rsidR="00A1115A" w:rsidRPr="00E16E27" w14:paraId="02A186E6" w14:textId="77777777" w:rsidTr="006B0E8F">
        <w:trPr>
          <w:trHeight w:val="454"/>
        </w:trPr>
        <w:tc>
          <w:tcPr>
            <w:tcW w:w="45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42272A85" w14:textId="74BBB7FE" w:rsidR="00A1115A" w:rsidRDefault="00D42265" w:rsidP="00A1115A">
            <w:pPr>
              <w:jc w:val="center"/>
              <w:rPr>
                <w:rFonts w:cs="Arial"/>
              </w:rPr>
            </w:pPr>
            <w:r>
              <w:rPr>
                <w:rFonts w:cs="Arial"/>
              </w:rPr>
              <w:t>3.</w:t>
            </w:r>
            <w:r w:rsidR="00650479">
              <w:rPr>
                <w:rFonts w:cs="Arial"/>
              </w:rPr>
              <w:t>19</w:t>
            </w:r>
          </w:p>
        </w:tc>
        <w:tc>
          <w:tcPr>
            <w:tcW w:w="4457"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tcPr>
          <w:p w14:paraId="7396FE2A" w14:textId="4E7F353D" w:rsidR="00A1115A" w:rsidRPr="00E16E27" w:rsidRDefault="00924E07" w:rsidP="00A1115A">
            <w:pPr>
              <w:jc w:val="center"/>
              <w:rPr>
                <w:rFonts w:cs="Arial"/>
              </w:rPr>
            </w:pPr>
            <w:r w:rsidRPr="00764114">
              <w:rPr>
                <w:rFonts w:cs="Arial"/>
              </w:rPr>
              <w:t>500</w:t>
            </w:r>
            <w:r w:rsidR="00D33C26" w:rsidRPr="00AA7A71">
              <w:rPr>
                <w:rFonts w:cs="Arial"/>
              </w:rPr>
              <w:t xml:space="preserve"> words</w:t>
            </w:r>
          </w:p>
        </w:tc>
      </w:tr>
    </w:tbl>
    <w:p w14:paraId="6B9FCA0B" w14:textId="77777777" w:rsidR="00F54D1E" w:rsidRPr="00F54D1E" w:rsidRDefault="00F54D1E" w:rsidP="00F54D1E">
      <w:pPr>
        <w:jc w:val="both"/>
        <w:rPr>
          <w:rFonts w:cs="Arial"/>
        </w:rPr>
      </w:pPr>
    </w:p>
    <w:p w14:paraId="4EFA4D92" w14:textId="3D0C37FB" w:rsidR="00DA5152" w:rsidRDefault="00DA5152" w:rsidP="00C06284">
      <w:pPr>
        <w:pStyle w:val="Schedule2"/>
        <w:numPr>
          <w:ilvl w:val="1"/>
          <w:numId w:val="26"/>
        </w:numPr>
        <w:jc w:val="both"/>
        <w:rPr>
          <w:rFonts w:cs="Arial"/>
        </w:rPr>
      </w:pPr>
      <w:r>
        <w:rPr>
          <w:rFonts w:cs="Arial"/>
        </w:rPr>
        <w:t xml:space="preserve">In cases where </w:t>
      </w:r>
      <w:r w:rsidR="0073255F">
        <w:rPr>
          <w:rFonts w:cs="Arial"/>
        </w:rPr>
        <w:t xml:space="preserve">a </w:t>
      </w:r>
      <w:r>
        <w:rPr>
          <w:rFonts w:cs="Arial"/>
        </w:rPr>
        <w:t>Supplier exceed</w:t>
      </w:r>
      <w:r w:rsidR="0073255F">
        <w:rPr>
          <w:rFonts w:cs="Arial"/>
        </w:rPr>
        <w:t>s</w:t>
      </w:r>
      <w:r>
        <w:rPr>
          <w:rFonts w:cs="Arial"/>
        </w:rPr>
        <w:t xml:space="preserve"> the word count and/or page limit for any of the questions, </w:t>
      </w:r>
      <w:r w:rsidR="0073255F">
        <w:rPr>
          <w:rFonts w:cs="Arial"/>
        </w:rPr>
        <w:t>any content over and above the word count/page limit will be disregarded by HMRC for the purposes of evaluation. HMRC reserves the right to request that the Supplier re-submits their CoP response in the event that it believes any information has been provided erroneously.</w:t>
      </w:r>
    </w:p>
    <w:p w14:paraId="27EF198B" w14:textId="308F7661" w:rsidR="00F54D1E" w:rsidRPr="002B56D3" w:rsidRDefault="00F54D1E" w:rsidP="00C06284">
      <w:pPr>
        <w:pStyle w:val="Schedule2"/>
        <w:numPr>
          <w:ilvl w:val="1"/>
          <w:numId w:val="26"/>
        </w:numPr>
        <w:jc w:val="both"/>
        <w:rPr>
          <w:rFonts w:cs="Arial"/>
        </w:rPr>
      </w:pPr>
      <w:r w:rsidRPr="002B56D3">
        <w:rPr>
          <w:rFonts w:cs="Arial"/>
        </w:rPr>
        <w:lastRenderedPageBreak/>
        <w:t>Your response must be in font size 12, font style Ari</w:t>
      </w:r>
      <w:r>
        <w:rPr>
          <w:rFonts w:cs="Arial"/>
        </w:rPr>
        <w:t>a</w:t>
      </w:r>
      <w:r w:rsidRPr="002B56D3">
        <w:rPr>
          <w:rFonts w:cs="Arial"/>
        </w:rPr>
        <w:t>l, with margins no smaller than 1.27cm (across top, bottom, left and right)</w:t>
      </w:r>
      <w:r>
        <w:rPr>
          <w:rFonts w:cs="Arial"/>
        </w:rPr>
        <w:t xml:space="preserve"> in Microsoft Word.</w:t>
      </w:r>
    </w:p>
    <w:p w14:paraId="1AB3A3CB" w14:textId="12BB968B" w:rsidR="00F54D1E" w:rsidRDefault="00F54D1E" w:rsidP="00C06284">
      <w:pPr>
        <w:pStyle w:val="Schedule2"/>
        <w:numPr>
          <w:ilvl w:val="1"/>
          <w:numId w:val="26"/>
        </w:numPr>
        <w:jc w:val="both"/>
        <w:rPr>
          <w:rFonts w:cs="Arial"/>
        </w:rPr>
      </w:pPr>
      <w:r w:rsidRPr="002B56D3">
        <w:rPr>
          <w:rFonts w:cs="Arial"/>
        </w:rPr>
        <w:t xml:space="preserve">You may include up to 2 diagrams to support your response for each question. A maximum of 100 words for each diagram (in addition to the word limit set out in </w:t>
      </w:r>
      <w:r w:rsidR="00D42265">
        <w:rPr>
          <w:rFonts w:cs="Arial"/>
        </w:rPr>
        <w:t>the above table</w:t>
      </w:r>
      <w:r w:rsidRPr="002B56D3">
        <w:rPr>
          <w:rFonts w:cs="Arial"/>
        </w:rPr>
        <w:t>) will be accepted.</w:t>
      </w:r>
    </w:p>
    <w:p w14:paraId="457786C4" w14:textId="44F573A7" w:rsidR="00993B05" w:rsidRPr="00E66809" w:rsidRDefault="00A837E3" w:rsidP="00E01339">
      <w:pPr>
        <w:pStyle w:val="Head2"/>
        <w:pageBreakBefore/>
        <w:numPr>
          <w:ilvl w:val="0"/>
          <w:numId w:val="0"/>
        </w:numPr>
        <w:spacing w:before="240"/>
        <w:rPr>
          <w:rFonts w:cs="Arial"/>
          <w:b/>
          <w:color w:val="009999"/>
          <w:szCs w:val="22"/>
        </w:rPr>
      </w:pPr>
      <w:bookmarkStart w:id="83" w:name="_Toc203730840"/>
      <w:r w:rsidRPr="00E66809">
        <w:rPr>
          <w:rFonts w:cs="Arial"/>
          <w:b/>
          <w:color w:val="009999"/>
          <w:szCs w:val="22"/>
        </w:rPr>
        <w:lastRenderedPageBreak/>
        <w:t>SCHEDULE 3</w:t>
      </w:r>
      <w:r w:rsidR="00221727" w:rsidRPr="00E66809">
        <w:rPr>
          <w:rFonts w:cs="Arial"/>
          <w:b/>
          <w:color w:val="009999"/>
          <w:szCs w:val="22"/>
        </w:rPr>
        <w:t xml:space="preserve">: </w:t>
      </w:r>
      <w:r w:rsidRPr="00E66809">
        <w:rPr>
          <w:rFonts w:cs="Arial"/>
          <w:b/>
          <w:color w:val="009999"/>
          <w:szCs w:val="22"/>
        </w:rPr>
        <w:t>PSQ EVALUATION GUIDANCE</w:t>
      </w:r>
      <w:r w:rsidR="001B7DAC" w:rsidRPr="00E66809">
        <w:rPr>
          <w:rFonts w:cs="Arial"/>
          <w:b/>
          <w:color w:val="009999"/>
          <w:szCs w:val="22"/>
        </w:rPr>
        <w:t xml:space="preserve"> AND CRITERIA</w:t>
      </w:r>
      <w:bookmarkEnd w:id="83"/>
    </w:p>
    <w:p w14:paraId="0592BF63" w14:textId="543801C9" w:rsidR="00EB4E69" w:rsidRDefault="00EB4E69" w:rsidP="00C06284">
      <w:pPr>
        <w:pStyle w:val="Schedule2"/>
        <w:numPr>
          <w:ilvl w:val="1"/>
          <w:numId w:val="27"/>
        </w:numPr>
        <w:jc w:val="both"/>
      </w:pPr>
      <w:r>
        <w:t>The tables below provide evaluation guidance for each of the questions in the PSQ.</w:t>
      </w:r>
    </w:p>
    <w:p w14:paraId="0F0F672A" w14:textId="2FAD1301" w:rsidR="00EB4E69" w:rsidRDefault="00416EB9" w:rsidP="00C06284">
      <w:pPr>
        <w:pStyle w:val="Schedule2"/>
        <w:numPr>
          <w:ilvl w:val="1"/>
          <w:numId w:val="27"/>
        </w:numPr>
        <w:jc w:val="both"/>
      </w:pPr>
      <w:r>
        <w:t>The evaluation guidance contains, for each question:</w:t>
      </w:r>
    </w:p>
    <w:p w14:paraId="7BA26E3B" w14:textId="68ECCD88" w:rsidR="00416EB9" w:rsidRDefault="00416EB9" w:rsidP="00C06284">
      <w:pPr>
        <w:pStyle w:val="Schedule2"/>
        <w:numPr>
          <w:ilvl w:val="2"/>
          <w:numId w:val="27"/>
        </w:numPr>
        <w:jc w:val="both"/>
      </w:pPr>
      <w:r>
        <w:t>The assessment method (e.g. pass/fail</w:t>
      </w:r>
      <w:proofErr w:type="gramStart"/>
      <w:r>
        <w:t>)</w:t>
      </w:r>
      <w:r w:rsidR="0087199F">
        <w:t>;</w:t>
      </w:r>
      <w:proofErr w:type="gramEnd"/>
    </w:p>
    <w:p w14:paraId="6B7D517B" w14:textId="07039397" w:rsidR="00416EB9" w:rsidRDefault="00416EB9" w:rsidP="00C06284">
      <w:pPr>
        <w:pStyle w:val="Schedule2"/>
        <w:numPr>
          <w:ilvl w:val="2"/>
          <w:numId w:val="27"/>
        </w:numPr>
        <w:jc w:val="both"/>
      </w:pPr>
      <w:r>
        <w:t xml:space="preserve">Where applicable, what constitutes a </w:t>
      </w:r>
      <w:proofErr w:type="gramStart"/>
      <w:r>
        <w:t>pass</w:t>
      </w:r>
      <w:r w:rsidR="0087199F">
        <w:t>;</w:t>
      </w:r>
      <w:proofErr w:type="gramEnd"/>
    </w:p>
    <w:p w14:paraId="185E2429" w14:textId="0BD5C771" w:rsidR="00416EB9" w:rsidRDefault="00416EB9" w:rsidP="00C06284">
      <w:pPr>
        <w:pStyle w:val="Schedule2"/>
        <w:numPr>
          <w:ilvl w:val="2"/>
          <w:numId w:val="27"/>
        </w:numPr>
        <w:jc w:val="both"/>
      </w:pPr>
      <w:r>
        <w:t xml:space="preserve">Where applicable, what constitutes a </w:t>
      </w:r>
      <w:proofErr w:type="gramStart"/>
      <w:r>
        <w:t>fail</w:t>
      </w:r>
      <w:proofErr w:type="gramEnd"/>
      <w:r w:rsidR="0087199F">
        <w:t>; and</w:t>
      </w:r>
    </w:p>
    <w:p w14:paraId="392BBAAC" w14:textId="079904D1" w:rsidR="00416EB9" w:rsidRDefault="00416EB9" w:rsidP="00C06284">
      <w:pPr>
        <w:pStyle w:val="Schedule2"/>
        <w:numPr>
          <w:ilvl w:val="2"/>
          <w:numId w:val="27"/>
        </w:numPr>
        <w:jc w:val="both"/>
      </w:pPr>
      <w:r>
        <w:t>Any further evaluation guidance</w:t>
      </w:r>
      <w:r w:rsidR="00860029">
        <w:t>.</w:t>
      </w:r>
    </w:p>
    <w:p w14:paraId="437CFA21" w14:textId="105770E5" w:rsidR="00A46209" w:rsidRPr="00F74390" w:rsidRDefault="00A46209" w:rsidP="00C06284">
      <w:pPr>
        <w:pStyle w:val="Schedule2"/>
        <w:numPr>
          <w:ilvl w:val="1"/>
          <w:numId w:val="27"/>
        </w:numPr>
        <w:jc w:val="both"/>
      </w:pPr>
      <w:r w:rsidRPr="00F74390">
        <w:t xml:space="preserve">If any part of your response is left incomplete, the section may be marked as a </w:t>
      </w:r>
      <w:proofErr w:type="gramStart"/>
      <w:r w:rsidRPr="00F74390">
        <w:t>fail</w:t>
      </w:r>
      <w:proofErr w:type="gramEnd"/>
      <w:r w:rsidRPr="00F74390">
        <w:t xml:space="preserve">. If the question is not applicable, please mark your response as ‘N/A’. </w:t>
      </w:r>
    </w:p>
    <w:p w14:paraId="2924B85F" w14:textId="065786B0" w:rsidR="00860029" w:rsidRPr="002B147A" w:rsidRDefault="00FA5CF7" w:rsidP="00C06284">
      <w:pPr>
        <w:pStyle w:val="Schedule2"/>
        <w:numPr>
          <w:ilvl w:val="1"/>
          <w:numId w:val="27"/>
        </w:numPr>
        <w:jc w:val="both"/>
      </w:pPr>
      <w:r>
        <w:t>Supplier</w:t>
      </w:r>
      <w:r w:rsidR="00860029">
        <w:t>s should ensure they read this Schedule 3 in conjunction with the PSQ questions.</w:t>
      </w:r>
    </w:p>
    <w:p w14:paraId="5B720B74" w14:textId="77777777" w:rsidR="00A46209" w:rsidRPr="00E66809" w:rsidRDefault="00A46209" w:rsidP="00A46209">
      <w:pPr>
        <w:keepNext/>
        <w:keepLines/>
        <w:jc w:val="both"/>
        <w:outlineLvl w:val="0"/>
        <w:rPr>
          <w:rFonts w:eastAsiaTheme="majorEastAsia" w:cs="Arial"/>
          <w:b/>
        </w:rPr>
      </w:pPr>
      <w:r w:rsidRPr="00E66809">
        <w:rPr>
          <w:rFonts w:eastAsiaTheme="majorEastAsia" w:cs="Arial"/>
          <w:b/>
        </w:rPr>
        <w:t>Preliminary Questions</w:t>
      </w: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74"/>
        <w:gridCol w:w="1701"/>
        <w:gridCol w:w="9861"/>
      </w:tblGrid>
      <w:tr w:rsidR="00A46209" w:rsidRPr="001439F7" w14:paraId="2497F9C9" w14:textId="77777777" w:rsidTr="005F2119">
        <w:trPr>
          <w:cantSplit/>
          <w:trHeight w:val="510"/>
        </w:trPr>
        <w:tc>
          <w:tcPr>
            <w:tcW w:w="1474" w:type="dxa"/>
            <w:tcBorders>
              <w:top w:val="single" w:sz="4" w:space="0" w:color="auto"/>
              <w:left w:val="single" w:sz="4" w:space="0" w:color="auto"/>
              <w:bottom w:val="single" w:sz="4" w:space="0" w:color="auto"/>
              <w:right w:val="single" w:sz="4" w:space="0" w:color="EAEAEA"/>
            </w:tcBorders>
            <w:shd w:val="clear" w:color="auto" w:fill="009999"/>
            <w:vAlign w:val="center"/>
          </w:tcPr>
          <w:p w14:paraId="412E5847"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1701" w:type="dxa"/>
            <w:tcBorders>
              <w:top w:val="single" w:sz="4" w:space="0" w:color="auto"/>
              <w:left w:val="single" w:sz="4" w:space="0" w:color="auto"/>
              <w:bottom w:val="single" w:sz="4" w:space="0" w:color="auto"/>
              <w:right w:val="single" w:sz="4" w:space="0" w:color="EAEAEA"/>
            </w:tcBorders>
            <w:shd w:val="clear" w:color="auto" w:fill="009999"/>
            <w:vAlign w:val="center"/>
          </w:tcPr>
          <w:p w14:paraId="29FD6E4A"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9861" w:type="dxa"/>
            <w:tcBorders>
              <w:top w:val="single" w:sz="4" w:space="0" w:color="auto"/>
              <w:left w:val="single" w:sz="4" w:space="0" w:color="auto"/>
              <w:bottom w:val="single" w:sz="4" w:space="0" w:color="auto"/>
              <w:right w:val="single" w:sz="4" w:space="0" w:color="auto"/>
            </w:tcBorders>
            <w:shd w:val="clear" w:color="auto" w:fill="009999"/>
            <w:vAlign w:val="center"/>
          </w:tcPr>
          <w:p w14:paraId="7A7CE632" w14:textId="77777777" w:rsidR="00A46209" w:rsidRPr="00E66809" w:rsidRDefault="00A46209">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A46209" w:rsidRPr="00605283" w14:paraId="2CA5706B" w14:textId="77777777" w:rsidTr="005F2119">
        <w:trPr>
          <w:trHeight w:val="510"/>
        </w:trPr>
        <w:tc>
          <w:tcPr>
            <w:tcW w:w="1474" w:type="dxa"/>
            <w:shd w:val="clear" w:color="auto" w:fill="FFFFFF"/>
          </w:tcPr>
          <w:p w14:paraId="755663F7" w14:textId="77777777" w:rsidR="00A46209" w:rsidRPr="00A750A6" w:rsidRDefault="00A46209">
            <w:pPr>
              <w:spacing w:after="0" w:line="276" w:lineRule="auto"/>
              <w:rPr>
                <w:rFonts w:eastAsia="Times New Roman" w:cs="Calibri"/>
                <w:b/>
              </w:rPr>
            </w:pPr>
            <w:r w:rsidRPr="00A750A6">
              <w:rPr>
                <w:rFonts w:eastAsia="Times New Roman" w:cs="Calibri"/>
                <w:b/>
              </w:rPr>
              <w:t>1.1 – 1.4</w:t>
            </w:r>
          </w:p>
        </w:tc>
        <w:tc>
          <w:tcPr>
            <w:tcW w:w="1701" w:type="dxa"/>
            <w:shd w:val="clear" w:color="auto" w:fill="FFFFFF"/>
          </w:tcPr>
          <w:p w14:paraId="0E45F3AB" w14:textId="77777777" w:rsidR="00A46209" w:rsidRPr="00E66809" w:rsidRDefault="00A46209">
            <w:pPr>
              <w:spacing w:after="0" w:line="276" w:lineRule="auto"/>
              <w:rPr>
                <w:rFonts w:eastAsia="Times New Roman" w:cs="Calibri"/>
              </w:rPr>
            </w:pPr>
            <w:r w:rsidRPr="00E66809">
              <w:rPr>
                <w:rFonts w:eastAsia="Times New Roman" w:cs="Calibri"/>
              </w:rPr>
              <w:t>Pass/Fail</w:t>
            </w:r>
          </w:p>
        </w:tc>
        <w:tc>
          <w:tcPr>
            <w:tcW w:w="9861" w:type="dxa"/>
            <w:shd w:val="clear" w:color="auto" w:fill="FFFFFF"/>
          </w:tcPr>
          <w:p w14:paraId="2CA1A131" w14:textId="77777777" w:rsidR="00A46209" w:rsidRPr="00E66809" w:rsidRDefault="00A46209">
            <w:pPr>
              <w:spacing w:after="0" w:line="276" w:lineRule="auto"/>
              <w:rPr>
                <w:rFonts w:eastAsia="Times New Roman" w:cs="Calibri"/>
                <w:b/>
                <w:u w:val="single"/>
              </w:rPr>
            </w:pPr>
            <w:r w:rsidRPr="00E66809">
              <w:rPr>
                <w:rFonts w:eastAsia="Times New Roman" w:cs="Calibri"/>
                <w:b/>
                <w:u w:val="single"/>
              </w:rPr>
              <w:t>Pass</w:t>
            </w:r>
          </w:p>
          <w:p w14:paraId="4FB1A5DF" w14:textId="448641E2" w:rsidR="00A46209" w:rsidRPr="00E66809" w:rsidRDefault="00A46209">
            <w:pPr>
              <w:spacing w:after="0" w:line="276" w:lineRule="auto"/>
              <w:rPr>
                <w:rFonts w:eastAsia="Times New Roman" w:cs="Calibri"/>
              </w:rPr>
            </w:pPr>
            <w:r w:rsidRPr="00E66809">
              <w:rPr>
                <w:rFonts w:eastAsia="Times New Roman" w:cs="Calibri"/>
              </w:rPr>
              <w:t>All information provided</w:t>
            </w:r>
            <w:r w:rsidR="009D6221">
              <w:rPr>
                <w:rFonts w:eastAsia="Times New Roman" w:cs="Calibri"/>
              </w:rPr>
              <w:t>.</w:t>
            </w:r>
          </w:p>
          <w:p w14:paraId="6D354A61" w14:textId="77777777" w:rsidR="00A46209" w:rsidRPr="00E66809" w:rsidRDefault="00A46209">
            <w:pPr>
              <w:spacing w:after="0" w:line="276" w:lineRule="auto"/>
              <w:rPr>
                <w:rFonts w:eastAsia="Times New Roman" w:cs="Calibri"/>
              </w:rPr>
            </w:pPr>
          </w:p>
          <w:p w14:paraId="30735A6F" w14:textId="77777777" w:rsidR="00A46209" w:rsidRPr="00E66809" w:rsidRDefault="00A46209">
            <w:pPr>
              <w:spacing w:after="0" w:line="276" w:lineRule="auto"/>
              <w:rPr>
                <w:rFonts w:eastAsia="Times New Roman" w:cs="Calibri"/>
              </w:rPr>
            </w:pPr>
            <w:r w:rsidRPr="00E66809">
              <w:rPr>
                <w:rFonts w:eastAsia="Times New Roman" w:cs="Calibri"/>
                <w:b/>
                <w:u w:val="single"/>
              </w:rPr>
              <w:t>Fail</w:t>
            </w:r>
          </w:p>
          <w:p w14:paraId="54611D14" w14:textId="4FC8A237" w:rsidR="00A46209" w:rsidRPr="00E66809" w:rsidRDefault="00AE14A4">
            <w:pPr>
              <w:spacing w:after="0" w:line="276" w:lineRule="auto"/>
              <w:rPr>
                <w:rFonts w:eastAsia="Times New Roman" w:cs="Calibri"/>
                <w:b/>
                <w:u w:val="single"/>
              </w:rPr>
            </w:pPr>
            <w:r>
              <w:rPr>
                <w:rFonts w:eastAsia="Times New Roman" w:cs="Calibri"/>
              </w:rPr>
              <w:t>Response is incomplete</w:t>
            </w:r>
            <w:r w:rsidR="00F46223">
              <w:rPr>
                <w:rFonts w:eastAsia="Times New Roman" w:cs="Calibri"/>
              </w:rPr>
              <w:t xml:space="preserve"> and</w:t>
            </w:r>
            <w:r w:rsidR="00EF0A5F">
              <w:rPr>
                <w:rFonts w:eastAsia="Times New Roman" w:cs="Calibri"/>
              </w:rPr>
              <w:t xml:space="preserve"> any</w:t>
            </w:r>
            <w:r w:rsidR="00F46223">
              <w:rPr>
                <w:rFonts w:eastAsia="Times New Roman" w:cs="Calibri"/>
              </w:rPr>
              <w:t xml:space="preserve"> missing information</w:t>
            </w:r>
            <w:r w:rsidR="001D5584">
              <w:rPr>
                <w:rFonts w:eastAsia="Times New Roman" w:cs="Calibri"/>
              </w:rPr>
              <w:t xml:space="preserve"> is not provided in the timeframes requested by </w:t>
            </w:r>
            <w:r w:rsidR="006C4D0B">
              <w:rPr>
                <w:rFonts w:eastAsia="Times New Roman" w:cs="Calibri"/>
              </w:rPr>
              <w:t>HMRC</w:t>
            </w:r>
          </w:p>
        </w:tc>
      </w:tr>
      <w:tr w:rsidR="00A46209" w:rsidRPr="00605283" w14:paraId="5602BF87" w14:textId="77777777" w:rsidTr="005F2119">
        <w:trPr>
          <w:trHeight w:val="510"/>
        </w:trPr>
        <w:tc>
          <w:tcPr>
            <w:tcW w:w="1474" w:type="dxa"/>
            <w:shd w:val="clear" w:color="auto" w:fill="FFFFFF"/>
          </w:tcPr>
          <w:p w14:paraId="61D67EC7" w14:textId="77777777" w:rsidR="00A46209" w:rsidRPr="00A750A6" w:rsidRDefault="00A46209">
            <w:pPr>
              <w:spacing w:after="0" w:line="276" w:lineRule="auto"/>
              <w:rPr>
                <w:rFonts w:eastAsia="Times New Roman" w:cs="Calibri"/>
                <w:b/>
              </w:rPr>
            </w:pPr>
            <w:r w:rsidRPr="00A750A6">
              <w:rPr>
                <w:rFonts w:eastAsia="Times New Roman" w:cs="Calibri"/>
                <w:b/>
              </w:rPr>
              <w:t>1.5</w:t>
            </w:r>
          </w:p>
        </w:tc>
        <w:tc>
          <w:tcPr>
            <w:tcW w:w="1701" w:type="dxa"/>
            <w:shd w:val="clear" w:color="auto" w:fill="FFFFFF"/>
          </w:tcPr>
          <w:p w14:paraId="7CCA8430" w14:textId="77777777" w:rsidR="00A46209" w:rsidRPr="00E66809" w:rsidRDefault="00A46209">
            <w:pPr>
              <w:spacing w:after="0" w:line="276" w:lineRule="auto"/>
              <w:rPr>
                <w:rFonts w:eastAsia="Times New Roman" w:cs="Calibri"/>
              </w:rPr>
            </w:pPr>
            <w:r w:rsidRPr="00E66809">
              <w:rPr>
                <w:rFonts w:eastAsia="Times New Roman" w:cs="Calibri"/>
              </w:rPr>
              <w:t>Pass/Fail</w:t>
            </w:r>
          </w:p>
        </w:tc>
        <w:tc>
          <w:tcPr>
            <w:tcW w:w="9861" w:type="dxa"/>
            <w:shd w:val="clear" w:color="auto" w:fill="FFFFFF"/>
          </w:tcPr>
          <w:p w14:paraId="003E14DC" w14:textId="77777777" w:rsidR="00A46209" w:rsidRPr="00E66809" w:rsidRDefault="00A46209">
            <w:pPr>
              <w:spacing w:after="0" w:line="276" w:lineRule="auto"/>
              <w:rPr>
                <w:rFonts w:eastAsia="Times New Roman" w:cs="Calibri"/>
                <w:b/>
                <w:u w:val="single"/>
              </w:rPr>
            </w:pPr>
            <w:r w:rsidRPr="00E66809">
              <w:rPr>
                <w:rFonts w:eastAsia="Times New Roman" w:cs="Calibri"/>
                <w:b/>
                <w:u w:val="single"/>
              </w:rPr>
              <w:t>Pass</w:t>
            </w:r>
          </w:p>
          <w:p w14:paraId="68B2F34B" w14:textId="145CE075" w:rsidR="00A46209" w:rsidRPr="00E66809" w:rsidRDefault="009A3F6B">
            <w:pPr>
              <w:spacing w:after="0" w:line="276" w:lineRule="auto"/>
              <w:rPr>
                <w:rFonts w:eastAsia="Times New Roman" w:cs="Calibri"/>
              </w:rPr>
            </w:pPr>
            <w:r>
              <w:rPr>
                <w:rFonts w:eastAsia="Times New Roman" w:cs="Calibri"/>
              </w:rPr>
              <w:t xml:space="preserve">A response of ‘No’ </w:t>
            </w:r>
          </w:p>
          <w:p w14:paraId="342C6701" w14:textId="77777777" w:rsidR="00A46209" w:rsidRPr="00E66809" w:rsidRDefault="00A46209">
            <w:pPr>
              <w:spacing w:after="0" w:line="276" w:lineRule="auto"/>
              <w:rPr>
                <w:rFonts w:eastAsia="Times New Roman" w:cs="Calibri"/>
              </w:rPr>
            </w:pPr>
          </w:p>
          <w:p w14:paraId="267862AA" w14:textId="77777777" w:rsidR="00A46209" w:rsidRPr="00E66809" w:rsidRDefault="00A46209">
            <w:pPr>
              <w:spacing w:after="0" w:line="276" w:lineRule="auto"/>
              <w:rPr>
                <w:rFonts w:eastAsia="Times New Roman" w:cs="Calibri"/>
              </w:rPr>
            </w:pPr>
            <w:r w:rsidRPr="00E66809">
              <w:rPr>
                <w:rFonts w:eastAsia="Times New Roman" w:cs="Calibri"/>
                <w:b/>
              </w:rPr>
              <w:t>OR</w:t>
            </w:r>
          </w:p>
          <w:p w14:paraId="736DCA4E" w14:textId="77777777" w:rsidR="00A46209" w:rsidRPr="00E66809" w:rsidRDefault="00A46209">
            <w:pPr>
              <w:spacing w:after="0" w:line="276" w:lineRule="auto"/>
              <w:rPr>
                <w:rFonts w:eastAsia="Times New Roman" w:cs="Calibri"/>
              </w:rPr>
            </w:pPr>
          </w:p>
          <w:p w14:paraId="55F6F52A" w14:textId="06302576" w:rsidR="00A46209" w:rsidRPr="00E66809" w:rsidRDefault="009A3F6B">
            <w:pPr>
              <w:spacing w:after="0" w:line="276" w:lineRule="auto"/>
              <w:rPr>
                <w:rFonts w:eastAsia="Times New Roman" w:cs="Calibri"/>
              </w:rPr>
            </w:pPr>
            <w:r>
              <w:rPr>
                <w:rFonts w:eastAsia="Times New Roman" w:cs="Calibri"/>
              </w:rPr>
              <w:t>A response of ‘Yes’ and the Supplier confirms that it is</w:t>
            </w:r>
            <w:r w:rsidR="00A46209" w:rsidRPr="00E66809">
              <w:rPr>
                <w:rFonts w:eastAsia="Times New Roman" w:cs="Calibri"/>
              </w:rPr>
              <w:t xml:space="preserve"> on the debarment list in relation to a discretionary </w:t>
            </w:r>
            <w:r w:rsidR="00A46209" w:rsidRPr="00E66809">
              <w:rPr>
                <w:rFonts w:eastAsia="Arial" w:cs="Calibri"/>
              </w:rPr>
              <w:t>exclusion ground</w:t>
            </w:r>
            <w:r w:rsidR="00A46209" w:rsidRPr="00E66809">
              <w:rPr>
                <w:rFonts w:eastAsia="Times New Roman" w:cs="Calibri"/>
              </w:rPr>
              <w:t xml:space="preserve">, </w:t>
            </w:r>
            <w:r w:rsidR="00876BFF">
              <w:rPr>
                <w:rFonts w:eastAsia="Times New Roman" w:cs="Calibri"/>
              </w:rPr>
              <w:t>the Supplier h</w:t>
            </w:r>
            <w:r w:rsidR="00A46209" w:rsidRPr="00E66809">
              <w:rPr>
                <w:rFonts w:eastAsia="Times New Roman" w:cs="Calibri"/>
              </w:rPr>
              <w:t xml:space="preserve">as </w:t>
            </w:r>
            <w:r w:rsidR="008079FA">
              <w:rPr>
                <w:rFonts w:eastAsia="Times New Roman" w:cs="Calibri"/>
              </w:rPr>
              <w:t xml:space="preserve">provided </w:t>
            </w:r>
            <w:r w:rsidR="00A46209" w:rsidRPr="00E66809">
              <w:rPr>
                <w:rFonts w:eastAsia="Times New Roman" w:cs="Calibri"/>
              </w:rPr>
              <w:t>a summary of the circumstances and any remedial action that has taken place subsequently</w:t>
            </w:r>
            <w:r w:rsidR="00E16AA3">
              <w:rPr>
                <w:rFonts w:eastAsia="Times New Roman" w:cs="Calibri"/>
              </w:rPr>
              <w:t xml:space="preserve">, </w:t>
            </w:r>
            <w:r w:rsidR="00A46209" w:rsidRPr="00E66809">
              <w:rPr>
                <w:rFonts w:eastAsia="Times New Roman" w:cs="Calibri"/>
              </w:rPr>
              <w:t>for the debarment ground in question</w:t>
            </w:r>
            <w:r>
              <w:rPr>
                <w:rFonts w:eastAsia="Times New Roman" w:cs="Calibri"/>
              </w:rPr>
              <w:t xml:space="preserve"> AND </w:t>
            </w:r>
            <w:r w:rsidR="00A46209" w:rsidRPr="00E66809">
              <w:rPr>
                <w:rFonts w:eastAsia="Times New Roman" w:cs="Calibri"/>
              </w:rPr>
              <w:lastRenderedPageBreak/>
              <w:t>The Supplier has demonstrate</w:t>
            </w:r>
            <w:r>
              <w:rPr>
                <w:rFonts w:eastAsia="Times New Roman" w:cs="Calibri"/>
              </w:rPr>
              <w:t>d that</w:t>
            </w:r>
            <w:r w:rsidR="00A46209" w:rsidRPr="00E66809">
              <w:rPr>
                <w:rFonts w:eastAsia="Times New Roman" w:cs="Calibri"/>
              </w:rPr>
              <w:t xml:space="preserve"> it has taken such remedial action to the satisfaction of HMRC in each case.</w:t>
            </w:r>
          </w:p>
          <w:p w14:paraId="7E283C92" w14:textId="77777777" w:rsidR="00A46209" w:rsidRPr="00E66809" w:rsidRDefault="00A46209">
            <w:pPr>
              <w:spacing w:after="0" w:line="276" w:lineRule="auto"/>
              <w:rPr>
                <w:rFonts w:eastAsia="Times New Roman" w:cs="Calibri"/>
              </w:rPr>
            </w:pPr>
          </w:p>
          <w:p w14:paraId="68A8B7F4" w14:textId="77777777" w:rsidR="00A46209" w:rsidRPr="00E66809" w:rsidRDefault="00A46209">
            <w:pPr>
              <w:spacing w:after="0" w:line="276" w:lineRule="auto"/>
              <w:rPr>
                <w:rFonts w:eastAsia="Times New Roman" w:cs="Calibri"/>
              </w:rPr>
            </w:pPr>
            <w:r w:rsidRPr="00E66809">
              <w:rPr>
                <w:rFonts w:eastAsia="Times New Roman" w:cs="Calibri"/>
                <w:b/>
                <w:u w:val="single"/>
              </w:rPr>
              <w:t>Fail</w:t>
            </w:r>
            <w:r w:rsidRPr="00E66809">
              <w:rPr>
                <w:rFonts w:eastAsia="Times New Roman" w:cs="Calibri"/>
              </w:rPr>
              <w:t xml:space="preserve"> </w:t>
            </w:r>
          </w:p>
          <w:p w14:paraId="2BA602DA" w14:textId="5C2847E3" w:rsidR="00A46209" w:rsidRPr="00E66809" w:rsidRDefault="009A3F6B">
            <w:pPr>
              <w:spacing w:after="0" w:line="276" w:lineRule="auto"/>
              <w:rPr>
                <w:rFonts w:eastAsia="Arial" w:cs="Calibri"/>
              </w:rPr>
            </w:pPr>
            <w:r>
              <w:rPr>
                <w:rFonts w:eastAsia="Times New Roman" w:cs="Calibri"/>
              </w:rPr>
              <w:t>A response of ‘Yes’ and t</w:t>
            </w:r>
            <w:r w:rsidR="00BA798D">
              <w:rPr>
                <w:rFonts w:eastAsia="Times New Roman" w:cs="Calibri"/>
              </w:rPr>
              <w:t>he Supplier</w:t>
            </w:r>
            <w:r>
              <w:rPr>
                <w:rFonts w:eastAsia="Times New Roman" w:cs="Calibri"/>
              </w:rPr>
              <w:t xml:space="preserve"> confirms</w:t>
            </w:r>
            <w:r w:rsidR="00BA798D">
              <w:rPr>
                <w:rFonts w:eastAsia="Times New Roman" w:cs="Calibri"/>
              </w:rPr>
              <w:t xml:space="preserve"> </w:t>
            </w:r>
            <w:r>
              <w:rPr>
                <w:rFonts w:eastAsia="Times New Roman" w:cs="Calibri"/>
              </w:rPr>
              <w:t xml:space="preserve">that it </w:t>
            </w:r>
            <w:r w:rsidR="00BA798D">
              <w:rPr>
                <w:rFonts w:eastAsia="Times New Roman" w:cs="Calibri"/>
              </w:rPr>
              <w:t>is on</w:t>
            </w:r>
            <w:r w:rsidR="00BA798D" w:rsidRPr="00E66809">
              <w:rPr>
                <w:rFonts w:eastAsia="Times New Roman" w:cs="Calibri"/>
              </w:rPr>
              <w:t xml:space="preserve"> </w:t>
            </w:r>
            <w:r w:rsidR="00A46209" w:rsidRPr="00E66809">
              <w:rPr>
                <w:rFonts w:eastAsia="Times New Roman" w:cs="Calibri"/>
              </w:rPr>
              <w:t xml:space="preserve">the debarment list in relation to a mandatory </w:t>
            </w:r>
            <w:r w:rsidR="00A46209" w:rsidRPr="00E66809">
              <w:rPr>
                <w:rFonts w:eastAsia="Arial" w:cs="Calibri"/>
              </w:rPr>
              <w:t>exclusion ground (as detailed under Schedule 6</w:t>
            </w:r>
            <w:r w:rsidR="004756CF">
              <w:rPr>
                <w:rFonts w:eastAsia="Arial" w:cs="Calibri"/>
              </w:rPr>
              <w:t xml:space="preserve"> of the Act</w:t>
            </w:r>
            <w:r w:rsidR="00A46209" w:rsidRPr="00E66809">
              <w:rPr>
                <w:rFonts w:eastAsia="Arial" w:cs="Calibri"/>
              </w:rPr>
              <w:t xml:space="preserve">) </w:t>
            </w:r>
          </w:p>
          <w:p w14:paraId="1AC83EAA" w14:textId="77777777" w:rsidR="00A46209" w:rsidRPr="00E66809" w:rsidRDefault="00A46209">
            <w:pPr>
              <w:spacing w:after="0" w:line="276" w:lineRule="auto"/>
              <w:rPr>
                <w:rFonts w:eastAsia="Arial" w:cs="Calibri"/>
                <w:b/>
              </w:rPr>
            </w:pPr>
            <w:r w:rsidRPr="00E66809">
              <w:rPr>
                <w:rFonts w:eastAsia="Arial" w:cs="Calibri"/>
                <w:b/>
              </w:rPr>
              <w:t>OR</w:t>
            </w:r>
          </w:p>
          <w:p w14:paraId="0F18AE97" w14:textId="0019D7FE" w:rsidR="00A46209" w:rsidRDefault="009A3F6B">
            <w:pPr>
              <w:spacing w:after="0" w:line="276" w:lineRule="auto"/>
              <w:rPr>
                <w:rFonts w:eastAsia="Arial" w:cs="Calibri"/>
              </w:rPr>
            </w:pPr>
            <w:r>
              <w:rPr>
                <w:rFonts w:eastAsia="Times New Roman" w:cs="Calibri"/>
              </w:rPr>
              <w:t>A response of ‘Yes’ and t</w:t>
            </w:r>
            <w:r w:rsidR="00BA798D">
              <w:rPr>
                <w:rFonts w:eastAsia="Times New Roman" w:cs="Calibri"/>
              </w:rPr>
              <w:t xml:space="preserve">he Supplier </w:t>
            </w:r>
            <w:r>
              <w:rPr>
                <w:rFonts w:eastAsia="Times New Roman" w:cs="Calibri"/>
              </w:rPr>
              <w:t xml:space="preserve">confirms that it </w:t>
            </w:r>
            <w:r w:rsidR="00BA798D">
              <w:rPr>
                <w:rFonts w:eastAsia="Times New Roman" w:cs="Calibri"/>
              </w:rPr>
              <w:t>is on</w:t>
            </w:r>
            <w:r w:rsidR="00BA798D" w:rsidRPr="00A824C6">
              <w:rPr>
                <w:rFonts w:eastAsia="Times New Roman" w:cs="Calibri"/>
              </w:rPr>
              <w:t xml:space="preserve"> the debarment list in relation </w:t>
            </w:r>
            <w:r w:rsidR="00A46209" w:rsidRPr="00E66809">
              <w:rPr>
                <w:rFonts w:eastAsia="Times New Roman" w:cs="Calibri"/>
              </w:rPr>
              <w:t xml:space="preserve">to a discretionary </w:t>
            </w:r>
            <w:r w:rsidR="00A46209" w:rsidRPr="00E66809">
              <w:rPr>
                <w:rFonts w:eastAsia="Arial" w:cs="Calibri"/>
              </w:rPr>
              <w:t>exclusion ground (as detailed under Schedule 7</w:t>
            </w:r>
            <w:r w:rsidR="004756CF">
              <w:rPr>
                <w:rFonts w:eastAsia="Arial" w:cs="Calibri"/>
              </w:rPr>
              <w:t xml:space="preserve"> of the Act</w:t>
            </w:r>
            <w:r w:rsidR="00A46209" w:rsidRPr="00E66809">
              <w:rPr>
                <w:rFonts w:eastAsia="Arial" w:cs="Calibri"/>
              </w:rPr>
              <w:t>)</w:t>
            </w:r>
            <w:r w:rsidR="00D83CC7">
              <w:rPr>
                <w:rFonts w:eastAsia="Arial" w:cs="Calibri"/>
              </w:rPr>
              <w:t xml:space="preserve"> but has not provided a </w:t>
            </w:r>
            <w:r w:rsidR="00D83CC7" w:rsidRPr="00D83CC7">
              <w:rPr>
                <w:rFonts w:eastAsia="Arial" w:cs="Calibri"/>
              </w:rPr>
              <w:t>summary of the circumstances and any remedial action that has taken place subsequently</w:t>
            </w:r>
          </w:p>
          <w:p w14:paraId="448228B1" w14:textId="77777777" w:rsidR="00D83CC7" w:rsidRPr="00A824C6" w:rsidRDefault="00D83CC7" w:rsidP="00D83CC7">
            <w:pPr>
              <w:spacing w:after="0" w:line="276" w:lineRule="auto"/>
              <w:rPr>
                <w:rFonts w:eastAsia="Arial" w:cs="Calibri"/>
                <w:b/>
              </w:rPr>
            </w:pPr>
            <w:r w:rsidRPr="00A824C6">
              <w:rPr>
                <w:rFonts w:eastAsia="Arial" w:cs="Calibri"/>
                <w:b/>
              </w:rPr>
              <w:t>OR</w:t>
            </w:r>
          </w:p>
          <w:p w14:paraId="61428528" w14:textId="04D2F8F5" w:rsidR="00D83CC7" w:rsidRDefault="009A3F6B">
            <w:pPr>
              <w:spacing w:after="0" w:line="276" w:lineRule="auto"/>
              <w:rPr>
                <w:rFonts w:eastAsia="Times New Roman" w:cs="Calibri"/>
              </w:rPr>
            </w:pPr>
            <w:r>
              <w:rPr>
                <w:rFonts w:eastAsia="Times New Roman" w:cs="Calibri"/>
              </w:rPr>
              <w:t>A response of ‘Yes’ and t</w:t>
            </w:r>
            <w:r w:rsidR="00BA798D">
              <w:rPr>
                <w:rFonts w:eastAsia="Times New Roman" w:cs="Calibri"/>
              </w:rPr>
              <w:t>he Supplier</w:t>
            </w:r>
            <w:r>
              <w:rPr>
                <w:rFonts w:eastAsia="Times New Roman" w:cs="Calibri"/>
              </w:rPr>
              <w:t xml:space="preserve"> has confirmed that it</w:t>
            </w:r>
            <w:r w:rsidR="00BA798D">
              <w:rPr>
                <w:rFonts w:eastAsia="Times New Roman" w:cs="Calibri"/>
              </w:rPr>
              <w:t xml:space="preserve"> is on</w:t>
            </w:r>
            <w:r w:rsidR="00BA798D" w:rsidRPr="00A824C6">
              <w:rPr>
                <w:rFonts w:eastAsia="Times New Roman" w:cs="Calibri"/>
              </w:rPr>
              <w:t xml:space="preserve"> the debarment list </w:t>
            </w:r>
            <w:r w:rsidR="00D83CC7" w:rsidRPr="00D83CC7">
              <w:rPr>
                <w:rFonts w:eastAsia="Times New Roman" w:cs="Calibri"/>
              </w:rPr>
              <w:t xml:space="preserve">in relation to a discretionary exclusion ground (as detailed under Schedule 7 of the Act) </w:t>
            </w:r>
            <w:r w:rsidR="00D83CC7">
              <w:rPr>
                <w:rFonts w:eastAsia="Times New Roman" w:cs="Calibri"/>
              </w:rPr>
              <w:t>and</w:t>
            </w:r>
            <w:r w:rsidR="00D83CC7" w:rsidRPr="00D83CC7">
              <w:rPr>
                <w:rFonts w:eastAsia="Times New Roman" w:cs="Calibri"/>
              </w:rPr>
              <w:t xml:space="preserve"> </w:t>
            </w:r>
            <w:r w:rsidR="00D83CC7">
              <w:rPr>
                <w:rFonts w:eastAsia="Times New Roman" w:cs="Calibri"/>
              </w:rPr>
              <w:t>the Suppliers’</w:t>
            </w:r>
            <w:r w:rsidR="00D83CC7" w:rsidRPr="00D83CC7">
              <w:rPr>
                <w:rFonts w:eastAsia="Times New Roman" w:cs="Calibri"/>
              </w:rPr>
              <w:t xml:space="preserve"> summary of the circumstances and any remedial action that has taken place subsequently</w:t>
            </w:r>
            <w:r w:rsidR="00D83CC7">
              <w:rPr>
                <w:rFonts w:eastAsia="Times New Roman" w:cs="Calibri"/>
              </w:rPr>
              <w:t xml:space="preserve"> is deemed unsatisfactory by HMRC</w:t>
            </w:r>
          </w:p>
          <w:p w14:paraId="3BD14692" w14:textId="77777777" w:rsidR="009A3F6B" w:rsidRPr="00A824C6" w:rsidRDefault="009A3F6B" w:rsidP="009A3F6B">
            <w:pPr>
              <w:spacing w:after="0" w:line="276" w:lineRule="auto"/>
              <w:rPr>
                <w:rFonts w:eastAsia="Arial" w:cs="Calibri"/>
                <w:b/>
              </w:rPr>
            </w:pPr>
            <w:r w:rsidRPr="00A824C6">
              <w:rPr>
                <w:rFonts w:eastAsia="Arial" w:cs="Calibri"/>
                <w:b/>
              </w:rPr>
              <w:t>OR</w:t>
            </w:r>
          </w:p>
          <w:p w14:paraId="5E6E00E9" w14:textId="743EE973" w:rsidR="009A3F6B" w:rsidRDefault="009A3F6B" w:rsidP="009A3F6B">
            <w:pPr>
              <w:spacing w:after="0" w:line="276" w:lineRule="auto"/>
              <w:rPr>
                <w:rFonts w:eastAsia="Times New Roman" w:cs="Calibri"/>
              </w:rPr>
            </w:pPr>
            <w:r>
              <w:rPr>
                <w:rFonts w:eastAsia="Times New Roman" w:cs="Calibri"/>
              </w:rPr>
              <w:t>The r</w:t>
            </w:r>
            <w:r w:rsidRPr="00EF0A5F">
              <w:rPr>
                <w:rFonts w:eastAsia="Times New Roman" w:cs="Calibri"/>
              </w:rPr>
              <w:t>esponse is incomplete and any missing information is not provided in the timeframes requested by HMRC</w:t>
            </w:r>
          </w:p>
          <w:p w14:paraId="40EE9E7D" w14:textId="77777777" w:rsidR="00A46209" w:rsidRPr="00E66809" w:rsidRDefault="00A46209">
            <w:pPr>
              <w:spacing w:after="0" w:line="276" w:lineRule="auto"/>
              <w:rPr>
                <w:rFonts w:eastAsia="Times New Roman" w:cs="Calibri"/>
              </w:rPr>
            </w:pPr>
          </w:p>
          <w:p w14:paraId="6E279DCD" w14:textId="2E186ACD" w:rsidR="00A46209" w:rsidRPr="00E66809" w:rsidRDefault="009A3F6B">
            <w:pPr>
              <w:keepNext/>
              <w:spacing w:after="0" w:line="276" w:lineRule="auto"/>
              <w:rPr>
                <w:rFonts w:eastAsia="Times New Roman" w:cs="Calibri"/>
              </w:rPr>
            </w:pPr>
            <w:r>
              <w:rPr>
                <w:rFonts w:cs="Calibri"/>
              </w:rPr>
              <w:t xml:space="preserve">Note: </w:t>
            </w:r>
            <w:r w:rsidR="00A46209" w:rsidRPr="00E66809">
              <w:rPr>
                <w:rFonts w:cs="Calibri"/>
              </w:rPr>
              <w:t xml:space="preserve">Where a </w:t>
            </w:r>
            <w:r w:rsidR="00E31868">
              <w:rPr>
                <w:rFonts w:cs="Calibri"/>
              </w:rPr>
              <w:t>S</w:t>
            </w:r>
            <w:r w:rsidR="00A46209" w:rsidRPr="00E66809">
              <w:rPr>
                <w:rFonts w:cs="Calibri"/>
              </w:rPr>
              <w:t xml:space="preserve">upplier is disqualified, </w:t>
            </w:r>
            <w:r w:rsidR="00A956A6">
              <w:rPr>
                <w:rFonts w:cs="Calibri"/>
              </w:rPr>
              <w:t>the remainder of its response will not be evaluated</w:t>
            </w:r>
            <w:r w:rsidR="00E831F7">
              <w:rPr>
                <w:rFonts w:cs="Calibri"/>
              </w:rPr>
              <w:t>.</w:t>
            </w:r>
          </w:p>
          <w:p w14:paraId="00DDBF5B" w14:textId="77777777" w:rsidR="00A46209" w:rsidRPr="00E66809" w:rsidRDefault="00A46209">
            <w:pPr>
              <w:spacing w:after="0" w:line="276" w:lineRule="auto"/>
              <w:rPr>
                <w:rFonts w:eastAsia="Times New Roman" w:cs="Calibri"/>
                <w:b/>
                <w:u w:val="single"/>
              </w:rPr>
            </w:pPr>
          </w:p>
        </w:tc>
      </w:tr>
    </w:tbl>
    <w:p w14:paraId="427A8419" w14:textId="77777777" w:rsidR="00A46209" w:rsidRPr="00E66809" w:rsidRDefault="00A46209" w:rsidP="00F56D3C">
      <w:pPr>
        <w:pStyle w:val="BodyText1"/>
      </w:pPr>
    </w:p>
    <w:p w14:paraId="06A9BFB7" w14:textId="7F05338E" w:rsidR="00A46209" w:rsidRPr="00F037D7" w:rsidRDefault="00A46209" w:rsidP="00F037D7">
      <w:pPr>
        <w:keepNext/>
        <w:keepLines/>
        <w:pageBreakBefore/>
        <w:jc w:val="both"/>
        <w:outlineLvl w:val="0"/>
        <w:rPr>
          <w:rFonts w:eastAsiaTheme="majorEastAsia" w:cs="Arial"/>
          <w:b/>
        </w:rPr>
      </w:pPr>
      <w:r w:rsidRPr="00E66809">
        <w:rPr>
          <w:rFonts w:eastAsiaTheme="majorEastAsia" w:cs="Arial"/>
          <w:b/>
        </w:rPr>
        <w:lastRenderedPageBreak/>
        <w:t xml:space="preserve">Part 1: Confirmation of </w:t>
      </w:r>
      <w:r w:rsidR="00F037D7">
        <w:rPr>
          <w:rFonts w:eastAsiaTheme="majorEastAsia" w:cs="Arial"/>
          <w:b/>
        </w:rPr>
        <w:t>C</w:t>
      </w:r>
      <w:r w:rsidRPr="00E66809">
        <w:rPr>
          <w:rFonts w:eastAsiaTheme="majorEastAsia" w:cs="Arial"/>
          <w:b/>
        </w:rPr>
        <w:t xml:space="preserve">ore </w:t>
      </w:r>
      <w:r w:rsidR="00F037D7" w:rsidRPr="00E66809">
        <w:rPr>
          <w:rFonts w:eastAsiaTheme="majorEastAsia" w:cs="Arial"/>
          <w:b/>
        </w:rPr>
        <w:t>Supplier Information</w:t>
      </w:r>
    </w:p>
    <w:tbl>
      <w:tblPr>
        <w:tblW w:w="13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74"/>
        <w:gridCol w:w="1701"/>
        <w:gridCol w:w="9859"/>
      </w:tblGrid>
      <w:tr w:rsidR="00A46209" w:rsidRPr="001439F7" w14:paraId="323B0375" w14:textId="77777777" w:rsidTr="005F2119">
        <w:trPr>
          <w:cantSplit/>
          <w:trHeight w:val="510"/>
        </w:trPr>
        <w:tc>
          <w:tcPr>
            <w:tcW w:w="1474" w:type="dxa"/>
            <w:tcBorders>
              <w:top w:val="single" w:sz="4" w:space="0" w:color="auto"/>
              <w:left w:val="single" w:sz="4" w:space="0" w:color="auto"/>
              <w:bottom w:val="single" w:sz="4" w:space="0" w:color="auto"/>
              <w:right w:val="single" w:sz="4" w:space="0" w:color="EAEAEA"/>
            </w:tcBorders>
            <w:shd w:val="clear" w:color="auto" w:fill="009999"/>
            <w:vAlign w:val="center"/>
          </w:tcPr>
          <w:p w14:paraId="392C7D6A"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1701" w:type="dxa"/>
            <w:tcBorders>
              <w:top w:val="single" w:sz="4" w:space="0" w:color="auto"/>
              <w:left w:val="single" w:sz="4" w:space="0" w:color="auto"/>
              <w:bottom w:val="single" w:sz="4" w:space="0" w:color="auto"/>
              <w:right w:val="single" w:sz="4" w:space="0" w:color="EAEAEA"/>
            </w:tcBorders>
            <w:shd w:val="clear" w:color="auto" w:fill="009999"/>
            <w:vAlign w:val="center"/>
          </w:tcPr>
          <w:p w14:paraId="7AD40C3E"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9859" w:type="dxa"/>
            <w:tcBorders>
              <w:top w:val="single" w:sz="4" w:space="0" w:color="auto"/>
              <w:left w:val="single" w:sz="4" w:space="0" w:color="auto"/>
              <w:bottom w:val="single" w:sz="4" w:space="0" w:color="auto"/>
              <w:right w:val="single" w:sz="4" w:space="0" w:color="auto"/>
            </w:tcBorders>
            <w:shd w:val="clear" w:color="auto" w:fill="009999"/>
            <w:vAlign w:val="center"/>
          </w:tcPr>
          <w:p w14:paraId="33E6A454" w14:textId="77777777" w:rsidR="00A46209" w:rsidRPr="00E66809" w:rsidRDefault="00A46209">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A46209" w:rsidRPr="00605283" w14:paraId="7B654A9B" w14:textId="77777777" w:rsidTr="005F2119">
        <w:trPr>
          <w:trHeight w:val="510"/>
        </w:trPr>
        <w:tc>
          <w:tcPr>
            <w:tcW w:w="1474" w:type="dxa"/>
            <w:shd w:val="clear" w:color="auto" w:fill="FFFFFF"/>
          </w:tcPr>
          <w:p w14:paraId="1D006A49" w14:textId="77777777" w:rsidR="00A46209" w:rsidRPr="00A750A6" w:rsidRDefault="00A46209">
            <w:pPr>
              <w:spacing w:after="0" w:line="276" w:lineRule="auto"/>
              <w:rPr>
                <w:rFonts w:eastAsia="Times New Roman" w:cs="Calibri"/>
                <w:b/>
              </w:rPr>
            </w:pPr>
            <w:r w:rsidRPr="00A750A6">
              <w:rPr>
                <w:rFonts w:eastAsia="Times New Roman" w:cs="Calibri"/>
                <w:b/>
              </w:rPr>
              <w:t>1.6</w:t>
            </w:r>
          </w:p>
        </w:tc>
        <w:tc>
          <w:tcPr>
            <w:tcW w:w="1701" w:type="dxa"/>
            <w:shd w:val="clear" w:color="auto" w:fill="FFFFFF"/>
          </w:tcPr>
          <w:p w14:paraId="33FA30A3" w14:textId="77777777" w:rsidR="00A46209" w:rsidRPr="00E66809" w:rsidRDefault="00A46209">
            <w:pPr>
              <w:spacing w:after="0" w:line="276" w:lineRule="auto"/>
              <w:rPr>
                <w:rFonts w:eastAsia="Times New Roman" w:cs="Calibri"/>
              </w:rPr>
            </w:pPr>
            <w:r w:rsidRPr="00E66809">
              <w:rPr>
                <w:rFonts w:eastAsia="Times New Roman" w:cs="Calibri"/>
              </w:rPr>
              <w:t>Pass/Fail</w:t>
            </w:r>
          </w:p>
        </w:tc>
        <w:tc>
          <w:tcPr>
            <w:tcW w:w="9859" w:type="dxa"/>
            <w:shd w:val="clear" w:color="auto" w:fill="FFFFFF"/>
          </w:tcPr>
          <w:p w14:paraId="2028A6F2" w14:textId="77777777" w:rsidR="00A46209" w:rsidRPr="00E66809" w:rsidRDefault="00A46209">
            <w:pPr>
              <w:spacing w:after="0" w:line="276" w:lineRule="auto"/>
              <w:rPr>
                <w:rFonts w:eastAsia="Times New Roman" w:cs="Calibri"/>
                <w:b/>
                <w:u w:val="single"/>
              </w:rPr>
            </w:pPr>
            <w:r w:rsidRPr="00E66809">
              <w:rPr>
                <w:rFonts w:eastAsia="Times New Roman" w:cs="Calibri"/>
                <w:b/>
                <w:u w:val="single"/>
              </w:rPr>
              <w:t>Pass</w:t>
            </w:r>
          </w:p>
          <w:p w14:paraId="52996190" w14:textId="3917329A" w:rsidR="00A46209" w:rsidRPr="00E66809" w:rsidRDefault="009A3F6B">
            <w:pPr>
              <w:spacing w:after="0" w:line="276" w:lineRule="auto"/>
              <w:rPr>
                <w:rFonts w:eastAsia="Times New Roman" w:cs="Calibri"/>
              </w:rPr>
            </w:pPr>
            <w:r>
              <w:rPr>
                <w:rFonts w:eastAsia="Times New Roman" w:cs="Calibri"/>
              </w:rPr>
              <w:t>A response of ‘Yes’ and the Supplier provides a</w:t>
            </w:r>
            <w:r w:rsidR="00A46209" w:rsidRPr="00E66809">
              <w:rPr>
                <w:rFonts w:eastAsia="Times New Roman" w:cs="Calibri"/>
              </w:rPr>
              <w:t xml:space="preserve">ll information </w:t>
            </w:r>
            <w:r w:rsidR="001E10F1">
              <w:rPr>
                <w:rFonts w:eastAsia="Times New Roman" w:cs="Calibri"/>
              </w:rPr>
              <w:t>requested</w:t>
            </w:r>
            <w:r>
              <w:rPr>
                <w:rFonts w:eastAsia="Times New Roman" w:cs="Calibri"/>
              </w:rPr>
              <w:t xml:space="preserve">, </w:t>
            </w:r>
            <w:r w:rsidR="008D22A6">
              <w:rPr>
                <w:rFonts w:eastAsia="Times New Roman" w:cs="Calibri"/>
              </w:rPr>
              <w:t>and there are no g</w:t>
            </w:r>
            <w:r w:rsidR="00A46209" w:rsidRPr="00E66809">
              <w:rPr>
                <w:rFonts w:eastAsia="Times New Roman" w:cs="Calibri"/>
              </w:rPr>
              <w:t xml:space="preserve">rounds for exclusion. </w:t>
            </w:r>
          </w:p>
          <w:p w14:paraId="6140AE5F" w14:textId="77777777" w:rsidR="00A46209" w:rsidRPr="00E66809" w:rsidRDefault="00A46209">
            <w:pPr>
              <w:spacing w:after="0" w:line="276" w:lineRule="auto"/>
              <w:rPr>
                <w:rFonts w:eastAsia="Times New Roman" w:cs="Calibri"/>
                <w:b/>
              </w:rPr>
            </w:pPr>
            <w:r w:rsidRPr="00E66809">
              <w:rPr>
                <w:rFonts w:eastAsia="Times New Roman" w:cs="Calibri"/>
                <w:b/>
              </w:rPr>
              <w:t>OR</w:t>
            </w:r>
          </w:p>
          <w:p w14:paraId="096E6348" w14:textId="20F1C287" w:rsidR="00A46209" w:rsidRPr="00E66809" w:rsidRDefault="009A3F6B">
            <w:pPr>
              <w:spacing w:after="0" w:line="276" w:lineRule="auto"/>
              <w:rPr>
                <w:rFonts w:eastAsia="Times New Roman" w:cs="Calibri"/>
              </w:rPr>
            </w:pPr>
            <w:r>
              <w:rPr>
                <w:rFonts w:eastAsia="Times New Roman" w:cs="Calibri"/>
              </w:rPr>
              <w:t>A response of ‘Yes’ and the Supplier</w:t>
            </w:r>
            <w:r w:rsidR="001E10F1">
              <w:rPr>
                <w:rFonts w:eastAsia="Times New Roman" w:cs="Calibri"/>
              </w:rPr>
              <w:t xml:space="preserve"> provides all information requested, and</w:t>
            </w:r>
            <w:r>
              <w:rPr>
                <w:rFonts w:eastAsia="Times New Roman" w:cs="Calibri"/>
              </w:rPr>
              <w:t xml:space="preserve"> confirms that g</w:t>
            </w:r>
            <w:r w:rsidR="009F09F8">
              <w:rPr>
                <w:rFonts w:eastAsia="Times New Roman" w:cs="Calibri"/>
              </w:rPr>
              <w:t>rounds for discretionary exclusion</w:t>
            </w:r>
            <w:r w:rsidR="00A46209" w:rsidRPr="00E66809">
              <w:rPr>
                <w:rFonts w:eastAsia="Times New Roman" w:cs="Calibri"/>
              </w:rPr>
              <w:t xml:space="preserve"> appl</w:t>
            </w:r>
            <w:r w:rsidR="009F09F8">
              <w:rPr>
                <w:rFonts w:eastAsia="Times New Roman" w:cs="Calibri"/>
              </w:rPr>
              <w:t>y</w:t>
            </w:r>
            <w:r w:rsidR="00A46209" w:rsidRPr="00E66809">
              <w:rPr>
                <w:rFonts w:eastAsia="Times New Roman" w:cs="Calibri"/>
              </w:rPr>
              <w:t xml:space="preserve">, but </w:t>
            </w:r>
            <w:r w:rsidR="009F09F8" w:rsidRPr="009F09F8">
              <w:rPr>
                <w:rFonts w:eastAsia="Times New Roman" w:cs="Calibri"/>
              </w:rPr>
              <w:t xml:space="preserve">the Supplier has provided a summary of the circumstances and any remedial action that has taken place subsequently, for the </w:t>
            </w:r>
            <w:r w:rsidR="00F20237">
              <w:rPr>
                <w:rFonts w:eastAsia="Times New Roman" w:cs="Calibri"/>
              </w:rPr>
              <w:t>excl</w:t>
            </w:r>
            <w:r w:rsidR="00BA798D">
              <w:rPr>
                <w:rFonts w:eastAsia="Times New Roman" w:cs="Calibri"/>
              </w:rPr>
              <w:t xml:space="preserve">usion ground(s) </w:t>
            </w:r>
            <w:r w:rsidR="009F09F8" w:rsidRPr="009F09F8">
              <w:rPr>
                <w:rFonts w:eastAsia="Times New Roman" w:cs="Calibri"/>
              </w:rPr>
              <w:t>in question. The Supplier has to demonstrate it has taken such remedial action to the satisfaction of HMRC in each case.</w:t>
            </w:r>
          </w:p>
          <w:p w14:paraId="6AE382CB" w14:textId="77777777" w:rsidR="00A46209" w:rsidRPr="00E66809" w:rsidRDefault="00A46209">
            <w:pPr>
              <w:spacing w:after="0" w:line="276" w:lineRule="auto"/>
              <w:rPr>
                <w:rFonts w:eastAsia="Times New Roman" w:cs="Calibri"/>
              </w:rPr>
            </w:pPr>
          </w:p>
          <w:p w14:paraId="351D8415" w14:textId="77777777" w:rsidR="00A46209" w:rsidRPr="00E66809" w:rsidRDefault="00A46209">
            <w:pPr>
              <w:spacing w:after="0" w:line="276" w:lineRule="auto"/>
              <w:rPr>
                <w:rFonts w:eastAsia="Times New Roman" w:cs="Calibri"/>
              </w:rPr>
            </w:pPr>
            <w:r w:rsidRPr="00E66809">
              <w:rPr>
                <w:rFonts w:eastAsia="Times New Roman" w:cs="Calibri"/>
                <w:b/>
                <w:u w:val="single"/>
              </w:rPr>
              <w:t>Fail</w:t>
            </w:r>
            <w:r w:rsidRPr="00E66809">
              <w:rPr>
                <w:rFonts w:eastAsia="Times New Roman" w:cs="Calibri"/>
              </w:rPr>
              <w:t xml:space="preserve"> </w:t>
            </w:r>
          </w:p>
          <w:p w14:paraId="4860E77B" w14:textId="5EA33E3B" w:rsidR="00A46209" w:rsidRDefault="00BA798D">
            <w:pPr>
              <w:spacing w:after="0" w:line="276" w:lineRule="auto"/>
              <w:rPr>
                <w:rFonts w:eastAsia="Times New Roman" w:cs="Calibri"/>
              </w:rPr>
            </w:pPr>
            <w:r>
              <w:rPr>
                <w:rFonts w:eastAsia="Times New Roman" w:cs="Calibri"/>
              </w:rPr>
              <w:t>The Supplier</w:t>
            </w:r>
            <w:r w:rsidR="00017135">
              <w:rPr>
                <w:rFonts w:eastAsia="Times New Roman" w:cs="Calibri"/>
              </w:rPr>
              <w:t xml:space="preserve"> answers ‘No’, withou</w:t>
            </w:r>
            <w:r w:rsidR="00704822">
              <w:rPr>
                <w:rFonts w:eastAsia="Times New Roman" w:cs="Calibri"/>
              </w:rPr>
              <w:t>t a</w:t>
            </w:r>
            <w:r w:rsidR="0042664E">
              <w:rPr>
                <w:rFonts w:eastAsia="Times New Roman" w:cs="Calibri"/>
              </w:rPr>
              <w:t>n</w:t>
            </w:r>
            <w:r w:rsidR="00704822">
              <w:rPr>
                <w:rFonts w:eastAsia="Times New Roman" w:cs="Calibri"/>
              </w:rPr>
              <w:t xml:space="preserve"> explanation </w:t>
            </w:r>
            <w:r w:rsidR="0042664E">
              <w:rPr>
                <w:rFonts w:eastAsia="Times New Roman" w:cs="Calibri"/>
              </w:rPr>
              <w:t>that is deemed satisfactory by HMRC</w:t>
            </w:r>
          </w:p>
          <w:p w14:paraId="67B8CDA3" w14:textId="77777777" w:rsidR="00CA1E00" w:rsidRPr="00A824C6" w:rsidRDefault="00CA1E00" w:rsidP="00CA1E00">
            <w:pPr>
              <w:spacing w:after="0" w:line="276" w:lineRule="auto"/>
              <w:rPr>
                <w:rFonts w:eastAsia="Times New Roman" w:cs="Calibri"/>
                <w:b/>
              </w:rPr>
            </w:pPr>
            <w:r w:rsidRPr="00A824C6">
              <w:rPr>
                <w:rFonts w:eastAsia="Times New Roman" w:cs="Calibri"/>
                <w:b/>
              </w:rPr>
              <w:t>OR</w:t>
            </w:r>
          </w:p>
          <w:p w14:paraId="489D28F5" w14:textId="58DB4E3A" w:rsidR="00A46209" w:rsidRDefault="009631EF">
            <w:pPr>
              <w:spacing w:after="0" w:line="276" w:lineRule="auto"/>
              <w:rPr>
                <w:rFonts w:eastAsia="Times New Roman" w:cs="Calibri"/>
              </w:rPr>
            </w:pPr>
            <w:r>
              <w:rPr>
                <w:rFonts w:eastAsia="Times New Roman" w:cs="Calibri"/>
              </w:rPr>
              <w:t>The r</w:t>
            </w:r>
            <w:r w:rsidR="00EF0A5F" w:rsidRPr="00EF0A5F">
              <w:rPr>
                <w:rFonts w:eastAsia="Times New Roman" w:cs="Calibri"/>
              </w:rPr>
              <w:t>esponse is incomplete and any missing information is not provided in the timeframes requested by HMRC</w:t>
            </w:r>
          </w:p>
          <w:p w14:paraId="74C05590" w14:textId="77777777" w:rsidR="00763663" w:rsidRPr="00A824C6" w:rsidRDefault="00763663" w:rsidP="00763663">
            <w:pPr>
              <w:spacing w:after="0" w:line="276" w:lineRule="auto"/>
              <w:rPr>
                <w:rFonts w:eastAsia="Times New Roman" w:cs="Calibri"/>
                <w:b/>
              </w:rPr>
            </w:pPr>
            <w:r w:rsidRPr="00A824C6">
              <w:rPr>
                <w:rFonts w:eastAsia="Times New Roman" w:cs="Calibri"/>
                <w:b/>
              </w:rPr>
              <w:t>OR</w:t>
            </w:r>
          </w:p>
          <w:p w14:paraId="1E2AB9FA" w14:textId="30995D0C" w:rsidR="00EF0A5F" w:rsidRDefault="009631EF" w:rsidP="00763663">
            <w:pPr>
              <w:spacing w:after="0" w:line="276" w:lineRule="auto"/>
              <w:rPr>
                <w:rFonts w:eastAsia="Times New Roman" w:cs="Calibri"/>
              </w:rPr>
            </w:pPr>
            <w:r>
              <w:rPr>
                <w:rFonts w:eastAsia="Times New Roman" w:cs="Calibri"/>
              </w:rPr>
              <w:t>The Supplier confirms that a</w:t>
            </w:r>
            <w:r w:rsidR="00706EA3">
              <w:rPr>
                <w:rFonts w:eastAsia="Times New Roman" w:cs="Calibri"/>
              </w:rPr>
              <w:t xml:space="preserve"> mandatory exclusi</w:t>
            </w:r>
            <w:r w:rsidR="00384325">
              <w:rPr>
                <w:rFonts w:eastAsia="Times New Roman" w:cs="Calibri"/>
              </w:rPr>
              <w:t>on ground</w:t>
            </w:r>
            <w:r w:rsidR="00763663" w:rsidRPr="00A824C6">
              <w:rPr>
                <w:rFonts w:eastAsia="Times New Roman" w:cs="Calibri"/>
              </w:rPr>
              <w:t xml:space="preserve"> applies</w:t>
            </w:r>
          </w:p>
          <w:p w14:paraId="32451F1E" w14:textId="77777777" w:rsidR="00AB53BA" w:rsidRPr="00A824C6" w:rsidRDefault="00AB53BA" w:rsidP="00AB53BA">
            <w:pPr>
              <w:spacing w:after="0" w:line="276" w:lineRule="auto"/>
              <w:rPr>
                <w:rFonts w:eastAsia="Times New Roman" w:cs="Calibri"/>
                <w:b/>
              </w:rPr>
            </w:pPr>
            <w:r w:rsidRPr="00A824C6">
              <w:rPr>
                <w:rFonts w:eastAsia="Times New Roman" w:cs="Calibri"/>
                <w:b/>
              </w:rPr>
              <w:t>OR</w:t>
            </w:r>
          </w:p>
          <w:p w14:paraId="20C79BF7" w14:textId="4D2DE492" w:rsidR="00AB53BA" w:rsidRDefault="009631EF" w:rsidP="00AB53BA">
            <w:pPr>
              <w:spacing w:after="0" w:line="276" w:lineRule="auto"/>
              <w:rPr>
                <w:rFonts w:eastAsia="Times New Roman" w:cs="Calibri"/>
              </w:rPr>
            </w:pPr>
            <w:r>
              <w:rPr>
                <w:rFonts w:eastAsia="Times New Roman" w:cs="Calibri"/>
              </w:rPr>
              <w:t>The Supplier confirms that a</w:t>
            </w:r>
            <w:r w:rsidR="00AB53BA">
              <w:rPr>
                <w:rFonts w:eastAsia="Times New Roman" w:cs="Calibri"/>
              </w:rPr>
              <w:t xml:space="preserve"> discretionary exclusion ground</w:t>
            </w:r>
            <w:r w:rsidR="00AB53BA" w:rsidRPr="00A824C6">
              <w:rPr>
                <w:rFonts w:eastAsia="Times New Roman" w:cs="Calibri"/>
              </w:rPr>
              <w:t xml:space="preserve"> applies, but</w:t>
            </w:r>
            <w:r w:rsidR="001E10F1">
              <w:rPr>
                <w:rFonts w:eastAsia="Times New Roman" w:cs="Calibri"/>
              </w:rPr>
              <w:t xml:space="preserve"> the</w:t>
            </w:r>
            <w:r w:rsidR="00AB53BA" w:rsidRPr="00A824C6">
              <w:rPr>
                <w:rFonts w:eastAsia="Times New Roman" w:cs="Calibri"/>
              </w:rPr>
              <w:t xml:space="preserve"> Supplier has not included details and/or provided an explanation which is to the satisfaction of HMRC</w:t>
            </w:r>
          </w:p>
          <w:p w14:paraId="3525E26B" w14:textId="77777777" w:rsidR="00384325" w:rsidRPr="00E66809" w:rsidRDefault="00384325" w:rsidP="00763663">
            <w:pPr>
              <w:spacing w:after="0" w:line="276" w:lineRule="auto"/>
              <w:rPr>
                <w:rFonts w:eastAsia="Times New Roman" w:cs="Calibri"/>
              </w:rPr>
            </w:pPr>
          </w:p>
          <w:p w14:paraId="50391F96" w14:textId="21A96A33" w:rsidR="00A46209" w:rsidRPr="00C453EE" w:rsidRDefault="00A46209">
            <w:pPr>
              <w:spacing w:after="0" w:line="276" w:lineRule="auto"/>
              <w:rPr>
                <w:rFonts w:eastAsia="Times New Roman" w:cs="Calibri"/>
              </w:rPr>
            </w:pPr>
            <w:r w:rsidRPr="00C453EE">
              <w:rPr>
                <w:rFonts w:eastAsia="Times New Roman" w:cs="Calibri"/>
              </w:rPr>
              <w:t xml:space="preserve">HMRC reserves the right to fail </w:t>
            </w:r>
            <w:r w:rsidR="005F7300" w:rsidRPr="00C453EE">
              <w:rPr>
                <w:rFonts w:eastAsia="Times New Roman" w:cs="Calibri"/>
              </w:rPr>
              <w:t>Supplier</w:t>
            </w:r>
            <w:r w:rsidRPr="00C453EE">
              <w:rPr>
                <w:rFonts w:eastAsia="Times New Roman" w:cs="Calibri"/>
              </w:rPr>
              <w:t>s that:</w:t>
            </w:r>
          </w:p>
          <w:p w14:paraId="3A7D9C80" w14:textId="77777777" w:rsidR="00A46209" w:rsidRPr="00C453EE" w:rsidRDefault="00A46209" w:rsidP="001E10F1">
            <w:pPr>
              <w:pStyle w:val="ListParagraph"/>
              <w:numPr>
                <w:ilvl w:val="0"/>
                <w:numId w:val="80"/>
              </w:numPr>
              <w:spacing w:after="0" w:line="276" w:lineRule="auto"/>
              <w:rPr>
                <w:rFonts w:eastAsia="Times New Roman" w:cs="Calibri"/>
              </w:rPr>
            </w:pPr>
            <w:r w:rsidRPr="00C453EE">
              <w:rPr>
                <w:rFonts w:eastAsia="Times New Roman" w:cs="Calibri"/>
              </w:rPr>
              <w:t>Are not part registered on the CDP</w:t>
            </w:r>
          </w:p>
          <w:p w14:paraId="7FE9C0A0" w14:textId="77777777" w:rsidR="00A46209" w:rsidRPr="00C453EE" w:rsidRDefault="00A46209" w:rsidP="001E10F1">
            <w:pPr>
              <w:pStyle w:val="ListParagraph"/>
              <w:numPr>
                <w:ilvl w:val="0"/>
                <w:numId w:val="80"/>
              </w:numPr>
              <w:spacing w:after="0" w:line="276" w:lineRule="auto"/>
              <w:rPr>
                <w:rFonts w:eastAsia="Times New Roman" w:cs="Calibri"/>
              </w:rPr>
            </w:pPr>
            <w:r w:rsidRPr="00C453EE">
              <w:rPr>
                <w:rFonts w:eastAsia="Times New Roman" w:cs="Calibri"/>
              </w:rPr>
              <w:t>Have not provided up-to-date core supplier information as requested</w:t>
            </w:r>
          </w:p>
          <w:p w14:paraId="458FAA11" w14:textId="77777777" w:rsidR="00A46209" w:rsidRPr="00C453EE" w:rsidRDefault="00A46209" w:rsidP="001E10F1">
            <w:pPr>
              <w:pStyle w:val="ListParagraph"/>
              <w:numPr>
                <w:ilvl w:val="0"/>
                <w:numId w:val="80"/>
              </w:numPr>
              <w:spacing w:after="0" w:line="276" w:lineRule="auto"/>
              <w:rPr>
                <w:rFonts w:eastAsia="Times New Roman" w:cs="Calibri"/>
              </w:rPr>
            </w:pPr>
            <w:r w:rsidRPr="00C453EE">
              <w:rPr>
                <w:rFonts w:eastAsia="Times New Roman" w:cs="Calibri"/>
              </w:rPr>
              <w:t>Have not provided one or more of the pieces of information requested</w:t>
            </w:r>
          </w:p>
          <w:p w14:paraId="337C3667" w14:textId="77777777" w:rsidR="00A46209" w:rsidRPr="00E66809" w:rsidRDefault="00A46209">
            <w:pPr>
              <w:spacing w:after="0" w:line="276" w:lineRule="auto"/>
              <w:rPr>
                <w:rFonts w:eastAsia="Times New Roman" w:cs="Calibri"/>
                <w:b/>
              </w:rPr>
            </w:pPr>
          </w:p>
          <w:p w14:paraId="0FA65706" w14:textId="5736BCB4" w:rsidR="00A46209" w:rsidRPr="00E66809" w:rsidRDefault="00A46209">
            <w:pPr>
              <w:spacing w:after="0" w:line="276" w:lineRule="auto"/>
              <w:rPr>
                <w:rFonts w:eastAsia="Times New Roman" w:cs="Calibri"/>
                <w:b/>
                <w:u w:val="single"/>
              </w:rPr>
            </w:pPr>
          </w:p>
        </w:tc>
      </w:tr>
    </w:tbl>
    <w:p w14:paraId="77EC1CCF" w14:textId="77777777" w:rsidR="00A46209" w:rsidRPr="009B5A45" w:rsidRDefault="00A46209" w:rsidP="009B5A45">
      <w:pPr>
        <w:keepNext/>
        <w:keepLines/>
        <w:pageBreakBefore/>
        <w:jc w:val="both"/>
        <w:outlineLvl w:val="0"/>
        <w:rPr>
          <w:rFonts w:eastAsiaTheme="majorEastAsia" w:cs="Arial"/>
          <w:b/>
        </w:rPr>
      </w:pPr>
      <w:r w:rsidRPr="009B5A45">
        <w:rPr>
          <w:rFonts w:eastAsiaTheme="majorEastAsia" w:cs="Arial"/>
          <w:b/>
        </w:rPr>
        <w:lastRenderedPageBreak/>
        <w:t>Part 2: Additional Exclusions Information</w:t>
      </w:r>
    </w:p>
    <w:p w14:paraId="381A1ED2" w14:textId="77777777" w:rsidR="00A46209" w:rsidRPr="00E66809" w:rsidRDefault="00A46209" w:rsidP="00A46209">
      <w:pPr>
        <w:spacing w:after="0" w:line="276" w:lineRule="auto"/>
        <w:rPr>
          <w:rFonts w:eastAsia="Arial" w:cs="Calibri"/>
        </w:rPr>
      </w:pPr>
    </w:p>
    <w:p w14:paraId="5D1D2E3C" w14:textId="77777777" w:rsidR="00A46209" w:rsidRPr="00E66809" w:rsidRDefault="00A46209" w:rsidP="00A46209">
      <w:pPr>
        <w:spacing w:after="0" w:line="276" w:lineRule="auto"/>
        <w:rPr>
          <w:rFonts w:eastAsiaTheme="majorEastAsia" w:cs="Arial"/>
          <w:b/>
        </w:rPr>
      </w:pPr>
      <w:r w:rsidRPr="00E66809">
        <w:rPr>
          <w:rFonts w:eastAsia="Arial" w:cs="Calibri"/>
          <w:b/>
          <w:u w:val="single"/>
        </w:rPr>
        <w:t>Part 2A – Associated Persons</w:t>
      </w:r>
    </w:p>
    <w:p w14:paraId="4383ACBB" w14:textId="77777777" w:rsidR="00A46209" w:rsidRPr="00E66809" w:rsidRDefault="00A46209" w:rsidP="00F56D3C">
      <w:pPr>
        <w:pStyle w:val="BodyText1"/>
      </w:pPr>
    </w:p>
    <w:tbl>
      <w:tblPr>
        <w:tblW w:w="13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74"/>
        <w:gridCol w:w="1701"/>
        <w:gridCol w:w="9859"/>
      </w:tblGrid>
      <w:tr w:rsidR="00A46209" w:rsidRPr="001439F7" w14:paraId="3954A7E8" w14:textId="77777777" w:rsidTr="005F2119">
        <w:trPr>
          <w:cantSplit/>
          <w:trHeight w:val="510"/>
        </w:trPr>
        <w:tc>
          <w:tcPr>
            <w:tcW w:w="1474" w:type="dxa"/>
            <w:tcBorders>
              <w:top w:val="single" w:sz="4" w:space="0" w:color="auto"/>
              <w:left w:val="single" w:sz="4" w:space="0" w:color="auto"/>
              <w:bottom w:val="single" w:sz="4" w:space="0" w:color="auto"/>
              <w:right w:val="single" w:sz="4" w:space="0" w:color="EAEAEA"/>
            </w:tcBorders>
            <w:shd w:val="clear" w:color="auto" w:fill="009999"/>
            <w:vAlign w:val="center"/>
          </w:tcPr>
          <w:p w14:paraId="2D866238" w14:textId="77777777" w:rsidR="00A46209" w:rsidRPr="00E66809" w:rsidRDefault="00A46209" w:rsidP="00642950">
            <w:pPr>
              <w:autoSpaceDE w:val="0"/>
              <w:autoSpaceDN w:val="0"/>
              <w:adjustRightInd w:val="0"/>
              <w:spacing w:after="0" w:line="276" w:lineRule="auto"/>
              <w:jc w:val="both"/>
              <w:rPr>
                <w:rFonts w:eastAsia="Times New Roman" w:cs="Arial"/>
                <w:b/>
                <w:color w:val="FFFFFF" w:themeColor="background1"/>
              </w:rPr>
            </w:pPr>
            <w:r w:rsidRPr="00E66809">
              <w:rPr>
                <w:rFonts w:eastAsia="Times New Roman" w:cs="Arial"/>
                <w:b/>
                <w:color w:val="FFFFFF" w:themeColor="background1"/>
              </w:rPr>
              <w:t>Question / Questions</w:t>
            </w:r>
          </w:p>
        </w:tc>
        <w:tc>
          <w:tcPr>
            <w:tcW w:w="1701" w:type="dxa"/>
            <w:tcBorders>
              <w:top w:val="single" w:sz="4" w:space="0" w:color="auto"/>
              <w:left w:val="single" w:sz="4" w:space="0" w:color="auto"/>
              <w:bottom w:val="single" w:sz="4" w:space="0" w:color="auto"/>
              <w:right w:val="single" w:sz="4" w:space="0" w:color="EAEAEA"/>
            </w:tcBorders>
            <w:shd w:val="clear" w:color="auto" w:fill="009999"/>
            <w:vAlign w:val="center"/>
          </w:tcPr>
          <w:p w14:paraId="1772C17B" w14:textId="77777777" w:rsidR="00A46209" w:rsidRPr="00E66809" w:rsidRDefault="00A46209" w:rsidP="00642950">
            <w:pPr>
              <w:autoSpaceDE w:val="0"/>
              <w:autoSpaceDN w:val="0"/>
              <w:adjustRightInd w:val="0"/>
              <w:spacing w:after="0" w:line="276" w:lineRule="auto"/>
              <w:jc w:val="both"/>
              <w:rPr>
                <w:rFonts w:eastAsia="Times New Roman" w:cs="Arial"/>
                <w:b/>
                <w:color w:val="FFFFFF" w:themeColor="background1"/>
              </w:rPr>
            </w:pPr>
            <w:r w:rsidRPr="00E66809">
              <w:rPr>
                <w:rFonts w:eastAsia="Times New Roman" w:cs="Arial"/>
                <w:b/>
                <w:color w:val="FFFFFF" w:themeColor="background1"/>
              </w:rPr>
              <w:t>Assessment</w:t>
            </w:r>
          </w:p>
        </w:tc>
        <w:tc>
          <w:tcPr>
            <w:tcW w:w="9859" w:type="dxa"/>
            <w:tcBorders>
              <w:top w:val="single" w:sz="4" w:space="0" w:color="auto"/>
              <w:left w:val="single" w:sz="4" w:space="0" w:color="auto"/>
              <w:bottom w:val="single" w:sz="4" w:space="0" w:color="auto"/>
              <w:right w:val="single" w:sz="4" w:space="0" w:color="auto"/>
            </w:tcBorders>
            <w:shd w:val="clear" w:color="auto" w:fill="009999"/>
            <w:vAlign w:val="center"/>
          </w:tcPr>
          <w:p w14:paraId="28755BEF" w14:textId="77777777" w:rsidR="00A46209" w:rsidRPr="00E66809" w:rsidRDefault="00A46209" w:rsidP="00642950">
            <w:pPr>
              <w:autoSpaceDE w:val="0"/>
              <w:autoSpaceDN w:val="0"/>
              <w:adjustRightInd w:val="0"/>
              <w:spacing w:after="0" w:line="276" w:lineRule="auto"/>
              <w:jc w:val="both"/>
              <w:rPr>
                <w:rFonts w:cs="Arial"/>
                <w:b/>
                <w:color w:val="FFFFFF" w:themeColor="background1"/>
              </w:rPr>
            </w:pPr>
            <w:r w:rsidRPr="00E66809">
              <w:rPr>
                <w:rFonts w:cs="Arial"/>
                <w:b/>
                <w:color w:val="FFFFFF" w:themeColor="background1"/>
              </w:rPr>
              <w:t>Evaluation Guidance</w:t>
            </w:r>
          </w:p>
        </w:tc>
      </w:tr>
      <w:tr w:rsidR="00A46209" w:rsidRPr="00605283" w14:paraId="0D143A42" w14:textId="77777777" w:rsidTr="005F2119">
        <w:trPr>
          <w:trHeight w:val="510"/>
        </w:trPr>
        <w:tc>
          <w:tcPr>
            <w:tcW w:w="1474" w:type="dxa"/>
            <w:shd w:val="clear" w:color="auto" w:fill="FFFFFF"/>
          </w:tcPr>
          <w:p w14:paraId="7FBA3F14" w14:textId="4F9E71D2" w:rsidR="00A46209" w:rsidRPr="00A750A6" w:rsidRDefault="00A46209" w:rsidP="00642950">
            <w:pPr>
              <w:spacing w:after="0" w:line="276" w:lineRule="auto"/>
              <w:jc w:val="both"/>
              <w:rPr>
                <w:rFonts w:eastAsia="Times New Roman" w:cs="Calibri"/>
                <w:b/>
              </w:rPr>
            </w:pPr>
            <w:r w:rsidRPr="00A750A6">
              <w:rPr>
                <w:rFonts w:eastAsia="Times New Roman" w:cs="Calibri"/>
                <w:b/>
              </w:rPr>
              <w:t>2.1</w:t>
            </w:r>
          </w:p>
        </w:tc>
        <w:tc>
          <w:tcPr>
            <w:tcW w:w="1701" w:type="dxa"/>
            <w:shd w:val="clear" w:color="auto" w:fill="FFFFFF"/>
          </w:tcPr>
          <w:p w14:paraId="2712CD44"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cPr>
          <w:p w14:paraId="17596BDE"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5C8BE609" w14:textId="4F9BA947" w:rsidR="00A46209" w:rsidRPr="00E66809" w:rsidRDefault="009631EF" w:rsidP="00642950">
            <w:pPr>
              <w:spacing w:after="0" w:line="276" w:lineRule="auto"/>
              <w:jc w:val="both"/>
              <w:rPr>
                <w:rFonts w:eastAsia="Times New Roman" w:cs="Calibri"/>
              </w:rPr>
            </w:pPr>
            <w:r>
              <w:rPr>
                <w:rFonts w:eastAsia="Times New Roman" w:cs="Calibri"/>
              </w:rPr>
              <w:t>A response of ‘Yes’ or ‘No’</w:t>
            </w:r>
          </w:p>
          <w:p w14:paraId="7E04BE8F" w14:textId="77777777" w:rsidR="00A46209" w:rsidRPr="00E66809" w:rsidRDefault="00A46209" w:rsidP="00642950">
            <w:pPr>
              <w:spacing w:after="0" w:line="276" w:lineRule="auto"/>
              <w:jc w:val="both"/>
              <w:rPr>
                <w:rFonts w:eastAsia="Times New Roman" w:cs="Calibri"/>
              </w:rPr>
            </w:pPr>
          </w:p>
          <w:p w14:paraId="170F653E"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44ABC793" w14:textId="6B331190" w:rsidR="00A46209" w:rsidRPr="00E66809" w:rsidRDefault="00CF0A0E" w:rsidP="00642950">
            <w:pPr>
              <w:spacing w:after="0" w:line="276" w:lineRule="auto"/>
              <w:jc w:val="both"/>
              <w:rPr>
                <w:rFonts w:eastAsia="Times New Roman" w:cs="Calibri"/>
              </w:rPr>
            </w:pPr>
            <w:r>
              <w:rPr>
                <w:rFonts w:eastAsia="Times New Roman" w:cs="Calibri"/>
              </w:rPr>
              <w:t>R</w:t>
            </w:r>
            <w:r w:rsidR="00311948" w:rsidRPr="00311948">
              <w:rPr>
                <w:rFonts w:eastAsia="Times New Roman" w:cs="Calibri"/>
              </w:rPr>
              <w:t>esponse is incomplete and any missing information is not provided in the timeframes requested by HMRC</w:t>
            </w:r>
            <w:r w:rsidR="009D6221">
              <w:rPr>
                <w:rFonts w:eastAsia="Times New Roman" w:cs="Calibri"/>
              </w:rPr>
              <w:t>.</w:t>
            </w:r>
          </w:p>
        </w:tc>
      </w:tr>
      <w:tr w:rsidR="009631EF" w:rsidRPr="00605283" w14:paraId="5A361135" w14:textId="77777777" w:rsidTr="005F2119">
        <w:trPr>
          <w:trHeight w:val="510"/>
        </w:trPr>
        <w:tc>
          <w:tcPr>
            <w:tcW w:w="1474" w:type="dxa"/>
            <w:shd w:val="clear" w:color="auto" w:fill="FFFFFF"/>
          </w:tcPr>
          <w:p w14:paraId="7807D00E" w14:textId="762DBD79" w:rsidR="009631EF" w:rsidRPr="00A750A6" w:rsidRDefault="009631EF" w:rsidP="00642950">
            <w:pPr>
              <w:spacing w:after="0" w:line="276" w:lineRule="auto"/>
              <w:jc w:val="both"/>
              <w:rPr>
                <w:rFonts w:eastAsia="Times New Roman" w:cs="Calibri"/>
                <w:b/>
              </w:rPr>
            </w:pPr>
            <w:r w:rsidRPr="00A750A6">
              <w:rPr>
                <w:rFonts w:eastAsia="Times New Roman" w:cs="Calibri"/>
                <w:b/>
              </w:rPr>
              <w:t>2.2</w:t>
            </w:r>
          </w:p>
        </w:tc>
        <w:tc>
          <w:tcPr>
            <w:tcW w:w="1701" w:type="dxa"/>
            <w:shd w:val="clear" w:color="auto" w:fill="FFFFFF"/>
          </w:tcPr>
          <w:p w14:paraId="5EC58E50" w14:textId="009B3C81" w:rsidR="009631EF" w:rsidRPr="00E66809" w:rsidRDefault="00435867" w:rsidP="00642950">
            <w:pPr>
              <w:spacing w:after="0" w:line="276" w:lineRule="auto"/>
              <w:jc w:val="both"/>
              <w:rPr>
                <w:rFonts w:eastAsia="Times New Roman" w:cs="Calibri"/>
              </w:rPr>
            </w:pPr>
            <w:r>
              <w:rPr>
                <w:rFonts w:eastAsia="Times New Roman" w:cs="Calibri"/>
              </w:rPr>
              <w:t>Pass/Fail/N/A</w:t>
            </w:r>
          </w:p>
        </w:tc>
        <w:tc>
          <w:tcPr>
            <w:tcW w:w="9859" w:type="dxa"/>
            <w:shd w:val="clear" w:color="auto" w:fill="FFFFFF"/>
          </w:tcPr>
          <w:p w14:paraId="0D2F80E8" w14:textId="77777777" w:rsidR="00435867" w:rsidRPr="00E66809" w:rsidRDefault="00435867" w:rsidP="00435867">
            <w:pPr>
              <w:spacing w:after="0" w:line="276" w:lineRule="auto"/>
              <w:jc w:val="both"/>
              <w:rPr>
                <w:rFonts w:eastAsia="Times New Roman" w:cs="Calibri"/>
                <w:b/>
                <w:u w:val="single"/>
              </w:rPr>
            </w:pPr>
            <w:r w:rsidRPr="00E66809">
              <w:rPr>
                <w:rFonts w:eastAsia="Times New Roman" w:cs="Calibri"/>
                <w:b/>
                <w:u w:val="single"/>
              </w:rPr>
              <w:t>N/A – if Supplier will not</w:t>
            </w:r>
            <w:r>
              <w:t xml:space="preserve"> </w:t>
            </w:r>
            <w:r w:rsidRPr="00E66809">
              <w:rPr>
                <w:rFonts w:eastAsia="Times New Roman" w:cs="Calibri"/>
                <w:b/>
                <w:u w:val="single"/>
              </w:rPr>
              <w:t>be relying on any associated persons to satisfy the conditions of participation</w:t>
            </w:r>
          </w:p>
          <w:p w14:paraId="741CB0CA" w14:textId="77777777" w:rsidR="009631EF" w:rsidRDefault="009631EF" w:rsidP="00642950">
            <w:pPr>
              <w:spacing w:after="0" w:line="276" w:lineRule="auto"/>
              <w:jc w:val="both"/>
              <w:rPr>
                <w:rFonts w:eastAsia="Times New Roman" w:cs="Calibri"/>
                <w:b/>
                <w:u w:val="single"/>
              </w:rPr>
            </w:pPr>
          </w:p>
          <w:p w14:paraId="0EF148D8" w14:textId="77777777" w:rsidR="00435867" w:rsidRPr="00E66809" w:rsidRDefault="00435867" w:rsidP="00435867">
            <w:pPr>
              <w:spacing w:after="0" w:line="276" w:lineRule="auto"/>
              <w:jc w:val="both"/>
              <w:rPr>
                <w:rFonts w:eastAsia="Times New Roman" w:cs="Calibri"/>
                <w:b/>
                <w:u w:val="single"/>
              </w:rPr>
            </w:pPr>
            <w:r w:rsidRPr="00E66809">
              <w:rPr>
                <w:rFonts w:eastAsia="Times New Roman" w:cs="Calibri"/>
                <w:b/>
                <w:u w:val="single"/>
              </w:rPr>
              <w:t>If Supplier IS relying on associated persons to satisfy the conditions of participation:</w:t>
            </w:r>
          </w:p>
          <w:p w14:paraId="43A98851" w14:textId="77777777" w:rsidR="00435867" w:rsidRDefault="00435867" w:rsidP="00642950">
            <w:pPr>
              <w:spacing w:after="0" w:line="276" w:lineRule="auto"/>
              <w:jc w:val="both"/>
              <w:rPr>
                <w:rFonts w:eastAsia="Times New Roman" w:cs="Calibri"/>
                <w:b/>
                <w:u w:val="single"/>
              </w:rPr>
            </w:pPr>
          </w:p>
          <w:p w14:paraId="677C730F" w14:textId="77777777" w:rsidR="00435867" w:rsidRPr="00E66809" w:rsidRDefault="00435867" w:rsidP="00435867">
            <w:pPr>
              <w:spacing w:after="0" w:line="276" w:lineRule="auto"/>
              <w:jc w:val="both"/>
              <w:rPr>
                <w:rFonts w:eastAsia="Times New Roman" w:cs="Calibri"/>
                <w:b/>
                <w:u w:val="single"/>
              </w:rPr>
            </w:pPr>
            <w:r w:rsidRPr="00E66809">
              <w:rPr>
                <w:rFonts w:eastAsia="Times New Roman" w:cs="Calibri"/>
                <w:b/>
                <w:u w:val="single"/>
              </w:rPr>
              <w:t>Pass</w:t>
            </w:r>
          </w:p>
          <w:p w14:paraId="2A667108" w14:textId="77777777" w:rsidR="009B3926" w:rsidRDefault="009B3926" w:rsidP="00642950">
            <w:pPr>
              <w:spacing w:after="0" w:line="276" w:lineRule="auto"/>
              <w:jc w:val="both"/>
              <w:rPr>
                <w:rFonts w:eastAsia="Times New Roman" w:cs="Calibri"/>
                <w:bCs/>
              </w:rPr>
            </w:pPr>
            <w:r>
              <w:rPr>
                <w:rFonts w:eastAsia="Times New Roman" w:cs="Calibri"/>
                <w:bCs/>
              </w:rPr>
              <w:t>The name of each associated person is provided alongside a description of each condition of participation they are being relied on to satisfy</w:t>
            </w:r>
          </w:p>
          <w:p w14:paraId="4AD415DA" w14:textId="77777777" w:rsidR="009B3926" w:rsidRDefault="009B3926" w:rsidP="009B3926">
            <w:pPr>
              <w:spacing w:after="0" w:line="276" w:lineRule="auto"/>
              <w:jc w:val="both"/>
              <w:rPr>
                <w:rFonts w:eastAsia="Times New Roman" w:cs="Calibri"/>
                <w:b/>
              </w:rPr>
            </w:pPr>
          </w:p>
          <w:p w14:paraId="00F078F2" w14:textId="455719F9" w:rsidR="009B3926" w:rsidRPr="00E66809" w:rsidRDefault="009B3926" w:rsidP="009B3926">
            <w:pPr>
              <w:spacing w:after="0" w:line="276" w:lineRule="auto"/>
              <w:jc w:val="both"/>
              <w:rPr>
                <w:rFonts w:eastAsia="Times New Roman" w:cs="Calibri"/>
              </w:rPr>
            </w:pPr>
            <w:r w:rsidRPr="00E66809">
              <w:rPr>
                <w:rFonts w:eastAsia="Times New Roman" w:cs="Calibri"/>
                <w:b/>
                <w:u w:val="single"/>
              </w:rPr>
              <w:t>Fail</w:t>
            </w:r>
          </w:p>
          <w:p w14:paraId="5BF17C2F" w14:textId="13095260" w:rsidR="009B3926" w:rsidRPr="009B3926" w:rsidRDefault="00CF0A0E" w:rsidP="00642950">
            <w:pPr>
              <w:spacing w:after="0" w:line="276" w:lineRule="auto"/>
              <w:jc w:val="both"/>
              <w:rPr>
                <w:rFonts w:eastAsia="Times New Roman" w:cs="Calibri"/>
                <w:bCs/>
              </w:rPr>
            </w:pPr>
            <w:r>
              <w:rPr>
                <w:rFonts w:eastAsia="Times New Roman" w:cs="Calibri"/>
              </w:rPr>
              <w:t>R</w:t>
            </w:r>
            <w:r w:rsidR="009B3926" w:rsidRPr="00311948">
              <w:rPr>
                <w:rFonts w:eastAsia="Times New Roman" w:cs="Calibri"/>
              </w:rPr>
              <w:t>esponse is incomplete and any missing information is not provided in the timeframes requested by HMRC</w:t>
            </w:r>
            <w:r w:rsidR="009B3926">
              <w:rPr>
                <w:rFonts w:eastAsia="Times New Roman" w:cs="Calibri"/>
              </w:rPr>
              <w:t>.</w:t>
            </w:r>
          </w:p>
        </w:tc>
      </w:tr>
      <w:tr w:rsidR="00A46209" w:rsidRPr="00605283" w14:paraId="48FD5D31" w14:textId="77777777" w:rsidTr="005F2119">
        <w:trPr>
          <w:trHeight w:val="510"/>
        </w:trPr>
        <w:tc>
          <w:tcPr>
            <w:tcW w:w="1474" w:type="dxa"/>
            <w:shd w:val="clear" w:color="auto" w:fill="FFFFFF"/>
          </w:tcPr>
          <w:p w14:paraId="5C0BA003"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t>2.3</w:t>
            </w:r>
          </w:p>
        </w:tc>
        <w:tc>
          <w:tcPr>
            <w:tcW w:w="1701" w:type="dxa"/>
            <w:shd w:val="clear" w:color="auto" w:fill="FFFFFF"/>
          </w:tcPr>
          <w:p w14:paraId="4506691C"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cPr>
          <w:p w14:paraId="21FB1EBB"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N/A – if Supplier will not</w:t>
            </w:r>
            <w:r>
              <w:t xml:space="preserve"> </w:t>
            </w:r>
            <w:r w:rsidRPr="00E66809">
              <w:rPr>
                <w:rFonts w:eastAsia="Times New Roman" w:cs="Calibri"/>
                <w:b/>
                <w:u w:val="single"/>
              </w:rPr>
              <w:t>be relying on any associated persons to satisfy the conditions of participation</w:t>
            </w:r>
          </w:p>
          <w:p w14:paraId="39D6B151" w14:textId="77777777" w:rsidR="00A46209" w:rsidRPr="00E66809" w:rsidRDefault="00A46209" w:rsidP="00642950">
            <w:pPr>
              <w:spacing w:after="0" w:line="276" w:lineRule="auto"/>
              <w:jc w:val="both"/>
              <w:rPr>
                <w:rFonts w:eastAsia="Times New Roman" w:cs="Calibri"/>
                <w:b/>
                <w:u w:val="single"/>
              </w:rPr>
            </w:pPr>
          </w:p>
          <w:p w14:paraId="7C5D51E7"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If Supplier IS relying on associated persons to satisfy the conditions of participation:</w:t>
            </w:r>
          </w:p>
          <w:p w14:paraId="231C1730" w14:textId="77777777" w:rsidR="00A46209" w:rsidRDefault="00A46209" w:rsidP="00642950">
            <w:pPr>
              <w:spacing w:after="0" w:line="276" w:lineRule="auto"/>
              <w:jc w:val="both"/>
              <w:rPr>
                <w:rFonts w:eastAsia="Times New Roman" w:cs="Calibri"/>
                <w:b/>
                <w:u w:val="single"/>
              </w:rPr>
            </w:pPr>
          </w:p>
          <w:p w14:paraId="7B640A9D" w14:textId="77777777" w:rsidR="00CF0A0E" w:rsidRPr="00E66809" w:rsidRDefault="00CF0A0E" w:rsidP="00642950">
            <w:pPr>
              <w:spacing w:after="0" w:line="276" w:lineRule="auto"/>
              <w:jc w:val="both"/>
              <w:rPr>
                <w:rFonts w:eastAsia="Times New Roman" w:cs="Calibri"/>
                <w:b/>
                <w:u w:val="single"/>
              </w:rPr>
            </w:pPr>
          </w:p>
          <w:p w14:paraId="07B2411E"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lastRenderedPageBreak/>
              <w:t>Pass</w:t>
            </w:r>
          </w:p>
          <w:p w14:paraId="2FE3089E" w14:textId="48191726" w:rsidR="001E10F1" w:rsidRDefault="001E10F1" w:rsidP="00642950">
            <w:pPr>
              <w:spacing w:after="0" w:line="276" w:lineRule="auto"/>
              <w:jc w:val="both"/>
              <w:rPr>
                <w:rFonts w:eastAsia="Times New Roman" w:cs="Calibri"/>
              </w:rPr>
            </w:pPr>
            <w:r w:rsidRPr="001E10F1">
              <w:rPr>
                <w:rFonts w:eastAsia="Times New Roman" w:cs="Calibri"/>
              </w:rPr>
              <w:t>A response of ‘Yes’ and the Supplier provides all information provided, and there are no grounds for exclusion</w:t>
            </w:r>
            <w:r>
              <w:rPr>
                <w:rFonts w:eastAsia="Times New Roman" w:cs="Calibri"/>
              </w:rPr>
              <w:t xml:space="preserve"> for any of the associated persons</w:t>
            </w:r>
          </w:p>
          <w:p w14:paraId="1FF51BDA" w14:textId="3CE17219" w:rsidR="00A46209" w:rsidRPr="00E66809" w:rsidRDefault="00A46209" w:rsidP="00642950">
            <w:pPr>
              <w:spacing w:after="0" w:line="276" w:lineRule="auto"/>
              <w:jc w:val="both"/>
              <w:rPr>
                <w:rFonts w:eastAsia="Times New Roman" w:cs="Calibri"/>
                <w:b/>
              </w:rPr>
            </w:pPr>
            <w:r w:rsidRPr="00E66809">
              <w:rPr>
                <w:rFonts w:eastAsia="Times New Roman" w:cs="Calibri"/>
                <w:b/>
              </w:rPr>
              <w:t>OR</w:t>
            </w:r>
          </w:p>
          <w:p w14:paraId="3206900E" w14:textId="77777777" w:rsidR="00A01D81" w:rsidRDefault="001E10F1" w:rsidP="00642950">
            <w:pPr>
              <w:spacing w:after="0" w:line="276" w:lineRule="auto"/>
              <w:jc w:val="both"/>
              <w:rPr>
                <w:rFonts w:eastAsia="Times New Roman" w:cs="Calibri"/>
              </w:rPr>
            </w:pPr>
            <w:r w:rsidRPr="001E10F1">
              <w:rPr>
                <w:rFonts w:eastAsia="Times New Roman" w:cs="Calibri"/>
              </w:rPr>
              <w:t>A response of ‘Yes’ and the Supplier provides all information requested</w:t>
            </w:r>
            <w:r>
              <w:rPr>
                <w:rFonts w:eastAsia="Times New Roman" w:cs="Calibri"/>
              </w:rPr>
              <w:t xml:space="preserve"> </w:t>
            </w:r>
            <w:r w:rsidRPr="001E10F1">
              <w:rPr>
                <w:rFonts w:eastAsia="Times New Roman" w:cs="Calibri"/>
              </w:rPr>
              <w:t>and confirms that grounds</w:t>
            </w:r>
          </w:p>
          <w:p w14:paraId="0EE9DD74" w14:textId="7A8E6C7E" w:rsidR="002F4A1B" w:rsidRDefault="001E10F1" w:rsidP="00642950">
            <w:pPr>
              <w:spacing w:after="0" w:line="276" w:lineRule="auto"/>
              <w:jc w:val="both"/>
              <w:rPr>
                <w:rFonts w:eastAsia="Times New Roman" w:cs="Calibri"/>
              </w:rPr>
            </w:pPr>
            <w:r w:rsidRPr="001E10F1">
              <w:rPr>
                <w:rFonts w:eastAsia="Times New Roman" w:cs="Calibri"/>
              </w:rPr>
              <w:t xml:space="preserve"> for discretionary exclusion apply</w:t>
            </w:r>
            <w:r>
              <w:rPr>
                <w:rFonts w:eastAsia="Times New Roman" w:cs="Calibri"/>
              </w:rPr>
              <w:t xml:space="preserve"> to one or more associated persons</w:t>
            </w:r>
            <w:r w:rsidRPr="001E10F1">
              <w:rPr>
                <w:rFonts w:eastAsia="Times New Roman" w:cs="Calibri"/>
              </w:rPr>
              <w:t>, but the Supplier has provided a summary of the circumstances and any remedial action that has taken place subsequently, for the exclusion ground(s) in question. The Supplier has to demonstrate it has taken such remedial action to the satisfaction of HMRC in each case.</w:t>
            </w:r>
          </w:p>
          <w:p w14:paraId="54FF09F3" w14:textId="77777777" w:rsidR="001E10F1" w:rsidRPr="00E66809" w:rsidRDefault="001E10F1" w:rsidP="00642950">
            <w:pPr>
              <w:spacing w:after="0" w:line="276" w:lineRule="auto"/>
              <w:jc w:val="both"/>
              <w:rPr>
                <w:rFonts w:eastAsia="Times New Roman" w:cs="Calibri"/>
              </w:rPr>
            </w:pPr>
          </w:p>
          <w:p w14:paraId="45C12724"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6A7190F6" w14:textId="20F951D7" w:rsidR="00097761" w:rsidRPr="00E66809" w:rsidRDefault="00CF0A0E" w:rsidP="00642950">
            <w:pPr>
              <w:spacing w:after="0" w:line="276" w:lineRule="auto"/>
              <w:jc w:val="both"/>
              <w:rPr>
                <w:rFonts w:eastAsia="Times New Roman" w:cs="Calibri"/>
              </w:rPr>
            </w:pPr>
            <w:r>
              <w:rPr>
                <w:rFonts w:eastAsia="Times New Roman" w:cs="Calibri"/>
              </w:rPr>
              <w:t>R</w:t>
            </w:r>
            <w:r w:rsidR="00097761" w:rsidRPr="00097761">
              <w:rPr>
                <w:rFonts w:eastAsia="Times New Roman" w:cs="Calibri"/>
              </w:rPr>
              <w:t>esponse is incomplete and any missing information is not provided in the timeframes requested by HMRC</w:t>
            </w:r>
            <w:r w:rsidR="009D6221">
              <w:rPr>
                <w:rFonts w:eastAsia="Times New Roman" w:cs="Calibri"/>
              </w:rPr>
              <w:t>.</w:t>
            </w:r>
          </w:p>
          <w:p w14:paraId="2115902F" w14:textId="77777777" w:rsidR="00097761" w:rsidRPr="00A824C6" w:rsidRDefault="00097761" w:rsidP="00642950">
            <w:pPr>
              <w:spacing w:after="0" w:line="276" w:lineRule="auto"/>
              <w:jc w:val="both"/>
              <w:rPr>
                <w:rFonts w:eastAsia="Times New Roman" w:cs="Calibri"/>
                <w:b/>
              </w:rPr>
            </w:pPr>
            <w:r w:rsidRPr="00A824C6">
              <w:rPr>
                <w:rFonts w:eastAsia="Times New Roman" w:cs="Calibri"/>
                <w:b/>
              </w:rPr>
              <w:t>OR</w:t>
            </w:r>
          </w:p>
          <w:p w14:paraId="534922B4" w14:textId="20828FE1" w:rsidR="00097761" w:rsidRDefault="00097761" w:rsidP="00642950">
            <w:pPr>
              <w:spacing w:after="0" w:line="276" w:lineRule="auto"/>
              <w:jc w:val="both"/>
              <w:rPr>
                <w:rFonts w:eastAsia="Times New Roman" w:cs="Calibri"/>
              </w:rPr>
            </w:pPr>
            <w:r>
              <w:rPr>
                <w:rFonts w:eastAsia="Times New Roman" w:cs="Calibri"/>
              </w:rPr>
              <w:t xml:space="preserve">A </w:t>
            </w:r>
            <w:r w:rsidR="001E10F1">
              <w:rPr>
                <w:rFonts w:eastAsia="Times New Roman" w:cs="Calibri"/>
              </w:rPr>
              <w:t xml:space="preserve">response of ‘Yes’ and the Supplier confirms that a </w:t>
            </w:r>
            <w:r>
              <w:rPr>
                <w:rFonts w:eastAsia="Times New Roman" w:cs="Calibri"/>
              </w:rPr>
              <w:t>mandatory exclusion ground</w:t>
            </w:r>
            <w:r w:rsidRPr="00A824C6">
              <w:rPr>
                <w:rFonts w:eastAsia="Times New Roman" w:cs="Calibri"/>
              </w:rPr>
              <w:t xml:space="preserve"> applies</w:t>
            </w:r>
            <w:r w:rsidR="001E10F1">
              <w:rPr>
                <w:rFonts w:eastAsia="Times New Roman" w:cs="Calibri"/>
              </w:rPr>
              <w:t xml:space="preserve"> to one or more of the associated persons</w:t>
            </w:r>
          </w:p>
          <w:p w14:paraId="37C5461B" w14:textId="77777777" w:rsidR="00097761" w:rsidRPr="00A824C6" w:rsidRDefault="00097761" w:rsidP="00642950">
            <w:pPr>
              <w:spacing w:after="0" w:line="276" w:lineRule="auto"/>
              <w:jc w:val="both"/>
              <w:rPr>
                <w:rFonts w:eastAsia="Times New Roman" w:cs="Calibri"/>
                <w:b/>
              </w:rPr>
            </w:pPr>
            <w:r w:rsidRPr="00A824C6">
              <w:rPr>
                <w:rFonts w:eastAsia="Times New Roman" w:cs="Calibri"/>
                <w:b/>
              </w:rPr>
              <w:t>OR</w:t>
            </w:r>
          </w:p>
          <w:p w14:paraId="261F572C" w14:textId="1D62F37E" w:rsidR="00097761" w:rsidRDefault="00097761" w:rsidP="00642950">
            <w:pPr>
              <w:spacing w:after="0" w:line="276" w:lineRule="auto"/>
              <w:jc w:val="both"/>
              <w:rPr>
                <w:rFonts w:eastAsia="Times New Roman" w:cs="Calibri"/>
              </w:rPr>
            </w:pPr>
            <w:r>
              <w:rPr>
                <w:rFonts w:eastAsia="Times New Roman" w:cs="Calibri"/>
              </w:rPr>
              <w:t xml:space="preserve">A </w:t>
            </w:r>
            <w:r w:rsidR="001E10F1">
              <w:rPr>
                <w:rFonts w:eastAsia="Times New Roman" w:cs="Calibri"/>
              </w:rPr>
              <w:t xml:space="preserve">response of ‘Yes’ and the Supplier confirms that a </w:t>
            </w:r>
            <w:r>
              <w:rPr>
                <w:rFonts w:eastAsia="Times New Roman" w:cs="Calibri"/>
              </w:rPr>
              <w:t>discretionary exclusion ground</w:t>
            </w:r>
            <w:r w:rsidRPr="00A824C6">
              <w:rPr>
                <w:rFonts w:eastAsia="Times New Roman" w:cs="Calibri"/>
              </w:rPr>
              <w:t xml:space="preserve"> applies</w:t>
            </w:r>
            <w:r w:rsidR="001E10F1">
              <w:rPr>
                <w:rFonts w:eastAsia="Times New Roman" w:cs="Calibri"/>
              </w:rPr>
              <w:t xml:space="preserve"> to one or more of the associated persons</w:t>
            </w:r>
            <w:r w:rsidRPr="00A824C6">
              <w:rPr>
                <w:rFonts w:eastAsia="Times New Roman" w:cs="Calibri"/>
              </w:rPr>
              <w:t xml:space="preserve">, but </w:t>
            </w:r>
            <w:r w:rsidR="001E10F1">
              <w:rPr>
                <w:rFonts w:eastAsia="Times New Roman" w:cs="Calibri"/>
              </w:rPr>
              <w:t xml:space="preserve">the </w:t>
            </w:r>
            <w:r w:rsidRPr="00A824C6">
              <w:rPr>
                <w:rFonts w:eastAsia="Times New Roman" w:cs="Calibri"/>
              </w:rPr>
              <w:t>Supplier has not included details and/or provided an explanation which is to the satisfaction of HMRC</w:t>
            </w:r>
            <w:r w:rsidR="009D6221">
              <w:rPr>
                <w:rFonts w:eastAsia="Times New Roman" w:cs="Calibri"/>
              </w:rPr>
              <w:t>.</w:t>
            </w:r>
          </w:p>
          <w:p w14:paraId="1D32FFED" w14:textId="247B097C" w:rsidR="00A91C4B" w:rsidRDefault="00A91C4B" w:rsidP="00642950">
            <w:pPr>
              <w:spacing w:after="0" w:line="276" w:lineRule="auto"/>
              <w:jc w:val="both"/>
              <w:rPr>
                <w:rFonts w:eastAsia="Times New Roman" w:cs="Calibri"/>
                <w:b/>
                <w:bCs/>
              </w:rPr>
            </w:pPr>
            <w:r>
              <w:rPr>
                <w:rFonts w:eastAsia="Times New Roman" w:cs="Calibri"/>
                <w:b/>
                <w:bCs/>
              </w:rPr>
              <w:t>OR</w:t>
            </w:r>
          </w:p>
          <w:p w14:paraId="35F0BE05" w14:textId="368516E0" w:rsidR="00A91C4B" w:rsidRPr="00A91C4B" w:rsidRDefault="001E10F1" w:rsidP="001E10F1">
            <w:pPr>
              <w:spacing w:after="0" w:line="276" w:lineRule="auto"/>
              <w:rPr>
                <w:rFonts w:eastAsia="Times New Roman" w:cs="Calibri"/>
              </w:rPr>
            </w:pPr>
            <w:r>
              <w:rPr>
                <w:rFonts w:eastAsia="Times New Roman" w:cs="Calibri"/>
              </w:rPr>
              <w:t>The Supplier answers ‘No’, without an explanation that is deemed satisfactory by HMRC</w:t>
            </w:r>
          </w:p>
          <w:p w14:paraId="1D49301D" w14:textId="77777777" w:rsidR="00A46209" w:rsidRPr="00E66809" w:rsidRDefault="00A46209" w:rsidP="00642950">
            <w:pPr>
              <w:spacing w:after="0" w:line="276" w:lineRule="auto"/>
              <w:jc w:val="both"/>
              <w:rPr>
                <w:rFonts w:eastAsia="Times New Roman" w:cs="Calibri"/>
              </w:rPr>
            </w:pPr>
          </w:p>
          <w:p w14:paraId="1BC79723" w14:textId="16F51C17" w:rsidR="00A46209" w:rsidRPr="00C453EE" w:rsidRDefault="00A46209" w:rsidP="00642950">
            <w:pPr>
              <w:spacing w:after="0" w:line="276" w:lineRule="auto"/>
              <w:jc w:val="both"/>
              <w:rPr>
                <w:rFonts w:eastAsia="Times New Roman" w:cs="Calibri"/>
              </w:rPr>
            </w:pPr>
            <w:r w:rsidRPr="00C453EE">
              <w:rPr>
                <w:rFonts w:eastAsia="Times New Roman" w:cs="Calibri"/>
              </w:rPr>
              <w:t xml:space="preserve">HMRC reserves the right to fail </w:t>
            </w:r>
            <w:r w:rsidR="005F7300" w:rsidRPr="00C453EE">
              <w:rPr>
                <w:rFonts w:eastAsia="Times New Roman" w:cs="Calibri"/>
              </w:rPr>
              <w:t>Supplier</w:t>
            </w:r>
            <w:r w:rsidRPr="00C453EE">
              <w:rPr>
                <w:rFonts w:eastAsia="Times New Roman" w:cs="Calibri"/>
              </w:rPr>
              <w:t>s whose associated persons:</w:t>
            </w:r>
          </w:p>
          <w:p w14:paraId="52FDE1F2" w14:textId="77777777" w:rsidR="00A46209" w:rsidRPr="00C453EE" w:rsidRDefault="00A46209" w:rsidP="00AD19D7">
            <w:pPr>
              <w:pStyle w:val="ListParagraph"/>
              <w:numPr>
                <w:ilvl w:val="0"/>
                <w:numId w:val="54"/>
              </w:numPr>
              <w:spacing w:after="0" w:line="276" w:lineRule="auto"/>
              <w:jc w:val="both"/>
              <w:rPr>
                <w:rFonts w:eastAsia="Times New Roman" w:cs="Calibri"/>
              </w:rPr>
            </w:pPr>
            <w:r w:rsidRPr="00C453EE">
              <w:rPr>
                <w:rFonts w:eastAsia="Times New Roman" w:cs="Calibri"/>
              </w:rPr>
              <w:t>Are not part registered on the CDP</w:t>
            </w:r>
          </w:p>
          <w:p w14:paraId="70D1DEA6" w14:textId="77777777" w:rsidR="00A46209" w:rsidRPr="00C453EE" w:rsidRDefault="00A46209" w:rsidP="00AD19D7">
            <w:pPr>
              <w:pStyle w:val="ListParagraph"/>
              <w:numPr>
                <w:ilvl w:val="0"/>
                <w:numId w:val="54"/>
              </w:numPr>
              <w:spacing w:after="0" w:line="276" w:lineRule="auto"/>
              <w:jc w:val="both"/>
              <w:rPr>
                <w:rFonts w:eastAsia="Times New Roman" w:cs="Calibri"/>
              </w:rPr>
            </w:pPr>
            <w:r w:rsidRPr="00C453EE">
              <w:rPr>
                <w:rFonts w:eastAsia="Times New Roman" w:cs="Calibri"/>
              </w:rPr>
              <w:t>Have not provided up-to-date core supplier information as requested</w:t>
            </w:r>
          </w:p>
          <w:p w14:paraId="3E576910" w14:textId="77777777" w:rsidR="00A46209" w:rsidRPr="00C453EE" w:rsidRDefault="00A46209" w:rsidP="00AD19D7">
            <w:pPr>
              <w:pStyle w:val="ListParagraph"/>
              <w:numPr>
                <w:ilvl w:val="0"/>
                <w:numId w:val="54"/>
              </w:numPr>
              <w:spacing w:after="0" w:line="276" w:lineRule="auto"/>
              <w:jc w:val="both"/>
              <w:rPr>
                <w:rFonts w:eastAsia="Times New Roman" w:cs="Calibri"/>
              </w:rPr>
            </w:pPr>
            <w:r w:rsidRPr="00C453EE">
              <w:rPr>
                <w:rFonts w:eastAsia="Times New Roman" w:cs="Calibri"/>
              </w:rPr>
              <w:t>Have not provided one or more of the pieces of information requested</w:t>
            </w:r>
          </w:p>
          <w:p w14:paraId="7A96CC59" w14:textId="77777777" w:rsidR="00A46209" w:rsidRPr="00E66809" w:rsidRDefault="00A46209" w:rsidP="00642950">
            <w:pPr>
              <w:spacing w:after="0" w:line="276" w:lineRule="auto"/>
              <w:ind w:right="306"/>
              <w:jc w:val="both"/>
              <w:rPr>
                <w:rFonts w:eastAsia="Arial" w:cs="Calibri"/>
              </w:rPr>
            </w:pPr>
          </w:p>
          <w:p w14:paraId="5EF685FE" w14:textId="5601EEB6" w:rsidR="00A46209" w:rsidRDefault="005A15C4" w:rsidP="00642950">
            <w:pPr>
              <w:spacing w:after="0" w:line="276" w:lineRule="auto"/>
              <w:jc w:val="both"/>
              <w:rPr>
                <w:rFonts w:eastAsia="Times New Roman" w:cs="Calibri"/>
              </w:rPr>
            </w:pPr>
            <w:r w:rsidRPr="005A15C4">
              <w:rPr>
                <w:rFonts w:eastAsia="Arial" w:cs="Calibri"/>
              </w:rPr>
              <w:t xml:space="preserve">Where a </w:t>
            </w:r>
            <w:r w:rsidR="00AE39DB">
              <w:rPr>
                <w:rFonts w:eastAsia="Arial" w:cs="Calibri"/>
              </w:rPr>
              <w:t>S</w:t>
            </w:r>
            <w:r w:rsidRPr="005A15C4">
              <w:rPr>
                <w:rFonts w:eastAsia="Arial" w:cs="Calibri"/>
              </w:rPr>
              <w:t>upplier is disqualified, the remainder of its response will not be evaluated.</w:t>
            </w:r>
          </w:p>
          <w:p w14:paraId="21CCCDBC" w14:textId="77777777" w:rsidR="005A15C4" w:rsidRPr="00E66809" w:rsidRDefault="005A15C4" w:rsidP="00642950">
            <w:pPr>
              <w:spacing w:after="0" w:line="276" w:lineRule="auto"/>
              <w:jc w:val="both"/>
              <w:rPr>
                <w:rFonts w:eastAsia="Times New Roman" w:cs="Calibri"/>
              </w:rPr>
            </w:pPr>
          </w:p>
        </w:tc>
      </w:tr>
      <w:tr w:rsidR="00A46209" w:rsidRPr="00605283" w14:paraId="7564A52A" w14:textId="77777777" w:rsidTr="005F2119">
        <w:trPr>
          <w:trHeight w:val="510"/>
        </w:trPr>
        <w:tc>
          <w:tcPr>
            <w:tcW w:w="1474" w:type="dxa"/>
            <w:shd w:val="clear" w:color="auto" w:fill="FFFFFF"/>
          </w:tcPr>
          <w:p w14:paraId="3AED0DF9"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2.4</w:t>
            </w:r>
          </w:p>
        </w:tc>
        <w:tc>
          <w:tcPr>
            <w:tcW w:w="1701" w:type="dxa"/>
            <w:shd w:val="clear" w:color="auto" w:fill="FFFFFF"/>
          </w:tcPr>
          <w:p w14:paraId="333DD5E3"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cPr>
          <w:p w14:paraId="6643236E"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N/A – if Supplier will not</w:t>
            </w:r>
            <w:r>
              <w:t xml:space="preserve"> </w:t>
            </w:r>
            <w:r w:rsidRPr="00E66809">
              <w:rPr>
                <w:rFonts w:eastAsia="Times New Roman" w:cs="Calibri"/>
                <w:b/>
                <w:u w:val="single"/>
              </w:rPr>
              <w:t>be relying on any associated persons to satisfy the conditions of participation</w:t>
            </w:r>
          </w:p>
          <w:p w14:paraId="38B3151E" w14:textId="77777777" w:rsidR="00A46209" w:rsidRPr="00E66809" w:rsidRDefault="00A46209" w:rsidP="00642950">
            <w:pPr>
              <w:spacing w:after="0" w:line="276" w:lineRule="auto"/>
              <w:jc w:val="both"/>
              <w:rPr>
                <w:rFonts w:eastAsia="Times New Roman" w:cs="Calibri"/>
                <w:b/>
                <w:u w:val="single"/>
              </w:rPr>
            </w:pPr>
          </w:p>
          <w:p w14:paraId="493DF7CA"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If Supplier IS relying on associated persons to satisfy the conditions of participation:</w:t>
            </w:r>
          </w:p>
          <w:p w14:paraId="6957DCB1" w14:textId="77777777" w:rsidR="00A46209" w:rsidRPr="00E66809" w:rsidRDefault="00A46209" w:rsidP="00642950">
            <w:pPr>
              <w:spacing w:after="0" w:line="276" w:lineRule="auto"/>
              <w:jc w:val="both"/>
              <w:rPr>
                <w:rFonts w:eastAsia="Times New Roman" w:cs="Calibri"/>
                <w:b/>
                <w:u w:val="single"/>
              </w:rPr>
            </w:pPr>
          </w:p>
          <w:p w14:paraId="048A9608" w14:textId="77777777" w:rsidR="00017311" w:rsidRPr="00017311" w:rsidRDefault="00017311" w:rsidP="00642950">
            <w:pPr>
              <w:spacing w:after="0" w:line="276" w:lineRule="auto"/>
              <w:jc w:val="both"/>
              <w:rPr>
                <w:rFonts w:eastAsia="Times New Roman" w:cs="Calibri"/>
                <w:b/>
                <w:u w:val="single"/>
              </w:rPr>
            </w:pPr>
            <w:r w:rsidRPr="00017311">
              <w:rPr>
                <w:rFonts w:eastAsia="Times New Roman" w:cs="Calibri"/>
                <w:b/>
                <w:u w:val="single"/>
              </w:rPr>
              <w:t>Pass</w:t>
            </w:r>
          </w:p>
          <w:p w14:paraId="49E2A065" w14:textId="768289CA" w:rsidR="00017311" w:rsidRPr="00E66809" w:rsidRDefault="001E10F1" w:rsidP="00642950">
            <w:pPr>
              <w:spacing w:after="0" w:line="276" w:lineRule="auto"/>
              <w:jc w:val="both"/>
              <w:rPr>
                <w:rFonts w:eastAsia="Times New Roman" w:cs="Calibri"/>
              </w:rPr>
            </w:pPr>
            <w:r>
              <w:rPr>
                <w:rFonts w:eastAsia="Times New Roman" w:cs="Calibri"/>
                <w:bCs/>
              </w:rPr>
              <w:t>A response of ‘No’</w:t>
            </w:r>
          </w:p>
          <w:p w14:paraId="5010D013" w14:textId="370623DE" w:rsidR="00017311" w:rsidRPr="00E66809" w:rsidRDefault="00017311" w:rsidP="00642950">
            <w:pPr>
              <w:spacing w:after="0" w:line="276" w:lineRule="auto"/>
              <w:jc w:val="both"/>
              <w:rPr>
                <w:rFonts w:eastAsia="Times New Roman" w:cs="Calibri"/>
                <w:b/>
              </w:rPr>
            </w:pPr>
            <w:r w:rsidRPr="00E66809">
              <w:rPr>
                <w:rFonts w:eastAsia="Times New Roman" w:cs="Calibri"/>
                <w:b/>
              </w:rPr>
              <w:t>OR</w:t>
            </w:r>
          </w:p>
          <w:p w14:paraId="300B56F9" w14:textId="19745DF8" w:rsidR="00017311" w:rsidRPr="00E66809" w:rsidRDefault="001E10F1" w:rsidP="00642950">
            <w:pPr>
              <w:spacing w:after="0" w:line="276" w:lineRule="auto"/>
              <w:jc w:val="both"/>
              <w:rPr>
                <w:rFonts w:eastAsia="Times New Roman" w:cs="Calibri"/>
              </w:rPr>
            </w:pPr>
            <w:r>
              <w:rPr>
                <w:rFonts w:eastAsia="Times New Roman" w:cs="Calibri"/>
              </w:rPr>
              <w:t>A response of ‘Yes’ and the Supplier confirms that one or more of the associated persons are on the debarment list for a disc</w:t>
            </w:r>
            <w:r w:rsidR="003C4D4B">
              <w:rPr>
                <w:rFonts w:eastAsia="Times New Roman" w:cs="Calibri"/>
              </w:rPr>
              <w:t>retionary exclusion ground</w:t>
            </w:r>
            <w:r>
              <w:rPr>
                <w:rFonts w:eastAsia="Times New Roman" w:cs="Calibri"/>
              </w:rPr>
              <w:t>.</w:t>
            </w:r>
            <w:r w:rsidR="00017311" w:rsidRPr="00E66809">
              <w:rPr>
                <w:rFonts w:eastAsia="Times New Roman" w:cs="Calibri"/>
              </w:rPr>
              <w:t xml:space="preserve"> </w:t>
            </w:r>
            <w:r w:rsidR="003C4D4B">
              <w:rPr>
                <w:rFonts w:eastAsia="Times New Roman" w:cs="Calibri"/>
              </w:rPr>
              <w:t>T</w:t>
            </w:r>
            <w:r w:rsidR="00017311" w:rsidRPr="00E66809">
              <w:rPr>
                <w:rFonts w:eastAsia="Times New Roman" w:cs="Calibri"/>
              </w:rPr>
              <w:t xml:space="preserve">he Supplier has provided a summary of the circumstances and any remedial action that has taken place subsequently, for </w:t>
            </w:r>
            <w:r w:rsidR="003C4D4B">
              <w:rPr>
                <w:rFonts w:eastAsia="Times New Roman" w:cs="Calibri"/>
              </w:rPr>
              <w:t>each of the relevant discretionary exclusion grounds</w:t>
            </w:r>
            <w:r w:rsidR="00017311" w:rsidRPr="00E66809">
              <w:rPr>
                <w:rFonts w:eastAsia="Times New Roman" w:cs="Calibri"/>
              </w:rPr>
              <w:t xml:space="preserve">. The Supplier has </w:t>
            </w:r>
            <w:r w:rsidR="003C4D4B">
              <w:rPr>
                <w:rFonts w:eastAsia="Times New Roman" w:cs="Calibri"/>
              </w:rPr>
              <w:t>demonstrated</w:t>
            </w:r>
            <w:r w:rsidR="00017311" w:rsidRPr="00E66809">
              <w:rPr>
                <w:rFonts w:eastAsia="Times New Roman" w:cs="Calibri"/>
              </w:rPr>
              <w:t xml:space="preserve"> </w:t>
            </w:r>
            <w:r w:rsidR="00C6601E">
              <w:rPr>
                <w:rFonts w:eastAsia="Times New Roman" w:cs="Calibri"/>
                <w:bCs/>
              </w:rPr>
              <w:t>that</w:t>
            </w:r>
            <w:r w:rsidR="00017311" w:rsidRPr="00E66809">
              <w:rPr>
                <w:rFonts w:eastAsia="Times New Roman" w:cs="Calibri"/>
              </w:rPr>
              <w:t xml:space="preserve"> </w:t>
            </w:r>
            <w:r w:rsidR="001A387B">
              <w:rPr>
                <w:rFonts w:eastAsia="Times New Roman" w:cs="Calibri"/>
                <w:bCs/>
              </w:rPr>
              <w:t xml:space="preserve">it’s associated person(s) have undertaken </w:t>
            </w:r>
            <w:r w:rsidR="00017311" w:rsidRPr="00E66809">
              <w:rPr>
                <w:rFonts w:eastAsia="Times New Roman" w:cs="Calibri"/>
              </w:rPr>
              <w:t>such remedial action</w:t>
            </w:r>
            <w:r w:rsidR="00017311" w:rsidRPr="00294413">
              <w:rPr>
                <w:rFonts w:eastAsia="Times New Roman" w:cs="Calibri"/>
              </w:rPr>
              <w:t xml:space="preserve"> </w:t>
            </w:r>
            <w:r w:rsidR="00017311" w:rsidRPr="00E66809">
              <w:rPr>
                <w:rFonts w:eastAsia="Times New Roman" w:cs="Calibri"/>
              </w:rPr>
              <w:t>to the satisfaction of HMRC in each case.</w:t>
            </w:r>
          </w:p>
          <w:p w14:paraId="3E1461C7" w14:textId="77777777" w:rsidR="00017311" w:rsidRPr="00E66809" w:rsidRDefault="00017311" w:rsidP="00642950">
            <w:pPr>
              <w:spacing w:after="0" w:line="276" w:lineRule="auto"/>
              <w:jc w:val="both"/>
              <w:rPr>
                <w:rFonts w:eastAsia="Times New Roman" w:cs="Calibri"/>
              </w:rPr>
            </w:pPr>
          </w:p>
          <w:p w14:paraId="2EF7E889" w14:textId="77777777" w:rsidR="00017311" w:rsidRPr="00017311" w:rsidRDefault="00017311" w:rsidP="00642950">
            <w:pPr>
              <w:spacing w:after="0" w:line="276" w:lineRule="auto"/>
              <w:jc w:val="both"/>
              <w:rPr>
                <w:rFonts w:eastAsia="Times New Roman" w:cs="Calibri"/>
                <w:b/>
                <w:u w:val="single"/>
              </w:rPr>
            </w:pPr>
            <w:r w:rsidRPr="00017311">
              <w:rPr>
                <w:rFonts w:eastAsia="Times New Roman" w:cs="Calibri"/>
                <w:b/>
                <w:u w:val="single"/>
              </w:rPr>
              <w:t xml:space="preserve">Fail </w:t>
            </w:r>
          </w:p>
          <w:p w14:paraId="77A0900E" w14:textId="220597B5" w:rsidR="00017311" w:rsidRPr="00E66809" w:rsidRDefault="003C4D4B" w:rsidP="00642950">
            <w:pPr>
              <w:spacing w:after="0" w:line="276" w:lineRule="auto"/>
              <w:jc w:val="both"/>
              <w:rPr>
                <w:rFonts w:eastAsia="Times New Roman" w:cs="Calibri"/>
              </w:rPr>
            </w:pPr>
            <w:r>
              <w:rPr>
                <w:rFonts w:eastAsia="Times New Roman" w:cs="Calibri"/>
              </w:rPr>
              <w:t>A response of ‘Yes’ and the Supplier confirms that one or more of the</w:t>
            </w:r>
            <w:r w:rsidR="00017311" w:rsidRPr="00E66809">
              <w:rPr>
                <w:rFonts w:eastAsia="Times New Roman" w:cs="Calibri"/>
              </w:rPr>
              <w:t xml:space="preserve"> </w:t>
            </w:r>
            <w:r w:rsidR="0014391C">
              <w:rPr>
                <w:rFonts w:eastAsia="Times New Roman" w:cs="Calibri"/>
                <w:bCs/>
              </w:rPr>
              <w:t>associated persons</w:t>
            </w:r>
            <w:r>
              <w:rPr>
                <w:rFonts w:eastAsia="Times New Roman" w:cs="Calibri"/>
                <w:bCs/>
              </w:rPr>
              <w:t xml:space="preserve"> </w:t>
            </w:r>
            <w:r w:rsidR="0014391C">
              <w:rPr>
                <w:rFonts w:eastAsia="Times New Roman" w:cs="Calibri"/>
                <w:bCs/>
              </w:rPr>
              <w:t>are</w:t>
            </w:r>
            <w:r w:rsidR="00017311" w:rsidRPr="00E66809">
              <w:rPr>
                <w:rFonts w:eastAsia="Times New Roman" w:cs="Calibri"/>
              </w:rPr>
              <w:t xml:space="preserve"> on the debarment list in relation to a mandatory exclusion ground (as detailed under Schedule 6 of the Act)</w:t>
            </w:r>
            <w:r w:rsidR="009D6221">
              <w:rPr>
                <w:rFonts w:eastAsia="Times New Roman" w:cs="Calibri"/>
                <w:bCs/>
              </w:rPr>
              <w:t>.</w:t>
            </w:r>
            <w:r w:rsidR="00017311" w:rsidRPr="00E66809">
              <w:rPr>
                <w:rFonts w:eastAsia="Times New Roman" w:cs="Calibri"/>
              </w:rPr>
              <w:t xml:space="preserve"> </w:t>
            </w:r>
          </w:p>
          <w:p w14:paraId="65C36371" w14:textId="77777777" w:rsidR="00017311" w:rsidRPr="00E66809" w:rsidRDefault="00017311" w:rsidP="00642950">
            <w:pPr>
              <w:spacing w:after="0" w:line="276" w:lineRule="auto"/>
              <w:jc w:val="both"/>
              <w:rPr>
                <w:rFonts w:eastAsia="Times New Roman" w:cs="Calibri"/>
                <w:b/>
              </w:rPr>
            </w:pPr>
            <w:r w:rsidRPr="00E66809">
              <w:rPr>
                <w:rFonts w:eastAsia="Times New Roman" w:cs="Calibri"/>
                <w:b/>
              </w:rPr>
              <w:t>OR</w:t>
            </w:r>
          </w:p>
          <w:p w14:paraId="13CAD7B8" w14:textId="00A4EE98" w:rsidR="00017311" w:rsidRPr="00E66809" w:rsidRDefault="003C4D4B" w:rsidP="00642950">
            <w:pPr>
              <w:spacing w:after="0" w:line="276" w:lineRule="auto"/>
              <w:jc w:val="both"/>
              <w:rPr>
                <w:rFonts w:eastAsia="Times New Roman" w:cs="Calibri"/>
              </w:rPr>
            </w:pPr>
            <w:r>
              <w:rPr>
                <w:rFonts w:eastAsia="Times New Roman" w:cs="Calibri"/>
              </w:rPr>
              <w:t>A response of ‘Yes’ and the Supplier confirms that one or more of its</w:t>
            </w:r>
            <w:r w:rsidR="00017311" w:rsidRPr="00E66809">
              <w:rPr>
                <w:rFonts w:eastAsia="Times New Roman" w:cs="Calibri"/>
              </w:rPr>
              <w:t xml:space="preserve"> </w:t>
            </w:r>
            <w:r w:rsidR="0014391C">
              <w:rPr>
                <w:rFonts w:eastAsia="Times New Roman" w:cs="Calibri"/>
                <w:bCs/>
              </w:rPr>
              <w:t>associated person(s) are</w:t>
            </w:r>
            <w:r w:rsidR="0014391C" w:rsidRPr="00A824C6">
              <w:rPr>
                <w:rFonts w:eastAsia="Times New Roman" w:cs="Calibri"/>
                <w:bCs/>
              </w:rPr>
              <w:t xml:space="preserve"> </w:t>
            </w:r>
            <w:r w:rsidR="00017311" w:rsidRPr="00E66809">
              <w:rPr>
                <w:rFonts w:eastAsia="Times New Roman" w:cs="Calibri"/>
              </w:rPr>
              <w:t>on the debarment list in relation to a discretionary exclusion ground (as detailed under Schedule 7 of the Act) but has not provided a summary of the circumstances and any remedial action that has taken place subsequently</w:t>
            </w:r>
            <w:r w:rsidR="009D6221">
              <w:rPr>
                <w:rFonts w:eastAsia="Times New Roman" w:cs="Calibri"/>
                <w:bCs/>
              </w:rPr>
              <w:t>.</w:t>
            </w:r>
          </w:p>
          <w:p w14:paraId="67C2765F" w14:textId="77777777" w:rsidR="00017311" w:rsidRPr="00E66809" w:rsidRDefault="00017311" w:rsidP="00642950">
            <w:pPr>
              <w:spacing w:after="0" w:line="276" w:lineRule="auto"/>
              <w:jc w:val="both"/>
              <w:rPr>
                <w:rFonts w:eastAsia="Times New Roman" w:cs="Calibri"/>
                <w:b/>
              </w:rPr>
            </w:pPr>
            <w:r w:rsidRPr="00E66809">
              <w:rPr>
                <w:rFonts w:eastAsia="Times New Roman" w:cs="Calibri"/>
                <w:b/>
              </w:rPr>
              <w:t>OR</w:t>
            </w:r>
          </w:p>
          <w:p w14:paraId="2A44141F" w14:textId="24D819FB" w:rsidR="00017311" w:rsidRPr="00E66809" w:rsidRDefault="003C4D4B" w:rsidP="00642950">
            <w:pPr>
              <w:spacing w:after="0" w:line="276" w:lineRule="auto"/>
              <w:jc w:val="both"/>
              <w:rPr>
                <w:rFonts w:eastAsia="Times New Roman" w:cs="Calibri"/>
              </w:rPr>
            </w:pPr>
            <w:r>
              <w:rPr>
                <w:rFonts w:eastAsia="Times New Roman" w:cs="Calibri"/>
              </w:rPr>
              <w:t>A response of ‘Yes’ and the Supplier confirms that one or more of its</w:t>
            </w:r>
            <w:r w:rsidRPr="00E66809">
              <w:rPr>
                <w:rFonts w:eastAsia="Times New Roman" w:cs="Calibri"/>
              </w:rPr>
              <w:t xml:space="preserve"> </w:t>
            </w:r>
            <w:r>
              <w:rPr>
                <w:rFonts w:eastAsia="Times New Roman" w:cs="Calibri"/>
                <w:bCs/>
              </w:rPr>
              <w:t>associated person(s) are</w:t>
            </w:r>
            <w:r w:rsidRPr="00A824C6">
              <w:rPr>
                <w:rFonts w:eastAsia="Times New Roman" w:cs="Calibri"/>
                <w:bCs/>
              </w:rPr>
              <w:t xml:space="preserve"> </w:t>
            </w:r>
            <w:r w:rsidRPr="00E66809">
              <w:rPr>
                <w:rFonts w:eastAsia="Times New Roman" w:cs="Calibri"/>
              </w:rPr>
              <w:t xml:space="preserve">on the debarment list in relation to a discretionary exclusion ground </w:t>
            </w:r>
            <w:r w:rsidR="00017311" w:rsidRPr="00E66809">
              <w:rPr>
                <w:rFonts w:eastAsia="Times New Roman" w:cs="Calibri"/>
              </w:rPr>
              <w:t>(as detailed under Schedule 7 of the Act) and the Suppliers’ summary of the circumstances and any remedial action that has taken place subsequently is deemed unsatisfactory by HMRC</w:t>
            </w:r>
            <w:r w:rsidR="009D6221">
              <w:rPr>
                <w:rFonts w:eastAsia="Times New Roman" w:cs="Calibri"/>
                <w:bCs/>
              </w:rPr>
              <w:t>.</w:t>
            </w:r>
          </w:p>
          <w:p w14:paraId="10C4BB89" w14:textId="5A5DC2C1" w:rsidR="00017311" w:rsidRDefault="00A91C4B" w:rsidP="00642950">
            <w:pPr>
              <w:spacing w:after="0" w:line="276" w:lineRule="auto"/>
              <w:jc w:val="both"/>
              <w:rPr>
                <w:rFonts w:eastAsia="Times New Roman" w:cs="Calibri"/>
                <w:b/>
              </w:rPr>
            </w:pPr>
            <w:r>
              <w:rPr>
                <w:rFonts w:eastAsia="Times New Roman" w:cs="Calibri"/>
                <w:b/>
              </w:rPr>
              <w:t>OR</w:t>
            </w:r>
          </w:p>
          <w:p w14:paraId="58E49DD9" w14:textId="6CAF9CAE" w:rsidR="00A91C4B" w:rsidRDefault="00CF0A0E" w:rsidP="00642950">
            <w:pPr>
              <w:spacing w:after="0" w:line="276" w:lineRule="auto"/>
              <w:jc w:val="both"/>
              <w:rPr>
                <w:rFonts w:eastAsia="Times New Roman" w:cs="Calibri"/>
              </w:rPr>
            </w:pPr>
            <w:r>
              <w:rPr>
                <w:rFonts w:eastAsia="Times New Roman" w:cs="Calibri"/>
              </w:rPr>
              <w:t>R</w:t>
            </w:r>
            <w:r w:rsidR="00A91C4B" w:rsidRPr="00097761">
              <w:rPr>
                <w:rFonts w:eastAsia="Times New Roman" w:cs="Calibri"/>
              </w:rPr>
              <w:t>esponse is incomplete and any missing information is not provided in the timeframes requested by HMRC</w:t>
            </w:r>
            <w:r w:rsidR="009D6221">
              <w:rPr>
                <w:rFonts w:eastAsia="Times New Roman" w:cs="Calibri"/>
              </w:rPr>
              <w:t>.</w:t>
            </w:r>
          </w:p>
          <w:p w14:paraId="23C92C4F" w14:textId="77777777" w:rsidR="00A91C4B" w:rsidRPr="00E66809" w:rsidRDefault="00A91C4B" w:rsidP="00642950">
            <w:pPr>
              <w:spacing w:after="0" w:line="276" w:lineRule="auto"/>
              <w:jc w:val="both"/>
              <w:rPr>
                <w:rFonts w:eastAsia="Times New Roman" w:cs="Calibri"/>
                <w:b/>
              </w:rPr>
            </w:pPr>
          </w:p>
          <w:p w14:paraId="665B3B2D" w14:textId="63BDA847" w:rsidR="00017311" w:rsidRPr="00E66809" w:rsidRDefault="00017311" w:rsidP="00642950">
            <w:pPr>
              <w:spacing w:after="0" w:line="276" w:lineRule="auto"/>
              <w:jc w:val="both"/>
              <w:rPr>
                <w:rFonts w:eastAsia="Times New Roman" w:cs="Calibri"/>
              </w:rPr>
            </w:pPr>
            <w:r w:rsidRPr="00E66809">
              <w:rPr>
                <w:rFonts w:eastAsia="Times New Roman" w:cs="Calibri"/>
              </w:rPr>
              <w:t>Note that HMRC will verify the Supplier’s response against the debarment list. Providing erroneous information or failing to provide a relevant link may result in disqualification</w:t>
            </w:r>
            <w:r w:rsidR="009D6221">
              <w:rPr>
                <w:rFonts w:eastAsia="Times New Roman" w:cs="Calibri"/>
                <w:bCs/>
              </w:rPr>
              <w:t>.</w:t>
            </w:r>
            <w:r w:rsidRPr="00E66809">
              <w:rPr>
                <w:rFonts w:eastAsia="Times New Roman" w:cs="Calibri"/>
              </w:rPr>
              <w:t xml:space="preserve"> </w:t>
            </w:r>
          </w:p>
          <w:p w14:paraId="54FA2754" w14:textId="77777777" w:rsidR="00017311" w:rsidRPr="00E66809" w:rsidRDefault="00017311" w:rsidP="00642950">
            <w:pPr>
              <w:spacing w:after="0" w:line="276" w:lineRule="auto"/>
              <w:jc w:val="both"/>
              <w:rPr>
                <w:rFonts w:eastAsia="Times New Roman" w:cs="Calibri"/>
              </w:rPr>
            </w:pPr>
          </w:p>
          <w:p w14:paraId="73BB597A" w14:textId="02D65A32" w:rsidR="00A46209" w:rsidRPr="00E66809" w:rsidRDefault="00017311" w:rsidP="003C4D4B">
            <w:pPr>
              <w:spacing w:after="0" w:line="276" w:lineRule="auto"/>
              <w:jc w:val="both"/>
              <w:rPr>
                <w:rFonts w:eastAsia="Times New Roman" w:cs="Calibri"/>
              </w:rPr>
            </w:pPr>
            <w:r w:rsidRPr="00E66809">
              <w:rPr>
                <w:rFonts w:eastAsia="Times New Roman" w:cs="Calibri"/>
              </w:rPr>
              <w:lastRenderedPageBreak/>
              <w:t xml:space="preserve">Where a </w:t>
            </w:r>
            <w:r w:rsidR="00E31868">
              <w:rPr>
                <w:rFonts w:eastAsia="Times New Roman" w:cs="Calibri"/>
                <w:bCs/>
              </w:rPr>
              <w:t>S</w:t>
            </w:r>
            <w:r w:rsidRPr="00E66809">
              <w:rPr>
                <w:rFonts w:eastAsia="Times New Roman" w:cs="Calibri"/>
              </w:rPr>
              <w:t>upplier is disqualified, the remainder of its response will not be evaluated</w:t>
            </w:r>
            <w:r w:rsidR="009D6221">
              <w:rPr>
                <w:rFonts w:eastAsia="Times New Roman" w:cs="Calibri"/>
                <w:bCs/>
              </w:rPr>
              <w:t>.</w:t>
            </w:r>
          </w:p>
        </w:tc>
      </w:tr>
    </w:tbl>
    <w:p w14:paraId="5F2B39E0" w14:textId="77777777" w:rsidR="00A46209" w:rsidRPr="00E66809" w:rsidRDefault="00A46209" w:rsidP="00A46209">
      <w:pPr>
        <w:pageBreakBefore/>
        <w:spacing w:after="0" w:line="276" w:lineRule="auto"/>
        <w:rPr>
          <w:rFonts w:eastAsia="Arial" w:cs="Calibri"/>
          <w:b/>
          <w:u w:val="single"/>
        </w:rPr>
      </w:pPr>
      <w:r w:rsidRPr="00E66809">
        <w:rPr>
          <w:rFonts w:eastAsia="Arial" w:cs="Calibri"/>
          <w:b/>
          <w:u w:val="single"/>
        </w:rPr>
        <w:lastRenderedPageBreak/>
        <w:t>Part 2B – List of all intended sub-contractors</w:t>
      </w:r>
    </w:p>
    <w:p w14:paraId="18583DAA" w14:textId="77777777" w:rsidR="00A46209" w:rsidRPr="00E66809" w:rsidRDefault="00A46209" w:rsidP="00F56D3C">
      <w:pPr>
        <w:pStyle w:val="BodyText1"/>
      </w:pPr>
    </w:p>
    <w:tbl>
      <w:tblPr>
        <w:tblW w:w="13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74"/>
        <w:gridCol w:w="1701"/>
        <w:gridCol w:w="9859"/>
      </w:tblGrid>
      <w:tr w:rsidR="00A46209" w:rsidRPr="001439F7" w14:paraId="6C875C9D" w14:textId="77777777" w:rsidTr="005F2119">
        <w:trPr>
          <w:cantSplit/>
          <w:trHeight w:val="510"/>
        </w:trPr>
        <w:tc>
          <w:tcPr>
            <w:tcW w:w="1474" w:type="dxa"/>
            <w:tcBorders>
              <w:top w:val="single" w:sz="4" w:space="0" w:color="auto"/>
              <w:left w:val="single" w:sz="4" w:space="0" w:color="auto"/>
              <w:bottom w:val="single" w:sz="4" w:space="0" w:color="auto"/>
              <w:right w:val="single" w:sz="4" w:space="0" w:color="EAEAEA"/>
            </w:tcBorders>
            <w:shd w:val="clear" w:color="auto" w:fill="009999"/>
            <w:vAlign w:val="center"/>
          </w:tcPr>
          <w:p w14:paraId="0C425CD5"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1701" w:type="dxa"/>
            <w:tcBorders>
              <w:top w:val="single" w:sz="4" w:space="0" w:color="auto"/>
              <w:left w:val="single" w:sz="4" w:space="0" w:color="auto"/>
              <w:bottom w:val="single" w:sz="4" w:space="0" w:color="auto"/>
              <w:right w:val="single" w:sz="4" w:space="0" w:color="EAEAEA"/>
            </w:tcBorders>
            <w:shd w:val="clear" w:color="auto" w:fill="009999"/>
            <w:vAlign w:val="center"/>
          </w:tcPr>
          <w:p w14:paraId="68F00216"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9859" w:type="dxa"/>
            <w:tcBorders>
              <w:top w:val="single" w:sz="4" w:space="0" w:color="auto"/>
              <w:left w:val="single" w:sz="4" w:space="0" w:color="auto"/>
              <w:bottom w:val="single" w:sz="4" w:space="0" w:color="auto"/>
              <w:right w:val="single" w:sz="4" w:space="0" w:color="auto"/>
            </w:tcBorders>
            <w:shd w:val="clear" w:color="auto" w:fill="009999"/>
            <w:vAlign w:val="center"/>
          </w:tcPr>
          <w:p w14:paraId="5A8CF45C" w14:textId="77777777" w:rsidR="00A46209" w:rsidRPr="00E66809" w:rsidRDefault="00A46209">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A46209" w:rsidRPr="00BF1FD6" w14:paraId="69979ED5" w14:textId="77777777" w:rsidTr="005F2119">
        <w:trPr>
          <w:trHeight w:val="510"/>
        </w:trPr>
        <w:tc>
          <w:tcPr>
            <w:tcW w:w="1474" w:type="dxa"/>
            <w:shd w:val="clear" w:color="auto" w:fill="FFFFFF"/>
          </w:tcPr>
          <w:p w14:paraId="1FF8E228"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t>2.5</w:t>
            </w:r>
          </w:p>
        </w:tc>
        <w:tc>
          <w:tcPr>
            <w:tcW w:w="1701" w:type="dxa"/>
            <w:shd w:val="clear" w:color="auto" w:fill="FFFFFF"/>
          </w:tcPr>
          <w:p w14:paraId="2A08DA65"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cPr>
          <w:p w14:paraId="30AF2192"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N/A – if Supplier will not</w:t>
            </w:r>
            <w:r>
              <w:t xml:space="preserve"> </w:t>
            </w:r>
            <w:r w:rsidRPr="00E66809">
              <w:rPr>
                <w:rFonts w:eastAsia="Times New Roman" w:cs="Calibri"/>
                <w:b/>
                <w:u w:val="single"/>
              </w:rPr>
              <w:t>be using any sub-contractors</w:t>
            </w:r>
          </w:p>
          <w:p w14:paraId="49A79F74" w14:textId="77777777" w:rsidR="00A46209" w:rsidRPr="00E66809" w:rsidRDefault="00A46209" w:rsidP="00642950">
            <w:pPr>
              <w:spacing w:after="0" w:line="276" w:lineRule="auto"/>
              <w:jc w:val="both"/>
              <w:rPr>
                <w:rFonts w:eastAsia="Times New Roman" w:cs="Calibri"/>
                <w:b/>
                <w:u w:val="single"/>
              </w:rPr>
            </w:pPr>
          </w:p>
          <w:p w14:paraId="3E9CEE92"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If Supplier IS using sub-contractors:</w:t>
            </w:r>
          </w:p>
          <w:p w14:paraId="2579312E" w14:textId="77777777" w:rsidR="00A46209" w:rsidRPr="00E66809" w:rsidRDefault="00A46209" w:rsidP="00642950">
            <w:pPr>
              <w:spacing w:after="0" w:line="276" w:lineRule="auto"/>
              <w:jc w:val="both"/>
              <w:rPr>
                <w:rFonts w:eastAsia="Times New Roman" w:cs="Calibri"/>
                <w:b/>
                <w:u w:val="single"/>
              </w:rPr>
            </w:pPr>
          </w:p>
          <w:p w14:paraId="356078E5"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510AB219" w14:textId="3F38AA8A" w:rsidR="00A46209" w:rsidRPr="00E66809" w:rsidRDefault="00A46209" w:rsidP="00642950">
            <w:pPr>
              <w:spacing w:after="0" w:line="276" w:lineRule="auto"/>
              <w:jc w:val="both"/>
              <w:rPr>
                <w:rFonts w:eastAsia="Times New Roman" w:cs="Calibri"/>
              </w:rPr>
            </w:pPr>
            <w:r w:rsidRPr="00E66809">
              <w:rPr>
                <w:rFonts w:eastAsia="Times New Roman" w:cs="Calibri"/>
              </w:rPr>
              <w:t xml:space="preserve">All information </w:t>
            </w:r>
            <w:r w:rsidR="003C4D4B">
              <w:rPr>
                <w:rFonts w:eastAsia="Times New Roman" w:cs="Calibri"/>
              </w:rPr>
              <w:t xml:space="preserve">is </w:t>
            </w:r>
            <w:r w:rsidRPr="00E66809">
              <w:rPr>
                <w:rFonts w:eastAsia="Times New Roman" w:cs="Calibri"/>
              </w:rPr>
              <w:t>provided.</w:t>
            </w:r>
          </w:p>
          <w:p w14:paraId="225F38CF" w14:textId="77777777" w:rsidR="00A46209" w:rsidRPr="00E66809" w:rsidRDefault="00A46209" w:rsidP="00642950">
            <w:pPr>
              <w:spacing w:after="0" w:line="276" w:lineRule="auto"/>
              <w:jc w:val="both"/>
              <w:rPr>
                <w:rFonts w:eastAsia="Times New Roman" w:cs="Calibri"/>
              </w:rPr>
            </w:pPr>
          </w:p>
          <w:p w14:paraId="3A131ADE"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09FA7CEF" w14:textId="6C45995B" w:rsidR="00A46209" w:rsidRPr="00E66809" w:rsidRDefault="00CF0A0E" w:rsidP="00642950">
            <w:pPr>
              <w:spacing w:after="0" w:line="276" w:lineRule="auto"/>
              <w:jc w:val="both"/>
              <w:rPr>
                <w:rFonts w:eastAsia="Times New Roman" w:cs="Calibri"/>
              </w:rPr>
            </w:pPr>
            <w:r>
              <w:rPr>
                <w:rFonts w:eastAsia="Times New Roman" w:cs="Calibri"/>
              </w:rPr>
              <w:t>R</w:t>
            </w:r>
            <w:r w:rsidR="001B32DF" w:rsidRPr="001B32DF">
              <w:rPr>
                <w:rFonts w:eastAsia="Times New Roman" w:cs="Calibri"/>
              </w:rPr>
              <w:t>esponse is incomplete and any missing information is not provided in the timeframes requested by HMRC</w:t>
            </w:r>
            <w:r w:rsidR="009D6221">
              <w:rPr>
                <w:rFonts w:eastAsia="Times New Roman" w:cs="Calibri"/>
              </w:rPr>
              <w:t>.</w:t>
            </w:r>
          </w:p>
        </w:tc>
      </w:tr>
      <w:tr w:rsidR="00A46209" w:rsidRPr="00BF1FD6" w14:paraId="25A73EFB" w14:textId="77777777" w:rsidTr="005F2119">
        <w:trPr>
          <w:trHeight w:val="510"/>
        </w:trPr>
        <w:tc>
          <w:tcPr>
            <w:tcW w:w="1474" w:type="dxa"/>
            <w:shd w:val="clear" w:color="auto" w:fill="FFFFFF"/>
          </w:tcPr>
          <w:p w14:paraId="78B5528D"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t>2.6</w:t>
            </w:r>
          </w:p>
        </w:tc>
        <w:tc>
          <w:tcPr>
            <w:tcW w:w="1701" w:type="dxa"/>
            <w:shd w:val="clear" w:color="auto" w:fill="FFFFFF"/>
          </w:tcPr>
          <w:p w14:paraId="5F2CF11E"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cPr>
          <w:p w14:paraId="5A2AFC84"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N/A – if Supplier will not</w:t>
            </w:r>
            <w:r>
              <w:t xml:space="preserve"> </w:t>
            </w:r>
            <w:r w:rsidRPr="00E66809">
              <w:rPr>
                <w:rFonts w:eastAsia="Times New Roman" w:cs="Calibri"/>
                <w:b/>
                <w:u w:val="single"/>
              </w:rPr>
              <w:t>be using any sub-contractors</w:t>
            </w:r>
          </w:p>
          <w:p w14:paraId="3E262E04" w14:textId="77777777" w:rsidR="00A46209" w:rsidRPr="00E66809" w:rsidRDefault="00A46209" w:rsidP="00642950">
            <w:pPr>
              <w:spacing w:after="0" w:line="276" w:lineRule="auto"/>
              <w:jc w:val="both"/>
              <w:rPr>
                <w:rFonts w:eastAsia="Times New Roman" w:cs="Calibri"/>
                <w:b/>
                <w:u w:val="single"/>
              </w:rPr>
            </w:pPr>
          </w:p>
          <w:p w14:paraId="59C03607"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If Supplier IS using sub-contractors:</w:t>
            </w:r>
          </w:p>
          <w:p w14:paraId="3DE59DEF" w14:textId="77777777" w:rsidR="00A46209" w:rsidRPr="00E66809" w:rsidRDefault="00A46209" w:rsidP="00642950">
            <w:pPr>
              <w:spacing w:after="0" w:line="276" w:lineRule="auto"/>
              <w:jc w:val="both"/>
              <w:rPr>
                <w:rFonts w:eastAsia="Times New Roman" w:cs="Calibri"/>
                <w:b/>
                <w:u w:val="single"/>
              </w:rPr>
            </w:pPr>
          </w:p>
          <w:p w14:paraId="59453403" w14:textId="77777777" w:rsidR="0064317F" w:rsidRPr="0064317F" w:rsidRDefault="0064317F" w:rsidP="00642950">
            <w:pPr>
              <w:spacing w:after="0" w:line="276" w:lineRule="auto"/>
              <w:jc w:val="both"/>
              <w:rPr>
                <w:rFonts w:eastAsia="Times New Roman" w:cs="Calibri"/>
                <w:b/>
                <w:u w:val="single"/>
              </w:rPr>
            </w:pPr>
            <w:r w:rsidRPr="0064317F">
              <w:rPr>
                <w:rFonts w:eastAsia="Times New Roman" w:cs="Calibri"/>
                <w:b/>
                <w:u w:val="single"/>
              </w:rPr>
              <w:t>Pass</w:t>
            </w:r>
          </w:p>
          <w:p w14:paraId="620437C5" w14:textId="70C3A6AA" w:rsidR="0064317F" w:rsidRPr="00E66809" w:rsidRDefault="003C4D4B" w:rsidP="00642950">
            <w:pPr>
              <w:spacing w:after="0" w:line="276" w:lineRule="auto"/>
              <w:jc w:val="both"/>
              <w:rPr>
                <w:rFonts w:eastAsia="Times New Roman" w:cs="Calibri"/>
              </w:rPr>
            </w:pPr>
            <w:r>
              <w:rPr>
                <w:rFonts w:eastAsia="Times New Roman" w:cs="Calibri"/>
                <w:bCs/>
              </w:rPr>
              <w:t>A response of ‘No’</w:t>
            </w:r>
          </w:p>
          <w:p w14:paraId="624AEDFF" w14:textId="37947CFB" w:rsidR="0064317F" w:rsidRPr="003C4D4B" w:rsidRDefault="0064317F" w:rsidP="00642950">
            <w:pPr>
              <w:spacing w:after="0" w:line="276" w:lineRule="auto"/>
              <w:jc w:val="both"/>
              <w:rPr>
                <w:rFonts w:eastAsia="Times New Roman" w:cs="Calibri"/>
                <w:b/>
              </w:rPr>
            </w:pPr>
            <w:r w:rsidRPr="00E66809">
              <w:rPr>
                <w:rFonts w:eastAsia="Times New Roman" w:cs="Calibri"/>
                <w:b/>
              </w:rPr>
              <w:t>OR</w:t>
            </w:r>
          </w:p>
          <w:p w14:paraId="3EFAF3AA" w14:textId="0E201E45" w:rsidR="003C4D4B" w:rsidRPr="00E66809" w:rsidRDefault="003C4D4B" w:rsidP="003C4D4B">
            <w:pPr>
              <w:spacing w:after="0" w:line="276" w:lineRule="auto"/>
              <w:jc w:val="both"/>
              <w:rPr>
                <w:rFonts w:eastAsia="Times New Roman" w:cs="Calibri"/>
              </w:rPr>
            </w:pPr>
            <w:r>
              <w:rPr>
                <w:rFonts w:eastAsia="Times New Roman" w:cs="Calibri"/>
              </w:rPr>
              <w:t xml:space="preserve">A response of ‘Yes’ and the Supplier confirms that one or more of </w:t>
            </w:r>
            <w:proofErr w:type="spellStart"/>
            <w:proofErr w:type="gramStart"/>
            <w:r>
              <w:rPr>
                <w:rFonts w:eastAsia="Times New Roman" w:cs="Calibri"/>
              </w:rPr>
              <w:t>it’s</w:t>
            </w:r>
            <w:proofErr w:type="spellEnd"/>
            <w:proofErr w:type="gramEnd"/>
            <w:r>
              <w:rPr>
                <w:rFonts w:eastAsia="Times New Roman" w:cs="Calibri"/>
              </w:rPr>
              <w:t xml:space="preserve"> subcontractors are on the debarment list for a discretionary exclusion ground.</w:t>
            </w:r>
            <w:r w:rsidRPr="00E66809">
              <w:rPr>
                <w:rFonts w:eastAsia="Times New Roman" w:cs="Calibri"/>
              </w:rPr>
              <w:t xml:space="preserve"> </w:t>
            </w:r>
            <w:r>
              <w:rPr>
                <w:rFonts w:eastAsia="Times New Roman" w:cs="Calibri"/>
              </w:rPr>
              <w:t>T</w:t>
            </w:r>
            <w:r w:rsidRPr="00E66809">
              <w:rPr>
                <w:rFonts w:eastAsia="Times New Roman" w:cs="Calibri"/>
              </w:rPr>
              <w:t xml:space="preserve">he Supplier has provided a summary of the circumstances and any remedial action that has taken place subsequently, for </w:t>
            </w:r>
            <w:r>
              <w:rPr>
                <w:rFonts w:eastAsia="Times New Roman" w:cs="Calibri"/>
              </w:rPr>
              <w:t>each of the relevant discretionary exclusion grounds</w:t>
            </w:r>
            <w:r w:rsidRPr="00E66809">
              <w:rPr>
                <w:rFonts w:eastAsia="Times New Roman" w:cs="Calibri"/>
              </w:rPr>
              <w:t xml:space="preserve">. The Supplier has </w:t>
            </w:r>
            <w:r>
              <w:rPr>
                <w:rFonts w:eastAsia="Times New Roman" w:cs="Calibri"/>
              </w:rPr>
              <w:t>demonstrated</w:t>
            </w:r>
            <w:r w:rsidRPr="00E66809">
              <w:rPr>
                <w:rFonts w:eastAsia="Times New Roman" w:cs="Calibri"/>
              </w:rPr>
              <w:t xml:space="preserve"> </w:t>
            </w:r>
            <w:r>
              <w:rPr>
                <w:rFonts w:eastAsia="Times New Roman" w:cs="Calibri"/>
                <w:bCs/>
              </w:rPr>
              <w:t>that</w:t>
            </w:r>
            <w:r w:rsidRPr="00E66809">
              <w:rPr>
                <w:rFonts w:eastAsia="Times New Roman" w:cs="Calibri"/>
              </w:rPr>
              <w:t xml:space="preserve"> </w:t>
            </w:r>
            <w:r>
              <w:rPr>
                <w:rFonts w:eastAsia="Times New Roman" w:cs="Calibri"/>
                <w:bCs/>
              </w:rPr>
              <w:t xml:space="preserve">it’s subcontractor(s) have undertaken </w:t>
            </w:r>
            <w:r w:rsidRPr="00E66809">
              <w:rPr>
                <w:rFonts w:eastAsia="Times New Roman" w:cs="Calibri"/>
              </w:rPr>
              <w:t>such remedial action</w:t>
            </w:r>
            <w:r w:rsidRPr="00294413">
              <w:rPr>
                <w:rFonts w:eastAsia="Times New Roman" w:cs="Calibri"/>
              </w:rPr>
              <w:t xml:space="preserve"> </w:t>
            </w:r>
            <w:r w:rsidRPr="00E66809">
              <w:rPr>
                <w:rFonts w:eastAsia="Times New Roman" w:cs="Calibri"/>
              </w:rPr>
              <w:t>to the satisfaction of HMRC in each case.</w:t>
            </w:r>
          </w:p>
          <w:p w14:paraId="66FD83C2" w14:textId="77777777" w:rsidR="0064317F" w:rsidRPr="00E66809" w:rsidRDefault="0064317F" w:rsidP="00642950">
            <w:pPr>
              <w:spacing w:after="0" w:line="276" w:lineRule="auto"/>
              <w:jc w:val="both"/>
              <w:rPr>
                <w:rFonts w:eastAsia="Times New Roman" w:cs="Calibri"/>
              </w:rPr>
            </w:pPr>
          </w:p>
          <w:p w14:paraId="26B4A197" w14:textId="77777777" w:rsidR="0064317F" w:rsidRPr="0064317F" w:rsidRDefault="0064317F" w:rsidP="00642950">
            <w:pPr>
              <w:spacing w:after="0" w:line="276" w:lineRule="auto"/>
              <w:jc w:val="both"/>
              <w:rPr>
                <w:rFonts w:eastAsia="Times New Roman" w:cs="Calibri"/>
                <w:b/>
                <w:u w:val="single"/>
              </w:rPr>
            </w:pPr>
            <w:r w:rsidRPr="0064317F">
              <w:rPr>
                <w:rFonts w:eastAsia="Times New Roman" w:cs="Calibri"/>
                <w:b/>
                <w:u w:val="single"/>
              </w:rPr>
              <w:t xml:space="preserve">Fail </w:t>
            </w:r>
          </w:p>
          <w:p w14:paraId="4DF8668B" w14:textId="29E969E3" w:rsidR="003C4D4B" w:rsidRPr="00E66809" w:rsidRDefault="003C4D4B" w:rsidP="003C4D4B">
            <w:pPr>
              <w:spacing w:after="0" w:line="276" w:lineRule="auto"/>
              <w:jc w:val="both"/>
              <w:rPr>
                <w:rFonts w:eastAsia="Times New Roman" w:cs="Calibri"/>
              </w:rPr>
            </w:pPr>
            <w:r>
              <w:rPr>
                <w:rFonts w:eastAsia="Times New Roman" w:cs="Calibri"/>
              </w:rPr>
              <w:t>A response of ‘Yes’ and the Supplier confirms that one or more of</w:t>
            </w:r>
            <w:r w:rsidR="00CF0A0E">
              <w:rPr>
                <w:rFonts w:eastAsia="Times New Roman" w:cs="Calibri"/>
                <w:bCs/>
              </w:rPr>
              <w:t xml:space="preserve"> its subcontractors</w:t>
            </w:r>
            <w:r>
              <w:rPr>
                <w:rFonts w:eastAsia="Times New Roman" w:cs="Calibri"/>
                <w:bCs/>
              </w:rPr>
              <w:t xml:space="preserve"> are</w:t>
            </w:r>
            <w:r w:rsidRPr="00E66809">
              <w:rPr>
                <w:rFonts w:eastAsia="Times New Roman" w:cs="Calibri"/>
              </w:rPr>
              <w:t xml:space="preserve"> on the debarment list in relation to a mandatory exclusion ground (as detailed under Schedule 6 of the Act)</w:t>
            </w:r>
            <w:r>
              <w:rPr>
                <w:rFonts w:eastAsia="Times New Roman" w:cs="Calibri"/>
                <w:bCs/>
              </w:rPr>
              <w:t>.</w:t>
            </w:r>
            <w:r w:rsidRPr="00E66809">
              <w:rPr>
                <w:rFonts w:eastAsia="Times New Roman" w:cs="Calibri"/>
              </w:rPr>
              <w:t xml:space="preserve"> </w:t>
            </w:r>
          </w:p>
          <w:p w14:paraId="1410904D" w14:textId="77777777" w:rsidR="0064317F" w:rsidRPr="00E66809" w:rsidRDefault="0064317F" w:rsidP="00642950">
            <w:pPr>
              <w:spacing w:after="0" w:line="276" w:lineRule="auto"/>
              <w:jc w:val="both"/>
              <w:rPr>
                <w:rFonts w:eastAsia="Times New Roman" w:cs="Calibri"/>
                <w:b/>
              </w:rPr>
            </w:pPr>
            <w:r w:rsidRPr="00E66809">
              <w:rPr>
                <w:rFonts w:eastAsia="Times New Roman" w:cs="Calibri"/>
                <w:b/>
              </w:rPr>
              <w:t>OR</w:t>
            </w:r>
          </w:p>
          <w:p w14:paraId="12844701" w14:textId="534FF154" w:rsidR="00CF0A0E" w:rsidRPr="00E66809" w:rsidRDefault="00CF0A0E" w:rsidP="00CF0A0E">
            <w:pPr>
              <w:spacing w:after="0" w:line="276" w:lineRule="auto"/>
              <w:jc w:val="both"/>
              <w:rPr>
                <w:rFonts w:eastAsia="Times New Roman" w:cs="Calibri"/>
              </w:rPr>
            </w:pPr>
            <w:r>
              <w:rPr>
                <w:rFonts w:eastAsia="Times New Roman" w:cs="Calibri"/>
              </w:rPr>
              <w:lastRenderedPageBreak/>
              <w:t>A response of ‘Yes’ and the Supplier confirms that one or more of its</w:t>
            </w:r>
            <w:r w:rsidRPr="00E66809">
              <w:rPr>
                <w:rFonts w:eastAsia="Times New Roman" w:cs="Calibri"/>
              </w:rPr>
              <w:t xml:space="preserve"> </w:t>
            </w:r>
            <w:r>
              <w:rPr>
                <w:rFonts w:eastAsia="Times New Roman" w:cs="Calibri"/>
                <w:bCs/>
              </w:rPr>
              <w:t>subcontractors are</w:t>
            </w:r>
            <w:r w:rsidRPr="00A824C6">
              <w:rPr>
                <w:rFonts w:eastAsia="Times New Roman" w:cs="Calibri"/>
                <w:bCs/>
              </w:rPr>
              <w:t xml:space="preserve"> </w:t>
            </w:r>
            <w:r w:rsidRPr="00E66809">
              <w:rPr>
                <w:rFonts w:eastAsia="Times New Roman" w:cs="Calibri"/>
              </w:rPr>
              <w:t>on the debarment list in relation to a discretionary exclusion ground (as detailed under Schedule 7 of the Act) but has not provided a summary of the circumstances and any remedial action that has taken place subsequently</w:t>
            </w:r>
            <w:r>
              <w:rPr>
                <w:rFonts w:eastAsia="Times New Roman" w:cs="Calibri"/>
                <w:bCs/>
              </w:rPr>
              <w:t>.</w:t>
            </w:r>
          </w:p>
          <w:p w14:paraId="7AFFDBC5" w14:textId="77777777" w:rsidR="0064317F" w:rsidRPr="00E66809" w:rsidRDefault="0064317F" w:rsidP="00642950">
            <w:pPr>
              <w:spacing w:after="0" w:line="276" w:lineRule="auto"/>
              <w:jc w:val="both"/>
              <w:rPr>
                <w:rFonts w:eastAsia="Times New Roman" w:cs="Calibri"/>
                <w:b/>
              </w:rPr>
            </w:pPr>
            <w:r w:rsidRPr="00E66809">
              <w:rPr>
                <w:rFonts w:eastAsia="Times New Roman" w:cs="Calibri"/>
                <w:b/>
              </w:rPr>
              <w:t>OR</w:t>
            </w:r>
          </w:p>
          <w:p w14:paraId="6F3C0665" w14:textId="3015C286" w:rsidR="00CF0A0E" w:rsidRPr="00E66809" w:rsidRDefault="00CF0A0E" w:rsidP="00CF0A0E">
            <w:pPr>
              <w:spacing w:after="0" w:line="276" w:lineRule="auto"/>
              <w:jc w:val="both"/>
              <w:rPr>
                <w:rFonts w:eastAsia="Times New Roman" w:cs="Calibri"/>
              </w:rPr>
            </w:pPr>
            <w:r>
              <w:rPr>
                <w:rFonts w:eastAsia="Times New Roman" w:cs="Calibri"/>
              </w:rPr>
              <w:t>A response of ‘Yes’ and the Supplier confirms that one or more of its</w:t>
            </w:r>
            <w:r w:rsidRPr="00E66809">
              <w:rPr>
                <w:rFonts w:eastAsia="Times New Roman" w:cs="Calibri"/>
              </w:rPr>
              <w:t xml:space="preserve"> </w:t>
            </w:r>
            <w:r>
              <w:rPr>
                <w:rFonts w:eastAsia="Times New Roman" w:cs="Calibri"/>
                <w:bCs/>
              </w:rPr>
              <w:t>subcontractors are</w:t>
            </w:r>
            <w:r w:rsidRPr="00A824C6">
              <w:rPr>
                <w:rFonts w:eastAsia="Times New Roman" w:cs="Calibri"/>
                <w:bCs/>
              </w:rPr>
              <w:t xml:space="preserve"> </w:t>
            </w:r>
            <w:r w:rsidRPr="00E66809">
              <w:rPr>
                <w:rFonts w:eastAsia="Times New Roman" w:cs="Calibri"/>
              </w:rPr>
              <w:t>on the debarment list in relation to a discretionary exclusion ground (as detailed under Schedule 7 of the Act) and the Suppliers’ summary of the circumstances and any remedial action that has taken place subsequently is deemed unsatisfactory by HMRC</w:t>
            </w:r>
            <w:r>
              <w:rPr>
                <w:rFonts w:eastAsia="Times New Roman" w:cs="Calibri"/>
                <w:bCs/>
              </w:rPr>
              <w:t>.</w:t>
            </w:r>
          </w:p>
          <w:p w14:paraId="174E3F11" w14:textId="28EB6F63" w:rsidR="006C1C24" w:rsidRPr="00E66809" w:rsidRDefault="006C1C24" w:rsidP="00642950">
            <w:pPr>
              <w:spacing w:after="0" w:line="276" w:lineRule="auto"/>
              <w:jc w:val="both"/>
              <w:rPr>
                <w:rFonts w:eastAsia="Times New Roman" w:cs="Calibri"/>
                <w:b/>
              </w:rPr>
            </w:pPr>
            <w:r>
              <w:rPr>
                <w:rFonts w:eastAsia="Times New Roman" w:cs="Calibri"/>
                <w:b/>
              </w:rPr>
              <w:t>OR</w:t>
            </w:r>
          </w:p>
          <w:p w14:paraId="6E94CA7D" w14:textId="5BCAE1AF" w:rsidR="006C1C24" w:rsidRPr="00E66809" w:rsidRDefault="00CF0A0E" w:rsidP="00642950">
            <w:pPr>
              <w:spacing w:after="0" w:line="276" w:lineRule="auto"/>
              <w:jc w:val="both"/>
              <w:rPr>
                <w:rFonts w:eastAsia="Times New Roman" w:cs="Calibri"/>
              </w:rPr>
            </w:pPr>
            <w:r>
              <w:rPr>
                <w:rFonts w:eastAsia="Times New Roman" w:cs="Calibri"/>
              </w:rPr>
              <w:t>R</w:t>
            </w:r>
            <w:r w:rsidR="006C1C24" w:rsidRPr="001B32DF">
              <w:rPr>
                <w:rFonts w:eastAsia="Times New Roman" w:cs="Calibri"/>
              </w:rPr>
              <w:t>esponse is incomplete and any missing information is not provided in the timeframes requested by HMRC</w:t>
            </w:r>
            <w:r w:rsidR="009D6221">
              <w:rPr>
                <w:rFonts w:eastAsia="Times New Roman" w:cs="Calibri"/>
              </w:rPr>
              <w:t>.</w:t>
            </w:r>
          </w:p>
          <w:p w14:paraId="234639D6" w14:textId="77777777" w:rsidR="0064317F" w:rsidRPr="00E66809" w:rsidRDefault="0064317F" w:rsidP="00642950">
            <w:pPr>
              <w:spacing w:after="0" w:line="276" w:lineRule="auto"/>
              <w:jc w:val="both"/>
              <w:rPr>
                <w:rFonts w:eastAsia="Times New Roman" w:cs="Calibri"/>
              </w:rPr>
            </w:pPr>
          </w:p>
          <w:p w14:paraId="58258E39" w14:textId="12DDA718" w:rsidR="0064317F" w:rsidRPr="00E66809" w:rsidRDefault="0064317F" w:rsidP="00642950">
            <w:pPr>
              <w:spacing w:after="0" w:line="276" w:lineRule="auto"/>
              <w:jc w:val="both"/>
              <w:rPr>
                <w:rFonts w:eastAsia="Times New Roman" w:cs="Calibri"/>
              </w:rPr>
            </w:pPr>
            <w:r w:rsidRPr="00E66809">
              <w:rPr>
                <w:rFonts w:eastAsia="Times New Roman" w:cs="Calibri"/>
              </w:rPr>
              <w:t>Note that HMRC will verify the Supplier’s response against the debarment list. Providing erroneous information or failing to provide a relevant link may result in disqualification</w:t>
            </w:r>
            <w:r w:rsidR="009D6221">
              <w:rPr>
                <w:rFonts w:eastAsia="Times New Roman" w:cs="Calibri"/>
                <w:bCs/>
              </w:rPr>
              <w:t>.</w:t>
            </w:r>
            <w:r w:rsidRPr="00E66809">
              <w:rPr>
                <w:rFonts w:eastAsia="Times New Roman" w:cs="Calibri"/>
              </w:rPr>
              <w:t xml:space="preserve"> </w:t>
            </w:r>
          </w:p>
          <w:p w14:paraId="33CE057D" w14:textId="77777777" w:rsidR="0064317F" w:rsidRPr="00E66809" w:rsidRDefault="0064317F" w:rsidP="00642950">
            <w:pPr>
              <w:spacing w:after="0" w:line="276" w:lineRule="auto"/>
              <w:jc w:val="both"/>
              <w:rPr>
                <w:rFonts w:eastAsia="Times New Roman" w:cs="Calibri"/>
              </w:rPr>
            </w:pPr>
          </w:p>
          <w:p w14:paraId="01B54BA7" w14:textId="3A3FC202" w:rsidR="0064317F" w:rsidRPr="00E66809" w:rsidRDefault="0064317F" w:rsidP="00642950">
            <w:pPr>
              <w:spacing w:after="0" w:line="276" w:lineRule="auto"/>
              <w:jc w:val="both"/>
              <w:rPr>
                <w:rFonts w:eastAsia="Times New Roman" w:cs="Calibri"/>
              </w:rPr>
            </w:pPr>
            <w:r w:rsidRPr="00E66809">
              <w:rPr>
                <w:rFonts w:eastAsia="Times New Roman" w:cs="Calibri"/>
              </w:rPr>
              <w:t xml:space="preserve">Where a </w:t>
            </w:r>
            <w:r w:rsidR="00E31868">
              <w:rPr>
                <w:rFonts w:eastAsia="Times New Roman" w:cs="Calibri"/>
                <w:bCs/>
              </w:rPr>
              <w:t>S</w:t>
            </w:r>
            <w:r w:rsidRPr="00E66809">
              <w:rPr>
                <w:rFonts w:eastAsia="Times New Roman" w:cs="Calibri"/>
              </w:rPr>
              <w:t>upplier is disqualified, the remainder of its response will not be evaluated</w:t>
            </w:r>
            <w:r w:rsidR="009D6221">
              <w:rPr>
                <w:rFonts w:eastAsia="Times New Roman" w:cs="Calibri"/>
                <w:bCs/>
              </w:rPr>
              <w:t>.</w:t>
            </w:r>
          </w:p>
          <w:p w14:paraId="004DBA99" w14:textId="77777777" w:rsidR="00A46209" w:rsidRPr="00E66809" w:rsidRDefault="00A46209" w:rsidP="00642950">
            <w:pPr>
              <w:spacing w:after="0" w:line="276" w:lineRule="auto"/>
              <w:jc w:val="both"/>
              <w:rPr>
                <w:rFonts w:eastAsia="Times New Roman" w:cs="Calibri"/>
              </w:rPr>
            </w:pPr>
          </w:p>
          <w:p w14:paraId="40FC2F16" w14:textId="3B2B476A" w:rsidR="00A46209" w:rsidRPr="00E66809" w:rsidRDefault="00A46209" w:rsidP="00642950">
            <w:pPr>
              <w:spacing w:after="0" w:line="276" w:lineRule="auto"/>
              <w:jc w:val="both"/>
              <w:rPr>
                <w:rFonts w:eastAsia="Times New Roman" w:cs="Calibri"/>
                <w:b/>
                <w:u w:val="single"/>
              </w:rPr>
            </w:pPr>
            <w:r w:rsidRPr="00E66809">
              <w:rPr>
                <w:rFonts w:cs="Arial"/>
              </w:rPr>
              <w:t xml:space="preserve">HMRC reserve the right to reject the </w:t>
            </w:r>
            <w:r w:rsidR="00FA5CF7">
              <w:rPr>
                <w:rFonts w:cs="Arial"/>
              </w:rPr>
              <w:t>Supplier</w:t>
            </w:r>
            <w:r w:rsidRPr="00E66809">
              <w:rPr>
                <w:rFonts w:cs="Arial"/>
              </w:rPr>
              <w:t xml:space="preserve">’s tender submission where this information is not provided. Where a sub-contractor is on the debarment list (HMRC will check the debarment list to verify whether any sub-contractor is listed), at the request of HMRC the </w:t>
            </w:r>
            <w:r w:rsidR="00FA5CF7">
              <w:rPr>
                <w:rFonts w:cs="Arial"/>
              </w:rPr>
              <w:t>Supplier</w:t>
            </w:r>
            <w:r w:rsidRPr="00E66809">
              <w:rPr>
                <w:rFonts w:cs="Arial"/>
              </w:rPr>
              <w:t xml:space="preserve"> must replace the sub-contractor with another supplier who is not on the debarment list. Refusal to replace such a sub-contractor may result in the rejection of the </w:t>
            </w:r>
            <w:r w:rsidR="00FA5CF7">
              <w:rPr>
                <w:rFonts w:cs="Arial"/>
              </w:rPr>
              <w:t>Supplier</w:t>
            </w:r>
            <w:r w:rsidRPr="00E66809">
              <w:rPr>
                <w:rFonts w:cs="Arial"/>
              </w:rPr>
              <w:t xml:space="preserve">’s </w:t>
            </w:r>
            <w:r w:rsidR="00CF0A0E">
              <w:rPr>
                <w:rFonts w:cs="Arial"/>
              </w:rPr>
              <w:t>CoP submission</w:t>
            </w:r>
            <w:r w:rsidRPr="00E66809">
              <w:rPr>
                <w:rFonts w:cs="Arial"/>
              </w:rPr>
              <w:t>.</w:t>
            </w:r>
          </w:p>
        </w:tc>
      </w:tr>
    </w:tbl>
    <w:p w14:paraId="1C27D8D6" w14:textId="77777777" w:rsidR="00A46209" w:rsidRPr="00E66809" w:rsidRDefault="00A46209" w:rsidP="00F56D3C">
      <w:pPr>
        <w:pStyle w:val="BodyText1"/>
      </w:pPr>
    </w:p>
    <w:p w14:paraId="3FB63F51" w14:textId="77777777" w:rsidR="00A46209" w:rsidRPr="009B5A45" w:rsidRDefault="00A46209" w:rsidP="009B5A45">
      <w:pPr>
        <w:keepNext/>
        <w:keepLines/>
        <w:pageBreakBefore/>
        <w:jc w:val="both"/>
        <w:outlineLvl w:val="0"/>
        <w:rPr>
          <w:rFonts w:eastAsiaTheme="majorEastAsia" w:cs="Arial"/>
          <w:b/>
        </w:rPr>
      </w:pPr>
      <w:r w:rsidRPr="009B5A45">
        <w:rPr>
          <w:rFonts w:eastAsiaTheme="majorEastAsia" w:cs="Arial"/>
          <w:b/>
        </w:rPr>
        <w:lastRenderedPageBreak/>
        <w:t>Part 3: Questions Relating to the Conditions of Participation</w:t>
      </w:r>
    </w:p>
    <w:p w14:paraId="4DA7DB65" w14:textId="77777777" w:rsidR="00A46209" w:rsidRPr="00E66809" w:rsidRDefault="00A46209" w:rsidP="00A46209">
      <w:pPr>
        <w:spacing w:after="0" w:line="276" w:lineRule="auto"/>
        <w:rPr>
          <w:rFonts w:eastAsia="Arial" w:cs="Calibri"/>
          <w:b/>
          <w:u w:val="single"/>
        </w:rPr>
      </w:pPr>
    </w:p>
    <w:p w14:paraId="3B988AC8" w14:textId="77777777" w:rsidR="00A46209" w:rsidRPr="00E66809" w:rsidRDefault="00A46209" w:rsidP="00A46209">
      <w:pPr>
        <w:spacing w:after="0" w:line="276" w:lineRule="auto"/>
        <w:rPr>
          <w:rFonts w:eastAsia="Arial" w:cs="Calibri"/>
          <w:b/>
          <w:u w:val="single"/>
        </w:rPr>
      </w:pPr>
      <w:r w:rsidRPr="00E66809">
        <w:rPr>
          <w:rFonts w:eastAsia="Arial" w:cs="Calibri"/>
          <w:b/>
          <w:u w:val="single"/>
        </w:rPr>
        <w:t>Part 3A – Standard Questions</w:t>
      </w:r>
    </w:p>
    <w:p w14:paraId="6610F35F" w14:textId="77777777" w:rsidR="00A46209" w:rsidRPr="00E66809" w:rsidRDefault="00A46209" w:rsidP="00A46209">
      <w:pPr>
        <w:spacing w:after="0" w:line="276" w:lineRule="auto"/>
        <w:rPr>
          <w:rFonts w:eastAsia="Arial" w:cs="Calibri"/>
          <w:b/>
          <w:u w:val="single"/>
        </w:rPr>
      </w:pPr>
    </w:p>
    <w:p w14:paraId="33555FC0" w14:textId="77777777" w:rsidR="00A46209" w:rsidRPr="00E66809" w:rsidRDefault="00A46209" w:rsidP="00A46209">
      <w:pPr>
        <w:spacing w:after="0" w:line="276" w:lineRule="auto"/>
        <w:rPr>
          <w:rFonts w:eastAsia="Arial" w:cs="Calibri"/>
          <w:b/>
        </w:rPr>
      </w:pPr>
      <w:r w:rsidRPr="00E66809">
        <w:rPr>
          <w:rFonts w:eastAsia="Arial" w:cs="Calibri"/>
          <w:b/>
        </w:rPr>
        <w:t>Financial Capacity</w:t>
      </w:r>
    </w:p>
    <w:p w14:paraId="6D47133A" w14:textId="77777777" w:rsidR="00A46209" w:rsidRPr="00E66809" w:rsidRDefault="00A46209" w:rsidP="00F56D3C">
      <w:pPr>
        <w:pStyle w:val="BodyText1"/>
      </w:pPr>
    </w:p>
    <w:tbl>
      <w:tblPr>
        <w:tblW w:w="13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74"/>
        <w:gridCol w:w="1701"/>
        <w:gridCol w:w="9859"/>
      </w:tblGrid>
      <w:tr w:rsidR="00A46209" w:rsidRPr="001439F7" w14:paraId="5C2C4038" w14:textId="77777777" w:rsidTr="005F2119">
        <w:trPr>
          <w:cantSplit/>
          <w:trHeight w:val="510"/>
        </w:trPr>
        <w:tc>
          <w:tcPr>
            <w:tcW w:w="1474" w:type="dxa"/>
            <w:tcBorders>
              <w:top w:val="single" w:sz="4" w:space="0" w:color="auto"/>
              <w:left w:val="single" w:sz="4" w:space="0" w:color="auto"/>
              <w:bottom w:val="single" w:sz="4" w:space="0" w:color="auto"/>
              <w:right w:val="single" w:sz="4" w:space="0" w:color="EAEAEA"/>
            </w:tcBorders>
            <w:shd w:val="clear" w:color="auto" w:fill="009999"/>
            <w:vAlign w:val="center"/>
          </w:tcPr>
          <w:p w14:paraId="5AB9870A"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1701" w:type="dxa"/>
            <w:tcBorders>
              <w:top w:val="single" w:sz="4" w:space="0" w:color="auto"/>
              <w:left w:val="single" w:sz="4" w:space="0" w:color="auto"/>
              <w:bottom w:val="single" w:sz="4" w:space="0" w:color="auto"/>
              <w:right w:val="single" w:sz="4" w:space="0" w:color="EAEAEA"/>
            </w:tcBorders>
            <w:shd w:val="clear" w:color="auto" w:fill="009999"/>
            <w:vAlign w:val="center"/>
          </w:tcPr>
          <w:p w14:paraId="1A7E64ED"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9859" w:type="dxa"/>
            <w:tcBorders>
              <w:top w:val="single" w:sz="4" w:space="0" w:color="auto"/>
              <w:left w:val="single" w:sz="4" w:space="0" w:color="auto"/>
              <w:bottom w:val="single" w:sz="4" w:space="0" w:color="auto"/>
              <w:right w:val="single" w:sz="4" w:space="0" w:color="auto"/>
            </w:tcBorders>
            <w:shd w:val="clear" w:color="auto" w:fill="009999"/>
            <w:vAlign w:val="center"/>
          </w:tcPr>
          <w:p w14:paraId="7DF286D9" w14:textId="77777777" w:rsidR="00A46209" w:rsidRPr="00E66809" w:rsidRDefault="00A46209">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A46209" w:rsidRPr="00BF1FD6" w14:paraId="7A2D0D54" w14:textId="77777777" w:rsidTr="4E3A6DE2">
        <w:trPr>
          <w:trHeight w:val="510"/>
        </w:trPr>
        <w:tc>
          <w:tcPr>
            <w:tcW w:w="1474" w:type="dxa"/>
            <w:shd w:val="clear" w:color="auto" w:fill="FFFFFF" w:themeFill="background1"/>
          </w:tcPr>
          <w:p w14:paraId="28A89B42" w14:textId="3FC09A0D" w:rsidR="00A46209" w:rsidRPr="00A750A6" w:rsidRDefault="00A46209" w:rsidP="00642950">
            <w:pPr>
              <w:spacing w:after="0" w:line="276" w:lineRule="auto"/>
              <w:jc w:val="both"/>
              <w:rPr>
                <w:rFonts w:eastAsia="Times New Roman" w:cs="Calibri"/>
                <w:b/>
              </w:rPr>
            </w:pPr>
            <w:r w:rsidRPr="00A750A6">
              <w:rPr>
                <w:rFonts w:eastAsia="Times New Roman" w:cs="Calibri"/>
                <w:b/>
              </w:rPr>
              <w:t>3.1</w:t>
            </w:r>
          </w:p>
        </w:tc>
        <w:tc>
          <w:tcPr>
            <w:tcW w:w="1701" w:type="dxa"/>
            <w:shd w:val="clear" w:color="auto" w:fill="FFFFFF" w:themeFill="background1"/>
          </w:tcPr>
          <w:p w14:paraId="6758F091"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79414A58"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632981D1" w14:textId="78CE3940" w:rsidR="009E675F" w:rsidRDefault="00A46209" w:rsidP="00642950">
            <w:pPr>
              <w:spacing w:after="0" w:line="276" w:lineRule="auto"/>
              <w:jc w:val="both"/>
              <w:rPr>
                <w:rFonts w:eastAsia="Times New Roman" w:cs="Calibri"/>
              </w:rPr>
            </w:pPr>
            <w:r w:rsidRPr="0009599E">
              <w:rPr>
                <w:rFonts w:eastAsia="Times New Roman" w:cs="Calibri"/>
              </w:rPr>
              <w:t xml:space="preserve">All </w:t>
            </w:r>
            <w:r w:rsidR="0009599E" w:rsidRPr="0009599E">
              <w:rPr>
                <w:rFonts w:eastAsia="Times New Roman" w:cs="Calibri"/>
              </w:rPr>
              <w:t xml:space="preserve">required </w:t>
            </w:r>
            <w:r w:rsidRPr="0009599E">
              <w:rPr>
                <w:rFonts w:eastAsia="Times New Roman" w:cs="Calibri"/>
              </w:rPr>
              <w:t xml:space="preserve">information </w:t>
            </w:r>
            <w:r w:rsidR="0009599E" w:rsidRPr="0009599E">
              <w:rPr>
                <w:rFonts w:eastAsia="Times New Roman" w:cs="Calibri"/>
              </w:rPr>
              <w:t xml:space="preserve">has been </w:t>
            </w:r>
            <w:r w:rsidRPr="0009599E">
              <w:rPr>
                <w:rFonts w:eastAsia="Times New Roman" w:cs="Calibri"/>
              </w:rPr>
              <w:t>provided</w:t>
            </w:r>
            <w:r w:rsidR="0009599E" w:rsidRPr="0009599E">
              <w:rPr>
                <w:rFonts w:eastAsia="Times New Roman" w:cs="Calibri"/>
              </w:rPr>
              <w:t xml:space="preserve"> </w:t>
            </w:r>
            <w:r w:rsidR="0087785D">
              <w:rPr>
                <w:rFonts w:eastAsia="Times New Roman" w:cs="Calibri"/>
              </w:rPr>
              <w:t>a</w:t>
            </w:r>
            <w:r w:rsidR="0009599E" w:rsidRPr="0009599E">
              <w:rPr>
                <w:rFonts w:eastAsia="Times New Roman" w:cs="Calibri"/>
              </w:rPr>
              <w:t>nd</w:t>
            </w:r>
            <w:r w:rsidR="00FB122A">
              <w:rPr>
                <w:rFonts w:eastAsia="Times New Roman" w:cs="Calibri"/>
              </w:rPr>
              <w:t xml:space="preserve"> none of the financial metrics</w:t>
            </w:r>
            <w:r w:rsidR="0087785D">
              <w:rPr>
                <w:rFonts w:eastAsia="Times New Roman" w:cs="Calibri"/>
              </w:rPr>
              <w:t>,</w:t>
            </w:r>
            <w:r w:rsidR="00FB122A">
              <w:rPr>
                <w:rFonts w:eastAsia="Times New Roman" w:cs="Calibri"/>
              </w:rPr>
              <w:t xml:space="preserve"> as described in Annex </w:t>
            </w:r>
            <w:r w:rsidR="00497EC3">
              <w:rPr>
                <w:rFonts w:eastAsia="Times New Roman" w:cs="Calibri"/>
              </w:rPr>
              <w:t>3</w:t>
            </w:r>
            <w:r w:rsidR="0087785D">
              <w:rPr>
                <w:rFonts w:eastAsia="Times New Roman" w:cs="Calibri"/>
              </w:rPr>
              <w:t>,</w:t>
            </w:r>
            <w:r w:rsidR="00FB122A">
              <w:rPr>
                <w:rFonts w:eastAsia="Times New Roman" w:cs="Calibri"/>
              </w:rPr>
              <w:t xml:space="preserve"> are deemed to be high risk. Therefore,</w:t>
            </w:r>
            <w:r w:rsidR="006C1C24">
              <w:rPr>
                <w:rFonts w:eastAsia="Times New Roman" w:cs="Calibri"/>
              </w:rPr>
              <w:t xml:space="preserve"> </w:t>
            </w:r>
            <w:r w:rsidRPr="0009599E">
              <w:rPr>
                <w:rFonts w:eastAsia="Times New Roman" w:cs="Calibri"/>
              </w:rPr>
              <w:t xml:space="preserve">HMRC </w:t>
            </w:r>
            <w:r w:rsidR="008B6A3A">
              <w:rPr>
                <w:rFonts w:eastAsia="Times New Roman" w:cs="Calibri"/>
              </w:rPr>
              <w:t xml:space="preserve">is </w:t>
            </w:r>
            <w:r w:rsidRPr="0009599E">
              <w:rPr>
                <w:rFonts w:eastAsia="Times New Roman" w:cs="Calibri"/>
              </w:rPr>
              <w:t xml:space="preserve">satisfied that the </w:t>
            </w:r>
            <w:r w:rsidR="0009599E" w:rsidRPr="0009599E">
              <w:rPr>
                <w:rFonts w:eastAsia="Times New Roman" w:cs="Calibri"/>
              </w:rPr>
              <w:t>Supplier</w:t>
            </w:r>
            <w:r w:rsidR="00F10E44">
              <w:rPr>
                <w:rFonts w:eastAsia="Times New Roman" w:cs="Calibri"/>
              </w:rPr>
              <w:t xml:space="preserve">, </w:t>
            </w:r>
            <w:r w:rsidR="00F10E44">
              <w:rPr>
                <w:rFonts w:cs="Arial"/>
              </w:rPr>
              <w:t xml:space="preserve">and if applicable, organisations in </w:t>
            </w:r>
            <w:r w:rsidR="00666BA9">
              <w:rPr>
                <w:rFonts w:cs="Arial"/>
              </w:rPr>
              <w:t>the Supplier’s</w:t>
            </w:r>
            <w:r w:rsidR="00F10E44">
              <w:rPr>
                <w:rFonts w:cs="Arial"/>
              </w:rPr>
              <w:t xml:space="preserve"> supply chain and / or </w:t>
            </w:r>
            <w:r w:rsidR="00D3295A">
              <w:rPr>
                <w:rFonts w:cs="Arial"/>
              </w:rPr>
              <w:t>consortium</w:t>
            </w:r>
            <w:r w:rsidR="0009599E" w:rsidRPr="0009599E">
              <w:rPr>
                <w:rFonts w:eastAsia="Times New Roman" w:cs="Calibri"/>
              </w:rPr>
              <w:t xml:space="preserve"> </w:t>
            </w:r>
            <w:r w:rsidRPr="0009599E">
              <w:rPr>
                <w:rFonts w:eastAsia="Times New Roman" w:cs="Calibri"/>
              </w:rPr>
              <w:t xml:space="preserve">demonstrate </w:t>
            </w:r>
            <w:r w:rsidR="0009599E" w:rsidRPr="0009599E">
              <w:rPr>
                <w:rFonts w:eastAsia="Times New Roman" w:cs="Calibri"/>
              </w:rPr>
              <w:t>adequate</w:t>
            </w:r>
            <w:r w:rsidRPr="0009599E">
              <w:rPr>
                <w:rFonts w:eastAsia="Times New Roman" w:cs="Calibri"/>
              </w:rPr>
              <w:t xml:space="preserve"> financial </w:t>
            </w:r>
            <w:r w:rsidR="00E8797B">
              <w:rPr>
                <w:rFonts w:eastAsia="Times New Roman" w:cs="Calibri"/>
              </w:rPr>
              <w:t>capacity</w:t>
            </w:r>
            <w:r w:rsidR="00E8797B" w:rsidRPr="0009599E">
              <w:rPr>
                <w:rFonts w:eastAsia="Times New Roman" w:cs="Calibri"/>
              </w:rPr>
              <w:t xml:space="preserve"> </w:t>
            </w:r>
            <w:r w:rsidRPr="0009599E">
              <w:rPr>
                <w:rFonts w:eastAsia="Times New Roman" w:cs="Calibri"/>
              </w:rPr>
              <w:t>to deliver the contract</w:t>
            </w:r>
            <w:r w:rsidR="00F42B7D">
              <w:rPr>
                <w:rFonts w:eastAsia="Times New Roman" w:cs="Calibri"/>
              </w:rPr>
              <w:t xml:space="preserve">. </w:t>
            </w:r>
            <w:r w:rsidR="004F68D1">
              <w:rPr>
                <w:rFonts w:eastAsia="Times New Roman" w:cs="Calibri"/>
              </w:rPr>
              <w:t xml:space="preserve">Where relevant, any supporting information requested by HMRC is provided in the timeframes requested. </w:t>
            </w:r>
          </w:p>
          <w:p w14:paraId="1DC7F756" w14:textId="69D4E49F" w:rsidR="009E675F" w:rsidRPr="00851772" w:rsidRDefault="00851772" w:rsidP="00642950">
            <w:pPr>
              <w:spacing w:after="0" w:line="276" w:lineRule="auto"/>
              <w:jc w:val="both"/>
              <w:rPr>
                <w:rFonts w:eastAsia="Times New Roman" w:cs="Calibri"/>
                <w:b/>
              </w:rPr>
            </w:pPr>
            <w:r w:rsidRPr="00851772">
              <w:rPr>
                <w:rFonts w:eastAsia="Times New Roman" w:cs="Calibri"/>
                <w:b/>
                <w:bCs/>
              </w:rPr>
              <w:t>OR</w:t>
            </w:r>
          </w:p>
          <w:p w14:paraId="737991D8" w14:textId="6AC5F207" w:rsidR="002C748A" w:rsidRDefault="00FB122A" w:rsidP="00642950">
            <w:pPr>
              <w:spacing w:after="0" w:line="276" w:lineRule="auto"/>
              <w:jc w:val="both"/>
              <w:rPr>
                <w:rFonts w:eastAsia="Times New Roman" w:cs="Calibri"/>
              </w:rPr>
            </w:pPr>
            <w:r w:rsidRPr="0009599E">
              <w:rPr>
                <w:rFonts w:eastAsia="Times New Roman" w:cs="Calibri"/>
              </w:rPr>
              <w:t>All required information has been provided</w:t>
            </w:r>
            <w:r w:rsidR="0087785D">
              <w:rPr>
                <w:rFonts w:eastAsia="Times New Roman" w:cs="Calibri"/>
              </w:rPr>
              <w:t xml:space="preserve"> but one or more of the financial metrics, as described in Annex </w:t>
            </w:r>
            <w:r w:rsidR="00497EC3">
              <w:rPr>
                <w:rFonts w:eastAsia="Times New Roman" w:cs="Calibri"/>
              </w:rPr>
              <w:t>3</w:t>
            </w:r>
            <w:r w:rsidR="0087785D">
              <w:rPr>
                <w:rFonts w:eastAsia="Times New Roman" w:cs="Calibri"/>
              </w:rPr>
              <w:t xml:space="preserve">, are deemed to be high risk. </w:t>
            </w:r>
            <w:r w:rsidR="00EE65C2">
              <w:rPr>
                <w:rFonts w:eastAsia="Times New Roman" w:cs="Calibri"/>
              </w:rPr>
              <w:t>Within the timeframes requested by HMRC, t</w:t>
            </w:r>
            <w:r w:rsidR="0087785D">
              <w:rPr>
                <w:rFonts w:eastAsia="Times New Roman" w:cs="Calibri"/>
              </w:rPr>
              <w:t xml:space="preserve">he Supplier is able to provide the appropriate assurances </w:t>
            </w:r>
            <w:r w:rsidR="000D4573">
              <w:rPr>
                <w:rFonts w:eastAsia="Times New Roman" w:cs="Calibri"/>
              </w:rPr>
              <w:t>that the Supplier and/or</w:t>
            </w:r>
            <w:r w:rsidRPr="0009599E">
              <w:rPr>
                <w:rFonts w:eastAsia="Times New Roman" w:cs="Calibri"/>
              </w:rPr>
              <w:t xml:space="preserve"> </w:t>
            </w:r>
            <w:r w:rsidR="000D4573">
              <w:rPr>
                <w:rFonts w:eastAsia="Times New Roman" w:cs="Calibri"/>
              </w:rPr>
              <w:t xml:space="preserve">organisations in their supply </w:t>
            </w:r>
            <w:r w:rsidR="00DD6B93">
              <w:rPr>
                <w:rFonts w:eastAsia="Times New Roman" w:cs="Calibri"/>
              </w:rPr>
              <w:t>c</w:t>
            </w:r>
            <w:r w:rsidR="000D4573">
              <w:rPr>
                <w:rFonts w:eastAsia="Times New Roman" w:cs="Calibri"/>
              </w:rPr>
              <w:t xml:space="preserve">hain and/or </w:t>
            </w:r>
            <w:r w:rsidR="00D3295A">
              <w:rPr>
                <w:rFonts w:eastAsia="Times New Roman" w:cs="Calibri"/>
              </w:rPr>
              <w:t>consortium</w:t>
            </w:r>
            <w:r w:rsidR="000D4573">
              <w:rPr>
                <w:rFonts w:eastAsia="Times New Roman" w:cs="Calibri"/>
              </w:rPr>
              <w:t xml:space="preserve"> </w:t>
            </w:r>
            <w:r w:rsidR="00DD6B93">
              <w:rPr>
                <w:rFonts w:eastAsia="Times New Roman" w:cs="Calibri"/>
              </w:rPr>
              <w:t>demonstrate adequate financial capacity to deliver the contract.</w:t>
            </w:r>
          </w:p>
          <w:p w14:paraId="052F10E8" w14:textId="77777777" w:rsidR="00A46209" w:rsidRPr="00E66809" w:rsidRDefault="00A46209" w:rsidP="00642950">
            <w:pPr>
              <w:spacing w:after="0" w:line="276" w:lineRule="auto"/>
              <w:jc w:val="both"/>
              <w:rPr>
                <w:rFonts w:eastAsia="Times New Roman" w:cs="Calibri"/>
              </w:rPr>
            </w:pPr>
          </w:p>
          <w:p w14:paraId="79A84C79"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259759CF" w14:textId="6BE7E1F1" w:rsidR="006C1C24" w:rsidRPr="00A824C6" w:rsidRDefault="00CF0A0E" w:rsidP="00642950">
            <w:pPr>
              <w:spacing w:after="0" w:line="276" w:lineRule="auto"/>
              <w:jc w:val="both"/>
              <w:rPr>
                <w:rFonts w:eastAsia="Times New Roman" w:cs="Calibri"/>
                <w:bCs/>
              </w:rPr>
            </w:pPr>
            <w:r>
              <w:rPr>
                <w:rFonts w:eastAsia="Times New Roman" w:cs="Calibri"/>
              </w:rPr>
              <w:t>R</w:t>
            </w:r>
            <w:r w:rsidR="006C1C24" w:rsidRPr="001B32DF">
              <w:rPr>
                <w:rFonts w:eastAsia="Times New Roman" w:cs="Calibri"/>
              </w:rPr>
              <w:t>esponse is incomplete and any missing information is not provided in the timeframes requested by HMRC</w:t>
            </w:r>
            <w:r w:rsidR="009D6221">
              <w:rPr>
                <w:rFonts w:eastAsia="Times New Roman" w:cs="Calibri"/>
              </w:rPr>
              <w:t>.</w:t>
            </w:r>
          </w:p>
          <w:p w14:paraId="0F012D62" w14:textId="77777777" w:rsidR="00A46209" w:rsidRPr="00E66809" w:rsidRDefault="00A46209" w:rsidP="00642950">
            <w:pPr>
              <w:spacing w:after="0" w:line="276" w:lineRule="auto"/>
              <w:jc w:val="both"/>
              <w:rPr>
                <w:rFonts w:eastAsia="Times New Roman" w:cs="Calibri"/>
                <w:b/>
              </w:rPr>
            </w:pPr>
            <w:r w:rsidRPr="00E66809">
              <w:rPr>
                <w:rFonts w:eastAsia="Times New Roman" w:cs="Calibri"/>
                <w:b/>
              </w:rPr>
              <w:t>OR</w:t>
            </w:r>
          </w:p>
          <w:p w14:paraId="37178C26" w14:textId="096C0E61" w:rsidR="006D6C24" w:rsidRDefault="006D6C24" w:rsidP="00642950">
            <w:pPr>
              <w:spacing w:after="0" w:line="276" w:lineRule="auto"/>
              <w:jc w:val="both"/>
              <w:rPr>
                <w:rFonts w:eastAsia="Times New Roman" w:cs="Calibri"/>
              </w:rPr>
            </w:pPr>
            <w:r w:rsidRPr="006D6C24">
              <w:rPr>
                <w:rFonts w:cs="Arial"/>
              </w:rPr>
              <w:t>Following HMRC's review of the information provided by the Supplier, one or more of the financial metrics, as described in Annex</w:t>
            </w:r>
            <w:r>
              <w:rPr>
                <w:rFonts w:cs="Arial"/>
              </w:rPr>
              <w:t xml:space="preserve"> </w:t>
            </w:r>
            <w:r w:rsidR="00497EC3">
              <w:rPr>
                <w:rFonts w:cs="Arial"/>
              </w:rPr>
              <w:t>3</w:t>
            </w:r>
            <w:r w:rsidRPr="006D6C24">
              <w:rPr>
                <w:rFonts w:cs="Arial"/>
              </w:rPr>
              <w:t>, is deemed to be high risk and the Supplier is unable to provide</w:t>
            </w:r>
            <w:r>
              <w:rPr>
                <w:rFonts w:cs="Arial"/>
              </w:rPr>
              <w:t xml:space="preserve"> </w:t>
            </w:r>
            <w:r>
              <w:rPr>
                <w:rFonts w:eastAsia="Times New Roman" w:cs="Calibri"/>
              </w:rPr>
              <w:t>HMRC with the appropriate assurances that the Supplier and/or</w:t>
            </w:r>
            <w:r w:rsidRPr="0009599E">
              <w:rPr>
                <w:rFonts w:eastAsia="Times New Roman" w:cs="Calibri"/>
              </w:rPr>
              <w:t xml:space="preserve"> </w:t>
            </w:r>
            <w:r>
              <w:rPr>
                <w:rFonts w:eastAsia="Times New Roman" w:cs="Calibri"/>
              </w:rPr>
              <w:t xml:space="preserve">organisations in their supply chain and/or </w:t>
            </w:r>
            <w:r w:rsidR="00D3295A">
              <w:rPr>
                <w:rFonts w:eastAsia="Times New Roman" w:cs="Calibri"/>
              </w:rPr>
              <w:t>consortium</w:t>
            </w:r>
            <w:r>
              <w:rPr>
                <w:rFonts w:eastAsia="Times New Roman" w:cs="Calibri"/>
              </w:rPr>
              <w:t xml:space="preserve"> demonstrate adequate financial capacity to deliver the contract.</w:t>
            </w:r>
          </w:p>
          <w:p w14:paraId="1BCF1065" w14:textId="77777777" w:rsidR="009355ED" w:rsidRDefault="009355ED" w:rsidP="009355ED">
            <w:pPr>
              <w:widowControl w:val="0"/>
              <w:overflowPunct w:val="0"/>
              <w:autoSpaceDE w:val="0"/>
              <w:autoSpaceDN w:val="0"/>
              <w:adjustRightInd w:val="0"/>
              <w:jc w:val="both"/>
              <w:rPr>
                <w:rFonts w:cs="Arial"/>
              </w:rPr>
            </w:pPr>
          </w:p>
          <w:p w14:paraId="0B9046AF" w14:textId="1E83983F" w:rsidR="000B46D3" w:rsidRDefault="00D63207" w:rsidP="00642950">
            <w:pPr>
              <w:spacing w:after="0" w:line="276" w:lineRule="auto"/>
              <w:jc w:val="both"/>
            </w:pPr>
            <w:r>
              <w:rPr>
                <w:rFonts w:cs="Arial"/>
              </w:rPr>
              <w:lastRenderedPageBreak/>
              <w:t xml:space="preserve">Note: </w:t>
            </w:r>
            <w:r w:rsidR="001822EE">
              <w:t>In the event that HMRC deems it necessary to seek additional assurances from the Supplier with regards to its financial capacity (including any supply chain and/</w:t>
            </w:r>
            <w:r w:rsidR="00D3295A">
              <w:t>consortium</w:t>
            </w:r>
            <w:r w:rsidR="001822EE">
              <w:t xml:space="preserve"> members), these assurances may include a request to provide some form of financial guarantee/bond.</w:t>
            </w:r>
          </w:p>
          <w:p w14:paraId="23CC14E8" w14:textId="77777777" w:rsidR="00A46209" w:rsidRDefault="00A46209" w:rsidP="00642950">
            <w:pPr>
              <w:spacing w:after="0" w:line="276" w:lineRule="auto"/>
              <w:jc w:val="both"/>
              <w:rPr>
                <w:rFonts w:cs="Arial"/>
              </w:rPr>
            </w:pPr>
          </w:p>
          <w:p w14:paraId="4A1741BA" w14:textId="779B11E9" w:rsidR="00A46209" w:rsidRPr="006B7E4C" w:rsidRDefault="00A46209" w:rsidP="00642950">
            <w:pPr>
              <w:spacing w:after="0" w:line="276" w:lineRule="auto"/>
              <w:jc w:val="both"/>
              <w:rPr>
                <w:rFonts w:eastAsia="Times New Roman" w:cs="Calibri"/>
                <w:b/>
                <w:u w:val="single"/>
              </w:rPr>
            </w:pPr>
            <w:r w:rsidRPr="00E66809">
              <w:rPr>
                <w:rFonts w:cs="Arial"/>
              </w:rPr>
              <w:t xml:space="preserve">HMRC reserves the right to conduct further financial due diligence checks on </w:t>
            </w:r>
            <w:r w:rsidR="00FA5CF7">
              <w:rPr>
                <w:rFonts w:cs="Arial"/>
              </w:rPr>
              <w:t>Supplier</w:t>
            </w:r>
            <w:r w:rsidRPr="00E66809">
              <w:rPr>
                <w:rFonts w:cs="Arial"/>
              </w:rPr>
              <w:t xml:space="preserve">s </w:t>
            </w:r>
            <w:r w:rsidR="00333E32">
              <w:rPr>
                <w:rFonts w:cs="Arial"/>
              </w:rPr>
              <w:t xml:space="preserve">and </w:t>
            </w:r>
            <w:r w:rsidR="0047256C">
              <w:rPr>
                <w:rFonts w:cs="Arial"/>
              </w:rPr>
              <w:t>organisations</w:t>
            </w:r>
            <w:r w:rsidR="00333E32">
              <w:rPr>
                <w:rFonts w:cs="Arial"/>
              </w:rPr>
              <w:t xml:space="preserve"> </w:t>
            </w:r>
            <w:r w:rsidR="0047256C">
              <w:rPr>
                <w:rFonts w:cs="Arial"/>
              </w:rPr>
              <w:t>in</w:t>
            </w:r>
            <w:r w:rsidR="00333E32">
              <w:rPr>
                <w:rFonts w:cs="Arial"/>
              </w:rPr>
              <w:t xml:space="preserve"> their supply chain and/or </w:t>
            </w:r>
            <w:r w:rsidR="00D3295A">
              <w:rPr>
                <w:rFonts w:cs="Arial"/>
              </w:rPr>
              <w:t>consortium</w:t>
            </w:r>
            <w:r w:rsidR="00333E32">
              <w:rPr>
                <w:rFonts w:cs="Arial"/>
              </w:rPr>
              <w:t xml:space="preserve"> </w:t>
            </w:r>
            <w:r w:rsidRPr="00E66809">
              <w:rPr>
                <w:rFonts w:cs="Arial"/>
              </w:rPr>
              <w:t>at any point during the procurement process</w:t>
            </w:r>
            <w:r w:rsidR="006D6A04">
              <w:rPr>
                <w:rFonts w:cs="Arial"/>
              </w:rPr>
              <w:t>.</w:t>
            </w:r>
            <w:r w:rsidRPr="00E66809">
              <w:rPr>
                <w:rFonts w:cs="Arial"/>
              </w:rPr>
              <w:t xml:space="preserve"> This due diligence may include analysis of the documents provided in response to this question, analysis of any other financial information deemed relevant by HMRC and/or credit checks. </w:t>
            </w:r>
            <w:r w:rsidR="00FA5CF7">
              <w:rPr>
                <w:rFonts w:cs="Arial"/>
              </w:rPr>
              <w:t>Supplier</w:t>
            </w:r>
            <w:r w:rsidRPr="00E66809">
              <w:rPr>
                <w:rFonts w:cs="Arial"/>
              </w:rPr>
              <w:t xml:space="preserve">s </w:t>
            </w:r>
            <w:r w:rsidR="004C6708">
              <w:rPr>
                <w:rFonts w:cs="Arial"/>
              </w:rPr>
              <w:t xml:space="preserve">and </w:t>
            </w:r>
            <w:r w:rsidR="0047256C">
              <w:rPr>
                <w:rFonts w:cs="Arial"/>
              </w:rPr>
              <w:t>organisations in</w:t>
            </w:r>
            <w:r w:rsidR="004C6708">
              <w:rPr>
                <w:rFonts w:cs="Arial"/>
              </w:rPr>
              <w:t xml:space="preserve"> their supply chain and</w:t>
            </w:r>
            <w:r w:rsidR="00727DD8">
              <w:rPr>
                <w:rFonts w:cs="Arial"/>
              </w:rPr>
              <w:t>/</w:t>
            </w:r>
            <w:r w:rsidR="004C6708">
              <w:rPr>
                <w:rFonts w:cs="Arial"/>
              </w:rPr>
              <w:t xml:space="preserve">or </w:t>
            </w:r>
            <w:r w:rsidR="00D3295A">
              <w:rPr>
                <w:rFonts w:cs="Arial"/>
              </w:rPr>
              <w:t>consortium</w:t>
            </w:r>
            <w:r w:rsidR="004C6708">
              <w:rPr>
                <w:rFonts w:cs="Arial"/>
              </w:rPr>
              <w:t xml:space="preserve"> </w:t>
            </w:r>
            <w:r w:rsidRPr="00E66809">
              <w:rPr>
                <w:rFonts w:cs="Arial"/>
              </w:rPr>
              <w:t xml:space="preserve">must provide any documentation requested in order to assist with the due diligence process. It will be at HMRC’s discretion to determine whether the </w:t>
            </w:r>
            <w:r w:rsidR="00FA5CF7">
              <w:rPr>
                <w:rFonts w:cs="Arial"/>
              </w:rPr>
              <w:t>Supplier</w:t>
            </w:r>
            <w:r w:rsidRPr="00E66809">
              <w:rPr>
                <w:rFonts w:cs="Arial"/>
              </w:rPr>
              <w:t xml:space="preserve"> demonstrates suitable financial standing to deliver the contract based on the due diligence checks undertaken.</w:t>
            </w:r>
          </w:p>
        </w:tc>
      </w:tr>
      <w:tr w:rsidR="00A46209" w:rsidRPr="00BF1FD6" w14:paraId="70A3F274" w14:textId="77777777" w:rsidTr="4E3A6DE2">
        <w:trPr>
          <w:trHeight w:val="510"/>
        </w:trPr>
        <w:tc>
          <w:tcPr>
            <w:tcW w:w="1474" w:type="dxa"/>
            <w:shd w:val="clear" w:color="auto" w:fill="FFFFFF" w:themeFill="background1"/>
          </w:tcPr>
          <w:p w14:paraId="2D65453B"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3.2</w:t>
            </w:r>
          </w:p>
        </w:tc>
        <w:tc>
          <w:tcPr>
            <w:tcW w:w="1701" w:type="dxa"/>
            <w:shd w:val="clear" w:color="auto" w:fill="FFFFFF" w:themeFill="background1"/>
          </w:tcPr>
          <w:p w14:paraId="211DA9B3"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29A04C2F"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05978351" w14:textId="053D9A1F" w:rsidR="00A46209" w:rsidRPr="00E66809" w:rsidRDefault="00A46209" w:rsidP="00642950">
            <w:pPr>
              <w:spacing w:after="0" w:line="276" w:lineRule="auto"/>
              <w:jc w:val="both"/>
              <w:rPr>
                <w:rFonts w:eastAsia="Times New Roman" w:cs="Calibri"/>
              </w:rPr>
            </w:pPr>
            <w:r w:rsidRPr="00E66809">
              <w:rPr>
                <w:rFonts w:eastAsia="Times New Roman" w:cs="Calibri"/>
              </w:rPr>
              <w:t>A response of ‘</w:t>
            </w:r>
            <w:r w:rsidR="00AF4F8D">
              <w:rPr>
                <w:rFonts w:eastAsia="Times New Roman" w:cs="Calibri"/>
              </w:rPr>
              <w:t>N</w:t>
            </w:r>
            <w:r w:rsidRPr="00E66809">
              <w:rPr>
                <w:rFonts w:eastAsia="Times New Roman" w:cs="Calibri"/>
              </w:rPr>
              <w:t>o’</w:t>
            </w:r>
            <w:r w:rsidR="009D6221">
              <w:rPr>
                <w:rFonts w:eastAsia="Times New Roman" w:cs="Calibri"/>
              </w:rPr>
              <w:t>.</w:t>
            </w:r>
          </w:p>
          <w:p w14:paraId="20955E8B"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OR</w:t>
            </w:r>
          </w:p>
          <w:p w14:paraId="1D58C31B" w14:textId="46AD2A11" w:rsidR="00A46209" w:rsidRPr="00E66809" w:rsidRDefault="00A46209" w:rsidP="00642950">
            <w:pPr>
              <w:spacing w:after="0" w:line="276" w:lineRule="auto"/>
              <w:jc w:val="both"/>
              <w:rPr>
                <w:rFonts w:eastAsia="Times New Roman" w:cs="Calibri"/>
              </w:rPr>
            </w:pPr>
            <w:r w:rsidRPr="00E66809">
              <w:rPr>
                <w:rFonts w:eastAsia="Times New Roman" w:cs="Calibri"/>
              </w:rPr>
              <w:t>A</w:t>
            </w:r>
            <w:r w:rsidR="00F6147C">
              <w:rPr>
                <w:rFonts w:eastAsia="Times New Roman" w:cs="Calibri"/>
              </w:rPr>
              <w:t xml:space="preserve"> response of ‘Yes’ and al</w:t>
            </w:r>
            <w:r w:rsidRPr="00E66809">
              <w:rPr>
                <w:rFonts w:eastAsia="Times New Roman" w:cs="Calibri"/>
              </w:rPr>
              <w:t xml:space="preserve">l information with respect to the </w:t>
            </w:r>
            <w:r w:rsidR="00FA5CF7">
              <w:rPr>
                <w:rFonts w:eastAsia="Times New Roman" w:cs="Calibri"/>
              </w:rPr>
              <w:t>Supplier</w:t>
            </w:r>
            <w:r w:rsidRPr="00E66809">
              <w:rPr>
                <w:rFonts w:eastAsia="Times New Roman" w:cs="Calibri"/>
              </w:rPr>
              <w:t xml:space="preserve">’s guarantor is provided </w:t>
            </w:r>
            <w:r w:rsidR="00AF4F8D">
              <w:rPr>
                <w:rFonts w:eastAsia="Times New Roman" w:cs="Calibri"/>
              </w:rPr>
              <w:t xml:space="preserve">and </w:t>
            </w:r>
            <w:r w:rsidRPr="00E66809">
              <w:rPr>
                <w:rFonts w:eastAsia="Times New Roman" w:cs="Calibri"/>
              </w:rPr>
              <w:t>HMRC</w:t>
            </w:r>
            <w:r w:rsidR="00AF4F8D">
              <w:rPr>
                <w:rFonts w:eastAsia="Times New Roman" w:cs="Calibri"/>
              </w:rPr>
              <w:t xml:space="preserve"> is</w:t>
            </w:r>
            <w:r w:rsidRPr="00E66809">
              <w:rPr>
                <w:rFonts w:eastAsia="Times New Roman" w:cs="Calibri"/>
              </w:rPr>
              <w:t xml:space="preserve"> satisfied that the guarantor demonstrates suitable financial standing to </w:t>
            </w:r>
            <w:r w:rsidR="00106531">
              <w:rPr>
                <w:rFonts w:eastAsia="Times New Roman" w:cs="Calibri"/>
              </w:rPr>
              <w:t>undertake the role of guarantor</w:t>
            </w:r>
            <w:r w:rsidRPr="00E66809">
              <w:rPr>
                <w:rFonts w:eastAsia="Times New Roman" w:cs="Calibri"/>
              </w:rPr>
              <w:t xml:space="preserve">. </w:t>
            </w:r>
          </w:p>
          <w:p w14:paraId="714196A8" w14:textId="77777777" w:rsidR="00A46209" w:rsidRPr="00E66809" w:rsidRDefault="00A46209" w:rsidP="00642950">
            <w:pPr>
              <w:spacing w:after="0" w:line="276" w:lineRule="auto"/>
              <w:jc w:val="both"/>
              <w:rPr>
                <w:rFonts w:eastAsia="Times New Roman" w:cs="Calibri"/>
              </w:rPr>
            </w:pPr>
          </w:p>
          <w:p w14:paraId="7C3D9F8B"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631E82B7" w14:textId="27B5AFFD" w:rsidR="00A46209" w:rsidRPr="00E66809" w:rsidRDefault="00D0467A" w:rsidP="00642950">
            <w:pPr>
              <w:spacing w:after="0" w:line="276" w:lineRule="auto"/>
              <w:jc w:val="both"/>
              <w:rPr>
                <w:rFonts w:eastAsia="Times New Roman" w:cs="Calibri"/>
              </w:rPr>
            </w:pPr>
            <w:r w:rsidRPr="00D0467A">
              <w:rPr>
                <w:rFonts w:eastAsia="Times New Roman" w:cs="Calibri"/>
              </w:rPr>
              <w:t>Response is incomplete and any missing information is not provided in the timeframes requested by HMRC</w:t>
            </w:r>
            <w:r w:rsidR="00A46209" w:rsidRPr="00E66809">
              <w:rPr>
                <w:rFonts w:eastAsia="Times New Roman" w:cs="Calibri"/>
              </w:rPr>
              <w:t>.</w:t>
            </w:r>
          </w:p>
          <w:p w14:paraId="2489A3FD" w14:textId="77777777" w:rsidR="00A46209" w:rsidRDefault="00A46209" w:rsidP="00642950">
            <w:pPr>
              <w:spacing w:after="0" w:line="276" w:lineRule="auto"/>
              <w:jc w:val="both"/>
              <w:rPr>
                <w:rFonts w:eastAsia="Times New Roman" w:cs="Calibri"/>
                <w:b/>
              </w:rPr>
            </w:pPr>
            <w:r w:rsidRPr="00E66809">
              <w:rPr>
                <w:rFonts w:eastAsia="Times New Roman" w:cs="Calibri"/>
                <w:b/>
              </w:rPr>
              <w:t>OR</w:t>
            </w:r>
          </w:p>
          <w:p w14:paraId="2E4C7F73" w14:textId="7C8485BA" w:rsidR="004525EA" w:rsidRPr="004525EA" w:rsidRDefault="004525EA" w:rsidP="00642950">
            <w:pPr>
              <w:spacing w:after="0" w:line="276" w:lineRule="auto"/>
              <w:jc w:val="both"/>
              <w:rPr>
                <w:rFonts w:eastAsia="Times New Roman" w:cs="Calibri"/>
                <w:bCs/>
              </w:rPr>
            </w:pPr>
            <w:r w:rsidRPr="004525EA">
              <w:rPr>
                <w:rFonts w:eastAsia="Times New Roman" w:cs="Calibri"/>
                <w:bCs/>
              </w:rPr>
              <w:t>A response of ‘Yes’ and:</w:t>
            </w:r>
          </w:p>
          <w:p w14:paraId="4F64DDE7" w14:textId="77777777" w:rsidR="00A46209" w:rsidRPr="00E66809" w:rsidRDefault="00A46209" w:rsidP="00AD19D7">
            <w:pPr>
              <w:pStyle w:val="ListParagraph"/>
              <w:widowControl w:val="0"/>
              <w:numPr>
                <w:ilvl w:val="0"/>
                <w:numId w:val="55"/>
              </w:numPr>
              <w:tabs>
                <w:tab w:val="left" w:pos="0"/>
              </w:tabs>
              <w:overflowPunct w:val="0"/>
              <w:autoSpaceDE w:val="0"/>
              <w:autoSpaceDN w:val="0"/>
              <w:adjustRightInd w:val="0"/>
              <w:jc w:val="both"/>
              <w:rPr>
                <w:rFonts w:cs="Arial"/>
              </w:rPr>
            </w:pPr>
            <w:r w:rsidRPr="00E66809">
              <w:rPr>
                <w:rFonts w:cs="Arial"/>
              </w:rPr>
              <w:t>Following review of the information provided and any further due diligence undertaken, HMRC deems the due diligence checks fail to demonstrate a suitable level of financial standing to deliver the contract; and/or</w:t>
            </w:r>
          </w:p>
          <w:p w14:paraId="6BA1BB36" w14:textId="002D382F" w:rsidR="00A46209" w:rsidRPr="00E66809" w:rsidRDefault="00A46209" w:rsidP="00AD19D7">
            <w:pPr>
              <w:pStyle w:val="ListParagraph"/>
              <w:widowControl w:val="0"/>
              <w:numPr>
                <w:ilvl w:val="0"/>
                <w:numId w:val="55"/>
              </w:numPr>
              <w:overflowPunct w:val="0"/>
              <w:autoSpaceDE w:val="0"/>
              <w:autoSpaceDN w:val="0"/>
              <w:adjustRightInd w:val="0"/>
              <w:jc w:val="both"/>
              <w:rPr>
                <w:rFonts w:cs="Arial"/>
              </w:rPr>
            </w:pPr>
            <w:r w:rsidRPr="00E66809">
              <w:rPr>
                <w:rFonts w:cs="Arial"/>
              </w:rPr>
              <w:t xml:space="preserve">the </w:t>
            </w:r>
            <w:r w:rsidR="00FA5CF7">
              <w:rPr>
                <w:rFonts w:cs="Arial"/>
              </w:rPr>
              <w:t>Supplier</w:t>
            </w:r>
            <w:r w:rsidRPr="00E66809">
              <w:rPr>
                <w:rFonts w:cs="Arial"/>
              </w:rPr>
              <w:t xml:space="preserve"> fails to provide any of the information requested to undertake such checks, without a reasonable explanation as to why the information is unavailable.</w:t>
            </w:r>
          </w:p>
          <w:p w14:paraId="224419D9" w14:textId="4BC82210" w:rsidR="00A46209" w:rsidRPr="006B7E4C" w:rsidRDefault="00A46209" w:rsidP="00642950">
            <w:pPr>
              <w:spacing w:after="0" w:line="276" w:lineRule="auto"/>
              <w:jc w:val="both"/>
              <w:rPr>
                <w:rFonts w:eastAsia="Times New Roman" w:cs="Calibri"/>
                <w:b/>
                <w:u w:val="single"/>
              </w:rPr>
            </w:pPr>
            <w:r w:rsidRPr="00E66809">
              <w:rPr>
                <w:rFonts w:cs="Arial"/>
              </w:rPr>
              <w:t xml:space="preserve">HMRC reserves the right to conduct further financial due diligence checks on </w:t>
            </w:r>
            <w:r w:rsidR="00FA5CF7">
              <w:rPr>
                <w:rFonts w:cs="Arial"/>
              </w:rPr>
              <w:t>Supplier</w:t>
            </w:r>
            <w:r w:rsidRPr="00E66809">
              <w:rPr>
                <w:rFonts w:cs="Arial"/>
              </w:rPr>
              <w:t xml:space="preserve">s and their guarantor at any point during the procurement process, in order to assess the financial standing of </w:t>
            </w:r>
            <w:r w:rsidRPr="00E66809">
              <w:rPr>
                <w:rFonts w:cs="Arial"/>
              </w:rPr>
              <w:lastRenderedPageBreak/>
              <w:t xml:space="preserve">a </w:t>
            </w:r>
            <w:r w:rsidR="00FA5CF7">
              <w:rPr>
                <w:rFonts w:cs="Arial"/>
              </w:rPr>
              <w:t>Supplier</w:t>
            </w:r>
            <w:r w:rsidRPr="00E66809">
              <w:rPr>
                <w:rFonts w:cs="Arial"/>
              </w:rPr>
              <w:t xml:space="preserve"> / guarantor. This due diligence may include analysis of the documents provided in response to this question, analysis of any other financial information deemed relevant by HMRC and/or credit checks. </w:t>
            </w:r>
            <w:r w:rsidR="00FA5CF7">
              <w:rPr>
                <w:rFonts w:cs="Arial"/>
              </w:rPr>
              <w:t>Supplier</w:t>
            </w:r>
            <w:r w:rsidRPr="00E66809">
              <w:rPr>
                <w:rFonts w:cs="Arial"/>
              </w:rPr>
              <w:t>s must provide any documentation requested in order to assist with the due diligence process.</w:t>
            </w:r>
            <w:r w:rsidR="00D0467A">
              <w:rPr>
                <w:rFonts w:cs="Arial"/>
              </w:rPr>
              <w:t xml:space="preserve"> </w:t>
            </w:r>
            <w:r w:rsidR="008D6D08">
              <w:rPr>
                <w:rFonts w:cs="Arial"/>
              </w:rPr>
              <w:t>I</w:t>
            </w:r>
            <w:r w:rsidRPr="00E66809">
              <w:rPr>
                <w:rFonts w:cs="Arial"/>
              </w:rPr>
              <w:t xml:space="preserve">t will be at HMRC’s discretion to determine whether the </w:t>
            </w:r>
            <w:r w:rsidR="00FA5CF7">
              <w:rPr>
                <w:rFonts w:cs="Arial"/>
              </w:rPr>
              <w:t>Supplier</w:t>
            </w:r>
            <w:r w:rsidRPr="00E66809">
              <w:rPr>
                <w:rFonts w:cs="Arial"/>
              </w:rPr>
              <w:t xml:space="preserve"> and/or guarantor demonstrates suitable financial standing to deliver the contract based on the due diligence checks undertaken.</w:t>
            </w:r>
          </w:p>
        </w:tc>
      </w:tr>
      <w:tr w:rsidR="00A46209" w:rsidRPr="00BF1FD6" w14:paraId="2907F33B" w14:textId="77777777" w:rsidTr="3AD35CA9">
        <w:trPr>
          <w:trHeight w:val="510"/>
        </w:trPr>
        <w:tc>
          <w:tcPr>
            <w:tcW w:w="1474" w:type="dxa"/>
            <w:shd w:val="clear" w:color="auto" w:fill="FFFFFF" w:themeFill="background1"/>
          </w:tcPr>
          <w:p w14:paraId="5C993830"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3.3</w:t>
            </w:r>
          </w:p>
        </w:tc>
        <w:tc>
          <w:tcPr>
            <w:tcW w:w="1701" w:type="dxa"/>
            <w:shd w:val="clear" w:color="auto" w:fill="FFFFFF" w:themeFill="background1"/>
          </w:tcPr>
          <w:p w14:paraId="7D0D6093"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053EF120"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5AB506B4" w14:textId="7CEDBA7D" w:rsidR="00A46209" w:rsidRDefault="00A46209" w:rsidP="00642950">
            <w:pPr>
              <w:spacing w:after="0" w:line="276" w:lineRule="auto"/>
              <w:jc w:val="both"/>
              <w:rPr>
                <w:rFonts w:eastAsia="Times New Roman" w:cs="Calibri"/>
              </w:rPr>
            </w:pPr>
            <w:r w:rsidRPr="00E66809">
              <w:rPr>
                <w:rFonts w:eastAsia="Times New Roman" w:cs="Calibri"/>
              </w:rPr>
              <w:t>A response of ‘Yes’</w:t>
            </w:r>
            <w:r w:rsidR="009D6221">
              <w:rPr>
                <w:rFonts w:eastAsia="Times New Roman" w:cs="Calibri"/>
              </w:rPr>
              <w:t>.</w:t>
            </w:r>
          </w:p>
          <w:p w14:paraId="099E0741" w14:textId="5EDA29CE" w:rsidR="00CF0A0E" w:rsidRDefault="00CF0A0E" w:rsidP="00642950">
            <w:pPr>
              <w:spacing w:after="0" w:line="276" w:lineRule="auto"/>
              <w:jc w:val="both"/>
              <w:rPr>
                <w:rFonts w:eastAsia="Times New Roman" w:cs="Calibri"/>
                <w:b/>
                <w:bCs/>
              </w:rPr>
            </w:pPr>
            <w:r>
              <w:rPr>
                <w:rFonts w:eastAsia="Times New Roman" w:cs="Calibri"/>
                <w:b/>
                <w:bCs/>
              </w:rPr>
              <w:t>OR</w:t>
            </w:r>
          </w:p>
          <w:p w14:paraId="1CDE4E5C" w14:textId="65A4C4AA" w:rsidR="00CF0A0E" w:rsidRPr="00CF0A0E" w:rsidRDefault="00CF0A0E" w:rsidP="00642950">
            <w:pPr>
              <w:spacing w:after="0" w:line="276" w:lineRule="auto"/>
              <w:jc w:val="both"/>
              <w:rPr>
                <w:rFonts w:eastAsia="Times New Roman" w:cs="Calibri"/>
              </w:rPr>
            </w:pPr>
            <w:r w:rsidRPr="00CF0A0E">
              <w:rPr>
                <w:rFonts w:eastAsia="Times New Roman" w:cs="Calibri"/>
              </w:rPr>
              <w:t>A response of ‘No’ and the Supplier provides an explanation that HMRC deems to be acceptable.</w:t>
            </w:r>
          </w:p>
          <w:p w14:paraId="6DCF1C6D" w14:textId="77777777" w:rsidR="00A46209" w:rsidRPr="00E66809" w:rsidRDefault="00A46209" w:rsidP="00642950">
            <w:pPr>
              <w:spacing w:after="0" w:line="276" w:lineRule="auto"/>
              <w:jc w:val="both"/>
              <w:rPr>
                <w:rFonts w:eastAsia="Times New Roman" w:cs="Calibri"/>
              </w:rPr>
            </w:pPr>
          </w:p>
          <w:p w14:paraId="3D827729"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40804E9F" w14:textId="77777777" w:rsidR="00A97DE9" w:rsidRDefault="00A46209" w:rsidP="00642950">
            <w:pPr>
              <w:spacing w:after="0" w:line="276" w:lineRule="auto"/>
              <w:jc w:val="both"/>
              <w:rPr>
                <w:rFonts w:eastAsia="Times New Roman" w:cs="Calibri"/>
              </w:rPr>
            </w:pPr>
            <w:r w:rsidRPr="00E66809">
              <w:rPr>
                <w:rFonts w:eastAsia="Times New Roman" w:cs="Calibri"/>
              </w:rPr>
              <w:t>A response of ‘No’</w:t>
            </w:r>
            <w:r w:rsidR="00CF0A0E">
              <w:rPr>
                <w:rFonts w:eastAsia="Times New Roman" w:cs="Calibri"/>
              </w:rPr>
              <w:t xml:space="preserve"> and the Supplier fails to provide an explanation that is deemed acceptable to HMRC.</w:t>
            </w:r>
            <w:r w:rsidR="00A97DE9">
              <w:rPr>
                <w:rFonts w:eastAsia="Times New Roman" w:cs="Calibri"/>
              </w:rPr>
              <w:t xml:space="preserve"> </w:t>
            </w:r>
          </w:p>
          <w:p w14:paraId="79DF77F5" w14:textId="77777777" w:rsidR="00A97DE9" w:rsidRDefault="00A97DE9" w:rsidP="00642950">
            <w:pPr>
              <w:spacing w:after="0" w:line="276" w:lineRule="auto"/>
              <w:jc w:val="both"/>
              <w:rPr>
                <w:rFonts w:eastAsia="Times New Roman" w:cs="Calibri"/>
              </w:rPr>
            </w:pPr>
          </w:p>
          <w:p w14:paraId="51223995" w14:textId="61DB27A3" w:rsidR="00CF0A0E" w:rsidRPr="00CF0A0E" w:rsidRDefault="00A97DE9" w:rsidP="00642950">
            <w:pPr>
              <w:spacing w:after="0" w:line="276" w:lineRule="auto"/>
              <w:jc w:val="both"/>
              <w:rPr>
                <w:rFonts w:eastAsia="Times New Roman" w:cs="Calibri"/>
              </w:rPr>
            </w:pPr>
            <w:r>
              <w:rPr>
                <w:rFonts w:eastAsia="Times New Roman" w:cs="Calibri"/>
              </w:rPr>
              <w:t>Note: Whether an explanation is considered acceptable or otherwise shall be at the sole discretion of HMRC.</w:t>
            </w:r>
          </w:p>
        </w:tc>
      </w:tr>
    </w:tbl>
    <w:p w14:paraId="310AD9B4" w14:textId="77777777" w:rsidR="00A46209" w:rsidRPr="00E66809" w:rsidRDefault="00A46209" w:rsidP="00F56D3C">
      <w:pPr>
        <w:pStyle w:val="BodyText1"/>
      </w:pPr>
    </w:p>
    <w:p w14:paraId="084E9BDF" w14:textId="77777777" w:rsidR="00A46209" w:rsidRPr="00E66809" w:rsidRDefault="00A46209" w:rsidP="00A46209">
      <w:pPr>
        <w:pageBreakBefore/>
        <w:spacing w:after="0" w:line="276" w:lineRule="auto"/>
        <w:rPr>
          <w:rFonts w:eastAsia="Arial" w:cs="Calibri"/>
          <w:b/>
        </w:rPr>
      </w:pPr>
      <w:r w:rsidRPr="00E66809">
        <w:rPr>
          <w:rFonts w:eastAsia="Arial" w:cs="Calibri"/>
          <w:b/>
        </w:rPr>
        <w:lastRenderedPageBreak/>
        <w:t>Legal Capacity</w:t>
      </w:r>
    </w:p>
    <w:p w14:paraId="4ABE6672" w14:textId="77777777" w:rsidR="00A46209" w:rsidRPr="00E66809" w:rsidRDefault="00A46209" w:rsidP="00F56D3C">
      <w:pPr>
        <w:pStyle w:val="BodyText1"/>
      </w:pPr>
    </w:p>
    <w:tbl>
      <w:tblPr>
        <w:tblW w:w="13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74"/>
        <w:gridCol w:w="1701"/>
        <w:gridCol w:w="9859"/>
      </w:tblGrid>
      <w:tr w:rsidR="00A46209" w:rsidRPr="001439F7" w14:paraId="7AE9E80F" w14:textId="77777777" w:rsidTr="005F2119">
        <w:trPr>
          <w:cantSplit/>
          <w:trHeight w:val="510"/>
        </w:trPr>
        <w:tc>
          <w:tcPr>
            <w:tcW w:w="1474" w:type="dxa"/>
            <w:tcBorders>
              <w:top w:val="single" w:sz="4" w:space="0" w:color="auto"/>
              <w:left w:val="single" w:sz="4" w:space="0" w:color="auto"/>
              <w:bottom w:val="single" w:sz="4" w:space="0" w:color="auto"/>
              <w:right w:val="single" w:sz="4" w:space="0" w:color="EAEAEA"/>
            </w:tcBorders>
            <w:shd w:val="clear" w:color="auto" w:fill="009999"/>
            <w:vAlign w:val="center"/>
          </w:tcPr>
          <w:p w14:paraId="056CF23E"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1701" w:type="dxa"/>
            <w:tcBorders>
              <w:top w:val="single" w:sz="4" w:space="0" w:color="auto"/>
              <w:left w:val="single" w:sz="4" w:space="0" w:color="auto"/>
              <w:bottom w:val="single" w:sz="4" w:space="0" w:color="auto"/>
              <w:right w:val="single" w:sz="4" w:space="0" w:color="EAEAEA"/>
            </w:tcBorders>
            <w:shd w:val="clear" w:color="auto" w:fill="009999"/>
            <w:vAlign w:val="center"/>
          </w:tcPr>
          <w:p w14:paraId="3F95EB4C"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9859" w:type="dxa"/>
            <w:tcBorders>
              <w:top w:val="single" w:sz="4" w:space="0" w:color="auto"/>
              <w:left w:val="single" w:sz="4" w:space="0" w:color="auto"/>
              <w:bottom w:val="single" w:sz="4" w:space="0" w:color="auto"/>
              <w:right w:val="single" w:sz="4" w:space="0" w:color="auto"/>
            </w:tcBorders>
            <w:shd w:val="clear" w:color="auto" w:fill="009999"/>
            <w:vAlign w:val="center"/>
          </w:tcPr>
          <w:p w14:paraId="757093FB" w14:textId="77777777" w:rsidR="00A46209" w:rsidRPr="00E66809" w:rsidRDefault="00A46209">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A46209" w:rsidRPr="00BF1FD6" w14:paraId="5A689471" w14:textId="77777777" w:rsidTr="005F2119">
        <w:trPr>
          <w:trHeight w:val="510"/>
        </w:trPr>
        <w:tc>
          <w:tcPr>
            <w:tcW w:w="1474" w:type="dxa"/>
            <w:shd w:val="clear" w:color="auto" w:fill="FFFFFF"/>
          </w:tcPr>
          <w:p w14:paraId="7A788C98"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t>3.4</w:t>
            </w:r>
          </w:p>
        </w:tc>
        <w:tc>
          <w:tcPr>
            <w:tcW w:w="1701" w:type="dxa"/>
            <w:shd w:val="clear" w:color="auto" w:fill="FFFFFF"/>
          </w:tcPr>
          <w:p w14:paraId="7DB69AE0"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cPr>
          <w:p w14:paraId="616086B9"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7FA2FFE5" w14:textId="5D11A8BE" w:rsidR="00A46209" w:rsidRPr="00E66809" w:rsidRDefault="00A46209" w:rsidP="00642950">
            <w:pPr>
              <w:spacing w:after="0" w:line="276" w:lineRule="auto"/>
              <w:jc w:val="both"/>
              <w:rPr>
                <w:rFonts w:eastAsia="Times New Roman" w:cs="Calibri"/>
              </w:rPr>
            </w:pPr>
            <w:r w:rsidRPr="00E66809">
              <w:rPr>
                <w:rFonts w:eastAsia="Times New Roman" w:cs="Calibri"/>
              </w:rPr>
              <w:t>A response of ‘Yes’</w:t>
            </w:r>
            <w:r w:rsidR="00AC3F77">
              <w:rPr>
                <w:rFonts w:eastAsia="Times New Roman" w:cs="Calibri"/>
              </w:rPr>
              <w:t xml:space="preserve"> and </w:t>
            </w:r>
            <w:r w:rsidRPr="00E66809">
              <w:rPr>
                <w:rFonts w:eastAsia="Times New Roman" w:cs="Calibri"/>
              </w:rPr>
              <w:t xml:space="preserve">HMRC is satisfied that the supporting information provided supports the </w:t>
            </w:r>
            <w:r w:rsidR="00FA5CF7">
              <w:rPr>
                <w:rFonts w:eastAsia="Times New Roman" w:cs="Calibri"/>
              </w:rPr>
              <w:t>Supplier</w:t>
            </w:r>
            <w:r w:rsidRPr="00E66809">
              <w:rPr>
                <w:rFonts w:eastAsia="Times New Roman" w:cs="Calibri"/>
              </w:rPr>
              <w:t>’s response.</w:t>
            </w:r>
          </w:p>
          <w:p w14:paraId="2B3FEC3A" w14:textId="77777777" w:rsidR="00A46209" w:rsidRPr="00E66809" w:rsidRDefault="00A46209" w:rsidP="00642950">
            <w:pPr>
              <w:spacing w:after="0" w:line="276" w:lineRule="auto"/>
              <w:jc w:val="both"/>
              <w:rPr>
                <w:rFonts w:eastAsia="Times New Roman" w:cs="Calibri"/>
              </w:rPr>
            </w:pPr>
          </w:p>
          <w:p w14:paraId="4E56469C"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5EDFAAD5" w14:textId="2DE3FB6B" w:rsidR="00A46209" w:rsidRPr="00E66809" w:rsidRDefault="00A46209" w:rsidP="00E66809">
            <w:pPr>
              <w:widowControl w:val="0"/>
              <w:tabs>
                <w:tab w:val="left" w:pos="0"/>
              </w:tabs>
              <w:overflowPunct w:val="0"/>
              <w:autoSpaceDE w:val="0"/>
              <w:autoSpaceDN w:val="0"/>
              <w:adjustRightInd w:val="0"/>
              <w:spacing w:after="0"/>
              <w:jc w:val="both"/>
              <w:rPr>
                <w:rFonts w:eastAsia="Times New Roman" w:cs="Calibri"/>
              </w:rPr>
            </w:pPr>
            <w:r w:rsidRPr="00E66809">
              <w:rPr>
                <w:rFonts w:eastAsia="Times New Roman" w:cs="Calibri"/>
              </w:rPr>
              <w:t>A response of ‘No’</w:t>
            </w:r>
            <w:r w:rsidR="009D6221">
              <w:rPr>
                <w:rFonts w:eastAsia="Times New Roman" w:cs="Calibri"/>
              </w:rPr>
              <w:t>.</w:t>
            </w:r>
          </w:p>
          <w:p w14:paraId="45A99741" w14:textId="77777777" w:rsidR="00A46209" w:rsidRPr="00E66809" w:rsidRDefault="00A46209" w:rsidP="00E66809">
            <w:pPr>
              <w:widowControl w:val="0"/>
              <w:tabs>
                <w:tab w:val="left" w:pos="0"/>
              </w:tabs>
              <w:overflowPunct w:val="0"/>
              <w:autoSpaceDE w:val="0"/>
              <w:autoSpaceDN w:val="0"/>
              <w:adjustRightInd w:val="0"/>
              <w:spacing w:after="0"/>
              <w:jc w:val="both"/>
              <w:rPr>
                <w:rFonts w:eastAsia="Times New Roman" w:cs="Calibri"/>
                <w:b/>
              </w:rPr>
            </w:pPr>
            <w:r w:rsidRPr="00E66809">
              <w:rPr>
                <w:rFonts w:eastAsia="Times New Roman" w:cs="Calibri"/>
                <w:b/>
              </w:rPr>
              <w:t>OR</w:t>
            </w:r>
          </w:p>
          <w:p w14:paraId="1A1A561E" w14:textId="098358C5" w:rsidR="00A46209" w:rsidRDefault="00A46209" w:rsidP="00E66809">
            <w:pPr>
              <w:widowControl w:val="0"/>
              <w:tabs>
                <w:tab w:val="left" w:pos="0"/>
              </w:tabs>
              <w:overflowPunct w:val="0"/>
              <w:autoSpaceDE w:val="0"/>
              <w:autoSpaceDN w:val="0"/>
              <w:adjustRightInd w:val="0"/>
              <w:spacing w:after="0"/>
              <w:jc w:val="both"/>
              <w:rPr>
                <w:rFonts w:eastAsia="Times New Roman" w:cs="Calibri"/>
              </w:rPr>
            </w:pPr>
            <w:r w:rsidRPr="00E66809">
              <w:rPr>
                <w:rFonts w:eastAsia="Times New Roman" w:cs="Calibri"/>
              </w:rPr>
              <w:t xml:space="preserve">A response of ‘Yes’ but following further due diligence on the supporting information provided in the </w:t>
            </w:r>
            <w:r w:rsidR="00FA5CF7">
              <w:rPr>
                <w:rFonts w:eastAsia="Times New Roman" w:cs="Calibri"/>
              </w:rPr>
              <w:t>Supplier</w:t>
            </w:r>
            <w:r w:rsidRPr="00E66809">
              <w:rPr>
                <w:rFonts w:eastAsia="Times New Roman" w:cs="Calibri"/>
              </w:rPr>
              <w:t>’s response, HMRC deems that this information does not support the response of ‘Yes’.</w:t>
            </w:r>
          </w:p>
          <w:p w14:paraId="716C32DD" w14:textId="4F142AC6" w:rsidR="00AD5D99" w:rsidRPr="00E66809" w:rsidRDefault="00AD5D99" w:rsidP="00E66809">
            <w:pPr>
              <w:widowControl w:val="0"/>
              <w:tabs>
                <w:tab w:val="left" w:pos="0"/>
              </w:tabs>
              <w:overflowPunct w:val="0"/>
              <w:autoSpaceDE w:val="0"/>
              <w:autoSpaceDN w:val="0"/>
              <w:adjustRightInd w:val="0"/>
              <w:spacing w:after="0"/>
              <w:jc w:val="both"/>
              <w:rPr>
                <w:rFonts w:eastAsia="Times New Roman" w:cs="Calibri"/>
                <w:b/>
              </w:rPr>
            </w:pPr>
            <w:r>
              <w:rPr>
                <w:rFonts w:eastAsia="Times New Roman" w:cs="Calibri"/>
                <w:b/>
                <w:bCs/>
              </w:rPr>
              <w:t>OR</w:t>
            </w:r>
          </w:p>
          <w:p w14:paraId="161C6558" w14:textId="21BF6EBC" w:rsidR="00AD5D99" w:rsidRPr="00E66809" w:rsidRDefault="00AD5D99" w:rsidP="00C2600F">
            <w:pPr>
              <w:spacing w:after="0" w:line="276" w:lineRule="auto"/>
              <w:jc w:val="both"/>
              <w:rPr>
                <w:rFonts w:eastAsia="Times New Roman" w:cs="Calibri"/>
              </w:rPr>
            </w:pPr>
            <w:r w:rsidRPr="00D0467A">
              <w:rPr>
                <w:rFonts w:eastAsia="Times New Roman" w:cs="Calibri"/>
              </w:rPr>
              <w:t>Response is incomplete and any missing information is not provided in the timeframes requested by HMRC</w:t>
            </w:r>
            <w:r w:rsidRPr="00A824C6">
              <w:rPr>
                <w:rFonts w:eastAsia="Times New Roman" w:cs="Calibri"/>
              </w:rPr>
              <w:t>.</w:t>
            </w:r>
          </w:p>
        </w:tc>
      </w:tr>
    </w:tbl>
    <w:p w14:paraId="7913AB15" w14:textId="77777777" w:rsidR="00A46209" w:rsidRPr="00E66809" w:rsidRDefault="00A46209" w:rsidP="00A46209">
      <w:pPr>
        <w:pageBreakBefore/>
        <w:spacing w:after="0" w:line="276" w:lineRule="auto"/>
        <w:rPr>
          <w:rFonts w:eastAsia="Arial" w:cs="Calibri"/>
          <w:b/>
        </w:rPr>
      </w:pPr>
      <w:r w:rsidRPr="00E66809">
        <w:rPr>
          <w:rFonts w:eastAsia="Arial" w:cs="Calibri"/>
          <w:b/>
        </w:rPr>
        <w:lastRenderedPageBreak/>
        <w:t>Technical Ability</w:t>
      </w:r>
    </w:p>
    <w:p w14:paraId="02974463" w14:textId="77777777" w:rsidR="00A46209" w:rsidRPr="00E66809" w:rsidRDefault="00A46209" w:rsidP="00F56D3C">
      <w:pPr>
        <w:pStyle w:val="BodyText1"/>
      </w:pPr>
    </w:p>
    <w:tbl>
      <w:tblPr>
        <w:tblW w:w="13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474"/>
        <w:gridCol w:w="1701"/>
        <w:gridCol w:w="9859"/>
      </w:tblGrid>
      <w:tr w:rsidR="00A46209" w:rsidRPr="001439F7" w14:paraId="769EB954" w14:textId="77777777" w:rsidTr="00555135">
        <w:trPr>
          <w:cantSplit/>
          <w:trHeight w:val="510"/>
          <w:tblHeader/>
        </w:trPr>
        <w:tc>
          <w:tcPr>
            <w:tcW w:w="1474" w:type="dxa"/>
            <w:tcBorders>
              <w:top w:val="single" w:sz="4" w:space="0" w:color="auto"/>
              <w:left w:val="single" w:sz="4" w:space="0" w:color="auto"/>
              <w:bottom w:val="single" w:sz="4" w:space="0" w:color="auto"/>
              <w:right w:val="single" w:sz="4" w:space="0" w:color="EAEAEA"/>
            </w:tcBorders>
            <w:shd w:val="clear" w:color="auto" w:fill="009999"/>
            <w:vAlign w:val="center"/>
          </w:tcPr>
          <w:p w14:paraId="002731E8"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Question / Questions</w:t>
            </w:r>
          </w:p>
        </w:tc>
        <w:tc>
          <w:tcPr>
            <w:tcW w:w="1701" w:type="dxa"/>
            <w:tcBorders>
              <w:top w:val="single" w:sz="4" w:space="0" w:color="auto"/>
              <w:left w:val="single" w:sz="4" w:space="0" w:color="auto"/>
              <w:bottom w:val="single" w:sz="4" w:space="0" w:color="auto"/>
              <w:right w:val="single" w:sz="4" w:space="0" w:color="EAEAEA"/>
            </w:tcBorders>
            <w:shd w:val="clear" w:color="auto" w:fill="009999"/>
            <w:vAlign w:val="center"/>
          </w:tcPr>
          <w:p w14:paraId="7AB23DA3" w14:textId="77777777" w:rsidR="00A46209" w:rsidRPr="00E66809" w:rsidRDefault="00A46209">
            <w:pPr>
              <w:autoSpaceDE w:val="0"/>
              <w:autoSpaceDN w:val="0"/>
              <w:adjustRightInd w:val="0"/>
              <w:spacing w:after="0" w:line="276" w:lineRule="auto"/>
              <w:rPr>
                <w:rFonts w:eastAsia="Times New Roman" w:cs="Arial"/>
                <w:b/>
                <w:color w:val="FFFFFF" w:themeColor="background1"/>
              </w:rPr>
            </w:pPr>
            <w:r w:rsidRPr="00E66809">
              <w:rPr>
                <w:rFonts w:eastAsia="Times New Roman" w:cs="Arial"/>
                <w:b/>
                <w:color w:val="FFFFFF" w:themeColor="background1"/>
              </w:rPr>
              <w:t>Assessment</w:t>
            </w:r>
          </w:p>
        </w:tc>
        <w:tc>
          <w:tcPr>
            <w:tcW w:w="9859" w:type="dxa"/>
            <w:tcBorders>
              <w:top w:val="single" w:sz="4" w:space="0" w:color="auto"/>
              <w:left w:val="single" w:sz="4" w:space="0" w:color="auto"/>
              <w:bottom w:val="single" w:sz="4" w:space="0" w:color="auto"/>
              <w:right w:val="single" w:sz="4" w:space="0" w:color="auto"/>
            </w:tcBorders>
            <w:shd w:val="clear" w:color="auto" w:fill="009999"/>
            <w:vAlign w:val="center"/>
          </w:tcPr>
          <w:p w14:paraId="22F39B6F" w14:textId="77777777" w:rsidR="00A46209" w:rsidRPr="00E66809" w:rsidRDefault="00A46209">
            <w:pPr>
              <w:autoSpaceDE w:val="0"/>
              <w:autoSpaceDN w:val="0"/>
              <w:adjustRightInd w:val="0"/>
              <w:spacing w:after="0" w:line="276" w:lineRule="auto"/>
              <w:rPr>
                <w:rFonts w:cs="Arial"/>
                <w:b/>
                <w:color w:val="FFFFFF" w:themeColor="background1"/>
              </w:rPr>
            </w:pPr>
            <w:r w:rsidRPr="00E66809">
              <w:rPr>
                <w:rFonts w:cs="Arial"/>
                <w:b/>
                <w:color w:val="FFFFFF" w:themeColor="background1"/>
              </w:rPr>
              <w:t>Evaluation Guidance</w:t>
            </w:r>
          </w:p>
        </w:tc>
      </w:tr>
      <w:tr w:rsidR="00A46209" w:rsidRPr="00BF1FD6" w14:paraId="149055F5" w14:textId="77777777" w:rsidTr="3AD35CA9">
        <w:trPr>
          <w:trHeight w:val="510"/>
        </w:trPr>
        <w:tc>
          <w:tcPr>
            <w:tcW w:w="1474" w:type="dxa"/>
            <w:shd w:val="clear" w:color="auto" w:fill="FFFFFF" w:themeFill="background1"/>
          </w:tcPr>
          <w:p w14:paraId="4238BAB6"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t>3.5</w:t>
            </w:r>
          </w:p>
        </w:tc>
        <w:tc>
          <w:tcPr>
            <w:tcW w:w="1701" w:type="dxa"/>
            <w:shd w:val="clear" w:color="auto" w:fill="FFFFFF" w:themeFill="background1"/>
          </w:tcPr>
          <w:p w14:paraId="155FA0E0"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10AB732A"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1C6DD82B" w14:textId="226C54B9" w:rsidR="00A46209" w:rsidRDefault="00A46209" w:rsidP="00642950">
            <w:pPr>
              <w:spacing w:after="0" w:line="276" w:lineRule="auto"/>
              <w:jc w:val="both"/>
              <w:rPr>
                <w:rFonts w:eastAsia="Times New Roman" w:cs="Calibri"/>
              </w:rPr>
            </w:pPr>
            <w:r w:rsidRPr="00E66809">
              <w:rPr>
                <w:rFonts w:eastAsia="Times New Roman" w:cs="Calibri"/>
              </w:rPr>
              <w:t>A response of ‘Yes’</w:t>
            </w:r>
            <w:r w:rsidR="00E81050">
              <w:rPr>
                <w:rFonts w:eastAsia="Times New Roman" w:cs="Calibri"/>
              </w:rPr>
              <w:t>, without any qualifications that are deemed unacceptable by HMRC.</w:t>
            </w:r>
          </w:p>
          <w:p w14:paraId="2B50CC92" w14:textId="3AB39D6A" w:rsidR="00D75906" w:rsidRPr="00E66809" w:rsidRDefault="00D75906" w:rsidP="00642950">
            <w:pPr>
              <w:spacing w:after="0" w:line="276" w:lineRule="auto"/>
              <w:jc w:val="both"/>
              <w:rPr>
                <w:rFonts w:eastAsia="Times New Roman" w:cs="Calibri"/>
                <w:b/>
              </w:rPr>
            </w:pPr>
            <w:r w:rsidRPr="00E66809">
              <w:rPr>
                <w:rFonts w:eastAsia="Times New Roman" w:cs="Calibri"/>
                <w:b/>
              </w:rPr>
              <w:t>OR</w:t>
            </w:r>
          </w:p>
          <w:p w14:paraId="2B73A4C9" w14:textId="081F9653" w:rsidR="005140F2" w:rsidRPr="00E77417" w:rsidRDefault="00D75906" w:rsidP="005140F2">
            <w:pPr>
              <w:spacing w:after="0" w:line="276" w:lineRule="auto"/>
              <w:jc w:val="both"/>
              <w:rPr>
                <w:rFonts w:eastAsia="Times New Roman" w:cs="Calibri"/>
              </w:rPr>
            </w:pPr>
            <w:r>
              <w:rPr>
                <w:rFonts w:eastAsia="Times New Roman" w:cs="Calibri"/>
              </w:rPr>
              <w:t xml:space="preserve">A response of ‘No’, </w:t>
            </w:r>
            <w:r w:rsidR="005140F2">
              <w:rPr>
                <w:rFonts w:eastAsia="Times New Roman" w:cs="Calibri"/>
              </w:rPr>
              <w:t>with a clear explanation as to why this is the case and a</w:t>
            </w:r>
            <w:r w:rsidR="008071A3">
              <w:rPr>
                <w:rFonts w:eastAsia="Times New Roman" w:cs="Calibri"/>
              </w:rPr>
              <w:t xml:space="preserve">n </w:t>
            </w:r>
            <w:r w:rsidR="005140F2">
              <w:rPr>
                <w:rFonts w:eastAsia="Times New Roman" w:cs="Calibri"/>
              </w:rPr>
              <w:t>explanation</w:t>
            </w:r>
            <w:r w:rsidR="008071A3">
              <w:rPr>
                <w:rFonts w:eastAsia="Times New Roman" w:cs="Calibri"/>
              </w:rPr>
              <w:t xml:space="preserve"> of the </w:t>
            </w:r>
            <w:r w:rsidR="008071A3">
              <w:rPr>
                <w:rFonts w:eastAsia="Arial" w:cs="Arial"/>
              </w:rPr>
              <w:t>relevant measures the Supplier has</w:t>
            </w:r>
            <w:r w:rsidR="00233A6C">
              <w:rPr>
                <w:rFonts w:eastAsia="Arial" w:cs="Arial"/>
              </w:rPr>
              <w:t xml:space="preserve"> put</w:t>
            </w:r>
            <w:r w:rsidR="008071A3">
              <w:rPr>
                <w:rFonts w:eastAsia="Arial" w:cs="Arial"/>
              </w:rPr>
              <w:t xml:space="preserve"> in place, in the absence of IS027001 certification.</w:t>
            </w:r>
            <w:r w:rsidR="008071A3">
              <w:rPr>
                <w:rFonts w:eastAsia="Times New Roman" w:cs="Calibri"/>
              </w:rPr>
              <w:t xml:space="preserve"> </w:t>
            </w:r>
            <w:r w:rsidR="005140F2">
              <w:rPr>
                <w:rFonts w:eastAsia="Times New Roman" w:cs="Calibri"/>
              </w:rPr>
              <w:t>Whether this explanation is considered acceptable or otherwise shall be at the sole discretion of HMRC.</w:t>
            </w:r>
          </w:p>
          <w:p w14:paraId="3D0AAF28" w14:textId="77777777" w:rsidR="00A46209" w:rsidRPr="00E66809" w:rsidRDefault="00A46209" w:rsidP="00642950">
            <w:pPr>
              <w:spacing w:after="0" w:line="276" w:lineRule="auto"/>
              <w:jc w:val="both"/>
              <w:rPr>
                <w:rFonts w:eastAsia="Times New Roman" w:cs="Calibri"/>
              </w:rPr>
            </w:pPr>
          </w:p>
          <w:p w14:paraId="5DEE5A96"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5A447D38" w14:textId="26EF8508" w:rsidR="009E6FC7" w:rsidRDefault="00A46209" w:rsidP="009E6FC7">
            <w:pPr>
              <w:widowControl w:val="0"/>
              <w:tabs>
                <w:tab w:val="left" w:pos="0"/>
              </w:tabs>
              <w:overflowPunct w:val="0"/>
              <w:autoSpaceDE w:val="0"/>
              <w:autoSpaceDN w:val="0"/>
              <w:adjustRightInd w:val="0"/>
              <w:spacing w:after="0"/>
              <w:jc w:val="both"/>
              <w:rPr>
                <w:rFonts w:eastAsia="Times New Roman" w:cs="Calibri"/>
              </w:rPr>
            </w:pPr>
            <w:r w:rsidRPr="00E66809">
              <w:rPr>
                <w:rFonts w:eastAsia="Times New Roman" w:cs="Calibri"/>
              </w:rPr>
              <w:t>A response of ‘No’</w:t>
            </w:r>
            <w:r w:rsidR="00E82C77">
              <w:rPr>
                <w:rFonts w:eastAsia="Times New Roman" w:cs="Calibri"/>
              </w:rPr>
              <w:t>, wit</w:t>
            </w:r>
            <w:r w:rsidR="00665131">
              <w:rPr>
                <w:rFonts w:eastAsia="Times New Roman" w:cs="Calibri"/>
              </w:rPr>
              <w:t>hout a clear explanation as to why this is the case</w:t>
            </w:r>
            <w:r w:rsidR="009E6FC7">
              <w:rPr>
                <w:rFonts w:eastAsia="Times New Roman" w:cs="Calibri"/>
              </w:rPr>
              <w:t>.</w:t>
            </w:r>
          </w:p>
          <w:p w14:paraId="2ECB543D" w14:textId="1AD1687A" w:rsidR="00665131" w:rsidRDefault="009E6FC7" w:rsidP="009E6FC7">
            <w:pPr>
              <w:widowControl w:val="0"/>
              <w:tabs>
                <w:tab w:val="left" w:pos="0"/>
              </w:tabs>
              <w:overflowPunct w:val="0"/>
              <w:autoSpaceDE w:val="0"/>
              <w:autoSpaceDN w:val="0"/>
              <w:adjustRightInd w:val="0"/>
              <w:spacing w:after="0"/>
              <w:jc w:val="both"/>
              <w:rPr>
                <w:rFonts w:eastAsia="Times New Roman" w:cs="Calibri"/>
                <w:b/>
                <w:bCs/>
              </w:rPr>
            </w:pPr>
            <w:r>
              <w:rPr>
                <w:rFonts w:eastAsia="Times New Roman" w:cs="Calibri"/>
                <w:b/>
                <w:bCs/>
              </w:rPr>
              <w:t>OR</w:t>
            </w:r>
          </w:p>
          <w:p w14:paraId="531FC9E5" w14:textId="13BBB6F3" w:rsidR="009E6FC7" w:rsidRDefault="009E6FC7" w:rsidP="000B1FB2">
            <w:pPr>
              <w:widowControl w:val="0"/>
              <w:tabs>
                <w:tab w:val="left" w:pos="0"/>
              </w:tabs>
              <w:overflowPunct w:val="0"/>
              <w:autoSpaceDE w:val="0"/>
              <w:autoSpaceDN w:val="0"/>
              <w:adjustRightInd w:val="0"/>
              <w:spacing w:after="0"/>
              <w:jc w:val="both"/>
              <w:rPr>
                <w:rFonts w:eastAsia="Arial" w:cs="Arial"/>
              </w:rPr>
            </w:pPr>
            <w:r w:rsidRPr="00E66809">
              <w:rPr>
                <w:rFonts w:eastAsia="Times New Roman" w:cs="Calibri"/>
              </w:rPr>
              <w:t>A response of ‘No’</w:t>
            </w:r>
            <w:r>
              <w:rPr>
                <w:rFonts w:eastAsia="Times New Roman" w:cs="Calibri"/>
              </w:rPr>
              <w:t>,</w:t>
            </w:r>
            <w:r w:rsidR="00666DC1">
              <w:rPr>
                <w:rFonts w:eastAsia="Times New Roman" w:cs="Calibri"/>
              </w:rPr>
              <w:t xml:space="preserve"> without an explanation of the </w:t>
            </w:r>
            <w:r w:rsidR="00666DC1">
              <w:rPr>
                <w:rFonts w:eastAsia="Arial" w:cs="Arial"/>
              </w:rPr>
              <w:t>relevant measures the Supplier has</w:t>
            </w:r>
            <w:r w:rsidR="00233A6C">
              <w:rPr>
                <w:rFonts w:eastAsia="Arial" w:cs="Arial"/>
              </w:rPr>
              <w:t xml:space="preserve"> put</w:t>
            </w:r>
            <w:r w:rsidR="00666DC1">
              <w:rPr>
                <w:rFonts w:eastAsia="Arial" w:cs="Arial"/>
              </w:rPr>
              <w:t xml:space="preserve"> in place, in the absence of IS027001 certification.</w:t>
            </w:r>
          </w:p>
          <w:p w14:paraId="0AA03DD2" w14:textId="316C5807" w:rsidR="00A46209" w:rsidRDefault="000B1FB2" w:rsidP="00233A6C">
            <w:pPr>
              <w:widowControl w:val="0"/>
              <w:tabs>
                <w:tab w:val="left" w:pos="0"/>
              </w:tabs>
              <w:overflowPunct w:val="0"/>
              <w:autoSpaceDE w:val="0"/>
              <w:autoSpaceDN w:val="0"/>
              <w:adjustRightInd w:val="0"/>
              <w:spacing w:after="0"/>
              <w:jc w:val="both"/>
              <w:rPr>
                <w:rFonts w:eastAsia="Times New Roman" w:cs="Calibri"/>
                <w:b/>
                <w:bCs/>
              </w:rPr>
            </w:pPr>
            <w:r>
              <w:rPr>
                <w:rFonts w:eastAsia="Times New Roman" w:cs="Calibri"/>
                <w:b/>
                <w:bCs/>
              </w:rPr>
              <w:t>OR</w:t>
            </w:r>
          </w:p>
          <w:p w14:paraId="1C160A28" w14:textId="09985B4A" w:rsidR="00233A6C" w:rsidRPr="00E66809" w:rsidRDefault="00233A6C" w:rsidP="00233A6C">
            <w:pPr>
              <w:widowControl w:val="0"/>
              <w:tabs>
                <w:tab w:val="left" w:pos="0"/>
              </w:tabs>
              <w:overflowPunct w:val="0"/>
              <w:autoSpaceDE w:val="0"/>
              <w:autoSpaceDN w:val="0"/>
              <w:adjustRightInd w:val="0"/>
              <w:spacing w:after="0"/>
              <w:jc w:val="both"/>
              <w:rPr>
                <w:rFonts w:eastAsia="Times New Roman" w:cs="Calibri"/>
              </w:rPr>
            </w:pPr>
            <w:r w:rsidRPr="00E66809">
              <w:rPr>
                <w:rFonts w:eastAsia="Times New Roman" w:cs="Calibri"/>
              </w:rPr>
              <w:t>A response of ‘No’</w:t>
            </w:r>
            <w:r>
              <w:rPr>
                <w:rFonts w:eastAsia="Times New Roman" w:cs="Calibri"/>
              </w:rPr>
              <w:t xml:space="preserve">, where the </w:t>
            </w:r>
            <w:r>
              <w:rPr>
                <w:rFonts w:eastAsia="Arial" w:cs="Arial"/>
              </w:rPr>
              <w:t>relevant measures the Supplier has put in place, in the absence of IS027001 certification, are deemed unacceptable by HMRC.</w:t>
            </w:r>
          </w:p>
        </w:tc>
      </w:tr>
      <w:tr w:rsidR="00A46209" w:rsidRPr="00BF1FD6" w14:paraId="08742747" w14:textId="77777777" w:rsidTr="3AD35CA9">
        <w:trPr>
          <w:trHeight w:val="510"/>
        </w:trPr>
        <w:tc>
          <w:tcPr>
            <w:tcW w:w="1474" w:type="dxa"/>
            <w:shd w:val="clear" w:color="auto" w:fill="FFFFFF" w:themeFill="background1"/>
          </w:tcPr>
          <w:p w14:paraId="003E5F0A"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t>3.6</w:t>
            </w:r>
          </w:p>
        </w:tc>
        <w:tc>
          <w:tcPr>
            <w:tcW w:w="1701" w:type="dxa"/>
            <w:shd w:val="clear" w:color="auto" w:fill="FFFFFF" w:themeFill="background1"/>
          </w:tcPr>
          <w:p w14:paraId="73D0BD99"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5DA227CC" w14:textId="77777777" w:rsidR="00E82C77" w:rsidRPr="00E77417" w:rsidRDefault="00E82C77" w:rsidP="00642950">
            <w:pPr>
              <w:spacing w:after="0" w:line="276" w:lineRule="auto"/>
              <w:jc w:val="both"/>
              <w:rPr>
                <w:rFonts w:eastAsia="Times New Roman" w:cs="Calibri"/>
                <w:b/>
                <w:u w:val="single"/>
              </w:rPr>
            </w:pPr>
            <w:r w:rsidRPr="00E77417">
              <w:rPr>
                <w:rFonts w:eastAsia="Times New Roman" w:cs="Calibri"/>
                <w:b/>
                <w:u w:val="single"/>
              </w:rPr>
              <w:t>Pass</w:t>
            </w:r>
          </w:p>
          <w:p w14:paraId="30DDB5AC" w14:textId="7A00FBA0" w:rsidR="00E82C77" w:rsidRDefault="00E82C77" w:rsidP="00642950">
            <w:pPr>
              <w:spacing w:after="0" w:line="276" w:lineRule="auto"/>
              <w:jc w:val="both"/>
              <w:rPr>
                <w:rFonts w:eastAsia="Times New Roman" w:cs="Calibri"/>
              </w:rPr>
            </w:pPr>
            <w:r w:rsidRPr="00E77417">
              <w:rPr>
                <w:rFonts w:eastAsia="Times New Roman" w:cs="Calibri"/>
              </w:rPr>
              <w:t>A response of ‘Yes’</w:t>
            </w:r>
            <w:r w:rsidR="00E81050">
              <w:rPr>
                <w:rFonts w:eastAsia="Times New Roman" w:cs="Calibri"/>
              </w:rPr>
              <w:t>, without any qualifications that are deemed unacceptable by HMRC.</w:t>
            </w:r>
          </w:p>
          <w:p w14:paraId="448F44ED" w14:textId="77777777" w:rsidR="00E82C77" w:rsidRPr="00E66809" w:rsidRDefault="00E82C77" w:rsidP="00642950">
            <w:pPr>
              <w:spacing w:after="0" w:line="276" w:lineRule="auto"/>
              <w:jc w:val="both"/>
              <w:rPr>
                <w:rFonts w:eastAsia="Times New Roman" w:cs="Calibri"/>
                <w:b/>
              </w:rPr>
            </w:pPr>
            <w:r w:rsidRPr="00E66809">
              <w:rPr>
                <w:rFonts w:eastAsia="Times New Roman" w:cs="Calibri"/>
                <w:b/>
              </w:rPr>
              <w:t>OR</w:t>
            </w:r>
          </w:p>
          <w:p w14:paraId="47540FD7" w14:textId="7F60AA14" w:rsidR="00E82C77" w:rsidRPr="00E77417" w:rsidRDefault="00E82C77" w:rsidP="00642950">
            <w:pPr>
              <w:spacing w:after="0" w:line="276" w:lineRule="auto"/>
              <w:jc w:val="both"/>
              <w:rPr>
                <w:rFonts w:eastAsia="Times New Roman" w:cs="Calibri"/>
              </w:rPr>
            </w:pPr>
            <w:r>
              <w:rPr>
                <w:rFonts w:eastAsia="Times New Roman" w:cs="Calibri"/>
              </w:rPr>
              <w:t xml:space="preserve">A response of ‘No’, with </w:t>
            </w:r>
            <w:r w:rsidR="00183788">
              <w:rPr>
                <w:rFonts w:eastAsia="Times New Roman" w:cs="Calibri"/>
              </w:rPr>
              <w:t xml:space="preserve">explicit reference as to </w:t>
            </w:r>
            <w:r w:rsidR="00D86396">
              <w:rPr>
                <w:rFonts w:eastAsia="Times New Roman" w:cs="Calibri"/>
              </w:rPr>
              <w:t xml:space="preserve">which of the standards </w:t>
            </w:r>
            <w:r w:rsidR="00F667A1">
              <w:rPr>
                <w:rFonts w:eastAsia="Times New Roman" w:cs="Calibri"/>
              </w:rPr>
              <w:t xml:space="preserve">the Supplier does not comply </w:t>
            </w:r>
            <w:proofErr w:type="gramStart"/>
            <w:r w:rsidR="00F667A1">
              <w:rPr>
                <w:rFonts w:eastAsia="Times New Roman" w:cs="Calibri"/>
              </w:rPr>
              <w:t>with</w:t>
            </w:r>
            <w:proofErr w:type="gramEnd"/>
            <w:r w:rsidR="00F667A1">
              <w:rPr>
                <w:rFonts w:eastAsia="Times New Roman" w:cs="Calibri"/>
              </w:rPr>
              <w:t xml:space="preserve"> and a suitable</w:t>
            </w:r>
            <w:r w:rsidR="00B71A66">
              <w:rPr>
                <w:rFonts w:eastAsia="Times New Roman" w:cs="Calibri"/>
              </w:rPr>
              <w:t xml:space="preserve"> explanation </w:t>
            </w:r>
            <w:r w:rsidR="00FD35B8">
              <w:rPr>
                <w:rFonts w:eastAsia="Times New Roman" w:cs="Calibri"/>
              </w:rPr>
              <w:t xml:space="preserve">is </w:t>
            </w:r>
            <w:r w:rsidR="00B71A66">
              <w:rPr>
                <w:rFonts w:eastAsia="Times New Roman" w:cs="Calibri"/>
              </w:rPr>
              <w:t xml:space="preserve">provided </w:t>
            </w:r>
            <w:r w:rsidR="00DE2F7F">
              <w:rPr>
                <w:rFonts w:eastAsia="Times New Roman" w:cs="Calibri"/>
              </w:rPr>
              <w:t>of the</w:t>
            </w:r>
            <w:r w:rsidR="00016B85">
              <w:rPr>
                <w:rFonts w:eastAsia="Times New Roman" w:cs="Calibri"/>
              </w:rPr>
              <w:t xml:space="preserve"> Supplier’s</w:t>
            </w:r>
            <w:r w:rsidR="00DE2F7F">
              <w:rPr>
                <w:rFonts w:eastAsia="Times New Roman" w:cs="Calibri"/>
              </w:rPr>
              <w:t xml:space="preserve"> IT security and resilience arrangements. </w:t>
            </w:r>
            <w:r>
              <w:rPr>
                <w:rFonts w:eastAsia="Times New Roman" w:cs="Calibri"/>
              </w:rPr>
              <w:t xml:space="preserve">Whether </w:t>
            </w:r>
            <w:r w:rsidR="00DE2F7F">
              <w:rPr>
                <w:rFonts w:eastAsia="Times New Roman" w:cs="Calibri"/>
              </w:rPr>
              <w:t>this explanation</w:t>
            </w:r>
            <w:r>
              <w:rPr>
                <w:rFonts w:eastAsia="Times New Roman" w:cs="Calibri"/>
              </w:rPr>
              <w:t xml:space="preserve"> is considered acceptable or otherwise shall be at the sole discretion of HMRC.</w:t>
            </w:r>
          </w:p>
          <w:p w14:paraId="7EF0797A" w14:textId="77777777" w:rsidR="00E82C77" w:rsidRPr="00E77417" w:rsidRDefault="00E82C77" w:rsidP="00642950">
            <w:pPr>
              <w:spacing w:after="0" w:line="276" w:lineRule="auto"/>
              <w:jc w:val="both"/>
              <w:rPr>
                <w:rFonts w:eastAsia="Times New Roman" w:cs="Calibri"/>
              </w:rPr>
            </w:pPr>
          </w:p>
          <w:p w14:paraId="6A713D5F" w14:textId="77777777" w:rsidR="00E82C77" w:rsidRPr="00E77417" w:rsidRDefault="00E82C77" w:rsidP="00642950">
            <w:pPr>
              <w:spacing w:after="0" w:line="276" w:lineRule="auto"/>
              <w:jc w:val="both"/>
              <w:rPr>
                <w:rFonts w:eastAsia="Times New Roman" w:cs="Calibri"/>
              </w:rPr>
            </w:pPr>
            <w:r w:rsidRPr="00E77417">
              <w:rPr>
                <w:rFonts w:eastAsia="Times New Roman" w:cs="Calibri"/>
                <w:b/>
                <w:u w:val="single"/>
              </w:rPr>
              <w:t>Fail</w:t>
            </w:r>
          </w:p>
          <w:p w14:paraId="2BE5DB09" w14:textId="5153C3E0" w:rsidR="00A46209" w:rsidRDefault="00E82C77" w:rsidP="00642950">
            <w:pPr>
              <w:spacing w:after="0" w:line="276" w:lineRule="auto"/>
              <w:jc w:val="both"/>
              <w:rPr>
                <w:rFonts w:eastAsia="Times New Roman" w:cs="Calibri"/>
              </w:rPr>
            </w:pPr>
            <w:r w:rsidRPr="00E77417">
              <w:rPr>
                <w:rFonts w:eastAsia="Times New Roman" w:cs="Calibri"/>
              </w:rPr>
              <w:t>A response of ‘No’</w:t>
            </w:r>
            <w:r>
              <w:rPr>
                <w:rFonts w:eastAsia="Times New Roman" w:cs="Calibri"/>
              </w:rPr>
              <w:t xml:space="preserve">, </w:t>
            </w:r>
            <w:r w:rsidR="00322DD7">
              <w:rPr>
                <w:rFonts w:eastAsia="Times New Roman" w:cs="Calibri"/>
              </w:rPr>
              <w:t>without explicit reference as to which of the standards the Supplier does not comply with</w:t>
            </w:r>
            <w:r w:rsidR="008A3AFE">
              <w:rPr>
                <w:rFonts w:eastAsia="Times New Roman" w:cs="Calibri"/>
              </w:rPr>
              <w:t>.</w:t>
            </w:r>
          </w:p>
          <w:p w14:paraId="672DDB95" w14:textId="77777777" w:rsidR="0049094D" w:rsidRDefault="0049094D" w:rsidP="00642950">
            <w:pPr>
              <w:spacing w:after="0" w:line="276" w:lineRule="auto"/>
              <w:jc w:val="both"/>
              <w:rPr>
                <w:rFonts w:eastAsia="Times New Roman" w:cs="Calibri"/>
                <w:b/>
                <w:bCs/>
              </w:rPr>
            </w:pPr>
            <w:r>
              <w:rPr>
                <w:rFonts w:eastAsia="Times New Roman" w:cs="Calibri"/>
                <w:b/>
                <w:bCs/>
              </w:rPr>
              <w:t>OR</w:t>
            </w:r>
          </w:p>
          <w:p w14:paraId="391F80FA" w14:textId="085211C6" w:rsidR="007A1051" w:rsidRPr="007A1051" w:rsidRDefault="007A1051" w:rsidP="00642950">
            <w:pPr>
              <w:spacing w:after="0" w:line="276" w:lineRule="auto"/>
              <w:jc w:val="both"/>
              <w:rPr>
                <w:rFonts w:eastAsia="Times New Roman" w:cs="Calibri"/>
              </w:rPr>
            </w:pPr>
            <w:r w:rsidRPr="007A1051">
              <w:rPr>
                <w:rFonts w:eastAsia="Times New Roman" w:cs="Calibri"/>
              </w:rPr>
              <w:lastRenderedPageBreak/>
              <w:t>A response of ‘No’, w</w:t>
            </w:r>
            <w:r w:rsidR="00470564">
              <w:rPr>
                <w:rFonts w:eastAsia="Times New Roman" w:cs="Calibri"/>
              </w:rPr>
              <w:t>here</w:t>
            </w:r>
            <w:r w:rsidR="00180E0C">
              <w:rPr>
                <w:rFonts w:eastAsia="Times New Roman" w:cs="Calibri"/>
              </w:rPr>
              <w:t>, in the absence of full compliance, the</w:t>
            </w:r>
            <w:r w:rsidR="00470564">
              <w:rPr>
                <w:rFonts w:eastAsia="Times New Roman" w:cs="Calibri"/>
              </w:rPr>
              <w:t xml:space="preserve"> Supplier fails to provide </w:t>
            </w:r>
            <w:r w:rsidR="00180E0C">
              <w:rPr>
                <w:rFonts w:eastAsia="Times New Roman" w:cs="Calibri"/>
              </w:rPr>
              <w:t xml:space="preserve">of </w:t>
            </w:r>
            <w:r w:rsidR="00016B85">
              <w:rPr>
                <w:rFonts w:eastAsia="Times New Roman" w:cs="Calibri"/>
              </w:rPr>
              <w:t>its</w:t>
            </w:r>
            <w:r w:rsidR="00180E0C">
              <w:rPr>
                <w:rFonts w:eastAsia="Times New Roman" w:cs="Calibri"/>
              </w:rPr>
              <w:t xml:space="preserve"> </w:t>
            </w:r>
            <w:r w:rsidR="00180E0C" w:rsidRPr="00180E0C">
              <w:rPr>
                <w:rFonts w:eastAsia="Times New Roman" w:cs="Calibri"/>
              </w:rPr>
              <w:t>IT security and resilience arrangements</w:t>
            </w:r>
          </w:p>
          <w:p w14:paraId="3E252C40" w14:textId="7B5BD6AB" w:rsidR="007A1051" w:rsidRDefault="007A1051" w:rsidP="00642950">
            <w:pPr>
              <w:spacing w:after="0" w:line="276" w:lineRule="auto"/>
              <w:jc w:val="both"/>
              <w:rPr>
                <w:rFonts w:eastAsia="Times New Roman" w:cs="Calibri"/>
                <w:b/>
                <w:bCs/>
              </w:rPr>
            </w:pPr>
            <w:r>
              <w:rPr>
                <w:rFonts w:eastAsia="Times New Roman" w:cs="Calibri"/>
                <w:b/>
                <w:bCs/>
              </w:rPr>
              <w:t>OR</w:t>
            </w:r>
          </w:p>
          <w:p w14:paraId="7F876680" w14:textId="248370BE" w:rsidR="0049094D" w:rsidRPr="0049094D" w:rsidRDefault="0049094D" w:rsidP="00642950">
            <w:pPr>
              <w:spacing w:after="0" w:line="276" w:lineRule="auto"/>
              <w:jc w:val="both"/>
              <w:rPr>
                <w:rFonts w:eastAsia="Times New Roman" w:cs="Calibri"/>
                <w:b/>
                <w:bCs/>
                <w:u w:val="single"/>
              </w:rPr>
            </w:pPr>
            <w:r w:rsidRPr="00E77417">
              <w:rPr>
                <w:rFonts w:eastAsia="Times New Roman" w:cs="Calibri"/>
              </w:rPr>
              <w:t>A response of ‘No’</w:t>
            </w:r>
            <w:r>
              <w:rPr>
                <w:rFonts w:eastAsia="Times New Roman" w:cs="Calibri"/>
              </w:rPr>
              <w:t>, where the explanation provided is considered unacceptable by HMRC</w:t>
            </w:r>
          </w:p>
        </w:tc>
      </w:tr>
      <w:tr w:rsidR="00A46209" w:rsidRPr="00BF1FD6" w14:paraId="4C37C45F" w14:textId="77777777" w:rsidTr="3AD35CA9">
        <w:trPr>
          <w:trHeight w:val="510"/>
        </w:trPr>
        <w:tc>
          <w:tcPr>
            <w:tcW w:w="1474" w:type="dxa"/>
            <w:shd w:val="clear" w:color="auto" w:fill="FFFFFF" w:themeFill="background1"/>
          </w:tcPr>
          <w:p w14:paraId="6B137C1F" w14:textId="27CFF12C"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3.7</w:t>
            </w:r>
            <w:r w:rsidR="00036E3F" w:rsidRPr="00A750A6">
              <w:rPr>
                <w:rFonts w:eastAsia="Times New Roman" w:cs="Calibri"/>
                <w:b/>
              </w:rPr>
              <w:t>a</w:t>
            </w:r>
          </w:p>
        </w:tc>
        <w:tc>
          <w:tcPr>
            <w:tcW w:w="1701" w:type="dxa"/>
            <w:shd w:val="clear" w:color="auto" w:fill="FFFFFF" w:themeFill="background1"/>
          </w:tcPr>
          <w:p w14:paraId="658DAD57"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073FDB05"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37C1FE52" w14:textId="042EDB0D" w:rsidR="00A46209" w:rsidRPr="00E66809" w:rsidRDefault="00A46209" w:rsidP="00642950">
            <w:pPr>
              <w:spacing w:after="0" w:line="276" w:lineRule="auto"/>
              <w:jc w:val="both"/>
              <w:rPr>
                <w:rFonts w:eastAsia="Times New Roman" w:cs="Calibri"/>
              </w:rPr>
            </w:pPr>
            <w:r w:rsidRPr="00E66809">
              <w:rPr>
                <w:rFonts w:eastAsia="Times New Roman" w:cs="Calibri"/>
              </w:rPr>
              <w:t>A response of ‘Yes’</w:t>
            </w:r>
            <w:r w:rsidR="00BA58EB">
              <w:rPr>
                <w:rFonts w:eastAsia="Times New Roman" w:cs="Calibri"/>
              </w:rPr>
              <w:t>,</w:t>
            </w:r>
            <w:r w:rsidR="00C47A6A">
              <w:rPr>
                <w:rFonts w:eastAsia="Times New Roman" w:cs="Calibri"/>
              </w:rPr>
              <w:t xml:space="preserve"> </w:t>
            </w:r>
            <w:r w:rsidR="00BA58EB">
              <w:rPr>
                <w:rFonts w:eastAsia="Times New Roman" w:cs="Calibri"/>
              </w:rPr>
              <w:t xml:space="preserve">with a full list of </w:t>
            </w:r>
            <w:r w:rsidR="00D951E3">
              <w:rPr>
                <w:rFonts w:eastAsia="Times New Roman" w:cs="Calibri"/>
              </w:rPr>
              <w:t>first-party software products/modules provided</w:t>
            </w:r>
            <w:r w:rsidR="00E278DC">
              <w:rPr>
                <w:rFonts w:eastAsia="Times New Roman" w:cs="Calibri"/>
              </w:rPr>
              <w:t>, covering all of the required capabilities.</w:t>
            </w:r>
          </w:p>
          <w:p w14:paraId="28466FC6" w14:textId="77777777" w:rsidR="00A46209" w:rsidRPr="00E66809" w:rsidRDefault="00A46209" w:rsidP="00642950">
            <w:pPr>
              <w:spacing w:after="0" w:line="276" w:lineRule="auto"/>
              <w:jc w:val="both"/>
              <w:rPr>
                <w:rFonts w:eastAsia="Times New Roman" w:cs="Calibri"/>
              </w:rPr>
            </w:pPr>
          </w:p>
          <w:p w14:paraId="313ACC8E"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2E6D76FC" w14:textId="5FEC39EA" w:rsidR="00A46209" w:rsidRDefault="00A46209" w:rsidP="00642950">
            <w:pPr>
              <w:spacing w:after="0" w:line="276" w:lineRule="auto"/>
              <w:jc w:val="both"/>
              <w:rPr>
                <w:rFonts w:eastAsia="Times New Roman" w:cs="Calibri"/>
              </w:rPr>
            </w:pPr>
            <w:r w:rsidRPr="00E66809">
              <w:rPr>
                <w:rFonts w:eastAsia="Times New Roman" w:cs="Calibri"/>
              </w:rPr>
              <w:t>A response of ‘No’</w:t>
            </w:r>
            <w:r w:rsidR="009D6221">
              <w:rPr>
                <w:rFonts w:eastAsia="Times New Roman" w:cs="Calibri"/>
              </w:rPr>
              <w:t>.</w:t>
            </w:r>
          </w:p>
          <w:p w14:paraId="68A211E9" w14:textId="77777777" w:rsidR="00D951E3" w:rsidRPr="00E66809" w:rsidRDefault="00621F1B" w:rsidP="00642950">
            <w:pPr>
              <w:spacing w:after="0" w:line="276" w:lineRule="auto"/>
              <w:jc w:val="both"/>
              <w:rPr>
                <w:rFonts w:eastAsia="Times New Roman" w:cs="Calibri"/>
                <w:b/>
              </w:rPr>
            </w:pPr>
            <w:r w:rsidRPr="00E66809">
              <w:rPr>
                <w:rFonts w:eastAsia="Times New Roman" w:cs="Calibri"/>
                <w:b/>
              </w:rPr>
              <w:t>OR</w:t>
            </w:r>
          </w:p>
          <w:p w14:paraId="6085C706" w14:textId="1B48B3D4" w:rsidR="00621F1B" w:rsidRPr="00E66809" w:rsidRDefault="00621F1B" w:rsidP="00642950">
            <w:pPr>
              <w:spacing w:after="0" w:line="276" w:lineRule="auto"/>
              <w:jc w:val="both"/>
              <w:rPr>
                <w:rFonts w:eastAsia="Times New Roman" w:cs="Calibri"/>
              </w:rPr>
            </w:pPr>
            <w:r w:rsidRPr="00E66809">
              <w:rPr>
                <w:rFonts w:eastAsia="Times New Roman" w:cs="Calibri"/>
              </w:rPr>
              <w:t>A response of</w:t>
            </w:r>
            <w:r w:rsidR="00651A41" w:rsidRPr="00E66809">
              <w:rPr>
                <w:rFonts w:eastAsia="Times New Roman" w:cs="Calibri"/>
              </w:rPr>
              <w:t xml:space="preserve"> ‘</w:t>
            </w:r>
            <w:r w:rsidRPr="00E66809">
              <w:rPr>
                <w:rFonts w:eastAsia="Times New Roman" w:cs="Calibri"/>
              </w:rPr>
              <w:t>Yes’</w:t>
            </w:r>
            <w:r w:rsidR="00651A41" w:rsidRPr="00E66809">
              <w:rPr>
                <w:rFonts w:eastAsia="Times New Roman" w:cs="Calibri"/>
              </w:rPr>
              <w:t xml:space="preserve">, </w:t>
            </w:r>
            <w:r w:rsidR="00D02E89" w:rsidRPr="00E66809">
              <w:rPr>
                <w:rFonts w:eastAsia="Times New Roman" w:cs="Calibri"/>
              </w:rPr>
              <w:t xml:space="preserve">but the </w:t>
            </w:r>
            <w:r w:rsidR="00584CA7" w:rsidRPr="00E66809">
              <w:rPr>
                <w:rFonts w:eastAsia="Times New Roman" w:cs="Calibri"/>
              </w:rPr>
              <w:t>list of</w:t>
            </w:r>
            <w:r w:rsidR="00D02E89" w:rsidRPr="00E66809">
              <w:rPr>
                <w:rFonts w:eastAsia="Times New Roman" w:cs="Calibri"/>
              </w:rPr>
              <w:t xml:space="preserve"> first-party software products does not </w:t>
            </w:r>
            <w:r w:rsidR="00584CA7" w:rsidRPr="00E66809">
              <w:rPr>
                <w:rFonts w:eastAsia="Times New Roman" w:cs="Calibri"/>
              </w:rPr>
              <w:t>cover all of the listed capabilities</w:t>
            </w:r>
            <w:r w:rsidR="009D6221">
              <w:rPr>
                <w:rFonts w:eastAsia="Times New Roman" w:cs="Calibri"/>
              </w:rPr>
              <w:t>.</w:t>
            </w:r>
          </w:p>
          <w:p w14:paraId="3A5E2A09" w14:textId="77777777" w:rsidR="00584CA7" w:rsidRPr="00FA307B" w:rsidRDefault="00584CA7" w:rsidP="00642950">
            <w:pPr>
              <w:spacing w:after="0" w:line="276" w:lineRule="auto"/>
              <w:jc w:val="both"/>
              <w:rPr>
                <w:rFonts w:eastAsia="Times New Roman" w:cs="Calibri"/>
                <w:b/>
              </w:rPr>
            </w:pPr>
            <w:r w:rsidRPr="00FA307B">
              <w:rPr>
                <w:rFonts w:eastAsia="Times New Roman" w:cs="Calibri"/>
                <w:b/>
              </w:rPr>
              <w:t>OR</w:t>
            </w:r>
          </w:p>
          <w:p w14:paraId="15CEDCED" w14:textId="424C2B25" w:rsidR="00584CA7" w:rsidRPr="00E66809" w:rsidRDefault="00584CA7" w:rsidP="00642950">
            <w:pPr>
              <w:spacing w:after="0" w:line="276" w:lineRule="auto"/>
              <w:jc w:val="both"/>
              <w:rPr>
                <w:rFonts w:eastAsia="Times New Roman" w:cs="Calibri"/>
              </w:rPr>
            </w:pPr>
            <w:r w:rsidRPr="00E66809">
              <w:rPr>
                <w:rFonts w:eastAsia="Times New Roman" w:cs="Calibri"/>
              </w:rPr>
              <w:t>A response of ‘Yes, but the list of first-party software products is incomplete</w:t>
            </w:r>
            <w:r w:rsidR="009D6221">
              <w:rPr>
                <w:rFonts w:eastAsia="Times New Roman" w:cs="Calibri"/>
              </w:rPr>
              <w:t>.</w:t>
            </w:r>
          </w:p>
          <w:p w14:paraId="758B5DB3" w14:textId="77777777" w:rsidR="008E6550" w:rsidRPr="00E66809" w:rsidRDefault="008E6550" w:rsidP="00642950">
            <w:pPr>
              <w:spacing w:after="0" w:line="276" w:lineRule="auto"/>
              <w:jc w:val="both"/>
              <w:rPr>
                <w:rFonts w:eastAsia="Times New Roman" w:cs="Calibri"/>
                <w:b/>
              </w:rPr>
            </w:pPr>
            <w:r w:rsidRPr="00E66809">
              <w:rPr>
                <w:rFonts w:eastAsia="Times New Roman" w:cs="Calibri"/>
                <w:b/>
              </w:rPr>
              <w:t>OR</w:t>
            </w:r>
          </w:p>
          <w:p w14:paraId="37C64452" w14:textId="72711F81" w:rsidR="00A46209" w:rsidRPr="00E66809" w:rsidRDefault="008E6550" w:rsidP="00642950">
            <w:pPr>
              <w:spacing w:after="0" w:line="276" w:lineRule="auto"/>
              <w:jc w:val="both"/>
              <w:rPr>
                <w:rFonts w:eastAsia="Times New Roman" w:cs="Calibri"/>
                <w:highlight w:val="yellow"/>
              </w:rPr>
            </w:pPr>
            <w:r w:rsidRPr="00E66809">
              <w:rPr>
                <w:rFonts w:eastAsia="Times New Roman" w:cs="Calibri"/>
              </w:rPr>
              <w:t xml:space="preserve">A response of ‘Yes’ but some of the products listed are not verifiable </w:t>
            </w:r>
            <w:r w:rsidR="00DF56B9">
              <w:rPr>
                <w:rFonts w:eastAsia="Times New Roman" w:cs="Calibri"/>
                <w:bCs/>
              </w:rPr>
              <w:t xml:space="preserve">by HMRC </w:t>
            </w:r>
            <w:r w:rsidRPr="00E66809">
              <w:rPr>
                <w:rFonts w:eastAsia="Times New Roman" w:cs="Calibri"/>
              </w:rPr>
              <w:t>as first-party products</w:t>
            </w:r>
            <w:r w:rsidR="009D6221">
              <w:rPr>
                <w:rFonts w:eastAsia="Times New Roman" w:cs="Calibri"/>
                <w:bCs/>
              </w:rPr>
              <w:t>.</w:t>
            </w:r>
          </w:p>
        </w:tc>
      </w:tr>
      <w:tr w:rsidR="00036E3F" w:rsidRPr="00BF1FD6" w14:paraId="0AE33352" w14:textId="77777777" w:rsidTr="4E3A6DE2">
        <w:trPr>
          <w:trHeight w:val="510"/>
        </w:trPr>
        <w:tc>
          <w:tcPr>
            <w:tcW w:w="1474" w:type="dxa"/>
            <w:shd w:val="clear" w:color="auto" w:fill="FFFFFF" w:themeFill="background1"/>
          </w:tcPr>
          <w:p w14:paraId="0578D439" w14:textId="68215BAC" w:rsidR="00036E3F" w:rsidRPr="00A750A6" w:rsidRDefault="00036E3F" w:rsidP="00642950">
            <w:pPr>
              <w:spacing w:after="0" w:line="276" w:lineRule="auto"/>
              <w:jc w:val="both"/>
              <w:rPr>
                <w:rFonts w:eastAsia="Times New Roman" w:cs="Calibri"/>
                <w:b/>
              </w:rPr>
            </w:pPr>
            <w:r w:rsidRPr="00A750A6">
              <w:rPr>
                <w:rFonts w:eastAsia="Times New Roman" w:cs="Calibri"/>
                <w:b/>
              </w:rPr>
              <w:t>3.7b</w:t>
            </w:r>
          </w:p>
        </w:tc>
        <w:tc>
          <w:tcPr>
            <w:tcW w:w="1701" w:type="dxa"/>
            <w:shd w:val="clear" w:color="auto" w:fill="FFFFFF" w:themeFill="background1"/>
          </w:tcPr>
          <w:p w14:paraId="07723839" w14:textId="7F157E79" w:rsidR="00036E3F" w:rsidRPr="00E66809" w:rsidRDefault="009D28F2"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083764A4" w14:textId="77777777" w:rsidR="008E6550" w:rsidRPr="00FA307B" w:rsidRDefault="008E6550" w:rsidP="00642950">
            <w:pPr>
              <w:spacing w:after="0" w:line="276" w:lineRule="auto"/>
              <w:jc w:val="both"/>
              <w:rPr>
                <w:rFonts w:eastAsia="Times New Roman" w:cs="Calibri"/>
                <w:b/>
                <w:u w:val="single"/>
              </w:rPr>
            </w:pPr>
            <w:r w:rsidRPr="00FA307B">
              <w:rPr>
                <w:rFonts w:eastAsia="Times New Roman" w:cs="Calibri"/>
                <w:b/>
                <w:u w:val="single"/>
              </w:rPr>
              <w:t>Pass</w:t>
            </w:r>
          </w:p>
          <w:p w14:paraId="03246C45" w14:textId="514DE899" w:rsidR="00E278DC" w:rsidRDefault="00E278DC" w:rsidP="00642950">
            <w:pPr>
              <w:spacing w:after="0" w:line="276" w:lineRule="auto"/>
              <w:jc w:val="both"/>
              <w:rPr>
                <w:rFonts w:eastAsia="Times New Roman" w:cs="Calibri"/>
              </w:rPr>
            </w:pPr>
            <w:r w:rsidRPr="00E278DC">
              <w:rPr>
                <w:rFonts w:eastAsia="Times New Roman" w:cs="Calibri"/>
              </w:rPr>
              <w:t>A response of ‘Yes’,</w:t>
            </w:r>
            <w:r w:rsidR="00A81374">
              <w:rPr>
                <w:rFonts w:eastAsia="Times New Roman" w:cs="Calibri"/>
              </w:rPr>
              <w:t xml:space="preserve"> </w:t>
            </w:r>
            <w:r w:rsidRPr="00E278DC">
              <w:rPr>
                <w:rFonts w:eastAsia="Times New Roman" w:cs="Calibri"/>
              </w:rPr>
              <w:t xml:space="preserve">with a full list of </w:t>
            </w:r>
            <w:r w:rsidR="00A53512">
              <w:rPr>
                <w:rFonts w:eastAsia="Times New Roman" w:cs="Calibri"/>
              </w:rPr>
              <w:t xml:space="preserve">first-party </w:t>
            </w:r>
            <w:r w:rsidRPr="00E278DC">
              <w:rPr>
                <w:rFonts w:eastAsia="Times New Roman" w:cs="Calibri"/>
              </w:rPr>
              <w:t>software products/modules provided, covering all of the required capabilities.</w:t>
            </w:r>
          </w:p>
          <w:p w14:paraId="6C2B5404" w14:textId="74B8994E" w:rsidR="00E278DC" w:rsidRDefault="00E278DC" w:rsidP="00642950">
            <w:pPr>
              <w:spacing w:after="0" w:line="276" w:lineRule="auto"/>
              <w:jc w:val="both"/>
              <w:rPr>
                <w:rFonts w:eastAsia="Times New Roman" w:cs="Calibri"/>
                <w:b/>
                <w:bCs/>
              </w:rPr>
            </w:pPr>
            <w:r>
              <w:rPr>
                <w:rFonts w:eastAsia="Times New Roman" w:cs="Calibri"/>
                <w:b/>
                <w:bCs/>
              </w:rPr>
              <w:t>OR</w:t>
            </w:r>
          </w:p>
          <w:p w14:paraId="75817C72" w14:textId="0F5D5F59" w:rsidR="00E278DC" w:rsidRPr="00E278DC" w:rsidRDefault="00E278DC" w:rsidP="00642950">
            <w:pPr>
              <w:spacing w:after="0" w:line="276" w:lineRule="auto"/>
              <w:jc w:val="both"/>
              <w:rPr>
                <w:rFonts w:eastAsia="Times New Roman" w:cs="Calibri"/>
              </w:rPr>
            </w:pPr>
            <w:r w:rsidRPr="00E66809">
              <w:rPr>
                <w:rFonts w:eastAsia="Times New Roman" w:cs="Calibri"/>
              </w:rPr>
              <w:t>A response</w:t>
            </w:r>
            <w:r w:rsidR="00A81374">
              <w:rPr>
                <w:rFonts w:eastAsia="Times New Roman" w:cs="Calibri"/>
              </w:rPr>
              <w:t xml:space="preserve"> of ‘No’, </w:t>
            </w:r>
            <w:r w:rsidR="00A81374" w:rsidRPr="00E278DC">
              <w:rPr>
                <w:rFonts w:eastAsia="Times New Roman" w:cs="Calibri"/>
              </w:rPr>
              <w:t>with a full list of software products/modules provided, covering all of the required capabilities</w:t>
            </w:r>
            <w:r w:rsidR="00CC6E89">
              <w:rPr>
                <w:rFonts w:eastAsia="Times New Roman" w:cs="Calibri"/>
              </w:rPr>
              <w:t xml:space="preserve"> and clear </w:t>
            </w:r>
            <w:r w:rsidR="00CF0A0E">
              <w:rPr>
                <w:rFonts w:eastAsia="Times New Roman" w:cs="Calibri"/>
              </w:rPr>
              <w:t>identification</w:t>
            </w:r>
            <w:r w:rsidR="00E3364E">
              <w:rPr>
                <w:rFonts w:eastAsia="Times New Roman" w:cs="Calibri"/>
              </w:rPr>
              <w:t xml:space="preserve"> of the relevant third-party products.</w:t>
            </w:r>
          </w:p>
          <w:p w14:paraId="7452BB4F" w14:textId="77777777" w:rsidR="008E6550" w:rsidRPr="00FA307B" w:rsidRDefault="008E6550" w:rsidP="00642950">
            <w:pPr>
              <w:spacing w:after="0" w:line="276" w:lineRule="auto"/>
              <w:jc w:val="both"/>
              <w:rPr>
                <w:rFonts w:eastAsia="Times New Roman" w:cs="Calibri"/>
              </w:rPr>
            </w:pPr>
          </w:p>
          <w:p w14:paraId="24E8AA2E" w14:textId="77777777" w:rsidR="008E6550" w:rsidRPr="00FA307B" w:rsidRDefault="008E6550" w:rsidP="00642950">
            <w:pPr>
              <w:spacing w:after="0" w:line="276" w:lineRule="auto"/>
              <w:jc w:val="both"/>
              <w:rPr>
                <w:rFonts w:eastAsia="Times New Roman" w:cs="Calibri"/>
              </w:rPr>
            </w:pPr>
            <w:r w:rsidRPr="00FA307B">
              <w:rPr>
                <w:rFonts w:eastAsia="Times New Roman" w:cs="Calibri"/>
                <w:b/>
                <w:u w:val="single"/>
              </w:rPr>
              <w:t>Fail</w:t>
            </w:r>
          </w:p>
          <w:p w14:paraId="44E7419E" w14:textId="2C59F10A" w:rsidR="00C46839" w:rsidRDefault="008E6550" w:rsidP="00642950">
            <w:pPr>
              <w:spacing w:after="0" w:line="276" w:lineRule="auto"/>
              <w:jc w:val="both"/>
              <w:rPr>
                <w:rFonts w:eastAsia="Times New Roman" w:cs="Calibri"/>
              </w:rPr>
            </w:pPr>
            <w:r w:rsidRPr="00FA307B">
              <w:rPr>
                <w:rFonts w:eastAsia="Times New Roman" w:cs="Calibri"/>
              </w:rPr>
              <w:t>A response of ‘No’</w:t>
            </w:r>
            <w:r w:rsidR="00CB03F6">
              <w:rPr>
                <w:rFonts w:eastAsia="Times New Roman" w:cs="Calibri"/>
              </w:rPr>
              <w:t xml:space="preserve">, but the list of software products </w:t>
            </w:r>
            <w:r w:rsidR="00C46839">
              <w:rPr>
                <w:rFonts w:eastAsia="Times New Roman" w:cs="Calibri"/>
              </w:rPr>
              <w:t>is incomplete</w:t>
            </w:r>
            <w:r w:rsidR="002C6495">
              <w:rPr>
                <w:rFonts w:eastAsia="Times New Roman" w:cs="Calibri"/>
              </w:rPr>
              <w:t>.</w:t>
            </w:r>
          </w:p>
          <w:p w14:paraId="734A4E91" w14:textId="77777777" w:rsidR="008E6550" w:rsidRDefault="008E6550" w:rsidP="00642950">
            <w:pPr>
              <w:spacing w:after="0" w:line="276" w:lineRule="auto"/>
              <w:jc w:val="both"/>
              <w:rPr>
                <w:rFonts w:eastAsia="Times New Roman" w:cs="Calibri"/>
                <w:b/>
              </w:rPr>
            </w:pPr>
            <w:r w:rsidRPr="00FA307B">
              <w:rPr>
                <w:rFonts w:eastAsia="Times New Roman" w:cs="Calibri"/>
                <w:b/>
              </w:rPr>
              <w:t>OR</w:t>
            </w:r>
          </w:p>
          <w:p w14:paraId="5D08FC75" w14:textId="674FD128" w:rsidR="00CC6E89" w:rsidRDefault="00CC6E89" w:rsidP="00CC6E89">
            <w:pPr>
              <w:spacing w:after="0" w:line="276" w:lineRule="auto"/>
              <w:jc w:val="both"/>
              <w:rPr>
                <w:rFonts w:eastAsia="Times New Roman" w:cs="Calibri"/>
              </w:rPr>
            </w:pPr>
            <w:r w:rsidRPr="00FA307B">
              <w:rPr>
                <w:rFonts w:eastAsia="Times New Roman" w:cs="Calibri"/>
              </w:rPr>
              <w:t>A response of ‘No’</w:t>
            </w:r>
            <w:r>
              <w:rPr>
                <w:rFonts w:eastAsia="Times New Roman" w:cs="Calibri"/>
              </w:rPr>
              <w:t xml:space="preserve">, but the </w:t>
            </w:r>
            <w:r w:rsidR="00A53512">
              <w:rPr>
                <w:rFonts w:eastAsia="Times New Roman" w:cs="Calibri"/>
              </w:rPr>
              <w:t>third-party products are not c</w:t>
            </w:r>
            <w:r w:rsidR="00E0376F">
              <w:rPr>
                <w:rFonts w:eastAsia="Times New Roman" w:cs="Calibri"/>
              </w:rPr>
              <w:t xml:space="preserve">learly </w:t>
            </w:r>
            <w:r w:rsidR="00A97DE9">
              <w:rPr>
                <w:rFonts w:eastAsia="Times New Roman" w:cs="Calibri"/>
              </w:rPr>
              <w:t>identified.</w:t>
            </w:r>
          </w:p>
          <w:p w14:paraId="4BF7E4A3" w14:textId="35AAF662" w:rsidR="002C6495" w:rsidRPr="00CC6E89" w:rsidRDefault="00CC6E89" w:rsidP="00642950">
            <w:pPr>
              <w:spacing w:after="0" w:line="276" w:lineRule="auto"/>
              <w:jc w:val="both"/>
              <w:rPr>
                <w:rFonts w:eastAsia="Times New Roman" w:cs="Calibri"/>
                <w:b/>
                <w:bCs/>
              </w:rPr>
            </w:pPr>
            <w:r>
              <w:rPr>
                <w:rFonts w:eastAsia="Times New Roman" w:cs="Calibri"/>
                <w:b/>
                <w:bCs/>
              </w:rPr>
              <w:t>OR</w:t>
            </w:r>
          </w:p>
          <w:p w14:paraId="6F12B3C0" w14:textId="68DE2EAF" w:rsidR="00C46839" w:rsidRDefault="00C46839" w:rsidP="00642950">
            <w:pPr>
              <w:spacing w:after="0" w:line="276" w:lineRule="auto"/>
              <w:jc w:val="both"/>
              <w:rPr>
                <w:rFonts w:eastAsia="Times New Roman" w:cs="Calibri"/>
              </w:rPr>
            </w:pPr>
            <w:r w:rsidRPr="00FA307B">
              <w:rPr>
                <w:rFonts w:eastAsia="Times New Roman" w:cs="Calibri"/>
              </w:rPr>
              <w:t>A response of ‘No’</w:t>
            </w:r>
            <w:r>
              <w:rPr>
                <w:rFonts w:eastAsia="Times New Roman" w:cs="Calibri"/>
              </w:rPr>
              <w:t>, but the list of software products does not cover all of the required c</w:t>
            </w:r>
            <w:r w:rsidR="005A4B08">
              <w:rPr>
                <w:rFonts w:eastAsia="Times New Roman" w:cs="Calibri"/>
              </w:rPr>
              <w:t>apabilities</w:t>
            </w:r>
            <w:r w:rsidR="009D6221">
              <w:rPr>
                <w:rFonts w:eastAsia="Times New Roman" w:cs="Calibri"/>
              </w:rPr>
              <w:t>.</w:t>
            </w:r>
          </w:p>
          <w:p w14:paraId="453CA92D" w14:textId="1418A0EB" w:rsidR="005A4B08" w:rsidRPr="005A4B08" w:rsidRDefault="005A4B08" w:rsidP="00642950">
            <w:pPr>
              <w:spacing w:after="0" w:line="276" w:lineRule="auto"/>
              <w:jc w:val="both"/>
              <w:rPr>
                <w:rFonts w:eastAsia="Times New Roman" w:cs="Calibri"/>
                <w:b/>
                <w:bCs/>
              </w:rPr>
            </w:pPr>
            <w:r>
              <w:rPr>
                <w:rFonts w:eastAsia="Times New Roman" w:cs="Calibri"/>
                <w:b/>
                <w:bCs/>
              </w:rPr>
              <w:lastRenderedPageBreak/>
              <w:t>O</w:t>
            </w:r>
            <w:r w:rsidR="007756EC">
              <w:rPr>
                <w:rFonts w:eastAsia="Times New Roman" w:cs="Calibri"/>
                <w:b/>
                <w:bCs/>
              </w:rPr>
              <w:t>R</w:t>
            </w:r>
          </w:p>
          <w:p w14:paraId="04B50FFC" w14:textId="7A64437D" w:rsidR="008E6550" w:rsidRPr="00FA307B" w:rsidRDefault="008E6550" w:rsidP="00642950">
            <w:pPr>
              <w:spacing w:after="0" w:line="276" w:lineRule="auto"/>
              <w:jc w:val="both"/>
              <w:rPr>
                <w:rFonts w:eastAsia="Times New Roman" w:cs="Calibri"/>
                <w:bCs/>
              </w:rPr>
            </w:pPr>
            <w:r w:rsidRPr="00FA307B">
              <w:rPr>
                <w:rFonts w:eastAsia="Times New Roman" w:cs="Calibri"/>
                <w:bCs/>
              </w:rPr>
              <w:t>A response of ‘Yes’, but the list of</w:t>
            </w:r>
            <w:r w:rsidR="00E3364E">
              <w:rPr>
                <w:rFonts w:eastAsia="Times New Roman" w:cs="Calibri"/>
                <w:bCs/>
              </w:rPr>
              <w:t xml:space="preserve"> first-party</w:t>
            </w:r>
            <w:r w:rsidRPr="00FA307B">
              <w:rPr>
                <w:rFonts w:eastAsia="Times New Roman" w:cs="Calibri"/>
                <w:bCs/>
              </w:rPr>
              <w:t xml:space="preserve"> software products does not cover all of the listed capabilities</w:t>
            </w:r>
            <w:r w:rsidR="009D6221">
              <w:rPr>
                <w:rFonts w:eastAsia="Times New Roman" w:cs="Calibri"/>
                <w:bCs/>
              </w:rPr>
              <w:t>.</w:t>
            </w:r>
          </w:p>
          <w:p w14:paraId="3132DB0A" w14:textId="77777777" w:rsidR="008E6550" w:rsidRPr="008E6550" w:rsidRDefault="008E6550" w:rsidP="00642950">
            <w:pPr>
              <w:spacing w:after="0" w:line="276" w:lineRule="auto"/>
              <w:jc w:val="both"/>
              <w:rPr>
                <w:rFonts w:eastAsia="Times New Roman" w:cs="Calibri"/>
                <w:b/>
              </w:rPr>
            </w:pPr>
            <w:r w:rsidRPr="008E6550">
              <w:rPr>
                <w:rFonts w:eastAsia="Times New Roman" w:cs="Calibri"/>
                <w:b/>
              </w:rPr>
              <w:t>OR</w:t>
            </w:r>
          </w:p>
          <w:p w14:paraId="0709D3B8" w14:textId="2C15893D" w:rsidR="008E6550" w:rsidRPr="00FA307B" w:rsidRDefault="008E6550" w:rsidP="00642950">
            <w:pPr>
              <w:spacing w:after="0" w:line="276" w:lineRule="auto"/>
              <w:jc w:val="both"/>
              <w:rPr>
                <w:rFonts w:eastAsia="Times New Roman" w:cs="Calibri"/>
                <w:bCs/>
              </w:rPr>
            </w:pPr>
            <w:r w:rsidRPr="00FA307B">
              <w:rPr>
                <w:rFonts w:eastAsia="Times New Roman" w:cs="Calibri"/>
                <w:bCs/>
              </w:rPr>
              <w:t>A response of ‘Yes, but the list of software products is incomplete</w:t>
            </w:r>
            <w:r w:rsidR="009D6221">
              <w:rPr>
                <w:rFonts w:eastAsia="Times New Roman" w:cs="Calibri"/>
                <w:bCs/>
              </w:rPr>
              <w:t>.</w:t>
            </w:r>
          </w:p>
          <w:p w14:paraId="1F0BFF74" w14:textId="77777777" w:rsidR="008E6550" w:rsidRPr="00FA307B" w:rsidRDefault="008E6550" w:rsidP="00642950">
            <w:pPr>
              <w:spacing w:after="0" w:line="276" w:lineRule="auto"/>
              <w:jc w:val="both"/>
              <w:rPr>
                <w:rFonts w:eastAsia="Times New Roman" w:cs="Calibri"/>
                <w:b/>
              </w:rPr>
            </w:pPr>
            <w:r w:rsidRPr="00FA307B">
              <w:rPr>
                <w:rFonts w:eastAsia="Times New Roman" w:cs="Calibri"/>
                <w:b/>
              </w:rPr>
              <w:t>OR</w:t>
            </w:r>
          </w:p>
          <w:p w14:paraId="43E387F2" w14:textId="51431733" w:rsidR="00036E3F" w:rsidRPr="00036E3F" w:rsidRDefault="008E6550" w:rsidP="00642950">
            <w:pPr>
              <w:spacing w:after="0" w:line="276" w:lineRule="auto"/>
              <w:jc w:val="both"/>
              <w:rPr>
                <w:rFonts w:eastAsia="Times New Roman" w:cs="Calibri"/>
                <w:b/>
                <w:highlight w:val="yellow"/>
                <w:u w:val="single"/>
              </w:rPr>
            </w:pPr>
            <w:r w:rsidRPr="00FA307B">
              <w:rPr>
                <w:rFonts w:eastAsia="Times New Roman" w:cs="Calibri"/>
                <w:bCs/>
              </w:rPr>
              <w:t xml:space="preserve">A response of ‘Yes’ but some of the products listed are not verifiable </w:t>
            </w:r>
            <w:r w:rsidR="00DF56B9">
              <w:rPr>
                <w:rFonts w:eastAsia="Times New Roman" w:cs="Calibri"/>
                <w:bCs/>
              </w:rPr>
              <w:t>by HMRC</w:t>
            </w:r>
            <w:r w:rsidRPr="00FA307B">
              <w:rPr>
                <w:rFonts w:eastAsia="Times New Roman" w:cs="Calibri"/>
                <w:bCs/>
              </w:rPr>
              <w:t xml:space="preserve"> as first-party products</w:t>
            </w:r>
            <w:r w:rsidR="009D6221">
              <w:rPr>
                <w:rFonts w:eastAsia="Times New Roman" w:cs="Calibri"/>
                <w:bCs/>
              </w:rPr>
              <w:t>.</w:t>
            </w:r>
          </w:p>
        </w:tc>
      </w:tr>
      <w:tr w:rsidR="00A46209" w:rsidRPr="00BF1FD6" w14:paraId="7BCF86A2" w14:textId="77777777" w:rsidTr="3AD35CA9">
        <w:trPr>
          <w:trHeight w:val="510"/>
        </w:trPr>
        <w:tc>
          <w:tcPr>
            <w:tcW w:w="1474" w:type="dxa"/>
            <w:shd w:val="clear" w:color="auto" w:fill="FFFFFF" w:themeFill="background1"/>
          </w:tcPr>
          <w:p w14:paraId="12754E66"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3.8</w:t>
            </w:r>
          </w:p>
        </w:tc>
        <w:tc>
          <w:tcPr>
            <w:tcW w:w="1701" w:type="dxa"/>
            <w:shd w:val="clear" w:color="auto" w:fill="FFFFFF" w:themeFill="background1"/>
          </w:tcPr>
          <w:p w14:paraId="394D6962"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030748B3" w14:textId="77777777" w:rsidR="00E82C77" w:rsidRPr="00E77417" w:rsidRDefault="00E82C77" w:rsidP="00642950">
            <w:pPr>
              <w:spacing w:after="0" w:line="276" w:lineRule="auto"/>
              <w:jc w:val="both"/>
              <w:rPr>
                <w:rFonts w:eastAsia="Times New Roman" w:cs="Calibri"/>
                <w:b/>
                <w:u w:val="single"/>
              </w:rPr>
            </w:pPr>
            <w:r w:rsidRPr="00E77417">
              <w:rPr>
                <w:rFonts w:eastAsia="Times New Roman" w:cs="Calibri"/>
                <w:b/>
                <w:u w:val="single"/>
              </w:rPr>
              <w:t>Pass</w:t>
            </w:r>
          </w:p>
          <w:p w14:paraId="3931D1B0" w14:textId="77C79F50" w:rsidR="00211799" w:rsidRDefault="00211799" w:rsidP="00642950">
            <w:pPr>
              <w:spacing w:after="0" w:line="276" w:lineRule="auto"/>
              <w:jc w:val="both"/>
              <w:rPr>
                <w:rFonts w:eastAsia="Times New Roman" w:cs="Calibri"/>
              </w:rPr>
            </w:pPr>
            <w:r w:rsidRPr="00E77417">
              <w:rPr>
                <w:rFonts w:eastAsia="Times New Roman" w:cs="Calibri"/>
              </w:rPr>
              <w:t>A response of ‘Yes’</w:t>
            </w:r>
            <w:r w:rsidR="00743F13">
              <w:rPr>
                <w:rFonts w:eastAsia="Times New Roman" w:cs="Calibri"/>
              </w:rPr>
              <w:t>, without any qualifications that are deemed unacceptable by HMRC</w:t>
            </w:r>
            <w:r>
              <w:rPr>
                <w:rFonts w:eastAsia="Times New Roman" w:cs="Calibri"/>
              </w:rPr>
              <w:t>.</w:t>
            </w:r>
          </w:p>
          <w:p w14:paraId="4746243B" w14:textId="77777777" w:rsidR="00211799" w:rsidRDefault="00211799" w:rsidP="00642950">
            <w:pPr>
              <w:spacing w:after="0" w:line="276" w:lineRule="auto"/>
              <w:jc w:val="both"/>
              <w:rPr>
                <w:rFonts w:eastAsia="Times New Roman" w:cs="Calibri"/>
              </w:rPr>
            </w:pPr>
            <w:r>
              <w:rPr>
                <w:rFonts w:eastAsia="Times New Roman" w:cs="Calibri"/>
              </w:rPr>
              <w:t>OR</w:t>
            </w:r>
          </w:p>
          <w:p w14:paraId="61BB8C2F" w14:textId="3BBE685A" w:rsidR="001E0B35" w:rsidRDefault="00211799" w:rsidP="00642950">
            <w:pPr>
              <w:spacing w:after="0" w:line="276" w:lineRule="auto"/>
              <w:jc w:val="both"/>
              <w:rPr>
                <w:rFonts w:eastAsia="Times New Roman" w:cs="Calibri"/>
              </w:rPr>
            </w:pPr>
            <w:r>
              <w:rPr>
                <w:rFonts w:eastAsia="Times New Roman" w:cs="Calibri"/>
              </w:rPr>
              <w:t xml:space="preserve">A response of ‘No’, </w:t>
            </w:r>
            <w:r w:rsidR="006022DE">
              <w:rPr>
                <w:rFonts w:eastAsia="Times New Roman" w:cs="Calibri"/>
              </w:rPr>
              <w:t xml:space="preserve">confirming </w:t>
            </w:r>
            <w:r w:rsidR="006847F8">
              <w:rPr>
                <w:rFonts w:eastAsia="Times New Roman" w:cs="Calibri"/>
              </w:rPr>
              <w:t>which of the metrics cannot be met and an explanation of why this is the case</w:t>
            </w:r>
            <w:r>
              <w:rPr>
                <w:rFonts w:eastAsia="Times New Roman" w:cs="Calibri"/>
              </w:rPr>
              <w:t>.</w:t>
            </w:r>
            <w:r w:rsidR="00A97DE9">
              <w:rPr>
                <w:rFonts w:eastAsia="Times New Roman" w:cs="Calibri"/>
              </w:rPr>
              <w:t xml:space="preserve"> </w:t>
            </w:r>
            <w:r>
              <w:rPr>
                <w:rFonts w:eastAsia="Times New Roman" w:cs="Calibri"/>
              </w:rPr>
              <w:t xml:space="preserve">Whether </w:t>
            </w:r>
            <w:r w:rsidR="006847F8">
              <w:rPr>
                <w:rFonts w:eastAsia="Times New Roman" w:cs="Calibri"/>
              </w:rPr>
              <w:t>an explanation</w:t>
            </w:r>
            <w:r>
              <w:rPr>
                <w:rFonts w:eastAsia="Times New Roman" w:cs="Calibri"/>
              </w:rPr>
              <w:t xml:space="preserve"> is considered acceptable or otherwise shall be at the sole discretion of HMRC.</w:t>
            </w:r>
          </w:p>
          <w:p w14:paraId="0C9F3A05" w14:textId="77777777" w:rsidR="001E0B35" w:rsidRPr="00E77417" w:rsidRDefault="001E0B35" w:rsidP="00642950">
            <w:pPr>
              <w:spacing w:after="0" w:line="276" w:lineRule="auto"/>
              <w:jc w:val="both"/>
              <w:rPr>
                <w:rFonts w:eastAsia="Times New Roman" w:cs="Calibri"/>
              </w:rPr>
            </w:pPr>
          </w:p>
          <w:p w14:paraId="62B9CE97" w14:textId="77777777" w:rsidR="00211799" w:rsidRPr="00E77417" w:rsidRDefault="00211799" w:rsidP="00642950">
            <w:pPr>
              <w:spacing w:after="0" w:line="276" w:lineRule="auto"/>
              <w:jc w:val="both"/>
              <w:rPr>
                <w:rFonts w:eastAsia="Times New Roman" w:cs="Calibri"/>
              </w:rPr>
            </w:pPr>
            <w:r w:rsidRPr="00E77417">
              <w:rPr>
                <w:rFonts w:eastAsia="Times New Roman" w:cs="Calibri"/>
                <w:b/>
                <w:u w:val="single"/>
              </w:rPr>
              <w:t>Fail</w:t>
            </w:r>
          </w:p>
          <w:p w14:paraId="2EA8FAC6" w14:textId="74448E5B" w:rsidR="00211799" w:rsidRDefault="00211799" w:rsidP="00642950">
            <w:pPr>
              <w:spacing w:after="0" w:line="276" w:lineRule="auto"/>
              <w:jc w:val="both"/>
              <w:rPr>
                <w:rFonts w:eastAsia="Times New Roman" w:cs="Calibri"/>
              </w:rPr>
            </w:pPr>
            <w:r w:rsidRPr="00E77417">
              <w:rPr>
                <w:rFonts w:eastAsia="Times New Roman" w:cs="Calibri"/>
              </w:rPr>
              <w:t>A response of ‘No’</w:t>
            </w:r>
            <w:r>
              <w:rPr>
                <w:rFonts w:eastAsia="Times New Roman" w:cs="Calibri"/>
              </w:rPr>
              <w:t>, with</w:t>
            </w:r>
            <w:r w:rsidR="006847F8">
              <w:rPr>
                <w:rFonts w:eastAsia="Times New Roman" w:cs="Calibri"/>
              </w:rPr>
              <w:t>out confirmation of the metrics which cannot be met.</w:t>
            </w:r>
          </w:p>
          <w:p w14:paraId="06A240CE" w14:textId="4EC3C9EB" w:rsidR="00C94BB6" w:rsidRDefault="00C94BB6" w:rsidP="00642950">
            <w:pPr>
              <w:spacing w:after="0" w:line="276" w:lineRule="auto"/>
              <w:jc w:val="both"/>
              <w:rPr>
                <w:rFonts w:eastAsia="Times New Roman" w:cs="Calibri"/>
                <w:b/>
              </w:rPr>
            </w:pPr>
            <w:r w:rsidRPr="00E66809">
              <w:rPr>
                <w:rFonts w:eastAsia="Times New Roman" w:cs="Calibri"/>
                <w:b/>
              </w:rPr>
              <w:t>OR</w:t>
            </w:r>
          </w:p>
          <w:p w14:paraId="13E41D54" w14:textId="189CC79A" w:rsidR="006847F8" w:rsidRDefault="006847F8" w:rsidP="006847F8">
            <w:pPr>
              <w:spacing w:after="0" w:line="276" w:lineRule="auto"/>
              <w:jc w:val="both"/>
              <w:rPr>
                <w:rFonts w:eastAsia="Times New Roman" w:cs="Calibri"/>
              </w:rPr>
            </w:pPr>
            <w:r w:rsidRPr="00E77417">
              <w:rPr>
                <w:rFonts w:eastAsia="Times New Roman" w:cs="Calibri"/>
              </w:rPr>
              <w:t>A response of ‘No’</w:t>
            </w:r>
            <w:r>
              <w:rPr>
                <w:rFonts w:eastAsia="Times New Roman" w:cs="Calibri"/>
              </w:rPr>
              <w:t>,</w:t>
            </w:r>
            <w:r w:rsidR="003D3C5E">
              <w:rPr>
                <w:rFonts w:eastAsia="Times New Roman" w:cs="Calibri"/>
              </w:rPr>
              <w:t xml:space="preserve"> where confirmation of the metrics </w:t>
            </w:r>
            <w:r w:rsidR="00E35B7F">
              <w:rPr>
                <w:rFonts w:eastAsia="Times New Roman" w:cs="Calibri"/>
              </w:rPr>
              <w:t xml:space="preserve">which cannot be met is provided but </w:t>
            </w:r>
            <w:r w:rsidR="00576A8E">
              <w:rPr>
                <w:rFonts w:eastAsia="Times New Roman" w:cs="Calibri"/>
              </w:rPr>
              <w:t xml:space="preserve">an explanation of the </w:t>
            </w:r>
            <w:r w:rsidR="006C0730">
              <w:rPr>
                <w:rFonts w:eastAsia="Times New Roman" w:cs="Calibri"/>
              </w:rPr>
              <w:t>why this is the case has not been provided.</w:t>
            </w:r>
          </w:p>
          <w:p w14:paraId="414EE920" w14:textId="34C3113B" w:rsidR="006847F8" w:rsidRPr="00E66809" w:rsidRDefault="006847F8" w:rsidP="00642950">
            <w:pPr>
              <w:spacing w:after="0" w:line="276" w:lineRule="auto"/>
              <w:jc w:val="both"/>
              <w:rPr>
                <w:rFonts w:eastAsia="Times New Roman" w:cs="Calibri"/>
                <w:b/>
              </w:rPr>
            </w:pPr>
            <w:r>
              <w:rPr>
                <w:rFonts w:eastAsia="Times New Roman" w:cs="Calibri"/>
                <w:b/>
              </w:rPr>
              <w:t>OR</w:t>
            </w:r>
          </w:p>
          <w:p w14:paraId="6A46A36B" w14:textId="1A4DF444" w:rsidR="00211799" w:rsidRPr="00E66809" w:rsidRDefault="006C0730" w:rsidP="00642950">
            <w:pPr>
              <w:spacing w:after="0" w:line="276" w:lineRule="auto"/>
              <w:jc w:val="both"/>
              <w:rPr>
                <w:rFonts w:eastAsia="Times New Roman" w:cs="Calibri"/>
              </w:rPr>
            </w:pPr>
            <w:r>
              <w:rPr>
                <w:rFonts w:eastAsia="Times New Roman" w:cs="Calibri"/>
                <w:bCs/>
              </w:rPr>
              <w:t xml:space="preserve">A response of </w:t>
            </w:r>
            <w:r w:rsidR="002B45F0">
              <w:rPr>
                <w:rFonts w:eastAsia="Times New Roman" w:cs="Calibri"/>
                <w:bCs/>
              </w:rPr>
              <w:t xml:space="preserve">‘No’, </w:t>
            </w:r>
            <w:r w:rsidR="002B45F0">
              <w:rPr>
                <w:rFonts w:eastAsia="Times New Roman" w:cs="Calibri"/>
              </w:rPr>
              <w:t xml:space="preserve">where confirmation of the metrics which cannot be met is provided alongside an explanation of why this is the case, </w:t>
            </w:r>
            <w:r w:rsidR="00575DDF">
              <w:rPr>
                <w:rFonts w:eastAsia="Times New Roman" w:cs="Calibri"/>
              </w:rPr>
              <w:t xml:space="preserve">but HMRC deems this explanation to be </w:t>
            </w:r>
            <w:r w:rsidR="00863915">
              <w:rPr>
                <w:rFonts w:eastAsia="Times New Roman" w:cs="Calibri"/>
              </w:rPr>
              <w:t>unacceptable</w:t>
            </w:r>
            <w:r w:rsidR="00C10F53">
              <w:rPr>
                <w:rFonts w:eastAsia="Times New Roman" w:cs="Calibri"/>
              </w:rPr>
              <w:t>.</w:t>
            </w:r>
          </w:p>
          <w:p w14:paraId="14D2F361" w14:textId="2A667A79" w:rsidR="00A46209" w:rsidRPr="00E66809" w:rsidRDefault="00A46209" w:rsidP="00642950">
            <w:pPr>
              <w:spacing w:after="0" w:line="276" w:lineRule="auto"/>
              <w:jc w:val="both"/>
              <w:rPr>
                <w:rFonts w:eastAsia="Times New Roman" w:cs="Calibri"/>
                <w:b/>
                <w:u w:val="single"/>
              </w:rPr>
            </w:pPr>
          </w:p>
        </w:tc>
      </w:tr>
      <w:tr w:rsidR="00A46209" w:rsidRPr="00BF1FD6" w14:paraId="56359AA4" w14:textId="77777777" w:rsidTr="3AD35CA9">
        <w:trPr>
          <w:trHeight w:val="510"/>
        </w:trPr>
        <w:tc>
          <w:tcPr>
            <w:tcW w:w="1474" w:type="dxa"/>
            <w:shd w:val="clear" w:color="auto" w:fill="FFFFFF" w:themeFill="background1"/>
          </w:tcPr>
          <w:p w14:paraId="636CF01B" w14:textId="77777777" w:rsidR="00A46209" w:rsidRPr="00A750A6" w:rsidRDefault="00A46209" w:rsidP="00642950">
            <w:pPr>
              <w:spacing w:after="0" w:line="276" w:lineRule="auto"/>
              <w:jc w:val="both"/>
              <w:rPr>
                <w:rFonts w:eastAsia="Times New Roman" w:cs="Calibri"/>
                <w:b/>
              </w:rPr>
            </w:pPr>
            <w:r w:rsidRPr="00A750A6">
              <w:rPr>
                <w:rFonts w:eastAsia="Times New Roman" w:cs="Calibri"/>
                <w:b/>
              </w:rPr>
              <w:t>3.9</w:t>
            </w:r>
          </w:p>
        </w:tc>
        <w:tc>
          <w:tcPr>
            <w:tcW w:w="1701" w:type="dxa"/>
            <w:shd w:val="clear" w:color="auto" w:fill="FFFFFF" w:themeFill="background1"/>
          </w:tcPr>
          <w:p w14:paraId="6544345E"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0499DDF5"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66F8B282" w14:textId="0FED71AB" w:rsidR="00A46209" w:rsidRPr="00E66809" w:rsidRDefault="00A46209" w:rsidP="00642950">
            <w:pPr>
              <w:spacing w:after="0" w:line="276" w:lineRule="auto"/>
              <w:jc w:val="both"/>
              <w:rPr>
                <w:rFonts w:eastAsia="Times New Roman" w:cs="Calibri"/>
              </w:rPr>
            </w:pPr>
            <w:r w:rsidRPr="00E66809">
              <w:rPr>
                <w:rFonts w:eastAsia="Times New Roman" w:cs="Calibri"/>
              </w:rPr>
              <w:t>A response of ‘Yes’</w:t>
            </w:r>
            <w:r w:rsidR="000018B5">
              <w:rPr>
                <w:rFonts w:eastAsia="Times New Roman" w:cs="Calibri"/>
              </w:rPr>
              <w:t xml:space="preserve"> and </w:t>
            </w:r>
            <w:r w:rsidRPr="00E66809">
              <w:rPr>
                <w:rFonts w:eastAsia="Times New Roman" w:cs="Calibri"/>
              </w:rPr>
              <w:t xml:space="preserve">HMRC is satisfied that the supporting </w:t>
            </w:r>
            <w:r w:rsidR="002A0230">
              <w:rPr>
                <w:rFonts w:eastAsia="Times New Roman" w:cs="Calibri"/>
              </w:rPr>
              <w:t>example</w:t>
            </w:r>
            <w:r w:rsidR="002A0230" w:rsidRPr="00E66809">
              <w:rPr>
                <w:rFonts w:eastAsia="Times New Roman" w:cs="Calibri"/>
              </w:rPr>
              <w:t xml:space="preserve"> </w:t>
            </w:r>
            <w:r w:rsidRPr="00E66809">
              <w:rPr>
                <w:rFonts w:eastAsia="Times New Roman" w:cs="Calibri"/>
              </w:rPr>
              <w:t xml:space="preserve">provided </w:t>
            </w:r>
            <w:r w:rsidR="00C81B07">
              <w:rPr>
                <w:rFonts w:eastAsia="Times New Roman" w:cs="Calibri"/>
              </w:rPr>
              <w:t xml:space="preserve">is relevant and fully demonstrates where </w:t>
            </w:r>
            <w:r w:rsidR="002A0230" w:rsidRPr="00482C59">
              <w:rPr>
                <w:rFonts w:eastAsia="Times New Roman" w:cs="Calibri"/>
              </w:rPr>
              <w:t>UK hosting and data residency requirements have been met previously</w:t>
            </w:r>
            <w:r w:rsidR="009D6221">
              <w:rPr>
                <w:rFonts w:eastAsia="Times New Roman" w:cs="Calibri"/>
              </w:rPr>
              <w:t>.</w:t>
            </w:r>
          </w:p>
          <w:p w14:paraId="6DE50F53" w14:textId="77777777" w:rsidR="00A46209" w:rsidRPr="00E66809" w:rsidRDefault="00A46209" w:rsidP="00642950">
            <w:pPr>
              <w:spacing w:after="0" w:line="276" w:lineRule="auto"/>
              <w:jc w:val="both"/>
              <w:rPr>
                <w:rFonts w:eastAsia="Times New Roman" w:cs="Calibri"/>
              </w:rPr>
            </w:pPr>
          </w:p>
          <w:p w14:paraId="0789C4CA"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4B4F2092" w14:textId="0BF1A07B" w:rsidR="00A46209" w:rsidRPr="00E66809" w:rsidRDefault="00A46209" w:rsidP="00E66809">
            <w:pPr>
              <w:widowControl w:val="0"/>
              <w:tabs>
                <w:tab w:val="left" w:pos="0"/>
              </w:tabs>
              <w:overflowPunct w:val="0"/>
              <w:autoSpaceDE w:val="0"/>
              <w:autoSpaceDN w:val="0"/>
              <w:adjustRightInd w:val="0"/>
              <w:spacing w:after="0"/>
              <w:jc w:val="both"/>
              <w:rPr>
                <w:rFonts w:eastAsia="Times New Roman" w:cs="Calibri"/>
              </w:rPr>
            </w:pPr>
            <w:r w:rsidRPr="00E66809">
              <w:rPr>
                <w:rFonts w:eastAsia="Times New Roman" w:cs="Calibri"/>
              </w:rPr>
              <w:t>A response of ‘No’</w:t>
            </w:r>
            <w:r w:rsidR="009D6221">
              <w:rPr>
                <w:rFonts w:eastAsia="Times New Roman" w:cs="Calibri"/>
              </w:rPr>
              <w:t>.</w:t>
            </w:r>
          </w:p>
          <w:p w14:paraId="35A15ACE" w14:textId="77777777" w:rsidR="00A46209" w:rsidRPr="00E66809" w:rsidRDefault="00A46209" w:rsidP="00E66809">
            <w:pPr>
              <w:widowControl w:val="0"/>
              <w:tabs>
                <w:tab w:val="left" w:pos="0"/>
              </w:tabs>
              <w:overflowPunct w:val="0"/>
              <w:autoSpaceDE w:val="0"/>
              <w:autoSpaceDN w:val="0"/>
              <w:adjustRightInd w:val="0"/>
              <w:spacing w:after="0"/>
              <w:jc w:val="both"/>
              <w:rPr>
                <w:rFonts w:eastAsia="Times New Roman" w:cs="Calibri"/>
                <w:b/>
              </w:rPr>
            </w:pPr>
            <w:r w:rsidRPr="00E66809">
              <w:rPr>
                <w:rFonts w:eastAsia="Times New Roman" w:cs="Calibri"/>
                <w:b/>
              </w:rPr>
              <w:t>OR</w:t>
            </w:r>
          </w:p>
          <w:p w14:paraId="0A255B8B" w14:textId="0C774437" w:rsidR="00A46209" w:rsidRPr="00E66809" w:rsidRDefault="00A46209" w:rsidP="00642950">
            <w:pPr>
              <w:spacing w:after="0" w:line="276" w:lineRule="auto"/>
              <w:jc w:val="both"/>
              <w:rPr>
                <w:rFonts w:eastAsia="Times New Roman" w:cs="Calibri"/>
                <w:b/>
                <w:u w:val="single"/>
              </w:rPr>
            </w:pPr>
            <w:r w:rsidRPr="00E66809">
              <w:rPr>
                <w:rFonts w:eastAsia="Times New Roman" w:cs="Calibri"/>
              </w:rPr>
              <w:lastRenderedPageBreak/>
              <w:t>A response of ‘Yes’ but</w:t>
            </w:r>
            <w:r w:rsidR="00143122">
              <w:t xml:space="preserve"> HMRC is not satisfied that the </w:t>
            </w:r>
            <w:r w:rsidR="00143122" w:rsidRPr="00143122">
              <w:rPr>
                <w:rFonts w:eastAsia="Times New Roman" w:cs="Calibri"/>
              </w:rPr>
              <w:t>supporting example provided is relevant and fully demonstrates where UK hosting and data residency requirements have been met previously</w:t>
            </w:r>
            <w:r w:rsidR="009D6221">
              <w:rPr>
                <w:rFonts w:eastAsia="Times New Roman" w:cs="Calibri"/>
              </w:rPr>
              <w:t>.</w:t>
            </w:r>
          </w:p>
        </w:tc>
      </w:tr>
      <w:tr w:rsidR="007B64C4" w:rsidRPr="00BF1FD6" w14:paraId="7298472F" w14:textId="63C4BD87" w:rsidTr="00657CE2">
        <w:trPr>
          <w:trHeight w:val="510"/>
        </w:trPr>
        <w:tc>
          <w:tcPr>
            <w:tcW w:w="1474" w:type="dxa"/>
            <w:shd w:val="clear" w:color="auto" w:fill="FFFFFF" w:themeFill="background1"/>
          </w:tcPr>
          <w:p w14:paraId="617A79CA" w14:textId="77777777" w:rsidR="007B64C4" w:rsidRPr="00C04E2C" w:rsidRDefault="007B64C4" w:rsidP="00642950">
            <w:pPr>
              <w:spacing w:after="0" w:line="276" w:lineRule="auto"/>
              <w:jc w:val="both"/>
              <w:rPr>
                <w:rFonts w:eastAsia="Times New Roman" w:cs="Calibri"/>
                <w:b/>
              </w:rPr>
            </w:pPr>
            <w:r w:rsidRPr="00C04E2C">
              <w:rPr>
                <w:rFonts w:eastAsia="Times New Roman" w:cs="Calibri"/>
                <w:b/>
              </w:rPr>
              <w:lastRenderedPageBreak/>
              <w:t>3.10</w:t>
            </w:r>
          </w:p>
        </w:tc>
        <w:tc>
          <w:tcPr>
            <w:tcW w:w="1701" w:type="dxa"/>
            <w:shd w:val="clear" w:color="auto" w:fill="FFFFFF" w:themeFill="background1"/>
            <w:vAlign w:val="center"/>
          </w:tcPr>
          <w:p w14:paraId="329F3005" w14:textId="045C6091" w:rsidR="007B64C4" w:rsidRPr="00C04E2C" w:rsidRDefault="007B64C4" w:rsidP="00C04E2C">
            <w:pPr>
              <w:spacing w:after="0" w:line="276" w:lineRule="auto"/>
              <w:jc w:val="both"/>
              <w:rPr>
                <w:rFonts w:eastAsia="Times New Roman" w:cs="Calibri"/>
              </w:rPr>
            </w:pPr>
          </w:p>
        </w:tc>
        <w:tc>
          <w:tcPr>
            <w:tcW w:w="9859" w:type="dxa"/>
            <w:shd w:val="clear" w:color="auto" w:fill="FFFFFF" w:themeFill="background1"/>
          </w:tcPr>
          <w:p w14:paraId="068BEBB7" w14:textId="4860255B" w:rsidR="007B64C4" w:rsidRPr="005B2874" w:rsidRDefault="007B64C4" w:rsidP="00642950">
            <w:pPr>
              <w:spacing w:after="0" w:line="276" w:lineRule="auto"/>
              <w:jc w:val="both"/>
              <w:rPr>
                <w:rFonts w:cs="Calibri"/>
                <w:b/>
                <w:u w:val="single"/>
              </w:rPr>
            </w:pPr>
            <w:r w:rsidRPr="005B2874">
              <w:rPr>
                <w:rFonts w:cs="Calibri"/>
                <w:b/>
                <w:u w:val="single"/>
              </w:rPr>
              <w:t>Pass</w:t>
            </w:r>
          </w:p>
          <w:p w14:paraId="3517D364" w14:textId="2B85EBE0" w:rsidR="007B64C4" w:rsidRPr="005B2874" w:rsidRDefault="007B64C4" w:rsidP="00642950">
            <w:pPr>
              <w:spacing w:after="0" w:line="276" w:lineRule="auto"/>
              <w:jc w:val="both"/>
              <w:rPr>
                <w:rFonts w:eastAsia="Times New Roman" w:cs="Calibri"/>
              </w:rPr>
            </w:pPr>
            <w:r w:rsidRPr="005B2874">
              <w:rPr>
                <w:rFonts w:eastAsia="Times New Roman" w:cs="Calibri"/>
              </w:rPr>
              <w:t xml:space="preserve">A response of ‘Yes’, with a full response provided for each of the questions in the accessibility questionnaire and the Supplier confirming that their relevant products (first-party and third-party) </w:t>
            </w:r>
            <w:r w:rsidR="00050E0F" w:rsidRPr="005B2874">
              <w:rPr>
                <w:rFonts w:eastAsia="Times New Roman" w:cs="Calibri"/>
              </w:rPr>
              <w:t xml:space="preserve">have been tested with assistive technology (see question 4 within the questionnaire) and </w:t>
            </w:r>
            <w:r w:rsidRPr="005B2874">
              <w:rPr>
                <w:rFonts w:eastAsia="Times New Roman" w:cs="Calibri"/>
              </w:rPr>
              <w:t xml:space="preserve">fully </w:t>
            </w:r>
            <w:r w:rsidRPr="005B2874">
              <w:t>meet the accessibility requirements outlined under</w:t>
            </w:r>
            <w:r w:rsidRPr="005B2874">
              <w:rPr>
                <w:rFonts w:eastAsia="Times New Roman" w:cs="Calibri"/>
              </w:rPr>
              <w:t xml:space="preserve"> the following </w:t>
            </w:r>
            <w:r w:rsidRPr="005B2874">
              <w:t>legislation/standards for the full duration of the contract</w:t>
            </w:r>
            <w:r w:rsidRPr="005B2874">
              <w:rPr>
                <w:rFonts w:eastAsia="Times New Roman" w:cs="Calibri"/>
              </w:rPr>
              <w:t>:</w:t>
            </w:r>
          </w:p>
          <w:p w14:paraId="6E15632A" w14:textId="77777777" w:rsidR="007B64C4" w:rsidRPr="005B2874" w:rsidRDefault="007B64C4" w:rsidP="00AD19D7">
            <w:pPr>
              <w:pStyle w:val="Heading3"/>
              <w:keepLines/>
              <w:widowControl/>
              <w:numPr>
                <w:ilvl w:val="0"/>
                <w:numId w:val="57"/>
              </w:numPr>
              <w:tabs>
                <w:tab w:val="num" w:pos="360"/>
              </w:tabs>
              <w:overflowPunct/>
              <w:autoSpaceDE/>
              <w:autoSpaceDN/>
              <w:adjustRightInd/>
              <w:spacing w:before="40" w:after="0" w:line="259" w:lineRule="auto"/>
              <w:ind w:left="402" w:hanging="284"/>
              <w:jc w:val="both"/>
              <w:rPr>
                <w:rFonts w:ascii="Arial" w:hAnsi="Arial" w:cs="Arial"/>
                <w:b w:val="0"/>
                <w:bCs w:val="0"/>
                <w:sz w:val="22"/>
                <w:szCs w:val="22"/>
              </w:rPr>
            </w:pPr>
            <w:r w:rsidRPr="005B2874">
              <w:rPr>
                <w:rFonts w:ascii="Arial" w:hAnsi="Arial" w:cs="Arial"/>
                <w:b w:val="0"/>
                <w:bCs w:val="0"/>
                <w:sz w:val="22"/>
                <w:szCs w:val="22"/>
              </w:rPr>
              <w:t>Compliance with version 2.2 AA of the Web Content Accessibility Guidelines (WCAG).</w:t>
            </w:r>
          </w:p>
          <w:p w14:paraId="458A392B" w14:textId="77777777" w:rsidR="007B64C4" w:rsidRPr="005B2874" w:rsidRDefault="007B64C4" w:rsidP="00AD19D7">
            <w:pPr>
              <w:pStyle w:val="Heading3"/>
              <w:keepLines/>
              <w:widowControl/>
              <w:numPr>
                <w:ilvl w:val="0"/>
                <w:numId w:val="57"/>
              </w:numPr>
              <w:tabs>
                <w:tab w:val="num" w:pos="360"/>
              </w:tabs>
              <w:overflowPunct/>
              <w:autoSpaceDE/>
              <w:autoSpaceDN/>
              <w:adjustRightInd/>
              <w:spacing w:before="40" w:after="0" w:line="259" w:lineRule="auto"/>
              <w:ind w:left="402" w:hanging="284"/>
              <w:jc w:val="both"/>
              <w:rPr>
                <w:rFonts w:ascii="Arial" w:hAnsi="Arial" w:cs="Arial"/>
                <w:b w:val="0"/>
                <w:sz w:val="22"/>
                <w:szCs w:val="22"/>
              </w:rPr>
            </w:pPr>
            <w:r w:rsidRPr="005B2874">
              <w:rPr>
                <w:rFonts w:ascii="Arial" w:hAnsi="Arial" w:cs="Arial"/>
                <w:b w:val="0"/>
                <w:sz w:val="22"/>
                <w:szCs w:val="22"/>
              </w:rPr>
              <w:t>The Equality Act 2010</w:t>
            </w:r>
            <w:r w:rsidRPr="005B2874">
              <w:rPr>
                <w:rFonts w:ascii="Arial" w:hAnsi="Arial" w:cs="Arial"/>
                <w:b w:val="0"/>
                <w:bCs w:val="0"/>
                <w:sz w:val="22"/>
                <w:szCs w:val="22"/>
              </w:rPr>
              <w:t>.</w:t>
            </w:r>
          </w:p>
          <w:p w14:paraId="62C00AA6" w14:textId="77777777" w:rsidR="007B64C4" w:rsidRPr="005B2874" w:rsidRDefault="007B64C4" w:rsidP="00AD19D7">
            <w:pPr>
              <w:pStyle w:val="Heading3"/>
              <w:keepLines/>
              <w:widowControl/>
              <w:numPr>
                <w:ilvl w:val="0"/>
                <w:numId w:val="57"/>
              </w:numPr>
              <w:tabs>
                <w:tab w:val="num" w:pos="360"/>
              </w:tabs>
              <w:overflowPunct/>
              <w:autoSpaceDE/>
              <w:autoSpaceDN/>
              <w:adjustRightInd/>
              <w:spacing w:before="40" w:after="0" w:line="259" w:lineRule="auto"/>
              <w:ind w:left="402" w:hanging="284"/>
              <w:jc w:val="both"/>
              <w:rPr>
                <w:rFonts w:ascii="Arial" w:hAnsi="Arial" w:cs="Arial"/>
                <w:b w:val="0"/>
                <w:sz w:val="22"/>
                <w:szCs w:val="22"/>
              </w:rPr>
            </w:pPr>
            <w:r w:rsidRPr="005B2874">
              <w:rPr>
                <w:rFonts w:ascii="Arial" w:hAnsi="Arial" w:cs="Arial"/>
                <w:b w:val="0"/>
                <w:sz w:val="22"/>
                <w:szCs w:val="22"/>
              </w:rPr>
              <w:t>Public Sector Bodies Accessibility Regulations 2018 (if the product/service is a website or mobile application)</w:t>
            </w:r>
            <w:r w:rsidRPr="005B2874">
              <w:rPr>
                <w:rFonts w:ascii="Arial" w:hAnsi="Arial" w:cs="Arial"/>
                <w:b w:val="0"/>
                <w:bCs w:val="0"/>
                <w:sz w:val="22"/>
                <w:szCs w:val="22"/>
              </w:rPr>
              <w:t>.</w:t>
            </w:r>
          </w:p>
          <w:p w14:paraId="7C656EF3" w14:textId="77777777" w:rsidR="007B64C4" w:rsidRPr="005B2874" w:rsidRDefault="007B64C4" w:rsidP="00AD19D7">
            <w:pPr>
              <w:pStyle w:val="Heading3"/>
              <w:keepLines/>
              <w:widowControl/>
              <w:numPr>
                <w:ilvl w:val="0"/>
                <w:numId w:val="57"/>
              </w:numPr>
              <w:tabs>
                <w:tab w:val="num" w:pos="360"/>
              </w:tabs>
              <w:overflowPunct/>
              <w:autoSpaceDE/>
              <w:autoSpaceDN/>
              <w:adjustRightInd/>
              <w:spacing w:before="40" w:after="0" w:line="259" w:lineRule="auto"/>
              <w:ind w:left="402" w:hanging="284"/>
              <w:jc w:val="both"/>
              <w:rPr>
                <w:rFonts w:cs="Arial"/>
              </w:rPr>
            </w:pPr>
            <w:r w:rsidRPr="005B2874">
              <w:rPr>
                <w:rFonts w:ascii="Arial" w:hAnsi="Arial" w:cs="Arial"/>
                <w:b w:val="0"/>
                <w:sz w:val="22"/>
                <w:szCs w:val="22"/>
              </w:rPr>
              <w:t>European standard for digital accessibility EN301549 (if the product/service is a desktop application)</w:t>
            </w:r>
            <w:r w:rsidRPr="005B2874">
              <w:rPr>
                <w:rFonts w:ascii="Arial" w:hAnsi="Arial" w:cs="Arial"/>
                <w:b w:val="0"/>
                <w:bCs w:val="0"/>
                <w:sz w:val="22"/>
                <w:szCs w:val="22"/>
              </w:rPr>
              <w:t>.</w:t>
            </w:r>
          </w:p>
          <w:p w14:paraId="5A5E48A7" w14:textId="77777777" w:rsidR="007B64C4" w:rsidRPr="005B2874" w:rsidRDefault="007B64C4" w:rsidP="00642950">
            <w:pPr>
              <w:spacing w:after="0" w:line="276" w:lineRule="auto"/>
              <w:jc w:val="both"/>
              <w:rPr>
                <w:rFonts w:eastAsia="Times New Roman" w:cs="Calibri"/>
                <w:b/>
                <w:bCs/>
              </w:rPr>
            </w:pPr>
            <w:r w:rsidRPr="005B2874">
              <w:rPr>
                <w:rFonts w:eastAsia="Times New Roman" w:cs="Calibri"/>
                <w:b/>
                <w:bCs/>
              </w:rPr>
              <w:t>OR</w:t>
            </w:r>
          </w:p>
          <w:p w14:paraId="6E16098E" w14:textId="4B2EF546" w:rsidR="007B64C4" w:rsidRPr="005B2874" w:rsidRDefault="007B64C4" w:rsidP="00642950">
            <w:pPr>
              <w:spacing w:after="0" w:line="276" w:lineRule="auto"/>
              <w:jc w:val="both"/>
              <w:rPr>
                <w:rFonts w:eastAsia="Times New Roman" w:cs="Calibri"/>
              </w:rPr>
            </w:pPr>
            <w:r w:rsidRPr="005B2874">
              <w:rPr>
                <w:rFonts w:eastAsia="Times New Roman" w:cs="Calibri"/>
              </w:rPr>
              <w:t>A response of ‘Yes’, with a full response provided response</w:t>
            </w:r>
            <w:r w:rsidRPr="005B2874">
              <w:t xml:space="preserve"> </w:t>
            </w:r>
            <w:r w:rsidRPr="005B2874">
              <w:rPr>
                <w:rFonts w:eastAsia="Times New Roman" w:cs="Calibri"/>
              </w:rPr>
              <w:t xml:space="preserve">for each of the questions in the accessibility questionnaire </w:t>
            </w:r>
            <w:r w:rsidR="00972349" w:rsidRPr="005B2874">
              <w:rPr>
                <w:rFonts w:eastAsia="Times New Roman" w:cs="Calibri"/>
              </w:rPr>
              <w:t xml:space="preserve">and confirmation from the supplier that their relevant </w:t>
            </w:r>
            <w:r w:rsidRPr="005B2874">
              <w:rPr>
                <w:rFonts w:eastAsia="Times New Roman" w:cs="Calibri"/>
              </w:rPr>
              <w:t xml:space="preserve">products (first-party and third-party) </w:t>
            </w:r>
            <w:r w:rsidR="007F2766" w:rsidRPr="005B2874">
              <w:rPr>
                <w:rFonts w:eastAsia="Times New Roman" w:cs="Calibri"/>
              </w:rPr>
              <w:t xml:space="preserve">have been tested with assistive technology (see question 4 within the questionnaire) </w:t>
            </w:r>
            <w:r w:rsidR="00C816BC" w:rsidRPr="005B2874">
              <w:rPr>
                <w:rFonts w:eastAsia="Times New Roman" w:cs="Calibri"/>
              </w:rPr>
              <w:t>but they are unable to confirm that their products</w:t>
            </w:r>
            <w:r w:rsidRPr="005B2874">
              <w:rPr>
                <w:rFonts w:eastAsia="Times New Roman" w:cs="Calibri"/>
              </w:rPr>
              <w:t xml:space="preserve"> meet one or more of </w:t>
            </w:r>
            <w:r w:rsidR="00246313" w:rsidRPr="005B2874">
              <w:rPr>
                <w:rFonts w:eastAsia="Times New Roman" w:cs="Calibri"/>
              </w:rPr>
              <w:t>the abovementioned</w:t>
            </w:r>
            <w:r w:rsidR="00C816BC" w:rsidRPr="005B2874">
              <w:rPr>
                <w:rFonts w:eastAsia="Times New Roman" w:cs="Calibri"/>
              </w:rPr>
              <w:t xml:space="preserve"> </w:t>
            </w:r>
            <w:r w:rsidRPr="005B2874">
              <w:rPr>
                <w:rFonts w:eastAsia="Times New Roman" w:cs="Calibri"/>
              </w:rPr>
              <w:t>legislation/standards</w:t>
            </w:r>
            <w:r w:rsidR="00246313" w:rsidRPr="005B2874">
              <w:rPr>
                <w:rFonts w:eastAsia="Times New Roman" w:cs="Calibri"/>
              </w:rPr>
              <w:t xml:space="preserve"> and</w:t>
            </w:r>
            <w:r w:rsidRPr="005B2874" w:rsidDel="000E3DE5">
              <w:rPr>
                <w:rFonts w:eastAsia="Times New Roman" w:cs="Calibri"/>
              </w:rPr>
              <w:t xml:space="preserve"> </w:t>
            </w:r>
            <w:r w:rsidRPr="005B2874">
              <w:rPr>
                <w:rFonts w:eastAsia="Times New Roman" w:cs="Calibri"/>
              </w:rPr>
              <w:t>the following information is provided and deemed wholly acceptable by HMRC:</w:t>
            </w:r>
          </w:p>
          <w:p w14:paraId="5E797316" w14:textId="77777777" w:rsidR="007B64C4" w:rsidRPr="005B2874" w:rsidRDefault="007B64C4" w:rsidP="00AD19D7">
            <w:pPr>
              <w:pStyle w:val="ListParagraph"/>
              <w:numPr>
                <w:ilvl w:val="0"/>
                <w:numId w:val="58"/>
              </w:numPr>
              <w:tabs>
                <w:tab w:val="num" w:pos="360"/>
              </w:tabs>
              <w:spacing w:after="0" w:line="276" w:lineRule="auto"/>
              <w:ind w:left="263" w:hanging="142"/>
              <w:jc w:val="both"/>
              <w:rPr>
                <w:rFonts w:eastAsia="Times New Roman" w:cs="Calibri"/>
              </w:rPr>
            </w:pPr>
            <w:r w:rsidRPr="005B2874">
              <w:rPr>
                <w:rFonts w:eastAsia="Times New Roman" w:cs="Calibri"/>
              </w:rPr>
              <w:t xml:space="preserve">A full description of the </w:t>
            </w:r>
            <w:r w:rsidRPr="005B2874">
              <w:t>areas where accessibility requirements are currently partially or not met is provided.</w:t>
            </w:r>
          </w:p>
          <w:p w14:paraId="7440FF69" w14:textId="29172437" w:rsidR="007B64C4" w:rsidRPr="005B2874" w:rsidRDefault="007B64C4" w:rsidP="00AD19D7">
            <w:pPr>
              <w:pStyle w:val="ListParagraph"/>
              <w:numPr>
                <w:ilvl w:val="0"/>
                <w:numId w:val="58"/>
              </w:numPr>
              <w:tabs>
                <w:tab w:val="num" w:pos="360"/>
              </w:tabs>
              <w:spacing w:after="0" w:line="276" w:lineRule="auto"/>
              <w:ind w:left="263" w:hanging="142"/>
              <w:jc w:val="both"/>
              <w:rPr>
                <w:rFonts w:eastAsia="Times New Roman" w:cs="Calibri"/>
              </w:rPr>
            </w:pPr>
            <w:r w:rsidRPr="005B2874">
              <w:t xml:space="preserve">A roadmap of how the product or service will be fully compliant by </w:t>
            </w:r>
            <w:r w:rsidR="00C07DB5">
              <w:t>a specified date</w:t>
            </w:r>
            <w:r w:rsidRPr="005B2874">
              <w:t>.</w:t>
            </w:r>
          </w:p>
          <w:p w14:paraId="4FA7D75C" w14:textId="77777777" w:rsidR="003C6793" w:rsidRPr="005B2874" w:rsidRDefault="003C6793" w:rsidP="00642950">
            <w:pPr>
              <w:spacing w:after="0" w:line="276" w:lineRule="auto"/>
              <w:ind w:left="121"/>
              <w:jc w:val="both"/>
              <w:rPr>
                <w:rFonts w:eastAsia="Times New Roman" w:cs="Calibri"/>
              </w:rPr>
            </w:pPr>
          </w:p>
          <w:p w14:paraId="7E3CAFA2" w14:textId="69FF89AA" w:rsidR="007B64C4" w:rsidRPr="005B2874" w:rsidRDefault="007B64C4" w:rsidP="00642950">
            <w:pPr>
              <w:spacing w:after="0" w:line="276" w:lineRule="auto"/>
              <w:jc w:val="both"/>
              <w:rPr>
                <w:u w:val="single"/>
              </w:rPr>
            </w:pPr>
            <w:r w:rsidRPr="005B2874">
              <w:rPr>
                <w:rFonts w:eastAsia="Times New Roman" w:cs="Calibri"/>
                <w:b/>
                <w:bCs/>
                <w:u w:val="single"/>
              </w:rPr>
              <w:t xml:space="preserve">Fail </w:t>
            </w:r>
          </w:p>
          <w:p w14:paraId="4703E78A" w14:textId="0B513BBE" w:rsidR="007B64C4" w:rsidRPr="005B2874" w:rsidRDefault="007B64C4" w:rsidP="00642950">
            <w:pPr>
              <w:spacing w:after="0" w:line="276" w:lineRule="auto"/>
              <w:jc w:val="both"/>
              <w:rPr>
                <w:rFonts w:eastAsia="Times New Roman" w:cs="Calibri"/>
              </w:rPr>
            </w:pPr>
            <w:r w:rsidRPr="005B2874">
              <w:rPr>
                <w:rFonts w:eastAsia="Times New Roman" w:cs="Calibri"/>
              </w:rPr>
              <w:t>A response of ‘Yes’, but a full response is not provided for each of the questions in the accessibility questionnaire</w:t>
            </w:r>
          </w:p>
          <w:p w14:paraId="35FAB5DD" w14:textId="466D9A9A" w:rsidR="007B64C4" w:rsidRPr="005B2874" w:rsidDel="00143122" w:rsidRDefault="007B64C4" w:rsidP="00642950">
            <w:pPr>
              <w:spacing w:after="0" w:line="276" w:lineRule="auto"/>
              <w:jc w:val="both"/>
              <w:rPr>
                <w:rFonts w:eastAsia="Times New Roman" w:cs="Calibri"/>
                <w:b/>
                <w:bCs/>
                <w:u w:val="single"/>
              </w:rPr>
            </w:pPr>
            <w:r w:rsidRPr="005B2874">
              <w:rPr>
                <w:rFonts w:eastAsia="Times New Roman" w:cs="Calibri"/>
                <w:b/>
                <w:bCs/>
              </w:rPr>
              <w:t>OR</w:t>
            </w:r>
          </w:p>
          <w:p w14:paraId="51197D4A" w14:textId="6637AA0A" w:rsidR="007B64C4" w:rsidRPr="005B2874" w:rsidRDefault="007B64C4" w:rsidP="00642950">
            <w:pPr>
              <w:spacing w:after="0" w:line="276" w:lineRule="auto"/>
              <w:jc w:val="both"/>
              <w:rPr>
                <w:rFonts w:eastAsia="Times New Roman" w:cs="Calibri"/>
              </w:rPr>
            </w:pPr>
            <w:r w:rsidRPr="005B2874">
              <w:rPr>
                <w:rFonts w:eastAsia="Times New Roman" w:cs="Calibri"/>
              </w:rPr>
              <w:lastRenderedPageBreak/>
              <w:t>A response of ‘Yes’, where the Supplier is unable to confirm that their relevant products (first-party and third-party) meet one or more of the above</w:t>
            </w:r>
            <w:r w:rsidR="00FE0C62" w:rsidRPr="005B2874">
              <w:rPr>
                <w:rFonts w:eastAsia="Times New Roman" w:cs="Calibri"/>
              </w:rPr>
              <w:t>mentioned</w:t>
            </w:r>
            <w:r w:rsidRPr="005B2874">
              <w:rPr>
                <w:rFonts w:eastAsia="Times New Roman" w:cs="Calibri"/>
              </w:rPr>
              <w:t xml:space="preserve"> legislation/standards </w:t>
            </w:r>
            <w:r w:rsidR="00246313" w:rsidRPr="005B2874">
              <w:rPr>
                <w:rFonts w:eastAsia="Times New Roman" w:cs="Calibri"/>
              </w:rPr>
              <w:t>and</w:t>
            </w:r>
            <w:r w:rsidRPr="005B2874">
              <w:rPr>
                <w:rFonts w:eastAsia="Times New Roman" w:cs="Calibri"/>
              </w:rPr>
              <w:t xml:space="preserve"> one or more of the following items of information are incomplete </w:t>
            </w:r>
            <w:r w:rsidR="00246313" w:rsidRPr="005B2874">
              <w:rPr>
                <w:rFonts w:eastAsia="Times New Roman" w:cs="Calibri"/>
              </w:rPr>
              <w:t>or</w:t>
            </w:r>
            <w:r w:rsidRPr="005B2874">
              <w:rPr>
                <w:rFonts w:eastAsia="Times New Roman" w:cs="Calibri"/>
              </w:rPr>
              <w:t xml:space="preserve"> deemed unacceptable by HMRC:</w:t>
            </w:r>
          </w:p>
          <w:p w14:paraId="59E85E5E" w14:textId="77777777" w:rsidR="007B64C4" w:rsidRPr="005B2874" w:rsidRDefault="007B64C4" w:rsidP="00AD19D7">
            <w:pPr>
              <w:pStyle w:val="ListParagraph"/>
              <w:numPr>
                <w:ilvl w:val="0"/>
                <w:numId w:val="58"/>
              </w:numPr>
              <w:tabs>
                <w:tab w:val="num" w:pos="360"/>
              </w:tabs>
              <w:spacing w:after="0" w:line="276" w:lineRule="auto"/>
              <w:ind w:left="405" w:hanging="284"/>
              <w:jc w:val="both"/>
              <w:rPr>
                <w:rFonts w:eastAsia="Times New Roman" w:cs="Calibri"/>
              </w:rPr>
            </w:pPr>
            <w:r w:rsidRPr="005B2874">
              <w:rPr>
                <w:rFonts w:eastAsia="Times New Roman" w:cs="Calibri"/>
              </w:rPr>
              <w:t xml:space="preserve">A full description of the </w:t>
            </w:r>
            <w:r w:rsidRPr="005B2874">
              <w:t>areas where accessibility requirements are currently partially or not met is provided.</w:t>
            </w:r>
          </w:p>
          <w:p w14:paraId="427917DC" w14:textId="10542D9C" w:rsidR="007B64C4" w:rsidRPr="005B2874" w:rsidRDefault="007B64C4" w:rsidP="00AD19D7">
            <w:pPr>
              <w:pStyle w:val="ListParagraph"/>
              <w:numPr>
                <w:ilvl w:val="0"/>
                <w:numId w:val="58"/>
              </w:numPr>
              <w:tabs>
                <w:tab w:val="num" w:pos="360"/>
              </w:tabs>
              <w:spacing w:after="0" w:line="276" w:lineRule="auto"/>
              <w:ind w:left="405" w:hanging="284"/>
              <w:jc w:val="both"/>
              <w:rPr>
                <w:rFonts w:eastAsia="Times New Roman" w:cs="Calibri"/>
              </w:rPr>
            </w:pPr>
            <w:r w:rsidRPr="005B2874">
              <w:t xml:space="preserve">A roadmap of how the product or service will be fully compliant by </w:t>
            </w:r>
            <w:r w:rsidR="00C07DB5">
              <w:t>a specified date.</w:t>
            </w:r>
          </w:p>
          <w:p w14:paraId="3A953959" w14:textId="66E42DAF" w:rsidR="007B64C4" w:rsidRPr="005B2874" w:rsidRDefault="007B64C4" w:rsidP="00642950">
            <w:pPr>
              <w:spacing w:after="0" w:line="276" w:lineRule="auto"/>
              <w:jc w:val="both"/>
              <w:rPr>
                <w:rFonts w:eastAsia="Times New Roman" w:cs="Calibri"/>
                <w:b/>
                <w:bCs/>
              </w:rPr>
            </w:pPr>
            <w:r w:rsidRPr="005B2874">
              <w:rPr>
                <w:rFonts w:eastAsia="Times New Roman" w:cs="Calibri"/>
                <w:b/>
                <w:bCs/>
              </w:rPr>
              <w:t>OR</w:t>
            </w:r>
          </w:p>
          <w:p w14:paraId="213EC8A8" w14:textId="3E4C33E4" w:rsidR="00FE0C62" w:rsidRPr="005B2874" w:rsidRDefault="00FE0C62" w:rsidP="00AD19D7">
            <w:pPr>
              <w:pStyle w:val="ListParagraph"/>
              <w:numPr>
                <w:ilvl w:val="0"/>
                <w:numId w:val="58"/>
              </w:numPr>
              <w:tabs>
                <w:tab w:val="num" w:pos="360"/>
              </w:tabs>
              <w:spacing w:after="0" w:line="276" w:lineRule="auto"/>
              <w:ind w:left="405" w:hanging="284"/>
              <w:jc w:val="both"/>
              <w:rPr>
                <w:rFonts w:eastAsia="Times New Roman" w:cs="Calibri"/>
              </w:rPr>
            </w:pPr>
            <w:r w:rsidRPr="005B2874">
              <w:t>The Supplier has not confirmed in question 4 that the relevant products have been tested with assistive technology</w:t>
            </w:r>
          </w:p>
          <w:p w14:paraId="566A2FA7" w14:textId="531D5DE7" w:rsidR="00FE0C62" w:rsidRPr="005B2874" w:rsidRDefault="00FE0C62" w:rsidP="00642950">
            <w:pPr>
              <w:spacing w:after="0" w:line="276" w:lineRule="auto"/>
              <w:jc w:val="both"/>
              <w:rPr>
                <w:rFonts w:eastAsia="Times New Roman" w:cs="Calibri"/>
                <w:b/>
                <w:bCs/>
              </w:rPr>
            </w:pPr>
            <w:r w:rsidRPr="005B2874">
              <w:rPr>
                <w:rFonts w:eastAsia="Times New Roman" w:cs="Calibri"/>
                <w:b/>
                <w:bCs/>
              </w:rPr>
              <w:t>OR</w:t>
            </w:r>
          </w:p>
          <w:p w14:paraId="0975C825" w14:textId="1E0C71B0" w:rsidR="007B64C4" w:rsidRPr="005B2874" w:rsidRDefault="007B64C4" w:rsidP="00642950">
            <w:pPr>
              <w:spacing w:after="0" w:line="276" w:lineRule="auto"/>
              <w:jc w:val="both"/>
              <w:rPr>
                <w:rFonts w:eastAsia="Times New Roman" w:cs="Calibri"/>
              </w:rPr>
            </w:pPr>
            <w:r w:rsidRPr="005B2874">
              <w:rPr>
                <w:rFonts w:eastAsia="Times New Roman" w:cs="Calibri"/>
              </w:rPr>
              <w:t>A response of ‘No’</w:t>
            </w:r>
          </w:p>
        </w:tc>
      </w:tr>
      <w:tr w:rsidR="00A46209" w:rsidRPr="00BF1FD6" w14:paraId="51005D01" w14:textId="77777777" w:rsidTr="3AD35CA9">
        <w:trPr>
          <w:trHeight w:val="510"/>
        </w:trPr>
        <w:tc>
          <w:tcPr>
            <w:tcW w:w="1474" w:type="dxa"/>
            <w:shd w:val="clear" w:color="auto" w:fill="FFFFFF" w:themeFill="background1"/>
          </w:tcPr>
          <w:p w14:paraId="6028A53B" w14:textId="727AD42A"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3.1</w:t>
            </w:r>
            <w:r w:rsidR="00650479" w:rsidRPr="00A750A6">
              <w:rPr>
                <w:rFonts w:eastAsia="Times New Roman" w:cs="Calibri"/>
                <w:b/>
              </w:rPr>
              <w:t>1</w:t>
            </w:r>
          </w:p>
        </w:tc>
        <w:tc>
          <w:tcPr>
            <w:tcW w:w="1701" w:type="dxa"/>
            <w:shd w:val="clear" w:color="auto" w:fill="FFFFFF" w:themeFill="background1"/>
          </w:tcPr>
          <w:p w14:paraId="1257B382"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498E4B5B"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72EDC6AF" w14:textId="2BBB4DF9" w:rsidR="00A46209" w:rsidRPr="00E66809" w:rsidRDefault="00A46209" w:rsidP="00642950">
            <w:pPr>
              <w:spacing w:after="0" w:line="276" w:lineRule="auto"/>
              <w:jc w:val="both"/>
              <w:rPr>
                <w:rFonts w:eastAsia="Times New Roman" w:cs="Calibri"/>
              </w:rPr>
            </w:pPr>
            <w:r w:rsidRPr="00E66809">
              <w:rPr>
                <w:rFonts w:eastAsia="Times New Roman" w:cs="Calibri"/>
              </w:rPr>
              <w:t>Three case studies are provided</w:t>
            </w:r>
            <w:r w:rsidR="00877C7D">
              <w:rPr>
                <w:rFonts w:eastAsia="Times New Roman" w:cs="Calibri"/>
              </w:rPr>
              <w:t xml:space="preserve"> for three different customers</w:t>
            </w:r>
            <w:r w:rsidR="009D6221" w:rsidDel="00877C7D">
              <w:rPr>
                <w:rFonts w:eastAsia="Times New Roman" w:cs="Calibri"/>
              </w:rPr>
              <w:t>.</w:t>
            </w:r>
          </w:p>
          <w:p w14:paraId="26EC259B" w14:textId="77777777" w:rsidR="00A46209" w:rsidRPr="00E66809" w:rsidRDefault="00A46209" w:rsidP="00642950">
            <w:pPr>
              <w:spacing w:after="0" w:line="276" w:lineRule="auto"/>
              <w:jc w:val="both"/>
              <w:rPr>
                <w:rFonts w:eastAsia="Times New Roman" w:cs="Calibri"/>
                <w:b/>
              </w:rPr>
            </w:pPr>
            <w:r w:rsidRPr="00E66809">
              <w:rPr>
                <w:rFonts w:eastAsia="Times New Roman" w:cs="Calibri"/>
                <w:b/>
              </w:rPr>
              <w:t>AND</w:t>
            </w:r>
          </w:p>
          <w:p w14:paraId="4C6B72DD" w14:textId="11F20289" w:rsidR="00A46209" w:rsidRPr="00E66809" w:rsidRDefault="0040368F" w:rsidP="00642950">
            <w:pPr>
              <w:spacing w:after="0" w:line="276" w:lineRule="auto"/>
              <w:jc w:val="both"/>
              <w:rPr>
                <w:rFonts w:eastAsia="Times New Roman" w:cs="Calibri"/>
              </w:rPr>
            </w:pPr>
            <w:r>
              <w:rPr>
                <w:rFonts w:eastAsia="Times New Roman" w:cs="Calibri"/>
              </w:rPr>
              <w:t>Two of the three case studies</w:t>
            </w:r>
            <w:r w:rsidR="00A46209" w:rsidRPr="00E66809">
              <w:rPr>
                <w:rFonts w:eastAsia="Times New Roman" w:cs="Calibri"/>
              </w:rPr>
              <w:t xml:space="preserve"> </w:t>
            </w:r>
            <w:r w:rsidR="008526F6">
              <w:rPr>
                <w:rFonts w:eastAsia="Times New Roman" w:cs="Calibri"/>
              </w:rPr>
              <w:t>provide</w:t>
            </w:r>
            <w:r w:rsidR="004B0E5C">
              <w:rPr>
                <w:rFonts w:eastAsia="Times New Roman" w:cs="Calibri"/>
              </w:rPr>
              <w:t xml:space="preserve"> an example of where the Supplier’s solution has supported</w:t>
            </w:r>
            <w:r w:rsidR="00A46209" w:rsidRPr="00E66809">
              <w:rPr>
                <w:rFonts w:eastAsia="Times New Roman" w:cs="Calibri"/>
              </w:rPr>
              <w:t xml:space="preserve"> 5,000 concurrent internal users</w:t>
            </w:r>
            <w:r w:rsidR="00637682">
              <w:rPr>
                <w:rFonts w:eastAsia="Times New Roman" w:cs="Calibri"/>
              </w:rPr>
              <w:t xml:space="preserve"> ac</w:t>
            </w:r>
            <w:r w:rsidR="00385363">
              <w:rPr>
                <w:rFonts w:eastAsia="Times New Roman" w:cs="Calibri"/>
              </w:rPr>
              <w:t>ross an enterprise</w:t>
            </w:r>
            <w:r w:rsidR="009D6221" w:rsidDel="00637682">
              <w:rPr>
                <w:rFonts w:eastAsia="Times New Roman" w:cs="Calibri"/>
              </w:rPr>
              <w:t>.</w:t>
            </w:r>
          </w:p>
          <w:p w14:paraId="51227408" w14:textId="77777777" w:rsidR="00A46209" w:rsidRPr="00E66809" w:rsidRDefault="00A46209" w:rsidP="00642950">
            <w:pPr>
              <w:spacing w:after="0" w:line="276" w:lineRule="auto"/>
              <w:jc w:val="both"/>
              <w:rPr>
                <w:rFonts w:eastAsia="Times New Roman" w:cs="Calibri"/>
                <w:b/>
              </w:rPr>
            </w:pPr>
            <w:r w:rsidRPr="00E66809">
              <w:rPr>
                <w:rFonts w:eastAsia="Times New Roman" w:cs="Calibri"/>
                <w:b/>
              </w:rPr>
              <w:t>AND</w:t>
            </w:r>
          </w:p>
          <w:p w14:paraId="31CA3864" w14:textId="50D23A31" w:rsidR="00A46209" w:rsidRPr="00E66809" w:rsidRDefault="00A46209" w:rsidP="00642950">
            <w:pPr>
              <w:spacing w:after="0" w:line="276" w:lineRule="auto"/>
              <w:jc w:val="both"/>
              <w:rPr>
                <w:rFonts w:eastAsia="Times New Roman" w:cs="Calibri"/>
              </w:rPr>
            </w:pPr>
            <w:r w:rsidRPr="00E66809">
              <w:rPr>
                <w:rFonts w:eastAsia="Times New Roman" w:cs="Calibri"/>
              </w:rPr>
              <w:t xml:space="preserve">At least one </w:t>
            </w:r>
            <w:r w:rsidR="004B0E5C">
              <w:rPr>
                <w:rFonts w:eastAsia="Times New Roman" w:cs="Calibri"/>
              </w:rPr>
              <w:t xml:space="preserve">of the case </w:t>
            </w:r>
            <w:r w:rsidRPr="00E66809">
              <w:rPr>
                <w:rFonts w:eastAsia="Times New Roman" w:cs="Calibri"/>
              </w:rPr>
              <w:t>stud</w:t>
            </w:r>
            <w:r w:rsidR="004B0E5C">
              <w:rPr>
                <w:rFonts w:eastAsia="Times New Roman" w:cs="Calibri"/>
              </w:rPr>
              <w:t xml:space="preserve">ies </w:t>
            </w:r>
            <w:r w:rsidR="008526F6">
              <w:rPr>
                <w:rFonts w:eastAsia="Times New Roman" w:cs="Calibri"/>
              </w:rPr>
              <w:t>provides an example of where the Supplier’s solution has supported at</w:t>
            </w:r>
            <w:r>
              <w:rPr>
                <w:rFonts w:eastAsia="Times New Roman" w:cs="Calibri"/>
              </w:rPr>
              <w:t xml:space="preserve"> </w:t>
            </w:r>
            <w:r w:rsidRPr="00E66809">
              <w:rPr>
                <w:rFonts w:eastAsia="Times New Roman" w:cs="Calibri"/>
              </w:rPr>
              <w:t>least 10,000 concurrent internal users</w:t>
            </w:r>
            <w:r w:rsidR="00877C7D">
              <w:rPr>
                <w:rFonts w:eastAsia="Times New Roman" w:cs="Calibri"/>
              </w:rPr>
              <w:t xml:space="preserve"> across an </w:t>
            </w:r>
            <w:r w:rsidR="006F5141">
              <w:rPr>
                <w:rFonts w:eastAsia="Times New Roman" w:cs="Calibri"/>
              </w:rPr>
              <w:t>enterprise</w:t>
            </w:r>
            <w:r w:rsidR="009D6221" w:rsidDel="00877C7D">
              <w:rPr>
                <w:rFonts w:eastAsia="Times New Roman" w:cs="Calibri"/>
              </w:rPr>
              <w:t>.</w:t>
            </w:r>
          </w:p>
          <w:p w14:paraId="3D2106B0"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370A5C03" w14:textId="37F40F15" w:rsidR="00A46209" w:rsidRPr="00E66809" w:rsidRDefault="00A46209" w:rsidP="00642950">
            <w:pPr>
              <w:spacing w:after="0" w:line="276" w:lineRule="auto"/>
              <w:jc w:val="both"/>
              <w:rPr>
                <w:rFonts w:eastAsia="Times New Roman" w:cs="Calibri"/>
              </w:rPr>
            </w:pPr>
            <w:r w:rsidRPr="00E66809">
              <w:rPr>
                <w:rFonts w:eastAsia="Times New Roman" w:cs="Calibri"/>
              </w:rPr>
              <w:t>Less than three case studies are provided</w:t>
            </w:r>
            <w:r w:rsidR="009D6221">
              <w:rPr>
                <w:rFonts w:eastAsia="Times New Roman" w:cs="Calibri"/>
              </w:rPr>
              <w:t>.</w:t>
            </w:r>
          </w:p>
          <w:p w14:paraId="2378C345" w14:textId="77777777" w:rsidR="00A46209" w:rsidRPr="00E66809" w:rsidRDefault="00A46209" w:rsidP="00642950">
            <w:pPr>
              <w:spacing w:after="0" w:line="276" w:lineRule="auto"/>
              <w:jc w:val="both"/>
              <w:rPr>
                <w:rFonts w:eastAsia="Times New Roman" w:cs="Calibri"/>
                <w:b/>
              </w:rPr>
            </w:pPr>
            <w:r w:rsidRPr="00E66809">
              <w:rPr>
                <w:rFonts w:eastAsia="Times New Roman" w:cs="Calibri"/>
                <w:b/>
              </w:rPr>
              <w:t>OR</w:t>
            </w:r>
          </w:p>
          <w:p w14:paraId="6AE80249" w14:textId="27D09746" w:rsidR="00A46209" w:rsidRPr="00E66809" w:rsidRDefault="00A46209" w:rsidP="00642950">
            <w:pPr>
              <w:spacing w:after="0" w:line="276" w:lineRule="auto"/>
              <w:jc w:val="both"/>
              <w:rPr>
                <w:rFonts w:eastAsia="Times New Roman" w:cs="Calibri"/>
              </w:rPr>
            </w:pPr>
            <w:r w:rsidRPr="00E66809">
              <w:rPr>
                <w:rFonts w:eastAsia="Times New Roman" w:cs="Calibri"/>
              </w:rPr>
              <w:t>More than three case studies are provided</w:t>
            </w:r>
            <w:r w:rsidR="009D6221">
              <w:rPr>
                <w:rFonts w:eastAsia="Times New Roman" w:cs="Calibri"/>
              </w:rPr>
              <w:t>.</w:t>
            </w:r>
          </w:p>
          <w:p w14:paraId="61AC8AA7" w14:textId="77777777" w:rsidR="00A46209" w:rsidRPr="00E66809" w:rsidRDefault="00A46209" w:rsidP="00642950">
            <w:pPr>
              <w:spacing w:after="0" w:line="276" w:lineRule="auto"/>
              <w:jc w:val="both"/>
              <w:rPr>
                <w:rFonts w:eastAsia="Times New Roman" w:cs="Calibri"/>
                <w:b/>
              </w:rPr>
            </w:pPr>
            <w:r w:rsidRPr="00E66809">
              <w:rPr>
                <w:rFonts w:eastAsia="Times New Roman" w:cs="Calibri"/>
                <w:b/>
              </w:rPr>
              <w:t>OR</w:t>
            </w:r>
          </w:p>
          <w:p w14:paraId="5C91F692" w14:textId="6779B942" w:rsidR="00D718EE" w:rsidRDefault="000010BC" w:rsidP="00642950">
            <w:pPr>
              <w:spacing w:after="0" w:line="276" w:lineRule="auto"/>
              <w:jc w:val="both"/>
              <w:rPr>
                <w:rFonts w:eastAsia="Times New Roman" w:cs="Calibri"/>
              </w:rPr>
            </w:pPr>
            <w:r>
              <w:rPr>
                <w:rFonts w:eastAsia="Times New Roman" w:cs="Calibri"/>
              </w:rPr>
              <w:t>Less than 2 of the case studies</w:t>
            </w:r>
            <w:r w:rsidR="004C3B0C" w:rsidRPr="00E66809">
              <w:rPr>
                <w:rFonts w:eastAsia="Times New Roman" w:cs="Calibri"/>
              </w:rPr>
              <w:t xml:space="preserve"> </w:t>
            </w:r>
            <w:r w:rsidR="00A46209" w:rsidRPr="00E66809">
              <w:rPr>
                <w:rFonts w:eastAsia="Times New Roman" w:cs="Calibri"/>
              </w:rPr>
              <w:t xml:space="preserve">provided </w:t>
            </w:r>
            <w:r>
              <w:rPr>
                <w:rFonts w:eastAsia="Times New Roman" w:cs="Calibri"/>
              </w:rPr>
              <w:t xml:space="preserve">provides </w:t>
            </w:r>
            <w:r w:rsidR="00D718EE">
              <w:rPr>
                <w:rFonts w:eastAsia="Times New Roman" w:cs="Calibri"/>
              </w:rPr>
              <w:t>an example of where the Supplier’s solution has supported</w:t>
            </w:r>
            <w:r w:rsidR="00D718EE" w:rsidRPr="00FA307B">
              <w:rPr>
                <w:rFonts w:eastAsia="Times New Roman" w:cs="Calibri"/>
              </w:rPr>
              <w:t xml:space="preserve"> 5,000 concurrent internal user</w:t>
            </w:r>
            <w:r w:rsidR="003F1C29">
              <w:rPr>
                <w:rFonts w:eastAsia="Times New Roman" w:cs="Calibri"/>
              </w:rPr>
              <w:t>s across an enterprise.</w:t>
            </w:r>
          </w:p>
          <w:p w14:paraId="11EB1A25" w14:textId="29303C61" w:rsidR="000010BC" w:rsidRPr="00E66809" w:rsidRDefault="00D718EE" w:rsidP="00642950">
            <w:pPr>
              <w:spacing w:after="0" w:line="276" w:lineRule="auto"/>
              <w:jc w:val="both"/>
              <w:rPr>
                <w:rFonts w:eastAsia="Times New Roman" w:cs="Calibri"/>
                <w:b/>
              </w:rPr>
            </w:pPr>
            <w:r w:rsidRPr="00FA307B">
              <w:rPr>
                <w:rFonts w:eastAsia="Times New Roman" w:cs="Calibri"/>
                <w:b/>
                <w:bCs/>
              </w:rPr>
              <w:t>OR</w:t>
            </w:r>
          </w:p>
          <w:p w14:paraId="60BBB48F" w14:textId="65BF20A2" w:rsidR="00A46209" w:rsidRDefault="00697058" w:rsidP="00642950">
            <w:pPr>
              <w:spacing w:after="0" w:line="276" w:lineRule="auto"/>
              <w:jc w:val="both"/>
              <w:rPr>
                <w:rFonts w:eastAsia="Times New Roman" w:cs="Calibri"/>
              </w:rPr>
            </w:pPr>
            <w:r>
              <w:rPr>
                <w:rFonts w:eastAsia="Times New Roman" w:cs="Calibri"/>
              </w:rPr>
              <w:t xml:space="preserve">A case study with an example of where the Supplier’s solution has supported at </w:t>
            </w:r>
            <w:r w:rsidRPr="00FA307B">
              <w:rPr>
                <w:rFonts w:eastAsia="Times New Roman" w:cs="Calibri"/>
              </w:rPr>
              <w:t xml:space="preserve">least 10,000 concurrent internal </w:t>
            </w:r>
            <w:r w:rsidR="00A46209" w:rsidRPr="00FA307B">
              <w:rPr>
                <w:rFonts w:eastAsia="Times New Roman" w:cs="Calibri"/>
              </w:rPr>
              <w:t>users</w:t>
            </w:r>
            <w:r w:rsidR="00455E2E">
              <w:rPr>
                <w:rFonts w:eastAsia="Times New Roman" w:cs="Calibri"/>
              </w:rPr>
              <w:t xml:space="preserve"> across an enterprise</w:t>
            </w:r>
            <w:r>
              <w:rPr>
                <w:rFonts w:eastAsia="Times New Roman" w:cs="Calibri"/>
              </w:rPr>
              <w:t xml:space="preserve"> is not provided</w:t>
            </w:r>
            <w:r w:rsidR="009D6221">
              <w:rPr>
                <w:rFonts w:eastAsia="Times New Roman" w:cs="Calibri"/>
              </w:rPr>
              <w:t>.</w:t>
            </w:r>
          </w:p>
          <w:p w14:paraId="1635F6D3" w14:textId="77777777" w:rsidR="00697058" w:rsidRPr="00FA307B" w:rsidRDefault="00697058" w:rsidP="00642950">
            <w:pPr>
              <w:spacing w:after="0" w:line="276" w:lineRule="auto"/>
              <w:jc w:val="both"/>
              <w:rPr>
                <w:rFonts w:eastAsia="Times New Roman" w:cs="Calibri"/>
                <w:b/>
                <w:bCs/>
              </w:rPr>
            </w:pPr>
            <w:r w:rsidRPr="00FA307B">
              <w:rPr>
                <w:rFonts w:eastAsia="Times New Roman" w:cs="Calibri"/>
                <w:b/>
                <w:bCs/>
              </w:rPr>
              <w:lastRenderedPageBreak/>
              <w:t>OR</w:t>
            </w:r>
          </w:p>
          <w:p w14:paraId="357661FD" w14:textId="7E48077B" w:rsidR="00697058" w:rsidRDefault="00697058" w:rsidP="00642950">
            <w:pPr>
              <w:spacing w:after="0" w:line="276" w:lineRule="auto"/>
              <w:jc w:val="both"/>
              <w:rPr>
                <w:rFonts w:eastAsia="Times New Roman" w:cs="Calibri"/>
              </w:rPr>
            </w:pPr>
            <w:r>
              <w:rPr>
                <w:rFonts w:eastAsia="Times New Roman" w:cs="Calibri"/>
              </w:rPr>
              <w:t>The Supplier’s response is incomplete</w:t>
            </w:r>
            <w:r w:rsidR="001076E5">
              <w:rPr>
                <w:rFonts w:eastAsia="Times New Roman" w:cs="Calibri"/>
              </w:rPr>
              <w:t>.</w:t>
            </w:r>
          </w:p>
          <w:p w14:paraId="6EA27E92" w14:textId="77777777" w:rsidR="001839DA" w:rsidRPr="00FA307B" w:rsidRDefault="001839DA" w:rsidP="00642950">
            <w:pPr>
              <w:spacing w:after="0" w:line="276" w:lineRule="auto"/>
              <w:jc w:val="both"/>
              <w:rPr>
                <w:rFonts w:eastAsia="Times New Roman" w:cs="Calibri"/>
                <w:b/>
                <w:bCs/>
              </w:rPr>
            </w:pPr>
            <w:r w:rsidRPr="00FA307B">
              <w:rPr>
                <w:rFonts w:eastAsia="Times New Roman" w:cs="Calibri"/>
                <w:b/>
                <w:bCs/>
              </w:rPr>
              <w:t>OR</w:t>
            </w:r>
          </w:p>
          <w:p w14:paraId="6B68378E" w14:textId="77777777" w:rsidR="00A46209" w:rsidRDefault="00A71064" w:rsidP="00642950">
            <w:pPr>
              <w:spacing w:after="0" w:line="276" w:lineRule="auto"/>
              <w:jc w:val="both"/>
              <w:rPr>
                <w:rFonts w:eastAsia="Times New Roman" w:cs="Calibri"/>
              </w:rPr>
            </w:pPr>
            <w:r>
              <w:rPr>
                <w:rFonts w:eastAsia="Times New Roman" w:cs="Calibri"/>
              </w:rPr>
              <w:t xml:space="preserve">Following the conduct of due diligence, </w:t>
            </w:r>
            <w:r w:rsidR="001839DA">
              <w:rPr>
                <w:rFonts w:eastAsia="Times New Roman" w:cs="Calibri"/>
              </w:rPr>
              <w:t>HMRC determines that the</w:t>
            </w:r>
            <w:r>
              <w:rPr>
                <w:rFonts w:eastAsia="Times New Roman" w:cs="Calibri"/>
              </w:rPr>
              <w:t xml:space="preserve"> one or more of the Supplier’s case studies is inaccurate and/or misleading</w:t>
            </w:r>
            <w:r w:rsidR="001076E5">
              <w:rPr>
                <w:rFonts w:eastAsia="Times New Roman" w:cs="Calibri"/>
              </w:rPr>
              <w:t>.</w:t>
            </w:r>
          </w:p>
          <w:p w14:paraId="41636B4B" w14:textId="77777777" w:rsidR="00455E2E" w:rsidRDefault="00455E2E" w:rsidP="00642950">
            <w:pPr>
              <w:spacing w:after="0" w:line="276" w:lineRule="auto"/>
              <w:jc w:val="both"/>
              <w:rPr>
                <w:rFonts w:eastAsia="Times New Roman" w:cs="Calibri"/>
                <w:b/>
                <w:bCs/>
              </w:rPr>
            </w:pPr>
            <w:r>
              <w:rPr>
                <w:rFonts w:eastAsia="Times New Roman" w:cs="Calibri"/>
                <w:b/>
                <w:bCs/>
              </w:rPr>
              <w:t>OR</w:t>
            </w:r>
          </w:p>
          <w:p w14:paraId="71186C51" w14:textId="3030AF5C" w:rsidR="00455E2E" w:rsidRPr="00E66809" w:rsidRDefault="0031198B" w:rsidP="00642950">
            <w:pPr>
              <w:spacing w:after="0" w:line="276" w:lineRule="auto"/>
              <w:jc w:val="both"/>
              <w:rPr>
                <w:rFonts w:eastAsia="Times New Roman" w:cs="Calibri"/>
              </w:rPr>
            </w:pPr>
            <w:r w:rsidRPr="00E66809">
              <w:rPr>
                <w:rFonts w:eastAsia="Times New Roman" w:cs="Calibri"/>
              </w:rPr>
              <w:t>T</w:t>
            </w:r>
            <w:r w:rsidR="001A4C93" w:rsidRPr="00E66809">
              <w:rPr>
                <w:rFonts w:eastAsia="Times New Roman" w:cs="Calibri"/>
              </w:rPr>
              <w:t>wo or more of the case studies refer to the same named customer</w:t>
            </w:r>
          </w:p>
        </w:tc>
      </w:tr>
      <w:tr w:rsidR="00A46209" w:rsidRPr="00BF1FD6" w14:paraId="5CBEB639" w14:textId="77777777" w:rsidTr="3AD35CA9">
        <w:trPr>
          <w:trHeight w:val="510"/>
        </w:trPr>
        <w:tc>
          <w:tcPr>
            <w:tcW w:w="1474" w:type="dxa"/>
            <w:shd w:val="clear" w:color="auto" w:fill="FFFFFF" w:themeFill="background1"/>
          </w:tcPr>
          <w:p w14:paraId="15FCD9B0" w14:textId="07D03ABB"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3.1</w:t>
            </w:r>
            <w:r w:rsidR="00650479" w:rsidRPr="00A750A6">
              <w:rPr>
                <w:rFonts w:eastAsia="Times New Roman" w:cs="Calibri"/>
                <w:b/>
              </w:rPr>
              <w:t>2</w:t>
            </w:r>
          </w:p>
        </w:tc>
        <w:tc>
          <w:tcPr>
            <w:tcW w:w="1701" w:type="dxa"/>
            <w:shd w:val="clear" w:color="auto" w:fill="FFFFFF" w:themeFill="background1"/>
          </w:tcPr>
          <w:p w14:paraId="2038051D"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Scored</w:t>
            </w:r>
          </w:p>
        </w:tc>
        <w:tc>
          <w:tcPr>
            <w:tcW w:w="9859" w:type="dxa"/>
            <w:shd w:val="clear" w:color="auto" w:fill="FFFFFF" w:themeFill="background1"/>
          </w:tcPr>
          <w:p w14:paraId="2028EAA6" w14:textId="65B8119A" w:rsidR="00A46209" w:rsidRPr="00E66809" w:rsidRDefault="00A46209" w:rsidP="00642950">
            <w:pPr>
              <w:spacing w:after="0" w:line="276" w:lineRule="auto"/>
              <w:jc w:val="both"/>
              <w:rPr>
                <w:rFonts w:eastAsia="Times New Roman" w:cs="Calibri"/>
              </w:rPr>
            </w:pPr>
            <w:r w:rsidRPr="00E66809">
              <w:rPr>
                <w:rFonts w:eastAsia="Times New Roman" w:cs="Calibri"/>
              </w:rPr>
              <w:t xml:space="preserve">See Scoring Matrix at </w:t>
            </w:r>
            <w:r w:rsidR="00D02110">
              <w:rPr>
                <w:rFonts w:eastAsia="Times New Roman" w:cs="Calibri"/>
                <w:bCs/>
              </w:rPr>
              <w:t xml:space="preserve">para </w:t>
            </w:r>
            <w:r w:rsidR="001076E5">
              <w:rPr>
                <w:rFonts w:eastAsia="Times New Roman" w:cs="Calibri"/>
                <w:bCs/>
              </w:rPr>
              <w:t>1.1</w:t>
            </w:r>
            <w:r w:rsidR="00A97DE9">
              <w:rPr>
                <w:rFonts w:eastAsia="Times New Roman" w:cs="Calibri"/>
                <w:bCs/>
              </w:rPr>
              <w:t>2</w:t>
            </w:r>
            <w:r w:rsidR="00D02110">
              <w:rPr>
                <w:rFonts w:eastAsia="Times New Roman" w:cs="Calibri"/>
                <w:bCs/>
              </w:rPr>
              <w:t xml:space="preserve"> of this Schedule 3.</w:t>
            </w:r>
          </w:p>
        </w:tc>
      </w:tr>
      <w:tr w:rsidR="00A97DE9" w:rsidRPr="00BF1FD6" w14:paraId="193C55C2" w14:textId="77777777" w:rsidTr="3AD35CA9">
        <w:trPr>
          <w:trHeight w:val="510"/>
        </w:trPr>
        <w:tc>
          <w:tcPr>
            <w:tcW w:w="1474" w:type="dxa"/>
            <w:shd w:val="clear" w:color="auto" w:fill="FFFFFF" w:themeFill="background1"/>
          </w:tcPr>
          <w:p w14:paraId="1B619355" w14:textId="2506EB57" w:rsidR="00A97DE9" w:rsidRPr="00A750A6" w:rsidRDefault="00A97DE9" w:rsidP="00A97DE9">
            <w:pPr>
              <w:spacing w:after="0" w:line="276" w:lineRule="auto"/>
              <w:jc w:val="both"/>
              <w:rPr>
                <w:rFonts w:eastAsia="Times New Roman" w:cs="Calibri"/>
                <w:b/>
              </w:rPr>
            </w:pPr>
            <w:r w:rsidRPr="00A750A6">
              <w:rPr>
                <w:rFonts w:eastAsia="Times New Roman" w:cs="Calibri"/>
                <w:b/>
              </w:rPr>
              <w:t>3.13</w:t>
            </w:r>
          </w:p>
        </w:tc>
        <w:tc>
          <w:tcPr>
            <w:tcW w:w="1701" w:type="dxa"/>
            <w:shd w:val="clear" w:color="auto" w:fill="FFFFFF" w:themeFill="background1"/>
          </w:tcPr>
          <w:p w14:paraId="095DE991" w14:textId="77777777" w:rsidR="00A97DE9" w:rsidRPr="00E66809" w:rsidRDefault="00A97DE9" w:rsidP="00A97DE9">
            <w:pPr>
              <w:spacing w:after="0" w:line="276" w:lineRule="auto"/>
              <w:jc w:val="both"/>
              <w:rPr>
                <w:rFonts w:eastAsia="Times New Roman" w:cs="Calibri"/>
              </w:rPr>
            </w:pPr>
            <w:r w:rsidRPr="00E66809">
              <w:rPr>
                <w:rFonts w:eastAsia="Times New Roman" w:cs="Calibri"/>
              </w:rPr>
              <w:t>Scored</w:t>
            </w:r>
          </w:p>
        </w:tc>
        <w:tc>
          <w:tcPr>
            <w:tcW w:w="9859" w:type="dxa"/>
            <w:shd w:val="clear" w:color="auto" w:fill="FFFFFF" w:themeFill="background1"/>
          </w:tcPr>
          <w:p w14:paraId="72D6104D" w14:textId="14406C9F" w:rsidR="00A97DE9" w:rsidRPr="00E66809" w:rsidRDefault="00A97DE9" w:rsidP="00A97DE9">
            <w:pPr>
              <w:spacing w:after="0" w:line="276" w:lineRule="auto"/>
              <w:jc w:val="both"/>
              <w:rPr>
                <w:rFonts w:eastAsia="Times New Roman" w:cs="Calibri"/>
                <w:b/>
                <w:u w:val="single"/>
              </w:rPr>
            </w:pPr>
            <w:r w:rsidRPr="001616F1">
              <w:rPr>
                <w:rFonts w:eastAsia="Times New Roman" w:cs="Calibri"/>
              </w:rPr>
              <w:t xml:space="preserve">See Scoring Matrix at </w:t>
            </w:r>
            <w:r w:rsidRPr="001616F1">
              <w:rPr>
                <w:rFonts w:eastAsia="Times New Roman" w:cs="Calibri"/>
                <w:bCs/>
              </w:rPr>
              <w:t>para 1.12 of this Schedule 3.</w:t>
            </w:r>
          </w:p>
        </w:tc>
      </w:tr>
      <w:tr w:rsidR="00A97DE9" w:rsidRPr="00BF1FD6" w14:paraId="0FF065BE" w14:textId="77777777" w:rsidTr="3AD35CA9">
        <w:trPr>
          <w:trHeight w:val="510"/>
        </w:trPr>
        <w:tc>
          <w:tcPr>
            <w:tcW w:w="1474" w:type="dxa"/>
            <w:shd w:val="clear" w:color="auto" w:fill="FFFFFF" w:themeFill="background1"/>
          </w:tcPr>
          <w:p w14:paraId="3AB2A9A6" w14:textId="4A594CCC" w:rsidR="00A97DE9" w:rsidRPr="00A750A6" w:rsidRDefault="00A97DE9" w:rsidP="00A97DE9">
            <w:pPr>
              <w:spacing w:after="0" w:line="276" w:lineRule="auto"/>
              <w:jc w:val="both"/>
              <w:rPr>
                <w:rFonts w:eastAsia="Times New Roman" w:cs="Calibri"/>
                <w:b/>
              </w:rPr>
            </w:pPr>
            <w:r w:rsidRPr="00A750A6">
              <w:rPr>
                <w:rFonts w:eastAsia="Times New Roman" w:cs="Calibri"/>
                <w:b/>
              </w:rPr>
              <w:t>3.14</w:t>
            </w:r>
          </w:p>
        </w:tc>
        <w:tc>
          <w:tcPr>
            <w:tcW w:w="1701" w:type="dxa"/>
            <w:shd w:val="clear" w:color="auto" w:fill="FFFFFF" w:themeFill="background1"/>
          </w:tcPr>
          <w:p w14:paraId="73232BA7" w14:textId="77777777" w:rsidR="00A97DE9" w:rsidRPr="00E66809" w:rsidRDefault="00A97DE9" w:rsidP="00A97DE9">
            <w:pPr>
              <w:spacing w:after="0" w:line="276" w:lineRule="auto"/>
              <w:jc w:val="both"/>
              <w:rPr>
                <w:rFonts w:eastAsia="Times New Roman" w:cs="Calibri"/>
              </w:rPr>
            </w:pPr>
            <w:r w:rsidRPr="00E66809">
              <w:rPr>
                <w:rFonts w:eastAsia="Times New Roman" w:cs="Calibri"/>
              </w:rPr>
              <w:t>Scored</w:t>
            </w:r>
          </w:p>
        </w:tc>
        <w:tc>
          <w:tcPr>
            <w:tcW w:w="9859" w:type="dxa"/>
            <w:shd w:val="clear" w:color="auto" w:fill="FFFFFF" w:themeFill="background1"/>
          </w:tcPr>
          <w:p w14:paraId="274EAA85" w14:textId="6F2B7C04" w:rsidR="00A97DE9" w:rsidRPr="00E66809" w:rsidRDefault="00A97DE9" w:rsidP="00A97DE9">
            <w:pPr>
              <w:spacing w:after="0" w:line="276" w:lineRule="auto"/>
              <w:jc w:val="both"/>
              <w:rPr>
                <w:rFonts w:eastAsia="Times New Roman" w:cs="Calibri"/>
                <w:b/>
                <w:u w:val="single"/>
              </w:rPr>
            </w:pPr>
            <w:r w:rsidRPr="001616F1">
              <w:rPr>
                <w:rFonts w:eastAsia="Times New Roman" w:cs="Calibri"/>
              </w:rPr>
              <w:t xml:space="preserve">See Scoring Matrix at </w:t>
            </w:r>
            <w:r w:rsidRPr="001616F1">
              <w:rPr>
                <w:rFonts w:eastAsia="Times New Roman" w:cs="Calibri"/>
                <w:bCs/>
              </w:rPr>
              <w:t>para 1.12 of this Schedule 3.</w:t>
            </w:r>
          </w:p>
        </w:tc>
      </w:tr>
      <w:tr w:rsidR="00A97DE9" w:rsidRPr="00BF1FD6" w14:paraId="6EF2542B" w14:textId="77777777" w:rsidTr="3AD35CA9">
        <w:trPr>
          <w:trHeight w:val="510"/>
        </w:trPr>
        <w:tc>
          <w:tcPr>
            <w:tcW w:w="1474" w:type="dxa"/>
            <w:shd w:val="clear" w:color="auto" w:fill="FFFFFF" w:themeFill="background1"/>
          </w:tcPr>
          <w:p w14:paraId="147BF10F" w14:textId="6EC6B34A" w:rsidR="00A97DE9" w:rsidRPr="00A750A6" w:rsidRDefault="00A97DE9" w:rsidP="00A97DE9">
            <w:pPr>
              <w:spacing w:after="0" w:line="276" w:lineRule="auto"/>
              <w:jc w:val="both"/>
              <w:rPr>
                <w:rFonts w:eastAsia="Times New Roman" w:cs="Calibri"/>
                <w:b/>
              </w:rPr>
            </w:pPr>
            <w:r w:rsidRPr="00A750A6">
              <w:rPr>
                <w:rFonts w:eastAsia="Times New Roman" w:cs="Calibri"/>
                <w:b/>
              </w:rPr>
              <w:t>3.15</w:t>
            </w:r>
          </w:p>
        </w:tc>
        <w:tc>
          <w:tcPr>
            <w:tcW w:w="1701" w:type="dxa"/>
            <w:shd w:val="clear" w:color="auto" w:fill="FFFFFF" w:themeFill="background1"/>
          </w:tcPr>
          <w:p w14:paraId="71DB876A" w14:textId="77777777" w:rsidR="00A97DE9" w:rsidRPr="00E66809" w:rsidRDefault="00A97DE9" w:rsidP="00A97DE9">
            <w:pPr>
              <w:spacing w:after="0" w:line="276" w:lineRule="auto"/>
              <w:jc w:val="both"/>
              <w:rPr>
                <w:rFonts w:eastAsia="Times New Roman" w:cs="Calibri"/>
              </w:rPr>
            </w:pPr>
            <w:r w:rsidRPr="00E66809">
              <w:rPr>
                <w:rFonts w:eastAsia="Times New Roman" w:cs="Calibri"/>
              </w:rPr>
              <w:t>Scored</w:t>
            </w:r>
          </w:p>
        </w:tc>
        <w:tc>
          <w:tcPr>
            <w:tcW w:w="9859" w:type="dxa"/>
            <w:shd w:val="clear" w:color="auto" w:fill="FFFFFF" w:themeFill="background1"/>
          </w:tcPr>
          <w:p w14:paraId="0DE6EBD7" w14:textId="5B9F6E3A" w:rsidR="00A97DE9" w:rsidRPr="00E66809" w:rsidRDefault="00A97DE9" w:rsidP="00A97DE9">
            <w:pPr>
              <w:spacing w:after="0" w:line="276" w:lineRule="auto"/>
              <w:jc w:val="both"/>
              <w:rPr>
                <w:rFonts w:eastAsia="Times New Roman" w:cs="Calibri"/>
                <w:b/>
                <w:u w:val="single"/>
              </w:rPr>
            </w:pPr>
            <w:r w:rsidRPr="001616F1">
              <w:rPr>
                <w:rFonts w:eastAsia="Times New Roman" w:cs="Calibri"/>
              </w:rPr>
              <w:t xml:space="preserve">See Scoring Matrix at </w:t>
            </w:r>
            <w:r w:rsidRPr="001616F1">
              <w:rPr>
                <w:rFonts w:eastAsia="Times New Roman" w:cs="Calibri"/>
                <w:bCs/>
              </w:rPr>
              <w:t>para 1.12 of this Schedule 3.</w:t>
            </w:r>
          </w:p>
        </w:tc>
      </w:tr>
      <w:tr w:rsidR="00A97DE9" w:rsidRPr="00BF1FD6" w14:paraId="723DA85A" w14:textId="77777777" w:rsidTr="3AD35CA9">
        <w:trPr>
          <w:trHeight w:val="510"/>
        </w:trPr>
        <w:tc>
          <w:tcPr>
            <w:tcW w:w="1474" w:type="dxa"/>
            <w:shd w:val="clear" w:color="auto" w:fill="FFFFFF" w:themeFill="background1"/>
          </w:tcPr>
          <w:p w14:paraId="6193F73F" w14:textId="3D6FDA3E" w:rsidR="00A97DE9" w:rsidRPr="00A750A6" w:rsidRDefault="00A97DE9" w:rsidP="00A97DE9">
            <w:pPr>
              <w:spacing w:after="0" w:line="276" w:lineRule="auto"/>
              <w:jc w:val="both"/>
              <w:rPr>
                <w:rFonts w:eastAsia="Times New Roman" w:cs="Calibri"/>
                <w:b/>
              </w:rPr>
            </w:pPr>
            <w:r w:rsidRPr="00A750A6">
              <w:rPr>
                <w:rFonts w:eastAsia="Times New Roman" w:cs="Calibri"/>
                <w:b/>
              </w:rPr>
              <w:t>3.16</w:t>
            </w:r>
          </w:p>
        </w:tc>
        <w:tc>
          <w:tcPr>
            <w:tcW w:w="1701" w:type="dxa"/>
            <w:shd w:val="clear" w:color="auto" w:fill="FFFFFF" w:themeFill="background1"/>
          </w:tcPr>
          <w:p w14:paraId="04810F05" w14:textId="77777777" w:rsidR="00A97DE9" w:rsidRPr="00E66809" w:rsidRDefault="00A97DE9" w:rsidP="00A97DE9">
            <w:pPr>
              <w:spacing w:after="0" w:line="276" w:lineRule="auto"/>
              <w:jc w:val="both"/>
              <w:rPr>
                <w:rFonts w:eastAsia="Times New Roman" w:cs="Calibri"/>
              </w:rPr>
            </w:pPr>
            <w:r w:rsidRPr="00E66809">
              <w:rPr>
                <w:rFonts w:eastAsia="Times New Roman" w:cs="Calibri"/>
              </w:rPr>
              <w:t>Scored</w:t>
            </w:r>
          </w:p>
        </w:tc>
        <w:tc>
          <w:tcPr>
            <w:tcW w:w="9859" w:type="dxa"/>
            <w:shd w:val="clear" w:color="auto" w:fill="FFFFFF" w:themeFill="background1"/>
          </w:tcPr>
          <w:p w14:paraId="6629F234" w14:textId="5A35C413" w:rsidR="00A97DE9" w:rsidRPr="00E66809" w:rsidRDefault="00A97DE9" w:rsidP="00A97DE9">
            <w:pPr>
              <w:spacing w:after="0" w:line="276" w:lineRule="auto"/>
              <w:jc w:val="both"/>
              <w:rPr>
                <w:rFonts w:eastAsia="Times New Roman" w:cs="Calibri"/>
                <w:b/>
                <w:u w:val="single"/>
              </w:rPr>
            </w:pPr>
            <w:r w:rsidRPr="001616F1">
              <w:rPr>
                <w:rFonts w:eastAsia="Times New Roman" w:cs="Calibri"/>
              </w:rPr>
              <w:t xml:space="preserve">See Scoring Matrix at </w:t>
            </w:r>
            <w:r w:rsidRPr="001616F1">
              <w:rPr>
                <w:rFonts w:eastAsia="Times New Roman" w:cs="Calibri"/>
                <w:bCs/>
              </w:rPr>
              <w:t>para 1.12 of this Schedule 3.</w:t>
            </w:r>
          </w:p>
        </w:tc>
      </w:tr>
      <w:tr w:rsidR="00A97DE9" w:rsidRPr="00BF1FD6" w14:paraId="40C2CAB6" w14:textId="77777777" w:rsidTr="3AD35CA9">
        <w:trPr>
          <w:trHeight w:val="510"/>
        </w:trPr>
        <w:tc>
          <w:tcPr>
            <w:tcW w:w="1474" w:type="dxa"/>
            <w:shd w:val="clear" w:color="auto" w:fill="FFFFFF" w:themeFill="background1"/>
          </w:tcPr>
          <w:p w14:paraId="42708160" w14:textId="3175E8A4" w:rsidR="00A97DE9" w:rsidRPr="00A750A6" w:rsidRDefault="00A97DE9" w:rsidP="00A97DE9">
            <w:pPr>
              <w:spacing w:after="0" w:line="276" w:lineRule="auto"/>
              <w:jc w:val="both"/>
              <w:rPr>
                <w:rFonts w:eastAsia="Times New Roman" w:cs="Calibri"/>
                <w:b/>
              </w:rPr>
            </w:pPr>
            <w:r w:rsidRPr="00A750A6">
              <w:rPr>
                <w:rFonts w:eastAsia="Times New Roman" w:cs="Calibri"/>
                <w:b/>
              </w:rPr>
              <w:t>3.17</w:t>
            </w:r>
          </w:p>
        </w:tc>
        <w:tc>
          <w:tcPr>
            <w:tcW w:w="1701" w:type="dxa"/>
            <w:shd w:val="clear" w:color="auto" w:fill="FFFFFF" w:themeFill="background1"/>
          </w:tcPr>
          <w:p w14:paraId="7120234D" w14:textId="77777777" w:rsidR="00A97DE9" w:rsidRPr="00E66809" w:rsidRDefault="00A97DE9" w:rsidP="00A97DE9">
            <w:pPr>
              <w:spacing w:after="0" w:line="276" w:lineRule="auto"/>
              <w:jc w:val="both"/>
              <w:rPr>
                <w:rFonts w:eastAsia="Times New Roman" w:cs="Calibri"/>
              </w:rPr>
            </w:pPr>
            <w:r w:rsidRPr="00E66809">
              <w:rPr>
                <w:rFonts w:eastAsia="Times New Roman" w:cs="Calibri"/>
              </w:rPr>
              <w:t>Scored</w:t>
            </w:r>
          </w:p>
        </w:tc>
        <w:tc>
          <w:tcPr>
            <w:tcW w:w="9859" w:type="dxa"/>
            <w:shd w:val="clear" w:color="auto" w:fill="FFFFFF" w:themeFill="background1"/>
          </w:tcPr>
          <w:p w14:paraId="78F74298" w14:textId="08B1FBFD" w:rsidR="00A97DE9" w:rsidRPr="00E66809" w:rsidRDefault="00A97DE9" w:rsidP="00A97DE9">
            <w:pPr>
              <w:spacing w:after="0" w:line="276" w:lineRule="auto"/>
              <w:jc w:val="both"/>
              <w:rPr>
                <w:rFonts w:eastAsia="Times New Roman" w:cs="Calibri"/>
                <w:b/>
                <w:u w:val="single"/>
              </w:rPr>
            </w:pPr>
            <w:r w:rsidRPr="001616F1">
              <w:rPr>
                <w:rFonts w:eastAsia="Times New Roman" w:cs="Calibri"/>
              </w:rPr>
              <w:t xml:space="preserve">See Scoring Matrix at </w:t>
            </w:r>
            <w:r w:rsidRPr="001616F1">
              <w:rPr>
                <w:rFonts w:eastAsia="Times New Roman" w:cs="Calibri"/>
                <w:bCs/>
              </w:rPr>
              <w:t>para 1.12 of this Schedule 3.</w:t>
            </w:r>
          </w:p>
        </w:tc>
      </w:tr>
      <w:tr w:rsidR="00A97DE9" w:rsidRPr="00BF1FD6" w14:paraId="17DB4DD5" w14:textId="77777777" w:rsidTr="3AD35CA9">
        <w:trPr>
          <w:trHeight w:val="510"/>
        </w:trPr>
        <w:tc>
          <w:tcPr>
            <w:tcW w:w="1474" w:type="dxa"/>
            <w:shd w:val="clear" w:color="auto" w:fill="FFFFFF" w:themeFill="background1"/>
          </w:tcPr>
          <w:p w14:paraId="0BE78DF3" w14:textId="7D885504" w:rsidR="00A97DE9" w:rsidRPr="00A750A6" w:rsidRDefault="00A97DE9" w:rsidP="00A97DE9">
            <w:pPr>
              <w:spacing w:after="0" w:line="276" w:lineRule="auto"/>
              <w:jc w:val="both"/>
              <w:rPr>
                <w:rFonts w:eastAsia="Times New Roman" w:cs="Calibri"/>
                <w:b/>
              </w:rPr>
            </w:pPr>
            <w:r w:rsidRPr="00A750A6">
              <w:rPr>
                <w:rFonts w:eastAsia="Times New Roman" w:cs="Calibri"/>
                <w:b/>
              </w:rPr>
              <w:t>3.18</w:t>
            </w:r>
          </w:p>
        </w:tc>
        <w:tc>
          <w:tcPr>
            <w:tcW w:w="1701" w:type="dxa"/>
            <w:shd w:val="clear" w:color="auto" w:fill="FFFFFF" w:themeFill="background1"/>
          </w:tcPr>
          <w:p w14:paraId="4D3D50FC" w14:textId="77777777" w:rsidR="00A97DE9" w:rsidRPr="00E66809" w:rsidRDefault="00A97DE9" w:rsidP="00A97DE9">
            <w:pPr>
              <w:spacing w:after="0" w:line="276" w:lineRule="auto"/>
              <w:jc w:val="both"/>
              <w:rPr>
                <w:rFonts w:eastAsia="Times New Roman" w:cs="Calibri"/>
              </w:rPr>
            </w:pPr>
            <w:r w:rsidRPr="00E66809">
              <w:rPr>
                <w:rFonts w:eastAsia="Times New Roman" w:cs="Calibri"/>
              </w:rPr>
              <w:t>Scored</w:t>
            </w:r>
          </w:p>
        </w:tc>
        <w:tc>
          <w:tcPr>
            <w:tcW w:w="9859" w:type="dxa"/>
            <w:shd w:val="clear" w:color="auto" w:fill="FFFFFF" w:themeFill="background1"/>
          </w:tcPr>
          <w:p w14:paraId="4458A5BE" w14:textId="7FA8BA52" w:rsidR="00A97DE9" w:rsidRPr="00E66809" w:rsidRDefault="00A97DE9" w:rsidP="00A97DE9">
            <w:pPr>
              <w:spacing w:after="0" w:line="276" w:lineRule="auto"/>
              <w:jc w:val="both"/>
              <w:rPr>
                <w:rFonts w:eastAsia="Times New Roman" w:cs="Calibri"/>
                <w:b/>
                <w:u w:val="single"/>
              </w:rPr>
            </w:pPr>
            <w:r w:rsidRPr="001616F1">
              <w:rPr>
                <w:rFonts w:eastAsia="Times New Roman" w:cs="Calibri"/>
              </w:rPr>
              <w:t xml:space="preserve">See Scoring Matrix at </w:t>
            </w:r>
            <w:r w:rsidRPr="001616F1">
              <w:rPr>
                <w:rFonts w:eastAsia="Times New Roman" w:cs="Calibri"/>
                <w:bCs/>
              </w:rPr>
              <w:t>para 1.12 of this Schedule 3.</w:t>
            </w:r>
          </w:p>
        </w:tc>
      </w:tr>
      <w:tr w:rsidR="00A97DE9" w:rsidRPr="00BF1FD6" w14:paraId="66548533" w14:textId="77777777" w:rsidTr="3AD35CA9">
        <w:trPr>
          <w:trHeight w:val="510"/>
        </w:trPr>
        <w:tc>
          <w:tcPr>
            <w:tcW w:w="1474" w:type="dxa"/>
            <w:shd w:val="clear" w:color="auto" w:fill="FFFFFF" w:themeFill="background1"/>
          </w:tcPr>
          <w:p w14:paraId="534595C1" w14:textId="776BE05D" w:rsidR="00A97DE9" w:rsidRPr="00A750A6" w:rsidRDefault="00A97DE9" w:rsidP="00A97DE9">
            <w:pPr>
              <w:spacing w:after="0" w:line="276" w:lineRule="auto"/>
              <w:jc w:val="both"/>
              <w:rPr>
                <w:rFonts w:eastAsia="Times New Roman" w:cs="Calibri"/>
                <w:b/>
              </w:rPr>
            </w:pPr>
            <w:r w:rsidRPr="00A750A6">
              <w:rPr>
                <w:rFonts w:eastAsia="Times New Roman" w:cs="Calibri"/>
                <w:b/>
              </w:rPr>
              <w:t>3.19</w:t>
            </w:r>
          </w:p>
        </w:tc>
        <w:tc>
          <w:tcPr>
            <w:tcW w:w="1701" w:type="dxa"/>
            <w:shd w:val="clear" w:color="auto" w:fill="FFFFFF" w:themeFill="background1"/>
          </w:tcPr>
          <w:p w14:paraId="2F8F01DA" w14:textId="77777777" w:rsidR="00A97DE9" w:rsidRPr="00E66809" w:rsidRDefault="00A97DE9" w:rsidP="00A97DE9">
            <w:pPr>
              <w:spacing w:after="0" w:line="276" w:lineRule="auto"/>
              <w:jc w:val="both"/>
              <w:rPr>
                <w:rFonts w:eastAsia="Times New Roman" w:cs="Calibri"/>
              </w:rPr>
            </w:pPr>
            <w:r w:rsidRPr="00E66809">
              <w:rPr>
                <w:rFonts w:eastAsia="Times New Roman" w:cs="Calibri"/>
              </w:rPr>
              <w:t>Scored</w:t>
            </w:r>
          </w:p>
        </w:tc>
        <w:tc>
          <w:tcPr>
            <w:tcW w:w="9859" w:type="dxa"/>
            <w:shd w:val="clear" w:color="auto" w:fill="FFFFFF" w:themeFill="background1"/>
          </w:tcPr>
          <w:p w14:paraId="1C46E1E3" w14:textId="487A2035" w:rsidR="00A97DE9" w:rsidRPr="00E66809" w:rsidRDefault="00A97DE9" w:rsidP="00A97DE9">
            <w:pPr>
              <w:spacing w:after="0" w:line="276" w:lineRule="auto"/>
              <w:jc w:val="both"/>
              <w:rPr>
                <w:rFonts w:eastAsia="Times New Roman" w:cs="Calibri"/>
                <w:b/>
                <w:u w:val="single"/>
              </w:rPr>
            </w:pPr>
            <w:r w:rsidRPr="001616F1">
              <w:rPr>
                <w:rFonts w:eastAsia="Times New Roman" w:cs="Calibri"/>
              </w:rPr>
              <w:t xml:space="preserve">See Scoring Matrix at </w:t>
            </w:r>
            <w:r w:rsidRPr="001616F1">
              <w:rPr>
                <w:rFonts w:eastAsia="Times New Roman" w:cs="Calibri"/>
                <w:bCs/>
              </w:rPr>
              <w:t>para 1.12 of this Schedule 3.</w:t>
            </w:r>
          </w:p>
        </w:tc>
      </w:tr>
      <w:tr w:rsidR="00A46209" w:rsidRPr="00BF1FD6" w14:paraId="0FFC497E" w14:textId="77777777" w:rsidTr="3AD35CA9">
        <w:trPr>
          <w:trHeight w:val="510"/>
        </w:trPr>
        <w:tc>
          <w:tcPr>
            <w:tcW w:w="1474" w:type="dxa"/>
            <w:shd w:val="clear" w:color="auto" w:fill="FFFFFF" w:themeFill="background1"/>
          </w:tcPr>
          <w:p w14:paraId="5386D728" w14:textId="7869529B" w:rsidR="00A46209" w:rsidRPr="00A750A6" w:rsidRDefault="00A46209" w:rsidP="00642950">
            <w:pPr>
              <w:spacing w:after="0" w:line="276" w:lineRule="auto"/>
              <w:jc w:val="both"/>
              <w:rPr>
                <w:rFonts w:eastAsia="Times New Roman" w:cs="Calibri"/>
                <w:b/>
              </w:rPr>
            </w:pPr>
            <w:r w:rsidRPr="00A750A6">
              <w:rPr>
                <w:rFonts w:eastAsia="Times New Roman" w:cs="Calibri"/>
                <w:b/>
              </w:rPr>
              <w:t>3.2</w:t>
            </w:r>
            <w:r w:rsidR="00650479" w:rsidRPr="00A750A6">
              <w:rPr>
                <w:rFonts w:eastAsia="Times New Roman" w:cs="Calibri"/>
                <w:b/>
              </w:rPr>
              <w:t>0</w:t>
            </w:r>
          </w:p>
        </w:tc>
        <w:tc>
          <w:tcPr>
            <w:tcW w:w="1701" w:type="dxa"/>
            <w:shd w:val="clear" w:color="auto" w:fill="FFFFFF" w:themeFill="background1"/>
          </w:tcPr>
          <w:p w14:paraId="76F90D5E"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4B82C84F"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734B4D99" w14:textId="7BCDEACB" w:rsidR="00A46209" w:rsidRPr="00E66809" w:rsidRDefault="001A4C93" w:rsidP="00642950">
            <w:pPr>
              <w:spacing w:after="0" w:line="276" w:lineRule="auto"/>
              <w:jc w:val="both"/>
              <w:rPr>
                <w:rFonts w:eastAsia="Times New Roman" w:cs="Calibri"/>
              </w:rPr>
            </w:pPr>
            <w:r>
              <w:rPr>
                <w:rFonts w:eastAsia="Times New Roman" w:cs="Calibri"/>
              </w:rPr>
              <w:t xml:space="preserve">A response of ‘Yes’ or </w:t>
            </w:r>
            <w:r w:rsidR="009440C3">
              <w:rPr>
                <w:rFonts w:eastAsia="Times New Roman" w:cs="Calibri"/>
              </w:rPr>
              <w:t>‘No’ is provided</w:t>
            </w:r>
          </w:p>
          <w:p w14:paraId="59288F30"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p>
          <w:p w14:paraId="040A08B2" w14:textId="79C9F770" w:rsidR="00A46209" w:rsidRPr="00E66809" w:rsidRDefault="0077221C" w:rsidP="00642950">
            <w:pPr>
              <w:spacing w:after="0" w:line="276" w:lineRule="auto"/>
              <w:jc w:val="both"/>
              <w:rPr>
                <w:rFonts w:eastAsia="Times New Roman" w:cs="Calibri"/>
              </w:rPr>
            </w:pPr>
            <w:r>
              <w:rPr>
                <w:rFonts w:eastAsia="Times New Roman" w:cs="Calibri"/>
              </w:rPr>
              <w:t>A response is not provided</w:t>
            </w:r>
          </w:p>
        </w:tc>
      </w:tr>
      <w:tr w:rsidR="00A46209" w:rsidRPr="00BF1FD6" w14:paraId="2CACA066" w14:textId="77777777" w:rsidTr="3AD35CA9">
        <w:trPr>
          <w:trHeight w:val="510"/>
        </w:trPr>
        <w:tc>
          <w:tcPr>
            <w:tcW w:w="1474" w:type="dxa"/>
            <w:shd w:val="clear" w:color="auto" w:fill="FFFFFF" w:themeFill="background1"/>
          </w:tcPr>
          <w:p w14:paraId="5C9C1C6C" w14:textId="563597D2" w:rsidR="00A46209" w:rsidRPr="00A750A6" w:rsidRDefault="00A46209" w:rsidP="00642950">
            <w:pPr>
              <w:spacing w:after="0" w:line="276" w:lineRule="auto"/>
              <w:jc w:val="both"/>
              <w:rPr>
                <w:rFonts w:eastAsia="Times New Roman" w:cs="Calibri"/>
                <w:b/>
              </w:rPr>
            </w:pPr>
            <w:r w:rsidRPr="00A750A6">
              <w:rPr>
                <w:rFonts w:eastAsia="Times New Roman" w:cs="Calibri"/>
                <w:b/>
              </w:rPr>
              <w:t>3.2</w:t>
            </w:r>
            <w:r w:rsidR="00600333" w:rsidRPr="00A750A6">
              <w:rPr>
                <w:rFonts w:eastAsia="Times New Roman" w:cs="Calibri"/>
                <w:b/>
              </w:rPr>
              <w:t>1</w:t>
            </w:r>
          </w:p>
        </w:tc>
        <w:tc>
          <w:tcPr>
            <w:tcW w:w="1701" w:type="dxa"/>
            <w:shd w:val="clear" w:color="auto" w:fill="FFFFFF" w:themeFill="background1"/>
          </w:tcPr>
          <w:p w14:paraId="6BFB372B"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hemeFill="background1"/>
          </w:tcPr>
          <w:p w14:paraId="1F8067F5"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N/A – if Supplier will not</w:t>
            </w:r>
            <w:r w:rsidRPr="0073209E">
              <w:t xml:space="preserve"> </w:t>
            </w:r>
            <w:r w:rsidRPr="00E66809">
              <w:rPr>
                <w:rFonts w:eastAsia="Times New Roman" w:cs="Calibri"/>
                <w:b/>
                <w:u w:val="single"/>
              </w:rPr>
              <w:t>be using a supply chain</w:t>
            </w:r>
          </w:p>
          <w:p w14:paraId="1C20D4E2" w14:textId="77777777" w:rsidR="00A46209" w:rsidRPr="00E66809" w:rsidRDefault="00A46209" w:rsidP="00642950">
            <w:pPr>
              <w:spacing w:after="0" w:line="276" w:lineRule="auto"/>
              <w:jc w:val="both"/>
              <w:rPr>
                <w:rFonts w:eastAsia="Times New Roman" w:cs="Calibri"/>
                <w:b/>
                <w:u w:val="single"/>
              </w:rPr>
            </w:pPr>
          </w:p>
          <w:p w14:paraId="3293A264"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If Supplier IS using a supply chain:</w:t>
            </w:r>
          </w:p>
          <w:p w14:paraId="64C9AA52" w14:textId="77777777" w:rsidR="00A46209" w:rsidRPr="00E66809" w:rsidRDefault="00A46209" w:rsidP="00642950">
            <w:pPr>
              <w:spacing w:after="0" w:line="276" w:lineRule="auto"/>
              <w:jc w:val="both"/>
              <w:rPr>
                <w:rFonts w:eastAsia="Times New Roman" w:cs="Calibri"/>
                <w:b/>
                <w:u w:val="single"/>
              </w:rPr>
            </w:pPr>
          </w:p>
          <w:p w14:paraId="2797FD62"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lastRenderedPageBreak/>
              <w:t>Pass</w:t>
            </w:r>
          </w:p>
          <w:p w14:paraId="0CE05A2B" w14:textId="54266F95" w:rsidR="00A46209" w:rsidRPr="00E66809" w:rsidRDefault="00A46209" w:rsidP="00642950">
            <w:pPr>
              <w:spacing w:after="0" w:line="276" w:lineRule="auto"/>
              <w:jc w:val="both"/>
              <w:rPr>
                <w:rFonts w:eastAsia="Times New Roman" w:cs="Calibri"/>
              </w:rPr>
            </w:pPr>
            <w:r w:rsidRPr="00E66809">
              <w:rPr>
                <w:rFonts w:eastAsia="Times New Roman" w:cs="Calibri"/>
              </w:rPr>
              <w:t>A response of ‘Yes’</w:t>
            </w:r>
          </w:p>
          <w:p w14:paraId="15EFD4A1" w14:textId="77777777" w:rsidR="00A46209" w:rsidRPr="00E66809" w:rsidRDefault="00A46209" w:rsidP="00642950">
            <w:pPr>
              <w:spacing w:after="0" w:line="276" w:lineRule="auto"/>
              <w:jc w:val="both"/>
              <w:rPr>
                <w:rFonts w:eastAsia="Times New Roman" w:cs="Calibri"/>
              </w:rPr>
            </w:pPr>
          </w:p>
          <w:p w14:paraId="2CBCD006" w14:textId="0FBAFD42"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3B7F0473" w14:textId="6193968C" w:rsidR="00C451B6" w:rsidRPr="0073209E" w:rsidRDefault="00A46209" w:rsidP="00642950">
            <w:pPr>
              <w:spacing w:after="0" w:line="276" w:lineRule="auto"/>
              <w:jc w:val="both"/>
              <w:rPr>
                <w:rFonts w:eastAsia="Times New Roman" w:cs="Calibri"/>
              </w:rPr>
            </w:pPr>
            <w:r w:rsidRPr="00E66809">
              <w:rPr>
                <w:rFonts w:eastAsia="Times New Roman" w:cs="Calibri"/>
              </w:rPr>
              <w:t>A response of ‘No’</w:t>
            </w:r>
          </w:p>
          <w:p w14:paraId="370CDBDC" w14:textId="7680B7DD" w:rsidR="00C451B6" w:rsidRPr="0073209E" w:rsidRDefault="00C451B6" w:rsidP="00642950">
            <w:pPr>
              <w:spacing w:after="0" w:line="276" w:lineRule="auto"/>
              <w:jc w:val="both"/>
              <w:rPr>
                <w:rFonts w:eastAsia="Times New Roman" w:cs="Calibri"/>
                <w:b/>
              </w:rPr>
            </w:pPr>
            <w:r w:rsidRPr="0073209E">
              <w:rPr>
                <w:rFonts w:eastAsia="Times New Roman" w:cs="Calibri"/>
                <w:b/>
              </w:rPr>
              <w:t>OR</w:t>
            </w:r>
          </w:p>
          <w:p w14:paraId="62853E1C" w14:textId="03A55AE4" w:rsidR="00C451B6" w:rsidRPr="00E66809" w:rsidRDefault="00C451B6" w:rsidP="00642950">
            <w:pPr>
              <w:spacing w:after="0" w:line="276" w:lineRule="auto"/>
              <w:jc w:val="both"/>
              <w:rPr>
                <w:rFonts w:eastAsia="Times New Roman" w:cs="Calibri"/>
              </w:rPr>
            </w:pPr>
            <w:r w:rsidRPr="00E66809">
              <w:rPr>
                <w:rFonts w:eastAsia="Times New Roman" w:cs="Calibri"/>
              </w:rPr>
              <w:t>A response of ‘Yes’, with qualifications or conditions that are deemed unacceptable by HMRC</w:t>
            </w:r>
          </w:p>
        </w:tc>
      </w:tr>
      <w:tr w:rsidR="006365C7" w:rsidRPr="00BF1FD6" w14:paraId="7EF4DF62" w14:textId="77777777" w:rsidTr="3AD35CA9">
        <w:trPr>
          <w:trHeight w:val="510"/>
        </w:trPr>
        <w:tc>
          <w:tcPr>
            <w:tcW w:w="1474" w:type="dxa"/>
            <w:shd w:val="clear" w:color="auto" w:fill="FFFFFF" w:themeFill="background1"/>
          </w:tcPr>
          <w:p w14:paraId="2BF97CC3" w14:textId="4A1222D7" w:rsidR="006365C7" w:rsidRPr="00A750A6" w:rsidRDefault="006365C7" w:rsidP="00642950">
            <w:pPr>
              <w:spacing w:after="0" w:line="276" w:lineRule="auto"/>
              <w:jc w:val="both"/>
              <w:rPr>
                <w:rFonts w:eastAsia="Times New Roman" w:cs="Calibri"/>
                <w:b/>
              </w:rPr>
            </w:pPr>
            <w:r w:rsidRPr="00A750A6">
              <w:rPr>
                <w:rFonts w:eastAsia="Times New Roman" w:cs="Calibri"/>
                <w:b/>
              </w:rPr>
              <w:lastRenderedPageBreak/>
              <w:t>3.2</w:t>
            </w:r>
            <w:r w:rsidR="00600333" w:rsidRPr="00A750A6">
              <w:rPr>
                <w:rFonts w:eastAsia="Times New Roman" w:cs="Calibri"/>
                <w:b/>
              </w:rPr>
              <w:t>1a</w:t>
            </w:r>
          </w:p>
        </w:tc>
        <w:tc>
          <w:tcPr>
            <w:tcW w:w="1701" w:type="dxa"/>
            <w:shd w:val="clear" w:color="auto" w:fill="FFFFFF" w:themeFill="background1"/>
          </w:tcPr>
          <w:p w14:paraId="1D340774" w14:textId="1D6B8CF7" w:rsidR="006365C7" w:rsidRPr="00E66809" w:rsidRDefault="006365C7"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hemeFill="background1"/>
          </w:tcPr>
          <w:p w14:paraId="5BFBADC1" w14:textId="77777777" w:rsidR="006365C7" w:rsidRPr="00E66809" w:rsidRDefault="006365C7" w:rsidP="00642950">
            <w:pPr>
              <w:spacing w:after="0" w:line="276" w:lineRule="auto"/>
              <w:jc w:val="both"/>
              <w:rPr>
                <w:rFonts w:eastAsia="Times New Roman" w:cs="Calibri"/>
                <w:b/>
                <w:u w:val="single"/>
              </w:rPr>
            </w:pPr>
            <w:r w:rsidRPr="00E66809">
              <w:rPr>
                <w:rFonts w:eastAsia="Times New Roman" w:cs="Calibri"/>
                <w:b/>
                <w:u w:val="single"/>
              </w:rPr>
              <w:t>N/A – if Supplier will not</w:t>
            </w:r>
            <w:r w:rsidRPr="00E66809">
              <w:t xml:space="preserve"> </w:t>
            </w:r>
            <w:r w:rsidRPr="00E66809">
              <w:rPr>
                <w:rFonts w:eastAsia="Times New Roman" w:cs="Calibri"/>
                <w:b/>
                <w:u w:val="single"/>
              </w:rPr>
              <w:t>be using a supply chain</w:t>
            </w:r>
          </w:p>
          <w:p w14:paraId="6145BC3F" w14:textId="77777777" w:rsidR="006365C7" w:rsidRPr="00E66809" w:rsidRDefault="006365C7" w:rsidP="00642950">
            <w:pPr>
              <w:spacing w:after="0" w:line="276" w:lineRule="auto"/>
              <w:jc w:val="both"/>
              <w:rPr>
                <w:rFonts w:eastAsia="Times New Roman" w:cs="Calibri"/>
                <w:b/>
                <w:u w:val="single"/>
              </w:rPr>
            </w:pPr>
          </w:p>
          <w:p w14:paraId="4B53B5BF" w14:textId="77777777" w:rsidR="006365C7" w:rsidRPr="00E66809" w:rsidRDefault="006365C7" w:rsidP="00642950">
            <w:pPr>
              <w:spacing w:after="0" w:line="276" w:lineRule="auto"/>
              <w:jc w:val="both"/>
              <w:rPr>
                <w:rFonts w:eastAsia="Times New Roman" w:cs="Calibri"/>
                <w:b/>
                <w:u w:val="single"/>
              </w:rPr>
            </w:pPr>
            <w:r w:rsidRPr="00E66809">
              <w:rPr>
                <w:rFonts w:eastAsia="Times New Roman" w:cs="Calibri"/>
                <w:b/>
                <w:u w:val="single"/>
              </w:rPr>
              <w:t>If Supplier IS using a supply chain:</w:t>
            </w:r>
          </w:p>
          <w:p w14:paraId="657039B3" w14:textId="77777777" w:rsidR="006365C7" w:rsidRPr="00E66809" w:rsidRDefault="006365C7" w:rsidP="00642950">
            <w:pPr>
              <w:spacing w:after="0" w:line="276" w:lineRule="auto"/>
              <w:jc w:val="both"/>
              <w:rPr>
                <w:rFonts w:eastAsia="Times New Roman" w:cs="Calibri"/>
                <w:b/>
                <w:u w:val="single"/>
              </w:rPr>
            </w:pPr>
          </w:p>
          <w:p w14:paraId="1D6275A6" w14:textId="77777777" w:rsidR="006365C7" w:rsidRPr="00E66809" w:rsidRDefault="006365C7" w:rsidP="00642950">
            <w:pPr>
              <w:spacing w:after="0" w:line="276" w:lineRule="auto"/>
              <w:jc w:val="both"/>
              <w:rPr>
                <w:rFonts w:eastAsia="Times New Roman" w:cs="Calibri"/>
                <w:b/>
                <w:u w:val="single"/>
              </w:rPr>
            </w:pPr>
            <w:r w:rsidRPr="00E66809">
              <w:rPr>
                <w:rFonts w:eastAsia="Times New Roman" w:cs="Calibri"/>
                <w:b/>
                <w:u w:val="single"/>
              </w:rPr>
              <w:t>Pass</w:t>
            </w:r>
          </w:p>
          <w:p w14:paraId="6548312D" w14:textId="77777777" w:rsidR="006365C7" w:rsidRPr="00E66809" w:rsidRDefault="006365C7" w:rsidP="00642950">
            <w:pPr>
              <w:spacing w:after="0" w:line="276" w:lineRule="auto"/>
              <w:jc w:val="both"/>
              <w:rPr>
                <w:rFonts w:eastAsia="Times New Roman" w:cs="Calibri"/>
              </w:rPr>
            </w:pPr>
            <w:r w:rsidRPr="00E66809">
              <w:rPr>
                <w:rFonts w:eastAsia="Times New Roman" w:cs="Calibri"/>
              </w:rPr>
              <w:t>A response of ‘Yes’</w:t>
            </w:r>
          </w:p>
          <w:p w14:paraId="1D937D51" w14:textId="77777777" w:rsidR="006365C7" w:rsidRPr="00E66809" w:rsidRDefault="006365C7" w:rsidP="00642950">
            <w:pPr>
              <w:spacing w:after="0" w:line="276" w:lineRule="auto"/>
              <w:jc w:val="both"/>
              <w:rPr>
                <w:rFonts w:eastAsia="Times New Roman" w:cs="Calibri"/>
              </w:rPr>
            </w:pPr>
          </w:p>
          <w:p w14:paraId="3E3B4A78" w14:textId="77777777" w:rsidR="006365C7" w:rsidRPr="00E66809" w:rsidRDefault="006365C7" w:rsidP="0064295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03A4A05C" w14:textId="77777777" w:rsidR="006365C7" w:rsidRPr="00E66809" w:rsidRDefault="006365C7" w:rsidP="00642950">
            <w:pPr>
              <w:spacing w:after="0" w:line="276" w:lineRule="auto"/>
              <w:jc w:val="both"/>
              <w:rPr>
                <w:rFonts w:eastAsia="Times New Roman" w:cs="Calibri"/>
              </w:rPr>
            </w:pPr>
            <w:r w:rsidRPr="00E66809">
              <w:rPr>
                <w:rFonts w:eastAsia="Times New Roman" w:cs="Calibri"/>
              </w:rPr>
              <w:t>A response of ‘No’</w:t>
            </w:r>
          </w:p>
          <w:p w14:paraId="5DA896D4" w14:textId="77777777" w:rsidR="006365C7" w:rsidRPr="00E66809" w:rsidRDefault="006365C7" w:rsidP="00642950">
            <w:pPr>
              <w:spacing w:after="0" w:line="276" w:lineRule="auto"/>
              <w:jc w:val="both"/>
              <w:rPr>
                <w:rFonts w:eastAsia="Times New Roman" w:cs="Calibri"/>
                <w:b/>
              </w:rPr>
            </w:pPr>
            <w:r w:rsidRPr="00E66809">
              <w:rPr>
                <w:rFonts w:eastAsia="Times New Roman" w:cs="Calibri"/>
                <w:b/>
              </w:rPr>
              <w:t>OR</w:t>
            </w:r>
          </w:p>
          <w:p w14:paraId="700EB2F9" w14:textId="27AF1FB4" w:rsidR="006365C7" w:rsidRPr="00E66809" w:rsidRDefault="006365C7" w:rsidP="00642950">
            <w:pPr>
              <w:spacing w:after="0" w:line="276" w:lineRule="auto"/>
              <w:jc w:val="both"/>
              <w:rPr>
                <w:rFonts w:eastAsia="Times New Roman" w:cs="Calibri"/>
                <w:b/>
                <w:u w:val="single"/>
              </w:rPr>
            </w:pPr>
            <w:r w:rsidRPr="00E66809">
              <w:rPr>
                <w:rFonts w:eastAsia="Times New Roman" w:cs="Calibri"/>
              </w:rPr>
              <w:t>A response of ‘Yes’, with qualifications or conditions that are deemed unacceptable by HMRC</w:t>
            </w:r>
          </w:p>
        </w:tc>
      </w:tr>
      <w:tr w:rsidR="00A46209" w:rsidRPr="00BF1FD6" w14:paraId="57C1C609" w14:textId="77777777" w:rsidTr="3AD35CA9">
        <w:trPr>
          <w:trHeight w:val="510"/>
        </w:trPr>
        <w:tc>
          <w:tcPr>
            <w:tcW w:w="1474" w:type="dxa"/>
            <w:shd w:val="clear" w:color="auto" w:fill="FFFFFF" w:themeFill="background1"/>
          </w:tcPr>
          <w:p w14:paraId="759235EE" w14:textId="738BBA04" w:rsidR="00A46209" w:rsidRPr="00A750A6" w:rsidRDefault="00A46209" w:rsidP="00642950">
            <w:pPr>
              <w:spacing w:after="0" w:line="276" w:lineRule="auto"/>
              <w:jc w:val="both"/>
              <w:rPr>
                <w:rFonts w:eastAsia="Times New Roman" w:cs="Calibri"/>
                <w:b/>
              </w:rPr>
            </w:pPr>
            <w:r w:rsidRPr="00A750A6">
              <w:rPr>
                <w:rFonts w:eastAsia="Times New Roman" w:cs="Calibri"/>
                <w:b/>
              </w:rPr>
              <w:t>3.2</w:t>
            </w:r>
            <w:r w:rsidR="00600333" w:rsidRPr="00A750A6">
              <w:rPr>
                <w:rFonts w:eastAsia="Times New Roman" w:cs="Calibri"/>
                <w:b/>
              </w:rPr>
              <w:t>2</w:t>
            </w:r>
          </w:p>
        </w:tc>
        <w:tc>
          <w:tcPr>
            <w:tcW w:w="1701" w:type="dxa"/>
            <w:shd w:val="clear" w:color="auto" w:fill="FFFFFF" w:themeFill="background1"/>
          </w:tcPr>
          <w:p w14:paraId="052BD33E"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hemeFill="background1"/>
          </w:tcPr>
          <w:p w14:paraId="19AE0B39" w14:textId="77777777" w:rsidR="006D4F1C" w:rsidRPr="00081D64" w:rsidRDefault="006D4F1C" w:rsidP="00642950">
            <w:pPr>
              <w:spacing w:after="0" w:line="276" w:lineRule="auto"/>
              <w:jc w:val="both"/>
              <w:rPr>
                <w:rFonts w:eastAsia="Times New Roman" w:cs="Calibri"/>
                <w:b/>
                <w:u w:val="single"/>
              </w:rPr>
            </w:pPr>
            <w:r w:rsidRPr="00081D64">
              <w:rPr>
                <w:rFonts w:eastAsia="Times New Roman" w:cs="Calibri"/>
                <w:b/>
                <w:u w:val="single"/>
              </w:rPr>
              <w:t>N/A – if Supplier will not</w:t>
            </w:r>
            <w:r w:rsidRPr="00081D64">
              <w:t xml:space="preserve"> </w:t>
            </w:r>
            <w:r w:rsidRPr="00081D64">
              <w:rPr>
                <w:rFonts w:eastAsia="Times New Roman" w:cs="Calibri"/>
                <w:b/>
                <w:u w:val="single"/>
              </w:rPr>
              <w:t>be using a supply chain</w:t>
            </w:r>
          </w:p>
          <w:p w14:paraId="44F145F3" w14:textId="77777777" w:rsidR="006D4F1C" w:rsidRPr="00081D64" w:rsidRDefault="006D4F1C" w:rsidP="00642950">
            <w:pPr>
              <w:spacing w:after="0" w:line="276" w:lineRule="auto"/>
              <w:jc w:val="both"/>
              <w:rPr>
                <w:rFonts w:eastAsia="Times New Roman" w:cs="Calibri"/>
                <w:b/>
                <w:u w:val="single"/>
              </w:rPr>
            </w:pPr>
          </w:p>
          <w:p w14:paraId="7715569D" w14:textId="77777777" w:rsidR="006D4F1C" w:rsidRPr="00081D64" w:rsidRDefault="006D4F1C" w:rsidP="00642950">
            <w:pPr>
              <w:spacing w:after="0" w:line="276" w:lineRule="auto"/>
              <w:jc w:val="both"/>
              <w:rPr>
                <w:rFonts w:eastAsia="Times New Roman" w:cs="Calibri"/>
                <w:b/>
                <w:u w:val="single"/>
              </w:rPr>
            </w:pPr>
            <w:r w:rsidRPr="00081D64">
              <w:rPr>
                <w:rFonts w:eastAsia="Times New Roman" w:cs="Calibri"/>
                <w:b/>
                <w:u w:val="single"/>
              </w:rPr>
              <w:t>If Supplier IS using a supply chain:</w:t>
            </w:r>
          </w:p>
          <w:p w14:paraId="08A8AEFD" w14:textId="77777777" w:rsidR="006D4F1C" w:rsidRPr="00081D64" w:rsidRDefault="006D4F1C" w:rsidP="00642950">
            <w:pPr>
              <w:spacing w:after="0" w:line="276" w:lineRule="auto"/>
              <w:jc w:val="both"/>
              <w:rPr>
                <w:rFonts w:eastAsia="Times New Roman" w:cs="Calibri"/>
                <w:b/>
                <w:u w:val="single"/>
              </w:rPr>
            </w:pPr>
          </w:p>
          <w:p w14:paraId="4A4DCD64" w14:textId="77777777" w:rsidR="006D4F1C" w:rsidRPr="00081D64" w:rsidRDefault="006D4F1C" w:rsidP="00642950">
            <w:pPr>
              <w:spacing w:after="0" w:line="276" w:lineRule="auto"/>
              <w:jc w:val="both"/>
              <w:rPr>
                <w:rFonts w:eastAsia="Times New Roman" w:cs="Calibri"/>
                <w:b/>
                <w:u w:val="single"/>
              </w:rPr>
            </w:pPr>
            <w:r w:rsidRPr="00081D64">
              <w:rPr>
                <w:rFonts w:eastAsia="Times New Roman" w:cs="Calibri"/>
                <w:b/>
                <w:u w:val="single"/>
              </w:rPr>
              <w:t>Pass</w:t>
            </w:r>
          </w:p>
          <w:p w14:paraId="25CD58FC" w14:textId="77777777" w:rsidR="006D4F1C" w:rsidRPr="00081D64" w:rsidRDefault="006D4F1C" w:rsidP="00642950">
            <w:pPr>
              <w:spacing w:after="0" w:line="276" w:lineRule="auto"/>
              <w:jc w:val="both"/>
              <w:rPr>
                <w:rFonts w:eastAsia="Times New Roman" w:cs="Calibri"/>
              </w:rPr>
            </w:pPr>
            <w:r w:rsidRPr="00081D64">
              <w:rPr>
                <w:rFonts w:eastAsia="Times New Roman" w:cs="Calibri"/>
              </w:rPr>
              <w:t>A response of ‘Yes’</w:t>
            </w:r>
          </w:p>
          <w:p w14:paraId="51DB855A" w14:textId="77777777" w:rsidR="006D4F1C" w:rsidRPr="00081D64" w:rsidRDefault="006D4F1C" w:rsidP="00642950">
            <w:pPr>
              <w:spacing w:after="0" w:line="276" w:lineRule="auto"/>
              <w:jc w:val="both"/>
              <w:rPr>
                <w:rFonts w:eastAsia="Times New Roman" w:cs="Calibri"/>
              </w:rPr>
            </w:pPr>
          </w:p>
          <w:p w14:paraId="6D97A44F" w14:textId="77777777" w:rsidR="006D4F1C" w:rsidRPr="00081D64" w:rsidRDefault="006D4F1C" w:rsidP="00642950">
            <w:pPr>
              <w:spacing w:after="0" w:line="276" w:lineRule="auto"/>
              <w:jc w:val="both"/>
              <w:rPr>
                <w:rFonts w:eastAsia="Times New Roman" w:cs="Calibri"/>
              </w:rPr>
            </w:pPr>
            <w:r w:rsidRPr="00081D64">
              <w:rPr>
                <w:rFonts w:eastAsia="Times New Roman" w:cs="Calibri"/>
                <w:b/>
                <w:u w:val="single"/>
              </w:rPr>
              <w:t>Fail</w:t>
            </w:r>
            <w:r w:rsidRPr="00081D64">
              <w:rPr>
                <w:rFonts w:eastAsia="Times New Roman" w:cs="Calibri"/>
              </w:rPr>
              <w:t xml:space="preserve"> </w:t>
            </w:r>
          </w:p>
          <w:p w14:paraId="6D876A00" w14:textId="77777777" w:rsidR="006D4F1C" w:rsidRPr="00081D64" w:rsidRDefault="006D4F1C" w:rsidP="00642950">
            <w:pPr>
              <w:spacing w:after="0" w:line="276" w:lineRule="auto"/>
              <w:jc w:val="both"/>
              <w:rPr>
                <w:rFonts w:eastAsia="Times New Roman" w:cs="Calibri"/>
              </w:rPr>
            </w:pPr>
            <w:r w:rsidRPr="00081D64">
              <w:rPr>
                <w:rFonts w:eastAsia="Times New Roman" w:cs="Calibri"/>
              </w:rPr>
              <w:t>A response of ‘No’</w:t>
            </w:r>
          </w:p>
          <w:p w14:paraId="7EFA7337" w14:textId="77777777" w:rsidR="006D4F1C" w:rsidRPr="00081D64" w:rsidRDefault="006D4F1C" w:rsidP="00642950">
            <w:pPr>
              <w:spacing w:after="0" w:line="276" w:lineRule="auto"/>
              <w:jc w:val="both"/>
              <w:rPr>
                <w:rFonts w:eastAsia="Times New Roman" w:cs="Calibri"/>
                <w:b/>
                <w:bCs/>
              </w:rPr>
            </w:pPr>
            <w:r w:rsidRPr="00081D64">
              <w:rPr>
                <w:rFonts w:eastAsia="Times New Roman" w:cs="Calibri"/>
                <w:b/>
                <w:bCs/>
              </w:rPr>
              <w:t>OR</w:t>
            </w:r>
          </w:p>
          <w:p w14:paraId="70C1D97F" w14:textId="6A5B1FFE" w:rsidR="00A46209" w:rsidRPr="00E66809" w:rsidRDefault="006D4F1C" w:rsidP="00642950">
            <w:pPr>
              <w:spacing w:after="0" w:line="276" w:lineRule="auto"/>
              <w:jc w:val="both"/>
              <w:rPr>
                <w:rFonts w:eastAsia="Times New Roman" w:cs="Calibri"/>
                <w:b/>
                <w:u w:val="single"/>
              </w:rPr>
            </w:pPr>
            <w:r w:rsidRPr="00081D64">
              <w:rPr>
                <w:rFonts w:eastAsia="Times New Roman" w:cs="Calibri"/>
              </w:rPr>
              <w:t>A response of ‘Yes’, with qualifications or conditions that are deemed unacceptable by HMRC</w:t>
            </w:r>
          </w:p>
        </w:tc>
      </w:tr>
      <w:tr w:rsidR="00A46209" w:rsidRPr="00BF1FD6" w14:paraId="6E63D9E0" w14:textId="77777777" w:rsidTr="3AD35CA9">
        <w:trPr>
          <w:trHeight w:val="510"/>
        </w:trPr>
        <w:tc>
          <w:tcPr>
            <w:tcW w:w="1474" w:type="dxa"/>
            <w:shd w:val="clear" w:color="auto" w:fill="FFFFFF" w:themeFill="background1"/>
          </w:tcPr>
          <w:p w14:paraId="3FD72C7F" w14:textId="27D8FEED"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3.2</w:t>
            </w:r>
            <w:r w:rsidR="00600333" w:rsidRPr="00A750A6">
              <w:rPr>
                <w:rFonts w:eastAsia="Times New Roman" w:cs="Calibri"/>
                <w:b/>
              </w:rPr>
              <w:t>3</w:t>
            </w:r>
          </w:p>
        </w:tc>
        <w:tc>
          <w:tcPr>
            <w:tcW w:w="1701" w:type="dxa"/>
            <w:shd w:val="clear" w:color="auto" w:fill="FFFFFF" w:themeFill="background1"/>
          </w:tcPr>
          <w:p w14:paraId="3CD2ED30"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hemeFill="background1"/>
          </w:tcPr>
          <w:p w14:paraId="02E2173E"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N/A – if Supplier will not</w:t>
            </w:r>
            <w:r>
              <w:t xml:space="preserve"> </w:t>
            </w:r>
            <w:r w:rsidRPr="00E66809">
              <w:rPr>
                <w:rFonts w:eastAsia="Times New Roman" w:cs="Calibri"/>
                <w:b/>
                <w:u w:val="single"/>
              </w:rPr>
              <w:t>be using a supply chain</w:t>
            </w:r>
          </w:p>
          <w:p w14:paraId="36A25FF8" w14:textId="77777777" w:rsidR="00A46209" w:rsidRPr="00E66809" w:rsidRDefault="00A46209" w:rsidP="00642950">
            <w:pPr>
              <w:spacing w:after="0" w:line="276" w:lineRule="auto"/>
              <w:jc w:val="both"/>
              <w:rPr>
                <w:rFonts w:eastAsia="Times New Roman" w:cs="Calibri"/>
                <w:b/>
                <w:u w:val="single"/>
              </w:rPr>
            </w:pPr>
          </w:p>
          <w:p w14:paraId="0E487AA6"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If Supplier IS using a supply chain:</w:t>
            </w:r>
          </w:p>
          <w:p w14:paraId="0D95FCB6" w14:textId="77777777" w:rsidR="00A46209" w:rsidRPr="00E66809" w:rsidRDefault="00A46209" w:rsidP="00642950">
            <w:pPr>
              <w:spacing w:after="0" w:line="276" w:lineRule="auto"/>
              <w:jc w:val="both"/>
              <w:rPr>
                <w:rFonts w:eastAsia="Times New Roman" w:cs="Calibri"/>
                <w:b/>
                <w:u w:val="single"/>
              </w:rPr>
            </w:pPr>
          </w:p>
          <w:p w14:paraId="4E0C93C1"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538D3172" w14:textId="77C83484" w:rsidR="00A46209" w:rsidRPr="00E13EAA" w:rsidRDefault="00FA5CF7" w:rsidP="00E13EAA">
            <w:pPr>
              <w:spacing w:after="60"/>
              <w:jc w:val="both"/>
              <w:rPr>
                <w:rFonts w:cs="Arial"/>
              </w:rPr>
            </w:pPr>
            <w:r w:rsidRPr="00E13EAA">
              <w:rPr>
                <w:rFonts w:eastAsia="Arial" w:cs="Arial"/>
              </w:rPr>
              <w:t>Supplier</w:t>
            </w:r>
            <w:r w:rsidR="00A46209" w:rsidRPr="00E13EAA">
              <w:rPr>
                <w:rFonts w:eastAsia="Arial" w:cs="Arial"/>
              </w:rPr>
              <w:t xml:space="preserve"> pays ≥95% of all supply chain invoices in 60 days and the </w:t>
            </w:r>
            <w:r w:rsidRPr="00E13EAA">
              <w:rPr>
                <w:rFonts w:eastAsia="Arial" w:cs="Arial"/>
              </w:rPr>
              <w:t>Supplier</w:t>
            </w:r>
            <w:r w:rsidR="00A46209" w:rsidRPr="00E13EAA">
              <w:rPr>
                <w:rFonts w:eastAsia="Arial" w:cs="Arial"/>
              </w:rPr>
              <w:t>’s average payment days are also ≤55. Both metrics are hit concurrently in at least one of the previous two six month reporting periods (Both metrics may be calculated either with or without intercompany payments removed)</w:t>
            </w:r>
            <w:r w:rsidR="0075615E" w:rsidRPr="00E13EAA">
              <w:rPr>
                <w:rFonts w:eastAsia="Arial" w:cs="Arial"/>
              </w:rPr>
              <w:t xml:space="preserve"> AND the Supplier is able to demonstrate that all invoices have been paid </w:t>
            </w:r>
            <w:r w:rsidR="00954491" w:rsidRPr="00E13EAA">
              <w:rPr>
                <w:rFonts w:eastAsia="Arial" w:cs="Arial"/>
              </w:rPr>
              <w:t>within the agreed contractual terms</w:t>
            </w:r>
          </w:p>
          <w:p w14:paraId="462103AE" w14:textId="5319B172" w:rsidR="00954491" w:rsidRPr="00E66809" w:rsidRDefault="00954491" w:rsidP="00954491">
            <w:pPr>
              <w:spacing w:after="60"/>
              <w:jc w:val="both"/>
              <w:rPr>
                <w:rFonts w:cs="Arial"/>
                <w:b/>
              </w:rPr>
            </w:pPr>
            <w:r w:rsidRPr="00954491">
              <w:rPr>
                <w:rFonts w:cs="Arial"/>
                <w:b/>
                <w:bCs/>
              </w:rPr>
              <w:t>OR</w:t>
            </w:r>
          </w:p>
          <w:p w14:paraId="6AAED68D" w14:textId="272C4253" w:rsidR="00A46209" w:rsidRPr="00E13EAA" w:rsidRDefault="00FA5CF7" w:rsidP="00E13EAA">
            <w:pPr>
              <w:spacing w:after="60"/>
              <w:jc w:val="both"/>
              <w:rPr>
                <w:rFonts w:eastAsia="Arial" w:cs="Arial"/>
              </w:rPr>
            </w:pPr>
            <w:r w:rsidRPr="00E13EAA">
              <w:rPr>
                <w:rFonts w:eastAsia="Arial" w:cs="Arial"/>
              </w:rPr>
              <w:t>Supplier</w:t>
            </w:r>
            <w:r w:rsidR="00A46209" w:rsidRPr="00E13EAA">
              <w:rPr>
                <w:rFonts w:eastAsia="Arial" w:cs="Arial"/>
              </w:rPr>
              <w:t xml:space="preserve"> pays ≥90% &lt; 95% of all supply chain invoices in 60 days and the </w:t>
            </w:r>
            <w:r w:rsidRPr="00E13EAA">
              <w:rPr>
                <w:rFonts w:eastAsia="Arial" w:cs="Arial"/>
              </w:rPr>
              <w:t>Supplier</w:t>
            </w:r>
            <w:r w:rsidR="00A46209" w:rsidRPr="00E13EAA">
              <w:rPr>
                <w:rFonts w:eastAsia="Arial" w:cs="Arial"/>
              </w:rPr>
              <w:t xml:space="preserve">’s average payment days are also ≤55. Both metrics are hit concurrently in at least one of the previous two six month reporting periods after removing intercompany payments (if relevant) </w:t>
            </w:r>
            <w:r w:rsidR="00A56F9F" w:rsidRPr="00E13EAA">
              <w:rPr>
                <w:rFonts w:eastAsia="Arial" w:cs="Arial"/>
              </w:rPr>
              <w:t>AND the Supplier</w:t>
            </w:r>
            <w:r w:rsidR="00A46209" w:rsidRPr="00E13EAA">
              <w:rPr>
                <w:rFonts w:eastAsia="Arial" w:cs="Arial"/>
              </w:rPr>
              <w:t xml:space="preserve"> </w:t>
            </w:r>
            <w:r w:rsidR="00EB63AE" w:rsidRPr="00E13EAA">
              <w:rPr>
                <w:rFonts w:eastAsia="Arial" w:cs="Arial"/>
              </w:rPr>
              <w:t xml:space="preserve">provides </w:t>
            </w:r>
            <w:r w:rsidR="00A46209" w:rsidRPr="00E13EAA">
              <w:rPr>
                <w:rFonts w:eastAsia="Arial" w:cs="Arial"/>
              </w:rPr>
              <w:t>an action plan that includes (as a minimum) the following:</w:t>
            </w:r>
          </w:p>
          <w:p w14:paraId="5069CDE4" w14:textId="77777777" w:rsidR="00A46209" w:rsidRPr="00E66809" w:rsidRDefault="00A46209" w:rsidP="00A46209">
            <w:pPr>
              <w:pStyle w:val="ListParagraph"/>
              <w:numPr>
                <w:ilvl w:val="0"/>
                <w:numId w:val="9"/>
              </w:numPr>
              <w:spacing w:after="60"/>
              <w:ind w:left="697" w:hanging="357"/>
              <w:contextualSpacing w:val="0"/>
              <w:jc w:val="both"/>
              <w:rPr>
                <w:rFonts w:cs="Arial"/>
              </w:rPr>
            </w:pPr>
            <w:r w:rsidRPr="00E66809">
              <w:rPr>
                <w:rFonts w:cs="Arial"/>
                <w:b/>
                <w:color w:val="009999"/>
              </w:rPr>
              <w:t>1.</w:t>
            </w:r>
            <w:r w:rsidRPr="00E66809">
              <w:rPr>
                <w:rFonts w:cs="Arial"/>
              </w:rPr>
              <w:t xml:space="preserve"> Identification of the primary causes of failure to pay: </w:t>
            </w:r>
          </w:p>
          <w:p w14:paraId="060C8889" w14:textId="77777777" w:rsidR="00A46209" w:rsidRPr="00E66809" w:rsidRDefault="00A46209" w:rsidP="00A46209">
            <w:pPr>
              <w:pStyle w:val="ListParagraph"/>
              <w:numPr>
                <w:ilvl w:val="0"/>
                <w:numId w:val="9"/>
              </w:numPr>
              <w:spacing w:after="60"/>
              <w:ind w:left="697" w:hanging="357"/>
              <w:contextualSpacing w:val="0"/>
              <w:jc w:val="both"/>
              <w:rPr>
                <w:rFonts w:cs="Arial"/>
              </w:rPr>
            </w:pPr>
            <w:r w:rsidRPr="00E66809">
              <w:rPr>
                <w:rFonts w:cs="Arial"/>
              </w:rPr>
              <w:t xml:space="preserve">(a) 95% of all supply chain invoices within 60 days; and </w:t>
            </w:r>
          </w:p>
          <w:p w14:paraId="29DEA80B" w14:textId="77777777" w:rsidR="00A46209" w:rsidRPr="00E66809" w:rsidRDefault="00A46209" w:rsidP="00A46209">
            <w:pPr>
              <w:pStyle w:val="ListParagraph"/>
              <w:numPr>
                <w:ilvl w:val="0"/>
                <w:numId w:val="9"/>
              </w:numPr>
              <w:spacing w:after="60"/>
              <w:ind w:left="697" w:hanging="357"/>
              <w:contextualSpacing w:val="0"/>
              <w:jc w:val="both"/>
              <w:rPr>
                <w:rFonts w:cs="Arial"/>
              </w:rPr>
            </w:pPr>
            <w:r w:rsidRPr="00E66809">
              <w:rPr>
                <w:rFonts w:cs="Arial"/>
              </w:rPr>
              <w:t xml:space="preserve">(b) (if relevant) all supply chain invoices within agreed terms. </w:t>
            </w:r>
          </w:p>
          <w:p w14:paraId="5DE17148" w14:textId="77777777" w:rsidR="00A46209" w:rsidRPr="00E66809" w:rsidRDefault="00A46209" w:rsidP="00A46209">
            <w:pPr>
              <w:pStyle w:val="ListParagraph"/>
              <w:numPr>
                <w:ilvl w:val="0"/>
                <w:numId w:val="9"/>
              </w:numPr>
              <w:spacing w:after="60"/>
              <w:ind w:left="697" w:hanging="357"/>
              <w:contextualSpacing w:val="0"/>
              <w:jc w:val="both"/>
              <w:rPr>
                <w:rFonts w:cs="Arial"/>
              </w:rPr>
            </w:pPr>
            <w:r w:rsidRPr="00E66809">
              <w:rPr>
                <w:rFonts w:cs="Arial"/>
                <w:b/>
                <w:color w:val="009999"/>
              </w:rPr>
              <w:t>2.</w:t>
            </w:r>
            <w:r w:rsidRPr="00E66809">
              <w:rPr>
                <w:rFonts w:cs="Arial"/>
              </w:rPr>
              <w:t xml:space="preserve"> Actions to address each of these causes. </w:t>
            </w:r>
          </w:p>
          <w:p w14:paraId="2CC3B558" w14:textId="67F93202" w:rsidR="00A46209" w:rsidRPr="00E66809" w:rsidRDefault="00A46209" w:rsidP="00A46209">
            <w:pPr>
              <w:pStyle w:val="ListParagraph"/>
              <w:numPr>
                <w:ilvl w:val="0"/>
                <w:numId w:val="9"/>
              </w:numPr>
              <w:spacing w:after="60"/>
              <w:ind w:left="697" w:hanging="357"/>
              <w:contextualSpacing w:val="0"/>
              <w:jc w:val="both"/>
              <w:rPr>
                <w:rFonts w:cs="Arial"/>
              </w:rPr>
            </w:pPr>
            <w:r w:rsidRPr="00E66809">
              <w:rPr>
                <w:rFonts w:cs="Arial"/>
                <w:b/>
                <w:color w:val="009999"/>
              </w:rPr>
              <w:t>3.</w:t>
            </w:r>
            <w:r w:rsidRPr="00E66809">
              <w:rPr>
                <w:rFonts w:cs="Arial"/>
              </w:rPr>
              <w:t xml:space="preserve"> Regular reporting on progress to the </w:t>
            </w:r>
            <w:r w:rsidR="005F7300">
              <w:rPr>
                <w:rFonts w:cs="Arial"/>
              </w:rPr>
              <w:t>Supplier</w:t>
            </w:r>
            <w:r w:rsidRPr="00E66809">
              <w:rPr>
                <w:rFonts w:cs="Arial"/>
              </w:rPr>
              <w:t xml:space="preserve">’s audit committee (or equivalent). </w:t>
            </w:r>
          </w:p>
          <w:p w14:paraId="6B10B0CE" w14:textId="77777777" w:rsidR="00A46209" w:rsidRPr="00E66809" w:rsidRDefault="00A46209" w:rsidP="00A46209">
            <w:pPr>
              <w:pStyle w:val="ListParagraph"/>
              <w:numPr>
                <w:ilvl w:val="0"/>
                <w:numId w:val="9"/>
              </w:numPr>
              <w:spacing w:after="60"/>
              <w:ind w:left="697" w:hanging="357"/>
              <w:contextualSpacing w:val="0"/>
              <w:jc w:val="both"/>
              <w:rPr>
                <w:rFonts w:cs="Arial"/>
              </w:rPr>
            </w:pPr>
            <w:r w:rsidRPr="00E66809">
              <w:rPr>
                <w:rFonts w:cs="Arial"/>
                <w:b/>
                <w:color w:val="009999"/>
              </w:rPr>
              <w:t>4.</w:t>
            </w:r>
            <w:r w:rsidRPr="00E66809">
              <w:rPr>
                <w:rFonts w:cs="Arial"/>
              </w:rPr>
              <w:t xml:space="preserve"> Plan signed off by a director. </w:t>
            </w:r>
          </w:p>
          <w:p w14:paraId="7A5BC5BE" w14:textId="77777777" w:rsidR="00A46209" w:rsidRPr="00E66809" w:rsidRDefault="00A46209" w:rsidP="00A46209">
            <w:pPr>
              <w:pStyle w:val="ListParagraph"/>
              <w:numPr>
                <w:ilvl w:val="0"/>
                <w:numId w:val="9"/>
              </w:numPr>
              <w:spacing w:after="60"/>
              <w:ind w:left="697" w:hanging="357"/>
              <w:contextualSpacing w:val="0"/>
              <w:jc w:val="both"/>
              <w:rPr>
                <w:rFonts w:cs="Arial"/>
              </w:rPr>
            </w:pPr>
            <w:r w:rsidRPr="00E66809">
              <w:rPr>
                <w:rFonts w:cs="Arial"/>
                <w:b/>
                <w:color w:val="009999"/>
              </w:rPr>
              <w:t>5.</w:t>
            </w:r>
            <w:r w:rsidRPr="00E66809">
              <w:rPr>
                <w:rFonts w:cs="Arial"/>
              </w:rPr>
              <w:t xml:space="preserve"> Plan published on its website. (This can be a shorter, summary plan)</w:t>
            </w:r>
          </w:p>
          <w:p w14:paraId="2DBE146B" w14:textId="77777777" w:rsidR="00A46209" w:rsidRDefault="00A46209" w:rsidP="00642950">
            <w:pPr>
              <w:spacing w:after="0" w:line="276" w:lineRule="auto"/>
              <w:jc w:val="both"/>
              <w:rPr>
                <w:rFonts w:eastAsia="Times New Roman" w:cs="Calibri"/>
              </w:rPr>
            </w:pPr>
          </w:p>
          <w:p w14:paraId="1AD56F91" w14:textId="77777777" w:rsidR="00954491" w:rsidRPr="00E66809" w:rsidRDefault="00954491" w:rsidP="00642950">
            <w:pPr>
              <w:spacing w:after="0" w:line="276" w:lineRule="auto"/>
              <w:jc w:val="both"/>
              <w:rPr>
                <w:rFonts w:eastAsia="Times New Roman" w:cs="Calibri"/>
              </w:rPr>
            </w:pPr>
          </w:p>
          <w:p w14:paraId="7022133A"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051A4218" w14:textId="4E3C2F8B" w:rsidR="00617887" w:rsidRPr="00E13EAA" w:rsidRDefault="00FA5CF7" w:rsidP="00E13EAA">
            <w:pPr>
              <w:spacing w:after="60"/>
              <w:jc w:val="both"/>
              <w:rPr>
                <w:rFonts w:eastAsia="Arial" w:cs="Arial"/>
              </w:rPr>
            </w:pPr>
            <w:r w:rsidRPr="00E13EAA">
              <w:rPr>
                <w:rFonts w:eastAsia="Arial" w:cs="Arial"/>
              </w:rPr>
              <w:t>Supplier</w:t>
            </w:r>
            <w:r w:rsidR="00A46209" w:rsidRPr="00E13EAA">
              <w:rPr>
                <w:rFonts w:eastAsia="Arial" w:cs="Arial"/>
              </w:rPr>
              <w:t xml:space="preserve"> pays ≥90% &lt; 95% of all supply chain invoices in 60 days and the </w:t>
            </w:r>
            <w:r w:rsidRPr="00E13EAA">
              <w:rPr>
                <w:rFonts w:eastAsia="Arial" w:cs="Arial"/>
              </w:rPr>
              <w:t>Supplier</w:t>
            </w:r>
            <w:r w:rsidR="00A46209" w:rsidRPr="00E13EAA">
              <w:rPr>
                <w:rFonts w:eastAsia="Arial" w:cs="Arial"/>
              </w:rPr>
              <w:t>'s average payment days are also ≥55. Both metrics are hit concurrently in at least one of the previous two six month reporting periods after removing intercompany payments (if relevant)</w:t>
            </w:r>
            <w:r w:rsidR="00954491" w:rsidRPr="00E13EAA">
              <w:rPr>
                <w:rFonts w:eastAsia="Arial" w:cs="Arial"/>
              </w:rPr>
              <w:t xml:space="preserve"> AND cannot </w:t>
            </w:r>
            <w:r w:rsidR="00954491" w:rsidRPr="00E13EAA">
              <w:rPr>
                <w:rFonts w:eastAsia="Arial" w:cs="Arial"/>
              </w:rPr>
              <w:lastRenderedPageBreak/>
              <w:t>demonstrate that all invoices have been paid within the agreed contractual terms</w:t>
            </w:r>
            <w:r w:rsidR="0011022D" w:rsidRPr="00E13EAA">
              <w:rPr>
                <w:rFonts w:eastAsia="Arial" w:cs="Arial"/>
              </w:rPr>
              <w:t>,</w:t>
            </w:r>
            <w:r w:rsidR="00A46209" w:rsidRPr="00E13EAA">
              <w:rPr>
                <w:rFonts w:eastAsia="Arial" w:cs="Arial"/>
              </w:rPr>
              <w:t xml:space="preserve"> but does not provide an action plan </w:t>
            </w:r>
          </w:p>
          <w:p w14:paraId="2E4F7EE8" w14:textId="77777777" w:rsidR="00617887" w:rsidRPr="00617887" w:rsidRDefault="00665519" w:rsidP="00617887">
            <w:pPr>
              <w:spacing w:after="60"/>
              <w:jc w:val="both"/>
              <w:rPr>
                <w:rFonts w:eastAsia="Arial" w:cs="Arial"/>
                <w:b/>
                <w:bCs/>
              </w:rPr>
            </w:pPr>
            <w:r w:rsidRPr="00617887">
              <w:rPr>
                <w:rFonts w:eastAsia="Arial" w:cs="Arial"/>
                <w:b/>
                <w:bCs/>
              </w:rPr>
              <w:t>OR</w:t>
            </w:r>
            <w:r w:rsidR="00A46209" w:rsidRPr="00E66809">
              <w:rPr>
                <w:rFonts w:eastAsia="Arial" w:cs="Arial"/>
                <w:b/>
              </w:rPr>
              <w:t xml:space="preserve"> </w:t>
            </w:r>
          </w:p>
          <w:p w14:paraId="2847A2AA" w14:textId="64A57C75" w:rsidR="000522A9" w:rsidRPr="00E13EAA" w:rsidRDefault="00617887" w:rsidP="00E13EAA">
            <w:pPr>
              <w:jc w:val="both"/>
              <w:rPr>
                <w:rFonts w:eastAsia="Arial" w:cs="Arial"/>
              </w:rPr>
            </w:pPr>
            <w:r w:rsidRPr="00E13EAA">
              <w:rPr>
                <w:rFonts w:eastAsia="Arial" w:cs="Arial"/>
              </w:rPr>
              <w:t>Supplier pays ≥90% &lt; 95% of all supply chain invoices in 60 days and the Supplier's average payment days are also ≥55. Both metrics are hit concurrently in at least one of the previous two six month reporting periods after removing intercompany payments (if relevant)</w:t>
            </w:r>
            <w:r w:rsidR="00E17942" w:rsidRPr="00E13EAA">
              <w:rPr>
                <w:rFonts w:eastAsia="Arial" w:cs="Arial"/>
              </w:rPr>
              <w:t xml:space="preserve"> AND cannot demonstrate that all invoices have been paid within the agreed contractual terms, </w:t>
            </w:r>
            <w:r w:rsidRPr="00E13EAA">
              <w:rPr>
                <w:rFonts w:eastAsia="Arial" w:cs="Arial"/>
              </w:rPr>
              <w:t xml:space="preserve">but </w:t>
            </w:r>
            <w:r w:rsidR="000522A9" w:rsidRPr="00E13EAA">
              <w:rPr>
                <w:rFonts w:eastAsia="Arial" w:cs="Arial"/>
              </w:rPr>
              <w:t>the action provided does not cover all of the below features in full:</w:t>
            </w:r>
          </w:p>
          <w:p w14:paraId="077FC45A" w14:textId="77777777" w:rsidR="00A46209" w:rsidRPr="00E13EAA" w:rsidRDefault="00A46209" w:rsidP="00E13EAA">
            <w:pPr>
              <w:spacing w:after="60"/>
              <w:jc w:val="both"/>
              <w:rPr>
                <w:rFonts w:cs="Arial"/>
              </w:rPr>
            </w:pPr>
            <w:r w:rsidRPr="00E13EAA">
              <w:rPr>
                <w:rFonts w:cs="Arial"/>
                <w:b/>
                <w:color w:val="009999"/>
              </w:rPr>
              <w:t>1.</w:t>
            </w:r>
            <w:r w:rsidRPr="00E13EAA">
              <w:rPr>
                <w:rFonts w:cs="Arial"/>
                <w:color w:val="009999"/>
              </w:rPr>
              <w:t xml:space="preserve"> </w:t>
            </w:r>
            <w:r w:rsidRPr="00E13EAA">
              <w:rPr>
                <w:rFonts w:cs="Arial"/>
              </w:rPr>
              <w:t xml:space="preserve">Identification of the primary causes of failure to pay: </w:t>
            </w:r>
          </w:p>
          <w:p w14:paraId="4B9C782D" w14:textId="77777777" w:rsidR="00A46209" w:rsidRPr="00E13EAA" w:rsidRDefault="00A46209" w:rsidP="00E13EAA">
            <w:pPr>
              <w:spacing w:after="60"/>
              <w:ind w:firstLine="253"/>
              <w:jc w:val="both"/>
              <w:rPr>
                <w:rFonts w:cs="Arial"/>
              </w:rPr>
            </w:pPr>
            <w:r w:rsidRPr="00E13EAA">
              <w:rPr>
                <w:rFonts w:cs="Arial"/>
              </w:rPr>
              <w:t xml:space="preserve">(a) 95% of all supply chain invoices within 60 days; and </w:t>
            </w:r>
          </w:p>
          <w:p w14:paraId="4CBB3B20" w14:textId="77777777" w:rsidR="00A46209" w:rsidRPr="00E13EAA" w:rsidRDefault="00A46209" w:rsidP="00E13EAA">
            <w:pPr>
              <w:spacing w:after="60"/>
              <w:ind w:firstLine="253"/>
              <w:jc w:val="both"/>
              <w:rPr>
                <w:rFonts w:cs="Arial"/>
              </w:rPr>
            </w:pPr>
            <w:r w:rsidRPr="00E13EAA">
              <w:rPr>
                <w:rFonts w:cs="Arial"/>
              </w:rPr>
              <w:t xml:space="preserve">(b) (if relevant) all supply chain invoices within agreed terms. </w:t>
            </w:r>
          </w:p>
          <w:p w14:paraId="45D8203A" w14:textId="77777777" w:rsidR="00A46209" w:rsidRPr="00E13EAA" w:rsidRDefault="00A46209" w:rsidP="00E13EAA">
            <w:pPr>
              <w:spacing w:after="60"/>
              <w:jc w:val="both"/>
              <w:rPr>
                <w:rFonts w:cs="Arial"/>
              </w:rPr>
            </w:pPr>
            <w:r w:rsidRPr="00E13EAA">
              <w:rPr>
                <w:rFonts w:cs="Arial"/>
                <w:b/>
                <w:color w:val="009999"/>
              </w:rPr>
              <w:t>2.</w:t>
            </w:r>
            <w:r w:rsidRPr="00E13EAA">
              <w:rPr>
                <w:rFonts w:cs="Arial"/>
                <w:color w:val="009999"/>
              </w:rPr>
              <w:t xml:space="preserve"> </w:t>
            </w:r>
            <w:r w:rsidRPr="00E13EAA">
              <w:rPr>
                <w:rFonts w:cs="Arial"/>
              </w:rPr>
              <w:t xml:space="preserve">Actions to address each of these causes. </w:t>
            </w:r>
          </w:p>
          <w:p w14:paraId="0F59369A" w14:textId="75F8CEE5" w:rsidR="00A46209" w:rsidRPr="00E13EAA" w:rsidRDefault="00A46209" w:rsidP="00E13EAA">
            <w:pPr>
              <w:spacing w:after="60"/>
              <w:jc w:val="both"/>
              <w:rPr>
                <w:rFonts w:cs="Arial"/>
              </w:rPr>
            </w:pPr>
            <w:r w:rsidRPr="00E13EAA">
              <w:rPr>
                <w:rFonts w:cs="Arial"/>
                <w:b/>
                <w:color w:val="009999"/>
              </w:rPr>
              <w:t>3.</w:t>
            </w:r>
            <w:r w:rsidRPr="00E13EAA">
              <w:rPr>
                <w:rFonts w:cs="Arial"/>
                <w:color w:val="009999"/>
              </w:rPr>
              <w:t xml:space="preserve"> </w:t>
            </w:r>
            <w:r w:rsidRPr="00E13EAA">
              <w:rPr>
                <w:rFonts w:cs="Arial"/>
              </w:rPr>
              <w:t xml:space="preserve">Regular reporting on progress to the </w:t>
            </w:r>
            <w:r w:rsidR="005F7300" w:rsidRPr="00E13EAA">
              <w:rPr>
                <w:rFonts w:cs="Arial"/>
              </w:rPr>
              <w:t>Supplier</w:t>
            </w:r>
            <w:r w:rsidRPr="00E13EAA">
              <w:rPr>
                <w:rFonts w:cs="Arial"/>
              </w:rPr>
              <w:t xml:space="preserve">’s audit committee (or equivalent). </w:t>
            </w:r>
          </w:p>
          <w:p w14:paraId="6C906A24" w14:textId="77777777" w:rsidR="00A46209" w:rsidRPr="00E13EAA" w:rsidRDefault="00A46209" w:rsidP="00E13EAA">
            <w:pPr>
              <w:spacing w:after="60"/>
              <w:jc w:val="both"/>
              <w:rPr>
                <w:rFonts w:cs="Arial"/>
              </w:rPr>
            </w:pPr>
            <w:r w:rsidRPr="00E13EAA">
              <w:rPr>
                <w:rFonts w:cs="Arial"/>
                <w:b/>
                <w:color w:val="009999"/>
              </w:rPr>
              <w:t>4.</w:t>
            </w:r>
            <w:r w:rsidRPr="00E13EAA">
              <w:rPr>
                <w:rFonts w:cs="Arial"/>
                <w:color w:val="009999"/>
              </w:rPr>
              <w:t xml:space="preserve"> </w:t>
            </w:r>
            <w:r w:rsidRPr="00E13EAA">
              <w:rPr>
                <w:rFonts w:cs="Arial"/>
              </w:rPr>
              <w:t xml:space="preserve">Plan signed off by a director. </w:t>
            </w:r>
          </w:p>
          <w:p w14:paraId="63442781" w14:textId="4E7B1981" w:rsidR="00875E9A" w:rsidRPr="00E13EAA" w:rsidRDefault="00A46209" w:rsidP="00E13EAA">
            <w:pPr>
              <w:spacing w:after="60"/>
              <w:jc w:val="both"/>
              <w:rPr>
                <w:rFonts w:cs="Arial"/>
              </w:rPr>
            </w:pPr>
            <w:r w:rsidRPr="00E13EAA">
              <w:rPr>
                <w:rFonts w:cs="Arial"/>
                <w:b/>
                <w:color w:val="009999"/>
              </w:rPr>
              <w:t>5.</w:t>
            </w:r>
            <w:r w:rsidRPr="00E13EAA">
              <w:rPr>
                <w:rFonts w:cs="Arial"/>
                <w:color w:val="009999"/>
              </w:rPr>
              <w:t xml:space="preserve"> </w:t>
            </w:r>
            <w:r w:rsidRPr="00E13EAA">
              <w:rPr>
                <w:rFonts w:cs="Arial"/>
              </w:rPr>
              <w:t>Plan published on its website. (This can be a shorter, summary plan)</w:t>
            </w:r>
          </w:p>
          <w:p w14:paraId="1DCE5B87" w14:textId="137B3A23" w:rsidR="00875E9A" w:rsidRPr="00E13EAA" w:rsidRDefault="00875E9A" w:rsidP="00875E9A">
            <w:pPr>
              <w:spacing w:after="60"/>
              <w:jc w:val="both"/>
              <w:rPr>
                <w:rFonts w:cs="Arial"/>
                <w:b/>
                <w:bCs/>
              </w:rPr>
            </w:pPr>
            <w:r w:rsidRPr="00E13EAA">
              <w:rPr>
                <w:rFonts w:cs="Arial"/>
                <w:b/>
                <w:bCs/>
              </w:rPr>
              <w:t>OR</w:t>
            </w:r>
          </w:p>
          <w:p w14:paraId="26F31BC1" w14:textId="60050CA9" w:rsidR="00875E9A" w:rsidRPr="00E13EAA" w:rsidRDefault="00FA5CF7" w:rsidP="00E13EAA">
            <w:pPr>
              <w:spacing w:after="60"/>
              <w:jc w:val="both"/>
              <w:rPr>
                <w:rFonts w:cs="Arial"/>
              </w:rPr>
            </w:pPr>
            <w:r w:rsidRPr="00E13EAA">
              <w:rPr>
                <w:rFonts w:cs="Arial"/>
              </w:rPr>
              <w:t>Supplier</w:t>
            </w:r>
            <w:r w:rsidR="00A46209" w:rsidRPr="00E13EAA">
              <w:rPr>
                <w:rFonts w:cs="Arial"/>
              </w:rPr>
              <w:t xml:space="preserve"> pays </w:t>
            </w:r>
            <w:r w:rsidR="00032220" w:rsidRPr="00E13EAA">
              <w:rPr>
                <w:rFonts w:cs="Arial"/>
              </w:rPr>
              <w:t>&lt;</w:t>
            </w:r>
            <w:r w:rsidR="00A46209" w:rsidRPr="00E13EAA">
              <w:rPr>
                <w:rFonts w:cs="Arial"/>
              </w:rPr>
              <w:t xml:space="preserve"> 90% of all supply chain invoices in 60 days in at least one of the two previous six</w:t>
            </w:r>
            <w:r w:rsidR="000522A9" w:rsidRPr="00E13EAA">
              <w:rPr>
                <w:rFonts w:cs="Arial"/>
              </w:rPr>
              <w:t>-</w:t>
            </w:r>
            <w:r w:rsidR="00A46209" w:rsidRPr="00E13EAA">
              <w:rPr>
                <w:rFonts w:cs="Arial"/>
              </w:rPr>
              <w:t xml:space="preserve">month reporting periods after removing intercompany payments (if relevant). </w:t>
            </w:r>
          </w:p>
          <w:p w14:paraId="43E3C7EA" w14:textId="260EE360" w:rsidR="00875E9A" w:rsidRPr="00E13EAA" w:rsidRDefault="00875E9A" w:rsidP="00875E9A">
            <w:pPr>
              <w:spacing w:after="60"/>
              <w:jc w:val="both"/>
              <w:rPr>
                <w:rFonts w:cs="Arial"/>
                <w:b/>
                <w:bCs/>
              </w:rPr>
            </w:pPr>
            <w:r w:rsidRPr="00E13EAA">
              <w:rPr>
                <w:rFonts w:cs="Arial"/>
                <w:b/>
                <w:bCs/>
              </w:rPr>
              <w:t>OR</w:t>
            </w:r>
          </w:p>
          <w:p w14:paraId="4CB022FA" w14:textId="70BA228E" w:rsidR="00E13EAA" w:rsidRPr="00E13EAA" w:rsidRDefault="00FA5CF7" w:rsidP="00E13EAA">
            <w:pPr>
              <w:spacing w:after="60"/>
              <w:jc w:val="both"/>
              <w:rPr>
                <w:rFonts w:eastAsia="Times New Roman" w:cs="Calibri"/>
                <w:b/>
                <w:u w:val="single"/>
              </w:rPr>
            </w:pPr>
            <w:r w:rsidRPr="00E13EAA">
              <w:rPr>
                <w:rFonts w:cs="Arial"/>
              </w:rPr>
              <w:t>Supplier</w:t>
            </w:r>
            <w:r w:rsidR="00A46209" w:rsidRPr="00E13EAA">
              <w:rPr>
                <w:rFonts w:cs="Arial"/>
              </w:rPr>
              <w:t>’s average payment days are &gt;55 in both of the previous six</w:t>
            </w:r>
            <w:r w:rsidR="00FF3203" w:rsidRPr="00E13EAA">
              <w:rPr>
                <w:rFonts w:cs="Arial"/>
              </w:rPr>
              <w:t>-</w:t>
            </w:r>
            <w:r w:rsidR="00A46209" w:rsidRPr="00E13EAA">
              <w:rPr>
                <w:rFonts w:cs="Arial"/>
              </w:rPr>
              <w:t>month reporting periods after removing intercompany payments (if relevant).</w:t>
            </w:r>
          </w:p>
          <w:p w14:paraId="7C448BD7" w14:textId="77777777" w:rsidR="00E13EAA" w:rsidRPr="00E13EAA" w:rsidRDefault="00E13EAA" w:rsidP="00E13EAA">
            <w:pPr>
              <w:spacing w:after="60"/>
              <w:jc w:val="both"/>
              <w:rPr>
                <w:rFonts w:cs="Arial"/>
                <w:b/>
                <w:bCs/>
              </w:rPr>
            </w:pPr>
            <w:r w:rsidRPr="00E13EAA">
              <w:rPr>
                <w:rFonts w:cs="Arial"/>
                <w:b/>
                <w:bCs/>
              </w:rPr>
              <w:t>OR</w:t>
            </w:r>
          </w:p>
          <w:p w14:paraId="0F100870" w14:textId="06976A53" w:rsidR="00E13EAA" w:rsidRDefault="00E13EAA" w:rsidP="00E13EAA">
            <w:pPr>
              <w:spacing w:after="60"/>
              <w:jc w:val="both"/>
              <w:rPr>
                <w:rFonts w:eastAsia="Times New Roman" w:cs="Calibri"/>
                <w:b/>
                <w:u w:val="single"/>
              </w:rPr>
            </w:pPr>
            <w:r>
              <w:rPr>
                <w:rFonts w:eastAsia="Times New Roman" w:cs="Calibri"/>
              </w:rPr>
              <w:t>Response is incomplete and any missing information is not provided in the timeframes requested by HMRC</w:t>
            </w:r>
          </w:p>
          <w:p w14:paraId="3C0A336E" w14:textId="01D3B5B0" w:rsidR="00E13EAA" w:rsidRPr="00E13EAA" w:rsidRDefault="00E13EAA" w:rsidP="00E13EAA">
            <w:pPr>
              <w:spacing w:after="60"/>
              <w:jc w:val="both"/>
              <w:rPr>
                <w:rFonts w:eastAsia="Times New Roman" w:cs="Calibri"/>
                <w:b/>
                <w:u w:val="single"/>
              </w:rPr>
            </w:pPr>
          </w:p>
        </w:tc>
      </w:tr>
      <w:tr w:rsidR="00A46209" w:rsidRPr="00BF1FD6" w14:paraId="1BC29AC4" w14:textId="77777777" w:rsidTr="3AD35CA9">
        <w:trPr>
          <w:trHeight w:val="510"/>
        </w:trPr>
        <w:tc>
          <w:tcPr>
            <w:tcW w:w="1474" w:type="dxa"/>
            <w:shd w:val="clear" w:color="auto" w:fill="FFFFFF" w:themeFill="background1"/>
          </w:tcPr>
          <w:p w14:paraId="07AA5B31" w14:textId="25AD1FEF"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3.2</w:t>
            </w:r>
            <w:r w:rsidR="00600333" w:rsidRPr="00A750A6">
              <w:rPr>
                <w:rFonts w:eastAsia="Times New Roman" w:cs="Calibri"/>
                <w:b/>
              </w:rPr>
              <w:t>4</w:t>
            </w:r>
          </w:p>
        </w:tc>
        <w:tc>
          <w:tcPr>
            <w:tcW w:w="1701" w:type="dxa"/>
            <w:shd w:val="clear" w:color="auto" w:fill="FFFFFF" w:themeFill="background1"/>
          </w:tcPr>
          <w:p w14:paraId="2D79212C"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1AFA5B92"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1197A790" w14:textId="60B5BAB0" w:rsidR="00A46209" w:rsidRPr="00E66809" w:rsidRDefault="00A46209" w:rsidP="00642950">
            <w:pPr>
              <w:spacing w:after="0" w:line="276" w:lineRule="auto"/>
              <w:jc w:val="both"/>
              <w:rPr>
                <w:rFonts w:eastAsia="Times New Roman" w:cs="Calibri"/>
              </w:rPr>
            </w:pPr>
            <w:r w:rsidRPr="00E66809">
              <w:rPr>
                <w:rFonts w:eastAsia="Times New Roman" w:cs="Calibri"/>
              </w:rPr>
              <w:t>A response of ‘Yes’</w:t>
            </w:r>
            <w:r w:rsidR="001076E5">
              <w:rPr>
                <w:rFonts w:eastAsia="Times New Roman" w:cs="Calibri"/>
              </w:rPr>
              <w:t>.</w:t>
            </w:r>
          </w:p>
          <w:p w14:paraId="020409A5" w14:textId="77777777" w:rsidR="00A46209" w:rsidRPr="00E13EAA" w:rsidRDefault="00A46209" w:rsidP="00642950">
            <w:pPr>
              <w:spacing w:after="0" w:line="276" w:lineRule="auto"/>
              <w:jc w:val="both"/>
              <w:rPr>
                <w:rFonts w:eastAsia="Times New Roman" w:cs="Calibri"/>
                <w:b/>
                <w:bCs/>
              </w:rPr>
            </w:pPr>
            <w:r w:rsidRPr="00E13EAA">
              <w:rPr>
                <w:rFonts w:eastAsia="Times New Roman" w:cs="Calibri"/>
                <w:b/>
                <w:bCs/>
              </w:rPr>
              <w:lastRenderedPageBreak/>
              <w:t>AND</w:t>
            </w:r>
          </w:p>
          <w:p w14:paraId="6FF2B99C" w14:textId="09F26F98" w:rsidR="00A46209" w:rsidRPr="00E66809" w:rsidRDefault="00A46209" w:rsidP="00AD19D7">
            <w:pPr>
              <w:pStyle w:val="ListParagraph"/>
              <w:numPr>
                <w:ilvl w:val="0"/>
                <w:numId w:val="56"/>
              </w:numPr>
              <w:spacing w:after="0" w:line="276" w:lineRule="auto"/>
              <w:jc w:val="both"/>
              <w:rPr>
                <w:rFonts w:eastAsia="Times New Roman" w:cs="Calibri"/>
              </w:rPr>
            </w:pPr>
            <w:r w:rsidRPr="00E66809">
              <w:rPr>
                <w:rFonts w:eastAsia="Times New Roman" w:cs="Calibri"/>
              </w:rPr>
              <w:t>A link is provided to a complete C</w:t>
            </w:r>
            <w:r w:rsidR="000F6EEE">
              <w:rPr>
                <w:rFonts w:eastAsia="Times New Roman" w:cs="Calibri"/>
              </w:rPr>
              <w:t>arbon Reduction Plan</w:t>
            </w:r>
            <w:r w:rsidR="00751B73">
              <w:rPr>
                <w:rFonts w:eastAsia="Times New Roman" w:cs="Calibri"/>
              </w:rPr>
              <w:t xml:space="preserve"> (CRP)</w:t>
            </w:r>
            <w:r w:rsidRPr="00E66809">
              <w:rPr>
                <w:rFonts w:eastAsia="Times New Roman" w:cs="Calibri"/>
              </w:rPr>
              <w:t xml:space="preserve"> that is published on the </w:t>
            </w:r>
            <w:r w:rsidR="00FA5CF7">
              <w:rPr>
                <w:rFonts w:eastAsia="Times New Roman" w:cs="Calibri"/>
              </w:rPr>
              <w:t>Supplier</w:t>
            </w:r>
            <w:r w:rsidRPr="00E66809">
              <w:rPr>
                <w:rFonts w:eastAsia="Times New Roman" w:cs="Calibri"/>
              </w:rPr>
              <w:t>’s company website (or equivalent)</w:t>
            </w:r>
          </w:p>
          <w:p w14:paraId="4DC77821" w14:textId="77777777" w:rsidR="00A46209" w:rsidRPr="00E13EAA" w:rsidRDefault="00A46209" w:rsidP="00642950">
            <w:pPr>
              <w:spacing w:after="0" w:line="276" w:lineRule="auto"/>
              <w:jc w:val="both"/>
              <w:rPr>
                <w:rFonts w:eastAsia="Times New Roman" w:cs="Calibri"/>
                <w:b/>
                <w:bCs/>
              </w:rPr>
            </w:pPr>
            <w:r w:rsidRPr="00E13EAA">
              <w:rPr>
                <w:rFonts w:eastAsia="Times New Roman" w:cs="Calibri"/>
                <w:b/>
                <w:bCs/>
              </w:rPr>
              <w:t>AND</w:t>
            </w:r>
          </w:p>
          <w:p w14:paraId="29085308" w14:textId="4E9BDB76" w:rsidR="001547CA" w:rsidRDefault="00A46209" w:rsidP="00AD19D7">
            <w:pPr>
              <w:pStyle w:val="ListParagraph"/>
              <w:numPr>
                <w:ilvl w:val="0"/>
                <w:numId w:val="56"/>
              </w:numPr>
              <w:jc w:val="both"/>
              <w:rPr>
                <w:rFonts w:eastAsia="Times New Roman" w:cs="Calibri"/>
              </w:rPr>
            </w:pPr>
            <w:r w:rsidRPr="00E66809">
              <w:rPr>
                <w:rFonts w:eastAsia="Times New Roman" w:cs="Calibri"/>
              </w:rPr>
              <w:t>The CRP has been completed using the template titled “Carbon Reduction Plan Template”, available from</w:t>
            </w:r>
            <w:r w:rsidR="003E77BA">
              <w:rPr>
                <w:rFonts w:eastAsia="Times New Roman" w:cs="Calibri"/>
              </w:rPr>
              <w:t xml:space="preserve"> the following webpage:</w:t>
            </w:r>
            <w:r w:rsidR="001547CA">
              <w:t xml:space="preserve"> </w:t>
            </w:r>
            <w:hyperlink r:id="rId27" w:history="1">
              <w:r w:rsidR="001547CA" w:rsidRPr="008D1E3F">
                <w:rPr>
                  <w:rStyle w:val="Hyperlink"/>
                  <w:rFonts w:eastAsia="Times New Roman" w:cs="Calibri"/>
                </w:rPr>
                <w:t>https://www.gov.uk/government/publications/ppn-006-taking-account-of-carbon-reduction-plans-in-the-procurement-of-major-government-contracts</w:t>
              </w:r>
            </w:hyperlink>
            <w:r w:rsidR="001547CA">
              <w:rPr>
                <w:rFonts w:eastAsia="Times New Roman" w:cs="Calibri"/>
              </w:rPr>
              <w:t xml:space="preserve"> </w:t>
            </w:r>
          </w:p>
          <w:p w14:paraId="19626A03" w14:textId="1CE3BC50" w:rsidR="0064024E" w:rsidRPr="00E13EAA" w:rsidRDefault="0064024E" w:rsidP="00642950">
            <w:pPr>
              <w:jc w:val="both"/>
              <w:rPr>
                <w:rFonts w:eastAsia="Times New Roman" w:cs="Calibri"/>
                <w:b/>
                <w:bCs/>
              </w:rPr>
            </w:pPr>
            <w:r w:rsidRPr="00E13EAA">
              <w:rPr>
                <w:rFonts w:eastAsia="Times New Roman" w:cs="Calibri"/>
                <w:b/>
                <w:bCs/>
              </w:rPr>
              <w:t>AND</w:t>
            </w:r>
          </w:p>
          <w:p w14:paraId="13D9DDB3" w14:textId="234C5DF7" w:rsidR="0040308C" w:rsidRPr="00E13EAA" w:rsidRDefault="0064024E" w:rsidP="00E13EAA">
            <w:pPr>
              <w:pStyle w:val="ListParagraph"/>
              <w:numPr>
                <w:ilvl w:val="0"/>
                <w:numId w:val="56"/>
              </w:numPr>
              <w:spacing w:after="0" w:line="276" w:lineRule="auto"/>
              <w:jc w:val="both"/>
              <w:rPr>
                <w:rFonts w:eastAsia="Times New Roman" w:cs="Calibri"/>
              </w:rPr>
            </w:pPr>
            <w:r>
              <w:rPr>
                <w:rFonts w:eastAsia="Times New Roman" w:cs="Calibri"/>
              </w:rPr>
              <w:t xml:space="preserve">The CRP meets the </w:t>
            </w:r>
            <w:r w:rsidR="0040308C">
              <w:rPr>
                <w:rFonts w:eastAsia="Times New Roman" w:cs="Calibri"/>
              </w:rPr>
              <w:t xml:space="preserve">assessment criteria outlined Table 1 of: </w:t>
            </w:r>
            <w:hyperlink r:id="rId28" w:history="1">
              <w:r w:rsidR="0040308C" w:rsidRPr="0040308C">
                <w:rPr>
                  <w:color w:val="0000FF"/>
                  <w:u w:val="single"/>
                </w:rPr>
                <w:t xml:space="preserve">2025-02-05 PPN 006 Guidance on </w:t>
              </w:r>
              <w:proofErr w:type="spellStart"/>
              <w:r w:rsidR="0040308C" w:rsidRPr="0040308C">
                <w:rPr>
                  <w:color w:val="0000FF"/>
                  <w:u w:val="single"/>
                </w:rPr>
                <w:t>taing</w:t>
              </w:r>
              <w:proofErr w:type="spellEnd"/>
              <w:r w:rsidR="0040308C" w:rsidRPr="0040308C">
                <w:rPr>
                  <w:color w:val="0000FF"/>
                  <w:u w:val="single"/>
                </w:rPr>
                <w:t xml:space="preserve"> account of carbon </w:t>
              </w:r>
              <w:proofErr w:type="spellStart"/>
              <w:r w:rsidR="0040308C" w:rsidRPr="0040308C">
                <w:rPr>
                  <w:color w:val="0000FF"/>
                  <w:u w:val="single"/>
                </w:rPr>
                <w:t>redcution</w:t>
              </w:r>
              <w:proofErr w:type="spellEnd"/>
              <w:r w:rsidR="0040308C" w:rsidRPr="0040308C">
                <w:rPr>
                  <w:color w:val="0000FF"/>
                  <w:u w:val="single"/>
                </w:rPr>
                <w:t xml:space="preserve"> plans - adopting and applying conditions of participation.docx</w:t>
              </w:r>
            </w:hyperlink>
            <w:r w:rsidR="0040308C">
              <w:t xml:space="preserve"> </w:t>
            </w:r>
          </w:p>
          <w:p w14:paraId="7392BB52"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5F292ECD" w14:textId="6E28B57B" w:rsidR="00A46209" w:rsidRPr="00E66809" w:rsidRDefault="00A46209" w:rsidP="00642950">
            <w:pPr>
              <w:spacing w:after="0" w:line="276" w:lineRule="auto"/>
              <w:jc w:val="both"/>
              <w:rPr>
                <w:rFonts w:eastAsia="Times New Roman" w:cs="Calibri"/>
              </w:rPr>
            </w:pPr>
            <w:r w:rsidRPr="00E66809">
              <w:rPr>
                <w:rFonts w:eastAsia="Times New Roman" w:cs="Calibri"/>
              </w:rPr>
              <w:t>A response of ‘No’</w:t>
            </w:r>
            <w:r w:rsidR="001076E5">
              <w:rPr>
                <w:rFonts w:eastAsia="Times New Roman" w:cs="Calibri"/>
              </w:rPr>
              <w:t>.</w:t>
            </w:r>
          </w:p>
          <w:p w14:paraId="49F54B9C" w14:textId="77777777" w:rsidR="00A46209" w:rsidRPr="00E13EAA" w:rsidRDefault="00A46209" w:rsidP="00642950">
            <w:pPr>
              <w:spacing w:after="0" w:line="276" w:lineRule="auto"/>
              <w:jc w:val="both"/>
              <w:rPr>
                <w:rFonts w:eastAsia="Times New Roman" w:cs="Calibri"/>
                <w:b/>
                <w:bCs/>
              </w:rPr>
            </w:pPr>
            <w:r w:rsidRPr="00E13EAA">
              <w:rPr>
                <w:rFonts w:eastAsia="Times New Roman" w:cs="Calibri"/>
                <w:b/>
                <w:bCs/>
              </w:rPr>
              <w:t>OR</w:t>
            </w:r>
          </w:p>
          <w:p w14:paraId="6262710B" w14:textId="78D0C9C6" w:rsidR="00A46209" w:rsidRPr="00E66809" w:rsidRDefault="00A46209" w:rsidP="00AD19D7">
            <w:pPr>
              <w:pStyle w:val="ListParagraph"/>
              <w:numPr>
                <w:ilvl w:val="0"/>
                <w:numId w:val="56"/>
              </w:numPr>
              <w:spacing w:after="0" w:line="276" w:lineRule="auto"/>
              <w:jc w:val="both"/>
              <w:rPr>
                <w:rFonts w:eastAsia="Times New Roman" w:cs="Calibri"/>
              </w:rPr>
            </w:pPr>
            <w:r w:rsidRPr="00E66809">
              <w:rPr>
                <w:rFonts w:eastAsia="Times New Roman" w:cs="Calibri"/>
              </w:rPr>
              <w:t xml:space="preserve">A link has not been provided to a complete CRP that is published on the </w:t>
            </w:r>
            <w:r w:rsidR="00FA5CF7">
              <w:rPr>
                <w:rFonts w:eastAsia="Times New Roman" w:cs="Calibri"/>
              </w:rPr>
              <w:t>Supplier</w:t>
            </w:r>
            <w:r w:rsidRPr="00E66809">
              <w:rPr>
                <w:rFonts w:eastAsia="Times New Roman" w:cs="Calibri"/>
              </w:rPr>
              <w:t>’s company website (or equivalent)</w:t>
            </w:r>
            <w:r w:rsidR="001076E5">
              <w:rPr>
                <w:rFonts w:eastAsia="Times New Roman" w:cs="Calibri"/>
              </w:rPr>
              <w:t>.</w:t>
            </w:r>
          </w:p>
          <w:p w14:paraId="759796DF"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OR</w:t>
            </w:r>
          </w:p>
          <w:p w14:paraId="1DC52D06" w14:textId="7CD9AE22" w:rsidR="00B02F31" w:rsidRPr="00B02F31" w:rsidRDefault="00B02F31" w:rsidP="00AD19D7">
            <w:pPr>
              <w:pStyle w:val="ListParagraph"/>
              <w:numPr>
                <w:ilvl w:val="0"/>
                <w:numId w:val="56"/>
              </w:numPr>
              <w:jc w:val="both"/>
              <w:rPr>
                <w:rFonts w:eastAsia="Times New Roman" w:cs="Calibri"/>
              </w:rPr>
            </w:pPr>
            <w:r w:rsidRPr="33DA7E9D">
              <w:rPr>
                <w:rFonts w:eastAsia="Times New Roman" w:cs="Calibri"/>
              </w:rPr>
              <w:t xml:space="preserve">The CRP has not been completed using the template titled “Carbon Reduction Plan Template”, available from the following webpage: </w:t>
            </w:r>
            <w:hyperlink r:id="rId29">
              <w:r w:rsidRPr="33DA7E9D">
                <w:rPr>
                  <w:rStyle w:val="Hyperlink"/>
                  <w:rFonts w:eastAsia="Times New Roman" w:cs="Calibri"/>
                </w:rPr>
                <w:t>https://www.gov.uk/government/publications/ppn-006-taking-account-of-carbon-reduction-plans-in-the-procurement-of-major-government-contracts</w:t>
              </w:r>
            </w:hyperlink>
            <w:r w:rsidRPr="33DA7E9D">
              <w:rPr>
                <w:rFonts w:eastAsia="Times New Roman" w:cs="Calibri"/>
              </w:rPr>
              <w:t xml:space="preserve"> </w:t>
            </w:r>
          </w:p>
          <w:p w14:paraId="07518C40" w14:textId="64B91CAA" w:rsidR="00A46209" w:rsidRPr="00E13EAA" w:rsidRDefault="003352D4" w:rsidP="00642950">
            <w:pPr>
              <w:jc w:val="both"/>
              <w:rPr>
                <w:rFonts w:eastAsia="Times New Roman" w:cs="Calibri"/>
                <w:b/>
                <w:bCs/>
              </w:rPr>
            </w:pPr>
            <w:r w:rsidRPr="00E13EAA">
              <w:rPr>
                <w:rFonts w:eastAsia="Times New Roman" w:cs="Calibri"/>
                <w:b/>
                <w:bCs/>
              </w:rPr>
              <w:t>OR</w:t>
            </w:r>
          </w:p>
          <w:p w14:paraId="1214A209" w14:textId="433D55DF" w:rsidR="003352D4" w:rsidRPr="00E66809" w:rsidRDefault="003352D4" w:rsidP="00642950">
            <w:pPr>
              <w:jc w:val="both"/>
              <w:rPr>
                <w:rFonts w:eastAsia="Times New Roman" w:cs="Calibri"/>
              </w:rPr>
            </w:pPr>
            <w:r>
              <w:rPr>
                <w:rFonts w:eastAsia="Times New Roman" w:cs="Calibri"/>
              </w:rPr>
              <w:t>A response is not provided</w:t>
            </w:r>
            <w:r w:rsidR="007E3E0A">
              <w:rPr>
                <w:rFonts w:eastAsia="Times New Roman" w:cs="Calibri"/>
              </w:rPr>
              <w:t>.</w:t>
            </w:r>
          </w:p>
          <w:p w14:paraId="5E7E26F3" w14:textId="77777777" w:rsidR="00A46209" w:rsidRPr="00E66809" w:rsidRDefault="00A46209" w:rsidP="00642950">
            <w:pPr>
              <w:jc w:val="both"/>
              <w:rPr>
                <w:rFonts w:eastAsia="Times New Roman" w:cs="Calibri"/>
                <w:b/>
                <w:u w:val="single"/>
              </w:rPr>
            </w:pPr>
            <w:r w:rsidRPr="00E66809">
              <w:rPr>
                <w:rFonts w:eastAsia="Times New Roman" w:cs="Calibri"/>
                <w:b/>
                <w:u w:val="single"/>
              </w:rPr>
              <w:t>Notes</w:t>
            </w:r>
          </w:p>
          <w:p w14:paraId="28A91EDB" w14:textId="45FA3C45" w:rsidR="0050020F" w:rsidRPr="00E66809" w:rsidRDefault="00A46209" w:rsidP="00AD19D7">
            <w:pPr>
              <w:pStyle w:val="ListParagraph"/>
              <w:numPr>
                <w:ilvl w:val="0"/>
                <w:numId w:val="56"/>
              </w:numPr>
              <w:jc w:val="both"/>
              <w:rPr>
                <w:rFonts w:eastAsia="Times New Roman" w:cs="Calibri"/>
              </w:rPr>
            </w:pPr>
            <w:r w:rsidRPr="00E66809">
              <w:rPr>
                <w:rFonts w:eastAsia="Times New Roman" w:cs="Calibri"/>
              </w:rPr>
              <w:t xml:space="preserve">HMRC reserve the right to reject the </w:t>
            </w:r>
            <w:r w:rsidR="00FA5CF7">
              <w:rPr>
                <w:rFonts w:eastAsia="Times New Roman" w:cs="Calibri"/>
              </w:rPr>
              <w:t>Supplier</w:t>
            </w:r>
            <w:r w:rsidRPr="00E66809">
              <w:rPr>
                <w:rFonts w:eastAsia="Times New Roman" w:cs="Calibri"/>
              </w:rPr>
              <w:t>’s entire tender submission should the CRP be incomplete.</w:t>
            </w:r>
          </w:p>
          <w:p w14:paraId="7B118495" w14:textId="2BE70EE4" w:rsidR="00A46209" w:rsidRPr="00E66809" w:rsidRDefault="00A46209" w:rsidP="00AD19D7">
            <w:pPr>
              <w:pStyle w:val="ListParagraph"/>
              <w:numPr>
                <w:ilvl w:val="0"/>
                <w:numId w:val="56"/>
              </w:numPr>
              <w:jc w:val="both"/>
              <w:rPr>
                <w:rFonts w:eastAsia="Times New Roman" w:cs="Calibri"/>
              </w:rPr>
            </w:pPr>
            <w:r w:rsidRPr="00E66809">
              <w:rPr>
                <w:rFonts w:eastAsia="Times New Roman" w:cs="Calibri"/>
              </w:rPr>
              <w:lastRenderedPageBreak/>
              <w:t xml:space="preserve">Suppliers will not be disadvantaged where they are a new entrant to the market (trading for less than 12 months). In order to pass, </w:t>
            </w:r>
            <w:r w:rsidR="00FA5CF7">
              <w:rPr>
                <w:rFonts w:eastAsia="Times New Roman" w:cs="Calibri"/>
              </w:rPr>
              <w:t>Supplier</w:t>
            </w:r>
            <w:r w:rsidRPr="00E66809">
              <w:rPr>
                <w:rFonts w:eastAsia="Times New Roman" w:cs="Calibri"/>
              </w:rPr>
              <w:t>s in these circumstances should complete all of the following in their published CRP: </w:t>
            </w:r>
          </w:p>
          <w:p w14:paraId="6A183DD7" w14:textId="77777777" w:rsidR="00A46209" w:rsidRPr="00E66809" w:rsidRDefault="00A46209" w:rsidP="00AD19D7">
            <w:pPr>
              <w:pStyle w:val="ListParagraph"/>
              <w:numPr>
                <w:ilvl w:val="1"/>
                <w:numId w:val="56"/>
              </w:numPr>
              <w:jc w:val="both"/>
              <w:rPr>
                <w:rFonts w:eastAsia="Times New Roman" w:cs="Calibri"/>
              </w:rPr>
            </w:pPr>
            <w:r w:rsidRPr="00E66809">
              <w:rPr>
                <w:rFonts w:eastAsia="Times New Roman" w:cs="Calibri"/>
              </w:rPr>
              <w:t>confirm their commitment to achieving Net Zero by 2050 </w:t>
            </w:r>
          </w:p>
          <w:p w14:paraId="3F0948BB" w14:textId="77777777" w:rsidR="00A46209" w:rsidRPr="00E66809" w:rsidRDefault="00A46209" w:rsidP="00AD19D7">
            <w:pPr>
              <w:pStyle w:val="ListParagraph"/>
              <w:numPr>
                <w:ilvl w:val="1"/>
                <w:numId w:val="56"/>
              </w:numPr>
              <w:jc w:val="both"/>
              <w:rPr>
                <w:rFonts w:eastAsia="Times New Roman" w:cs="Calibri"/>
              </w:rPr>
            </w:pPr>
            <w:r w:rsidRPr="00E66809">
              <w:rPr>
                <w:rFonts w:eastAsia="Times New Roman" w:cs="Calibri"/>
              </w:rPr>
              <w:t>complete as much of the CRP as possible with the data available and provide an acceptable explanation as to why missing information isn’t available</w:t>
            </w:r>
          </w:p>
          <w:p w14:paraId="1C93BD79" w14:textId="77777777" w:rsidR="00A46209" w:rsidRPr="00E66809" w:rsidRDefault="00A46209" w:rsidP="00AD19D7">
            <w:pPr>
              <w:pStyle w:val="ListParagraph"/>
              <w:numPr>
                <w:ilvl w:val="1"/>
                <w:numId w:val="56"/>
              </w:numPr>
              <w:jc w:val="both"/>
              <w:rPr>
                <w:rFonts w:eastAsia="Times New Roman" w:cs="Calibri"/>
                <w:b/>
                <w:u w:val="single"/>
              </w:rPr>
            </w:pPr>
            <w:r w:rsidRPr="00E66809">
              <w:rPr>
                <w:rFonts w:eastAsia="Times New Roman" w:cs="Calibri"/>
              </w:rPr>
              <w:t>confirm within their partly completed CRP that they commit to publish a full CRP as soon as possible</w:t>
            </w:r>
          </w:p>
          <w:p w14:paraId="62380FCA" w14:textId="7A07D6D3" w:rsidR="006543D0" w:rsidRPr="00E66809" w:rsidRDefault="009B1E86" w:rsidP="00AD19D7">
            <w:pPr>
              <w:pStyle w:val="ListParagraph"/>
              <w:numPr>
                <w:ilvl w:val="0"/>
                <w:numId w:val="56"/>
              </w:numPr>
              <w:jc w:val="both"/>
              <w:rPr>
                <w:rFonts w:eastAsia="Times New Roman" w:cs="Calibri"/>
              </w:rPr>
            </w:pPr>
            <w:r w:rsidRPr="009B1E86">
              <w:rPr>
                <w:rFonts w:eastAsia="Times New Roman" w:cs="Calibri"/>
              </w:rPr>
              <w:t xml:space="preserve">Where the response is being completed on behalf of a consortium of suppliers, a CRP </w:t>
            </w:r>
            <w:r w:rsidRPr="00E66809">
              <w:rPr>
                <w:rFonts w:eastAsia="Times New Roman" w:cs="Calibri"/>
              </w:rPr>
              <w:t>should be completed by each consortium member</w:t>
            </w:r>
          </w:p>
        </w:tc>
      </w:tr>
      <w:tr w:rsidR="00A46209" w:rsidRPr="00BF1FD6" w14:paraId="24F8273A" w14:textId="77777777" w:rsidTr="3AD35CA9">
        <w:trPr>
          <w:trHeight w:val="510"/>
        </w:trPr>
        <w:tc>
          <w:tcPr>
            <w:tcW w:w="1474" w:type="dxa"/>
            <w:shd w:val="clear" w:color="auto" w:fill="FFFFFF" w:themeFill="background1"/>
          </w:tcPr>
          <w:p w14:paraId="13B817A4" w14:textId="38BE3D01"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3.2</w:t>
            </w:r>
            <w:r w:rsidR="00600333" w:rsidRPr="00A750A6">
              <w:rPr>
                <w:rFonts w:eastAsia="Times New Roman" w:cs="Calibri"/>
                <w:b/>
              </w:rPr>
              <w:t>5</w:t>
            </w:r>
          </w:p>
        </w:tc>
        <w:tc>
          <w:tcPr>
            <w:tcW w:w="1701" w:type="dxa"/>
            <w:shd w:val="clear" w:color="auto" w:fill="FFFFFF" w:themeFill="background1"/>
          </w:tcPr>
          <w:p w14:paraId="186F982B"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0C2D55D5"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4242864C" w14:textId="04235414" w:rsidR="00A46209" w:rsidRPr="00E66809" w:rsidRDefault="00A46209" w:rsidP="00642950">
            <w:pPr>
              <w:spacing w:after="0" w:line="276" w:lineRule="auto"/>
              <w:jc w:val="both"/>
              <w:rPr>
                <w:rFonts w:eastAsia="Times New Roman" w:cs="Calibri"/>
              </w:rPr>
            </w:pPr>
            <w:r w:rsidRPr="00E66809">
              <w:rPr>
                <w:rFonts w:eastAsia="Times New Roman" w:cs="Calibri"/>
              </w:rPr>
              <w:t>A response of ‘Yes’</w:t>
            </w:r>
            <w:r w:rsidR="001076E5">
              <w:rPr>
                <w:rFonts w:eastAsia="Times New Roman" w:cs="Calibri"/>
              </w:rPr>
              <w:t>.</w:t>
            </w:r>
          </w:p>
          <w:p w14:paraId="0D26FB1D" w14:textId="77777777" w:rsidR="00A46209" w:rsidRPr="00E66809" w:rsidRDefault="00A46209" w:rsidP="00642950">
            <w:pPr>
              <w:spacing w:after="0" w:line="276" w:lineRule="auto"/>
              <w:jc w:val="both"/>
              <w:rPr>
                <w:rFonts w:eastAsia="Times New Roman" w:cs="Calibri"/>
              </w:rPr>
            </w:pPr>
          </w:p>
          <w:p w14:paraId="2B7C316C"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Fail</w:t>
            </w:r>
            <w:r w:rsidRPr="00E66809">
              <w:rPr>
                <w:rFonts w:eastAsia="Times New Roman" w:cs="Calibri"/>
              </w:rPr>
              <w:t xml:space="preserve"> </w:t>
            </w:r>
          </w:p>
          <w:p w14:paraId="0410BE26" w14:textId="77777777" w:rsidR="00A46209" w:rsidRDefault="00A46209" w:rsidP="00642950">
            <w:pPr>
              <w:spacing w:after="0" w:line="276" w:lineRule="auto"/>
              <w:jc w:val="both"/>
              <w:rPr>
                <w:rFonts w:eastAsia="Times New Roman" w:cs="Calibri"/>
              </w:rPr>
            </w:pPr>
            <w:r w:rsidRPr="00E66809">
              <w:rPr>
                <w:rFonts w:eastAsia="Times New Roman" w:cs="Calibri"/>
              </w:rPr>
              <w:t>A response of ‘No’</w:t>
            </w:r>
            <w:r w:rsidR="001076E5">
              <w:rPr>
                <w:rFonts w:eastAsia="Times New Roman" w:cs="Calibri"/>
              </w:rPr>
              <w:t>.</w:t>
            </w:r>
          </w:p>
          <w:p w14:paraId="197BD71C" w14:textId="4ECE6CB5" w:rsidR="001442A2" w:rsidRPr="00E66809" w:rsidRDefault="001442A2" w:rsidP="00642950">
            <w:pPr>
              <w:spacing w:after="0" w:line="276" w:lineRule="auto"/>
              <w:jc w:val="both"/>
              <w:rPr>
                <w:rFonts w:eastAsia="Times New Roman" w:cs="Calibri"/>
                <w:b/>
              </w:rPr>
            </w:pPr>
            <w:r w:rsidRPr="00E66809">
              <w:rPr>
                <w:rFonts w:eastAsia="Times New Roman" w:cs="Calibri"/>
                <w:b/>
              </w:rPr>
              <w:t>OR</w:t>
            </w:r>
          </w:p>
          <w:p w14:paraId="5680C450" w14:textId="599C1FC6" w:rsidR="001442A2" w:rsidRPr="00E66809" w:rsidRDefault="001442A2" w:rsidP="00642950">
            <w:pPr>
              <w:spacing w:after="0" w:line="276" w:lineRule="auto"/>
              <w:jc w:val="both"/>
              <w:rPr>
                <w:rFonts w:eastAsia="Times New Roman" w:cs="Calibri"/>
              </w:rPr>
            </w:pPr>
            <w:r w:rsidRPr="00E66809">
              <w:rPr>
                <w:rFonts w:eastAsia="Times New Roman" w:cs="Calibri"/>
              </w:rPr>
              <w:t>A response of ‘Yes’, with qualifications or conditions that are deemed unacceptable by HMRC</w:t>
            </w:r>
          </w:p>
        </w:tc>
      </w:tr>
      <w:tr w:rsidR="00A46209" w:rsidRPr="00BF1FD6" w14:paraId="5D1627EB" w14:textId="77777777" w:rsidTr="3AD35CA9">
        <w:trPr>
          <w:trHeight w:val="510"/>
        </w:trPr>
        <w:tc>
          <w:tcPr>
            <w:tcW w:w="1474" w:type="dxa"/>
            <w:shd w:val="clear" w:color="auto" w:fill="FFFFFF" w:themeFill="background1"/>
          </w:tcPr>
          <w:p w14:paraId="5F05A0B4" w14:textId="5CBF2965" w:rsidR="00A46209" w:rsidRPr="00A750A6" w:rsidRDefault="00A46209" w:rsidP="00642950">
            <w:pPr>
              <w:spacing w:after="0" w:line="276" w:lineRule="auto"/>
              <w:jc w:val="both"/>
              <w:rPr>
                <w:rFonts w:eastAsia="Times New Roman" w:cs="Calibri"/>
                <w:b/>
              </w:rPr>
            </w:pPr>
            <w:r w:rsidRPr="00A750A6">
              <w:rPr>
                <w:rFonts w:eastAsia="Times New Roman" w:cs="Calibri"/>
                <w:b/>
              </w:rPr>
              <w:t>3.2</w:t>
            </w:r>
            <w:r w:rsidR="00600333" w:rsidRPr="00A750A6">
              <w:rPr>
                <w:rFonts w:eastAsia="Times New Roman" w:cs="Calibri"/>
                <w:b/>
              </w:rPr>
              <w:t>6</w:t>
            </w:r>
          </w:p>
        </w:tc>
        <w:tc>
          <w:tcPr>
            <w:tcW w:w="1701" w:type="dxa"/>
            <w:shd w:val="clear" w:color="auto" w:fill="FFFFFF" w:themeFill="background1"/>
          </w:tcPr>
          <w:p w14:paraId="75F301EA" w14:textId="5A3302EA" w:rsidR="00A46209" w:rsidRPr="00E66809" w:rsidRDefault="007D2777" w:rsidP="00642950">
            <w:pPr>
              <w:spacing w:after="0" w:line="276" w:lineRule="auto"/>
              <w:jc w:val="both"/>
              <w:rPr>
                <w:rFonts w:eastAsia="Times New Roman" w:cs="Calibri"/>
              </w:rPr>
            </w:pPr>
            <w:r>
              <w:rPr>
                <w:rFonts w:eastAsia="Times New Roman" w:cs="Calibri"/>
              </w:rPr>
              <w:t>Pass/Fail</w:t>
            </w:r>
          </w:p>
        </w:tc>
        <w:tc>
          <w:tcPr>
            <w:tcW w:w="9859" w:type="dxa"/>
            <w:shd w:val="clear" w:color="auto" w:fill="FFFFFF" w:themeFill="background1"/>
          </w:tcPr>
          <w:p w14:paraId="31B888F7" w14:textId="7203ACC9" w:rsidR="00A46209" w:rsidRPr="00E66809" w:rsidRDefault="007D2777" w:rsidP="00642950">
            <w:pPr>
              <w:spacing w:after="0" w:line="276" w:lineRule="auto"/>
              <w:jc w:val="both"/>
              <w:rPr>
                <w:rFonts w:eastAsia="Times New Roman" w:cs="Calibri"/>
                <w:b/>
                <w:u w:val="single"/>
              </w:rPr>
            </w:pPr>
            <w:r w:rsidRPr="00E66809">
              <w:rPr>
                <w:rFonts w:eastAsia="Times New Roman" w:cs="Calibri"/>
                <w:b/>
                <w:bCs/>
                <w:u w:val="single"/>
              </w:rPr>
              <w:t>Pass</w:t>
            </w:r>
          </w:p>
          <w:p w14:paraId="23C4D532" w14:textId="2D45B237" w:rsidR="00AE5658" w:rsidRDefault="007D2777" w:rsidP="00642950">
            <w:pPr>
              <w:spacing w:after="0" w:line="276" w:lineRule="auto"/>
              <w:jc w:val="both"/>
              <w:rPr>
                <w:rFonts w:eastAsia="Times New Roman" w:cs="Calibri"/>
                <w:bCs/>
              </w:rPr>
            </w:pPr>
            <w:r>
              <w:rPr>
                <w:rFonts w:eastAsia="Times New Roman" w:cs="Calibri"/>
                <w:bCs/>
              </w:rPr>
              <w:t xml:space="preserve">The Supplier confirms that </w:t>
            </w:r>
            <w:proofErr w:type="spellStart"/>
            <w:r w:rsidR="00DF5A06">
              <w:rPr>
                <w:rFonts w:eastAsia="Times New Roman" w:cs="Calibri"/>
                <w:bCs/>
              </w:rPr>
              <w:t>it</w:t>
            </w:r>
            <w:r w:rsidR="008D6F5A">
              <w:rPr>
                <w:rFonts w:eastAsia="Times New Roman" w:cs="Calibri"/>
                <w:bCs/>
              </w:rPr>
              <w:t>’</w:t>
            </w:r>
            <w:r w:rsidR="00DF5A06">
              <w:rPr>
                <w:rFonts w:eastAsia="Times New Roman" w:cs="Calibri"/>
                <w:bCs/>
              </w:rPr>
              <w:t>s</w:t>
            </w:r>
            <w:proofErr w:type="spellEnd"/>
            <w:r w:rsidR="00DF5A06">
              <w:rPr>
                <w:rFonts w:eastAsia="Times New Roman" w:cs="Calibri"/>
                <w:bCs/>
              </w:rPr>
              <w:t xml:space="preserve"> Net Zero Target Date is 2050 or earlier</w:t>
            </w:r>
          </w:p>
          <w:p w14:paraId="64B6460C" w14:textId="1B7A7B20" w:rsidR="008D6F5A" w:rsidRDefault="008D6F5A" w:rsidP="00642950">
            <w:pPr>
              <w:spacing w:after="0" w:line="276" w:lineRule="auto"/>
              <w:jc w:val="both"/>
              <w:rPr>
                <w:rFonts w:eastAsia="Times New Roman" w:cs="Calibri"/>
                <w:b/>
                <w:u w:val="single"/>
              </w:rPr>
            </w:pPr>
            <w:r>
              <w:rPr>
                <w:rFonts w:eastAsia="Times New Roman" w:cs="Calibri"/>
                <w:b/>
                <w:u w:val="single"/>
              </w:rPr>
              <w:t>Fail</w:t>
            </w:r>
          </w:p>
          <w:p w14:paraId="6A4F3E2B" w14:textId="4A0310FF" w:rsidR="008D6F5A" w:rsidRDefault="000930ED" w:rsidP="00642950">
            <w:pPr>
              <w:spacing w:after="0" w:line="276" w:lineRule="auto"/>
              <w:jc w:val="both"/>
              <w:rPr>
                <w:rFonts w:eastAsia="Times New Roman" w:cs="Calibri"/>
                <w:bCs/>
              </w:rPr>
            </w:pPr>
            <w:r>
              <w:rPr>
                <w:rFonts w:eastAsia="Times New Roman" w:cs="Calibri"/>
                <w:bCs/>
              </w:rPr>
              <w:t xml:space="preserve">The Suppliers </w:t>
            </w:r>
            <w:r w:rsidR="00BB26D1">
              <w:rPr>
                <w:rFonts w:eastAsia="Times New Roman" w:cs="Calibri"/>
                <w:bCs/>
              </w:rPr>
              <w:t xml:space="preserve">confirm that </w:t>
            </w:r>
            <w:proofErr w:type="spellStart"/>
            <w:r w:rsidR="00BB26D1">
              <w:rPr>
                <w:rFonts w:eastAsia="Times New Roman" w:cs="Calibri"/>
                <w:bCs/>
              </w:rPr>
              <w:t>it’s</w:t>
            </w:r>
            <w:proofErr w:type="spellEnd"/>
            <w:r w:rsidR="00BB26D1">
              <w:rPr>
                <w:rFonts w:eastAsia="Times New Roman" w:cs="Calibri"/>
                <w:bCs/>
              </w:rPr>
              <w:t xml:space="preserve"> Net Zero Target Dat</w:t>
            </w:r>
            <w:r w:rsidR="004B72CE">
              <w:rPr>
                <w:rFonts w:eastAsia="Times New Roman" w:cs="Calibri"/>
                <w:bCs/>
              </w:rPr>
              <w:t>e</w:t>
            </w:r>
            <w:r w:rsidR="00BB26D1">
              <w:rPr>
                <w:rFonts w:eastAsia="Times New Roman" w:cs="Calibri"/>
                <w:bCs/>
              </w:rPr>
              <w:t xml:space="preserve"> is later than 2050</w:t>
            </w:r>
          </w:p>
          <w:p w14:paraId="1302551E" w14:textId="68E9BE87" w:rsidR="00BB26D1" w:rsidRPr="00E66809" w:rsidRDefault="00BB26D1" w:rsidP="00642950">
            <w:pPr>
              <w:spacing w:after="0" w:line="276" w:lineRule="auto"/>
              <w:jc w:val="both"/>
              <w:rPr>
                <w:rFonts w:eastAsia="Times New Roman" w:cs="Calibri"/>
                <w:b/>
              </w:rPr>
            </w:pPr>
            <w:r w:rsidRPr="00E66809">
              <w:rPr>
                <w:rFonts w:eastAsia="Times New Roman" w:cs="Calibri"/>
                <w:b/>
              </w:rPr>
              <w:t>OR</w:t>
            </w:r>
          </w:p>
          <w:p w14:paraId="069D56C3" w14:textId="536BDF31" w:rsidR="00DF5A06" w:rsidRPr="00E66809" w:rsidRDefault="00BB26D1" w:rsidP="00642950">
            <w:pPr>
              <w:spacing w:after="0" w:line="276" w:lineRule="auto"/>
              <w:jc w:val="both"/>
              <w:rPr>
                <w:rFonts w:eastAsia="Times New Roman" w:cs="Calibri"/>
              </w:rPr>
            </w:pPr>
            <w:r>
              <w:rPr>
                <w:rFonts w:eastAsia="Times New Roman" w:cs="Calibri"/>
                <w:bCs/>
              </w:rPr>
              <w:t xml:space="preserve">The Supplier </w:t>
            </w:r>
            <w:r w:rsidR="004B72CE">
              <w:rPr>
                <w:rFonts w:eastAsia="Times New Roman" w:cs="Calibri"/>
                <w:bCs/>
              </w:rPr>
              <w:t>does not provide a response</w:t>
            </w:r>
          </w:p>
        </w:tc>
      </w:tr>
      <w:tr w:rsidR="00A46209" w:rsidRPr="00BF1FD6" w14:paraId="40F88605" w14:textId="77777777" w:rsidTr="3AD35CA9">
        <w:trPr>
          <w:trHeight w:val="510"/>
        </w:trPr>
        <w:tc>
          <w:tcPr>
            <w:tcW w:w="1474" w:type="dxa"/>
            <w:shd w:val="clear" w:color="auto" w:fill="FFFFFF" w:themeFill="background1"/>
          </w:tcPr>
          <w:p w14:paraId="36063B3D" w14:textId="2682EAE8" w:rsidR="00A46209" w:rsidRPr="00A750A6" w:rsidRDefault="00A46209" w:rsidP="00642950">
            <w:pPr>
              <w:spacing w:after="0" w:line="276" w:lineRule="auto"/>
              <w:jc w:val="both"/>
              <w:rPr>
                <w:rFonts w:eastAsia="Times New Roman" w:cs="Calibri"/>
                <w:b/>
              </w:rPr>
            </w:pPr>
            <w:r w:rsidRPr="00A750A6">
              <w:rPr>
                <w:rFonts w:eastAsia="Times New Roman" w:cs="Calibri"/>
                <w:b/>
              </w:rPr>
              <w:t>3.2</w:t>
            </w:r>
            <w:r w:rsidR="00600333" w:rsidRPr="00A750A6">
              <w:rPr>
                <w:rFonts w:eastAsia="Times New Roman" w:cs="Calibri"/>
                <w:b/>
              </w:rPr>
              <w:t>7</w:t>
            </w:r>
          </w:p>
        </w:tc>
        <w:tc>
          <w:tcPr>
            <w:tcW w:w="1701" w:type="dxa"/>
            <w:shd w:val="clear" w:color="auto" w:fill="FFFFFF" w:themeFill="background1"/>
          </w:tcPr>
          <w:p w14:paraId="281B56F9"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Not assessed</w:t>
            </w:r>
          </w:p>
        </w:tc>
        <w:tc>
          <w:tcPr>
            <w:tcW w:w="9859" w:type="dxa"/>
            <w:shd w:val="clear" w:color="auto" w:fill="FFFFFF" w:themeFill="background1"/>
          </w:tcPr>
          <w:p w14:paraId="3BE450B2"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Response provided for information only.</w:t>
            </w:r>
          </w:p>
        </w:tc>
      </w:tr>
      <w:tr w:rsidR="00A46209" w:rsidRPr="00BF1FD6" w14:paraId="0B61C809" w14:textId="77777777" w:rsidTr="3AD35CA9">
        <w:trPr>
          <w:trHeight w:val="510"/>
        </w:trPr>
        <w:tc>
          <w:tcPr>
            <w:tcW w:w="1474" w:type="dxa"/>
            <w:shd w:val="clear" w:color="auto" w:fill="FFFFFF" w:themeFill="background1"/>
          </w:tcPr>
          <w:p w14:paraId="193A40FD" w14:textId="04976B5F" w:rsidR="00A46209" w:rsidRPr="00A750A6" w:rsidRDefault="00A46209" w:rsidP="00642950">
            <w:pPr>
              <w:spacing w:after="0" w:line="276" w:lineRule="auto"/>
              <w:jc w:val="both"/>
              <w:rPr>
                <w:rFonts w:eastAsia="Times New Roman" w:cs="Calibri"/>
                <w:b/>
              </w:rPr>
            </w:pPr>
            <w:r w:rsidRPr="00A750A6">
              <w:rPr>
                <w:rFonts w:eastAsia="Times New Roman" w:cs="Calibri"/>
                <w:b/>
              </w:rPr>
              <w:t>3.2</w:t>
            </w:r>
            <w:r w:rsidR="00600333" w:rsidRPr="00A750A6">
              <w:rPr>
                <w:rFonts w:eastAsia="Times New Roman" w:cs="Calibri"/>
                <w:b/>
              </w:rPr>
              <w:t>8</w:t>
            </w:r>
          </w:p>
        </w:tc>
        <w:tc>
          <w:tcPr>
            <w:tcW w:w="1701" w:type="dxa"/>
            <w:shd w:val="clear" w:color="auto" w:fill="FFFFFF" w:themeFill="background1"/>
          </w:tcPr>
          <w:p w14:paraId="6ADBF536" w14:textId="12089CCC" w:rsidR="00A46209" w:rsidRPr="00E66809" w:rsidRDefault="00A46209" w:rsidP="00642950">
            <w:pPr>
              <w:spacing w:after="0" w:line="276" w:lineRule="auto"/>
              <w:jc w:val="both"/>
              <w:rPr>
                <w:rFonts w:eastAsia="Times New Roman" w:cs="Calibri"/>
              </w:rPr>
            </w:pPr>
            <w:r w:rsidRPr="00E66809">
              <w:rPr>
                <w:rFonts w:eastAsia="Times New Roman" w:cs="Calibri"/>
              </w:rPr>
              <w:t>Pass/</w:t>
            </w:r>
            <w:r w:rsidR="009E2F3E">
              <w:rPr>
                <w:rFonts w:eastAsia="Times New Roman" w:cs="Calibri"/>
              </w:rPr>
              <w:t>Fail</w:t>
            </w:r>
          </w:p>
        </w:tc>
        <w:tc>
          <w:tcPr>
            <w:tcW w:w="9859" w:type="dxa"/>
            <w:shd w:val="clear" w:color="auto" w:fill="FFFFFF" w:themeFill="background1"/>
          </w:tcPr>
          <w:p w14:paraId="135B0784"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263BFFD6" w14:textId="517D3155" w:rsidR="00A46209" w:rsidRPr="00E66809" w:rsidRDefault="00A46209" w:rsidP="00642950">
            <w:pPr>
              <w:spacing w:after="0" w:line="276" w:lineRule="auto"/>
              <w:jc w:val="both"/>
              <w:rPr>
                <w:rFonts w:eastAsia="Times New Roman" w:cs="Calibri"/>
              </w:rPr>
            </w:pPr>
            <w:r w:rsidRPr="00E66809">
              <w:rPr>
                <w:rFonts w:eastAsia="Times New Roman" w:cs="Calibri"/>
              </w:rPr>
              <w:t>A response of ‘Yes</w:t>
            </w:r>
            <w:r w:rsidR="009E2F3E">
              <w:rPr>
                <w:rFonts w:eastAsia="Times New Roman" w:cs="Calibri"/>
              </w:rPr>
              <w:t xml:space="preserve"> or </w:t>
            </w:r>
            <w:r w:rsidR="00E81776">
              <w:rPr>
                <w:rFonts w:eastAsia="Times New Roman" w:cs="Calibri"/>
              </w:rPr>
              <w:t>‘</w:t>
            </w:r>
            <w:r w:rsidR="009E2F3E">
              <w:rPr>
                <w:rFonts w:eastAsia="Times New Roman" w:cs="Calibri"/>
              </w:rPr>
              <w:t>No</w:t>
            </w:r>
            <w:r w:rsidR="00E81776">
              <w:rPr>
                <w:rFonts w:eastAsia="Times New Roman" w:cs="Calibri"/>
              </w:rPr>
              <w:t>’</w:t>
            </w:r>
          </w:p>
          <w:p w14:paraId="66D28703" w14:textId="77777777" w:rsidR="00A46209" w:rsidRPr="00E66809" w:rsidRDefault="00A46209" w:rsidP="00642950">
            <w:pPr>
              <w:spacing w:after="0" w:line="276" w:lineRule="auto"/>
              <w:jc w:val="both"/>
              <w:rPr>
                <w:rFonts w:eastAsia="Times New Roman" w:cs="Calibri"/>
              </w:rPr>
            </w:pPr>
          </w:p>
          <w:p w14:paraId="2648EECE" w14:textId="77777777" w:rsidR="009E2F3E" w:rsidRPr="00B57D96" w:rsidRDefault="009E2F3E" w:rsidP="00642950">
            <w:pPr>
              <w:spacing w:after="0" w:line="276" w:lineRule="auto"/>
              <w:jc w:val="both"/>
              <w:rPr>
                <w:rFonts w:eastAsia="Times New Roman" w:cs="Calibri"/>
              </w:rPr>
            </w:pPr>
            <w:r w:rsidRPr="00B57D96">
              <w:rPr>
                <w:rFonts w:eastAsia="Times New Roman" w:cs="Calibri"/>
                <w:b/>
                <w:u w:val="single"/>
              </w:rPr>
              <w:t>Fail</w:t>
            </w:r>
          </w:p>
          <w:p w14:paraId="4CCDB9E8" w14:textId="76A8DAD6" w:rsidR="00A46209" w:rsidRPr="00E66809" w:rsidRDefault="009E2F3E" w:rsidP="00642950">
            <w:pPr>
              <w:spacing w:after="0" w:line="276" w:lineRule="auto"/>
              <w:jc w:val="both"/>
              <w:rPr>
                <w:rFonts w:eastAsia="Times New Roman" w:cs="Calibri"/>
              </w:rPr>
            </w:pPr>
            <w:r>
              <w:rPr>
                <w:rFonts w:eastAsia="Times New Roman" w:cs="Calibri"/>
              </w:rPr>
              <w:t>A response is not provided</w:t>
            </w:r>
          </w:p>
        </w:tc>
      </w:tr>
      <w:tr w:rsidR="00A46209" w:rsidRPr="00BF1FD6" w14:paraId="0EA86DB0" w14:textId="77777777" w:rsidTr="3AD35CA9">
        <w:trPr>
          <w:trHeight w:val="510"/>
        </w:trPr>
        <w:tc>
          <w:tcPr>
            <w:tcW w:w="1474" w:type="dxa"/>
            <w:shd w:val="clear" w:color="auto" w:fill="FFFFFF" w:themeFill="background1"/>
          </w:tcPr>
          <w:p w14:paraId="4143B113" w14:textId="5C6DAA7C"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w:t>
            </w:r>
            <w:r w:rsidR="00600333" w:rsidRPr="00A750A6">
              <w:rPr>
                <w:rFonts w:eastAsia="Times New Roman" w:cs="Calibri"/>
                <w:b/>
              </w:rPr>
              <w:t>29</w:t>
            </w:r>
          </w:p>
        </w:tc>
        <w:tc>
          <w:tcPr>
            <w:tcW w:w="1701" w:type="dxa"/>
            <w:shd w:val="clear" w:color="auto" w:fill="FFFFFF" w:themeFill="background1"/>
          </w:tcPr>
          <w:p w14:paraId="5CECFB65"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Pass/Fail/N/A</w:t>
            </w:r>
          </w:p>
        </w:tc>
        <w:tc>
          <w:tcPr>
            <w:tcW w:w="9859" w:type="dxa"/>
            <w:shd w:val="clear" w:color="auto" w:fill="FFFFFF" w:themeFill="background1"/>
          </w:tcPr>
          <w:p w14:paraId="742B0754" w14:textId="30A1B0F2" w:rsidR="00D65ED0" w:rsidRDefault="00D65ED0" w:rsidP="00642950">
            <w:pPr>
              <w:spacing w:after="0" w:line="276" w:lineRule="auto"/>
              <w:jc w:val="both"/>
              <w:rPr>
                <w:rFonts w:eastAsia="Times New Roman" w:cs="Calibri"/>
                <w:b/>
                <w:u w:val="single"/>
              </w:rPr>
            </w:pPr>
            <w:r>
              <w:rPr>
                <w:rFonts w:eastAsia="Times New Roman" w:cs="Calibri"/>
                <w:b/>
                <w:u w:val="single"/>
              </w:rPr>
              <w:t>N.A – If the Supplier has answered ‘</w:t>
            </w:r>
            <w:r w:rsidR="00A727DA">
              <w:rPr>
                <w:rFonts w:eastAsia="Times New Roman" w:cs="Calibri"/>
                <w:b/>
                <w:u w:val="single"/>
              </w:rPr>
              <w:t>No</w:t>
            </w:r>
            <w:r>
              <w:rPr>
                <w:rFonts w:eastAsia="Times New Roman" w:cs="Calibri"/>
                <w:b/>
                <w:u w:val="single"/>
              </w:rPr>
              <w:t>’ to question 3.2</w:t>
            </w:r>
            <w:r w:rsidR="00600333">
              <w:rPr>
                <w:rFonts w:eastAsia="Times New Roman" w:cs="Calibri"/>
                <w:b/>
                <w:u w:val="single"/>
              </w:rPr>
              <w:t>8</w:t>
            </w:r>
          </w:p>
          <w:p w14:paraId="71AA381C" w14:textId="77777777" w:rsidR="00D65ED0" w:rsidRDefault="00D65ED0" w:rsidP="00642950">
            <w:pPr>
              <w:spacing w:after="0" w:line="276" w:lineRule="auto"/>
              <w:jc w:val="both"/>
              <w:rPr>
                <w:rFonts w:eastAsia="Times New Roman" w:cs="Calibri"/>
                <w:b/>
                <w:u w:val="single"/>
              </w:rPr>
            </w:pPr>
          </w:p>
          <w:p w14:paraId="0A753533"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7F05BF69" w14:textId="0FE064A2" w:rsidR="00A46209" w:rsidRPr="00E66809" w:rsidRDefault="00A46209" w:rsidP="00642950">
            <w:pPr>
              <w:spacing w:after="0" w:line="276" w:lineRule="auto"/>
              <w:jc w:val="both"/>
              <w:rPr>
                <w:rFonts w:eastAsia="Times New Roman" w:cs="Calibri"/>
              </w:rPr>
            </w:pPr>
            <w:r w:rsidRPr="00E66809">
              <w:rPr>
                <w:rFonts w:eastAsia="Times New Roman" w:cs="Calibri"/>
              </w:rPr>
              <w:t>A response of ‘Yes’</w:t>
            </w:r>
            <w:r w:rsidR="00B87354">
              <w:rPr>
                <w:rFonts w:eastAsia="Times New Roman" w:cs="Calibri"/>
              </w:rPr>
              <w:t xml:space="preserve"> and a </w:t>
            </w:r>
            <w:r w:rsidRPr="00E66809">
              <w:rPr>
                <w:rFonts w:eastAsia="Times New Roman" w:cs="Calibri"/>
              </w:rPr>
              <w:t>link is provided</w:t>
            </w:r>
            <w:r w:rsidR="003A2E0A">
              <w:rPr>
                <w:rFonts w:eastAsia="Times New Roman" w:cs="Calibri"/>
              </w:rPr>
              <w:t xml:space="preserve"> to a relevant </w:t>
            </w:r>
            <w:r w:rsidR="008D49C4">
              <w:rPr>
                <w:rFonts w:eastAsia="Times New Roman" w:cs="Calibri"/>
              </w:rPr>
              <w:t>Modern Slavery Statement</w:t>
            </w:r>
            <w:r w:rsidRPr="00E66809">
              <w:rPr>
                <w:rFonts w:eastAsia="Times New Roman" w:cs="Calibri"/>
              </w:rPr>
              <w:t xml:space="preserve"> that contains information </w:t>
            </w:r>
            <w:r w:rsidR="003A2E0A">
              <w:rPr>
                <w:rFonts w:eastAsia="Times New Roman" w:cs="Calibri"/>
              </w:rPr>
              <w:t>which</w:t>
            </w:r>
            <w:r w:rsidRPr="00E66809">
              <w:rPr>
                <w:rFonts w:eastAsia="Times New Roman" w:cs="Calibri"/>
              </w:rPr>
              <w:t xml:space="preserve"> meet</w:t>
            </w:r>
            <w:r w:rsidR="003A2E0A">
              <w:rPr>
                <w:rFonts w:eastAsia="Times New Roman" w:cs="Calibri"/>
              </w:rPr>
              <w:t>s</w:t>
            </w:r>
            <w:r w:rsidRPr="00E66809">
              <w:rPr>
                <w:rFonts w:eastAsia="Times New Roman" w:cs="Calibri"/>
              </w:rPr>
              <w:t xml:space="preserve"> the criteria outlined in</w:t>
            </w:r>
            <w:r w:rsidR="003A2E0A">
              <w:rPr>
                <w:rFonts w:eastAsia="Times New Roman" w:cs="Calibri"/>
              </w:rPr>
              <w:t xml:space="preserve"> paragraphs a) to f)</w:t>
            </w:r>
          </w:p>
          <w:p w14:paraId="1A8D1755" w14:textId="15AB7CD6" w:rsidR="00A46209" w:rsidRDefault="00B02690" w:rsidP="00642950">
            <w:pPr>
              <w:spacing w:after="0" w:line="276" w:lineRule="auto"/>
              <w:jc w:val="both"/>
              <w:rPr>
                <w:rFonts w:eastAsia="Times New Roman" w:cs="Calibri"/>
                <w:b/>
                <w:bCs/>
              </w:rPr>
            </w:pPr>
            <w:r>
              <w:rPr>
                <w:rFonts w:eastAsia="Times New Roman" w:cs="Calibri"/>
                <w:b/>
                <w:bCs/>
              </w:rPr>
              <w:t xml:space="preserve">OR </w:t>
            </w:r>
          </w:p>
          <w:p w14:paraId="0D188E5E" w14:textId="59C244ED" w:rsidR="00B02690" w:rsidRDefault="00B02690" w:rsidP="00642950">
            <w:pPr>
              <w:spacing w:after="0" w:line="276" w:lineRule="auto"/>
              <w:jc w:val="both"/>
              <w:rPr>
                <w:rFonts w:eastAsia="Times New Roman" w:cs="Calibri"/>
              </w:rPr>
            </w:pPr>
            <w:r>
              <w:rPr>
                <w:rFonts w:eastAsia="Times New Roman" w:cs="Calibri"/>
              </w:rPr>
              <w:t>A response of ‘No’ and the Supplier is able to provide a</w:t>
            </w:r>
            <w:r w:rsidR="00FE7BB3">
              <w:rPr>
                <w:rFonts w:eastAsia="Times New Roman" w:cs="Calibri"/>
              </w:rPr>
              <w:t xml:space="preserve">n explanation </w:t>
            </w:r>
            <w:r>
              <w:rPr>
                <w:rFonts w:eastAsia="Times New Roman" w:cs="Calibri"/>
              </w:rPr>
              <w:t xml:space="preserve">that is deemed </w:t>
            </w:r>
            <w:r w:rsidR="00C53179">
              <w:rPr>
                <w:rFonts w:eastAsia="Times New Roman" w:cs="Calibri"/>
              </w:rPr>
              <w:t>acceptable to HMRC</w:t>
            </w:r>
            <w:r w:rsidR="00FE7BB3">
              <w:rPr>
                <w:rFonts w:eastAsia="Times New Roman" w:cs="Calibri"/>
              </w:rPr>
              <w:t xml:space="preserve">, </w:t>
            </w:r>
            <w:r w:rsidR="009934BE">
              <w:rPr>
                <w:rFonts w:eastAsia="Times New Roman" w:cs="Calibri"/>
              </w:rPr>
              <w:t>including future assurances of compliance with the Modern Slavery Act</w:t>
            </w:r>
            <w:r w:rsidR="00140201">
              <w:rPr>
                <w:rFonts w:eastAsia="Times New Roman" w:cs="Calibri"/>
              </w:rPr>
              <w:t xml:space="preserve"> prior to contract award</w:t>
            </w:r>
          </w:p>
          <w:p w14:paraId="2BF26030" w14:textId="77777777" w:rsidR="00AE5658" w:rsidRPr="00E66809" w:rsidRDefault="00AE5658" w:rsidP="00642950">
            <w:pPr>
              <w:spacing w:after="0" w:line="276" w:lineRule="auto"/>
              <w:jc w:val="both"/>
              <w:rPr>
                <w:rFonts w:eastAsia="Times New Roman" w:cs="Calibri"/>
              </w:rPr>
            </w:pPr>
          </w:p>
          <w:p w14:paraId="31C4D8D8"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Fail</w:t>
            </w:r>
          </w:p>
          <w:p w14:paraId="67BF9C73" w14:textId="1C57899F" w:rsidR="00A46209" w:rsidRDefault="00A46209" w:rsidP="00642950">
            <w:pPr>
              <w:spacing w:after="0" w:line="276" w:lineRule="auto"/>
              <w:jc w:val="both"/>
              <w:rPr>
                <w:rFonts w:eastAsia="Times New Roman" w:cs="Calibri"/>
              </w:rPr>
            </w:pPr>
            <w:r w:rsidRPr="00E66809">
              <w:rPr>
                <w:rFonts w:eastAsia="Times New Roman" w:cs="Calibri"/>
              </w:rPr>
              <w:t>A response of ‘Yes’</w:t>
            </w:r>
            <w:r w:rsidR="00817FC9">
              <w:rPr>
                <w:rFonts w:eastAsia="Times New Roman" w:cs="Calibri"/>
              </w:rPr>
              <w:t xml:space="preserve">, but </w:t>
            </w:r>
            <w:r w:rsidRPr="00E66809">
              <w:rPr>
                <w:rFonts w:eastAsia="Times New Roman" w:cs="Calibri"/>
              </w:rPr>
              <w:t xml:space="preserve">the link provided does not </w:t>
            </w:r>
            <w:r w:rsidR="000B5D00">
              <w:rPr>
                <w:rFonts w:eastAsia="Times New Roman" w:cs="Calibri"/>
              </w:rPr>
              <w:t>provide a</w:t>
            </w:r>
            <w:r w:rsidR="005A06CC">
              <w:rPr>
                <w:rFonts w:eastAsia="Times New Roman" w:cs="Calibri"/>
              </w:rPr>
              <w:t xml:space="preserve">ccess to a relevant </w:t>
            </w:r>
            <w:r w:rsidR="008D49C4">
              <w:rPr>
                <w:rFonts w:eastAsia="Times New Roman" w:cs="Calibri"/>
              </w:rPr>
              <w:t xml:space="preserve">Modern Slavery Statement </w:t>
            </w:r>
            <w:r w:rsidRPr="00E66809">
              <w:rPr>
                <w:rFonts w:eastAsia="Times New Roman" w:cs="Calibri"/>
              </w:rPr>
              <w:t>meet</w:t>
            </w:r>
            <w:r w:rsidR="000B5D00">
              <w:rPr>
                <w:rFonts w:eastAsia="Times New Roman" w:cs="Calibri"/>
              </w:rPr>
              <w:t>s</w:t>
            </w:r>
            <w:r w:rsidRPr="00E66809">
              <w:rPr>
                <w:rFonts w:eastAsia="Times New Roman" w:cs="Calibri"/>
              </w:rPr>
              <w:t xml:space="preserve"> the criteria </w:t>
            </w:r>
            <w:r w:rsidR="000B5D00">
              <w:rPr>
                <w:rFonts w:eastAsia="Times New Roman" w:cs="Calibri"/>
              </w:rPr>
              <w:t xml:space="preserve">outlined in </w:t>
            </w:r>
            <w:r w:rsidR="000B5D00" w:rsidRPr="000B5D00">
              <w:rPr>
                <w:rFonts w:eastAsia="Times New Roman" w:cs="Calibri"/>
              </w:rPr>
              <w:t>paragraphs a) to f)</w:t>
            </w:r>
          </w:p>
          <w:p w14:paraId="1DDC73EF" w14:textId="469E75C9" w:rsidR="00817FC9" w:rsidRPr="00E66809" w:rsidRDefault="00817FC9" w:rsidP="00642950">
            <w:pPr>
              <w:spacing w:after="0" w:line="276" w:lineRule="auto"/>
              <w:jc w:val="both"/>
              <w:rPr>
                <w:rFonts w:eastAsia="Times New Roman" w:cs="Calibri"/>
                <w:b/>
              </w:rPr>
            </w:pPr>
            <w:r w:rsidRPr="00E66809">
              <w:rPr>
                <w:rFonts w:eastAsia="Times New Roman" w:cs="Calibri"/>
                <w:b/>
              </w:rPr>
              <w:t>OR</w:t>
            </w:r>
          </w:p>
          <w:p w14:paraId="70030411" w14:textId="5E8E72BD" w:rsidR="00817FC9" w:rsidRDefault="00817FC9" w:rsidP="00642950">
            <w:pPr>
              <w:spacing w:after="0" w:line="276" w:lineRule="auto"/>
              <w:jc w:val="both"/>
              <w:rPr>
                <w:rFonts w:eastAsia="Times New Roman" w:cs="Calibri"/>
              </w:rPr>
            </w:pPr>
            <w:r w:rsidRPr="008D2D34">
              <w:rPr>
                <w:rFonts w:eastAsia="Times New Roman" w:cs="Calibri"/>
              </w:rPr>
              <w:t>A response of ‘Yes’</w:t>
            </w:r>
            <w:r>
              <w:rPr>
                <w:rFonts w:eastAsia="Times New Roman" w:cs="Calibri"/>
              </w:rPr>
              <w:t xml:space="preserve">, but </w:t>
            </w:r>
            <w:r w:rsidR="00BD5AB6">
              <w:rPr>
                <w:rFonts w:eastAsia="Times New Roman" w:cs="Calibri"/>
              </w:rPr>
              <w:t xml:space="preserve">the Supplier does not provide </w:t>
            </w:r>
            <w:r>
              <w:rPr>
                <w:rFonts w:eastAsia="Times New Roman" w:cs="Calibri"/>
              </w:rPr>
              <w:t>a link to the</w:t>
            </w:r>
            <w:r w:rsidR="00BD5AB6">
              <w:rPr>
                <w:rFonts w:eastAsia="Times New Roman" w:cs="Calibri"/>
              </w:rPr>
              <w:t>ir Modern Slavery Statement</w:t>
            </w:r>
          </w:p>
          <w:p w14:paraId="4942EADF" w14:textId="49F1BC7B" w:rsidR="00817FC9" w:rsidRPr="00E66809" w:rsidRDefault="00BD5AB6" w:rsidP="00642950">
            <w:pPr>
              <w:spacing w:after="0" w:line="276" w:lineRule="auto"/>
              <w:jc w:val="both"/>
              <w:rPr>
                <w:rFonts w:eastAsia="Times New Roman" w:cs="Calibri"/>
                <w:b/>
              </w:rPr>
            </w:pPr>
            <w:r w:rsidRPr="00E66809">
              <w:rPr>
                <w:rFonts w:eastAsia="Times New Roman" w:cs="Calibri"/>
                <w:b/>
              </w:rPr>
              <w:t>OR</w:t>
            </w:r>
          </w:p>
          <w:p w14:paraId="3CE1DAA5" w14:textId="7BDDAA61" w:rsidR="00A46209" w:rsidRDefault="00343220" w:rsidP="00642950">
            <w:pPr>
              <w:spacing w:after="0" w:line="276" w:lineRule="auto"/>
              <w:jc w:val="both"/>
              <w:rPr>
                <w:rFonts w:eastAsia="Times New Roman" w:cs="Calibri"/>
              </w:rPr>
            </w:pPr>
            <w:r>
              <w:rPr>
                <w:rFonts w:eastAsia="Times New Roman" w:cs="Calibri"/>
              </w:rPr>
              <w:t xml:space="preserve">A response </w:t>
            </w:r>
            <w:r w:rsidR="00DA1D21">
              <w:rPr>
                <w:rFonts w:eastAsia="Times New Roman" w:cs="Calibri"/>
              </w:rPr>
              <w:t xml:space="preserve">of </w:t>
            </w:r>
            <w:r>
              <w:rPr>
                <w:rFonts w:eastAsia="Times New Roman" w:cs="Calibri"/>
              </w:rPr>
              <w:t>‘No’</w:t>
            </w:r>
            <w:r w:rsidR="00DA1D21">
              <w:rPr>
                <w:rFonts w:eastAsia="Times New Roman" w:cs="Calibri"/>
              </w:rPr>
              <w:t>, but the Supplier does not provide an explanation that is deemed acceptable by HMRC</w:t>
            </w:r>
          </w:p>
          <w:p w14:paraId="7E5505AB" w14:textId="73164DC7" w:rsidR="00DA1D21" w:rsidRPr="00E66809" w:rsidRDefault="00DA1D21" w:rsidP="00642950">
            <w:pPr>
              <w:spacing w:after="0" w:line="276" w:lineRule="auto"/>
              <w:jc w:val="both"/>
              <w:rPr>
                <w:rFonts w:eastAsia="Times New Roman" w:cs="Calibri"/>
                <w:b/>
              </w:rPr>
            </w:pPr>
            <w:r w:rsidRPr="00E66809">
              <w:rPr>
                <w:rFonts w:eastAsia="Times New Roman" w:cs="Calibri"/>
                <w:b/>
              </w:rPr>
              <w:t>OR</w:t>
            </w:r>
          </w:p>
          <w:p w14:paraId="15123B83" w14:textId="67CAF52B" w:rsidR="006C6FE3" w:rsidRPr="00E66809" w:rsidRDefault="00DA1D21" w:rsidP="00642950">
            <w:pPr>
              <w:spacing w:after="0" w:line="276" w:lineRule="auto"/>
              <w:jc w:val="both"/>
              <w:rPr>
                <w:rFonts w:eastAsia="Times New Roman" w:cs="Calibri"/>
              </w:rPr>
            </w:pPr>
            <w:r>
              <w:rPr>
                <w:rFonts w:eastAsia="Times New Roman" w:cs="Calibri"/>
              </w:rPr>
              <w:t xml:space="preserve">A response of ‘No’, but the Supplier does not provide </w:t>
            </w:r>
            <w:r w:rsidR="006C6FE3">
              <w:rPr>
                <w:rFonts w:eastAsia="Times New Roman" w:cs="Calibri"/>
              </w:rPr>
              <w:t>a supporting explanation</w:t>
            </w:r>
          </w:p>
          <w:p w14:paraId="3F8DB0E0" w14:textId="77777777" w:rsidR="00A46209" w:rsidRPr="00E66809" w:rsidRDefault="00A46209" w:rsidP="00642950">
            <w:pPr>
              <w:spacing w:after="0" w:line="276" w:lineRule="auto"/>
              <w:jc w:val="both"/>
              <w:rPr>
                <w:rFonts w:eastAsia="Times New Roman" w:cs="Calibri"/>
              </w:rPr>
            </w:pPr>
            <w:r w:rsidRPr="00E66809">
              <w:rPr>
                <w:rFonts w:eastAsia="Times New Roman" w:cs="Calibri"/>
                <w:b/>
                <w:u w:val="single"/>
              </w:rPr>
              <w:t>N/A</w:t>
            </w:r>
          </w:p>
          <w:p w14:paraId="39C75F69" w14:textId="3826E365" w:rsidR="00A46209" w:rsidRPr="00E66809" w:rsidRDefault="00A46209" w:rsidP="00642950">
            <w:pPr>
              <w:spacing w:after="0" w:line="276" w:lineRule="auto"/>
              <w:jc w:val="both"/>
              <w:rPr>
                <w:rFonts w:eastAsia="Times New Roman" w:cs="Calibri"/>
              </w:rPr>
            </w:pPr>
            <w:r w:rsidRPr="00E66809">
              <w:rPr>
                <w:rFonts w:eastAsia="Times New Roman" w:cs="Calibri"/>
              </w:rPr>
              <w:t>N/A is an acceptable response where</w:t>
            </w:r>
            <w:r w:rsidR="006150C2">
              <w:rPr>
                <w:rFonts w:eastAsia="Times New Roman" w:cs="Calibri"/>
              </w:rPr>
              <w:t xml:space="preserve"> </w:t>
            </w:r>
            <w:r w:rsidR="009934BE">
              <w:rPr>
                <w:rFonts w:eastAsia="Times New Roman" w:cs="Calibri"/>
              </w:rPr>
              <w:t>the Supplier has answered ‘No’ to question 3.2</w:t>
            </w:r>
            <w:r w:rsidR="00A77DA4">
              <w:rPr>
                <w:rFonts w:eastAsia="Times New Roman" w:cs="Calibri"/>
              </w:rPr>
              <w:t>8</w:t>
            </w:r>
            <w:r w:rsidR="00E15C1D">
              <w:rPr>
                <w:rFonts w:eastAsia="Times New Roman" w:cs="Calibri"/>
              </w:rPr>
              <w:t xml:space="preserve">. If </w:t>
            </w:r>
            <w:r w:rsidR="0043223B">
              <w:rPr>
                <w:rFonts w:eastAsia="Times New Roman" w:cs="Calibri"/>
              </w:rPr>
              <w:t xml:space="preserve">a response of N/A is used where the Supplier </w:t>
            </w:r>
            <w:r w:rsidR="005C66B4">
              <w:rPr>
                <w:rFonts w:eastAsia="Times New Roman" w:cs="Calibri"/>
              </w:rPr>
              <w:t>has responded ‘Yes’ to question 3.2</w:t>
            </w:r>
            <w:r w:rsidR="00A77DA4">
              <w:rPr>
                <w:rFonts w:eastAsia="Times New Roman" w:cs="Calibri"/>
              </w:rPr>
              <w:t>8</w:t>
            </w:r>
            <w:r w:rsidR="005C66B4">
              <w:rPr>
                <w:rFonts w:eastAsia="Times New Roman" w:cs="Calibri"/>
              </w:rPr>
              <w:t xml:space="preserve">, this will constitute a </w:t>
            </w:r>
            <w:proofErr w:type="gramStart"/>
            <w:r w:rsidR="005C66B4">
              <w:rPr>
                <w:rFonts w:eastAsia="Times New Roman" w:cs="Calibri"/>
              </w:rPr>
              <w:t>fail</w:t>
            </w:r>
            <w:proofErr w:type="gramEnd"/>
            <w:r w:rsidR="005C66B4">
              <w:rPr>
                <w:rFonts w:eastAsia="Times New Roman" w:cs="Calibri"/>
              </w:rPr>
              <w:t xml:space="preserve"> for this question.</w:t>
            </w:r>
          </w:p>
          <w:p w14:paraId="1F580444" w14:textId="77777777" w:rsidR="00A46209" w:rsidRPr="00E66809" w:rsidRDefault="00A46209" w:rsidP="00642950">
            <w:pPr>
              <w:spacing w:after="0" w:line="276" w:lineRule="auto"/>
              <w:jc w:val="both"/>
              <w:rPr>
                <w:rFonts w:eastAsia="Times New Roman" w:cs="Calibri"/>
                <w:b/>
                <w:u w:val="single"/>
              </w:rPr>
            </w:pPr>
          </w:p>
        </w:tc>
      </w:tr>
      <w:tr w:rsidR="00215519" w:rsidRPr="00BF1FD6" w14:paraId="381EE678" w14:textId="77777777" w:rsidTr="3AD35CA9">
        <w:trPr>
          <w:trHeight w:val="510"/>
        </w:trPr>
        <w:tc>
          <w:tcPr>
            <w:tcW w:w="1474" w:type="dxa"/>
            <w:shd w:val="clear" w:color="auto" w:fill="FFFFFF" w:themeFill="background1"/>
          </w:tcPr>
          <w:p w14:paraId="7498678B" w14:textId="013C271A" w:rsidR="00215519" w:rsidRPr="00A750A6" w:rsidRDefault="00215519" w:rsidP="00642950">
            <w:pPr>
              <w:spacing w:after="0" w:line="276" w:lineRule="auto"/>
              <w:jc w:val="both"/>
              <w:rPr>
                <w:rFonts w:eastAsia="Times New Roman" w:cs="Calibri"/>
                <w:b/>
              </w:rPr>
            </w:pPr>
            <w:r w:rsidRPr="00A750A6">
              <w:rPr>
                <w:rFonts w:eastAsia="Times New Roman" w:cs="Calibri"/>
                <w:b/>
              </w:rPr>
              <w:t>3.3</w:t>
            </w:r>
            <w:r w:rsidR="00600333" w:rsidRPr="00A750A6">
              <w:rPr>
                <w:rFonts w:eastAsia="Times New Roman" w:cs="Calibri"/>
                <w:b/>
              </w:rPr>
              <w:t>0</w:t>
            </w:r>
          </w:p>
        </w:tc>
        <w:tc>
          <w:tcPr>
            <w:tcW w:w="1701" w:type="dxa"/>
            <w:shd w:val="clear" w:color="auto" w:fill="FFFFFF" w:themeFill="background1"/>
          </w:tcPr>
          <w:p w14:paraId="15C92FD1" w14:textId="70D931CA" w:rsidR="00215519" w:rsidRPr="00215519" w:rsidRDefault="00215519" w:rsidP="00642950">
            <w:pPr>
              <w:spacing w:after="0" w:line="276" w:lineRule="auto"/>
              <w:jc w:val="both"/>
              <w:rPr>
                <w:rFonts w:eastAsia="Times New Roman" w:cs="Calibri"/>
              </w:rPr>
            </w:pPr>
            <w:r>
              <w:rPr>
                <w:rFonts w:eastAsia="Times New Roman" w:cs="Calibri"/>
              </w:rPr>
              <w:t>Pass/Fail</w:t>
            </w:r>
          </w:p>
        </w:tc>
        <w:tc>
          <w:tcPr>
            <w:tcW w:w="9859" w:type="dxa"/>
            <w:shd w:val="clear" w:color="auto" w:fill="FFFFFF" w:themeFill="background1"/>
          </w:tcPr>
          <w:p w14:paraId="6B8F3457" w14:textId="62037870" w:rsidR="00B87354" w:rsidRDefault="00B87354" w:rsidP="00642950">
            <w:pPr>
              <w:spacing w:after="0" w:line="276" w:lineRule="auto"/>
              <w:jc w:val="both"/>
              <w:rPr>
                <w:rFonts w:eastAsia="Times New Roman" w:cs="Calibri"/>
                <w:b/>
                <w:u w:val="single"/>
              </w:rPr>
            </w:pPr>
            <w:r>
              <w:rPr>
                <w:rFonts w:eastAsia="Times New Roman" w:cs="Calibri"/>
                <w:b/>
                <w:u w:val="single"/>
              </w:rPr>
              <w:t>N.A – If the Supplier has answered ‘Yes’ to question 3.2</w:t>
            </w:r>
            <w:r w:rsidR="00600333">
              <w:rPr>
                <w:rFonts w:eastAsia="Times New Roman" w:cs="Calibri"/>
                <w:b/>
                <w:u w:val="single"/>
              </w:rPr>
              <w:t>8</w:t>
            </w:r>
          </w:p>
          <w:p w14:paraId="6FD7E8B6" w14:textId="77777777" w:rsidR="00B87354" w:rsidRDefault="00B87354" w:rsidP="00642950">
            <w:pPr>
              <w:spacing w:after="0" w:line="276" w:lineRule="auto"/>
              <w:jc w:val="both"/>
              <w:rPr>
                <w:rFonts w:eastAsia="Times New Roman" w:cs="Calibri"/>
                <w:b/>
                <w:u w:val="single"/>
              </w:rPr>
            </w:pPr>
          </w:p>
          <w:p w14:paraId="490778BD" w14:textId="77777777" w:rsidR="00B87354" w:rsidRPr="008D2D34" w:rsidRDefault="00B87354" w:rsidP="00642950">
            <w:pPr>
              <w:spacing w:after="0" w:line="276" w:lineRule="auto"/>
              <w:jc w:val="both"/>
              <w:rPr>
                <w:rFonts w:eastAsia="Times New Roman" w:cs="Calibri"/>
                <w:b/>
                <w:u w:val="single"/>
              </w:rPr>
            </w:pPr>
            <w:r w:rsidRPr="008D2D34">
              <w:rPr>
                <w:rFonts w:eastAsia="Times New Roman" w:cs="Calibri"/>
                <w:b/>
                <w:u w:val="single"/>
              </w:rPr>
              <w:t>Pass</w:t>
            </w:r>
          </w:p>
          <w:p w14:paraId="088542B3" w14:textId="410B1FB0" w:rsidR="00B87354" w:rsidRPr="008D2D34" w:rsidRDefault="00B87354" w:rsidP="00642950">
            <w:pPr>
              <w:spacing w:after="0" w:line="276" w:lineRule="auto"/>
              <w:jc w:val="both"/>
              <w:rPr>
                <w:rFonts w:eastAsia="Times New Roman" w:cs="Calibri"/>
              </w:rPr>
            </w:pPr>
            <w:r w:rsidRPr="008D2D34">
              <w:rPr>
                <w:rFonts w:eastAsia="Times New Roman" w:cs="Calibri"/>
              </w:rPr>
              <w:t>A response of ‘Yes</w:t>
            </w:r>
            <w:r>
              <w:rPr>
                <w:rFonts w:eastAsia="Times New Roman" w:cs="Calibri"/>
              </w:rPr>
              <w:t xml:space="preserve"> and a</w:t>
            </w:r>
            <w:r w:rsidRPr="008D2D34">
              <w:rPr>
                <w:rFonts w:eastAsia="Times New Roman" w:cs="Calibri"/>
              </w:rPr>
              <w:t xml:space="preserve"> link is provided</w:t>
            </w:r>
            <w:r>
              <w:rPr>
                <w:rFonts w:eastAsia="Times New Roman" w:cs="Calibri"/>
              </w:rPr>
              <w:t xml:space="preserve"> to a relevant statement or document</w:t>
            </w:r>
            <w:r w:rsidRPr="008D2D34">
              <w:rPr>
                <w:rFonts w:eastAsia="Times New Roman" w:cs="Calibri"/>
              </w:rPr>
              <w:t xml:space="preserve"> that contains information </w:t>
            </w:r>
            <w:r>
              <w:rPr>
                <w:rFonts w:eastAsia="Times New Roman" w:cs="Calibri"/>
              </w:rPr>
              <w:t>which</w:t>
            </w:r>
            <w:r w:rsidRPr="008D2D34">
              <w:rPr>
                <w:rFonts w:eastAsia="Times New Roman" w:cs="Calibri"/>
              </w:rPr>
              <w:t xml:space="preserve"> meet</w:t>
            </w:r>
            <w:r>
              <w:rPr>
                <w:rFonts w:eastAsia="Times New Roman" w:cs="Calibri"/>
              </w:rPr>
              <w:t>s</w:t>
            </w:r>
            <w:r w:rsidRPr="008D2D34">
              <w:rPr>
                <w:rFonts w:eastAsia="Times New Roman" w:cs="Calibri"/>
              </w:rPr>
              <w:t xml:space="preserve"> the criteria outlined in</w:t>
            </w:r>
            <w:r>
              <w:rPr>
                <w:rFonts w:eastAsia="Times New Roman" w:cs="Calibri"/>
              </w:rPr>
              <w:t xml:space="preserve"> paragraphs a) to f) of</w:t>
            </w:r>
            <w:r w:rsidRPr="008D2D34">
              <w:rPr>
                <w:rFonts w:eastAsia="Times New Roman" w:cs="Calibri"/>
              </w:rPr>
              <w:t xml:space="preserve"> question 3.</w:t>
            </w:r>
            <w:r w:rsidR="00600333">
              <w:rPr>
                <w:rFonts w:eastAsia="Times New Roman" w:cs="Calibri"/>
              </w:rPr>
              <w:t>29</w:t>
            </w:r>
          </w:p>
          <w:p w14:paraId="7B5C83A6" w14:textId="77777777" w:rsidR="00B87354" w:rsidRDefault="00B87354" w:rsidP="00642950">
            <w:pPr>
              <w:spacing w:after="0" w:line="276" w:lineRule="auto"/>
              <w:jc w:val="both"/>
              <w:rPr>
                <w:rFonts w:eastAsia="Times New Roman" w:cs="Calibri"/>
                <w:b/>
                <w:bCs/>
              </w:rPr>
            </w:pPr>
            <w:r>
              <w:rPr>
                <w:rFonts w:eastAsia="Times New Roman" w:cs="Calibri"/>
                <w:b/>
                <w:bCs/>
              </w:rPr>
              <w:lastRenderedPageBreak/>
              <w:t xml:space="preserve">OR </w:t>
            </w:r>
          </w:p>
          <w:p w14:paraId="2733611B" w14:textId="46A6FF4F" w:rsidR="00B87354" w:rsidRDefault="00B87354" w:rsidP="00642950">
            <w:pPr>
              <w:spacing w:after="0" w:line="276" w:lineRule="auto"/>
              <w:jc w:val="both"/>
              <w:rPr>
                <w:rFonts w:eastAsia="Times New Roman" w:cs="Calibri"/>
              </w:rPr>
            </w:pPr>
            <w:r>
              <w:rPr>
                <w:rFonts w:eastAsia="Times New Roman" w:cs="Calibri"/>
              </w:rPr>
              <w:t>A response of ‘No’ and the Supplier is able to provide an explanation that is deemed acceptable to HMRC, including future assurances of compliance with the Modern Slavery Act</w:t>
            </w:r>
            <w:r w:rsidR="00140201">
              <w:rPr>
                <w:rFonts w:eastAsia="Times New Roman" w:cs="Calibri"/>
              </w:rPr>
              <w:t xml:space="preserve"> prior to contract award</w:t>
            </w:r>
          </w:p>
          <w:p w14:paraId="79210E90" w14:textId="77777777" w:rsidR="00B87354" w:rsidRPr="008D2D34" w:rsidRDefault="00B87354" w:rsidP="00642950">
            <w:pPr>
              <w:spacing w:after="0" w:line="276" w:lineRule="auto"/>
              <w:jc w:val="both"/>
              <w:rPr>
                <w:rFonts w:eastAsia="Times New Roman" w:cs="Calibri"/>
              </w:rPr>
            </w:pPr>
          </w:p>
          <w:p w14:paraId="0438AEA4" w14:textId="77777777" w:rsidR="00B87354" w:rsidRPr="008D2D34" w:rsidRDefault="00B87354" w:rsidP="00642950">
            <w:pPr>
              <w:spacing w:after="0" w:line="276" w:lineRule="auto"/>
              <w:jc w:val="both"/>
              <w:rPr>
                <w:rFonts w:eastAsia="Times New Roman" w:cs="Calibri"/>
                <w:b/>
                <w:u w:val="single"/>
              </w:rPr>
            </w:pPr>
            <w:r w:rsidRPr="008D2D34">
              <w:rPr>
                <w:rFonts w:eastAsia="Times New Roman" w:cs="Calibri"/>
                <w:b/>
                <w:u w:val="single"/>
              </w:rPr>
              <w:t>Fail</w:t>
            </w:r>
          </w:p>
          <w:p w14:paraId="0D9074AA" w14:textId="77777777" w:rsidR="00B87354" w:rsidRDefault="00B87354" w:rsidP="00642950">
            <w:pPr>
              <w:spacing w:after="0" w:line="276" w:lineRule="auto"/>
              <w:jc w:val="both"/>
              <w:rPr>
                <w:rFonts w:eastAsia="Times New Roman" w:cs="Calibri"/>
              </w:rPr>
            </w:pPr>
            <w:r w:rsidRPr="008D2D34">
              <w:rPr>
                <w:rFonts w:eastAsia="Times New Roman" w:cs="Calibri"/>
              </w:rPr>
              <w:t>A response of ‘Yes’</w:t>
            </w:r>
            <w:r>
              <w:rPr>
                <w:rFonts w:eastAsia="Times New Roman" w:cs="Calibri"/>
              </w:rPr>
              <w:t xml:space="preserve">, but </w:t>
            </w:r>
            <w:r w:rsidRPr="008D2D34">
              <w:rPr>
                <w:rFonts w:eastAsia="Times New Roman" w:cs="Calibri"/>
              </w:rPr>
              <w:t xml:space="preserve">the link provided does not </w:t>
            </w:r>
            <w:r>
              <w:rPr>
                <w:rFonts w:eastAsia="Times New Roman" w:cs="Calibri"/>
              </w:rPr>
              <w:t>provide access to a relevant statement or document which</w:t>
            </w:r>
            <w:r w:rsidRPr="008D2D34">
              <w:rPr>
                <w:rFonts w:eastAsia="Times New Roman" w:cs="Calibri"/>
              </w:rPr>
              <w:t xml:space="preserve"> meet</w:t>
            </w:r>
            <w:r>
              <w:rPr>
                <w:rFonts w:eastAsia="Times New Roman" w:cs="Calibri"/>
              </w:rPr>
              <w:t>s</w:t>
            </w:r>
            <w:r w:rsidRPr="008D2D34">
              <w:rPr>
                <w:rFonts w:eastAsia="Times New Roman" w:cs="Calibri"/>
              </w:rPr>
              <w:t xml:space="preserve"> the criteria </w:t>
            </w:r>
            <w:r>
              <w:rPr>
                <w:rFonts w:eastAsia="Times New Roman" w:cs="Calibri"/>
              </w:rPr>
              <w:t xml:space="preserve">outlined in </w:t>
            </w:r>
            <w:r w:rsidRPr="000B5D00">
              <w:rPr>
                <w:rFonts w:eastAsia="Times New Roman" w:cs="Calibri"/>
              </w:rPr>
              <w:t>paragraphs a) to f) of question 3.29</w:t>
            </w:r>
          </w:p>
          <w:p w14:paraId="79D8623D" w14:textId="77777777" w:rsidR="00B87354" w:rsidRPr="008D2D34" w:rsidRDefault="00B87354" w:rsidP="00642950">
            <w:pPr>
              <w:spacing w:after="0" w:line="276" w:lineRule="auto"/>
              <w:jc w:val="both"/>
              <w:rPr>
                <w:rFonts w:eastAsia="Times New Roman" w:cs="Calibri"/>
                <w:b/>
                <w:bCs/>
              </w:rPr>
            </w:pPr>
            <w:r w:rsidRPr="008D2D34">
              <w:rPr>
                <w:rFonts w:eastAsia="Times New Roman" w:cs="Calibri"/>
                <w:b/>
                <w:bCs/>
              </w:rPr>
              <w:t>OR</w:t>
            </w:r>
          </w:p>
          <w:p w14:paraId="7D3DBF1C" w14:textId="18C90420" w:rsidR="00B87354" w:rsidRDefault="00B87354" w:rsidP="00642950">
            <w:pPr>
              <w:spacing w:after="0" w:line="276" w:lineRule="auto"/>
              <w:jc w:val="both"/>
              <w:rPr>
                <w:rFonts w:eastAsia="Times New Roman" w:cs="Calibri"/>
              </w:rPr>
            </w:pPr>
            <w:r w:rsidRPr="008D2D34">
              <w:rPr>
                <w:rFonts w:eastAsia="Times New Roman" w:cs="Calibri"/>
              </w:rPr>
              <w:t>A response of ‘Yes’</w:t>
            </w:r>
            <w:r>
              <w:rPr>
                <w:rFonts w:eastAsia="Times New Roman" w:cs="Calibri"/>
              </w:rPr>
              <w:t>,</w:t>
            </w:r>
            <w:r w:rsidR="00734F36">
              <w:rPr>
                <w:rFonts w:eastAsia="Times New Roman" w:cs="Calibri"/>
              </w:rPr>
              <w:t xml:space="preserve"> </w:t>
            </w:r>
            <w:r>
              <w:rPr>
                <w:rFonts w:eastAsia="Times New Roman" w:cs="Calibri"/>
              </w:rPr>
              <w:t>but the Supplier does not provide a link to their Modern Slavery Statement</w:t>
            </w:r>
          </w:p>
          <w:p w14:paraId="44D9863D" w14:textId="77777777" w:rsidR="00B87354" w:rsidRPr="008D2D34" w:rsidRDefault="00B87354" w:rsidP="00642950">
            <w:pPr>
              <w:spacing w:after="0" w:line="276" w:lineRule="auto"/>
              <w:jc w:val="both"/>
              <w:rPr>
                <w:rFonts w:eastAsia="Times New Roman" w:cs="Calibri"/>
                <w:b/>
                <w:bCs/>
              </w:rPr>
            </w:pPr>
            <w:r w:rsidRPr="008D2D34">
              <w:rPr>
                <w:rFonts w:eastAsia="Times New Roman" w:cs="Calibri"/>
                <w:b/>
                <w:bCs/>
              </w:rPr>
              <w:t>OR</w:t>
            </w:r>
          </w:p>
          <w:p w14:paraId="67FFAFBE" w14:textId="77777777" w:rsidR="00B87354" w:rsidRDefault="00B87354" w:rsidP="00642950">
            <w:pPr>
              <w:spacing w:after="0" w:line="276" w:lineRule="auto"/>
              <w:jc w:val="both"/>
              <w:rPr>
                <w:rFonts w:eastAsia="Times New Roman" w:cs="Calibri"/>
              </w:rPr>
            </w:pPr>
            <w:r>
              <w:rPr>
                <w:rFonts w:eastAsia="Times New Roman" w:cs="Calibri"/>
              </w:rPr>
              <w:t>A response of ‘No’, but the Supplier does not provide an explanation that is deemed acceptable by HMRC</w:t>
            </w:r>
          </w:p>
          <w:p w14:paraId="57060734" w14:textId="77777777" w:rsidR="00B87354" w:rsidRPr="008D2D34" w:rsidRDefault="00B87354" w:rsidP="00642950">
            <w:pPr>
              <w:spacing w:after="0" w:line="276" w:lineRule="auto"/>
              <w:jc w:val="both"/>
              <w:rPr>
                <w:rFonts w:eastAsia="Times New Roman" w:cs="Calibri"/>
                <w:b/>
                <w:bCs/>
              </w:rPr>
            </w:pPr>
            <w:r w:rsidRPr="008D2D34">
              <w:rPr>
                <w:rFonts w:eastAsia="Times New Roman" w:cs="Calibri"/>
                <w:b/>
                <w:bCs/>
              </w:rPr>
              <w:t>OR</w:t>
            </w:r>
          </w:p>
          <w:p w14:paraId="057341BE" w14:textId="3F1B5BA0" w:rsidR="00B87354" w:rsidRDefault="005F0343" w:rsidP="00642950">
            <w:pPr>
              <w:spacing w:after="0" w:line="276" w:lineRule="auto"/>
              <w:jc w:val="both"/>
              <w:rPr>
                <w:rFonts w:eastAsia="Times New Roman" w:cs="Calibri"/>
              </w:rPr>
            </w:pPr>
            <w:r w:rsidRPr="005F0343">
              <w:rPr>
                <w:rFonts w:eastAsia="Times New Roman" w:cs="Calibri"/>
              </w:rPr>
              <w:t>A response of ‘No’, but the Supplier does not provide a supporting explanation</w:t>
            </w:r>
          </w:p>
          <w:p w14:paraId="45739646" w14:textId="77777777" w:rsidR="005F0343" w:rsidRPr="008D2D34" w:rsidRDefault="005F0343" w:rsidP="00642950">
            <w:pPr>
              <w:spacing w:after="0" w:line="276" w:lineRule="auto"/>
              <w:jc w:val="both"/>
              <w:rPr>
                <w:rFonts w:eastAsia="Times New Roman" w:cs="Calibri"/>
              </w:rPr>
            </w:pPr>
          </w:p>
          <w:p w14:paraId="31ADCB26" w14:textId="77777777" w:rsidR="00B87354" w:rsidRPr="008D2D34" w:rsidRDefault="00B87354" w:rsidP="00642950">
            <w:pPr>
              <w:spacing w:after="0" w:line="276" w:lineRule="auto"/>
              <w:jc w:val="both"/>
              <w:rPr>
                <w:rFonts w:eastAsia="Times New Roman" w:cs="Calibri"/>
              </w:rPr>
            </w:pPr>
            <w:r w:rsidRPr="008D2D34">
              <w:rPr>
                <w:rFonts w:eastAsia="Times New Roman" w:cs="Calibri"/>
                <w:b/>
                <w:u w:val="single"/>
              </w:rPr>
              <w:t>N/A</w:t>
            </w:r>
          </w:p>
          <w:p w14:paraId="623C2330" w14:textId="0E207E93" w:rsidR="00215519" w:rsidRPr="00215519" w:rsidRDefault="00B87354" w:rsidP="00642950">
            <w:pPr>
              <w:spacing w:after="0" w:line="276" w:lineRule="auto"/>
              <w:jc w:val="both"/>
              <w:rPr>
                <w:rFonts w:eastAsia="Times New Roman" w:cs="Calibri"/>
                <w:b/>
                <w:u w:val="single"/>
              </w:rPr>
            </w:pPr>
            <w:r w:rsidRPr="008D2D34">
              <w:rPr>
                <w:rFonts w:eastAsia="Times New Roman" w:cs="Calibri"/>
              </w:rPr>
              <w:t>N/A is an acceptable response where</w:t>
            </w:r>
            <w:r>
              <w:rPr>
                <w:rFonts w:eastAsia="Times New Roman" w:cs="Calibri"/>
              </w:rPr>
              <w:t xml:space="preserve"> the Supplier has answered ‘</w:t>
            </w:r>
            <w:r w:rsidR="00FC0322">
              <w:rPr>
                <w:rFonts w:eastAsia="Times New Roman" w:cs="Calibri"/>
              </w:rPr>
              <w:t>Yes</w:t>
            </w:r>
            <w:r>
              <w:rPr>
                <w:rFonts w:eastAsia="Times New Roman" w:cs="Calibri"/>
              </w:rPr>
              <w:t>’ to question 3.</w:t>
            </w:r>
            <w:r w:rsidR="0079449D">
              <w:rPr>
                <w:rFonts w:eastAsia="Times New Roman" w:cs="Calibri"/>
              </w:rPr>
              <w:t>28</w:t>
            </w:r>
            <w:r>
              <w:rPr>
                <w:rFonts w:eastAsia="Times New Roman" w:cs="Calibri"/>
              </w:rPr>
              <w:t>. If a response of N/A is used where the Supplier has responded ‘</w:t>
            </w:r>
            <w:r w:rsidR="00FC0322">
              <w:rPr>
                <w:rFonts w:eastAsia="Times New Roman" w:cs="Calibri"/>
              </w:rPr>
              <w:t>No</w:t>
            </w:r>
            <w:r>
              <w:rPr>
                <w:rFonts w:eastAsia="Times New Roman" w:cs="Calibri"/>
              </w:rPr>
              <w:t>’ to question 3.2</w:t>
            </w:r>
            <w:r w:rsidR="0079449D">
              <w:rPr>
                <w:rFonts w:eastAsia="Times New Roman" w:cs="Calibri"/>
              </w:rPr>
              <w:t>8</w:t>
            </w:r>
            <w:r>
              <w:rPr>
                <w:rFonts w:eastAsia="Times New Roman" w:cs="Calibri"/>
              </w:rPr>
              <w:t xml:space="preserve">, this will constitute a </w:t>
            </w:r>
            <w:proofErr w:type="gramStart"/>
            <w:r>
              <w:rPr>
                <w:rFonts w:eastAsia="Times New Roman" w:cs="Calibri"/>
              </w:rPr>
              <w:t>fail</w:t>
            </w:r>
            <w:proofErr w:type="gramEnd"/>
            <w:r>
              <w:rPr>
                <w:rFonts w:eastAsia="Times New Roman" w:cs="Calibri"/>
              </w:rPr>
              <w:t xml:space="preserve"> for this question.</w:t>
            </w:r>
          </w:p>
        </w:tc>
      </w:tr>
      <w:tr w:rsidR="00A46209" w:rsidRPr="00BF1FD6" w14:paraId="2249B30E" w14:textId="77777777" w:rsidTr="3AD35CA9">
        <w:trPr>
          <w:trHeight w:val="510"/>
        </w:trPr>
        <w:tc>
          <w:tcPr>
            <w:tcW w:w="1474" w:type="dxa"/>
            <w:shd w:val="clear" w:color="auto" w:fill="FFFFFF" w:themeFill="background1"/>
          </w:tcPr>
          <w:p w14:paraId="6E84A944" w14:textId="413B2376" w:rsidR="00A46209" w:rsidRPr="00A750A6" w:rsidRDefault="00A46209" w:rsidP="00642950">
            <w:pPr>
              <w:spacing w:after="0" w:line="276" w:lineRule="auto"/>
              <w:jc w:val="both"/>
              <w:rPr>
                <w:rFonts w:eastAsia="Times New Roman" w:cs="Calibri"/>
                <w:b/>
              </w:rPr>
            </w:pPr>
            <w:r w:rsidRPr="00A750A6">
              <w:rPr>
                <w:rFonts w:eastAsia="Times New Roman" w:cs="Calibri"/>
                <w:b/>
              </w:rPr>
              <w:lastRenderedPageBreak/>
              <w:t>3.3</w:t>
            </w:r>
            <w:r w:rsidR="00A77DA4" w:rsidRPr="00A750A6">
              <w:rPr>
                <w:rFonts w:eastAsia="Times New Roman" w:cs="Calibri"/>
                <w:b/>
              </w:rPr>
              <w:t>1</w:t>
            </w:r>
          </w:p>
        </w:tc>
        <w:tc>
          <w:tcPr>
            <w:tcW w:w="1701" w:type="dxa"/>
            <w:shd w:val="clear" w:color="auto" w:fill="FFFFFF" w:themeFill="background1"/>
          </w:tcPr>
          <w:p w14:paraId="725E759C" w14:textId="77777777" w:rsidR="00A46209" w:rsidRPr="00E66809" w:rsidRDefault="00A46209" w:rsidP="00642950">
            <w:pPr>
              <w:spacing w:after="0" w:line="276" w:lineRule="auto"/>
              <w:jc w:val="both"/>
              <w:rPr>
                <w:rFonts w:eastAsia="Times New Roman" w:cs="Calibri"/>
              </w:rPr>
            </w:pPr>
            <w:r w:rsidRPr="00E66809">
              <w:rPr>
                <w:rFonts w:eastAsia="Times New Roman" w:cs="Calibri"/>
              </w:rPr>
              <w:t>Pass/Fail</w:t>
            </w:r>
          </w:p>
        </w:tc>
        <w:tc>
          <w:tcPr>
            <w:tcW w:w="9859" w:type="dxa"/>
            <w:shd w:val="clear" w:color="auto" w:fill="FFFFFF" w:themeFill="background1"/>
          </w:tcPr>
          <w:p w14:paraId="2CD2CEB2"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t>Pass</w:t>
            </w:r>
          </w:p>
          <w:p w14:paraId="2E50413B" w14:textId="4FF72F54" w:rsidR="00A46209" w:rsidRPr="00E66809" w:rsidRDefault="00A46209" w:rsidP="00642950">
            <w:pPr>
              <w:spacing w:after="0" w:line="276" w:lineRule="auto"/>
              <w:jc w:val="both"/>
              <w:rPr>
                <w:rFonts w:eastAsia="Times New Roman" w:cs="Calibri"/>
              </w:rPr>
            </w:pPr>
            <w:r w:rsidRPr="00E66809">
              <w:rPr>
                <w:rFonts w:eastAsia="Times New Roman" w:cs="Calibri"/>
              </w:rPr>
              <w:t>A response of ‘</w:t>
            </w:r>
            <w:r w:rsidR="00762795">
              <w:rPr>
                <w:rFonts w:eastAsia="Times New Roman" w:cs="Calibri"/>
              </w:rPr>
              <w:t>No</w:t>
            </w:r>
            <w:r w:rsidRPr="00E66809">
              <w:rPr>
                <w:rFonts w:eastAsia="Times New Roman" w:cs="Calibri"/>
              </w:rPr>
              <w:t>’</w:t>
            </w:r>
            <w:r w:rsidR="001076E5">
              <w:rPr>
                <w:rFonts w:eastAsia="Times New Roman" w:cs="Calibri"/>
              </w:rPr>
              <w:t>.</w:t>
            </w:r>
          </w:p>
          <w:p w14:paraId="57E3419C" w14:textId="77777777" w:rsidR="00A46209" w:rsidRPr="00E13EAA" w:rsidRDefault="00A46209" w:rsidP="00642950">
            <w:pPr>
              <w:spacing w:after="0" w:line="276" w:lineRule="auto"/>
              <w:jc w:val="both"/>
              <w:rPr>
                <w:rFonts w:eastAsia="Times New Roman" w:cs="Calibri"/>
                <w:b/>
                <w:bCs/>
              </w:rPr>
            </w:pPr>
            <w:r w:rsidRPr="00E13EAA">
              <w:rPr>
                <w:rFonts w:eastAsia="Times New Roman" w:cs="Calibri"/>
                <w:b/>
                <w:bCs/>
              </w:rPr>
              <w:t>OR</w:t>
            </w:r>
          </w:p>
          <w:p w14:paraId="6FCE7734" w14:textId="3D9EBA95" w:rsidR="00BE0733" w:rsidRDefault="00BE0733" w:rsidP="00642950">
            <w:pPr>
              <w:spacing w:after="0" w:line="276" w:lineRule="auto"/>
              <w:jc w:val="both"/>
              <w:rPr>
                <w:rFonts w:eastAsia="Times New Roman" w:cs="Calibri"/>
              </w:rPr>
            </w:pPr>
            <w:r>
              <w:rPr>
                <w:rFonts w:eastAsia="Times New Roman" w:cs="Calibri"/>
              </w:rPr>
              <w:t xml:space="preserve">A response of ‘Yes’, </w:t>
            </w:r>
            <w:r w:rsidRPr="00E66809">
              <w:rPr>
                <w:rFonts w:eastAsia="Times New Roman" w:cs="Calibri"/>
              </w:rPr>
              <w:t xml:space="preserve">where </w:t>
            </w:r>
            <w:r>
              <w:rPr>
                <w:rFonts w:eastAsia="Times New Roman" w:cs="Calibri"/>
              </w:rPr>
              <w:t xml:space="preserve">the following information is provided in full for each conflict and HMRC is </w:t>
            </w:r>
            <w:r w:rsidR="00E13EAA">
              <w:rPr>
                <w:rFonts w:eastAsia="Times New Roman" w:cs="Calibri"/>
              </w:rPr>
              <w:t>satisfied</w:t>
            </w:r>
            <w:r>
              <w:rPr>
                <w:rFonts w:eastAsia="Times New Roman" w:cs="Calibri"/>
              </w:rPr>
              <w:t xml:space="preserve"> that all conflicts can be suitably mitigated:</w:t>
            </w:r>
          </w:p>
          <w:p w14:paraId="5EBFF5D5" w14:textId="77777777" w:rsidR="00BE0733" w:rsidRPr="00BE0733" w:rsidRDefault="00BE0733" w:rsidP="00AD19D7">
            <w:pPr>
              <w:pStyle w:val="ListParagraph"/>
              <w:numPr>
                <w:ilvl w:val="0"/>
                <w:numId w:val="59"/>
              </w:numPr>
              <w:spacing w:after="0" w:line="276" w:lineRule="auto"/>
              <w:jc w:val="both"/>
              <w:rPr>
                <w:rFonts w:cs="Arial"/>
              </w:rPr>
            </w:pPr>
            <w:r>
              <w:rPr>
                <w:rFonts w:cs="Arial"/>
              </w:rPr>
              <w:t xml:space="preserve">The </w:t>
            </w:r>
            <w:r w:rsidRPr="00BE0733">
              <w:rPr>
                <w:rFonts w:cs="Arial"/>
              </w:rPr>
              <w:t>nature of the conflict</w:t>
            </w:r>
          </w:p>
          <w:p w14:paraId="0546D49C" w14:textId="77777777" w:rsidR="00BE0733" w:rsidRPr="00BE0733" w:rsidRDefault="00BE0733" w:rsidP="00AD19D7">
            <w:pPr>
              <w:pStyle w:val="ListParagraph"/>
              <w:numPr>
                <w:ilvl w:val="0"/>
                <w:numId w:val="59"/>
              </w:numPr>
              <w:spacing w:after="0" w:line="276" w:lineRule="auto"/>
              <w:jc w:val="both"/>
              <w:rPr>
                <w:rFonts w:cs="Arial"/>
              </w:rPr>
            </w:pPr>
            <w:r>
              <w:rPr>
                <w:rFonts w:cs="Arial"/>
              </w:rPr>
              <w:t>T</w:t>
            </w:r>
            <w:r w:rsidRPr="00BE0733">
              <w:rPr>
                <w:rFonts w:cs="Arial"/>
              </w:rPr>
              <w:t>he duration of the conflict</w:t>
            </w:r>
          </w:p>
          <w:p w14:paraId="09570B30" w14:textId="77777777" w:rsidR="00BE0733" w:rsidRPr="00BE0733" w:rsidRDefault="00BE0733" w:rsidP="00AD19D7">
            <w:pPr>
              <w:pStyle w:val="ListParagraph"/>
              <w:numPr>
                <w:ilvl w:val="0"/>
                <w:numId w:val="59"/>
              </w:numPr>
              <w:spacing w:after="0" w:line="276" w:lineRule="auto"/>
              <w:jc w:val="both"/>
              <w:rPr>
                <w:rFonts w:cs="Arial"/>
              </w:rPr>
            </w:pPr>
            <w:r>
              <w:rPr>
                <w:rFonts w:cs="Arial"/>
              </w:rPr>
              <w:t>T</w:t>
            </w:r>
            <w:r w:rsidRPr="00BE0733">
              <w:rPr>
                <w:rFonts w:cs="Arial"/>
              </w:rPr>
              <w:t xml:space="preserve">he parties involved and </w:t>
            </w:r>
          </w:p>
          <w:p w14:paraId="1FD4C851" w14:textId="3A381E8C" w:rsidR="00A46209" w:rsidRPr="00E13EAA" w:rsidRDefault="00BE0733" w:rsidP="00642950">
            <w:pPr>
              <w:pStyle w:val="ListParagraph"/>
              <w:numPr>
                <w:ilvl w:val="0"/>
                <w:numId w:val="59"/>
              </w:numPr>
              <w:spacing w:after="0" w:line="276" w:lineRule="auto"/>
              <w:jc w:val="both"/>
              <w:rPr>
                <w:rFonts w:eastAsia="Times New Roman" w:cs="Calibri"/>
              </w:rPr>
            </w:pPr>
            <w:r w:rsidRPr="00BE0733">
              <w:rPr>
                <w:rFonts w:cs="Arial"/>
              </w:rPr>
              <w:t>The Supplier’s proposed mitigations</w:t>
            </w:r>
          </w:p>
          <w:p w14:paraId="411580B3" w14:textId="77777777" w:rsidR="00A46209" w:rsidRPr="00E66809" w:rsidRDefault="00A46209" w:rsidP="00642950">
            <w:pPr>
              <w:spacing w:after="0" w:line="276" w:lineRule="auto"/>
              <w:jc w:val="both"/>
              <w:rPr>
                <w:rFonts w:eastAsia="Times New Roman" w:cs="Calibri"/>
                <w:b/>
                <w:u w:val="single"/>
              </w:rPr>
            </w:pPr>
            <w:r w:rsidRPr="00E66809">
              <w:rPr>
                <w:rFonts w:eastAsia="Times New Roman" w:cs="Calibri"/>
                <w:b/>
                <w:u w:val="single"/>
              </w:rPr>
              <w:lastRenderedPageBreak/>
              <w:t>Fail</w:t>
            </w:r>
          </w:p>
          <w:p w14:paraId="17561E22" w14:textId="6407B787" w:rsidR="00676764" w:rsidRDefault="00676764" w:rsidP="00642950">
            <w:pPr>
              <w:spacing w:after="0" w:line="276" w:lineRule="auto"/>
              <w:jc w:val="both"/>
              <w:rPr>
                <w:rFonts w:eastAsia="Times New Roman" w:cs="Calibri"/>
              </w:rPr>
            </w:pPr>
            <w:r w:rsidRPr="00E66809">
              <w:rPr>
                <w:rFonts w:eastAsia="Times New Roman" w:cs="Calibri"/>
              </w:rPr>
              <w:t xml:space="preserve">A response of ‘Yes’, where </w:t>
            </w:r>
            <w:r w:rsidR="00E87D47">
              <w:rPr>
                <w:rFonts w:eastAsia="Times New Roman" w:cs="Calibri"/>
              </w:rPr>
              <w:t xml:space="preserve">the following </w:t>
            </w:r>
            <w:r w:rsidR="00BE0733">
              <w:rPr>
                <w:rFonts w:eastAsia="Times New Roman" w:cs="Calibri"/>
              </w:rPr>
              <w:t>information is not provided in full for each conflict:</w:t>
            </w:r>
          </w:p>
          <w:p w14:paraId="48C17CE6" w14:textId="09F2BD21" w:rsidR="00BE0733" w:rsidRPr="00BE0733" w:rsidRDefault="00BE0733" w:rsidP="00AD19D7">
            <w:pPr>
              <w:pStyle w:val="ListParagraph"/>
              <w:numPr>
                <w:ilvl w:val="0"/>
                <w:numId w:val="59"/>
              </w:numPr>
              <w:spacing w:after="0" w:line="276" w:lineRule="auto"/>
              <w:jc w:val="both"/>
              <w:rPr>
                <w:rFonts w:cs="Arial"/>
              </w:rPr>
            </w:pPr>
            <w:r>
              <w:rPr>
                <w:rFonts w:cs="Arial"/>
              </w:rPr>
              <w:t xml:space="preserve">The </w:t>
            </w:r>
            <w:r w:rsidRPr="00BE0733">
              <w:rPr>
                <w:rFonts w:cs="Arial"/>
              </w:rPr>
              <w:t>nature of the conflict</w:t>
            </w:r>
          </w:p>
          <w:p w14:paraId="2261269A" w14:textId="205ED5AD" w:rsidR="00BE0733" w:rsidRPr="00BE0733" w:rsidRDefault="00BE0733" w:rsidP="00AD19D7">
            <w:pPr>
              <w:pStyle w:val="ListParagraph"/>
              <w:numPr>
                <w:ilvl w:val="0"/>
                <w:numId w:val="59"/>
              </w:numPr>
              <w:spacing w:after="0" w:line="276" w:lineRule="auto"/>
              <w:jc w:val="both"/>
              <w:rPr>
                <w:rFonts w:cs="Arial"/>
              </w:rPr>
            </w:pPr>
            <w:r>
              <w:rPr>
                <w:rFonts w:cs="Arial"/>
              </w:rPr>
              <w:t>T</w:t>
            </w:r>
            <w:r w:rsidRPr="00BE0733">
              <w:rPr>
                <w:rFonts w:cs="Arial"/>
              </w:rPr>
              <w:t>he duration of the conflict</w:t>
            </w:r>
          </w:p>
          <w:p w14:paraId="051269DA" w14:textId="510F4E15" w:rsidR="00BE0733" w:rsidRPr="00BE0733" w:rsidRDefault="00BE0733" w:rsidP="00AD19D7">
            <w:pPr>
              <w:pStyle w:val="ListParagraph"/>
              <w:numPr>
                <w:ilvl w:val="0"/>
                <w:numId w:val="59"/>
              </w:numPr>
              <w:spacing w:after="0" w:line="276" w:lineRule="auto"/>
              <w:jc w:val="both"/>
              <w:rPr>
                <w:rFonts w:cs="Arial"/>
              </w:rPr>
            </w:pPr>
            <w:r>
              <w:rPr>
                <w:rFonts w:cs="Arial"/>
              </w:rPr>
              <w:t>T</w:t>
            </w:r>
            <w:r w:rsidRPr="00BE0733">
              <w:rPr>
                <w:rFonts w:cs="Arial"/>
              </w:rPr>
              <w:t xml:space="preserve">he parties involved and </w:t>
            </w:r>
          </w:p>
          <w:p w14:paraId="7B893A01" w14:textId="001A4DA8" w:rsidR="00BE0733" w:rsidRPr="00BE0733" w:rsidRDefault="00BE0733" w:rsidP="00AD19D7">
            <w:pPr>
              <w:pStyle w:val="ListParagraph"/>
              <w:numPr>
                <w:ilvl w:val="0"/>
                <w:numId w:val="59"/>
              </w:numPr>
              <w:spacing w:after="0" w:line="276" w:lineRule="auto"/>
              <w:jc w:val="both"/>
              <w:rPr>
                <w:rFonts w:eastAsia="Times New Roman" w:cs="Calibri"/>
              </w:rPr>
            </w:pPr>
            <w:r w:rsidRPr="00BE0733">
              <w:rPr>
                <w:rFonts w:cs="Arial"/>
              </w:rPr>
              <w:t>The Supplier’s proposed mitigations</w:t>
            </w:r>
          </w:p>
          <w:p w14:paraId="214E3A18" w14:textId="4E4B732D" w:rsidR="00BE0733" w:rsidRPr="00BE0733" w:rsidRDefault="00BE0733" w:rsidP="00642950">
            <w:pPr>
              <w:spacing w:after="0" w:line="276" w:lineRule="auto"/>
              <w:jc w:val="both"/>
              <w:rPr>
                <w:rFonts w:eastAsia="Times New Roman" w:cs="Calibri"/>
                <w:b/>
                <w:bCs/>
              </w:rPr>
            </w:pPr>
            <w:r>
              <w:rPr>
                <w:rFonts w:eastAsia="Times New Roman" w:cs="Calibri"/>
                <w:b/>
                <w:bCs/>
              </w:rPr>
              <w:t>OR</w:t>
            </w:r>
          </w:p>
          <w:p w14:paraId="5658A89F" w14:textId="555A1415" w:rsidR="00A46209" w:rsidRPr="00E66809" w:rsidRDefault="00BE0733" w:rsidP="00642950">
            <w:pPr>
              <w:spacing w:after="0" w:line="276" w:lineRule="auto"/>
              <w:jc w:val="both"/>
              <w:rPr>
                <w:rFonts w:eastAsia="Times New Roman" w:cs="Calibri"/>
              </w:rPr>
            </w:pPr>
            <w:r w:rsidRPr="00E66809">
              <w:rPr>
                <w:rFonts w:eastAsia="Times New Roman" w:cs="Calibri"/>
              </w:rPr>
              <w:t>A response of ‘Yes’, where</w:t>
            </w:r>
            <w:r>
              <w:rPr>
                <w:rFonts w:eastAsia="Times New Roman" w:cs="Calibri"/>
              </w:rPr>
              <w:t xml:space="preserve">, having reviewed the information provided, </w:t>
            </w:r>
            <w:r w:rsidRPr="00E66809">
              <w:rPr>
                <w:rFonts w:eastAsia="Times New Roman" w:cs="Calibri"/>
              </w:rPr>
              <w:t>HMRC cannot be satisfied that the COI can be</w:t>
            </w:r>
            <w:r>
              <w:rPr>
                <w:rFonts w:eastAsia="Times New Roman" w:cs="Calibri"/>
              </w:rPr>
              <w:t xml:space="preserve"> suitably</w:t>
            </w:r>
            <w:r w:rsidRPr="00E66809">
              <w:rPr>
                <w:rFonts w:eastAsia="Times New Roman" w:cs="Calibri"/>
              </w:rPr>
              <w:t xml:space="preserve"> </w:t>
            </w:r>
            <w:r>
              <w:rPr>
                <w:rFonts w:eastAsia="Times New Roman" w:cs="Calibri"/>
              </w:rPr>
              <w:t>mitigated.</w:t>
            </w:r>
          </w:p>
        </w:tc>
      </w:tr>
      <w:tr w:rsidR="00D54398" w:rsidRPr="00BF1FD6" w14:paraId="0353E1A3" w14:textId="77777777" w:rsidTr="3AD35CA9">
        <w:trPr>
          <w:trHeight w:val="510"/>
        </w:trPr>
        <w:tc>
          <w:tcPr>
            <w:tcW w:w="1474" w:type="dxa"/>
            <w:shd w:val="clear" w:color="auto" w:fill="FFFFFF" w:themeFill="background1"/>
          </w:tcPr>
          <w:p w14:paraId="4520DD65" w14:textId="4ED690BD" w:rsidR="00D54398" w:rsidRPr="0013602A" w:rsidRDefault="00D54398" w:rsidP="00D54398">
            <w:pPr>
              <w:spacing w:after="0" w:line="276" w:lineRule="auto"/>
              <w:jc w:val="both"/>
              <w:rPr>
                <w:rFonts w:eastAsia="Times New Roman" w:cs="Calibri"/>
                <w:b/>
              </w:rPr>
            </w:pPr>
            <w:r w:rsidRPr="0013602A">
              <w:rPr>
                <w:rFonts w:eastAsia="Times New Roman" w:cs="Calibri"/>
                <w:b/>
              </w:rPr>
              <w:lastRenderedPageBreak/>
              <w:t>3.32</w:t>
            </w:r>
          </w:p>
        </w:tc>
        <w:tc>
          <w:tcPr>
            <w:tcW w:w="1701" w:type="dxa"/>
            <w:shd w:val="clear" w:color="auto" w:fill="FFFFFF" w:themeFill="background1"/>
          </w:tcPr>
          <w:p w14:paraId="18DA3B45" w14:textId="5900B690" w:rsidR="00D54398" w:rsidRPr="0013602A" w:rsidRDefault="00D54398" w:rsidP="00D54398">
            <w:pPr>
              <w:spacing w:after="0" w:line="276" w:lineRule="auto"/>
              <w:jc w:val="both"/>
              <w:rPr>
                <w:rFonts w:eastAsia="Times New Roman" w:cs="Calibri"/>
              </w:rPr>
            </w:pPr>
            <w:r w:rsidRPr="0013602A">
              <w:rPr>
                <w:rFonts w:eastAsia="Times New Roman" w:cs="Calibri"/>
              </w:rPr>
              <w:t>Pass/Fail</w:t>
            </w:r>
          </w:p>
        </w:tc>
        <w:tc>
          <w:tcPr>
            <w:tcW w:w="9859" w:type="dxa"/>
            <w:shd w:val="clear" w:color="auto" w:fill="FFFFFF" w:themeFill="background1"/>
          </w:tcPr>
          <w:p w14:paraId="101BEDEB" w14:textId="77777777" w:rsidR="008E0E95" w:rsidRPr="0013602A" w:rsidRDefault="008E0E95" w:rsidP="008E0E95">
            <w:pPr>
              <w:spacing w:after="0" w:line="276" w:lineRule="auto"/>
              <w:jc w:val="both"/>
              <w:rPr>
                <w:rFonts w:eastAsia="Times New Roman" w:cs="Calibri"/>
                <w:b/>
                <w:u w:val="single"/>
              </w:rPr>
            </w:pPr>
            <w:r w:rsidRPr="0013602A">
              <w:rPr>
                <w:rFonts w:eastAsia="Times New Roman" w:cs="Calibri"/>
                <w:b/>
                <w:u w:val="single"/>
              </w:rPr>
              <w:t>Pass</w:t>
            </w:r>
          </w:p>
          <w:p w14:paraId="663C1008" w14:textId="77777777" w:rsidR="006A1FAD" w:rsidRPr="0013602A" w:rsidRDefault="006A1FAD" w:rsidP="006A1FAD">
            <w:pPr>
              <w:spacing w:after="0" w:line="276" w:lineRule="auto"/>
              <w:jc w:val="both"/>
              <w:rPr>
                <w:rFonts w:eastAsia="Times New Roman" w:cs="Calibri"/>
              </w:rPr>
            </w:pPr>
            <w:r w:rsidRPr="0013602A">
              <w:rPr>
                <w:rFonts w:eastAsia="Times New Roman" w:cs="Calibri"/>
              </w:rPr>
              <w:t>A response of ‘No’.</w:t>
            </w:r>
          </w:p>
          <w:p w14:paraId="43DE68BA" w14:textId="0071DC0B" w:rsidR="006A1FAD" w:rsidRPr="0013602A" w:rsidRDefault="0072555E" w:rsidP="006A1FAD">
            <w:pPr>
              <w:spacing w:after="0" w:line="276" w:lineRule="auto"/>
              <w:jc w:val="both"/>
              <w:rPr>
                <w:rFonts w:eastAsia="Times New Roman" w:cs="Calibri"/>
                <w:b/>
                <w:bCs/>
              </w:rPr>
            </w:pPr>
            <w:r w:rsidRPr="0013602A">
              <w:rPr>
                <w:rFonts w:eastAsia="Times New Roman" w:cs="Calibri"/>
                <w:b/>
                <w:bCs/>
              </w:rPr>
              <w:t>OR</w:t>
            </w:r>
          </w:p>
          <w:p w14:paraId="1A82FF34" w14:textId="737DED26" w:rsidR="008E0E95" w:rsidRPr="0013602A" w:rsidRDefault="0002668D" w:rsidP="008E0E95">
            <w:pPr>
              <w:spacing w:after="0" w:line="276" w:lineRule="auto"/>
              <w:jc w:val="both"/>
              <w:rPr>
                <w:rFonts w:eastAsia="Times New Roman" w:cs="Calibri"/>
              </w:rPr>
            </w:pPr>
            <w:r w:rsidRPr="0013602A">
              <w:rPr>
                <w:rFonts w:eastAsia="Times New Roman" w:cs="Calibri"/>
              </w:rPr>
              <w:t xml:space="preserve">A response of ‘Yes’ and the </w:t>
            </w:r>
            <w:r w:rsidR="008E0E95" w:rsidRPr="0013602A">
              <w:rPr>
                <w:rFonts w:eastAsia="Times New Roman" w:cs="Calibri"/>
              </w:rPr>
              <w:t xml:space="preserve">Supplier has </w:t>
            </w:r>
            <w:r w:rsidR="00711E17">
              <w:rPr>
                <w:rFonts w:eastAsia="Times New Roman" w:cs="Calibri"/>
              </w:rPr>
              <w:t>completed all of the highlighted sections within the Ethical Walls Agreement template and provided this document within their CoP response</w:t>
            </w:r>
          </w:p>
          <w:p w14:paraId="2E853586" w14:textId="77777777" w:rsidR="008E0E95" w:rsidRPr="0013602A" w:rsidRDefault="008E0E95" w:rsidP="008E0E95">
            <w:pPr>
              <w:spacing w:after="0" w:line="276" w:lineRule="auto"/>
              <w:jc w:val="both"/>
              <w:rPr>
                <w:rFonts w:eastAsia="Times New Roman" w:cs="Calibri"/>
              </w:rPr>
            </w:pPr>
          </w:p>
          <w:p w14:paraId="47632208" w14:textId="77777777" w:rsidR="008E0E95" w:rsidRPr="0013602A" w:rsidRDefault="008E0E95" w:rsidP="008E0E95">
            <w:pPr>
              <w:spacing w:after="0" w:line="276" w:lineRule="auto"/>
              <w:jc w:val="both"/>
              <w:rPr>
                <w:rFonts w:eastAsia="Times New Roman" w:cs="Calibri"/>
                <w:b/>
                <w:u w:val="single"/>
              </w:rPr>
            </w:pPr>
            <w:r w:rsidRPr="0013602A">
              <w:rPr>
                <w:rFonts w:eastAsia="Times New Roman" w:cs="Calibri"/>
                <w:b/>
                <w:u w:val="single"/>
              </w:rPr>
              <w:t>Fail</w:t>
            </w:r>
          </w:p>
          <w:p w14:paraId="74FC12BC" w14:textId="08E4AB3E" w:rsidR="00D54398" w:rsidRPr="0013602A" w:rsidRDefault="0002668D" w:rsidP="008E0E95">
            <w:pPr>
              <w:spacing w:after="0" w:line="276" w:lineRule="auto"/>
              <w:jc w:val="both"/>
              <w:rPr>
                <w:rFonts w:eastAsia="Times New Roman" w:cs="Calibri"/>
              </w:rPr>
            </w:pPr>
            <w:r w:rsidRPr="0013602A">
              <w:rPr>
                <w:rFonts w:eastAsia="Times New Roman" w:cs="Calibri"/>
              </w:rPr>
              <w:t xml:space="preserve">A response of ‘Yes’ but the </w:t>
            </w:r>
            <w:r w:rsidR="008E0E95" w:rsidRPr="0013602A">
              <w:rPr>
                <w:rFonts w:eastAsia="Times New Roman" w:cs="Calibri"/>
              </w:rPr>
              <w:t xml:space="preserve">Supplier has not </w:t>
            </w:r>
            <w:r w:rsidR="00711E17">
              <w:rPr>
                <w:rFonts w:eastAsia="Times New Roman" w:cs="Calibri"/>
              </w:rPr>
              <w:t>completed all of the highlighted sections within the</w:t>
            </w:r>
            <w:r w:rsidRPr="0013602A">
              <w:rPr>
                <w:rFonts w:eastAsia="Times New Roman" w:cs="Calibri"/>
              </w:rPr>
              <w:t xml:space="preserve"> Ethical Wall Agreement</w:t>
            </w:r>
            <w:r w:rsidR="00711E17">
              <w:rPr>
                <w:rFonts w:eastAsia="Times New Roman" w:cs="Calibri"/>
              </w:rPr>
              <w:t xml:space="preserve"> and provided this document within their CoP response</w:t>
            </w:r>
          </w:p>
          <w:p w14:paraId="7450268C" w14:textId="77777777" w:rsidR="0002668D" w:rsidRPr="0013602A" w:rsidRDefault="0002668D" w:rsidP="008E0E95">
            <w:pPr>
              <w:spacing w:after="0" w:line="276" w:lineRule="auto"/>
              <w:jc w:val="both"/>
              <w:rPr>
                <w:rFonts w:eastAsia="Times New Roman" w:cs="Calibri"/>
              </w:rPr>
            </w:pPr>
          </w:p>
          <w:p w14:paraId="072075CD" w14:textId="6A2F4E82" w:rsidR="0002668D" w:rsidRPr="0013602A" w:rsidRDefault="0002668D" w:rsidP="008E0E95">
            <w:pPr>
              <w:spacing w:after="0" w:line="276" w:lineRule="auto"/>
              <w:jc w:val="both"/>
              <w:rPr>
                <w:rFonts w:eastAsia="Times New Roman" w:cs="Calibri"/>
              </w:rPr>
            </w:pPr>
            <w:r w:rsidRPr="0013602A">
              <w:rPr>
                <w:rFonts w:eastAsia="Times New Roman" w:cs="Calibri"/>
              </w:rPr>
              <w:t>Note: Where HMRC and the Supplier are unable to agree upon the terms of the Ethical Wall Agreement, HMRC reserves the right to exclude the Supplier from the procurement process</w:t>
            </w:r>
          </w:p>
        </w:tc>
      </w:tr>
      <w:tr w:rsidR="00D54398" w:rsidRPr="00BF1FD6" w14:paraId="1714E13C" w14:textId="77777777" w:rsidTr="3AD35CA9">
        <w:trPr>
          <w:trHeight w:val="510"/>
        </w:trPr>
        <w:tc>
          <w:tcPr>
            <w:tcW w:w="1474" w:type="dxa"/>
            <w:shd w:val="clear" w:color="auto" w:fill="FFFFFF" w:themeFill="background1"/>
          </w:tcPr>
          <w:p w14:paraId="16A1F5AA" w14:textId="59893161" w:rsidR="00D54398" w:rsidRPr="0013602A" w:rsidRDefault="00D54398" w:rsidP="00D54398">
            <w:pPr>
              <w:spacing w:after="0" w:line="276" w:lineRule="auto"/>
              <w:jc w:val="both"/>
              <w:rPr>
                <w:rFonts w:eastAsia="Times New Roman" w:cs="Calibri"/>
                <w:b/>
              </w:rPr>
            </w:pPr>
            <w:r w:rsidRPr="0013602A">
              <w:rPr>
                <w:rFonts w:eastAsia="Times New Roman" w:cs="Calibri"/>
                <w:b/>
              </w:rPr>
              <w:t>3.33</w:t>
            </w:r>
          </w:p>
        </w:tc>
        <w:tc>
          <w:tcPr>
            <w:tcW w:w="1701" w:type="dxa"/>
            <w:shd w:val="clear" w:color="auto" w:fill="FFFFFF" w:themeFill="background1"/>
          </w:tcPr>
          <w:p w14:paraId="5E5A4B87" w14:textId="0B68A9C0" w:rsidR="00D54398" w:rsidRPr="0013602A" w:rsidRDefault="00D54398" w:rsidP="00D54398">
            <w:pPr>
              <w:spacing w:after="0" w:line="276" w:lineRule="auto"/>
              <w:jc w:val="both"/>
              <w:rPr>
                <w:rFonts w:eastAsia="Times New Roman" w:cs="Calibri"/>
              </w:rPr>
            </w:pPr>
            <w:r w:rsidRPr="0013602A">
              <w:rPr>
                <w:rFonts w:eastAsia="Times New Roman" w:cs="Calibri"/>
              </w:rPr>
              <w:t>Pass/Fail</w:t>
            </w:r>
          </w:p>
        </w:tc>
        <w:tc>
          <w:tcPr>
            <w:tcW w:w="9859" w:type="dxa"/>
            <w:shd w:val="clear" w:color="auto" w:fill="FFFFFF" w:themeFill="background1"/>
          </w:tcPr>
          <w:p w14:paraId="661933F8" w14:textId="77777777" w:rsidR="006A1FAD" w:rsidRPr="0013602A" w:rsidRDefault="006A1FAD" w:rsidP="006A1FAD">
            <w:pPr>
              <w:spacing w:after="0" w:line="276" w:lineRule="auto"/>
              <w:jc w:val="both"/>
              <w:rPr>
                <w:rFonts w:eastAsia="Times New Roman" w:cs="Calibri"/>
                <w:b/>
                <w:u w:val="single"/>
              </w:rPr>
            </w:pPr>
            <w:r w:rsidRPr="0013602A">
              <w:rPr>
                <w:rFonts w:eastAsia="Times New Roman" w:cs="Calibri"/>
                <w:b/>
                <w:u w:val="single"/>
              </w:rPr>
              <w:t>Pass</w:t>
            </w:r>
          </w:p>
          <w:p w14:paraId="3A6BC26D" w14:textId="23794625" w:rsidR="006A1FAD" w:rsidRPr="0013602A" w:rsidRDefault="00711E17" w:rsidP="006A1FAD">
            <w:pPr>
              <w:spacing w:after="0" w:line="276" w:lineRule="auto"/>
              <w:jc w:val="both"/>
              <w:rPr>
                <w:rFonts w:eastAsia="Times New Roman" w:cs="Calibri"/>
              </w:rPr>
            </w:pPr>
            <w:r w:rsidRPr="0013602A">
              <w:rPr>
                <w:rFonts w:eastAsia="Times New Roman" w:cs="Calibri"/>
              </w:rPr>
              <w:t xml:space="preserve">A response of ‘Yes’ and the Supplier has </w:t>
            </w:r>
            <w:r>
              <w:rPr>
                <w:rFonts w:eastAsia="Times New Roman" w:cs="Calibri"/>
              </w:rPr>
              <w:t>completed all of the highlighted sections within the NDA and provided this document within their CoP response</w:t>
            </w:r>
          </w:p>
          <w:p w14:paraId="530EB3ED" w14:textId="77777777" w:rsidR="006A1FAD" w:rsidRPr="0013602A" w:rsidRDefault="006A1FAD" w:rsidP="006A1FAD">
            <w:pPr>
              <w:spacing w:after="0" w:line="276" w:lineRule="auto"/>
              <w:jc w:val="both"/>
              <w:rPr>
                <w:rFonts w:eastAsia="Times New Roman" w:cs="Calibri"/>
                <w:b/>
                <w:u w:val="single"/>
              </w:rPr>
            </w:pPr>
            <w:r w:rsidRPr="0013602A">
              <w:rPr>
                <w:rFonts w:eastAsia="Times New Roman" w:cs="Calibri"/>
                <w:b/>
                <w:u w:val="single"/>
              </w:rPr>
              <w:t>Fail</w:t>
            </w:r>
          </w:p>
          <w:p w14:paraId="76196D40" w14:textId="38A21F40" w:rsidR="006A1FAD" w:rsidRPr="0013602A" w:rsidRDefault="0002668D" w:rsidP="006A1FAD">
            <w:pPr>
              <w:spacing w:after="0" w:line="276" w:lineRule="auto"/>
              <w:jc w:val="both"/>
              <w:rPr>
                <w:rFonts w:eastAsia="Times New Roman" w:cs="Calibri"/>
              </w:rPr>
            </w:pPr>
            <w:r w:rsidRPr="0013602A">
              <w:rPr>
                <w:rFonts w:eastAsia="Times New Roman" w:cs="Calibri"/>
              </w:rPr>
              <w:t xml:space="preserve">A response of ‘Yes’, but the </w:t>
            </w:r>
            <w:r w:rsidR="006A1FAD" w:rsidRPr="0013602A">
              <w:rPr>
                <w:rFonts w:eastAsia="Times New Roman" w:cs="Calibri"/>
              </w:rPr>
              <w:t xml:space="preserve">Supplier has not </w:t>
            </w:r>
            <w:r w:rsidR="00711E17">
              <w:rPr>
                <w:rFonts w:eastAsia="Times New Roman" w:cs="Calibri"/>
              </w:rPr>
              <w:t>completed all of the highlighted sections within the NDA and provided this document within their CoP response</w:t>
            </w:r>
          </w:p>
          <w:p w14:paraId="0B8C0E27" w14:textId="77777777" w:rsidR="00D54398" w:rsidRPr="00E13EAA" w:rsidRDefault="0002668D" w:rsidP="006A1FAD">
            <w:pPr>
              <w:spacing w:after="0" w:line="276" w:lineRule="auto"/>
              <w:jc w:val="both"/>
              <w:rPr>
                <w:rFonts w:eastAsia="Times New Roman" w:cs="Calibri"/>
                <w:b/>
                <w:bCs/>
              </w:rPr>
            </w:pPr>
            <w:r w:rsidRPr="00E13EAA">
              <w:rPr>
                <w:rFonts w:eastAsia="Times New Roman" w:cs="Calibri"/>
                <w:b/>
                <w:bCs/>
              </w:rPr>
              <w:t>OR</w:t>
            </w:r>
          </w:p>
          <w:p w14:paraId="491072E7" w14:textId="4B96991A" w:rsidR="0002668D" w:rsidRPr="0013602A" w:rsidRDefault="0002668D" w:rsidP="006A1FAD">
            <w:pPr>
              <w:spacing w:after="0" w:line="276" w:lineRule="auto"/>
              <w:jc w:val="both"/>
              <w:rPr>
                <w:rFonts w:eastAsia="Times New Roman" w:cs="Calibri"/>
                <w:b/>
                <w:u w:val="single"/>
              </w:rPr>
            </w:pPr>
            <w:r w:rsidRPr="0013602A">
              <w:rPr>
                <w:rFonts w:eastAsia="Times New Roman" w:cs="Calibri"/>
              </w:rPr>
              <w:t>A response of ‘No’</w:t>
            </w:r>
          </w:p>
        </w:tc>
      </w:tr>
      <w:tr w:rsidR="00A46209" w:rsidRPr="00BF1FD6" w14:paraId="79DFC359" w14:textId="77777777" w:rsidTr="00D12F74">
        <w:trPr>
          <w:trHeight w:val="510"/>
        </w:trPr>
        <w:tc>
          <w:tcPr>
            <w:tcW w:w="1474" w:type="dxa"/>
          </w:tcPr>
          <w:p w14:paraId="0066EB05" w14:textId="15B722F6" w:rsidR="00A46209" w:rsidRPr="00D12F74" w:rsidRDefault="00A46209" w:rsidP="00642950">
            <w:pPr>
              <w:spacing w:after="0" w:line="276" w:lineRule="auto"/>
              <w:jc w:val="both"/>
              <w:rPr>
                <w:rFonts w:eastAsia="Times New Roman" w:cs="Calibri"/>
                <w:b/>
              </w:rPr>
            </w:pPr>
            <w:r w:rsidRPr="00D12F74">
              <w:rPr>
                <w:rFonts w:eastAsia="Times New Roman" w:cs="Calibri"/>
                <w:b/>
              </w:rPr>
              <w:lastRenderedPageBreak/>
              <w:t>3.3</w:t>
            </w:r>
            <w:r w:rsidR="00D54398" w:rsidRPr="00D12F74">
              <w:rPr>
                <w:rFonts w:eastAsia="Times New Roman" w:cs="Calibri"/>
                <w:b/>
              </w:rPr>
              <w:t>4</w:t>
            </w:r>
          </w:p>
        </w:tc>
        <w:tc>
          <w:tcPr>
            <w:tcW w:w="1701" w:type="dxa"/>
          </w:tcPr>
          <w:p w14:paraId="0752C482" w14:textId="77777777" w:rsidR="00A46209" w:rsidRPr="00D12F74" w:rsidRDefault="00A46209" w:rsidP="00642950">
            <w:pPr>
              <w:spacing w:after="0" w:line="276" w:lineRule="auto"/>
              <w:jc w:val="both"/>
              <w:rPr>
                <w:rFonts w:eastAsia="Times New Roman" w:cs="Calibri"/>
              </w:rPr>
            </w:pPr>
            <w:r w:rsidRPr="00D12F74">
              <w:rPr>
                <w:rFonts w:eastAsia="Times New Roman" w:cs="Calibri"/>
              </w:rPr>
              <w:t>Pass/Fail</w:t>
            </w:r>
          </w:p>
        </w:tc>
        <w:tc>
          <w:tcPr>
            <w:tcW w:w="9859" w:type="dxa"/>
          </w:tcPr>
          <w:p w14:paraId="0D4970B8" w14:textId="77777777" w:rsidR="00A46209" w:rsidRPr="00D12F74" w:rsidRDefault="00A46209" w:rsidP="00642950">
            <w:pPr>
              <w:spacing w:after="0" w:line="276" w:lineRule="auto"/>
              <w:jc w:val="both"/>
              <w:rPr>
                <w:rFonts w:eastAsia="Times New Roman" w:cs="Calibri"/>
                <w:b/>
                <w:u w:val="single"/>
              </w:rPr>
            </w:pPr>
            <w:r w:rsidRPr="00D12F74">
              <w:rPr>
                <w:rFonts w:eastAsia="Times New Roman" w:cs="Calibri"/>
                <w:b/>
                <w:u w:val="single"/>
              </w:rPr>
              <w:t>Pass</w:t>
            </w:r>
          </w:p>
          <w:p w14:paraId="5575FB41" w14:textId="33817269" w:rsidR="00A46209" w:rsidRPr="00D12F74" w:rsidRDefault="00711E17" w:rsidP="00642950">
            <w:pPr>
              <w:spacing w:after="0" w:line="276" w:lineRule="auto"/>
              <w:jc w:val="both"/>
              <w:rPr>
                <w:rFonts w:eastAsia="Times New Roman" w:cs="Calibri"/>
              </w:rPr>
            </w:pPr>
            <w:r>
              <w:rPr>
                <w:rFonts w:eastAsia="Times New Roman" w:cs="Calibri"/>
              </w:rPr>
              <w:t xml:space="preserve">The </w:t>
            </w:r>
            <w:r w:rsidR="00FA5CF7" w:rsidRPr="00D12F74">
              <w:rPr>
                <w:rFonts w:eastAsia="Times New Roman" w:cs="Calibri"/>
              </w:rPr>
              <w:t>Supplier</w:t>
            </w:r>
            <w:r w:rsidR="00A46209" w:rsidRPr="00D12F74">
              <w:rPr>
                <w:rFonts w:eastAsia="Times New Roman" w:cs="Calibri"/>
              </w:rPr>
              <w:t xml:space="preserve"> has signed declaration and provided all details requested.</w:t>
            </w:r>
          </w:p>
          <w:p w14:paraId="2A34D4F1" w14:textId="77777777" w:rsidR="00A46209" w:rsidRPr="00D12F74" w:rsidRDefault="00A46209" w:rsidP="00642950">
            <w:pPr>
              <w:spacing w:after="0" w:line="276" w:lineRule="auto"/>
              <w:jc w:val="both"/>
              <w:rPr>
                <w:rFonts w:eastAsia="Times New Roman" w:cs="Calibri"/>
              </w:rPr>
            </w:pPr>
          </w:p>
          <w:p w14:paraId="47D9FCD0" w14:textId="77777777" w:rsidR="00A46209" w:rsidRPr="00D12F74" w:rsidRDefault="00A46209" w:rsidP="00642950">
            <w:pPr>
              <w:spacing w:after="0" w:line="276" w:lineRule="auto"/>
              <w:jc w:val="both"/>
              <w:rPr>
                <w:rFonts w:eastAsia="Times New Roman" w:cs="Calibri"/>
                <w:b/>
                <w:u w:val="single"/>
              </w:rPr>
            </w:pPr>
            <w:r w:rsidRPr="00D12F74">
              <w:rPr>
                <w:rFonts w:eastAsia="Times New Roman" w:cs="Calibri"/>
                <w:b/>
                <w:u w:val="single"/>
              </w:rPr>
              <w:t>Fail</w:t>
            </w:r>
          </w:p>
          <w:p w14:paraId="10C49A8C" w14:textId="63D3B145" w:rsidR="00A46209" w:rsidRPr="00D12F74" w:rsidRDefault="00FA5CF7" w:rsidP="00642950">
            <w:pPr>
              <w:spacing w:after="0" w:line="276" w:lineRule="auto"/>
              <w:jc w:val="both"/>
              <w:rPr>
                <w:rFonts w:eastAsia="Times New Roman" w:cs="Calibri"/>
              </w:rPr>
            </w:pPr>
            <w:r w:rsidRPr="00D12F74">
              <w:rPr>
                <w:rFonts w:eastAsia="Times New Roman" w:cs="Calibri"/>
              </w:rPr>
              <w:t>Supplier</w:t>
            </w:r>
            <w:r w:rsidR="00A46209" w:rsidRPr="00D12F74">
              <w:rPr>
                <w:rFonts w:eastAsia="Times New Roman" w:cs="Calibri"/>
              </w:rPr>
              <w:t xml:space="preserve"> has not signed declaration</w:t>
            </w:r>
            <w:r w:rsidR="001076E5" w:rsidRPr="00D12F74">
              <w:rPr>
                <w:rFonts w:eastAsia="Times New Roman" w:cs="Calibri"/>
              </w:rPr>
              <w:t>.</w:t>
            </w:r>
          </w:p>
          <w:p w14:paraId="61699E4F" w14:textId="080EF473" w:rsidR="00A46209" w:rsidRPr="00711E17" w:rsidRDefault="00A46209" w:rsidP="00642950">
            <w:pPr>
              <w:spacing w:after="0" w:line="276" w:lineRule="auto"/>
              <w:jc w:val="both"/>
              <w:rPr>
                <w:rFonts w:eastAsia="Times New Roman" w:cs="Calibri"/>
                <w:b/>
                <w:bCs/>
              </w:rPr>
            </w:pPr>
            <w:r w:rsidRPr="00711E17">
              <w:rPr>
                <w:rFonts w:eastAsia="Times New Roman" w:cs="Calibri"/>
                <w:b/>
                <w:bCs/>
              </w:rPr>
              <w:t>OR</w:t>
            </w:r>
          </w:p>
          <w:p w14:paraId="2BEB3868" w14:textId="4B44A29F" w:rsidR="00A46209" w:rsidRPr="00D12F74" w:rsidRDefault="00FA5CF7" w:rsidP="00642950">
            <w:pPr>
              <w:spacing w:after="0" w:line="276" w:lineRule="auto"/>
              <w:jc w:val="both"/>
              <w:rPr>
                <w:rFonts w:eastAsia="Times New Roman" w:cs="Calibri"/>
                <w:b/>
                <w:u w:val="single"/>
              </w:rPr>
            </w:pPr>
            <w:r w:rsidRPr="00D12F74">
              <w:rPr>
                <w:rFonts w:eastAsia="Times New Roman" w:cs="Calibri"/>
              </w:rPr>
              <w:t>Supplier</w:t>
            </w:r>
            <w:r w:rsidR="00A46209" w:rsidRPr="00D12F74">
              <w:rPr>
                <w:rFonts w:eastAsia="Times New Roman" w:cs="Calibri"/>
              </w:rPr>
              <w:t xml:space="preserve"> has not provided all detailed requested.</w:t>
            </w:r>
          </w:p>
        </w:tc>
      </w:tr>
    </w:tbl>
    <w:p w14:paraId="1ED4638A" w14:textId="77777777" w:rsidR="00A46209" w:rsidRPr="00E66809" w:rsidRDefault="00A46209" w:rsidP="00F56D3C">
      <w:pPr>
        <w:pStyle w:val="BodyText1"/>
      </w:pPr>
    </w:p>
    <w:p w14:paraId="6A67FC66" w14:textId="0A42342B" w:rsidR="0016317A" w:rsidRPr="009B5A45" w:rsidRDefault="0016317A" w:rsidP="009B5A45">
      <w:pPr>
        <w:keepNext/>
        <w:keepLines/>
        <w:pageBreakBefore/>
        <w:jc w:val="both"/>
        <w:outlineLvl w:val="0"/>
        <w:rPr>
          <w:rFonts w:eastAsiaTheme="majorEastAsia" w:cs="Arial"/>
          <w:b/>
        </w:rPr>
      </w:pPr>
      <w:r w:rsidRPr="009B5A45">
        <w:rPr>
          <w:rFonts w:eastAsiaTheme="majorEastAsia" w:cs="Arial"/>
          <w:b/>
        </w:rPr>
        <w:lastRenderedPageBreak/>
        <w:t xml:space="preserve">Part 4: </w:t>
      </w:r>
      <w:r w:rsidR="0050030A" w:rsidRPr="009B5A45">
        <w:rPr>
          <w:rFonts w:eastAsiaTheme="majorEastAsia" w:cs="Arial"/>
          <w:b/>
        </w:rPr>
        <w:t>Evaluation and Shortlisting</w:t>
      </w:r>
    </w:p>
    <w:p w14:paraId="7E71AF88" w14:textId="77777777" w:rsidR="0016317A" w:rsidRDefault="0016317A" w:rsidP="0016317A">
      <w:pPr>
        <w:pStyle w:val="Schedule2"/>
        <w:jc w:val="both"/>
      </w:pPr>
    </w:p>
    <w:p w14:paraId="296E1A25" w14:textId="4573C348" w:rsidR="00420CCB" w:rsidRDefault="00420CCB" w:rsidP="00C06284">
      <w:pPr>
        <w:pStyle w:val="Schedule2"/>
        <w:numPr>
          <w:ilvl w:val="1"/>
          <w:numId w:val="27"/>
        </w:numPr>
        <w:jc w:val="both"/>
      </w:pPr>
      <w:r>
        <w:t xml:space="preserve">Each response to a scored question will be given a score out of </w:t>
      </w:r>
      <w:r w:rsidR="000E6C96">
        <w:t>one-hundred</w:t>
      </w:r>
      <w:r>
        <w:t xml:space="preserve"> </w:t>
      </w:r>
      <w:r w:rsidR="00730BB8">
        <w:t>100</w:t>
      </w:r>
      <w:r w:rsidR="0077657E">
        <w:t xml:space="preserve"> using the scoring matrix at paragraph </w:t>
      </w:r>
      <w:r w:rsidR="001076E5">
        <w:t>1.1</w:t>
      </w:r>
      <w:r w:rsidR="004762A6">
        <w:t>2</w:t>
      </w:r>
      <w:r w:rsidR="0077657E">
        <w:t xml:space="preserve"> of this </w:t>
      </w:r>
      <w:r w:rsidR="004762A6">
        <w:t>Part 4</w:t>
      </w:r>
      <w:r w:rsidR="0077657E">
        <w:t>.</w:t>
      </w:r>
    </w:p>
    <w:p w14:paraId="57A078AB" w14:textId="63FF29DD" w:rsidR="00E750E8" w:rsidRDefault="00E750E8" w:rsidP="00C06284">
      <w:pPr>
        <w:pStyle w:val="Schedule2"/>
        <w:numPr>
          <w:ilvl w:val="1"/>
          <w:numId w:val="27"/>
        </w:numPr>
        <w:jc w:val="both"/>
      </w:pPr>
      <w:r>
        <w:t xml:space="preserve">Each score will be multiplied by the weighting </w:t>
      </w:r>
      <w:r w:rsidR="001B1A8C">
        <w:t xml:space="preserve">detailed </w:t>
      </w:r>
      <w:r w:rsidR="00A36A81">
        <w:t>in the below table, per question</w:t>
      </w:r>
      <w:r w:rsidR="001B1A8C">
        <w:t>.</w:t>
      </w:r>
    </w:p>
    <w:tbl>
      <w:tblPr>
        <w:tblW w:w="5670" w:type="dxa"/>
        <w:tblCellMar>
          <w:left w:w="0" w:type="dxa"/>
          <w:right w:w="0" w:type="dxa"/>
        </w:tblCellMar>
        <w:tblLook w:val="0400" w:firstRow="0" w:lastRow="0" w:firstColumn="0" w:lastColumn="0" w:noHBand="0" w:noVBand="1"/>
      </w:tblPr>
      <w:tblGrid>
        <w:gridCol w:w="2835"/>
        <w:gridCol w:w="2835"/>
      </w:tblGrid>
      <w:tr w:rsidR="00A36A81" w:rsidRPr="00E16E27" w14:paraId="1C3D4642" w14:textId="77777777" w:rsidTr="006B0E8F">
        <w:trPr>
          <w:trHeight w:val="507"/>
        </w:trPr>
        <w:tc>
          <w:tcPr>
            <w:tcW w:w="2835" w:type="dxa"/>
            <w:tcBorders>
              <w:top w:val="single" w:sz="6" w:space="0" w:color="0B0C0C"/>
              <w:left w:val="single" w:sz="6" w:space="0" w:color="0B0C0C"/>
              <w:bottom w:val="single" w:sz="6" w:space="0" w:color="0B0C0C"/>
              <w:right w:val="single" w:sz="6" w:space="0" w:color="0B0C0C"/>
            </w:tcBorders>
            <w:shd w:val="clear" w:color="auto" w:fill="009999"/>
            <w:tcMar>
              <w:top w:w="72" w:type="dxa"/>
              <w:left w:w="57" w:type="dxa"/>
              <w:bottom w:w="72" w:type="dxa"/>
              <w:right w:w="57" w:type="dxa"/>
            </w:tcMar>
            <w:vAlign w:val="center"/>
            <w:hideMark/>
          </w:tcPr>
          <w:p w14:paraId="39E39E89" w14:textId="77777777" w:rsidR="00A36A81" w:rsidRPr="00E16E27" w:rsidRDefault="00A36A81">
            <w:pPr>
              <w:jc w:val="center"/>
              <w:rPr>
                <w:rFonts w:cs="Arial"/>
                <w:b/>
                <w:bCs/>
                <w:color w:val="FFFFFF" w:themeColor="background1"/>
              </w:rPr>
            </w:pPr>
            <w:r>
              <w:rPr>
                <w:rFonts w:cs="Arial"/>
                <w:b/>
                <w:bCs/>
                <w:color w:val="FFFFFF" w:themeColor="background1"/>
              </w:rPr>
              <w:t>Question</w:t>
            </w:r>
          </w:p>
        </w:tc>
        <w:tc>
          <w:tcPr>
            <w:tcW w:w="2835" w:type="dxa"/>
            <w:tcBorders>
              <w:top w:val="single" w:sz="6" w:space="0" w:color="0B0C0C"/>
              <w:left w:val="single" w:sz="6" w:space="0" w:color="0B0C0C"/>
              <w:bottom w:val="single" w:sz="6" w:space="0" w:color="0B0C0C"/>
              <w:right w:val="single" w:sz="6" w:space="0" w:color="0B0C0C"/>
            </w:tcBorders>
            <w:shd w:val="clear" w:color="auto" w:fill="009999"/>
            <w:tcMar>
              <w:top w:w="72" w:type="dxa"/>
              <w:left w:w="57" w:type="dxa"/>
              <w:bottom w:w="72" w:type="dxa"/>
              <w:right w:w="57" w:type="dxa"/>
            </w:tcMar>
            <w:vAlign w:val="center"/>
            <w:hideMark/>
          </w:tcPr>
          <w:p w14:paraId="6C45C968" w14:textId="77777777" w:rsidR="00A36A81" w:rsidRPr="00E16E27" w:rsidRDefault="00A36A81" w:rsidP="00A750A6">
            <w:pPr>
              <w:jc w:val="center"/>
              <w:rPr>
                <w:rFonts w:cs="Arial"/>
                <w:b/>
                <w:bCs/>
                <w:color w:val="FFFFFF" w:themeColor="background1"/>
              </w:rPr>
            </w:pPr>
            <w:r>
              <w:rPr>
                <w:rFonts w:cs="Arial"/>
                <w:b/>
                <w:bCs/>
                <w:color w:val="FFFFFF" w:themeColor="background1"/>
              </w:rPr>
              <w:t>Weighting</w:t>
            </w:r>
          </w:p>
        </w:tc>
      </w:tr>
      <w:tr w:rsidR="00A36A81" w:rsidRPr="00E16E27" w14:paraId="6E76D8DC" w14:textId="77777777" w:rsidTr="006B0E8F">
        <w:trPr>
          <w:trHeight w:val="227"/>
        </w:trPr>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75BD0DB1" w14:textId="1ED5FB0C" w:rsidR="00A36A81" w:rsidRPr="00A750A6" w:rsidRDefault="00A36A81">
            <w:pPr>
              <w:jc w:val="center"/>
              <w:rPr>
                <w:rFonts w:cs="Arial"/>
                <w:b/>
              </w:rPr>
            </w:pPr>
            <w:r w:rsidRPr="00A750A6">
              <w:rPr>
                <w:rFonts w:cs="Arial"/>
                <w:b/>
              </w:rPr>
              <w:t>3.1</w:t>
            </w:r>
            <w:r w:rsidR="002D6019" w:rsidRPr="00A750A6">
              <w:rPr>
                <w:rFonts w:cs="Arial"/>
                <w:b/>
              </w:rPr>
              <w:t>2</w:t>
            </w:r>
          </w:p>
        </w:tc>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70C33695" w14:textId="77777777" w:rsidR="00A36A81" w:rsidRPr="00E16E27" w:rsidRDefault="00A36A81">
            <w:pPr>
              <w:jc w:val="center"/>
              <w:rPr>
                <w:rFonts w:cs="Arial"/>
              </w:rPr>
            </w:pPr>
            <w:r>
              <w:rPr>
                <w:rFonts w:cs="Arial"/>
              </w:rPr>
              <w:t>25%</w:t>
            </w:r>
          </w:p>
        </w:tc>
      </w:tr>
      <w:tr w:rsidR="00A36A81" w:rsidRPr="00E16E27" w14:paraId="7475CB0A" w14:textId="77777777" w:rsidTr="006B0E8F">
        <w:trPr>
          <w:trHeight w:val="227"/>
        </w:trPr>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606A5AFE" w14:textId="0C65505D" w:rsidR="00A36A81" w:rsidRPr="00A750A6" w:rsidRDefault="00A36A81">
            <w:pPr>
              <w:jc w:val="center"/>
              <w:rPr>
                <w:rFonts w:cs="Arial"/>
                <w:b/>
              </w:rPr>
            </w:pPr>
            <w:r w:rsidRPr="00A750A6">
              <w:rPr>
                <w:rFonts w:cs="Arial"/>
                <w:b/>
              </w:rPr>
              <w:t>3.1</w:t>
            </w:r>
            <w:r w:rsidR="002D6019" w:rsidRPr="00A750A6">
              <w:rPr>
                <w:rFonts w:cs="Arial"/>
                <w:b/>
              </w:rPr>
              <w:t>3</w:t>
            </w:r>
          </w:p>
        </w:tc>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6B31B1D7" w14:textId="77777777" w:rsidR="00A36A81" w:rsidRPr="00E16E27" w:rsidRDefault="00A36A81">
            <w:pPr>
              <w:jc w:val="center"/>
              <w:rPr>
                <w:rFonts w:cs="Arial"/>
              </w:rPr>
            </w:pPr>
            <w:r>
              <w:rPr>
                <w:rFonts w:cs="Arial"/>
              </w:rPr>
              <w:t>20%</w:t>
            </w:r>
          </w:p>
        </w:tc>
      </w:tr>
      <w:tr w:rsidR="00A36A81" w:rsidRPr="00E16E27" w14:paraId="654C5F16" w14:textId="77777777" w:rsidTr="006B0E8F">
        <w:trPr>
          <w:trHeight w:val="227"/>
        </w:trPr>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65FB4640" w14:textId="2243C3FA" w:rsidR="00A36A81" w:rsidRPr="00A750A6" w:rsidRDefault="00A36A81">
            <w:pPr>
              <w:jc w:val="center"/>
              <w:rPr>
                <w:rFonts w:cs="Arial"/>
                <w:b/>
              </w:rPr>
            </w:pPr>
            <w:r w:rsidRPr="00A750A6">
              <w:rPr>
                <w:rFonts w:cs="Arial"/>
                <w:b/>
              </w:rPr>
              <w:t>3.1</w:t>
            </w:r>
            <w:r w:rsidR="002D6019" w:rsidRPr="00A750A6">
              <w:rPr>
                <w:rFonts w:cs="Arial"/>
                <w:b/>
              </w:rPr>
              <w:t>4</w:t>
            </w:r>
          </w:p>
        </w:tc>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73C2FCC2" w14:textId="77777777" w:rsidR="00A36A81" w:rsidRPr="00E16E27" w:rsidRDefault="00A36A81">
            <w:pPr>
              <w:jc w:val="center"/>
              <w:rPr>
                <w:rFonts w:cs="Arial"/>
              </w:rPr>
            </w:pPr>
            <w:r>
              <w:rPr>
                <w:rFonts w:cs="Arial"/>
              </w:rPr>
              <w:t>15%</w:t>
            </w:r>
          </w:p>
        </w:tc>
      </w:tr>
      <w:tr w:rsidR="00A36A81" w:rsidRPr="00E16E27" w14:paraId="25B0724A" w14:textId="77777777" w:rsidTr="006B0E8F">
        <w:trPr>
          <w:trHeight w:val="227"/>
        </w:trPr>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3DE8AB61" w14:textId="5AE94492" w:rsidR="00A36A81" w:rsidRPr="00A750A6" w:rsidRDefault="00A36A81">
            <w:pPr>
              <w:jc w:val="center"/>
              <w:rPr>
                <w:rFonts w:cs="Arial"/>
                <w:b/>
              </w:rPr>
            </w:pPr>
            <w:r w:rsidRPr="00A750A6">
              <w:rPr>
                <w:rFonts w:cs="Arial"/>
                <w:b/>
              </w:rPr>
              <w:t>3.1</w:t>
            </w:r>
            <w:r w:rsidR="002D6019" w:rsidRPr="00A750A6">
              <w:rPr>
                <w:rFonts w:cs="Arial"/>
                <w:b/>
              </w:rPr>
              <w:t>5</w:t>
            </w:r>
          </w:p>
        </w:tc>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220380A8" w14:textId="77777777" w:rsidR="00A36A81" w:rsidRPr="00E16E27" w:rsidRDefault="00A36A81">
            <w:pPr>
              <w:jc w:val="center"/>
              <w:rPr>
                <w:rFonts w:cs="Arial"/>
              </w:rPr>
            </w:pPr>
            <w:r>
              <w:rPr>
                <w:rFonts w:cs="Arial"/>
              </w:rPr>
              <w:t>10%</w:t>
            </w:r>
          </w:p>
        </w:tc>
      </w:tr>
      <w:tr w:rsidR="00A36A81" w:rsidRPr="00E16E27" w14:paraId="1D22548D" w14:textId="77777777" w:rsidTr="006B0E8F">
        <w:trPr>
          <w:trHeight w:val="227"/>
        </w:trPr>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7D1D50C1" w14:textId="7637D793" w:rsidR="00A36A81" w:rsidRPr="00A750A6" w:rsidRDefault="00A36A81">
            <w:pPr>
              <w:jc w:val="center"/>
              <w:rPr>
                <w:rFonts w:cs="Arial"/>
                <w:b/>
              </w:rPr>
            </w:pPr>
            <w:r w:rsidRPr="00A750A6">
              <w:rPr>
                <w:rFonts w:cs="Arial"/>
                <w:b/>
              </w:rPr>
              <w:t>3.1</w:t>
            </w:r>
            <w:r w:rsidR="002D6019" w:rsidRPr="00A750A6">
              <w:rPr>
                <w:rFonts w:cs="Arial"/>
                <w:b/>
              </w:rPr>
              <w:t>6</w:t>
            </w:r>
          </w:p>
        </w:tc>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68AFEE14" w14:textId="77777777" w:rsidR="00A36A81" w:rsidRPr="00E16E27" w:rsidRDefault="00A36A81">
            <w:pPr>
              <w:jc w:val="center"/>
              <w:rPr>
                <w:rFonts w:cs="Arial"/>
              </w:rPr>
            </w:pPr>
            <w:r>
              <w:rPr>
                <w:rFonts w:cs="Arial"/>
              </w:rPr>
              <w:t>10%</w:t>
            </w:r>
          </w:p>
        </w:tc>
      </w:tr>
      <w:tr w:rsidR="00A36A81" w:rsidRPr="00E16E27" w14:paraId="0583C213" w14:textId="77777777" w:rsidTr="006B0E8F">
        <w:trPr>
          <w:trHeight w:val="227"/>
        </w:trPr>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49125BFF" w14:textId="6904C061" w:rsidR="00A36A81" w:rsidRPr="00A750A6" w:rsidRDefault="00A36A81">
            <w:pPr>
              <w:jc w:val="center"/>
              <w:rPr>
                <w:rFonts w:cs="Arial"/>
                <w:b/>
              </w:rPr>
            </w:pPr>
            <w:r w:rsidRPr="00A750A6">
              <w:rPr>
                <w:rFonts w:cs="Arial"/>
                <w:b/>
              </w:rPr>
              <w:t>3.1</w:t>
            </w:r>
            <w:r w:rsidR="002D6019" w:rsidRPr="00A750A6">
              <w:rPr>
                <w:rFonts w:cs="Arial"/>
                <w:b/>
              </w:rPr>
              <w:t>7</w:t>
            </w:r>
          </w:p>
        </w:tc>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60601702" w14:textId="77777777" w:rsidR="00A36A81" w:rsidRPr="00E16E27" w:rsidRDefault="00A36A81">
            <w:pPr>
              <w:jc w:val="center"/>
              <w:rPr>
                <w:rFonts w:cs="Arial"/>
              </w:rPr>
            </w:pPr>
            <w:r>
              <w:rPr>
                <w:rFonts w:cs="Arial"/>
              </w:rPr>
              <w:t>7.5%</w:t>
            </w:r>
          </w:p>
        </w:tc>
      </w:tr>
      <w:tr w:rsidR="00A36A81" w:rsidRPr="00E16E27" w14:paraId="1B761113" w14:textId="77777777" w:rsidTr="006B0E8F">
        <w:trPr>
          <w:trHeight w:val="227"/>
        </w:trPr>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2AB9069B" w14:textId="3C85988C" w:rsidR="00A36A81" w:rsidRPr="00A750A6" w:rsidRDefault="00A36A81">
            <w:pPr>
              <w:jc w:val="center"/>
              <w:rPr>
                <w:rFonts w:cs="Arial"/>
                <w:b/>
              </w:rPr>
            </w:pPr>
            <w:r w:rsidRPr="00A750A6">
              <w:rPr>
                <w:rFonts w:cs="Arial"/>
                <w:b/>
              </w:rPr>
              <w:t>3.1</w:t>
            </w:r>
            <w:r w:rsidR="002D6019" w:rsidRPr="00A750A6">
              <w:rPr>
                <w:rFonts w:cs="Arial"/>
                <w:b/>
              </w:rPr>
              <w:t>8</w:t>
            </w:r>
          </w:p>
        </w:tc>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73F2886" w14:textId="77777777" w:rsidR="00A36A81" w:rsidRPr="00E16E27" w:rsidRDefault="00A36A81">
            <w:pPr>
              <w:jc w:val="center"/>
              <w:rPr>
                <w:rFonts w:cs="Arial"/>
              </w:rPr>
            </w:pPr>
            <w:r>
              <w:rPr>
                <w:rFonts w:cs="Arial"/>
              </w:rPr>
              <w:t>7.5%</w:t>
            </w:r>
          </w:p>
        </w:tc>
      </w:tr>
      <w:tr w:rsidR="00A36A81" w:rsidRPr="00E16E27" w14:paraId="4224B25F" w14:textId="77777777" w:rsidTr="006B0E8F">
        <w:trPr>
          <w:trHeight w:val="227"/>
        </w:trPr>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B79C166" w14:textId="065D8898" w:rsidR="00A36A81" w:rsidRPr="00A750A6" w:rsidRDefault="00A36A81">
            <w:pPr>
              <w:jc w:val="center"/>
              <w:rPr>
                <w:rFonts w:cs="Arial"/>
                <w:b/>
              </w:rPr>
            </w:pPr>
            <w:r w:rsidRPr="00A750A6">
              <w:rPr>
                <w:rFonts w:cs="Arial"/>
                <w:b/>
              </w:rPr>
              <w:t>3.</w:t>
            </w:r>
            <w:r w:rsidR="002D6019" w:rsidRPr="00A750A6">
              <w:rPr>
                <w:rFonts w:cs="Arial"/>
                <w:b/>
              </w:rPr>
              <w:t>19</w:t>
            </w:r>
          </w:p>
        </w:tc>
        <w:tc>
          <w:tcPr>
            <w:tcW w:w="2835"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28FD2213" w14:textId="77777777" w:rsidR="00A36A81" w:rsidRPr="00E16E27" w:rsidRDefault="00A36A81">
            <w:pPr>
              <w:jc w:val="center"/>
              <w:rPr>
                <w:rFonts w:cs="Arial"/>
              </w:rPr>
            </w:pPr>
            <w:r>
              <w:rPr>
                <w:rFonts w:cs="Arial"/>
              </w:rPr>
              <w:t>5%</w:t>
            </w:r>
          </w:p>
        </w:tc>
      </w:tr>
    </w:tbl>
    <w:p w14:paraId="48AE70E0" w14:textId="77777777" w:rsidR="00A36A81" w:rsidRDefault="00A36A81" w:rsidP="00A36A81">
      <w:pPr>
        <w:pStyle w:val="Schedule2"/>
        <w:ind w:left="680"/>
        <w:jc w:val="both"/>
      </w:pPr>
    </w:p>
    <w:p w14:paraId="28BB212B" w14:textId="0A6E5E75" w:rsidR="00913017" w:rsidRDefault="00913017" w:rsidP="00C06284">
      <w:pPr>
        <w:pStyle w:val="Schedule2"/>
        <w:numPr>
          <w:ilvl w:val="1"/>
          <w:numId w:val="27"/>
        </w:numPr>
        <w:jc w:val="both"/>
      </w:pPr>
      <w:r>
        <w:t xml:space="preserve">Each individual </w:t>
      </w:r>
      <w:r w:rsidR="00E750E8">
        <w:t xml:space="preserve">weighted </w:t>
      </w:r>
      <w:r>
        <w:t xml:space="preserve">score will be summed together to </w:t>
      </w:r>
      <w:r w:rsidR="00E750E8">
        <w:t xml:space="preserve">reach a ‘Total </w:t>
      </w:r>
      <w:r w:rsidR="00B85DF8">
        <w:t xml:space="preserve">Weighted </w:t>
      </w:r>
      <w:r w:rsidR="00E750E8">
        <w:t xml:space="preserve">PSQ Score’ for each </w:t>
      </w:r>
      <w:r w:rsidR="00FA5CF7">
        <w:t>Supplier</w:t>
      </w:r>
      <w:r w:rsidR="00E750E8">
        <w:t>.</w:t>
      </w:r>
    </w:p>
    <w:p w14:paraId="7171C597" w14:textId="72A1D88D" w:rsidR="001B1A8C" w:rsidRDefault="001B1A8C" w:rsidP="00C06284">
      <w:pPr>
        <w:pStyle w:val="Schedule2"/>
        <w:numPr>
          <w:ilvl w:val="1"/>
          <w:numId w:val="27"/>
        </w:numPr>
        <w:jc w:val="both"/>
      </w:pPr>
      <w:r>
        <w:t xml:space="preserve">Worked </w:t>
      </w:r>
      <w:r w:rsidR="002412F7">
        <w:t>E</w:t>
      </w:r>
      <w:r>
        <w:t>xample:</w:t>
      </w:r>
    </w:p>
    <w:p w14:paraId="4750ABE0" w14:textId="77777777" w:rsidR="000F0597" w:rsidRDefault="000F0597" w:rsidP="000F0597">
      <w:pPr>
        <w:pStyle w:val="Schedule2"/>
        <w:ind w:left="680"/>
        <w:jc w:val="both"/>
      </w:pPr>
    </w:p>
    <w:tbl>
      <w:tblPr>
        <w:tblW w:w="8504" w:type="dxa"/>
        <w:tblCellMar>
          <w:left w:w="0" w:type="dxa"/>
          <w:right w:w="0" w:type="dxa"/>
        </w:tblCellMar>
        <w:tblLook w:val="0400" w:firstRow="0" w:lastRow="0" w:firstColumn="0" w:lastColumn="0" w:noHBand="0" w:noVBand="1"/>
      </w:tblPr>
      <w:tblGrid>
        <w:gridCol w:w="1090"/>
        <w:gridCol w:w="1178"/>
        <w:gridCol w:w="3118"/>
        <w:gridCol w:w="3118"/>
      </w:tblGrid>
      <w:tr w:rsidR="0016263A" w:rsidRPr="00E16E27" w14:paraId="6D51041E" w14:textId="09E44129" w:rsidTr="006B0E8F">
        <w:trPr>
          <w:cantSplit/>
          <w:trHeight w:val="507"/>
        </w:trPr>
        <w:tc>
          <w:tcPr>
            <w:tcW w:w="1090" w:type="dxa"/>
            <w:tcBorders>
              <w:top w:val="single" w:sz="6" w:space="0" w:color="0B0C0C"/>
              <w:left w:val="single" w:sz="6" w:space="0" w:color="0B0C0C"/>
              <w:bottom w:val="single" w:sz="6" w:space="0" w:color="0B0C0C"/>
              <w:right w:val="single" w:sz="6" w:space="0" w:color="0B0C0C"/>
            </w:tcBorders>
            <w:shd w:val="clear" w:color="auto" w:fill="009999"/>
            <w:tcMar>
              <w:top w:w="72" w:type="dxa"/>
              <w:left w:w="57" w:type="dxa"/>
              <w:bottom w:w="72" w:type="dxa"/>
              <w:right w:w="57" w:type="dxa"/>
            </w:tcMar>
            <w:vAlign w:val="center"/>
            <w:hideMark/>
          </w:tcPr>
          <w:p w14:paraId="59FDDCDD" w14:textId="77777777" w:rsidR="0016263A" w:rsidRPr="00E16E27" w:rsidRDefault="0016263A">
            <w:pPr>
              <w:jc w:val="center"/>
              <w:rPr>
                <w:rFonts w:cs="Arial"/>
                <w:b/>
                <w:bCs/>
                <w:color w:val="FFFFFF" w:themeColor="background1"/>
              </w:rPr>
            </w:pPr>
            <w:r>
              <w:rPr>
                <w:rFonts w:cs="Arial"/>
                <w:b/>
                <w:bCs/>
                <w:color w:val="FFFFFF" w:themeColor="background1"/>
              </w:rPr>
              <w:lastRenderedPageBreak/>
              <w:t>Question</w:t>
            </w:r>
          </w:p>
        </w:tc>
        <w:tc>
          <w:tcPr>
            <w:tcW w:w="1178" w:type="dxa"/>
            <w:tcBorders>
              <w:top w:val="single" w:sz="6" w:space="0" w:color="0B0C0C"/>
              <w:left w:val="single" w:sz="6" w:space="0" w:color="0B0C0C"/>
              <w:bottom w:val="single" w:sz="6" w:space="0" w:color="0B0C0C"/>
              <w:right w:val="single" w:sz="6" w:space="0" w:color="0B0C0C"/>
            </w:tcBorders>
            <w:shd w:val="clear" w:color="auto" w:fill="009999"/>
            <w:tcMar>
              <w:top w:w="72" w:type="dxa"/>
              <w:left w:w="57" w:type="dxa"/>
              <w:bottom w:w="72" w:type="dxa"/>
              <w:right w:w="57" w:type="dxa"/>
            </w:tcMar>
            <w:vAlign w:val="center"/>
            <w:hideMark/>
          </w:tcPr>
          <w:p w14:paraId="7B0EF641" w14:textId="77777777" w:rsidR="0016263A" w:rsidRPr="00E16E27" w:rsidRDefault="0016263A">
            <w:pPr>
              <w:rPr>
                <w:rFonts w:cs="Arial"/>
                <w:b/>
                <w:bCs/>
                <w:color w:val="FFFFFF" w:themeColor="background1"/>
              </w:rPr>
            </w:pPr>
            <w:r>
              <w:rPr>
                <w:rFonts w:cs="Arial"/>
                <w:b/>
                <w:bCs/>
                <w:color w:val="FFFFFF" w:themeColor="background1"/>
              </w:rPr>
              <w:t>Weighting</w:t>
            </w:r>
          </w:p>
        </w:tc>
        <w:tc>
          <w:tcPr>
            <w:tcW w:w="3118" w:type="dxa"/>
            <w:tcBorders>
              <w:top w:val="single" w:sz="6" w:space="0" w:color="0B0C0C"/>
              <w:left w:val="single" w:sz="6" w:space="0" w:color="0B0C0C"/>
              <w:bottom w:val="single" w:sz="6" w:space="0" w:color="0B0C0C"/>
              <w:right w:val="single" w:sz="6" w:space="0" w:color="0B0C0C"/>
            </w:tcBorders>
            <w:shd w:val="clear" w:color="auto" w:fill="009999"/>
            <w:vAlign w:val="center"/>
          </w:tcPr>
          <w:p w14:paraId="080A1201" w14:textId="472A747D" w:rsidR="0016263A" w:rsidRDefault="00FA5CF7" w:rsidP="00A750A6">
            <w:pPr>
              <w:jc w:val="center"/>
              <w:rPr>
                <w:rFonts w:cs="Arial"/>
                <w:b/>
                <w:bCs/>
                <w:color w:val="FFFFFF" w:themeColor="background1"/>
              </w:rPr>
            </w:pPr>
            <w:r>
              <w:rPr>
                <w:rFonts w:cs="Arial"/>
                <w:b/>
                <w:bCs/>
                <w:color w:val="FFFFFF" w:themeColor="background1"/>
              </w:rPr>
              <w:t>Supplier</w:t>
            </w:r>
            <w:r w:rsidR="0016263A">
              <w:rPr>
                <w:rFonts w:cs="Arial"/>
                <w:b/>
                <w:bCs/>
                <w:color w:val="FFFFFF" w:themeColor="background1"/>
              </w:rPr>
              <w:t xml:space="preserve"> Score</w:t>
            </w:r>
          </w:p>
        </w:tc>
        <w:tc>
          <w:tcPr>
            <w:tcW w:w="3118" w:type="dxa"/>
            <w:tcBorders>
              <w:top w:val="single" w:sz="6" w:space="0" w:color="0B0C0C"/>
              <w:left w:val="single" w:sz="6" w:space="0" w:color="0B0C0C"/>
              <w:bottom w:val="single" w:sz="6" w:space="0" w:color="0B0C0C"/>
              <w:right w:val="single" w:sz="6" w:space="0" w:color="0B0C0C"/>
            </w:tcBorders>
            <w:shd w:val="clear" w:color="auto" w:fill="009999"/>
            <w:vAlign w:val="center"/>
          </w:tcPr>
          <w:p w14:paraId="14A478AC" w14:textId="67A6F4F1" w:rsidR="0016263A" w:rsidRDefault="00FA5CF7" w:rsidP="00A750A6">
            <w:pPr>
              <w:jc w:val="center"/>
              <w:rPr>
                <w:rFonts w:cs="Arial"/>
                <w:b/>
                <w:bCs/>
                <w:color w:val="FFFFFF" w:themeColor="background1"/>
              </w:rPr>
            </w:pPr>
            <w:r>
              <w:rPr>
                <w:rFonts w:cs="Arial"/>
                <w:b/>
                <w:bCs/>
                <w:color w:val="FFFFFF" w:themeColor="background1"/>
              </w:rPr>
              <w:t>Supplier</w:t>
            </w:r>
            <w:r w:rsidR="0016263A">
              <w:rPr>
                <w:rFonts w:cs="Arial"/>
                <w:b/>
                <w:bCs/>
                <w:color w:val="FFFFFF" w:themeColor="background1"/>
              </w:rPr>
              <w:t xml:space="preserve"> Weighted Score (Weighting x </w:t>
            </w:r>
            <w:r>
              <w:rPr>
                <w:rFonts w:cs="Arial"/>
                <w:b/>
                <w:bCs/>
                <w:color w:val="FFFFFF" w:themeColor="background1"/>
              </w:rPr>
              <w:t>Supplier</w:t>
            </w:r>
            <w:r w:rsidR="0016263A">
              <w:rPr>
                <w:rFonts w:cs="Arial"/>
                <w:b/>
                <w:bCs/>
                <w:color w:val="FFFFFF" w:themeColor="background1"/>
              </w:rPr>
              <w:t xml:space="preserve"> Score)</w:t>
            </w:r>
          </w:p>
        </w:tc>
      </w:tr>
      <w:tr w:rsidR="0016263A" w:rsidRPr="00E16E27" w14:paraId="59D35F72" w14:textId="7B808760" w:rsidTr="006B0E8F">
        <w:trPr>
          <w:cantSplit/>
          <w:trHeight w:val="227"/>
        </w:trPr>
        <w:tc>
          <w:tcPr>
            <w:tcW w:w="1090"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5817E5FD" w14:textId="339127ED" w:rsidR="0016263A" w:rsidRPr="00A750A6" w:rsidRDefault="0016263A">
            <w:pPr>
              <w:jc w:val="center"/>
              <w:rPr>
                <w:rFonts w:cs="Arial"/>
                <w:b/>
              </w:rPr>
            </w:pPr>
            <w:r w:rsidRPr="00A750A6">
              <w:rPr>
                <w:rFonts w:cs="Arial"/>
                <w:b/>
              </w:rPr>
              <w:t>3.1</w:t>
            </w:r>
            <w:r w:rsidR="00A77DA4" w:rsidRPr="00A750A6">
              <w:rPr>
                <w:rFonts w:cs="Arial"/>
                <w:b/>
              </w:rPr>
              <w:t>2</w:t>
            </w:r>
          </w:p>
        </w:tc>
        <w:tc>
          <w:tcPr>
            <w:tcW w:w="1178"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27DEF4C0" w14:textId="77777777" w:rsidR="0016263A" w:rsidRPr="00E16E27" w:rsidRDefault="0016263A">
            <w:pPr>
              <w:jc w:val="center"/>
              <w:rPr>
                <w:rFonts w:cs="Arial"/>
              </w:rPr>
            </w:pPr>
            <w:r>
              <w:rPr>
                <w:rFonts w:cs="Arial"/>
              </w:rPr>
              <w:t>25%</w:t>
            </w:r>
          </w:p>
        </w:tc>
        <w:tc>
          <w:tcPr>
            <w:tcW w:w="3118" w:type="dxa"/>
            <w:tcBorders>
              <w:top w:val="single" w:sz="6" w:space="0" w:color="0B0C0C"/>
              <w:left w:val="single" w:sz="6" w:space="0" w:color="0B0C0C"/>
              <w:bottom w:val="single" w:sz="6" w:space="0" w:color="0B0C0C"/>
              <w:right w:val="single" w:sz="6" w:space="0" w:color="0B0C0C"/>
            </w:tcBorders>
            <w:vAlign w:val="center"/>
          </w:tcPr>
          <w:p w14:paraId="2F603B6C" w14:textId="09EA878C" w:rsidR="0016263A" w:rsidRPr="00E16E27" w:rsidRDefault="009B6F55" w:rsidP="00BA2686">
            <w:pPr>
              <w:jc w:val="center"/>
              <w:rPr>
                <w:rFonts w:cs="Arial"/>
              </w:rPr>
            </w:pPr>
            <w:r>
              <w:rPr>
                <w:rFonts w:cs="Arial"/>
              </w:rPr>
              <w:t>60</w:t>
            </w:r>
          </w:p>
        </w:tc>
        <w:tc>
          <w:tcPr>
            <w:tcW w:w="3118" w:type="dxa"/>
            <w:tcBorders>
              <w:top w:val="single" w:sz="6" w:space="0" w:color="0B0C0C"/>
              <w:left w:val="single" w:sz="6" w:space="0" w:color="0B0C0C"/>
              <w:bottom w:val="single" w:sz="6" w:space="0" w:color="0B0C0C"/>
              <w:right w:val="single" w:sz="6" w:space="0" w:color="0B0C0C"/>
            </w:tcBorders>
            <w:vAlign w:val="center"/>
          </w:tcPr>
          <w:p w14:paraId="0CD65E7F" w14:textId="2256AFD6" w:rsidR="0016263A" w:rsidRPr="00E16E27" w:rsidRDefault="001C0889" w:rsidP="00BA2686">
            <w:pPr>
              <w:jc w:val="center"/>
              <w:rPr>
                <w:rFonts w:cs="Arial"/>
              </w:rPr>
            </w:pPr>
            <w:r>
              <w:rPr>
                <w:rFonts w:cs="Arial"/>
              </w:rPr>
              <w:t>15</w:t>
            </w:r>
            <w:r w:rsidR="00C41958">
              <w:rPr>
                <w:rFonts w:cs="Arial"/>
              </w:rPr>
              <w:t>.00</w:t>
            </w:r>
          </w:p>
        </w:tc>
      </w:tr>
      <w:tr w:rsidR="0016263A" w:rsidRPr="00E16E27" w14:paraId="6B67EDBC" w14:textId="071E41B6" w:rsidTr="006B0E8F">
        <w:trPr>
          <w:cantSplit/>
          <w:trHeight w:val="227"/>
        </w:trPr>
        <w:tc>
          <w:tcPr>
            <w:tcW w:w="1090"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1D018AC2" w14:textId="67D4E20F" w:rsidR="0016263A" w:rsidRPr="00A750A6" w:rsidRDefault="0016263A">
            <w:pPr>
              <w:jc w:val="center"/>
              <w:rPr>
                <w:rFonts w:cs="Arial"/>
                <w:b/>
              </w:rPr>
            </w:pPr>
            <w:r w:rsidRPr="00A750A6">
              <w:rPr>
                <w:rFonts w:cs="Arial"/>
                <w:b/>
              </w:rPr>
              <w:t>3.1</w:t>
            </w:r>
            <w:r w:rsidR="00A77DA4" w:rsidRPr="00A750A6">
              <w:rPr>
                <w:rFonts w:cs="Arial"/>
                <w:b/>
              </w:rPr>
              <w:t>3</w:t>
            </w:r>
          </w:p>
        </w:tc>
        <w:tc>
          <w:tcPr>
            <w:tcW w:w="1178"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5F34EEFE" w14:textId="77777777" w:rsidR="0016263A" w:rsidRPr="00E16E27" w:rsidRDefault="0016263A">
            <w:pPr>
              <w:jc w:val="center"/>
              <w:rPr>
                <w:rFonts w:cs="Arial"/>
              </w:rPr>
            </w:pPr>
            <w:r>
              <w:rPr>
                <w:rFonts w:cs="Arial"/>
              </w:rPr>
              <w:t>20%</w:t>
            </w:r>
          </w:p>
        </w:tc>
        <w:tc>
          <w:tcPr>
            <w:tcW w:w="3118" w:type="dxa"/>
            <w:tcBorders>
              <w:top w:val="single" w:sz="6" w:space="0" w:color="0B0C0C"/>
              <w:left w:val="single" w:sz="6" w:space="0" w:color="0B0C0C"/>
              <w:bottom w:val="single" w:sz="6" w:space="0" w:color="0B0C0C"/>
              <w:right w:val="single" w:sz="6" w:space="0" w:color="0B0C0C"/>
            </w:tcBorders>
            <w:vAlign w:val="center"/>
          </w:tcPr>
          <w:p w14:paraId="0CC18129" w14:textId="1ED0A907" w:rsidR="0016263A" w:rsidRPr="00E16E27" w:rsidRDefault="009B6F55" w:rsidP="00BA2686">
            <w:pPr>
              <w:jc w:val="center"/>
              <w:rPr>
                <w:rFonts w:cs="Arial"/>
              </w:rPr>
            </w:pPr>
            <w:r>
              <w:rPr>
                <w:rFonts w:cs="Arial"/>
              </w:rPr>
              <w:t>100</w:t>
            </w:r>
          </w:p>
        </w:tc>
        <w:tc>
          <w:tcPr>
            <w:tcW w:w="3118" w:type="dxa"/>
            <w:tcBorders>
              <w:top w:val="single" w:sz="6" w:space="0" w:color="0B0C0C"/>
              <w:left w:val="single" w:sz="6" w:space="0" w:color="0B0C0C"/>
              <w:bottom w:val="single" w:sz="6" w:space="0" w:color="0B0C0C"/>
              <w:right w:val="single" w:sz="6" w:space="0" w:color="0B0C0C"/>
            </w:tcBorders>
            <w:vAlign w:val="center"/>
          </w:tcPr>
          <w:p w14:paraId="2ECB8C7B" w14:textId="4D7F0AF7" w:rsidR="0016263A" w:rsidRPr="00E16E27" w:rsidRDefault="00C41958" w:rsidP="00BA2686">
            <w:pPr>
              <w:jc w:val="center"/>
              <w:rPr>
                <w:rFonts w:cs="Arial"/>
              </w:rPr>
            </w:pPr>
            <w:r>
              <w:rPr>
                <w:rFonts w:cs="Arial"/>
              </w:rPr>
              <w:t>20.00</w:t>
            </w:r>
          </w:p>
        </w:tc>
      </w:tr>
      <w:tr w:rsidR="0016263A" w:rsidRPr="00E16E27" w14:paraId="0B35BB79" w14:textId="4FD7A132" w:rsidTr="006B0E8F">
        <w:trPr>
          <w:cantSplit/>
          <w:trHeight w:val="227"/>
        </w:trPr>
        <w:tc>
          <w:tcPr>
            <w:tcW w:w="1090"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0D1832D8" w14:textId="7DDEBD51" w:rsidR="0016263A" w:rsidRPr="00A750A6" w:rsidRDefault="0016263A">
            <w:pPr>
              <w:jc w:val="center"/>
              <w:rPr>
                <w:rFonts w:cs="Arial"/>
                <w:b/>
              </w:rPr>
            </w:pPr>
            <w:r w:rsidRPr="00A750A6">
              <w:rPr>
                <w:rFonts w:cs="Arial"/>
                <w:b/>
              </w:rPr>
              <w:t>3.1</w:t>
            </w:r>
            <w:r w:rsidR="00A77DA4" w:rsidRPr="00A750A6">
              <w:rPr>
                <w:rFonts w:cs="Arial"/>
                <w:b/>
              </w:rPr>
              <w:t>4</w:t>
            </w:r>
          </w:p>
        </w:tc>
        <w:tc>
          <w:tcPr>
            <w:tcW w:w="1178"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74635185" w14:textId="77777777" w:rsidR="0016263A" w:rsidRPr="00E16E27" w:rsidRDefault="0016263A">
            <w:pPr>
              <w:jc w:val="center"/>
              <w:rPr>
                <w:rFonts w:cs="Arial"/>
              </w:rPr>
            </w:pPr>
            <w:r>
              <w:rPr>
                <w:rFonts w:cs="Arial"/>
              </w:rPr>
              <w:t>15%</w:t>
            </w:r>
          </w:p>
        </w:tc>
        <w:tc>
          <w:tcPr>
            <w:tcW w:w="3118" w:type="dxa"/>
            <w:tcBorders>
              <w:top w:val="single" w:sz="6" w:space="0" w:color="0B0C0C"/>
              <w:left w:val="single" w:sz="6" w:space="0" w:color="0B0C0C"/>
              <w:bottom w:val="single" w:sz="6" w:space="0" w:color="0B0C0C"/>
              <w:right w:val="single" w:sz="6" w:space="0" w:color="0B0C0C"/>
            </w:tcBorders>
            <w:vAlign w:val="center"/>
          </w:tcPr>
          <w:p w14:paraId="213B5F58" w14:textId="210BE851" w:rsidR="0016263A" w:rsidRPr="00E16E27" w:rsidRDefault="009B6F55" w:rsidP="00BA2686">
            <w:pPr>
              <w:jc w:val="center"/>
              <w:rPr>
                <w:rFonts w:cs="Arial"/>
              </w:rPr>
            </w:pPr>
            <w:r>
              <w:rPr>
                <w:rFonts w:cs="Arial"/>
              </w:rPr>
              <w:t>60</w:t>
            </w:r>
          </w:p>
        </w:tc>
        <w:tc>
          <w:tcPr>
            <w:tcW w:w="3118" w:type="dxa"/>
            <w:tcBorders>
              <w:top w:val="single" w:sz="6" w:space="0" w:color="0B0C0C"/>
              <w:left w:val="single" w:sz="6" w:space="0" w:color="0B0C0C"/>
              <w:bottom w:val="single" w:sz="6" w:space="0" w:color="0B0C0C"/>
              <w:right w:val="single" w:sz="6" w:space="0" w:color="0B0C0C"/>
            </w:tcBorders>
            <w:vAlign w:val="center"/>
          </w:tcPr>
          <w:p w14:paraId="1E4FD5FB" w14:textId="3D872EB5" w:rsidR="0016263A" w:rsidRPr="00E16E27" w:rsidRDefault="00C41958" w:rsidP="00BA2686">
            <w:pPr>
              <w:jc w:val="center"/>
              <w:rPr>
                <w:rFonts w:cs="Arial"/>
              </w:rPr>
            </w:pPr>
            <w:r>
              <w:rPr>
                <w:rFonts w:cs="Arial"/>
              </w:rPr>
              <w:t>9.00</w:t>
            </w:r>
          </w:p>
        </w:tc>
      </w:tr>
      <w:tr w:rsidR="0016263A" w:rsidRPr="00E16E27" w14:paraId="219504EB" w14:textId="12D83F69" w:rsidTr="006B0E8F">
        <w:trPr>
          <w:cantSplit/>
          <w:trHeight w:val="227"/>
        </w:trPr>
        <w:tc>
          <w:tcPr>
            <w:tcW w:w="1090"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2765D13F" w14:textId="75FE1894" w:rsidR="0016263A" w:rsidRPr="00A750A6" w:rsidRDefault="0016263A">
            <w:pPr>
              <w:jc w:val="center"/>
              <w:rPr>
                <w:rFonts w:cs="Arial"/>
                <w:b/>
              </w:rPr>
            </w:pPr>
            <w:r w:rsidRPr="00A750A6">
              <w:rPr>
                <w:rFonts w:cs="Arial"/>
                <w:b/>
              </w:rPr>
              <w:t>3.1</w:t>
            </w:r>
            <w:r w:rsidR="00A77DA4" w:rsidRPr="00A750A6">
              <w:rPr>
                <w:rFonts w:cs="Arial"/>
                <w:b/>
              </w:rPr>
              <w:t>5</w:t>
            </w:r>
          </w:p>
        </w:tc>
        <w:tc>
          <w:tcPr>
            <w:tcW w:w="1178"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081931E3" w14:textId="77777777" w:rsidR="0016263A" w:rsidRPr="00E16E27" w:rsidRDefault="0016263A">
            <w:pPr>
              <w:jc w:val="center"/>
              <w:rPr>
                <w:rFonts w:cs="Arial"/>
              </w:rPr>
            </w:pPr>
            <w:r>
              <w:rPr>
                <w:rFonts w:cs="Arial"/>
              </w:rPr>
              <w:t>10%</w:t>
            </w:r>
          </w:p>
        </w:tc>
        <w:tc>
          <w:tcPr>
            <w:tcW w:w="3118" w:type="dxa"/>
            <w:tcBorders>
              <w:top w:val="single" w:sz="6" w:space="0" w:color="0B0C0C"/>
              <w:left w:val="single" w:sz="6" w:space="0" w:color="0B0C0C"/>
              <w:bottom w:val="single" w:sz="6" w:space="0" w:color="0B0C0C"/>
              <w:right w:val="single" w:sz="6" w:space="0" w:color="0B0C0C"/>
            </w:tcBorders>
            <w:vAlign w:val="center"/>
          </w:tcPr>
          <w:p w14:paraId="499B7654" w14:textId="2FCCE5B4" w:rsidR="0016263A" w:rsidRPr="00E16E27" w:rsidRDefault="009B6F55" w:rsidP="00BA2686">
            <w:pPr>
              <w:jc w:val="center"/>
              <w:rPr>
                <w:rFonts w:cs="Arial"/>
              </w:rPr>
            </w:pPr>
            <w:r>
              <w:rPr>
                <w:rFonts w:cs="Arial"/>
              </w:rPr>
              <w:t>60</w:t>
            </w:r>
          </w:p>
        </w:tc>
        <w:tc>
          <w:tcPr>
            <w:tcW w:w="3118" w:type="dxa"/>
            <w:tcBorders>
              <w:top w:val="single" w:sz="6" w:space="0" w:color="0B0C0C"/>
              <w:left w:val="single" w:sz="6" w:space="0" w:color="0B0C0C"/>
              <w:bottom w:val="single" w:sz="6" w:space="0" w:color="0B0C0C"/>
              <w:right w:val="single" w:sz="6" w:space="0" w:color="0B0C0C"/>
            </w:tcBorders>
            <w:vAlign w:val="center"/>
          </w:tcPr>
          <w:p w14:paraId="0D054B0E" w14:textId="007DE576" w:rsidR="0016263A" w:rsidRPr="00E16E27" w:rsidRDefault="00C41958" w:rsidP="00BA2686">
            <w:pPr>
              <w:jc w:val="center"/>
              <w:rPr>
                <w:rFonts w:cs="Arial"/>
              </w:rPr>
            </w:pPr>
            <w:r>
              <w:rPr>
                <w:rFonts w:cs="Arial"/>
              </w:rPr>
              <w:t>6.00</w:t>
            </w:r>
          </w:p>
        </w:tc>
      </w:tr>
      <w:tr w:rsidR="0016263A" w:rsidRPr="00E16E27" w14:paraId="2167D00D" w14:textId="7FC56C39" w:rsidTr="006B0E8F">
        <w:trPr>
          <w:cantSplit/>
          <w:trHeight w:val="227"/>
        </w:trPr>
        <w:tc>
          <w:tcPr>
            <w:tcW w:w="1090"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6CEA813D" w14:textId="52845C90" w:rsidR="0016263A" w:rsidRPr="00A750A6" w:rsidRDefault="0016263A">
            <w:pPr>
              <w:jc w:val="center"/>
              <w:rPr>
                <w:rFonts w:cs="Arial"/>
                <w:b/>
              </w:rPr>
            </w:pPr>
            <w:r w:rsidRPr="00A750A6">
              <w:rPr>
                <w:rFonts w:cs="Arial"/>
                <w:b/>
              </w:rPr>
              <w:t>3.1</w:t>
            </w:r>
            <w:r w:rsidR="00A77DA4" w:rsidRPr="00A750A6">
              <w:rPr>
                <w:rFonts w:cs="Arial"/>
                <w:b/>
              </w:rPr>
              <w:t>6</w:t>
            </w:r>
          </w:p>
        </w:tc>
        <w:tc>
          <w:tcPr>
            <w:tcW w:w="1178"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7B6CE124" w14:textId="77777777" w:rsidR="0016263A" w:rsidRPr="00E16E27" w:rsidRDefault="0016263A">
            <w:pPr>
              <w:jc w:val="center"/>
              <w:rPr>
                <w:rFonts w:cs="Arial"/>
              </w:rPr>
            </w:pPr>
            <w:r>
              <w:rPr>
                <w:rFonts w:cs="Arial"/>
              </w:rPr>
              <w:t>10%</w:t>
            </w:r>
          </w:p>
        </w:tc>
        <w:tc>
          <w:tcPr>
            <w:tcW w:w="3118" w:type="dxa"/>
            <w:tcBorders>
              <w:top w:val="single" w:sz="6" w:space="0" w:color="0B0C0C"/>
              <w:left w:val="single" w:sz="6" w:space="0" w:color="0B0C0C"/>
              <w:bottom w:val="single" w:sz="6" w:space="0" w:color="0B0C0C"/>
              <w:right w:val="single" w:sz="6" w:space="0" w:color="0B0C0C"/>
            </w:tcBorders>
            <w:vAlign w:val="center"/>
          </w:tcPr>
          <w:p w14:paraId="1B061625" w14:textId="7EE1D10B" w:rsidR="0016263A" w:rsidRPr="00E16E27" w:rsidRDefault="00A97DE9" w:rsidP="00BA2686">
            <w:pPr>
              <w:jc w:val="center"/>
              <w:rPr>
                <w:rFonts w:cs="Arial"/>
              </w:rPr>
            </w:pPr>
            <w:r>
              <w:rPr>
                <w:rFonts w:cs="Arial"/>
              </w:rPr>
              <w:t>30</w:t>
            </w:r>
          </w:p>
        </w:tc>
        <w:tc>
          <w:tcPr>
            <w:tcW w:w="3118" w:type="dxa"/>
            <w:tcBorders>
              <w:top w:val="single" w:sz="6" w:space="0" w:color="0B0C0C"/>
              <w:left w:val="single" w:sz="6" w:space="0" w:color="0B0C0C"/>
              <w:bottom w:val="single" w:sz="6" w:space="0" w:color="0B0C0C"/>
              <w:right w:val="single" w:sz="6" w:space="0" w:color="0B0C0C"/>
            </w:tcBorders>
            <w:vAlign w:val="center"/>
          </w:tcPr>
          <w:p w14:paraId="53D5C33D" w14:textId="69DEE61B" w:rsidR="0016263A" w:rsidRPr="00E16E27" w:rsidRDefault="00A97DE9" w:rsidP="00BA2686">
            <w:pPr>
              <w:jc w:val="center"/>
              <w:rPr>
                <w:rFonts w:cs="Arial"/>
              </w:rPr>
            </w:pPr>
            <w:r>
              <w:rPr>
                <w:rFonts w:cs="Arial"/>
              </w:rPr>
              <w:t>3.00</w:t>
            </w:r>
          </w:p>
        </w:tc>
      </w:tr>
      <w:tr w:rsidR="0016263A" w:rsidRPr="00E16E27" w14:paraId="22D5529E" w14:textId="15BCA000" w:rsidTr="006B0E8F">
        <w:trPr>
          <w:cantSplit/>
          <w:trHeight w:val="227"/>
        </w:trPr>
        <w:tc>
          <w:tcPr>
            <w:tcW w:w="1090"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26A549E8" w14:textId="3AC364B1" w:rsidR="0016263A" w:rsidRPr="00A750A6" w:rsidRDefault="0016263A">
            <w:pPr>
              <w:jc w:val="center"/>
              <w:rPr>
                <w:rFonts w:cs="Arial"/>
                <w:b/>
              </w:rPr>
            </w:pPr>
            <w:r w:rsidRPr="00A750A6">
              <w:rPr>
                <w:rFonts w:cs="Arial"/>
                <w:b/>
              </w:rPr>
              <w:t>3.1</w:t>
            </w:r>
            <w:r w:rsidR="00A77DA4" w:rsidRPr="00A750A6">
              <w:rPr>
                <w:rFonts w:cs="Arial"/>
                <w:b/>
              </w:rPr>
              <w:t>7</w:t>
            </w:r>
          </w:p>
        </w:tc>
        <w:tc>
          <w:tcPr>
            <w:tcW w:w="1178"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2E111230" w14:textId="77777777" w:rsidR="0016263A" w:rsidRPr="00E16E27" w:rsidRDefault="0016263A">
            <w:pPr>
              <w:jc w:val="center"/>
              <w:rPr>
                <w:rFonts w:cs="Arial"/>
              </w:rPr>
            </w:pPr>
            <w:r>
              <w:rPr>
                <w:rFonts w:cs="Arial"/>
              </w:rPr>
              <w:t>7.5%</w:t>
            </w:r>
          </w:p>
        </w:tc>
        <w:tc>
          <w:tcPr>
            <w:tcW w:w="3118" w:type="dxa"/>
            <w:tcBorders>
              <w:top w:val="single" w:sz="6" w:space="0" w:color="0B0C0C"/>
              <w:left w:val="single" w:sz="6" w:space="0" w:color="0B0C0C"/>
              <w:bottom w:val="single" w:sz="6" w:space="0" w:color="0B0C0C"/>
              <w:right w:val="single" w:sz="6" w:space="0" w:color="0B0C0C"/>
            </w:tcBorders>
            <w:vAlign w:val="center"/>
          </w:tcPr>
          <w:p w14:paraId="5FF38B29" w14:textId="7EC902D4" w:rsidR="0016263A" w:rsidRPr="00E16E27" w:rsidRDefault="00A97DE9" w:rsidP="00BA2686">
            <w:pPr>
              <w:jc w:val="center"/>
              <w:rPr>
                <w:rFonts w:cs="Arial"/>
              </w:rPr>
            </w:pPr>
            <w:r>
              <w:rPr>
                <w:rFonts w:cs="Arial"/>
              </w:rPr>
              <w:t>0</w:t>
            </w:r>
          </w:p>
        </w:tc>
        <w:tc>
          <w:tcPr>
            <w:tcW w:w="3118" w:type="dxa"/>
            <w:tcBorders>
              <w:top w:val="single" w:sz="6" w:space="0" w:color="0B0C0C"/>
              <w:left w:val="single" w:sz="6" w:space="0" w:color="0B0C0C"/>
              <w:bottom w:val="single" w:sz="6" w:space="0" w:color="0B0C0C"/>
              <w:right w:val="single" w:sz="6" w:space="0" w:color="0B0C0C"/>
            </w:tcBorders>
            <w:vAlign w:val="center"/>
          </w:tcPr>
          <w:p w14:paraId="0052D940" w14:textId="0A340A1D" w:rsidR="0016263A" w:rsidRPr="00E16E27" w:rsidRDefault="00C41958" w:rsidP="00BA2686">
            <w:pPr>
              <w:jc w:val="center"/>
              <w:rPr>
                <w:rFonts w:cs="Arial"/>
              </w:rPr>
            </w:pPr>
            <w:r>
              <w:rPr>
                <w:rFonts w:cs="Arial"/>
              </w:rPr>
              <w:t>0.00</w:t>
            </w:r>
          </w:p>
        </w:tc>
      </w:tr>
      <w:tr w:rsidR="0016263A" w:rsidRPr="00E16E27" w14:paraId="7160DC5D" w14:textId="1084DAF9" w:rsidTr="006B0E8F">
        <w:trPr>
          <w:cantSplit/>
          <w:trHeight w:val="227"/>
        </w:trPr>
        <w:tc>
          <w:tcPr>
            <w:tcW w:w="1090"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hideMark/>
          </w:tcPr>
          <w:p w14:paraId="6CCF2BD9" w14:textId="4F7C0AA8" w:rsidR="0016263A" w:rsidRPr="00A750A6" w:rsidRDefault="0016263A">
            <w:pPr>
              <w:jc w:val="center"/>
              <w:rPr>
                <w:rFonts w:cs="Arial"/>
                <w:b/>
              </w:rPr>
            </w:pPr>
            <w:r w:rsidRPr="00A750A6">
              <w:rPr>
                <w:rFonts w:cs="Arial"/>
                <w:b/>
              </w:rPr>
              <w:t>3.1</w:t>
            </w:r>
            <w:r w:rsidR="00A77DA4" w:rsidRPr="00A750A6">
              <w:rPr>
                <w:rFonts w:cs="Arial"/>
                <w:b/>
              </w:rPr>
              <w:t>8</w:t>
            </w:r>
          </w:p>
        </w:tc>
        <w:tc>
          <w:tcPr>
            <w:tcW w:w="1178"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62D2035D" w14:textId="77777777" w:rsidR="0016263A" w:rsidRPr="00E16E27" w:rsidRDefault="0016263A">
            <w:pPr>
              <w:jc w:val="center"/>
              <w:rPr>
                <w:rFonts w:cs="Arial"/>
              </w:rPr>
            </w:pPr>
            <w:r>
              <w:rPr>
                <w:rFonts w:cs="Arial"/>
              </w:rPr>
              <w:t>7.5%</w:t>
            </w:r>
          </w:p>
        </w:tc>
        <w:tc>
          <w:tcPr>
            <w:tcW w:w="3118" w:type="dxa"/>
            <w:tcBorders>
              <w:top w:val="single" w:sz="6" w:space="0" w:color="0B0C0C"/>
              <w:left w:val="single" w:sz="6" w:space="0" w:color="0B0C0C"/>
              <w:bottom w:val="single" w:sz="6" w:space="0" w:color="0B0C0C"/>
              <w:right w:val="single" w:sz="6" w:space="0" w:color="0B0C0C"/>
            </w:tcBorders>
            <w:vAlign w:val="center"/>
          </w:tcPr>
          <w:p w14:paraId="2DD7F767" w14:textId="25B3FEDC" w:rsidR="0016263A" w:rsidRPr="00E16E27" w:rsidRDefault="00A97DE9" w:rsidP="00BA2686">
            <w:pPr>
              <w:jc w:val="center"/>
              <w:rPr>
                <w:rFonts w:cs="Arial"/>
              </w:rPr>
            </w:pPr>
            <w:r>
              <w:rPr>
                <w:rFonts w:cs="Arial"/>
              </w:rPr>
              <w:t>30</w:t>
            </w:r>
          </w:p>
        </w:tc>
        <w:tc>
          <w:tcPr>
            <w:tcW w:w="3118" w:type="dxa"/>
            <w:tcBorders>
              <w:top w:val="single" w:sz="6" w:space="0" w:color="0B0C0C"/>
              <w:left w:val="single" w:sz="6" w:space="0" w:color="0B0C0C"/>
              <w:bottom w:val="single" w:sz="6" w:space="0" w:color="0B0C0C"/>
              <w:right w:val="single" w:sz="6" w:space="0" w:color="0B0C0C"/>
            </w:tcBorders>
            <w:vAlign w:val="center"/>
          </w:tcPr>
          <w:p w14:paraId="53D12FE6" w14:textId="2C19B980" w:rsidR="0016263A" w:rsidRPr="00E16E27" w:rsidRDefault="00A97DE9" w:rsidP="00BA2686">
            <w:pPr>
              <w:jc w:val="center"/>
              <w:rPr>
                <w:rFonts w:cs="Arial"/>
              </w:rPr>
            </w:pPr>
            <w:r>
              <w:rPr>
                <w:rFonts w:cs="Arial"/>
              </w:rPr>
              <w:t>2.25</w:t>
            </w:r>
          </w:p>
        </w:tc>
      </w:tr>
      <w:tr w:rsidR="0016263A" w:rsidRPr="00E16E27" w14:paraId="1869AAB3" w14:textId="49E25903" w:rsidTr="006B0E8F">
        <w:trPr>
          <w:cantSplit/>
          <w:trHeight w:val="227"/>
        </w:trPr>
        <w:tc>
          <w:tcPr>
            <w:tcW w:w="1090"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2BF2D180" w14:textId="1461550C" w:rsidR="0016263A" w:rsidRPr="00A750A6" w:rsidRDefault="0016263A">
            <w:pPr>
              <w:jc w:val="center"/>
              <w:rPr>
                <w:rFonts w:cs="Arial"/>
                <w:b/>
              </w:rPr>
            </w:pPr>
            <w:r w:rsidRPr="00A750A6">
              <w:rPr>
                <w:rFonts w:cs="Arial"/>
                <w:b/>
              </w:rPr>
              <w:t>3.</w:t>
            </w:r>
            <w:r w:rsidR="00A77DA4" w:rsidRPr="00A750A6">
              <w:rPr>
                <w:rFonts w:cs="Arial"/>
                <w:b/>
              </w:rPr>
              <w:t>19</w:t>
            </w:r>
          </w:p>
        </w:tc>
        <w:tc>
          <w:tcPr>
            <w:tcW w:w="1178" w:type="dxa"/>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D5BDCC4" w14:textId="77777777" w:rsidR="0016263A" w:rsidRPr="00E16E27" w:rsidRDefault="0016263A">
            <w:pPr>
              <w:jc w:val="center"/>
              <w:rPr>
                <w:rFonts w:cs="Arial"/>
              </w:rPr>
            </w:pPr>
            <w:r>
              <w:rPr>
                <w:rFonts w:cs="Arial"/>
              </w:rPr>
              <w:t>5%</w:t>
            </w:r>
          </w:p>
        </w:tc>
        <w:tc>
          <w:tcPr>
            <w:tcW w:w="3118" w:type="dxa"/>
            <w:tcBorders>
              <w:top w:val="single" w:sz="6" w:space="0" w:color="0B0C0C"/>
              <w:left w:val="single" w:sz="6" w:space="0" w:color="0B0C0C"/>
              <w:bottom w:val="single" w:sz="6" w:space="0" w:color="0B0C0C"/>
              <w:right w:val="single" w:sz="6" w:space="0" w:color="0B0C0C"/>
            </w:tcBorders>
            <w:vAlign w:val="center"/>
          </w:tcPr>
          <w:p w14:paraId="683106B2" w14:textId="2C4FEF3E" w:rsidR="0016263A" w:rsidRPr="00E16E27" w:rsidRDefault="00A97DE9" w:rsidP="00BA2686">
            <w:pPr>
              <w:jc w:val="center"/>
              <w:rPr>
                <w:rFonts w:cs="Arial"/>
              </w:rPr>
            </w:pPr>
            <w:r>
              <w:rPr>
                <w:rFonts w:cs="Arial"/>
              </w:rPr>
              <w:t>60</w:t>
            </w:r>
          </w:p>
        </w:tc>
        <w:tc>
          <w:tcPr>
            <w:tcW w:w="3118" w:type="dxa"/>
            <w:tcBorders>
              <w:top w:val="single" w:sz="6" w:space="0" w:color="0B0C0C"/>
              <w:left w:val="single" w:sz="6" w:space="0" w:color="0B0C0C"/>
              <w:bottom w:val="single" w:sz="6" w:space="0" w:color="0B0C0C"/>
              <w:right w:val="single" w:sz="6" w:space="0" w:color="0B0C0C"/>
            </w:tcBorders>
            <w:vAlign w:val="center"/>
          </w:tcPr>
          <w:p w14:paraId="0B7D91AC" w14:textId="125D389E" w:rsidR="0016263A" w:rsidRPr="00E16E27" w:rsidRDefault="00A97DE9" w:rsidP="00BA2686">
            <w:pPr>
              <w:jc w:val="center"/>
              <w:rPr>
                <w:rFonts w:cs="Arial"/>
              </w:rPr>
            </w:pPr>
            <w:r>
              <w:rPr>
                <w:rFonts w:cs="Arial"/>
              </w:rPr>
              <w:t>3</w:t>
            </w:r>
          </w:p>
        </w:tc>
      </w:tr>
      <w:tr w:rsidR="0016263A" w:rsidRPr="00E16E27" w14:paraId="614BAD00" w14:textId="77777777" w:rsidTr="006B0E8F">
        <w:trPr>
          <w:cantSplit/>
          <w:trHeight w:val="227"/>
        </w:trPr>
        <w:tc>
          <w:tcPr>
            <w:tcW w:w="5386" w:type="dxa"/>
            <w:gridSpan w:val="3"/>
            <w:tcBorders>
              <w:top w:val="single" w:sz="6" w:space="0" w:color="0B0C0C"/>
              <w:left w:val="single" w:sz="6" w:space="0" w:color="0B0C0C"/>
              <w:bottom w:val="single" w:sz="6" w:space="0" w:color="0B0C0C"/>
              <w:right w:val="single" w:sz="6" w:space="0" w:color="0B0C0C"/>
            </w:tcBorders>
            <w:tcMar>
              <w:top w:w="10" w:type="dxa"/>
              <w:left w:w="57" w:type="dxa"/>
              <w:bottom w:w="72" w:type="dxa"/>
              <w:right w:w="57" w:type="dxa"/>
            </w:tcMar>
            <w:vAlign w:val="center"/>
          </w:tcPr>
          <w:p w14:paraId="151BE587" w14:textId="6D4091E1" w:rsidR="0016263A" w:rsidRPr="0016263A" w:rsidRDefault="0016263A" w:rsidP="0016263A">
            <w:pPr>
              <w:jc w:val="right"/>
              <w:rPr>
                <w:rFonts w:cs="Arial"/>
                <w:b/>
                <w:bCs/>
              </w:rPr>
            </w:pPr>
            <w:r w:rsidRPr="0016263A">
              <w:rPr>
                <w:rFonts w:cs="Arial"/>
                <w:b/>
                <w:bCs/>
              </w:rPr>
              <w:t xml:space="preserve">Total </w:t>
            </w:r>
            <w:r w:rsidR="00B85DF8">
              <w:rPr>
                <w:rFonts w:cs="Arial"/>
                <w:b/>
                <w:bCs/>
              </w:rPr>
              <w:t xml:space="preserve">Weighted </w:t>
            </w:r>
            <w:r w:rsidRPr="0016263A">
              <w:rPr>
                <w:rFonts w:cs="Arial"/>
                <w:b/>
                <w:bCs/>
              </w:rPr>
              <w:t>PSQ Score</w:t>
            </w:r>
          </w:p>
        </w:tc>
        <w:tc>
          <w:tcPr>
            <w:tcW w:w="3118" w:type="dxa"/>
            <w:tcBorders>
              <w:top w:val="single" w:sz="6" w:space="0" w:color="0B0C0C"/>
              <w:left w:val="single" w:sz="6" w:space="0" w:color="0B0C0C"/>
              <w:bottom w:val="single" w:sz="6" w:space="0" w:color="0B0C0C"/>
              <w:right w:val="single" w:sz="6" w:space="0" w:color="0B0C0C"/>
            </w:tcBorders>
            <w:vAlign w:val="center"/>
          </w:tcPr>
          <w:p w14:paraId="6A412C41" w14:textId="22652ABD" w:rsidR="0016263A" w:rsidRPr="0016263A" w:rsidRDefault="00A97DE9" w:rsidP="0016263A">
            <w:pPr>
              <w:jc w:val="center"/>
              <w:rPr>
                <w:rFonts w:cs="Arial"/>
                <w:b/>
                <w:bCs/>
              </w:rPr>
            </w:pPr>
            <w:r>
              <w:rPr>
                <w:rFonts w:cs="Arial"/>
                <w:b/>
                <w:bCs/>
              </w:rPr>
              <w:t>58.25</w:t>
            </w:r>
          </w:p>
        </w:tc>
      </w:tr>
    </w:tbl>
    <w:p w14:paraId="79E17978" w14:textId="77777777" w:rsidR="0016263A" w:rsidRDefault="0016263A" w:rsidP="0016263A">
      <w:pPr>
        <w:pStyle w:val="Schedule2"/>
        <w:jc w:val="both"/>
      </w:pPr>
    </w:p>
    <w:p w14:paraId="2750A260" w14:textId="77777777" w:rsidR="00DC5FF7" w:rsidRDefault="00DC5FF7" w:rsidP="0016263A">
      <w:pPr>
        <w:pStyle w:val="Schedule2"/>
        <w:jc w:val="both"/>
      </w:pPr>
    </w:p>
    <w:p w14:paraId="64F1445C" w14:textId="2A4308EB" w:rsidR="00170EE4" w:rsidRDefault="00D05B60" w:rsidP="00170EE4">
      <w:pPr>
        <w:pageBreakBefore/>
        <w:spacing w:after="0" w:line="276" w:lineRule="auto"/>
        <w:rPr>
          <w:rFonts w:eastAsia="Arial" w:cs="Calibri"/>
          <w:b/>
        </w:rPr>
      </w:pPr>
      <w:r>
        <w:rPr>
          <w:rFonts w:eastAsia="Arial" w:cs="Calibri"/>
          <w:b/>
        </w:rPr>
        <w:lastRenderedPageBreak/>
        <w:t>Shortlisting</w:t>
      </w:r>
      <w:r w:rsidR="000906B8">
        <w:rPr>
          <w:rFonts w:eastAsia="Arial" w:cs="Calibri"/>
          <w:b/>
        </w:rPr>
        <w:t xml:space="preserve"> </w:t>
      </w:r>
      <w:r w:rsidR="00D81F36">
        <w:rPr>
          <w:rFonts w:eastAsia="Arial" w:cs="Calibri"/>
          <w:b/>
        </w:rPr>
        <w:t>Procedure</w:t>
      </w:r>
    </w:p>
    <w:p w14:paraId="1668F5A5" w14:textId="53E6DB7D" w:rsidR="00051751" w:rsidRPr="00A97DE9" w:rsidRDefault="00F9413A" w:rsidP="00051751">
      <w:pPr>
        <w:pStyle w:val="Schedule2"/>
        <w:numPr>
          <w:ilvl w:val="1"/>
          <w:numId w:val="27"/>
        </w:numPr>
        <w:jc w:val="both"/>
        <w:rPr>
          <w:rFonts w:cs="Arial"/>
        </w:rPr>
      </w:pPr>
      <w:r w:rsidRPr="00A97DE9">
        <w:rPr>
          <w:rFonts w:cs="Arial"/>
        </w:rPr>
        <w:t xml:space="preserve">HMRC intends to shortlist </w:t>
      </w:r>
      <w:r w:rsidR="00051751" w:rsidRPr="00A97DE9">
        <w:rPr>
          <w:rFonts w:cs="Arial"/>
        </w:rPr>
        <w:t>all Suppliers</w:t>
      </w:r>
      <w:r w:rsidRPr="00A97DE9">
        <w:rPr>
          <w:rFonts w:cs="Arial"/>
        </w:rPr>
        <w:t xml:space="preserve"> who submit compliant responses to the PSQ and </w:t>
      </w:r>
      <w:r w:rsidR="00051751" w:rsidRPr="00A97DE9">
        <w:rPr>
          <w:rFonts w:cs="Arial"/>
        </w:rPr>
        <w:t>meet the minimum score requirements as shown below:</w:t>
      </w:r>
    </w:p>
    <w:tbl>
      <w:tblPr>
        <w:tblStyle w:val="TableGrid"/>
        <w:tblW w:w="0" w:type="auto"/>
        <w:tblLook w:val="04A0" w:firstRow="1" w:lastRow="0" w:firstColumn="1" w:lastColumn="0" w:noHBand="0" w:noVBand="1"/>
      </w:tblPr>
      <w:tblGrid>
        <w:gridCol w:w="1413"/>
        <w:gridCol w:w="5245"/>
        <w:gridCol w:w="5103"/>
      </w:tblGrid>
      <w:tr w:rsidR="00D76D88" w14:paraId="74D9F504" w14:textId="2567EB0E" w:rsidTr="006B0E8F">
        <w:tc>
          <w:tcPr>
            <w:tcW w:w="1413" w:type="dxa"/>
            <w:shd w:val="clear" w:color="auto" w:fill="009999"/>
          </w:tcPr>
          <w:p w14:paraId="4D35458E" w14:textId="0895B3B4" w:rsidR="00D76D88" w:rsidRPr="00A97DE9" w:rsidRDefault="00D76D88" w:rsidP="00051751">
            <w:pPr>
              <w:pStyle w:val="Schedule2"/>
              <w:jc w:val="both"/>
              <w:rPr>
                <w:rFonts w:cs="Arial"/>
                <w:b/>
                <w:bCs/>
                <w:color w:val="FFFFFF" w:themeColor="background1"/>
                <w:sz w:val="22"/>
                <w:szCs w:val="22"/>
              </w:rPr>
            </w:pPr>
            <w:bookmarkStart w:id="84" w:name="_Hlk203578619"/>
            <w:r w:rsidRPr="00A97DE9">
              <w:rPr>
                <w:rFonts w:cs="Arial"/>
                <w:b/>
                <w:bCs/>
                <w:color w:val="FFFFFF" w:themeColor="background1"/>
                <w:sz w:val="22"/>
                <w:szCs w:val="22"/>
              </w:rPr>
              <w:t>Question</w:t>
            </w:r>
          </w:p>
        </w:tc>
        <w:tc>
          <w:tcPr>
            <w:tcW w:w="5245" w:type="dxa"/>
            <w:shd w:val="clear" w:color="auto" w:fill="009999"/>
          </w:tcPr>
          <w:p w14:paraId="0FBA3041" w14:textId="17EF1349" w:rsidR="00D76D88" w:rsidRPr="00A97DE9" w:rsidRDefault="00D76D88" w:rsidP="00051751">
            <w:pPr>
              <w:pStyle w:val="Schedule2"/>
              <w:jc w:val="both"/>
              <w:rPr>
                <w:rFonts w:cs="Arial"/>
                <w:b/>
                <w:bCs/>
                <w:color w:val="FFFFFF" w:themeColor="background1"/>
                <w:sz w:val="22"/>
                <w:szCs w:val="22"/>
              </w:rPr>
            </w:pPr>
            <w:r w:rsidRPr="00A97DE9">
              <w:rPr>
                <w:rFonts w:cs="Arial"/>
                <w:b/>
                <w:bCs/>
                <w:color w:val="FFFFFF" w:themeColor="background1"/>
                <w:sz w:val="22"/>
                <w:szCs w:val="22"/>
              </w:rPr>
              <w:t>Minimum Score Requirement – Not Weighted</w:t>
            </w:r>
          </w:p>
        </w:tc>
        <w:tc>
          <w:tcPr>
            <w:tcW w:w="5103" w:type="dxa"/>
            <w:shd w:val="clear" w:color="auto" w:fill="009999"/>
          </w:tcPr>
          <w:p w14:paraId="1EB130A9" w14:textId="5D1C3415" w:rsidR="00D76D88" w:rsidRPr="00A97DE9" w:rsidRDefault="00D76D88" w:rsidP="00051751">
            <w:pPr>
              <w:pStyle w:val="Schedule2"/>
              <w:jc w:val="both"/>
              <w:rPr>
                <w:rFonts w:cs="Arial"/>
                <w:b/>
                <w:bCs/>
                <w:color w:val="FFFFFF" w:themeColor="background1"/>
                <w:sz w:val="22"/>
                <w:szCs w:val="22"/>
              </w:rPr>
            </w:pPr>
            <w:r w:rsidRPr="00A97DE9">
              <w:rPr>
                <w:rFonts w:cs="Arial"/>
                <w:b/>
                <w:bCs/>
                <w:color w:val="FFFFFF" w:themeColor="background1"/>
                <w:sz w:val="22"/>
                <w:szCs w:val="22"/>
              </w:rPr>
              <w:t>Minimum Score Requirement – Weighted</w:t>
            </w:r>
          </w:p>
        </w:tc>
      </w:tr>
      <w:tr w:rsidR="00D76D88" w14:paraId="5D88EEFC" w14:textId="61A0E333" w:rsidTr="006B0E8F">
        <w:tc>
          <w:tcPr>
            <w:tcW w:w="1413" w:type="dxa"/>
          </w:tcPr>
          <w:p w14:paraId="68999EA0" w14:textId="3DEF8D7F" w:rsidR="00D76D88" w:rsidRPr="00A97DE9" w:rsidRDefault="00D76D88" w:rsidP="00051751">
            <w:pPr>
              <w:pStyle w:val="Schedule2"/>
              <w:jc w:val="both"/>
              <w:rPr>
                <w:rFonts w:cs="Arial"/>
                <w:sz w:val="22"/>
                <w:szCs w:val="22"/>
              </w:rPr>
            </w:pPr>
            <w:r w:rsidRPr="00A97DE9">
              <w:rPr>
                <w:rFonts w:cs="Arial"/>
                <w:sz w:val="22"/>
                <w:szCs w:val="22"/>
              </w:rPr>
              <w:t>3,12</w:t>
            </w:r>
          </w:p>
        </w:tc>
        <w:tc>
          <w:tcPr>
            <w:tcW w:w="5245" w:type="dxa"/>
          </w:tcPr>
          <w:p w14:paraId="686749D9" w14:textId="580AD813" w:rsidR="00D76D88" w:rsidRPr="00A97DE9" w:rsidRDefault="00D76D88" w:rsidP="00051751">
            <w:pPr>
              <w:pStyle w:val="Schedule2"/>
              <w:jc w:val="both"/>
              <w:rPr>
                <w:rFonts w:cs="Arial"/>
                <w:sz w:val="22"/>
                <w:szCs w:val="22"/>
              </w:rPr>
            </w:pPr>
            <w:r w:rsidRPr="00A97DE9">
              <w:rPr>
                <w:rFonts w:cs="Arial"/>
                <w:sz w:val="22"/>
                <w:szCs w:val="22"/>
              </w:rPr>
              <w:t>60 out of 100 (Fully Meets)</w:t>
            </w:r>
          </w:p>
        </w:tc>
        <w:tc>
          <w:tcPr>
            <w:tcW w:w="5103" w:type="dxa"/>
          </w:tcPr>
          <w:p w14:paraId="74390459" w14:textId="3A2A28F7" w:rsidR="00D76D88" w:rsidRPr="00A97DE9" w:rsidRDefault="00D76D88" w:rsidP="00051751">
            <w:pPr>
              <w:pStyle w:val="Schedule2"/>
              <w:jc w:val="both"/>
              <w:rPr>
                <w:rFonts w:cs="Arial"/>
                <w:sz w:val="22"/>
                <w:szCs w:val="22"/>
              </w:rPr>
            </w:pPr>
            <w:r w:rsidRPr="00A97DE9">
              <w:rPr>
                <w:rFonts w:cs="Arial"/>
                <w:sz w:val="22"/>
                <w:szCs w:val="22"/>
              </w:rPr>
              <w:t>15</w:t>
            </w:r>
          </w:p>
        </w:tc>
      </w:tr>
      <w:tr w:rsidR="00D76D88" w14:paraId="447F5C94" w14:textId="5319DEBB" w:rsidTr="006B0E8F">
        <w:tc>
          <w:tcPr>
            <w:tcW w:w="1413" w:type="dxa"/>
          </w:tcPr>
          <w:p w14:paraId="69451BA0" w14:textId="24410D37" w:rsidR="00D76D88" w:rsidRPr="00A97DE9" w:rsidRDefault="00D76D88" w:rsidP="00051751">
            <w:pPr>
              <w:pStyle w:val="Schedule2"/>
              <w:jc w:val="both"/>
              <w:rPr>
                <w:rFonts w:cs="Arial"/>
                <w:sz w:val="22"/>
                <w:szCs w:val="22"/>
              </w:rPr>
            </w:pPr>
            <w:r w:rsidRPr="00A97DE9">
              <w:rPr>
                <w:rFonts w:cs="Arial"/>
                <w:sz w:val="22"/>
                <w:szCs w:val="22"/>
              </w:rPr>
              <w:t>3.13</w:t>
            </w:r>
          </w:p>
        </w:tc>
        <w:tc>
          <w:tcPr>
            <w:tcW w:w="5245" w:type="dxa"/>
          </w:tcPr>
          <w:p w14:paraId="1B41C06A" w14:textId="25F62EFD" w:rsidR="00D76D88" w:rsidRPr="00A97DE9" w:rsidRDefault="00D76D88" w:rsidP="00051751">
            <w:pPr>
              <w:pStyle w:val="Schedule2"/>
              <w:jc w:val="both"/>
              <w:rPr>
                <w:rFonts w:cs="Arial"/>
                <w:sz w:val="22"/>
                <w:szCs w:val="22"/>
              </w:rPr>
            </w:pPr>
            <w:r w:rsidRPr="00A97DE9">
              <w:rPr>
                <w:rFonts w:cs="Arial"/>
                <w:sz w:val="22"/>
                <w:szCs w:val="22"/>
              </w:rPr>
              <w:t>60 out of 100 (Fully Meets)</w:t>
            </w:r>
          </w:p>
        </w:tc>
        <w:tc>
          <w:tcPr>
            <w:tcW w:w="5103" w:type="dxa"/>
          </w:tcPr>
          <w:p w14:paraId="22828806" w14:textId="02960769" w:rsidR="00D76D88" w:rsidRPr="00A97DE9" w:rsidRDefault="00D76D88" w:rsidP="00051751">
            <w:pPr>
              <w:pStyle w:val="Schedule2"/>
              <w:jc w:val="both"/>
              <w:rPr>
                <w:rFonts w:cs="Arial"/>
                <w:sz w:val="22"/>
                <w:szCs w:val="22"/>
              </w:rPr>
            </w:pPr>
            <w:r w:rsidRPr="00A97DE9">
              <w:rPr>
                <w:rFonts w:cs="Arial"/>
                <w:sz w:val="22"/>
                <w:szCs w:val="22"/>
              </w:rPr>
              <w:t>12</w:t>
            </w:r>
          </w:p>
        </w:tc>
      </w:tr>
      <w:tr w:rsidR="00D76D88" w14:paraId="78C65B5D" w14:textId="685FEE8C" w:rsidTr="006B0E8F">
        <w:tc>
          <w:tcPr>
            <w:tcW w:w="1413" w:type="dxa"/>
          </w:tcPr>
          <w:p w14:paraId="650F6AD6" w14:textId="56E7F28A" w:rsidR="00D76D88" w:rsidRPr="00A97DE9" w:rsidRDefault="00D76D88" w:rsidP="00051751">
            <w:pPr>
              <w:pStyle w:val="Schedule2"/>
              <w:jc w:val="both"/>
              <w:rPr>
                <w:rFonts w:cs="Arial"/>
                <w:sz w:val="22"/>
                <w:szCs w:val="22"/>
              </w:rPr>
            </w:pPr>
            <w:r w:rsidRPr="00A97DE9">
              <w:rPr>
                <w:rFonts w:cs="Arial"/>
                <w:sz w:val="22"/>
                <w:szCs w:val="22"/>
              </w:rPr>
              <w:t>3.14</w:t>
            </w:r>
          </w:p>
        </w:tc>
        <w:tc>
          <w:tcPr>
            <w:tcW w:w="5245" w:type="dxa"/>
          </w:tcPr>
          <w:p w14:paraId="1B82821D" w14:textId="7075776C" w:rsidR="00D76D88" w:rsidRPr="00A97DE9" w:rsidRDefault="00D76D88" w:rsidP="00051751">
            <w:pPr>
              <w:pStyle w:val="Schedule2"/>
              <w:jc w:val="both"/>
              <w:rPr>
                <w:rFonts w:cs="Arial"/>
                <w:sz w:val="22"/>
                <w:szCs w:val="22"/>
              </w:rPr>
            </w:pPr>
            <w:r w:rsidRPr="00A97DE9">
              <w:rPr>
                <w:rFonts w:cs="Arial"/>
                <w:sz w:val="22"/>
                <w:szCs w:val="22"/>
              </w:rPr>
              <w:t>60 out of 100 (Fully Meets)</w:t>
            </w:r>
          </w:p>
        </w:tc>
        <w:tc>
          <w:tcPr>
            <w:tcW w:w="5103" w:type="dxa"/>
          </w:tcPr>
          <w:p w14:paraId="434F6C6B" w14:textId="50A6ECD5" w:rsidR="00D76D88" w:rsidRPr="00A97DE9" w:rsidRDefault="00D76D88" w:rsidP="00051751">
            <w:pPr>
              <w:pStyle w:val="Schedule2"/>
              <w:jc w:val="both"/>
              <w:rPr>
                <w:rFonts w:cs="Arial"/>
                <w:sz w:val="22"/>
                <w:szCs w:val="22"/>
              </w:rPr>
            </w:pPr>
            <w:r w:rsidRPr="00A97DE9">
              <w:rPr>
                <w:rFonts w:cs="Arial"/>
                <w:sz w:val="22"/>
                <w:szCs w:val="22"/>
              </w:rPr>
              <w:t>9</w:t>
            </w:r>
          </w:p>
        </w:tc>
      </w:tr>
      <w:tr w:rsidR="00D76D88" w14:paraId="1D301B65" w14:textId="5AC38457" w:rsidTr="006B0E8F">
        <w:tc>
          <w:tcPr>
            <w:tcW w:w="1413" w:type="dxa"/>
          </w:tcPr>
          <w:p w14:paraId="6CABEDE7" w14:textId="5BDE0DC2" w:rsidR="00D76D88" w:rsidRPr="00A97DE9" w:rsidRDefault="00D76D88" w:rsidP="00051751">
            <w:pPr>
              <w:pStyle w:val="Schedule2"/>
              <w:jc w:val="both"/>
              <w:rPr>
                <w:rFonts w:cs="Arial"/>
                <w:sz w:val="22"/>
                <w:szCs w:val="22"/>
              </w:rPr>
            </w:pPr>
            <w:r w:rsidRPr="00A97DE9">
              <w:rPr>
                <w:rFonts w:cs="Arial"/>
                <w:sz w:val="22"/>
                <w:szCs w:val="22"/>
              </w:rPr>
              <w:t>3.15</w:t>
            </w:r>
          </w:p>
        </w:tc>
        <w:tc>
          <w:tcPr>
            <w:tcW w:w="5245" w:type="dxa"/>
          </w:tcPr>
          <w:p w14:paraId="1AD29F25" w14:textId="6573706E" w:rsidR="00D76D88" w:rsidRPr="00A97DE9" w:rsidRDefault="00D76D88" w:rsidP="00051751">
            <w:pPr>
              <w:pStyle w:val="Schedule2"/>
              <w:jc w:val="both"/>
              <w:rPr>
                <w:rFonts w:cs="Arial"/>
                <w:sz w:val="22"/>
                <w:szCs w:val="22"/>
              </w:rPr>
            </w:pPr>
            <w:r w:rsidRPr="00A97DE9">
              <w:rPr>
                <w:rFonts w:cs="Arial"/>
                <w:sz w:val="22"/>
                <w:szCs w:val="22"/>
              </w:rPr>
              <w:t>60 out of 100 (Fully Meets)</w:t>
            </w:r>
          </w:p>
        </w:tc>
        <w:tc>
          <w:tcPr>
            <w:tcW w:w="5103" w:type="dxa"/>
          </w:tcPr>
          <w:p w14:paraId="19B8E3E3" w14:textId="2ED88F3C" w:rsidR="00D76D88" w:rsidRPr="00A97DE9" w:rsidRDefault="00D76D88" w:rsidP="00051751">
            <w:pPr>
              <w:pStyle w:val="Schedule2"/>
              <w:jc w:val="both"/>
              <w:rPr>
                <w:rFonts w:cs="Arial"/>
                <w:sz w:val="22"/>
                <w:szCs w:val="22"/>
              </w:rPr>
            </w:pPr>
            <w:r w:rsidRPr="00A97DE9">
              <w:rPr>
                <w:rFonts w:cs="Arial"/>
                <w:sz w:val="22"/>
                <w:szCs w:val="22"/>
              </w:rPr>
              <w:t>6</w:t>
            </w:r>
          </w:p>
        </w:tc>
      </w:tr>
      <w:tr w:rsidR="00D76D88" w14:paraId="63A86221" w14:textId="4D8C827C" w:rsidTr="006B0E8F">
        <w:tc>
          <w:tcPr>
            <w:tcW w:w="1413" w:type="dxa"/>
          </w:tcPr>
          <w:p w14:paraId="5997BA12" w14:textId="43BF1EFF" w:rsidR="00D76D88" w:rsidRPr="00A97DE9" w:rsidRDefault="00D76D88" w:rsidP="00051751">
            <w:pPr>
              <w:pStyle w:val="Schedule2"/>
              <w:jc w:val="both"/>
              <w:rPr>
                <w:rFonts w:cs="Arial"/>
                <w:sz w:val="22"/>
                <w:szCs w:val="22"/>
              </w:rPr>
            </w:pPr>
            <w:r w:rsidRPr="00A97DE9">
              <w:rPr>
                <w:rFonts w:cs="Arial"/>
                <w:sz w:val="22"/>
                <w:szCs w:val="22"/>
              </w:rPr>
              <w:t>3.16</w:t>
            </w:r>
          </w:p>
        </w:tc>
        <w:tc>
          <w:tcPr>
            <w:tcW w:w="5245" w:type="dxa"/>
          </w:tcPr>
          <w:p w14:paraId="2CCA3036" w14:textId="09F8178E" w:rsidR="00D76D88" w:rsidRPr="00A97DE9" w:rsidRDefault="00D76D88" w:rsidP="00051751">
            <w:pPr>
              <w:pStyle w:val="Schedule2"/>
              <w:jc w:val="both"/>
              <w:rPr>
                <w:rFonts w:cs="Arial"/>
                <w:sz w:val="22"/>
                <w:szCs w:val="22"/>
              </w:rPr>
            </w:pPr>
            <w:r w:rsidRPr="00A97DE9">
              <w:rPr>
                <w:rFonts w:cs="Arial"/>
                <w:sz w:val="22"/>
                <w:szCs w:val="22"/>
              </w:rPr>
              <w:t>30 out of 100 (Partially Meets)</w:t>
            </w:r>
          </w:p>
        </w:tc>
        <w:tc>
          <w:tcPr>
            <w:tcW w:w="5103" w:type="dxa"/>
          </w:tcPr>
          <w:p w14:paraId="2276B82C" w14:textId="2DB3140C" w:rsidR="00D76D88" w:rsidRPr="00A97DE9" w:rsidRDefault="00D76D88" w:rsidP="00051751">
            <w:pPr>
              <w:pStyle w:val="Schedule2"/>
              <w:jc w:val="both"/>
              <w:rPr>
                <w:rFonts w:cs="Arial"/>
                <w:sz w:val="22"/>
                <w:szCs w:val="22"/>
              </w:rPr>
            </w:pPr>
            <w:r w:rsidRPr="00A97DE9">
              <w:rPr>
                <w:rFonts w:cs="Arial"/>
                <w:sz w:val="22"/>
                <w:szCs w:val="22"/>
              </w:rPr>
              <w:t>3</w:t>
            </w:r>
          </w:p>
        </w:tc>
      </w:tr>
      <w:tr w:rsidR="00D76D88" w14:paraId="0F096CB5" w14:textId="2E58C966" w:rsidTr="006B0E8F">
        <w:tc>
          <w:tcPr>
            <w:tcW w:w="1413" w:type="dxa"/>
          </w:tcPr>
          <w:p w14:paraId="2CB209F4" w14:textId="59D0BC84" w:rsidR="00D76D88" w:rsidRPr="00A97DE9" w:rsidRDefault="00D76D88" w:rsidP="00D76D88">
            <w:pPr>
              <w:pStyle w:val="Schedule2"/>
              <w:jc w:val="both"/>
              <w:rPr>
                <w:rFonts w:cs="Arial"/>
                <w:sz w:val="22"/>
                <w:szCs w:val="22"/>
              </w:rPr>
            </w:pPr>
            <w:r w:rsidRPr="00A97DE9">
              <w:rPr>
                <w:rFonts w:cs="Arial"/>
                <w:sz w:val="22"/>
                <w:szCs w:val="22"/>
              </w:rPr>
              <w:t>3.17</w:t>
            </w:r>
          </w:p>
        </w:tc>
        <w:tc>
          <w:tcPr>
            <w:tcW w:w="5245" w:type="dxa"/>
          </w:tcPr>
          <w:p w14:paraId="4534A0CB" w14:textId="7135BBE0" w:rsidR="00D76D88" w:rsidRPr="00A97DE9" w:rsidRDefault="00D76D88" w:rsidP="00D76D88">
            <w:pPr>
              <w:pStyle w:val="Schedule2"/>
              <w:jc w:val="both"/>
              <w:rPr>
                <w:rFonts w:cs="Arial"/>
                <w:sz w:val="22"/>
                <w:szCs w:val="22"/>
              </w:rPr>
            </w:pPr>
            <w:r w:rsidRPr="00A97DE9">
              <w:rPr>
                <w:rFonts w:cs="Arial"/>
                <w:sz w:val="22"/>
                <w:szCs w:val="22"/>
              </w:rPr>
              <w:t>30 out of 100 (Partially Meets)</w:t>
            </w:r>
          </w:p>
        </w:tc>
        <w:tc>
          <w:tcPr>
            <w:tcW w:w="5103" w:type="dxa"/>
          </w:tcPr>
          <w:p w14:paraId="1F33244D" w14:textId="03E8CF0B" w:rsidR="00D76D88" w:rsidRPr="00A97DE9" w:rsidRDefault="00D76D88" w:rsidP="00D76D88">
            <w:pPr>
              <w:pStyle w:val="Schedule2"/>
              <w:jc w:val="both"/>
              <w:rPr>
                <w:rFonts w:cs="Arial"/>
                <w:sz w:val="22"/>
                <w:szCs w:val="22"/>
              </w:rPr>
            </w:pPr>
            <w:r w:rsidRPr="00A97DE9">
              <w:rPr>
                <w:rFonts w:cs="Arial"/>
                <w:sz w:val="22"/>
                <w:szCs w:val="22"/>
              </w:rPr>
              <w:t>2.25</w:t>
            </w:r>
          </w:p>
        </w:tc>
      </w:tr>
      <w:tr w:rsidR="00D76D88" w14:paraId="2F8FFD23" w14:textId="68C7E156" w:rsidTr="006B0E8F">
        <w:tc>
          <w:tcPr>
            <w:tcW w:w="1413" w:type="dxa"/>
          </w:tcPr>
          <w:p w14:paraId="74AD2ACA" w14:textId="70482E18" w:rsidR="00D76D88" w:rsidRPr="00A97DE9" w:rsidRDefault="00D76D88" w:rsidP="00D76D88">
            <w:pPr>
              <w:pStyle w:val="Schedule2"/>
              <w:jc w:val="both"/>
              <w:rPr>
                <w:rFonts w:cs="Arial"/>
                <w:sz w:val="22"/>
                <w:szCs w:val="22"/>
              </w:rPr>
            </w:pPr>
            <w:r w:rsidRPr="00A97DE9">
              <w:rPr>
                <w:rFonts w:cs="Arial"/>
                <w:sz w:val="22"/>
                <w:szCs w:val="22"/>
              </w:rPr>
              <w:t>3.18</w:t>
            </w:r>
          </w:p>
        </w:tc>
        <w:tc>
          <w:tcPr>
            <w:tcW w:w="5245" w:type="dxa"/>
          </w:tcPr>
          <w:p w14:paraId="324F8437" w14:textId="35757F9B" w:rsidR="00D76D88" w:rsidRPr="00A97DE9" w:rsidRDefault="00D76D88" w:rsidP="00D76D88">
            <w:pPr>
              <w:pStyle w:val="Schedule2"/>
              <w:jc w:val="both"/>
              <w:rPr>
                <w:rFonts w:cs="Arial"/>
                <w:sz w:val="22"/>
                <w:szCs w:val="22"/>
              </w:rPr>
            </w:pPr>
            <w:r w:rsidRPr="00A97DE9">
              <w:rPr>
                <w:rFonts w:cs="Arial"/>
                <w:sz w:val="22"/>
                <w:szCs w:val="22"/>
              </w:rPr>
              <w:t>30 out of 100 (Partially Meets)</w:t>
            </w:r>
          </w:p>
        </w:tc>
        <w:tc>
          <w:tcPr>
            <w:tcW w:w="5103" w:type="dxa"/>
          </w:tcPr>
          <w:p w14:paraId="571CA1F1" w14:textId="69C98643" w:rsidR="00D76D88" w:rsidRPr="00A97DE9" w:rsidRDefault="00D76D88" w:rsidP="00D76D88">
            <w:pPr>
              <w:pStyle w:val="Schedule2"/>
              <w:jc w:val="both"/>
              <w:rPr>
                <w:rFonts w:cs="Arial"/>
                <w:sz w:val="22"/>
                <w:szCs w:val="22"/>
              </w:rPr>
            </w:pPr>
            <w:r w:rsidRPr="00A97DE9">
              <w:rPr>
                <w:rFonts w:cs="Arial"/>
                <w:sz w:val="22"/>
                <w:szCs w:val="22"/>
              </w:rPr>
              <w:t>2.25</w:t>
            </w:r>
          </w:p>
        </w:tc>
      </w:tr>
      <w:tr w:rsidR="00D76D88" w14:paraId="1AD5E4C2" w14:textId="3F01B1E2" w:rsidTr="006B0E8F">
        <w:tc>
          <w:tcPr>
            <w:tcW w:w="1413" w:type="dxa"/>
          </w:tcPr>
          <w:p w14:paraId="5CE21EF5" w14:textId="5B6211A6" w:rsidR="00D76D88" w:rsidRPr="00A97DE9" w:rsidRDefault="00D76D88" w:rsidP="00D76D88">
            <w:pPr>
              <w:pStyle w:val="Schedule2"/>
              <w:jc w:val="both"/>
              <w:rPr>
                <w:rFonts w:cs="Arial"/>
                <w:sz w:val="22"/>
                <w:szCs w:val="22"/>
              </w:rPr>
            </w:pPr>
            <w:r w:rsidRPr="00A97DE9">
              <w:rPr>
                <w:rFonts w:cs="Arial"/>
                <w:sz w:val="22"/>
                <w:szCs w:val="22"/>
              </w:rPr>
              <w:t>3.19</w:t>
            </w:r>
          </w:p>
        </w:tc>
        <w:tc>
          <w:tcPr>
            <w:tcW w:w="5245" w:type="dxa"/>
          </w:tcPr>
          <w:p w14:paraId="69CA8ED1" w14:textId="77AD2144" w:rsidR="00D76D88" w:rsidRPr="00A97DE9" w:rsidRDefault="00D76D88" w:rsidP="00D76D88">
            <w:pPr>
              <w:pStyle w:val="Schedule2"/>
              <w:jc w:val="both"/>
              <w:rPr>
                <w:rFonts w:cs="Arial"/>
                <w:sz w:val="22"/>
                <w:szCs w:val="22"/>
              </w:rPr>
            </w:pPr>
            <w:r w:rsidRPr="00A97DE9">
              <w:rPr>
                <w:rFonts w:cs="Arial"/>
                <w:sz w:val="22"/>
                <w:szCs w:val="22"/>
              </w:rPr>
              <w:t>30 out of 100 (Partially Meets)</w:t>
            </w:r>
          </w:p>
        </w:tc>
        <w:tc>
          <w:tcPr>
            <w:tcW w:w="5103" w:type="dxa"/>
          </w:tcPr>
          <w:p w14:paraId="3F12089D" w14:textId="6BC33406" w:rsidR="00D76D88" w:rsidRPr="00A97DE9" w:rsidRDefault="00D76D88" w:rsidP="00D76D88">
            <w:pPr>
              <w:pStyle w:val="Schedule2"/>
              <w:jc w:val="both"/>
              <w:rPr>
                <w:rFonts w:cs="Arial"/>
                <w:sz w:val="22"/>
                <w:szCs w:val="22"/>
              </w:rPr>
            </w:pPr>
            <w:r w:rsidRPr="00A97DE9">
              <w:rPr>
                <w:rFonts w:cs="Arial"/>
                <w:sz w:val="22"/>
                <w:szCs w:val="22"/>
              </w:rPr>
              <w:t>1.5</w:t>
            </w:r>
          </w:p>
        </w:tc>
      </w:tr>
      <w:bookmarkEnd w:id="84"/>
    </w:tbl>
    <w:p w14:paraId="5BEBEDEB" w14:textId="77777777" w:rsidR="00051751" w:rsidRPr="00A97DE9" w:rsidRDefault="00051751" w:rsidP="00D76D88">
      <w:pPr>
        <w:pStyle w:val="Schedule2"/>
        <w:spacing w:after="0"/>
        <w:jc w:val="both"/>
        <w:rPr>
          <w:rFonts w:cs="Arial"/>
        </w:rPr>
      </w:pPr>
    </w:p>
    <w:p w14:paraId="5F2688EE" w14:textId="218224E1" w:rsidR="00D76D88" w:rsidRPr="00A97DE9" w:rsidRDefault="00D76D88" w:rsidP="00051751">
      <w:pPr>
        <w:pStyle w:val="Schedule2"/>
        <w:numPr>
          <w:ilvl w:val="1"/>
          <w:numId w:val="27"/>
        </w:numPr>
        <w:jc w:val="both"/>
        <w:rPr>
          <w:rFonts w:cs="Arial"/>
        </w:rPr>
      </w:pPr>
      <w:r w:rsidRPr="00A97DE9">
        <w:rPr>
          <w:rFonts w:cs="Arial"/>
        </w:rPr>
        <w:t>Any Supplier who does not meet the minimum score requirement for any question will be excluded from this procurement exercise.</w:t>
      </w:r>
    </w:p>
    <w:p w14:paraId="38AF9898" w14:textId="585DCB87" w:rsidR="002412F7" w:rsidRPr="00A97DE9" w:rsidRDefault="002412F7" w:rsidP="00C06284">
      <w:pPr>
        <w:pStyle w:val="Schedule2"/>
        <w:numPr>
          <w:ilvl w:val="1"/>
          <w:numId w:val="27"/>
        </w:numPr>
        <w:jc w:val="both"/>
        <w:rPr>
          <w:rFonts w:cs="Arial"/>
        </w:rPr>
      </w:pPr>
      <w:r w:rsidRPr="00A97DE9">
        <w:rPr>
          <w:rFonts w:cs="Arial"/>
        </w:rPr>
        <w:t>Worked Example:</w:t>
      </w:r>
    </w:p>
    <w:tbl>
      <w:tblPr>
        <w:tblStyle w:val="TableGrid"/>
        <w:tblW w:w="0" w:type="auto"/>
        <w:tblLook w:val="04A0" w:firstRow="1" w:lastRow="0" w:firstColumn="1" w:lastColumn="0" w:noHBand="0" w:noVBand="1"/>
      </w:tblPr>
      <w:tblGrid>
        <w:gridCol w:w="1228"/>
        <w:gridCol w:w="1161"/>
        <w:gridCol w:w="1161"/>
        <w:gridCol w:w="1162"/>
        <w:gridCol w:w="1162"/>
        <w:gridCol w:w="1162"/>
        <w:gridCol w:w="1162"/>
        <w:gridCol w:w="1162"/>
        <w:gridCol w:w="1089"/>
        <w:gridCol w:w="1250"/>
        <w:gridCol w:w="1256"/>
      </w:tblGrid>
      <w:tr w:rsidR="00657CE2" w14:paraId="1AD5C050" w14:textId="77777777" w:rsidTr="006B0E8F">
        <w:tc>
          <w:tcPr>
            <w:tcW w:w="1230" w:type="dxa"/>
            <w:tcBorders>
              <w:top w:val="nil"/>
              <w:left w:val="nil"/>
              <w:bottom w:val="nil"/>
              <w:right w:val="single" w:sz="4" w:space="0" w:color="auto"/>
            </w:tcBorders>
          </w:tcPr>
          <w:p w14:paraId="0AC3ECB3" w14:textId="77777777" w:rsidR="00657CE2" w:rsidRPr="00A97DE9" w:rsidRDefault="00657CE2" w:rsidP="002412F7">
            <w:pPr>
              <w:pStyle w:val="Schedule2"/>
              <w:jc w:val="both"/>
              <w:rPr>
                <w:rFonts w:cs="Arial"/>
                <w:sz w:val="22"/>
                <w:szCs w:val="22"/>
              </w:rPr>
            </w:pPr>
          </w:p>
        </w:tc>
        <w:tc>
          <w:tcPr>
            <w:tcW w:w="9231" w:type="dxa"/>
            <w:gridSpan w:val="8"/>
            <w:tcBorders>
              <w:left w:val="single" w:sz="4" w:space="0" w:color="auto"/>
            </w:tcBorders>
            <w:shd w:val="clear" w:color="auto" w:fill="009999"/>
          </w:tcPr>
          <w:p w14:paraId="3DAF59F9" w14:textId="0EAE1FE9" w:rsidR="00657CE2" w:rsidRPr="00A97DE9" w:rsidRDefault="00657CE2" w:rsidP="00657CE2">
            <w:pPr>
              <w:pStyle w:val="Schedule2"/>
              <w:jc w:val="center"/>
              <w:rPr>
                <w:rFonts w:cs="Arial"/>
                <w:b/>
                <w:bCs/>
                <w:color w:val="FFFFFF" w:themeColor="background1"/>
                <w:sz w:val="22"/>
                <w:szCs w:val="22"/>
              </w:rPr>
            </w:pPr>
            <w:r w:rsidRPr="00A97DE9">
              <w:rPr>
                <w:rFonts w:cs="Arial"/>
                <w:b/>
                <w:bCs/>
                <w:color w:val="FFFFFF" w:themeColor="background1"/>
                <w:sz w:val="22"/>
                <w:szCs w:val="22"/>
              </w:rPr>
              <w:t>Question Scores</w:t>
            </w:r>
          </w:p>
        </w:tc>
        <w:tc>
          <w:tcPr>
            <w:tcW w:w="1250" w:type="dxa"/>
            <w:vMerge w:val="restart"/>
            <w:shd w:val="clear" w:color="auto" w:fill="009999"/>
          </w:tcPr>
          <w:p w14:paraId="5095D4D1" w14:textId="5E42A48B" w:rsidR="00657CE2" w:rsidRPr="00A97DE9" w:rsidRDefault="00657CE2" w:rsidP="002412F7">
            <w:pPr>
              <w:pStyle w:val="Schedule2"/>
              <w:jc w:val="both"/>
              <w:rPr>
                <w:rFonts w:cs="Arial"/>
                <w:b/>
                <w:bCs/>
                <w:color w:val="FFFFFF" w:themeColor="background1"/>
                <w:sz w:val="22"/>
                <w:szCs w:val="22"/>
              </w:rPr>
            </w:pPr>
            <w:r w:rsidRPr="00A97DE9">
              <w:rPr>
                <w:rFonts w:cs="Arial"/>
                <w:b/>
                <w:bCs/>
                <w:color w:val="FFFFFF" w:themeColor="background1"/>
                <w:sz w:val="22"/>
                <w:szCs w:val="22"/>
              </w:rPr>
              <w:t>Weighted Score</w:t>
            </w:r>
          </w:p>
        </w:tc>
        <w:tc>
          <w:tcPr>
            <w:tcW w:w="1244" w:type="dxa"/>
            <w:vMerge w:val="restart"/>
            <w:shd w:val="clear" w:color="auto" w:fill="009999"/>
          </w:tcPr>
          <w:p w14:paraId="1F12445F" w14:textId="1DE7EAC4" w:rsidR="00657CE2" w:rsidRPr="00A97DE9" w:rsidRDefault="00657CE2" w:rsidP="002412F7">
            <w:pPr>
              <w:pStyle w:val="Schedule2"/>
              <w:jc w:val="both"/>
              <w:rPr>
                <w:rFonts w:cs="Arial"/>
                <w:b/>
                <w:bCs/>
                <w:color w:val="FFFFFF" w:themeColor="background1"/>
                <w:sz w:val="22"/>
                <w:szCs w:val="22"/>
              </w:rPr>
            </w:pPr>
            <w:r w:rsidRPr="00A97DE9">
              <w:rPr>
                <w:rFonts w:cs="Arial"/>
                <w:b/>
                <w:bCs/>
                <w:color w:val="FFFFFF" w:themeColor="background1"/>
                <w:sz w:val="22"/>
                <w:szCs w:val="22"/>
              </w:rPr>
              <w:t>Outcome</w:t>
            </w:r>
          </w:p>
        </w:tc>
      </w:tr>
      <w:tr w:rsidR="00657CE2" w14:paraId="1911838D" w14:textId="77777777" w:rsidTr="006B0E8F">
        <w:tc>
          <w:tcPr>
            <w:tcW w:w="1230" w:type="dxa"/>
            <w:tcBorders>
              <w:top w:val="nil"/>
              <w:left w:val="nil"/>
              <w:bottom w:val="single" w:sz="4" w:space="0" w:color="auto"/>
              <w:right w:val="single" w:sz="4" w:space="0" w:color="auto"/>
            </w:tcBorders>
          </w:tcPr>
          <w:p w14:paraId="5420399D" w14:textId="77777777" w:rsidR="00657CE2" w:rsidRPr="00A97DE9" w:rsidRDefault="00657CE2" w:rsidP="00657CE2">
            <w:pPr>
              <w:pStyle w:val="Schedule2"/>
              <w:jc w:val="both"/>
              <w:rPr>
                <w:rFonts w:cs="Arial"/>
                <w:sz w:val="22"/>
                <w:szCs w:val="22"/>
              </w:rPr>
            </w:pPr>
          </w:p>
        </w:tc>
        <w:tc>
          <w:tcPr>
            <w:tcW w:w="1163" w:type="dxa"/>
            <w:tcBorders>
              <w:left w:val="single" w:sz="4" w:space="0" w:color="auto"/>
            </w:tcBorders>
            <w:shd w:val="clear" w:color="auto" w:fill="D9FFFF"/>
          </w:tcPr>
          <w:p w14:paraId="734F2E26" w14:textId="472B585D" w:rsidR="00657CE2" w:rsidRPr="00A97DE9" w:rsidRDefault="00657CE2" w:rsidP="00657CE2">
            <w:pPr>
              <w:pStyle w:val="Schedule2"/>
              <w:jc w:val="both"/>
              <w:rPr>
                <w:rFonts w:cs="Arial"/>
                <w:sz w:val="22"/>
                <w:szCs w:val="22"/>
              </w:rPr>
            </w:pPr>
            <w:r w:rsidRPr="00A97DE9">
              <w:rPr>
                <w:rFonts w:cs="Arial"/>
                <w:sz w:val="22"/>
                <w:szCs w:val="22"/>
              </w:rPr>
              <w:t>3.12</w:t>
            </w:r>
          </w:p>
        </w:tc>
        <w:tc>
          <w:tcPr>
            <w:tcW w:w="1163" w:type="dxa"/>
            <w:shd w:val="clear" w:color="auto" w:fill="D9FFFF"/>
          </w:tcPr>
          <w:p w14:paraId="3FAA5A25" w14:textId="64E9CC90" w:rsidR="00657CE2" w:rsidRPr="00A97DE9" w:rsidRDefault="00657CE2" w:rsidP="00657CE2">
            <w:pPr>
              <w:pStyle w:val="Schedule2"/>
              <w:jc w:val="both"/>
              <w:rPr>
                <w:rFonts w:cs="Arial"/>
                <w:sz w:val="22"/>
                <w:szCs w:val="22"/>
              </w:rPr>
            </w:pPr>
            <w:r w:rsidRPr="00A97DE9">
              <w:rPr>
                <w:rFonts w:cs="Arial"/>
                <w:sz w:val="22"/>
                <w:szCs w:val="22"/>
              </w:rPr>
              <w:t>3.13</w:t>
            </w:r>
          </w:p>
        </w:tc>
        <w:tc>
          <w:tcPr>
            <w:tcW w:w="1163" w:type="dxa"/>
            <w:shd w:val="clear" w:color="auto" w:fill="D9FFFF"/>
          </w:tcPr>
          <w:p w14:paraId="05511E7A" w14:textId="785995EA" w:rsidR="00657CE2" w:rsidRPr="00A97DE9" w:rsidRDefault="00657CE2" w:rsidP="00657CE2">
            <w:pPr>
              <w:pStyle w:val="Schedule2"/>
              <w:jc w:val="both"/>
              <w:rPr>
                <w:rFonts w:cs="Arial"/>
                <w:sz w:val="22"/>
                <w:szCs w:val="22"/>
              </w:rPr>
            </w:pPr>
            <w:r w:rsidRPr="00A97DE9">
              <w:rPr>
                <w:rFonts w:cs="Arial"/>
                <w:sz w:val="22"/>
                <w:szCs w:val="22"/>
              </w:rPr>
              <w:t>3.14</w:t>
            </w:r>
          </w:p>
        </w:tc>
        <w:tc>
          <w:tcPr>
            <w:tcW w:w="1163" w:type="dxa"/>
            <w:shd w:val="clear" w:color="auto" w:fill="D9FFFF"/>
          </w:tcPr>
          <w:p w14:paraId="140AEA6A" w14:textId="1FD9178A" w:rsidR="00657CE2" w:rsidRPr="00A97DE9" w:rsidRDefault="00657CE2" w:rsidP="00657CE2">
            <w:pPr>
              <w:pStyle w:val="Schedule2"/>
              <w:jc w:val="center"/>
              <w:rPr>
                <w:rFonts w:cs="Arial"/>
                <w:sz w:val="22"/>
                <w:szCs w:val="22"/>
              </w:rPr>
            </w:pPr>
            <w:r w:rsidRPr="00A97DE9">
              <w:rPr>
                <w:rFonts w:cs="Arial"/>
                <w:sz w:val="22"/>
                <w:szCs w:val="22"/>
              </w:rPr>
              <w:t>3.15</w:t>
            </w:r>
          </w:p>
        </w:tc>
        <w:tc>
          <w:tcPr>
            <w:tcW w:w="1163" w:type="dxa"/>
            <w:shd w:val="clear" w:color="auto" w:fill="D9FFFF"/>
          </w:tcPr>
          <w:p w14:paraId="01CFB1EA" w14:textId="6668C167" w:rsidR="00657CE2" w:rsidRPr="00A97DE9" w:rsidRDefault="00657CE2" w:rsidP="00657CE2">
            <w:pPr>
              <w:pStyle w:val="Schedule2"/>
              <w:jc w:val="both"/>
              <w:rPr>
                <w:rFonts w:cs="Arial"/>
                <w:sz w:val="22"/>
                <w:szCs w:val="22"/>
              </w:rPr>
            </w:pPr>
            <w:r w:rsidRPr="00A97DE9">
              <w:rPr>
                <w:rFonts w:cs="Arial"/>
                <w:sz w:val="22"/>
                <w:szCs w:val="22"/>
              </w:rPr>
              <w:t>3.16</w:t>
            </w:r>
          </w:p>
        </w:tc>
        <w:tc>
          <w:tcPr>
            <w:tcW w:w="1163" w:type="dxa"/>
            <w:shd w:val="clear" w:color="auto" w:fill="D9FFFF"/>
          </w:tcPr>
          <w:p w14:paraId="17E9037A" w14:textId="5BD07611" w:rsidR="00657CE2" w:rsidRPr="00A97DE9" w:rsidRDefault="00657CE2" w:rsidP="00657CE2">
            <w:pPr>
              <w:pStyle w:val="Schedule2"/>
              <w:jc w:val="both"/>
              <w:rPr>
                <w:rFonts w:cs="Arial"/>
                <w:sz w:val="22"/>
                <w:szCs w:val="22"/>
              </w:rPr>
            </w:pPr>
            <w:r w:rsidRPr="00A97DE9">
              <w:rPr>
                <w:rFonts w:cs="Arial"/>
                <w:sz w:val="22"/>
                <w:szCs w:val="22"/>
              </w:rPr>
              <w:t>3.17</w:t>
            </w:r>
          </w:p>
        </w:tc>
        <w:tc>
          <w:tcPr>
            <w:tcW w:w="1163" w:type="dxa"/>
            <w:shd w:val="clear" w:color="auto" w:fill="D9FFFF"/>
          </w:tcPr>
          <w:p w14:paraId="61370BE7" w14:textId="674E485C" w:rsidR="00657CE2" w:rsidRPr="00A97DE9" w:rsidRDefault="00657CE2" w:rsidP="00657CE2">
            <w:pPr>
              <w:pStyle w:val="Schedule2"/>
              <w:jc w:val="both"/>
              <w:rPr>
                <w:rFonts w:cs="Arial"/>
                <w:sz w:val="22"/>
                <w:szCs w:val="22"/>
              </w:rPr>
            </w:pPr>
            <w:r w:rsidRPr="00A97DE9">
              <w:rPr>
                <w:rFonts w:cs="Arial"/>
                <w:sz w:val="22"/>
                <w:szCs w:val="22"/>
              </w:rPr>
              <w:t>3.18</w:t>
            </w:r>
          </w:p>
        </w:tc>
        <w:tc>
          <w:tcPr>
            <w:tcW w:w="1090" w:type="dxa"/>
            <w:shd w:val="clear" w:color="auto" w:fill="D9FFFF"/>
          </w:tcPr>
          <w:p w14:paraId="17D090AF" w14:textId="413AD7A0" w:rsidR="00657CE2" w:rsidRPr="00A97DE9" w:rsidRDefault="00657CE2" w:rsidP="00657CE2">
            <w:pPr>
              <w:pStyle w:val="Schedule2"/>
              <w:jc w:val="both"/>
              <w:rPr>
                <w:rFonts w:cs="Arial"/>
                <w:sz w:val="22"/>
                <w:szCs w:val="22"/>
              </w:rPr>
            </w:pPr>
            <w:r w:rsidRPr="00A97DE9">
              <w:rPr>
                <w:rFonts w:cs="Arial"/>
                <w:sz w:val="22"/>
                <w:szCs w:val="22"/>
              </w:rPr>
              <w:t>3.19</w:t>
            </w:r>
          </w:p>
        </w:tc>
        <w:tc>
          <w:tcPr>
            <w:tcW w:w="1250" w:type="dxa"/>
            <w:vMerge/>
            <w:shd w:val="clear" w:color="auto" w:fill="009999"/>
          </w:tcPr>
          <w:p w14:paraId="374B5567" w14:textId="77777777" w:rsidR="00657CE2" w:rsidRPr="00A97DE9" w:rsidRDefault="00657CE2" w:rsidP="00657CE2">
            <w:pPr>
              <w:pStyle w:val="Schedule2"/>
              <w:jc w:val="both"/>
              <w:rPr>
                <w:rFonts w:cs="Arial"/>
                <w:sz w:val="22"/>
                <w:szCs w:val="22"/>
              </w:rPr>
            </w:pPr>
          </w:p>
        </w:tc>
        <w:tc>
          <w:tcPr>
            <w:tcW w:w="1244" w:type="dxa"/>
            <w:vMerge/>
            <w:shd w:val="clear" w:color="auto" w:fill="009999"/>
          </w:tcPr>
          <w:p w14:paraId="6018235D" w14:textId="77777777" w:rsidR="00657CE2" w:rsidRPr="00A97DE9" w:rsidRDefault="00657CE2" w:rsidP="00657CE2">
            <w:pPr>
              <w:pStyle w:val="Schedule2"/>
              <w:jc w:val="both"/>
              <w:rPr>
                <w:rFonts w:cs="Arial"/>
                <w:sz w:val="22"/>
                <w:szCs w:val="22"/>
              </w:rPr>
            </w:pPr>
          </w:p>
        </w:tc>
      </w:tr>
      <w:tr w:rsidR="00657CE2" w14:paraId="57359FC3" w14:textId="77777777" w:rsidTr="006B0E8F">
        <w:tc>
          <w:tcPr>
            <w:tcW w:w="1230" w:type="dxa"/>
            <w:tcBorders>
              <w:top w:val="single" w:sz="4" w:space="0" w:color="auto"/>
            </w:tcBorders>
          </w:tcPr>
          <w:p w14:paraId="66B70C64" w14:textId="0B976156" w:rsidR="00657CE2" w:rsidRPr="00A97DE9" w:rsidRDefault="00657CE2" w:rsidP="00657CE2">
            <w:pPr>
              <w:pStyle w:val="Schedule2"/>
              <w:jc w:val="both"/>
              <w:rPr>
                <w:rFonts w:cs="Arial"/>
                <w:sz w:val="22"/>
                <w:szCs w:val="22"/>
              </w:rPr>
            </w:pPr>
            <w:r w:rsidRPr="00A97DE9">
              <w:rPr>
                <w:rFonts w:cs="Arial"/>
                <w:sz w:val="22"/>
                <w:szCs w:val="22"/>
              </w:rPr>
              <w:t>Supplier 1</w:t>
            </w:r>
          </w:p>
        </w:tc>
        <w:tc>
          <w:tcPr>
            <w:tcW w:w="1163" w:type="dxa"/>
          </w:tcPr>
          <w:p w14:paraId="17634859" w14:textId="09D4A313"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56DB4703" w14:textId="0EE2BCC7"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35401F46" w14:textId="223D8377"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77FC8A75" w14:textId="086C1DAB" w:rsidR="00657CE2" w:rsidRPr="00A97DE9" w:rsidRDefault="00657CE2" w:rsidP="00657CE2">
            <w:pPr>
              <w:pStyle w:val="Schedule2"/>
              <w:jc w:val="center"/>
              <w:rPr>
                <w:rFonts w:cs="Arial"/>
                <w:sz w:val="22"/>
                <w:szCs w:val="22"/>
              </w:rPr>
            </w:pPr>
            <w:r w:rsidRPr="00A97DE9">
              <w:rPr>
                <w:rFonts w:cs="Arial"/>
                <w:sz w:val="22"/>
                <w:szCs w:val="22"/>
              </w:rPr>
              <w:t>60</w:t>
            </w:r>
          </w:p>
        </w:tc>
        <w:tc>
          <w:tcPr>
            <w:tcW w:w="1163" w:type="dxa"/>
          </w:tcPr>
          <w:p w14:paraId="2E589607" w14:textId="3A2665D3" w:rsidR="00657CE2" w:rsidRPr="00A97DE9" w:rsidRDefault="00657CE2" w:rsidP="00657CE2">
            <w:pPr>
              <w:pStyle w:val="Schedule2"/>
              <w:jc w:val="both"/>
              <w:rPr>
                <w:rFonts w:cs="Arial"/>
                <w:sz w:val="22"/>
                <w:szCs w:val="22"/>
              </w:rPr>
            </w:pPr>
            <w:r w:rsidRPr="00A97DE9">
              <w:rPr>
                <w:rFonts w:cs="Arial"/>
                <w:sz w:val="22"/>
                <w:szCs w:val="22"/>
              </w:rPr>
              <w:t>30</w:t>
            </w:r>
          </w:p>
        </w:tc>
        <w:tc>
          <w:tcPr>
            <w:tcW w:w="1163" w:type="dxa"/>
          </w:tcPr>
          <w:p w14:paraId="17805733" w14:textId="6CCB3B1A" w:rsidR="00657CE2" w:rsidRPr="00A97DE9" w:rsidRDefault="00657CE2" w:rsidP="00657CE2">
            <w:pPr>
              <w:pStyle w:val="Schedule2"/>
              <w:jc w:val="both"/>
              <w:rPr>
                <w:rFonts w:cs="Arial"/>
                <w:sz w:val="22"/>
                <w:szCs w:val="22"/>
              </w:rPr>
            </w:pPr>
            <w:r w:rsidRPr="00A97DE9">
              <w:rPr>
                <w:rFonts w:cs="Arial"/>
                <w:sz w:val="22"/>
                <w:szCs w:val="22"/>
              </w:rPr>
              <w:t>30</w:t>
            </w:r>
          </w:p>
        </w:tc>
        <w:tc>
          <w:tcPr>
            <w:tcW w:w="1163" w:type="dxa"/>
          </w:tcPr>
          <w:p w14:paraId="319DEC09" w14:textId="6C254489" w:rsidR="00657CE2" w:rsidRPr="00A97DE9" w:rsidRDefault="00657CE2" w:rsidP="00657CE2">
            <w:pPr>
              <w:pStyle w:val="Schedule2"/>
              <w:jc w:val="both"/>
              <w:rPr>
                <w:rFonts w:cs="Arial"/>
                <w:sz w:val="22"/>
                <w:szCs w:val="22"/>
              </w:rPr>
            </w:pPr>
            <w:r w:rsidRPr="00A97DE9">
              <w:rPr>
                <w:rFonts w:cs="Arial"/>
                <w:sz w:val="22"/>
                <w:szCs w:val="22"/>
              </w:rPr>
              <w:t>30</w:t>
            </w:r>
          </w:p>
        </w:tc>
        <w:tc>
          <w:tcPr>
            <w:tcW w:w="1090" w:type="dxa"/>
          </w:tcPr>
          <w:p w14:paraId="5A8E3D5B" w14:textId="1448E62D" w:rsidR="00657CE2" w:rsidRPr="00A97DE9" w:rsidRDefault="00657CE2" w:rsidP="00657CE2">
            <w:pPr>
              <w:pStyle w:val="Schedule2"/>
              <w:jc w:val="both"/>
              <w:rPr>
                <w:rFonts w:cs="Arial"/>
                <w:sz w:val="22"/>
                <w:szCs w:val="22"/>
              </w:rPr>
            </w:pPr>
            <w:r w:rsidRPr="00A97DE9">
              <w:rPr>
                <w:rFonts w:cs="Arial"/>
                <w:sz w:val="22"/>
                <w:szCs w:val="22"/>
              </w:rPr>
              <w:t>30</w:t>
            </w:r>
          </w:p>
        </w:tc>
        <w:tc>
          <w:tcPr>
            <w:tcW w:w="1250" w:type="dxa"/>
          </w:tcPr>
          <w:p w14:paraId="1274EB11" w14:textId="07C32024" w:rsidR="00657CE2" w:rsidRPr="00A97DE9" w:rsidRDefault="00657CE2" w:rsidP="00657CE2">
            <w:pPr>
              <w:pStyle w:val="Schedule2"/>
              <w:jc w:val="both"/>
              <w:rPr>
                <w:rFonts w:cs="Arial"/>
                <w:sz w:val="22"/>
                <w:szCs w:val="22"/>
              </w:rPr>
            </w:pPr>
            <w:r w:rsidRPr="00A97DE9">
              <w:rPr>
                <w:rFonts w:cs="Arial"/>
                <w:sz w:val="22"/>
                <w:szCs w:val="22"/>
              </w:rPr>
              <w:t>51</w:t>
            </w:r>
          </w:p>
        </w:tc>
        <w:tc>
          <w:tcPr>
            <w:tcW w:w="1244" w:type="dxa"/>
            <w:shd w:val="clear" w:color="auto" w:fill="92D050"/>
          </w:tcPr>
          <w:p w14:paraId="2A6A9DD4" w14:textId="3BCF6063" w:rsidR="00657CE2" w:rsidRPr="00A97DE9" w:rsidRDefault="00657CE2" w:rsidP="00657CE2">
            <w:pPr>
              <w:pStyle w:val="Schedule2"/>
              <w:jc w:val="both"/>
              <w:rPr>
                <w:rFonts w:cs="Arial"/>
                <w:color w:val="000000" w:themeColor="text1"/>
                <w:sz w:val="22"/>
                <w:szCs w:val="22"/>
              </w:rPr>
            </w:pPr>
            <w:r w:rsidRPr="00A97DE9">
              <w:rPr>
                <w:rFonts w:cs="Arial"/>
                <w:color w:val="000000" w:themeColor="text1"/>
                <w:sz w:val="22"/>
                <w:szCs w:val="22"/>
              </w:rPr>
              <w:t>Shortlisted</w:t>
            </w:r>
          </w:p>
        </w:tc>
      </w:tr>
      <w:tr w:rsidR="00657CE2" w14:paraId="060058BE" w14:textId="77777777" w:rsidTr="006B0E8F">
        <w:tc>
          <w:tcPr>
            <w:tcW w:w="1230" w:type="dxa"/>
          </w:tcPr>
          <w:p w14:paraId="3F3EDC33" w14:textId="55C2C4B5" w:rsidR="00657CE2" w:rsidRPr="00A97DE9" w:rsidRDefault="00657CE2" w:rsidP="00657CE2">
            <w:pPr>
              <w:pStyle w:val="Schedule2"/>
              <w:jc w:val="both"/>
              <w:rPr>
                <w:rFonts w:cs="Arial"/>
                <w:sz w:val="22"/>
                <w:szCs w:val="22"/>
              </w:rPr>
            </w:pPr>
            <w:r w:rsidRPr="00A97DE9">
              <w:rPr>
                <w:rFonts w:cs="Arial"/>
                <w:sz w:val="22"/>
                <w:szCs w:val="22"/>
              </w:rPr>
              <w:t>Supplier 2</w:t>
            </w:r>
          </w:p>
        </w:tc>
        <w:tc>
          <w:tcPr>
            <w:tcW w:w="1163" w:type="dxa"/>
          </w:tcPr>
          <w:p w14:paraId="69925AA1" w14:textId="7168B869"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2EABC4FB" w14:textId="7026CA2E"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0EB099A5" w14:textId="7E2BB040"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2802F4DB" w14:textId="0D48B0C5" w:rsidR="00657CE2" w:rsidRPr="00A97DE9" w:rsidRDefault="00657CE2" w:rsidP="00657CE2">
            <w:pPr>
              <w:pStyle w:val="Schedule2"/>
              <w:jc w:val="center"/>
              <w:rPr>
                <w:rFonts w:cs="Arial"/>
                <w:sz w:val="22"/>
                <w:szCs w:val="22"/>
              </w:rPr>
            </w:pPr>
            <w:r w:rsidRPr="00A97DE9">
              <w:rPr>
                <w:rFonts w:cs="Arial"/>
                <w:sz w:val="22"/>
                <w:szCs w:val="22"/>
              </w:rPr>
              <w:t>100</w:t>
            </w:r>
          </w:p>
        </w:tc>
        <w:tc>
          <w:tcPr>
            <w:tcW w:w="1163" w:type="dxa"/>
          </w:tcPr>
          <w:p w14:paraId="14784BF4" w14:textId="53BBA9C0"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660693AC" w14:textId="4A5CCE29"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255C2AFE" w14:textId="51D3EC1C" w:rsidR="00657CE2" w:rsidRPr="00A97DE9" w:rsidRDefault="00657CE2" w:rsidP="00657CE2">
            <w:pPr>
              <w:pStyle w:val="Schedule2"/>
              <w:jc w:val="both"/>
              <w:rPr>
                <w:rFonts w:cs="Arial"/>
                <w:sz w:val="22"/>
                <w:szCs w:val="22"/>
              </w:rPr>
            </w:pPr>
            <w:r w:rsidRPr="00A97DE9">
              <w:rPr>
                <w:rFonts w:cs="Arial"/>
                <w:sz w:val="22"/>
                <w:szCs w:val="22"/>
              </w:rPr>
              <w:t>100</w:t>
            </w:r>
          </w:p>
        </w:tc>
        <w:tc>
          <w:tcPr>
            <w:tcW w:w="1090" w:type="dxa"/>
          </w:tcPr>
          <w:p w14:paraId="3111A2A4" w14:textId="41366B4F" w:rsidR="00657CE2" w:rsidRPr="00A97DE9" w:rsidRDefault="00657CE2" w:rsidP="00657CE2">
            <w:pPr>
              <w:pStyle w:val="Schedule2"/>
              <w:jc w:val="both"/>
              <w:rPr>
                <w:rFonts w:cs="Arial"/>
                <w:sz w:val="22"/>
                <w:szCs w:val="22"/>
              </w:rPr>
            </w:pPr>
            <w:r w:rsidRPr="00A97DE9">
              <w:rPr>
                <w:rFonts w:cs="Arial"/>
                <w:sz w:val="22"/>
                <w:szCs w:val="22"/>
              </w:rPr>
              <w:t>100</w:t>
            </w:r>
          </w:p>
        </w:tc>
        <w:tc>
          <w:tcPr>
            <w:tcW w:w="1250" w:type="dxa"/>
          </w:tcPr>
          <w:p w14:paraId="5BEA0F44" w14:textId="6B9D252B" w:rsidR="00657CE2" w:rsidRPr="00A97DE9" w:rsidRDefault="00657CE2" w:rsidP="00657CE2">
            <w:pPr>
              <w:pStyle w:val="Schedule2"/>
              <w:jc w:val="both"/>
              <w:rPr>
                <w:rFonts w:cs="Arial"/>
                <w:sz w:val="22"/>
                <w:szCs w:val="22"/>
              </w:rPr>
            </w:pPr>
            <w:r w:rsidRPr="00A97DE9">
              <w:rPr>
                <w:rFonts w:cs="Arial"/>
                <w:sz w:val="22"/>
                <w:szCs w:val="22"/>
              </w:rPr>
              <w:t>100</w:t>
            </w:r>
          </w:p>
        </w:tc>
        <w:tc>
          <w:tcPr>
            <w:tcW w:w="1244" w:type="dxa"/>
            <w:shd w:val="clear" w:color="auto" w:fill="92D050"/>
          </w:tcPr>
          <w:p w14:paraId="3D5877FF" w14:textId="629C88E7" w:rsidR="00657CE2" w:rsidRPr="00A97DE9" w:rsidRDefault="00657CE2" w:rsidP="00657CE2">
            <w:pPr>
              <w:pStyle w:val="Schedule2"/>
              <w:jc w:val="both"/>
              <w:rPr>
                <w:rFonts w:cs="Arial"/>
                <w:color w:val="000000" w:themeColor="text1"/>
                <w:sz w:val="22"/>
                <w:szCs w:val="22"/>
              </w:rPr>
            </w:pPr>
            <w:r w:rsidRPr="00A97DE9">
              <w:rPr>
                <w:rFonts w:cs="Arial"/>
                <w:color w:val="000000" w:themeColor="text1"/>
                <w:sz w:val="22"/>
                <w:szCs w:val="22"/>
              </w:rPr>
              <w:t>Shortlisted</w:t>
            </w:r>
          </w:p>
        </w:tc>
      </w:tr>
      <w:tr w:rsidR="00657CE2" w14:paraId="37AF51E1" w14:textId="77777777" w:rsidTr="006B0E8F">
        <w:tc>
          <w:tcPr>
            <w:tcW w:w="1230" w:type="dxa"/>
          </w:tcPr>
          <w:p w14:paraId="5659221A" w14:textId="4868456F" w:rsidR="00657CE2" w:rsidRPr="00A97DE9" w:rsidRDefault="00657CE2" w:rsidP="00657CE2">
            <w:pPr>
              <w:pStyle w:val="Schedule2"/>
              <w:jc w:val="both"/>
              <w:rPr>
                <w:rFonts w:cs="Arial"/>
                <w:sz w:val="22"/>
                <w:szCs w:val="22"/>
              </w:rPr>
            </w:pPr>
            <w:r w:rsidRPr="00A97DE9">
              <w:rPr>
                <w:rFonts w:cs="Arial"/>
                <w:sz w:val="22"/>
                <w:szCs w:val="22"/>
              </w:rPr>
              <w:t>Supplier 3</w:t>
            </w:r>
          </w:p>
        </w:tc>
        <w:tc>
          <w:tcPr>
            <w:tcW w:w="1163" w:type="dxa"/>
          </w:tcPr>
          <w:p w14:paraId="347E1850" w14:textId="0AAAC77E"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647778DF" w14:textId="5C86B788"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5664EB9C" w14:textId="06694457"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78AFAF63" w14:textId="4362EC81" w:rsidR="00657CE2" w:rsidRPr="00A97DE9" w:rsidRDefault="00657CE2" w:rsidP="00657CE2">
            <w:pPr>
              <w:pStyle w:val="Schedule2"/>
              <w:jc w:val="center"/>
              <w:rPr>
                <w:rFonts w:cs="Arial"/>
                <w:sz w:val="22"/>
                <w:szCs w:val="22"/>
              </w:rPr>
            </w:pPr>
            <w:r w:rsidRPr="00A97DE9">
              <w:rPr>
                <w:rFonts w:cs="Arial"/>
                <w:sz w:val="22"/>
                <w:szCs w:val="22"/>
              </w:rPr>
              <w:t>60</w:t>
            </w:r>
          </w:p>
        </w:tc>
        <w:tc>
          <w:tcPr>
            <w:tcW w:w="1163" w:type="dxa"/>
          </w:tcPr>
          <w:p w14:paraId="06E86281" w14:textId="7989DFBC"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1C1793F5" w14:textId="5CC3F8B8"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4F93CE1B" w14:textId="07E79BD1" w:rsidR="00657CE2" w:rsidRPr="00A97DE9" w:rsidRDefault="00657CE2" w:rsidP="00657CE2">
            <w:pPr>
              <w:pStyle w:val="Schedule2"/>
              <w:jc w:val="both"/>
              <w:rPr>
                <w:rFonts w:cs="Arial"/>
                <w:sz w:val="22"/>
                <w:szCs w:val="22"/>
              </w:rPr>
            </w:pPr>
            <w:r w:rsidRPr="00A97DE9">
              <w:rPr>
                <w:rFonts w:cs="Arial"/>
                <w:sz w:val="22"/>
                <w:szCs w:val="22"/>
              </w:rPr>
              <w:t>60</w:t>
            </w:r>
          </w:p>
        </w:tc>
        <w:tc>
          <w:tcPr>
            <w:tcW w:w="1090" w:type="dxa"/>
          </w:tcPr>
          <w:p w14:paraId="264ADFA9" w14:textId="59228DAC" w:rsidR="00657CE2" w:rsidRPr="00A97DE9" w:rsidRDefault="00657CE2" w:rsidP="00657CE2">
            <w:pPr>
              <w:pStyle w:val="Schedule2"/>
              <w:jc w:val="both"/>
              <w:rPr>
                <w:rFonts w:cs="Arial"/>
                <w:sz w:val="22"/>
                <w:szCs w:val="22"/>
              </w:rPr>
            </w:pPr>
            <w:r w:rsidRPr="00A97DE9">
              <w:rPr>
                <w:rFonts w:cs="Arial"/>
                <w:sz w:val="22"/>
                <w:szCs w:val="22"/>
              </w:rPr>
              <w:t>100</w:t>
            </w:r>
          </w:p>
        </w:tc>
        <w:tc>
          <w:tcPr>
            <w:tcW w:w="1250" w:type="dxa"/>
          </w:tcPr>
          <w:p w14:paraId="7456D32C" w14:textId="71CF6928" w:rsidR="00657CE2" w:rsidRPr="00A97DE9" w:rsidRDefault="00657CE2" w:rsidP="00657CE2">
            <w:pPr>
              <w:pStyle w:val="Schedule2"/>
              <w:jc w:val="both"/>
              <w:rPr>
                <w:rFonts w:cs="Arial"/>
                <w:sz w:val="22"/>
                <w:szCs w:val="22"/>
              </w:rPr>
            </w:pPr>
            <w:r w:rsidRPr="00A97DE9">
              <w:rPr>
                <w:rFonts w:cs="Arial"/>
                <w:sz w:val="22"/>
                <w:szCs w:val="22"/>
              </w:rPr>
              <w:t>83</w:t>
            </w:r>
          </w:p>
        </w:tc>
        <w:tc>
          <w:tcPr>
            <w:tcW w:w="1244" w:type="dxa"/>
            <w:shd w:val="clear" w:color="auto" w:fill="92D050"/>
          </w:tcPr>
          <w:p w14:paraId="41F0385E" w14:textId="7016BBAE" w:rsidR="00657CE2" w:rsidRPr="00A97DE9" w:rsidRDefault="00657CE2" w:rsidP="00657CE2">
            <w:pPr>
              <w:pStyle w:val="Schedule2"/>
              <w:jc w:val="both"/>
              <w:rPr>
                <w:rFonts w:cs="Arial"/>
                <w:color w:val="000000" w:themeColor="text1"/>
                <w:sz w:val="22"/>
                <w:szCs w:val="22"/>
              </w:rPr>
            </w:pPr>
            <w:r w:rsidRPr="00A97DE9">
              <w:rPr>
                <w:rFonts w:cs="Arial"/>
                <w:color w:val="000000" w:themeColor="text1"/>
                <w:sz w:val="22"/>
                <w:szCs w:val="22"/>
              </w:rPr>
              <w:t>Shortlisted</w:t>
            </w:r>
          </w:p>
        </w:tc>
      </w:tr>
      <w:tr w:rsidR="00657CE2" w14:paraId="57D11FCC" w14:textId="77777777" w:rsidTr="006B0E8F">
        <w:tc>
          <w:tcPr>
            <w:tcW w:w="1230" w:type="dxa"/>
          </w:tcPr>
          <w:p w14:paraId="5BE4F582" w14:textId="2D2B79FD" w:rsidR="00657CE2" w:rsidRPr="00A97DE9" w:rsidRDefault="00657CE2" w:rsidP="00657CE2">
            <w:pPr>
              <w:pStyle w:val="Schedule2"/>
              <w:jc w:val="both"/>
              <w:rPr>
                <w:rFonts w:cs="Arial"/>
                <w:sz w:val="22"/>
                <w:szCs w:val="22"/>
              </w:rPr>
            </w:pPr>
            <w:r w:rsidRPr="00A97DE9">
              <w:rPr>
                <w:rFonts w:cs="Arial"/>
                <w:sz w:val="22"/>
                <w:szCs w:val="22"/>
              </w:rPr>
              <w:t>Supplier 4</w:t>
            </w:r>
          </w:p>
        </w:tc>
        <w:tc>
          <w:tcPr>
            <w:tcW w:w="1163" w:type="dxa"/>
          </w:tcPr>
          <w:p w14:paraId="79AB7515" w14:textId="67CFD7A8"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41B7A64F" w14:textId="7A5FD316"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3D73EBF5" w14:textId="197A174D" w:rsidR="00657CE2" w:rsidRPr="00A97DE9" w:rsidRDefault="00657CE2" w:rsidP="00657CE2">
            <w:pPr>
              <w:pStyle w:val="Schedule2"/>
              <w:jc w:val="both"/>
              <w:rPr>
                <w:rFonts w:cs="Arial"/>
                <w:color w:val="FF0000"/>
                <w:sz w:val="22"/>
                <w:szCs w:val="22"/>
              </w:rPr>
            </w:pPr>
            <w:r w:rsidRPr="00A97DE9">
              <w:rPr>
                <w:rFonts w:cs="Arial"/>
                <w:color w:val="FF0000"/>
                <w:sz w:val="22"/>
                <w:szCs w:val="22"/>
              </w:rPr>
              <w:t>30</w:t>
            </w:r>
          </w:p>
        </w:tc>
        <w:tc>
          <w:tcPr>
            <w:tcW w:w="1163" w:type="dxa"/>
          </w:tcPr>
          <w:p w14:paraId="232FE5E1" w14:textId="2A81CEFA" w:rsidR="00657CE2" w:rsidRPr="00A97DE9" w:rsidRDefault="00657CE2" w:rsidP="00657CE2">
            <w:pPr>
              <w:pStyle w:val="Schedule2"/>
              <w:jc w:val="center"/>
              <w:rPr>
                <w:rFonts w:cs="Arial"/>
                <w:sz w:val="22"/>
                <w:szCs w:val="22"/>
              </w:rPr>
            </w:pPr>
            <w:r w:rsidRPr="00A97DE9">
              <w:rPr>
                <w:rFonts w:cs="Arial"/>
                <w:sz w:val="22"/>
                <w:szCs w:val="22"/>
              </w:rPr>
              <w:t>100</w:t>
            </w:r>
          </w:p>
        </w:tc>
        <w:tc>
          <w:tcPr>
            <w:tcW w:w="1163" w:type="dxa"/>
          </w:tcPr>
          <w:p w14:paraId="7F92B456" w14:textId="4B035303"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3A1D5203" w14:textId="2E728BAB" w:rsidR="00657CE2" w:rsidRPr="00A97DE9" w:rsidRDefault="00657CE2" w:rsidP="00657CE2">
            <w:pPr>
              <w:pStyle w:val="Schedule2"/>
              <w:jc w:val="both"/>
              <w:rPr>
                <w:rFonts w:cs="Arial"/>
                <w:sz w:val="22"/>
                <w:szCs w:val="22"/>
              </w:rPr>
            </w:pPr>
            <w:r w:rsidRPr="00A97DE9">
              <w:rPr>
                <w:rFonts w:cs="Arial"/>
                <w:sz w:val="22"/>
                <w:szCs w:val="22"/>
              </w:rPr>
              <w:t>30</w:t>
            </w:r>
          </w:p>
        </w:tc>
        <w:tc>
          <w:tcPr>
            <w:tcW w:w="1163" w:type="dxa"/>
          </w:tcPr>
          <w:p w14:paraId="11DFFFDB" w14:textId="6C22C1DD" w:rsidR="00657CE2" w:rsidRPr="00A97DE9" w:rsidRDefault="00657CE2" w:rsidP="00657CE2">
            <w:pPr>
              <w:pStyle w:val="Schedule2"/>
              <w:jc w:val="both"/>
              <w:rPr>
                <w:rFonts w:cs="Arial"/>
                <w:sz w:val="22"/>
                <w:szCs w:val="22"/>
              </w:rPr>
            </w:pPr>
            <w:r w:rsidRPr="00A97DE9">
              <w:rPr>
                <w:rFonts w:cs="Arial"/>
                <w:sz w:val="22"/>
                <w:szCs w:val="22"/>
              </w:rPr>
              <w:t>30</w:t>
            </w:r>
          </w:p>
        </w:tc>
        <w:tc>
          <w:tcPr>
            <w:tcW w:w="1090" w:type="dxa"/>
          </w:tcPr>
          <w:p w14:paraId="06C2DCF1" w14:textId="605A9055" w:rsidR="00657CE2" w:rsidRPr="00A97DE9" w:rsidRDefault="00657CE2" w:rsidP="00657CE2">
            <w:pPr>
              <w:pStyle w:val="Schedule2"/>
              <w:jc w:val="both"/>
              <w:rPr>
                <w:rFonts w:cs="Arial"/>
                <w:sz w:val="22"/>
                <w:szCs w:val="22"/>
              </w:rPr>
            </w:pPr>
            <w:r w:rsidRPr="00A97DE9">
              <w:rPr>
                <w:rFonts w:cs="Arial"/>
                <w:sz w:val="22"/>
                <w:szCs w:val="22"/>
              </w:rPr>
              <w:t>30</w:t>
            </w:r>
          </w:p>
        </w:tc>
        <w:tc>
          <w:tcPr>
            <w:tcW w:w="1250" w:type="dxa"/>
          </w:tcPr>
          <w:p w14:paraId="596721F7" w14:textId="2DFA0E4B" w:rsidR="00657CE2" w:rsidRPr="00A97DE9" w:rsidRDefault="00657CE2" w:rsidP="00657CE2">
            <w:pPr>
              <w:pStyle w:val="Schedule2"/>
              <w:jc w:val="both"/>
              <w:rPr>
                <w:rFonts w:cs="Arial"/>
                <w:sz w:val="22"/>
                <w:szCs w:val="22"/>
              </w:rPr>
            </w:pPr>
            <w:r w:rsidRPr="00A97DE9">
              <w:rPr>
                <w:rFonts w:cs="Arial"/>
                <w:sz w:val="22"/>
                <w:szCs w:val="22"/>
              </w:rPr>
              <w:t>57.5</w:t>
            </w:r>
          </w:p>
        </w:tc>
        <w:tc>
          <w:tcPr>
            <w:tcW w:w="1244" w:type="dxa"/>
            <w:shd w:val="clear" w:color="auto" w:fill="FF0000"/>
          </w:tcPr>
          <w:p w14:paraId="648EDD6A" w14:textId="4FBC98C1" w:rsidR="00657CE2" w:rsidRPr="00A97DE9" w:rsidRDefault="00657CE2" w:rsidP="00657CE2">
            <w:pPr>
              <w:pStyle w:val="Schedule2"/>
              <w:jc w:val="both"/>
              <w:rPr>
                <w:rFonts w:cs="Arial"/>
                <w:sz w:val="22"/>
                <w:szCs w:val="22"/>
              </w:rPr>
            </w:pPr>
            <w:r w:rsidRPr="00A97DE9">
              <w:rPr>
                <w:rFonts w:cs="Arial"/>
                <w:color w:val="FFFFFF" w:themeColor="background1"/>
                <w:sz w:val="22"/>
                <w:szCs w:val="22"/>
              </w:rPr>
              <w:t>Not Shortlisted</w:t>
            </w:r>
          </w:p>
        </w:tc>
      </w:tr>
      <w:tr w:rsidR="00657CE2" w14:paraId="50BABF4D" w14:textId="77777777" w:rsidTr="006B0E8F">
        <w:tc>
          <w:tcPr>
            <w:tcW w:w="1230" w:type="dxa"/>
          </w:tcPr>
          <w:p w14:paraId="0CBDAB5B" w14:textId="04FA30EA" w:rsidR="00657CE2" w:rsidRPr="00A97DE9" w:rsidRDefault="00657CE2" w:rsidP="00657CE2">
            <w:pPr>
              <w:pStyle w:val="Schedule2"/>
              <w:jc w:val="both"/>
              <w:rPr>
                <w:rFonts w:cs="Arial"/>
                <w:sz w:val="22"/>
                <w:szCs w:val="22"/>
              </w:rPr>
            </w:pPr>
            <w:r w:rsidRPr="00A97DE9">
              <w:rPr>
                <w:rFonts w:cs="Arial"/>
                <w:sz w:val="22"/>
                <w:szCs w:val="22"/>
              </w:rPr>
              <w:t>Supplier 5</w:t>
            </w:r>
          </w:p>
        </w:tc>
        <w:tc>
          <w:tcPr>
            <w:tcW w:w="1163" w:type="dxa"/>
          </w:tcPr>
          <w:p w14:paraId="63637828" w14:textId="54ECE5B1"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7A0575E9" w14:textId="0784B465"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3E89749D" w14:textId="4131BEFE"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3A4B8660" w14:textId="36E2773C" w:rsidR="00657CE2" w:rsidRPr="00A97DE9" w:rsidRDefault="00657CE2" w:rsidP="00657CE2">
            <w:pPr>
              <w:pStyle w:val="Schedule2"/>
              <w:jc w:val="center"/>
              <w:rPr>
                <w:rFonts w:cs="Arial"/>
                <w:sz w:val="22"/>
                <w:szCs w:val="22"/>
              </w:rPr>
            </w:pPr>
            <w:r w:rsidRPr="00A97DE9">
              <w:rPr>
                <w:rFonts w:cs="Arial"/>
                <w:sz w:val="22"/>
                <w:szCs w:val="22"/>
              </w:rPr>
              <w:t>60</w:t>
            </w:r>
          </w:p>
        </w:tc>
        <w:tc>
          <w:tcPr>
            <w:tcW w:w="1163" w:type="dxa"/>
          </w:tcPr>
          <w:p w14:paraId="7E6ED475" w14:textId="7A3F5ADB" w:rsidR="00657CE2" w:rsidRPr="00A97DE9" w:rsidRDefault="00657CE2" w:rsidP="00657CE2">
            <w:pPr>
              <w:pStyle w:val="Schedule2"/>
              <w:jc w:val="both"/>
              <w:rPr>
                <w:rFonts w:cs="Arial"/>
                <w:sz w:val="22"/>
                <w:szCs w:val="22"/>
              </w:rPr>
            </w:pPr>
            <w:r w:rsidRPr="00A97DE9">
              <w:rPr>
                <w:rFonts w:cs="Arial"/>
                <w:sz w:val="22"/>
                <w:szCs w:val="22"/>
              </w:rPr>
              <w:t>100</w:t>
            </w:r>
          </w:p>
        </w:tc>
        <w:tc>
          <w:tcPr>
            <w:tcW w:w="1163" w:type="dxa"/>
          </w:tcPr>
          <w:p w14:paraId="7CD9868F" w14:textId="30A84EB5" w:rsidR="00657CE2" w:rsidRPr="00A97DE9" w:rsidRDefault="00657CE2" w:rsidP="00657CE2">
            <w:pPr>
              <w:pStyle w:val="Schedule2"/>
              <w:jc w:val="both"/>
              <w:rPr>
                <w:rFonts w:cs="Arial"/>
                <w:sz w:val="22"/>
                <w:szCs w:val="22"/>
              </w:rPr>
            </w:pPr>
            <w:r w:rsidRPr="00A97DE9">
              <w:rPr>
                <w:rFonts w:cs="Arial"/>
                <w:sz w:val="22"/>
                <w:szCs w:val="22"/>
              </w:rPr>
              <w:t>60</w:t>
            </w:r>
          </w:p>
        </w:tc>
        <w:tc>
          <w:tcPr>
            <w:tcW w:w="1163" w:type="dxa"/>
          </w:tcPr>
          <w:p w14:paraId="400C181B" w14:textId="41EB7472" w:rsidR="00657CE2" w:rsidRPr="00A97DE9" w:rsidRDefault="00657CE2" w:rsidP="00657CE2">
            <w:pPr>
              <w:pStyle w:val="Schedule2"/>
              <w:jc w:val="both"/>
              <w:rPr>
                <w:rFonts w:cs="Arial"/>
                <w:sz w:val="22"/>
                <w:szCs w:val="22"/>
              </w:rPr>
            </w:pPr>
            <w:r w:rsidRPr="00A97DE9">
              <w:rPr>
                <w:rFonts w:cs="Arial"/>
                <w:sz w:val="22"/>
                <w:szCs w:val="22"/>
              </w:rPr>
              <w:t>60</w:t>
            </w:r>
          </w:p>
        </w:tc>
        <w:tc>
          <w:tcPr>
            <w:tcW w:w="1090" w:type="dxa"/>
          </w:tcPr>
          <w:p w14:paraId="55AB7945" w14:textId="1021A5A0" w:rsidR="00657CE2" w:rsidRPr="00A97DE9" w:rsidRDefault="00657CE2" w:rsidP="00657CE2">
            <w:pPr>
              <w:pStyle w:val="Schedule2"/>
              <w:jc w:val="both"/>
              <w:rPr>
                <w:rFonts w:cs="Arial"/>
                <w:sz w:val="22"/>
                <w:szCs w:val="22"/>
              </w:rPr>
            </w:pPr>
            <w:r w:rsidRPr="00A97DE9">
              <w:rPr>
                <w:rFonts w:cs="Arial"/>
                <w:sz w:val="22"/>
                <w:szCs w:val="22"/>
              </w:rPr>
              <w:t>100</w:t>
            </w:r>
          </w:p>
        </w:tc>
        <w:tc>
          <w:tcPr>
            <w:tcW w:w="1250" w:type="dxa"/>
          </w:tcPr>
          <w:p w14:paraId="2B059CE6" w14:textId="2AA0FC4D" w:rsidR="00657CE2" w:rsidRPr="00A97DE9" w:rsidRDefault="00657CE2" w:rsidP="00657CE2">
            <w:pPr>
              <w:pStyle w:val="Schedule2"/>
              <w:jc w:val="both"/>
              <w:rPr>
                <w:rFonts w:cs="Arial"/>
                <w:sz w:val="22"/>
                <w:szCs w:val="22"/>
              </w:rPr>
            </w:pPr>
            <w:r w:rsidRPr="00A97DE9">
              <w:rPr>
                <w:rFonts w:cs="Arial"/>
                <w:sz w:val="22"/>
                <w:szCs w:val="22"/>
              </w:rPr>
              <w:t>74</w:t>
            </w:r>
          </w:p>
        </w:tc>
        <w:tc>
          <w:tcPr>
            <w:tcW w:w="1244" w:type="dxa"/>
            <w:shd w:val="clear" w:color="auto" w:fill="92D050"/>
          </w:tcPr>
          <w:p w14:paraId="1160FC46" w14:textId="228106F0" w:rsidR="00657CE2" w:rsidRPr="00A97DE9" w:rsidRDefault="00657CE2" w:rsidP="00657CE2">
            <w:pPr>
              <w:pStyle w:val="Schedule2"/>
              <w:jc w:val="both"/>
              <w:rPr>
                <w:rFonts w:cs="Arial"/>
                <w:sz w:val="22"/>
                <w:szCs w:val="22"/>
              </w:rPr>
            </w:pPr>
            <w:r w:rsidRPr="00A97DE9">
              <w:rPr>
                <w:rFonts w:cs="Arial"/>
                <w:sz w:val="22"/>
                <w:szCs w:val="22"/>
              </w:rPr>
              <w:t>Shortlisted</w:t>
            </w:r>
          </w:p>
        </w:tc>
      </w:tr>
    </w:tbl>
    <w:p w14:paraId="025CD309" w14:textId="77777777" w:rsidR="00D76D88" w:rsidRDefault="00D76D88" w:rsidP="002412F7">
      <w:pPr>
        <w:pStyle w:val="Schedule2"/>
        <w:jc w:val="both"/>
      </w:pPr>
    </w:p>
    <w:p w14:paraId="4A097B9B" w14:textId="77777777" w:rsidR="00D76D88" w:rsidRDefault="00D76D88" w:rsidP="002412F7">
      <w:pPr>
        <w:pStyle w:val="Schedule2"/>
        <w:jc w:val="both"/>
      </w:pPr>
    </w:p>
    <w:p w14:paraId="556C6FC8" w14:textId="77777777" w:rsidR="00D76D88" w:rsidRDefault="00D76D88" w:rsidP="002412F7">
      <w:pPr>
        <w:pStyle w:val="Schedule2"/>
        <w:jc w:val="both"/>
      </w:pPr>
    </w:p>
    <w:p w14:paraId="2C17087D" w14:textId="77777777" w:rsidR="00D76D88" w:rsidRDefault="00D76D88" w:rsidP="002412F7">
      <w:pPr>
        <w:pStyle w:val="Schedule2"/>
        <w:jc w:val="both"/>
        <w:sectPr w:rsidR="00D76D88" w:rsidSect="009546F5">
          <w:headerReference w:type="default" r:id="rId30"/>
          <w:pgSz w:w="15840" w:h="12240" w:orient="landscape"/>
          <w:pgMar w:top="1440" w:right="1440" w:bottom="1440" w:left="1440" w:header="720" w:footer="720" w:gutter="0"/>
          <w:cols w:space="720"/>
          <w:docGrid w:linePitch="299"/>
        </w:sectPr>
      </w:pPr>
    </w:p>
    <w:p w14:paraId="16682C5E" w14:textId="28A8E056" w:rsidR="00247E03" w:rsidRDefault="00247E03" w:rsidP="00247E03">
      <w:pPr>
        <w:pStyle w:val="Schedule2"/>
        <w:jc w:val="both"/>
        <w:rPr>
          <w:b/>
          <w:bCs/>
        </w:rPr>
      </w:pPr>
      <w:bookmarkStart w:id="85" w:name="_Hlk200615518"/>
      <w:r>
        <w:rPr>
          <w:b/>
          <w:bCs/>
        </w:rPr>
        <w:lastRenderedPageBreak/>
        <w:t>Scoring Matrix</w:t>
      </w:r>
    </w:p>
    <w:p w14:paraId="2A623EE5" w14:textId="65C078A6" w:rsidR="003254A2" w:rsidRPr="003254A2" w:rsidRDefault="003254A2" w:rsidP="003254A2">
      <w:pPr>
        <w:pStyle w:val="Schedule2"/>
        <w:numPr>
          <w:ilvl w:val="1"/>
          <w:numId w:val="27"/>
        </w:numPr>
        <w:jc w:val="both"/>
      </w:pPr>
      <w:r>
        <w:t xml:space="preserve">Each evaluator will use the below scoring </w:t>
      </w:r>
      <w:r w:rsidRPr="002B147A">
        <w:t>matri</w:t>
      </w:r>
      <w:r>
        <w:t>x in order to determine a score for each scored question. Note that each scored question has its own scoring criteria.</w:t>
      </w:r>
    </w:p>
    <w:tbl>
      <w:tblPr>
        <w:tblpPr w:leftFromText="180" w:rightFromText="180" w:vertAnchor="page" w:horzAnchor="page" w:tblpX="1948" w:tblpY="3112"/>
        <w:tblW w:w="12953" w:type="dxa"/>
        <w:tblCellMar>
          <w:left w:w="0" w:type="dxa"/>
          <w:right w:w="0" w:type="dxa"/>
        </w:tblCellMar>
        <w:tblLook w:val="0620" w:firstRow="1" w:lastRow="0" w:firstColumn="0" w:lastColumn="0" w:noHBand="1" w:noVBand="1"/>
      </w:tblPr>
      <w:tblGrid>
        <w:gridCol w:w="2260"/>
        <w:gridCol w:w="3198"/>
        <w:gridCol w:w="2736"/>
        <w:gridCol w:w="2571"/>
        <w:gridCol w:w="2188"/>
      </w:tblGrid>
      <w:tr w:rsidR="003254A2" w:rsidRPr="00E16E27" w14:paraId="5D4EE0F7" w14:textId="77777777" w:rsidTr="006B0E8F">
        <w:trPr>
          <w:tblHeader/>
        </w:trPr>
        <w:tc>
          <w:tcPr>
            <w:tcW w:w="2260" w:type="dxa"/>
            <w:tcBorders>
              <w:left w:val="single" w:sz="6" w:space="0" w:color="0B0C0C"/>
              <w:bottom w:val="single" w:sz="6" w:space="0" w:color="0B0C0C"/>
              <w:right w:val="single" w:sz="6" w:space="0" w:color="0B0C0C"/>
            </w:tcBorders>
            <w:shd w:val="clear" w:color="auto" w:fill="009999"/>
            <w:tcMar>
              <w:top w:w="11" w:type="dxa"/>
              <w:left w:w="6" w:type="dxa"/>
              <w:bottom w:w="74" w:type="dxa"/>
              <w:right w:w="6" w:type="dxa"/>
            </w:tcMar>
            <w:vAlign w:val="center"/>
          </w:tcPr>
          <w:bookmarkEnd w:id="85"/>
          <w:p w14:paraId="077F3CA1" w14:textId="77777777" w:rsidR="003254A2" w:rsidRDefault="003254A2" w:rsidP="003254A2">
            <w:pPr>
              <w:spacing w:after="0"/>
              <w:jc w:val="center"/>
              <w:rPr>
                <w:rFonts w:cs="Arial"/>
                <w:b/>
                <w:bCs/>
                <w:color w:val="FFFFFF" w:themeColor="background1"/>
              </w:rPr>
            </w:pPr>
            <w:r>
              <w:rPr>
                <w:rFonts w:cs="Arial"/>
                <w:b/>
                <w:bCs/>
                <w:color w:val="FFFFFF" w:themeColor="background1"/>
              </w:rPr>
              <w:t>Question</w:t>
            </w:r>
          </w:p>
        </w:tc>
        <w:tc>
          <w:tcPr>
            <w:tcW w:w="3198" w:type="dxa"/>
            <w:tcBorders>
              <w:top w:val="single" w:sz="6" w:space="0" w:color="0B0C0C"/>
              <w:left w:val="single" w:sz="6" w:space="0" w:color="0B0C0C"/>
              <w:bottom w:val="single" w:sz="6" w:space="0" w:color="0B0C0C"/>
              <w:right w:val="single" w:sz="6" w:space="0" w:color="0B0C0C"/>
            </w:tcBorders>
            <w:shd w:val="clear" w:color="auto" w:fill="009999"/>
            <w:tcMar>
              <w:top w:w="11" w:type="dxa"/>
              <w:left w:w="6" w:type="dxa"/>
              <w:bottom w:w="74" w:type="dxa"/>
              <w:right w:w="6" w:type="dxa"/>
            </w:tcMar>
            <w:vAlign w:val="center"/>
            <w:hideMark/>
          </w:tcPr>
          <w:p w14:paraId="37459FE4" w14:textId="77777777" w:rsidR="003254A2" w:rsidRDefault="003254A2" w:rsidP="003254A2">
            <w:pPr>
              <w:spacing w:after="0"/>
              <w:jc w:val="center"/>
              <w:rPr>
                <w:rFonts w:cs="Arial"/>
                <w:b/>
                <w:bCs/>
                <w:color w:val="FFFFFF" w:themeColor="background1"/>
              </w:rPr>
            </w:pPr>
            <w:r>
              <w:rPr>
                <w:rFonts w:cs="Arial"/>
                <w:b/>
                <w:bCs/>
                <w:color w:val="FFFFFF" w:themeColor="background1"/>
              </w:rPr>
              <w:t>Exceeds Expectations</w:t>
            </w:r>
          </w:p>
          <w:p w14:paraId="0513B889" w14:textId="77777777" w:rsidR="003254A2" w:rsidRPr="00E16E27" w:rsidRDefault="003254A2" w:rsidP="003254A2">
            <w:pPr>
              <w:spacing w:after="0"/>
              <w:jc w:val="center"/>
              <w:rPr>
                <w:rFonts w:cs="Arial"/>
                <w:b/>
                <w:bCs/>
                <w:color w:val="FFFFFF" w:themeColor="background1"/>
              </w:rPr>
            </w:pPr>
            <w:r>
              <w:rPr>
                <w:rFonts w:cs="Arial"/>
                <w:b/>
                <w:bCs/>
                <w:color w:val="FFFFFF" w:themeColor="background1"/>
              </w:rPr>
              <w:t>(100 out of 100)</w:t>
            </w:r>
          </w:p>
        </w:tc>
        <w:tc>
          <w:tcPr>
            <w:tcW w:w="2736" w:type="dxa"/>
            <w:tcBorders>
              <w:top w:val="single" w:sz="6" w:space="0" w:color="0B0C0C"/>
              <w:left w:val="single" w:sz="6" w:space="0" w:color="0B0C0C"/>
              <w:bottom w:val="single" w:sz="6" w:space="0" w:color="0B0C0C"/>
              <w:right w:val="single" w:sz="6" w:space="0" w:color="0B0C0C"/>
            </w:tcBorders>
            <w:shd w:val="clear" w:color="auto" w:fill="009999"/>
            <w:tcMar>
              <w:top w:w="11" w:type="dxa"/>
              <w:left w:w="6" w:type="dxa"/>
              <w:bottom w:w="74" w:type="dxa"/>
              <w:right w:w="6" w:type="dxa"/>
            </w:tcMar>
            <w:vAlign w:val="center"/>
          </w:tcPr>
          <w:p w14:paraId="609B16EA" w14:textId="77777777" w:rsidR="003254A2" w:rsidRDefault="003254A2" w:rsidP="003254A2">
            <w:pPr>
              <w:spacing w:after="0"/>
              <w:jc w:val="center"/>
              <w:rPr>
                <w:rFonts w:cs="Arial"/>
                <w:b/>
                <w:bCs/>
                <w:color w:val="FFFFFF" w:themeColor="background1"/>
              </w:rPr>
            </w:pPr>
            <w:r>
              <w:rPr>
                <w:rFonts w:cs="Arial"/>
                <w:b/>
                <w:bCs/>
                <w:color w:val="FFFFFF" w:themeColor="background1"/>
              </w:rPr>
              <w:t>Fully Meets</w:t>
            </w:r>
          </w:p>
          <w:p w14:paraId="38CB0339" w14:textId="77777777" w:rsidR="003254A2" w:rsidRDefault="003254A2" w:rsidP="003254A2">
            <w:pPr>
              <w:spacing w:after="0"/>
              <w:jc w:val="center"/>
              <w:rPr>
                <w:rFonts w:cs="Arial"/>
                <w:b/>
                <w:bCs/>
                <w:color w:val="FFFFFF" w:themeColor="background1"/>
              </w:rPr>
            </w:pPr>
            <w:r>
              <w:rPr>
                <w:rFonts w:cs="Arial"/>
                <w:b/>
                <w:bCs/>
                <w:color w:val="FFFFFF" w:themeColor="background1"/>
              </w:rPr>
              <w:t>(60 out of 100)</w:t>
            </w:r>
          </w:p>
        </w:tc>
        <w:tc>
          <w:tcPr>
            <w:tcW w:w="2571" w:type="dxa"/>
            <w:tcBorders>
              <w:top w:val="single" w:sz="6" w:space="0" w:color="0B0C0C"/>
              <w:left w:val="single" w:sz="6" w:space="0" w:color="0B0C0C"/>
              <w:bottom w:val="single" w:sz="6" w:space="0" w:color="0B0C0C"/>
              <w:right w:val="single" w:sz="6" w:space="0" w:color="0B0C0C"/>
            </w:tcBorders>
            <w:shd w:val="clear" w:color="auto" w:fill="009999"/>
            <w:vAlign w:val="center"/>
          </w:tcPr>
          <w:p w14:paraId="5F4770FB" w14:textId="77777777" w:rsidR="003254A2" w:rsidRDefault="003254A2" w:rsidP="003254A2">
            <w:pPr>
              <w:spacing w:after="0"/>
              <w:jc w:val="center"/>
              <w:rPr>
                <w:rFonts w:cs="Arial"/>
                <w:b/>
                <w:bCs/>
                <w:color w:val="FFFFFF" w:themeColor="background1"/>
              </w:rPr>
            </w:pPr>
            <w:r>
              <w:rPr>
                <w:rFonts w:cs="Arial"/>
                <w:b/>
                <w:bCs/>
                <w:color w:val="FFFFFF" w:themeColor="background1"/>
              </w:rPr>
              <w:t>Partially Meets</w:t>
            </w:r>
          </w:p>
          <w:p w14:paraId="52C62DC4" w14:textId="77777777" w:rsidR="003254A2" w:rsidRDefault="003254A2" w:rsidP="003254A2">
            <w:pPr>
              <w:spacing w:after="0"/>
              <w:jc w:val="center"/>
              <w:rPr>
                <w:rFonts w:cs="Arial"/>
                <w:b/>
                <w:bCs/>
                <w:color w:val="FFFFFF" w:themeColor="background1"/>
              </w:rPr>
            </w:pPr>
            <w:r>
              <w:rPr>
                <w:rFonts w:cs="Arial"/>
                <w:b/>
                <w:bCs/>
                <w:color w:val="FFFFFF" w:themeColor="background1"/>
              </w:rPr>
              <w:t>(30 out of 100)</w:t>
            </w:r>
          </w:p>
        </w:tc>
        <w:tc>
          <w:tcPr>
            <w:tcW w:w="2188" w:type="dxa"/>
            <w:tcBorders>
              <w:top w:val="single" w:sz="6" w:space="0" w:color="0B0C0C"/>
              <w:left w:val="single" w:sz="6" w:space="0" w:color="0B0C0C"/>
              <w:bottom w:val="single" w:sz="6" w:space="0" w:color="0B0C0C"/>
              <w:right w:val="single" w:sz="6" w:space="0" w:color="0B0C0C"/>
            </w:tcBorders>
            <w:shd w:val="clear" w:color="auto" w:fill="009999"/>
            <w:tcMar>
              <w:top w:w="11" w:type="dxa"/>
              <w:left w:w="6" w:type="dxa"/>
              <w:bottom w:w="74" w:type="dxa"/>
              <w:right w:w="6" w:type="dxa"/>
            </w:tcMar>
            <w:vAlign w:val="center"/>
            <w:hideMark/>
          </w:tcPr>
          <w:p w14:paraId="17D69737" w14:textId="77777777" w:rsidR="003254A2" w:rsidRDefault="003254A2" w:rsidP="003254A2">
            <w:pPr>
              <w:spacing w:after="0"/>
              <w:jc w:val="center"/>
              <w:rPr>
                <w:rFonts w:cs="Arial"/>
                <w:b/>
                <w:bCs/>
                <w:color w:val="FFFFFF" w:themeColor="background1"/>
              </w:rPr>
            </w:pPr>
            <w:r>
              <w:rPr>
                <w:rFonts w:cs="Arial"/>
                <w:b/>
                <w:bCs/>
                <w:color w:val="FFFFFF" w:themeColor="background1"/>
              </w:rPr>
              <w:t>Does not Meet</w:t>
            </w:r>
          </w:p>
          <w:p w14:paraId="1E73D8BF" w14:textId="77777777" w:rsidR="003254A2" w:rsidRPr="00E16E27" w:rsidRDefault="003254A2" w:rsidP="003254A2">
            <w:pPr>
              <w:spacing w:after="0"/>
              <w:jc w:val="center"/>
              <w:rPr>
                <w:rFonts w:cs="Arial"/>
                <w:b/>
                <w:bCs/>
                <w:color w:val="FFFFFF" w:themeColor="background1"/>
              </w:rPr>
            </w:pPr>
            <w:r>
              <w:rPr>
                <w:rFonts w:cs="Arial"/>
                <w:b/>
                <w:bCs/>
                <w:color w:val="FFFFFF" w:themeColor="background1"/>
              </w:rPr>
              <w:t>(0 out of 100)</w:t>
            </w:r>
          </w:p>
        </w:tc>
      </w:tr>
      <w:tr w:rsidR="003254A2" w:rsidRPr="00E16E27" w14:paraId="16C39FC9" w14:textId="77777777" w:rsidTr="006B0E8F">
        <w:tc>
          <w:tcPr>
            <w:tcW w:w="2260" w:type="dxa"/>
            <w:tcBorders>
              <w:top w:val="single" w:sz="6" w:space="0" w:color="0B0C0C"/>
              <w:left w:val="single" w:sz="6" w:space="0" w:color="0B0C0C"/>
              <w:right w:val="single" w:sz="6" w:space="0" w:color="0B0C0C"/>
            </w:tcBorders>
            <w:tcMar>
              <w:top w:w="11" w:type="dxa"/>
              <w:left w:w="6" w:type="dxa"/>
              <w:bottom w:w="74" w:type="dxa"/>
              <w:right w:w="6" w:type="dxa"/>
            </w:tcMar>
            <w:vAlign w:val="center"/>
          </w:tcPr>
          <w:p w14:paraId="36194BCF" w14:textId="77777777" w:rsidR="003254A2" w:rsidRPr="00A750A6" w:rsidRDefault="003254A2" w:rsidP="003254A2">
            <w:pPr>
              <w:jc w:val="center"/>
              <w:rPr>
                <w:rFonts w:cs="Arial"/>
                <w:b/>
              </w:rPr>
            </w:pPr>
            <w:r w:rsidRPr="00A750A6">
              <w:rPr>
                <w:rFonts w:cs="Arial"/>
                <w:b/>
              </w:rPr>
              <w:t>3.12</w:t>
            </w:r>
          </w:p>
          <w:p w14:paraId="037E0325" w14:textId="77777777" w:rsidR="003254A2" w:rsidRDefault="003254A2" w:rsidP="003254A2">
            <w:pPr>
              <w:jc w:val="center"/>
              <w:rPr>
                <w:rFonts w:cs="Arial"/>
              </w:rPr>
            </w:pPr>
            <w:r w:rsidRPr="00A750A6">
              <w:rPr>
                <w:rFonts w:cs="Arial"/>
                <w:b/>
              </w:rPr>
              <w:t>Fitness for Purpose</w:t>
            </w:r>
          </w:p>
        </w:tc>
        <w:tc>
          <w:tcPr>
            <w:tcW w:w="3198" w:type="dxa"/>
            <w:tcBorders>
              <w:top w:val="single" w:sz="6" w:space="0" w:color="0B0C0C"/>
              <w:left w:val="single" w:sz="6" w:space="0" w:color="0B0C0C"/>
              <w:right w:val="single" w:sz="6" w:space="0" w:color="0B0C0C"/>
            </w:tcBorders>
            <w:tcMar>
              <w:top w:w="11" w:type="dxa"/>
              <w:left w:w="6" w:type="dxa"/>
              <w:bottom w:w="74" w:type="dxa"/>
              <w:right w:w="6" w:type="dxa"/>
            </w:tcMar>
          </w:tcPr>
          <w:p w14:paraId="144B45BC" w14:textId="77777777" w:rsidR="003254A2" w:rsidRDefault="003254A2" w:rsidP="003254A2">
            <w:pPr>
              <w:rPr>
                <w:rFonts w:cs="Arial"/>
              </w:rPr>
            </w:pPr>
            <w:r w:rsidRPr="002B2C92">
              <w:rPr>
                <w:rFonts w:cs="Arial"/>
              </w:rPr>
              <w:t xml:space="preserve">A comprehensive and </w:t>
            </w:r>
            <w:r>
              <w:rPr>
                <w:rFonts w:cs="Arial"/>
              </w:rPr>
              <w:t xml:space="preserve">highly </w:t>
            </w:r>
            <w:r w:rsidRPr="002B2C92">
              <w:rPr>
                <w:rFonts w:cs="Arial"/>
              </w:rPr>
              <w:t xml:space="preserve">relevant response is provided for all elements of the question (paragraphs </w:t>
            </w:r>
            <w:proofErr w:type="spellStart"/>
            <w:r w:rsidRPr="002B2C92">
              <w:rPr>
                <w:rFonts w:cs="Arial"/>
              </w:rPr>
              <w:t>i</w:t>
            </w:r>
            <w:proofErr w:type="spellEnd"/>
            <w:r w:rsidRPr="002B2C92">
              <w:rPr>
                <w:rFonts w:cs="Arial"/>
              </w:rPr>
              <w:t xml:space="preserve">. to vi.), and this is supported with </w:t>
            </w:r>
            <w:r>
              <w:rPr>
                <w:rFonts w:cs="Arial"/>
              </w:rPr>
              <w:t>comprehensive evidence that customer expectations were exceeded.</w:t>
            </w:r>
          </w:p>
          <w:p w14:paraId="26BF05FB" w14:textId="77777777" w:rsidR="003254A2" w:rsidRDefault="003254A2" w:rsidP="003254A2">
            <w:pPr>
              <w:rPr>
                <w:rFonts w:cs="Arial"/>
              </w:rPr>
            </w:pPr>
            <w:r>
              <w:rPr>
                <w:rFonts w:cs="Arial"/>
              </w:rPr>
              <w:t>AND</w:t>
            </w:r>
          </w:p>
          <w:p w14:paraId="09552902" w14:textId="77777777" w:rsidR="003254A2" w:rsidRDefault="003254A2" w:rsidP="003254A2">
            <w:pPr>
              <w:rPr>
                <w:rFonts w:cs="Arial"/>
              </w:rPr>
            </w:pPr>
            <w:r w:rsidRPr="00E641F4">
              <w:rPr>
                <w:rFonts w:cs="Arial"/>
              </w:rPr>
              <w:t>The response meets all of the following criteria:</w:t>
            </w:r>
          </w:p>
          <w:p w14:paraId="2312D565" w14:textId="77777777" w:rsidR="003254A2" w:rsidRDefault="003254A2" w:rsidP="003254A2">
            <w:pPr>
              <w:pStyle w:val="ListParagraph"/>
              <w:numPr>
                <w:ilvl w:val="0"/>
                <w:numId w:val="64"/>
              </w:numPr>
              <w:ind w:left="331" w:firstLine="0"/>
            </w:pPr>
            <w:r>
              <w:t xml:space="preserve">The response fully articulates the functional needs of users across the relevant organisation, with clear metrics which demonstrate that these requirements were particularly complex and relevant to HMRC. </w:t>
            </w:r>
          </w:p>
          <w:p w14:paraId="249148DA" w14:textId="77777777" w:rsidR="003254A2" w:rsidRDefault="003254A2" w:rsidP="003254A2">
            <w:pPr>
              <w:pStyle w:val="ListParagraph"/>
              <w:numPr>
                <w:ilvl w:val="0"/>
                <w:numId w:val="64"/>
              </w:numPr>
              <w:ind w:left="331" w:firstLine="0"/>
            </w:pPr>
            <w:r>
              <w:t xml:space="preserve">The response provides a set of comprehensive metrics which evidence that the functional needs and </w:t>
            </w:r>
            <w:r>
              <w:lastRenderedPageBreak/>
              <w:t xml:space="preserve">expectations of users were exceeded. </w:t>
            </w:r>
          </w:p>
          <w:p w14:paraId="74A49FC5" w14:textId="77777777" w:rsidR="003254A2" w:rsidRPr="00755FC7" w:rsidRDefault="003254A2" w:rsidP="003254A2">
            <w:pPr>
              <w:pStyle w:val="ListParagraph"/>
              <w:numPr>
                <w:ilvl w:val="0"/>
                <w:numId w:val="64"/>
              </w:numPr>
              <w:ind w:left="331" w:firstLine="0"/>
              <w:rPr>
                <w:rFonts w:cs="Arial"/>
              </w:rPr>
            </w:pPr>
            <w:r w:rsidRPr="00755FC7">
              <w:rPr>
                <w:rFonts w:cs="Arial"/>
              </w:rPr>
              <w:t>The method and extent of configuration undertaken by the business/customer is fully explained and the response demonstrates that the customer was able to fully configure the software to meet their requirements, without any need for custom development.</w:t>
            </w:r>
          </w:p>
          <w:p w14:paraId="6A923AD4" w14:textId="77777777" w:rsidR="003254A2" w:rsidRPr="00FF72CE" w:rsidRDefault="003254A2" w:rsidP="003254A2">
            <w:pPr>
              <w:pStyle w:val="ListParagraph"/>
              <w:numPr>
                <w:ilvl w:val="0"/>
                <w:numId w:val="64"/>
              </w:numPr>
              <w:ind w:left="331" w:firstLine="0"/>
              <w:rPr>
                <w:rFonts w:cs="Arial"/>
              </w:rPr>
            </w:pPr>
            <w:r w:rsidRPr="00FF72CE">
              <w:rPr>
                <w:rFonts w:cs="Arial"/>
              </w:rPr>
              <w:t>The response provides full confidence that the solution was delivered with</w:t>
            </w:r>
            <w:r>
              <w:rPr>
                <w:rFonts w:cs="Arial"/>
              </w:rPr>
              <w:t xml:space="preserve"> minimal </w:t>
            </w:r>
            <w:r w:rsidRPr="00FF72CE">
              <w:rPr>
                <w:rFonts w:cs="Arial"/>
              </w:rPr>
              <w:t>reliance on bolt-on capabilities, and/or additional partnerships.</w:t>
            </w:r>
          </w:p>
          <w:p w14:paraId="06E7D75F" w14:textId="77777777" w:rsidR="003254A2" w:rsidRPr="00FF72CE" w:rsidRDefault="003254A2" w:rsidP="003254A2">
            <w:pPr>
              <w:pStyle w:val="ListParagraph"/>
              <w:numPr>
                <w:ilvl w:val="0"/>
                <w:numId w:val="64"/>
              </w:numPr>
              <w:ind w:left="331" w:firstLine="0"/>
              <w:rPr>
                <w:rFonts w:cs="Arial"/>
              </w:rPr>
            </w:pPr>
            <w:r w:rsidRPr="00FF72CE">
              <w:rPr>
                <w:rFonts w:cs="Arial"/>
              </w:rPr>
              <w:t>The number of instances (or equivalent) is clearly explained, and the response provides comprehensive evidence to provide full confidence that the approach to instance management was wholly proportionate, with clear metrics as to the cost and efficiency savings that were provided for the customer.</w:t>
            </w:r>
          </w:p>
          <w:p w14:paraId="073E10C3" w14:textId="77777777" w:rsidR="003254A2" w:rsidRPr="001C365C" w:rsidRDefault="003254A2" w:rsidP="003254A2">
            <w:pPr>
              <w:pStyle w:val="ListParagraph"/>
              <w:numPr>
                <w:ilvl w:val="0"/>
                <w:numId w:val="64"/>
              </w:numPr>
              <w:ind w:left="331" w:firstLine="0"/>
              <w:rPr>
                <w:rFonts w:cs="Arial"/>
              </w:rPr>
            </w:pPr>
            <w:r w:rsidRPr="00FF72CE">
              <w:rPr>
                <w:rFonts w:cs="Arial"/>
              </w:rPr>
              <w:lastRenderedPageBreak/>
              <w:t>The response demonstrates a comprehensive, pragmatic and flexible process for the identification and management of critical gaps and/or unexpected capability needs, exceeding the expectations of the customer.</w:t>
            </w:r>
          </w:p>
        </w:tc>
        <w:tc>
          <w:tcPr>
            <w:tcW w:w="2736" w:type="dxa"/>
            <w:tcBorders>
              <w:top w:val="single" w:sz="6" w:space="0" w:color="0B0C0C"/>
              <w:left w:val="single" w:sz="6" w:space="0" w:color="0B0C0C"/>
              <w:right w:val="single" w:sz="6" w:space="0" w:color="0B0C0C"/>
            </w:tcBorders>
            <w:tcMar>
              <w:top w:w="11" w:type="dxa"/>
              <w:left w:w="6" w:type="dxa"/>
              <w:bottom w:w="74" w:type="dxa"/>
              <w:right w:w="6" w:type="dxa"/>
            </w:tcMar>
          </w:tcPr>
          <w:p w14:paraId="7315B39F" w14:textId="77777777" w:rsidR="003254A2" w:rsidRDefault="003254A2" w:rsidP="003254A2">
            <w:r>
              <w:lastRenderedPageBreak/>
              <w:t xml:space="preserve">A comprehensive and relevant response is provided for all elements of the question (paragraphs </w:t>
            </w:r>
            <w:proofErr w:type="spellStart"/>
            <w:r>
              <w:t>i</w:t>
            </w:r>
            <w:proofErr w:type="spellEnd"/>
            <w:r>
              <w:t xml:space="preserve">. to vi.), and this is supported with strong evidence in all areas. </w:t>
            </w:r>
          </w:p>
          <w:p w14:paraId="2298D01A" w14:textId="77777777" w:rsidR="003254A2" w:rsidRDefault="003254A2" w:rsidP="003254A2">
            <w:r>
              <w:t>AND</w:t>
            </w:r>
          </w:p>
          <w:p w14:paraId="5B743A4E" w14:textId="77777777" w:rsidR="003254A2" w:rsidRDefault="003254A2" w:rsidP="003254A2">
            <w:r>
              <w:t xml:space="preserve">The response meets all of the following criteria: </w:t>
            </w:r>
          </w:p>
          <w:p w14:paraId="14ED9968" w14:textId="77777777" w:rsidR="003254A2" w:rsidRDefault="003254A2" w:rsidP="003254A2">
            <w:pPr>
              <w:pStyle w:val="ListParagraph"/>
              <w:numPr>
                <w:ilvl w:val="0"/>
                <w:numId w:val="65"/>
              </w:numPr>
              <w:ind w:left="413" w:hanging="142"/>
            </w:pPr>
            <w:r>
              <w:t>The response fully articulates the functional needs of users across the relevant organisation, with clear metrics.</w:t>
            </w:r>
          </w:p>
          <w:p w14:paraId="7A22E0CD" w14:textId="77777777" w:rsidR="003254A2" w:rsidRDefault="003254A2" w:rsidP="003254A2">
            <w:pPr>
              <w:pStyle w:val="ListParagraph"/>
              <w:numPr>
                <w:ilvl w:val="0"/>
                <w:numId w:val="65"/>
              </w:numPr>
              <w:ind w:left="413" w:hanging="142"/>
            </w:pPr>
            <w:r>
              <w:t>The response provides a set of comprehensive metrics which evidence that the functional needs and expectations of users were met.</w:t>
            </w:r>
          </w:p>
          <w:p w14:paraId="27171741" w14:textId="77777777" w:rsidR="003254A2" w:rsidRPr="0047034B" w:rsidRDefault="003254A2" w:rsidP="003254A2">
            <w:pPr>
              <w:pStyle w:val="ListParagraph"/>
              <w:numPr>
                <w:ilvl w:val="0"/>
                <w:numId w:val="65"/>
              </w:numPr>
              <w:ind w:left="413" w:hanging="142"/>
              <w:rPr>
                <w:rFonts w:cs="Arial"/>
              </w:rPr>
            </w:pPr>
            <w:r w:rsidRPr="0047034B">
              <w:rPr>
                <w:rFonts w:cs="Arial"/>
              </w:rPr>
              <w:lastRenderedPageBreak/>
              <w:t>The method and extent of configuration undertaken by the business/customer is fully explained and the response demonstrates that the customer was able to fully configure the software to meet their requirements, with minimal custom development required.</w:t>
            </w:r>
          </w:p>
          <w:p w14:paraId="3BE3D8FA" w14:textId="77777777" w:rsidR="003254A2" w:rsidRPr="0047034B" w:rsidRDefault="003254A2" w:rsidP="003254A2">
            <w:pPr>
              <w:pStyle w:val="ListParagraph"/>
              <w:numPr>
                <w:ilvl w:val="0"/>
                <w:numId w:val="65"/>
              </w:numPr>
              <w:ind w:left="413" w:hanging="142"/>
              <w:rPr>
                <w:rFonts w:cs="Arial"/>
              </w:rPr>
            </w:pPr>
            <w:r w:rsidRPr="589472B5">
              <w:rPr>
                <w:rFonts w:cs="Arial"/>
              </w:rPr>
              <w:t>The response provides full confidence that the solution was delivered without significant reliance on bolt-on capabilities, and/or additional partnerships.</w:t>
            </w:r>
          </w:p>
          <w:p w14:paraId="2F07C9C9" w14:textId="77777777" w:rsidR="003254A2" w:rsidRPr="0047034B" w:rsidRDefault="003254A2" w:rsidP="003254A2">
            <w:pPr>
              <w:pStyle w:val="ListParagraph"/>
              <w:numPr>
                <w:ilvl w:val="0"/>
                <w:numId w:val="65"/>
              </w:numPr>
              <w:ind w:left="413" w:hanging="142"/>
              <w:rPr>
                <w:rFonts w:cs="Arial"/>
              </w:rPr>
            </w:pPr>
            <w:r w:rsidRPr="0047034B">
              <w:rPr>
                <w:rFonts w:cs="Arial"/>
              </w:rPr>
              <w:t xml:space="preserve">The number of instances (or equivalent) is clearly explained, and the response provides comprehensive evidence to provide full confidence that the approach to instance management was wholly proportionate. </w:t>
            </w:r>
          </w:p>
          <w:p w14:paraId="58D4EB20" w14:textId="77777777" w:rsidR="003254A2" w:rsidRPr="007002BF" w:rsidDel="00C85AC4" w:rsidRDefault="003254A2" w:rsidP="003254A2">
            <w:pPr>
              <w:pStyle w:val="ListParagraph"/>
              <w:numPr>
                <w:ilvl w:val="0"/>
                <w:numId w:val="65"/>
              </w:numPr>
              <w:ind w:left="413" w:hanging="142"/>
              <w:rPr>
                <w:rFonts w:cs="Arial"/>
              </w:rPr>
            </w:pPr>
            <w:r w:rsidRPr="0047034B">
              <w:rPr>
                <w:rFonts w:cs="Arial"/>
              </w:rPr>
              <w:lastRenderedPageBreak/>
              <w:t>The response demonstrates a comprehensive</w:t>
            </w:r>
            <w:r>
              <w:rPr>
                <w:rFonts w:cs="Arial"/>
              </w:rPr>
              <w:t xml:space="preserve"> and</w:t>
            </w:r>
            <w:r w:rsidRPr="0047034B">
              <w:rPr>
                <w:rFonts w:cs="Arial"/>
              </w:rPr>
              <w:t xml:space="preserve"> pragmatic process for the identification and management of critical gaps and/or unexpected capability needs, to the full satisfaction of the customer.</w:t>
            </w:r>
          </w:p>
        </w:tc>
        <w:tc>
          <w:tcPr>
            <w:tcW w:w="2571" w:type="dxa"/>
            <w:tcBorders>
              <w:top w:val="single" w:sz="6" w:space="0" w:color="0B0C0C"/>
              <w:left w:val="single" w:sz="6" w:space="0" w:color="0B0C0C"/>
              <w:right w:val="single" w:sz="6" w:space="0" w:color="0B0C0C"/>
            </w:tcBorders>
          </w:tcPr>
          <w:p w14:paraId="7B4D12EC" w14:textId="5DA024BB" w:rsidR="003254A2" w:rsidRDefault="003254A2" w:rsidP="003254A2">
            <w:r>
              <w:lastRenderedPageBreak/>
              <w:t xml:space="preserve">The response is relevant, </w:t>
            </w:r>
            <w:r w:rsidR="00D96E3B">
              <w:t>provides a response to all elements</w:t>
            </w:r>
            <w:r>
              <w:t xml:space="preserve"> of the question (paragraphs </w:t>
            </w:r>
            <w:proofErr w:type="spellStart"/>
            <w:r>
              <w:t>i</w:t>
            </w:r>
            <w:proofErr w:type="spellEnd"/>
            <w:r>
              <w:t xml:space="preserve">. to vi.), but there is insufficient evidence in some areas. </w:t>
            </w:r>
          </w:p>
          <w:p w14:paraId="56DBE1F1" w14:textId="77777777" w:rsidR="003254A2" w:rsidRDefault="003254A2" w:rsidP="003254A2">
            <w:r>
              <w:t>AND</w:t>
            </w:r>
          </w:p>
          <w:p w14:paraId="4C77BE48" w14:textId="77777777" w:rsidR="003254A2" w:rsidRDefault="003254A2" w:rsidP="003254A2">
            <w:r>
              <w:t xml:space="preserve">The response meets one or more of the following criteria: </w:t>
            </w:r>
          </w:p>
          <w:p w14:paraId="28CBA0EE" w14:textId="77777777" w:rsidR="003254A2" w:rsidRDefault="003254A2" w:rsidP="003254A2">
            <w:pPr>
              <w:pStyle w:val="ListParagraph"/>
              <w:numPr>
                <w:ilvl w:val="0"/>
                <w:numId w:val="66"/>
              </w:numPr>
              <w:ind w:left="480" w:hanging="142"/>
            </w:pPr>
            <w:r>
              <w:t>The functional needs and expectations of users across the relevant organisation(s) are partially explained.</w:t>
            </w:r>
          </w:p>
          <w:p w14:paraId="26E99CF5" w14:textId="77777777" w:rsidR="003254A2" w:rsidRDefault="003254A2" w:rsidP="003254A2">
            <w:pPr>
              <w:pStyle w:val="ListParagraph"/>
              <w:numPr>
                <w:ilvl w:val="0"/>
                <w:numId w:val="66"/>
              </w:numPr>
              <w:ind w:left="480" w:hanging="142"/>
            </w:pPr>
            <w:r>
              <w:t>The response provides some quantifiable metrics to evidence that the functional needs and expectations of users were met.</w:t>
            </w:r>
          </w:p>
          <w:p w14:paraId="6B373C51" w14:textId="77777777" w:rsidR="003254A2" w:rsidRPr="0098681E" w:rsidRDefault="003254A2" w:rsidP="003254A2">
            <w:pPr>
              <w:pStyle w:val="ListParagraph"/>
              <w:numPr>
                <w:ilvl w:val="0"/>
                <w:numId w:val="66"/>
              </w:numPr>
              <w:ind w:left="480" w:hanging="142"/>
              <w:rPr>
                <w:rFonts w:cs="Arial"/>
              </w:rPr>
            </w:pPr>
            <w:r w:rsidRPr="0098681E">
              <w:rPr>
                <w:rFonts w:cs="Arial"/>
              </w:rPr>
              <w:lastRenderedPageBreak/>
              <w:t>The method and extent of configuration was unclear and/or there is insufficient evidence that the customer was able to configure the software without heavy reliance on custom development.</w:t>
            </w:r>
          </w:p>
          <w:p w14:paraId="4111DD0C" w14:textId="77777777" w:rsidR="003254A2" w:rsidRPr="0098681E" w:rsidRDefault="003254A2" w:rsidP="003254A2">
            <w:pPr>
              <w:pStyle w:val="ListParagraph"/>
              <w:numPr>
                <w:ilvl w:val="0"/>
                <w:numId w:val="66"/>
              </w:numPr>
              <w:ind w:left="480" w:hanging="142"/>
              <w:rPr>
                <w:rFonts w:cs="Arial"/>
              </w:rPr>
            </w:pPr>
            <w:r w:rsidRPr="0098681E">
              <w:rPr>
                <w:rFonts w:cs="Arial"/>
              </w:rPr>
              <w:t>The response only provides partial evidence that the solution was delivered without significant reliance on bolt-on capabilities, and/or additional partnerships.</w:t>
            </w:r>
          </w:p>
          <w:p w14:paraId="6559E54E" w14:textId="77777777" w:rsidR="003254A2" w:rsidRPr="0098681E" w:rsidRDefault="003254A2" w:rsidP="003254A2">
            <w:pPr>
              <w:pStyle w:val="ListParagraph"/>
              <w:numPr>
                <w:ilvl w:val="0"/>
                <w:numId w:val="66"/>
              </w:numPr>
              <w:ind w:left="453" w:hanging="142"/>
              <w:rPr>
                <w:rFonts w:cs="Arial"/>
              </w:rPr>
            </w:pPr>
            <w:r w:rsidRPr="0098681E">
              <w:rPr>
                <w:rFonts w:cs="Arial"/>
              </w:rPr>
              <w:t xml:space="preserve">The number of instances (or equivalent) is clearly explained, and the response provides some evidence to give an indication that the approach to instance </w:t>
            </w:r>
            <w:r w:rsidRPr="0098681E">
              <w:rPr>
                <w:rFonts w:cs="Arial"/>
              </w:rPr>
              <w:lastRenderedPageBreak/>
              <w:t xml:space="preserve">management was proportionate. </w:t>
            </w:r>
          </w:p>
          <w:p w14:paraId="44BEDA45" w14:textId="77777777" w:rsidR="003254A2" w:rsidRDefault="003254A2" w:rsidP="003254A2">
            <w:pPr>
              <w:pStyle w:val="ListParagraph"/>
              <w:numPr>
                <w:ilvl w:val="0"/>
                <w:numId w:val="66"/>
              </w:numPr>
              <w:ind w:left="453" w:hanging="142"/>
            </w:pPr>
            <w:r w:rsidRPr="0098681E">
              <w:rPr>
                <w:rFonts w:cs="Arial"/>
              </w:rPr>
              <w:t xml:space="preserve">The case studies partially </w:t>
            </w:r>
            <w:proofErr w:type="gramStart"/>
            <w:r w:rsidRPr="0098681E">
              <w:rPr>
                <w:rFonts w:cs="Arial"/>
              </w:rPr>
              <w:t>explains</w:t>
            </w:r>
            <w:proofErr w:type="gramEnd"/>
            <w:r w:rsidRPr="0098681E">
              <w:rPr>
                <w:rFonts w:cs="Arial"/>
              </w:rPr>
              <w:t xml:space="preserve"> the process that was used to identify and manage any critical gaps or unexpected capability needs</w:t>
            </w:r>
            <w:r>
              <w:rPr>
                <w:rFonts w:cs="Arial"/>
              </w:rPr>
              <w:t>.</w:t>
            </w:r>
          </w:p>
        </w:tc>
        <w:tc>
          <w:tcPr>
            <w:tcW w:w="2188" w:type="dxa"/>
            <w:tcBorders>
              <w:top w:val="single" w:sz="6" w:space="0" w:color="0B0C0C"/>
              <w:left w:val="single" w:sz="6" w:space="0" w:color="0B0C0C"/>
              <w:right w:val="single" w:sz="6" w:space="0" w:color="0B0C0C"/>
            </w:tcBorders>
            <w:tcMar>
              <w:top w:w="11" w:type="dxa"/>
              <w:left w:w="6" w:type="dxa"/>
              <w:bottom w:w="74" w:type="dxa"/>
              <w:right w:w="6" w:type="dxa"/>
            </w:tcMar>
          </w:tcPr>
          <w:p w14:paraId="68C86959" w14:textId="77777777" w:rsidR="003254A2" w:rsidRDefault="003254A2" w:rsidP="003254A2">
            <w:r>
              <w:lastRenderedPageBreak/>
              <w:t xml:space="preserve">The response does not answer all elements of the question (paragraphs </w:t>
            </w:r>
            <w:proofErr w:type="spellStart"/>
            <w:r>
              <w:t>i</w:t>
            </w:r>
            <w:proofErr w:type="spellEnd"/>
            <w:r>
              <w:t xml:space="preserve">. to vi.) and/or none of the information provided is relevant to the question asked. </w:t>
            </w:r>
          </w:p>
          <w:p w14:paraId="6B7E64D4" w14:textId="77777777" w:rsidR="003254A2" w:rsidRDefault="003254A2" w:rsidP="003254A2">
            <w:r>
              <w:t>AND/OR</w:t>
            </w:r>
          </w:p>
          <w:p w14:paraId="6AEF0FA0" w14:textId="77777777" w:rsidR="003254A2" w:rsidRDefault="003254A2" w:rsidP="003254A2">
            <w:r>
              <w:t>The response does not utilise at least one of the case studies provided in the Supplier’s response to question 3.11.</w:t>
            </w:r>
          </w:p>
          <w:p w14:paraId="70375BA4" w14:textId="77777777" w:rsidR="003254A2" w:rsidRPr="00E16E27" w:rsidRDefault="003254A2" w:rsidP="003254A2">
            <w:pPr>
              <w:rPr>
                <w:rFonts w:cs="Arial"/>
              </w:rPr>
            </w:pPr>
          </w:p>
        </w:tc>
      </w:tr>
      <w:tr w:rsidR="003254A2" w:rsidRPr="00E16E27" w14:paraId="448CC4B4" w14:textId="77777777" w:rsidTr="006B0E8F">
        <w:trPr>
          <w:trHeight w:val="964"/>
        </w:trPr>
        <w:tc>
          <w:tcPr>
            <w:tcW w:w="2260"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vAlign w:val="center"/>
          </w:tcPr>
          <w:p w14:paraId="69D5A993" w14:textId="77777777" w:rsidR="003254A2" w:rsidRPr="00A750A6" w:rsidRDefault="003254A2" w:rsidP="003254A2">
            <w:pPr>
              <w:jc w:val="center"/>
              <w:rPr>
                <w:rFonts w:cs="Arial"/>
                <w:b/>
              </w:rPr>
            </w:pPr>
            <w:r w:rsidRPr="00A750A6">
              <w:rPr>
                <w:rFonts w:cs="Arial"/>
                <w:b/>
              </w:rPr>
              <w:lastRenderedPageBreak/>
              <w:t>3.13</w:t>
            </w:r>
          </w:p>
          <w:p w14:paraId="44D75826" w14:textId="77777777" w:rsidR="003254A2" w:rsidRDefault="003254A2" w:rsidP="003254A2">
            <w:pPr>
              <w:jc w:val="center"/>
              <w:rPr>
                <w:rFonts w:cs="Arial"/>
              </w:rPr>
            </w:pPr>
            <w:r w:rsidRPr="00A750A6">
              <w:rPr>
                <w:rFonts w:cs="Arial"/>
                <w:b/>
              </w:rPr>
              <w:t>Scalability</w:t>
            </w:r>
          </w:p>
        </w:tc>
        <w:tc>
          <w:tcPr>
            <w:tcW w:w="319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145D8B4A" w14:textId="77777777" w:rsidR="003254A2" w:rsidRDefault="003254A2" w:rsidP="003254A2">
            <w:r w:rsidRPr="000318C3">
              <w:t xml:space="preserve">A comprehensive and highly relevant response is provided for all elements of the question (paragraphs </w:t>
            </w:r>
            <w:proofErr w:type="spellStart"/>
            <w:r w:rsidRPr="000318C3">
              <w:t>i</w:t>
            </w:r>
            <w:proofErr w:type="spellEnd"/>
            <w:r w:rsidRPr="000318C3">
              <w:t xml:space="preserve">. to </w:t>
            </w:r>
            <w:r>
              <w:t>i</w:t>
            </w:r>
            <w:r w:rsidRPr="000318C3">
              <w:t>i.), and this is supported with comprehensive evidence that customer expectations were exceeded.</w:t>
            </w:r>
          </w:p>
          <w:p w14:paraId="63B5556C" w14:textId="77777777" w:rsidR="003254A2" w:rsidRDefault="003254A2" w:rsidP="003254A2">
            <w:r>
              <w:t>AND</w:t>
            </w:r>
          </w:p>
          <w:p w14:paraId="3E9AEB46" w14:textId="77777777" w:rsidR="003254A2" w:rsidRDefault="003254A2" w:rsidP="003254A2">
            <w:r>
              <w:t xml:space="preserve">The response meets all of the following criteria: </w:t>
            </w:r>
          </w:p>
          <w:p w14:paraId="5840AA81" w14:textId="77777777" w:rsidR="003254A2" w:rsidRDefault="003254A2" w:rsidP="003254A2">
            <w:r>
              <w:t xml:space="preserve">The response provides a full explanation of the way in which the software scaled e.g. adding new computing resources and/or increasing the capabilities of existing infrastructure, to support the </w:t>
            </w:r>
            <w:r>
              <w:lastRenderedPageBreak/>
              <w:t xml:space="preserve">intended number of users and customers. This is supported through clear performance metrics, information on any tooling utilised and how this exceeded customer expectations. </w:t>
            </w:r>
          </w:p>
          <w:p w14:paraId="43D9FB0B" w14:textId="77777777" w:rsidR="003254A2" w:rsidRDefault="003254A2" w:rsidP="003254A2">
            <w:r>
              <w:t>The response provides full confidence that the software is able to scale up and down in line with customer requirements, both now and in the future.</w:t>
            </w:r>
          </w:p>
          <w:p w14:paraId="1C80A938" w14:textId="77777777" w:rsidR="003254A2" w:rsidRPr="00E16E27" w:rsidRDefault="003254A2" w:rsidP="003254A2">
            <w:pPr>
              <w:rPr>
                <w:rFonts w:cs="Arial"/>
              </w:rPr>
            </w:pPr>
            <w:r>
              <w:t>The response provides a comprehensive explanation of the methods through which the software handled peaks in usage without any service degradation and this is fully supported by clear metrics and quantifiable benefits, which evidence that customer expectations were exceeded.</w:t>
            </w:r>
          </w:p>
        </w:tc>
        <w:tc>
          <w:tcPr>
            <w:tcW w:w="2736"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0EE8831E" w14:textId="77777777" w:rsidR="003254A2" w:rsidRDefault="003254A2" w:rsidP="003254A2">
            <w:r w:rsidRPr="00C7462D">
              <w:lastRenderedPageBreak/>
              <w:t xml:space="preserve">A comprehensive and relevant response is provided for all elements of the question (paragraphs </w:t>
            </w:r>
            <w:proofErr w:type="spellStart"/>
            <w:r w:rsidRPr="00C7462D">
              <w:t>i</w:t>
            </w:r>
            <w:proofErr w:type="spellEnd"/>
            <w:r w:rsidRPr="00C7462D">
              <w:t xml:space="preserve">. to </w:t>
            </w:r>
            <w:r>
              <w:t>ii</w:t>
            </w:r>
            <w:r w:rsidRPr="00C7462D">
              <w:t xml:space="preserve">.), and this is supported with strong evidence in all areas. </w:t>
            </w:r>
          </w:p>
          <w:p w14:paraId="08FACB1A" w14:textId="77777777" w:rsidR="003254A2" w:rsidRDefault="003254A2" w:rsidP="003254A2">
            <w:r>
              <w:t>AND</w:t>
            </w:r>
          </w:p>
          <w:p w14:paraId="184E5693" w14:textId="77777777" w:rsidR="003254A2" w:rsidRDefault="003254A2" w:rsidP="003254A2">
            <w:r>
              <w:t xml:space="preserve">The response meets all of the following criteria: </w:t>
            </w:r>
          </w:p>
          <w:p w14:paraId="105C0CBD" w14:textId="77777777" w:rsidR="003254A2" w:rsidRDefault="003254A2" w:rsidP="003254A2">
            <w:pPr>
              <w:rPr>
                <w:rFonts w:cs="Arial"/>
              </w:rPr>
            </w:pPr>
            <w:r>
              <w:rPr>
                <w:rFonts w:cs="Arial"/>
              </w:rPr>
              <w:t xml:space="preserve">The response provides a full explanation of the way in which the software scaled </w:t>
            </w:r>
            <w:r w:rsidRPr="00945C44">
              <w:rPr>
                <w:rFonts w:cs="Arial"/>
              </w:rPr>
              <w:t xml:space="preserve">e.g. adding new computing resources and/or increasing the capabilities of existing </w:t>
            </w:r>
            <w:r w:rsidRPr="00945C44">
              <w:rPr>
                <w:rFonts w:cs="Arial"/>
              </w:rPr>
              <w:lastRenderedPageBreak/>
              <w:t>infrastructure, to support the intended number of users and customers.</w:t>
            </w:r>
            <w:r>
              <w:rPr>
                <w:rFonts w:cs="Arial"/>
              </w:rPr>
              <w:t xml:space="preserve"> This is supported through clear performance metrics, information on any tooling utilised and the benefits that this provided to the customer. </w:t>
            </w:r>
          </w:p>
          <w:p w14:paraId="36615F24" w14:textId="77777777" w:rsidR="003254A2" w:rsidRDefault="003254A2" w:rsidP="003254A2">
            <w:pPr>
              <w:rPr>
                <w:rFonts w:cs="Arial"/>
              </w:rPr>
            </w:pPr>
            <w:r>
              <w:rPr>
                <w:rFonts w:cs="Arial"/>
              </w:rPr>
              <w:t>The response provides full confidence that the software is able to scale up and down in line with customer requirements.</w:t>
            </w:r>
          </w:p>
          <w:p w14:paraId="508BAF8F" w14:textId="77777777" w:rsidR="003254A2" w:rsidRPr="002B147A" w:rsidDel="00C85AC4" w:rsidRDefault="003254A2" w:rsidP="003254A2">
            <w:pPr>
              <w:rPr>
                <w:rFonts w:cs="Arial"/>
              </w:rPr>
            </w:pPr>
            <w:r>
              <w:rPr>
                <w:rFonts w:cs="Arial"/>
              </w:rPr>
              <w:t>The response provides a comprehensive explanation of the methods through which the software handled peaks in usage without any service degradation and this is fully supported by comprehensive metrics.</w:t>
            </w:r>
          </w:p>
        </w:tc>
        <w:tc>
          <w:tcPr>
            <w:tcW w:w="2571" w:type="dxa"/>
            <w:tcBorders>
              <w:top w:val="single" w:sz="6" w:space="0" w:color="0B0C0C"/>
              <w:left w:val="single" w:sz="6" w:space="0" w:color="0B0C0C"/>
              <w:bottom w:val="single" w:sz="6" w:space="0" w:color="0B0C0C"/>
              <w:right w:val="single" w:sz="6" w:space="0" w:color="0B0C0C"/>
            </w:tcBorders>
          </w:tcPr>
          <w:p w14:paraId="19DAE5BB" w14:textId="3B664D7D" w:rsidR="003254A2" w:rsidRDefault="003254A2" w:rsidP="003254A2">
            <w:r w:rsidRPr="004027FA">
              <w:lastRenderedPageBreak/>
              <w:t xml:space="preserve">The response is relevant, </w:t>
            </w:r>
            <w:r w:rsidR="00D96E3B">
              <w:t>provides a response to all</w:t>
            </w:r>
            <w:r w:rsidRPr="004027FA">
              <w:t xml:space="preserve"> elements of the question (paragraphs </w:t>
            </w:r>
            <w:proofErr w:type="spellStart"/>
            <w:r w:rsidRPr="004027FA">
              <w:t>i</w:t>
            </w:r>
            <w:proofErr w:type="spellEnd"/>
            <w:r w:rsidRPr="004027FA">
              <w:t xml:space="preserve">. to </w:t>
            </w:r>
            <w:r>
              <w:t>i</w:t>
            </w:r>
            <w:r w:rsidRPr="004027FA">
              <w:t>i.), but there is insufficient evidence in some areas.</w:t>
            </w:r>
          </w:p>
          <w:p w14:paraId="7DABF62B" w14:textId="77777777" w:rsidR="003254A2" w:rsidRDefault="003254A2" w:rsidP="003254A2">
            <w:r>
              <w:t>AND</w:t>
            </w:r>
          </w:p>
          <w:p w14:paraId="490FDB83" w14:textId="77777777" w:rsidR="003254A2" w:rsidRDefault="003254A2" w:rsidP="003254A2">
            <w:r w:rsidRPr="00126832">
              <w:t>The response meets one or more of the following criteria:</w:t>
            </w:r>
          </w:p>
          <w:p w14:paraId="00650F3A" w14:textId="77777777" w:rsidR="003254A2" w:rsidRDefault="003254A2" w:rsidP="003254A2">
            <w:pPr>
              <w:rPr>
                <w:rFonts w:cs="Arial"/>
              </w:rPr>
            </w:pPr>
            <w:r>
              <w:rPr>
                <w:rFonts w:cs="Arial"/>
              </w:rPr>
              <w:t xml:space="preserve">The response provides a partial explanation of the way in which the software scaled </w:t>
            </w:r>
            <w:r w:rsidRPr="00945C44">
              <w:rPr>
                <w:rFonts w:cs="Arial"/>
              </w:rPr>
              <w:t xml:space="preserve">e.g. adding new computing resources and/or increasing the capabilities of existing </w:t>
            </w:r>
            <w:r w:rsidRPr="00945C44">
              <w:rPr>
                <w:rFonts w:cs="Arial"/>
              </w:rPr>
              <w:lastRenderedPageBreak/>
              <w:t>infrastructure, to support the intended number of users and customers.</w:t>
            </w:r>
            <w:r>
              <w:rPr>
                <w:rFonts w:cs="Arial"/>
              </w:rPr>
              <w:t xml:space="preserve"> This is supported through some quantifiable metrics.</w:t>
            </w:r>
          </w:p>
          <w:p w14:paraId="4005E75B" w14:textId="77777777" w:rsidR="003254A2" w:rsidRDefault="003254A2" w:rsidP="003254A2">
            <w:pPr>
              <w:rPr>
                <w:rFonts w:cs="Arial"/>
              </w:rPr>
            </w:pPr>
            <w:r>
              <w:rPr>
                <w:rFonts w:cs="Arial"/>
              </w:rPr>
              <w:t>The response provides confidence that the software is able to scale up and down in line with customer requirements.</w:t>
            </w:r>
          </w:p>
          <w:p w14:paraId="3D896C3F" w14:textId="77777777" w:rsidR="003254A2" w:rsidRDefault="003254A2" w:rsidP="003254A2">
            <w:r>
              <w:rPr>
                <w:rFonts w:cs="Arial"/>
              </w:rPr>
              <w:t>The response provides an explanation of the methods through which the software handled peaks in usage without any service degradation, supported by metrics.</w:t>
            </w:r>
          </w:p>
        </w:tc>
        <w:tc>
          <w:tcPr>
            <w:tcW w:w="218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5C0A7B1C" w14:textId="77777777" w:rsidR="003254A2" w:rsidRDefault="003254A2" w:rsidP="003254A2">
            <w:r w:rsidRPr="00EA597C">
              <w:lastRenderedPageBreak/>
              <w:t>The response does not answer all elements of the question</w:t>
            </w:r>
            <w:r>
              <w:t xml:space="preserve"> </w:t>
            </w:r>
            <w:r w:rsidRPr="00C7462D">
              <w:t xml:space="preserve">(paragraphs </w:t>
            </w:r>
            <w:proofErr w:type="spellStart"/>
            <w:r w:rsidRPr="00C7462D">
              <w:t>i</w:t>
            </w:r>
            <w:proofErr w:type="spellEnd"/>
            <w:r w:rsidRPr="00C7462D">
              <w:t xml:space="preserve">. to </w:t>
            </w:r>
            <w:r>
              <w:t>ii</w:t>
            </w:r>
            <w:r w:rsidRPr="00C7462D">
              <w:t>.),</w:t>
            </w:r>
            <w:r w:rsidRPr="00EA597C">
              <w:t xml:space="preserve"> and/or </w:t>
            </w:r>
            <w:r>
              <w:t xml:space="preserve">none of </w:t>
            </w:r>
            <w:r w:rsidRPr="00EA597C">
              <w:t>the information provided is relevant to the question asked.</w:t>
            </w:r>
          </w:p>
          <w:p w14:paraId="1921D34A" w14:textId="77777777" w:rsidR="003254A2" w:rsidRDefault="003254A2" w:rsidP="003254A2">
            <w:r>
              <w:t>AND/OR</w:t>
            </w:r>
          </w:p>
          <w:p w14:paraId="41B389DC" w14:textId="77777777" w:rsidR="003254A2" w:rsidRDefault="003254A2" w:rsidP="003254A2">
            <w:r>
              <w:t>The response does not utilise at least one of the case studies provided in the Supplier’s response to question 3.11.</w:t>
            </w:r>
          </w:p>
          <w:p w14:paraId="1FBC9DCE" w14:textId="77777777" w:rsidR="003254A2" w:rsidRDefault="003254A2" w:rsidP="003254A2">
            <w:pPr>
              <w:rPr>
                <w:rFonts w:cs="Arial"/>
              </w:rPr>
            </w:pPr>
          </w:p>
          <w:p w14:paraId="21FEBC5B" w14:textId="77777777" w:rsidR="003254A2" w:rsidRPr="00E16E27" w:rsidRDefault="003254A2" w:rsidP="003254A2">
            <w:pPr>
              <w:rPr>
                <w:rFonts w:cs="Arial"/>
              </w:rPr>
            </w:pPr>
          </w:p>
        </w:tc>
      </w:tr>
      <w:tr w:rsidR="003254A2" w:rsidRPr="00E16E27" w14:paraId="7AD65C50" w14:textId="77777777" w:rsidTr="006B0E8F">
        <w:trPr>
          <w:trHeight w:val="964"/>
        </w:trPr>
        <w:tc>
          <w:tcPr>
            <w:tcW w:w="2260"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vAlign w:val="center"/>
          </w:tcPr>
          <w:p w14:paraId="6762F877" w14:textId="77777777" w:rsidR="003254A2" w:rsidRPr="00A750A6" w:rsidRDefault="003254A2" w:rsidP="003254A2">
            <w:pPr>
              <w:jc w:val="center"/>
              <w:rPr>
                <w:rFonts w:cs="Arial"/>
                <w:b/>
              </w:rPr>
            </w:pPr>
            <w:r w:rsidRPr="00A750A6">
              <w:rPr>
                <w:rFonts w:cs="Arial"/>
                <w:b/>
              </w:rPr>
              <w:lastRenderedPageBreak/>
              <w:t>3.14</w:t>
            </w:r>
          </w:p>
          <w:p w14:paraId="5AE2ED95" w14:textId="77777777" w:rsidR="003254A2" w:rsidRDefault="003254A2" w:rsidP="003254A2">
            <w:pPr>
              <w:jc w:val="center"/>
              <w:rPr>
                <w:rFonts w:cs="Arial"/>
              </w:rPr>
            </w:pPr>
            <w:r w:rsidRPr="00A750A6">
              <w:rPr>
                <w:rFonts w:cs="Arial"/>
                <w:b/>
              </w:rPr>
              <w:t>Data &amp; Integration Management</w:t>
            </w:r>
          </w:p>
        </w:tc>
        <w:tc>
          <w:tcPr>
            <w:tcW w:w="319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4EC14CBD" w14:textId="77777777" w:rsidR="003254A2" w:rsidRDefault="003254A2" w:rsidP="003254A2">
            <w:r w:rsidRPr="000318C3">
              <w:t xml:space="preserve">A comprehensive and highly relevant response is provided for all elements of the question (paragraphs </w:t>
            </w:r>
            <w:proofErr w:type="spellStart"/>
            <w:r w:rsidRPr="000318C3">
              <w:t>i</w:t>
            </w:r>
            <w:proofErr w:type="spellEnd"/>
            <w:r w:rsidRPr="000318C3">
              <w:t xml:space="preserve">. to </w:t>
            </w:r>
            <w:r>
              <w:t>vi</w:t>
            </w:r>
            <w:r w:rsidRPr="000318C3">
              <w:t xml:space="preserve">.), and this is supported with comprehensive </w:t>
            </w:r>
            <w:r w:rsidRPr="000318C3">
              <w:lastRenderedPageBreak/>
              <w:t>evidence that customer expectations were exceeded.</w:t>
            </w:r>
          </w:p>
          <w:p w14:paraId="68A9BFCE" w14:textId="77777777" w:rsidR="003254A2" w:rsidRDefault="003254A2" w:rsidP="003254A2">
            <w:r>
              <w:t>AND</w:t>
            </w:r>
          </w:p>
          <w:p w14:paraId="5330372C" w14:textId="77777777" w:rsidR="003254A2" w:rsidRDefault="003254A2" w:rsidP="003254A2">
            <w:r>
              <w:t xml:space="preserve">The response meets all of the following criteria: </w:t>
            </w:r>
          </w:p>
          <w:p w14:paraId="7BC17E0E" w14:textId="77777777" w:rsidR="003254A2" w:rsidRDefault="003254A2" w:rsidP="003254A2">
            <w:r>
              <w:t xml:space="preserve">The response fully explains the customer’s requirements and how the software’s hosting model met the </w:t>
            </w:r>
            <w:r w:rsidRPr="00E66809">
              <w:rPr>
                <w:rFonts w:cs="Arial"/>
              </w:rPr>
              <w:t>c</w:t>
            </w:r>
            <w:r>
              <w:rPr>
                <w:rFonts w:cs="Arial"/>
              </w:rPr>
              <w:t>ustomer</w:t>
            </w:r>
            <w:r w:rsidRPr="00E66809">
              <w:rPr>
                <w:rFonts w:cs="Arial"/>
              </w:rPr>
              <w:t>’s data residency, sovereignty, and compliance requirements</w:t>
            </w:r>
            <w:r>
              <w:rPr>
                <w:rFonts w:cs="Arial"/>
              </w:rPr>
              <w:t>, with a comprehensive explanation of the measures used and how this exceeded customer requirements.</w:t>
            </w:r>
          </w:p>
          <w:p w14:paraId="490DCE94" w14:textId="77777777" w:rsidR="003254A2" w:rsidRDefault="003254A2" w:rsidP="003254A2">
            <w:r>
              <w:t>The response fully details the methods through which integrations were implemented (IPaaS, APIs etc), across both on-premise and cloud hosted examples. The response demonstrates that these integrations were designed to minimise complexity and technical debt; and utilises clear metrics to define the quantifiable benefits.</w:t>
            </w:r>
          </w:p>
          <w:p w14:paraId="31BAE865" w14:textId="77777777" w:rsidR="003254A2" w:rsidRDefault="003254A2" w:rsidP="003254A2">
            <w:r>
              <w:lastRenderedPageBreak/>
              <w:t xml:space="preserve">The response clearly explains how data flows were managed across multiple systems and how any downsides, e.g. duplication, were managed to the satisfaction of the customer. This is supported by evidence as to the positive benefits this brought to the customer. </w:t>
            </w:r>
          </w:p>
          <w:p w14:paraId="6A72425B" w14:textId="77777777" w:rsidR="003254A2" w:rsidRDefault="003254A2" w:rsidP="003254A2">
            <w:r>
              <w:t>The response explains the methods used to deliver real-time integration and the benefits this provided for the client, whilst also explaining how any challenges were resolved, e.g. data latency. The example used is highly relevant to HMRC’s requirements.</w:t>
            </w:r>
          </w:p>
          <w:p w14:paraId="3C688AD4" w14:textId="77777777" w:rsidR="003254A2" w:rsidRPr="00E16E27" w:rsidRDefault="003254A2" w:rsidP="003254A2">
            <w:pPr>
              <w:rPr>
                <w:rFonts w:cs="Arial"/>
              </w:rPr>
            </w:pPr>
            <w:r>
              <w:t xml:space="preserve">The response provides a comprehensive methodology for the provision of data accuracy and the software solution supported a range of open standards, which are clearly identified in the response. The response provides metrics which explain the level of data accuracy supported by the solution. </w:t>
            </w:r>
          </w:p>
        </w:tc>
        <w:tc>
          <w:tcPr>
            <w:tcW w:w="2736"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11A2C4D4" w14:textId="77777777" w:rsidR="003254A2" w:rsidRDefault="003254A2" w:rsidP="003254A2">
            <w:r>
              <w:lastRenderedPageBreak/>
              <w:t xml:space="preserve">A comprehensive and relevant response is provided for all elements of the question (paragraphs </w:t>
            </w:r>
            <w:proofErr w:type="spellStart"/>
            <w:r>
              <w:t>i</w:t>
            </w:r>
            <w:proofErr w:type="spellEnd"/>
            <w:r>
              <w:t xml:space="preserve">. to vi.), and this is supported </w:t>
            </w:r>
            <w:r>
              <w:lastRenderedPageBreak/>
              <w:t xml:space="preserve">with strong evidence in all areas. </w:t>
            </w:r>
          </w:p>
          <w:p w14:paraId="2C65BC61" w14:textId="77777777" w:rsidR="003254A2" w:rsidRDefault="003254A2" w:rsidP="003254A2">
            <w:r>
              <w:t>AND</w:t>
            </w:r>
          </w:p>
          <w:p w14:paraId="55F89407" w14:textId="77777777" w:rsidR="003254A2" w:rsidRDefault="003254A2" w:rsidP="003254A2">
            <w:r>
              <w:t xml:space="preserve">The response meets all of the following criteria: </w:t>
            </w:r>
          </w:p>
          <w:p w14:paraId="3C53B2A0" w14:textId="77777777" w:rsidR="003254A2" w:rsidRDefault="003254A2" w:rsidP="003254A2">
            <w:r>
              <w:t xml:space="preserve">The response fully explains the customer’s requirements and how the software’s hosting model met the </w:t>
            </w:r>
            <w:r w:rsidRPr="00E66809">
              <w:rPr>
                <w:rFonts w:cs="Arial"/>
              </w:rPr>
              <w:t>c</w:t>
            </w:r>
            <w:r>
              <w:rPr>
                <w:rFonts w:cs="Arial"/>
              </w:rPr>
              <w:t>ustomer</w:t>
            </w:r>
            <w:r w:rsidRPr="00E66809">
              <w:rPr>
                <w:rFonts w:cs="Arial"/>
              </w:rPr>
              <w:t>’s data residency, sovereignty, and compliance requirements</w:t>
            </w:r>
            <w:r>
              <w:rPr>
                <w:rFonts w:cs="Arial"/>
              </w:rPr>
              <w:t>, with a comprehensive explanation of the measures used.</w:t>
            </w:r>
          </w:p>
          <w:p w14:paraId="71F8750B" w14:textId="77777777" w:rsidR="003254A2" w:rsidRDefault="003254A2" w:rsidP="003254A2">
            <w:r>
              <w:t>The response fully details the methods through which integrations were implemented (IPaaS, APIs etc), across both on-premise and cloud hosted examples. The response demonstrates that these integrations were designed to minimise complexity and technical debt.</w:t>
            </w:r>
          </w:p>
          <w:p w14:paraId="63AF2DCA" w14:textId="77777777" w:rsidR="003254A2" w:rsidRDefault="003254A2" w:rsidP="003254A2">
            <w:r>
              <w:t xml:space="preserve">The response clearly explains how data flows </w:t>
            </w:r>
            <w:r>
              <w:lastRenderedPageBreak/>
              <w:t xml:space="preserve">were managed across multiple systems and how any downsides, e.g. duplication, were managed to the satisfaction of the customer. </w:t>
            </w:r>
          </w:p>
          <w:p w14:paraId="527C95E5" w14:textId="77777777" w:rsidR="003254A2" w:rsidRDefault="003254A2" w:rsidP="003254A2">
            <w:r>
              <w:t xml:space="preserve">The response explains the methods used to deliver real-time integration and the benefits this provided for the client, whilst also explaining how any challenges were resolved, e.g. data latency. </w:t>
            </w:r>
          </w:p>
          <w:p w14:paraId="108F412B" w14:textId="77777777" w:rsidR="003254A2" w:rsidRDefault="003254A2" w:rsidP="003254A2">
            <w:r>
              <w:t>The response provides a comprehensive methodology for the provision of data accuracy and the software solution supported a range of open standards, which are clearly identified in the response.</w:t>
            </w:r>
          </w:p>
          <w:p w14:paraId="62C3D354" w14:textId="77777777" w:rsidR="003254A2" w:rsidDel="00C41D30" w:rsidRDefault="003254A2" w:rsidP="003254A2"/>
        </w:tc>
        <w:tc>
          <w:tcPr>
            <w:tcW w:w="2571" w:type="dxa"/>
            <w:tcBorders>
              <w:top w:val="single" w:sz="6" w:space="0" w:color="0B0C0C"/>
              <w:left w:val="single" w:sz="6" w:space="0" w:color="0B0C0C"/>
              <w:bottom w:val="single" w:sz="6" w:space="0" w:color="0B0C0C"/>
              <w:right w:val="single" w:sz="6" w:space="0" w:color="0B0C0C"/>
            </w:tcBorders>
          </w:tcPr>
          <w:p w14:paraId="0D8F2D03" w14:textId="77777777" w:rsidR="003254A2" w:rsidRDefault="003254A2" w:rsidP="003254A2">
            <w:r w:rsidRPr="004027FA">
              <w:lastRenderedPageBreak/>
              <w:t xml:space="preserve">The response is relevant, provides a response to all elements of the question (paragraphs </w:t>
            </w:r>
            <w:proofErr w:type="spellStart"/>
            <w:r w:rsidRPr="004027FA">
              <w:t>i</w:t>
            </w:r>
            <w:proofErr w:type="spellEnd"/>
            <w:r w:rsidRPr="004027FA">
              <w:t xml:space="preserve">. to </w:t>
            </w:r>
            <w:r>
              <w:t>vi</w:t>
            </w:r>
            <w:r w:rsidRPr="004027FA">
              <w:t>.), but there is insufficient evidence in some areas.</w:t>
            </w:r>
          </w:p>
          <w:p w14:paraId="48BE8A5B" w14:textId="77777777" w:rsidR="003254A2" w:rsidRDefault="003254A2" w:rsidP="003254A2">
            <w:r>
              <w:lastRenderedPageBreak/>
              <w:t>AND</w:t>
            </w:r>
          </w:p>
          <w:p w14:paraId="50CE9CB9" w14:textId="77777777" w:rsidR="003254A2" w:rsidRDefault="003254A2" w:rsidP="003254A2">
            <w:r w:rsidRPr="00126832">
              <w:t>The response meets one or more of the following criteria:</w:t>
            </w:r>
          </w:p>
          <w:p w14:paraId="215F52FB" w14:textId="77777777" w:rsidR="003254A2" w:rsidRDefault="003254A2" w:rsidP="003254A2">
            <w:r w:rsidRPr="000C2C48">
              <w:t xml:space="preserve">The response explains how the software’s hosting model met the customer’s data residency, sovereignty, and compliance requirements, with </w:t>
            </w:r>
            <w:r>
              <w:t>some explanation of the measures used.</w:t>
            </w:r>
          </w:p>
          <w:p w14:paraId="60FF1EA1" w14:textId="77777777" w:rsidR="003254A2" w:rsidRDefault="003254A2" w:rsidP="003254A2">
            <w:r>
              <w:t xml:space="preserve">The response provides an explanation of the methods through which integrations were implemented (IPaaS, APIs etc), across both on-premise and cloud hosted examples. </w:t>
            </w:r>
          </w:p>
          <w:p w14:paraId="3646F037" w14:textId="77777777" w:rsidR="003254A2" w:rsidRDefault="003254A2" w:rsidP="003254A2">
            <w:r>
              <w:t>The response clearly explains how data flows were managed across multiple systems.</w:t>
            </w:r>
          </w:p>
          <w:p w14:paraId="5A7A2CC5" w14:textId="77777777" w:rsidR="003254A2" w:rsidRDefault="003254A2" w:rsidP="003254A2">
            <w:r>
              <w:t xml:space="preserve">The response explains the methods used to deliver real-time </w:t>
            </w:r>
            <w:r>
              <w:lastRenderedPageBreak/>
              <w:t>integration and the benefits this provided for the client.</w:t>
            </w:r>
          </w:p>
          <w:p w14:paraId="1C1463A6" w14:textId="77777777" w:rsidR="003254A2" w:rsidRDefault="003254A2" w:rsidP="003254A2">
            <w:r>
              <w:t>The response explains how the solution ensured data accuracy and mentions some open standards which were supported.</w:t>
            </w:r>
          </w:p>
          <w:p w14:paraId="553FA83A" w14:textId="77777777" w:rsidR="003254A2" w:rsidRDefault="003254A2" w:rsidP="003254A2"/>
        </w:tc>
        <w:tc>
          <w:tcPr>
            <w:tcW w:w="218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06259982" w14:textId="77777777" w:rsidR="003254A2" w:rsidRDefault="003254A2" w:rsidP="003254A2">
            <w:r w:rsidRPr="003F43DC">
              <w:lastRenderedPageBreak/>
              <w:t xml:space="preserve">The response does not answer all elements of the question (paragraphs </w:t>
            </w:r>
            <w:proofErr w:type="spellStart"/>
            <w:r w:rsidRPr="003F43DC">
              <w:t>i</w:t>
            </w:r>
            <w:proofErr w:type="spellEnd"/>
            <w:r w:rsidRPr="003F43DC">
              <w:t xml:space="preserve">. to </w:t>
            </w:r>
            <w:r>
              <w:t>vi</w:t>
            </w:r>
            <w:r w:rsidRPr="003F43DC">
              <w:t>.), and/or</w:t>
            </w:r>
            <w:r>
              <w:t xml:space="preserve"> none of</w:t>
            </w:r>
            <w:r w:rsidRPr="003F43DC">
              <w:t xml:space="preserve"> the information </w:t>
            </w:r>
            <w:r w:rsidRPr="003F43DC">
              <w:lastRenderedPageBreak/>
              <w:t>provided is relevant to the question asked.</w:t>
            </w:r>
          </w:p>
          <w:p w14:paraId="6B7EBAEF" w14:textId="77777777" w:rsidR="003254A2" w:rsidRDefault="003254A2" w:rsidP="003254A2">
            <w:r>
              <w:t>AND/OR</w:t>
            </w:r>
          </w:p>
          <w:p w14:paraId="77D65131" w14:textId="77777777" w:rsidR="003254A2" w:rsidRDefault="003254A2" w:rsidP="003254A2">
            <w:r>
              <w:t>The response does not utilise at least one of the case studies provided in the Supplier’s response to question 3.11.</w:t>
            </w:r>
          </w:p>
          <w:p w14:paraId="73F5B411" w14:textId="77777777" w:rsidR="003254A2" w:rsidRDefault="003254A2" w:rsidP="003254A2">
            <w:r>
              <w:t>.</w:t>
            </w:r>
          </w:p>
          <w:p w14:paraId="3409E657" w14:textId="77777777" w:rsidR="003254A2" w:rsidRPr="00E16E27" w:rsidRDefault="003254A2" w:rsidP="003254A2">
            <w:pPr>
              <w:rPr>
                <w:rFonts w:cs="Arial"/>
              </w:rPr>
            </w:pPr>
          </w:p>
        </w:tc>
      </w:tr>
      <w:tr w:rsidR="003254A2" w:rsidRPr="00E16E27" w14:paraId="522C215D" w14:textId="77777777" w:rsidTr="006B0E8F">
        <w:trPr>
          <w:trHeight w:val="964"/>
        </w:trPr>
        <w:tc>
          <w:tcPr>
            <w:tcW w:w="2260"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vAlign w:val="center"/>
          </w:tcPr>
          <w:p w14:paraId="0CA0588F" w14:textId="77777777" w:rsidR="003254A2" w:rsidRPr="00A750A6" w:rsidRDefault="003254A2" w:rsidP="003254A2">
            <w:pPr>
              <w:jc w:val="center"/>
              <w:rPr>
                <w:rFonts w:cs="Arial"/>
                <w:b/>
              </w:rPr>
            </w:pPr>
            <w:r w:rsidRPr="00A750A6">
              <w:rPr>
                <w:rFonts w:cs="Arial"/>
                <w:b/>
              </w:rPr>
              <w:lastRenderedPageBreak/>
              <w:t>3.15</w:t>
            </w:r>
          </w:p>
          <w:p w14:paraId="7E722436" w14:textId="77777777" w:rsidR="003254A2" w:rsidRDefault="003254A2" w:rsidP="003254A2">
            <w:pPr>
              <w:jc w:val="center"/>
              <w:rPr>
                <w:rFonts w:cs="Arial"/>
              </w:rPr>
            </w:pPr>
            <w:r w:rsidRPr="00A750A6">
              <w:rPr>
                <w:rFonts w:cs="Arial"/>
                <w:b/>
              </w:rPr>
              <w:t>Security, Robustness and Performance</w:t>
            </w:r>
          </w:p>
        </w:tc>
        <w:tc>
          <w:tcPr>
            <w:tcW w:w="319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7BE429A5" w14:textId="77777777" w:rsidR="003254A2" w:rsidRDefault="003254A2" w:rsidP="003254A2">
            <w:r w:rsidRPr="000318C3">
              <w:t xml:space="preserve">A comprehensive and highly relevant response is provided for all elements of the question (paragraphs </w:t>
            </w:r>
            <w:proofErr w:type="spellStart"/>
            <w:r w:rsidRPr="000318C3">
              <w:t>i</w:t>
            </w:r>
            <w:proofErr w:type="spellEnd"/>
            <w:r w:rsidRPr="000318C3">
              <w:t xml:space="preserve">. to </w:t>
            </w:r>
            <w:r>
              <w:t>i</w:t>
            </w:r>
            <w:r w:rsidRPr="000318C3">
              <w:t>i.), and this is supported with comprehensive evidence that customer expectations were exceeded.</w:t>
            </w:r>
          </w:p>
          <w:p w14:paraId="7B1E8CDC" w14:textId="77777777" w:rsidR="003254A2" w:rsidRDefault="003254A2" w:rsidP="003254A2">
            <w:r>
              <w:t>AND</w:t>
            </w:r>
          </w:p>
          <w:p w14:paraId="5E0EBFBE" w14:textId="77777777" w:rsidR="003254A2" w:rsidRDefault="003254A2" w:rsidP="003254A2">
            <w:r>
              <w:t xml:space="preserve">The response meets all of the following criteria: </w:t>
            </w:r>
          </w:p>
          <w:p w14:paraId="76DEC48C" w14:textId="77777777" w:rsidR="003254A2" w:rsidRDefault="003254A2" w:rsidP="003254A2">
            <w:r w:rsidRPr="00A660E1">
              <w:t xml:space="preserve">The response fully explains the customer’s reliability, speed and security requirements and explains the measures which were used to ensure that the software performed </w:t>
            </w:r>
            <w:r>
              <w:t>in a manner which exceeded</w:t>
            </w:r>
            <w:r w:rsidRPr="00A660E1">
              <w:t xml:space="preserve"> customer expectations; this is accompanied by quantifiable metrics</w:t>
            </w:r>
            <w:r>
              <w:t xml:space="preserve"> and a clear articulation of the applicable frameworks, certifications and standards; which are highly relevant to HMRC. </w:t>
            </w:r>
          </w:p>
          <w:p w14:paraId="5B27179C" w14:textId="77777777" w:rsidR="003254A2" w:rsidRPr="00E16E27" w:rsidRDefault="003254A2" w:rsidP="003254A2">
            <w:pPr>
              <w:rPr>
                <w:rFonts w:cs="Arial"/>
              </w:rPr>
            </w:pPr>
            <w:r>
              <w:rPr>
                <w:rFonts w:cs="Arial"/>
              </w:rPr>
              <w:t xml:space="preserve">The response outlines a comprehensive, timely and resilient approach to managing significant incidents and explains how this exceeded </w:t>
            </w:r>
            <w:r>
              <w:rPr>
                <w:rFonts w:cs="Arial"/>
              </w:rPr>
              <w:lastRenderedPageBreak/>
              <w:t>customer requirements and aligned with best practice.</w:t>
            </w:r>
          </w:p>
        </w:tc>
        <w:tc>
          <w:tcPr>
            <w:tcW w:w="2736"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05C1931E" w14:textId="77777777" w:rsidR="003254A2" w:rsidRDefault="003254A2" w:rsidP="003254A2">
            <w:r>
              <w:lastRenderedPageBreak/>
              <w:t xml:space="preserve">A comprehensive and relevant response is provided for all elements of the question (paragraphs </w:t>
            </w:r>
            <w:proofErr w:type="spellStart"/>
            <w:r>
              <w:t>i</w:t>
            </w:r>
            <w:proofErr w:type="spellEnd"/>
            <w:r>
              <w:t xml:space="preserve">. to ii.), and this is supported with strong evidence in all areas. </w:t>
            </w:r>
          </w:p>
          <w:p w14:paraId="6E359866" w14:textId="77777777" w:rsidR="003254A2" w:rsidRDefault="003254A2" w:rsidP="003254A2">
            <w:r>
              <w:t>AND</w:t>
            </w:r>
          </w:p>
          <w:p w14:paraId="19246B3B" w14:textId="77777777" w:rsidR="003254A2" w:rsidRDefault="003254A2" w:rsidP="003254A2">
            <w:r>
              <w:t xml:space="preserve">The response meets all of the following criteria: </w:t>
            </w:r>
          </w:p>
          <w:p w14:paraId="253278BF" w14:textId="77777777" w:rsidR="003254A2" w:rsidRDefault="003254A2" w:rsidP="003254A2">
            <w:r>
              <w:rPr>
                <w:rFonts w:cs="Arial"/>
              </w:rPr>
              <w:t xml:space="preserve">The response fully explains the customer’s reliability, speed and security requirements and explains the measures which were used to ensure that the software performed in accordance with customer expectations; this is accompanied by quantifiable metrics and a </w:t>
            </w:r>
            <w:r>
              <w:t>clear articulation of the applicable industry-standard frameworks, certifications and standards.</w:t>
            </w:r>
          </w:p>
          <w:p w14:paraId="1C4F07B6" w14:textId="77777777" w:rsidR="003254A2" w:rsidDel="00C41D30" w:rsidRDefault="003254A2" w:rsidP="003254A2">
            <w:r>
              <w:rPr>
                <w:rFonts w:cs="Arial"/>
              </w:rPr>
              <w:t xml:space="preserve">The response outlines a comprehensive, timely and resilient approach to </w:t>
            </w:r>
            <w:r>
              <w:rPr>
                <w:rFonts w:cs="Arial"/>
              </w:rPr>
              <w:lastRenderedPageBreak/>
              <w:t>managing significant incidents and explains how this fully met customer requirements.</w:t>
            </w:r>
          </w:p>
        </w:tc>
        <w:tc>
          <w:tcPr>
            <w:tcW w:w="2571" w:type="dxa"/>
            <w:tcBorders>
              <w:top w:val="single" w:sz="6" w:space="0" w:color="0B0C0C"/>
              <w:left w:val="single" w:sz="6" w:space="0" w:color="0B0C0C"/>
              <w:bottom w:val="single" w:sz="6" w:space="0" w:color="0B0C0C"/>
              <w:right w:val="single" w:sz="6" w:space="0" w:color="0B0C0C"/>
            </w:tcBorders>
          </w:tcPr>
          <w:p w14:paraId="1EE7A02B" w14:textId="77777777" w:rsidR="003254A2" w:rsidRDefault="003254A2" w:rsidP="003254A2">
            <w:r w:rsidRPr="004027FA">
              <w:lastRenderedPageBreak/>
              <w:t xml:space="preserve">The response is relevant, provides a response to all elements of the question (paragraphs </w:t>
            </w:r>
            <w:proofErr w:type="spellStart"/>
            <w:r w:rsidRPr="004027FA">
              <w:t>i</w:t>
            </w:r>
            <w:proofErr w:type="spellEnd"/>
            <w:r w:rsidRPr="004027FA">
              <w:t xml:space="preserve">. to </w:t>
            </w:r>
            <w:r>
              <w:t>i</w:t>
            </w:r>
            <w:r w:rsidRPr="004027FA">
              <w:t>i.), but there is insufficient evidence in some areas.</w:t>
            </w:r>
          </w:p>
          <w:p w14:paraId="36F85D4D" w14:textId="77777777" w:rsidR="003254A2" w:rsidRDefault="003254A2" w:rsidP="003254A2">
            <w:r>
              <w:t>AND</w:t>
            </w:r>
          </w:p>
          <w:p w14:paraId="712017FB" w14:textId="77777777" w:rsidR="003254A2" w:rsidRDefault="003254A2" w:rsidP="003254A2">
            <w:r w:rsidRPr="00126832">
              <w:t>The response meets one or more of the following criteria:</w:t>
            </w:r>
          </w:p>
          <w:p w14:paraId="7744DD2F" w14:textId="77777777" w:rsidR="003254A2" w:rsidRDefault="003254A2" w:rsidP="003254A2">
            <w:pPr>
              <w:rPr>
                <w:rFonts w:cs="Arial"/>
              </w:rPr>
            </w:pPr>
            <w:r>
              <w:rPr>
                <w:rFonts w:cs="Arial"/>
              </w:rPr>
              <w:t>The response provides a description of the measures which were used to ensure that the software performed in accordance with customer expectations.</w:t>
            </w:r>
          </w:p>
          <w:p w14:paraId="27E64E95" w14:textId="77777777" w:rsidR="003254A2" w:rsidRDefault="003254A2" w:rsidP="003254A2">
            <w:pPr>
              <w:rPr>
                <w:rFonts w:cs="Arial"/>
              </w:rPr>
            </w:pPr>
            <w:r>
              <w:rPr>
                <w:rFonts w:cs="Arial"/>
              </w:rPr>
              <w:t xml:space="preserve">The response outlines an approach that was used to manage significant incidents. </w:t>
            </w:r>
          </w:p>
          <w:p w14:paraId="4961835E" w14:textId="77777777" w:rsidR="003254A2" w:rsidRDefault="003254A2" w:rsidP="003254A2">
            <w:pPr>
              <w:rPr>
                <w:rFonts w:cs="Arial"/>
              </w:rPr>
            </w:pPr>
          </w:p>
          <w:p w14:paraId="3CF993CD" w14:textId="77777777" w:rsidR="003254A2" w:rsidRDefault="003254A2" w:rsidP="003254A2">
            <w:pPr>
              <w:rPr>
                <w:rFonts w:cs="Arial"/>
              </w:rPr>
            </w:pPr>
          </w:p>
          <w:p w14:paraId="4DA7F377" w14:textId="77777777" w:rsidR="003254A2" w:rsidRDefault="003254A2" w:rsidP="003254A2"/>
        </w:tc>
        <w:tc>
          <w:tcPr>
            <w:tcW w:w="218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3F340DD2" w14:textId="77777777" w:rsidR="003254A2" w:rsidRDefault="003254A2" w:rsidP="003254A2">
            <w:r w:rsidRPr="007D26D9">
              <w:t xml:space="preserve">The response does not answer all elements of the question (paragraphs </w:t>
            </w:r>
            <w:proofErr w:type="spellStart"/>
            <w:r w:rsidRPr="007D26D9">
              <w:t>i</w:t>
            </w:r>
            <w:proofErr w:type="spellEnd"/>
            <w:r w:rsidRPr="007D26D9">
              <w:t xml:space="preserve">. to </w:t>
            </w:r>
            <w:r>
              <w:t>i</w:t>
            </w:r>
            <w:r w:rsidRPr="007D26D9">
              <w:t xml:space="preserve">i.), and/or </w:t>
            </w:r>
            <w:r>
              <w:t>none of the</w:t>
            </w:r>
            <w:r w:rsidRPr="007D26D9">
              <w:t xml:space="preserve"> information provided is relevant to the question asked.</w:t>
            </w:r>
          </w:p>
          <w:p w14:paraId="4B031937" w14:textId="77777777" w:rsidR="003254A2" w:rsidRDefault="003254A2" w:rsidP="003254A2">
            <w:r>
              <w:t>AND/OR</w:t>
            </w:r>
          </w:p>
          <w:p w14:paraId="50EB2A59" w14:textId="77777777" w:rsidR="003254A2" w:rsidRDefault="003254A2" w:rsidP="003254A2">
            <w:r>
              <w:t>The response does not utilise at least one of the case studies provided in the Supplier’s response to question 3.11.</w:t>
            </w:r>
          </w:p>
          <w:p w14:paraId="68C46A3A" w14:textId="77777777" w:rsidR="003254A2" w:rsidRPr="00E16E27" w:rsidRDefault="003254A2" w:rsidP="003254A2">
            <w:pPr>
              <w:rPr>
                <w:rFonts w:cs="Arial"/>
              </w:rPr>
            </w:pPr>
          </w:p>
        </w:tc>
      </w:tr>
      <w:tr w:rsidR="003254A2" w:rsidRPr="00E16E27" w14:paraId="6A9E1C68" w14:textId="77777777" w:rsidTr="006B0E8F">
        <w:trPr>
          <w:trHeight w:val="964"/>
        </w:trPr>
        <w:tc>
          <w:tcPr>
            <w:tcW w:w="2260"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vAlign w:val="center"/>
          </w:tcPr>
          <w:p w14:paraId="0208D504" w14:textId="77777777" w:rsidR="003254A2" w:rsidRPr="00A750A6" w:rsidRDefault="003254A2" w:rsidP="003254A2">
            <w:pPr>
              <w:jc w:val="center"/>
              <w:rPr>
                <w:rFonts w:cs="Arial"/>
                <w:b/>
              </w:rPr>
            </w:pPr>
            <w:r w:rsidRPr="00A750A6">
              <w:rPr>
                <w:rFonts w:cs="Arial"/>
                <w:b/>
              </w:rPr>
              <w:t>3.16</w:t>
            </w:r>
          </w:p>
          <w:p w14:paraId="27E0A0F8" w14:textId="77777777" w:rsidR="003254A2" w:rsidRDefault="003254A2" w:rsidP="003254A2">
            <w:pPr>
              <w:jc w:val="center"/>
              <w:rPr>
                <w:rFonts w:cs="Arial"/>
              </w:rPr>
            </w:pPr>
            <w:r w:rsidRPr="00A750A6">
              <w:rPr>
                <w:rFonts w:cs="Arial"/>
                <w:b/>
              </w:rPr>
              <w:t>User Interface and User Experience</w:t>
            </w:r>
          </w:p>
        </w:tc>
        <w:tc>
          <w:tcPr>
            <w:tcW w:w="319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6F8C0B82" w14:textId="77777777" w:rsidR="003254A2" w:rsidRDefault="003254A2" w:rsidP="003254A2">
            <w:r w:rsidRPr="000318C3">
              <w:t xml:space="preserve">A comprehensive and highly relevant response is provided for all elements of the question (paragraphs </w:t>
            </w:r>
            <w:proofErr w:type="spellStart"/>
            <w:r w:rsidRPr="000318C3">
              <w:t>i</w:t>
            </w:r>
            <w:proofErr w:type="spellEnd"/>
            <w:r w:rsidRPr="000318C3">
              <w:t xml:space="preserve">. to </w:t>
            </w:r>
            <w:r>
              <w:t>ii</w:t>
            </w:r>
            <w:r w:rsidRPr="000318C3">
              <w:t>i.), and this is supported with comprehensive evidence that customer expectations were exceeded.</w:t>
            </w:r>
          </w:p>
          <w:p w14:paraId="6AA25AA8" w14:textId="77777777" w:rsidR="003254A2" w:rsidRDefault="003254A2" w:rsidP="003254A2">
            <w:r>
              <w:t>AND</w:t>
            </w:r>
          </w:p>
          <w:p w14:paraId="717CD68A" w14:textId="77777777" w:rsidR="003254A2" w:rsidRDefault="003254A2" w:rsidP="003254A2">
            <w:r>
              <w:t xml:space="preserve">The response meets all of the following criteria: </w:t>
            </w:r>
          </w:p>
          <w:p w14:paraId="5D3F6178" w14:textId="77777777" w:rsidR="003254A2" w:rsidRDefault="003254A2" w:rsidP="003254A2">
            <w:r w:rsidRPr="00C6611C">
              <w:t>The response provides a full overview of the way in which users across a variety of different roles rated the usability and design of the software interface, with quantifiable metrics used to illustrate the feedback received</w:t>
            </w:r>
            <w:r>
              <w:t xml:space="preserve"> and an explanation of the methods used to capture user feedback</w:t>
            </w:r>
            <w:r w:rsidRPr="00C6611C">
              <w:t xml:space="preserve">. </w:t>
            </w:r>
            <w:r>
              <w:t>Over 90% of feedback received was positive</w:t>
            </w:r>
          </w:p>
          <w:p w14:paraId="638B23D0" w14:textId="77777777" w:rsidR="003254A2" w:rsidRDefault="003254A2" w:rsidP="003254A2">
            <w:r>
              <w:t xml:space="preserve">The response explains the level and depth of feedback received </w:t>
            </w:r>
            <w:r>
              <w:lastRenderedPageBreak/>
              <w:t>on ease of use and visual clarity; supported by industry standard approaches e.g. Heuristics. Feedback was over 90% positive and supported by quantifiable metrics.</w:t>
            </w:r>
          </w:p>
          <w:p w14:paraId="6BE9DFFD" w14:textId="77777777" w:rsidR="003254A2" w:rsidRPr="00E16E27" w:rsidRDefault="003254A2" w:rsidP="003254A2">
            <w:pPr>
              <w:rPr>
                <w:rFonts w:cs="Arial"/>
              </w:rPr>
            </w:pPr>
            <w:r w:rsidRPr="001560E8">
              <w:t xml:space="preserve">The purpose </w:t>
            </w:r>
            <w:r>
              <w:t xml:space="preserve">and form (e.g. generative, predictive, deep learning, chatbot, LLM) </w:t>
            </w:r>
            <w:r w:rsidRPr="001560E8">
              <w:t xml:space="preserve">of the AI capabilities utilised are fully explained and metrics are used to illustrate the </w:t>
            </w:r>
            <w:r>
              <w:t xml:space="preserve">transformative </w:t>
            </w:r>
            <w:r w:rsidRPr="001560E8">
              <w:t>impact on user experience and efficiency.</w:t>
            </w:r>
          </w:p>
        </w:tc>
        <w:tc>
          <w:tcPr>
            <w:tcW w:w="2736"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0642EFAA" w14:textId="77777777" w:rsidR="003254A2" w:rsidRDefault="003254A2" w:rsidP="003254A2">
            <w:r>
              <w:lastRenderedPageBreak/>
              <w:t xml:space="preserve">A comprehensive and relevant response is provided for all elements of the question (paragraphs </w:t>
            </w:r>
            <w:proofErr w:type="spellStart"/>
            <w:r>
              <w:t>i</w:t>
            </w:r>
            <w:proofErr w:type="spellEnd"/>
            <w:r>
              <w:t xml:space="preserve">. to iii.), and this is supported with strong evidence in all areas. </w:t>
            </w:r>
          </w:p>
          <w:p w14:paraId="50F0FEE2" w14:textId="77777777" w:rsidR="003254A2" w:rsidRDefault="003254A2" w:rsidP="003254A2">
            <w:r>
              <w:t>AND</w:t>
            </w:r>
          </w:p>
          <w:p w14:paraId="486F11CC" w14:textId="77777777" w:rsidR="003254A2" w:rsidRDefault="003254A2" w:rsidP="003254A2">
            <w:r>
              <w:t xml:space="preserve">The response meets all of the following criteria: </w:t>
            </w:r>
          </w:p>
          <w:p w14:paraId="680A95F3" w14:textId="77777777" w:rsidR="003254A2" w:rsidRDefault="003254A2" w:rsidP="003254A2">
            <w:r>
              <w:t xml:space="preserve">The response provides a full overview of the way in which users across a variety of different roles rated the usability and design of the software interface, with quantifiable metrics used to illustrate the feedback received. Over 60% of feedback was positive. </w:t>
            </w:r>
          </w:p>
          <w:p w14:paraId="7927791E" w14:textId="77777777" w:rsidR="003254A2" w:rsidRDefault="003254A2" w:rsidP="003254A2">
            <w:r>
              <w:t xml:space="preserve">The response explains the level and depth of feedback received on ease of use </w:t>
            </w:r>
            <w:r>
              <w:lastRenderedPageBreak/>
              <w:t>and visual clarity; this feedback was over 60% positive and is supported by quantifiable metrics.</w:t>
            </w:r>
          </w:p>
          <w:p w14:paraId="7A5E7F09" w14:textId="77777777" w:rsidR="003254A2" w:rsidRDefault="003254A2" w:rsidP="003254A2">
            <w:r>
              <w:t>The purpose of the AI capabilities utilised are fully explained and metrics are used to illustrate the positive impact on user experience and efficiency.</w:t>
            </w:r>
          </w:p>
          <w:p w14:paraId="163C8850" w14:textId="77777777" w:rsidR="003254A2" w:rsidRDefault="003254A2" w:rsidP="003254A2">
            <w:pPr>
              <w:rPr>
                <w:rFonts w:cs="Arial"/>
              </w:rPr>
            </w:pPr>
            <w:r>
              <w:t>.</w:t>
            </w:r>
          </w:p>
          <w:p w14:paraId="2B462B46" w14:textId="77777777" w:rsidR="003254A2" w:rsidRDefault="003254A2" w:rsidP="003254A2">
            <w:pPr>
              <w:rPr>
                <w:rFonts w:cs="Arial"/>
              </w:rPr>
            </w:pPr>
          </w:p>
          <w:p w14:paraId="3DF6D779" w14:textId="77777777" w:rsidR="003254A2" w:rsidRPr="002B147A" w:rsidDel="00C85AC4" w:rsidRDefault="003254A2" w:rsidP="003254A2">
            <w:pPr>
              <w:rPr>
                <w:rFonts w:cs="Arial"/>
              </w:rPr>
            </w:pPr>
          </w:p>
        </w:tc>
        <w:tc>
          <w:tcPr>
            <w:tcW w:w="2571" w:type="dxa"/>
            <w:tcBorders>
              <w:top w:val="single" w:sz="6" w:space="0" w:color="0B0C0C"/>
              <w:left w:val="single" w:sz="6" w:space="0" w:color="0B0C0C"/>
              <w:bottom w:val="single" w:sz="6" w:space="0" w:color="0B0C0C"/>
              <w:right w:val="single" w:sz="6" w:space="0" w:color="0B0C0C"/>
            </w:tcBorders>
          </w:tcPr>
          <w:p w14:paraId="41B51BE4" w14:textId="77777777" w:rsidR="003254A2" w:rsidRDefault="003254A2" w:rsidP="003254A2">
            <w:r>
              <w:lastRenderedPageBreak/>
              <w:t xml:space="preserve">The response is relevant, provides a response to all elements of the question (paragraphs </w:t>
            </w:r>
            <w:proofErr w:type="spellStart"/>
            <w:r>
              <w:t>i</w:t>
            </w:r>
            <w:proofErr w:type="spellEnd"/>
            <w:r>
              <w:t>. to iii.), but there is insufficient evidence in some areas.</w:t>
            </w:r>
          </w:p>
          <w:p w14:paraId="5BFBD8FC" w14:textId="77777777" w:rsidR="003254A2" w:rsidRDefault="003254A2" w:rsidP="003254A2">
            <w:r>
              <w:t>AND</w:t>
            </w:r>
          </w:p>
          <w:p w14:paraId="67C02F9C" w14:textId="77777777" w:rsidR="003254A2" w:rsidRDefault="003254A2" w:rsidP="003254A2">
            <w:r>
              <w:t>The response meets one or more of the following criteria:</w:t>
            </w:r>
          </w:p>
          <w:p w14:paraId="52EF5B5F" w14:textId="77777777" w:rsidR="003254A2" w:rsidRDefault="003254A2" w:rsidP="003254A2">
            <w:r w:rsidRPr="00E04A4D">
              <w:t>The response provides a</w:t>
            </w:r>
            <w:r>
              <w:t xml:space="preserve">n </w:t>
            </w:r>
            <w:r w:rsidRPr="00E04A4D">
              <w:t>overview of the way in which users across a variety of different roles rated the usability and design of the software interface</w:t>
            </w:r>
            <w:r>
              <w:t>. User feedback was &lt; 60% positive.</w:t>
            </w:r>
          </w:p>
          <w:p w14:paraId="43913456" w14:textId="77777777" w:rsidR="003254A2" w:rsidRDefault="003254A2" w:rsidP="003254A2">
            <w:r w:rsidRPr="00553501">
              <w:t xml:space="preserve">The response explains the feedback received on ease of use and visual </w:t>
            </w:r>
            <w:proofErr w:type="gramStart"/>
            <w:r w:rsidRPr="00553501">
              <w:t>clarity</w:t>
            </w:r>
            <w:r>
              <w:t>,</w:t>
            </w:r>
            <w:proofErr w:type="gramEnd"/>
            <w:r>
              <w:t xml:space="preserve"> The feedback </w:t>
            </w:r>
            <w:r>
              <w:lastRenderedPageBreak/>
              <w:t>received was &lt; 60% positive.</w:t>
            </w:r>
          </w:p>
          <w:p w14:paraId="3491A581" w14:textId="77777777" w:rsidR="003254A2" w:rsidRDefault="003254A2" w:rsidP="003254A2">
            <w:r>
              <w:t>The use of AI capabilities is mentioned, with some indication of the effect they had on user experience and efficiency of the solution.</w:t>
            </w:r>
          </w:p>
          <w:p w14:paraId="52870CAB" w14:textId="77777777" w:rsidR="003254A2" w:rsidRDefault="003254A2" w:rsidP="003254A2"/>
        </w:tc>
        <w:tc>
          <w:tcPr>
            <w:tcW w:w="218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21FDEEEA" w14:textId="77777777" w:rsidR="003254A2" w:rsidRDefault="003254A2" w:rsidP="003254A2">
            <w:r w:rsidRPr="007D26D9">
              <w:lastRenderedPageBreak/>
              <w:t xml:space="preserve">The response does not answer all elements of the question (paragraphs </w:t>
            </w:r>
            <w:proofErr w:type="spellStart"/>
            <w:r w:rsidRPr="007D26D9">
              <w:t>i</w:t>
            </w:r>
            <w:proofErr w:type="spellEnd"/>
            <w:r w:rsidRPr="007D26D9">
              <w:t xml:space="preserve">. to </w:t>
            </w:r>
            <w:r>
              <w:t>ii</w:t>
            </w:r>
            <w:r w:rsidRPr="007D26D9">
              <w:t>i.), and/or</w:t>
            </w:r>
            <w:r>
              <w:t xml:space="preserve"> none of</w:t>
            </w:r>
            <w:r w:rsidRPr="007D26D9">
              <w:t xml:space="preserve"> the information provided is relevant to the question</w:t>
            </w:r>
            <w:r>
              <w:t>.</w:t>
            </w:r>
          </w:p>
          <w:p w14:paraId="25C344FA" w14:textId="77777777" w:rsidR="003254A2" w:rsidRDefault="003254A2" w:rsidP="003254A2">
            <w:r>
              <w:t>AND/OR</w:t>
            </w:r>
          </w:p>
          <w:p w14:paraId="4F39E69D" w14:textId="77777777" w:rsidR="003254A2" w:rsidRDefault="003254A2" w:rsidP="003254A2">
            <w:r>
              <w:t>The response does not utilise at least one of the case studies provided in the Supplier’s response to question 3.11.</w:t>
            </w:r>
          </w:p>
          <w:p w14:paraId="7B50ECEC" w14:textId="77777777" w:rsidR="003254A2" w:rsidRPr="00E16E27" w:rsidRDefault="003254A2" w:rsidP="003254A2">
            <w:pPr>
              <w:rPr>
                <w:rFonts w:cs="Arial"/>
              </w:rPr>
            </w:pPr>
          </w:p>
        </w:tc>
      </w:tr>
      <w:tr w:rsidR="003254A2" w:rsidRPr="002B147A" w14:paraId="0DA9195F" w14:textId="77777777" w:rsidTr="006B0E8F">
        <w:trPr>
          <w:trHeight w:val="61"/>
        </w:trPr>
        <w:tc>
          <w:tcPr>
            <w:tcW w:w="2260"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vAlign w:val="center"/>
          </w:tcPr>
          <w:p w14:paraId="4EB4B997" w14:textId="77777777" w:rsidR="003254A2" w:rsidRPr="00A750A6" w:rsidRDefault="003254A2" w:rsidP="003254A2">
            <w:pPr>
              <w:jc w:val="center"/>
              <w:rPr>
                <w:rFonts w:cs="Arial"/>
                <w:b/>
              </w:rPr>
            </w:pPr>
            <w:r w:rsidRPr="00A750A6">
              <w:rPr>
                <w:rFonts w:cs="Arial"/>
                <w:b/>
              </w:rPr>
              <w:t>3.17</w:t>
            </w:r>
          </w:p>
          <w:p w14:paraId="0640C0B5" w14:textId="77777777" w:rsidR="003254A2" w:rsidRDefault="003254A2" w:rsidP="003254A2">
            <w:pPr>
              <w:jc w:val="center"/>
              <w:rPr>
                <w:rFonts w:cs="Arial"/>
              </w:rPr>
            </w:pPr>
            <w:r w:rsidRPr="00A750A6">
              <w:rPr>
                <w:rFonts w:cs="Arial"/>
                <w:b/>
              </w:rPr>
              <w:t>Future Proofing and Roadmap Access</w:t>
            </w:r>
          </w:p>
        </w:tc>
        <w:tc>
          <w:tcPr>
            <w:tcW w:w="319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7D2D93FA" w14:textId="77777777" w:rsidR="003254A2" w:rsidRDefault="003254A2" w:rsidP="003254A2">
            <w:r w:rsidRPr="000318C3">
              <w:t xml:space="preserve">A comprehensive and highly relevant response is provided for all elements of the question (paragraphs </w:t>
            </w:r>
            <w:proofErr w:type="spellStart"/>
            <w:r w:rsidRPr="000318C3">
              <w:t>i</w:t>
            </w:r>
            <w:proofErr w:type="spellEnd"/>
            <w:r w:rsidRPr="000318C3">
              <w:t xml:space="preserve">. to </w:t>
            </w:r>
            <w:r>
              <w:t>iv</w:t>
            </w:r>
            <w:r w:rsidRPr="000318C3">
              <w:t>.), and this is supported with comprehensive evidence that customer expectations were exceeded.</w:t>
            </w:r>
          </w:p>
          <w:p w14:paraId="5892CED0" w14:textId="77777777" w:rsidR="003254A2" w:rsidRDefault="003254A2" w:rsidP="003254A2">
            <w:r>
              <w:t>AND</w:t>
            </w:r>
          </w:p>
          <w:p w14:paraId="1314D81C" w14:textId="77777777" w:rsidR="003254A2" w:rsidRDefault="003254A2" w:rsidP="003254A2">
            <w:r>
              <w:t xml:space="preserve">The response meets all of the following criteria: </w:t>
            </w:r>
          </w:p>
          <w:p w14:paraId="21B355C8" w14:textId="77777777" w:rsidR="003254A2" w:rsidRDefault="003254A2" w:rsidP="003254A2">
            <w:r w:rsidRPr="00D60927">
              <w:t xml:space="preserve">The response demonstrates how the software has kept up-to-date with organisational </w:t>
            </w:r>
            <w:r w:rsidRPr="00D60927">
              <w:lastRenderedPageBreak/>
              <w:t>needs and external developments; with t</w:t>
            </w:r>
            <w:r>
              <w:t>wo</w:t>
            </w:r>
            <w:r w:rsidRPr="00D60927">
              <w:t xml:space="preserve"> clear examples </w:t>
            </w:r>
            <w:r>
              <w:t xml:space="preserve">(in one or more case studies) </w:t>
            </w:r>
            <w:r w:rsidRPr="00D60927">
              <w:t>of how this has worked in practice</w:t>
            </w:r>
            <w:r>
              <w:t xml:space="preserve"> and how this has benefitted the customer. </w:t>
            </w:r>
          </w:p>
          <w:p w14:paraId="77EEA88D" w14:textId="77777777" w:rsidR="003254A2" w:rsidRDefault="003254A2" w:rsidP="003254A2">
            <w:r>
              <w:t>The response demonstrates that the customer had a clear route to access and benefit from product updates and innovation in a timely and transparent way; without incurring additional or excessive costs.</w:t>
            </w:r>
          </w:p>
          <w:p w14:paraId="19C533B1" w14:textId="77777777" w:rsidR="003254A2" w:rsidRDefault="003254A2" w:rsidP="003254A2">
            <w:r>
              <w:t>The response outlines a comprehensive approach to training/supporting the training of customer teams to use the solution throughout the contract; in accordance with best practice methods used to drive adoption. This is supported by clear metrics that demonstrative the effectiveness of this training.</w:t>
            </w:r>
          </w:p>
          <w:p w14:paraId="3D5CDA8D" w14:textId="77777777" w:rsidR="003254A2" w:rsidRPr="002B147A" w:rsidDel="00C85AC4" w:rsidRDefault="003254A2" w:rsidP="003254A2">
            <w:pPr>
              <w:rPr>
                <w:rFonts w:cs="Arial"/>
              </w:rPr>
            </w:pPr>
            <w:r>
              <w:t xml:space="preserve">The response demonstrates that the customer was able to shape the development of the product roadmap and the Supplier worked alongside the customer </w:t>
            </w:r>
            <w:r>
              <w:lastRenderedPageBreak/>
              <w:t>to co-develop the roadmap for the solution.</w:t>
            </w:r>
          </w:p>
        </w:tc>
        <w:tc>
          <w:tcPr>
            <w:tcW w:w="2736"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2E39377A" w14:textId="77777777" w:rsidR="003254A2" w:rsidRDefault="003254A2" w:rsidP="003254A2">
            <w:r>
              <w:lastRenderedPageBreak/>
              <w:t xml:space="preserve">A comprehensive and relevant response is provided for all elements of the question (paragraphs </w:t>
            </w:r>
            <w:proofErr w:type="spellStart"/>
            <w:r>
              <w:t>i</w:t>
            </w:r>
            <w:proofErr w:type="spellEnd"/>
            <w:r>
              <w:t xml:space="preserve">. to iv.), and this is supported with strong evidence in all areas. </w:t>
            </w:r>
          </w:p>
          <w:p w14:paraId="64121E82" w14:textId="77777777" w:rsidR="003254A2" w:rsidRDefault="003254A2" w:rsidP="003254A2">
            <w:r>
              <w:t>AND</w:t>
            </w:r>
          </w:p>
          <w:p w14:paraId="26293D3E" w14:textId="77777777" w:rsidR="003254A2" w:rsidRDefault="003254A2" w:rsidP="003254A2">
            <w:r>
              <w:t xml:space="preserve">The response meets all of the following criteria: </w:t>
            </w:r>
          </w:p>
          <w:p w14:paraId="171F291A" w14:textId="77777777" w:rsidR="003254A2" w:rsidRDefault="003254A2" w:rsidP="003254A2">
            <w:r>
              <w:t>The response demonstrates how the software has kept up-to-</w:t>
            </w:r>
            <w:r>
              <w:lastRenderedPageBreak/>
              <w:t>date with organisational needs and external developments; with one or more examples of how this has worked in practice.</w:t>
            </w:r>
          </w:p>
          <w:p w14:paraId="2178790E" w14:textId="77777777" w:rsidR="003254A2" w:rsidRDefault="003254A2" w:rsidP="003254A2">
            <w:r>
              <w:t>The response demonstrates that the customer had a clear route to access and benefit from product updates and innovation in a timely and transparent way.</w:t>
            </w:r>
          </w:p>
          <w:p w14:paraId="25C8C0D0" w14:textId="77777777" w:rsidR="003254A2" w:rsidRDefault="003254A2" w:rsidP="003254A2">
            <w:r>
              <w:t>The response outlines a comprehensive approach to training/supporting the training of customer teams to use the solution throughout the contract; in accordance with best practice methods used to drive adoption.</w:t>
            </w:r>
          </w:p>
          <w:p w14:paraId="2199C448" w14:textId="77777777" w:rsidR="003254A2" w:rsidRDefault="003254A2" w:rsidP="003254A2">
            <w:r>
              <w:t xml:space="preserve">Where there was co-development of the roadmap, the response demonstrates that the customer was able to actively influence the development of the product roadmap and the Supplier </w:t>
            </w:r>
            <w:r>
              <w:lastRenderedPageBreak/>
              <w:t>instituted measures to regularly capture customer feedback to support co-development.</w:t>
            </w:r>
          </w:p>
          <w:p w14:paraId="230BB408" w14:textId="77777777" w:rsidR="003254A2" w:rsidRPr="002B147A" w:rsidDel="00C85AC4" w:rsidRDefault="003254A2" w:rsidP="003254A2">
            <w:pPr>
              <w:rPr>
                <w:rFonts w:cs="Arial"/>
              </w:rPr>
            </w:pPr>
          </w:p>
        </w:tc>
        <w:tc>
          <w:tcPr>
            <w:tcW w:w="2571" w:type="dxa"/>
            <w:tcBorders>
              <w:top w:val="single" w:sz="6" w:space="0" w:color="0B0C0C"/>
              <w:left w:val="single" w:sz="6" w:space="0" w:color="0B0C0C"/>
              <w:bottom w:val="single" w:sz="6" w:space="0" w:color="0B0C0C"/>
              <w:right w:val="single" w:sz="6" w:space="0" w:color="0B0C0C"/>
            </w:tcBorders>
          </w:tcPr>
          <w:p w14:paraId="13066163" w14:textId="77777777" w:rsidR="003254A2" w:rsidRDefault="003254A2" w:rsidP="003254A2">
            <w:r>
              <w:lastRenderedPageBreak/>
              <w:t xml:space="preserve">The response is relevant, provides a response to all elements of the question (paragraphs </w:t>
            </w:r>
            <w:proofErr w:type="spellStart"/>
            <w:r>
              <w:t>i</w:t>
            </w:r>
            <w:proofErr w:type="spellEnd"/>
            <w:r>
              <w:t>. to iv.), but there is insufficient evidence in some areas.</w:t>
            </w:r>
          </w:p>
          <w:p w14:paraId="76D2DB91" w14:textId="77777777" w:rsidR="003254A2" w:rsidRDefault="003254A2" w:rsidP="003254A2">
            <w:r>
              <w:t>AND</w:t>
            </w:r>
          </w:p>
          <w:p w14:paraId="123E4A41" w14:textId="77777777" w:rsidR="003254A2" w:rsidRDefault="003254A2" w:rsidP="003254A2">
            <w:r>
              <w:t>The response meets one or more of the following criteria:</w:t>
            </w:r>
          </w:p>
          <w:p w14:paraId="7AB36DC3" w14:textId="77777777" w:rsidR="003254A2" w:rsidRDefault="003254A2" w:rsidP="003254A2">
            <w:r>
              <w:t>The response demonstrates how the software has kept up-to-</w:t>
            </w:r>
            <w:r>
              <w:lastRenderedPageBreak/>
              <w:t>date with organisational needs and external developments.</w:t>
            </w:r>
          </w:p>
          <w:p w14:paraId="5086BCFD" w14:textId="77777777" w:rsidR="003254A2" w:rsidRDefault="003254A2" w:rsidP="003254A2">
            <w:r>
              <w:t>The response demonstrates that the customer had a mechanism to access and benefit from product updates and innovation in a timely and transparent way.</w:t>
            </w:r>
          </w:p>
          <w:p w14:paraId="5C0D0628" w14:textId="77777777" w:rsidR="003254A2" w:rsidRDefault="003254A2" w:rsidP="003254A2">
            <w:r>
              <w:t>The response outlines an approach to training/supporting the training of customer teams to use the solution throughout the contract.</w:t>
            </w:r>
          </w:p>
          <w:p w14:paraId="7AB21AF9" w14:textId="77777777" w:rsidR="003254A2" w:rsidRDefault="003254A2" w:rsidP="003254A2">
            <w:r>
              <w:t>The response demonstrates that the customer was able to provide feedback to the Supplier to inform the development of the product roadmap.</w:t>
            </w:r>
          </w:p>
          <w:p w14:paraId="1DC1B89F" w14:textId="77777777" w:rsidR="003254A2" w:rsidRDefault="003254A2" w:rsidP="003254A2"/>
        </w:tc>
        <w:tc>
          <w:tcPr>
            <w:tcW w:w="218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2BD47079" w14:textId="77777777" w:rsidR="003254A2" w:rsidRDefault="003254A2" w:rsidP="003254A2">
            <w:r w:rsidRPr="007D26D9">
              <w:lastRenderedPageBreak/>
              <w:t xml:space="preserve">The response does not answer all elements of the question (paragraphs </w:t>
            </w:r>
            <w:proofErr w:type="spellStart"/>
            <w:r w:rsidRPr="007D26D9">
              <w:t>i</w:t>
            </w:r>
            <w:proofErr w:type="spellEnd"/>
            <w:r w:rsidRPr="007D26D9">
              <w:t xml:space="preserve">. to </w:t>
            </w:r>
            <w:r>
              <w:t>iv</w:t>
            </w:r>
            <w:r w:rsidRPr="007D26D9">
              <w:t xml:space="preserve">.), and/or </w:t>
            </w:r>
            <w:r>
              <w:t xml:space="preserve">none of </w:t>
            </w:r>
            <w:r w:rsidRPr="007D26D9">
              <w:t>the information provided is relevant to the question</w:t>
            </w:r>
          </w:p>
          <w:p w14:paraId="0FEB9B17" w14:textId="77777777" w:rsidR="003254A2" w:rsidRDefault="003254A2" w:rsidP="003254A2">
            <w:r>
              <w:t>AND/OR</w:t>
            </w:r>
          </w:p>
          <w:p w14:paraId="5CA97F9F" w14:textId="77777777" w:rsidR="003254A2" w:rsidRDefault="003254A2" w:rsidP="003254A2">
            <w:r>
              <w:t xml:space="preserve">The response does not utilise at least one of the case studies provided in the </w:t>
            </w:r>
            <w:r>
              <w:lastRenderedPageBreak/>
              <w:t>Supplier’s response to question 3.11.</w:t>
            </w:r>
          </w:p>
          <w:p w14:paraId="6D91CE6D" w14:textId="77777777" w:rsidR="003254A2" w:rsidRPr="002B147A" w:rsidDel="00C85AC4" w:rsidRDefault="003254A2" w:rsidP="003254A2">
            <w:pPr>
              <w:rPr>
                <w:rFonts w:cs="Arial"/>
              </w:rPr>
            </w:pPr>
          </w:p>
        </w:tc>
      </w:tr>
      <w:tr w:rsidR="003254A2" w:rsidRPr="002B147A" w14:paraId="712B268F" w14:textId="77777777" w:rsidTr="006B0E8F">
        <w:trPr>
          <w:trHeight w:val="964"/>
        </w:trPr>
        <w:tc>
          <w:tcPr>
            <w:tcW w:w="2260"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vAlign w:val="center"/>
          </w:tcPr>
          <w:p w14:paraId="2B3F0909" w14:textId="77777777" w:rsidR="003254A2" w:rsidRPr="00A750A6" w:rsidRDefault="003254A2" w:rsidP="003254A2">
            <w:pPr>
              <w:jc w:val="center"/>
              <w:rPr>
                <w:rFonts w:cs="Arial"/>
                <w:b/>
              </w:rPr>
            </w:pPr>
            <w:r w:rsidRPr="00A750A6">
              <w:rPr>
                <w:rFonts w:cs="Arial"/>
                <w:b/>
              </w:rPr>
              <w:lastRenderedPageBreak/>
              <w:t>3.18</w:t>
            </w:r>
          </w:p>
          <w:p w14:paraId="2C4A689A" w14:textId="77777777" w:rsidR="003254A2" w:rsidRPr="00232D61" w:rsidRDefault="003254A2" w:rsidP="003254A2">
            <w:pPr>
              <w:jc w:val="center"/>
              <w:rPr>
                <w:rFonts w:cs="Arial"/>
                <w:b/>
              </w:rPr>
            </w:pPr>
            <w:r w:rsidRPr="00A750A6">
              <w:rPr>
                <w:rFonts w:cs="Arial"/>
                <w:b/>
              </w:rPr>
              <w:t xml:space="preserve">Third Party </w:t>
            </w:r>
            <w:r w:rsidRPr="00232D61">
              <w:rPr>
                <w:rFonts w:cs="Arial"/>
                <w:b/>
              </w:rPr>
              <w:t>Contact Centre as a Service (CCaaS)</w:t>
            </w:r>
            <w:r w:rsidRPr="00A750A6">
              <w:rPr>
                <w:rFonts w:cs="Arial"/>
                <w:b/>
              </w:rPr>
              <w:t xml:space="preserve"> Integrations</w:t>
            </w:r>
          </w:p>
        </w:tc>
        <w:tc>
          <w:tcPr>
            <w:tcW w:w="319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3D9B969D" w14:textId="77777777" w:rsidR="003254A2" w:rsidRDefault="003254A2" w:rsidP="003254A2">
            <w:r w:rsidRPr="000318C3">
              <w:t>A comprehensive and highly relevant response is provided for all elements of the question, and this is supported with comprehensive evidence that customer expectations were exceeded.</w:t>
            </w:r>
          </w:p>
          <w:p w14:paraId="14EDE77E" w14:textId="77777777" w:rsidR="003254A2" w:rsidRDefault="003254A2" w:rsidP="003254A2">
            <w:r>
              <w:t>AND</w:t>
            </w:r>
          </w:p>
          <w:p w14:paraId="05D69A2E" w14:textId="77777777" w:rsidR="003254A2" w:rsidRDefault="003254A2" w:rsidP="003254A2">
            <w:r>
              <w:t xml:space="preserve">The response meets all of the following criteria: </w:t>
            </w:r>
          </w:p>
          <w:p w14:paraId="14E57C2E" w14:textId="77777777" w:rsidR="003254A2" w:rsidRDefault="003254A2" w:rsidP="003254A2">
            <w:pPr>
              <w:rPr>
                <w:rFonts w:cs="Arial"/>
              </w:rPr>
            </w:pPr>
            <w:r>
              <w:rPr>
                <w:rFonts w:cs="Arial"/>
              </w:rPr>
              <w:t xml:space="preserve">Both case studies relate to examples that are of a large scale (tens of </w:t>
            </w:r>
            <w:proofErr w:type="spellStart"/>
            <w:r>
              <w:rPr>
                <w:rFonts w:cs="Arial"/>
              </w:rPr>
              <w:t>thousand</w:t>
            </w:r>
            <w:proofErr w:type="spellEnd"/>
            <w:r>
              <w:rPr>
                <w:rFonts w:cs="Arial"/>
              </w:rPr>
              <w:t xml:space="preserve"> or more internal users).</w:t>
            </w:r>
          </w:p>
          <w:p w14:paraId="42D99D4B" w14:textId="77777777" w:rsidR="003254A2" w:rsidRDefault="003254A2" w:rsidP="003254A2">
            <w:pPr>
              <w:rPr>
                <w:rFonts w:cs="Arial"/>
              </w:rPr>
            </w:pPr>
            <w:r>
              <w:rPr>
                <w:rFonts w:cs="Arial"/>
              </w:rPr>
              <w:t xml:space="preserve">The response comprehensively outlines the approach to development of system architecture, including components, structures and validation, with a clear explanation of the associated </w:t>
            </w:r>
            <w:r>
              <w:rPr>
                <w:rFonts w:cs="Arial"/>
              </w:rPr>
              <w:lastRenderedPageBreak/>
              <w:t>rationale and the associated benefits.</w:t>
            </w:r>
          </w:p>
          <w:p w14:paraId="31742302" w14:textId="77777777" w:rsidR="003254A2" w:rsidRDefault="003254A2" w:rsidP="003254A2">
            <w:pPr>
              <w:rPr>
                <w:rFonts w:cs="Arial"/>
              </w:rPr>
            </w:pPr>
            <w:r>
              <w:rPr>
                <w:rFonts w:cs="Arial"/>
              </w:rPr>
              <w:t xml:space="preserve">The response illustrates the measures used to ensure interoperability across a complex systems landscape; with supporting evidence to demonstrate that minimal custom integrations were required. </w:t>
            </w:r>
          </w:p>
          <w:p w14:paraId="4F6FD89F" w14:textId="77777777" w:rsidR="003254A2" w:rsidRDefault="003254A2" w:rsidP="003254A2">
            <w:pPr>
              <w:rPr>
                <w:rFonts w:cs="Arial"/>
              </w:rPr>
            </w:pPr>
            <w:r>
              <w:rPr>
                <w:rFonts w:cs="Arial"/>
              </w:rPr>
              <w:t>The integration lifecycle management approach utilised to manage integrations with a range of contact centre solutions is fully explained, aligned with best practice and the associated benefits are clearly articulated.</w:t>
            </w:r>
          </w:p>
          <w:p w14:paraId="10D61DE3" w14:textId="77777777" w:rsidR="003254A2" w:rsidRPr="002B147A" w:rsidDel="00C85AC4" w:rsidRDefault="003254A2" w:rsidP="003254A2">
            <w:pPr>
              <w:rPr>
                <w:rFonts w:cs="Arial"/>
              </w:rPr>
            </w:pPr>
            <w:r>
              <w:rPr>
                <w:rFonts w:cs="Arial"/>
              </w:rPr>
              <w:t xml:space="preserve">The successful integration of the CRM and contact centre solution(s) is evidenced through at least three measurable outcomes that demonstrate </w:t>
            </w:r>
            <w:r w:rsidRPr="00E66809">
              <w:rPr>
                <w:rFonts w:cs="Arial"/>
                <w:color w:val="000000" w:themeColor="text1"/>
                <w:kern w:val="24"/>
              </w:rPr>
              <w:t>successful operation across multiple communication channels (e.g. online, mobile).</w:t>
            </w:r>
          </w:p>
        </w:tc>
        <w:tc>
          <w:tcPr>
            <w:tcW w:w="2736"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014543F1" w14:textId="77777777" w:rsidR="003254A2" w:rsidRDefault="003254A2" w:rsidP="003254A2">
            <w:r>
              <w:lastRenderedPageBreak/>
              <w:t xml:space="preserve">A comprehensive and relevant response is provided for all elements of the question, and this is supported with strong evidence in all areas. </w:t>
            </w:r>
          </w:p>
          <w:p w14:paraId="594C2A0C" w14:textId="77777777" w:rsidR="003254A2" w:rsidRDefault="003254A2" w:rsidP="003254A2">
            <w:r>
              <w:t>AND</w:t>
            </w:r>
          </w:p>
          <w:p w14:paraId="59F602B9" w14:textId="77777777" w:rsidR="003254A2" w:rsidRDefault="003254A2" w:rsidP="003254A2">
            <w:r>
              <w:t xml:space="preserve">The response meets all of the following criteria: </w:t>
            </w:r>
          </w:p>
          <w:p w14:paraId="4DD35BE2" w14:textId="77777777" w:rsidR="003254A2" w:rsidRDefault="003254A2" w:rsidP="003254A2">
            <w:pPr>
              <w:rPr>
                <w:rFonts w:cs="Arial"/>
              </w:rPr>
            </w:pPr>
            <w:r>
              <w:rPr>
                <w:rFonts w:cs="Arial"/>
              </w:rPr>
              <w:t>Both case studies relate to examples that are of a large scale (tens of thousands of internal users).</w:t>
            </w:r>
          </w:p>
          <w:p w14:paraId="4078BD6D" w14:textId="77777777" w:rsidR="003254A2" w:rsidRDefault="003254A2" w:rsidP="003254A2">
            <w:pPr>
              <w:rPr>
                <w:rFonts w:cs="Arial"/>
              </w:rPr>
            </w:pPr>
            <w:r>
              <w:rPr>
                <w:rFonts w:cs="Arial"/>
              </w:rPr>
              <w:t xml:space="preserve">The response comprehensively outlines the approach to the development of system architecture, including components, structures and validation, with a clear </w:t>
            </w:r>
            <w:r>
              <w:rPr>
                <w:rFonts w:cs="Arial"/>
              </w:rPr>
              <w:lastRenderedPageBreak/>
              <w:t>explanation of the associated rationale.</w:t>
            </w:r>
          </w:p>
          <w:p w14:paraId="7307CDA5" w14:textId="77777777" w:rsidR="003254A2" w:rsidRDefault="003254A2" w:rsidP="003254A2">
            <w:pPr>
              <w:rPr>
                <w:rFonts w:cs="Arial"/>
              </w:rPr>
            </w:pPr>
            <w:r>
              <w:rPr>
                <w:rFonts w:cs="Arial"/>
              </w:rPr>
              <w:t>The response illustrates the measures used to ensure interoperability across a complex systems landscape; with supporting evidence to demonstrate this in practice.</w:t>
            </w:r>
          </w:p>
          <w:p w14:paraId="0D6924FC" w14:textId="77777777" w:rsidR="003254A2" w:rsidRDefault="003254A2" w:rsidP="003254A2">
            <w:pPr>
              <w:rPr>
                <w:rFonts w:cs="Arial"/>
              </w:rPr>
            </w:pPr>
            <w:r>
              <w:rPr>
                <w:rFonts w:cs="Arial"/>
              </w:rPr>
              <w:t>The integration lifecycle management approach utilised to manage integrations with a range of contact centre solutions is fully explained alongside the associated benefits.</w:t>
            </w:r>
          </w:p>
          <w:p w14:paraId="15BC9CB5" w14:textId="77777777" w:rsidR="003254A2" w:rsidRPr="002B147A" w:rsidDel="00C85AC4" w:rsidRDefault="003254A2" w:rsidP="003254A2">
            <w:pPr>
              <w:rPr>
                <w:rFonts w:cs="Arial"/>
              </w:rPr>
            </w:pPr>
            <w:r>
              <w:rPr>
                <w:rFonts w:cs="Arial"/>
              </w:rPr>
              <w:t xml:space="preserve">The successful integration of the CRM and contact centre solution(s) is evidenced through at least two measurable outcomes that demonstrate </w:t>
            </w:r>
            <w:r w:rsidRPr="00E66809">
              <w:rPr>
                <w:rFonts w:cs="Arial"/>
                <w:color w:val="000000" w:themeColor="text1"/>
                <w:kern w:val="24"/>
              </w:rPr>
              <w:t>successful operation across multiple communication channels (e.g. online, mobile).</w:t>
            </w:r>
          </w:p>
        </w:tc>
        <w:tc>
          <w:tcPr>
            <w:tcW w:w="2571" w:type="dxa"/>
            <w:tcBorders>
              <w:top w:val="single" w:sz="6" w:space="0" w:color="0B0C0C"/>
              <w:left w:val="single" w:sz="6" w:space="0" w:color="0B0C0C"/>
              <w:bottom w:val="single" w:sz="6" w:space="0" w:color="0B0C0C"/>
              <w:right w:val="single" w:sz="6" w:space="0" w:color="0B0C0C"/>
            </w:tcBorders>
          </w:tcPr>
          <w:p w14:paraId="7FD49854" w14:textId="77777777" w:rsidR="003254A2" w:rsidRDefault="003254A2" w:rsidP="003254A2">
            <w:r>
              <w:lastRenderedPageBreak/>
              <w:t>The response is relevant, provides a response to all elements of the question, but there is insufficient evidence in some areas.</w:t>
            </w:r>
          </w:p>
          <w:p w14:paraId="19E4C0C9" w14:textId="77777777" w:rsidR="003254A2" w:rsidRDefault="003254A2" w:rsidP="003254A2">
            <w:r>
              <w:t>AND</w:t>
            </w:r>
          </w:p>
          <w:p w14:paraId="77C492A4" w14:textId="77777777" w:rsidR="003254A2" w:rsidRPr="00840DCE" w:rsidRDefault="003254A2" w:rsidP="003254A2">
            <w:r>
              <w:t>The response meets one or more of the following criteria:</w:t>
            </w:r>
          </w:p>
          <w:p w14:paraId="4B3AA38D" w14:textId="77777777" w:rsidR="003254A2" w:rsidRDefault="003254A2" w:rsidP="003254A2">
            <w:pPr>
              <w:rPr>
                <w:rFonts w:cs="Arial"/>
              </w:rPr>
            </w:pPr>
            <w:r>
              <w:rPr>
                <w:rFonts w:cs="Arial"/>
              </w:rPr>
              <w:t>Both case studies relate to examples that are of a large scale (tens of thousands of internal users).</w:t>
            </w:r>
          </w:p>
          <w:p w14:paraId="23A1295F" w14:textId="77777777" w:rsidR="003254A2" w:rsidRDefault="003254A2" w:rsidP="003254A2">
            <w:pPr>
              <w:rPr>
                <w:rFonts w:cs="Arial"/>
              </w:rPr>
            </w:pPr>
            <w:r>
              <w:rPr>
                <w:rFonts w:cs="Arial"/>
              </w:rPr>
              <w:t>The response outlines the approach to the development of system architecture, including components, structures and validation.</w:t>
            </w:r>
          </w:p>
          <w:p w14:paraId="78BCF07C" w14:textId="77777777" w:rsidR="003254A2" w:rsidRDefault="003254A2" w:rsidP="003254A2">
            <w:pPr>
              <w:rPr>
                <w:rFonts w:cs="Arial"/>
              </w:rPr>
            </w:pPr>
            <w:r>
              <w:rPr>
                <w:rFonts w:cs="Arial"/>
              </w:rPr>
              <w:t xml:space="preserve">The response illustrates the measures used to </w:t>
            </w:r>
            <w:r>
              <w:rPr>
                <w:rFonts w:cs="Arial"/>
              </w:rPr>
              <w:lastRenderedPageBreak/>
              <w:t>ensure interoperability across a complex systems landscape.</w:t>
            </w:r>
          </w:p>
          <w:p w14:paraId="0362B020" w14:textId="77777777" w:rsidR="003254A2" w:rsidRDefault="003254A2" w:rsidP="003254A2">
            <w:pPr>
              <w:rPr>
                <w:rFonts w:cs="Arial"/>
              </w:rPr>
            </w:pPr>
            <w:r>
              <w:rPr>
                <w:rFonts w:cs="Arial"/>
              </w:rPr>
              <w:t>The integration lifecycle management approach utilised to manage integrations with a range of contact centre solutions is explained.</w:t>
            </w:r>
          </w:p>
          <w:p w14:paraId="7C0B5E77" w14:textId="77777777" w:rsidR="003254A2" w:rsidRDefault="003254A2" w:rsidP="003254A2">
            <w:r>
              <w:rPr>
                <w:rFonts w:cs="Arial"/>
              </w:rPr>
              <w:t xml:space="preserve">The successful integration of the CRM and contact centre solution(s) is evidenced through at least one measurable outcome that demonstrate </w:t>
            </w:r>
            <w:r w:rsidRPr="00E66809">
              <w:rPr>
                <w:rFonts w:cs="Arial"/>
                <w:color w:val="000000" w:themeColor="text1"/>
                <w:kern w:val="24"/>
              </w:rPr>
              <w:t>successful operation across multiple communication channels (e.g. online, mobile).</w:t>
            </w:r>
          </w:p>
        </w:tc>
        <w:tc>
          <w:tcPr>
            <w:tcW w:w="218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123C443E" w14:textId="77777777" w:rsidR="003254A2" w:rsidRDefault="003254A2" w:rsidP="003254A2">
            <w:r w:rsidRPr="007D26D9">
              <w:lastRenderedPageBreak/>
              <w:t>The response does not answer all elements of the question and/or</w:t>
            </w:r>
            <w:r>
              <w:t xml:space="preserve"> none of</w:t>
            </w:r>
            <w:r w:rsidRPr="007D26D9">
              <w:t xml:space="preserve"> the information provided is relevant to the question</w:t>
            </w:r>
            <w:r>
              <w:t>.</w:t>
            </w:r>
          </w:p>
          <w:p w14:paraId="3F9CEEAF" w14:textId="4B9B1B26" w:rsidR="00E75C1D" w:rsidRDefault="00E75C1D" w:rsidP="003254A2">
            <w:r>
              <w:t>AND/OR</w:t>
            </w:r>
          </w:p>
          <w:p w14:paraId="3432F506" w14:textId="13E81253" w:rsidR="00E75C1D" w:rsidRDefault="00E75C1D" w:rsidP="003254A2">
            <w:r>
              <w:t>The response does not provide two case studies</w:t>
            </w:r>
          </w:p>
          <w:p w14:paraId="5B33E6D3" w14:textId="77777777" w:rsidR="00E75C1D" w:rsidRPr="002B147A" w:rsidDel="00C85AC4" w:rsidRDefault="00E75C1D" w:rsidP="003254A2">
            <w:pPr>
              <w:rPr>
                <w:rFonts w:cs="Arial"/>
              </w:rPr>
            </w:pPr>
          </w:p>
        </w:tc>
      </w:tr>
      <w:tr w:rsidR="003254A2" w:rsidRPr="002B147A" w14:paraId="22CD5897" w14:textId="77777777" w:rsidTr="006B0E8F">
        <w:trPr>
          <w:trHeight w:val="964"/>
        </w:trPr>
        <w:tc>
          <w:tcPr>
            <w:tcW w:w="2260"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1F732A19" w14:textId="77777777" w:rsidR="003254A2" w:rsidRPr="00A750A6" w:rsidRDefault="003254A2" w:rsidP="003254A2">
            <w:pPr>
              <w:jc w:val="center"/>
              <w:rPr>
                <w:rFonts w:cs="Arial"/>
                <w:b/>
              </w:rPr>
            </w:pPr>
            <w:r w:rsidRPr="00A750A6">
              <w:rPr>
                <w:rFonts w:cs="Arial"/>
                <w:b/>
              </w:rPr>
              <w:lastRenderedPageBreak/>
              <w:t>3.19</w:t>
            </w:r>
          </w:p>
          <w:p w14:paraId="2022B529" w14:textId="77777777" w:rsidR="003254A2" w:rsidRDefault="003254A2" w:rsidP="003254A2">
            <w:pPr>
              <w:jc w:val="center"/>
              <w:rPr>
                <w:rFonts w:cs="Arial"/>
              </w:rPr>
            </w:pPr>
            <w:r w:rsidRPr="00A750A6">
              <w:rPr>
                <w:rFonts w:cs="Arial"/>
                <w:b/>
              </w:rPr>
              <w:t>Developer Ecosystem and SI Compatibility</w:t>
            </w:r>
          </w:p>
        </w:tc>
        <w:tc>
          <w:tcPr>
            <w:tcW w:w="319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6E8CA295" w14:textId="6FC6996B" w:rsidR="003254A2" w:rsidRDefault="003254A2" w:rsidP="003254A2">
            <w:r w:rsidRPr="000318C3">
              <w:t>A comprehensive and highly relevant response is provided for all elements of the question</w:t>
            </w:r>
            <w:r w:rsidR="005C2448">
              <w:t xml:space="preserve"> (paragraphs </w:t>
            </w:r>
            <w:proofErr w:type="spellStart"/>
            <w:r w:rsidR="005C2448">
              <w:t>i</w:t>
            </w:r>
            <w:proofErr w:type="spellEnd"/>
            <w:r w:rsidR="005C2448">
              <w:t>. to ii.)</w:t>
            </w:r>
            <w:r w:rsidRPr="000318C3">
              <w:t>, and this is supported with comprehensive evidence that customer expectations were exceeded.</w:t>
            </w:r>
          </w:p>
          <w:p w14:paraId="24463347" w14:textId="77777777" w:rsidR="003254A2" w:rsidRDefault="003254A2" w:rsidP="003254A2">
            <w:r>
              <w:t>AND</w:t>
            </w:r>
          </w:p>
          <w:p w14:paraId="3429FC17" w14:textId="77777777" w:rsidR="003254A2" w:rsidRDefault="003254A2" w:rsidP="003254A2">
            <w:r>
              <w:t xml:space="preserve">The response meets all of the following criteria: </w:t>
            </w:r>
          </w:p>
          <w:p w14:paraId="49B8DB44" w14:textId="77777777" w:rsidR="003254A2" w:rsidRDefault="003254A2" w:rsidP="003254A2">
            <w:r>
              <w:t>The response demonstrates that the Supplier’s developer ecosystem was comprehensive, consistently relied upon and used during the implementation and operational phases. Clear metrics are used to evidence the transformative value this brought to the project.</w:t>
            </w:r>
          </w:p>
          <w:p w14:paraId="53C0A288" w14:textId="77777777" w:rsidR="003254A2" w:rsidRPr="002B147A" w:rsidDel="00C85AC4" w:rsidRDefault="003254A2" w:rsidP="003254A2">
            <w:pPr>
              <w:rPr>
                <w:rFonts w:cs="Arial"/>
              </w:rPr>
            </w:pPr>
            <w:r>
              <w:t xml:space="preserve">The response provides an overview of the methods used to capture feedback and clear metrics which demonstrate that the experience of internal teams and third-party developers engaging with the ecosystem was largely positive; with examples of where the </w:t>
            </w:r>
            <w:r>
              <w:lastRenderedPageBreak/>
              <w:t>ecosystem supported them to execute their roles effectively.</w:t>
            </w:r>
          </w:p>
        </w:tc>
        <w:tc>
          <w:tcPr>
            <w:tcW w:w="2736"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20282BA7" w14:textId="77777777" w:rsidR="003254A2" w:rsidRDefault="003254A2" w:rsidP="003254A2">
            <w:r>
              <w:lastRenderedPageBreak/>
              <w:t xml:space="preserve">A comprehensive and relevant response is provided for all elements of the question (paragraphs </w:t>
            </w:r>
            <w:proofErr w:type="spellStart"/>
            <w:r>
              <w:t>i</w:t>
            </w:r>
            <w:proofErr w:type="spellEnd"/>
            <w:r>
              <w:t xml:space="preserve">. to ii.), and this is supported with strong evidence in all areas. </w:t>
            </w:r>
          </w:p>
          <w:p w14:paraId="401F5CE4" w14:textId="77777777" w:rsidR="003254A2" w:rsidRDefault="003254A2" w:rsidP="003254A2">
            <w:r>
              <w:t>AND</w:t>
            </w:r>
          </w:p>
          <w:p w14:paraId="0E3B6BA6" w14:textId="77777777" w:rsidR="003254A2" w:rsidRDefault="003254A2" w:rsidP="003254A2">
            <w:r>
              <w:t xml:space="preserve">The response meets all of the following criteria: </w:t>
            </w:r>
          </w:p>
          <w:p w14:paraId="189D8A76" w14:textId="77777777" w:rsidR="003254A2" w:rsidRDefault="003254A2" w:rsidP="003254A2">
            <w:r>
              <w:t>The response demonstrates that the Supplier’s developer ecosystem was comprehensive and regularly used during the implementation and operational phases. Clear metrics are used to evidence the associated value this brought to the project.</w:t>
            </w:r>
          </w:p>
          <w:p w14:paraId="6ED58B75" w14:textId="77777777" w:rsidR="003254A2" w:rsidRPr="002B147A" w:rsidDel="00C85AC4" w:rsidRDefault="003254A2" w:rsidP="003254A2">
            <w:pPr>
              <w:rPr>
                <w:rFonts w:cs="Arial"/>
              </w:rPr>
            </w:pPr>
            <w:r>
              <w:t xml:space="preserve">The response provides clear metrics which demonstrate that the experience of internal teams and third-party developers engaging with </w:t>
            </w:r>
            <w:r>
              <w:lastRenderedPageBreak/>
              <w:t>the ecosystem was largely positive.</w:t>
            </w:r>
          </w:p>
        </w:tc>
        <w:tc>
          <w:tcPr>
            <w:tcW w:w="2571" w:type="dxa"/>
            <w:tcBorders>
              <w:top w:val="single" w:sz="6" w:space="0" w:color="0B0C0C"/>
              <w:left w:val="single" w:sz="6" w:space="0" w:color="0B0C0C"/>
              <w:bottom w:val="single" w:sz="6" w:space="0" w:color="0B0C0C"/>
              <w:right w:val="single" w:sz="6" w:space="0" w:color="0B0C0C"/>
            </w:tcBorders>
          </w:tcPr>
          <w:p w14:paraId="1154095C" w14:textId="77777777" w:rsidR="003254A2" w:rsidRDefault="003254A2" w:rsidP="003254A2">
            <w:r>
              <w:lastRenderedPageBreak/>
              <w:t xml:space="preserve">The response is relevant, provides a response to all elements of the question (paragraphs </w:t>
            </w:r>
            <w:proofErr w:type="spellStart"/>
            <w:r>
              <w:t>i</w:t>
            </w:r>
            <w:proofErr w:type="spellEnd"/>
            <w:r>
              <w:t>. to ii.), but there is insufficient evidence in some areas.</w:t>
            </w:r>
          </w:p>
          <w:p w14:paraId="5FF7B9A7" w14:textId="77777777" w:rsidR="003254A2" w:rsidRDefault="003254A2" w:rsidP="003254A2">
            <w:r>
              <w:t>AND</w:t>
            </w:r>
          </w:p>
          <w:p w14:paraId="3D9A3474" w14:textId="77777777" w:rsidR="003254A2" w:rsidRPr="00840DCE" w:rsidRDefault="003254A2" w:rsidP="003254A2">
            <w:r>
              <w:t>The response meets one or more of the following criteria:</w:t>
            </w:r>
          </w:p>
          <w:p w14:paraId="5FDB187C" w14:textId="77777777" w:rsidR="003254A2" w:rsidRDefault="003254A2" w:rsidP="003254A2">
            <w:r>
              <w:t>The response demonstrates that the Supplier’s developer ecosystem was used and valued during the implementation and operational phases, with some supporting evidence.</w:t>
            </w:r>
          </w:p>
          <w:p w14:paraId="73473EC9" w14:textId="77777777" w:rsidR="003254A2" w:rsidRDefault="003254A2" w:rsidP="003254A2">
            <w:r>
              <w:t>The response provides a description of the experience of internal teams and third-party developers engaging with the ecosystem.</w:t>
            </w:r>
          </w:p>
        </w:tc>
        <w:tc>
          <w:tcPr>
            <w:tcW w:w="2188" w:type="dxa"/>
            <w:tcBorders>
              <w:top w:val="single" w:sz="6" w:space="0" w:color="0B0C0C"/>
              <w:left w:val="single" w:sz="6" w:space="0" w:color="0B0C0C"/>
              <w:bottom w:val="single" w:sz="6" w:space="0" w:color="0B0C0C"/>
              <w:right w:val="single" w:sz="6" w:space="0" w:color="0B0C0C"/>
            </w:tcBorders>
            <w:tcMar>
              <w:top w:w="11" w:type="dxa"/>
              <w:left w:w="6" w:type="dxa"/>
              <w:bottom w:w="74" w:type="dxa"/>
              <w:right w:w="6" w:type="dxa"/>
            </w:tcMar>
          </w:tcPr>
          <w:p w14:paraId="0F409AE3" w14:textId="77777777" w:rsidR="003254A2" w:rsidRDefault="003254A2" w:rsidP="003254A2">
            <w:r w:rsidRPr="007D26D9">
              <w:t xml:space="preserve">The response does not answer all elements of the question (paragraphs </w:t>
            </w:r>
            <w:proofErr w:type="spellStart"/>
            <w:r w:rsidRPr="007D26D9">
              <w:t>i</w:t>
            </w:r>
            <w:proofErr w:type="spellEnd"/>
            <w:r w:rsidRPr="007D26D9">
              <w:t xml:space="preserve">. to </w:t>
            </w:r>
            <w:r>
              <w:t>ii</w:t>
            </w:r>
            <w:r w:rsidRPr="007D26D9">
              <w:t>.), and/or the information provided is not relevant to the question</w:t>
            </w:r>
          </w:p>
          <w:p w14:paraId="3C829F4D" w14:textId="77777777" w:rsidR="003254A2" w:rsidRDefault="003254A2" w:rsidP="003254A2">
            <w:r>
              <w:t>AND/OR</w:t>
            </w:r>
          </w:p>
          <w:p w14:paraId="7A262695" w14:textId="77777777" w:rsidR="003254A2" w:rsidRDefault="003254A2" w:rsidP="003254A2">
            <w:r>
              <w:t>The response does not utilise at least one of the case studies provided in the Supplier’s response to question 3.11.</w:t>
            </w:r>
          </w:p>
          <w:p w14:paraId="24A32BA0" w14:textId="77777777" w:rsidR="003254A2" w:rsidRPr="002B147A" w:rsidDel="00C85AC4" w:rsidRDefault="003254A2" w:rsidP="003254A2">
            <w:pPr>
              <w:rPr>
                <w:rFonts w:cs="Arial"/>
              </w:rPr>
            </w:pPr>
          </w:p>
        </w:tc>
      </w:tr>
    </w:tbl>
    <w:p w14:paraId="7FA138AF" w14:textId="77777777" w:rsidR="00EE30C2" w:rsidRDefault="00EE30C2" w:rsidP="00EE30C2">
      <w:pPr>
        <w:pStyle w:val="Schedule2"/>
        <w:jc w:val="both"/>
      </w:pPr>
    </w:p>
    <w:p w14:paraId="49E52CF0" w14:textId="02E834D4" w:rsidR="00D053D0" w:rsidRPr="00A837E3" w:rsidRDefault="00E01339" w:rsidP="00A837E3">
      <w:pPr>
        <w:pStyle w:val="Head2"/>
        <w:pageBreakBefore/>
        <w:numPr>
          <w:ilvl w:val="0"/>
          <w:numId w:val="0"/>
        </w:numPr>
        <w:spacing w:before="240"/>
        <w:rPr>
          <w:rFonts w:cs="Arial"/>
          <w:b/>
          <w:color w:val="009999"/>
          <w:sz w:val="24"/>
          <w:szCs w:val="24"/>
        </w:rPr>
      </w:pPr>
      <w:bookmarkStart w:id="86" w:name="_Toc203730841"/>
      <w:r w:rsidRPr="57D406D4">
        <w:rPr>
          <w:rFonts w:cs="Arial"/>
          <w:b/>
          <w:color w:val="009999"/>
          <w:sz w:val="24"/>
          <w:szCs w:val="24"/>
        </w:rPr>
        <w:lastRenderedPageBreak/>
        <w:t xml:space="preserve">ANNEX </w:t>
      </w:r>
      <w:r w:rsidR="00A837E3" w:rsidRPr="57D406D4">
        <w:rPr>
          <w:rFonts w:cs="Arial"/>
          <w:b/>
          <w:color w:val="009999"/>
          <w:sz w:val="24"/>
          <w:szCs w:val="24"/>
        </w:rPr>
        <w:t>1</w:t>
      </w:r>
      <w:r w:rsidRPr="57D406D4">
        <w:rPr>
          <w:rFonts w:cs="Arial"/>
          <w:b/>
          <w:color w:val="009999"/>
          <w:sz w:val="24"/>
          <w:szCs w:val="24"/>
        </w:rPr>
        <w:t xml:space="preserve">: </w:t>
      </w:r>
      <w:r w:rsidR="007D4BB6" w:rsidRPr="57D406D4">
        <w:rPr>
          <w:rFonts w:cs="Arial"/>
          <w:b/>
          <w:color w:val="009999"/>
          <w:sz w:val="24"/>
          <w:szCs w:val="24"/>
        </w:rPr>
        <w:t>REQUIREMENTS OVERVIEW</w:t>
      </w:r>
      <w:bookmarkEnd w:id="86"/>
    </w:p>
    <w:p w14:paraId="461B8D21" w14:textId="77777777" w:rsidR="00D053D0" w:rsidRDefault="00D053D0" w:rsidP="00D053D0">
      <w:pPr>
        <w:spacing w:after="0"/>
        <w:rPr>
          <w:rFonts w:cs="Arial"/>
          <w:b/>
          <w:bCs/>
          <w:color w:val="009999"/>
          <w:sz w:val="24"/>
          <w:szCs w:val="24"/>
        </w:rPr>
      </w:pPr>
    </w:p>
    <w:p w14:paraId="5B8C1CDA" w14:textId="77777777" w:rsidR="00DD7538" w:rsidRPr="00DD7538" w:rsidRDefault="00D053D0" w:rsidP="001E0641">
      <w:pPr>
        <w:pStyle w:val="Annex1header1"/>
        <w:spacing w:after="160"/>
        <w:ind w:left="357" w:hanging="357"/>
      </w:pPr>
      <w:r w:rsidRPr="00DD7538">
        <w:t>Purpose of this Document</w:t>
      </w:r>
    </w:p>
    <w:p w14:paraId="49A1A444" w14:textId="4077EAEF" w:rsidR="00D053D0" w:rsidRPr="00DD7538" w:rsidRDefault="00D053D0" w:rsidP="00C06284">
      <w:pPr>
        <w:pStyle w:val="Annex1text2"/>
        <w:numPr>
          <w:ilvl w:val="1"/>
          <w:numId w:val="29"/>
        </w:numPr>
        <w:spacing w:afterLines="160" w:after="384"/>
        <w:jc w:val="both"/>
        <w:rPr>
          <w:b w:val="0"/>
        </w:rPr>
      </w:pPr>
      <w:r w:rsidRPr="00DD7538">
        <w:rPr>
          <w:b w:val="0"/>
        </w:rPr>
        <w:t xml:space="preserve">The purpose of this </w:t>
      </w:r>
      <w:r w:rsidR="00D773C4">
        <w:rPr>
          <w:b w:val="0"/>
        </w:rPr>
        <w:t>annex</w:t>
      </w:r>
      <w:r w:rsidR="00D773C4" w:rsidRPr="00DD7538">
        <w:rPr>
          <w:b w:val="0"/>
        </w:rPr>
        <w:t xml:space="preserve"> </w:t>
      </w:r>
      <w:r w:rsidRPr="00DD7538">
        <w:rPr>
          <w:b w:val="0"/>
        </w:rPr>
        <w:t xml:space="preserve">is to provide </w:t>
      </w:r>
      <w:r w:rsidR="00D773C4">
        <w:rPr>
          <w:b w:val="0"/>
        </w:rPr>
        <w:t>Suppliers</w:t>
      </w:r>
      <w:r w:rsidRPr="00DD7538">
        <w:rPr>
          <w:b w:val="0"/>
        </w:rPr>
        <w:t xml:space="preserve"> with a high-level overview of the requirements that are </w:t>
      </w:r>
      <w:r w:rsidR="004C7970" w:rsidRPr="00DD7538">
        <w:rPr>
          <w:b w:val="0"/>
        </w:rPr>
        <w:t xml:space="preserve">expected </w:t>
      </w:r>
      <w:r w:rsidRPr="00DD7538">
        <w:rPr>
          <w:b w:val="0"/>
        </w:rPr>
        <w:t xml:space="preserve">to be delivered by the </w:t>
      </w:r>
      <w:r w:rsidR="00D773C4">
        <w:rPr>
          <w:b w:val="0"/>
        </w:rPr>
        <w:t>successful Supplier</w:t>
      </w:r>
      <w:r w:rsidR="00D773C4" w:rsidRPr="00DD7538">
        <w:rPr>
          <w:b w:val="0"/>
        </w:rPr>
        <w:t xml:space="preserve"> </w:t>
      </w:r>
      <w:r w:rsidR="00D773C4">
        <w:rPr>
          <w:b w:val="0"/>
        </w:rPr>
        <w:t>awarded a contract through this procurement activity</w:t>
      </w:r>
      <w:r w:rsidRPr="00DD7538" w:rsidDel="00D773C4">
        <w:rPr>
          <w:b w:val="0"/>
        </w:rPr>
        <w:t>.</w:t>
      </w:r>
    </w:p>
    <w:p w14:paraId="210EE1EC" w14:textId="26153F21" w:rsidR="00DD613D" w:rsidRPr="00141681" w:rsidRDefault="00D432FD" w:rsidP="009E1E1D">
      <w:pPr>
        <w:pStyle w:val="Annex1text2"/>
        <w:numPr>
          <w:ilvl w:val="1"/>
          <w:numId w:val="29"/>
        </w:numPr>
        <w:spacing w:afterLines="160" w:after="384"/>
        <w:jc w:val="both"/>
        <w:rPr>
          <w:b w:val="0"/>
        </w:rPr>
      </w:pPr>
      <w:r>
        <w:rPr>
          <w:b w:val="0"/>
        </w:rPr>
        <w:t>Note that t</w:t>
      </w:r>
      <w:r w:rsidR="00D053D0" w:rsidRPr="004C0062">
        <w:rPr>
          <w:b w:val="0"/>
        </w:rPr>
        <w:t xml:space="preserve">he information within this </w:t>
      </w:r>
      <w:r w:rsidR="009E1E1D">
        <w:rPr>
          <w:b w:val="0"/>
        </w:rPr>
        <w:t>A</w:t>
      </w:r>
      <w:r>
        <w:rPr>
          <w:b w:val="0"/>
        </w:rPr>
        <w:t>nnex</w:t>
      </w:r>
      <w:r w:rsidRPr="004C0062">
        <w:rPr>
          <w:b w:val="0"/>
        </w:rPr>
        <w:t xml:space="preserve"> </w:t>
      </w:r>
      <w:r w:rsidR="00D053D0" w:rsidRPr="004C0062">
        <w:rPr>
          <w:b w:val="0"/>
        </w:rPr>
        <w:t xml:space="preserve">may be subject to change. Any alterations to these requirements shall be outlined within the detailed requirements which shall be provided to those </w:t>
      </w:r>
      <w:r w:rsidR="00E57E01">
        <w:rPr>
          <w:b w:val="0"/>
        </w:rPr>
        <w:t>Suppliers</w:t>
      </w:r>
      <w:r w:rsidR="00E57E01" w:rsidRPr="004C0062">
        <w:rPr>
          <w:b w:val="0"/>
        </w:rPr>
        <w:t xml:space="preserve"> </w:t>
      </w:r>
      <w:r w:rsidR="000E73DC" w:rsidRPr="004C0062">
        <w:rPr>
          <w:b w:val="0"/>
        </w:rPr>
        <w:t>who</w:t>
      </w:r>
      <w:r w:rsidR="00D053D0" w:rsidRPr="004C0062">
        <w:rPr>
          <w:b w:val="0"/>
        </w:rPr>
        <w:t xml:space="preserve"> are invited to submit an initial tender for this procurement</w:t>
      </w:r>
      <w:r w:rsidR="00E57E01">
        <w:rPr>
          <w:b w:val="0"/>
        </w:rPr>
        <w:t xml:space="preserve"> at </w:t>
      </w:r>
      <w:r w:rsidR="006F4AE7">
        <w:rPr>
          <w:b w:val="0"/>
        </w:rPr>
        <w:t>Stage 2 (</w:t>
      </w:r>
      <w:r w:rsidR="00E57E01">
        <w:rPr>
          <w:b w:val="0"/>
        </w:rPr>
        <w:t>ITSIT</w:t>
      </w:r>
      <w:r w:rsidR="006F4AE7">
        <w:rPr>
          <w:b w:val="0"/>
        </w:rPr>
        <w:t>)</w:t>
      </w:r>
      <w:r w:rsidR="00E57E01">
        <w:rPr>
          <w:b w:val="0"/>
        </w:rPr>
        <w:t>.</w:t>
      </w:r>
    </w:p>
    <w:p w14:paraId="5041D1F3" w14:textId="5E77EDB4" w:rsidR="00DD613D" w:rsidRPr="004C0062" w:rsidRDefault="00C066CC" w:rsidP="004C0062">
      <w:pPr>
        <w:pStyle w:val="Annex1header1"/>
        <w:spacing w:after="120"/>
        <w:ind w:left="357" w:hanging="357"/>
      </w:pPr>
      <w:r w:rsidRPr="004C0062">
        <w:t>Introduction &amp; Background</w:t>
      </w:r>
    </w:p>
    <w:p w14:paraId="320495DD" w14:textId="77777777" w:rsidR="004C0062" w:rsidRPr="004C0062" w:rsidRDefault="004C0062" w:rsidP="00C06284">
      <w:pPr>
        <w:pStyle w:val="ListParagraph"/>
        <w:numPr>
          <w:ilvl w:val="0"/>
          <w:numId w:val="29"/>
        </w:numPr>
        <w:spacing w:after="0"/>
        <w:contextualSpacing w:val="0"/>
        <w:rPr>
          <w:rFonts w:cs="Arial"/>
          <w:bCs/>
          <w:vanish/>
        </w:rPr>
      </w:pPr>
    </w:p>
    <w:p w14:paraId="304E3B3F" w14:textId="1DCAF7F9" w:rsidR="00DD613D" w:rsidRPr="004C0062" w:rsidRDefault="00BF0E0B" w:rsidP="00C06284">
      <w:pPr>
        <w:pStyle w:val="Annex1text2"/>
        <w:numPr>
          <w:ilvl w:val="1"/>
          <w:numId w:val="29"/>
        </w:numPr>
        <w:spacing w:afterLines="160" w:after="384"/>
        <w:jc w:val="both"/>
        <w:rPr>
          <w:b w:val="0"/>
        </w:rPr>
      </w:pPr>
      <w:r w:rsidRPr="004C0062">
        <w:rPr>
          <w:b w:val="0"/>
        </w:rPr>
        <w:t xml:space="preserve">HMRC has one of the largest customer service functions in the UK, servicing over 34 million citizens and 5 million businesses. </w:t>
      </w:r>
      <w:r w:rsidR="00DD613D" w:rsidRPr="004C0062">
        <w:rPr>
          <w:b w:val="0"/>
        </w:rPr>
        <w:t xml:space="preserve">The </w:t>
      </w:r>
      <w:r w:rsidR="00E57E01">
        <w:rPr>
          <w:b w:val="0"/>
        </w:rPr>
        <w:t>e</w:t>
      </w:r>
      <w:r w:rsidR="00DD613D" w:rsidRPr="004C0062">
        <w:rPr>
          <w:b w:val="0"/>
        </w:rPr>
        <w:t xml:space="preserve">CRM programme has been commissioned to </w:t>
      </w:r>
      <w:r w:rsidR="00BB398C" w:rsidRPr="004C0062">
        <w:rPr>
          <w:b w:val="0"/>
        </w:rPr>
        <w:t>create a shift in the way that HMRC supports our customers, making it easy for them to pay the right tax and duties and to receive the right benefits. We will do this by developing a true picture of who our customers are, their entities &amp; behaviour, and use this to create data-driven enterprise-wide engagements that drive trust, satisfaction, compliance &amp; efficiencies across all channels &amp; moments.</w:t>
      </w:r>
    </w:p>
    <w:p w14:paraId="6C2021D8" w14:textId="751DE212" w:rsidR="00A374A3" w:rsidRPr="00E66809" w:rsidRDefault="00A374A3" w:rsidP="00FB397E">
      <w:pPr>
        <w:pStyle w:val="ListParagraph"/>
        <w:numPr>
          <w:ilvl w:val="0"/>
          <w:numId w:val="9"/>
        </w:numPr>
        <w:spacing w:after="60"/>
        <w:ind w:left="1843" w:hanging="425"/>
        <w:contextualSpacing w:val="0"/>
        <w:jc w:val="both"/>
        <w:rPr>
          <w:rStyle w:val="normaltextrun"/>
          <w:lang w:eastAsia="en-GB"/>
        </w:rPr>
      </w:pPr>
      <w:r w:rsidRPr="00E66809">
        <w:rPr>
          <w:rStyle w:val="normaltextrun"/>
          <w:lang w:eastAsia="en-GB"/>
        </w:rPr>
        <w:t>Provid</w:t>
      </w:r>
      <w:r w:rsidR="004C1204" w:rsidRPr="00E66809">
        <w:rPr>
          <w:rStyle w:val="normaltextrun"/>
          <w:lang w:eastAsia="en-GB"/>
        </w:rPr>
        <w:t>e</w:t>
      </w:r>
      <w:r w:rsidRPr="00E66809">
        <w:rPr>
          <w:rStyle w:val="normaltextrun"/>
          <w:lang w:eastAsia="en-GB"/>
        </w:rPr>
        <w:t xml:space="preserve"> accurate, clear and consistent information</w:t>
      </w:r>
      <w:r w:rsidR="00E57E01">
        <w:rPr>
          <w:rStyle w:val="normaltextrun"/>
          <w:lang w:eastAsia="en-GB"/>
        </w:rPr>
        <w:t>.</w:t>
      </w:r>
    </w:p>
    <w:p w14:paraId="50412F27" w14:textId="5A445B43" w:rsidR="008E3F10" w:rsidRPr="00E66809" w:rsidRDefault="008E3F10" w:rsidP="00FB397E">
      <w:pPr>
        <w:pStyle w:val="ListParagraph"/>
        <w:numPr>
          <w:ilvl w:val="0"/>
          <w:numId w:val="9"/>
        </w:numPr>
        <w:spacing w:after="60"/>
        <w:ind w:left="1843" w:hanging="425"/>
        <w:contextualSpacing w:val="0"/>
        <w:jc w:val="both"/>
        <w:rPr>
          <w:rStyle w:val="normaltextrun"/>
          <w:lang w:eastAsia="en-GB"/>
        </w:rPr>
      </w:pPr>
      <w:r w:rsidRPr="00E57E01">
        <w:rPr>
          <w:rStyle w:val="normaltextrun"/>
          <w:lang w:eastAsia="en-GB"/>
        </w:rPr>
        <w:t>Providing services that are accessible, easy and quick to use</w:t>
      </w:r>
      <w:r w:rsidR="00E57E01">
        <w:rPr>
          <w:rStyle w:val="normaltextrun"/>
          <w:lang w:eastAsia="en-GB"/>
        </w:rPr>
        <w:t>.</w:t>
      </w:r>
    </w:p>
    <w:p w14:paraId="1197A96E" w14:textId="6CC61E58" w:rsidR="003D588C" w:rsidRPr="00E66809" w:rsidRDefault="003D588C" w:rsidP="00FB397E">
      <w:pPr>
        <w:pStyle w:val="ListParagraph"/>
        <w:numPr>
          <w:ilvl w:val="0"/>
          <w:numId w:val="9"/>
        </w:numPr>
        <w:spacing w:after="60"/>
        <w:ind w:left="1843" w:hanging="425"/>
        <w:contextualSpacing w:val="0"/>
        <w:jc w:val="both"/>
        <w:rPr>
          <w:rStyle w:val="normaltextrun"/>
          <w:lang w:eastAsia="en-GB"/>
        </w:rPr>
      </w:pPr>
      <w:r w:rsidRPr="00E57E01">
        <w:rPr>
          <w:rStyle w:val="normaltextrun"/>
          <w:lang w:eastAsia="en-GB"/>
        </w:rPr>
        <w:t>Making sure answers can be resolved first time and quickly</w:t>
      </w:r>
      <w:r w:rsidR="00E57E01">
        <w:rPr>
          <w:rStyle w:val="normaltextrun"/>
          <w:lang w:eastAsia="en-GB"/>
        </w:rPr>
        <w:t>.</w:t>
      </w:r>
    </w:p>
    <w:p w14:paraId="69371266" w14:textId="497B211C" w:rsidR="009C48E5" w:rsidRPr="00E66809" w:rsidRDefault="009C48E5" w:rsidP="00FB397E">
      <w:pPr>
        <w:pStyle w:val="ListParagraph"/>
        <w:numPr>
          <w:ilvl w:val="0"/>
          <w:numId w:val="9"/>
        </w:numPr>
        <w:spacing w:after="60"/>
        <w:ind w:left="1843" w:hanging="425"/>
        <w:contextualSpacing w:val="0"/>
        <w:jc w:val="both"/>
        <w:rPr>
          <w:rStyle w:val="normaltextrun"/>
          <w:lang w:eastAsia="en-GB"/>
        </w:rPr>
      </w:pPr>
      <w:r w:rsidRPr="00E57E01">
        <w:rPr>
          <w:rStyle w:val="normaltextrun"/>
          <w:lang w:eastAsia="en-GB"/>
        </w:rPr>
        <w:t>Making sure everyone pays the right amount of tax and gets their benefits</w:t>
      </w:r>
      <w:r w:rsidR="00E57E01">
        <w:rPr>
          <w:rStyle w:val="normaltextrun"/>
          <w:lang w:eastAsia="en-GB"/>
        </w:rPr>
        <w:t>.</w:t>
      </w:r>
    </w:p>
    <w:p w14:paraId="1D451961" w14:textId="40B3B0DA" w:rsidR="003E0DED" w:rsidRPr="00E66809" w:rsidRDefault="003E0DED" w:rsidP="00FB397E">
      <w:pPr>
        <w:pStyle w:val="ListParagraph"/>
        <w:numPr>
          <w:ilvl w:val="0"/>
          <w:numId w:val="9"/>
        </w:numPr>
        <w:spacing w:after="60"/>
        <w:ind w:left="1843" w:hanging="425"/>
        <w:contextualSpacing w:val="0"/>
        <w:jc w:val="both"/>
        <w:rPr>
          <w:rStyle w:val="normaltextrun"/>
          <w:lang w:eastAsia="en-GB"/>
        </w:rPr>
      </w:pPr>
      <w:r w:rsidRPr="00E57E01">
        <w:rPr>
          <w:rStyle w:val="normaltextrun"/>
          <w:lang w:eastAsia="en-GB"/>
        </w:rPr>
        <w:t>Being mindful of wider personal situations and providing necessary support</w:t>
      </w:r>
      <w:r w:rsidR="00E57E01">
        <w:rPr>
          <w:rStyle w:val="normaltextrun"/>
          <w:lang w:eastAsia="en-GB"/>
        </w:rPr>
        <w:t>.</w:t>
      </w:r>
    </w:p>
    <w:p w14:paraId="02AA9E40" w14:textId="039DE2E1" w:rsidR="00761911" w:rsidRPr="00E66809" w:rsidRDefault="00761911" w:rsidP="00FB397E">
      <w:pPr>
        <w:pStyle w:val="ListParagraph"/>
        <w:numPr>
          <w:ilvl w:val="0"/>
          <w:numId w:val="9"/>
        </w:numPr>
        <w:spacing w:after="60"/>
        <w:ind w:left="1843" w:hanging="425"/>
        <w:contextualSpacing w:val="0"/>
        <w:jc w:val="both"/>
        <w:rPr>
          <w:rStyle w:val="normaltextrun"/>
          <w:lang w:eastAsia="en-GB"/>
        </w:rPr>
      </w:pPr>
      <w:r w:rsidRPr="00E57E01">
        <w:rPr>
          <w:rStyle w:val="normaltextrun"/>
          <w:lang w:eastAsia="en-GB"/>
        </w:rPr>
        <w:t xml:space="preserve">Respecting wishes for someone </w:t>
      </w:r>
      <w:r w:rsidR="0CD0EF89" w:rsidRPr="00E57E01">
        <w:rPr>
          <w:rStyle w:val="normaltextrun"/>
          <w:lang w:eastAsia="en-GB"/>
        </w:rPr>
        <w:t>deal</w:t>
      </w:r>
      <w:r w:rsidR="73D1F7A5" w:rsidRPr="00E57E01">
        <w:rPr>
          <w:rStyle w:val="normaltextrun"/>
          <w:lang w:eastAsia="en-GB"/>
        </w:rPr>
        <w:t>ing</w:t>
      </w:r>
      <w:r w:rsidRPr="00E57E01">
        <w:rPr>
          <w:rStyle w:val="normaltextrun"/>
          <w:lang w:eastAsia="en-GB"/>
        </w:rPr>
        <w:t xml:space="preserve"> with HRMC on their behalf</w:t>
      </w:r>
      <w:r w:rsidR="00E57E01">
        <w:rPr>
          <w:rStyle w:val="normaltextrun"/>
          <w:lang w:eastAsia="en-GB"/>
        </w:rPr>
        <w:t>.</w:t>
      </w:r>
    </w:p>
    <w:p w14:paraId="68631A1F" w14:textId="3EBB2D95" w:rsidR="004C1204" w:rsidRPr="00E57E01" w:rsidRDefault="004C1204" w:rsidP="00FB397E">
      <w:pPr>
        <w:pStyle w:val="ListParagraph"/>
        <w:numPr>
          <w:ilvl w:val="0"/>
          <w:numId w:val="9"/>
        </w:numPr>
        <w:spacing w:after="60"/>
        <w:ind w:left="1843" w:hanging="425"/>
        <w:contextualSpacing w:val="0"/>
        <w:jc w:val="both"/>
        <w:rPr>
          <w:rStyle w:val="normaltextrun"/>
          <w:lang w:eastAsia="en-GB"/>
        </w:rPr>
      </w:pPr>
      <w:r w:rsidRPr="00E57E01">
        <w:rPr>
          <w:rStyle w:val="normaltextrun"/>
          <w:lang w:eastAsia="en-GB"/>
        </w:rPr>
        <w:t>Protecting customer information, treating it as private and confidential</w:t>
      </w:r>
      <w:r w:rsidR="00E57E01">
        <w:rPr>
          <w:rStyle w:val="normaltextrun"/>
          <w:lang w:eastAsia="en-GB"/>
        </w:rPr>
        <w:t>.</w:t>
      </w:r>
    </w:p>
    <w:p w14:paraId="20812595" w14:textId="77777777" w:rsidR="002C2255" w:rsidRDefault="002C2255" w:rsidP="002C2255">
      <w:pPr>
        <w:spacing w:after="60"/>
        <w:jc w:val="both"/>
        <w:rPr>
          <w:rStyle w:val="normaltextrun"/>
        </w:rPr>
      </w:pPr>
    </w:p>
    <w:p w14:paraId="7464071F" w14:textId="56C71F5F" w:rsidR="00814F82" w:rsidRPr="002C12E3" w:rsidRDefault="00814F82" w:rsidP="00C06284">
      <w:pPr>
        <w:pStyle w:val="Annex1text2"/>
        <w:numPr>
          <w:ilvl w:val="1"/>
          <w:numId w:val="29"/>
        </w:numPr>
        <w:spacing w:afterLines="160" w:after="384"/>
        <w:jc w:val="both"/>
        <w:rPr>
          <w:rStyle w:val="normaltextrun"/>
          <w:b w:val="0"/>
        </w:rPr>
      </w:pPr>
      <w:r w:rsidRPr="002C12E3">
        <w:rPr>
          <w:rStyle w:val="normaltextrun"/>
          <w:b w:val="0"/>
        </w:rPr>
        <w:t>By 2030 our ambition is to:</w:t>
      </w:r>
    </w:p>
    <w:p w14:paraId="39C25442" w14:textId="263E57E4" w:rsidR="002C2255" w:rsidRPr="002C2255" w:rsidRDefault="002C2255" w:rsidP="00FB397E">
      <w:pPr>
        <w:pStyle w:val="ListParagraph"/>
        <w:numPr>
          <w:ilvl w:val="0"/>
          <w:numId w:val="9"/>
        </w:numPr>
        <w:spacing w:after="60"/>
        <w:ind w:left="1843" w:hanging="425"/>
        <w:contextualSpacing w:val="0"/>
        <w:jc w:val="both"/>
        <w:rPr>
          <w:rStyle w:val="normaltextrun"/>
          <w:lang w:eastAsia="en-GB"/>
        </w:rPr>
      </w:pPr>
      <w:r w:rsidRPr="002C2255">
        <w:rPr>
          <w:rStyle w:val="normaltextrun"/>
          <w:lang w:eastAsia="en-GB"/>
        </w:rPr>
        <w:t>Reduce demand to non-digital channels by 60% through increased use of automated digital self-service and broadcast channels</w:t>
      </w:r>
      <w:r w:rsidR="00E57E01">
        <w:rPr>
          <w:rStyle w:val="normaltextrun"/>
          <w:lang w:eastAsia="en-GB"/>
        </w:rPr>
        <w:t>.</w:t>
      </w:r>
    </w:p>
    <w:p w14:paraId="6F274D6D" w14:textId="0794E678" w:rsidR="002C2255" w:rsidRPr="002C2255" w:rsidRDefault="002C2255" w:rsidP="00FB397E">
      <w:pPr>
        <w:pStyle w:val="ListParagraph"/>
        <w:numPr>
          <w:ilvl w:val="0"/>
          <w:numId w:val="9"/>
        </w:numPr>
        <w:spacing w:after="60"/>
        <w:ind w:left="1843" w:hanging="425"/>
        <w:contextualSpacing w:val="0"/>
        <w:jc w:val="both"/>
        <w:rPr>
          <w:rStyle w:val="normaltextrun"/>
          <w:lang w:eastAsia="en-GB"/>
        </w:rPr>
      </w:pPr>
      <w:r w:rsidRPr="002C2255">
        <w:rPr>
          <w:rStyle w:val="normaltextrun"/>
          <w:lang w:eastAsia="en-GB"/>
        </w:rPr>
        <w:lastRenderedPageBreak/>
        <w:t xml:space="preserve">Improve HMRC customer satisfaction levels across automated self-serve, digital advisor </w:t>
      </w:r>
      <w:proofErr w:type="gramStart"/>
      <w:r w:rsidRPr="002C2255">
        <w:rPr>
          <w:rStyle w:val="normaltextrun"/>
          <w:lang w:eastAsia="en-GB"/>
        </w:rPr>
        <w:t>led</w:t>
      </w:r>
      <w:proofErr w:type="gramEnd"/>
      <w:r w:rsidRPr="002C2255">
        <w:rPr>
          <w:rStyle w:val="normaltextrun"/>
          <w:lang w:eastAsia="en-GB"/>
        </w:rPr>
        <w:t xml:space="preserve"> and non-digital advisor led channels as an average to 85% by 2030</w:t>
      </w:r>
      <w:r w:rsidR="00E57E01">
        <w:rPr>
          <w:rStyle w:val="normaltextrun"/>
          <w:lang w:eastAsia="en-GB"/>
        </w:rPr>
        <w:t>.</w:t>
      </w:r>
    </w:p>
    <w:p w14:paraId="51D24C8D" w14:textId="7E022D01" w:rsidR="002C2255" w:rsidRPr="002C2255" w:rsidRDefault="002C2255" w:rsidP="00FB397E">
      <w:pPr>
        <w:pStyle w:val="ListParagraph"/>
        <w:numPr>
          <w:ilvl w:val="0"/>
          <w:numId w:val="9"/>
        </w:numPr>
        <w:spacing w:after="60"/>
        <w:ind w:left="1843" w:hanging="425"/>
        <w:contextualSpacing w:val="0"/>
        <w:jc w:val="both"/>
        <w:rPr>
          <w:rStyle w:val="normaltextrun"/>
          <w:lang w:eastAsia="en-GB"/>
        </w:rPr>
      </w:pPr>
      <w:r w:rsidRPr="002C2255">
        <w:rPr>
          <w:rStyle w:val="normaltextrun"/>
          <w:lang w:eastAsia="en-GB"/>
        </w:rPr>
        <w:t>Support</w:t>
      </w:r>
      <w:r w:rsidRPr="42AFAC96">
        <w:rPr>
          <w:rStyle w:val="normaltextrun"/>
          <w:lang w:eastAsia="en-GB"/>
        </w:rPr>
        <w:t xml:space="preserve"> </w:t>
      </w:r>
      <w:r w:rsidR="0B3F39FF" w:rsidRPr="42AFAC96">
        <w:rPr>
          <w:rStyle w:val="normaltextrun"/>
          <w:lang w:eastAsia="en-GB"/>
        </w:rPr>
        <w:t>the</w:t>
      </w:r>
      <w:r w:rsidRPr="002C2255">
        <w:rPr>
          <w:rStyle w:val="normaltextrun"/>
          <w:lang w:eastAsia="en-GB"/>
        </w:rPr>
        <w:t xml:space="preserve"> majority of customers to remain in and complete transactions through digital self-service channels</w:t>
      </w:r>
      <w:r w:rsidR="00E57E01">
        <w:rPr>
          <w:rStyle w:val="normaltextrun"/>
          <w:lang w:eastAsia="en-GB"/>
        </w:rPr>
        <w:t>.</w:t>
      </w:r>
    </w:p>
    <w:p w14:paraId="0BCFA41A" w14:textId="4E413DAE" w:rsidR="002C2255" w:rsidRPr="002C2255" w:rsidRDefault="002C2255" w:rsidP="0476C0DE">
      <w:pPr>
        <w:pStyle w:val="ListParagraph"/>
        <w:numPr>
          <w:ilvl w:val="0"/>
          <w:numId w:val="9"/>
        </w:numPr>
        <w:spacing w:after="60"/>
        <w:ind w:left="1843" w:hanging="425"/>
        <w:jc w:val="both"/>
        <w:rPr>
          <w:rStyle w:val="normaltextrun"/>
          <w:lang w:eastAsia="en-GB"/>
        </w:rPr>
      </w:pPr>
      <w:r w:rsidRPr="002C2255">
        <w:rPr>
          <w:rStyle w:val="normaltextrun"/>
          <w:lang w:eastAsia="en-GB"/>
        </w:rPr>
        <w:t>Supporting Businesses and Individuals to get their tax right</w:t>
      </w:r>
      <w:r w:rsidR="00E57E01">
        <w:rPr>
          <w:rStyle w:val="normaltextrun"/>
          <w:lang w:eastAsia="en-GB"/>
        </w:rPr>
        <w:t>.</w:t>
      </w:r>
    </w:p>
    <w:p w14:paraId="7313DEF1" w14:textId="77777777" w:rsidR="004C1204" w:rsidRDefault="004C1204" w:rsidP="00C066CC">
      <w:pPr>
        <w:rPr>
          <w:rFonts w:cs="Arial"/>
        </w:rPr>
      </w:pPr>
    </w:p>
    <w:p w14:paraId="3BD3B595" w14:textId="2203066F" w:rsidR="00E75FD2" w:rsidRPr="004C0062" w:rsidRDefault="00192A38" w:rsidP="004C0062">
      <w:pPr>
        <w:pStyle w:val="Annex1header1"/>
        <w:spacing w:after="120"/>
        <w:ind w:left="357" w:hanging="357"/>
      </w:pPr>
      <w:r w:rsidRPr="004C0062">
        <w:t>High Level Programme Objectives</w:t>
      </w:r>
    </w:p>
    <w:p w14:paraId="2E854C16" w14:textId="77777777" w:rsidR="002C12E3" w:rsidRPr="002C12E3" w:rsidRDefault="002C12E3" w:rsidP="00C06284">
      <w:pPr>
        <w:pStyle w:val="ListParagraph"/>
        <w:numPr>
          <w:ilvl w:val="0"/>
          <w:numId w:val="29"/>
        </w:numPr>
        <w:spacing w:afterLines="160" w:after="384"/>
        <w:contextualSpacing w:val="0"/>
        <w:rPr>
          <w:rStyle w:val="normaltextrun"/>
          <w:rFonts w:cs="Arial"/>
          <w:bCs/>
          <w:vanish/>
        </w:rPr>
      </w:pPr>
    </w:p>
    <w:p w14:paraId="1B206701" w14:textId="0DBA6DFD" w:rsidR="00DD613D" w:rsidRPr="002C12E3" w:rsidRDefault="00DD613D" w:rsidP="00C06284">
      <w:pPr>
        <w:pStyle w:val="Annex1text2"/>
        <w:numPr>
          <w:ilvl w:val="1"/>
          <w:numId w:val="29"/>
        </w:numPr>
        <w:spacing w:afterLines="160" w:after="384"/>
        <w:jc w:val="both"/>
        <w:rPr>
          <w:rStyle w:val="normaltextrun"/>
          <w:b w:val="0"/>
        </w:rPr>
      </w:pPr>
      <w:r w:rsidRPr="002C12E3">
        <w:rPr>
          <w:rStyle w:val="normaltextrun"/>
          <w:b w:val="0"/>
        </w:rPr>
        <w:t xml:space="preserve">The objective of the programme is </w:t>
      </w:r>
      <w:r w:rsidR="00B75D75" w:rsidRPr="002C12E3">
        <w:rPr>
          <w:rStyle w:val="normaltextrun"/>
          <w:b w:val="0"/>
        </w:rPr>
        <w:t>to be a trusted, modern tax and customs department that fits with the way our customers run their businesses and their lives, reducing the tax gap, enhancing the customer experience, keeping costs down, and operating in a way that is recognised as fair.</w:t>
      </w:r>
      <w:r w:rsidRPr="002C12E3">
        <w:rPr>
          <w:rStyle w:val="normaltextrun"/>
          <w:b w:val="0"/>
        </w:rPr>
        <w:t xml:space="preserve"> This includes:</w:t>
      </w:r>
    </w:p>
    <w:p w14:paraId="7A4F19C5" w14:textId="7A6FE968" w:rsidR="00FD12D5" w:rsidRPr="000159A3" w:rsidRDefault="00FD12D5" w:rsidP="00FB397E">
      <w:pPr>
        <w:pStyle w:val="ListParagraph"/>
        <w:numPr>
          <w:ilvl w:val="0"/>
          <w:numId w:val="9"/>
        </w:numPr>
        <w:spacing w:after="60"/>
        <w:ind w:left="1843" w:hanging="425"/>
        <w:jc w:val="both"/>
        <w:rPr>
          <w:rStyle w:val="normaltextrun"/>
          <w:lang w:eastAsia="en-GB"/>
        </w:rPr>
      </w:pPr>
      <w:r w:rsidRPr="000159A3">
        <w:rPr>
          <w:rStyle w:val="normaltextrun"/>
          <w:lang w:eastAsia="en-GB"/>
        </w:rPr>
        <w:t xml:space="preserve">Enablement of a single view of the customer, their entity </w:t>
      </w:r>
      <w:r w:rsidR="6A570BEC" w:rsidRPr="313E4A76">
        <w:rPr>
          <w:rStyle w:val="normaltextrun"/>
          <w:lang w:eastAsia="en-GB"/>
        </w:rPr>
        <w:t>relationship</w:t>
      </w:r>
      <w:r w:rsidRPr="313E4A76">
        <w:rPr>
          <w:rStyle w:val="normaltextrun"/>
          <w:lang w:eastAsia="en-GB"/>
        </w:rPr>
        <w:t>s</w:t>
      </w:r>
      <w:r w:rsidR="00407668">
        <w:rPr>
          <w:rStyle w:val="normaltextrun"/>
          <w:lang w:eastAsia="en-GB"/>
        </w:rPr>
        <w:t xml:space="preserve"> (e.g. individuals interacting with HMRC</w:t>
      </w:r>
      <w:r w:rsidR="00D57A16">
        <w:rPr>
          <w:rStyle w:val="normaltextrun"/>
          <w:lang w:eastAsia="en-GB"/>
        </w:rPr>
        <w:t xml:space="preserve"> and another organisation/ government department)</w:t>
      </w:r>
      <w:r w:rsidRPr="000159A3">
        <w:rPr>
          <w:rStyle w:val="normaltextrun"/>
          <w:lang w:eastAsia="en-GB"/>
        </w:rPr>
        <w:t>, tax and transaction history</w:t>
      </w:r>
      <w:r w:rsidR="69982CD5" w:rsidRPr="313E4A76">
        <w:rPr>
          <w:rStyle w:val="normaltextrun"/>
          <w:lang w:eastAsia="en-GB"/>
        </w:rPr>
        <w:t>.</w:t>
      </w:r>
    </w:p>
    <w:p w14:paraId="73ED2F62" w14:textId="5CBD9FF5" w:rsidR="7A940EDC" w:rsidRDefault="40A7EE57" w:rsidP="00FB397E">
      <w:pPr>
        <w:pStyle w:val="ListParagraph"/>
        <w:numPr>
          <w:ilvl w:val="0"/>
          <w:numId w:val="9"/>
        </w:numPr>
        <w:spacing w:after="60"/>
        <w:ind w:left="1843" w:hanging="425"/>
        <w:jc w:val="both"/>
        <w:rPr>
          <w:rStyle w:val="normaltextrun"/>
          <w:lang w:eastAsia="en-GB"/>
        </w:rPr>
      </w:pPr>
      <w:r w:rsidRPr="670D959F">
        <w:rPr>
          <w:rStyle w:val="normaltextrun"/>
          <w:lang w:eastAsia="en-GB"/>
        </w:rPr>
        <w:t xml:space="preserve">Developing external customer and internal colleague journeys to help improve the </w:t>
      </w:r>
      <w:r w:rsidRPr="59D978C9">
        <w:rPr>
          <w:rStyle w:val="normaltextrun"/>
          <w:lang w:eastAsia="en-GB"/>
        </w:rPr>
        <w:t>efficiency of dealing with customer queries &amp; requests</w:t>
      </w:r>
      <w:r w:rsidR="224C4475" w:rsidRPr="2B7CB344">
        <w:rPr>
          <w:rStyle w:val="normaltextrun"/>
          <w:lang w:eastAsia="en-GB"/>
        </w:rPr>
        <w:t xml:space="preserve">, </w:t>
      </w:r>
      <w:r w:rsidR="224C4475" w:rsidRPr="18FC0AE7">
        <w:rPr>
          <w:rStyle w:val="normaltextrun"/>
          <w:lang w:eastAsia="en-GB"/>
        </w:rPr>
        <w:t xml:space="preserve">with clearer progress updates and case </w:t>
      </w:r>
      <w:r w:rsidR="224C4475" w:rsidRPr="3D26A5EA">
        <w:rPr>
          <w:rStyle w:val="normaltextrun"/>
          <w:lang w:eastAsia="en-GB"/>
        </w:rPr>
        <w:t xml:space="preserve">management </w:t>
      </w:r>
      <w:r w:rsidR="15A56BF2" w:rsidRPr="063EADB2">
        <w:rPr>
          <w:rStyle w:val="normaltextrun"/>
          <w:lang w:eastAsia="en-GB"/>
        </w:rPr>
        <w:t>ca</w:t>
      </w:r>
      <w:r w:rsidR="002D3C27">
        <w:rPr>
          <w:rStyle w:val="normaltextrun"/>
          <w:lang w:eastAsia="en-GB"/>
        </w:rPr>
        <w:t>p</w:t>
      </w:r>
      <w:r w:rsidR="15A56BF2" w:rsidRPr="063EADB2">
        <w:rPr>
          <w:rStyle w:val="normaltextrun"/>
          <w:lang w:eastAsia="en-GB"/>
        </w:rPr>
        <w:t>abilities</w:t>
      </w:r>
      <w:r w:rsidRPr="3D26A5EA">
        <w:rPr>
          <w:rStyle w:val="normaltextrun"/>
          <w:lang w:eastAsia="en-GB"/>
        </w:rPr>
        <w:t>.</w:t>
      </w:r>
    </w:p>
    <w:p w14:paraId="6460A165" w14:textId="792D0672" w:rsidR="5D7115C8" w:rsidRDefault="5D7115C8" w:rsidP="00FB397E">
      <w:pPr>
        <w:pStyle w:val="ListParagraph"/>
        <w:numPr>
          <w:ilvl w:val="0"/>
          <w:numId w:val="9"/>
        </w:numPr>
        <w:spacing w:after="60"/>
        <w:ind w:left="1843" w:hanging="425"/>
        <w:jc w:val="both"/>
        <w:rPr>
          <w:rStyle w:val="normaltextrun"/>
          <w:lang w:eastAsia="en-GB"/>
        </w:rPr>
      </w:pPr>
      <w:r w:rsidRPr="5A4B42F2">
        <w:rPr>
          <w:rStyle w:val="normaltextrun"/>
          <w:lang w:eastAsia="en-GB"/>
        </w:rPr>
        <w:t>Creating cohesion between the customer and colleague journeys &amp; experiences</w:t>
      </w:r>
      <w:r w:rsidRPr="1CD9D971">
        <w:rPr>
          <w:rStyle w:val="normaltextrun"/>
          <w:lang w:eastAsia="en-GB"/>
        </w:rPr>
        <w:t>.</w:t>
      </w:r>
    </w:p>
    <w:p w14:paraId="4546F954" w14:textId="1AF6DDE9" w:rsidR="00AD6F0B" w:rsidRPr="000159A3" w:rsidRDefault="00AD6F0B" w:rsidP="00FB397E">
      <w:pPr>
        <w:pStyle w:val="ListParagraph"/>
        <w:numPr>
          <w:ilvl w:val="0"/>
          <w:numId w:val="9"/>
        </w:numPr>
        <w:spacing w:after="60"/>
        <w:ind w:left="1843" w:hanging="425"/>
        <w:jc w:val="both"/>
        <w:rPr>
          <w:rStyle w:val="normaltextrun"/>
          <w:lang w:eastAsia="en-GB"/>
        </w:rPr>
      </w:pPr>
      <w:r w:rsidRPr="000159A3">
        <w:rPr>
          <w:rStyle w:val="normaltextrun"/>
          <w:lang w:eastAsia="en-GB"/>
        </w:rPr>
        <w:t>Ensuring our services remain secure</w:t>
      </w:r>
      <w:r w:rsidR="695E0E8E" w:rsidRPr="1D9BA5C4">
        <w:rPr>
          <w:rStyle w:val="normaltextrun"/>
          <w:lang w:eastAsia="en-GB"/>
        </w:rPr>
        <w:t>, we are able to</w:t>
      </w:r>
      <w:r w:rsidRPr="000159A3">
        <w:rPr>
          <w:rStyle w:val="normaltextrun"/>
          <w:lang w:eastAsia="en-GB"/>
        </w:rPr>
        <w:t xml:space="preserve"> identify risks and access permissions are tightly managed</w:t>
      </w:r>
      <w:r w:rsidR="0000723F">
        <w:rPr>
          <w:rStyle w:val="normaltextrun"/>
          <w:lang w:eastAsia="en-GB"/>
        </w:rPr>
        <w:t>.</w:t>
      </w:r>
    </w:p>
    <w:p w14:paraId="0EBAF047" w14:textId="30FA3086" w:rsidR="009B1905" w:rsidRPr="000159A3" w:rsidRDefault="009B1905" w:rsidP="00FB397E">
      <w:pPr>
        <w:pStyle w:val="ListParagraph"/>
        <w:numPr>
          <w:ilvl w:val="0"/>
          <w:numId w:val="9"/>
        </w:numPr>
        <w:spacing w:after="60"/>
        <w:ind w:left="1843" w:hanging="425"/>
        <w:contextualSpacing w:val="0"/>
        <w:jc w:val="both"/>
        <w:rPr>
          <w:rStyle w:val="normaltextrun"/>
          <w:lang w:eastAsia="en-GB"/>
        </w:rPr>
      </w:pPr>
      <w:r w:rsidRPr="000159A3">
        <w:rPr>
          <w:rStyle w:val="normaltextrun"/>
          <w:lang w:eastAsia="en-GB"/>
        </w:rPr>
        <w:t>Effectively measuring all that we do, understanding what works (and what doesn’t), underpinned by a test and learn approach</w:t>
      </w:r>
      <w:r w:rsidR="0000723F">
        <w:rPr>
          <w:rStyle w:val="normaltextrun"/>
          <w:lang w:eastAsia="en-GB"/>
        </w:rPr>
        <w:t>.</w:t>
      </w:r>
    </w:p>
    <w:p w14:paraId="2375FE0F" w14:textId="0A336247" w:rsidR="005C4208" w:rsidRPr="000159A3" w:rsidRDefault="005C4208" w:rsidP="00FB397E">
      <w:pPr>
        <w:pStyle w:val="ListParagraph"/>
        <w:numPr>
          <w:ilvl w:val="0"/>
          <w:numId w:val="9"/>
        </w:numPr>
        <w:spacing w:after="60"/>
        <w:ind w:left="1843" w:hanging="425"/>
        <w:jc w:val="both"/>
        <w:rPr>
          <w:rStyle w:val="normaltextrun"/>
          <w:lang w:eastAsia="en-GB"/>
        </w:rPr>
      </w:pPr>
      <w:r w:rsidRPr="000159A3">
        <w:rPr>
          <w:rStyle w:val="normaltextrun"/>
          <w:lang w:eastAsia="en-GB"/>
        </w:rPr>
        <w:t xml:space="preserve">Making it easy for customers to be accurate by removing barriers and developing </w:t>
      </w:r>
      <w:r w:rsidR="4875FF1C" w:rsidRPr="41C305A8">
        <w:rPr>
          <w:rStyle w:val="normaltextrun"/>
          <w:lang w:eastAsia="en-GB"/>
        </w:rPr>
        <w:t>proactive</w:t>
      </w:r>
      <w:r w:rsidRPr="41C305A8">
        <w:rPr>
          <w:rStyle w:val="normaltextrun"/>
          <w:lang w:eastAsia="en-GB"/>
        </w:rPr>
        <w:t xml:space="preserve"> </w:t>
      </w:r>
      <w:r w:rsidRPr="000159A3">
        <w:rPr>
          <w:rStyle w:val="normaltextrun"/>
          <w:lang w:eastAsia="en-GB"/>
        </w:rPr>
        <w:t>engagement strategies to support their needs – directly impacting the £16.1bn tax gap</w:t>
      </w:r>
      <w:r w:rsidR="0000723F">
        <w:rPr>
          <w:rStyle w:val="normaltextrun"/>
          <w:lang w:eastAsia="en-GB"/>
        </w:rPr>
        <w:t>.</w:t>
      </w:r>
    </w:p>
    <w:p w14:paraId="5B6B1D0A" w14:textId="79113942" w:rsidR="005C4208" w:rsidRPr="000159A3" w:rsidRDefault="005C4208" w:rsidP="00FB397E">
      <w:pPr>
        <w:pStyle w:val="ListParagraph"/>
        <w:numPr>
          <w:ilvl w:val="0"/>
          <w:numId w:val="9"/>
        </w:numPr>
        <w:spacing w:after="60"/>
        <w:ind w:left="1843" w:hanging="425"/>
        <w:jc w:val="both"/>
        <w:rPr>
          <w:rStyle w:val="normaltextrun"/>
          <w:lang w:eastAsia="en-GB"/>
        </w:rPr>
      </w:pPr>
      <w:r w:rsidRPr="000159A3">
        <w:rPr>
          <w:rStyle w:val="normaltextrun"/>
          <w:lang w:eastAsia="en-GB"/>
        </w:rPr>
        <w:t xml:space="preserve">Reducing risk by using improved </w:t>
      </w:r>
      <w:r w:rsidRPr="3BB02580">
        <w:rPr>
          <w:rStyle w:val="normaltextrun"/>
          <w:lang w:eastAsia="en-GB"/>
        </w:rPr>
        <w:t>engagement</w:t>
      </w:r>
      <w:r w:rsidR="667D9FEA" w:rsidRPr="3BB02580">
        <w:rPr>
          <w:rStyle w:val="normaltextrun"/>
          <w:lang w:eastAsia="en-GB"/>
        </w:rPr>
        <w:t xml:space="preserve"> </w:t>
      </w:r>
      <w:r w:rsidR="667D9FEA" w:rsidRPr="154EBAD6">
        <w:rPr>
          <w:rStyle w:val="normaltextrun"/>
          <w:lang w:eastAsia="en-GB"/>
        </w:rPr>
        <w:t>strategies</w:t>
      </w:r>
      <w:r w:rsidRPr="154EBAD6">
        <w:rPr>
          <w:rStyle w:val="normaltextrun"/>
          <w:lang w:eastAsia="en-GB"/>
        </w:rPr>
        <w:t xml:space="preserve"> </w:t>
      </w:r>
      <w:r w:rsidRPr="000159A3">
        <w:rPr>
          <w:rStyle w:val="normaltextrun"/>
          <w:lang w:eastAsia="en-GB"/>
        </w:rPr>
        <w:t>and analytics to gain earlier sight of negative behaviour</w:t>
      </w:r>
      <w:r w:rsidR="0000723F">
        <w:rPr>
          <w:rStyle w:val="normaltextrun"/>
          <w:lang w:eastAsia="en-GB"/>
        </w:rPr>
        <w:t>.</w:t>
      </w:r>
    </w:p>
    <w:p w14:paraId="6AE7CA36" w14:textId="0DD0F5FF" w:rsidR="00AD6F0B" w:rsidRPr="000159A3" w:rsidRDefault="00AD6F0B" w:rsidP="00FB397E">
      <w:pPr>
        <w:pStyle w:val="ListParagraph"/>
        <w:numPr>
          <w:ilvl w:val="0"/>
          <w:numId w:val="9"/>
        </w:numPr>
        <w:spacing w:after="60"/>
        <w:ind w:left="1843" w:hanging="425"/>
        <w:contextualSpacing w:val="0"/>
        <w:jc w:val="both"/>
        <w:rPr>
          <w:rStyle w:val="normaltextrun"/>
          <w:lang w:eastAsia="en-GB"/>
        </w:rPr>
      </w:pPr>
      <w:r w:rsidRPr="000159A3">
        <w:rPr>
          <w:rStyle w:val="normaltextrun"/>
          <w:lang w:eastAsia="en-GB"/>
        </w:rPr>
        <w:t>Understanding where, when and why to focus through rich insight and analysis of customer behaviour. Using customer information to drive real time nudges and prompts, supporting better outcomes</w:t>
      </w:r>
      <w:r w:rsidR="0000723F">
        <w:rPr>
          <w:rStyle w:val="normaltextrun"/>
          <w:lang w:eastAsia="en-GB"/>
        </w:rPr>
        <w:t>.</w:t>
      </w:r>
    </w:p>
    <w:p w14:paraId="0D265AD3" w14:textId="13CAD7C0" w:rsidR="0044028F" w:rsidRPr="000159A3" w:rsidRDefault="0044028F" w:rsidP="00FB397E">
      <w:pPr>
        <w:pStyle w:val="ListParagraph"/>
        <w:numPr>
          <w:ilvl w:val="0"/>
          <w:numId w:val="9"/>
        </w:numPr>
        <w:spacing w:after="60"/>
        <w:ind w:left="1843" w:hanging="425"/>
        <w:contextualSpacing w:val="0"/>
        <w:jc w:val="both"/>
        <w:rPr>
          <w:rStyle w:val="normaltextrun"/>
          <w:lang w:eastAsia="en-GB"/>
        </w:rPr>
      </w:pPr>
      <w:r w:rsidRPr="000159A3">
        <w:rPr>
          <w:rStyle w:val="normaltextrun"/>
          <w:lang w:eastAsia="en-GB"/>
        </w:rPr>
        <w:t>Improvement of efficiency and increase speed of resolution through driving the right compliance behaviour upstream, enabling us to quickly respond to breakages in the process</w:t>
      </w:r>
      <w:r w:rsidR="0000723F">
        <w:rPr>
          <w:rStyle w:val="normaltextrun"/>
          <w:lang w:eastAsia="en-GB"/>
        </w:rPr>
        <w:t>.</w:t>
      </w:r>
    </w:p>
    <w:p w14:paraId="0F3B41C1" w14:textId="5CF24607" w:rsidR="00F61CD5" w:rsidRPr="000159A3" w:rsidRDefault="00F61CD5" w:rsidP="00FB397E">
      <w:pPr>
        <w:pStyle w:val="ListParagraph"/>
        <w:numPr>
          <w:ilvl w:val="0"/>
          <w:numId w:val="9"/>
        </w:numPr>
        <w:spacing w:after="60"/>
        <w:ind w:left="1843" w:hanging="425"/>
        <w:contextualSpacing w:val="0"/>
        <w:jc w:val="both"/>
        <w:rPr>
          <w:rStyle w:val="normaltextrun"/>
          <w:lang w:eastAsia="en-GB"/>
        </w:rPr>
      </w:pPr>
      <w:r w:rsidRPr="000159A3">
        <w:rPr>
          <w:rStyle w:val="normaltextrun"/>
          <w:lang w:eastAsia="en-GB"/>
        </w:rPr>
        <w:t xml:space="preserve">Empowering our people &amp; intermediaries by providing the right information, enabling them to </w:t>
      </w:r>
      <w:proofErr w:type="gramStart"/>
      <w:r w:rsidRPr="000159A3">
        <w:rPr>
          <w:rStyle w:val="normaltextrun"/>
          <w:lang w:eastAsia="en-GB"/>
        </w:rPr>
        <w:t>more effectively help our customers</w:t>
      </w:r>
      <w:proofErr w:type="gramEnd"/>
      <w:r w:rsidR="0000723F">
        <w:rPr>
          <w:rStyle w:val="normaltextrun"/>
          <w:lang w:eastAsia="en-GB"/>
        </w:rPr>
        <w:t>.</w:t>
      </w:r>
    </w:p>
    <w:p w14:paraId="2B479678" w14:textId="22A8D92A" w:rsidR="00F61CD5" w:rsidRPr="000159A3" w:rsidRDefault="00F61CD5" w:rsidP="00FB397E">
      <w:pPr>
        <w:pStyle w:val="ListParagraph"/>
        <w:numPr>
          <w:ilvl w:val="0"/>
          <w:numId w:val="9"/>
        </w:numPr>
        <w:spacing w:after="60"/>
        <w:ind w:left="1843" w:hanging="425"/>
        <w:contextualSpacing w:val="0"/>
        <w:jc w:val="both"/>
        <w:rPr>
          <w:rStyle w:val="normaltextrun"/>
          <w:lang w:eastAsia="en-GB"/>
        </w:rPr>
      </w:pPr>
      <w:r w:rsidRPr="000159A3">
        <w:rPr>
          <w:rStyle w:val="normaltextrun"/>
          <w:lang w:eastAsia="en-GB"/>
        </w:rPr>
        <w:t>Digitising the simple needs to allow focus on more complex cases, driven by the right data and low code to enable effective resolution</w:t>
      </w:r>
      <w:r w:rsidR="0000723F">
        <w:rPr>
          <w:rStyle w:val="normaltextrun"/>
          <w:lang w:eastAsia="en-GB"/>
        </w:rPr>
        <w:t>.</w:t>
      </w:r>
    </w:p>
    <w:p w14:paraId="16669BCB" w14:textId="25851376" w:rsidR="000159A3" w:rsidRPr="000159A3" w:rsidRDefault="000159A3" w:rsidP="00FB397E">
      <w:pPr>
        <w:pStyle w:val="ListParagraph"/>
        <w:numPr>
          <w:ilvl w:val="0"/>
          <w:numId w:val="9"/>
        </w:numPr>
        <w:spacing w:after="60"/>
        <w:ind w:left="1843" w:hanging="425"/>
        <w:contextualSpacing w:val="0"/>
        <w:jc w:val="both"/>
        <w:rPr>
          <w:rStyle w:val="normaltextrun"/>
          <w:lang w:eastAsia="en-GB"/>
        </w:rPr>
      </w:pPr>
      <w:r w:rsidRPr="000159A3">
        <w:rPr>
          <w:rStyle w:val="normaltextrun"/>
          <w:lang w:eastAsia="en-GB"/>
        </w:rPr>
        <w:t>Talking to people in a way they understand, targeting communications in a manner that removes complexity and creates better engagement and greater behaviour change</w:t>
      </w:r>
      <w:r w:rsidR="0000723F">
        <w:rPr>
          <w:rStyle w:val="normaltextrun"/>
          <w:lang w:eastAsia="en-GB"/>
        </w:rPr>
        <w:t>.</w:t>
      </w:r>
    </w:p>
    <w:p w14:paraId="316454BF" w14:textId="77777777" w:rsidR="0027187F" w:rsidRDefault="0027187F" w:rsidP="0027187F">
      <w:pPr>
        <w:rPr>
          <w:rFonts w:cs="Arial"/>
          <w:b/>
          <w:bCs/>
          <w:color w:val="009999"/>
          <w:sz w:val="24"/>
          <w:szCs w:val="24"/>
        </w:rPr>
      </w:pPr>
    </w:p>
    <w:p w14:paraId="2DD9E3A7" w14:textId="2BD0E512" w:rsidR="00057AD1" w:rsidRPr="004C0062" w:rsidRDefault="0027187F" w:rsidP="004C0062">
      <w:pPr>
        <w:pStyle w:val="Annex1header1"/>
        <w:spacing w:after="120"/>
        <w:ind w:left="357" w:hanging="357"/>
      </w:pPr>
      <w:r w:rsidRPr="004C0062">
        <w:t xml:space="preserve">Overarching Scope of Procurement </w:t>
      </w:r>
    </w:p>
    <w:p w14:paraId="38374F74" w14:textId="77777777" w:rsidR="002C12E3" w:rsidRPr="002C12E3" w:rsidRDefault="002C12E3" w:rsidP="00C06284">
      <w:pPr>
        <w:pStyle w:val="ListParagraph"/>
        <w:numPr>
          <w:ilvl w:val="0"/>
          <w:numId w:val="29"/>
        </w:numPr>
        <w:spacing w:afterLines="160" w:after="384"/>
        <w:contextualSpacing w:val="0"/>
        <w:rPr>
          <w:rStyle w:val="normaltextrun"/>
          <w:rFonts w:cs="Arial"/>
          <w:bCs/>
          <w:vanish/>
        </w:rPr>
      </w:pPr>
    </w:p>
    <w:p w14:paraId="4A3D565C" w14:textId="42227E23" w:rsidR="00295955" w:rsidRPr="002C12E3" w:rsidRDefault="00941740" w:rsidP="00C06284">
      <w:pPr>
        <w:pStyle w:val="Annex1text2"/>
        <w:numPr>
          <w:ilvl w:val="1"/>
          <w:numId w:val="29"/>
        </w:numPr>
        <w:spacing w:afterLines="160" w:after="384"/>
        <w:jc w:val="both"/>
        <w:rPr>
          <w:rStyle w:val="normaltextrun"/>
          <w:b w:val="0"/>
        </w:rPr>
      </w:pPr>
      <w:r w:rsidRPr="002C12E3">
        <w:rPr>
          <w:rStyle w:val="normaltextrun"/>
          <w:b w:val="0"/>
        </w:rPr>
        <w:t xml:space="preserve">Transitioning to one enterprise-wide Core SaaS CRM platform will be a long-term objective with </w:t>
      </w:r>
      <w:r w:rsidR="00CA65E4" w:rsidRPr="00E66809">
        <w:rPr>
          <w:rStyle w:val="normaltextrun"/>
          <w:b w:val="0"/>
        </w:rPr>
        <w:t>a</w:t>
      </w:r>
      <w:r w:rsidR="00CA65E4">
        <w:rPr>
          <w:rStyle w:val="normaltextrun"/>
          <w:b w:val="0"/>
        </w:rPr>
        <w:t xml:space="preserve"> 3-4 year</w:t>
      </w:r>
      <w:r w:rsidR="00CA65E4" w:rsidRPr="00E66809">
        <w:rPr>
          <w:rStyle w:val="normaltextrun"/>
          <w:b w:val="0"/>
        </w:rPr>
        <w:t xml:space="preserve"> phased migration of customers and regimes</w:t>
      </w:r>
      <w:r w:rsidR="00CA65E4" w:rsidRPr="002C12E3">
        <w:rPr>
          <w:rStyle w:val="normaltextrun"/>
          <w:b w:val="0"/>
        </w:rPr>
        <w:t xml:space="preserve"> </w:t>
      </w:r>
      <w:r w:rsidRPr="002C12E3">
        <w:rPr>
          <w:rStyle w:val="normaltextrun"/>
          <w:b w:val="0"/>
        </w:rPr>
        <w:t xml:space="preserve">before consolidation of technical capability onto one enterprise-wide Core SaaS CRM platform. </w:t>
      </w:r>
      <w:r w:rsidR="000D5FD7" w:rsidRPr="002C12E3">
        <w:rPr>
          <w:rStyle w:val="normaltextrun"/>
          <w:b w:val="0"/>
        </w:rPr>
        <w:t xml:space="preserve">The scope of this procurement sets out to </w:t>
      </w:r>
      <w:r w:rsidR="00CC4717" w:rsidRPr="002C12E3">
        <w:rPr>
          <w:rStyle w:val="normaltextrun"/>
          <w:b w:val="0"/>
        </w:rPr>
        <w:t xml:space="preserve">meet the scope </w:t>
      </w:r>
      <w:r w:rsidR="00392591" w:rsidRPr="002C12E3">
        <w:rPr>
          <w:rStyle w:val="normaltextrun"/>
          <w:b w:val="0"/>
        </w:rPr>
        <w:t>outlined</w:t>
      </w:r>
      <w:r w:rsidR="00CC4717" w:rsidRPr="002C12E3">
        <w:rPr>
          <w:rStyle w:val="normaltextrun"/>
          <w:b w:val="0"/>
        </w:rPr>
        <w:t xml:space="preserve"> in ‘Process Scope’ which </w:t>
      </w:r>
      <w:r w:rsidR="005027D1" w:rsidRPr="002C12E3">
        <w:rPr>
          <w:rStyle w:val="normaltextrun"/>
          <w:b w:val="0"/>
        </w:rPr>
        <w:t>encapsulates our CRM capability and Registration and Records Management (R&amp;RM) capabilities.</w:t>
      </w:r>
      <w:r w:rsidR="00C266A1" w:rsidRPr="002C12E3">
        <w:rPr>
          <w:rStyle w:val="normaltextrun"/>
          <w:b w:val="0"/>
        </w:rPr>
        <w:t xml:space="preserve"> </w:t>
      </w:r>
      <w:r w:rsidR="005027D1" w:rsidRPr="002C12E3">
        <w:rPr>
          <w:rStyle w:val="normaltextrun"/>
          <w:b w:val="0"/>
        </w:rPr>
        <w:t>R&amp;RM</w:t>
      </w:r>
      <w:r w:rsidR="00295955" w:rsidRPr="002C12E3">
        <w:rPr>
          <w:rStyle w:val="normaltextrun"/>
          <w:b w:val="0"/>
        </w:rPr>
        <w:t xml:space="preserve"> </w:t>
      </w:r>
      <w:r w:rsidR="00C266A1" w:rsidRPr="002C12E3">
        <w:rPr>
          <w:rStyle w:val="normaltextrun"/>
          <w:b w:val="0"/>
        </w:rPr>
        <w:t>as part of CRM</w:t>
      </w:r>
      <w:r w:rsidR="00295955" w:rsidRPr="002C12E3">
        <w:rPr>
          <w:rStyle w:val="normaltextrun"/>
          <w:b w:val="0"/>
        </w:rPr>
        <w:t xml:space="preserve"> </w:t>
      </w:r>
      <w:r w:rsidR="00C266A1" w:rsidRPr="002C12E3">
        <w:rPr>
          <w:rStyle w:val="normaltextrun"/>
          <w:b w:val="0"/>
        </w:rPr>
        <w:t>outlines the need for a</w:t>
      </w:r>
      <w:r w:rsidR="00295955" w:rsidRPr="002C12E3">
        <w:rPr>
          <w:rStyle w:val="normaltextrun"/>
          <w:b w:val="0"/>
        </w:rPr>
        <w:t xml:space="preserve"> simple &amp; secure registration process integrated into life and business events, ensuring customers &amp; intermediaries are correctly validated, authenticated, authorised &amp; managed across entities, relationships &amp; regimes, while enabling HMRC to efficiently store and utilise data to drive further benefits to customers and across-government. </w:t>
      </w:r>
    </w:p>
    <w:p w14:paraId="0B777225" w14:textId="0062AB9A" w:rsidR="002C12E3" w:rsidRPr="00F04854" w:rsidRDefault="00F04854" w:rsidP="00C06284">
      <w:pPr>
        <w:pStyle w:val="ListParagraph"/>
        <w:numPr>
          <w:ilvl w:val="0"/>
          <w:numId w:val="29"/>
        </w:numPr>
        <w:spacing w:afterLines="160" w:after="384"/>
        <w:rPr>
          <w:rStyle w:val="normaltextrun"/>
          <w:rFonts w:cs="Arial"/>
          <w:b/>
        </w:rPr>
      </w:pPr>
      <w:r w:rsidRPr="00F04854">
        <w:rPr>
          <w:rStyle w:val="normaltextrun"/>
          <w:rFonts w:cs="Arial"/>
          <w:b/>
          <w:bCs/>
        </w:rPr>
        <w:t>Process Scope</w:t>
      </w:r>
    </w:p>
    <w:p w14:paraId="34EAB230" w14:textId="58207879" w:rsidR="00080F9A" w:rsidRPr="00080F9A" w:rsidRDefault="00DD613D" w:rsidP="00C06284">
      <w:pPr>
        <w:pStyle w:val="Annex1text2"/>
        <w:numPr>
          <w:ilvl w:val="1"/>
          <w:numId w:val="29"/>
        </w:numPr>
        <w:spacing w:afterLines="160" w:after="384"/>
        <w:jc w:val="both"/>
        <w:rPr>
          <w:rStyle w:val="normaltextrun"/>
          <w:b w:val="0"/>
        </w:rPr>
      </w:pPr>
      <w:r w:rsidRPr="002C12E3">
        <w:rPr>
          <w:rStyle w:val="normaltextrun"/>
          <w:b w:val="0"/>
        </w:rPr>
        <w:t>Th</w:t>
      </w:r>
      <w:r w:rsidR="00412D27">
        <w:rPr>
          <w:rStyle w:val="normaltextrun"/>
          <w:b w:val="0"/>
        </w:rPr>
        <w:t xml:space="preserve">e </w:t>
      </w:r>
      <w:proofErr w:type="gramStart"/>
      <w:r w:rsidR="00412D27">
        <w:rPr>
          <w:rStyle w:val="normaltextrun"/>
          <w:b w:val="0"/>
        </w:rPr>
        <w:t>high level</w:t>
      </w:r>
      <w:proofErr w:type="gramEnd"/>
      <w:r w:rsidR="00412D27">
        <w:rPr>
          <w:rStyle w:val="normaltextrun"/>
          <w:b w:val="0"/>
        </w:rPr>
        <w:t xml:space="preserve"> scope of this</w:t>
      </w:r>
      <w:r w:rsidRPr="002C12E3">
        <w:rPr>
          <w:rStyle w:val="normaltextrun"/>
          <w:b w:val="0"/>
        </w:rPr>
        <w:t xml:space="preserve"> procurement </w:t>
      </w:r>
      <w:r w:rsidR="00412D27">
        <w:rPr>
          <w:rStyle w:val="normaltextrun"/>
          <w:b w:val="0"/>
        </w:rPr>
        <w:t>is as follows</w:t>
      </w:r>
      <w:r w:rsidR="00080F9A">
        <w:rPr>
          <w:rStyle w:val="normaltextrun"/>
          <w:b w:val="0"/>
        </w:rPr>
        <w:t xml:space="preserve">. Note that Suppliers invited to submit an initial tender at </w:t>
      </w:r>
      <w:r w:rsidR="006F4AE7">
        <w:rPr>
          <w:rStyle w:val="normaltextrun"/>
          <w:b w:val="0"/>
        </w:rPr>
        <w:t>Stage 2 (</w:t>
      </w:r>
      <w:r w:rsidR="00080F9A">
        <w:rPr>
          <w:rStyle w:val="normaltextrun"/>
          <w:b w:val="0"/>
        </w:rPr>
        <w:t>ITSIT</w:t>
      </w:r>
      <w:r w:rsidR="006F4AE7">
        <w:rPr>
          <w:rStyle w:val="normaltextrun"/>
          <w:b w:val="0"/>
        </w:rPr>
        <w:t>)</w:t>
      </w:r>
      <w:r w:rsidR="00080F9A">
        <w:rPr>
          <w:rStyle w:val="normaltextrun"/>
          <w:b w:val="0"/>
        </w:rPr>
        <w:t xml:space="preserve"> will be provided with a detailed statement of requirements.</w:t>
      </w:r>
      <w:r w:rsidR="00F83989">
        <w:rPr>
          <w:rStyle w:val="normaltextrun"/>
          <w:b w:val="0"/>
        </w:rPr>
        <w:t xml:space="preserve"> More detailed requirements aligned to these capabilities are provided in Annex 2 of this document </w:t>
      </w:r>
      <w:r w:rsidR="00F83989" w:rsidRPr="00F83989">
        <w:rPr>
          <w:rStyle w:val="normaltextrun"/>
          <w:bCs/>
        </w:rPr>
        <w:t>for information only.</w:t>
      </w:r>
    </w:p>
    <w:p w14:paraId="7FA2B58A" w14:textId="0EC59871" w:rsidR="000C4259" w:rsidRPr="00080F9A" w:rsidRDefault="0046232C" w:rsidP="00C06284">
      <w:pPr>
        <w:pStyle w:val="Annex1text2"/>
        <w:numPr>
          <w:ilvl w:val="1"/>
          <w:numId w:val="29"/>
        </w:numPr>
        <w:spacing w:afterLines="160" w:after="384"/>
        <w:jc w:val="both"/>
        <w:rPr>
          <w:rStyle w:val="normaltextrun"/>
          <w:b w:val="0"/>
        </w:rPr>
      </w:pPr>
      <w:r>
        <w:rPr>
          <w:rStyle w:val="normaltextrun"/>
          <w:b w:val="0"/>
        </w:rPr>
        <w:t xml:space="preserve">Scope aligned to </w:t>
      </w:r>
      <w:r w:rsidR="002354A5">
        <w:rPr>
          <w:rStyle w:val="normaltextrun"/>
          <w:b w:val="0"/>
        </w:rPr>
        <w:t>F</w:t>
      </w:r>
      <w:r w:rsidR="007C16DD">
        <w:rPr>
          <w:rStyle w:val="normaltextrun"/>
          <w:b w:val="0"/>
        </w:rPr>
        <w:t xml:space="preserve">irst </w:t>
      </w:r>
      <w:r w:rsidR="002354A5">
        <w:rPr>
          <w:rStyle w:val="normaltextrun"/>
          <w:b w:val="0"/>
        </w:rPr>
        <w:t>Party Capabilities</w:t>
      </w:r>
      <w:r>
        <w:rPr>
          <w:rStyle w:val="normaltextrun"/>
          <w:b w:val="0"/>
        </w:rPr>
        <w:t xml:space="preserve"> outlined in </w:t>
      </w:r>
      <w:r w:rsidR="006F4AE7">
        <w:rPr>
          <w:rStyle w:val="normaltextrun"/>
          <w:b w:val="0"/>
        </w:rPr>
        <w:t xml:space="preserve">Question </w:t>
      </w:r>
      <w:r>
        <w:rPr>
          <w:rStyle w:val="normaltextrun"/>
          <w:b w:val="0"/>
        </w:rPr>
        <w:t>3.7a</w:t>
      </w:r>
      <w:r w:rsidR="006F4AE7">
        <w:rPr>
          <w:rStyle w:val="normaltextrun"/>
          <w:b w:val="0"/>
        </w:rPr>
        <w:t xml:space="preserve"> of the PSQ.</w:t>
      </w:r>
    </w:p>
    <w:p w14:paraId="21FD251B" w14:textId="6DF1CBF9" w:rsidR="00F14043" w:rsidRPr="00F14043" w:rsidRDefault="0064664F" w:rsidP="00E66809">
      <w:pPr>
        <w:pStyle w:val="ListParagraph"/>
        <w:numPr>
          <w:ilvl w:val="0"/>
          <w:numId w:val="9"/>
        </w:numPr>
        <w:spacing w:after="60"/>
        <w:ind w:left="1843" w:hanging="425"/>
        <w:contextualSpacing w:val="0"/>
        <w:rPr>
          <w:rStyle w:val="normaltextrun"/>
          <w:rFonts w:cs="Arial"/>
          <w:b/>
          <w:lang w:eastAsia="en-GB"/>
        </w:rPr>
      </w:pPr>
      <w:r w:rsidRPr="00E66809">
        <w:rPr>
          <w:rStyle w:val="normaltextrun"/>
          <w:b/>
          <w:lang w:eastAsia="en-GB"/>
        </w:rPr>
        <w:t xml:space="preserve">Marketing &amp; </w:t>
      </w:r>
      <w:r w:rsidR="00F14043" w:rsidRPr="00E66809">
        <w:rPr>
          <w:rStyle w:val="normaltextrun"/>
          <w:b/>
          <w:lang w:eastAsia="en-GB"/>
        </w:rPr>
        <w:t>Campaign Management –</w:t>
      </w:r>
      <w:r w:rsidR="00F14043" w:rsidRPr="00F14043">
        <w:rPr>
          <w:rStyle w:val="normaltextrun"/>
          <w:lang w:eastAsia="en-GB"/>
        </w:rPr>
        <w:t xml:space="preserve"> The planning, scheduling and execution of campaigns via numerous channels (debt collection, avoiding non-compliance, etc) by using configurable customer segments, and using automation to support.</w:t>
      </w:r>
    </w:p>
    <w:p w14:paraId="078551B5" w14:textId="2709552D" w:rsidR="00F14043" w:rsidRPr="00F14043" w:rsidRDefault="00F14043" w:rsidP="00E66809">
      <w:pPr>
        <w:pStyle w:val="ListParagraph"/>
        <w:numPr>
          <w:ilvl w:val="0"/>
          <w:numId w:val="9"/>
        </w:numPr>
        <w:spacing w:after="60"/>
        <w:ind w:left="1843" w:hanging="425"/>
        <w:contextualSpacing w:val="0"/>
        <w:rPr>
          <w:rStyle w:val="normaltextrun"/>
          <w:lang w:eastAsia="en-GB"/>
        </w:rPr>
      </w:pPr>
      <w:r w:rsidRPr="00E66809">
        <w:rPr>
          <w:rStyle w:val="normaltextrun"/>
          <w:b/>
          <w:lang w:eastAsia="en-GB"/>
        </w:rPr>
        <w:t>Customer Management –</w:t>
      </w:r>
      <w:r w:rsidRPr="00F14043">
        <w:rPr>
          <w:rStyle w:val="normaltextrun"/>
          <w:lang w:eastAsia="en-GB"/>
        </w:rPr>
        <w:t xml:space="preserve"> The creation, matching and management of HMRC’s customers (incl. agents &amp; intermediaries) so that there is an accurate single source of truth which captures a customer’s relationship and subscription(s) with HMRC. Includes Registration (the ability to create a</w:t>
      </w:r>
      <w:r w:rsidR="004334FE">
        <w:rPr>
          <w:rStyle w:val="normaltextrun"/>
          <w:lang w:eastAsia="en-GB"/>
        </w:rPr>
        <w:t xml:space="preserve">n enterprise -wide </w:t>
      </w:r>
      <w:r w:rsidRPr="00F14043">
        <w:rPr>
          <w:rStyle w:val="normaltextrun"/>
          <w:lang w:eastAsia="en-GB"/>
        </w:rPr>
        <w:t xml:space="preserve">record for a new Customer for the first time. This is a one-off event and enables subsequent subscription to HMRC services, subservices and </w:t>
      </w:r>
      <w:r w:rsidR="00C6462B">
        <w:rPr>
          <w:rStyle w:val="normaltextrun"/>
          <w:lang w:eastAsia="en-GB"/>
        </w:rPr>
        <w:t xml:space="preserve">all relevant </w:t>
      </w:r>
      <w:r w:rsidRPr="00F14043">
        <w:rPr>
          <w:rStyle w:val="normaltextrun"/>
          <w:lang w:eastAsia="en-GB"/>
        </w:rPr>
        <w:t>Regimes) and Customer Record Management (the ability to collect, manage, communicate and report on information corresponding to a customer).</w:t>
      </w:r>
    </w:p>
    <w:p w14:paraId="209C3884" w14:textId="1126773D" w:rsidR="00F14043" w:rsidRPr="00F14043" w:rsidRDefault="00F14043" w:rsidP="00E66809">
      <w:pPr>
        <w:pStyle w:val="ListParagraph"/>
        <w:numPr>
          <w:ilvl w:val="0"/>
          <w:numId w:val="9"/>
        </w:numPr>
        <w:spacing w:after="60"/>
        <w:ind w:left="1843" w:hanging="425"/>
        <w:rPr>
          <w:rStyle w:val="normaltextrun"/>
          <w:lang w:eastAsia="en-GB"/>
        </w:rPr>
      </w:pPr>
      <w:r w:rsidRPr="00E66809">
        <w:rPr>
          <w:rStyle w:val="normaltextrun"/>
          <w:b/>
          <w:lang w:eastAsia="en-GB"/>
        </w:rPr>
        <w:t xml:space="preserve">Case Management – </w:t>
      </w:r>
      <w:r w:rsidRPr="00F14043">
        <w:rPr>
          <w:rStyle w:val="normaltextrun"/>
          <w:lang w:eastAsia="en-GB"/>
        </w:rPr>
        <w:t xml:space="preserve">The management of cases </w:t>
      </w:r>
      <w:r w:rsidR="5FDD4728" w:rsidRPr="7416DE1E">
        <w:rPr>
          <w:rStyle w:val="normaltextrun"/>
          <w:lang w:eastAsia="en-GB"/>
        </w:rPr>
        <w:t xml:space="preserve">and work </w:t>
      </w:r>
      <w:r w:rsidR="5FDD4728" w:rsidRPr="5E48DE07">
        <w:rPr>
          <w:rStyle w:val="normaltextrun"/>
          <w:lang w:eastAsia="en-GB"/>
        </w:rPr>
        <w:t xml:space="preserve">items </w:t>
      </w:r>
      <w:r w:rsidRPr="5E48DE07">
        <w:rPr>
          <w:rStyle w:val="normaltextrun"/>
          <w:lang w:eastAsia="en-GB"/>
        </w:rPr>
        <w:t>efficiently</w:t>
      </w:r>
      <w:r w:rsidRPr="00F14043">
        <w:rPr>
          <w:rStyle w:val="normaltextrun"/>
          <w:lang w:eastAsia="en-GB"/>
        </w:rPr>
        <w:t xml:space="preserve"> by tracking progress, notifying relevant parties, </w:t>
      </w:r>
      <w:r w:rsidR="39DA3310" w:rsidRPr="6E1B446B">
        <w:rPr>
          <w:rStyle w:val="normaltextrun"/>
          <w:lang w:eastAsia="en-GB"/>
        </w:rPr>
        <w:t xml:space="preserve">managing &amp; communicating hand-off's, </w:t>
      </w:r>
      <w:r w:rsidRPr="6E1B446B">
        <w:rPr>
          <w:rStyle w:val="normaltextrun"/>
          <w:lang w:eastAsia="en-GB"/>
        </w:rPr>
        <w:t>integrating</w:t>
      </w:r>
      <w:r w:rsidRPr="00F14043">
        <w:rPr>
          <w:rStyle w:val="normaltextrun"/>
          <w:lang w:eastAsia="en-GB"/>
        </w:rPr>
        <w:t xml:space="preserve"> tools, and clearly documenting outcomes for customers and HMRC. </w:t>
      </w:r>
    </w:p>
    <w:p w14:paraId="009EEF77" w14:textId="5606CA0F" w:rsidR="00F14043" w:rsidRPr="00F14043" w:rsidRDefault="00F14043" w:rsidP="00E66809">
      <w:pPr>
        <w:pStyle w:val="ListParagraph"/>
        <w:numPr>
          <w:ilvl w:val="0"/>
          <w:numId w:val="9"/>
        </w:numPr>
        <w:spacing w:after="60"/>
        <w:ind w:left="1843" w:hanging="425"/>
        <w:contextualSpacing w:val="0"/>
        <w:rPr>
          <w:rStyle w:val="normaltextrun"/>
          <w:lang w:eastAsia="en-GB"/>
        </w:rPr>
      </w:pPr>
      <w:r w:rsidRPr="00E66809">
        <w:rPr>
          <w:rStyle w:val="normaltextrun"/>
          <w:b/>
          <w:lang w:eastAsia="en-GB"/>
        </w:rPr>
        <w:lastRenderedPageBreak/>
        <w:t>Interaction</w:t>
      </w:r>
      <w:r w:rsidR="00C45782" w:rsidRPr="00E66809">
        <w:rPr>
          <w:rStyle w:val="normaltextrun"/>
          <w:b/>
          <w:lang w:eastAsia="en-GB"/>
        </w:rPr>
        <w:t xml:space="preserve">, Channel and Messaging Management </w:t>
      </w:r>
      <w:r w:rsidRPr="00E66809">
        <w:rPr>
          <w:rStyle w:val="normaltextrun"/>
          <w:b/>
          <w:lang w:eastAsia="en-GB"/>
        </w:rPr>
        <w:t>–</w:t>
      </w:r>
      <w:r w:rsidRPr="00F14043">
        <w:rPr>
          <w:rStyle w:val="normaltextrun"/>
          <w:lang w:eastAsia="en-GB"/>
        </w:rPr>
        <w:t xml:space="preserve"> Providing a variety of channels </w:t>
      </w:r>
      <w:r w:rsidR="006F63C3">
        <w:rPr>
          <w:rStyle w:val="normaltextrun"/>
          <w:lang w:eastAsia="en-GB"/>
        </w:rPr>
        <w:t xml:space="preserve">(e.g. email, </w:t>
      </w:r>
      <w:r w:rsidR="000C78EF">
        <w:rPr>
          <w:rStyle w:val="normaltextrun"/>
          <w:lang w:eastAsia="en-GB"/>
        </w:rPr>
        <w:t xml:space="preserve">app, portal) </w:t>
      </w:r>
      <w:r w:rsidRPr="00F14043">
        <w:rPr>
          <w:rStyle w:val="normaltextrun"/>
          <w:lang w:eastAsia="en-GB"/>
        </w:rPr>
        <w:t>for customer interaction with HMRC (such as through a self-serve customer-facing application) with the ability to personalise the customer journey for different customer segments and capture engagement across a variety of channels.</w:t>
      </w:r>
    </w:p>
    <w:p w14:paraId="1FE5D4DD" w14:textId="6A118DEF" w:rsidR="00F14043" w:rsidRPr="00554AE3" w:rsidRDefault="00F14043" w:rsidP="00E66809">
      <w:pPr>
        <w:pStyle w:val="ListParagraph"/>
        <w:numPr>
          <w:ilvl w:val="0"/>
          <w:numId w:val="9"/>
        </w:numPr>
        <w:spacing w:after="60"/>
        <w:ind w:left="1843" w:hanging="425"/>
        <w:rPr>
          <w:rStyle w:val="normaltextrun"/>
          <w:lang w:eastAsia="en-GB"/>
        </w:rPr>
      </w:pPr>
      <w:r w:rsidRPr="00E66809">
        <w:rPr>
          <w:rStyle w:val="normaltextrun"/>
          <w:b/>
          <w:lang w:eastAsia="en-GB"/>
        </w:rPr>
        <w:t>AI</w:t>
      </w:r>
      <w:r w:rsidR="00C45782" w:rsidRPr="00E66809">
        <w:rPr>
          <w:rStyle w:val="normaltextrun"/>
          <w:b/>
          <w:lang w:eastAsia="en-GB"/>
        </w:rPr>
        <w:t xml:space="preserve"> – </w:t>
      </w:r>
      <w:r w:rsidRPr="00F14043" w:rsidDel="00C45782">
        <w:rPr>
          <w:rStyle w:val="normaltextrun"/>
          <w:lang w:eastAsia="en-GB"/>
        </w:rPr>
        <w:t>T</w:t>
      </w:r>
      <w:r w:rsidRPr="00F14043">
        <w:rPr>
          <w:rStyle w:val="normaltextrun"/>
          <w:lang w:eastAsia="en-GB"/>
        </w:rPr>
        <w:t xml:space="preserve">he use of predictive and generative artificial </w:t>
      </w:r>
      <w:r w:rsidR="00CC7CD3">
        <w:rPr>
          <w:rStyle w:val="normaltextrun"/>
          <w:lang w:eastAsia="en-GB"/>
        </w:rPr>
        <w:t xml:space="preserve">and agentic </w:t>
      </w:r>
      <w:r w:rsidRPr="00F14043">
        <w:rPr>
          <w:rStyle w:val="normaltextrun"/>
          <w:lang w:eastAsia="en-GB"/>
        </w:rPr>
        <w:t xml:space="preserve">intelligence to enhance HMRC’s internal processes and service offered to customers by providing support in areas such as routing suggestions, real-time assistance, case prioritisation, knowledge base article recommendations, next best action suggestions, customer needs analysis and </w:t>
      </w:r>
      <w:r w:rsidRPr="00554AE3">
        <w:rPr>
          <w:rStyle w:val="normaltextrun"/>
          <w:lang w:eastAsia="en-GB"/>
        </w:rPr>
        <w:t xml:space="preserve">reporting and analytics. </w:t>
      </w:r>
    </w:p>
    <w:p w14:paraId="0904AAC4" w14:textId="06FEF08C" w:rsidR="00F2453B" w:rsidRPr="00F2453B" w:rsidRDefault="00F14043" w:rsidP="00E90C67">
      <w:pPr>
        <w:pStyle w:val="ListParagraph"/>
        <w:numPr>
          <w:ilvl w:val="0"/>
          <w:numId w:val="9"/>
        </w:numPr>
        <w:spacing w:after="60"/>
        <w:ind w:left="1843" w:hanging="425"/>
        <w:rPr>
          <w:rStyle w:val="normaltextrun"/>
          <w:b/>
          <w:lang w:eastAsia="en-GB"/>
        </w:rPr>
      </w:pPr>
      <w:r w:rsidRPr="00E66809">
        <w:rPr>
          <w:rStyle w:val="normaltextrun"/>
          <w:b/>
          <w:bCs/>
          <w:lang w:eastAsia="en-GB"/>
        </w:rPr>
        <w:t>Insights</w:t>
      </w:r>
      <w:r w:rsidR="00237B4E" w:rsidRPr="00E66809">
        <w:rPr>
          <w:rStyle w:val="normaltextrun"/>
          <w:b/>
          <w:bCs/>
          <w:lang w:eastAsia="en-GB"/>
        </w:rPr>
        <w:t xml:space="preserve"> –</w:t>
      </w:r>
      <w:r w:rsidR="00237B4E">
        <w:rPr>
          <w:rStyle w:val="normaltextrun"/>
          <w:lang w:eastAsia="en-GB"/>
        </w:rPr>
        <w:t xml:space="preserve"> </w:t>
      </w:r>
      <w:r w:rsidRPr="00554AE3">
        <w:rPr>
          <w:rStyle w:val="normaltextrun"/>
          <w:lang w:eastAsia="en-GB"/>
        </w:rPr>
        <w:t xml:space="preserve">The ability to provide a holistic view of customer journeys to identify engagement, prevent fraud, and </w:t>
      </w:r>
      <w:r w:rsidRPr="00F2453B">
        <w:rPr>
          <w:rStyle w:val="normaltextrun"/>
          <w:lang w:eastAsia="en-GB"/>
        </w:rPr>
        <w:t>improve services by recognizing drop-off points and bad interactions.</w:t>
      </w:r>
    </w:p>
    <w:p w14:paraId="36FD95C1" w14:textId="77777777" w:rsidR="009B19E1" w:rsidRPr="009B19E1" w:rsidRDefault="00FE4336" w:rsidP="00E90C67">
      <w:pPr>
        <w:pStyle w:val="ListParagraph"/>
        <w:numPr>
          <w:ilvl w:val="0"/>
          <w:numId w:val="9"/>
        </w:numPr>
        <w:spacing w:after="60"/>
        <w:ind w:left="1843" w:hanging="425"/>
        <w:rPr>
          <w:color w:val="000000" w:themeColor="text1"/>
          <w:lang w:eastAsia="en-GB"/>
        </w:rPr>
      </w:pPr>
      <w:r w:rsidRPr="00F2453B">
        <w:rPr>
          <w:rStyle w:val="normaltextrun"/>
          <w:b/>
          <w:bCs/>
          <w:lang w:eastAsia="en-GB"/>
        </w:rPr>
        <w:t>Reporting</w:t>
      </w:r>
      <w:r w:rsidRPr="00F2453B">
        <w:rPr>
          <w:rStyle w:val="normaltextrun"/>
          <w:b/>
          <w:lang w:eastAsia="en-GB"/>
        </w:rPr>
        <w:t xml:space="preserve"> &amp; Intelligence –</w:t>
      </w:r>
      <w:r w:rsidRPr="00F2453B">
        <w:rPr>
          <w:rStyle w:val="normaltextrun"/>
          <w:lang w:eastAsia="en-GB"/>
        </w:rPr>
        <w:t xml:space="preserve"> </w:t>
      </w:r>
      <w:r w:rsidRPr="00F2453B">
        <w:t>The ability to undertake real-time evaluation of all aspects of HMRC's performance related to Customer Relationship Management, reporting for internal and external purposes to provide insights on the voice of the customer and to improve overall performance of HMRC</w:t>
      </w:r>
    </w:p>
    <w:p w14:paraId="6520770B" w14:textId="60E62D4C" w:rsidR="00FE4336" w:rsidRPr="00554AE3" w:rsidRDefault="0046232C" w:rsidP="00E66809">
      <w:pPr>
        <w:spacing w:after="60"/>
        <w:rPr>
          <w:rStyle w:val="normaltextrun"/>
          <w:lang w:eastAsia="en-GB"/>
        </w:rPr>
      </w:pPr>
      <w:r>
        <w:rPr>
          <w:rStyle w:val="normaltextrun"/>
          <w:lang w:eastAsia="en-GB"/>
        </w:rPr>
        <w:t>5.2</w:t>
      </w:r>
      <w:r w:rsidR="00AC7841">
        <w:rPr>
          <w:rStyle w:val="normaltextrun"/>
          <w:lang w:eastAsia="en-GB"/>
        </w:rPr>
        <w:t xml:space="preserve">b </w:t>
      </w:r>
      <w:r>
        <w:rPr>
          <w:rStyle w:val="normaltextrun"/>
          <w:lang w:eastAsia="en-GB"/>
        </w:rPr>
        <w:t xml:space="preserve">Scope aligned to </w:t>
      </w:r>
      <w:r w:rsidR="002354A5">
        <w:rPr>
          <w:rStyle w:val="normaltextrun"/>
          <w:lang w:eastAsia="en-GB"/>
        </w:rPr>
        <w:t>First</w:t>
      </w:r>
      <w:r w:rsidR="007C16DD">
        <w:rPr>
          <w:rStyle w:val="normaltextrun"/>
          <w:lang w:eastAsia="en-GB"/>
        </w:rPr>
        <w:t xml:space="preserve"> or </w:t>
      </w:r>
      <w:r w:rsidR="002354A5">
        <w:rPr>
          <w:rStyle w:val="normaltextrun"/>
          <w:lang w:eastAsia="en-GB"/>
        </w:rPr>
        <w:t>Third-Party capabilities</w:t>
      </w:r>
      <w:r w:rsidR="00AC7841">
        <w:rPr>
          <w:rStyle w:val="normaltextrun"/>
          <w:lang w:eastAsia="en-GB"/>
        </w:rPr>
        <w:t xml:space="preserve"> outlined in </w:t>
      </w:r>
      <w:r w:rsidR="006F4AE7">
        <w:rPr>
          <w:rStyle w:val="normaltextrun"/>
          <w:lang w:eastAsia="en-GB"/>
        </w:rPr>
        <w:t xml:space="preserve">Question </w:t>
      </w:r>
      <w:r w:rsidR="00AC7841" w:rsidRPr="00F2453B">
        <w:rPr>
          <w:rStyle w:val="normaltextrun"/>
          <w:lang w:eastAsia="en-GB"/>
        </w:rPr>
        <w:t>3.7b</w:t>
      </w:r>
      <w:r w:rsidR="006F4AE7">
        <w:rPr>
          <w:rStyle w:val="normaltextrun"/>
          <w:lang w:eastAsia="en-GB"/>
        </w:rPr>
        <w:t xml:space="preserve"> of the PSQ.</w:t>
      </w:r>
    </w:p>
    <w:p w14:paraId="0CE802B7" w14:textId="565CDB84" w:rsidR="00CC4739" w:rsidRDefault="00CC4739" w:rsidP="00CC4739">
      <w:pPr>
        <w:pStyle w:val="ListParagraph"/>
        <w:numPr>
          <w:ilvl w:val="0"/>
          <w:numId w:val="9"/>
        </w:numPr>
        <w:spacing w:after="60"/>
        <w:ind w:left="1843" w:hanging="425"/>
        <w:rPr>
          <w:rStyle w:val="normaltextrun"/>
          <w:lang w:eastAsia="en-GB"/>
        </w:rPr>
      </w:pPr>
      <w:r w:rsidRPr="006031E2">
        <w:rPr>
          <w:rStyle w:val="normaltextrun"/>
          <w:b/>
          <w:bCs/>
          <w:lang w:eastAsia="en-GB"/>
        </w:rPr>
        <w:t xml:space="preserve">Identity, Verification &amp; </w:t>
      </w:r>
      <w:r w:rsidR="00745D45">
        <w:rPr>
          <w:rStyle w:val="normaltextrun"/>
          <w:b/>
          <w:bCs/>
          <w:lang w:eastAsia="en-GB"/>
        </w:rPr>
        <w:t>Authentication</w:t>
      </w:r>
      <w:r w:rsidRPr="00F2453B">
        <w:rPr>
          <w:rStyle w:val="normaltextrun"/>
          <w:b/>
          <w:lang w:eastAsia="en-GB"/>
        </w:rPr>
        <w:t>*</w:t>
      </w:r>
      <w:r w:rsidRPr="006031E2">
        <w:rPr>
          <w:rStyle w:val="normaltextrun"/>
          <w:b/>
          <w:bCs/>
          <w:lang w:eastAsia="en-GB"/>
        </w:rPr>
        <w:t xml:space="preserve"> –</w:t>
      </w:r>
      <w:r w:rsidRPr="00554AE3">
        <w:rPr>
          <w:rStyle w:val="normaltextrun"/>
          <w:lang w:eastAsia="en-GB"/>
        </w:rPr>
        <w:t xml:space="preserve"> The identification, verification, and authentication of a party (customer or intermediary, third party) including ability to risk assess and calculate confidence score, detect and prevent fraud, alter customer journeys in real-time and store and manage threat intelligence.</w:t>
      </w:r>
    </w:p>
    <w:p w14:paraId="25CD715C" w14:textId="269ED370" w:rsidR="00CC4739" w:rsidRDefault="00CC4739" w:rsidP="00CC4739">
      <w:pPr>
        <w:pStyle w:val="ListParagraph"/>
        <w:numPr>
          <w:ilvl w:val="0"/>
          <w:numId w:val="9"/>
        </w:numPr>
        <w:spacing w:after="60"/>
        <w:ind w:left="1843" w:hanging="425"/>
        <w:contextualSpacing w:val="0"/>
        <w:rPr>
          <w:rStyle w:val="normaltextrun"/>
          <w:lang w:eastAsia="en-GB"/>
        </w:rPr>
      </w:pPr>
      <w:r w:rsidRPr="006031E2">
        <w:rPr>
          <w:rStyle w:val="normaltextrun"/>
          <w:b/>
          <w:lang w:eastAsia="en-GB"/>
        </w:rPr>
        <w:t>Secure Digital Exchange Communications</w:t>
      </w:r>
      <w:r w:rsidR="005B1830">
        <w:rPr>
          <w:rStyle w:val="normaltextrun"/>
          <w:b/>
          <w:lang w:eastAsia="en-GB"/>
        </w:rPr>
        <w:t xml:space="preserve"> (SDEC)</w:t>
      </w:r>
      <w:r w:rsidRPr="00F2453B">
        <w:rPr>
          <w:rStyle w:val="normaltextrun"/>
          <w:b/>
          <w:lang w:eastAsia="en-GB"/>
        </w:rPr>
        <w:t>*</w:t>
      </w:r>
      <w:r w:rsidRPr="006031E2">
        <w:rPr>
          <w:rStyle w:val="normaltextrun"/>
          <w:b/>
          <w:lang w:eastAsia="en-GB"/>
        </w:rPr>
        <w:t xml:space="preserve"> –</w:t>
      </w:r>
      <w:r w:rsidRPr="00554AE3">
        <w:rPr>
          <w:rStyle w:val="normaltextrun"/>
          <w:lang w:eastAsia="en-GB"/>
        </w:rPr>
        <w:t xml:space="preserve"> Enabling integration with various systems for secure communications, file management, harmful content actions, and automated summaries, supporting multiway interactions and compliance with HMRC regulations</w:t>
      </w:r>
      <w:r>
        <w:rPr>
          <w:rStyle w:val="normaltextrun"/>
          <w:lang w:eastAsia="en-GB"/>
        </w:rPr>
        <w:t>.</w:t>
      </w:r>
    </w:p>
    <w:p w14:paraId="08FAA016" w14:textId="497EC63A" w:rsidR="00CC4739" w:rsidRPr="00554AE3" w:rsidRDefault="00CC4739" w:rsidP="00E66809">
      <w:pPr>
        <w:pStyle w:val="ListParagraph"/>
        <w:numPr>
          <w:ilvl w:val="0"/>
          <w:numId w:val="9"/>
        </w:numPr>
        <w:spacing w:after="60"/>
        <w:ind w:left="1843" w:hanging="425"/>
        <w:rPr>
          <w:rStyle w:val="normaltextrun"/>
          <w:lang w:eastAsia="en-GB"/>
        </w:rPr>
      </w:pPr>
      <w:r w:rsidRPr="006031E2">
        <w:rPr>
          <w:rStyle w:val="normaltextrun"/>
          <w:b/>
          <w:lang w:eastAsia="en-GB"/>
        </w:rPr>
        <w:t>Fraud</w:t>
      </w:r>
      <w:r w:rsidRPr="00F2453B">
        <w:rPr>
          <w:rStyle w:val="normaltextrun"/>
          <w:b/>
          <w:lang w:eastAsia="en-GB"/>
        </w:rPr>
        <w:t>*</w:t>
      </w:r>
      <w:r w:rsidRPr="006031E2">
        <w:rPr>
          <w:rStyle w:val="normaltextrun"/>
          <w:b/>
          <w:bCs/>
          <w:lang w:eastAsia="en-GB"/>
        </w:rPr>
        <w:t xml:space="preserve"> –</w:t>
      </w:r>
      <w:r>
        <w:rPr>
          <w:rStyle w:val="normaltextrun"/>
          <w:lang w:eastAsia="en-GB"/>
        </w:rPr>
        <w:t xml:space="preserve"> </w:t>
      </w:r>
      <w:r w:rsidRPr="00554AE3">
        <w:rPr>
          <w:rStyle w:val="normaltextrun"/>
          <w:lang w:eastAsia="en-GB"/>
        </w:rPr>
        <w:t>The ability to develop and implement effective fraud prevention strategies, controls, and procedures to prevent, detect, and respond to fraudulent activities.​</w:t>
      </w:r>
    </w:p>
    <w:p w14:paraId="7220C753" w14:textId="48151D55" w:rsidR="00F14043" w:rsidRDefault="00F14043" w:rsidP="006C61C9">
      <w:pPr>
        <w:pStyle w:val="ListParagraph"/>
        <w:numPr>
          <w:ilvl w:val="0"/>
          <w:numId w:val="9"/>
        </w:numPr>
        <w:spacing w:after="60"/>
        <w:ind w:left="1843" w:hanging="425"/>
        <w:rPr>
          <w:rStyle w:val="normaltextrun"/>
          <w:lang w:eastAsia="en-GB"/>
        </w:rPr>
      </w:pPr>
      <w:r w:rsidRPr="00E66809">
        <w:rPr>
          <w:rStyle w:val="normaltextrun"/>
          <w:b/>
          <w:lang w:eastAsia="en-GB"/>
        </w:rPr>
        <w:t xml:space="preserve">Data &amp; Integration </w:t>
      </w:r>
      <w:r w:rsidRPr="00E66809">
        <w:rPr>
          <w:rStyle w:val="normaltextrun"/>
          <w:b/>
          <w:bCs/>
          <w:lang w:eastAsia="en-GB"/>
        </w:rPr>
        <w:t>Managemen</w:t>
      </w:r>
      <w:r w:rsidR="00237B4E" w:rsidRPr="00E66809">
        <w:rPr>
          <w:rStyle w:val="normaltextrun"/>
          <w:b/>
          <w:bCs/>
          <w:lang w:eastAsia="en-GB"/>
        </w:rPr>
        <w:t>t</w:t>
      </w:r>
      <w:r w:rsidRPr="00E66809">
        <w:rPr>
          <w:rStyle w:val="normaltextrun"/>
          <w:b/>
          <w:lang w:eastAsia="en-GB"/>
        </w:rPr>
        <w:t xml:space="preserve"> –</w:t>
      </w:r>
      <w:r w:rsidRPr="00554AE3">
        <w:rPr>
          <w:rStyle w:val="normaltextrun"/>
          <w:lang w:eastAsia="en-GB"/>
        </w:rPr>
        <w:t xml:space="preserve"> The ability to integrate </w:t>
      </w:r>
      <w:r w:rsidR="0105143F" w:rsidRPr="00554AE3">
        <w:rPr>
          <w:rStyle w:val="normaltextrun"/>
          <w:lang w:eastAsia="en-GB"/>
        </w:rPr>
        <w:t>(consume)</w:t>
      </w:r>
      <w:r w:rsidRPr="00554AE3">
        <w:rPr>
          <w:rStyle w:val="normaltextrun"/>
          <w:lang w:eastAsia="en-GB"/>
        </w:rPr>
        <w:t xml:space="preserve"> and analyse data from multiple sources, manage access, authenticate users, and enable third-party integration for HMRC, ensuring secure, accurate, and actionable insights </w:t>
      </w:r>
    </w:p>
    <w:p w14:paraId="6AA54AAE" w14:textId="17E51570" w:rsidR="00425EFA" w:rsidRPr="00554AE3" w:rsidRDefault="00425EFA" w:rsidP="006C61C9">
      <w:pPr>
        <w:pStyle w:val="ListParagraph"/>
        <w:numPr>
          <w:ilvl w:val="0"/>
          <w:numId w:val="9"/>
        </w:numPr>
        <w:spacing w:after="60"/>
        <w:ind w:left="1843" w:hanging="425"/>
        <w:rPr>
          <w:rStyle w:val="normaltextrun"/>
          <w:lang w:eastAsia="en-GB"/>
        </w:rPr>
      </w:pPr>
      <w:r w:rsidRPr="006031E2">
        <w:rPr>
          <w:rStyle w:val="normaltextrun"/>
          <w:b/>
          <w:lang w:eastAsia="en-GB"/>
        </w:rPr>
        <w:t>Operational Management –</w:t>
      </w:r>
      <w:r w:rsidRPr="00F14043">
        <w:rPr>
          <w:rStyle w:val="normaltextrun"/>
          <w:lang w:eastAsia="en-GB"/>
        </w:rPr>
        <w:t xml:space="preserve"> The real-time reporting of all aspects of HMRC’s performance related to Customer Relationship Management. This capability also includes the management of internal and external knowledge to meet HMRC’s strategic needs.</w:t>
      </w:r>
    </w:p>
    <w:p w14:paraId="608E0C89" w14:textId="2BE156C0" w:rsidR="00237B4E" w:rsidRPr="001F270F" w:rsidRDefault="00237B4E" w:rsidP="00237B4E">
      <w:pPr>
        <w:pStyle w:val="ListParagraph"/>
        <w:numPr>
          <w:ilvl w:val="0"/>
          <w:numId w:val="9"/>
        </w:numPr>
        <w:spacing w:after="60"/>
        <w:ind w:left="1843" w:hanging="425"/>
        <w:rPr>
          <w:rStyle w:val="normaltextrun"/>
        </w:rPr>
      </w:pPr>
      <w:r w:rsidRPr="00E66809">
        <w:rPr>
          <w:rStyle w:val="normaltextrun"/>
          <w:b/>
          <w:lang w:eastAsia="en-GB"/>
        </w:rPr>
        <w:t>Knowledge Management –</w:t>
      </w:r>
      <w:r w:rsidRPr="00E66809">
        <w:rPr>
          <w:rStyle w:val="normaltextrun"/>
          <w:lang w:eastAsia="en-GB"/>
        </w:rPr>
        <w:t xml:space="preserve"> </w:t>
      </w:r>
      <w:r w:rsidR="00183D27" w:rsidRPr="00F2453B">
        <w:t>The ability to maximise the benefit of internal and external knowledge for HMRC to meet its strategic objectives and deliver value for money as a public sector organisation.</w:t>
      </w:r>
      <w:r w:rsidR="00183D27" w:rsidRPr="00F2453B">
        <w:rPr>
          <w:rStyle w:val="normaltextrun"/>
          <w:lang w:eastAsia="en-GB"/>
        </w:rPr>
        <w:t xml:space="preserve"> </w:t>
      </w:r>
    </w:p>
    <w:p w14:paraId="725E0505" w14:textId="6B92C4A1" w:rsidR="00764E27" w:rsidRPr="007C3347" w:rsidRDefault="007C3347" w:rsidP="00237B4E">
      <w:pPr>
        <w:pStyle w:val="ListParagraph"/>
        <w:numPr>
          <w:ilvl w:val="0"/>
          <w:numId w:val="9"/>
        </w:numPr>
        <w:spacing w:after="60"/>
        <w:ind w:left="1843" w:hanging="425"/>
        <w:rPr>
          <w:rStyle w:val="normaltextrun"/>
          <w:b/>
          <w:lang w:eastAsia="en-GB"/>
        </w:rPr>
      </w:pPr>
      <w:r w:rsidRPr="007C3347">
        <w:rPr>
          <w:rStyle w:val="normaltextrun"/>
          <w:b/>
          <w:bCs/>
          <w:lang w:eastAsia="en-GB"/>
        </w:rPr>
        <w:t>Non</w:t>
      </w:r>
      <w:r>
        <w:rPr>
          <w:rStyle w:val="normaltextrun"/>
          <w:b/>
          <w:bCs/>
          <w:lang w:eastAsia="en-GB"/>
        </w:rPr>
        <w:t>-</w:t>
      </w:r>
      <w:r w:rsidRPr="007C3347">
        <w:rPr>
          <w:rStyle w:val="normaltextrun"/>
          <w:b/>
          <w:bCs/>
          <w:lang w:eastAsia="en-GB"/>
        </w:rPr>
        <w:t>Compliance Management</w:t>
      </w:r>
      <w:r>
        <w:rPr>
          <w:rStyle w:val="normaltextrun"/>
          <w:b/>
          <w:bCs/>
          <w:lang w:eastAsia="en-GB"/>
        </w:rPr>
        <w:t xml:space="preserve"> - </w:t>
      </w:r>
      <w:r w:rsidRPr="00AE0808">
        <w:rPr>
          <w:lang w:eastAsia="en-GB"/>
        </w:rPr>
        <w:t>The ability to apply a range of measures to limit the opportunity for non-compliance including processes, systems and customer services to make it harder for customers who choose to be deliberately non-compliant</w:t>
      </w:r>
      <w:r w:rsidR="00AE0808" w:rsidRPr="00AE0808">
        <w:rPr>
          <w:lang w:eastAsia="en-GB"/>
        </w:rPr>
        <w:t xml:space="preserve">. The ability to respond to a compliance risk that has been identified including </w:t>
      </w:r>
      <w:r w:rsidR="00AE0808" w:rsidRPr="00AE0808">
        <w:rPr>
          <w:lang w:eastAsia="en-GB"/>
        </w:rPr>
        <w:lastRenderedPageBreak/>
        <w:t>assessment and recovery of the correct liability payable to HMRC, application of penalties, sanctions and other measures determined under relevant regulations as appropriate</w:t>
      </w:r>
    </w:p>
    <w:p w14:paraId="6294846E" w14:textId="77777777" w:rsidR="00237B4E" w:rsidRDefault="00237B4E" w:rsidP="00237B4E">
      <w:pPr>
        <w:spacing w:after="60"/>
        <w:rPr>
          <w:rStyle w:val="normaltextrun"/>
          <w:lang w:eastAsia="en-GB"/>
        </w:rPr>
      </w:pPr>
    </w:p>
    <w:p w14:paraId="016293C7" w14:textId="26D32EF9" w:rsidR="00C66156" w:rsidRPr="004C0062" w:rsidRDefault="00C66156" w:rsidP="00AD19D7">
      <w:pPr>
        <w:pStyle w:val="Annex1header1"/>
        <w:numPr>
          <w:ilvl w:val="0"/>
          <w:numId w:val="63"/>
        </w:numPr>
        <w:spacing w:after="120"/>
      </w:pPr>
      <w:r w:rsidRPr="004C0062">
        <w:t xml:space="preserve">High Level Business Outcomes </w:t>
      </w:r>
    </w:p>
    <w:p w14:paraId="0792FBCB" w14:textId="77777777" w:rsidR="002C12E3" w:rsidRPr="002C12E3" w:rsidRDefault="002C12E3" w:rsidP="00C06284">
      <w:pPr>
        <w:pStyle w:val="ListParagraph"/>
        <w:numPr>
          <w:ilvl w:val="0"/>
          <w:numId w:val="29"/>
        </w:numPr>
        <w:spacing w:afterLines="160" w:after="384"/>
        <w:contextualSpacing w:val="0"/>
        <w:rPr>
          <w:rStyle w:val="normaltextrun"/>
          <w:rFonts w:cs="Arial"/>
          <w:bCs/>
          <w:vanish/>
        </w:rPr>
      </w:pPr>
    </w:p>
    <w:p w14:paraId="47EE4D72" w14:textId="15E90878" w:rsidR="00447D6A" w:rsidRPr="002C12E3" w:rsidRDefault="00E547AE" w:rsidP="00C06284">
      <w:pPr>
        <w:pStyle w:val="Annex1text2"/>
        <w:numPr>
          <w:ilvl w:val="1"/>
          <w:numId w:val="29"/>
        </w:numPr>
        <w:spacing w:afterLines="160" w:after="384"/>
        <w:jc w:val="both"/>
        <w:rPr>
          <w:rStyle w:val="normaltextrun"/>
          <w:b w:val="0"/>
        </w:rPr>
      </w:pPr>
      <w:r w:rsidRPr="002C12E3">
        <w:rPr>
          <w:rStyle w:val="normaltextrun"/>
          <w:b w:val="0"/>
        </w:rPr>
        <w:t xml:space="preserve">The Enterprise Customer Relationship Management programme is seeking to achieve the following high level business outcomes: </w:t>
      </w:r>
    </w:p>
    <w:p w14:paraId="7C0F2EC5" w14:textId="6F80730B" w:rsidR="00A43D88" w:rsidRPr="00A43D88" w:rsidRDefault="00A43D88" w:rsidP="00C06284">
      <w:pPr>
        <w:numPr>
          <w:ilvl w:val="0"/>
          <w:numId w:val="22"/>
        </w:numPr>
        <w:tabs>
          <w:tab w:val="left" w:pos="720"/>
        </w:tabs>
        <w:jc w:val="both"/>
        <w:rPr>
          <w:lang w:eastAsia="en-GB"/>
        </w:rPr>
      </w:pPr>
      <w:r w:rsidRPr="00A43D88">
        <w:rPr>
          <w:b/>
          <w:bCs/>
          <w:lang w:eastAsia="en-GB"/>
        </w:rPr>
        <w:t xml:space="preserve">Enhanced customer experience: </w:t>
      </w:r>
      <w:r w:rsidRPr="00A43D88">
        <w:rPr>
          <w:lang w:eastAsia="en-GB"/>
        </w:rPr>
        <w:t>Deliver significantly improved customer interactions through a 360-degree single view of customers and intermediaries (journey, contact and case), ensuring a secure, accurate, compliant and responsive service, using advanced analytics</w:t>
      </w:r>
      <w:r w:rsidR="00AF268B">
        <w:rPr>
          <w:lang w:eastAsia="en-GB"/>
        </w:rPr>
        <w:t>, business rules automation</w:t>
      </w:r>
      <w:r w:rsidRPr="00A43D88">
        <w:rPr>
          <w:lang w:eastAsia="en-GB"/>
        </w:rPr>
        <w:t xml:space="preserve"> and Artificial Intelligence to eradicate manual tasks, capture customer insight and minimise risk.</w:t>
      </w:r>
      <w:r w:rsidRPr="00A43D88">
        <w:rPr>
          <w:b/>
          <w:bCs/>
          <w:lang w:eastAsia="en-GB"/>
        </w:rPr>
        <w:t> </w:t>
      </w:r>
    </w:p>
    <w:p w14:paraId="6D8230E7" w14:textId="4989C38E" w:rsidR="00A43D88" w:rsidRPr="00A43D88" w:rsidRDefault="00A43D88" w:rsidP="00C06284">
      <w:pPr>
        <w:numPr>
          <w:ilvl w:val="0"/>
          <w:numId w:val="22"/>
        </w:numPr>
        <w:tabs>
          <w:tab w:val="left" w:pos="720"/>
        </w:tabs>
        <w:jc w:val="both"/>
        <w:rPr>
          <w:lang w:eastAsia="en-GB"/>
        </w:rPr>
      </w:pPr>
      <w:r w:rsidRPr="00A43D88">
        <w:rPr>
          <w:b/>
          <w:bCs/>
          <w:lang w:eastAsia="en-GB"/>
        </w:rPr>
        <w:t>Digitise services leading to full digital transformation</w:t>
      </w:r>
      <w:r w:rsidRPr="00A43D88">
        <w:rPr>
          <w:lang w:eastAsia="en-GB"/>
        </w:rPr>
        <w:t xml:space="preserve">: Accelerate HMRC’s digital-first ambition by integrating advanced CRM capabilities across HMRC’s range of regimes and services to support the enhanced, digitised customer </w:t>
      </w:r>
      <w:r w:rsidRPr="51CD63CC">
        <w:rPr>
          <w:lang w:eastAsia="en-GB"/>
        </w:rPr>
        <w:t>experience</w:t>
      </w:r>
      <w:r w:rsidRPr="00A43D88">
        <w:rPr>
          <w:lang w:eastAsia="en-GB"/>
        </w:rPr>
        <w:t xml:space="preserve"> that is seamless and automated across multiple digital channels and tracked in a secure way with seamless integrations that update in real time</w:t>
      </w:r>
      <w:r w:rsidR="7A2F2883" w:rsidRPr="51CD63CC">
        <w:rPr>
          <w:lang w:eastAsia="en-GB"/>
        </w:rPr>
        <w:t>.</w:t>
      </w:r>
    </w:p>
    <w:p w14:paraId="369AF924" w14:textId="31804F9B" w:rsidR="00A43D88" w:rsidRPr="00A43D88" w:rsidRDefault="00A43D88" w:rsidP="00C06284">
      <w:pPr>
        <w:numPr>
          <w:ilvl w:val="0"/>
          <w:numId w:val="22"/>
        </w:numPr>
        <w:tabs>
          <w:tab w:val="left" w:pos="720"/>
        </w:tabs>
        <w:jc w:val="both"/>
        <w:rPr>
          <w:lang w:eastAsia="en-GB"/>
        </w:rPr>
      </w:pPr>
      <w:r w:rsidRPr="00A43D88">
        <w:rPr>
          <w:b/>
          <w:bCs/>
          <w:lang w:eastAsia="en-GB"/>
        </w:rPr>
        <w:t>Modernised technology infrastructure</w:t>
      </w:r>
      <w:r w:rsidRPr="00A43D88">
        <w:rPr>
          <w:lang w:eastAsia="en-GB"/>
        </w:rPr>
        <w:t>: Streamline and consolidate legacy systems into a unified solution that integrates with existing HMRC infrastructure and interoperability for future technology capabilities. This will not only enhance the customer experience but will allow HMRC to maintain comprehensive and complete customer records whilst improving the employee experience by increasing ease of use across systems and increasing resilience and stability</w:t>
      </w:r>
    </w:p>
    <w:p w14:paraId="7254B138" w14:textId="77777777" w:rsidR="00A43D88" w:rsidRPr="00A43D88" w:rsidRDefault="00A43D88" w:rsidP="00C06284">
      <w:pPr>
        <w:numPr>
          <w:ilvl w:val="0"/>
          <w:numId w:val="22"/>
        </w:numPr>
        <w:tabs>
          <w:tab w:val="left" w:pos="720"/>
        </w:tabs>
        <w:jc w:val="both"/>
        <w:rPr>
          <w:lang w:eastAsia="en-GB"/>
        </w:rPr>
      </w:pPr>
      <w:r w:rsidRPr="00A43D88">
        <w:rPr>
          <w:b/>
          <w:bCs/>
          <w:lang w:eastAsia="en-GB"/>
        </w:rPr>
        <w:t xml:space="preserve">Strengthened security: </w:t>
      </w:r>
      <w:r w:rsidRPr="00A43D88">
        <w:rPr>
          <w:lang w:eastAsia="en-GB"/>
        </w:rPr>
        <w:t>Strengthening security through a material uplift in HMRC's enterprise-wide identity, access management and fraud controls.</w:t>
      </w:r>
    </w:p>
    <w:p w14:paraId="361F94B3" w14:textId="77777777" w:rsidR="00A43D88" w:rsidRPr="00A43D88" w:rsidRDefault="00A43D88" w:rsidP="00C06284">
      <w:pPr>
        <w:numPr>
          <w:ilvl w:val="0"/>
          <w:numId w:val="22"/>
        </w:numPr>
        <w:tabs>
          <w:tab w:val="left" w:pos="720"/>
        </w:tabs>
        <w:jc w:val="both"/>
        <w:rPr>
          <w:lang w:eastAsia="en-GB"/>
        </w:rPr>
      </w:pPr>
      <w:r w:rsidRPr="00A43D88">
        <w:rPr>
          <w:b/>
          <w:bCs/>
          <w:lang w:eastAsia="en-GB"/>
        </w:rPr>
        <w:t>Scaling through flexibility</w:t>
      </w:r>
      <w:r w:rsidRPr="00A43D88">
        <w:rPr>
          <w:lang w:eastAsia="en-GB"/>
        </w:rPr>
        <w:t>: Provide an adaptable and scalable platform, facilitating rapid response to changing business requirements and policy developments, predominantly through low-code/no-code solutions.</w:t>
      </w:r>
    </w:p>
    <w:p w14:paraId="74986B78" w14:textId="222407DE" w:rsidR="00A43D88" w:rsidRPr="00A43D88" w:rsidRDefault="00A43D88" w:rsidP="00C06284">
      <w:pPr>
        <w:numPr>
          <w:ilvl w:val="0"/>
          <w:numId w:val="22"/>
        </w:numPr>
        <w:tabs>
          <w:tab w:val="left" w:pos="720"/>
        </w:tabs>
        <w:jc w:val="both"/>
        <w:rPr>
          <w:lang w:eastAsia="en-GB"/>
        </w:rPr>
      </w:pPr>
      <w:r w:rsidRPr="00A43D88">
        <w:rPr>
          <w:b/>
          <w:bCs/>
          <w:lang w:eastAsia="en-GB"/>
        </w:rPr>
        <w:t>Lasting innovation</w:t>
      </w:r>
      <w:r w:rsidRPr="00A43D88">
        <w:rPr>
          <w:lang w:eastAsia="en-GB"/>
        </w:rPr>
        <w:t xml:space="preserve">: Foster ongoing innovation by enabling continuous improvement and adaptability to </w:t>
      </w:r>
      <w:proofErr w:type="gramStart"/>
      <w:r w:rsidRPr="00A43D88">
        <w:rPr>
          <w:lang w:eastAsia="en-GB"/>
        </w:rPr>
        <w:t>emerging</w:t>
      </w:r>
      <w:proofErr w:type="gramEnd"/>
      <w:r w:rsidRPr="00A43D88">
        <w:rPr>
          <w:lang w:eastAsia="en-GB"/>
        </w:rPr>
        <w:t xml:space="preserve"> technological trends and regulatory requirements, aligning closely with wider HMRC strategies including IDV&amp;A and fraud prevention.</w:t>
      </w:r>
    </w:p>
    <w:p w14:paraId="165FCFA2" w14:textId="649020AE" w:rsidR="00A43D88" w:rsidRPr="00A43D88" w:rsidRDefault="00A43D88" w:rsidP="00C06284">
      <w:pPr>
        <w:numPr>
          <w:ilvl w:val="0"/>
          <w:numId w:val="22"/>
        </w:numPr>
        <w:tabs>
          <w:tab w:val="left" w:pos="720"/>
        </w:tabs>
        <w:jc w:val="both"/>
        <w:rPr>
          <w:lang w:eastAsia="en-GB"/>
        </w:rPr>
      </w:pPr>
      <w:r w:rsidRPr="00A43D88">
        <w:rPr>
          <w:b/>
          <w:bCs/>
          <w:lang w:eastAsia="en-GB"/>
        </w:rPr>
        <w:t>Single Customer Record &amp; Data Integrity</w:t>
      </w:r>
      <w:r w:rsidRPr="00A43D88">
        <w:rPr>
          <w:lang w:eastAsia="en-GB"/>
        </w:rPr>
        <w:t>: A standardised and consolidated customer record that ensures a single source of truth across all business entities. This includes the governance, structure, and storage of customer records to enable seamless access, reduce duplication, and enhance data accuracy. This foundation supports improved customer insights</w:t>
      </w:r>
      <w:r w:rsidR="600230F4" w:rsidRPr="2AEB2C68">
        <w:rPr>
          <w:lang w:eastAsia="en-GB"/>
        </w:rPr>
        <w:t>, management</w:t>
      </w:r>
      <w:r w:rsidRPr="00A43D88">
        <w:rPr>
          <w:lang w:eastAsia="en-GB"/>
        </w:rPr>
        <w:t xml:space="preserve"> and regulatory compliance</w:t>
      </w:r>
    </w:p>
    <w:p w14:paraId="74AD4933" w14:textId="660A01C9" w:rsidR="00A43D88" w:rsidRDefault="00A43D88" w:rsidP="00C06284">
      <w:pPr>
        <w:numPr>
          <w:ilvl w:val="0"/>
          <w:numId w:val="22"/>
        </w:numPr>
        <w:tabs>
          <w:tab w:val="left" w:pos="720"/>
        </w:tabs>
        <w:jc w:val="both"/>
        <w:rPr>
          <w:lang w:eastAsia="en-GB"/>
        </w:rPr>
      </w:pPr>
      <w:r w:rsidRPr="00A43D88">
        <w:rPr>
          <w:b/>
          <w:bCs/>
          <w:lang w:eastAsia="en-GB"/>
        </w:rPr>
        <w:lastRenderedPageBreak/>
        <w:t>Unified Employee &amp; Advisor Experience</w:t>
      </w:r>
      <w:r w:rsidRPr="00A43D88">
        <w:rPr>
          <w:lang w:eastAsia="en-GB"/>
        </w:rPr>
        <w:t xml:space="preserve">: Streamlined and integrated digital experience for employees and advisors, enabling them to access relevant customer data, tools, and insights through a single, cohesive interface. By removing silos and friction points, </w:t>
      </w:r>
      <w:r w:rsidR="00BE156A">
        <w:rPr>
          <w:lang w:eastAsia="en-GB"/>
        </w:rPr>
        <w:t xml:space="preserve">and developing AI &amp; </w:t>
      </w:r>
      <w:r w:rsidR="006A79E3">
        <w:rPr>
          <w:lang w:eastAsia="en-GB"/>
        </w:rPr>
        <w:t xml:space="preserve">automation capabilities </w:t>
      </w:r>
      <w:r w:rsidRPr="00A43D88">
        <w:rPr>
          <w:lang w:eastAsia="en-GB"/>
        </w:rPr>
        <w:t>this enhances efficiency, improves decision-making, and ultimately drives a more consistent experience</w:t>
      </w:r>
    </w:p>
    <w:p w14:paraId="41A3A461" w14:textId="77777777" w:rsidR="00A43D88" w:rsidRDefault="00A43D88" w:rsidP="00141681">
      <w:pPr>
        <w:pStyle w:val="Annex1header1"/>
        <w:numPr>
          <w:ilvl w:val="0"/>
          <w:numId w:val="0"/>
        </w:numPr>
        <w:spacing w:after="120"/>
        <w:ind w:left="357"/>
      </w:pPr>
    </w:p>
    <w:p w14:paraId="185E1727" w14:textId="75D9DA96" w:rsidR="004C242D" w:rsidRPr="004C0062" w:rsidRDefault="004C242D" w:rsidP="004C0062">
      <w:pPr>
        <w:pStyle w:val="Annex1header1"/>
        <w:spacing w:after="120"/>
        <w:ind w:left="357" w:hanging="357"/>
      </w:pPr>
      <w:r w:rsidRPr="004C0062">
        <w:t>Solution Design &amp; Software Selection</w:t>
      </w:r>
    </w:p>
    <w:p w14:paraId="375F69AC" w14:textId="77777777" w:rsidR="00EC66B1" w:rsidRPr="00EC66B1" w:rsidRDefault="00EC66B1" w:rsidP="00C06284">
      <w:pPr>
        <w:pStyle w:val="ListParagraph"/>
        <w:numPr>
          <w:ilvl w:val="0"/>
          <w:numId w:val="29"/>
        </w:numPr>
        <w:spacing w:afterLines="160" w:after="384"/>
        <w:contextualSpacing w:val="0"/>
        <w:rPr>
          <w:rStyle w:val="normaltextrun"/>
          <w:rFonts w:cs="Arial"/>
          <w:bCs/>
          <w:vanish/>
        </w:rPr>
      </w:pPr>
    </w:p>
    <w:p w14:paraId="7E17484D" w14:textId="2D85C656" w:rsidR="00686AB8" w:rsidRPr="002C12E3" w:rsidRDefault="00686AB8" w:rsidP="00C06284">
      <w:pPr>
        <w:pStyle w:val="Annex1text2"/>
        <w:numPr>
          <w:ilvl w:val="1"/>
          <w:numId w:val="29"/>
        </w:numPr>
        <w:spacing w:afterLines="160" w:after="384"/>
        <w:jc w:val="both"/>
        <w:rPr>
          <w:rStyle w:val="normaltextrun"/>
          <w:b w:val="0"/>
        </w:rPr>
      </w:pPr>
      <w:r w:rsidRPr="002C12E3">
        <w:rPr>
          <w:rStyle w:val="normaltextrun"/>
          <w:b w:val="0"/>
        </w:rPr>
        <w:t xml:space="preserve">HMRC are fundamentally replacing all customer engagement platforms at the same time as developing a new enterprise registration, identification, verification &amp; subscription service for over 40+ million individual, organisations &amp; </w:t>
      </w:r>
      <w:proofErr w:type="gramStart"/>
      <w:r w:rsidRPr="002C12E3">
        <w:rPr>
          <w:rStyle w:val="normaltextrun"/>
          <w:b w:val="0"/>
        </w:rPr>
        <w:t>intermediaries;</w:t>
      </w:r>
      <w:proofErr w:type="gramEnd"/>
      <w:r w:rsidRPr="002C12E3">
        <w:rPr>
          <w:rStyle w:val="normaltextrun"/>
          <w:b w:val="0"/>
        </w:rPr>
        <w:t xml:space="preserve"> plus developing new real-time fraud detection &amp; prevention capabilities supporting up-front compliance checks. We need to ensure we have the right enablers in place to strategic build-out and transform HMRC services.​ </w:t>
      </w:r>
      <w:r w:rsidR="0049688F">
        <w:rPr>
          <w:rStyle w:val="normaltextrun"/>
          <w:b w:val="0"/>
        </w:rPr>
        <w:t xml:space="preserve">The below diagram is a </w:t>
      </w:r>
      <w:proofErr w:type="gramStart"/>
      <w:r w:rsidR="0049688F">
        <w:rPr>
          <w:rStyle w:val="normaltextrun"/>
          <w:b w:val="0"/>
        </w:rPr>
        <w:t>high level</w:t>
      </w:r>
      <w:proofErr w:type="gramEnd"/>
      <w:r w:rsidR="0049688F">
        <w:rPr>
          <w:rStyle w:val="normaltextrun"/>
          <w:b w:val="0"/>
        </w:rPr>
        <w:t xml:space="preserve"> overview of our future state </w:t>
      </w:r>
      <w:r w:rsidR="00E40A1A">
        <w:rPr>
          <w:rStyle w:val="normaltextrun"/>
          <w:b w:val="0"/>
        </w:rPr>
        <w:t xml:space="preserve">Enterprise Event Driven Architecture, </w:t>
      </w:r>
      <w:r w:rsidR="00E27083">
        <w:rPr>
          <w:rStyle w:val="normaltextrun"/>
          <w:b w:val="0"/>
        </w:rPr>
        <w:t>outlining</w:t>
      </w:r>
      <w:r w:rsidR="00E40A1A">
        <w:rPr>
          <w:rStyle w:val="normaltextrun"/>
          <w:b w:val="0"/>
        </w:rPr>
        <w:t xml:space="preserve"> the services</w:t>
      </w:r>
      <w:r w:rsidR="003105EB">
        <w:rPr>
          <w:rStyle w:val="normaltextrun"/>
          <w:b w:val="0"/>
        </w:rPr>
        <w:t xml:space="preserve">, intelligence and integrations we will need to operate in real time and near real time. </w:t>
      </w:r>
    </w:p>
    <w:p w14:paraId="7AC5FBE9" w14:textId="7AA0E15B" w:rsidR="00A43D88" w:rsidRDefault="00B8545A" w:rsidP="004C242D">
      <w:pPr>
        <w:tabs>
          <w:tab w:val="left" w:pos="720"/>
        </w:tabs>
        <w:rPr>
          <w:lang w:eastAsia="en-GB"/>
        </w:rPr>
      </w:pPr>
      <w:r>
        <w:rPr>
          <w:noProof/>
        </w:rPr>
        <w:lastRenderedPageBreak/>
        <w:drawing>
          <wp:inline distT="0" distB="0" distL="0" distR="0" wp14:anchorId="08F26582" wp14:editId="2A444770">
            <wp:extent cx="8362082" cy="4746172"/>
            <wp:effectExtent l="0" t="0" r="1270" b="0"/>
            <wp:docPr id="419409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409722" name=""/>
                    <pic:cNvPicPr/>
                  </pic:nvPicPr>
                  <pic:blipFill rotWithShape="1">
                    <a:blip r:embed="rId31"/>
                    <a:srcRect t="2288"/>
                    <a:stretch/>
                  </pic:blipFill>
                  <pic:spPr bwMode="auto">
                    <a:xfrm>
                      <a:off x="0" y="0"/>
                      <a:ext cx="8363516" cy="4746986"/>
                    </a:xfrm>
                    <a:prstGeom prst="rect">
                      <a:avLst/>
                    </a:prstGeom>
                    <a:ln>
                      <a:noFill/>
                    </a:ln>
                    <a:extLst>
                      <a:ext uri="{53640926-AAD7-44D8-BBD7-CCE9431645EC}">
                        <a14:shadowObscured xmlns:a14="http://schemas.microsoft.com/office/drawing/2010/main"/>
                      </a:ext>
                    </a:extLst>
                  </pic:spPr>
                </pic:pic>
              </a:graphicData>
            </a:graphic>
          </wp:inline>
        </w:drawing>
      </w:r>
    </w:p>
    <w:p w14:paraId="741A37A3" w14:textId="77777777" w:rsidR="00EE5FEC" w:rsidRDefault="00EE5FEC" w:rsidP="00C66156">
      <w:pPr>
        <w:rPr>
          <w:rStyle w:val="normaltextrun"/>
          <w:lang w:eastAsia="en-GB"/>
        </w:rPr>
      </w:pPr>
    </w:p>
    <w:p w14:paraId="09BA5DBE" w14:textId="465E4E86" w:rsidR="00EE5FEC" w:rsidRPr="00E66809" w:rsidRDefault="00EE5FEC" w:rsidP="007726F1">
      <w:pPr>
        <w:jc w:val="both"/>
        <w:rPr>
          <w:rStyle w:val="normaltextrun"/>
          <w:rFonts w:cs="Arial"/>
        </w:rPr>
      </w:pPr>
      <w:r w:rsidRPr="00E66809">
        <w:rPr>
          <w:rStyle w:val="normaltextrun"/>
          <w:rFonts w:cs="Arial"/>
        </w:rPr>
        <w:t xml:space="preserve">This </w:t>
      </w:r>
      <w:r>
        <w:rPr>
          <w:rStyle w:val="normaltextrun"/>
          <w:rFonts w:cs="Arial"/>
        </w:rPr>
        <w:t>below ‘Future State Integration Architecture’</w:t>
      </w:r>
      <w:r w:rsidRPr="00E66809">
        <w:rPr>
          <w:rStyle w:val="normaltextrun"/>
          <w:rFonts w:cs="Arial"/>
        </w:rPr>
        <w:t xml:space="preserve"> outlines </w:t>
      </w:r>
      <w:r>
        <w:rPr>
          <w:rStyle w:val="normaltextrun"/>
          <w:rFonts w:cs="Arial"/>
        </w:rPr>
        <w:t>our</w:t>
      </w:r>
      <w:r w:rsidRPr="00E66809">
        <w:rPr>
          <w:rStyle w:val="normaltextrun"/>
          <w:rFonts w:cs="Arial"/>
        </w:rPr>
        <w:t xml:space="preserve"> vision for consolidating </w:t>
      </w:r>
      <w:r>
        <w:rPr>
          <w:rStyle w:val="normaltextrun"/>
          <w:rFonts w:cs="Arial"/>
        </w:rPr>
        <w:t>our</w:t>
      </w:r>
      <w:r w:rsidRPr="00E66809">
        <w:rPr>
          <w:rStyle w:val="normaltextrun"/>
          <w:rFonts w:cs="Arial"/>
        </w:rPr>
        <w:t xml:space="preserve"> multiple, disparate solutions into a unified ecosystem with CRM at the heart of how we engage with customers.</w:t>
      </w:r>
      <w:r w:rsidR="002368F2">
        <w:rPr>
          <w:rStyle w:val="normaltextrun"/>
          <w:rFonts w:cs="Arial"/>
        </w:rPr>
        <w:t xml:space="preserve"> </w:t>
      </w:r>
      <w:r w:rsidRPr="00E66809">
        <w:rPr>
          <w:rStyle w:val="normaltextrun"/>
          <w:rFonts w:cs="Arial"/>
        </w:rPr>
        <w:t>Currently, we operate multiple standalone solutions, including over 35 case management systems and 3 different campaign management ways of working. These operate in silos, leading to inefficiencies, inconsistent customer experiences, and high maintenance costs.</w:t>
      </w:r>
    </w:p>
    <w:p w14:paraId="1D99705C" w14:textId="77777777" w:rsidR="00A01D81" w:rsidRDefault="004543DB" w:rsidP="007726F1">
      <w:pPr>
        <w:jc w:val="both"/>
        <w:rPr>
          <w:rStyle w:val="normaltextrun"/>
          <w:rFonts w:cs="Arial"/>
        </w:rPr>
      </w:pPr>
      <w:r>
        <w:rPr>
          <w:noProof/>
        </w:rPr>
        <w:lastRenderedPageBreak/>
        <w:drawing>
          <wp:anchor distT="0" distB="0" distL="114300" distR="114300" simplePos="0" relativeHeight="251658240" behindDoc="1" locked="0" layoutInCell="1" allowOverlap="1" wp14:anchorId="72B892CE" wp14:editId="31899570">
            <wp:simplePos x="0" y="0"/>
            <wp:positionH relativeFrom="column">
              <wp:posOffset>185310</wp:posOffset>
            </wp:positionH>
            <wp:positionV relativeFrom="paragraph">
              <wp:posOffset>1311275</wp:posOffset>
            </wp:positionV>
            <wp:extent cx="7886065" cy="4624705"/>
            <wp:effectExtent l="0" t="0" r="635" b="4445"/>
            <wp:wrapTight wrapText="bothSides">
              <wp:wrapPolygon edited="0">
                <wp:start x="0" y="0"/>
                <wp:lineTo x="0" y="21532"/>
                <wp:lineTo x="21550" y="21532"/>
                <wp:lineTo x="21550" y="0"/>
                <wp:lineTo x="0" y="0"/>
              </wp:wrapPolygon>
            </wp:wrapTight>
            <wp:docPr id="159108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088887" name=""/>
                    <pic:cNvPicPr/>
                  </pic:nvPicPr>
                  <pic:blipFill>
                    <a:blip r:embed="rId32">
                      <a:extLst>
                        <a:ext uri="{28A0092B-C50C-407E-A947-70E740481C1C}">
                          <a14:useLocalDpi xmlns:a14="http://schemas.microsoft.com/office/drawing/2010/main" val="0"/>
                        </a:ext>
                      </a:extLst>
                    </a:blip>
                    <a:stretch>
                      <a:fillRect/>
                    </a:stretch>
                  </pic:blipFill>
                  <pic:spPr>
                    <a:xfrm>
                      <a:off x="0" y="0"/>
                      <a:ext cx="7886065" cy="4624705"/>
                    </a:xfrm>
                    <a:prstGeom prst="rect">
                      <a:avLst/>
                    </a:prstGeom>
                  </pic:spPr>
                </pic:pic>
              </a:graphicData>
            </a:graphic>
            <wp14:sizeRelH relativeFrom="margin">
              <wp14:pctWidth>0</wp14:pctWidth>
            </wp14:sizeRelH>
            <wp14:sizeRelV relativeFrom="margin">
              <wp14:pctHeight>0</wp14:pctHeight>
            </wp14:sizeRelV>
          </wp:anchor>
        </w:drawing>
      </w:r>
    </w:p>
    <w:p w14:paraId="66669FAB" w14:textId="77777777" w:rsidR="004543DB" w:rsidRPr="00E66809" w:rsidRDefault="00EE5FEC" w:rsidP="004543DB">
      <w:pPr>
        <w:jc w:val="both"/>
        <w:rPr>
          <w:rStyle w:val="normaltextrun"/>
          <w:rFonts w:cs="Arial"/>
        </w:rPr>
      </w:pPr>
      <w:r w:rsidRPr="00E66809">
        <w:rPr>
          <w:rStyle w:val="normaltextrun"/>
          <w:rFonts w:cs="Arial"/>
        </w:rPr>
        <w:t xml:space="preserve">Our future state envisions a transition towards a </w:t>
      </w:r>
      <w:r>
        <w:rPr>
          <w:rStyle w:val="normaltextrun"/>
          <w:rFonts w:cs="Arial"/>
        </w:rPr>
        <w:t>model</w:t>
      </w:r>
      <w:r w:rsidR="002368F2">
        <w:rPr>
          <w:rStyle w:val="normaltextrun"/>
          <w:rFonts w:cs="Arial"/>
        </w:rPr>
        <w:t xml:space="preserve"> like the below</w:t>
      </w:r>
      <w:r w:rsidRPr="00E66809">
        <w:rPr>
          <w:rStyle w:val="normaltextrun"/>
          <w:rFonts w:cs="Arial"/>
        </w:rPr>
        <w:t>. This will integrate channels, CRM and underpin the outreach to other platforms, both internal and external</w:t>
      </w:r>
      <w:r w:rsidR="002368F2">
        <w:rPr>
          <w:rStyle w:val="normaltextrun"/>
          <w:rFonts w:cs="Arial"/>
        </w:rPr>
        <w:t xml:space="preserve">. </w:t>
      </w:r>
      <w:r w:rsidRPr="00E66809">
        <w:rPr>
          <w:rStyle w:val="normaltextrun"/>
          <w:rFonts w:cs="Arial"/>
        </w:rPr>
        <w:t>Our integration strategy will require both external and internal integrations.</w:t>
      </w:r>
      <w:r w:rsidR="003858BD">
        <w:rPr>
          <w:rStyle w:val="normaltextrun"/>
          <w:rFonts w:cs="Arial"/>
        </w:rPr>
        <w:t xml:space="preserve"> </w:t>
      </w:r>
      <w:r w:rsidRPr="00E66809">
        <w:rPr>
          <w:rStyle w:val="normaltextrun"/>
          <w:rFonts w:cs="Arial"/>
        </w:rPr>
        <w:t>For external integrations, we connect with critical third-party platforms. This ensures seamless interactions with various systems</w:t>
      </w:r>
      <w:r w:rsidR="002368F2">
        <w:rPr>
          <w:rStyle w:val="normaltextrun"/>
          <w:rFonts w:cs="Arial"/>
        </w:rPr>
        <w:t>, our</w:t>
      </w:r>
      <w:r>
        <w:rPr>
          <w:rStyle w:val="normaltextrun"/>
          <w:rFonts w:cs="Arial"/>
        </w:rPr>
        <w:t xml:space="preserve"> </w:t>
      </w:r>
      <w:r w:rsidRPr="00E66809">
        <w:rPr>
          <w:rStyle w:val="normaltextrun"/>
          <w:rFonts w:cs="Arial"/>
        </w:rPr>
        <w:t xml:space="preserve">CCaaS </w:t>
      </w:r>
      <w:r w:rsidR="002368F2">
        <w:rPr>
          <w:rStyle w:val="normaltextrun"/>
          <w:rFonts w:cs="Arial"/>
        </w:rPr>
        <w:t xml:space="preserve">(Contact </w:t>
      </w:r>
      <w:r w:rsidR="00D11295">
        <w:rPr>
          <w:rStyle w:val="normaltextrun"/>
          <w:rFonts w:cs="Arial"/>
        </w:rPr>
        <w:t>Centre</w:t>
      </w:r>
      <w:r w:rsidR="002368F2">
        <w:rPr>
          <w:rStyle w:val="normaltextrun"/>
          <w:rFonts w:cs="Arial"/>
        </w:rPr>
        <w:t xml:space="preserve"> as a Service) </w:t>
      </w:r>
      <w:r w:rsidRPr="00E66809">
        <w:rPr>
          <w:rStyle w:val="normaltextrun"/>
          <w:rFonts w:cs="Arial"/>
        </w:rPr>
        <w:t>solution, channels and links into tax platforms.</w:t>
      </w:r>
      <w:r w:rsidR="002368F2">
        <w:rPr>
          <w:rStyle w:val="normaltextrun"/>
          <w:rFonts w:cs="Arial"/>
        </w:rPr>
        <w:t xml:space="preserve"> </w:t>
      </w:r>
      <w:r w:rsidRPr="00E66809">
        <w:rPr>
          <w:rStyle w:val="normaltextrun"/>
          <w:rFonts w:cs="Arial"/>
        </w:rPr>
        <w:t xml:space="preserve">To facilitate internal connectivity with the wider HMRC technology estate we have the Integration Layer, which is a hybrid integration platform and secure data exchange service. </w:t>
      </w:r>
      <w:r w:rsidR="004543DB">
        <w:rPr>
          <w:rStyle w:val="normaltextrun"/>
          <w:rFonts w:cs="Arial"/>
        </w:rPr>
        <w:t>This</w:t>
      </w:r>
      <w:r w:rsidR="004543DB" w:rsidRPr="00E66809">
        <w:rPr>
          <w:rStyle w:val="normaltextrun"/>
          <w:rFonts w:cs="Arial"/>
        </w:rPr>
        <w:t xml:space="preserve"> </w:t>
      </w:r>
      <w:r w:rsidR="004543DB">
        <w:rPr>
          <w:rStyle w:val="normaltextrun"/>
          <w:rFonts w:cs="Arial"/>
        </w:rPr>
        <w:t xml:space="preserve">high </w:t>
      </w:r>
      <w:r w:rsidR="004543DB">
        <w:rPr>
          <w:rStyle w:val="normaltextrun"/>
          <w:rFonts w:cs="Arial"/>
        </w:rPr>
        <w:lastRenderedPageBreak/>
        <w:t>level, future state a</w:t>
      </w:r>
      <w:r w:rsidR="004543DB" w:rsidRPr="00E66809">
        <w:rPr>
          <w:rStyle w:val="normaltextrun"/>
          <w:rFonts w:cs="Arial"/>
        </w:rPr>
        <w:t xml:space="preserve">rchitecture sets us on a path to delivering rapid value to customer across multiple channels in a consistent manner while maintaining compliance and governance integrity. Our focus is on efficiency, security, and a customer-first approach. </w:t>
      </w:r>
    </w:p>
    <w:p w14:paraId="0E3BF9D2" w14:textId="77777777" w:rsidR="00542711" w:rsidRDefault="00542711" w:rsidP="001975E4">
      <w:pPr>
        <w:rPr>
          <w:rFonts w:cs="Arial"/>
          <w:b/>
          <w:bCs/>
          <w:color w:val="009999"/>
          <w:sz w:val="24"/>
          <w:szCs w:val="24"/>
        </w:rPr>
      </w:pPr>
    </w:p>
    <w:p w14:paraId="2E901841" w14:textId="7AF16544" w:rsidR="00570237" w:rsidRDefault="003910E6" w:rsidP="004C0062">
      <w:pPr>
        <w:pStyle w:val="Annex1header1"/>
        <w:spacing w:after="120"/>
        <w:ind w:left="357" w:hanging="357"/>
      </w:pPr>
      <w:r w:rsidRPr="004C0062">
        <w:t>Roles &amp; Responsibility Matrix</w:t>
      </w:r>
    </w:p>
    <w:p w14:paraId="1AE8AA79" w14:textId="77777777" w:rsidR="00C55939" w:rsidRPr="00C55939" w:rsidRDefault="00C55939" w:rsidP="00C06284">
      <w:pPr>
        <w:pStyle w:val="ListParagraph"/>
        <w:numPr>
          <w:ilvl w:val="0"/>
          <w:numId w:val="29"/>
        </w:numPr>
        <w:spacing w:afterLines="160" w:after="384"/>
        <w:contextualSpacing w:val="0"/>
        <w:jc w:val="both"/>
        <w:rPr>
          <w:rStyle w:val="normaltextrun"/>
          <w:rFonts w:cs="Arial"/>
          <w:vanish/>
        </w:rPr>
      </w:pPr>
    </w:p>
    <w:p w14:paraId="5E568CFB" w14:textId="6B997F2A" w:rsidR="00C55939" w:rsidRDefault="00C55939" w:rsidP="00C06284">
      <w:pPr>
        <w:pStyle w:val="Annex1text2"/>
        <w:numPr>
          <w:ilvl w:val="1"/>
          <w:numId w:val="29"/>
        </w:numPr>
        <w:spacing w:afterLines="160" w:after="384"/>
        <w:jc w:val="both"/>
        <w:rPr>
          <w:rStyle w:val="normaltextrun"/>
          <w:b w:val="0"/>
        </w:rPr>
      </w:pPr>
      <w:r>
        <w:rPr>
          <w:rStyle w:val="normaltextrun"/>
          <w:b w:val="0"/>
        </w:rPr>
        <w:t xml:space="preserve">The below matrix provides the current draft view of the expected responsibilities across the key roles that will be needed within the </w:t>
      </w:r>
      <w:r w:rsidR="00A6615B">
        <w:rPr>
          <w:rStyle w:val="normaltextrun"/>
          <w:b w:val="0"/>
        </w:rPr>
        <w:t>eCRM programme.</w:t>
      </w:r>
    </w:p>
    <w:p w14:paraId="227C2E1E" w14:textId="0B8B7CBA" w:rsidR="00A6615B" w:rsidRPr="00E66809" w:rsidRDefault="00A6615B" w:rsidP="00C06284">
      <w:pPr>
        <w:pStyle w:val="Annex1text2"/>
        <w:numPr>
          <w:ilvl w:val="1"/>
          <w:numId w:val="29"/>
        </w:numPr>
        <w:spacing w:afterLines="160" w:after="384"/>
        <w:jc w:val="both"/>
        <w:rPr>
          <w:rStyle w:val="normaltextrun"/>
          <w:b w:val="0"/>
        </w:rPr>
      </w:pPr>
      <w:r>
        <w:rPr>
          <w:rStyle w:val="normaltextrun"/>
          <w:b w:val="0"/>
        </w:rPr>
        <w:t>This matrix is subject to change as the procurement process progresses.</w:t>
      </w:r>
    </w:p>
    <w:tbl>
      <w:tblPr>
        <w:tblStyle w:val="GridTable1Light-Accent5"/>
        <w:tblW w:w="0" w:type="auto"/>
        <w:tblLayout w:type="fixed"/>
        <w:tblLook w:val="06A0" w:firstRow="1" w:lastRow="0" w:firstColumn="1" w:lastColumn="0" w:noHBand="1" w:noVBand="1"/>
      </w:tblPr>
      <w:tblGrid>
        <w:gridCol w:w="2498"/>
        <w:gridCol w:w="3026"/>
        <w:gridCol w:w="1970"/>
        <w:gridCol w:w="2498"/>
        <w:gridCol w:w="2498"/>
      </w:tblGrid>
      <w:tr w:rsidR="004855B9" w14:paraId="0FF5B0A9" w14:textId="77777777" w:rsidTr="0088556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498" w:type="dxa"/>
            <w:shd w:val="clear" w:color="auto" w:fill="009999"/>
          </w:tcPr>
          <w:p w14:paraId="438DE2F5" w14:textId="77777777" w:rsidR="004855B9" w:rsidRPr="0088556A" w:rsidRDefault="004855B9">
            <w:pPr>
              <w:rPr>
                <w:rFonts w:cs="Arial"/>
                <w:color w:val="FFFFFF" w:themeColor="background1"/>
              </w:rPr>
            </w:pPr>
            <w:r w:rsidRPr="0088556A">
              <w:rPr>
                <w:rFonts w:cs="Arial"/>
                <w:color w:val="FFFFFF" w:themeColor="background1"/>
              </w:rPr>
              <w:t>Role</w:t>
            </w:r>
          </w:p>
        </w:tc>
        <w:tc>
          <w:tcPr>
            <w:tcW w:w="3026" w:type="dxa"/>
            <w:shd w:val="clear" w:color="auto" w:fill="009999"/>
          </w:tcPr>
          <w:p w14:paraId="0A687F5C" w14:textId="3F06BBFD" w:rsidR="004855B9" w:rsidRPr="0088556A" w:rsidRDefault="004855B9">
            <w:pP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88556A">
              <w:rPr>
                <w:rFonts w:cs="Arial"/>
                <w:color w:val="FFFFFF" w:themeColor="background1"/>
              </w:rPr>
              <w:t>Role Definition</w:t>
            </w:r>
          </w:p>
        </w:tc>
        <w:tc>
          <w:tcPr>
            <w:tcW w:w="1970" w:type="dxa"/>
            <w:shd w:val="clear" w:color="auto" w:fill="009999"/>
          </w:tcPr>
          <w:p w14:paraId="3548BC27" w14:textId="77777777" w:rsidR="004855B9" w:rsidRPr="0088556A" w:rsidRDefault="004855B9">
            <w:pP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88556A">
              <w:rPr>
                <w:rFonts w:cs="Arial"/>
                <w:color w:val="FFFFFF" w:themeColor="background1"/>
              </w:rPr>
              <w:t>CRM Vendor</w:t>
            </w:r>
          </w:p>
        </w:tc>
        <w:tc>
          <w:tcPr>
            <w:tcW w:w="2498" w:type="dxa"/>
            <w:shd w:val="clear" w:color="auto" w:fill="009999"/>
          </w:tcPr>
          <w:p w14:paraId="4266F444" w14:textId="77777777" w:rsidR="004855B9" w:rsidRPr="0088556A" w:rsidRDefault="004855B9">
            <w:pP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88556A">
              <w:rPr>
                <w:rFonts w:cs="Arial"/>
                <w:color w:val="FFFFFF" w:themeColor="background1"/>
              </w:rPr>
              <w:t>HMRC IT (CDIO)</w:t>
            </w:r>
          </w:p>
        </w:tc>
        <w:tc>
          <w:tcPr>
            <w:tcW w:w="2498" w:type="dxa"/>
            <w:shd w:val="clear" w:color="auto" w:fill="009999"/>
          </w:tcPr>
          <w:p w14:paraId="02B5B537" w14:textId="5FAE5CA6" w:rsidR="004855B9" w:rsidRPr="0088556A" w:rsidRDefault="004855B9">
            <w:pPr>
              <w:cnfStyle w:val="100000000000" w:firstRow="1" w:lastRow="0" w:firstColumn="0" w:lastColumn="0" w:oddVBand="0" w:evenVBand="0" w:oddHBand="0" w:evenHBand="0" w:firstRowFirstColumn="0" w:firstRowLastColumn="0" w:lastRowFirstColumn="0" w:lastRowLastColumn="0"/>
              <w:rPr>
                <w:rFonts w:cs="Arial"/>
                <w:color w:val="FFFFFF" w:themeColor="background1"/>
              </w:rPr>
            </w:pPr>
            <w:r w:rsidRPr="0088556A">
              <w:rPr>
                <w:rFonts w:cs="Arial"/>
                <w:color w:val="FFFFFF" w:themeColor="background1"/>
              </w:rPr>
              <w:t xml:space="preserve">System Integrator </w:t>
            </w:r>
          </w:p>
        </w:tc>
      </w:tr>
      <w:tr w:rsidR="004855B9" w:rsidRPr="4B782CAB" w14:paraId="3E53FFD1"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5F870748" w14:textId="77777777" w:rsidR="004855B9" w:rsidRDefault="004855B9">
            <w:pPr>
              <w:rPr>
                <w:rFonts w:cs="Arial"/>
              </w:rPr>
            </w:pPr>
            <w:r w:rsidRPr="0ED6D720">
              <w:rPr>
                <w:rFonts w:cs="Arial"/>
              </w:rPr>
              <w:t>Deployment</w:t>
            </w:r>
          </w:p>
        </w:tc>
        <w:tc>
          <w:tcPr>
            <w:tcW w:w="3026" w:type="dxa"/>
          </w:tcPr>
          <w:p w14:paraId="1F7629F4" w14:textId="3BA401DC" w:rsidR="004855B9" w:rsidRPr="1BEAA9D7" w:rsidRDefault="00C86F76">
            <w:pPr>
              <w:cnfStyle w:val="000000000000" w:firstRow="0" w:lastRow="0" w:firstColumn="0" w:lastColumn="0" w:oddVBand="0" w:evenVBand="0" w:oddHBand="0" w:evenHBand="0" w:firstRowFirstColumn="0" w:firstRowLastColumn="0" w:lastRowFirstColumn="0" w:lastRowLastColumn="0"/>
              <w:rPr>
                <w:rFonts w:cs="Arial"/>
              </w:rPr>
            </w:pPr>
            <w:r w:rsidRPr="00063883">
              <w:rPr>
                <w:rFonts w:cs="Arial"/>
              </w:rPr>
              <w:t>The deployment of the agreed software solution inside the hosting environment.</w:t>
            </w:r>
          </w:p>
        </w:tc>
        <w:tc>
          <w:tcPr>
            <w:tcW w:w="1970" w:type="dxa"/>
          </w:tcPr>
          <w:p w14:paraId="5A2F355D" w14:textId="18FB1B6D" w:rsidR="004855B9" w:rsidRDefault="0053083B">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Accountable </w:t>
            </w:r>
          </w:p>
        </w:tc>
        <w:tc>
          <w:tcPr>
            <w:tcW w:w="2498" w:type="dxa"/>
          </w:tcPr>
          <w:p w14:paraId="601F1350"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4B782CAB">
              <w:rPr>
                <w:rFonts w:cs="Arial"/>
              </w:rPr>
              <w:t>Consulted</w:t>
            </w:r>
          </w:p>
        </w:tc>
        <w:tc>
          <w:tcPr>
            <w:tcW w:w="2498" w:type="dxa"/>
          </w:tcPr>
          <w:p w14:paraId="2334DECC" w14:textId="77777777" w:rsidR="004855B9" w:rsidRPr="4B782CAB" w:rsidRDefault="004855B9">
            <w:pPr>
              <w:cnfStyle w:val="000000000000" w:firstRow="0" w:lastRow="0" w:firstColumn="0" w:lastColumn="0" w:oddVBand="0" w:evenVBand="0" w:oddHBand="0" w:evenHBand="0" w:firstRowFirstColumn="0" w:firstRowLastColumn="0" w:lastRowFirstColumn="0" w:lastRowLastColumn="0"/>
              <w:rPr>
                <w:rFonts w:cs="Arial"/>
              </w:rPr>
            </w:pPr>
            <w:r w:rsidRPr="1BEAA9D7">
              <w:rPr>
                <w:rFonts w:cs="Arial"/>
              </w:rPr>
              <w:t>Responsible</w:t>
            </w:r>
          </w:p>
        </w:tc>
      </w:tr>
      <w:tr w:rsidR="004855B9" w:rsidRPr="0C28F16B" w14:paraId="580E2BF3"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3789C83F" w14:textId="77777777" w:rsidR="004855B9" w:rsidRDefault="004855B9">
            <w:pPr>
              <w:rPr>
                <w:rFonts w:cs="Arial"/>
              </w:rPr>
            </w:pPr>
            <w:r w:rsidRPr="0ED6D720">
              <w:rPr>
                <w:rFonts w:cs="Arial"/>
              </w:rPr>
              <w:t>Network</w:t>
            </w:r>
          </w:p>
        </w:tc>
        <w:tc>
          <w:tcPr>
            <w:tcW w:w="3026" w:type="dxa"/>
          </w:tcPr>
          <w:p w14:paraId="2ACA0F1B" w14:textId="5416679F" w:rsidR="004855B9" w:rsidRPr="3196AD1C" w:rsidRDefault="00B654DB" w:rsidP="00B654DB">
            <w:pPr>
              <w:spacing w:after="160" w:line="259" w:lineRule="auto"/>
              <w:cnfStyle w:val="000000000000" w:firstRow="0" w:lastRow="0" w:firstColumn="0" w:lastColumn="0" w:oddVBand="0" w:evenVBand="0" w:oddHBand="0" w:evenHBand="0" w:firstRowFirstColumn="0" w:firstRowLastColumn="0" w:lastRowFirstColumn="0" w:lastRowLastColumn="0"/>
              <w:rPr>
                <w:rFonts w:cs="Arial"/>
              </w:rPr>
            </w:pPr>
            <w:r w:rsidRPr="00063883">
              <w:rPr>
                <w:rFonts w:cs="Arial"/>
              </w:rPr>
              <w:t>The network links to the hosting environment</w:t>
            </w:r>
            <w:r w:rsidRPr="60883B27">
              <w:rPr>
                <w:rFonts w:cs="Arial"/>
              </w:rPr>
              <w:t>s</w:t>
            </w:r>
            <w:r w:rsidRPr="00063883">
              <w:rPr>
                <w:rFonts w:cs="Arial"/>
              </w:rPr>
              <w:t xml:space="preserve"> and deployed software that are secure and configured to support requirements and end user connectivity needs</w:t>
            </w:r>
          </w:p>
        </w:tc>
        <w:tc>
          <w:tcPr>
            <w:tcW w:w="1970" w:type="dxa"/>
          </w:tcPr>
          <w:p w14:paraId="3BD3F220"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3196AD1C">
              <w:rPr>
                <w:rFonts w:cs="Arial"/>
              </w:rPr>
              <w:t>Consulted</w:t>
            </w:r>
          </w:p>
          <w:p w14:paraId="4CFC9C47"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120423CA"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0C28F16B">
              <w:rPr>
                <w:rFonts w:cs="Arial"/>
              </w:rPr>
              <w:t>Responsible</w:t>
            </w:r>
          </w:p>
          <w:p w14:paraId="43DDC79C"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0C28F16B">
              <w:rPr>
                <w:rFonts w:cs="Arial"/>
              </w:rPr>
              <w:t>Accountable</w:t>
            </w:r>
          </w:p>
        </w:tc>
        <w:tc>
          <w:tcPr>
            <w:tcW w:w="2498" w:type="dxa"/>
          </w:tcPr>
          <w:p w14:paraId="2E3F9399" w14:textId="77777777" w:rsidR="004855B9" w:rsidRPr="0C28F16B" w:rsidRDefault="004855B9">
            <w:pPr>
              <w:cnfStyle w:val="000000000000" w:firstRow="0" w:lastRow="0" w:firstColumn="0" w:lastColumn="0" w:oddVBand="0" w:evenVBand="0" w:oddHBand="0" w:evenHBand="0" w:firstRowFirstColumn="0" w:firstRowLastColumn="0" w:lastRowFirstColumn="0" w:lastRowLastColumn="0"/>
              <w:rPr>
                <w:rFonts w:cs="Arial"/>
              </w:rPr>
            </w:pPr>
            <w:r w:rsidRPr="1BEAA9D7">
              <w:rPr>
                <w:rFonts w:cs="Arial"/>
              </w:rPr>
              <w:t>Responsible</w:t>
            </w:r>
          </w:p>
        </w:tc>
      </w:tr>
      <w:tr w:rsidR="004855B9" w14:paraId="09A2F597"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32B8DB2D" w14:textId="77777777" w:rsidR="004855B9" w:rsidRDefault="004855B9">
            <w:pPr>
              <w:rPr>
                <w:rFonts w:cs="Arial"/>
              </w:rPr>
            </w:pPr>
            <w:r w:rsidRPr="0ED6D720">
              <w:rPr>
                <w:rFonts w:cs="Arial"/>
              </w:rPr>
              <w:t>Hosting</w:t>
            </w:r>
          </w:p>
        </w:tc>
        <w:tc>
          <w:tcPr>
            <w:tcW w:w="3026" w:type="dxa"/>
          </w:tcPr>
          <w:p w14:paraId="375B1F7D" w14:textId="4C71C84F" w:rsidR="004855B9" w:rsidRDefault="00177DE6">
            <w:pPr>
              <w:cnfStyle w:val="000000000000" w:firstRow="0" w:lastRow="0" w:firstColumn="0" w:lastColumn="0" w:oddVBand="0" w:evenVBand="0" w:oddHBand="0" w:evenHBand="0" w:firstRowFirstColumn="0" w:firstRowLastColumn="0" w:lastRowFirstColumn="0" w:lastRowLastColumn="0"/>
              <w:rPr>
                <w:rFonts w:cs="Arial"/>
              </w:rPr>
            </w:pPr>
            <w:r w:rsidRPr="00063883">
              <w:rPr>
                <w:rFonts w:cs="Arial"/>
              </w:rPr>
              <w:t xml:space="preserve">The </w:t>
            </w:r>
            <w:r w:rsidR="00125320">
              <w:rPr>
                <w:rFonts w:cs="Arial"/>
              </w:rPr>
              <w:t>provision</w:t>
            </w:r>
            <w:r w:rsidRPr="00063883">
              <w:rPr>
                <w:rFonts w:cs="Arial"/>
              </w:rPr>
              <w:t xml:space="preserve"> of a compliant systems host environment </w:t>
            </w:r>
          </w:p>
        </w:tc>
        <w:tc>
          <w:tcPr>
            <w:tcW w:w="1970" w:type="dxa"/>
          </w:tcPr>
          <w:p w14:paraId="78BD1547" w14:textId="2E3DB72D" w:rsidR="004855B9" w:rsidRDefault="00FB56B1">
            <w:pPr>
              <w:cnfStyle w:val="000000000000" w:firstRow="0" w:lastRow="0" w:firstColumn="0" w:lastColumn="0" w:oddVBand="0" w:evenVBand="0" w:oddHBand="0" w:evenHBand="0" w:firstRowFirstColumn="0" w:firstRowLastColumn="0" w:lastRowFirstColumn="0" w:lastRowLastColumn="0"/>
              <w:rPr>
                <w:rFonts w:cs="Arial"/>
              </w:rPr>
            </w:pPr>
            <w:r>
              <w:rPr>
                <w:rFonts w:cs="Arial"/>
              </w:rPr>
              <w:t>Accountable</w:t>
            </w:r>
          </w:p>
          <w:p w14:paraId="3D3E790E" w14:textId="1A129D73" w:rsidR="00A213CF" w:rsidRDefault="00A213CF">
            <w:pPr>
              <w:cnfStyle w:val="000000000000" w:firstRow="0" w:lastRow="0" w:firstColumn="0" w:lastColumn="0" w:oddVBand="0" w:evenVBand="0" w:oddHBand="0" w:evenHBand="0" w:firstRowFirstColumn="0" w:firstRowLastColumn="0" w:lastRowFirstColumn="0" w:lastRowLastColumn="0"/>
              <w:rPr>
                <w:rFonts w:cs="Arial"/>
              </w:rPr>
            </w:pPr>
            <w:r>
              <w:rPr>
                <w:rFonts w:cs="Arial"/>
              </w:rPr>
              <w:t>Responsible</w:t>
            </w:r>
          </w:p>
          <w:p w14:paraId="08E62D06"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0159E5C6" w14:textId="74D00AF7" w:rsidR="004855B9" w:rsidRDefault="00A213CF">
            <w:pPr>
              <w:cnfStyle w:val="000000000000" w:firstRow="0" w:lastRow="0" w:firstColumn="0" w:lastColumn="0" w:oddVBand="0" w:evenVBand="0" w:oddHBand="0" w:evenHBand="0" w:firstRowFirstColumn="0" w:firstRowLastColumn="0" w:lastRowFirstColumn="0" w:lastRowLastColumn="0"/>
              <w:rPr>
                <w:rFonts w:cs="Arial"/>
              </w:rPr>
            </w:pPr>
            <w:r>
              <w:rPr>
                <w:rFonts w:cs="Arial"/>
              </w:rPr>
              <w:t>Consulted</w:t>
            </w:r>
          </w:p>
        </w:tc>
        <w:tc>
          <w:tcPr>
            <w:tcW w:w="2498" w:type="dxa"/>
          </w:tcPr>
          <w:p w14:paraId="70D07EF2" w14:textId="307F3D89" w:rsidR="004855B9" w:rsidRDefault="00A213CF">
            <w:pPr>
              <w:cnfStyle w:val="000000000000" w:firstRow="0" w:lastRow="0" w:firstColumn="0" w:lastColumn="0" w:oddVBand="0" w:evenVBand="0" w:oddHBand="0" w:evenHBand="0" w:firstRowFirstColumn="0" w:firstRowLastColumn="0" w:lastRowFirstColumn="0" w:lastRowLastColumn="0"/>
              <w:rPr>
                <w:rFonts w:cs="Arial"/>
              </w:rPr>
            </w:pPr>
            <w:r>
              <w:rPr>
                <w:rFonts w:cs="Arial"/>
              </w:rPr>
              <w:t>Consulted</w:t>
            </w:r>
          </w:p>
        </w:tc>
      </w:tr>
      <w:tr w:rsidR="004855B9" w:rsidRPr="63E44D96" w14:paraId="003886E2"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4BB4619E" w14:textId="77777777" w:rsidR="004855B9" w:rsidRPr="00BA0319" w:rsidRDefault="004855B9">
            <w:pPr>
              <w:rPr>
                <w:rFonts w:cs="Arial"/>
              </w:rPr>
            </w:pPr>
            <w:r w:rsidRPr="00BA0319">
              <w:rPr>
                <w:rFonts w:cs="Arial"/>
              </w:rPr>
              <w:t>Connectivity</w:t>
            </w:r>
          </w:p>
        </w:tc>
        <w:tc>
          <w:tcPr>
            <w:tcW w:w="3026" w:type="dxa"/>
          </w:tcPr>
          <w:p w14:paraId="43354504" w14:textId="646B78BF" w:rsidR="004855B9" w:rsidRPr="00BA0319" w:rsidRDefault="005B030D">
            <w:pPr>
              <w:cnfStyle w:val="000000000000" w:firstRow="0" w:lastRow="0" w:firstColumn="0" w:lastColumn="0" w:oddVBand="0" w:evenVBand="0" w:oddHBand="0" w:evenHBand="0" w:firstRowFirstColumn="0" w:firstRowLastColumn="0" w:lastRowFirstColumn="0" w:lastRowLastColumn="0"/>
              <w:rPr>
                <w:rFonts w:cs="Arial"/>
              </w:rPr>
            </w:pPr>
            <w:r w:rsidRPr="00BA0319">
              <w:rPr>
                <w:rFonts w:cs="Arial"/>
              </w:rPr>
              <w:t xml:space="preserve">The service that allows users to connect to the software solution </w:t>
            </w:r>
          </w:p>
        </w:tc>
        <w:tc>
          <w:tcPr>
            <w:tcW w:w="1970" w:type="dxa"/>
          </w:tcPr>
          <w:p w14:paraId="61F223AE" w14:textId="30B092B6" w:rsidR="004855B9" w:rsidRPr="00BA0319" w:rsidRDefault="0048356E">
            <w:pPr>
              <w:cnfStyle w:val="000000000000" w:firstRow="0" w:lastRow="0" w:firstColumn="0" w:lastColumn="0" w:oddVBand="0" w:evenVBand="0" w:oddHBand="0" w:evenHBand="0" w:firstRowFirstColumn="0" w:firstRowLastColumn="0" w:lastRowFirstColumn="0" w:lastRowLastColumn="0"/>
              <w:rPr>
                <w:rFonts w:cs="Arial"/>
              </w:rPr>
            </w:pPr>
            <w:r w:rsidRPr="00BA0319">
              <w:rPr>
                <w:rFonts w:cs="Arial"/>
              </w:rPr>
              <w:t>Informed</w:t>
            </w:r>
          </w:p>
        </w:tc>
        <w:tc>
          <w:tcPr>
            <w:tcW w:w="2498" w:type="dxa"/>
          </w:tcPr>
          <w:p w14:paraId="214FAF84"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63E44D96">
              <w:rPr>
                <w:rFonts w:cs="Arial"/>
              </w:rPr>
              <w:t>Responsible</w:t>
            </w:r>
          </w:p>
          <w:p w14:paraId="503C6813" w14:textId="5664DEAC" w:rsidR="00AD5A1A" w:rsidRDefault="00AD5A1A">
            <w:pPr>
              <w:cnfStyle w:val="000000000000" w:firstRow="0" w:lastRow="0" w:firstColumn="0" w:lastColumn="0" w:oddVBand="0" w:evenVBand="0" w:oddHBand="0" w:evenHBand="0" w:firstRowFirstColumn="0" w:firstRowLastColumn="0" w:lastRowFirstColumn="0" w:lastRowLastColumn="0"/>
              <w:rPr>
                <w:rFonts w:cs="Arial"/>
              </w:rPr>
            </w:pPr>
            <w:r>
              <w:rPr>
                <w:rFonts w:cs="Arial"/>
              </w:rPr>
              <w:t>Accountable</w:t>
            </w:r>
          </w:p>
          <w:p w14:paraId="090D249C"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58423D5A" w14:textId="77777777" w:rsidR="004855B9" w:rsidRPr="63E44D96" w:rsidRDefault="004855B9">
            <w:pPr>
              <w:cnfStyle w:val="000000000000" w:firstRow="0" w:lastRow="0" w:firstColumn="0" w:lastColumn="0" w:oddVBand="0" w:evenVBand="0" w:oddHBand="0" w:evenHBand="0" w:firstRowFirstColumn="0" w:firstRowLastColumn="0" w:lastRowFirstColumn="0" w:lastRowLastColumn="0"/>
              <w:rPr>
                <w:rFonts w:cs="Arial"/>
              </w:rPr>
            </w:pPr>
            <w:r w:rsidRPr="1BEAA9D7">
              <w:rPr>
                <w:rFonts w:cs="Arial"/>
              </w:rPr>
              <w:t>Responsible</w:t>
            </w:r>
          </w:p>
        </w:tc>
      </w:tr>
      <w:tr w:rsidR="004855B9" w:rsidRPr="63E44D96" w14:paraId="1910091E"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139B2FC5" w14:textId="77777777" w:rsidR="004855B9" w:rsidRPr="00BA0319" w:rsidRDefault="004855B9">
            <w:pPr>
              <w:rPr>
                <w:rFonts w:cs="Arial"/>
              </w:rPr>
            </w:pPr>
            <w:r w:rsidRPr="00BA0319">
              <w:rPr>
                <w:rFonts w:cs="Arial"/>
              </w:rPr>
              <w:t>Software Configuration</w:t>
            </w:r>
          </w:p>
        </w:tc>
        <w:tc>
          <w:tcPr>
            <w:tcW w:w="3026" w:type="dxa"/>
          </w:tcPr>
          <w:p w14:paraId="1C114C7F" w14:textId="4F073464" w:rsidR="004855B9" w:rsidRPr="00BA0319" w:rsidRDefault="005403F4">
            <w:pPr>
              <w:cnfStyle w:val="000000000000" w:firstRow="0" w:lastRow="0" w:firstColumn="0" w:lastColumn="0" w:oddVBand="0" w:evenVBand="0" w:oddHBand="0" w:evenHBand="0" w:firstRowFirstColumn="0" w:firstRowLastColumn="0" w:lastRowFirstColumn="0" w:lastRowLastColumn="0"/>
              <w:rPr>
                <w:rFonts w:cs="Arial"/>
              </w:rPr>
            </w:pPr>
            <w:r w:rsidRPr="00BA0319">
              <w:rPr>
                <w:rFonts w:cs="Arial"/>
              </w:rPr>
              <w:t>The design, build and deployment</w:t>
            </w:r>
            <w:r w:rsidR="00C5189E" w:rsidRPr="00BA0319">
              <w:rPr>
                <w:rFonts w:cs="Arial"/>
              </w:rPr>
              <w:t xml:space="preserve"> of the </w:t>
            </w:r>
            <w:r w:rsidR="00FE5881" w:rsidRPr="00BA0319">
              <w:rPr>
                <w:rFonts w:cs="Arial"/>
              </w:rPr>
              <w:t>CRM ensuring it aligns with business processes and user needs</w:t>
            </w:r>
          </w:p>
        </w:tc>
        <w:tc>
          <w:tcPr>
            <w:tcW w:w="1970" w:type="dxa"/>
          </w:tcPr>
          <w:p w14:paraId="43845DBA" w14:textId="6AF8025C" w:rsidR="004855B9" w:rsidRPr="00BA0319" w:rsidRDefault="00AE618A">
            <w:pPr>
              <w:cnfStyle w:val="000000000000" w:firstRow="0" w:lastRow="0" w:firstColumn="0" w:lastColumn="0" w:oddVBand="0" w:evenVBand="0" w:oddHBand="0" w:evenHBand="0" w:firstRowFirstColumn="0" w:firstRowLastColumn="0" w:lastRowFirstColumn="0" w:lastRowLastColumn="0"/>
              <w:rPr>
                <w:rFonts w:cs="Arial"/>
              </w:rPr>
            </w:pPr>
            <w:r w:rsidRPr="00BA0319">
              <w:rPr>
                <w:rFonts w:cs="Arial"/>
              </w:rPr>
              <w:t xml:space="preserve">Responsible (Core </w:t>
            </w:r>
            <w:r w:rsidR="00AC7F18">
              <w:rPr>
                <w:rFonts w:cs="Arial"/>
              </w:rPr>
              <w:t>c</w:t>
            </w:r>
            <w:r w:rsidRPr="00BA0319">
              <w:rPr>
                <w:rFonts w:cs="Arial"/>
              </w:rPr>
              <w:t>onfig</w:t>
            </w:r>
            <w:r w:rsidR="00AC7F18">
              <w:rPr>
                <w:rFonts w:cs="Arial"/>
              </w:rPr>
              <w:t xml:space="preserve"> and design elements</w:t>
            </w:r>
            <w:r w:rsidRPr="00BA0319">
              <w:rPr>
                <w:rFonts w:cs="Arial"/>
              </w:rPr>
              <w:t>)</w:t>
            </w:r>
          </w:p>
        </w:tc>
        <w:tc>
          <w:tcPr>
            <w:tcW w:w="2498" w:type="dxa"/>
          </w:tcPr>
          <w:p w14:paraId="480C8384" w14:textId="2D69CFEF" w:rsidR="004855B9" w:rsidRDefault="000F0E41">
            <w:pPr>
              <w:cnfStyle w:val="000000000000" w:firstRow="0" w:lastRow="0" w:firstColumn="0" w:lastColumn="0" w:oddVBand="0" w:evenVBand="0" w:oddHBand="0" w:evenHBand="0" w:firstRowFirstColumn="0" w:firstRowLastColumn="0" w:lastRowFirstColumn="0" w:lastRowLastColumn="0"/>
              <w:rPr>
                <w:rFonts w:cs="Arial"/>
              </w:rPr>
            </w:pPr>
            <w:r>
              <w:rPr>
                <w:rFonts w:cs="Arial"/>
              </w:rPr>
              <w:t>Consulted</w:t>
            </w:r>
          </w:p>
          <w:p w14:paraId="231E2DEE"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6E5DE047" w14:textId="77777777" w:rsidR="004855B9" w:rsidRDefault="008C5C64">
            <w:pPr>
              <w:cnfStyle w:val="000000000000" w:firstRow="0" w:lastRow="0" w:firstColumn="0" w:lastColumn="0" w:oddVBand="0" w:evenVBand="0" w:oddHBand="0" w:evenHBand="0" w:firstRowFirstColumn="0" w:firstRowLastColumn="0" w:lastRowFirstColumn="0" w:lastRowLastColumn="0"/>
              <w:rPr>
                <w:rFonts w:cs="Arial"/>
              </w:rPr>
            </w:pPr>
            <w:r>
              <w:rPr>
                <w:rFonts w:cs="Arial"/>
              </w:rPr>
              <w:t>Accountable</w:t>
            </w:r>
          </w:p>
          <w:p w14:paraId="57D4C82B" w14:textId="3AEE9347" w:rsidR="0057285B" w:rsidRPr="63E44D96" w:rsidRDefault="0057285B">
            <w:pPr>
              <w:cnfStyle w:val="000000000000" w:firstRow="0" w:lastRow="0" w:firstColumn="0" w:lastColumn="0" w:oddVBand="0" w:evenVBand="0" w:oddHBand="0" w:evenHBand="0" w:firstRowFirstColumn="0" w:firstRowLastColumn="0" w:lastRowFirstColumn="0" w:lastRowLastColumn="0"/>
              <w:rPr>
                <w:rFonts w:cs="Arial"/>
              </w:rPr>
            </w:pPr>
            <w:r>
              <w:rPr>
                <w:rFonts w:cs="Arial"/>
              </w:rPr>
              <w:t>Responsible</w:t>
            </w:r>
            <w:r w:rsidR="00AC7F18">
              <w:rPr>
                <w:rFonts w:cs="Arial"/>
              </w:rPr>
              <w:t xml:space="preserve"> (for detailed design, build and deployment of integrations</w:t>
            </w:r>
          </w:p>
        </w:tc>
      </w:tr>
      <w:tr w:rsidR="004855B9" w:rsidRPr="5A7C094B" w14:paraId="0AEC9B69"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173A822B" w14:textId="77777777" w:rsidR="004855B9" w:rsidRDefault="004855B9">
            <w:pPr>
              <w:rPr>
                <w:rFonts w:cs="Arial"/>
              </w:rPr>
            </w:pPr>
            <w:r w:rsidRPr="001A6A77">
              <w:rPr>
                <w:rFonts w:cs="Arial"/>
              </w:rPr>
              <w:lastRenderedPageBreak/>
              <w:t>Integrations</w:t>
            </w:r>
          </w:p>
        </w:tc>
        <w:tc>
          <w:tcPr>
            <w:tcW w:w="3026" w:type="dxa"/>
          </w:tcPr>
          <w:p w14:paraId="406A94D6" w14:textId="73E1F557" w:rsidR="004855B9" w:rsidRPr="1BEAA9D7" w:rsidRDefault="005E6241">
            <w:pPr>
              <w:cnfStyle w:val="000000000000" w:firstRow="0" w:lastRow="0" w:firstColumn="0" w:lastColumn="0" w:oddVBand="0" w:evenVBand="0" w:oddHBand="0" w:evenHBand="0" w:firstRowFirstColumn="0" w:firstRowLastColumn="0" w:lastRowFirstColumn="0" w:lastRowLastColumn="0"/>
              <w:rPr>
                <w:rFonts w:cs="Arial"/>
              </w:rPr>
            </w:pPr>
            <w:r w:rsidRPr="00063883">
              <w:rPr>
                <w:rFonts w:cs="Arial"/>
              </w:rPr>
              <w:t xml:space="preserve">The design, build and deployment </w:t>
            </w:r>
            <w:r w:rsidR="005403F4">
              <w:rPr>
                <w:rFonts w:cs="Arial"/>
              </w:rPr>
              <w:t xml:space="preserve">of </w:t>
            </w:r>
            <w:r w:rsidRPr="00063883">
              <w:rPr>
                <w:rFonts w:cs="Arial"/>
              </w:rPr>
              <w:t xml:space="preserve">integrations across the </w:t>
            </w:r>
            <w:r>
              <w:rPr>
                <w:rFonts w:cs="Arial"/>
              </w:rPr>
              <w:t>CRM system</w:t>
            </w:r>
            <w:r w:rsidRPr="00063883">
              <w:rPr>
                <w:rFonts w:cs="Arial"/>
              </w:rPr>
              <w:t xml:space="preserve"> and those required for </w:t>
            </w:r>
            <w:r w:rsidRPr="00BA45DB">
              <w:rPr>
                <w:rFonts w:cs="Arial"/>
              </w:rPr>
              <w:t>end-to-end</w:t>
            </w:r>
            <w:r w:rsidRPr="00063883">
              <w:rPr>
                <w:rFonts w:cs="Arial"/>
              </w:rPr>
              <w:t xml:space="preserve"> processes that use systems outside the </w:t>
            </w:r>
            <w:r>
              <w:rPr>
                <w:rFonts w:cs="Arial"/>
              </w:rPr>
              <w:t>CRM</w:t>
            </w:r>
          </w:p>
        </w:tc>
        <w:tc>
          <w:tcPr>
            <w:tcW w:w="1970" w:type="dxa"/>
          </w:tcPr>
          <w:p w14:paraId="3AA05CED" w14:textId="7257C53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1BEAA9D7">
              <w:rPr>
                <w:rFonts w:cs="Arial"/>
              </w:rPr>
              <w:t>Responsible</w:t>
            </w:r>
            <w:r w:rsidR="000F0E41">
              <w:rPr>
                <w:rFonts w:cs="Arial"/>
              </w:rPr>
              <w:t xml:space="preserve"> (for design elements)</w:t>
            </w:r>
          </w:p>
        </w:tc>
        <w:tc>
          <w:tcPr>
            <w:tcW w:w="2498" w:type="dxa"/>
          </w:tcPr>
          <w:p w14:paraId="3519B781" w14:textId="7B63DE6B"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5A7C094B">
              <w:rPr>
                <w:rFonts w:cs="Arial"/>
              </w:rPr>
              <w:t>Responsible</w:t>
            </w:r>
            <w:r w:rsidR="00BA0319">
              <w:rPr>
                <w:rFonts w:cs="Arial"/>
              </w:rPr>
              <w:t xml:space="preserve"> (for definition of integrations require</w:t>
            </w:r>
            <w:r w:rsidR="006D5F7C">
              <w:rPr>
                <w:rFonts w:cs="Arial"/>
              </w:rPr>
              <w:t>ments and engagement with legacy vendors)</w:t>
            </w:r>
          </w:p>
          <w:p w14:paraId="36A1ADAD"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0260DC4E" w14:textId="77777777" w:rsidR="004855B9" w:rsidRDefault="00A56304">
            <w:pPr>
              <w:cnfStyle w:val="000000000000" w:firstRow="0" w:lastRow="0" w:firstColumn="0" w:lastColumn="0" w:oddVBand="0" w:evenVBand="0" w:oddHBand="0" w:evenHBand="0" w:firstRowFirstColumn="0" w:firstRowLastColumn="0" w:lastRowFirstColumn="0" w:lastRowLastColumn="0"/>
              <w:rPr>
                <w:rFonts w:cs="Arial"/>
              </w:rPr>
            </w:pPr>
            <w:r>
              <w:rPr>
                <w:rFonts w:cs="Arial"/>
              </w:rPr>
              <w:t>Accountable</w:t>
            </w:r>
          </w:p>
          <w:p w14:paraId="73908935" w14:textId="637F2177" w:rsidR="006D5F7C" w:rsidRPr="5A7C094B" w:rsidRDefault="006D5F7C">
            <w:pPr>
              <w:cnfStyle w:val="000000000000" w:firstRow="0" w:lastRow="0" w:firstColumn="0" w:lastColumn="0" w:oddVBand="0" w:evenVBand="0" w:oddHBand="0" w:evenHBand="0" w:firstRowFirstColumn="0" w:firstRowLastColumn="0" w:lastRowFirstColumn="0" w:lastRowLastColumn="0"/>
              <w:rPr>
                <w:rFonts w:cs="Arial"/>
              </w:rPr>
            </w:pPr>
            <w:r>
              <w:rPr>
                <w:rFonts w:cs="Arial"/>
              </w:rPr>
              <w:t>Responsible</w:t>
            </w:r>
            <w:r w:rsidR="00B22221">
              <w:rPr>
                <w:rFonts w:cs="Arial"/>
              </w:rPr>
              <w:t xml:space="preserve"> (for </w:t>
            </w:r>
            <w:r w:rsidR="000F0E41">
              <w:rPr>
                <w:rFonts w:cs="Arial"/>
              </w:rPr>
              <w:t xml:space="preserve">detailed </w:t>
            </w:r>
            <w:r w:rsidR="00B22221">
              <w:rPr>
                <w:rFonts w:cs="Arial"/>
              </w:rPr>
              <w:t>design, build and deployment</w:t>
            </w:r>
            <w:r w:rsidR="00D12133">
              <w:rPr>
                <w:rFonts w:cs="Arial"/>
              </w:rPr>
              <w:t xml:space="preserve"> of integrations</w:t>
            </w:r>
          </w:p>
        </w:tc>
      </w:tr>
      <w:tr w:rsidR="004855B9" w:rsidRPr="63E44D96" w14:paraId="603AC704"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3212C703" w14:textId="64338E03" w:rsidR="004855B9" w:rsidRDefault="004855B9">
            <w:pPr>
              <w:rPr>
                <w:rFonts w:cs="Arial"/>
              </w:rPr>
            </w:pPr>
            <w:r w:rsidRPr="00286D0A">
              <w:rPr>
                <w:rFonts w:cs="Arial"/>
              </w:rPr>
              <w:t>Transform &amp; Load</w:t>
            </w:r>
          </w:p>
        </w:tc>
        <w:tc>
          <w:tcPr>
            <w:tcW w:w="3026" w:type="dxa"/>
          </w:tcPr>
          <w:p w14:paraId="472553FB" w14:textId="60BAA1D0" w:rsidR="004855B9" w:rsidRPr="4895F461" w:rsidRDefault="00A12FC4">
            <w:pPr>
              <w:cnfStyle w:val="000000000000" w:firstRow="0" w:lastRow="0" w:firstColumn="0" w:lastColumn="0" w:oddVBand="0" w:evenVBand="0" w:oddHBand="0" w:evenHBand="0" w:firstRowFirstColumn="0" w:firstRowLastColumn="0" w:lastRowFirstColumn="0" w:lastRowLastColumn="0"/>
              <w:rPr>
                <w:rFonts w:cs="Arial"/>
              </w:rPr>
            </w:pPr>
            <w:r>
              <w:rPr>
                <w:rFonts w:cs="Arial"/>
              </w:rPr>
              <w:t>T</w:t>
            </w:r>
            <w:r w:rsidRPr="50CF744F">
              <w:rPr>
                <w:rFonts w:cs="Arial"/>
              </w:rPr>
              <w:t>ransformation of data to the target system schema, and the load of the transformed data</w:t>
            </w:r>
            <w:r w:rsidR="00471465">
              <w:rPr>
                <w:rFonts w:cs="Arial"/>
              </w:rPr>
              <w:t xml:space="preserve"> into</w:t>
            </w:r>
            <w:r w:rsidRPr="50CF744F">
              <w:rPr>
                <w:rFonts w:cs="Arial"/>
              </w:rPr>
              <w:t xml:space="preserve"> the target system</w:t>
            </w:r>
          </w:p>
        </w:tc>
        <w:tc>
          <w:tcPr>
            <w:tcW w:w="1970" w:type="dxa"/>
          </w:tcPr>
          <w:p w14:paraId="15699CF4" w14:textId="749659AA" w:rsidR="004855B9" w:rsidRDefault="00741E5A">
            <w:pPr>
              <w:cnfStyle w:val="000000000000" w:firstRow="0" w:lastRow="0" w:firstColumn="0" w:lastColumn="0" w:oddVBand="0" w:evenVBand="0" w:oddHBand="0" w:evenHBand="0" w:firstRowFirstColumn="0" w:firstRowLastColumn="0" w:lastRowFirstColumn="0" w:lastRowLastColumn="0"/>
              <w:rPr>
                <w:rFonts w:cs="Arial"/>
              </w:rPr>
            </w:pPr>
            <w:r>
              <w:rPr>
                <w:rFonts w:cs="Arial"/>
              </w:rPr>
              <w:t>Consulted</w:t>
            </w:r>
          </w:p>
        </w:tc>
        <w:tc>
          <w:tcPr>
            <w:tcW w:w="2498" w:type="dxa"/>
          </w:tcPr>
          <w:p w14:paraId="0FB6EE79" w14:textId="75B62FC0" w:rsidR="004855B9" w:rsidRDefault="00741E5A">
            <w:pPr>
              <w:cnfStyle w:val="000000000000" w:firstRow="0" w:lastRow="0" w:firstColumn="0" w:lastColumn="0" w:oddVBand="0" w:evenVBand="0" w:oddHBand="0" w:evenHBand="0" w:firstRowFirstColumn="0" w:firstRowLastColumn="0" w:lastRowFirstColumn="0" w:lastRowLastColumn="0"/>
              <w:rPr>
                <w:rFonts w:cs="Arial"/>
              </w:rPr>
            </w:pPr>
            <w:r>
              <w:rPr>
                <w:rFonts w:cs="Arial"/>
              </w:rPr>
              <w:t>Responsible</w:t>
            </w:r>
          </w:p>
          <w:p w14:paraId="77E7436A"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3D7F688B" w14:textId="77777777" w:rsidR="006E45A7" w:rsidRPr="006E45A7" w:rsidRDefault="006E45A7">
            <w:pPr>
              <w:cnfStyle w:val="000000000000" w:firstRow="0" w:lastRow="0" w:firstColumn="0" w:lastColumn="0" w:oddVBand="0" w:evenVBand="0" w:oddHBand="0" w:evenHBand="0" w:firstRowFirstColumn="0" w:firstRowLastColumn="0" w:lastRowFirstColumn="0" w:lastRowLastColumn="0"/>
              <w:rPr>
                <w:rFonts w:cs="Arial"/>
              </w:rPr>
            </w:pPr>
            <w:r w:rsidRPr="006E45A7">
              <w:rPr>
                <w:rFonts w:cs="Arial"/>
              </w:rPr>
              <w:t xml:space="preserve">Accountable </w:t>
            </w:r>
          </w:p>
          <w:p w14:paraId="7E1220D5" w14:textId="42860619" w:rsidR="004855B9" w:rsidRDefault="006E45A7">
            <w:pPr>
              <w:cnfStyle w:val="000000000000" w:firstRow="0" w:lastRow="0" w:firstColumn="0" w:lastColumn="0" w:oddVBand="0" w:evenVBand="0" w:oddHBand="0" w:evenHBand="0" w:firstRowFirstColumn="0" w:firstRowLastColumn="0" w:lastRowFirstColumn="0" w:lastRowLastColumn="0"/>
              <w:rPr>
                <w:rFonts w:cs="Arial"/>
              </w:rPr>
            </w:pPr>
            <w:r w:rsidRPr="006E45A7">
              <w:rPr>
                <w:rFonts w:cs="Arial"/>
              </w:rPr>
              <w:t>Responsible</w:t>
            </w:r>
          </w:p>
          <w:p w14:paraId="188277CE" w14:textId="77777777" w:rsidR="004855B9" w:rsidRPr="63E44D96" w:rsidRDefault="004855B9">
            <w:pPr>
              <w:cnfStyle w:val="000000000000" w:firstRow="0" w:lastRow="0" w:firstColumn="0" w:lastColumn="0" w:oddVBand="0" w:evenVBand="0" w:oddHBand="0" w:evenHBand="0" w:firstRowFirstColumn="0" w:firstRowLastColumn="0" w:lastRowFirstColumn="0" w:lastRowLastColumn="0"/>
              <w:rPr>
                <w:rFonts w:cs="Arial"/>
              </w:rPr>
            </w:pPr>
          </w:p>
        </w:tc>
      </w:tr>
      <w:tr w:rsidR="004855B9" w:rsidRPr="6F838BF2" w14:paraId="7F22D07F"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49F1D299" w14:textId="77777777" w:rsidR="004855B9" w:rsidRDefault="004855B9">
            <w:pPr>
              <w:rPr>
                <w:rFonts w:cs="Arial"/>
              </w:rPr>
            </w:pPr>
            <w:r w:rsidRPr="14339EA9">
              <w:rPr>
                <w:rFonts w:cs="Arial"/>
              </w:rPr>
              <w:t>Legacy Data Extract</w:t>
            </w:r>
          </w:p>
        </w:tc>
        <w:tc>
          <w:tcPr>
            <w:tcW w:w="3026" w:type="dxa"/>
          </w:tcPr>
          <w:p w14:paraId="5522648E" w14:textId="0109FFE9" w:rsidR="004855B9" w:rsidRPr="2B3F6505" w:rsidRDefault="008D05C1" w:rsidP="008D05C1">
            <w:pPr>
              <w:cnfStyle w:val="000000000000" w:firstRow="0" w:lastRow="0" w:firstColumn="0" w:lastColumn="0" w:oddVBand="0" w:evenVBand="0" w:oddHBand="0" w:evenHBand="0" w:firstRowFirstColumn="0" w:firstRowLastColumn="0" w:lastRowFirstColumn="0" w:lastRowLastColumn="0"/>
              <w:rPr>
                <w:rFonts w:cs="Arial"/>
              </w:rPr>
            </w:pPr>
            <w:r w:rsidRPr="50CF744F">
              <w:rPr>
                <w:rFonts w:cs="Arial"/>
              </w:rPr>
              <w:t>This is the extraction of data from the legacy source systems</w:t>
            </w:r>
          </w:p>
        </w:tc>
        <w:tc>
          <w:tcPr>
            <w:tcW w:w="1970" w:type="dxa"/>
          </w:tcPr>
          <w:p w14:paraId="5D2911DF"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2B3F6505">
              <w:rPr>
                <w:rFonts w:cs="Arial"/>
              </w:rPr>
              <w:t>Consulted</w:t>
            </w:r>
          </w:p>
          <w:p w14:paraId="0B9F6D22"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714FB119" w14:textId="77777777" w:rsidR="00FB56B1" w:rsidRDefault="00FB56B1">
            <w:pPr>
              <w:cnfStyle w:val="000000000000" w:firstRow="0" w:lastRow="0" w:firstColumn="0" w:lastColumn="0" w:oddVBand="0" w:evenVBand="0" w:oddHBand="0" w:evenHBand="0" w:firstRowFirstColumn="0" w:firstRowLastColumn="0" w:lastRowFirstColumn="0" w:lastRowLastColumn="0"/>
              <w:rPr>
                <w:rFonts w:cs="Arial"/>
              </w:rPr>
            </w:pPr>
            <w:r>
              <w:rPr>
                <w:rFonts w:cs="Arial"/>
              </w:rPr>
              <w:t>Accountable</w:t>
            </w:r>
          </w:p>
          <w:p w14:paraId="7E2A7203" w14:textId="1852DB83"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p w14:paraId="3D64D3ED"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6023083B"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63E44D96">
              <w:rPr>
                <w:rFonts w:cs="Arial"/>
              </w:rPr>
              <w:t>Consulted</w:t>
            </w:r>
          </w:p>
          <w:p w14:paraId="3AFFB72B" w14:textId="77777777" w:rsidR="004855B9" w:rsidRPr="6F838BF2" w:rsidRDefault="004855B9">
            <w:pPr>
              <w:cnfStyle w:val="000000000000" w:firstRow="0" w:lastRow="0" w:firstColumn="0" w:lastColumn="0" w:oddVBand="0" w:evenVBand="0" w:oddHBand="0" w:evenHBand="0" w:firstRowFirstColumn="0" w:firstRowLastColumn="0" w:lastRowFirstColumn="0" w:lastRowLastColumn="0"/>
              <w:rPr>
                <w:rFonts w:cs="Arial"/>
              </w:rPr>
            </w:pPr>
          </w:p>
        </w:tc>
      </w:tr>
      <w:tr w:rsidR="004855B9" w:rsidRPr="0C28F16B" w14:paraId="6F975B99" w14:textId="77777777" w:rsidTr="00616753">
        <w:trPr>
          <w:trHeight w:val="688"/>
        </w:trPr>
        <w:tc>
          <w:tcPr>
            <w:cnfStyle w:val="001000000000" w:firstRow="0" w:lastRow="0" w:firstColumn="1" w:lastColumn="0" w:oddVBand="0" w:evenVBand="0" w:oddHBand="0" w:evenHBand="0" w:firstRowFirstColumn="0" w:firstRowLastColumn="0" w:lastRowFirstColumn="0" w:lastRowLastColumn="0"/>
            <w:tcW w:w="2498" w:type="dxa"/>
          </w:tcPr>
          <w:p w14:paraId="75A59D35" w14:textId="77777777" w:rsidR="004855B9" w:rsidRDefault="004855B9">
            <w:pPr>
              <w:rPr>
                <w:rFonts w:cs="Arial"/>
              </w:rPr>
            </w:pPr>
            <w:r w:rsidRPr="17CDF143">
              <w:rPr>
                <w:rFonts w:cs="Arial"/>
              </w:rPr>
              <w:t>Legacy Data Archive</w:t>
            </w:r>
          </w:p>
        </w:tc>
        <w:tc>
          <w:tcPr>
            <w:tcW w:w="3026" w:type="dxa"/>
          </w:tcPr>
          <w:p w14:paraId="532B72D2" w14:textId="75178376" w:rsidR="004855B9" w:rsidRPr="2B3F6505" w:rsidRDefault="00ED53F2">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Enable the </w:t>
            </w:r>
            <w:r w:rsidR="00902986" w:rsidRPr="00063883">
              <w:rPr>
                <w:rFonts w:cs="Arial"/>
              </w:rPr>
              <w:t xml:space="preserve">business </w:t>
            </w:r>
            <w:r w:rsidR="00902986" w:rsidRPr="554A4077">
              <w:rPr>
                <w:rFonts w:cs="Arial"/>
              </w:rPr>
              <w:t xml:space="preserve">areas </w:t>
            </w:r>
            <w:r w:rsidR="00902986" w:rsidRPr="04767335">
              <w:rPr>
                <w:rFonts w:cs="Arial"/>
              </w:rPr>
              <w:t xml:space="preserve">to archive and </w:t>
            </w:r>
            <w:r w:rsidR="00902986" w:rsidRPr="00063883">
              <w:rPr>
                <w:rFonts w:cs="Arial"/>
              </w:rPr>
              <w:t xml:space="preserve">access archived data </w:t>
            </w:r>
            <w:r w:rsidR="00902986" w:rsidRPr="60883B27">
              <w:rPr>
                <w:rFonts w:cs="Arial"/>
              </w:rPr>
              <w:t>as required</w:t>
            </w:r>
            <w:r w:rsidR="00902986" w:rsidRPr="71F03D67">
              <w:rPr>
                <w:rFonts w:cs="Arial"/>
              </w:rPr>
              <w:t xml:space="preserve"> </w:t>
            </w:r>
          </w:p>
        </w:tc>
        <w:tc>
          <w:tcPr>
            <w:tcW w:w="1970" w:type="dxa"/>
          </w:tcPr>
          <w:p w14:paraId="6D8CEADE"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2B3F6505">
              <w:rPr>
                <w:rFonts w:cs="Arial"/>
              </w:rPr>
              <w:t>Consulted</w:t>
            </w:r>
          </w:p>
          <w:p w14:paraId="521B4726"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4850A779"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0C28F16B">
              <w:rPr>
                <w:rFonts w:cs="Arial"/>
              </w:rPr>
              <w:t>Accountable</w:t>
            </w:r>
          </w:p>
        </w:tc>
        <w:tc>
          <w:tcPr>
            <w:tcW w:w="2498" w:type="dxa"/>
          </w:tcPr>
          <w:p w14:paraId="593598B5"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63E44D96">
              <w:rPr>
                <w:rFonts w:cs="Arial"/>
              </w:rPr>
              <w:t>Consulted</w:t>
            </w:r>
          </w:p>
          <w:p w14:paraId="78304A17" w14:textId="77777777" w:rsidR="004855B9" w:rsidRPr="0C28F16B" w:rsidRDefault="004855B9">
            <w:pPr>
              <w:cnfStyle w:val="000000000000" w:firstRow="0" w:lastRow="0" w:firstColumn="0" w:lastColumn="0" w:oddVBand="0" w:evenVBand="0" w:oddHBand="0" w:evenHBand="0" w:firstRowFirstColumn="0" w:firstRowLastColumn="0" w:lastRowFirstColumn="0" w:lastRowLastColumn="0"/>
              <w:rPr>
                <w:rFonts w:cs="Arial"/>
              </w:rPr>
            </w:pPr>
          </w:p>
        </w:tc>
      </w:tr>
      <w:tr w:rsidR="004855B9" w:rsidRPr="0C28F16B" w14:paraId="3A87686F" w14:textId="77777777" w:rsidTr="00616753">
        <w:trPr>
          <w:trHeight w:val="299"/>
        </w:trPr>
        <w:tc>
          <w:tcPr>
            <w:cnfStyle w:val="001000000000" w:firstRow="0" w:lastRow="0" w:firstColumn="1" w:lastColumn="0" w:oddVBand="0" w:evenVBand="0" w:oddHBand="0" w:evenHBand="0" w:firstRowFirstColumn="0" w:firstRowLastColumn="0" w:lastRowFirstColumn="0" w:lastRowLastColumn="0"/>
            <w:tcW w:w="2498" w:type="dxa"/>
          </w:tcPr>
          <w:p w14:paraId="1CA1F78B" w14:textId="77777777" w:rsidR="004855B9" w:rsidRDefault="004855B9">
            <w:pPr>
              <w:rPr>
                <w:rFonts w:cs="Arial"/>
              </w:rPr>
            </w:pPr>
            <w:r w:rsidRPr="14339EA9">
              <w:rPr>
                <w:rFonts w:cs="Arial"/>
              </w:rPr>
              <w:t xml:space="preserve">Legacy System </w:t>
            </w:r>
            <w:r w:rsidRPr="36AFDF77">
              <w:rPr>
                <w:rFonts w:cs="Arial"/>
              </w:rPr>
              <w:t>Decommission</w:t>
            </w:r>
          </w:p>
        </w:tc>
        <w:tc>
          <w:tcPr>
            <w:tcW w:w="3026" w:type="dxa"/>
          </w:tcPr>
          <w:p w14:paraId="4B74AEBC" w14:textId="79DB70AF" w:rsidR="004855B9" w:rsidRPr="2B3F6505" w:rsidRDefault="00FE0829">
            <w:pPr>
              <w:cnfStyle w:val="000000000000" w:firstRow="0" w:lastRow="0" w:firstColumn="0" w:lastColumn="0" w:oddVBand="0" w:evenVBand="0" w:oddHBand="0" w:evenHBand="0" w:firstRowFirstColumn="0" w:firstRowLastColumn="0" w:lastRowFirstColumn="0" w:lastRowLastColumn="0"/>
              <w:rPr>
                <w:rFonts w:cs="Arial"/>
              </w:rPr>
            </w:pPr>
            <w:r w:rsidRPr="00063883">
              <w:rPr>
                <w:rFonts w:cs="Arial"/>
              </w:rPr>
              <w:t>Decommission legacy systems in a controlled manner</w:t>
            </w:r>
          </w:p>
        </w:tc>
        <w:tc>
          <w:tcPr>
            <w:tcW w:w="1970" w:type="dxa"/>
          </w:tcPr>
          <w:p w14:paraId="0CA245D3"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2B3F6505">
              <w:rPr>
                <w:rFonts w:cs="Arial"/>
              </w:rPr>
              <w:t>Consulted</w:t>
            </w:r>
          </w:p>
          <w:p w14:paraId="485D5737"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p>
        </w:tc>
        <w:tc>
          <w:tcPr>
            <w:tcW w:w="2498" w:type="dxa"/>
          </w:tcPr>
          <w:p w14:paraId="3639FA2B"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0C28F16B">
              <w:rPr>
                <w:rFonts w:cs="Arial"/>
              </w:rPr>
              <w:t>Accountable</w:t>
            </w:r>
          </w:p>
        </w:tc>
        <w:tc>
          <w:tcPr>
            <w:tcW w:w="2498" w:type="dxa"/>
          </w:tcPr>
          <w:p w14:paraId="693F2301" w14:textId="77777777" w:rsidR="004855B9" w:rsidRDefault="004855B9">
            <w:pPr>
              <w:cnfStyle w:val="000000000000" w:firstRow="0" w:lastRow="0" w:firstColumn="0" w:lastColumn="0" w:oddVBand="0" w:evenVBand="0" w:oddHBand="0" w:evenHBand="0" w:firstRowFirstColumn="0" w:firstRowLastColumn="0" w:lastRowFirstColumn="0" w:lastRowLastColumn="0"/>
              <w:rPr>
                <w:rFonts w:cs="Arial"/>
              </w:rPr>
            </w:pPr>
            <w:r w:rsidRPr="63E44D96">
              <w:rPr>
                <w:rFonts w:cs="Arial"/>
              </w:rPr>
              <w:t>Consulted</w:t>
            </w:r>
          </w:p>
          <w:p w14:paraId="362EBFF8" w14:textId="77777777" w:rsidR="004855B9" w:rsidRPr="0C28F16B" w:rsidRDefault="004855B9">
            <w:pPr>
              <w:cnfStyle w:val="000000000000" w:firstRow="0" w:lastRow="0" w:firstColumn="0" w:lastColumn="0" w:oddVBand="0" w:evenVBand="0" w:oddHBand="0" w:evenHBand="0" w:firstRowFirstColumn="0" w:firstRowLastColumn="0" w:lastRowFirstColumn="0" w:lastRowLastColumn="0"/>
              <w:rPr>
                <w:rFonts w:cs="Arial"/>
              </w:rPr>
            </w:pPr>
          </w:p>
        </w:tc>
      </w:tr>
    </w:tbl>
    <w:p w14:paraId="196E9D1B" w14:textId="77777777" w:rsidR="00626DFA" w:rsidRDefault="00626DFA" w:rsidP="001975E4">
      <w:pPr>
        <w:rPr>
          <w:rFonts w:cs="Arial"/>
          <w:b/>
          <w:bCs/>
          <w:color w:val="009999"/>
          <w:sz w:val="24"/>
          <w:szCs w:val="24"/>
        </w:rPr>
      </w:pPr>
    </w:p>
    <w:p w14:paraId="305CA36E" w14:textId="4CE03DEB" w:rsidR="00D053D0" w:rsidRPr="004C0062" w:rsidRDefault="001975E4" w:rsidP="004C0062">
      <w:pPr>
        <w:pStyle w:val="Annex1header1"/>
        <w:spacing w:after="120"/>
        <w:ind w:left="357" w:hanging="357"/>
      </w:pPr>
      <w:r w:rsidRPr="004C0062">
        <w:t>Technical Principles</w:t>
      </w:r>
    </w:p>
    <w:p w14:paraId="256561C6" w14:textId="77777777" w:rsidR="00A6615B" w:rsidRPr="00A6615B" w:rsidRDefault="00A6615B" w:rsidP="00C06284">
      <w:pPr>
        <w:pStyle w:val="ListParagraph"/>
        <w:numPr>
          <w:ilvl w:val="0"/>
          <w:numId w:val="29"/>
        </w:numPr>
        <w:spacing w:afterLines="160" w:after="384"/>
        <w:contextualSpacing w:val="0"/>
        <w:jc w:val="both"/>
        <w:rPr>
          <w:rStyle w:val="normaltextrun"/>
          <w:rFonts w:cs="Arial"/>
          <w:vanish/>
        </w:rPr>
      </w:pPr>
    </w:p>
    <w:p w14:paraId="6D806773" w14:textId="77777777" w:rsidR="00E130B7" w:rsidRPr="00EC66B1" w:rsidRDefault="001975E4" w:rsidP="00C06284">
      <w:pPr>
        <w:pStyle w:val="Annex1text2"/>
        <w:numPr>
          <w:ilvl w:val="1"/>
          <w:numId w:val="29"/>
        </w:numPr>
        <w:spacing w:afterLines="160" w:after="384"/>
        <w:jc w:val="both"/>
        <w:rPr>
          <w:rStyle w:val="normaltextrun"/>
          <w:b w:val="0"/>
        </w:rPr>
      </w:pPr>
      <w:r w:rsidRPr="00EC66B1">
        <w:rPr>
          <w:rStyle w:val="normaltextrun"/>
          <w:b w:val="0"/>
        </w:rPr>
        <w:t>HMRC</w:t>
      </w:r>
      <w:r w:rsidR="0019464F" w:rsidRPr="00EC66B1">
        <w:rPr>
          <w:rStyle w:val="normaltextrun"/>
          <w:b w:val="0"/>
        </w:rPr>
        <w:t>’s technology estate has evolved over time, with numerous separate systems</w:t>
      </w:r>
      <w:r w:rsidR="00C82A1E" w:rsidRPr="00EC66B1">
        <w:rPr>
          <w:rStyle w:val="normaltextrun"/>
          <w:b w:val="0"/>
        </w:rPr>
        <w:t xml:space="preserve">, that do not rely on a modern SaaS architecture. </w:t>
      </w:r>
      <w:r w:rsidR="001A7F09" w:rsidRPr="00EC66B1">
        <w:rPr>
          <w:rStyle w:val="normaltextrun"/>
          <w:b w:val="0"/>
        </w:rPr>
        <w:t>We have the following</w:t>
      </w:r>
      <w:r w:rsidR="00C82A1E" w:rsidRPr="00EC66B1">
        <w:rPr>
          <w:rStyle w:val="normaltextrun"/>
          <w:b w:val="0"/>
        </w:rPr>
        <w:t xml:space="preserve"> ‘Technical </w:t>
      </w:r>
      <w:r w:rsidR="001A7F09" w:rsidRPr="00EC66B1">
        <w:rPr>
          <w:rStyle w:val="normaltextrun"/>
          <w:b w:val="0"/>
        </w:rPr>
        <w:t>Principles</w:t>
      </w:r>
      <w:r w:rsidR="00C82A1E" w:rsidRPr="00EC66B1">
        <w:rPr>
          <w:rStyle w:val="normaltextrun"/>
          <w:b w:val="0"/>
        </w:rPr>
        <w:t>’</w:t>
      </w:r>
      <w:r w:rsidR="001A7F09" w:rsidRPr="00EC66B1">
        <w:rPr>
          <w:rStyle w:val="normaltextrun"/>
          <w:b w:val="0"/>
        </w:rPr>
        <w:t xml:space="preserve"> to ensure our </w:t>
      </w:r>
      <w:r w:rsidR="00F80A50" w:rsidRPr="00EC66B1">
        <w:rPr>
          <w:rStyle w:val="normaltextrun"/>
          <w:b w:val="0"/>
        </w:rPr>
        <w:t>future architecture enables our ambition</w:t>
      </w:r>
      <w:r w:rsidR="00E130B7" w:rsidRPr="00EC66B1">
        <w:rPr>
          <w:rStyle w:val="normaltextrun"/>
          <w:b w:val="0"/>
        </w:rPr>
        <w:t>.</w:t>
      </w:r>
    </w:p>
    <w:p w14:paraId="581FE374" w14:textId="76B4BE41" w:rsidR="004D337A" w:rsidRPr="00B40517" w:rsidRDefault="004D337A" w:rsidP="00C06284">
      <w:pPr>
        <w:pStyle w:val="ListParagraph"/>
        <w:numPr>
          <w:ilvl w:val="0"/>
          <w:numId w:val="23"/>
        </w:numPr>
        <w:jc w:val="both"/>
        <w:rPr>
          <w:rFonts w:cs="Arial"/>
          <w:color w:val="000000" w:themeColor="text1"/>
        </w:rPr>
      </w:pPr>
      <w:r w:rsidRPr="00B40517">
        <w:rPr>
          <w:rFonts w:cs="Arial"/>
          <w:color w:val="000000" w:themeColor="text1"/>
        </w:rPr>
        <w:t>All Customers represented once in a consistent manner within the same repository - the Central CRM</w:t>
      </w:r>
      <w:r w:rsidR="00A6615B">
        <w:rPr>
          <w:rFonts w:cs="Arial"/>
          <w:color w:val="000000" w:themeColor="text1"/>
        </w:rPr>
        <w:t>.</w:t>
      </w:r>
    </w:p>
    <w:p w14:paraId="5C66D5AD" w14:textId="12D60DDB" w:rsidR="00B60B21" w:rsidRPr="0017670D" w:rsidRDefault="0017670D" w:rsidP="00C06284">
      <w:pPr>
        <w:pStyle w:val="ListParagraph"/>
        <w:numPr>
          <w:ilvl w:val="0"/>
          <w:numId w:val="23"/>
        </w:numPr>
        <w:jc w:val="both"/>
        <w:rPr>
          <w:rFonts w:cs="Arial"/>
          <w:color w:val="000000" w:themeColor="text1"/>
        </w:rPr>
      </w:pPr>
      <w:r w:rsidRPr="00B40517">
        <w:rPr>
          <w:rFonts w:cs="Arial"/>
          <w:color w:val="000000" w:themeColor="text1"/>
        </w:rPr>
        <w:t xml:space="preserve">The </w:t>
      </w:r>
      <w:r w:rsidR="006B48CF" w:rsidRPr="0017670D">
        <w:rPr>
          <w:color w:val="000000" w:themeColor="text1"/>
          <w:lang w:eastAsia="en-GB"/>
        </w:rPr>
        <w:t>structure of the data held for any single Customer in the Central CRM is determined by the relevant Customer Type for each Customer (Individual, Ltd Company etc.)</w:t>
      </w:r>
      <w:r w:rsidR="00A6615B">
        <w:rPr>
          <w:color w:val="000000" w:themeColor="text1"/>
          <w:lang w:eastAsia="en-GB"/>
        </w:rPr>
        <w:t>.</w:t>
      </w:r>
    </w:p>
    <w:p w14:paraId="13289B5E" w14:textId="414E55CA" w:rsidR="008E3BE2" w:rsidRPr="00B40517" w:rsidRDefault="008E3BE2" w:rsidP="00C06284">
      <w:pPr>
        <w:pStyle w:val="ListParagraph"/>
        <w:numPr>
          <w:ilvl w:val="0"/>
          <w:numId w:val="23"/>
        </w:numPr>
        <w:jc w:val="both"/>
        <w:rPr>
          <w:rFonts w:cs="Arial"/>
          <w:color w:val="000000" w:themeColor="text1"/>
        </w:rPr>
      </w:pPr>
      <w:r w:rsidRPr="00B40517">
        <w:rPr>
          <w:rFonts w:cs="Arial"/>
          <w:color w:val="000000" w:themeColor="text1"/>
        </w:rPr>
        <w:t>Each Customer has a unique identifier</w:t>
      </w:r>
      <w:r w:rsidR="00A6615B">
        <w:rPr>
          <w:rFonts w:cs="Arial"/>
          <w:color w:val="000000" w:themeColor="text1"/>
        </w:rPr>
        <w:t>.</w:t>
      </w:r>
    </w:p>
    <w:p w14:paraId="62B13E43" w14:textId="3CB540BC" w:rsidR="001D6651" w:rsidRPr="00B40517" w:rsidRDefault="001D6651" w:rsidP="00C06284">
      <w:pPr>
        <w:pStyle w:val="ListParagraph"/>
        <w:numPr>
          <w:ilvl w:val="0"/>
          <w:numId w:val="23"/>
        </w:numPr>
        <w:jc w:val="both"/>
        <w:rPr>
          <w:rFonts w:cs="Arial"/>
          <w:color w:val="000000" w:themeColor="text1"/>
        </w:rPr>
      </w:pPr>
      <w:r w:rsidRPr="00B40517">
        <w:rPr>
          <w:rFonts w:cs="Arial"/>
          <w:color w:val="000000" w:themeColor="text1"/>
        </w:rPr>
        <w:t xml:space="preserve">Store the Services a </w:t>
      </w:r>
      <w:proofErr w:type="gramStart"/>
      <w:r w:rsidRPr="00B40517">
        <w:rPr>
          <w:rFonts w:cs="Arial"/>
          <w:color w:val="000000" w:themeColor="text1"/>
        </w:rPr>
        <w:t>Customer</w:t>
      </w:r>
      <w:proofErr w:type="gramEnd"/>
      <w:r w:rsidRPr="00B40517">
        <w:rPr>
          <w:rFonts w:cs="Arial"/>
          <w:color w:val="000000" w:themeColor="text1"/>
        </w:rPr>
        <w:t xml:space="preserve"> is Subscribed to in the Central CRM</w:t>
      </w:r>
      <w:r w:rsidR="00A6615B">
        <w:rPr>
          <w:rFonts w:cs="Arial"/>
          <w:color w:val="000000" w:themeColor="text1"/>
        </w:rPr>
        <w:t>.</w:t>
      </w:r>
    </w:p>
    <w:p w14:paraId="6428FB5A" w14:textId="43EF51AB" w:rsidR="001D6651" w:rsidRPr="00B40517" w:rsidRDefault="001D6651" w:rsidP="00C06284">
      <w:pPr>
        <w:pStyle w:val="ListParagraph"/>
        <w:numPr>
          <w:ilvl w:val="0"/>
          <w:numId w:val="23"/>
        </w:numPr>
        <w:jc w:val="both"/>
        <w:rPr>
          <w:rFonts w:cs="Arial"/>
          <w:color w:val="000000" w:themeColor="text1"/>
        </w:rPr>
      </w:pPr>
      <w:r w:rsidRPr="00B40517">
        <w:rPr>
          <w:rFonts w:cs="Arial"/>
          <w:color w:val="000000" w:themeColor="text1"/>
        </w:rPr>
        <w:t>Maintain Customer data and Subscriptions directly rather than through matching</w:t>
      </w:r>
      <w:r w:rsidR="00A6615B">
        <w:rPr>
          <w:rFonts w:cs="Arial"/>
          <w:color w:val="000000" w:themeColor="text1"/>
        </w:rPr>
        <w:t>.</w:t>
      </w:r>
    </w:p>
    <w:p w14:paraId="46489CD2" w14:textId="5F66E220" w:rsidR="001D6651" w:rsidRPr="00B40517" w:rsidRDefault="001D6651" w:rsidP="00C06284">
      <w:pPr>
        <w:pStyle w:val="ListParagraph"/>
        <w:numPr>
          <w:ilvl w:val="0"/>
          <w:numId w:val="23"/>
        </w:numPr>
        <w:jc w:val="both"/>
        <w:rPr>
          <w:rFonts w:cs="Arial"/>
          <w:color w:val="000000" w:themeColor="text1"/>
        </w:rPr>
      </w:pPr>
      <w:r w:rsidRPr="00B40517">
        <w:rPr>
          <w:rFonts w:cs="Arial"/>
          <w:color w:val="000000" w:themeColor="text1"/>
        </w:rPr>
        <w:t>Store Events associated with each Customer to create a Customer History</w:t>
      </w:r>
      <w:r w:rsidR="00A6615B">
        <w:rPr>
          <w:rFonts w:cs="Arial"/>
          <w:color w:val="000000" w:themeColor="text1"/>
        </w:rPr>
        <w:t>.</w:t>
      </w:r>
    </w:p>
    <w:p w14:paraId="03D18C8B" w14:textId="1FC1488B" w:rsidR="000063AE" w:rsidRPr="00B40517" w:rsidRDefault="000063AE" w:rsidP="00C06284">
      <w:pPr>
        <w:pStyle w:val="ListParagraph"/>
        <w:numPr>
          <w:ilvl w:val="0"/>
          <w:numId w:val="23"/>
        </w:numPr>
        <w:jc w:val="both"/>
        <w:rPr>
          <w:rFonts w:cs="Arial"/>
          <w:color w:val="000000" w:themeColor="text1"/>
        </w:rPr>
      </w:pPr>
      <w:r w:rsidRPr="00B40517">
        <w:rPr>
          <w:rFonts w:cs="Arial"/>
          <w:color w:val="000000" w:themeColor="text1"/>
        </w:rPr>
        <w:t>Link Customers to other key entities within the Central CRM</w:t>
      </w:r>
      <w:r w:rsidR="00A6615B">
        <w:rPr>
          <w:rFonts w:cs="Arial"/>
          <w:color w:val="000000" w:themeColor="text1"/>
        </w:rPr>
        <w:t>.</w:t>
      </w:r>
    </w:p>
    <w:p w14:paraId="07D1BDEB" w14:textId="4B6F8276" w:rsidR="000063AE" w:rsidRPr="00B40517" w:rsidRDefault="000063AE" w:rsidP="00C06284">
      <w:pPr>
        <w:pStyle w:val="ListParagraph"/>
        <w:numPr>
          <w:ilvl w:val="0"/>
          <w:numId w:val="23"/>
        </w:numPr>
        <w:jc w:val="both"/>
        <w:rPr>
          <w:rFonts w:cs="Arial"/>
          <w:color w:val="000000" w:themeColor="text1"/>
        </w:rPr>
      </w:pPr>
      <w:r w:rsidRPr="00B40517">
        <w:rPr>
          <w:rFonts w:cs="Arial"/>
          <w:color w:val="000000" w:themeColor="text1"/>
        </w:rPr>
        <w:lastRenderedPageBreak/>
        <w:t>Store Preferences in CRM</w:t>
      </w:r>
      <w:r w:rsidR="00A6615B">
        <w:rPr>
          <w:rFonts w:cs="Arial"/>
          <w:color w:val="000000" w:themeColor="text1"/>
        </w:rPr>
        <w:t>.</w:t>
      </w:r>
    </w:p>
    <w:p w14:paraId="6978CD11" w14:textId="3409FF3C" w:rsidR="000063AE" w:rsidRPr="00B40517" w:rsidRDefault="000063AE" w:rsidP="00C06284">
      <w:pPr>
        <w:pStyle w:val="ListParagraph"/>
        <w:numPr>
          <w:ilvl w:val="0"/>
          <w:numId w:val="23"/>
        </w:numPr>
        <w:jc w:val="both"/>
        <w:rPr>
          <w:rFonts w:cs="Arial"/>
          <w:color w:val="000000" w:themeColor="text1"/>
        </w:rPr>
      </w:pPr>
      <w:r w:rsidRPr="00B40517">
        <w:rPr>
          <w:rFonts w:cs="Arial"/>
          <w:color w:val="000000" w:themeColor="text1"/>
        </w:rPr>
        <w:t>Drive contact with Customer through CRM</w:t>
      </w:r>
      <w:r w:rsidR="00A6615B">
        <w:rPr>
          <w:rFonts w:cs="Arial"/>
          <w:color w:val="000000" w:themeColor="text1"/>
        </w:rPr>
        <w:t>.</w:t>
      </w:r>
    </w:p>
    <w:p w14:paraId="0F87C56B" w14:textId="35FE125B" w:rsidR="003A5BBD" w:rsidRPr="00B40517" w:rsidRDefault="003A5BBD" w:rsidP="00C06284">
      <w:pPr>
        <w:pStyle w:val="ListParagraph"/>
        <w:numPr>
          <w:ilvl w:val="0"/>
          <w:numId w:val="23"/>
        </w:numPr>
        <w:jc w:val="both"/>
        <w:rPr>
          <w:rFonts w:cs="Arial"/>
          <w:color w:val="000000" w:themeColor="text1"/>
        </w:rPr>
      </w:pPr>
      <w:r w:rsidRPr="00B40517">
        <w:rPr>
          <w:rFonts w:cs="Arial"/>
          <w:color w:val="000000" w:themeColor="text1"/>
        </w:rPr>
        <w:t>Build Customer facing services using same technology platform as the Central CRM</w:t>
      </w:r>
      <w:r w:rsidR="00A6615B">
        <w:rPr>
          <w:rFonts w:cs="Arial"/>
          <w:color w:val="000000" w:themeColor="text1"/>
        </w:rPr>
        <w:t>.</w:t>
      </w:r>
    </w:p>
    <w:p w14:paraId="7AD9C407" w14:textId="77777777" w:rsidR="005121A4" w:rsidRPr="00EC66B1" w:rsidRDefault="005121A4" w:rsidP="00C06284">
      <w:pPr>
        <w:pStyle w:val="Annex1text2"/>
        <w:numPr>
          <w:ilvl w:val="1"/>
          <w:numId w:val="29"/>
        </w:numPr>
        <w:spacing w:afterLines="160" w:after="384"/>
        <w:jc w:val="both"/>
        <w:rPr>
          <w:rStyle w:val="normaltextrun"/>
          <w:b w:val="0"/>
        </w:rPr>
      </w:pPr>
      <w:r w:rsidRPr="00EC66B1">
        <w:rPr>
          <w:rStyle w:val="normaltextrun"/>
          <w:b w:val="0"/>
        </w:rPr>
        <w:t>We aim to build a single, integrated platform to streamline operations and minimize complexity. This will ensure consistency across all contact channels and operational systems.</w:t>
      </w:r>
    </w:p>
    <w:p w14:paraId="0F422BB2" w14:textId="008B7EA4"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API-Enabled Integration for Seamless Connectivity</w:t>
      </w:r>
      <w:r w:rsidRPr="00B40517">
        <w:rPr>
          <w:rFonts w:cs="Arial"/>
          <w:color w:val="000000" w:themeColor="text1"/>
        </w:rPr>
        <w:t>: Our future platform needs to fully support API-based integration, allowing us to connect effortlessly with existing and future systems within our broader technology ecosystem. This will facilitate modularity and adaptability to accommodate evolving requirements.</w:t>
      </w:r>
    </w:p>
    <w:p w14:paraId="7892F58C" w14:textId="42E20DB0"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Customer Data at the Core, Master Data Governance Elsewhere</w:t>
      </w:r>
      <w:r w:rsidRPr="00B40517">
        <w:rPr>
          <w:rFonts w:cs="Arial"/>
          <w:color w:val="000000" w:themeColor="text1"/>
        </w:rPr>
        <w:t>: We plan to place customer data at the heart of our contact centre operations, enabling effective personalization and decision-making. However, customer data management and mastering will be governed by</w:t>
      </w:r>
      <w:r w:rsidR="006B018C">
        <w:rPr>
          <w:rFonts w:cs="Arial"/>
          <w:color w:val="000000" w:themeColor="text1"/>
        </w:rPr>
        <w:t xml:space="preserve"> the CRM</w:t>
      </w:r>
      <w:r w:rsidRPr="00B40517">
        <w:rPr>
          <w:rFonts w:cs="Arial"/>
          <w:color w:val="000000" w:themeColor="text1"/>
        </w:rPr>
        <w:t>, ensuring consistency across our organization.</w:t>
      </w:r>
    </w:p>
    <w:p w14:paraId="38E2EA4E" w14:textId="77777777"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Future-Proof Architecture for Long-Term Development</w:t>
      </w:r>
      <w:r w:rsidRPr="00B40517">
        <w:rPr>
          <w:rFonts w:cs="Arial"/>
          <w:color w:val="000000" w:themeColor="text1"/>
        </w:rPr>
        <w:t>: Our architecture will be built to support future advancements in technology, such as integration with advanced CRM systems and other complementary tools. This approach will avoid lock-in to rigid technologies, enabling smooth transitions to next-generation capabilities.</w:t>
      </w:r>
    </w:p>
    <w:p w14:paraId="74438248" w14:textId="74679426"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Incremental Adoption and Evolution of AI</w:t>
      </w:r>
      <w:r w:rsidRPr="00B40517">
        <w:rPr>
          <w:rFonts w:cs="Arial"/>
          <w:color w:val="000000" w:themeColor="text1"/>
        </w:rPr>
        <w:t xml:space="preserve">: Artificial Intelligence (AI) will be embedded within our platform but designed to evolve over time in line with our maturity and strategic priorities. This will allow for the gradual adoption of AI-driven functionalities, such as chatbots and sentiment analysis, </w:t>
      </w:r>
      <w:r w:rsidR="4E1D4375" w:rsidRPr="0912A591">
        <w:rPr>
          <w:rFonts w:cs="Arial"/>
          <w:color w:val="000000" w:themeColor="text1"/>
        </w:rPr>
        <w:t xml:space="preserve">along with the ability to use AI to automate tasks, </w:t>
      </w:r>
      <w:r w:rsidRPr="00B40517">
        <w:rPr>
          <w:rFonts w:cs="Arial"/>
          <w:color w:val="000000" w:themeColor="text1"/>
        </w:rPr>
        <w:t>aligned with user needs.</w:t>
      </w:r>
    </w:p>
    <w:p w14:paraId="5CE9FD17" w14:textId="77777777"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Robust Scalability to Handle Demand Peaks</w:t>
      </w:r>
      <w:r w:rsidRPr="00B40517">
        <w:rPr>
          <w:rFonts w:cs="Arial"/>
          <w:color w:val="000000" w:themeColor="text1"/>
        </w:rPr>
        <w:t>: Our platform will be capable of scaling dynamically to meet fluctuations in demand, ensuring uninterrupted service during peak periods, particularly in scenarios of national importance.</w:t>
      </w:r>
    </w:p>
    <w:p w14:paraId="179F3BCA" w14:textId="77777777"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Support for Multi-Channel Communication Today &amp; Tomorrow</w:t>
      </w:r>
      <w:r w:rsidRPr="00B40517">
        <w:rPr>
          <w:rFonts w:cs="Arial"/>
          <w:color w:val="000000" w:themeColor="text1"/>
        </w:rPr>
        <w:t>: We need to be able to effectively handle current communication channels (e.g., voice, email, chat) while maintaining flexibility to incorporate emerging technologies and platforms (e.g., social media, video). This will provide a seamless experience across all channels for both customers and agents.</w:t>
      </w:r>
    </w:p>
    <w:p w14:paraId="52C58574" w14:textId="4FC0F695"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Support for Hybrid and Remote Work Models</w:t>
      </w:r>
      <w:r w:rsidRPr="00B40517">
        <w:rPr>
          <w:rFonts w:cs="Arial"/>
          <w:color w:val="000000" w:themeColor="text1"/>
        </w:rPr>
        <w:t>: Our future platform will need to fully accommodate remote working arrangements for contact centre advisors, ensuring equal access to tools, resources, and security irrespective of location. This will enable hybrid working models to boost workforce flexibility and resilience.</w:t>
      </w:r>
    </w:p>
    <w:p w14:paraId="7E9DA182" w14:textId="77777777"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Security and Compliance by Design</w:t>
      </w:r>
      <w:r w:rsidRPr="00B40517">
        <w:rPr>
          <w:rFonts w:cs="Arial"/>
          <w:color w:val="000000" w:themeColor="text1"/>
        </w:rPr>
        <w:t>: We’re looking for a solution that’s designed to meet the highest standards of data security and privacy, aligned with government regulations and standards. It will incorporate role-based access, encryption, and robust auditing mechanisms to protect sensitive customer information.</w:t>
      </w:r>
    </w:p>
    <w:p w14:paraId="0049E76D" w14:textId="5B4E9122" w:rsidR="005121A4" w:rsidRPr="00B40517" w:rsidRDefault="005121A4" w:rsidP="00C06284">
      <w:pPr>
        <w:pStyle w:val="ListParagraph"/>
        <w:numPr>
          <w:ilvl w:val="0"/>
          <w:numId w:val="30"/>
        </w:numPr>
        <w:jc w:val="both"/>
        <w:rPr>
          <w:rFonts w:cs="Arial"/>
          <w:color w:val="000000" w:themeColor="text1"/>
        </w:rPr>
      </w:pPr>
      <w:r w:rsidRPr="00B40517">
        <w:rPr>
          <w:rFonts w:cs="Arial"/>
          <w:b/>
          <w:color w:val="000000" w:themeColor="text1"/>
        </w:rPr>
        <w:t>Optimi</w:t>
      </w:r>
      <w:r w:rsidR="00FB4C50">
        <w:rPr>
          <w:rFonts w:cs="Arial"/>
          <w:b/>
          <w:color w:val="000000" w:themeColor="text1"/>
        </w:rPr>
        <w:t>s</w:t>
      </w:r>
      <w:r w:rsidRPr="00B40517">
        <w:rPr>
          <w:rFonts w:cs="Arial"/>
          <w:b/>
          <w:color w:val="000000" w:themeColor="text1"/>
        </w:rPr>
        <w:t>ed for Value and Efficiency</w:t>
      </w:r>
      <w:r w:rsidRPr="00B40517">
        <w:rPr>
          <w:rFonts w:cs="Arial"/>
          <w:color w:val="000000" w:themeColor="text1"/>
        </w:rPr>
        <w:t>: We need to ensure that our implementation delivers tangible value by focusing on ease of use, process efficiency, and cost-effectiveness. This approach will balance initial investments with long-term operational cost savings.</w:t>
      </w:r>
    </w:p>
    <w:p w14:paraId="7832F980" w14:textId="77777777" w:rsidR="00307ED2" w:rsidRDefault="00307ED2" w:rsidP="003A5BBD">
      <w:pPr>
        <w:pStyle w:val="ListParagraph"/>
        <w:ind w:left="417"/>
        <w:rPr>
          <w:rFonts w:cs="Arial"/>
          <w:color w:val="000000" w:themeColor="text1"/>
        </w:rPr>
        <w:sectPr w:rsidR="00307ED2" w:rsidSect="009546F5">
          <w:pgSz w:w="15840" w:h="12240" w:orient="landscape"/>
          <w:pgMar w:top="1440" w:right="1440" w:bottom="1440" w:left="1440" w:header="720" w:footer="720" w:gutter="0"/>
          <w:cols w:space="720"/>
          <w:docGrid w:linePitch="299"/>
        </w:sectPr>
      </w:pPr>
    </w:p>
    <w:p w14:paraId="032A1E36" w14:textId="14CFFE9A" w:rsidR="002609AE" w:rsidRDefault="00A837E3" w:rsidP="00074EA6">
      <w:pPr>
        <w:pStyle w:val="Appendixheader"/>
      </w:pPr>
      <w:r w:rsidRPr="004F40F0">
        <w:lastRenderedPageBreak/>
        <w:t xml:space="preserve">ANNEX 1 </w:t>
      </w:r>
      <w:r w:rsidR="002609AE" w:rsidRPr="004F40F0">
        <w:t>APPENDIX A: EXISTING TECHNICAL ARCHITECTURE</w:t>
      </w:r>
      <w:r w:rsidR="00AE0127">
        <w:br/>
      </w:r>
      <w:r w:rsidR="00AE0127">
        <w:br/>
      </w:r>
      <w:r w:rsidR="00AE0127">
        <w:rPr>
          <w:noProof/>
        </w:rPr>
        <w:drawing>
          <wp:inline distT="0" distB="0" distL="0" distR="0" wp14:anchorId="5E32A05D" wp14:editId="18FDAA2B">
            <wp:extent cx="8066676" cy="4528457"/>
            <wp:effectExtent l="0" t="0" r="0" b="5715"/>
            <wp:docPr id="1121049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49519" name=""/>
                    <pic:cNvPicPr/>
                  </pic:nvPicPr>
                  <pic:blipFill>
                    <a:blip r:embed="rId33"/>
                    <a:stretch>
                      <a:fillRect/>
                    </a:stretch>
                  </pic:blipFill>
                  <pic:spPr>
                    <a:xfrm>
                      <a:off x="0" y="0"/>
                      <a:ext cx="8086559" cy="4539619"/>
                    </a:xfrm>
                    <a:prstGeom prst="rect">
                      <a:avLst/>
                    </a:prstGeom>
                  </pic:spPr>
                </pic:pic>
              </a:graphicData>
            </a:graphic>
          </wp:inline>
        </w:drawing>
      </w:r>
    </w:p>
    <w:p w14:paraId="1C418CFD" w14:textId="13DFD9FC" w:rsidR="001753EB" w:rsidRDefault="004F40F0" w:rsidP="00AA30D0">
      <w:pPr>
        <w:pStyle w:val="Appendixheader"/>
      </w:pPr>
      <w:r>
        <w:lastRenderedPageBreak/>
        <w:t xml:space="preserve">ANNEX 1 </w:t>
      </w:r>
      <w:r w:rsidR="002133E3">
        <w:t>APPENDIX B: KEY VOLUMETRICS</w:t>
      </w:r>
      <w:r w:rsidR="001753EB">
        <w:br/>
      </w:r>
    </w:p>
    <w:tbl>
      <w:tblPr>
        <w:tblW w:w="12251" w:type="dxa"/>
        <w:tblCellMar>
          <w:top w:w="15" w:type="dxa"/>
          <w:bottom w:w="15" w:type="dxa"/>
        </w:tblCellMar>
        <w:tblLook w:val="04A0" w:firstRow="1" w:lastRow="0" w:firstColumn="1" w:lastColumn="0" w:noHBand="0" w:noVBand="1"/>
      </w:tblPr>
      <w:tblGrid>
        <w:gridCol w:w="2547"/>
        <w:gridCol w:w="5020"/>
        <w:gridCol w:w="2484"/>
        <w:gridCol w:w="2200"/>
      </w:tblGrid>
      <w:tr w:rsidR="000D6E8A" w:rsidRPr="000D6E8A" w14:paraId="0F0C82EA" w14:textId="77777777" w:rsidTr="006B0E8F">
        <w:trPr>
          <w:trHeight w:val="496"/>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9999"/>
            <w:vAlign w:val="center"/>
            <w:hideMark/>
          </w:tcPr>
          <w:p w14:paraId="19CA939D" w14:textId="77777777" w:rsidR="000D6E8A" w:rsidRPr="00B40517" w:rsidRDefault="000D6E8A" w:rsidP="00D47DF3">
            <w:pPr>
              <w:rPr>
                <w:b/>
                <w:color w:val="FFFFFF" w:themeColor="background1"/>
                <w:lang w:eastAsia="en-GB"/>
              </w:rPr>
            </w:pPr>
            <w:r w:rsidRPr="00B40517">
              <w:rPr>
                <w:b/>
                <w:color w:val="FFFFFF" w:themeColor="background1"/>
                <w:lang w:eastAsia="en-GB"/>
              </w:rPr>
              <w:t>Metric Type</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9999"/>
            <w:vAlign w:val="center"/>
          </w:tcPr>
          <w:p w14:paraId="380EB9FA" w14:textId="03B98EF5" w:rsidR="00C469AE" w:rsidRDefault="00C469AE" w:rsidP="00D47DF3">
            <w:pPr>
              <w:rPr>
                <w:b/>
                <w:bCs/>
                <w:color w:val="FFFFFF" w:themeColor="background1"/>
                <w:lang w:eastAsia="en-GB"/>
              </w:rPr>
            </w:pPr>
            <w:r>
              <w:rPr>
                <w:b/>
                <w:bCs/>
                <w:color w:val="FFFFFF" w:themeColor="background1"/>
                <w:lang w:eastAsia="en-GB"/>
              </w:rPr>
              <w:t>Metric Description</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9999"/>
            <w:vAlign w:val="center"/>
            <w:hideMark/>
          </w:tcPr>
          <w:p w14:paraId="0B8DAF60" w14:textId="549BCBBD" w:rsidR="000D6E8A" w:rsidRPr="00B40517" w:rsidRDefault="000D6E8A" w:rsidP="00D47DF3">
            <w:pPr>
              <w:rPr>
                <w:b/>
                <w:color w:val="FFFFFF" w:themeColor="background1"/>
                <w:lang w:eastAsia="en-GB"/>
              </w:rPr>
            </w:pPr>
            <w:r w:rsidRPr="00B40517">
              <w:rPr>
                <w:b/>
                <w:color w:val="FFFFFF" w:themeColor="background1"/>
                <w:lang w:eastAsia="en-GB"/>
              </w:rPr>
              <w:t>Quantity/Metric</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009999"/>
            <w:vAlign w:val="center"/>
            <w:hideMark/>
          </w:tcPr>
          <w:p w14:paraId="558DB856" w14:textId="15E5BB04" w:rsidR="000D6E8A" w:rsidRPr="00B40517" w:rsidRDefault="000D6E8A" w:rsidP="00D47DF3">
            <w:pPr>
              <w:rPr>
                <w:b/>
                <w:color w:val="FFFFFF" w:themeColor="background1"/>
                <w:lang w:eastAsia="en-GB"/>
              </w:rPr>
            </w:pPr>
            <w:r w:rsidRPr="00B40517">
              <w:rPr>
                <w:b/>
                <w:color w:val="FFFFFF" w:themeColor="background1"/>
                <w:lang w:eastAsia="en-GB"/>
              </w:rPr>
              <w:t>Frequency</w:t>
            </w:r>
          </w:p>
        </w:tc>
      </w:tr>
      <w:tr w:rsidR="000D6E8A" w:rsidRPr="000D6E8A" w14:paraId="1420D7AC" w14:textId="77777777" w:rsidTr="006B0E8F">
        <w:trPr>
          <w:trHeight w:val="28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8DA3AA6" w14:textId="3E189602" w:rsidR="000D6E8A" w:rsidRPr="00B40517" w:rsidRDefault="001F5464" w:rsidP="00D47DF3">
            <w:pPr>
              <w:rPr>
                <w:lang w:eastAsia="en-GB"/>
              </w:rPr>
            </w:pPr>
            <w:r w:rsidRPr="00B40517">
              <w:rPr>
                <w:lang w:eastAsia="en-GB"/>
              </w:rPr>
              <w:t>Inbound post</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CEAC12" w14:textId="77CC8287" w:rsidR="00C469AE" w:rsidRPr="00B40517" w:rsidRDefault="00A34DB1" w:rsidP="00D47DF3">
            <w:pPr>
              <w:rPr>
                <w:rFonts w:eastAsia="Times New Roman" w:cs="Arial"/>
                <w:lang w:eastAsia="en-GB"/>
              </w:rPr>
            </w:pPr>
            <w:r>
              <w:rPr>
                <w:rFonts w:eastAsia="Times New Roman" w:cs="Arial"/>
                <w:lang w:eastAsia="en-GB"/>
              </w:rPr>
              <w:t>Physical and digital mail received from external senders</w:t>
            </w:r>
            <w:r w:rsidR="009C0C8D">
              <w:rPr>
                <w:rFonts w:eastAsia="Times New Roman" w:cs="Arial"/>
                <w:lang w:eastAsia="en-GB"/>
              </w:rPr>
              <w:t xml:space="preserve"> (ext</w:t>
            </w:r>
            <w:r w:rsidR="001E1493">
              <w:rPr>
                <w:rFonts w:eastAsia="Times New Roman" w:cs="Arial"/>
                <w:lang w:eastAsia="en-GB"/>
              </w:rPr>
              <w:t>ernal personas)</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708C8D9" w14:textId="58FB2082" w:rsidR="000D6E8A" w:rsidRPr="00B40517" w:rsidRDefault="001F5464" w:rsidP="00D47DF3">
            <w:pPr>
              <w:rPr>
                <w:rFonts w:eastAsia="Times New Roman" w:cs="Arial"/>
                <w:lang w:eastAsia="en-GB"/>
              </w:rPr>
            </w:pPr>
            <w:r w:rsidRPr="00B40517">
              <w:rPr>
                <w:rFonts w:eastAsia="Times New Roman" w:cs="Arial"/>
                <w:lang w:eastAsia="en-GB"/>
              </w:rPr>
              <w:t>15.7 million</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70DFECE" w14:textId="2E121526" w:rsidR="000D6E8A" w:rsidRPr="00B40517" w:rsidRDefault="001F5464" w:rsidP="00D47DF3">
            <w:pPr>
              <w:rPr>
                <w:rFonts w:eastAsia="Times New Roman" w:cs="Arial"/>
                <w:lang w:eastAsia="en-GB"/>
              </w:rPr>
            </w:pPr>
            <w:r w:rsidRPr="00B40517">
              <w:rPr>
                <w:rFonts w:eastAsia="Times New Roman" w:cs="Arial"/>
                <w:lang w:eastAsia="en-GB"/>
              </w:rPr>
              <w:t>yearly</w:t>
            </w:r>
          </w:p>
        </w:tc>
      </w:tr>
      <w:tr w:rsidR="000D6E8A" w:rsidRPr="000D6E8A" w14:paraId="452DB89D" w14:textId="77777777" w:rsidTr="006B0E8F">
        <w:trPr>
          <w:trHeight w:val="28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AFE9F60" w14:textId="4D3FA4E5" w:rsidR="000D6E8A" w:rsidRPr="00B40517" w:rsidRDefault="001F5464" w:rsidP="00D47DF3">
            <w:pPr>
              <w:rPr>
                <w:lang w:eastAsia="en-GB"/>
              </w:rPr>
            </w:pPr>
            <w:r w:rsidRPr="00B40517">
              <w:rPr>
                <w:lang w:eastAsia="en-GB"/>
              </w:rPr>
              <w:t>Outbound post</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7BD2A8" w14:textId="248EF44C" w:rsidR="00C469AE" w:rsidRPr="00B40517" w:rsidRDefault="001E1493" w:rsidP="00D47DF3">
            <w:pPr>
              <w:rPr>
                <w:rFonts w:eastAsia="Times New Roman" w:cs="Arial"/>
                <w:lang w:eastAsia="en-GB"/>
              </w:rPr>
            </w:pPr>
            <w:r>
              <w:rPr>
                <w:rFonts w:eastAsia="Times New Roman" w:cs="Arial"/>
                <w:lang w:eastAsia="en-GB"/>
              </w:rPr>
              <w:t>Physical and digital mail sent by HMRC to external user (external personas)</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5350111" w14:textId="2199F1DC" w:rsidR="000D6E8A" w:rsidRPr="00B40517" w:rsidRDefault="001F5464" w:rsidP="00D47DF3">
            <w:pPr>
              <w:rPr>
                <w:rFonts w:eastAsia="Times New Roman" w:cs="Arial"/>
                <w:lang w:eastAsia="en-GB"/>
              </w:rPr>
            </w:pPr>
            <w:r w:rsidRPr="00B40517">
              <w:rPr>
                <w:rFonts w:eastAsia="Times New Roman" w:cs="Arial"/>
                <w:lang w:eastAsia="en-GB"/>
              </w:rPr>
              <w:t>150 million</w:t>
            </w:r>
            <w:r w:rsidR="000D6E8A" w:rsidRPr="00B40517">
              <w:rPr>
                <w:rFonts w:eastAsia="Times New Roman" w:cs="Arial"/>
                <w:lang w:eastAsia="en-GB"/>
              </w:rPr>
              <w:t xml:space="preserve"> </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D769ED2" w14:textId="2D022633" w:rsidR="000D6E8A" w:rsidRPr="00B40517" w:rsidRDefault="001F5464" w:rsidP="00D47DF3">
            <w:pPr>
              <w:rPr>
                <w:rFonts w:eastAsia="Times New Roman" w:cs="Arial"/>
                <w:lang w:eastAsia="en-GB"/>
              </w:rPr>
            </w:pPr>
            <w:r w:rsidRPr="00B40517">
              <w:rPr>
                <w:rFonts w:eastAsia="Times New Roman" w:cs="Arial"/>
                <w:lang w:eastAsia="en-GB"/>
              </w:rPr>
              <w:t>yearly</w:t>
            </w:r>
          </w:p>
        </w:tc>
      </w:tr>
      <w:tr w:rsidR="000D6E8A" w:rsidRPr="000D6E8A" w14:paraId="206ED0EE" w14:textId="77777777" w:rsidTr="006B0E8F">
        <w:trPr>
          <w:trHeight w:val="28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1033A2" w14:textId="6290DBDB" w:rsidR="000D6E8A" w:rsidRPr="00B40517" w:rsidRDefault="00A4135B" w:rsidP="00D47DF3">
            <w:pPr>
              <w:rPr>
                <w:lang w:eastAsia="en-GB"/>
              </w:rPr>
            </w:pPr>
            <w:r w:rsidRPr="00B40517">
              <w:rPr>
                <w:lang w:eastAsia="en-GB"/>
              </w:rPr>
              <w:t>Open cases</w:t>
            </w:r>
            <w:r w:rsidR="43CB9D34" w:rsidRPr="0912A591">
              <w:rPr>
                <w:lang w:eastAsia="en-GB"/>
              </w:rPr>
              <w:t xml:space="preserve"> (Compliance)</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B42ED0" w14:textId="419E213F" w:rsidR="00C469AE" w:rsidRPr="00B40517" w:rsidRDefault="00D24A40" w:rsidP="00D47DF3">
            <w:pPr>
              <w:rPr>
                <w:rFonts w:eastAsia="Times New Roman" w:cs="Arial"/>
                <w:lang w:eastAsia="en-GB"/>
              </w:rPr>
            </w:pPr>
            <w:r>
              <w:rPr>
                <w:rFonts w:eastAsia="Times New Roman" w:cs="Arial"/>
                <w:lang w:eastAsia="en-GB"/>
              </w:rPr>
              <w:t xml:space="preserve">A customer issue, request or inquiry </w:t>
            </w:r>
            <w:r w:rsidR="00E03E0A">
              <w:rPr>
                <w:rFonts w:eastAsia="Times New Roman" w:cs="Arial"/>
                <w:lang w:eastAsia="en-GB"/>
              </w:rPr>
              <w:t>that has been received but not yet fully resolved or closed</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699841A" w14:textId="38B425D8" w:rsidR="000D6E8A" w:rsidRPr="00B40517" w:rsidRDefault="00A4135B" w:rsidP="00E66809">
            <w:pPr>
              <w:rPr>
                <w:rFonts w:eastAsia="Times New Roman" w:cs="Arial"/>
                <w:lang w:eastAsia="en-GB"/>
              </w:rPr>
            </w:pPr>
            <w:r w:rsidRPr="00B40517">
              <w:rPr>
                <w:rFonts w:eastAsia="Times New Roman" w:cs="Arial"/>
                <w:lang w:eastAsia="en-GB"/>
              </w:rPr>
              <w:t>7000</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A6DA067" w14:textId="3D400F61" w:rsidR="000D6E8A" w:rsidRPr="00B40517" w:rsidRDefault="00A4135B" w:rsidP="00D47DF3">
            <w:pPr>
              <w:rPr>
                <w:rFonts w:eastAsia="Times New Roman" w:cs="Arial"/>
                <w:lang w:eastAsia="en-GB"/>
              </w:rPr>
            </w:pPr>
            <w:r w:rsidRPr="00B40517">
              <w:rPr>
                <w:rFonts w:eastAsia="Times New Roman" w:cs="Arial"/>
                <w:lang w:eastAsia="en-GB"/>
              </w:rPr>
              <w:t>monthly</w:t>
            </w:r>
            <w:r w:rsidR="000D6E8A" w:rsidRPr="00B40517">
              <w:rPr>
                <w:rFonts w:eastAsia="Times New Roman" w:cs="Arial"/>
                <w:lang w:eastAsia="en-GB"/>
              </w:rPr>
              <w:t xml:space="preserve"> </w:t>
            </w:r>
          </w:p>
        </w:tc>
      </w:tr>
      <w:tr w:rsidR="000D6E8A" w:rsidRPr="000D6E8A" w14:paraId="7C74D0E5" w14:textId="77777777" w:rsidTr="006B0E8F">
        <w:trPr>
          <w:trHeight w:val="28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563A8AA" w14:textId="5088C46B" w:rsidR="000D6E8A" w:rsidRPr="00085AEE" w:rsidRDefault="001C1E4B" w:rsidP="00D47DF3">
            <w:pPr>
              <w:rPr>
                <w:lang w:eastAsia="en-GB"/>
              </w:rPr>
            </w:pPr>
            <w:r w:rsidRPr="00085AEE">
              <w:rPr>
                <w:lang w:eastAsia="en-GB"/>
              </w:rPr>
              <w:t>Web form submissions</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AB39116" w14:textId="3DB8D05E" w:rsidR="00C469AE" w:rsidRPr="00085AEE" w:rsidRDefault="00FF1A2C" w:rsidP="00D47DF3">
            <w:pPr>
              <w:rPr>
                <w:lang w:eastAsia="en-GB"/>
              </w:rPr>
            </w:pPr>
            <w:r>
              <w:rPr>
                <w:lang w:eastAsia="en-GB"/>
              </w:rPr>
              <w:t xml:space="preserve">Data sent by an external user completing or submitting a form on the </w:t>
            </w:r>
            <w:r w:rsidR="00DC7B12">
              <w:rPr>
                <w:lang w:eastAsia="en-GB"/>
              </w:rPr>
              <w:t>website</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7B4A3DC6" w14:textId="27DC3822" w:rsidR="000D6E8A" w:rsidRPr="00085AEE" w:rsidRDefault="001C1E4B" w:rsidP="00D47DF3">
            <w:pPr>
              <w:rPr>
                <w:lang w:eastAsia="en-GB"/>
              </w:rPr>
            </w:pPr>
            <w:r w:rsidRPr="00085AEE">
              <w:rPr>
                <w:lang w:eastAsia="en-GB"/>
              </w:rPr>
              <w:t>3,100,000</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6A30C1B9" w14:textId="7F8E8CB6" w:rsidR="000D6E8A" w:rsidRPr="00085AEE" w:rsidRDefault="00085AEE" w:rsidP="00D47DF3">
            <w:pPr>
              <w:rPr>
                <w:lang w:eastAsia="en-GB"/>
              </w:rPr>
            </w:pPr>
            <w:r>
              <w:rPr>
                <w:lang w:eastAsia="en-GB"/>
              </w:rPr>
              <w:t>yearly</w:t>
            </w:r>
          </w:p>
        </w:tc>
      </w:tr>
      <w:tr w:rsidR="000D6E8A" w:rsidRPr="000D6E8A" w14:paraId="5683E631" w14:textId="77777777" w:rsidTr="006B0E8F">
        <w:trPr>
          <w:trHeight w:val="28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87ED8A1" w14:textId="2C0B1E5D" w:rsidR="000D6E8A" w:rsidRPr="00085AEE" w:rsidRDefault="00085AEE" w:rsidP="00D47DF3">
            <w:pPr>
              <w:rPr>
                <w:lang w:eastAsia="en-GB"/>
              </w:rPr>
            </w:pPr>
            <w:r w:rsidRPr="00085AEE">
              <w:rPr>
                <w:lang w:eastAsia="en-GB"/>
              </w:rPr>
              <w:t>Web form submissions</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94F7978" w14:textId="083E1FD3" w:rsidR="00C469AE" w:rsidRPr="00085AEE" w:rsidRDefault="00BE1926" w:rsidP="00D47DF3">
            <w:pPr>
              <w:rPr>
                <w:lang w:eastAsia="en-GB"/>
              </w:rPr>
            </w:pPr>
            <w:r>
              <w:rPr>
                <w:lang w:eastAsia="en-GB"/>
              </w:rPr>
              <w:t xml:space="preserve">Data sent by an external </w:t>
            </w:r>
            <w:r w:rsidR="0013612B">
              <w:rPr>
                <w:lang w:eastAsia="en-GB"/>
              </w:rPr>
              <w:t xml:space="preserve">user completing or submitting a form on the </w:t>
            </w:r>
            <w:r w:rsidR="00DC7B12">
              <w:rPr>
                <w:lang w:eastAsia="en-GB"/>
              </w:rPr>
              <w:t>website</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254960A5" w14:textId="4CBF6A90" w:rsidR="000D6E8A" w:rsidRPr="00085AEE" w:rsidRDefault="00085AEE" w:rsidP="00D47DF3">
            <w:pPr>
              <w:rPr>
                <w:lang w:eastAsia="en-GB"/>
              </w:rPr>
            </w:pPr>
            <w:r w:rsidRPr="00085AEE">
              <w:rPr>
                <w:lang w:eastAsia="en-GB"/>
              </w:rPr>
              <w:t>287,535</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0B0D70B6" w14:textId="37F6CD77" w:rsidR="000D6E8A" w:rsidRPr="00085AEE" w:rsidRDefault="00085AEE" w:rsidP="00D47DF3">
            <w:pPr>
              <w:rPr>
                <w:lang w:eastAsia="en-GB"/>
              </w:rPr>
            </w:pPr>
            <w:r>
              <w:rPr>
                <w:lang w:eastAsia="en-GB"/>
              </w:rPr>
              <w:t>monthly</w:t>
            </w:r>
          </w:p>
        </w:tc>
      </w:tr>
      <w:tr w:rsidR="000D6E8A" w:rsidRPr="000D6E8A" w14:paraId="60C255DB" w14:textId="77777777" w:rsidTr="006B0E8F">
        <w:trPr>
          <w:trHeight w:val="28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445D373F" w14:textId="7315B52A" w:rsidR="000D6E8A" w:rsidRPr="00402E2C" w:rsidRDefault="003958A6" w:rsidP="0085055B">
            <w:pPr>
              <w:rPr>
                <w:lang w:eastAsia="en-GB"/>
              </w:rPr>
            </w:pPr>
            <w:r w:rsidRPr="00402E2C">
              <w:rPr>
                <w:lang w:eastAsia="en-GB"/>
              </w:rPr>
              <w:t>Internal users</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529D8E" w14:textId="6551C77A" w:rsidR="00C469AE" w:rsidRPr="0085055B" w:rsidRDefault="00CD6AE9" w:rsidP="00D47DF3">
            <w:pPr>
              <w:rPr>
                <w:lang w:eastAsia="en-GB"/>
              </w:rPr>
            </w:pPr>
            <w:r w:rsidRPr="00CD6AE9">
              <w:rPr>
                <w:lang w:eastAsia="en-GB"/>
              </w:rPr>
              <w:t>An HMRC employee or system user who accesses the CRM for case management, customer interaction, data processing, or administrative purposes.</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471D36F7" w14:textId="3C1C0647" w:rsidR="000D6E8A" w:rsidRPr="0085055B" w:rsidRDefault="005C23B9" w:rsidP="0085055B">
            <w:pPr>
              <w:rPr>
                <w:lang w:eastAsia="en-GB"/>
              </w:rPr>
            </w:pPr>
            <w:r w:rsidRPr="0085055B">
              <w:rPr>
                <w:lang w:eastAsia="en-GB"/>
              </w:rPr>
              <w:t>25,000</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46D27BB8" w14:textId="1D9BC30B" w:rsidR="000D6E8A" w:rsidRPr="0085055B" w:rsidRDefault="005C23B9" w:rsidP="0085055B">
            <w:pPr>
              <w:rPr>
                <w:lang w:eastAsia="en-GB"/>
              </w:rPr>
            </w:pPr>
            <w:r w:rsidRPr="0085055B">
              <w:rPr>
                <w:lang w:eastAsia="en-GB"/>
              </w:rPr>
              <w:t>hourly</w:t>
            </w:r>
          </w:p>
        </w:tc>
      </w:tr>
      <w:tr w:rsidR="000D6E8A" w:rsidRPr="000D6E8A" w14:paraId="2A451AE5" w14:textId="77777777" w:rsidTr="006B0E8F">
        <w:trPr>
          <w:trHeight w:val="28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27AED815" w14:textId="23634B16" w:rsidR="000D6E8A" w:rsidRPr="00402E2C" w:rsidRDefault="00402E2C" w:rsidP="0085055B">
            <w:pPr>
              <w:rPr>
                <w:lang w:eastAsia="en-GB"/>
              </w:rPr>
            </w:pPr>
            <w:r w:rsidRPr="00402E2C">
              <w:rPr>
                <w:lang w:eastAsia="en-GB"/>
              </w:rPr>
              <w:t>External users</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64801A" w14:textId="264A73D0" w:rsidR="00C469AE" w:rsidRPr="0085055B" w:rsidRDefault="00FA0301" w:rsidP="00D47DF3">
            <w:pPr>
              <w:rPr>
                <w:lang w:eastAsia="en-GB"/>
              </w:rPr>
            </w:pPr>
            <w:r>
              <w:rPr>
                <w:lang w:eastAsia="en-GB"/>
              </w:rPr>
              <w:t>A</w:t>
            </w:r>
            <w:r w:rsidRPr="00CD6AE9">
              <w:rPr>
                <w:lang w:eastAsia="en-GB"/>
              </w:rPr>
              <w:t xml:space="preserve"> system user</w:t>
            </w:r>
            <w:r>
              <w:rPr>
                <w:lang w:eastAsia="en-GB"/>
              </w:rPr>
              <w:t>/ customer/ intermediary outside of HMRC</w:t>
            </w:r>
            <w:r w:rsidRPr="00CD6AE9">
              <w:rPr>
                <w:lang w:eastAsia="en-GB"/>
              </w:rPr>
              <w:t xml:space="preserve"> who </w:t>
            </w:r>
            <w:r w:rsidR="008E45A8">
              <w:rPr>
                <w:lang w:eastAsia="en-GB"/>
              </w:rPr>
              <w:t>interacts with</w:t>
            </w:r>
            <w:r w:rsidRPr="00CD6AE9">
              <w:rPr>
                <w:lang w:eastAsia="en-GB"/>
              </w:rPr>
              <w:t xml:space="preserve"> the CRM for case management, customer interaction, data processing, or administrative purposes.</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79A46542" w14:textId="2AA0BE6F" w:rsidR="000D6E8A" w:rsidRPr="0085055B" w:rsidRDefault="005C23B9" w:rsidP="0085055B">
            <w:pPr>
              <w:rPr>
                <w:lang w:eastAsia="en-GB"/>
              </w:rPr>
            </w:pPr>
            <w:r w:rsidRPr="0085055B">
              <w:rPr>
                <w:lang w:eastAsia="en-GB"/>
              </w:rPr>
              <w:t>500,000</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32CD87B1" w14:textId="379BC5BF" w:rsidR="000D6E8A" w:rsidRPr="0085055B" w:rsidRDefault="005C23B9" w:rsidP="0085055B">
            <w:pPr>
              <w:rPr>
                <w:lang w:eastAsia="en-GB"/>
              </w:rPr>
            </w:pPr>
            <w:r w:rsidRPr="0085055B">
              <w:rPr>
                <w:lang w:eastAsia="en-GB"/>
              </w:rPr>
              <w:t>hourly</w:t>
            </w:r>
          </w:p>
        </w:tc>
      </w:tr>
      <w:tr w:rsidR="000D6E8A" w:rsidRPr="000D6E8A" w14:paraId="785E9C5C" w14:textId="77777777" w:rsidTr="006B0E8F">
        <w:trPr>
          <w:trHeight w:val="28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hideMark/>
          </w:tcPr>
          <w:p w14:paraId="38257D09" w14:textId="750DC525" w:rsidR="000D6E8A" w:rsidRPr="00402E2C" w:rsidRDefault="00EF5179" w:rsidP="0085055B">
            <w:pPr>
              <w:rPr>
                <w:lang w:eastAsia="en-GB"/>
              </w:rPr>
            </w:pPr>
            <w:r>
              <w:rPr>
                <w:lang w:eastAsia="en-GB"/>
              </w:rPr>
              <w:t>Web r</w:t>
            </w:r>
            <w:r w:rsidR="00402E2C" w:rsidRPr="00402E2C">
              <w:rPr>
                <w:lang w:eastAsia="en-GB"/>
              </w:rPr>
              <w:t>equests</w:t>
            </w:r>
            <w:r>
              <w:rPr>
                <w:lang w:eastAsia="en-GB"/>
              </w:rPr>
              <w:t xml:space="preserve"> </w:t>
            </w:r>
          </w:p>
        </w:tc>
        <w:tc>
          <w:tcPr>
            <w:tcW w:w="50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65D374A" w14:textId="1A3854DD" w:rsidR="00C469AE" w:rsidRPr="0085055B" w:rsidRDefault="00A40F00" w:rsidP="0085055B">
            <w:pPr>
              <w:spacing w:after="0" w:line="240" w:lineRule="auto"/>
              <w:rPr>
                <w:lang w:eastAsia="en-GB"/>
              </w:rPr>
            </w:pPr>
            <w:r>
              <w:rPr>
                <w:lang w:eastAsia="en-GB"/>
              </w:rPr>
              <w:t>All interactive responses across web, CRM, mobile, contact centre</w:t>
            </w:r>
            <w:r w:rsidR="00F925D2">
              <w:rPr>
                <w:lang w:eastAsia="en-GB"/>
              </w:rPr>
              <w:t>.</w:t>
            </w:r>
          </w:p>
        </w:tc>
        <w:tc>
          <w:tcPr>
            <w:tcW w:w="24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113AA4CE" w14:textId="6AB0AB72" w:rsidR="000D6E8A" w:rsidRPr="0085055B" w:rsidRDefault="0085055B" w:rsidP="0085055B">
            <w:pPr>
              <w:spacing w:after="0" w:line="240" w:lineRule="auto"/>
              <w:rPr>
                <w:lang w:eastAsia="en-GB"/>
              </w:rPr>
            </w:pPr>
            <w:r w:rsidRPr="0085055B">
              <w:rPr>
                <w:lang w:eastAsia="en-GB"/>
              </w:rPr>
              <w:t>7,500</w:t>
            </w:r>
          </w:p>
        </w:tc>
        <w:tc>
          <w:tcPr>
            <w:tcW w:w="22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hideMark/>
          </w:tcPr>
          <w:p w14:paraId="11D120D8" w14:textId="70E52525" w:rsidR="000D6E8A" w:rsidRPr="0085055B" w:rsidRDefault="0085055B" w:rsidP="0085055B">
            <w:pPr>
              <w:spacing w:after="0" w:line="240" w:lineRule="auto"/>
              <w:rPr>
                <w:lang w:eastAsia="en-GB"/>
              </w:rPr>
            </w:pPr>
            <w:r>
              <w:rPr>
                <w:lang w:eastAsia="en-GB"/>
              </w:rPr>
              <w:t>p</w:t>
            </w:r>
            <w:r w:rsidRPr="0085055B">
              <w:rPr>
                <w:lang w:eastAsia="en-GB"/>
              </w:rPr>
              <w:t>er second</w:t>
            </w:r>
            <w:r w:rsidR="00C978E9">
              <w:rPr>
                <w:lang w:eastAsia="en-GB"/>
              </w:rPr>
              <w:t>, sustained for a minimum of 1 hour</w:t>
            </w:r>
          </w:p>
        </w:tc>
      </w:tr>
    </w:tbl>
    <w:p w14:paraId="125BF7D1" w14:textId="67293B0A" w:rsidR="00AA30D0" w:rsidRDefault="004F40F0" w:rsidP="00AA30D0">
      <w:pPr>
        <w:pStyle w:val="Appendixheader"/>
      </w:pPr>
      <w:r>
        <w:lastRenderedPageBreak/>
        <w:t xml:space="preserve">ANNEX 1 APPENDIX C </w:t>
      </w:r>
      <w:r w:rsidR="001C53BF" w:rsidRPr="001C53BF">
        <w:t>PROGRAMME ROADMAP</w:t>
      </w:r>
    </w:p>
    <w:p w14:paraId="79DFAC9C" w14:textId="77777777" w:rsidR="009546F5" w:rsidRDefault="009546F5" w:rsidP="004307E9"/>
    <w:p w14:paraId="1549454D" w14:textId="3CED5577" w:rsidR="009546F5" w:rsidRDefault="002B041B" w:rsidP="004307E9">
      <w:pPr>
        <w:sectPr w:rsidR="009546F5" w:rsidSect="004307E9">
          <w:headerReference w:type="default" r:id="rId34"/>
          <w:pgSz w:w="15840" w:h="12240" w:orient="landscape"/>
          <w:pgMar w:top="1440" w:right="1440" w:bottom="1440" w:left="1440" w:header="720" w:footer="720" w:gutter="0"/>
          <w:cols w:space="720"/>
          <w:docGrid w:linePitch="299"/>
        </w:sectPr>
      </w:pPr>
      <w:r>
        <w:rPr>
          <w:noProof/>
        </w:rPr>
        <w:drawing>
          <wp:inline distT="0" distB="0" distL="0" distR="0" wp14:anchorId="77F4892C" wp14:editId="0CE4BA6E">
            <wp:extent cx="8565357" cy="4868242"/>
            <wp:effectExtent l="0" t="0" r="7620" b="8890"/>
            <wp:docPr id="36853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53602" name=""/>
                    <pic:cNvPicPr/>
                  </pic:nvPicPr>
                  <pic:blipFill>
                    <a:blip r:embed="rId35"/>
                    <a:stretch>
                      <a:fillRect/>
                    </a:stretch>
                  </pic:blipFill>
                  <pic:spPr>
                    <a:xfrm>
                      <a:off x="0" y="0"/>
                      <a:ext cx="8569436" cy="4870560"/>
                    </a:xfrm>
                    <a:prstGeom prst="rect">
                      <a:avLst/>
                    </a:prstGeom>
                  </pic:spPr>
                </pic:pic>
              </a:graphicData>
            </a:graphic>
          </wp:inline>
        </w:drawing>
      </w:r>
    </w:p>
    <w:p w14:paraId="202140D9" w14:textId="50CFD2D1" w:rsidR="00B2574E" w:rsidRDefault="007A6E36" w:rsidP="007A6E36">
      <w:pPr>
        <w:pStyle w:val="Head2"/>
        <w:pageBreakBefore/>
        <w:numPr>
          <w:ilvl w:val="0"/>
          <w:numId w:val="0"/>
        </w:numPr>
        <w:spacing w:before="240"/>
        <w:rPr>
          <w:rFonts w:cs="Arial"/>
          <w:b/>
          <w:bCs/>
          <w:color w:val="009999"/>
          <w:sz w:val="24"/>
          <w:szCs w:val="24"/>
        </w:rPr>
      </w:pPr>
      <w:bookmarkStart w:id="87" w:name="_Toc203730842"/>
      <w:r w:rsidRPr="00957A1F">
        <w:rPr>
          <w:rFonts w:cs="Arial"/>
          <w:b/>
          <w:bCs/>
          <w:color w:val="009999"/>
          <w:sz w:val="24"/>
          <w:szCs w:val="24"/>
        </w:rPr>
        <w:lastRenderedPageBreak/>
        <w:t xml:space="preserve">ANNEX </w:t>
      </w:r>
      <w:r w:rsidR="007563E0">
        <w:rPr>
          <w:rFonts w:cs="Arial"/>
          <w:b/>
          <w:bCs/>
          <w:color w:val="009999"/>
          <w:sz w:val="24"/>
          <w:szCs w:val="24"/>
        </w:rPr>
        <w:t>2</w:t>
      </w:r>
      <w:r w:rsidRPr="00957A1F">
        <w:rPr>
          <w:rFonts w:cs="Arial"/>
          <w:b/>
          <w:bCs/>
          <w:color w:val="009999"/>
          <w:sz w:val="24"/>
          <w:szCs w:val="24"/>
        </w:rPr>
        <w:t xml:space="preserve">: </w:t>
      </w:r>
      <w:r w:rsidR="00B2574E">
        <w:rPr>
          <w:rFonts w:cs="Arial"/>
          <w:b/>
          <w:bCs/>
          <w:color w:val="009999"/>
          <w:sz w:val="24"/>
          <w:szCs w:val="24"/>
        </w:rPr>
        <w:t>REQUIREMENTS CATALOGUE</w:t>
      </w:r>
      <w:bookmarkEnd w:id="87"/>
    </w:p>
    <w:p w14:paraId="5DEEA00A" w14:textId="52E1601B" w:rsidR="00DB0A5A" w:rsidRPr="009C78F9" w:rsidRDefault="00DB0A5A" w:rsidP="00B2574E">
      <w:r w:rsidRPr="009C78F9">
        <w:t xml:space="preserve">Attached </w:t>
      </w:r>
      <w:r w:rsidR="001917F9">
        <w:t>to</w:t>
      </w:r>
      <w:r w:rsidRPr="009C78F9">
        <w:t xml:space="preserve"> this document is </w:t>
      </w:r>
      <w:r w:rsidR="00F43425">
        <w:t xml:space="preserve">the </w:t>
      </w:r>
      <w:r w:rsidRPr="009C78F9">
        <w:t>Requirements Catalogue. This includes:</w:t>
      </w:r>
    </w:p>
    <w:p w14:paraId="416AA8DF" w14:textId="77777777" w:rsidR="00DB0A5A" w:rsidRDefault="00DB0A5A" w:rsidP="00C06284">
      <w:pPr>
        <w:pStyle w:val="ListParagraph"/>
        <w:numPr>
          <w:ilvl w:val="0"/>
          <w:numId w:val="25"/>
        </w:numPr>
      </w:pPr>
      <w:r>
        <w:t>Epics</w:t>
      </w:r>
    </w:p>
    <w:p w14:paraId="33DD547F" w14:textId="77777777" w:rsidR="00DB0A5A" w:rsidRDefault="00DB0A5A" w:rsidP="00C06284">
      <w:pPr>
        <w:pStyle w:val="ListParagraph"/>
        <w:numPr>
          <w:ilvl w:val="0"/>
          <w:numId w:val="25"/>
        </w:numPr>
      </w:pPr>
      <w:r>
        <w:t>Functional Requirements</w:t>
      </w:r>
    </w:p>
    <w:p w14:paraId="4CFF4BAD" w14:textId="356E7191" w:rsidR="00DB0A5A" w:rsidRDefault="00DB0A5A" w:rsidP="00C06284">
      <w:pPr>
        <w:pStyle w:val="ListParagraph"/>
        <w:numPr>
          <w:ilvl w:val="0"/>
          <w:numId w:val="25"/>
        </w:numPr>
      </w:pPr>
      <w:r>
        <w:t>Non-Functional Requirements</w:t>
      </w:r>
      <w:r w:rsidR="009742E5">
        <w:t xml:space="preserve"> (with supporting documentation)</w:t>
      </w:r>
    </w:p>
    <w:p w14:paraId="3D1A9FA1" w14:textId="6D358D3D" w:rsidR="00DB0A5A" w:rsidRPr="009C78F9" w:rsidRDefault="00DB0A5A" w:rsidP="00B2574E">
      <w:r w:rsidRPr="009C78F9">
        <w:t xml:space="preserve">Please note this catalogue </w:t>
      </w:r>
      <w:r w:rsidRPr="009C78F9">
        <w:rPr>
          <w:b/>
          <w:bCs/>
        </w:rPr>
        <w:t>is for information only</w:t>
      </w:r>
      <w:r w:rsidRPr="009C78F9">
        <w:t xml:space="preserve"> and </w:t>
      </w:r>
      <w:r w:rsidR="009C78F9">
        <w:t>Suppliers at this stage (Conditions of Participation) are not to be evaluated on whether or not they can meet the requirements</w:t>
      </w:r>
      <w:r w:rsidR="00C71F20">
        <w:t xml:space="preserve"> as articulated in the catalogue</w:t>
      </w:r>
      <w:r w:rsidR="009C78F9">
        <w:t xml:space="preserve">. </w:t>
      </w:r>
      <w:r w:rsidR="009C78F9">
        <w:rPr>
          <w:rStyle w:val="normaltextrun"/>
        </w:rPr>
        <w:t xml:space="preserve">Suppliers invited to submit an initial tender at Stage 2 (ITSIT) will be assessed on their ability to meet these detailed requirements. </w:t>
      </w:r>
      <w:r w:rsidR="00647EA1">
        <w:rPr>
          <w:rStyle w:val="normaltextrun"/>
        </w:rPr>
        <w:t xml:space="preserve">Please note the </w:t>
      </w:r>
      <w:r w:rsidR="007133E6">
        <w:rPr>
          <w:rStyle w:val="normaltextrun"/>
        </w:rPr>
        <w:t>requirements attached may be subject to mino</w:t>
      </w:r>
      <w:r w:rsidR="00CE7083">
        <w:rPr>
          <w:rStyle w:val="normaltextrun"/>
        </w:rPr>
        <w:t xml:space="preserve">r </w:t>
      </w:r>
      <w:r w:rsidR="00B33449">
        <w:rPr>
          <w:rStyle w:val="normaltextrun"/>
        </w:rPr>
        <w:t>amendments</w:t>
      </w:r>
      <w:r w:rsidR="00C71F20">
        <w:rPr>
          <w:rStyle w:val="normaltextrun"/>
        </w:rPr>
        <w:t xml:space="preserve"> throughout the course of this procurement</w:t>
      </w:r>
      <w:r w:rsidR="00CE7083">
        <w:rPr>
          <w:rStyle w:val="normaltextrun"/>
        </w:rPr>
        <w:t xml:space="preserve">. </w:t>
      </w:r>
    </w:p>
    <w:p w14:paraId="3BE8F44C" w14:textId="504A605A" w:rsidR="00DB0A5A" w:rsidRPr="00BB26F8" w:rsidRDefault="00BB26F8" w:rsidP="00B2574E">
      <w:pPr>
        <w:rPr>
          <w:rStyle w:val="normaltextrun"/>
        </w:rPr>
      </w:pPr>
      <w:r w:rsidRPr="00BB26F8">
        <w:rPr>
          <w:rStyle w:val="normaltextrun"/>
        </w:rPr>
        <w:t>This documentation is enclosed separately.</w:t>
      </w:r>
    </w:p>
    <w:p w14:paraId="36AE88EF" w14:textId="63424857" w:rsidR="00B2574E" w:rsidRDefault="00A55D62" w:rsidP="009C78F9">
      <w:r w:rsidRPr="00B2574E">
        <w:br/>
      </w:r>
    </w:p>
    <w:p w14:paraId="3A3E747B" w14:textId="77777777" w:rsidR="009F6376" w:rsidRDefault="009F6376" w:rsidP="009F6376"/>
    <w:p w14:paraId="35E2C452" w14:textId="77777777" w:rsidR="009F6376" w:rsidRDefault="009F6376" w:rsidP="009F6376">
      <w:pPr>
        <w:ind w:firstLine="720"/>
        <w:sectPr w:rsidR="009F6376" w:rsidSect="009546F5">
          <w:headerReference w:type="default" r:id="rId36"/>
          <w:pgSz w:w="12240" w:h="15840"/>
          <w:pgMar w:top="1440" w:right="1440" w:bottom="1440" w:left="1440" w:header="720" w:footer="720" w:gutter="0"/>
          <w:cols w:space="720"/>
          <w:docGrid w:linePitch="299"/>
        </w:sectPr>
      </w:pPr>
    </w:p>
    <w:p w14:paraId="6C223452" w14:textId="3AFB8A70" w:rsidR="309A27D6" w:rsidRPr="0066660A" w:rsidRDefault="007A6E36" w:rsidP="0066660A">
      <w:pPr>
        <w:pStyle w:val="Head2"/>
        <w:pageBreakBefore/>
        <w:numPr>
          <w:ilvl w:val="0"/>
          <w:numId w:val="0"/>
        </w:numPr>
        <w:spacing w:before="240"/>
        <w:rPr>
          <w:rFonts w:cs="Arial"/>
          <w:b/>
          <w:color w:val="009999"/>
          <w:sz w:val="24"/>
          <w:szCs w:val="24"/>
        </w:rPr>
      </w:pPr>
      <w:bookmarkStart w:id="88" w:name="_Toc203730843"/>
      <w:r w:rsidRPr="00957A1F">
        <w:rPr>
          <w:rFonts w:cs="Arial"/>
          <w:b/>
          <w:bCs/>
          <w:color w:val="009999"/>
          <w:sz w:val="24"/>
          <w:szCs w:val="24"/>
        </w:rPr>
        <w:lastRenderedPageBreak/>
        <w:t xml:space="preserve">ANNEX </w:t>
      </w:r>
      <w:r w:rsidR="007563E0">
        <w:rPr>
          <w:rFonts w:cs="Arial"/>
          <w:b/>
          <w:bCs/>
          <w:color w:val="009999"/>
          <w:sz w:val="24"/>
          <w:szCs w:val="24"/>
        </w:rPr>
        <w:t>3</w:t>
      </w:r>
      <w:r w:rsidRPr="00957A1F">
        <w:rPr>
          <w:rFonts w:cs="Arial"/>
          <w:b/>
          <w:bCs/>
          <w:color w:val="009999"/>
          <w:sz w:val="24"/>
          <w:szCs w:val="24"/>
        </w:rPr>
        <w:t xml:space="preserve">: </w:t>
      </w:r>
      <w:r w:rsidR="00810F32">
        <w:rPr>
          <w:rFonts w:cs="Arial"/>
          <w:b/>
          <w:bCs/>
          <w:color w:val="009999"/>
          <w:sz w:val="24"/>
          <w:szCs w:val="24"/>
        </w:rPr>
        <w:t>FINANCIAL CAPACITY METRIC DEFINITIONS</w:t>
      </w:r>
      <w:bookmarkEnd w:id="88"/>
    </w:p>
    <w:tbl>
      <w:tblPr>
        <w:tblStyle w:val="TableGrid"/>
        <w:tblW w:w="0" w:type="auto"/>
        <w:tblLook w:val="04A0" w:firstRow="1" w:lastRow="0" w:firstColumn="1" w:lastColumn="0" w:noHBand="0" w:noVBand="1"/>
      </w:tblPr>
      <w:tblGrid>
        <w:gridCol w:w="4535"/>
        <w:gridCol w:w="4535"/>
        <w:gridCol w:w="3572"/>
      </w:tblGrid>
      <w:tr w:rsidR="00535C34" w:rsidRPr="00535C34" w14:paraId="331BADDC" w14:textId="5D80ACBB" w:rsidTr="006B0E8F">
        <w:trPr>
          <w:trHeight w:val="405"/>
          <w:tblHeader/>
        </w:trPr>
        <w:tc>
          <w:tcPr>
            <w:tcW w:w="4535" w:type="dxa"/>
            <w:shd w:val="clear" w:color="auto" w:fill="009999"/>
            <w:noWrap/>
            <w:hideMark/>
          </w:tcPr>
          <w:p w14:paraId="01E735FC" w14:textId="77777777" w:rsidR="00535C34" w:rsidRPr="0088556A" w:rsidRDefault="00535C34">
            <w:pPr>
              <w:rPr>
                <w:b/>
                <w:color w:val="FFFFFF" w:themeColor="background1"/>
                <w:sz w:val="22"/>
                <w:szCs w:val="22"/>
              </w:rPr>
            </w:pPr>
            <w:r w:rsidRPr="0088556A">
              <w:rPr>
                <w:b/>
                <w:color w:val="FFFFFF" w:themeColor="background1"/>
                <w:sz w:val="22"/>
                <w:szCs w:val="22"/>
              </w:rPr>
              <w:t>Metric Definition (as per EFS Guidance)</w:t>
            </w:r>
          </w:p>
        </w:tc>
        <w:tc>
          <w:tcPr>
            <w:tcW w:w="4535" w:type="dxa"/>
            <w:shd w:val="clear" w:color="auto" w:fill="009999"/>
            <w:noWrap/>
            <w:hideMark/>
          </w:tcPr>
          <w:p w14:paraId="1E0EA6A4" w14:textId="77777777" w:rsidR="00535C34" w:rsidRPr="0088556A" w:rsidRDefault="00535C34" w:rsidP="00535C34">
            <w:pPr>
              <w:rPr>
                <w:b/>
                <w:color w:val="FFFFFF" w:themeColor="background1"/>
                <w:sz w:val="22"/>
                <w:szCs w:val="22"/>
              </w:rPr>
            </w:pPr>
            <w:r w:rsidRPr="0088556A">
              <w:rPr>
                <w:b/>
                <w:color w:val="FFFFFF" w:themeColor="background1"/>
                <w:sz w:val="22"/>
                <w:szCs w:val="22"/>
              </w:rPr>
              <w:t>Private Limited Company/Public Listed Company</w:t>
            </w:r>
          </w:p>
        </w:tc>
        <w:tc>
          <w:tcPr>
            <w:tcW w:w="3572" w:type="dxa"/>
            <w:shd w:val="clear" w:color="auto" w:fill="009999"/>
          </w:tcPr>
          <w:p w14:paraId="23114D12" w14:textId="77BE2C6F" w:rsidR="006569EA" w:rsidRPr="0088556A" w:rsidRDefault="006569EA" w:rsidP="00535C34">
            <w:pPr>
              <w:rPr>
                <w:b/>
                <w:color w:val="FFFFFF" w:themeColor="background1"/>
                <w:sz w:val="22"/>
                <w:szCs w:val="22"/>
              </w:rPr>
            </w:pPr>
            <w:r w:rsidRPr="0088556A">
              <w:rPr>
                <w:rFonts w:eastAsiaTheme="minorHAnsi" w:cstheme="minorBidi"/>
                <w:b/>
                <w:color w:val="FFFFFF" w:themeColor="background1"/>
                <w:sz w:val="22"/>
                <w:szCs w:val="22"/>
                <w:lang w:eastAsia="en-US"/>
              </w:rPr>
              <w:t>Risk Ratings</w:t>
            </w:r>
          </w:p>
        </w:tc>
      </w:tr>
      <w:tr w:rsidR="00535C34" w:rsidRPr="00535C34" w14:paraId="66D0C46C" w14:textId="52F7D953" w:rsidTr="006B0E8F">
        <w:trPr>
          <w:trHeight w:val="525"/>
        </w:trPr>
        <w:tc>
          <w:tcPr>
            <w:tcW w:w="4535" w:type="dxa"/>
            <w:hideMark/>
          </w:tcPr>
          <w:p w14:paraId="47E997F4" w14:textId="7022BC1C" w:rsidR="00535C34" w:rsidRPr="008D5524" w:rsidRDefault="00535C34">
            <w:pPr>
              <w:rPr>
                <w:sz w:val="22"/>
                <w:szCs w:val="22"/>
              </w:rPr>
            </w:pPr>
            <w:r w:rsidRPr="008D5524">
              <w:rPr>
                <w:sz w:val="22"/>
                <w:szCs w:val="22"/>
              </w:rPr>
              <w:t>Metric 1 - Turnover Ratio</w:t>
            </w:r>
            <w:r w:rsidRPr="008D5524">
              <w:rPr>
                <w:sz w:val="22"/>
                <w:szCs w:val="22"/>
              </w:rPr>
              <w:br/>
            </w:r>
            <w:r w:rsidRPr="008D5524">
              <w:rPr>
                <w:i/>
                <w:sz w:val="22"/>
                <w:szCs w:val="22"/>
              </w:rPr>
              <w:br/>
              <w:t xml:space="preserve">Turnover Ratio = </w:t>
            </w:r>
            <w:r w:rsidR="005F7300" w:rsidRPr="008D5524">
              <w:rPr>
                <w:i/>
                <w:sz w:val="22"/>
                <w:szCs w:val="22"/>
              </w:rPr>
              <w:t>Supplier</w:t>
            </w:r>
            <w:r w:rsidRPr="008D5524">
              <w:rPr>
                <w:i/>
                <w:sz w:val="22"/>
                <w:szCs w:val="22"/>
              </w:rPr>
              <w:t xml:space="preserve"> Annual Revenue / Expected Annual Contract Value</w:t>
            </w:r>
          </w:p>
        </w:tc>
        <w:tc>
          <w:tcPr>
            <w:tcW w:w="4535" w:type="dxa"/>
            <w:hideMark/>
          </w:tcPr>
          <w:p w14:paraId="67774CF8" w14:textId="77777777" w:rsidR="00535C34" w:rsidRPr="00A72B8E" w:rsidRDefault="00535C34">
            <w:pPr>
              <w:rPr>
                <w:sz w:val="22"/>
                <w:szCs w:val="22"/>
              </w:rPr>
            </w:pPr>
            <w:r w:rsidRPr="00A72B8E">
              <w:rPr>
                <w:sz w:val="22"/>
                <w:szCs w:val="22"/>
              </w:rPr>
              <w:t>Turnover Ratio = Turnover / Annual Contract Value</w:t>
            </w:r>
          </w:p>
        </w:tc>
        <w:tc>
          <w:tcPr>
            <w:tcW w:w="3572" w:type="dxa"/>
          </w:tcPr>
          <w:p w14:paraId="76A9C8DD" w14:textId="6E9206ED" w:rsidR="006569EA" w:rsidRPr="009F6376" w:rsidRDefault="006569EA" w:rsidP="00AD19D7">
            <w:pPr>
              <w:pStyle w:val="ListParagraph"/>
              <w:numPr>
                <w:ilvl w:val="0"/>
                <w:numId w:val="60"/>
              </w:numPr>
              <w:ind w:left="178" w:hanging="141"/>
              <w:rPr>
                <w:sz w:val="22"/>
                <w:szCs w:val="22"/>
              </w:rPr>
            </w:pPr>
            <w:r w:rsidRPr="009F6376">
              <w:rPr>
                <w:sz w:val="22"/>
                <w:szCs w:val="22"/>
              </w:rPr>
              <w:t>(Low Risk): Greater than 4</w:t>
            </w:r>
          </w:p>
          <w:p w14:paraId="7D0BEF86" w14:textId="46DB3783" w:rsidR="006569EA" w:rsidRPr="008D5524" w:rsidRDefault="006569EA" w:rsidP="00AD19D7">
            <w:pPr>
              <w:pStyle w:val="ListParagraph"/>
              <w:numPr>
                <w:ilvl w:val="0"/>
                <w:numId w:val="60"/>
              </w:numPr>
              <w:ind w:left="178" w:hanging="141"/>
              <w:rPr>
                <w:sz w:val="22"/>
                <w:szCs w:val="22"/>
              </w:rPr>
            </w:pPr>
            <w:r w:rsidRPr="008D5524">
              <w:rPr>
                <w:sz w:val="22"/>
                <w:szCs w:val="22"/>
              </w:rPr>
              <w:t>(High Risk): Less than 3</w:t>
            </w:r>
          </w:p>
        </w:tc>
      </w:tr>
      <w:tr w:rsidR="00535C34" w:rsidRPr="00535C34" w14:paraId="215CA604" w14:textId="0DA24AFF" w:rsidTr="006B0E8F">
        <w:trPr>
          <w:trHeight w:val="2040"/>
        </w:trPr>
        <w:tc>
          <w:tcPr>
            <w:tcW w:w="4535" w:type="dxa"/>
            <w:hideMark/>
          </w:tcPr>
          <w:p w14:paraId="720C4683" w14:textId="77777777" w:rsidR="00535C34" w:rsidRPr="00A72B8E" w:rsidRDefault="00535C34">
            <w:pPr>
              <w:rPr>
                <w:sz w:val="22"/>
                <w:szCs w:val="22"/>
              </w:rPr>
            </w:pPr>
            <w:r w:rsidRPr="00A72B8E">
              <w:rPr>
                <w:sz w:val="22"/>
                <w:szCs w:val="22"/>
              </w:rPr>
              <w:t>Metric 2 - Operating Margin</w:t>
            </w:r>
            <w:r w:rsidRPr="00A72B8E">
              <w:rPr>
                <w:sz w:val="22"/>
                <w:szCs w:val="22"/>
              </w:rPr>
              <w:br/>
            </w:r>
            <w:r w:rsidRPr="00A72B8E">
              <w:rPr>
                <w:i/>
                <w:sz w:val="22"/>
                <w:szCs w:val="22"/>
              </w:rPr>
              <w:br/>
              <w:t>Operating Margin = Operating Profit / Revenue</w:t>
            </w:r>
          </w:p>
        </w:tc>
        <w:tc>
          <w:tcPr>
            <w:tcW w:w="4535" w:type="dxa"/>
            <w:hideMark/>
          </w:tcPr>
          <w:p w14:paraId="5BFA0347" w14:textId="7F977A8D" w:rsidR="00535C34" w:rsidRPr="00A72B8E" w:rsidRDefault="00535C34">
            <w:pPr>
              <w:rPr>
                <w:sz w:val="22"/>
                <w:szCs w:val="22"/>
              </w:rPr>
            </w:pPr>
            <w:r w:rsidRPr="00A72B8E">
              <w:rPr>
                <w:sz w:val="22"/>
                <w:szCs w:val="22"/>
              </w:rPr>
              <w:t xml:space="preserve">Operating Margin = (Operating profit + Exceptional and non-underlying items*) / Turnover </w:t>
            </w:r>
            <w:r w:rsidRPr="00A72B8E">
              <w:rPr>
                <w:sz w:val="22"/>
                <w:szCs w:val="22"/>
              </w:rPr>
              <w:br/>
            </w:r>
            <w:r w:rsidRPr="00A72B8E">
              <w:rPr>
                <w:sz w:val="22"/>
                <w:szCs w:val="22"/>
              </w:rPr>
              <w:br/>
            </w:r>
            <w:r w:rsidRPr="00A72B8E">
              <w:rPr>
                <w:b/>
                <w:sz w:val="22"/>
                <w:szCs w:val="22"/>
              </w:rPr>
              <w:t>Operating profit</w:t>
            </w:r>
            <w:r w:rsidRPr="00A72B8E">
              <w:rPr>
                <w:sz w:val="22"/>
                <w:szCs w:val="22"/>
              </w:rPr>
              <w:t xml:space="preserve"> is the sum of: Other operating income/expense, </w:t>
            </w:r>
            <w:proofErr w:type="gramStart"/>
            <w:r w:rsidRPr="00A72B8E">
              <w:rPr>
                <w:sz w:val="22"/>
                <w:szCs w:val="22"/>
              </w:rPr>
              <w:t>Administrative</w:t>
            </w:r>
            <w:proofErr w:type="gramEnd"/>
            <w:r w:rsidRPr="00A72B8E">
              <w:rPr>
                <w:sz w:val="22"/>
                <w:szCs w:val="22"/>
              </w:rPr>
              <w:t xml:space="preserve"> income/expense, Grant income (e.g. Government income), Impairment losses/gains and Restructuring costs.</w:t>
            </w:r>
            <w:r w:rsidRPr="00A72B8E">
              <w:rPr>
                <w:sz w:val="22"/>
                <w:szCs w:val="22"/>
              </w:rPr>
              <w:br/>
              <w:t>*Exceptional and non-underlying items are only included if value is negative.</w:t>
            </w:r>
          </w:p>
        </w:tc>
        <w:tc>
          <w:tcPr>
            <w:tcW w:w="3572" w:type="dxa"/>
          </w:tcPr>
          <w:p w14:paraId="1C72ED2A" w14:textId="1657F67E" w:rsidR="006569EA" w:rsidRPr="009F6376" w:rsidRDefault="006569EA" w:rsidP="00AD19D7">
            <w:pPr>
              <w:pStyle w:val="ListParagraph"/>
              <w:numPr>
                <w:ilvl w:val="0"/>
                <w:numId w:val="61"/>
              </w:numPr>
              <w:ind w:left="178" w:hanging="141"/>
              <w:rPr>
                <w:sz w:val="22"/>
                <w:szCs w:val="22"/>
              </w:rPr>
            </w:pPr>
            <w:r w:rsidRPr="009F6376">
              <w:rPr>
                <w:sz w:val="22"/>
                <w:szCs w:val="22"/>
              </w:rPr>
              <w:t>(Low Risk): Greater than 10%</w:t>
            </w:r>
          </w:p>
          <w:p w14:paraId="75E0E8AA" w14:textId="29D75DED" w:rsidR="006569EA" w:rsidRPr="008D5524" w:rsidRDefault="006569EA" w:rsidP="00AD19D7">
            <w:pPr>
              <w:pStyle w:val="ListParagraph"/>
              <w:numPr>
                <w:ilvl w:val="0"/>
                <w:numId w:val="61"/>
              </w:numPr>
              <w:ind w:left="178" w:hanging="141"/>
              <w:rPr>
                <w:sz w:val="22"/>
                <w:szCs w:val="22"/>
              </w:rPr>
            </w:pPr>
            <w:r w:rsidRPr="008D5524">
              <w:rPr>
                <w:sz w:val="22"/>
                <w:szCs w:val="22"/>
              </w:rPr>
              <w:t>(High Risk): Less than 5%</w:t>
            </w:r>
          </w:p>
        </w:tc>
      </w:tr>
      <w:tr w:rsidR="00535C34" w:rsidRPr="00535C34" w14:paraId="67C961E1" w14:textId="1108A926" w:rsidTr="006B0E8F">
        <w:trPr>
          <w:trHeight w:val="699"/>
        </w:trPr>
        <w:tc>
          <w:tcPr>
            <w:tcW w:w="4535" w:type="dxa"/>
            <w:hideMark/>
          </w:tcPr>
          <w:p w14:paraId="7A59BE84" w14:textId="77777777" w:rsidR="00535C34" w:rsidRPr="00A72B8E" w:rsidRDefault="00535C34">
            <w:pPr>
              <w:rPr>
                <w:sz w:val="22"/>
                <w:szCs w:val="22"/>
              </w:rPr>
            </w:pPr>
            <w:r w:rsidRPr="00A72B8E">
              <w:rPr>
                <w:sz w:val="22"/>
                <w:szCs w:val="22"/>
              </w:rPr>
              <w:t>Metric 3 (A) – Free Cash Flow to Net Debt Ratio</w:t>
            </w:r>
            <w:r w:rsidRPr="00A72B8E">
              <w:rPr>
                <w:sz w:val="22"/>
                <w:szCs w:val="22"/>
              </w:rPr>
              <w:br/>
            </w:r>
            <w:r w:rsidRPr="00A72B8E">
              <w:rPr>
                <w:sz w:val="22"/>
                <w:szCs w:val="22"/>
              </w:rPr>
              <w:br/>
              <w:t>(Metrics 3(A) and 3(B) are alternative measures. Metric 3(A) is more relevant to capital intensive sectors and Metric 3(B) to less capital intensive sectors.)</w:t>
            </w:r>
            <w:r w:rsidRPr="00A72B8E">
              <w:rPr>
                <w:sz w:val="22"/>
                <w:szCs w:val="22"/>
              </w:rPr>
              <w:br/>
            </w:r>
            <w:r w:rsidRPr="00A72B8E">
              <w:rPr>
                <w:sz w:val="22"/>
                <w:szCs w:val="22"/>
              </w:rPr>
              <w:br/>
            </w:r>
            <w:r w:rsidRPr="00A72B8E">
              <w:rPr>
                <w:i/>
                <w:sz w:val="22"/>
                <w:szCs w:val="22"/>
              </w:rPr>
              <w:t>Free Cash Flow to Net Debt Ratio = Free Cash Flow / Net Debt</w:t>
            </w:r>
            <w:r w:rsidRPr="00A72B8E">
              <w:rPr>
                <w:sz w:val="22"/>
                <w:szCs w:val="22"/>
              </w:rPr>
              <w:br/>
            </w:r>
            <w:r w:rsidRPr="00A72B8E">
              <w:rPr>
                <w:sz w:val="22"/>
                <w:szCs w:val="22"/>
              </w:rPr>
              <w:br/>
            </w:r>
            <w:r w:rsidRPr="00A72B8E">
              <w:rPr>
                <w:b/>
                <w:sz w:val="22"/>
                <w:szCs w:val="22"/>
              </w:rPr>
              <w:t>Definition</w:t>
            </w:r>
            <w:r w:rsidRPr="00A72B8E">
              <w:rPr>
                <w:sz w:val="22"/>
                <w:szCs w:val="22"/>
              </w:rPr>
              <w:br/>
            </w:r>
            <w:r w:rsidRPr="00A72B8E">
              <w:rPr>
                <w:i/>
                <w:sz w:val="22"/>
                <w:szCs w:val="22"/>
              </w:rPr>
              <w:t>Free Cash Flow = Net cash flow from operating activities – Capital expenditure</w:t>
            </w:r>
            <w:r w:rsidRPr="00A72B8E">
              <w:rPr>
                <w:i/>
                <w:sz w:val="22"/>
                <w:szCs w:val="22"/>
              </w:rPr>
              <w:br/>
              <w:t>Capital expenditure = Purchase of property, plant &amp; equipment + Purchase of intangible Assets</w:t>
            </w:r>
            <w:r w:rsidRPr="00A72B8E">
              <w:rPr>
                <w:i/>
                <w:sz w:val="22"/>
                <w:szCs w:val="22"/>
              </w:rPr>
              <w:br/>
            </w:r>
            <w:r w:rsidRPr="00A72B8E">
              <w:rPr>
                <w:i/>
                <w:sz w:val="22"/>
                <w:szCs w:val="22"/>
              </w:rPr>
              <w:lastRenderedPageBreak/>
              <w:br/>
              <w:t>Net Debt = Bank overdrafts + Loans and borrowings + Finance leases + Deferred consideration payable – Cash and cash equivalents</w:t>
            </w:r>
          </w:p>
        </w:tc>
        <w:tc>
          <w:tcPr>
            <w:tcW w:w="4535" w:type="dxa"/>
            <w:hideMark/>
          </w:tcPr>
          <w:p w14:paraId="5FEED0B4" w14:textId="77777777" w:rsidR="00535C34" w:rsidRPr="00A72B8E" w:rsidRDefault="00535C34">
            <w:pPr>
              <w:rPr>
                <w:sz w:val="22"/>
                <w:szCs w:val="22"/>
              </w:rPr>
            </w:pPr>
            <w:r w:rsidRPr="00A72B8E">
              <w:rPr>
                <w:sz w:val="22"/>
                <w:szCs w:val="22"/>
              </w:rPr>
              <w:lastRenderedPageBreak/>
              <w:t>Free Cash Flow to Net Debt Ratio = Free Cash Flow / Net Debt</w:t>
            </w:r>
            <w:r w:rsidRPr="00A72B8E">
              <w:rPr>
                <w:sz w:val="22"/>
                <w:szCs w:val="22"/>
              </w:rPr>
              <w:br/>
            </w:r>
            <w:r w:rsidRPr="00A72B8E">
              <w:rPr>
                <w:sz w:val="22"/>
                <w:szCs w:val="22"/>
              </w:rPr>
              <w:br/>
              <w:t xml:space="preserve">Where </w:t>
            </w:r>
            <w:r w:rsidRPr="00A72B8E">
              <w:rPr>
                <w:b/>
                <w:sz w:val="22"/>
                <w:szCs w:val="22"/>
              </w:rPr>
              <w:t>Free Cash Flow</w:t>
            </w:r>
            <w:r w:rsidRPr="00A72B8E">
              <w:rPr>
                <w:sz w:val="22"/>
                <w:szCs w:val="22"/>
              </w:rPr>
              <w:t xml:space="preserve"> is the sum of: Net cash flow from operating activities (After working capital and tax) and Capital expenditure (Tangible and intangible).</w:t>
            </w:r>
            <w:r w:rsidRPr="00A72B8E">
              <w:rPr>
                <w:sz w:val="22"/>
                <w:szCs w:val="22"/>
              </w:rPr>
              <w:br/>
            </w:r>
            <w:r w:rsidRPr="00A72B8E">
              <w:rPr>
                <w:sz w:val="22"/>
                <w:szCs w:val="22"/>
              </w:rPr>
              <w:br/>
              <w:t xml:space="preserve">Where </w:t>
            </w:r>
            <w:r w:rsidRPr="00A72B8E">
              <w:rPr>
                <w:b/>
                <w:sz w:val="22"/>
                <w:szCs w:val="22"/>
              </w:rPr>
              <w:t>Net Debt</w:t>
            </w:r>
            <w:r w:rsidRPr="00A72B8E">
              <w:rPr>
                <w:sz w:val="22"/>
                <w:szCs w:val="22"/>
              </w:rPr>
              <w:t xml:space="preserve"> is the sum of:</w:t>
            </w:r>
            <w:r w:rsidRPr="00A72B8E">
              <w:rPr>
                <w:sz w:val="22"/>
                <w:szCs w:val="22"/>
              </w:rPr>
              <w:br/>
              <w:t>1. Current Liabilities: Loans and overdrafts, Deferred consideration, Lease liabilities, Amounts owed to group undertakings, Amounts owed to joint ventures and associates and Derivative financial instruments.</w:t>
            </w:r>
            <w:r w:rsidRPr="00A72B8E">
              <w:rPr>
                <w:sz w:val="22"/>
                <w:szCs w:val="22"/>
              </w:rPr>
              <w:br/>
              <w:t xml:space="preserve">2. Non-current liabilities: Lease liabilities, Loans and borrowings, Amounts owed to </w:t>
            </w:r>
            <w:r w:rsidRPr="00A72B8E">
              <w:rPr>
                <w:sz w:val="22"/>
                <w:szCs w:val="22"/>
              </w:rPr>
              <w:lastRenderedPageBreak/>
              <w:t>group undertakings, Amounts owed to joint ventures and associates, Deferred consideration and Derivative financial instruments.</w:t>
            </w:r>
            <w:r w:rsidRPr="00A72B8E">
              <w:rPr>
                <w:sz w:val="22"/>
                <w:szCs w:val="22"/>
              </w:rPr>
              <w:br/>
            </w:r>
            <w:r w:rsidRPr="00A72B8E">
              <w:rPr>
                <w:sz w:val="22"/>
                <w:szCs w:val="22"/>
              </w:rPr>
              <w:br/>
              <w:t>Less:</w:t>
            </w:r>
            <w:r w:rsidRPr="00A72B8E">
              <w:rPr>
                <w:sz w:val="22"/>
                <w:szCs w:val="22"/>
              </w:rPr>
              <w:br/>
            </w:r>
            <w:proofErr w:type="gramStart"/>
            <w:r w:rsidRPr="00A72B8E">
              <w:rPr>
                <w:sz w:val="22"/>
                <w:szCs w:val="22"/>
              </w:rPr>
              <w:t>1.Current</w:t>
            </w:r>
            <w:proofErr w:type="gramEnd"/>
            <w:r w:rsidRPr="00A72B8E">
              <w:rPr>
                <w:sz w:val="22"/>
                <w:szCs w:val="22"/>
              </w:rPr>
              <w:t xml:space="preserve"> Assets: Derivative financial instruments, Other current financial assets (i.e. MMFs, secured loan notes), Cash and cash equivalents (</w:t>
            </w:r>
            <w:proofErr w:type="spellStart"/>
            <w:r w:rsidRPr="00A72B8E">
              <w:rPr>
                <w:sz w:val="22"/>
                <w:szCs w:val="22"/>
              </w:rPr>
              <w:t>Incl</w:t>
            </w:r>
            <w:proofErr w:type="spellEnd"/>
            <w:r w:rsidRPr="00A72B8E">
              <w:rPr>
                <w:sz w:val="22"/>
                <w:szCs w:val="22"/>
              </w:rPr>
              <w:t xml:space="preserve"> marketable securities) and Investments.</w:t>
            </w:r>
          </w:p>
        </w:tc>
        <w:tc>
          <w:tcPr>
            <w:tcW w:w="3572" w:type="dxa"/>
          </w:tcPr>
          <w:p w14:paraId="292CEC1B" w14:textId="77777777" w:rsidR="006569EA" w:rsidRPr="009F6376" w:rsidRDefault="006569EA" w:rsidP="00AD19D7">
            <w:pPr>
              <w:pStyle w:val="ListParagraph"/>
              <w:numPr>
                <w:ilvl w:val="0"/>
                <w:numId w:val="61"/>
              </w:numPr>
              <w:ind w:left="178" w:hanging="141"/>
              <w:rPr>
                <w:sz w:val="22"/>
                <w:szCs w:val="22"/>
              </w:rPr>
            </w:pPr>
            <w:r w:rsidRPr="009F6376">
              <w:rPr>
                <w:sz w:val="22"/>
                <w:szCs w:val="22"/>
              </w:rPr>
              <w:lastRenderedPageBreak/>
              <w:t>(Low Risk): Greater than 15%</w:t>
            </w:r>
          </w:p>
          <w:p w14:paraId="1270B26C" w14:textId="24B76726" w:rsidR="006569EA" w:rsidRPr="008D5524" w:rsidRDefault="006569EA" w:rsidP="00AD19D7">
            <w:pPr>
              <w:pStyle w:val="ListParagraph"/>
              <w:numPr>
                <w:ilvl w:val="0"/>
                <w:numId w:val="61"/>
              </w:numPr>
              <w:ind w:left="178" w:hanging="141"/>
              <w:rPr>
                <w:sz w:val="22"/>
                <w:szCs w:val="22"/>
              </w:rPr>
            </w:pPr>
            <w:r w:rsidRPr="008D5524">
              <w:rPr>
                <w:sz w:val="22"/>
                <w:szCs w:val="22"/>
              </w:rPr>
              <w:t>(High Risk): Less than 5%</w:t>
            </w:r>
          </w:p>
        </w:tc>
      </w:tr>
      <w:tr w:rsidR="00535C34" w:rsidRPr="00535C34" w14:paraId="04E5A01B" w14:textId="1C464702" w:rsidTr="006B0E8F">
        <w:trPr>
          <w:trHeight w:val="1692"/>
        </w:trPr>
        <w:tc>
          <w:tcPr>
            <w:tcW w:w="4535" w:type="dxa"/>
            <w:hideMark/>
          </w:tcPr>
          <w:p w14:paraId="33BCE26F" w14:textId="77777777" w:rsidR="00535C34" w:rsidRPr="00A72B8E" w:rsidRDefault="00535C34">
            <w:pPr>
              <w:rPr>
                <w:sz w:val="22"/>
                <w:szCs w:val="22"/>
              </w:rPr>
            </w:pPr>
            <w:r w:rsidRPr="00A72B8E">
              <w:rPr>
                <w:sz w:val="22"/>
                <w:szCs w:val="22"/>
              </w:rPr>
              <w:t>Metric 3(B) – Net Debt to EBITDA Ratio</w:t>
            </w:r>
            <w:r w:rsidRPr="00A72B8E">
              <w:rPr>
                <w:sz w:val="22"/>
                <w:szCs w:val="22"/>
              </w:rPr>
              <w:br/>
            </w:r>
            <w:r w:rsidRPr="00A72B8E">
              <w:rPr>
                <w:sz w:val="22"/>
                <w:szCs w:val="22"/>
              </w:rPr>
              <w:br/>
              <w:t>(Metrics 3(A) and 3(B) are alternative measures. Metric 3(A) is more relevant to capital</w:t>
            </w:r>
            <w:r w:rsidRPr="00A72B8E">
              <w:rPr>
                <w:sz w:val="22"/>
                <w:szCs w:val="22"/>
              </w:rPr>
              <w:br/>
              <w:t xml:space="preserve">intensive sectors and Metric 3(B) to less </w:t>
            </w:r>
            <w:proofErr w:type="gramStart"/>
            <w:r w:rsidRPr="00A72B8E">
              <w:rPr>
                <w:sz w:val="22"/>
                <w:szCs w:val="22"/>
              </w:rPr>
              <w:t>capital intensive</w:t>
            </w:r>
            <w:proofErr w:type="gramEnd"/>
            <w:r w:rsidRPr="00A72B8E">
              <w:rPr>
                <w:sz w:val="22"/>
                <w:szCs w:val="22"/>
              </w:rPr>
              <w:t xml:space="preserve"> sectors.)</w:t>
            </w:r>
            <w:r w:rsidRPr="00A72B8E">
              <w:rPr>
                <w:sz w:val="22"/>
                <w:szCs w:val="22"/>
              </w:rPr>
              <w:br/>
            </w:r>
            <w:r w:rsidRPr="00A72B8E">
              <w:rPr>
                <w:sz w:val="22"/>
                <w:szCs w:val="22"/>
              </w:rPr>
              <w:br/>
            </w:r>
            <w:r w:rsidRPr="00A72B8E">
              <w:rPr>
                <w:i/>
                <w:sz w:val="22"/>
                <w:szCs w:val="22"/>
              </w:rPr>
              <w:t>Net Debt to EBITDA ratio = Net Debt / EBITDA</w:t>
            </w:r>
            <w:r w:rsidRPr="00A72B8E">
              <w:rPr>
                <w:sz w:val="22"/>
                <w:szCs w:val="22"/>
              </w:rPr>
              <w:br/>
            </w:r>
            <w:r w:rsidRPr="00A72B8E">
              <w:rPr>
                <w:sz w:val="22"/>
                <w:szCs w:val="22"/>
              </w:rPr>
              <w:br/>
            </w:r>
            <w:r w:rsidRPr="00A72B8E">
              <w:rPr>
                <w:b/>
                <w:sz w:val="22"/>
                <w:szCs w:val="22"/>
              </w:rPr>
              <w:t>Definition</w:t>
            </w:r>
            <w:r w:rsidRPr="00A72B8E">
              <w:rPr>
                <w:sz w:val="22"/>
                <w:szCs w:val="22"/>
              </w:rPr>
              <w:br/>
            </w:r>
            <w:r w:rsidRPr="00A72B8E">
              <w:rPr>
                <w:i/>
                <w:sz w:val="22"/>
                <w:szCs w:val="22"/>
              </w:rPr>
              <w:t>Net Debt = Bank overdrafts + Loans and borrowings + Finance leases + Deferred consideration payable – Cash and cash equivalents</w:t>
            </w:r>
            <w:r w:rsidRPr="00A72B8E">
              <w:rPr>
                <w:i/>
                <w:sz w:val="22"/>
                <w:szCs w:val="22"/>
              </w:rPr>
              <w:br/>
            </w:r>
            <w:r w:rsidRPr="00A72B8E">
              <w:rPr>
                <w:i/>
                <w:sz w:val="22"/>
                <w:szCs w:val="22"/>
              </w:rPr>
              <w:br/>
              <w:t>EBITDA = Operating profit + Depreciation charge + Amortisation charge</w:t>
            </w:r>
          </w:p>
        </w:tc>
        <w:tc>
          <w:tcPr>
            <w:tcW w:w="4535" w:type="dxa"/>
            <w:hideMark/>
          </w:tcPr>
          <w:p w14:paraId="7047932A" w14:textId="77777777" w:rsidR="00535C34" w:rsidRPr="00A72B8E" w:rsidRDefault="00535C34">
            <w:pPr>
              <w:rPr>
                <w:sz w:val="22"/>
                <w:szCs w:val="22"/>
              </w:rPr>
            </w:pPr>
            <w:r w:rsidRPr="00A72B8E">
              <w:rPr>
                <w:sz w:val="22"/>
                <w:szCs w:val="22"/>
              </w:rPr>
              <w:t>Net Debt to EBITDA Ratio = Net Debt / EBITDA</w:t>
            </w:r>
            <w:r w:rsidRPr="00A72B8E">
              <w:rPr>
                <w:sz w:val="22"/>
                <w:szCs w:val="22"/>
              </w:rPr>
              <w:br/>
            </w:r>
            <w:r w:rsidRPr="00A72B8E">
              <w:rPr>
                <w:sz w:val="22"/>
                <w:szCs w:val="22"/>
              </w:rPr>
              <w:br/>
              <w:t xml:space="preserve">Where </w:t>
            </w:r>
            <w:r w:rsidRPr="00A72B8E">
              <w:rPr>
                <w:b/>
                <w:sz w:val="22"/>
                <w:szCs w:val="22"/>
              </w:rPr>
              <w:t>Net Debt</w:t>
            </w:r>
            <w:r w:rsidRPr="00A72B8E">
              <w:rPr>
                <w:sz w:val="22"/>
                <w:szCs w:val="22"/>
              </w:rPr>
              <w:t xml:space="preserve"> is the sum of:</w:t>
            </w:r>
            <w:r w:rsidRPr="00A72B8E">
              <w:rPr>
                <w:sz w:val="22"/>
                <w:szCs w:val="22"/>
              </w:rPr>
              <w:br/>
              <w:t>1. Current Liabilities: Loans and overdrafts, Deferred consideration, Lease liabilities, Amounts owed to group undertakings, Amounts owed to joint ventures and associates and Derivative financial instruments.</w:t>
            </w:r>
            <w:r w:rsidRPr="00A72B8E">
              <w:rPr>
                <w:sz w:val="22"/>
                <w:szCs w:val="22"/>
              </w:rPr>
              <w:br/>
              <w:t>2. Non-current liabilities: Lease liabilities, Loans and borrowings, Amounts owed to group undertakings, Amounts owed to joint ventures and associates, Deferred consideration and Derivative financial instruments.</w:t>
            </w:r>
            <w:r w:rsidRPr="00A72B8E">
              <w:rPr>
                <w:sz w:val="22"/>
                <w:szCs w:val="22"/>
              </w:rPr>
              <w:br/>
            </w:r>
            <w:r w:rsidRPr="00A72B8E">
              <w:rPr>
                <w:sz w:val="22"/>
                <w:szCs w:val="22"/>
              </w:rPr>
              <w:br/>
              <w:t>Less:</w:t>
            </w:r>
            <w:r w:rsidRPr="00A72B8E">
              <w:rPr>
                <w:sz w:val="22"/>
                <w:szCs w:val="22"/>
              </w:rPr>
              <w:br/>
              <w:t>1.Current Assets: Derivative financial instruments, Other current financial assets (i.e. MMFs, secured loan notes), Cash and cash equivalents (</w:t>
            </w:r>
            <w:proofErr w:type="spellStart"/>
            <w:r w:rsidRPr="00A72B8E">
              <w:rPr>
                <w:sz w:val="22"/>
                <w:szCs w:val="22"/>
              </w:rPr>
              <w:t>Incl</w:t>
            </w:r>
            <w:proofErr w:type="spellEnd"/>
            <w:r w:rsidRPr="00A72B8E">
              <w:rPr>
                <w:sz w:val="22"/>
                <w:szCs w:val="22"/>
              </w:rPr>
              <w:t xml:space="preserve"> marketable securities) and Investments.</w:t>
            </w:r>
            <w:r w:rsidRPr="00A72B8E">
              <w:rPr>
                <w:sz w:val="22"/>
                <w:szCs w:val="22"/>
              </w:rPr>
              <w:br/>
            </w:r>
            <w:r w:rsidRPr="00A72B8E">
              <w:rPr>
                <w:sz w:val="22"/>
                <w:szCs w:val="22"/>
              </w:rPr>
              <w:lastRenderedPageBreak/>
              <w:br/>
              <w:t xml:space="preserve">Where </w:t>
            </w:r>
            <w:r w:rsidRPr="00A72B8E">
              <w:rPr>
                <w:b/>
                <w:sz w:val="22"/>
                <w:szCs w:val="22"/>
              </w:rPr>
              <w:t>EBITDA</w:t>
            </w:r>
            <w:r w:rsidRPr="00A72B8E">
              <w:rPr>
                <w:sz w:val="22"/>
                <w:szCs w:val="22"/>
              </w:rPr>
              <w:t xml:space="preserve"> is: Operating profit plus Exceptional and non-underlying items* less Depreciation and Amortisation.</w:t>
            </w:r>
            <w:r w:rsidRPr="00A72B8E">
              <w:rPr>
                <w:sz w:val="22"/>
                <w:szCs w:val="22"/>
              </w:rPr>
              <w:br/>
            </w:r>
            <w:r w:rsidRPr="00A72B8E">
              <w:rPr>
                <w:sz w:val="22"/>
                <w:szCs w:val="22"/>
              </w:rPr>
              <w:br/>
            </w:r>
            <w:r w:rsidRPr="00A72B8E">
              <w:rPr>
                <w:b/>
                <w:sz w:val="22"/>
                <w:szCs w:val="22"/>
              </w:rPr>
              <w:t>Operating profit</w:t>
            </w:r>
            <w:r w:rsidRPr="00A72B8E">
              <w:rPr>
                <w:sz w:val="22"/>
                <w:szCs w:val="22"/>
              </w:rPr>
              <w:t xml:space="preserve"> is the sum of: Gross profit, Other operating income/expense, Administrative income/expense, Grant income (e.g. Government income), Impairment losses/gains and Restructuring costs.</w:t>
            </w:r>
            <w:r w:rsidRPr="00A72B8E">
              <w:rPr>
                <w:sz w:val="22"/>
                <w:szCs w:val="22"/>
              </w:rPr>
              <w:br/>
              <w:t>*Exceptional and non-underlying items are included in the calculation where the value is negative.</w:t>
            </w:r>
          </w:p>
        </w:tc>
        <w:tc>
          <w:tcPr>
            <w:tcW w:w="3572" w:type="dxa"/>
          </w:tcPr>
          <w:p w14:paraId="27531FFB" w14:textId="77777777" w:rsidR="001D586E" w:rsidRPr="00E66809" w:rsidRDefault="001D586E" w:rsidP="00AD19D7">
            <w:pPr>
              <w:pStyle w:val="ListParagraph"/>
              <w:numPr>
                <w:ilvl w:val="0"/>
                <w:numId w:val="61"/>
              </w:numPr>
              <w:ind w:left="178" w:hanging="141"/>
              <w:rPr>
                <w:rFonts w:eastAsia="Arial"/>
                <w:sz w:val="22"/>
                <w:szCs w:val="22"/>
              </w:rPr>
            </w:pPr>
            <w:r w:rsidRPr="009F6376">
              <w:rPr>
                <w:rFonts w:eastAsiaTheme="minorHAnsi" w:cstheme="minorBidi"/>
                <w:sz w:val="22"/>
                <w:szCs w:val="22"/>
              </w:rPr>
              <w:lastRenderedPageBreak/>
              <w:t>(Low Risk): Less than 4.0</w:t>
            </w:r>
          </w:p>
          <w:p w14:paraId="3AFEA3FF" w14:textId="77777777" w:rsidR="001D586E" w:rsidRPr="00E66809" w:rsidRDefault="001D586E" w:rsidP="00AD19D7">
            <w:pPr>
              <w:pStyle w:val="ListParagraph"/>
              <w:numPr>
                <w:ilvl w:val="0"/>
                <w:numId w:val="61"/>
              </w:numPr>
              <w:ind w:left="178" w:hanging="141"/>
              <w:rPr>
                <w:rFonts w:eastAsia="Arial"/>
                <w:sz w:val="22"/>
                <w:szCs w:val="22"/>
              </w:rPr>
            </w:pPr>
            <w:r w:rsidRPr="009F6376">
              <w:rPr>
                <w:rFonts w:eastAsiaTheme="minorHAnsi" w:cstheme="minorBidi"/>
                <w:sz w:val="22"/>
                <w:szCs w:val="22"/>
              </w:rPr>
              <w:t>(High Risk): Greater than 15</w:t>
            </w:r>
          </w:p>
          <w:p w14:paraId="04B7C2BC" w14:textId="2C98BCA4" w:rsidR="006569EA" w:rsidRPr="006C096D" w:rsidRDefault="006569EA">
            <w:pPr>
              <w:rPr>
                <w:sz w:val="22"/>
                <w:szCs w:val="22"/>
              </w:rPr>
            </w:pPr>
          </w:p>
        </w:tc>
      </w:tr>
      <w:tr w:rsidR="00535C34" w:rsidRPr="00535C34" w14:paraId="53189625" w14:textId="34F70FBE" w:rsidTr="006B0E8F">
        <w:trPr>
          <w:trHeight w:val="2550"/>
        </w:trPr>
        <w:tc>
          <w:tcPr>
            <w:tcW w:w="4535" w:type="dxa"/>
            <w:hideMark/>
          </w:tcPr>
          <w:p w14:paraId="5318BDC7" w14:textId="62552D21" w:rsidR="00535C34" w:rsidRPr="00A72B8E" w:rsidRDefault="00535C34">
            <w:pPr>
              <w:rPr>
                <w:sz w:val="22"/>
                <w:szCs w:val="22"/>
              </w:rPr>
            </w:pPr>
            <w:r w:rsidRPr="00A72B8E">
              <w:rPr>
                <w:sz w:val="22"/>
                <w:szCs w:val="22"/>
              </w:rPr>
              <w:t xml:space="preserve">Metric </w:t>
            </w:r>
            <w:r w:rsidR="008D5524" w:rsidRPr="00A72B8E">
              <w:rPr>
                <w:sz w:val="22"/>
                <w:szCs w:val="22"/>
              </w:rPr>
              <w:t>4</w:t>
            </w:r>
            <w:r w:rsidRPr="00A72B8E">
              <w:rPr>
                <w:sz w:val="22"/>
                <w:szCs w:val="22"/>
              </w:rPr>
              <w:t xml:space="preserve"> – Net Interest Paid Cover</w:t>
            </w:r>
            <w:r w:rsidRPr="00A72B8E">
              <w:rPr>
                <w:sz w:val="22"/>
                <w:szCs w:val="22"/>
              </w:rPr>
              <w:br/>
            </w:r>
            <w:r w:rsidRPr="00A72B8E">
              <w:rPr>
                <w:sz w:val="22"/>
                <w:szCs w:val="22"/>
              </w:rPr>
              <w:br/>
            </w:r>
            <w:r w:rsidRPr="00A72B8E">
              <w:rPr>
                <w:i/>
                <w:sz w:val="22"/>
                <w:szCs w:val="22"/>
              </w:rPr>
              <w:t>Net Interest Paid Cover = Earnings Before Interest and Tax / Net Interest Paid</w:t>
            </w:r>
            <w:r w:rsidRPr="00A72B8E">
              <w:rPr>
                <w:i/>
                <w:sz w:val="22"/>
                <w:szCs w:val="22"/>
              </w:rPr>
              <w:br/>
            </w:r>
            <w:r w:rsidRPr="00A72B8E">
              <w:rPr>
                <w:sz w:val="22"/>
                <w:szCs w:val="22"/>
              </w:rPr>
              <w:br/>
            </w:r>
            <w:r w:rsidRPr="00A72B8E">
              <w:rPr>
                <w:b/>
                <w:sz w:val="22"/>
                <w:szCs w:val="22"/>
              </w:rPr>
              <w:t>Definition</w:t>
            </w:r>
            <w:r w:rsidRPr="00A72B8E">
              <w:rPr>
                <w:sz w:val="22"/>
                <w:szCs w:val="22"/>
              </w:rPr>
              <w:br/>
            </w:r>
            <w:r w:rsidRPr="00A72B8E">
              <w:rPr>
                <w:i/>
                <w:sz w:val="22"/>
                <w:szCs w:val="22"/>
              </w:rPr>
              <w:t>Earnings Before Interest and Tax = Operating profit</w:t>
            </w:r>
            <w:r w:rsidRPr="00A72B8E">
              <w:rPr>
                <w:i/>
                <w:sz w:val="22"/>
                <w:szCs w:val="22"/>
              </w:rPr>
              <w:br/>
            </w:r>
            <w:r w:rsidRPr="00A72B8E">
              <w:rPr>
                <w:i/>
                <w:sz w:val="22"/>
                <w:szCs w:val="22"/>
              </w:rPr>
              <w:br/>
              <w:t>Net Interest Paid = Interest paid – Interest received</w:t>
            </w:r>
          </w:p>
        </w:tc>
        <w:tc>
          <w:tcPr>
            <w:tcW w:w="4535" w:type="dxa"/>
            <w:hideMark/>
          </w:tcPr>
          <w:p w14:paraId="77354EAF" w14:textId="77777777" w:rsidR="00535C34" w:rsidRPr="00A72B8E" w:rsidRDefault="00535C34">
            <w:pPr>
              <w:rPr>
                <w:sz w:val="22"/>
                <w:szCs w:val="22"/>
              </w:rPr>
            </w:pPr>
            <w:r w:rsidRPr="00A72B8E">
              <w:rPr>
                <w:sz w:val="22"/>
                <w:szCs w:val="22"/>
              </w:rPr>
              <w:t>Net Interest Paid Cover = (Operating profit + Exceptional and non-underlying items* + Share of results of associates and joint ventures) / - (Interest Received + Interest Paid)</w:t>
            </w:r>
            <w:r w:rsidRPr="00A72B8E">
              <w:rPr>
                <w:sz w:val="22"/>
                <w:szCs w:val="22"/>
              </w:rPr>
              <w:br/>
            </w:r>
            <w:r w:rsidRPr="00A72B8E">
              <w:rPr>
                <w:sz w:val="22"/>
                <w:szCs w:val="22"/>
              </w:rPr>
              <w:br/>
            </w:r>
            <w:r w:rsidRPr="00A72B8E">
              <w:rPr>
                <w:b/>
                <w:sz w:val="22"/>
                <w:szCs w:val="22"/>
              </w:rPr>
              <w:t>Operating profit</w:t>
            </w:r>
            <w:r w:rsidRPr="00A72B8E">
              <w:rPr>
                <w:sz w:val="22"/>
                <w:szCs w:val="22"/>
              </w:rPr>
              <w:t xml:space="preserve"> is the sum of: Gross profit, Other operating income/expense, Administrative income/expense, Grant income (e.g. Government income), Impairment losses/gains and Restructuring costs.</w:t>
            </w:r>
            <w:r w:rsidRPr="00A72B8E">
              <w:rPr>
                <w:sz w:val="22"/>
                <w:szCs w:val="22"/>
              </w:rPr>
              <w:br/>
              <w:t>*Exceptional and non-underlying items are only included if value is negative.</w:t>
            </w:r>
          </w:p>
        </w:tc>
        <w:tc>
          <w:tcPr>
            <w:tcW w:w="3572" w:type="dxa"/>
          </w:tcPr>
          <w:p w14:paraId="0C2D9B60" w14:textId="77777777" w:rsidR="00FA0F6E" w:rsidRPr="00A72B8E" w:rsidRDefault="00FA0F6E" w:rsidP="00AD19D7">
            <w:pPr>
              <w:pStyle w:val="ListParagraph"/>
              <w:numPr>
                <w:ilvl w:val="0"/>
                <w:numId w:val="61"/>
              </w:numPr>
              <w:ind w:left="178" w:hanging="141"/>
              <w:rPr>
                <w:sz w:val="22"/>
                <w:szCs w:val="22"/>
              </w:rPr>
            </w:pPr>
            <w:r w:rsidRPr="00A72B8E">
              <w:rPr>
                <w:sz w:val="22"/>
                <w:szCs w:val="22"/>
              </w:rPr>
              <w:t>(Low Risk): Greater than 4.5</w:t>
            </w:r>
          </w:p>
          <w:p w14:paraId="4CAE5E3B" w14:textId="67B46E4B" w:rsidR="00FA0F6E" w:rsidRPr="00FA0F6E" w:rsidRDefault="00FA0F6E" w:rsidP="00AD19D7">
            <w:pPr>
              <w:pStyle w:val="ListParagraph"/>
              <w:numPr>
                <w:ilvl w:val="0"/>
                <w:numId w:val="61"/>
              </w:numPr>
              <w:ind w:left="178" w:hanging="141"/>
              <w:rPr>
                <w:rFonts w:eastAsiaTheme="minorHAnsi" w:cstheme="minorBidi"/>
                <w:sz w:val="22"/>
                <w:szCs w:val="22"/>
              </w:rPr>
            </w:pPr>
            <w:r w:rsidRPr="00FA0F6E">
              <w:rPr>
                <w:rFonts w:eastAsiaTheme="minorHAnsi" w:cstheme="minorBidi"/>
                <w:sz w:val="22"/>
                <w:szCs w:val="22"/>
              </w:rPr>
              <w:t>(High Risk): Less than 2.5</w:t>
            </w:r>
          </w:p>
          <w:p w14:paraId="0DC3ACA8" w14:textId="77777777" w:rsidR="006569EA" w:rsidRPr="009F6376" w:rsidRDefault="006569EA">
            <w:pPr>
              <w:rPr>
                <w:sz w:val="22"/>
                <w:szCs w:val="22"/>
              </w:rPr>
            </w:pPr>
          </w:p>
        </w:tc>
      </w:tr>
      <w:tr w:rsidR="00535C34" w:rsidRPr="00535C34" w14:paraId="135723E0" w14:textId="2A528F6D" w:rsidTr="006B0E8F">
        <w:trPr>
          <w:trHeight w:val="510"/>
        </w:trPr>
        <w:tc>
          <w:tcPr>
            <w:tcW w:w="4535" w:type="dxa"/>
            <w:hideMark/>
          </w:tcPr>
          <w:p w14:paraId="7144EBF8" w14:textId="71EA7018" w:rsidR="00535C34" w:rsidRPr="00A72B8E" w:rsidRDefault="00535C34">
            <w:pPr>
              <w:rPr>
                <w:sz w:val="22"/>
                <w:szCs w:val="22"/>
              </w:rPr>
            </w:pPr>
            <w:r w:rsidRPr="00A72B8E">
              <w:rPr>
                <w:sz w:val="22"/>
                <w:szCs w:val="22"/>
              </w:rPr>
              <w:t xml:space="preserve">Metric </w:t>
            </w:r>
            <w:r w:rsidR="008D5524" w:rsidRPr="00A72B8E">
              <w:rPr>
                <w:sz w:val="22"/>
                <w:szCs w:val="22"/>
              </w:rPr>
              <w:t>5</w:t>
            </w:r>
            <w:r w:rsidRPr="00A72B8E">
              <w:rPr>
                <w:sz w:val="22"/>
                <w:szCs w:val="22"/>
              </w:rPr>
              <w:t xml:space="preserve"> – Acid Ratio / Quick Ratio</w:t>
            </w:r>
            <w:r w:rsidRPr="00A72B8E">
              <w:rPr>
                <w:sz w:val="22"/>
                <w:szCs w:val="22"/>
              </w:rPr>
              <w:br/>
            </w:r>
            <w:r w:rsidRPr="00A72B8E">
              <w:rPr>
                <w:sz w:val="22"/>
                <w:szCs w:val="22"/>
              </w:rPr>
              <w:br/>
            </w:r>
            <w:r w:rsidRPr="00A72B8E">
              <w:rPr>
                <w:i/>
                <w:sz w:val="22"/>
                <w:szCs w:val="22"/>
              </w:rPr>
              <w:t>Acid Ratio = (Current Assets – Inventories)/ Current Liabilities</w:t>
            </w:r>
          </w:p>
        </w:tc>
        <w:tc>
          <w:tcPr>
            <w:tcW w:w="4535" w:type="dxa"/>
            <w:hideMark/>
          </w:tcPr>
          <w:p w14:paraId="7C1D83D3" w14:textId="77777777" w:rsidR="00535C34" w:rsidRPr="00A72B8E" w:rsidRDefault="00535C34">
            <w:pPr>
              <w:rPr>
                <w:sz w:val="22"/>
                <w:szCs w:val="22"/>
              </w:rPr>
            </w:pPr>
            <w:r w:rsidRPr="00A72B8E">
              <w:rPr>
                <w:sz w:val="22"/>
                <w:szCs w:val="22"/>
              </w:rPr>
              <w:t>Acid Ratio = (Current Assets - Stock and WIP) / Current liabilities</w:t>
            </w:r>
          </w:p>
        </w:tc>
        <w:tc>
          <w:tcPr>
            <w:tcW w:w="3572" w:type="dxa"/>
          </w:tcPr>
          <w:p w14:paraId="627CC074" w14:textId="77777777" w:rsidR="001C6653" w:rsidRPr="00A72B8E" w:rsidRDefault="001C6653" w:rsidP="00AD19D7">
            <w:pPr>
              <w:pStyle w:val="ListParagraph"/>
              <w:numPr>
                <w:ilvl w:val="0"/>
                <w:numId w:val="61"/>
              </w:numPr>
              <w:ind w:left="178" w:hanging="141"/>
              <w:rPr>
                <w:sz w:val="22"/>
                <w:szCs w:val="22"/>
              </w:rPr>
            </w:pPr>
            <w:r w:rsidRPr="00A72B8E">
              <w:rPr>
                <w:sz w:val="22"/>
                <w:szCs w:val="22"/>
              </w:rPr>
              <w:t> (Low Risk): Greater than 1</w:t>
            </w:r>
          </w:p>
          <w:p w14:paraId="791ED94A" w14:textId="29FFD230" w:rsidR="006569EA" w:rsidRPr="001C6653" w:rsidRDefault="001C6653" w:rsidP="00AD19D7">
            <w:pPr>
              <w:pStyle w:val="ListParagraph"/>
              <w:numPr>
                <w:ilvl w:val="0"/>
                <w:numId w:val="61"/>
              </w:numPr>
              <w:ind w:left="178" w:hanging="141"/>
              <w:rPr>
                <w:rFonts w:eastAsiaTheme="minorHAnsi" w:cstheme="minorBidi"/>
                <w:sz w:val="22"/>
                <w:szCs w:val="22"/>
              </w:rPr>
            </w:pPr>
            <w:r w:rsidRPr="001C6653">
              <w:rPr>
                <w:rFonts w:eastAsiaTheme="minorHAnsi" w:cstheme="minorBidi"/>
                <w:sz w:val="22"/>
                <w:szCs w:val="22"/>
              </w:rPr>
              <w:t>(High Risk): Less than 0.8</w:t>
            </w:r>
          </w:p>
        </w:tc>
      </w:tr>
      <w:tr w:rsidR="00535C34" w:rsidRPr="00535C34" w14:paraId="3D18C25C" w14:textId="1F13A9D1" w:rsidTr="006B0E8F">
        <w:trPr>
          <w:trHeight w:val="4335"/>
        </w:trPr>
        <w:tc>
          <w:tcPr>
            <w:tcW w:w="4535" w:type="dxa"/>
            <w:hideMark/>
          </w:tcPr>
          <w:p w14:paraId="7E94CB35" w14:textId="259ABA89" w:rsidR="00535C34" w:rsidRPr="00A72B8E" w:rsidRDefault="00535C34" w:rsidP="00AD19D7">
            <w:pPr>
              <w:pStyle w:val="ListParagraph"/>
              <w:numPr>
                <w:ilvl w:val="0"/>
                <w:numId w:val="61"/>
              </w:numPr>
              <w:ind w:left="178" w:hanging="141"/>
              <w:rPr>
                <w:sz w:val="22"/>
                <w:szCs w:val="22"/>
              </w:rPr>
            </w:pPr>
            <w:r w:rsidRPr="00A72B8E">
              <w:rPr>
                <w:sz w:val="22"/>
                <w:szCs w:val="22"/>
              </w:rPr>
              <w:lastRenderedPageBreak/>
              <w:t xml:space="preserve">Metric </w:t>
            </w:r>
            <w:r w:rsidR="008D5524" w:rsidRPr="00A72B8E">
              <w:rPr>
                <w:sz w:val="22"/>
                <w:szCs w:val="22"/>
              </w:rPr>
              <w:t>6</w:t>
            </w:r>
            <w:r w:rsidRPr="00A72B8E">
              <w:rPr>
                <w:sz w:val="22"/>
                <w:szCs w:val="22"/>
              </w:rPr>
              <w:t xml:space="preserve"> – Group Exposure Ratio</w:t>
            </w:r>
            <w:r w:rsidRPr="00A72B8E">
              <w:rPr>
                <w:sz w:val="22"/>
                <w:szCs w:val="22"/>
              </w:rPr>
              <w:br/>
            </w:r>
            <w:r w:rsidRPr="00A72B8E">
              <w:rPr>
                <w:sz w:val="22"/>
                <w:szCs w:val="22"/>
              </w:rPr>
              <w:br/>
            </w:r>
            <w:r w:rsidRPr="00A72B8E">
              <w:rPr>
                <w:i/>
                <w:sz w:val="22"/>
                <w:szCs w:val="22"/>
              </w:rPr>
              <w:t>Group Exposure Ratio = Group Exposure / Gross Assets</w:t>
            </w:r>
            <w:r w:rsidRPr="00A72B8E">
              <w:rPr>
                <w:i/>
                <w:sz w:val="22"/>
                <w:szCs w:val="22"/>
              </w:rPr>
              <w:br/>
            </w:r>
            <w:r w:rsidRPr="00A72B8E">
              <w:rPr>
                <w:sz w:val="22"/>
                <w:szCs w:val="22"/>
              </w:rPr>
              <w:br/>
            </w:r>
            <w:r w:rsidRPr="00A72B8E">
              <w:rPr>
                <w:b/>
                <w:sz w:val="22"/>
                <w:szCs w:val="22"/>
              </w:rPr>
              <w:t>Definition</w:t>
            </w:r>
            <w:r w:rsidRPr="00A72B8E">
              <w:rPr>
                <w:sz w:val="22"/>
                <w:szCs w:val="22"/>
              </w:rPr>
              <w:br/>
            </w:r>
            <w:r w:rsidRPr="00A72B8E">
              <w:rPr>
                <w:i/>
                <w:sz w:val="22"/>
                <w:szCs w:val="22"/>
              </w:rPr>
              <w:t>Group Exposure = Balances owed by Group Undertakings + Contingent liabilities assumed in</w:t>
            </w:r>
            <w:r w:rsidRPr="00A72B8E">
              <w:rPr>
                <w:i/>
                <w:sz w:val="22"/>
                <w:szCs w:val="22"/>
              </w:rPr>
              <w:br/>
              <w:t>support of Group Undertakings</w:t>
            </w:r>
            <w:r w:rsidRPr="00A72B8E">
              <w:rPr>
                <w:i/>
                <w:sz w:val="22"/>
                <w:szCs w:val="22"/>
              </w:rPr>
              <w:br/>
            </w:r>
            <w:r w:rsidRPr="00A72B8E">
              <w:rPr>
                <w:i/>
                <w:sz w:val="22"/>
                <w:szCs w:val="22"/>
              </w:rPr>
              <w:br/>
              <w:t>Gross Assets = Fixed Assets + Current Assets</w:t>
            </w:r>
          </w:p>
        </w:tc>
        <w:tc>
          <w:tcPr>
            <w:tcW w:w="4535" w:type="dxa"/>
            <w:hideMark/>
          </w:tcPr>
          <w:p w14:paraId="2D44A272" w14:textId="6E3FA9F8" w:rsidR="00535C34" w:rsidRPr="00A72B8E" w:rsidRDefault="00535C34">
            <w:pPr>
              <w:rPr>
                <w:sz w:val="22"/>
                <w:szCs w:val="22"/>
              </w:rPr>
            </w:pPr>
            <w:r w:rsidRPr="00A72B8E">
              <w:rPr>
                <w:sz w:val="22"/>
                <w:szCs w:val="22"/>
              </w:rPr>
              <w:t>Group Exposure Ratio = Group Exposure / Gross Assets</w:t>
            </w:r>
            <w:r w:rsidRPr="00A72B8E">
              <w:rPr>
                <w:sz w:val="22"/>
                <w:szCs w:val="22"/>
              </w:rPr>
              <w:br/>
            </w:r>
            <w:r w:rsidRPr="00A72B8E">
              <w:rPr>
                <w:sz w:val="22"/>
                <w:szCs w:val="22"/>
              </w:rPr>
              <w:br/>
              <w:t xml:space="preserve">Where </w:t>
            </w:r>
            <w:r w:rsidRPr="00A72B8E">
              <w:rPr>
                <w:b/>
                <w:sz w:val="22"/>
                <w:szCs w:val="22"/>
              </w:rPr>
              <w:t>Group Exposure</w:t>
            </w:r>
            <w:r w:rsidRPr="00A72B8E">
              <w:rPr>
                <w:sz w:val="22"/>
                <w:szCs w:val="22"/>
              </w:rPr>
              <w:t xml:space="preserve"> is the sum of:</w:t>
            </w:r>
            <w:r w:rsidRPr="00A72B8E">
              <w:rPr>
                <w:sz w:val="22"/>
                <w:szCs w:val="22"/>
              </w:rPr>
              <w:br/>
              <w:t>1. Other non-current assets: Amounts owed by group undertakings and Amounts owed by joint ventures and associates</w:t>
            </w:r>
            <w:r w:rsidRPr="00A72B8E">
              <w:rPr>
                <w:sz w:val="22"/>
                <w:szCs w:val="22"/>
              </w:rPr>
              <w:br/>
              <w:t>2. Current assets: Amounts owed by group undertakings and Amounts owed by joint ventures and associates</w:t>
            </w:r>
            <w:r w:rsidRPr="00A72B8E">
              <w:rPr>
                <w:sz w:val="22"/>
                <w:szCs w:val="22"/>
              </w:rPr>
              <w:br/>
              <w:t>3. Contingent liabilities in support of group undertakings (£'000s)</w:t>
            </w:r>
            <w:r w:rsidRPr="00A72B8E">
              <w:rPr>
                <w:sz w:val="22"/>
                <w:szCs w:val="22"/>
              </w:rPr>
              <w:br/>
            </w:r>
            <w:r w:rsidRPr="00A72B8E">
              <w:rPr>
                <w:sz w:val="22"/>
                <w:szCs w:val="22"/>
              </w:rPr>
              <w:br/>
              <w:t xml:space="preserve">Where </w:t>
            </w:r>
            <w:r w:rsidRPr="00A72B8E">
              <w:rPr>
                <w:b/>
                <w:sz w:val="22"/>
                <w:szCs w:val="22"/>
              </w:rPr>
              <w:t>Gross Assets</w:t>
            </w:r>
            <w:r w:rsidRPr="00A72B8E">
              <w:rPr>
                <w:sz w:val="22"/>
                <w:szCs w:val="22"/>
              </w:rPr>
              <w:t xml:space="preserve"> is the sum of: </w:t>
            </w:r>
            <w:r w:rsidRPr="00A72B8E">
              <w:rPr>
                <w:sz w:val="22"/>
                <w:szCs w:val="22"/>
              </w:rPr>
              <w:br/>
              <w:t xml:space="preserve">1. Fixed Assets: Other intangible fixed assets, Tangible fixed assets, Other fixed assets (Fixed asset investments, investment properties etc.) and </w:t>
            </w:r>
            <w:proofErr w:type="gramStart"/>
            <w:r w:rsidRPr="00A72B8E">
              <w:rPr>
                <w:sz w:val="22"/>
                <w:szCs w:val="22"/>
              </w:rPr>
              <w:t>Right</w:t>
            </w:r>
            <w:proofErr w:type="gramEnd"/>
            <w:r w:rsidRPr="00A72B8E">
              <w:rPr>
                <w:sz w:val="22"/>
                <w:szCs w:val="22"/>
              </w:rPr>
              <w:t xml:space="preserve"> of use assets</w:t>
            </w:r>
            <w:r w:rsidRPr="00A72B8E">
              <w:rPr>
                <w:sz w:val="22"/>
                <w:szCs w:val="22"/>
              </w:rPr>
              <w:br/>
              <w:t>2. Current Assets</w:t>
            </w:r>
            <w:r w:rsidRPr="00A72B8E">
              <w:rPr>
                <w:sz w:val="22"/>
                <w:szCs w:val="22"/>
              </w:rPr>
              <w:br/>
            </w:r>
            <w:r w:rsidRPr="00A72B8E">
              <w:rPr>
                <w:sz w:val="22"/>
                <w:szCs w:val="22"/>
              </w:rPr>
              <w:br/>
              <w:t>We note that Goodwill has been excluded in the calculation of gross assets.</w:t>
            </w:r>
          </w:p>
        </w:tc>
        <w:tc>
          <w:tcPr>
            <w:tcW w:w="3572" w:type="dxa"/>
          </w:tcPr>
          <w:p w14:paraId="32871A52" w14:textId="77777777" w:rsidR="001C6653" w:rsidRPr="00A72B8E" w:rsidRDefault="001C6653" w:rsidP="00AD19D7">
            <w:pPr>
              <w:pStyle w:val="ListParagraph"/>
              <w:numPr>
                <w:ilvl w:val="0"/>
                <w:numId w:val="61"/>
              </w:numPr>
              <w:ind w:left="178" w:hanging="141"/>
              <w:rPr>
                <w:sz w:val="22"/>
                <w:szCs w:val="22"/>
              </w:rPr>
            </w:pPr>
            <w:r w:rsidRPr="00A72B8E">
              <w:rPr>
                <w:sz w:val="22"/>
                <w:szCs w:val="22"/>
              </w:rPr>
              <w:t>(Low Risk): Less than 25%</w:t>
            </w:r>
          </w:p>
          <w:p w14:paraId="3C5BD31A" w14:textId="1AF0797F" w:rsidR="006569EA" w:rsidRPr="001C6653" w:rsidRDefault="001C6653" w:rsidP="00AD19D7">
            <w:pPr>
              <w:pStyle w:val="ListParagraph"/>
              <w:numPr>
                <w:ilvl w:val="0"/>
                <w:numId w:val="61"/>
              </w:numPr>
              <w:ind w:left="178" w:hanging="141"/>
              <w:rPr>
                <w:rFonts w:eastAsiaTheme="minorHAnsi" w:cstheme="minorBidi"/>
                <w:sz w:val="22"/>
                <w:szCs w:val="22"/>
              </w:rPr>
            </w:pPr>
            <w:r w:rsidRPr="001C6653">
              <w:rPr>
                <w:rFonts w:eastAsiaTheme="minorHAnsi" w:cstheme="minorBidi"/>
                <w:sz w:val="22"/>
                <w:szCs w:val="22"/>
              </w:rPr>
              <w:t>(High Risk): More than 65%</w:t>
            </w:r>
          </w:p>
        </w:tc>
      </w:tr>
    </w:tbl>
    <w:p w14:paraId="506145F6" w14:textId="77777777" w:rsidR="309A27D6" w:rsidRPr="00684D56" w:rsidRDefault="309A27D6" w:rsidP="309A27D6"/>
    <w:p w14:paraId="55839074" w14:textId="77777777" w:rsidR="003715B7" w:rsidRDefault="003715B7" w:rsidP="00684D56">
      <w:pPr>
        <w:sectPr w:rsidR="003715B7" w:rsidSect="009F6376">
          <w:headerReference w:type="default" r:id="rId37"/>
          <w:pgSz w:w="15840" w:h="12240" w:orient="landscape"/>
          <w:pgMar w:top="1440" w:right="1440" w:bottom="1440" w:left="1440" w:header="720" w:footer="720" w:gutter="0"/>
          <w:cols w:space="720"/>
          <w:docGrid w:linePitch="299"/>
        </w:sectPr>
      </w:pPr>
    </w:p>
    <w:p w14:paraId="4EE28D1C" w14:textId="5E854A68" w:rsidR="00B3324B" w:rsidRDefault="003715B7" w:rsidP="004E33D2">
      <w:pPr>
        <w:pStyle w:val="Head2"/>
        <w:pageBreakBefore/>
        <w:numPr>
          <w:ilvl w:val="0"/>
          <w:numId w:val="0"/>
        </w:numPr>
        <w:spacing w:before="240"/>
        <w:rPr>
          <w:rFonts w:cs="Arial"/>
          <w:b/>
          <w:color w:val="009999"/>
          <w:sz w:val="24"/>
          <w:szCs w:val="24"/>
        </w:rPr>
      </w:pPr>
      <w:bookmarkStart w:id="89" w:name="_Toc203730844"/>
      <w:r w:rsidRPr="00957A1F">
        <w:rPr>
          <w:rFonts w:cs="Arial"/>
          <w:b/>
          <w:bCs/>
          <w:color w:val="009999"/>
          <w:sz w:val="24"/>
          <w:szCs w:val="24"/>
        </w:rPr>
        <w:lastRenderedPageBreak/>
        <w:t xml:space="preserve">ANNEX </w:t>
      </w:r>
      <w:r>
        <w:rPr>
          <w:rFonts w:cs="Arial"/>
          <w:b/>
          <w:bCs/>
          <w:color w:val="009999"/>
          <w:sz w:val="24"/>
          <w:szCs w:val="24"/>
        </w:rPr>
        <w:t>4</w:t>
      </w:r>
      <w:r w:rsidRPr="00957A1F">
        <w:rPr>
          <w:rFonts w:cs="Arial"/>
          <w:b/>
          <w:bCs/>
          <w:color w:val="009999"/>
          <w:sz w:val="24"/>
          <w:szCs w:val="24"/>
        </w:rPr>
        <w:t xml:space="preserve">: </w:t>
      </w:r>
      <w:r w:rsidR="00CC43F6">
        <w:rPr>
          <w:rFonts w:cs="Arial"/>
          <w:b/>
          <w:bCs/>
          <w:color w:val="009999"/>
          <w:sz w:val="24"/>
          <w:szCs w:val="24"/>
        </w:rPr>
        <w:t>ACCESSIBILITY EVIDENCE QUESTIONNAIRE</w:t>
      </w:r>
      <w:bookmarkEnd w:id="89"/>
    </w:p>
    <w:p w14:paraId="603670C6" w14:textId="5D223343" w:rsidR="00B3324B" w:rsidRDefault="00B3324B" w:rsidP="00B3324B">
      <w:r>
        <w:t xml:space="preserve">The </w:t>
      </w:r>
      <w:r w:rsidR="004E33D2">
        <w:t>accessibility evidence questionnaire</w:t>
      </w:r>
      <w:r w:rsidR="005021B9">
        <w:t>, as referred to in question 3.10</w:t>
      </w:r>
      <w:r w:rsidR="00043E0C">
        <w:t xml:space="preserve"> of</w:t>
      </w:r>
      <w:r w:rsidR="00E63207">
        <w:t xml:space="preserve"> Part 3</w:t>
      </w:r>
      <w:r w:rsidR="00162EF1">
        <w:t xml:space="preserve">, </w:t>
      </w:r>
      <w:r w:rsidR="00E63207">
        <w:t>Schedule 1 of this document</w:t>
      </w:r>
      <w:r w:rsidR="005021B9">
        <w:t xml:space="preserve">, </w:t>
      </w:r>
      <w:r w:rsidR="004E33D2">
        <w:t>is enclosed separatel</w:t>
      </w:r>
      <w:r w:rsidR="005021B9">
        <w:t xml:space="preserve">y. </w:t>
      </w:r>
    </w:p>
    <w:p w14:paraId="7419AD63" w14:textId="710E32DA" w:rsidR="006731F1" w:rsidRDefault="006731F1">
      <w:r>
        <w:br w:type="page"/>
      </w:r>
    </w:p>
    <w:p w14:paraId="4AF44C1D" w14:textId="7B47A1A7" w:rsidR="006731F1" w:rsidRDefault="006731F1" w:rsidP="006731F1">
      <w:pPr>
        <w:pStyle w:val="Head2"/>
        <w:pageBreakBefore/>
        <w:numPr>
          <w:ilvl w:val="0"/>
          <w:numId w:val="0"/>
        </w:numPr>
        <w:spacing w:before="240"/>
        <w:rPr>
          <w:rFonts w:cs="Arial"/>
          <w:b/>
          <w:color w:val="009999"/>
          <w:sz w:val="24"/>
          <w:szCs w:val="24"/>
        </w:rPr>
      </w:pPr>
      <w:bookmarkStart w:id="90" w:name="_Toc203730845"/>
      <w:r w:rsidRPr="00957A1F">
        <w:rPr>
          <w:rFonts w:cs="Arial"/>
          <w:b/>
          <w:bCs/>
          <w:color w:val="009999"/>
          <w:sz w:val="24"/>
          <w:szCs w:val="24"/>
        </w:rPr>
        <w:lastRenderedPageBreak/>
        <w:t xml:space="preserve">ANNEX </w:t>
      </w:r>
      <w:r>
        <w:rPr>
          <w:rFonts w:cs="Arial"/>
          <w:b/>
          <w:bCs/>
          <w:color w:val="009999"/>
          <w:sz w:val="24"/>
          <w:szCs w:val="24"/>
        </w:rPr>
        <w:t>5</w:t>
      </w:r>
      <w:r w:rsidRPr="00957A1F">
        <w:rPr>
          <w:rFonts w:cs="Arial"/>
          <w:b/>
          <w:bCs/>
          <w:color w:val="009999"/>
          <w:sz w:val="24"/>
          <w:szCs w:val="24"/>
        </w:rPr>
        <w:t xml:space="preserve">: </w:t>
      </w:r>
      <w:r>
        <w:rPr>
          <w:rFonts w:cs="Arial"/>
          <w:b/>
          <w:bCs/>
          <w:color w:val="009999"/>
          <w:sz w:val="24"/>
          <w:szCs w:val="24"/>
        </w:rPr>
        <w:t>CRM CLARIFICATIONS TEMPLATE</w:t>
      </w:r>
      <w:bookmarkEnd w:id="90"/>
    </w:p>
    <w:p w14:paraId="48C1B973" w14:textId="438E54B8" w:rsidR="006731F1" w:rsidRPr="00B3324B" w:rsidRDefault="006731F1" w:rsidP="00B3324B">
      <w:r>
        <w:t>This document is enclosed separately.</w:t>
      </w:r>
    </w:p>
    <w:sectPr w:rsidR="006731F1" w:rsidRPr="00B3324B" w:rsidSect="009F6376">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B8F0" w14:textId="77777777" w:rsidR="00DB1264" w:rsidRDefault="00DB1264" w:rsidP="00B56B5F">
      <w:pPr>
        <w:spacing w:after="0" w:line="240" w:lineRule="auto"/>
      </w:pPr>
      <w:r>
        <w:separator/>
      </w:r>
    </w:p>
  </w:endnote>
  <w:endnote w:type="continuationSeparator" w:id="0">
    <w:p w14:paraId="14768CCA" w14:textId="77777777" w:rsidR="00DB1264" w:rsidRDefault="00DB1264" w:rsidP="00B56B5F">
      <w:pPr>
        <w:spacing w:after="0" w:line="240" w:lineRule="auto"/>
      </w:pPr>
      <w:r>
        <w:continuationSeparator/>
      </w:r>
    </w:p>
  </w:endnote>
  <w:endnote w:type="continuationNotice" w:id="1">
    <w:p w14:paraId="64ADD1BB" w14:textId="77777777" w:rsidR="00DB1264" w:rsidRDefault="00DB12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1)">
    <w:altName w:val="Arial"/>
    <w:charset w:val="00"/>
    <w:family w:val="swiss"/>
    <w:pitch w:val="variable"/>
    <w:sig w:usb0="20007A87" w:usb1="80000000" w:usb2="00000008" w:usb3="00000000" w:csb0="000001FF" w:csb1="00000000"/>
  </w:font>
  <w:font w:name="Linux Libertine G">
    <w:altName w:val="Cambria"/>
    <w:charset w:val="00"/>
    <w:family w:val="auto"/>
    <w:pitch w:val="variable"/>
  </w:font>
  <w:font w:name="Helvetica Neue Light">
    <w:altName w:val="Calibri"/>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Univers">
    <w:charset w:val="00"/>
    <w:family w:val="swiss"/>
    <w:pitch w:val="variable"/>
    <w:sig w:usb0="80000287" w:usb1="00000000" w:usb2="00000000" w:usb3="00000000" w:csb0="0000000F" w:csb1="00000000"/>
  </w:font>
  <w:font w:name="Corbel">
    <w:panose1 w:val="020B0503020204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C427" w14:textId="47C4D213" w:rsidR="004307E9" w:rsidRDefault="004C36DF">
    <w:pPr>
      <w:pStyle w:val="Footer"/>
    </w:pPr>
    <w:r>
      <w:t xml:space="preserve">HMRC </w:t>
    </w:r>
    <w:r w:rsidR="00E64BC2">
      <w:t>e</w:t>
    </w:r>
    <w:r>
      <w:t>CRM</w:t>
    </w:r>
    <w:r w:rsidR="00AF7830">
      <w:t xml:space="preserve"> Procurement</w:t>
    </w:r>
    <w:r w:rsidR="004307E9">
      <w:ptab w:relativeTo="margin" w:alignment="center" w:leader="none"/>
    </w:r>
    <w:r>
      <w:t>OFFICIAL</w:t>
    </w:r>
    <w:r w:rsidR="004307E9">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570C0" w14:textId="77777777" w:rsidR="00DB1264" w:rsidRDefault="00DB1264" w:rsidP="00B56B5F">
      <w:pPr>
        <w:spacing w:after="0" w:line="240" w:lineRule="auto"/>
      </w:pPr>
      <w:r>
        <w:separator/>
      </w:r>
    </w:p>
  </w:footnote>
  <w:footnote w:type="continuationSeparator" w:id="0">
    <w:p w14:paraId="3550BFDB" w14:textId="77777777" w:rsidR="00DB1264" w:rsidRDefault="00DB1264" w:rsidP="00B56B5F">
      <w:pPr>
        <w:spacing w:after="0" w:line="240" w:lineRule="auto"/>
      </w:pPr>
      <w:r>
        <w:continuationSeparator/>
      </w:r>
    </w:p>
  </w:footnote>
  <w:footnote w:type="continuationNotice" w:id="1">
    <w:p w14:paraId="394255F9" w14:textId="77777777" w:rsidR="00DB1264" w:rsidRDefault="00DB12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6246B13" w14:paraId="0507E5D0" w14:textId="77777777" w:rsidTr="46246B13">
      <w:trPr>
        <w:trHeight w:val="300"/>
      </w:trPr>
      <w:tc>
        <w:tcPr>
          <w:tcW w:w="3120" w:type="dxa"/>
        </w:tcPr>
        <w:p w14:paraId="6647E7C4" w14:textId="007B5CC7" w:rsidR="46246B13" w:rsidRDefault="46246B13" w:rsidP="46246B13">
          <w:pPr>
            <w:ind w:left="-115"/>
          </w:pPr>
        </w:p>
      </w:tc>
      <w:tc>
        <w:tcPr>
          <w:tcW w:w="3120" w:type="dxa"/>
        </w:tcPr>
        <w:p w14:paraId="149F62F2" w14:textId="2A7962A6" w:rsidR="46246B13" w:rsidRDefault="46246B13" w:rsidP="46246B13">
          <w:pPr>
            <w:jc w:val="center"/>
          </w:pPr>
        </w:p>
      </w:tc>
      <w:tc>
        <w:tcPr>
          <w:tcW w:w="3120" w:type="dxa"/>
        </w:tcPr>
        <w:p w14:paraId="16D4EC17" w14:textId="5556EDE9" w:rsidR="46246B13" w:rsidRDefault="46246B13" w:rsidP="46246B13">
          <w:pPr>
            <w:ind w:right="-115"/>
            <w:jc w:val="right"/>
          </w:pPr>
        </w:p>
      </w:tc>
    </w:tr>
  </w:tbl>
  <w:p w14:paraId="43DFE9AA" w14:textId="4FD2269D" w:rsidR="0038382D" w:rsidRDefault="003838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6246B13" w14:paraId="2D6793C6" w14:textId="77777777" w:rsidTr="46246B13">
      <w:trPr>
        <w:trHeight w:val="300"/>
      </w:trPr>
      <w:tc>
        <w:tcPr>
          <w:tcW w:w="4320" w:type="dxa"/>
        </w:tcPr>
        <w:p w14:paraId="4643CA96" w14:textId="3F4A6FA9" w:rsidR="46246B13" w:rsidRDefault="46246B13" w:rsidP="46246B13">
          <w:pPr>
            <w:ind w:left="-115"/>
          </w:pPr>
        </w:p>
      </w:tc>
      <w:tc>
        <w:tcPr>
          <w:tcW w:w="4320" w:type="dxa"/>
        </w:tcPr>
        <w:p w14:paraId="2E6BBE63" w14:textId="77BDF0F3" w:rsidR="46246B13" w:rsidRDefault="46246B13" w:rsidP="46246B13">
          <w:pPr>
            <w:jc w:val="center"/>
          </w:pPr>
        </w:p>
      </w:tc>
      <w:tc>
        <w:tcPr>
          <w:tcW w:w="4320" w:type="dxa"/>
        </w:tcPr>
        <w:p w14:paraId="03088228" w14:textId="2DF7BA94" w:rsidR="46246B13" w:rsidRDefault="46246B13" w:rsidP="46246B13">
          <w:pPr>
            <w:ind w:right="-115"/>
            <w:jc w:val="right"/>
          </w:pPr>
        </w:p>
      </w:tc>
    </w:tr>
  </w:tbl>
  <w:p w14:paraId="57C0E5CF" w14:textId="0C873501" w:rsidR="0038382D" w:rsidRDefault="003838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6246B13" w14:paraId="7588CAD1" w14:textId="77777777" w:rsidTr="46246B13">
      <w:trPr>
        <w:trHeight w:val="300"/>
      </w:trPr>
      <w:tc>
        <w:tcPr>
          <w:tcW w:w="4320" w:type="dxa"/>
        </w:tcPr>
        <w:p w14:paraId="028933CE" w14:textId="275619A1" w:rsidR="46246B13" w:rsidRDefault="46246B13" w:rsidP="46246B13">
          <w:pPr>
            <w:ind w:left="-115"/>
          </w:pPr>
        </w:p>
      </w:tc>
      <w:tc>
        <w:tcPr>
          <w:tcW w:w="4320" w:type="dxa"/>
        </w:tcPr>
        <w:p w14:paraId="046DF0E8" w14:textId="65BC3363" w:rsidR="46246B13" w:rsidRDefault="46246B13" w:rsidP="46246B13">
          <w:pPr>
            <w:jc w:val="center"/>
          </w:pPr>
        </w:p>
      </w:tc>
      <w:tc>
        <w:tcPr>
          <w:tcW w:w="4320" w:type="dxa"/>
        </w:tcPr>
        <w:p w14:paraId="384AE53A" w14:textId="38FE2D81" w:rsidR="46246B13" w:rsidRDefault="46246B13" w:rsidP="46246B13">
          <w:pPr>
            <w:ind w:right="-115"/>
            <w:jc w:val="right"/>
          </w:pPr>
        </w:p>
      </w:tc>
    </w:tr>
  </w:tbl>
  <w:p w14:paraId="248E3BD8" w14:textId="7A3E4652" w:rsidR="0038382D" w:rsidRDefault="003838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6246B13" w14:paraId="71DB4394" w14:textId="77777777" w:rsidTr="46246B13">
      <w:trPr>
        <w:trHeight w:val="300"/>
      </w:trPr>
      <w:tc>
        <w:tcPr>
          <w:tcW w:w="3120" w:type="dxa"/>
        </w:tcPr>
        <w:p w14:paraId="4106BDE2" w14:textId="55B84DCB" w:rsidR="46246B13" w:rsidRDefault="46246B13" w:rsidP="46246B13">
          <w:pPr>
            <w:ind w:left="-115"/>
          </w:pPr>
        </w:p>
      </w:tc>
      <w:tc>
        <w:tcPr>
          <w:tcW w:w="3120" w:type="dxa"/>
        </w:tcPr>
        <w:p w14:paraId="1A64984F" w14:textId="3E485C99" w:rsidR="46246B13" w:rsidRDefault="46246B13" w:rsidP="46246B13">
          <w:pPr>
            <w:jc w:val="center"/>
          </w:pPr>
        </w:p>
      </w:tc>
      <w:tc>
        <w:tcPr>
          <w:tcW w:w="3120" w:type="dxa"/>
        </w:tcPr>
        <w:p w14:paraId="70F58BAF" w14:textId="346229BB" w:rsidR="46246B13" w:rsidRDefault="46246B13" w:rsidP="46246B13">
          <w:pPr>
            <w:ind w:right="-115"/>
            <w:jc w:val="right"/>
          </w:pPr>
        </w:p>
      </w:tc>
    </w:tr>
  </w:tbl>
  <w:p w14:paraId="20F4C401" w14:textId="6FAC98B8" w:rsidR="00E06128" w:rsidRDefault="00E061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320"/>
      <w:gridCol w:w="4320"/>
      <w:gridCol w:w="4320"/>
    </w:tblGrid>
    <w:tr w:rsidR="46246B13" w14:paraId="0B95D319" w14:textId="77777777" w:rsidTr="46246B13">
      <w:trPr>
        <w:trHeight w:val="300"/>
      </w:trPr>
      <w:tc>
        <w:tcPr>
          <w:tcW w:w="4320" w:type="dxa"/>
        </w:tcPr>
        <w:p w14:paraId="49445A56" w14:textId="6597DE4E" w:rsidR="46246B13" w:rsidRDefault="46246B13" w:rsidP="46246B13">
          <w:pPr>
            <w:ind w:left="-115"/>
          </w:pPr>
        </w:p>
      </w:tc>
      <w:tc>
        <w:tcPr>
          <w:tcW w:w="4320" w:type="dxa"/>
        </w:tcPr>
        <w:p w14:paraId="58BEF3D4" w14:textId="3CD1A061" w:rsidR="46246B13" w:rsidRDefault="46246B13" w:rsidP="46246B13">
          <w:pPr>
            <w:jc w:val="center"/>
          </w:pPr>
        </w:p>
      </w:tc>
      <w:tc>
        <w:tcPr>
          <w:tcW w:w="4320" w:type="dxa"/>
        </w:tcPr>
        <w:p w14:paraId="1F8ECE32" w14:textId="0ACBC65F" w:rsidR="46246B13" w:rsidRDefault="46246B13" w:rsidP="46246B13">
          <w:pPr>
            <w:ind w:right="-115"/>
            <w:jc w:val="right"/>
          </w:pPr>
        </w:p>
      </w:tc>
    </w:tr>
  </w:tbl>
  <w:p w14:paraId="6C9BD179" w14:textId="6F488CB2" w:rsidR="0038382D" w:rsidRDefault="00383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ED8"/>
    <w:multiLevelType w:val="hybridMultilevel"/>
    <w:tmpl w:val="6DA83894"/>
    <w:lvl w:ilvl="0" w:tplc="427CDA18">
      <w:start w:val="1"/>
      <w:numFmt w:val="lowerRoman"/>
      <w:lvlText w:val="%1."/>
      <w:lvlJc w:val="right"/>
      <w:pPr>
        <w:ind w:left="720" w:hanging="360"/>
      </w:pPr>
      <w:rPr>
        <w:rFonts w:ascii="Arial" w:eastAsiaTheme="minorHAnsi" w:hAnsi="Arial" w:cstheme="minorBidi"/>
      </w:rPr>
    </w:lvl>
    <w:lvl w:ilvl="1" w:tplc="1138DDD8">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93490"/>
    <w:multiLevelType w:val="hybridMultilevel"/>
    <w:tmpl w:val="7CC63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A2100"/>
    <w:multiLevelType w:val="hybridMultilevel"/>
    <w:tmpl w:val="F9A86E2C"/>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8F3EBA9E">
      <w:start w:val="3"/>
      <w:numFmt w:val="bullet"/>
      <w:lvlText w:val="-"/>
      <w:lvlJc w:val="left"/>
      <w:pPr>
        <w:ind w:left="2160" w:hanging="360"/>
      </w:pPr>
      <w:rPr>
        <w:rFonts w:ascii="Arial" w:eastAsiaTheme="minorHAnsi" w:hAnsi="Arial" w:cs="Arial" w:hint="default"/>
      </w:rPr>
    </w:lvl>
    <w:lvl w:ilvl="3" w:tplc="26F60010">
      <w:start w:val="1"/>
      <w:numFmt w:val="upperRoman"/>
      <w:lvlText w:val="%4)"/>
      <w:lvlJc w:val="left"/>
      <w:pPr>
        <w:ind w:left="3240" w:hanging="72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4F79B2"/>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4B007A2"/>
    <w:multiLevelType w:val="multilevel"/>
    <w:tmpl w:val="3D4E39CA"/>
    <w:lvl w:ilvl="0">
      <w:start w:val="1"/>
      <w:numFmt w:val="decimal"/>
      <w:lvlText w:val="%1"/>
      <w:lvlJc w:val="left"/>
      <w:pPr>
        <w:tabs>
          <w:tab w:val="num" w:pos="709"/>
        </w:tabs>
        <w:ind w:left="709" w:hanging="709"/>
      </w:pPr>
      <w:rPr>
        <w:rFonts w:cs="Times New Roman"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 w15:restartNumberingAfterBreak="0">
    <w:nsid w:val="053F6A48"/>
    <w:multiLevelType w:val="hybridMultilevel"/>
    <w:tmpl w:val="1DD606A2"/>
    <w:lvl w:ilvl="0" w:tplc="F2A2BEFC">
      <w:start w:val="1"/>
      <w:numFmt w:val="decimal"/>
      <w:lvlText w:val="%1."/>
      <w:lvlJc w:val="left"/>
      <w:pPr>
        <w:tabs>
          <w:tab w:val="num" w:pos="720"/>
        </w:tabs>
        <w:ind w:left="720" w:hanging="360"/>
      </w:pPr>
    </w:lvl>
    <w:lvl w:ilvl="1" w:tplc="692A0196" w:tentative="1">
      <w:start w:val="1"/>
      <w:numFmt w:val="decimal"/>
      <w:lvlText w:val="%2."/>
      <w:lvlJc w:val="left"/>
      <w:pPr>
        <w:tabs>
          <w:tab w:val="num" w:pos="1440"/>
        </w:tabs>
        <w:ind w:left="1440" w:hanging="360"/>
      </w:pPr>
    </w:lvl>
    <w:lvl w:ilvl="2" w:tplc="22265B14" w:tentative="1">
      <w:start w:val="1"/>
      <w:numFmt w:val="decimal"/>
      <w:lvlText w:val="%3."/>
      <w:lvlJc w:val="left"/>
      <w:pPr>
        <w:tabs>
          <w:tab w:val="num" w:pos="2160"/>
        </w:tabs>
        <w:ind w:left="2160" w:hanging="360"/>
      </w:pPr>
    </w:lvl>
    <w:lvl w:ilvl="3" w:tplc="7A4AD1D4" w:tentative="1">
      <w:start w:val="1"/>
      <w:numFmt w:val="decimal"/>
      <w:lvlText w:val="%4."/>
      <w:lvlJc w:val="left"/>
      <w:pPr>
        <w:tabs>
          <w:tab w:val="num" w:pos="2880"/>
        </w:tabs>
        <w:ind w:left="2880" w:hanging="360"/>
      </w:pPr>
    </w:lvl>
    <w:lvl w:ilvl="4" w:tplc="58448526" w:tentative="1">
      <w:start w:val="1"/>
      <w:numFmt w:val="decimal"/>
      <w:lvlText w:val="%5."/>
      <w:lvlJc w:val="left"/>
      <w:pPr>
        <w:tabs>
          <w:tab w:val="num" w:pos="3600"/>
        </w:tabs>
        <w:ind w:left="3600" w:hanging="360"/>
      </w:pPr>
    </w:lvl>
    <w:lvl w:ilvl="5" w:tplc="6F906628" w:tentative="1">
      <w:start w:val="1"/>
      <w:numFmt w:val="decimal"/>
      <w:lvlText w:val="%6."/>
      <w:lvlJc w:val="left"/>
      <w:pPr>
        <w:tabs>
          <w:tab w:val="num" w:pos="4320"/>
        </w:tabs>
        <w:ind w:left="4320" w:hanging="360"/>
      </w:pPr>
    </w:lvl>
    <w:lvl w:ilvl="6" w:tplc="A574E142" w:tentative="1">
      <w:start w:val="1"/>
      <w:numFmt w:val="decimal"/>
      <w:lvlText w:val="%7."/>
      <w:lvlJc w:val="left"/>
      <w:pPr>
        <w:tabs>
          <w:tab w:val="num" w:pos="5040"/>
        </w:tabs>
        <w:ind w:left="5040" w:hanging="360"/>
      </w:pPr>
    </w:lvl>
    <w:lvl w:ilvl="7" w:tplc="55202CB0" w:tentative="1">
      <w:start w:val="1"/>
      <w:numFmt w:val="decimal"/>
      <w:lvlText w:val="%8."/>
      <w:lvlJc w:val="left"/>
      <w:pPr>
        <w:tabs>
          <w:tab w:val="num" w:pos="5760"/>
        </w:tabs>
        <w:ind w:left="5760" w:hanging="360"/>
      </w:pPr>
    </w:lvl>
    <w:lvl w:ilvl="8" w:tplc="C142AE34" w:tentative="1">
      <w:start w:val="1"/>
      <w:numFmt w:val="decimal"/>
      <w:lvlText w:val="%9."/>
      <w:lvlJc w:val="left"/>
      <w:pPr>
        <w:tabs>
          <w:tab w:val="num" w:pos="6480"/>
        </w:tabs>
        <w:ind w:left="6480" w:hanging="360"/>
      </w:pPr>
    </w:lvl>
  </w:abstractNum>
  <w:abstractNum w:abstractNumId="6" w15:restartNumberingAfterBreak="0">
    <w:nsid w:val="058F0072"/>
    <w:multiLevelType w:val="hybridMultilevel"/>
    <w:tmpl w:val="F5DC8D04"/>
    <w:lvl w:ilvl="0" w:tplc="616E44D4">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3150"/>
    <w:multiLevelType w:val="hybridMultilevel"/>
    <w:tmpl w:val="1DD606A2"/>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0731120D"/>
    <w:multiLevelType w:val="hybridMultilevel"/>
    <w:tmpl w:val="190C60D4"/>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823F21"/>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0F597CA6"/>
    <w:multiLevelType w:val="hybridMultilevel"/>
    <w:tmpl w:val="9280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E3EBD"/>
    <w:multiLevelType w:val="hybridMultilevel"/>
    <w:tmpl w:val="271CB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1C69C4"/>
    <w:multiLevelType w:val="multilevel"/>
    <w:tmpl w:val="7EBEDFE8"/>
    <w:styleLink w:val="HCANumbering"/>
    <w:lvl w:ilvl="0">
      <w:start w:val="8"/>
      <w:numFmt w:val="decimal"/>
      <w:lvlText w:val="%1"/>
      <w:lvlJc w:val="left"/>
      <w:pPr>
        <w:tabs>
          <w:tab w:val="num" w:pos="709"/>
        </w:tabs>
        <w:ind w:left="709" w:hanging="709"/>
      </w:pPr>
      <w:rPr>
        <w:rFonts w:cs="Times New Roman" w:hint="default"/>
        <w:b/>
        <w:color w:val="009999"/>
        <w:sz w:val="28"/>
        <w:szCs w:val="28"/>
      </w:rPr>
    </w:lvl>
    <w:lvl w:ilvl="1">
      <w:start w:val="1"/>
      <w:numFmt w:val="decimal"/>
      <w:lvlRestart w:val="0"/>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3" w15:restartNumberingAfterBreak="0">
    <w:nsid w:val="13945523"/>
    <w:multiLevelType w:val="hybridMultilevel"/>
    <w:tmpl w:val="AD1A50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6231AD"/>
    <w:multiLevelType w:val="multilevel"/>
    <w:tmpl w:val="C5E22042"/>
    <w:lvl w:ilvl="0">
      <w:start w:val="1"/>
      <w:numFmt w:val="decimal"/>
      <w:pStyle w:val="Head1"/>
      <w:lvlText w:val="%1."/>
      <w:lvlJc w:val="left"/>
      <w:pPr>
        <w:ind w:left="360" w:hanging="360"/>
      </w:pPr>
      <w:rPr>
        <w:rFonts w:ascii="Arial" w:hAnsi="Arial" w:cs="Arial" w:hint="default"/>
        <w:b/>
        <w:sz w:val="28"/>
        <w:szCs w:val="28"/>
      </w:rPr>
    </w:lvl>
    <w:lvl w:ilvl="1">
      <w:start w:val="1"/>
      <w:numFmt w:val="decimal"/>
      <w:pStyle w:val="Head2"/>
      <w:lvlText w:val="%1."/>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8885426"/>
    <w:multiLevelType w:val="hybridMultilevel"/>
    <w:tmpl w:val="DCF8919A"/>
    <w:lvl w:ilvl="0" w:tplc="D8B2CFA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0D769D"/>
    <w:multiLevelType w:val="hybridMultilevel"/>
    <w:tmpl w:val="511C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C11F0F"/>
    <w:multiLevelType w:val="multilevel"/>
    <w:tmpl w:val="14101F0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1E8759A7"/>
    <w:multiLevelType w:val="multilevel"/>
    <w:tmpl w:val="BB9858EE"/>
    <w:styleLink w:val="WWNum1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211150E4"/>
    <w:multiLevelType w:val="hybridMultilevel"/>
    <w:tmpl w:val="E3A6FCA4"/>
    <w:lvl w:ilvl="0" w:tplc="D8B2CFA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FA0A57"/>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15:restartNumberingAfterBreak="0">
    <w:nsid w:val="231E5C7B"/>
    <w:multiLevelType w:val="multilevel"/>
    <w:tmpl w:val="14101F00"/>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24D24C75"/>
    <w:multiLevelType w:val="multilevel"/>
    <w:tmpl w:val="DAD6F7DE"/>
    <w:lvl w:ilvl="0">
      <w:start w:val="1"/>
      <w:numFmt w:val="decimal"/>
      <w:pStyle w:val="ListNumber"/>
      <w:lvlText w:val="%1."/>
      <w:lvlJc w:val="left"/>
      <w:pPr>
        <w:tabs>
          <w:tab w:val="num" w:pos="1276"/>
        </w:tabs>
        <w:ind w:left="1276" w:hanging="425"/>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52832B3"/>
    <w:multiLevelType w:val="multilevel"/>
    <w:tmpl w:val="09D44F0C"/>
    <w:styleLink w:val="CoP"/>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2A0B138E"/>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2B0A5CDF"/>
    <w:multiLevelType w:val="hybridMultilevel"/>
    <w:tmpl w:val="21B0E6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756FAB"/>
    <w:multiLevelType w:val="hybridMultilevel"/>
    <w:tmpl w:val="2F72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2F1803"/>
    <w:multiLevelType w:val="hybridMultilevel"/>
    <w:tmpl w:val="D8CCCC3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8" w15:restartNumberingAfterBreak="0">
    <w:nsid w:val="2FD07E80"/>
    <w:multiLevelType w:val="hybridMultilevel"/>
    <w:tmpl w:val="D8CCCC3E"/>
    <w:styleLink w:val="WWNum4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9" w15:restartNumberingAfterBreak="0">
    <w:nsid w:val="31070EC0"/>
    <w:multiLevelType w:val="hybridMultilevel"/>
    <w:tmpl w:val="FC0040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B195FEE"/>
    <w:multiLevelType w:val="hybridMultilevel"/>
    <w:tmpl w:val="F53211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996917"/>
    <w:multiLevelType w:val="hybridMultilevel"/>
    <w:tmpl w:val="AD1A50DE"/>
    <w:styleLink w:val="WWNum2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326113"/>
    <w:multiLevelType w:val="multilevel"/>
    <w:tmpl w:val="2F787AEC"/>
    <w:lvl w:ilvl="0">
      <w:start w:val="9"/>
      <w:numFmt w:val="decimal"/>
      <w:lvlText w:val="%1"/>
      <w:lvlJc w:val="left"/>
      <w:pPr>
        <w:tabs>
          <w:tab w:val="num" w:pos="709"/>
        </w:tabs>
        <w:ind w:left="709" w:hanging="709"/>
      </w:pPr>
      <w:rPr>
        <w:rFonts w:ascii="Arial" w:hAnsi="Arial" w:cs="Arial" w:hint="default"/>
        <w:b/>
        <w:bCs w:val="0"/>
        <w:color w:val="009999"/>
        <w:sz w:val="28"/>
        <w:szCs w:val="28"/>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3D745A4A"/>
    <w:multiLevelType w:val="multilevel"/>
    <w:tmpl w:val="4104CA64"/>
    <w:styleLink w:val="HCAListNumbers"/>
    <w:lvl w:ilvl="0">
      <w:start w:val="1"/>
      <w:numFmt w:val="decimal"/>
      <w:pStyle w:val="Schedule"/>
      <w:suff w:val="nothing"/>
      <w:lvlText w:val="Schedule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3D791CEC"/>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3D907BC4"/>
    <w:multiLevelType w:val="hybridMultilevel"/>
    <w:tmpl w:val="C89ED9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3E2543FB"/>
    <w:multiLevelType w:val="hybridMultilevel"/>
    <w:tmpl w:val="798A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FC6B93"/>
    <w:multiLevelType w:val="hybridMultilevel"/>
    <w:tmpl w:val="E94A62D6"/>
    <w:lvl w:ilvl="0" w:tplc="D8B2CFA6">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465BD1"/>
    <w:multiLevelType w:val="hybridMultilevel"/>
    <w:tmpl w:val="2F424FA6"/>
    <w:lvl w:ilvl="0" w:tplc="616E44D4">
      <w:start w:val="1"/>
      <w:numFmt w:val="bullet"/>
      <w:lvlText w:val=""/>
      <w:lvlJc w:val="left"/>
      <w:pPr>
        <w:ind w:left="1440" w:hanging="360"/>
      </w:pPr>
      <w:rPr>
        <w:rFonts w:ascii="Wingdings" w:hAnsi="Wingdings" w:hint="default"/>
        <w:color w:val="009999"/>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17B41DC"/>
    <w:multiLevelType w:val="hybridMultilevel"/>
    <w:tmpl w:val="936E53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E87DE1"/>
    <w:multiLevelType w:val="hybridMultilevel"/>
    <w:tmpl w:val="D1203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44D276B4"/>
    <w:multiLevelType w:val="hybridMultilevel"/>
    <w:tmpl w:val="31AAD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0C6224"/>
    <w:multiLevelType w:val="hybridMultilevel"/>
    <w:tmpl w:val="86BC6288"/>
    <w:lvl w:ilvl="0" w:tplc="95D2199C">
      <w:start w:val="1"/>
      <w:numFmt w:val="decimal"/>
      <w:lvlText w:val="%1."/>
      <w:lvlJc w:val="left"/>
      <w:pPr>
        <w:tabs>
          <w:tab w:val="num" w:pos="720"/>
        </w:tabs>
        <w:ind w:left="720" w:hanging="360"/>
      </w:pPr>
    </w:lvl>
    <w:lvl w:ilvl="1" w:tplc="E84065A8" w:tentative="1">
      <w:start w:val="1"/>
      <w:numFmt w:val="decimal"/>
      <w:lvlText w:val="%2."/>
      <w:lvlJc w:val="left"/>
      <w:pPr>
        <w:tabs>
          <w:tab w:val="num" w:pos="1440"/>
        </w:tabs>
        <w:ind w:left="1440" w:hanging="360"/>
      </w:pPr>
    </w:lvl>
    <w:lvl w:ilvl="2" w:tplc="74242E3A" w:tentative="1">
      <w:start w:val="1"/>
      <w:numFmt w:val="decimal"/>
      <w:lvlText w:val="%3."/>
      <w:lvlJc w:val="left"/>
      <w:pPr>
        <w:tabs>
          <w:tab w:val="num" w:pos="2160"/>
        </w:tabs>
        <w:ind w:left="2160" w:hanging="360"/>
      </w:pPr>
    </w:lvl>
    <w:lvl w:ilvl="3" w:tplc="B8A8A08E" w:tentative="1">
      <w:start w:val="1"/>
      <w:numFmt w:val="decimal"/>
      <w:lvlText w:val="%4."/>
      <w:lvlJc w:val="left"/>
      <w:pPr>
        <w:tabs>
          <w:tab w:val="num" w:pos="2880"/>
        </w:tabs>
        <w:ind w:left="2880" w:hanging="360"/>
      </w:pPr>
    </w:lvl>
    <w:lvl w:ilvl="4" w:tplc="ECAE6C14" w:tentative="1">
      <w:start w:val="1"/>
      <w:numFmt w:val="decimal"/>
      <w:lvlText w:val="%5."/>
      <w:lvlJc w:val="left"/>
      <w:pPr>
        <w:tabs>
          <w:tab w:val="num" w:pos="3600"/>
        </w:tabs>
        <w:ind w:left="3600" w:hanging="360"/>
      </w:pPr>
    </w:lvl>
    <w:lvl w:ilvl="5" w:tplc="D234D66C" w:tentative="1">
      <w:start w:val="1"/>
      <w:numFmt w:val="decimal"/>
      <w:lvlText w:val="%6."/>
      <w:lvlJc w:val="left"/>
      <w:pPr>
        <w:tabs>
          <w:tab w:val="num" w:pos="4320"/>
        </w:tabs>
        <w:ind w:left="4320" w:hanging="360"/>
      </w:pPr>
    </w:lvl>
    <w:lvl w:ilvl="6" w:tplc="AAAE733E" w:tentative="1">
      <w:start w:val="1"/>
      <w:numFmt w:val="decimal"/>
      <w:lvlText w:val="%7."/>
      <w:lvlJc w:val="left"/>
      <w:pPr>
        <w:tabs>
          <w:tab w:val="num" w:pos="5040"/>
        </w:tabs>
        <w:ind w:left="5040" w:hanging="360"/>
      </w:pPr>
    </w:lvl>
    <w:lvl w:ilvl="7" w:tplc="8B4ED2B8" w:tentative="1">
      <w:start w:val="1"/>
      <w:numFmt w:val="decimal"/>
      <w:lvlText w:val="%8."/>
      <w:lvlJc w:val="left"/>
      <w:pPr>
        <w:tabs>
          <w:tab w:val="num" w:pos="5760"/>
        </w:tabs>
        <w:ind w:left="5760" w:hanging="360"/>
      </w:pPr>
    </w:lvl>
    <w:lvl w:ilvl="8" w:tplc="97D0A82C" w:tentative="1">
      <w:start w:val="1"/>
      <w:numFmt w:val="decimal"/>
      <w:lvlText w:val="%9."/>
      <w:lvlJc w:val="left"/>
      <w:pPr>
        <w:tabs>
          <w:tab w:val="num" w:pos="6480"/>
        </w:tabs>
        <w:ind w:left="6480" w:hanging="360"/>
      </w:pPr>
    </w:lvl>
  </w:abstractNum>
  <w:abstractNum w:abstractNumId="43" w15:restartNumberingAfterBreak="0">
    <w:nsid w:val="49FF01D0"/>
    <w:multiLevelType w:val="hybridMultilevel"/>
    <w:tmpl w:val="7CC635B8"/>
    <w:styleLink w:val="WWNum41"/>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E025754"/>
    <w:multiLevelType w:val="multilevel"/>
    <w:tmpl w:val="A60A4878"/>
    <w:lvl w:ilvl="0">
      <w:start w:val="1"/>
      <w:numFmt w:val="decimal"/>
      <w:lvlText w:val="%1"/>
      <w:lvlJc w:val="left"/>
      <w:pPr>
        <w:tabs>
          <w:tab w:val="num" w:pos="709"/>
        </w:tabs>
        <w:ind w:left="709" w:hanging="709"/>
      </w:pPr>
      <w:rPr>
        <w:rFonts w:cs="Times New Roman"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pStyle w:val="Letters"/>
      <w:lvlText w:val="(%3)"/>
      <w:lvlJc w:val="left"/>
      <w:pPr>
        <w:tabs>
          <w:tab w:val="num" w:pos="1419"/>
        </w:tabs>
        <w:ind w:left="1419" w:hanging="709"/>
      </w:pPr>
      <w:rPr>
        <w:rFonts w:ascii="Arial" w:hAnsi="Arial" w:cs="Arial" w:hint="default"/>
        <w:b w:val="0"/>
        <w:i w:val="0"/>
        <w:sz w:val="22"/>
        <w:szCs w:val="22"/>
      </w:rPr>
    </w:lvl>
    <w:lvl w:ilvl="3">
      <w:start w:val="1"/>
      <w:numFmt w:val="lowerRoman"/>
      <w:pStyle w:val="Numerals"/>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4E8F0209"/>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4FC91BC8"/>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7" w15:restartNumberingAfterBreak="0">
    <w:nsid w:val="52B127D5"/>
    <w:multiLevelType w:val="multilevel"/>
    <w:tmpl w:val="7EBEDFE8"/>
    <w:styleLink w:val="HCABullets"/>
    <w:lvl w:ilvl="0">
      <w:start w:val="8"/>
      <w:numFmt w:val="decimal"/>
      <w:lvlText w:val="%1"/>
      <w:lvlJc w:val="left"/>
      <w:pPr>
        <w:tabs>
          <w:tab w:val="num" w:pos="709"/>
        </w:tabs>
        <w:ind w:left="709" w:hanging="709"/>
      </w:pPr>
      <w:rPr>
        <w:rFonts w:cs="Times New Roman" w:hint="default"/>
        <w:b/>
        <w:color w:val="009999"/>
        <w:sz w:val="28"/>
        <w:szCs w:val="28"/>
      </w:rPr>
    </w:lvl>
    <w:lvl w:ilvl="1">
      <w:start w:val="1"/>
      <w:numFmt w:val="decimal"/>
      <w:lvlRestart w:val="0"/>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8" w15:restartNumberingAfterBreak="0">
    <w:nsid w:val="581D28C7"/>
    <w:multiLevelType w:val="hybridMultilevel"/>
    <w:tmpl w:val="4AD4F89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59461EF0"/>
    <w:multiLevelType w:val="multilevel"/>
    <w:tmpl w:val="D858238A"/>
    <w:lvl w:ilvl="0">
      <w:start w:val="3"/>
      <w:numFmt w:val="decimal"/>
      <w:lvlText w:val="%1"/>
      <w:lvlJc w:val="left"/>
      <w:pPr>
        <w:tabs>
          <w:tab w:val="num" w:pos="709"/>
        </w:tabs>
        <w:ind w:left="709" w:hanging="709"/>
      </w:pPr>
      <w:rPr>
        <w:rFonts w:cs="Times New Roman" w:hint="default"/>
        <w:b/>
        <w:color w:val="009999"/>
        <w:sz w:val="28"/>
        <w:szCs w:val="28"/>
      </w:rPr>
    </w:lvl>
    <w:lvl w:ilvl="1">
      <w:start w:val="1"/>
      <w:numFmt w:val="decimal"/>
      <w:lvlRestart w:val="0"/>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0" w15:restartNumberingAfterBreak="0">
    <w:nsid w:val="5C8C2186"/>
    <w:multiLevelType w:val="hybridMultilevel"/>
    <w:tmpl w:val="9320A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D234C02"/>
    <w:multiLevelType w:val="multilevel"/>
    <w:tmpl w:val="13145C14"/>
    <w:lvl w:ilvl="0">
      <w:start w:val="9"/>
      <w:numFmt w:val="decimal"/>
      <w:lvlText w:val="%1"/>
      <w:lvlJc w:val="left"/>
      <w:pPr>
        <w:tabs>
          <w:tab w:val="num" w:pos="709"/>
        </w:tabs>
        <w:ind w:left="709" w:hanging="709"/>
      </w:pPr>
      <w:rPr>
        <w:rFonts w:cs="Times New Roman" w:hint="default"/>
        <w:b/>
        <w:color w:val="009999"/>
        <w:sz w:val="28"/>
        <w:szCs w:val="28"/>
      </w:rPr>
    </w:lvl>
    <w:lvl w:ilvl="1">
      <w:start w:val="1"/>
      <w:numFmt w:val="decimal"/>
      <w:lvlRestart w:val="0"/>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2" w15:restartNumberingAfterBreak="0">
    <w:nsid w:val="5E372AA7"/>
    <w:multiLevelType w:val="hybridMultilevel"/>
    <w:tmpl w:val="49C68EBC"/>
    <w:lvl w:ilvl="0" w:tplc="616E44D4">
      <w:start w:val="1"/>
      <w:numFmt w:val="bullet"/>
      <w:lvlText w:val=""/>
      <w:lvlJc w:val="left"/>
      <w:pPr>
        <w:ind w:left="720" w:hanging="360"/>
      </w:pPr>
      <w:rPr>
        <w:rFonts w:ascii="Wingdings" w:hAnsi="Wingdings" w:hint="default"/>
        <w:color w:val="0099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16113E9"/>
    <w:multiLevelType w:val="multilevel"/>
    <w:tmpl w:val="45C63F0C"/>
    <w:lvl w:ilvl="0">
      <w:start w:val="3"/>
      <w:numFmt w:val="decimal"/>
      <w:lvlText w:val="%1"/>
      <w:lvlJc w:val="left"/>
      <w:pPr>
        <w:tabs>
          <w:tab w:val="num" w:pos="709"/>
        </w:tabs>
        <w:ind w:left="709" w:hanging="709"/>
      </w:pPr>
      <w:rPr>
        <w:rFonts w:cs="Times New Roman" w:hint="default"/>
        <w:b/>
        <w:color w:val="009999"/>
        <w:sz w:val="28"/>
        <w:szCs w:val="28"/>
      </w:rPr>
    </w:lvl>
    <w:lvl w:ilvl="1">
      <w:start w:val="1"/>
      <w:numFmt w:val="decimal"/>
      <w:lvlRestart w:val="0"/>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4" w15:restartNumberingAfterBreak="0">
    <w:nsid w:val="62DD790E"/>
    <w:multiLevelType w:val="hybridMultilevel"/>
    <w:tmpl w:val="4AD4F89C"/>
    <w:styleLink w:val="WWNum2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30511B7"/>
    <w:multiLevelType w:val="hybridMultilevel"/>
    <w:tmpl w:val="311A0B8C"/>
    <w:lvl w:ilvl="0" w:tplc="FFFFFFFF">
      <w:start w:val="1"/>
      <w:numFmt w:val="lowerLetter"/>
      <w:lvlText w:val="%1)"/>
      <w:lvlJc w:val="left"/>
      <w:pPr>
        <w:ind w:left="720" w:hanging="360"/>
      </w:p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4684918"/>
    <w:multiLevelType w:val="hybridMultilevel"/>
    <w:tmpl w:val="F9A4B6C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5BB7492"/>
    <w:multiLevelType w:val="hybridMultilevel"/>
    <w:tmpl w:val="187832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68E13B7"/>
    <w:multiLevelType w:val="multilevel"/>
    <w:tmpl w:val="3A424480"/>
    <w:styleLink w:val="WWNum19"/>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9" w15:restartNumberingAfterBreak="0">
    <w:nsid w:val="679279EA"/>
    <w:multiLevelType w:val="hybridMultilevel"/>
    <w:tmpl w:val="F5DC8D04"/>
    <w:styleLink w:val="Style3"/>
    <w:lvl w:ilvl="0" w:tplc="616E44D4">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F3111D"/>
    <w:multiLevelType w:val="hybridMultilevel"/>
    <w:tmpl w:val="5FF4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7F87344"/>
    <w:multiLevelType w:val="hybridMultilevel"/>
    <w:tmpl w:val="9280AE1A"/>
    <w:styleLink w:val="WWNum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A936A73"/>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3" w15:restartNumberingAfterBreak="0">
    <w:nsid w:val="6CA65EBE"/>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4" w15:restartNumberingAfterBreak="0">
    <w:nsid w:val="6D8C6849"/>
    <w:multiLevelType w:val="hybridMultilevel"/>
    <w:tmpl w:val="6DA83894"/>
    <w:styleLink w:val="WWNum3"/>
    <w:lvl w:ilvl="0" w:tplc="427CDA18">
      <w:start w:val="1"/>
      <w:numFmt w:val="lowerRoman"/>
      <w:lvlText w:val="%1."/>
      <w:lvlJc w:val="right"/>
      <w:pPr>
        <w:ind w:left="720" w:hanging="360"/>
      </w:pPr>
      <w:rPr>
        <w:rFonts w:ascii="Arial" w:eastAsiaTheme="minorHAnsi" w:hAnsi="Arial" w:cstheme="minorBidi"/>
      </w:rPr>
    </w:lvl>
    <w:lvl w:ilvl="1" w:tplc="1138DDD8">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DB2092B"/>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6" w15:restartNumberingAfterBreak="0">
    <w:nsid w:val="6F850B2E"/>
    <w:multiLevelType w:val="multilevel"/>
    <w:tmpl w:val="D858238A"/>
    <w:lvl w:ilvl="0">
      <w:start w:val="3"/>
      <w:numFmt w:val="decimal"/>
      <w:lvlText w:val="%1"/>
      <w:lvlJc w:val="left"/>
      <w:pPr>
        <w:tabs>
          <w:tab w:val="num" w:pos="709"/>
        </w:tabs>
        <w:ind w:left="709" w:hanging="709"/>
      </w:pPr>
      <w:rPr>
        <w:rFonts w:cs="Times New Roman" w:hint="default"/>
        <w:b/>
        <w:color w:val="009999"/>
        <w:sz w:val="28"/>
        <w:szCs w:val="28"/>
      </w:rPr>
    </w:lvl>
    <w:lvl w:ilvl="1">
      <w:start w:val="1"/>
      <w:numFmt w:val="decimal"/>
      <w:lvlRestart w:val="0"/>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7" w15:restartNumberingAfterBreak="0">
    <w:nsid w:val="702C11EE"/>
    <w:multiLevelType w:val="multilevel"/>
    <w:tmpl w:val="EF66AD90"/>
    <w:styleLink w:val="Style1"/>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1A65062"/>
    <w:multiLevelType w:val="hybridMultilevel"/>
    <w:tmpl w:val="DCF8919A"/>
    <w:styleLink w:val="WWNum5"/>
    <w:lvl w:ilvl="0" w:tplc="D8B2CFA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1CC6657"/>
    <w:multiLevelType w:val="multilevel"/>
    <w:tmpl w:val="3A424480"/>
    <w:styleLink w:val="HCANumbering1"/>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0" w15:restartNumberingAfterBreak="0">
    <w:nsid w:val="74856AF3"/>
    <w:multiLevelType w:val="hybridMultilevel"/>
    <w:tmpl w:val="8FF6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77F1BE4"/>
    <w:multiLevelType w:val="hybridMultilevel"/>
    <w:tmpl w:val="F9A4B6C0"/>
    <w:styleLink w:val="WWNum3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92E26E0"/>
    <w:multiLevelType w:val="hybridMultilevel"/>
    <w:tmpl w:val="57FEFDC8"/>
    <w:lvl w:ilvl="0" w:tplc="747C533C">
      <w:start w:val="1"/>
      <w:numFmt w:val="decimal"/>
      <w:pStyle w:val="Annex1header1"/>
      <w:lvlText w:val="%1."/>
      <w:lvlJc w:val="left"/>
      <w:pPr>
        <w:ind w:left="360" w:hanging="360"/>
      </w:pPr>
    </w:lvl>
    <w:lvl w:ilvl="1" w:tplc="7FA2DDDE">
      <w:start w:val="1"/>
      <w:numFmt w:val="decimal"/>
      <w:pStyle w:val="Annex1text2"/>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96038FB"/>
    <w:multiLevelType w:val="hybridMultilevel"/>
    <w:tmpl w:val="FC0040A0"/>
    <w:styleLink w:val="WWNum3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AA568C8"/>
    <w:multiLevelType w:val="hybridMultilevel"/>
    <w:tmpl w:val="3E4C6BBC"/>
    <w:styleLink w:val="WWNum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B694F20"/>
    <w:multiLevelType w:val="hybridMultilevel"/>
    <w:tmpl w:val="6E042AD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7D8E01DA"/>
    <w:multiLevelType w:val="multilevel"/>
    <w:tmpl w:val="F8B611AC"/>
    <w:lvl w:ilvl="0">
      <w:start w:val="1"/>
      <w:numFmt w:val="lowerRoman"/>
      <w:lvlText w:val="%1."/>
      <w:lvlJc w:val="right"/>
      <w:pPr>
        <w:tabs>
          <w:tab w:val="num" w:pos="709"/>
        </w:tabs>
        <w:ind w:left="709" w:hanging="709"/>
      </w:pPr>
      <w:rPr>
        <w:rFonts w:hint="default"/>
        <w:b/>
        <w:color w:val="009999"/>
      </w:rPr>
    </w:lvl>
    <w:lvl w:ilvl="1">
      <w:start w:val="1"/>
      <w:numFmt w:val="decimal"/>
      <w:lvlText w:val="%1.%2"/>
      <w:lvlJc w:val="left"/>
      <w:pPr>
        <w:tabs>
          <w:tab w:val="num" w:pos="979"/>
        </w:tabs>
        <w:ind w:left="680" w:hanging="680"/>
      </w:pPr>
      <w:rPr>
        <w:rFonts w:cs="Times New Roman" w:hint="default"/>
        <w:b w:val="0"/>
        <w:i w:val="0"/>
        <w:color w:val="000000" w:themeColor="text1"/>
        <w:sz w:val="22"/>
        <w:szCs w:val="22"/>
      </w:rPr>
    </w:lvl>
    <w:lvl w:ilvl="2">
      <w:start w:val="1"/>
      <w:numFmt w:val="lowerLetter"/>
      <w:lvlText w:val="(%3)"/>
      <w:lvlJc w:val="left"/>
      <w:pPr>
        <w:tabs>
          <w:tab w:val="num" w:pos="1419"/>
        </w:tabs>
        <w:ind w:left="1419" w:hanging="709"/>
      </w:pPr>
      <w:rPr>
        <w:rFonts w:ascii="Arial" w:hAnsi="Arial" w:cs="Arial"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7" w15:restartNumberingAfterBreak="0">
    <w:nsid w:val="7DD0573D"/>
    <w:multiLevelType w:val="hybridMultilevel"/>
    <w:tmpl w:val="2A9CEAE4"/>
    <w:styleLink w:val="Style2"/>
    <w:lvl w:ilvl="0" w:tplc="08090001">
      <w:start w:val="1"/>
      <w:numFmt w:val="bullet"/>
      <w:lvlText w:val=""/>
      <w:lvlJc w:val="left"/>
      <w:pPr>
        <w:ind w:left="1070" w:hanging="360"/>
      </w:pPr>
      <w:rPr>
        <w:rFonts w:ascii="Symbol" w:hAnsi="Symbol" w:hint="default"/>
        <w:color w:val="009999"/>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78" w15:restartNumberingAfterBreak="0">
    <w:nsid w:val="7F9A1465"/>
    <w:multiLevelType w:val="hybridMultilevel"/>
    <w:tmpl w:val="271CB988"/>
    <w:styleLink w:val="WWNum39"/>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2530320">
    <w:abstractNumId w:val="77"/>
  </w:num>
  <w:num w:numId="2" w16cid:durableId="614796205">
    <w:abstractNumId w:val="14"/>
  </w:num>
  <w:num w:numId="3" w16cid:durableId="2055542915">
    <w:abstractNumId w:val="67"/>
  </w:num>
  <w:num w:numId="4" w16cid:durableId="1595821919">
    <w:abstractNumId w:val="52"/>
  </w:num>
  <w:num w:numId="5" w16cid:durableId="400980048">
    <w:abstractNumId w:val="4"/>
  </w:num>
  <w:num w:numId="6" w16cid:durableId="2055301574">
    <w:abstractNumId w:val="17"/>
  </w:num>
  <w:num w:numId="7" w16cid:durableId="1588076908">
    <w:abstractNumId w:val="32"/>
  </w:num>
  <w:num w:numId="8" w16cid:durableId="476456977">
    <w:abstractNumId w:val="53"/>
  </w:num>
  <w:num w:numId="9" w16cid:durableId="2004039178">
    <w:abstractNumId w:val="6"/>
  </w:num>
  <w:num w:numId="10" w16cid:durableId="1567452774">
    <w:abstractNumId w:val="59"/>
  </w:num>
  <w:num w:numId="11" w16cid:durableId="525564120">
    <w:abstractNumId w:val="38"/>
  </w:num>
  <w:num w:numId="12" w16cid:durableId="715206077">
    <w:abstractNumId w:val="50"/>
  </w:num>
  <w:num w:numId="13" w16cid:durableId="251162442">
    <w:abstractNumId w:val="23"/>
  </w:num>
  <w:num w:numId="14" w16cid:durableId="238752031">
    <w:abstractNumId w:val="62"/>
  </w:num>
  <w:num w:numId="15" w16cid:durableId="655836640">
    <w:abstractNumId w:val="76"/>
  </w:num>
  <w:num w:numId="16" w16cid:durableId="2025276399">
    <w:abstractNumId w:val="65"/>
  </w:num>
  <w:num w:numId="17" w16cid:durableId="1381857582">
    <w:abstractNumId w:val="20"/>
  </w:num>
  <w:num w:numId="18" w16cid:durableId="101850460">
    <w:abstractNumId w:val="3"/>
  </w:num>
  <w:num w:numId="19" w16cid:durableId="1920433866">
    <w:abstractNumId w:val="46"/>
  </w:num>
  <w:num w:numId="20" w16cid:durableId="1908303119">
    <w:abstractNumId w:val="63"/>
  </w:num>
  <w:num w:numId="21" w16cid:durableId="1336032430">
    <w:abstractNumId w:val="45"/>
  </w:num>
  <w:num w:numId="22" w16cid:durableId="174194952">
    <w:abstractNumId w:val="42"/>
  </w:num>
  <w:num w:numId="23" w16cid:durableId="1518158847">
    <w:abstractNumId w:val="5"/>
  </w:num>
  <w:num w:numId="24" w16cid:durableId="489979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4214706">
    <w:abstractNumId w:val="16"/>
  </w:num>
  <w:num w:numId="26" w16cid:durableId="1425833637">
    <w:abstractNumId w:val="49"/>
  </w:num>
  <w:num w:numId="27" w16cid:durableId="167185238">
    <w:abstractNumId w:val="66"/>
  </w:num>
  <w:num w:numId="28" w16cid:durableId="827403409">
    <w:abstractNumId w:val="72"/>
  </w:num>
  <w:num w:numId="29" w16cid:durableId="38632373">
    <w:abstractNumId w:val="21"/>
  </w:num>
  <w:num w:numId="30" w16cid:durableId="353381391">
    <w:abstractNumId w:val="7"/>
  </w:num>
  <w:num w:numId="31" w16cid:durableId="1923023560">
    <w:abstractNumId w:val="51"/>
  </w:num>
  <w:num w:numId="32" w16cid:durableId="924265408">
    <w:abstractNumId w:val="12"/>
  </w:num>
  <w:num w:numId="33" w16cid:durableId="384329359">
    <w:abstractNumId w:val="47"/>
  </w:num>
  <w:num w:numId="34" w16cid:durableId="1927380873">
    <w:abstractNumId w:val="69"/>
  </w:num>
  <w:num w:numId="35" w16cid:durableId="919870869">
    <w:abstractNumId w:val="33"/>
  </w:num>
  <w:num w:numId="36" w16cid:durableId="1539973884">
    <w:abstractNumId w:val="73"/>
  </w:num>
  <w:num w:numId="37" w16cid:durableId="1032416192">
    <w:abstractNumId w:val="22"/>
  </w:num>
  <w:num w:numId="38" w16cid:durableId="1171413650">
    <w:abstractNumId w:val="18"/>
  </w:num>
  <w:num w:numId="39" w16cid:durableId="1383016538">
    <w:abstractNumId w:val="58"/>
  </w:num>
  <w:num w:numId="40" w16cid:durableId="834297274">
    <w:abstractNumId w:val="31"/>
  </w:num>
  <w:num w:numId="41" w16cid:durableId="627735738">
    <w:abstractNumId w:val="54"/>
  </w:num>
  <w:num w:numId="42" w16cid:durableId="1134560866">
    <w:abstractNumId w:val="28"/>
  </w:num>
  <w:num w:numId="43" w16cid:durableId="2146770571">
    <w:abstractNumId w:val="61"/>
  </w:num>
  <w:num w:numId="44" w16cid:durableId="516887520">
    <w:abstractNumId w:val="9"/>
  </w:num>
  <w:num w:numId="45" w16cid:durableId="1506045261">
    <w:abstractNumId w:val="2"/>
  </w:num>
  <w:num w:numId="46" w16cid:durableId="123735952">
    <w:abstractNumId w:val="35"/>
  </w:num>
  <w:num w:numId="47" w16cid:durableId="738211934">
    <w:abstractNumId w:val="29"/>
  </w:num>
  <w:num w:numId="48" w16cid:durableId="265234894">
    <w:abstractNumId w:val="71"/>
  </w:num>
  <w:num w:numId="49" w16cid:durableId="466973769">
    <w:abstractNumId w:val="68"/>
  </w:num>
  <w:num w:numId="50" w16cid:durableId="1035472042">
    <w:abstractNumId w:val="13"/>
  </w:num>
  <w:num w:numId="51" w16cid:durableId="945111258">
    <w:abstractNumId w:val="34"/>
  </w:num>
  <w:num w:numId="52" w16cid:durableId="987169637">
    <w:abstractNumId w:val="8"/>
  </w:num>
  <w:num w:numId="53" w16cid:durableId="1057240110">
    <w:abstractNumId w:val="55"/>
  </w:num>
  <w:num w:numId="54" w16cid:durableId="67843798">
    <w:abstractNumId w:val="78"/>
  </w:num>
  <w:num w:numId="55" w16cid:durableId="1111127816">
    <w:abstractNumId w:val="43"/>
  </w:num>
  <w:num w:numId="56" w16cid:durableId="1423720885">
    <w:abstractNumId w:val="64"/>
  </w:num>
  <w:num w:numId="57" w16cid:durableId="1768651006">
    <w:abstractNumId w:val="48"/>
  </w:num>
  <w:num w:numId="58" w16cid:durableId="1589735102">
    <w:abstractNumId w:val="27"/>
  </w:num>
  <w:num w:numId="59" w16cid:durableId="13962190">
    <w:abstractNumId w:val="10"/>
  </w:num>
  <w:num w:numId="60" w16cid:durableId="1390498252">
    <w:abstractNumId w:val="36"/>
  </w:num>
  <w:num w:numId="61" w16cid:durableId="1115297367">
    <w:abstractNumId w:val="26"/>
  </w:num>
  <w:num w:numId="62" w16cid:durableId="13850698">
    <w:abstractNumId w:val="41"/>
  </w:num>
  <w:num w:numId="63" w16cid:durableId="1044406442">
    <w:abstractNumId w:val="72"/>
    <w:lvlOverride w:ilvl="0">
      <w:startOverride w:val="6"/>
    </w:lvlOverride>
  </w:num>
  <w:num w:numId="64" w16cid:durableId="1018236511">
    <w:abstractNumId w:val="75"/>
  </w:num>
  <w:num w:numId="65" w16cid:durableId="1647858282">
    <w:abstractNumId w:val="57"/>
  </w:num>
  <w:num w:numId="66" w16cid:durableId="1205943098">
    <w:abstractNumId w:val="56"/>
  </w:num>
  <w:num w:numId="67" w16cid:durableId="85811597">
    <w:abstractNumId w:val="15"/>
  </w:num>
  <w:num w:numId="68" w16cid:durableId="928387236">
    <w:abstractNumId w:val="19"/>
  </w:num>
  <w:num w:numId="69" w16cid:durableId="1127433221">
    <w:abstractNumId w:val="39"/>
  </w:num>
  <w:num w:numId="70" w16cid:durableId="1821657987">
    <w:abstractNumId w:val="25"/>
  </w:num>
  <w:num w:numId="71" w16cid:durableId="1910460007">
    <w:abstractNumId w:val="74"/>
  </w:num>
  <w:num w:numId="72" w16cid:durableId="599797429">
    <w:abstractNumId w:val="11"/>
  </w:num>
  <w:num w:numId="73" w16cid:durableId="2004357050">
    <w:abstractNumId w:val="1"/>
  </w:num>
  <w:num w:numId="74" w16cid:durableId="2100758934">
    <w:abstractNumId w:val="0"/>
  </w:num>
  <w:num w:numId="75" w16cid:durableId="383066845">
    <w:abstractNumId w:val="30"/>
  </w:num>
  <w:num w:numId="76" w16cid:durableId="1259361924">
    <w:abstractNumId w:val="44"/>
  </w:num>
  <w:num w:numId="77" w16cid:durableId="1689796801">
    <w:abstractNumId w:val="70"/>
  </w:num>
  <w:num w:numId="78" w16cid:durableId="771440946">
    <w:abstractNumId w:val="60"/>
  </w:num>
  <w:num w:numId="79" w16cid:durableId="1784499022">
    <w:abstractNumId w:val="40"/>
  </w:num>
  <w:num w:numId="80" w16cid:durableId="855507933">
    <w:abstractNumId w:val="37"/>
  </w:num>
  <w:num w:numId="81" w16cid:durableId="1789932301">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7F"/>
    <w:rsid w:val="00000328"/>
    <w:rsid w:val="00000359"/>
    <w:rsid w:val="00000625"/>
    <w:rsid w:val="000006D3"/>
    <w:rsid w:val="00000712"/>
    <w:rsid w:val="00000737"/>
    <w:rsid w:val="0000078B"/>
    <w:rsid w:val="00000906"/>
    <w:rsid w:val="00000B90"/>
    <w:rsid w:val="00000BA3"/>
    <w:rsid w:val="00000BCD"/>
    <w:rsid w:val="00000C4A"/>
    <w:rsid w:val="00000C83"/>
    <w:rsid w:val="00000C87"/>
    <w:rsid w:val="00000E82"/>
    <w:rsid w:val="00000FDD"/>
    <w:rsid w:val="000010BC"/>
    <w:rsid w:val="000013C8"/>
    <w:rsid w:val="00001428"/>
    <w:rsid w:val="0000148D"/>
    <w:rsid w:val="00001571"/>
    <w:rsid w:val="000016C4"/>
    <w:rsid w:val="000018B5"/>
    <w:rsid w:val="00001943"/>
    <w:rsid w:val="00001A72"/>
    <w:rsid w:val="00001CCA"/>
    <w:rsid w:val="00001DCF"/>
    <w:rsid w:val="00001E6E"/>
    <w:rsid w:val="00001F42"/>
    <w:rsid w:val="00002022"/>
    <w:rsid w:val="000022C1"/>
    <w:rsid w:val="00002332"/>
    <w:rsid w:val="000024C6"/>
    <w:rsid w:val="000025D7"/>
    <w:rsid w:val="00002F94"/>
    <w:rsid w:val="0000300C"/>
    <w:rsid w:val="0000307F"/>
    <w:rsid w:val="0000318F"/>
    <w:rsid w:val="0000337D"/>
    <w:rsid w:val="00003470"/>
    <w:rsid w:val="00003598"/>
    <w:rsid w:val="00003AFA"/>
    <w:rsid w:val="00003BA5"/>
    <w:rsid w:val="00003D35"/>
    <w:rsid w:val="00003DBD"/>
    <w:rsid w:val="00003F5D"/>
    <w:rsid w:val="00004113"/>
    <w:rsid w:val="000044B5"/>
    <w:rsid w:val="000044E2"/>
    <w:rsid w:val="00004630"/>
    <w:rsid w:val="000046F3"/>
    <w:rsid w:val="00004930"/>
    <w:rsid w:val="00004ACF"/>
    <w:rsid w:val="00004AD1"/>
    <w:rsid w:val="00004B26"/>
    <w:rsid w:val="00004C33"/>
    <w:rsid w:val="00004C5B"/>
    <w:rsid w:val="00004CC9"/>
    <w:rsid w:val="00004CD2"/>
    <w:rsid w:val="00004F7B"/>
    <w:rsid w:val="00005038"/>
    <w:rsid w:val="000050D6"/>
    <w:rsid w:val="00005364"/>
    <w:rsid w:val="00005376"/>
    <w:rsid w:val="000053A5"/>
    <w:rsid w:val="0000557B"/>
    <w:rsid w:val="0000586C"/>
    <w:rsid w:val="00005951"/>
    <w:rsid w:val="0000595E"/>
    <w:rsid w:val="00005B57"/>
    <w:rsid w:val="00005B89"/>
    <w:rsid w:val="00005D27"/>
    <w:rsid w:val="00006222"/>
    <w:rsid w:val="0000637B"/>
    <w:rsid w:val="000063AE"/>
    <w:rsid w:val="0000645D"/>
    <w:rsid w:val="0000647E"/>
    <w:rsid w:val="000064E3"/>
    <w:rsid w:val="00006741"/>
    <w:rsid w:val="00006978"/>
    <w:rsid w:val="00006A07"/>
    <w:rsid w:val="00006AD7"/>
    <w:rsid w:val="00006B51"/>
    <w:rsid w:val="00006DD9"/>
    <w:rsid w:val="00006DF4"/>
    <w:rsid w:val="00006FD2"/>
    <w:rsid w:val="00007006"/>
    <w:rsid w:val="00007072"/>
    <w:rsid w:val="000070C0"/>
    <w:rsid w:val="0000723F"/>
    <w:rsid w:val="00007842"/>
    <w:rsid w:val="0000791E"/>
    <w:rsid w:val="00007A0E"/>
    <w:rsid w:val="00007B12"/>
    <w:rsid w:val="00007B2A"/>
    <w:rsid w:val="00007D41"/>
    <w:rsid w:val="00007E9F"/>
    <w:rsid w:val="00010218"/>
    <w:rsid w:val="0001099D"/>
    <w:rsid w:val="000109FB"/>
    <w:rsid w:val="00010A18"/>
    <w:rsid w:val="00010B3A"/>
    <w:rsid w:val="00010B41"/>
    <w:rsid w:val="00010D4C"/>
    <w:rsid w:val="00011035"/>
    <w:rsid w:val="00011418"/>
    <w:rsid w:val="00011448"/>
    <w:rsid w:val="000116B3"/>
    <w:rsid w:val="000117C4"/>
    <w:rsid w:val="00011B67"/>
    <w:rsid w:val="00011E07"/>
    <w:rsid w:val="00012079"/>
    <w:rsid w:val="00012220"/>
    <w:rsid w:val="000122CE"/>
    <w:rsid w:val="000126ED"/>
    <w:rsid w:val="00012712"/>
    <w:rsid w:val="000128A0"/>
    <w:rsid w:val="00012A60"/>
    <w:rsid w:val="00012C0C"/>
    <w:rsid w:val="00012D3F"/>
    <w:rsid w:val="00012E41"/>
    <w:rsid w:val="00012F1B"/>
    <w:rsid w:val="00012F3B"/>
    <w:rsid w:val="00012FA8"/>
    <w:rsid w:val="00013267"/>
    <w:rsid w:val="000132C4"/>
    <w:rsid w:val="00013314"/>
    <w:rsid w:val="000136BF"/>
    <w:rsid w:val="00013779"/>
    <w:rsid w:val="0001382A"/>
    <w:rsid w:val="00013EA6"/>
    <w:rsid w:val="0001409C"/>
    <w:rsid w:val="0001409F"/>
    <w:rsid w:val="000144DF"/>
    <w:rsid w:val="000149A0"/>
    <w:rsid w:val="00014C6E"/>
    <w:rsid w:val="00014F0A"/>
    <w:rsid w:val="00015005"/>
    <w:rsid w:val="000155CF"/>
    <w:rsid w:val="000159A3"/>
    <w:rsid w:val="00015A30"/>
    <w:rsid w:val="00015AEF"/>
    <w:rsid w:val="00015B43"/>
    <w:rsid w:val="00015B4D"/>
    <w:rsid w:val="00015B7B"/>
    <w:rsid w:val="00015E21"/>
    <w:rsid w:val="000160CF"/>
    <w:rsid w:val="000164FB"/>
    <w:rsid w:val="0001652F"/>
    <w:rsid w:val="0001666E"/>
    <w:rsid w:val="000169A4"/>
    <w:rsid w:val="00016B85"/>
    <w:rsid w:val="00016CB6"/>
    <w:rsid w:val="00016DD4"/>
    <w:rsid w:val="00016DF3"/>
    <w:rsid w:val="00016FB6"/>
    <w:rsid w:val="00017135"/>
    <w:rsid w:val="000171F2"/>
    <w:rsid w:val="000172A5"/>
    <w:rsid w:val="00017311"/>
    <w:rsid w:val="0001732B"/>
    <w:rsid w:val="000178EC"/>
    <w:rsid w:val="00017960"/>
    <w:rsid w:val="00017A6B"/>
    <w:rsid w:val="00020050"/>
    <w:rsid w:val="00020286"/>
    <w:rsid w:val="00020296"/>
    <w:rsid w:val="0002032C"/>
    <w:rsid w:val="000203A1"/>
    <w:rsid w:val="0002045B"/>
    <w:rsid w:val="00020576"/>
    <w:rsid w:val="00020628"/>
    <w:rsid w:val="0002062E"/>
    <w:rsid w:val="00020728"/>
    <w:rsid w:val="0002098B"/>
    <w:rsid w:val="00020E62"/>
    <w:rsid w:val="000212F8"/>
    <w:rsid w:val="0002133F"/>
    <w:rsid w:val="000214E6"/>
    <w:rsid w:val="00021613"/>
    <w:rsid w:val="00021A37"/>
    <w:rsid w:val="00021BA0"/>
    <w:rsid w:val="00021C11"/>
    <w:rsid w:val="00021C1D"/>
    <w:rsid w:val="00021D4B"/>
    <w:rsid w:val="00021F86"/>
    <w:rsid w:val="00022005"/>
    <w:rsid w:val="00022006"/>
    <w:rsid w:val="0002207F"/>
    <w:rsid w:val="00022155"/>
    <w:rsid w:val="0002230D"/>
    <w:rsid w:val="00022818"/>
    <w:rsid w:val="000229A9"/>
    <w:rsid w:val="000229FC"/>
    <w:rsid w:val="00022A9C"/>
    <w:rsid w:val="00022B19"/>
    <w:rsid w:val="00022F0F"/>
    <w:rsid w:val="00022FAB"/>
    <w:rsid w:val="00022FAC"/>
    <w:rsid w:val="00022FF6"/>
    <w:rsid w:val="000230C9"/>
    <w:rsid w:val="000236DF"/>
    <w:rsid w:val="000237D2"/>
    <w:rsid w:val="00023816"/>
    <w:rsid w:val="00023B19"/>
    <w:rsid w:val="00023C03"/>
    <w:rsid w:val="00023E49"/>
    <w:rsid w:val="00023EDA"/>
    <w:rsid w:val="00024186"/>
    <w:rsid w:val="000241B5"/>
    <w:rsid w:val="00024346"/>
    <w:rsid w:val="000244B6"/>
    <w:rsid w:val="00024583"/>
    <w:rsid w:val="000245FF"/>
    <w:rsid w:val="00024728"/>
    <w:rsid w:val="0002475E"/>
    <w:rsid w:val="0002493D"/>
    <w:rsid w:val="000249A3"/>
    <w:rsid w:val="00024CA8"/>
    <w:rsid w:val="00024D52"/>
    <w:rsid w:val="000253DE"/>
    <w:rsid w:val="0002540A"/>
    <w:rsid w:val="00025420"/>
    <w:rsid w:val="00025503"/>
    <w:rsid w:val="00025605"/>
    <w:rsid w:val="0002573B"/>
    <w:rsid w:val="00025772"/>
    <w:rsid w:val="00025790"/>
    <w:rsid w:val="00025A3B"/>
    <w:rsid w:val="00025AB3"/>
    <w:rsid w:val="00025AD4"/>
    <w:rsid w:val="00025C46"/>
    <w:rsid w:val="00025D92"/>
    <w:rsid w:val="00025FC5"/>
    <w:rsid w:val="00026036"/>
    <w:rsid w:val="00026048"/>
    <w:rsid w:val="000265E1"/>
    <w:rsid w:val="0002668D"/>
    <w:rsid w:val="00026767"/>
    <w:rsid w:val="000267C4"/>
    <w:rsid w:val="000269A0"/>
    <w:rsid w:val="000269C7"/>
    <w:rsid w:val="00026A88"/>
    <w:rsid w:val="00026C9E"/>
    <w:rsid w:val="00026D03"/>
    <w:rsid w:val="00026D93"/>
    <w:rsid w:val="00026FA5"/>
    <w:rsid w:val="00027208"/>
    <w:rsid w:val="0002730B"/>
    <w:rsid w:val="00027485"/>
    <w:rsid w:val="00027701"/>
    <w:rsid w:val="000278C3"/>
    <w:rsid w:val="000278C6"/>
    <w:rsid w:val="00027912"/>
    <w:rsid w:val="00027AC6"/>
    <w:rsid w:val="00027AFD"/>
    <w:rsid w:val="00027E87"/>
    <w:rsid w:val="00027F44"/>
    <w:rsid w:val="00027FD6"/>
    <w:rsid w:val="0003023A"/>
    <w:rsid w:val="00030252"/>
    <w:rsid w:val="000303D9"/>
    <w:rsid w:val="00030557"/>
    <w:rsid w:val="00030779"/>
    <w:rsid w:val="00030A92"/>
    <w:rsid w:val="0003105E"/>
    <w:rsid w:val="00031207"/>
    <w:rsid w:val="000313E4"/>
    <w:rsid w:val="000313E7"/>
    <w:rsid w:val="000314EE"/>
    <w:rsid w:val="000317B5"/>
    <w:rsid w:val="00031841"/>
    <w:rsid w:val="000318C3"/>
    <w:rsid w:val="000319B0"/>
    <w:rsid w:val="00031B4A"/>
    <w:rsid w:val="00031B82"/>
    <w:rsid w:val="00031D5D"/>
    <w:rsid w:val="00032084"/>
    <w:rsid w:val="00032220"/>
    <w:rsid w:val="000323C2"/>
    <w:rsid w:val="0003241B"/>
    <w:rsid w:val="0003260D"/>
    <w:rsid w:val="000326DA"/>
    <w:rsid w:val="00032782"/>
    <w:rsid w:val="000327AF"/>
    <w:rsid w:val="000327FE"/>
    <w:rsid w:val="00032998"/>
    <w:rsid w:val="00032B1C"/>
    <w:rsid w:val="00032B72"/>
    <w:rsid w:val="00032C84"/>
    <w:rsid w:val="00032CED"/>
    <w:rsid w:val="00032FAA"/>
    <w:rsid w:val="000332A2"/>
    <w:rsid w:val="00033724"/>
    <w:rsid w:val="0003378A"/>
    <w:rsid w:val="000337D1"/>
    <w:rsid w:val="000339A4"/>
    <w:rsid w:val="00033B13"/>
    <w:rsid w:val="00033C48"/>
    <w:rsid w:val="00033E5B"/>
    <w:rsid w:val="00033FFB"/>
    <w:rsid w:val="00034107"/>
    <w:rsid w:val="0003413B"/>
    <w:rsid w:val="00034198"/>
    <w:rsid w:val="0003455B"/>
    <w:rsid w:val="0003463D"/>
    <w:rsid w:val="000349CD"/>
    <w:rsid w:val="00034A96"/>
    <w:rsid w:val="00034C0C"/>
    <w:rsid w:val="00034C84"/>
    <w:rsid w:val="00034CD9"/>
    <w:rsid w:val="00034D34"/>
    <w:rsid w:val="00034E87"/>
    <w:rsid w:val="000350F5"/>
    <w:rsid w:val="0003511E"/>
    <w:rsid w:val="0003557F"/>
    <w:rsid w:val="000355B0"/>
    <w:rsid w:val="000355BA"/>
    <w:rsid w:val="000355CB"/>
    <w:rsid w:val="000355F7"/>
    <w:rsid w:val="0003579F"/>
    <w:rsid w:val="0003584D"/>
    <w:rsid w:val="000358BD"/>
    <w:rsid w:val="000358CB"/>
    <w:rsid w:val="000361BF"/>
    <w:rsid w:val="00036200"/>
    <w:rsid w:val="000362E5"/>
    <w:rsid w:val="000365F4"/>
    <w:rsid w:val="0003667C"/>
    <w:rsid w:val="00036735"/>
    <w:rsid w:val="00036785"/>
    <w:rsid w:val="000367E9"/>
    <w:rsid w:val="00036869"/>
    <w:rsid w:val="00036ABD"/>
    <w:rsid w:val="00036B59"/>
    <w:rsid w:val="00036E3F"/>
    <w:rsid w:val="00036E73"/>
    <w:rsid w:val="00036EBA"/>
    <w:rsid w:val="00036FBA"/>
    <w:rsid w:val="00036FDF"/>
    <w:rsid w:val="0003712E"/>
    <w:rsid w:val="00037190"/>
    <w:rsid w:val="00037205"/>
    <w:rsid w:val="00037333"/>
    <w:rsid w:val="000375DF"/>
    <w:rsid w:val="000377E2"/>
    <w:rsid w:val="0003788B"/>
    <w:rsid w:val="000378CC"/>
    <w:rsid w:val="00037ACD"/>
    <w:rsid w:val="00037B37"/>
    <w:rsid w:val="00037B6F"/>
    <w:rsid w:val="00037FC1"/>
    <w:rsid w:val="000400E6"/>
    <w:rsid w:val="00040219"/>
    <w:rsid w:val="000403AA"/>
    <w:rsid w:val="000403BE"/>
    <w:rsid w:val="000403F2"/>
    <w:rsid w:val="00040480"/>
    <w:rsid w:val="000404CD"/>
    <w:rsid w:val="000405AD"/>
    <w:rsid w:val="00040693"/>
    <w:rsid w:val="000407C0"/>
    <w:rsid w:val="00040866"/>
    <w:rsid w:val="00040AB2"/>
    <w:rsid w:val="00040B5F"/>
    <w:rsid w:val="00040C40"/>
    <w:rsid w:val="00040C7C"/>
    <w:rsid w:val="00040E24"/>
    <w:rsid w:val="00040E98"/>
    <w:rsid w:val="0004103F"/>
    <w:rsid w:val="00041084"/>
    <w:rsid w:val="0004162F"/>
    <w:rsid w:val="00041642"/>
    <w:rsid w:val="0004190B"/>
    <w:rsid w:val="000419A0"/>
    <w:rsid w:val="00041A60"/>
    <w:rsid w:val="00041F98"/>
    <w:rsid w:val="00042048"/>
    <w:rsid w:val="00042110"/>
    <w:rsid w:val="000422C6"/>
    <w:rsid w:val="00042485"/>
    <w:rsid w:val="000428C7"/>
    <w:rsid w:val="00042984"/>
    <w:rsid w:val="00042A70"/>
    <w:rsid w:val="00042ACD"/>
    <w:rsid w:val="00042BC4"/>
    <w:rsid w:val="00042DBD"/>
    <w:rsid w:val="00042E31"/>
    <w:rsid w:val="00042E53"/>
    <w:rsid w:val="00042F26"/>
    <w:rsid w:val="00043006"/>
    <w:rsid w:val="00043069"/>
    <w:rsid w:val="000432E8"/>
    <w:rsid w:val="00043334"/>
    <w:rsid w:val="00043436"/>
    <w:rsid w:val="0004346C"/>
    <w:rsid w:val="00043533"/>
    <w:rsid w:val="00043551"/>
    <w:rsid w:val="00043724"/>
    <w:rsid w:val="00043B2A"/>
    <w:rsid w:val="00043CE4"/>
    <w:rsid w:val="00043E0C"/>
    <w:rsid w:val="00043EF7"/>
    <w:rsid w:val="00043F9D"/>
    <w:rsid w:val="00043FE1"/>
    <w:rsid w:val="00043FE3"/>
    <w:rsid w:val="00044160"/>
    <w:rsid w:val="0004443A"/>
    <w:rsid w:val="0004446A"/>
    <w:rsid w:val="000444F8"/>
    <w:rsid w:val="00044685"/>
    <w:rsid w:val="0004483A"/>
    <w:rsid w:val="00044B62"/>
    <w:rsid w:val="00044B88"/>
    <w:rsid w:val="00044C89"/>
    <w:rsid w:val="00044DBA"/>
    <w:rsid w:val="00044F99"/>
    <w:rsid w:val="00045130"/>
    <w:rsid w:val="00045406"/>
    <w:rsid w:val="00045562"/>
    <w:rsid w:val="000455AD"/>
    <w:rsid w:val="00045633"/>
    <w:rsid w:val="000459EA"/>
    <w:rsid w:val="00045DCD"/>
    <w:rsid w:val="00045E60"/>
    <w:rsid w:val="00045F92"/>
    <w:rsid w:val="00046008"/>
    <w:rsid w:val="00046146"/>
    <w:rsid w:val="000462D8"/>
    <w:rsid w:val="0004639A"/>
    <w:rsid w:val="000465A7"/>
    <w:rsid w:val="0004662A"/>
    <w:rsid w:val="000467FE"/>
    <w:rsid w:val="00046B14"/>
    <w:rsid w:val="00046D95"/>
    <w:rsid w:val="0004703B"/>
    <w:rsid w:val="000471EA"/>
    <w:rsid w:val="000474A7"/>
    <w:rsid w:val="000475CD"/>
    <w:rsid w:val="00047707"/>
    <w:rsid w:val="00047709"/>
    <w:rsid w:val="00047C2B"/>
    <w:rsid w:val="00050044"/>
    <w:rsid w:val="000500D2"/>
    <w:rsid w:val="00050130"/>
    <w:rsid w:val="00050176"/>
    <w:rsid w:val="00050628"/>
    <w:rsid w:val="00050677"/>
    <w:rsid w:val="00050890"/>
    <w:rsid w:val="000508E4"/>
    <w:rsid w:val="00050BBA"/>
    <w:rsid w:val="00050BCE"/>
    <w:rsid w:val="00050E0F"/>
    <w:rsid w:val="00050ED7"/>
    <w:rsid w:val="00051005"/>
    <w:rsid w:val="0005153B"/>
    <w:rsid w:val="0005159D"/>
    <w:rsid w:val="000515F6"/>
    <w:rsid w:val="00051715"/>
    <w:rsid w:val="00051751"/>
    <w:rsid w:val="0005191F"/>
    <w:rsid w:val="00051CC3"/>
    <w:rsid w:val="00051E14"/>
    <w:rsid w:val="00051F88"/>
    <w:rsid w:val="00052203"/>
    <w:rsid w:val="000522A9"/>
    <w:rsid w:val="00052332"/>
    <w:rsid w:val="0005240C"/>
    <w:rsid w:val="00052744"/>
    <w:rsid w:val="00052AA1"/>
    <w:rsid w:val="00052C34"/>
    <w:rsid w:val="0005301D"/>
    <w:rsid w:val="000530E9"/>
    <w:rsid w:val="000532E4"/>
    <w:rsid w:val="00053317"/>
    <w:rsid w:val="00053506"/>
    <w:rsid w:val="00053531"/>
    <w:rsid w:val="000535E2"/>
    <w:rsid w:val="000535F7"/>
    <w:rsid w:val="000537BA"/>
    <w:rsid w:val="00053C53"/>
    <w:rsid w:val="00053D4F"/>
    <w:rsid w:val="0005419C"/>
    <w:rsid w:val="000542F9"/>
    <w:rsid w:val="00054485"/>
    <w:rsid w:val="00054779"/>
    <w:rsid w:val="00054842"/>
    <w:rsid w:val="00054960"/>
    <w:rsid w:val="00054ABD"/>
    <w:rsid w:val="00054CD4"/>
    <w:rsid w:val="00054D2A"/>
    <w:rsid w:val="00054EEF"/>
    <w:rsid w:val="00054FB4"/>
    <w:rsid w:val="000551B8"/>
    <w:rsid w:val="00055219"/>
    <w:rsid w:val="000552B8"/>
    <w:rsid w:val="000553D5"/>
    <w:rsid w:val="000554B7"/>
    <w:rsid w:val="0005597F"/>
    <w:rsid w:val="00055AEA"/>
    <w:rsid w:val="00055BA1"/>
    <w:rsid w:val="00055D09"/>
    <w:rsid w:val="00055D99"/>
    <w:rsid w:val="00055E8E"/>
    <w:rsid w:val="00056199"/>
    <w:rsid w:val="00056207"/>
    <w:rsid w:val="00056284"/>
    <w:rsid w:val="0005633A"/>
    <w:rsid w:val="0005651F"/>
    <w:rsid w:val="000565B6"/>
    <w:rsid w:val="00056678"/>
    <w:rsid w:val="000566A7"/>
    <w:rsid w:val="000568D2"/>
    <w:rsid w:val="00056AEB"/>
    <w:rsid w:val="00056CEB"/>
    <w:rsid w:val="00056E31"/>
    <w:rsid w:val="00056EC2"/>
    <w:rsid w:val="00057102"/>
    <w:rsid w:val="000573FC"/>
    <w:rsid w:val="000575FE"/>
    <w:rsid w:val="000577E5"/>
    <w:rsid w:val="00057AD1"/>
    <w:rsid w:val="00057B8F"/>
    <w:rsid w:val="00057BB0"/>
    <w:rsid w:val="00057CB1"/>
    <w:rsid w:val="00057F80"/>
    <w:rsid w:val="00057FD7"/>
    <w:rsid w:val="000601B3"/>
    <w:rsid w:val="0006020C"/>
    <w:rsid w:val="000603CF"/>
    <w:rsid w:val="00060601"/>
    <w:rsid w:val="00060678"/>
    <w:rsid w:val="000607E6"/>
    <w:rsid w:val="00060BBB"/>
    <w:rsid w:val="00060D23"/>
    <w:rsid w:val="00060E4A"/>
    <w:rsid w:val="00060F53"/>
    <w:rsid w:val="00060F75"/>
    <w:rsid w:val="00061010"/>
    <w:rsid w:val="00061174"/>
    <w:rsid w:val="00061223"/>
    <w:rsid w:val="0006123C"/>
    <w:rsid w:val="00061292"/>
    <w:rsid w:val="00061675"/>
    <w:rsid w:val="0006169F"/>
    <w:rsid w:val="00061A14"/>
    <w:rsid w:val="00061AD1"/>
    <w:rsid w:val="00061B5B"/>
    <w:rsid w:val="00061BCA"/>
    <w:rsid w:val="00061C92"/>
    <w:rsid w:val="00061F9E"/>
    <w:rsid w:val="000621A5"/>
    <w:rsid w:val="00062317"/>
    <w:rsid w:val="00062354"/>
    <w:rsid w:val="000624B5"/>
    <w:rsid w:val="000624C7"/>
    <w:rsid w:val="000626B8"/>
    <w:rsid w:val="00062CA9"/>
    <w:rsid w:val="00062D00"/>
    <w:rsid w:val="00062D77"/>
    <w:rsid w:val="00062DDF"/>
    <w:rsid w:val="00063049"/>
    <w:rsid w:val="000630BC"/>
    <w:rsid w:val="000630D2"/>
    <w:rsid w:val="000630EC"/>
    <w:rsid w:val="000632A2"/>
    <w:rsid w:val="000633E8"/>
    <w:rsid w:val="00063550"/>
    <w:rsid w:val="000636BD"/>
    <w:rsid w:val="000637E3"/>
    <w:rsid w:val="00063C0E"/>
    <w:rsid w:val="00063C29"/>
    <w:rsid w:val="00063DC3"/>
    <w:rsid w:val="00063EDC"/>
    <w:rsid w:val="000640A9"/>
    <w:rsid w:val="0006414E"/>
    <w:rsid w:val="00064318"/>
    <w:rsid w:val="0006442E"/>
    <w:rsid w:val="0006454F"/>
    <w:rsid w:val="000645C4"/>
    <w:rsid w:val="00064898"/>
    <w:rsid w:val="000648B2"/>
    <w:rsid w:val="00064A86"/>
    <w:rsid w:val="00064CFD"/>
    <w:rsid w:val="00064D85"/>
    <w:rsid w:val="00064EAD"/>
    <w:rsid w:val="00064EC4"/>
    <w:rsid w:val="0006517A"/>
    <w:rsid w:val="00065726"/>
    <w:rsid w:val="000658B7"/>
    <w:rsid w:val="0006591A"/>
    <w:rsid w:val="00065A61"/>
    <w:rsid w:val="00065C77"/>
    <w:rsid w:val="00065DB3"/>
    <w:rsid w:val="00066075"/>
    <w:rsid w:val="000660D7"/>
    <w:rsid w:val="0006614A"/>
    <w:rsid w:val="00066199"/>
    <w:rsid w:val="00066356"/>
    <w:rsid w:val="0006700C"/>
    <w:rsid w:val="00067277"/>
    <w:rsid w:val="000672D8"/>
    <w:rsid w:val="000673CB"/>
    <w:rsid w:val="00067425"/>
    <w:rsid w:val="000674FB"/>
    <w:rsid w:val="000677A4"/>
    <w:rsid w:val="00067849"/>
    <w:rsid w:val="00067911"/>
    <w:rsid w:val="00067BBE"/>
    <w:rsid w:val="00067DF2"/>
    <w:rsid w:val="00067E2A"/>
    <w:rsid w:val="00067E75"/>
    <w:rsid w:val="0007007E"/>
    <w:rsid w:val="000703F2"/>
    <w:rsid w:val="00070480"/>
    <w:rsid w:val="000705C7"/>
    <w:rsid w:val="00070869"/>
    <w:rsid w:val="00070A63"/>
    <w:rsid w:val="00070C94"/>
    <w:rsid w:val="00070D0F"/>
    <w:rsid w:val="00070E4B"/>
    <w:rsid w:val="000710B0"/>
    <w:rsid w:val="00071355"/>
    <w:rsid w:val="0007137F"/>
    <w:rsid w:val="00071386"/>
    <w:rsid w:val="00071456"/>
    <w:rsid w:val="0007149F"/>
    <w:rsid w:val="000714B9"/>
    <w:rsid w:val="000715D5"/>
    <w:rsid w:val="0007165F"/>
    <w:rsid w:val="000716F6"/>
    <w:rsid w:val="000719E3"/>
    <w:rsid w:val="00071A62"/>
    <w:rsid w:val="00071F28"/>
    <w:rsid w:val="00071F82"/>
    <w:rsid w:val="000720C2"/>
    <w:rsid w:val="00072139"/>
    <w:rsid w:val="0007214F"/>
    <w:rsid w:val="000722A6"/>
    <w:rsid w:val="000722E7"/>
    <w:rsid w:val="00072387"/>
    <w:rsid w:val="000726C7"/>
    <w:rsid w:val="00072943"/>
    <w:rsid w:val="00072A24"/>
    <w:rsid w:val="00072D1F"/>
    <w:rsid w:val="00072DB2"/>
    <w:rsid w:val="00072EEC"/>
    <w:rsid w:val="0007341E"/>
    <w:rsid w:val="000736D0"/>
    <w:rsid w:val="00073B14"/>
    <w:rsid w:val="00073C3E"/>
    <w:rsid w:val="00073C44"/>
    <w:rsid w:val="00073CDA"/>
    <w:rsid w:val="00074095"/>
    <w:rsid w:val="000741EA"/>
    <w:rsid w:val="00074383"/>
    <w:rsid w:val="0007452A"/>
    <w:rsid w:val="00074855"/>
    <w:rsid w:val="00074AA0"/>
    <w:rsid w:val="00074AA9"/>
    <w:rsid w:val="00074D03"/>
    <w:rsid w:val="00074EA6"/>
    <w:rsid w:val="0007501D"/>
    <w:rsid w:val="00075218"/>
    <w:rsid w:val="000752DB"/>
    <w:rsid w:val="00075377"/>
    <w:rsid w:val="0007555D"/>
    <w:rsid w:val="00075B17"/>
    <w:rsid w:val="00075B1D"/>
    <w:rsid w:val="00075BA1"/>
    <w:rsid w:val="00075BB2"/>
    <w:rsid w:val="00075C7C"/>
    <w:rsid w:val="00075EDE"/>
    <w:rsid w:val="00076317"/>
    <w:rsid w:val="000766A4"/>
    <w:rsid w:val="00076A69"/>
    <w:rsid w:val="00076BF5"/>
    <w:rsid w:val="00076CC4"/>
    <w:rsid w:val="00076DD0"/>
    <w:rsid w:val="0007714F"/>
    <w:rsid w:val="00077725"/>
    <w:rsid w:val="000777A7"/>
    <w:rsid w:val="00077819"/>
    <w:rsid w:val="0007792D"/>
    <w:rsid w:val="00077A73"/>
    <w:rsid w:val="00077D18"/>
    <w:rsid w:val="0008019B"/>
    <w:rsid w:val="00080265"/>
    <w:rsid w:val="0008028F"/>
    <w:rsid w:val="000803AA"/>
    <w:rsid w:val="00080546"/>
    <w:rsid w:val="00080ADB"/>
    <w:rsid w:val="00080B39"/>
    <w:rsid w:val="00080B7E"/>
    <w:rsid w:val="00080BA5"/>
    <w:rsid w:val="00080C1A"/>
    <w:rsid w:val="00080C74"/>
    <w:rsid w:val="00080C78"/>
    <w:rsid w:val="00080CEF"/>
    <w:rsid w:val="00080D82"/>
    <w:rsid w:val="00080D9B"/>
    <w:rsid w:val="00080E48"/>
    <w:rsid w:val="00080F9A"/>
    <w:rsid w:val="00081066"/>
    <w:rsid w:val="0008113B"/>
    <w:rsid w:val="00081208"/>
    <w:rsid w:val="00081466"/>
    <w:rsid w:val="000814B4"/>
    <w:rsid w:val="00081799"/>
    <w:rsid w:val="00081971"/>
    <w:rsid w:val="00081AE5"/>
    <w:rsid w:val="00081AED"/>
    <w:rsid w:val="00081B52"/>
    <w:rsid w:val="00081F17"/>
    <w:rsid w:val="00081F60"/>
    <w:rsid w:val="00082360"/>
    <w:rsid w:val="000827A2"/>
    <w:rsid w:val="00082C1A"/>
    <w:rsid w:val="00082CE6"/>
    <w:rsid w:val="00082D8A"/>
    <w:rsid w:val="00082E6A"/>
    <w:rsid w:val="000832C2"/>
    <w:rsid w:val="000833D4"/>
    <w:rsid w:val="000834AF"/>
    <w:rsid w:val="000839C4"/>
    <w:rsid w:val="00083B8A"/>
    <w:rsid w:val="00083E47"/>
    <w:rsid w:val="00083F72"/>
    <w:rsid w:val="00084011"/>
    <w:rsid w:val="000840E6"/>
    <w:rsid w:val="000845E6"/>
    <w:rsid w:val="0008480E"/>
    <w:rsid w:val="0008493B"/>
    <w:rsid w:val="0008493E"/>
    <w:rsid w:val="00084A8D"/>
    <w:rsid w:val="00084CCB"/>
    <w:rsid w:val="00084D0D"/>
    <w:rsid w:val="00085045"/>
    <w:rsid w:val="000850DB"/>
    <w:rsid w:val="0008581F"/>
    <w:rsid w:val="000858A1"/>
    <w:rsid w:val="00085A12"/>
    <w:rsid w:val="00085AEE"/>
    <w:rsid w:val="00085B13"/>
    <w:rsid w:val="00085BE2"/>
    <w:rsid w:val="00085D12"/>
    <w:rsid w:val="00085DBA"/>
    <w:rsid w:val="00086078"/>
    <w:rsid w:val="00086127"/>
    <w:rsid w:val="0008616D"/>
    <w:rsid w:val="0008618F"/>
    <w:rsid w:val="0008647C"/>
    <w:rsid w:val="00086587"/>
    <w:rsid w:val="0008663A"/>
    <w:rsid w:val="00086650"/>
    <w:rsid w:val="0008666E"/>
    <w:rsid w:val="00086693"/>
    <w:rsid w:val="00086769"/>
    <w:rsid w:val="00086875"/>
    <w:rsid w:val="000869B7"/>
    <w:rsid w:val="00086C4A"/>
    <w:rsid w:val="00086E10"/>
    <w:rsid w:val="00086E82"/>
    <w:rsid w:val="00086E97"/>
    <w:rsid w:val="00087386"/>
    <w:rsid w:val="00087459"/>
    <w:rsid w:val="000876E7"/>
    <w:rsid w:val="000877AF"/>
    <w:rsid w:val="0008799B"/>
    <w:rsid w:val="00087B72"/>
    <w:rsid w:val="00090199"/>
    <w:rsid w:val="000901DA"/>
    <w:rsid w:val="000904FF"/>
    <w:rsid w:val="00090687"/>
    <w:rsid w:val="000906B8"/>
    <w:rsid w:val="000906F0"/>
    <w:rsid w:val="000907DB"/>
    <w:rsid w:val="00090968"/>
    <w:rsid w:val="00090A75"/>
    <w:rsid w:val="00090AC3"/>
    <w:rsid w:val="00090B63"/>
    <w:rsid w:val="00090BD1"/>
    <w:rsid w:val="00090CEB"/>
    <w:rsid w:val="00090D0D"/>
    <w:rsid w:val="00090DB6"/>
    <w:rsid w:val="00090F5B"/>
    <w:rsid w:val="000910EC"/>
    <w:rsid w:val="00091126"/>
    <w:rsid w:val="00091145"/>
    <w:rsid w:val="0009119B"/>
    <w:rsid w:val="000911A7"/>
    <w:rsid w:val="000912E7"/>
    <w:rsid w:val="000913E3"/>
    <w:rsid w:val="0009149D"/>
    <w:rsid w:val="0009158D"/>
    <w:rsid w:val="000915AA"/>
    <w:rsid w:val="00091605"/>
    <w:rsid w:val="00091615"/>
    <w:rsid w:val="00091633"/>
    <w:rsid w:val="0009169D"/>
    <w:rsid w:val="000916BB"/>
    <w:rsid w:val="000917FC"/>
    <w:rsid w:val="000919A1"/>
    <w:rsid w:val="00091AEC"/>
    <w:rsid w:val="00091C5B"/>
    <w:rsid w:val="00091D2E"/>
    <w:rsid w:val="00091D8A"/>
    <w:rsid w:val="00091DB7"/>
    <w:rsid w:val="00091EE8"/>
    <w:rsid w:val="000921C6"/>
    <w:rsid w:val="000923A8"/>
    <w:rsid w:val="00092521"/>
    <w:rsid w:val="000926C8"/>
    <w:rsid w:val="000928B5"/>
    <w:rsid w:val="000928C2"/>
    <w:rsid w:val="000928F6"/>
    <w:rsid w:val="00092986"/>
    <w:rsid w:val="0009298F"/>
    <w:rsid w:val="00092AFC"/>
    <w:rsid w:val="00092BE6"/>
    <w:rsid w:val="00092C9A"/>
    <w:rsid w:val="00092CA0"/>
    <w:rsid w:val="00092DA6"/>
    <w:rsid w:val="00092DB0"/>
    <w:rsid w:val="000930ED"/>
    <w:rsid w:val="0009315D"/>
    <w:rsid w:val="00093448"/>
    <w:rsid w:val="0009370F"/>
    <w:rsid w:val="000937D6"/>
    <w:rsid w:val="000937DC"/>
    <w:rsid w:val="000938C6"/>
    <w:rsid w:val="00093BAD"/>
    <w:rsid w:val="00093D14"/>
    <w:rsid w:val="00093D4A"/>
    <w:rsid w:val="00093E34"/>
    <w:rsid w:val="000941CF"/>
    <w:rsid w:val="000942A0"/>
    <w:rsid w:val="00094445"/>
    <w:rsid w:val="000949F2"/>
    <w:rsid w:val="000949F5"/>
    <w:rsid w:val="00094AF6"/>
    <w:rsid w:val="00094CAF"/>
    <w:rsid w:val="00094D58"/>
    <w:rsid w:val="00094E5E"/>
    <w:rsid w:val="00094F13"/>
    <w:rsid w:val="000950A7"/>
    <w:rsid w:val="00095228"/>
    <w:rsid w:val="0009528E"/>
    <w:rsid w:val="00095430"/>
    <w:rsid w:val="0009545E"/>
    <w:rsid w:val="0009577A"/>
    <w:rsid w:val="0009599E"/>
    <w:rsid w:val="00095A37"/>
    <w:rsid w:val="00095B1F"/>
    <w:rsid w:val="00095E1D"/>
    <w:rsid w:val="00095F0D"/>
    <w:rsid w:val="00095F27"/>
    <w:rsid w:val="00096017"/>
    <w:rsid w:val="000961B6"/>
    <w:rsid w:val="000962BD"/>
    <w:rsid w:val="00096622"/>
    <w:rsid w:val="000966A7"/>
    <w:rsid w:val="000966C6"/>
    <w:rsid w:val="00096781"/>
    <w:rsid w:val="00096A45"/>
    <w:rsid w:val="00096E2D"/>
    <w:rsid w:val="00096EC1"/>
    <w:rsid w:val="000972A0"/>
    <w:rsid w:val="000972D5"/>
    <w:rsid w:val="0009753A"/>
    <w:rsid w:val="00097640"/>
    <w:rsid w:val="00097761"/>
    <w:rsid w:val="00097778"/>
    <w:rsid w:val="000978AF"/>
    <w:rsid w:val="000978FA"/>
    <w:rsid w:val="000979CF"/>
    <w:rsid w:val="00097C7E"/>
    <w:rsid w:val="00097DE6"/>
    <w:rsid w:val="00097E8B"/>
    <w:rsid w:val="00097FDC"/>
    <w:rsid w:val="000A00B2"/>
    <w:rsid w:val="000A01F4"/>
    <w:rsid w:val="000A0378"/>
    <w:rsid w:val="000A0485"/>
    <w:rsid w:val="000A0594"/>
    <w:rsid w:val="000A0A58"/>
    <w:rsid w:val="000A0B1C"/>
    <w:rsid w:val="000A0C96"/>
    <w:rsid w:val="000A0CD2"/>
    <w:rsid w:val="000A0FE0"/>
    <w:rsid w:val="000A1071"/>
    <w:rsid w:val="000A108F"/>
    <w:rsid w:val="000A151C"/>
    <w:rsid w:val="000A1AE5"/>
    <w:rsid w:val="000A1BD4"/>
    <w:rsid w:val="000A1C95"/>
    <w:rsid w:val="000A1D0E"/>
    <w:rsid w:val="000A1DB7"/>
    <w:rsid w:val="000A227A"/>
    <w:rsid w:val="000A2543"/>
    <w:rsid w:val="000A26C3"/>
    <w:rsid w:val="000A2756"/>
    <w:rsid w:val="000A27F4"/>
    <w:rsid w:val="000A2A13"/>
    <w:rsid w:val="000A2D03"/>
    <w:rsid w:val="000A2D37"/>
    <w:rsid w:val="000A3132"/>
    <w:rsid w:val="000A314B"/>
    <w:rsid w:val="000A31FB"/>
    <w:rsid w:val="000A334A"/>
    <w:rsid w:val="000A3470"/>
    <w:rsid w:val="000A37F6"/>
    <w:rsid w:val="000A380D"/>
    <w:rsid w:val="000A3850"/>
    <w:rsid w:val="000A398E"/>
    <w:rsid w:val="000A3A29"/>
    <w:rsid w:val="000A3B63"/>
    <w:rsid w:val="000A3C2A"/>
    <w:rsid w:val="000A404F"/>
    <w:rsid w:val="000A4302"/>
    <w:rsid w:val="000A45C1"/>
    <w:rsid w:val="000A478F"/>
    <w:rsid w:val="000A48C8"/>
    <w:rsid w:val="000A4A58"/>
    <w:rsid w:val="000A4B22"/>
    <w:rsid w:val="000A4B91"/>
    <w:rsid w:val="000A4C39"/>
    <w:rsid w:val="000A4D86"/>
    <w:rsid w:val="000A4EEB"/>
    <w:rsid w:val="000A5137"/>
    <w:rsid w:val="000A53F0"/>
    <w:rsid w:val="000A5493"/>
    <w:rsid w:val="000A5494"/>
    <w:rsid w:val="000A54CC"/>
    <w:rsid w:val="000A56C8"/>
    <w:rsid w:val="000A570E"/>
    <w:rsid w:val="000A571F"/>
    <w:rsid w:val="000A57D7"/>
    <w:rsid w:val="000A587D"/>
    <w:rsid w:val="000A5A0C"/>
    <w:rsid w:val="000A5AB6"/>
    <w:rsid w:val="000A5B87"/>
    <w:rsid w:val="000A5C9F"/>
    <w:rsid w:val="000A5D51"/>
    <w:rsid w:val="000A60DB"/>
    <w:rsid w:val="000A6390"/>
    <w:rsid w:val="000A6B8F"/>
    <w:rsid w:val="000A6C1D"/>
    <w:rsid w:val="000A6C85"/>
    <w:rsid w:val="000A6D5F"/>
    <w:rsid w:val="000A6D68"/>
    <w:rsid w:val="000A7058"/>
    <w:rsid w:val="000A70E9"/>
    <w:rsid w:val="000A7134"/>
    <w:rsid w:val="000A713C"/>
    <w:rsid w:val="000A7441"/>
    <w:rsid w:val="000A778A"/>
    <w:rsid w:val="000A7793"/>
    <w:rsid w:val="000A77B0"/>
    <w:rsid w:val="000A7A89"/>
    <w:rsid w:val="000A7C6F"/>
    <w:rsid w:val="000A7D52"/>
    <w:rsid w:val="000B0495"/>
    <w:rsid w:val="000B04C8"/>
    <w:rsid w:val="000B0676"/>
    <w:rsid w:val="000B06EE"/>
    <w:rsid w:val="000B07AB"/>
    <w:rsid w:val="000B0865"/>
    <w:rsid w:val="000B0A22"/>
    <w:rsid w:val="000B0A7F"/>
    <w:rsid w:val="000B0C5F"/>
    <w:rsid w:val="000B0CD7"/>
    <w:rsid w:val="000B0D52"/>
    <w:rsid w:val="000B1CE2"/>
    <w:rsid w:val="000B1D5D"/>
    <w:rsid w:val="000B1E4A"/>
    <w:rsid w:val="000B1FB2"/>
    <w:rsid w:val="000B2181"/>
    <w:rsid w:val="000B22C0"/>
    <w:rsid w:val="000B25CA"/>
    <w:rsid w:val="000B266E"/>
    <w:rsid w:val="000B2812"/>
    <w:rsid w:val="000B2AE1"/>
    <w:rsid w:val="000B345A"/>
    <w:rsid w:val="000B34C5"/>
    <w:rsid w:val="000B35CE"/>
    <w:rsid w:val="000B35EF"/>
    <w:rsid w:val="000B376A"/>
    <w:rsid w:val="000B37B7"/>
    <w:rsid w:val="000B3907"/>
    <w:rsid w:val="000B3A21"/>
    <w:rsid w:val="000B3B57"/>
    <w:rsid w:val="000B3B8E"/>
    <w:rsid w:val="000B3D67"/>
    <w:rsid w:val="000B3DA3"/>
    <w:rsid w:val="000B3E63"/>
    <w:rsid w:val="000B3FF5"/>
    <w:rsid w:val="000B4526"/>
    <w:rsid w:val="000B45C9"/>
    <w:rsid w:val="000B46D3"/>
    <w:rsid w:val="000B48C1"/>
    <w:rsid w:val="000B48CB"/>
    <w:rsid w:val="000B4A54"/>
    <w:rsid w:val="000B514B"/>
    <w:rsid w:val="000B5230"/>
    <w:rsid w:val="000B53A9"/>
    <w:rsid w:val="000B54C2"/>
    <w:rsid w:val="000B561B"/>
    <w:rsid w:val="000B5657"/>
    <w:rsid w:val="000B565F"/>
    <w:rsid w:val="000B587B"/>
    <w:rsid w:val="000B59B3"/>
    <w:rsid w:val="000B5D00"/>
    <w:rsid w:val="000B5D8F"/>
    <w:rsid w:val="000B5EE3"/>
    <w:rsid w:val="000B6010"/>
    <w:rsid w:val="000B60E7"/>
    <w:rsid w:val="000B610E"/>
    <w:rsid w:val="000B6395"/>
    <w:rsid w:val="000B68F0"/>
    <w:rsid w:val="000B6BAE"/>
    <w:rsid w:val="000B6F1E"/>
    <w:rsid w:val="000B70C5"/>
    <w:rsid w:val="000B71D0"/>
    <w:rsid w:val="000B73CC"/>
    <w:rsid w:val="000B73DA"/>
    <w:rsid w:val="000B7A64"/>
    <w:rsid w:val="000B7BFB"/>
    <w:rsid w:val="000B7D21"/>
    <w:rsid w:val="000B7DB7"/>
    <w:rsid w:val="000B7E6E"/>
    <w:rsid w:val="000B7EA2"/>
    <w:rsid w:val="000B7EDA"/>
    <w:rsid w:val="000B7F91"/>
    <w:rsid w:val="000B7FAA"/>
    <w:rsid w:val="000C008D"/>
    <w:rsid w:val="000C020B"/>
    <w:rsid w:val="000C0301"/>
    <w:rsid w:val="000C0397"/>
    <w:rsid w:val="000C059B"/>
    <w:rsid w:val="000C06D9"/>
    <w:rsid w:val="000C089F"/>
    <w:rsid w:val="000C0D57"/>
    <w:rsid w:val="000C0EEF"/>
    <w:rsid w:val="000C101B"/>
    <w:rsid w:val="000C136B"/>
    <w:rsid w:val="000C1611"/>
    <w:rsid w:val="000C1912"/>
    <w:rsid w:val="000C1918"/>
    <w:rsid w:val="000C1B5C"/>
    <w:rsid w:val="000C1E05"/>
    <w:rsid w:val="000C2257"/>
    <w:rsid w:val="000C2287"/>
    <w:rsid w:val="000C22D5"/>
    <w:rsid w:val="000C278C"/>
    <w:rsid w:val="000C28F4"/>
    <w:rsid w:val="000C2C0D"/>
    <w:rsid w:val="000C2C48"/>
    <w:rsid w:val="000C2E08"/>
    <w:rsid w:val="000C2EFD"/>
    <w:rsid w:val="000C2F09"/>
    <w:rsid w:val="000C313F"/>
    <w:rsid w:val="000C3386"/>
    <w:rsid w:val="000C3AC6"/>
    <w:rsid w:val="000C3ADA"/>
    <w:rsid w:val="000C3BFB"/>
    <w:rsid w:val="000C3FD7"/>
    <w:rsid w:val="000C4196"/>
    <w:rsid w:val="000C4259"/>
    <w:rsid w:val="000C441B"/>
    <w:rsid w:val="000C44A8"/>
    <w:rsid w:val="000C45D2"/>
    <w:rsid w:val="000C4801"/>
    <w:rsid w:val="000C4852"/>
    <w:rsid w:val="000C489B"/>
    <w:rsid w:val="000C4B7B"/>
    <w:rsid w:val="000C4B89"/>
    <w:rsid w:val="000C4D33"/>
    <w:rsid w:val="000C4D78"/>
    <w:rsid w:val="000C4E05"/>
    <w:rsid w:val="000C4E88"/>
    <w:rsid w:val="000C4F2A"/>
    <w:rsid w:val="000C512B"/>
    <w:rsid w:val="000C524F"/>
    <w:rsid w:val="000C5267"/>
    <w:rsid w:val="000C53E2"/>
    <w:rsid w:val="000C5415"/>
    <w:rsid w:val="000C55C2"/>
    <w:rsid w:val="000C5893"/>
    <w:rsid w:val="000C590E"/>
    <w:rsid w:val="000C59E0"/>
    <w:rsid w:val="000C5AA9"/>
    <w:rsid w:val="000C5AC9"/>
    <w:rsid w:val="000C5BB4"/>
    <w:rsid w:val="000C5C1E"/>
    <w:rsid w:val="000C5C54"/>
    <w:rsid w:val="000C5CBD"/>
    <w:rsid w:val="000C603C"/>
    <w:rsid w:val="000C60CA"/>
    <w:rsid w:val="000C6387"/>
    <w:rsid w:val="000C63A5"/>
    <w:rsid w:val="000C665E"/>
    <w:rsid w:val="000C6903"/>
    <w:rsid w:val="000C6AFE"/>
    <w:rsid w:val="000C6C01"/>
    <w:rsid w:val="000C6C6E"/>
    <w:rsid w:val="000C6D55"/>
    <w:rsid w:val="000C701D"/>
    <w:rsid w:val="000C7022"/>
    <w:rsid w:val="000C73B7"/>
    <w:rsid w:val="000C75FF"/>
    <w:rsid w:val="000C772E"/>
    <w:rsid w:val="000C77B9"/>
    <w:rsid w:val="000C77CB"/>
    <w:rsid w:val="000C77F8"/>
    <w:rsid w:val="000C78EF"/>
    <w:rsid w:val="000C79A2"/>
    <w:rsid w:val="000C7D3C"/>
    <w:rsid w:val="000C7DF5"/>
    <w:rsid w:val="000C7F44"/>
    <w:rsid w:val="000D0191"/>
    <w:rsid w:val="000D028A"/>
    <w:rsid w:val="000D06FF"/>
    <w:rsid w:val="000D087E"/>
    <w:rsid w:val="000D087F"/>
    <w:rsid w:val="000D0988"/>
    <w:rsid w:val="000D11C1"/>
    <w:rsid w:val="000D121E"/>
    <w:rsid w:val="000D1315"/>
    <w:rsid w:val="000D138D"/>
    <w:rsid w:val="000D14C3"/>
    <w:rsid w:val="000D15AB"/>
    <w:rsid w:val="000D165D"/>
    <w:rsid w:val="000D17ED"/>
    <w:rsid w:val="000D1A50"/>
    <w:rsid w:val="000D1B23"/>
    <w:rsid w:val="000D1C0C"/>
    <w:rsid w:val="000D1CE3"/>
    <w:rsid w:val="000D1D05"/>
    <w:rsid w:val="000D1D8F"/>
    <w:rsid w:val="000D1F29"/>
    <w:rsid w:val="000D1F4D"/>
    <w:rsid w:val="000D20D9"/>
    <w:rsid w:val="000D2225"/>
    <w:rsid w:val="000D2392"/>
    <w:rsid w:val="000D2486"/>
    <w:rsid w:val="000D2746"/>
    <w:rsid w:val="000D2808"/>
    <w:rsid w:val="000D29AC"/>
    <w:rsid w:val="000D2E05"/>
    <w:rsid w:val="000D2E70"/>
    <w:rsid w:val="000D315D"/>
    <w:rsid w:val="000D317A"/>
    <w:rsid w:val="000D3323"/>
    <w:rsid w:val="000D34BD"/>
    <w:rsid w:val="000D36C2"/>
    <w:rsid w:val="000D3870"/>
    <w:rsid w:val="000D3927"/>
    <w:rsid w:val="000D3AEE"/>
    <w:rsid w:val="000D3B4A"/>
    <w:rsid w:val="000D3C7F"/>
    <w:rsid w:val="000D3E5E"/>
    <w:rsid w:val="000D4026"/>
    <w:rsid w:val="000D425C"/>
    <w:rsid w:val="000D4573"/>
    <w:rsid w:val="000D48E0"/>
    <w:rsid w:val="000D4BA9"/>
    <w:rsid w:val="000D4C8E"/>
    <w:rsid w:val="000D4CFB"/>
    <w:rsid w:val="000D4DFA"/>
    <w:rsid w:val="000D4F62"/>
    <w:rsid w:val="000D50D0"/>
    <w:rsid w:val="000D5137"/>
    <w:rsid w:val="000D5426"/>
    <w:rsid w:val="000D55D9"/>
    <w:rsid w:val="000D56F0"/>
    <w:rsid w:val="000D58B7"/>
    <w:rsid w:val="000D5926"/>
    <w:rsid w:val="000D5A91"/>
    <w:rsid w:val="000D5B15"/>
    <w:rsid w:val="000D5BD7"/>
    <w:rsid w:val="000D5C12"/>
    <w:rsid w:val="000D5D49"/>
    <w:rsid w:val="000D5F28"/>
    <w:rsid w:val="000D5F4B"/>
    <w:rsid w:val="000D5FD7"/>
    <w:rsid w:val="000D6259"/>
    <w:rsid w:val="000D625C"/>
    <w:rsid w:val="000D62FD"/>
    <w:rsid w:val="000D64BB"/>
    <w:rsid w:val="000D657A"/>
    <w:rsid w:val="000D65D3"/>
    <w:rsid w:val="000D67A5"/>
    <w:rsid w:val="000D696C"/>
    <w:rsid w:val="000D6CE6"/>
    <w:rsid w:val="000D6E30"/>
    <w:rsid w:val="000D6E8A"/>
    <w:rsid w:val="000D6F40"/>
    <w:rsid w:val="000D6F7C"/>
    <w:rsid w:val="000D7199"/>
    <w:rsid w:val="000D71F4"/>
    <w:rsid w:val="000D7214"/>
    <w:rsid w:val="000D7293"/>
    <w:rsid w:val="000D754C"/>
    <w:rsid w:val="000D769E"/>
    <w:rsid w:val="000D77A1"/>
    <w:rsid w:val="000D7883"/>
    <w:rsid w:val="000D78BD"/>
    <w:rsid w:val="000D7C13"/>
    <w:rsid w:val="000E00F3"/>
    <w:rsid w:val="000E043B"/>
    <w:rsid w:val="000E04C5"/>
    <w:rsid w:val="000E051E"/>
    <w:rsid w:val="000E0575"/>
    <w:rsid w:val="000E0579"/>
    <w:rsid w:val="000E096A"/>
    <w:rsid w:val="000E09B4"/>
    <w:rsid w:val="000E0B03"/>
    <w:rsid w:val="000E0BFD"/>
    <w:rsid w:val="000E0CAC"/>
    <w:rsid w:val="000E0F7B"/>
    <w:rsid w:val="000E1049"/>
    <w:rsid w:val="000E107E"/>
    <w:rsid w:val="000E1155"/>
    <w:rsid w:val="000E1230"/>
    <w:rsid w:val="000E132F"/>
    <w:rsid w:val="000E152A"/>
    <w:rsid w:val="000E1659"/>
    <w:rsid w:val="000E1747"/>
    <w:rsid w:val="000E17C3"/>
    <w:rsid w:val="000E17DB"/>
    <w:rsid w:val="000E184D"/>
    <w:rsid w:val="000E1B38"/>
    <w:rsid w:val="000E1B48"/>
    <w:rsid w:val="000E1C84"/>
    <w:rsid w:val="000E2043"/>
    <w:rsid w:val="000E2246"/>
    <w:rsid w:val="000E2446"/>
    <w:rsid w:val="000E2545"/>
    <w:rsid w:val="000E268A"/>
    <w:rsid w:val="000E269D"/>
    <w:rsid w:val="000E2A79"/>
    <w:rsid w:val="000E2AB5"/>
    <w:rsid w:val="000E2B4C"/>
    <w:rsid w:val="000E2E52"/>
    <w:rsid w:val="000E2E67"/>
    <w:rsid w:val="000E2EAE"/>
    <w:rsid w:val="000E2EE0"/>
    <w:rsid w:val="000E3009"/>
    <w:rsid w:val="000E3041"/>
    <w:rsid w:val="000E3295"/>
    <w:rsid w:val="000E347D"/>
    <w:rsid w:val="000E3598"/>
    <w:rsid w:val="000E36B3"/>
    <w:rsid w:val="000E3964"/>
    <w:rsid w:val="000E3999"/>
    <w:rsid w:val="000E3A1A"/>
    <w:rsid w:val="000E3A48"/>
    <w:rsid w:val="000E3A9A"/>
    <w:rsid w:val="000E3ACA"/>
    <w:rsid w:val="000E3B5A"/>
    <w:rsid w:val="000E3DE5"/>
    <w:rsid w:val="000E4414"/>
    <w:rsid w:val="000E4475"/>
    <w:rsid w:val="000E4562"/>
    <w:rsid w:val="000E45E0"/>
    <w:rsid w:val="000E46FC"/>
    <w:rsid w:val="000E497C"/>
    <w:rsid w:val="000E4C4A"/>
    <w:rsid w:val="000E4D8D"/>
    <w:rsid w:val="000E4E15"/>
    <w:rsid w:val="000E4FC2"/>
    <w:rsid w:val="000E5124"/>
    <w:rsid w:val="000E51FC"/>
    <w:rsid w:val="000E52A9"/>
    <w:rsid w:val="000E5433"/>
    <w:rsid w:val="000E54AA"/>
    <w:rsid w:val="000E54FA"/>
    <w:rsid w:val="000E5663"/>
    <w:rsid w:val="000E5726"/>
    <w:rsid w:val="000E5773"/>
    <w:rsid w:val="000E5A04"/>
    <w:rsid w:val="000E5AA4"/>
    <w:rsid w:val="000E5D1D"/>
    <w:rsid w:val="000E5D99"/>
    <w:rsid w:val="000E5FA0"/>
    <w:rsid w:val="000E6074"/>
    <w:rsid w:val="000E6312"/>
    <w:rsid w:val="000E6450"/>
    <w:rsid w:val="000E6574"/>
    <w:rsid w:val="000E67F1"/>
    <w:rsid w:val="000E69BD"/>
    <w:rsid w:val="000E6A4C"/>
    <w:rsid w:val="000E6A99"/>
    <w:rsid w:val="000E6AFA"/>
    <w:rsid w:val="000E6B0B"/>
    <w:rsid w:val="000E6BF0"/>
    <w:rsid w:val="000E6C96"/>
    <w:rsid w:val="000E6CB0"/>
    <w:rsid w:val="000E6E10"/>
    <w:rsid w:val="000E6E1B"/>
    <w:rsid w:val="000E6F26"/>
    <w:rsid w:val="000E728A"/>
    <w:rsid w:val="000E736D"/>
    <w:rsid w:val="000E73DC"/>
    <w:rsid w:val="000E73E5"/>
    <w:rsid w:val="000E76EE"/>
    <w:rsid w:val="000E7D7E"/>
    <w:rsid w:val="000E7F46"/>
    <w:rsid w:val="000E7F8C"/>
    <w:rsid w:val="000E7FBD"/>
    <w:rsid w:val="000F00DD"/>
    <w:rsid w:val="000F01E8"/>
    <w:rsid w:val="000F0227"/>
    <w:rsid w:val="000F0450"/>
    <w:rsid w:val="000F0597"/>
    <w:rsid w:val="000F0885"/>
    <w:rsid w:val="000F08DA"/>
    <w:rsid w:val="000F0925"/>
    <w:rsid w:val="000F092A"/>
    <w:rsid w:val="000F09FD"/>
    <w:rsid w:val="000F0A46"/>
    <w:rsid w:val="000F0C19"/>
    <w:rsid w:val="000F0C2F"/>
    <w:rsid w:val="000F0CD1"/>
    <w:rsid w:val="000F0E41"/>
    <w:rsid w:val="000F0EC5"/>
    <w:rsid w:val="000F11E3"/>
    <w:rsid w:val="000F122F"/>
    <w:rsid w:val="000F1272"/>
    <w:rsid w:val="000F1453"/>
    <w:rsid w:val="000F15EB"/>
    <w:rsid w:val="000F1669"/>
    <w:rsid w:val="000F180C"/>
    <w:rsid w:val="000F1B92"/>
    <w:rsid w:val="000F1C42"/>
    <w:rsid w:val="000F1D7D"/>
    <w:rsid w:val="000F1E46"/>
    <w:rsid w:val="000F1EC5"/>
    <w:rsid w:val="000F1EDC"/>
    <w:rsid w:val="000F20DB"/>
    <w:rsid w:val="000F2406"/>
    <w:rsid w:val="000F2484"/>
    <w:rsid w:val="000F25D2"/>
    <w:rsid w:val="000F2615"/>
    <w:rsid w:val="000F265D"/>
    <w:rsid w:val="000F2879"/>
    <w:rsid w:val="000F2A15"/>
    <w:rsid w:val="000F2B0E"/>
    <w:rsid w:val="000F2B74"/>
    <w:rsid w:val="000F2D37"/>
    <w:rsid w:val="000F2F7A"/>
    <w:rsid w:val="000F2FA3"/>
    <w:rsid w:val="000F30FC"/>
    <w:rsid w:val="000F32B9"/>
    <w:rsid w:val="000F33EC"/>
    <w:rsid w:val="000F3438"/>
    <w:rsid w:val="000F37ED"/>
    <w:rsid w:val="000F3A6B"/>
    <w:rsid w:val="000F3BEA"/>
    <w:rsid w:val="000F3E45"/>
    <w:rsid w:val="000F3F3B"/>
    <w:rsid w:val="000F414F"/>
    <w:rsid w:val="000F43B4"/>
    <w:rsid w:val="000F46B8"/>
    <w:rsid w:val="000F497B"/>
    <w:rsid w:val="000F5010"/>
    <w:rsid w:val="000F5092"/>
    <w:rsid w:val="000F50ED"/>
    <w:rsid w:val="000F5174"/>
    <w:rsid w:val="000F533E"/>
    <w:rsid w:val="000F5555"/>
    <w:rsid w:val="000F5828"/>
    <w:rsid w:val="000F5A3C"/>
    <w:rsid w:val="000F5A94"/>
    <w:rsid w:val="000F5E20"/>
    <w:rsid w:val="000F5FA9"/>
    <w:rsid w:val="000F612E"/>
    <w:rsid w:val="000F6217"/>
    <w:rsid w:val="000F6460"/>
    <w:rsid w:val="000F6553"/>
    <w:rsid w:val="000F6C13"/>
    <w:rsid w:val="000F6D70"/>
    <w:rsid w:val="000F6EEE"/>
    <w:rsid w:val="000F703F"/>
    <w:rsid w:val="000F707F"/>
    <w:rsid w:val="000F755C"/>
    <w:rsid w:val="000F775D"/>
    <w:rsid w:val="000F779E"/>
    <w:rsid w:val="000F788C"/>
    <w:rsid w:val="000F797D"/>
    <w:rsid w:val="000F7F65"/>
    <w:rsid w:val="00100015"/>
    <w:rsid w:val="00100042"/>
    <w:rsid w:val="00100106"/>
    <w:rsid w:val="0010037E"/>
    <w:rsid w:val="00100398"/>
    <w:rsid w:val="00100456"/>
    <w:rsid w:val="001005C3"/>
    <w:rsid w:val="00100796"/>
    <w:rsid w:val="001007F7"/>
    <w:rsid w:val="001008FE"/>
    <w:rsid w:val="001009DF"/>
    <w:rsid w:val="00100A45"/>
    <w:rsid w:val="00100B2A"/>
    <w:rsid w:val="00100B38"/>
    <w:rsid w:val="00100E34"/>
    <w:rsid w:val="00100EA4"/>
    <w:rsid w:val="0010113B"/>
    <w:rsid w:val="001014AE"/>
    <w:rsid w:val="00101674"/>
    <w:rsid w:val="00101A67"/>
    <w:rsid w:val="00101AC6"/>
    <w:rsid w:val="00101D7D"/>
    <w:rsid w:val="00101DC8"/>
    <w:rsid w:val="001021A6"/>
    <w:rsid w:val="001025B6"/>
    <w:rsid w:val="001025F4"/>
    <w:rsid w:val="00102648"/>
    <w:rsid w:val="00102829"/>
    <w:rsid w:val="00102C6C"/>
    <w:rsid w:val="00102CB4"/>
    <w:rsid w:val="00102F19"/>
    <w:rsid w:val="0010306F"/>
    <w:rsid w:val="00103311"/>
    <w:rsid w:val="00103399"/>
    <w:rsid w:val="0010342D"/>
    <w:rsid w:val="00103719"/>
    <w:rsid w:val="00103B25"/>
    <w:rsid w:val="00103B4B"/>
    <w:rsid w:val="00103B9F"/>
    <w:rsid w:val="00103D6E"/>
    <w:rsid w:val="00103EDE"/>
    <w:rsid w:val="00104055"/>
    <w:rsid w:val="00104096"/>
    <w:rsid w:val="00104179"/>
    <w:rsid w:val="0010424E"/>
    <w:rsid w:val="0010432C"/>
    <w:rsid w:val="001043DF"/>
    <w:rsid w:val="001043F7"/>
    <w:rsid w:val="0010471F"/>
    <w:rsid w:val="00104814"/>
    <w:rsid w:val="00104934"/>
    <w:rsid w:val="00104A99"/>
    <w:rsid w:val="00104ABA"/>
    <w:rsid w:val="00104BD3"/>
    <w:rsid w:val="00104C65"/>
    <w:rsid w:val="00104F96"/>
    <w:rsid w:val="00105445"/>
    <w:rsid w:val="001054B5"/>
    <w:rsid w:val="00105608"/>
    <w:rsid w:val="00105715"/>
    <w:rsid w:val="001058E1"/>
    <w:rsid w:val="001059C8"/>
    <w:rsid w:val="001059D8"/>
    <w:rsid w:val="00105D45"/>
    <w:rsid w:val="00105E68"/>
    <w:rsid w:val="00105F52"/>
    <w:rsid w:val="00106046"/>
    <w:rsid w:val="00106405"/>
    <w:rsid w:val="00106529"/>
    <w:rsid w:val="00106531"/>
    <w:rsid w:val="00106709"/>
    <w:rsid w:val="001067E2"/>
    <w:rsid w:val="00106870"/>
    <w:rsid w:val="001068AE"/>
    <w:rsid w:val="001069B8"/>
    <w:rsid w:val="00106A3F"/>
    <w:rsid w:val="00106CEC"/>
    <w:rsid w:val="00106E90"/>
    <w:rsid w:val="001070C6"/>
    <w:rsid w:val="001072C1"/>
    <w:rsid w:val="00107581"/>
    <w:rsid w:val="00107626"/>
    <w:rsid w:val="001076E5"/>
    <w:rsid w:val="0010785E"/>
    <w:rsid w:val="00107A38"/>
    <w:rsid w:val="00107B08"/>
    <w:rsid w:val="00107D51"/>
    <w:rsid w:val="0011008B"/>
    <w:rsid w:val="0011022D"/>
    <w:rsid w:val="0011038D"/>
    <w:rsid w:val="001105BD"/>
    <w:rsid w:val="0011073E"/>
    <w:rsid w:val="00110769"/>
    <w:rsid w:val="00110861"/>
    <w:rsid w:val="00110952"/>
    <w:rsid w:val="001109C2"/>
    <w:rsid w:val="00110ACA"/>
    <w:rsid w:val="00110AE8"/>
    <w:rsid w:val="00110BDF"/>
    <w:rsid w:val="00110C56"/>
    <w:rsid w:val="00110E19"/>
    <w:rsid w:val="00110EBC"/>
    <w:rsid w:val="001110DC"/>
    <w:rsid w:val="001111EE"/>
    <w:rsid w:val="00111231"/>
    <w:rsid w:val="001114F1"/>
    <w:rsid w:val="0011159D"/>
    <w:rsid w:val="00111908"/>
    <w:rsid w:val="00111943"/>
    <w:rsid w:val="00111B18"/>
    <w:rsid w:val="00111D0D"/>
    <w:rsid w:val="00111FDC"/>
    <w:rsid w:val="0011201F"/>
    <w:rsid w:val="00112097"/>
    <w:rsid w:val="0011217D"/>
    <w:rsid w:val="001121F8"/>
    <w:rsid w:val="0011225F"/>
    <w:rsid w:val="001123E0"/>
    <w:rsid w:val="001125AF"/>
    <w:rsid w:val="001128D9"/>
    <w:rsid w:val="00112ABF"/>
    <w:rsid w:val="00112AD3"/>
    <w:rsid w:val="00112C47"/>
    <w:rsid w:val="00112C6D"/>
    <w:rsid w:val="00112D8E"/>
    <w:rsid w:val="0011329A"/>
    <w:rsid w:val="001132BE"/>
    <w:rsid w:val="00113397"/>
    <w:rsid w:val="001133A6"/>
    <w:rsid w:val="0011399F"/>
    <w:rsid w:val="001139AD"/>
    <w:rsid w:val="00113A3D"/>
    <w:rsid w:val="00113C48"/>
    <w:rsid w:val="00113EAD"/>
    <w:rsid w:val="00113FA9"/>
    <w:rsid w:val="00113FDC"/>
    <w:rsid w:val="00114058"/>
    <w:rsid w:val="0011409C"/>
    <w:rsid w:val="0011435C"/>
    <w:rsid w:val="0011484B"/>
    <w:rsid w:val="00114937"/>
    <w:rsid w:val="00114A55"/>
    <w:rsid w:val="00114A60"/>
    <w:rsid w:val="00114BF7"/>
    <w:rsid w:val="00114C42"/>
    <w:rsid w:val="00114DED"/>
    <w:rsid w:val="00114E3B"/>
    <w:rsid w:val="00114F7A"/>
    <w:rsid w:val="00115006"/>
    <w:rsid w:val="001150C7"/>
    <w:rsid w:val="00115220"/>
    <w:rsid w:val="00115226"/>
    <w:rsid w:val="001152BF"/>
    <w:rsid w:val="001154A5"/>
    <w:rsid w:val="00115641"/>
    <w:rsid w:val="001158DF"/>
    <w:rsid w:val="00115C40"/>
    <w:rsid w:val="00115C73"/>
    <w:rsid w:val="00115E30"/>
    <w:rsid w:val="00115FE8"/>
    <w:rsid w:val="00115FF7"/>
    <w:rsid w:val="001162F7"/>
    <w:rsid w:val="0011646A"/>
    <w:rsid w:val="00116682"/>
    <w:rsid w:val="0011673E"/>
    <w:rsid w:val="00116C03"/>
    <w:rsid w:val="00116DC8"/>
    <w:rsid w:val="00116E0A"/>
    <w:rsid w:val="00117589"/>
    <w:rsid w:val="001175D8"/>
    <w:rsid w:val="00117677"/>
    <w:rsid w:val="001176B1"/>
    <w:rsid w:val="001176FD"/>
    <w:rsid w:val="0012006E"/>
    <w:rsid w:val="0012007A"/>
    <w:rsid w:val="001203BE"/>
    <w:rsid w:val="001205AF"/>
    <w:rsid w:val="001209A9"/>
    <w:rsid w:val="00120AFF"/>
    <w:rsid w:val="00120CAD"/>
    <w:rsid w:val="0012106E"/>
    <w:rsid w:val="00121311"/>
    <w:rsid w:val="00121376"/>
    <w:rsid w:val="00121665"/>
    <w:rsid w:val="0012168F"/>
    <w:rsid w:val="001219D3"/>
    <w:rsid w:val="001219F6"/>
    <w:rsid w:val="00121AD9"/>
    <w:rsid w:val="00121BCB"/>
    <w:rsid w:val="00121CF9"/>
    <w:rsid w:val="0012209B"/>
    <w:rsid w:val="00122101"/>
    <w:rsid w:val="001221DC"/>
    <w:rsid w:val="001228F6"/>
    <w:rsid w:val="00122DA7"/>
    <w:rsid w:val="00122F20"/>
    <w:rsid w:val="001230A8"/>
    <w:rsid w:val="001231AB"/>
    <w:rsid w:val="0012353D"/>
    <w:rsid w:val="00123682"/>
    <w:rsid w:val="00123A22"/>
    <w:rsid w:val="00123B17"/>
    <w:rsid w:val="00123B54"/>
    <w:rsid w:val="00123B93"/>
    <w:rsid w:val="00123BCE"/>
    <w:rsid w:val="00123CFF"/>
    <w:rsid w:val="00123DFE"/>
    <w:rsid w:val="001242D5"/>
    <w:rsid w:val="0012448A"/>
    <w:rsid w:val="0012467C"/>
    <w:rsid w:val="00124758"/>
    <w:rsid w:val="001249F5"/>
    <w:rsid w:val="00124B3C"/>
    <w:rsid w:val="00124DAD"/>
    <w:rsid w:val="00124DBB"/>
    <w:rsid w:val="00124E97"/>
    <w:rsid w:val="00124F03"/>
    <w:rsid w:val="001250F2"/>
    <w:rsid w:val="00125231"/>
    <w:rsid w:val="00125320"/>
    <w:rsid w:val="001255BA"/>
    <w:rsid w:val="001255DB"/>
    <w:rsid w:val="0012574C"/>
    <w:rsid w:val="00125899"/>
    <w:rsid w:val="00125ACB"/>
    <w:rsid w:val="00125DD4"/>
    <w:rsid w:val="00125EC9"/>
    <w:rsid w:val="001260EE"/>
    <w:rsid w:val="00126343"/>
    <w:rsid w:val="0012675C"/>
    <w:rsid w:val="00126832"/>
    <w:rsid w:val="00126C42"/>
    <w:rsid w:val="00126D44"/>
    <w:rsid w:val="00126F36"/>
    <w:rsid w:val="00127001"/>
    <w:rsid w:val="001272B1"/>
    <w:rsid w:val="001272B5"/>
    <w:rsid w:val="00127441"/>
    <w:rsid w:val="001275E1"/>
    <w:rsid w:val="00127652"/>
    <w:rsid w:val="001276B4"/>
    <w:rsid w:val="001276BA"/>
    <w:rsid w:val="0012770F"/>
    <w:rsid w:val="0012782B"/>
    <w:rsid w:val="0012799D"/>
    <w:rsid w:val="00127D6D"/>
    <w:rsid w:val="00127F76"/>
    <w:rsid w:val="00130080"/>
    <w:rsid w:val="00130248"/>
    <w:rsid w:val="0013025B"/>
    <w:rsid w:val="0013040A"/>
    <w:rsid w:val="0013056C"/>
    <w:rsid w:val="001305D6"/>
    <w:rsid w:val="001306A2"/>
    <w:rsid w:val="00130790"/>
    <w:rsid w:val="00130D81"/>
    <w:rsid w:val="00130F00"/>
    <w:rsid w:val="00131373"/>
    <w:rsid w:val="001313E6"/>
    <w:rsid w:val="00131725"/>
    <w:rsid w:val="00131820"/>
    <w:rsid w:val="001319EF"/>
    <w:rsid w:val="00131A8D"/>
    <w:rsid w:val="00131B63"/>
    <w:rsid w:val="00131BE0"/>
    <w:rsid w:val="00131CAB"/>
    <w:rsid w:val="00131CC6"/>
    <w:rsid w:val="00131E59"/>
    <w:rsid w:val="00131F4D"/>
    <w:rsid w:val="0013201C"/>
    <w:rsid w:val="0013235E"/>
    <w:rsid w:val="001324F1"/>
    <w:rsid w:val="001325FA"/>
    <w:rsid w:val="00132807"/>
    <w:rsid w:val="0013299E"/>
    <w:rsid w:val="00132AA8"/>
    <w:rsid w:val="00132C25"/>
    <w:rsid w:val="00132F0A"/>
    <w:rsid w:val="00133077"/>
    <w:rsid w:val="001331C3"/>
    <w:rsid w:val="0013365E"/>
    <w:rsid w:val="001337DD"/>
    <w:rsid w:val="00133817"/>
    <w:rsid w:val="00133B8B"/>
    <w:rsid w:val="00133C3C"/>
    <w:rsid w:val="00133E83"/>
    <w:rsid w:val="00133F80"/>
    <w:rsid w:val="00134394"/>
    <w:rsid w:val="001343B9"/>
    <w:rsid w:val="00134C2A"/>
    <w:rsid w:val="00134E46"/>
    <w:rsid w:val="00134F57"/>
    <w:rsid w:val="00134F7D"/>
    <w:rsid w:val="001350B0"/>
    <w:rsid w:val="001359A6"/>
    <w:rsid w:val="00135A89"/>
    <w:rsid w:val="00135A98"/>
    <w:rsid w:val="00135ADD"/>
    <w:rsid w:val="00135D13"/>
    <w:rsid w:val="00135EB6"/>
    <w:rsid w:val="0013602A"/>
    <w:rsid w:val="0013612B"/>
    <w:rsid w:val="0013623C"/>
    <w:rsid w:val="001364B8"/>
    <w:rsid w:val="0013688F"/>
    <w:rsid w:val="00136CC8"/>
    <w:rsid w:val="00136EDF"/>
    <w:rsid w:val="001370B0"/>
    <w:rsid w:val="001370D7"/>
    <w:rsid w:val="00137271"/>
    <w:rsid w:val="00137291"/>
    <w:rsid w:val="001372D4"/>
    <w:rsid w:val="001373F6"/>
    <w:rsid w:val="00137427"/>
    <w:rsid w:val="0013747E"/>
    <w:rsid w:val="001375E0"/>
    <w:rsid w:val="00137634"/>
    <w:rsid w:val="00137862"/>
    <w:rsid w:val="00137D10"/>
    <w:rsid w:val="00137DFE"/>
    <w:rsid w:val="00140201"/>
    <w:rsid w:val="0014046A"/>
    <w:rsid w:val="001404C2"/>
    <w:rsid w:val="00140975"/>
    <w:rsid w:val="00140A3F"/>
    <w:rsid w:val="00140C63"/>
    <w:rsid w:val="00141222"/>
    <w:rsid w:val="001415C0"/>
    <w:rsid w:val="00141681"/>
    <w:rsid w:val="0014195A"/>
    <w:rsid w:val="00141A88"/>
    <w:rsid w:val="00141ABA"/>
    <w:rsid w:val="00141B17"/>
    <w:rsid w:val="00141D73"/>
    <w:rsid w:val="00141E5F"/>
    <w:rsid w:val="0014214E"/>
    <w:rsid w:val="0014222E"/>
    <w:rsid w:val="0014239E"/>
    <w:rsid w:val="001425E9"/>
    <w:rsid w:val="0014264B"/>
    <w:rsid w:val="00142797"/>
    <w:rsid w:val="0014288A"/>
    <w:rsid w:val="00142AD3"/>
    <w:rsid w:val="00142D31"/>
    <w:rsid w:val="00142D55"/>
    <w:rsid w:val="00143122"/>
    <w:rsid w:val="00143256"/>
    <w:rsid w:val="001432D9"/>
    <w:rsid w:val="001435BC"/>
    <w:rsid w:val="001435D7"/>
    <w:rsid w:val="001436AE"/>
    <w:rsid w:val="00143863"/>
    <w:rsid w:val="001438AB"/>
    <w:rsid w:val="0014391C"/>
    <w:rsid w:val="001439EB"/>
    <w:rsid w:val="00143A32"/>
    <w:rsid w:val="00143B9E"/>
    <w:rsid w:val="00143BD2"/>
    <w:rsid w:val="00143E36"/>
    <w:rsid w:val="00143E89"/>
    <w:rsid w:val="00143EFC"/>
    <w:rsid w:val="00143F92"/>
    <w:rsid w:val="0014405C"/>
    <w:rsid w:val="0014424B"/>
    <w:rsid w:val="00144262"/>
    <w:rsid w:val="001442A2"/>
    <w:rsid w:val="001445C7"/>
    <w:rsid w:val="001445F6"/>
    <w:rsid w:val="001447DD"/>
    <w:rsid w:val="001447E5"/>
    <w:rsid w:val="0014482C"/>
    <w:rsid w:val="001449A9"/>
    <w:rsid w:val="00144E6E"/>
    <w:rsid w:val="00144FB0"/>
    <w:rsid w:val="00145020"/>
    <w:rsid w:val="001450FD"/>
    <w:rsid w:val="00145112"/>
    <w:rsid w:val="00145671"/>
    <w:rsid w:val="00145923"/>
    <w:rsid w:val="0014593E"/>
    <w:rsid w:val="00145B08"/>
    <w:rsid w:val="00145D52"/>
    <w:rsid w:val="00146021"/>
    <w:rsid w:val="00146048"/>
    <w:rsid w:val="001460CA"/>
    <w:rsid w:val="00146104"/>
    <w:rsid w:val="0014615A"/>
    <w:rsid w:val="001461F6"/>
    <w:rsid w:val="001463E2"/>
    <w:rsid w:val="0014675E"/>
    <w:rsid w:val="001467D7"/>
    <w:rsid w:val="001468B5"/>
    <w:rsid w:val="001468F8"/>
    <w:rsid w:val="001469BE"/>
    <w:rsid w:val="00146AEB"/>
    <w:rsid w:val="00146B46"/>
    <w:rsid w:val="00146EE7"/>
    <w:rsid w:val="00146F31"/>
    <w:rsid w:val="00146FA2"/>
    <w:rsid w:val="001470B1"/>
    <w:rsid w:val="00147573"/>
    <w:rsid w:val="001475C7"/>
    <w:rsid w:val="00147653"/>
    <w:rsid w:val="0014766C"/>
    <w:rsid w:val="001477D0"/>
    <w:rsid w:val="00147B04"/>
    <w:rsid w:val="00147B68"/>
    <w:rsid w:val="00147C01"/>
    <w:rsid w:val="00147D9C"/>
    <w:rsid w:val="00147FB5"/>
    <w:rsid w:val="00150015"/>
    <w:rsid w:val="001500C8"/>
    <w:rsid w:val="00150109"/>
    <w:rsid w:val="0015024A"/>
    <w:rsid w:val="00150279"/>
    <w:rsid w:val="00150396"/>
    <w:rsid w:val="001503BB"/>
    <w:rsid w:val="001505F6"/>
    <w:rsid w:val="0015060C"/>
    <w:rsid w:val="001507EA"/>
    <w:rsid w:val="001508AA"/>
    <w:rsid w:val="001508B3"/>
    <w:rsid w:val="00151241"/>
    <w:rsid w:val="001512D3"/>
    <w:rsid w:val="00151373"/>
    <w:rsid w:val="001515B8"/>
    <w:rsid w:val="00151616"/>
    <w:rsid w:val="00151640"/>
    <w:rsid w:val="0015171B"/>
    <w:rsid w:val="00151843"/>
    <w:rsid w:val="00151A06"/>
    <w:rsid w:val="00151E9B"/>
    <w:rsid w:val="00151E9D"/>
    <w:rsid w:val="001520C6"/>
    <w:rsid w:val="001521AC"/>
    <w:rsid w:val="00152572"/>
    <w:rsid w:val="0015265A"/>
    <w:rsid w:val="001528FE"/>
    <w:rsid w:val="00152995"/>
    <w:rsid w:val="00152AB4"/>
    <w:rsid w:val="00152AEA"/>
    <w:rsid w:val="00152D9E"/>
    <w:rsid w:val="00152E88"/>
    <w:rsid w:val="001530DA"/>
    <w:rsid w:val="00153253"/>
    <w:rsid w:val="001537E5"/>
    <w:rsid w:val="0015389A"/>
    <w:rsid w:val="00153A46"/>
    <w:rsid w:val="00153BD7"/>
    <w:rsid w:val="00153CF5"/>
    <w:rsid w:val="001544BC"/>
    <w:rsid w:val="00154530"/>
    <w:rsid w:val="001547CA"/>
    <w:rsid w:val="001549BC"/>
    <w:rsid w:val="00154A19"/>
    <w:rsid w:val="00154A98"/>
    <w:rsid w:val="00155184"/>
    <w:rsid w:val="00155218"/>
    <w:rsid w:val="001555CD"/>
    <w:rsid w:val="001557C2"/>
    <w:rsid w:val="001559E1"/>
    <w:rsid w:val="00155A3E"/>
    <w:rsid w:val="00155C35"/>
    <w:rsid w:val="00155D1E"/>
    <w:rsid w:val="00155D4C"/>
    <w:rsid w:val="00155E0A"/>
    <w:rsid w:val="00156062"/>
    <w:rsid w:val="001560AD"/>
    <w:rsid w:val="001560E8"/>
    <w:rsid w:val="001562B4"/>
    <w:rsid w:val="001565A8"/>
    <w:rsid w:val="001565BA"/>
    <w:rsid w:val="0015693C"/>
    <w:rsid w:val="00156CB5"/>
    <w:rsid w:val="00156D4B"/>
    <w:rsid w:val="0015724D"/>
    <w:rsid w:val="0015731A"/>
    <w:rsid w:val="0015734D"/>
    <w:rsid w:val="001576F9"/>
    <w:rsid w:val="0015773C"/>
    <w:rsid w:val="001577D8"/>
    <w:rsid w:val="00157AD1"/>
    <w:rsid w:val="00157ADE"/>
    <w:rsid w:val="00157FB5"/>
    <w:rsid w:val="0016005B"/>
    <w:rsid w:val="0016005C"/>
    <w:rsid w:val="00160090"/>
    <w:rsid w:val="001602C2"/>
    <w:rsid w:val="0016060D"/>
    <w:rsid w:val="00160963"/>
    <w:rsid w:val="001609CA"/>
    <w:rsid w:val="001609DC"/>
    <w:rsid w:val="00160A56"/>
    <w:rsid w:val="00160A67"/>
    <w:rsid w:val="00160C78"/>
    <w:rsid w:val="00160C96"/>
    <w:rsid w:val="00160CEC"/>
    <w:rsid w:val="00160F1A"/>
    <w:rsid w:val="0016124E"/>
    <w:rsid w:val="00161279"/>
    <w:rsid w:val="001612B6"/>
    <w:rsid w:val="001612EE"/>
    <w:rsid w:val="00161423"/>
    <w:rsid w:val="0016156C"/>
    <w:rsid w:val="00161785"/>
    <w:rsid w:val="00161947"/>
    <w:rsid w:val="00161E43"/>
    <w:rsid w:val="001625B9"/>
    <w:rsid w:val="0016263A"/>
    <w:rsid w:val="001628D0"/>
    <w:rsid w:val="00162933"/>
    <w:rsid w:val="00162CAB"/>
    <w:rsid w:val="00162DCF"/>
    <w:rsid w:val="00162EF1"/>
    <w:rsid w:val="001630D4"/>
    <w:rsid w:val="001630F0"/>
    <w:rsid w:val="0016312D"/>
    <w:rsid w:val="0016317A"/>
    <w:rsid w:val="001634B0"/>
    <w:rsid w:val="0016358B"/>
    <w:rsid w:val="001636DE"/>
    <w:rsid w:val="00163896"/>
    <w:rsid w:val="001639DB"/>
    <w:rsid w:val="00163BC5"/>
    <w:rsid w:val="00163BE0"/>
    <w:rsid w:val="00163DCE"/>
    <w:rsid w:val="00163DFB"/>
    <w:rsid w:val="0016407A"/>
    <w:rsid w:val="001642B3"/>
    <w:rsid w:val="001642B8"/>
    <w:rsid w:val="001642D5"/>
    <w:rsid w:val="00164697"/>
    <w:rsid w:val="00164998"/>
    <w:rsid w:val="00164ADA"/>
    <w:rsid w:val="00164BC8"/>
    <w:rsid w:val="00164C18"/>
    <w:rsid w:val="00164D17"/>
    <w:rsid w:val="00164D4D"/>
    <w:rsid w:val="00164D61"/>
    <w:rsid w:val="00164D89"/>
    <w:rsid w:val="00164E00"/>
    <w:rsid w:val="001650D5"/>
    <w:rsid w:val="001653C3"/>
    <w:rsid w:val="001653D7"/>
    <w:rsid w:val="0016553E"/>
    <w:rsid w:val="001655AA"/>
    <w:rsid w:val="00165614"/>
    <w:rsid w:val="00165775"/>
    <w:rsid w:val="00165CA7"/>
    <w:rsid w:val="00165D48"/>
    <w:rsid w:val="0016607D"/>
    <w:rsid w:val="001664B5"/>
    <w:rsid w:val="001665D0"/>
    <w:rsid w:val="00166611"/>
    <w:rsid w:val="0016685E"/>
    <w:rsid w:val="00166886"/>
    <w:rsid w:val="001668F1"/>
    <w:rsid w:val="00166AA1"/>
    <w:rsid w:val="00166B56"/>
    <w:rsid w:val="00166F7B"/>
    <w:rsid w:val="00166F7C"/>
    <w:rsid w:val="001670F6"/>
    <w:rsid w:val="00167162"/>
    <w:rsid w:val="00167178"/>
    <w:rsid w:val="00167347"/>
    <w:rsid w:val="00167556"/>
    <w:rsid w:val="001675A7"/>
    <w:rsid w:val="001676E1"/>
    <w:rsid w:val="00167C2B"/>
    <w:rsid w:val="00167CB6"/>
    <w:rsid w:val="00167D58"/>
    <w:rsid w:val="00167DC9"/>
    <w:rsid w:val="00167E37"/>
    <w:rsid w:val="001703A9"/>
    <w:rsid w:val="0017043E"/>
    <w:rsid w:val="001704B1"/>
    <w:rsid w:val="00170977"/>
    <w:rsid w:val="00170D04"/>
    <w:rsid w:val="00170E99"/>
    <w:rsid w:val="00170EE4"/>
    <w:rsid w:val="00170EF1"/>
    <w:rsid w:val="00170FD6"/>
    <w:rsid w:val="001711F3"/>
    <w:rsid w:val="001715EE"/>
    <w:rsid w:val="001716E2"/>
    <w:rsid w:val="001717BC"/>
    <w:rsid w:val="001717D1"/>
    <w:rsid w:val="00171934"/>
    <w:rsid w:val="00171A25"/>
    <w:rsid w:val="00171A55"/>
    <w:rsid w:val="00171B83"/>
    <w:rsid w:val="0017216E"/>
    <w:rsid w:val="001721BB"/>
    <w:rsid w:val="00172231"/>
    <w:rsid w:val="0017230E"/>
    <w:rsid w:val="00172535"/>
    <w:rsid w:val="001725BB"/>
    <w:rsid w:val="00172686"/>
    <w:rsid w:val="001727E2"/>
    <w:rsid w:val="00172814"/>
    <w:rsid w:val="001729F0"/>
    <w:rsid w:val="00172C87"/>
    <w:rsid w:val="00172D3E"/>
    <w:rsid w:val="00172DCE"/>
    <w:rsid w:val="00172EFF"/>
    <w:rsid w:val="00173333"/>
    <w:rsid w:val="0017334A"/>
    <w:rsid w:val="001735A1"/>
    <w:rsid w:val="00173750"/>
    <w:rsid w:val="001739FC"/>
    <w:rsid w:val="00173BF1"/>
    <w:rsid w:val="00173C2D"/>
    <w:rsid w:val="00173C5D"/>
    <w:rsid w:val="00173C9F"/>
    <w:rsid w:val="00173EBC"/>
    <w:rsid w:val="001742E5"/>
    <w:rsid w:val="0017438B"/>
    <w:rsid w:val="0017440B"/>
    <w:rsid w:val="0017444D"/>
    <w:rsid w:val="001744AD"/>
    <w:rsid w:val="001745EB"/>
    <w:rsid w:val="0017473B"/>
    <w:rsid w:val="0017479C"/>
    <w:rsid w:val="0017486D"/>
    <w:rsid w:val="001748B6"/>
    <w:rsid w:val="0017494A"/>
    <w:rsid w:val="00174C2A"/>
    <w:rsid w:val="00174D67"/>
    <w:rsid w:val="00174F48"/>
    <w:rsid w:val="00174F53"/>
    <w:rsid w:val="0017522C"/>
    <w:rsid w:val="001753EB"/>
    <w:rsid w:val="001754B6"/>
    <w:rsid w:val="00175570"/>
    <w:rsid w:val="00175660"/>
    <w:rsid w:val="001757C8"/>
    <w:rsid w:val="001758DC"/>
    <w:rsid w:val="00175F94"/>
    <w:rsid w:val="0017617A"/>
    <w:rsid w:val="00176409"/>
    <w:rsid w:val="00176497"/>
    <w:rsid w:val="00176539"/>
    <w:rsid w:val="0017670D"/>
    <w:rsid w:val="00176BC2"/>
    <w:rsid w:val="00176BE9"/>
    <w:rsid w:val="00176C5D"/>
    <w:rsid w:val="00176EC2"/>
    <w:rsid w:val="0017723A"/>
    <w:rsid w:val="00177293"/>
    <w:rsid w:val="00177BC7"/>
    <w:rsid w:val="00177DE6"/>
    <w:rsid w:val="00177E49"/>
    <w:rsid w:val="00177FBA"/>
    <w:rsid w:val="0018024A"/>
    <w:rsid w:val="0018039A"/>
    <w:rsid w:val="001803A1"/>
    <w:rsid w:val="00180421"/>
    <w:rsid w:val="001805A4"/>
    <w:rsid w:val="00180C1E"/>
    <w:rsid w:val="00180CFE"/>
    <w:rsid w:val="00180E0C"/>
    <w:rsid w:val="0018133E"/>
    <w:rsid w:val="0018134F"/>
    <w:rsid w:val="00181372"/>
    <w:rsid w:val="001813E9"/>
    <w:rsid w:val="001814A3"/>
    <w:rsid w:val="00181663"/>
    <w:rsid w:val="001816E6"/>
    <w:rsid w:val="001816F4"/>
    <w:rsid w:val="001818FA"/>
    <w:rsid w:val="00181A3B"/>
    <w:rsid w:val="00181A43"/>
    <w:rsid w:val="00181D7C"/>
    <w:rsid w:val="00181FA7"/>
    <w:rsid w:val="00182226"/>
    <w:rsid w:val="00182251"/>
    <w:rsid w:val="001822EE"/>
    <w:rsid w:val="00182369"/>
    <w:rsid w:val="001824CD"/>
    <w:rsid w:val="0018299B"/>
    <w:rsid w:val="00182B21"/>
    <w:rsid w:val="00182C13"/>
    <w:rsid w:val="00182EC7"/>
    <w:rsid w:val="00183156"/>
    <w:rsid w:val="0018329A"/>
    <w:rsid w:val="001832B8"/>
    <w:rsid w:val="00183508"/>
    <w:rsid w:val="001835FC"/>
    <w:rsid w:val="00183765"/>
    <w:rsid w:val="00183788"/>
    <w:rsid w:val="001837F3"/>
    <w:rsid w:val="0018380A"/>
    <w:rsid w:val="001839DA"/>
    <w:rsid w:val="00183D27"/>
    <w:rsid w:val="00183FE3"/>
    <w:rsid w:val="001840BA"/>
    <w:rsid w:val="0018411D"/>
    <w:rsid w:val="001845C4"/>
    <w:rsid w:val="00184761"/>
    <w:rsid w:val="00184791"/>
    <w:rsid w:val="00184878"/>
    <w:rsid w:val="00184975"/>
    <w:rsid w:val="001849E4"/>
    <w:rsid w:val="00184C15"/>
    <w:rsid w:val="00184D59"/>
    <w:rsid w:val="00184FAF"/>
    <w:rsid w:val="00185129"/>
    <w:rsid w:val="0018533F"/>
    <w:rsid w:val="001854CE"/>
    <w:rsid w:val="001857F8"/>
    <w:rsid w:val="00185B59"/>
    <w:rsid w:val="00185CD1"/>
    <w:rsid w:val="00185FD9"/>
    <w:rsid w:val="001860E3"/>
    <w:rsid w:val="001862BF"/>
    <w:rsid w:val="00186405"/>
    <w:rsid w:val="001864DE"/>
    <w:rsid w:val="00186C31"/>
    <w:rsid w:val="00186D6B"/>
    <w:rsid w:val="00186E08"/>
    <w:rsid w:val="00186EAD"/>
    <w:rsid w:val="00186FD5"/>
    <w:rsid w:val="00187804"/>
    <w:rsid w:val="00190617"/>
    <w:rsid w:val="0019061F"/>
    <w:rsid w:val="0019079B"/>
    <w:rsid w:val="001907EC"/>
    <w:rsid w:val="0019094B"/>
    <w:rsid w:val="0019098D"/>
    <w:rsid w:val="001909D8"/>
    <w:rsid w:val="00190B2E"/>
    <w:rsid w:val="00190BA0"/>
    <w:rsid w:val="00190FBC"/>
    <w:rsid w:val="0019127C"/>
    <w:rsid w:val="001912E2"/>
    <w:rsid w:val="00191482"/>
    <w:rsid w:val="001917E0"/>
    <w:rsid w:val="001917F9"/>
    <w:rsid w:val="00191861"/>
    <w:rsid w:val="00191BFD"/>
    <w:rsid w:val="00191C71"/>
    <w:rsid w:val="00191C7D"/>
    <w:rsid w:val="00191F96"/>
    <w:rsid w:val="001920AB"/>
    <w:rsid w:val="00192226"/>
    <w:rsid w:val="0019226B"/>
    <w:rsid w:val="0019253B"/>
    <w:rsid w:val="001925A3"/>
    <w:rsid w:val="0019263D"/>
    <w:rsid w:val="00192A38"/>
    <w:rsid w:val="00192DBD"/>
    <w:rsid w:val="00192DF9"/>
    <w:rsid w:val="00193246"/>
    <w:rsid w:val="001932A4"/>
    <w:rsid w:val="001934BE"/>
    <w:rsid w:val="00193654"/>
    <w:rsid w:val="00193BD2"/>
    <w:rsid w:val="00193C10"/>
    <w:rsid w:val="00193CC2"/>
    <w:rsid w:val="00194155"/>
    <w:rsid w:val="00194276"/>
    <w:rsid w:val="001943F1"/>
    <w:rsid w:val="00194590"/>
    <w:rsid w:val="001945E3"/>
    <w:rsid w:val="0019464F"/>
    <w:rsid w:val="0019498A"/>
    <w:rsid w:val="0019499F"/>
    <w:rsid w:val="00194D02"/>
    <w:rsid w:val="00194D27"/>
    <w:rsid w:val="00194D42"/>
    <w:rsid w:val="0019514A"/>
    <w:rsid w:val="001956D1"/>
    <w:rsid w:val="001957E9"/>
    <w:rsid w:val="00195B23"/>
    <w:rsid w:val="00196023"/>
    <w:rsid w:val="00196155"/>
    <w:rsid w:val="001962CC"/>
    <w:rsid w:val="00196447"/>
    <w:rsid w:val="0019649A"/>
    <w:rsid w:val="001965C5"/>
    <w:rsid w:val="00196641"/>
    <w:rsid w:val="0019667D"/>
    <w:rsid w:val="00196817"/>
    <w:rsid w:val="00196851"/>
    <w:rsid w:val="00196C71"/>
    <w:rsid w:val="00196E8E"/>
    <w:rsid w:val="00196EE8"/>
    <w:rsid w:val="0019737D"/>
    <w:rsid w:val="001973F2"/>
    <w:rsid w:val="0019747C"/>
    <w:rsid w:val="001975E4"/>
    <w:rsid w:val="00197631"/>
    <w:rsid w:val="00197BE2"/>
    <w:rsid w:val="00197C53"/>
    <w:rsid w:val="00197E6A"/>
    <w:rsid w:val="00197F93"/>
    <w:rsid w:val="001A02C6"/>
    <w:rsid w:val="001A0394"/>
    <w:rsid w:val="001A06E8"/>
    <w:rsid w:val="001A0724"/>
    <w:rsid w:val="001A074A"/>
    <w:rsid w:val="001A0811"/>
    <w:rsid w:val="001A088C"/>
    <w:rsid w:val="001A0BFD"/>
    <w:rsid w:val="001A0C2B"/>
    <w:rsid w:val="001A0CEE"/>
    <w:rsid w:val="001A0D0A"/>
    <w:rsid w:val="001A0E64"/>
    <w:rsid w:val="001A0F4A"/>
    <w:rsid w:val="001A108A"/>
    <w:rsid w:val="001A1168"/>
    <w:rsid w:val="001A1295"/>
    <w:rsid w:val="001A1306"/>
    <w:rsid w:val="001A172C"/>
    <w:rsid w:val="001A17F2"/>
    <w:rsid w:val="001A1883"/>
    <w:rsid w:val="001A1AD8"/>
    <w:rsid w:val="001A1D48"/>
    <w:rsid w:val="001A1DCE"/>
    <w:rsid w:val="001A1E62"/>
    <w:rsid w:val="001A1EE5"/>
    <w:rsid w:val="001A1F02"/>
    <w:rsid w:val="001A1F68"/>
    <w:rsid w:val="001A2014"/>
    <w:rsid w:val="001A2061"/>
    <w:rsid w:val="001A2239"/>
    <w:rsid w:val="001A2323"/>
    <w:rsid w:val="001A2342"/>
    <w:rsid w:val="001A247E"/>
    <w:rsid w:val="001A275C"/>
    <w:rsid w:val="001A275F"/>
    <w:rsid w:val="001A2C1D"/>
    <w:rsid w:val="001A2D60"/>
    <w:rsid w:val="001A2E25"/>
    <w:rsid w:val="001A2EB0"/>
    <w:rsid w:val="001A2EDE"/>
    <w:rsid w:val="001A2F7D"/>
    <w:rsid w:val="001A2FC4"/>
    <w:rsid w:val="001A30FD"/>
    <w:rsid w:val="001A3500"/>
    <w:rsid w:val="001A373E"/>
    <w:rsid w:val="001A387B"/>
    <w:rsid w:val="001A38A9"/>
    <w:rsid w:val="001A3D1D"/>
    <w:rsid w:val="001A3E89"/>
    <w:rsid w:val="001A40BB"/>
    <w:rsid w:val="001A43AC"/>
    <w:rsid w:val="001A4411"/>
    <w:rsid w:val="001A4727"/>
    <w:rsid w:val="001A4774"/>
    <w:rsid w:val="001A489B"/>
    <w:rsid w:val="001A48EE"/>
    <w:rsid w:val="001A4B15"/>
    <w:rsid w:val="001A4C93"/>
    <w:rsid w:val="001A4E69"/>
    <w:rsid w:val="001A504D"/>
    <w:rsid w:val="001A5169"/>
    <w:rsid w:val="001A547E"/>
    <w:rsid w:val="001A5538"/>
    <w:rsid w:val="001A567C"/>
    <w:rsid w:val="001A5965"/>
    <w:rsid w:val="001A5BA6"/>
    <w:rsid w:val="001A5BE4"/>
    <w:rsid w:val="001A5DF3"/>
    <w:rsid w:val="001A608C"/>
    <w:rsid w:val="001A6100"/>
    <w:rsid w:val="001A6222"/>
    <w:rsid w:val="001A6356"/>
    <w:rsid w:val="001A63DA"/>
    <w:rsid w:val="001A6506"/>
    <w:rsid w:val="001A6662"/>
    <w:rsid w:val="001A6846"/>
    <w:rsid w:val="001A69C1"/>
    <w:rsid w:val="001A6A77"/>
    <w:rsid w:val="001A6B94"/>
    <w:rsid w:val="001A6D1B"/>
    <w:rsid w:val="001A6D44"/>
    <w:rsid w:val="001A6DBA"/>
    <w:rsid w:val="001A6E96"/>
    <w:rsid w:val="001A6F97"/>
    <w:rsid w:val="001A6FB2"/>
    <w:rsid w:val="001A7091"/>
    <w:rsid w:val="001A7186"/>
    <w:rsid w:val="001A7297"/>
    <w:rsid w:val="001A7399"/>
    <w:rsid w:val="001A745E"/>
    <w:rsid w:val="001A74D7"/>
    <w:rsid w:val="001A74FE"/>
    <w:rsid w:val="001A768A"/>
    <w:rsid w:val="001A79C2"/>
    <w:rsid w:val="001A7CA5"/>
    <w:rsid w:val="001A7D50"/>
    <w:rsid w:val="001A7EA1"/>
    <w:rsid w:val="001A7F09"/>
    <w:rsid w:val="001B0225"/>
    <w:rsid w:val="001B02B5"/>
    <w:rsid w:val="001B02D8"/>
    <w:rsid w:val="001B03C7"/>
    <w:rsid w:val="001B04A7"/>
    <w:rsid w:val="001B06A5"/>
    <w:rsid w:val="001B0809"/>
    <w:rsid w:val="001B09CD"/>
    <w:rsid w:val="001B0D3D"/>
    <w:rsid w:val="001B109E"/>
    <w:rsid w:val="001B125A"/>
    <w:rsid w:val="001B1632"/>
    <w:rsid w:val="001B16DB"/>
    <w:rsid w:val="001B16E9"/>
    <w:rsid w:val="001B18DD"/>
    <w:rsid w:val="001B1A8C"/>
    <w:rsid w:val="001B1B91"/>
    <w:rsid w:val="001B1BD4"/>
    <w:rsid w:val="001B1D15"/>
    <w:rsid w:val="001B1DF4"/>
    <w:rsid w:val="001B1E57"/>
    <w:rsid w:val="001B1EE1"/>
    <w:rsid w:val="001B20A6"/>
    <w:rsid w:val="001B21CC"/>
    <w:rsid w:val="001B282E"/>
    <w:rsid w:val="001B31A5"/>
    <w:rsid w:val="001B3210"/>
    <w:rsid w:val="001B32DF"/>
    <w:rsid w:val="001B34B0"/>
    <w:rsid w:val="001B3559"/>
    <w:rsid w:val="001B3599"/>
    <w:rsid w:val="001B35C1"/>
    <w:rsid w:val="001B36EA"/>
    <w:rsid w:val="001B3748"/>
    <w:rsid w:val="001B37E3"/>
    <w:rsid w:val="001B3A06"/>
    <w:rsid w:val="001B3B1E"/>
    <w:rsid w:val="001B4141"/>
    <w:rsid w:val="001B4177"/>
    <w:rsid w:val="001B43AE"/>
    <w:rsid w:val="001B44C5"/>
    <w:rsid w:val="001B44FD"/>
    <w:rsid w:val="001B4527"/>
    <w:rsid w:val="001B45FD"/>
    <w:rsid w:val="001B4A08"/>
    <w:rsid w:val="001B4E50"/>
    <w:rsid w:val="001B4EA6"/>
    <w:rsid w:val="001B4FE5"/>
    <w:rsid w:val="001B4FE7"/>
    <w:rsid w:val="001B50E3"/>
    <w:rsid w:val="001B523B"/>
    <w:rsid w:val="001B5245"/>
    <w:rsid w:val="001B59BD"/>
    <w:rsid w:val="001B5A19"/>
    <w:rsid w:val="001B5BE6"/>
    <w:rsid w:val="001B5BF4"/>
    <w:rsid w:val="001B5D45"/>
    <w:rsid w:val="001B5DA8"/>
    <w:rsid w:val="001B5ED3"/>
    <w:rsid w:val="001B6013"/>
    <w:rsid w:val="001B6130"/>
    <w:rsid w:val="001B6391"/>
    <w:rsid w:val="001B65CC"/>
    <w:rsid w:val="001B6A44"/>
    <w:rsid w:val="001B6A5D"/>
    <w:rsid w:val="001B6B5F"/>
    <w:rsid w:val="001B6C2E"/>
    <w:rsid w:val="001B6DCF"/>
    <w:rsid w:val="001B6EA9"/>
    <w:rsid w:val="001B6EAE"/>
    <w:rsid w:val="001B6EC3"/>
    <w:rsid w:val="001B70AB"/>
    <w:rsid w:val="001B7100"/>
    <w:rsid w:val="001B719B"/>
    <w:rsid w:val="001B71C5"/>
    <w:rsid w:val="001B73CB"/>
    <w:rsid w:val="001B78D9"/>
    <w:rsid w:val="001B7937"/>
    <w:rsid w:val="001B7C68"/>
    <w:rsid w:val="001B7DAC"/>
    <w:rsid w:val="001C00B0"/>
    <w:rsid w:val="001C00E1"/>
    <w:rsid w:val="001C0574"/>
    <w:rsid w:val="001C073C"/>
    <w:rsid w:val="001C0889"/>
    <w:rsid w:val="001C0A02"/>
    <w:rsid w:val="001C0BCD"/>
    <w:rsid w:val="001C0FA2"/>
    <w:rsid w:val="001C12A8"/>
    <w:rsid w:val="001C133D"/>
    <w:rsid w:val="001C13CF"/>
    <w:rsid w:val="001C1417"/>
    <w:rsid w:val="001C16FF"/>
    <w:rsid w:val="001C17C6"/>
    <w:rsid w:val="001C18AE"/>
    <w:rsid w:val="001C1AEB"/>
    <w:rsid w:val="001C1C1E"/>
    <w:rsid w:val="001C1D0F"/>
    <w:rsid w:val="001C1E4B"/>
    <w:rsid w:val="001C1E96"/>
    <w:rsid w:val="001C1F88"/>
    <w:rsid w:val="001C1FE6"/>
    <w:rsid w:val="001C2116"/>
    <w:rsid w:val="001C2655"/>
    <w:rsid w:val="001C28CC"/>
    <w:rsid w:val="001C2A04"/>
    <w:rsid w:val="001C2AE7"/>
    <w:rsid w:val="001C2B7F"/>
    <w:rsid w:val="001C2C1C"/>
    <w:rsid w:val="001C2E90"/>
    <w:rsid w:val="001C2ECC"/>
    <w:rsid w:val="001C3123"/>
    <w:rsid w:val="001C365C"/>
    <w:rsid w:val="001C3855"/>
    <w:rsid w:val="001C3879"/>
    <w:rsid w:val="001C3932"/>
    <w:rsid w:val="001C39B0"/>
    <w:rsid w:val="001C39C1"/>
    <w:rsid w:val="001C3B71"/>
    <w:rsid w:val="001C3B9E"/>
    <w:rsid w:val="001C3C13"/>
    <w:rsid w:val="001C3C24"/>
    <w:rsid w:val="001C3C90"/>
    <w:rsid w:val="001C3F4A"/>
    <w:rsid w:val="001C400D"/>
    <w:rsid w:val="001C434F"/>
    <w:rsid w:val="001C4C5B"/>
    <w:rsid w:val="001C4CEE"/>
    <w:rsid w:val="001C4E72"/>
    <w:rsid w:val="001C50EA"/>
    <w:rsid w:val="001C5169"/>
    <w:rsid w:val="001C53BF"/>
    <w:rsid w:val="001C55C0"/>
    <w:rsid w:val="001C5602"/>
    <w:rsid w:val="001C5885"/>
    <w:rsid w:val="001C596A"/>
    <w:rsid w:val="001C5A10"/>
    <w:rsid w:val="001C5AA1"/>
    <w:rsid w:val="001C5DF8"/>
    <w:rsid w:val="001C5EF7"/>
    <w:rsid w:val="001C5FDC"/>
    <w:rsid w:val="001C61A0"/>
    <w:rsid w:val="001C64B4"/>
    <w:rsid w:val="001C6653"/>
    <w:rsid w:val="001C66FA"/>
    <w:rsid w:val="001C671B"/>
    <w:rsid w:val="001C69C8"/>
    <w:rsid w:val="001C69F2"/>
    <w:rsid w:val="001C6A1D"/>
    <w:rsid w:val="001C6B08"/>
    <w:rsid w:val="001C6BC2"/>
    <w:rsid w:val="001C6C01"/>
    <w:rsid w:val="001C7040"/>
    <w:rsid w:val="001C709F"/>
    <w:rsid w:val="001C70E2"/>
    <w:rsid w:val="001C712F"/>
    <w:rsid w:val="001C772C"/>
    <w:rsid w:val="001C774D"/>
    <w:rsid w:val="001C7761"/>
    <w:rsid w:val="001C7786"/>
    <w:rsid w:val="001C787F"/>
    <w:rsid w:val="001C7AC6"/>
    <w:rsid w:val="001C7E81"/>
    <w:rsid w:val="001C7F47"/>
    <w:rsid w:val="001D012C"/>
    <w:rsid w:val="001D01CD"/>
    <w:rsid w:val="001D0203"/>
    <w:rsid w:val="001D021B"/>
    <w:rsid w:val="001D0361"/>
    <w:rsid w:val="001D05C0"/>
    <w:rsid w:val="001D0636"/>
    <w:rsid w:val="001D063F"/>
    <w:rsid w:val="001D07F8"/>
    <w:rsid w:val="001D08F7"/>
    <w:rsid w:val="001D0906"/>
    <w:rsid w:val="001D0D0B"/>
    <w:rsid w:val="001D0DE4"/>
    <w:rsid w:val="001D0E35"/>
    <w:rsid w:val="001D0FF3"/>
    <w:rsid w:val="001D107F"/>
    <w:rsid w:val="001D1939"/>
    <w:rsid w:val="001D1B20"/>
    <w:rsid w:val="001D1C96"/>
    <w:rsid w:val="001D1D10"/>
    <w:rsid w:val="001D1DC7"/>
    <w:rsid w:val="001D217D"/>
    <w:rsid w:val="001D2645"/>
    <w:rsid w:val="001D26B8"/>
    <w:rsid w:val="001D295E"/>
    <w:rsid w:val="001D2AF0"/>
    <w:rsid w:val="001D2EB4"/>
    <w:rsid w:val="001D2F16"/>
    <w:rsid w:val="001D31A4"/>
    <w:rsid w:val="001D3341"/>
    <w:rsid w:val="001D33BF"/>
    <w:rsid w:val="001D3529"/>
    <w:rsid w:val="001D35DE"/>
    <w:rsid w:val="001D3735"/>
    <w:rsid w:val="001D3825"/>
    <w:rsid w:val="001D38BB"/>
    <w:rsid w:val="001D38F5"/>
    <w:rsid w:val="001D3A3A"/>
    <w:rsid w:val="001D3A49"/>
    <w:rsid w:val="001D3B39"/>
    <w:rsid w:val="001D3B53"/>
    <w:rsid w:val="001D3BB2"/>
    <w:rsid w:val="001D3DFF"/>
    <w:rsid w:val="001D412B"/>
    <w:rsid w:val="001D42F6"/>
    <w:rsid w:val="001D439D"/>
    <w:rsid w:val="001D43E0"/>
    <w:rsid w:val="001D45D6"/>
    <w:rsid w:val="001D4D79"/>
    <w:rsid w:val="001D4DE5"/>
    <w:rsid w:val="001D52E9"/>
    <w:rsid w:val="001D5430"/>
    <w:rsid w:val="001D543D"/>
    <w:rsid w:val="001D5584"/>
    <w:rsid w:val="001D5674"/>
    <w:rsid w:val="001D586E"/>
    <w:rsid w:val="001D58A3"/>
    <w:rsid w:val="001D5D77"/>
    <w:rsid w:val="001D5DA1"/>
    <w:rsid w:val="001D60C3"/>
    <w:rsid w:val="001D61D7"/>
    <w:rsid w:val="001D6344"/>
    <w:rsid w:val="001D6349"/>
    <w:rsid w:val="001D64AB"/>
    <w:rsid w:val="001D6651"/>
    <w:rsid w:val="001D669A"/>
    <w:rsid w:val="001D6B1A"/>
    <w:rsid w:val="001D6C11"/>
    <w:rsid w:val="001D6D61"/>
    <w:rsid w:val="001D6EB6"/>
    <w:rsid w:val="001D75A1"/>
    <w:rsid w:val="001D7607"/>
    <w:rsid w:val="001D76E5"/>
    <w:rsid w:val="001D775A"/>
    <w:rsid w:val="001D7A53"/>
    <w:rsid w:val="001D7F45"/>
    <w:rsid w:val="001D7F55"/>
    <w:rsid w:val="001E01CE"/>
    <w:rsid w:val="001E04A6"/>
    <w:rsid w:val="001E0641"/>
    <w:rsid w:val="001E093E"/>
    <w:rsid w:val="001E09BC"/>
    <w:rsid w:val="001E0B35"/>
    <w:rsid w:val="001E0B6A"/>
    <w:rsid w:val="001E0BF8"/>
    <w:rsid w:val="001E0D72"/>
    <w:rsid w:val="001E10F1"/>
    <w:rsid w:val="001E10F2"/>
    <w:rsid w:val="001E1276"/>
    <w:rsid w:val="001E12B3"/>
    <w:rsid w:val="001E1493"/>
    <w:rsid w:val="001E17A8"/>
    <w:rsid w:val="001E1905"/>
    <w:rsid w:val="001E1D06"/>
    <w:rsid w:val="001E1D67"/>
    <w:rsid w:val="001E1D86"/>
    <w:rsid w:val="001E1FB9"/>
    <w:rsid w:val="001E2070"/>
    <w:rsid w:val="001E21D5"/>
    <w:rsid w:val="001E24DA"/>
    <w:rsid w:val="001E24E6"/>
    <w:rsid w:val="001E261C"/>
    <w:rsid w:val="001E2712"/>
    <w:rsid w:val="001E272C"/>
    <w:rsid w:val="001E272E"/>
    <w:rsid w:val="001E2826"/>
    <w:rsid w:val="001E2835"/>
    <w:rsid w:val="001E285C"/>
    <w:rsid w:val="001E2B8B"/>
    <w:rsid w:val="001E2C00"/>
    <w:rsid w:val="001E2C28"/>
    <w:rsid w:val="001E2E49"/>
    <w:rsid w:val="001E2FB0"/>
    <w:rsid w:val="001E307B"/>
    <w:rsid w:val="001E3496"/>
    <w:rsid w:val="001E34E9"/>
    <w:rsid w:val="001E385C"/>
    <w:rsid w:val="001E38BC"/>
    <w:rsid w:val="001E3A14"/>
    <w:rsid w:val="001E3DE6"/>
    <w:rsid w:val="001E4431"/>
    <w:rsid w:val="001E4565"/>
    <w:rsid w:val="001E4638"/>
    <w:rsid w:val="001E471B"/>
    <w:rsid w:val="001E4840"/>
    <w:rsid w:val="001E4B18"/>
    <w:rsid w:val="001E4B77"/>
    <w:rsid w:val="001E4C3B"/>
    <w:rsid w:val="001E4CE5"/>
    <w:rsid w:val="001E5311"/>
    <w:rsid w:val="001E53C7"/>
    <w:rsid w:val="001E5654"/>
    <w:rsid w:val="001E57A8"/>
    <w:rsid w:val="001E5BFA"/>
    <w:rsid w:val="001E5C31"/>
    <w:rsid w:val="001E5DFC"/>
    <w:rsid w:val="001E5FE2"/>
    <w:rsid w:val="001E61FC"/>
    <w:rsid w:val="001E62A0"/>
    <w:rsid w:val="001E62F2"/>
    <w:rsid w:val="001E6448"/>
    <w:rsid w:val="001E6978"/>
    <w:rsid w:val="001E6B3F"/>
    <w:rsid w:val="001E6CFF"/>
    <w:rsid w:val="001E6F8E"/>
    <w:rsid w:val="001E7248"/>
    <w:rsid w:val="001E72CD"/>
    <w:rsid w:val="001E7B64"/>
    <w:rsid w:val="001E7D3E"/>
    <w:rsid w:val="001E7EA3"/>
    <w:rsid w:val="001F0229"/>
    <w:rsid w:val="001F025F"/>
    <w:rsid w:val="001F0282"/>
    <w:rsid w:val="001F0599"/>
    <w:rsid w:val="001F05D8"/>
    <w:rsid w:val="001F074A"/>
    <w:rsid w:val="001F0B66"/>
    <w:rsid w:val="001F0CF9"/>
    <w:rsid w:val="001F0D62"/>
    <w:rsid w:val="001F0F3F"/>
    <w:rsid w:val="001F1751"/>
    <w:rsid w:val="001F1856"/>
    <w:rsid w:val="001F18BC"/>
    <w:rsid w:val="001F1968"/>
    <w:rsid w:val="001F19E6"/>
    <w:rsid w:val="001F1CC2"/>
    <w:rsid w:val="001F1D90"/>
    <w:rsid w:val="001F1E9B"/>
    <w:rsid w:val="001F1FF1"/>
    <w:rsid w:val="001F2181"/>
    <w:rsid w:val="001F22B3"/>
    <w:rsid w:val="001F24F3"/>
    <w:rsid w:val="001F2540"/>
    <w:rsid w:val="001F259B"/>
    <w:rsid w:val="001F2619"/>
    <w:rsid w:val="001F270F"/>
    <w:rsid w:val="001F2713"/>
    <w:rsid w:val="001F28EB"/>
    <w:rsid w:val="001F29FB"/>
    <w:rsid w:val="001F2A2D"/>
    <w:rsid w:val="001F2A85"/>
    <w:rsid w:val="001F2BAB"/>
    <w:rsid w:val="001F2BAC"/>
    <w:rsid w:val="001F2C1C"/>
    <w:rsid w:val="001F2EDE"/>
    <w:rsid w:val="001F30D3"/>
    <w:rsid w:val="001F3427"/>
    <w:rsid w:val="001F3538"/>
    <w:rsid w:val="001F35CD"/>
    <w:rsid w:val="001F377A"/>
    <w:rsid w:val="001F39EB"/>
    <w:rsid w:val="001F3A8A"/>
    <w:rsid w:val="001F3B8E"/>
    <w:rsid w:val="001F3CD6"/>
    <w:rsid w:val="001F4111"/>
    <w:rsid w:val="001F4187"/>
    <w:rsid w:val="001F425A"/>
    <w:rsid w:val="001F444E"/>
    <w:rsid w:val="001F47DE"/>
    <w:rsid w:val="001F49C4"/>
    <w:rsid w:val="001F4A43"/>
    <w:rsid w:val="001F4C0D"/>
    <w:rsid w:val="001F4C9D"/>
    <w:rsid w:val="001F4E08"/>
    <w:rsid w:val="001F4E36"/>
    <w:rsid w:val="001F4EAB"/>
    <w:rsid w:val="001F520B"/>
    <w:rsid w:val="001F520D"/>
    <w:rsid w:val="001F539B"/>
    <w:rsid w:val="001F5464"/>
    <w:rsid w:val="001F57BB"/>
    <w:rsid w:val="001F5AA5"/>
    <w:rsid w:val="001F5BD5"/>
    <w:rsid w:val="001F5D48"/>
    <w:rsid w:val="001F5E66"/>
    <w:rsid w:val="001F6145"/>
    <w:rsid w:val="001F62EA"/>
    <w:rsid w:val="001F6396"/>
    <w:rsid w:val="001F63C8"/>
    <w:rsid w:val="001F6588"/>
    <w:rsid w:val="001F65E0"/>
    <w:rsid w:val="001F666E"/>
    <w:rsid w:val="001F67BC"/>
    <w:rsid w:val="001F6A18"/>
    <w:rsid w:val="001F6BD7"/>
    <w:rsid w:val="001F6E5D"/>
    <w:rsid w:val="001F6E79"/>
    <w:rsid w:val="001F6F89"/>
    <w:rsid w:val="001F703A"/>
    <w:rsid w:val="001F7081"/>
    <w:rsid w:val="001F71F3"/>
    <w:rsid w:val="001F720E"/>
    <w:rsid w:val="001F7396"/>
    <w:rsid w:val="001F7518"/>
    <w:rsid w:val="001F75BC"/>
    <w:rsid w:val="001F7650"/>
    <w:rsid w:val="001F78A0"/>
    <w:rsid w:val="001F7941"/>
    <w:rsid w:val="001F7983"/>
    <w:rsid w:val="001F7A8A"/>
    <w:rsid w:val="001F7B0B"/>
    <w:rsid w:val="001F7B68"/>
    <w:rsid w:val="001F7CF3"/>
    <w:rsid w:val="001F7D68"/>
    <w:rsid w:val="001F7EBD"/>
    <w:rsid w:val="001F7F29"/>
    <w:rsid w:val="001F7FE2"/>
    <w:rsid w:val="002000A6"/>
    <w:rsid w:val="002000E3"/>
    <w:rsid w:val="002002CE"/>
    <w:rsid w:val="0020044B"/>
    <w:rsid w:val="0020087B"/>
    <w:rsid w:val="00200932"/>
    <w:rsid w:val="00200974"/>
    <w:rsid w:val="00200B3A"/>
    <w:rsid w:val="00200B52"/>
    <w:rsid w:val="00200C0A"/>
    <w:rsid w:val="00200C56"/>
    <w:rsid w:val="00200F07"/>
    <w:rsid w:val="00200FA0"/>
    <w:rsid w:val="0020114E"/>
    <w:rsid w:val="00201157"/>
    <w:rsid w:val="00201205"/>
    <w:rsid w:val="0020125F"/>
    <w:rsid w:val="002012B8"/>
    <w:rsid w:val="0020132B"/>
    <w:rsid w:val="00201A19"/>
    <w:rsid w:val="00201A36"/>
    <w:rsid w:val="00201F51"/>
    <w:rsid w:val="002020BC"/>
    <w:rsid w:val="002021F9"/>
    <w:rsid w:val="002022C3"/>
    <w:rsid w:val="002025DE"/>
    <w:rsid w:val="00202644"/>
    <w:rsid w:val="0020265C"/>
    <w:rsid w:val="002027A5"/>
    <w:rsid w:val="002027CD"/>
    <w:rsid w:val="00202B9F"/>
    <w:rsid w:val="00202E5F"/>
    <w:rsid w:val="00203297"/>
    <w:rsid w:val="00203456"/>
    <w:rsid w:val="0020361E"/>
    <w:rsid w:val="002037CD"/>
    <w:rsid w:val="00203975"/>
    <w:rsid w:val="00203BBA"/>
    <w:rsid w:val="00203BF2"/>
    <w:rsid w:val="00203D1B"/>
    <w:rsid w:val="00203DE0"/>
    <w:rsid w:val="00203E32"/>
    <w:rsid w:val="00204038"/>
    <w:rsid w:val="0020406F"/>
    <w:rsid w:val="002040E3"/>
    <w:rsid w:val="00204426"/>
    <w:rsid w:val="00204518"/>
    <w:rsid w:val="002046EF"/>
    <w:rsid w:val="00204A4C"/>
    <w:rsid w:val="00204B67"/>
    <w:rsid w:val="00204C8D"/>
    <w:rsid w:val="00204E64"/>
    <w:rsid w:val="0020508A"/>
    <w:rsid w:val="0020510C"/>
    <w:rsid w:val="0020530A"/>
    <w:rsid w:val="00205449"/>
    <w:rsid w:val="00205480"/>
    <w:rsid w:val="002054B2"/>
    <w:rsid w:val="002054C7"/>
    <w:rsid w:val="0020561F"/>
    <w:rsid w:val="00205671"/>
    <w:rsid w:val="00205679"/>
    <w:rsid w:val="002057C9"/>
    <w:rsid w:val="0020582E"/>
    <w:rsid w:val="00205D52"/>
    <w:rsid w:val="0020620A"/>
    <w:rsid w:val="00206315"/>
    <w:rsid w:val="0020683F"/>
    <w:rsid w:val="00206B12"/>
    <w:rsid w:val="00206B31"/>
    <w:rsid w:val="00206CFC"/>
    <w:rsid w:val="00206E74"/>
    <w:rsid w:val="00206E8D"/>
    <w:rsid w:val="00206F34"/>
    <w:rsid w:val="00206FD3"/>
    <w:rsid w:val="002070D8"/>
    <w:rsid w:val="002071EB"/>
    <w:rsid w:val="0020733F"/>
    <w:rsid w:val="0020736C"/>
    <w:rsid w:val="00207448"/>
    <w:rsid w:val="002075BA"/>
    <w:rsid w:val="002075C4"/>
    <w:rsid w:val="002076F4"/>
    <w:rsid w:val="00207938"/>
    <w:rsid w:val="002079A5"/>
    <w:rsid w:val="00207AF9"/>
    <w:rsid w:val="00207B18"/>
    <w:rsid w:val="00207B65"/>
    <w:rsid w:val="00207D07"/>
    <w:rsid w:val="00207F43"/>
    <w:rsid w:val="00210112"/>
    <w:rsid w:val="002101B8"/>
    <w:rsid w:val="0021029A"/>
    <w:rsid w:val="0021037F"/>
    <w:rsid w:val="00210397"/>
    <w:rsid w:val="002104AE"/>
    <w:rsid w:val="00210549"/>
    <w:rsid w:val="0021069C"/>
    <w:rsid w:val="002106E3"/>
    <w:rsid w:val="002106E7"/>
    <w:rsid w:val="00210831"/>
    <w:rsid w:val="00210908"/>
    <w:rsid w:val="00210954"/>
    <w:rsid w:val="0021098F"/>
    <w:rsid w:val="00210A56"/>
    <w:rsid w:val="00210A9C"/>
    <w:rsid w:val="00210B74"/>
    <w:rsid w:val="00210C7D"/>
    <w:rsid w:val="00210D2E"/>
    <w:rsid w:val="00211187"/>
    <w:rsid w:val="002112DB"/>
    <w:rsid w:val="002113EC"/>
    <w:rsid w:val="00211799"/>
    <w:rsid w:val="00211995"/>
    <w:rsid w:val="00212004"/>
    <w:rsid w:val="00212165"/>
    <w:rsid w:val="0021217B"/>
    <w:rsid w:val="00212273"/>
    <w:rsid w:val="002124DB"/>
    <w:rsid w:val="002125FE"/>
    <w:rsid w:val="0021265C"/>
    <w:rsid w:val="00212687"/>
    <w:rsid w:val="0021282A"/>
    <w:rsid w:val="00212A3B"/>
    <w:rsid w:val="00212C45"/>
    <w:rsid w:val="00212D62"/>
    <w:rsid w:val="00212D69"/>
    <w:rsid w:val="002130C0"/>
    <w:rsid w:val="0021311E"/>
    <w:rsid w:val="002132D2"/>
    <w:rsid w:val="002132F9"/>
    <w:rsid w:val="0021330C"/>
    <w:rsid w:val="002133BD"/>
    <w:rsid w:val="002133E3"/>
    <w:rsid w:val="0021372D"/>
    <w:rsid w:val="00213B0A"/>
    <w:rsid w:val="00213C11"/>
    <w:rsid w:val="00213DB7"/>
    <w:rsid w:val="00213E31"/>
    <w:rsid w:val="00213E76"/>
    <w:rsid w:val="00213F40"/>
    <w:rsid w:val="00213FDB"/>
    <w:rsid w:val="00214013"/>
    <w:rsid w:val="0021438B"/>
    <w:rsid w:val="00214482"/>
    <w:rsid w:val="0021453C"/>
    <w:rsid w:val="0021462D"/>
    <w:rsid w:val="002149C0"/>
    <w:rsid w:val="00214B51"/>
    <w:rsid w:val="00214BBC"/>
    <w:rsid w:val="00214C13"/>
    <w:rsid w:val="00214D35"/>
    <w:rsid w:val="00214DFD"/>
    <w:rsid w:val="00214E88"/>
    <w:rsid w:val="00215061"/>
    <w:rsid w:val="0021511A"/>
    <w:rsid w:val="0021532C"/>
    <w:rsid w:val="00215519"/>
    <w:rsid w:val="002155DB"/>
    <w:rsid w:val="0021561B"/>
    <w:rsid w:val="002158EF"/>
    <w:rsid w:val="0021596B"/>
    <w:rsid w:val="002159BF"/>
    <w:rsid w:val="00215AD7"/>
    <w:rsid w:val="00215C6E"/>
    <w:rsid w:val="00215D75"/>
    <w:rsid w:val="002163DB"/>
    <w:rsid w:val="0021663B"/>
    <w:rsid w:val="0021665D"/>
    <w:rsid w:val="002166B4"/>
    <w:rsid w:val="00216771"/>
    <w:rsid w:val="0021677F"/>
    <w:rsid w:val="00216972"/>
    <w:rsid w:val="002169C2"/>
    <w:rsid w:val="002169FC"/>
    <w:rsid w:val="00216B03"/>
    <w:rsid w:val="00216D03"/>
    <w:rsid w:val="00216E1A"/>
    <w:rsid w:val="00216E92"/>
    <w:rsid w:val="0021710D"/>
    <w:rsid w:val="00217133"/>
    <w:rsid w:val="00217488"/>
    <w:rsid w:val="0021753E"/>
    <w:rsid w:val="00217560"/>
    <w:rsid w:val="0021757F"/>
    <w:rsid w:val="002175D9"/>
    <w:rsid w:val="00217775"/>
    <w:rsid w:val="002177A2"/>
    <w:rsid w:val="0021780E"/>
    <w:rsid w:val="0021784F"/>
    <w:rsid w:val="00217A6D"/>
    <w:rsid w:val="00217BC3"/>
    <w:rsid w:val="00217D0E"/>
    <w:rsid w:val="00217D22"/>
    <w:rsid w:val="00217DB2"/>
    <w:rsid w:val="00217F0F"/>
    <w:rsid w:val="002201AB"/>
    <w:rsid w:val="0022041B"/>
    <w:rsid w:val="00220AAF"/>
    <w:rsid w:val="00220B60"/>
    <w:rsid w:val="00220D2D"/>
    <w:rsid w:val="00220F62"/>
    <w:rsid w:val="00220FDD"/>
    <w:rsid w:val="00221262"/>
    <w:rsid w:val="002213B3"/>
    <w:rsid w:val="0022155A"/>
    <w:rsid w:val="00221571"/>
    <w:rsid w:val="0022162D"/>
    <w:rsid w:val="00221727"/>
    <w:rsid w:val="00221738"/>
    <w:rsid w:val="0022175B"/>
    <w:rsid w:val="00221B6D"/>
    <w:rsid w:val="00221DFC"/>
    <w:rsid w:val="002221B8"/>
    <w:rsid w:val="002224E0"/>
    <w:rsid w:val="0022269C"/>
    <w:rsid w:val="00223244"/>
    <w:rsid w:val="0022338B"/>
    <w:rsid w:val="0022339F"/>
    <w:rsid w:val="00223886"/>
    <w:rsid w:val="002238D5"/>
    <w:rsid w:val="0022392E"/>
    <w:rsid w:val="00223B94"/>
    <w:rsid w:val="00223BAC"/>
    <w:rsid w:val="00223D09"/>
    <w:rsid w:val="00223ECF"/>
    <w:rsid w:val="00224022"/>
    <w:rsid w:val="00224034"/>
    <w:rsid w:val="0022410E"/>
    <w:rsid w:val="0022421E"/>
    <w:rsid w:val="0022436E"/>
    <w:rsid w:val="002245C2"/>
    <w:rsid w:val="002246CB"/>
    <w:rsid w:val="00224896"/>
    <w:rsid w:val="00224AA8"/>
    <w:rsid w:val="00224B29"/>
    <w:rsid w:val="00225052"/>
    <w:rsid w:val="00225122"/>
    <w:rsid w:val="0022554B"/>
    <w:rsid w:val="002255A7"/>
    <w:rsid w:val="002255BB"/>
    <w:rsid w:val="00225897"/>
    <w:rsid w:val="0022591D"/>
    <w:rsid w:val="00225AAB"/>
    <w:rsid w:val="00225C9F"/>
    <w:rsid w:val="00225D36"/>
    <w:rsid w:val="00225D7B"/>
    <w:rsid w:val="00225D81"/>
    <w:rsid w:val="00225E67"/>
    <w:rsid w:val="00226039"/>
    <w:rsid w:val="002260AC"/>
    <w:rsid w:val="00226433"/>
    <w:rsid w:val="002264EE"/>
    <w:rsid w:val="002265CE"/>
    <w:rsid w:val="002266E5"/>
    <w:rsid w:val="00226778"/>
    <w:rsid w:val="002269A7"/>
    <w:rsid w:val="00226B93"/>
    <w:rsid w:val="00226E54"/>
    <w:rsid w:val="00226FD0"/>
    <w:rsid w:val="0022706D"/>
    <w:rsid w:val="00227082"/>
    <w:rsid w:val="0022723D"/>
    <w:rsid w:val="002272AC"/>
    <w:rsid w:val="0022741A"/>
    <w:rsid w:val="00227633"/>
    <w:rsid w:val="002276A3"/>
    <w:rsid w:val="0022790A"/>
    <w:rsid w:val="00227C87"/>
    <w:rsid w:val="00227F43"/>
    <w:rsid w:val="0023047E"/>
    <w:rsid w:val="002307D7"/>
    <w:rsid w:val="00231073"/>
    <w:rsid w:val="002310F1"/>
    <w:rsid w:val="0023117E"/>
    <w:rsid w:val="0023164C"/>
    <w:rsid w:val="002316DB"/>
    <w:rsid w:val="0023187B"/>
    <w:rsid w:val="0023206F"/>
    <w:rsid w:val="0023207D"/>
    <w:rsid w:val="00232220"/>
    <w:rsid w:val="00232291"/>
    <w:rsid w:val="00232433"/>
    <w:rsid w:val="0023262D"/>
    <w:rsid w:val="002326A3"/>
    <w:rsid w:val="00232707"/>
    <w:rsid w:val="0023277E"/>
    <w:rsid w:val="00232794"/>
    <w:rsid w:val="002327CE"/>
    <w:rsid w:val="002327FC"/>
    <w:rsid w:val="00232845"/>
    <w:rsid w:val="00232882"/>
    <w:rsid w:val="00232AFD"/>
    <w:rsid w:val="00232BF0"/>
    <w:rsid w:val="00232D61"/>
    <w:rsid w:val="00232D8A"/>
    <w:rsid w:val="00232DF5"/>
    <w:rsid w:val="00232E09"/>
    <w:rsid w:val="00232E2F"/>
    <w:rsid w:val="002332B1"/>
    <w:rsid w:val="0023352C"/>
    <w:rsid w:val="00233568"/>
    <w:rsid w:val="002336A0"/>
    <w:rsid w:val="00233819"/>
    <w:rsid w:val="002339F5"/>
    <w:rsid w:val="00233A2C"/>
    <w:rsid w:val="00233A6C"/>
    <w:rsid w:val="00233C85"/>
    <w:rsid w:val="00233C87"/>
    <w:rsid w:val="00233E7A"/>
    <w:rsid w:val="0023401A"/>
    <w:rsid w:val="0023422C"/>
    <w:rsid w:val="00234304"/>
    <w:rsid w:val="00234540"/>
    <w:rsid w:val="00234622"/>
    <w:rsid w:val="002348CA"/>
    <w:rsid w:val="0023490F"/>
    <w:rsid w:val="00234BBD"/>
    <w:rsid w:val="00234C7D"/>
    <w:rsid w:val="00234DE5"/>
    <w:rsid w:val="00234E51"/>
    <w:rsid w:val="002354A5"/>
    <w:rsid w:val="00235641"/>
    <w:rsid w:val="002356D8"/>
    <w:rsid w:val="002359BE"/>
    <w:rsid w:val="00235AC1"/>
    <w:rsid w:val="00235C57"/>
    <w:rsid w:val="00235C6E"/>
    <w:rsid w:val="00235CEF"/>
    <w:rsid w:val="00235D72"/>
    <w:rsid w:val="00235F59"/>
    <w:rsid w:val="002366ED"/>
    <w:rsid w:val="002368F2"/>
    <w:rsid w:val="00236943"/>
    <w:rsid w:val="002369F6"/>
    <w:rsid w:val="00236C02"/>
    <w:rsid w:val="00237048"/>
    <w:rsid w:val="00237181"/>
    <w:rsid w:val="00237251"/>
    <w:rsid w:val="002373FE"/>
    <w:rsid w:val="002378A3"/>
    <w:rsid w:val="00237968"/>
    <w:rsid w:val="00237984"/>
    <w:rsid w:val="0023798F"/>
    <w:rsid w:val="002379FB"/>
    <w:rsid w:val="00237A6A"/>
    <w:rsid w:val="00237AA7"/>
    <w:rsid w:val="00237B43"/>
    <w:rsid w:val="00237B4E"/>
    <w:rsid w:val="00237C53"/>
    <w:rsid w:val="00237DCF"/>
    <w:rsid w:val="00237E29"/>
    <w:rsid w:val="00237F53"/>
    <w:rsid w:val="00237F88"/>
    <w:rsid w:val="002401D3"/>
    <w:rsid w:val="00240262"/>
    <w:rsid w:val="00240939"/>
    <w:rsid w:val="002409E0"/>
    <w:rsid w:val="002409F8"/>
    <w:rsid w:val="00241120"/>
    <w:rsid w:val="002412F7"/>
    <w:rsid w:val="00241385"/>
    <w:rsid w:val="002415B7"/>
    <w:rsid w:val="002416E3"/>
    <w:rsid w:val="00241D24"/>
    <w:rsid w:val="00241EDA"/>
    <w:rsid w:val="00241F4F"/>
    <w:rsid w:val="00242472"/>
    <w:rsid w:val="002424A6"/>
    <w:rsid w:val="0024257B"/>
    <w:rsid w:val="002426FA"/>
    <w:rsid w:val="00242D9C"/>
    <w:rsid w:val="00242ECE"/>
    <w:rsid w:val="002432DD"/>
    <w:rsid w:val="002433DF"/>
    <w:rsid w:val="002439FD"/>
    <w:rsid w:val="00243B94"/>
    <w:rsid w:val="00243F95"/>
    <w:rsid w:val="00244011"/>
    <w:rsid w:val="00244221"/>
    <w:rsid w:val="0024422B"/>
    <w:rsid w:val="0024437D"/>
    <w:rsid w:val="00244462"/>
    <w:rsid w:val="00244513"/>
    <w:rsid w:val="0024462B"/>
    <w:rsid w:val="00244663"/>
    <w:rsid w:val="002446A8"/>
    <w:rsid w:val="00244822"/>
    <w:rsid w:val="00244E46"/>
    <w:rsid w:val="00244FB9"/>
    <w:rsid w:val="00244FF0"/>
    <w:rsid w:val="00245193"/>
    <w:rsid w:val="0024537E"/>
    <w:rsid w:val="00245605"/>
    <w:rsid w:val="0024577F"/>
    <w:rsid w:val="002457E5"/>
    <w:rsid w:val="002458C2"/>
    <w:rsid w:val="00245932"/>
    <w:rsid w:val="0024598C"/>
    <w:rsid w:val="00245B9E"/>
    <w:rsid w:val="00245C0D"/>
    <w:rsid w:val="00245D3A"/>
    <w:rsid w:val="00246174"/>
    <w:rsid w:val="002461FD"/>
    <w:rsid w:val="00246313"/>
    <w:rsid w:val="002468C8"/>
    <w:rsid w:val="0024695B"/>
    <w:rsid w:val="00246B10"/>
    <w:rsid w:val="00246F74"/>
    <w:rsid w:val="00247250"/>
    <w:rsid w:val="00247266"/>
    <w:rsid w:val="002473C0"/>
    <w:rsid w:val="002473C2"/>
    <w:rsid w:val="002478ED"/>
    <w:rsid w:val="00247E03"/>
    <w:rsid w:val="0025001F"/>
    <w:rsid w:val="00250126"/>
    <w:rsid w:val="002504E5"/>
    <w:rsid w:val="0025071E"/>
    <w:rsid w:val="00250B2D"/>
    <w:rsid w:val="0025103C"/>
    <w:rsid w:val="00251271"/>
    <w:rsid w:val="002512A9"/>
    <w:rsid w:val="00251304"/>
    <w:rsid w:val="0025134E"/>
    <w:rsid w:val="00251597"/>
    <w:rsid w:val="00251873"/>
    <w:rsid w:val="00251AF5"/>
    <w:rsid w:val="00251DC3"/>
    <w:rsid w:val="00251DD8"/>
    <w:rsid w:val="00251FDB"/>
    <w:rsid w:val="002521A6"/>
    <w:rsid w:val="00252227"/>
    <w:rsid w:val="00252236"/>
    <w:rsid w:val="00252281"/>
    <w:rsid w:val="00252307"/>
    <w:rsid w:val="00252497"/>
    <w:rsid w:val="002527EB"/>
    <w:rsid w:val="0025289E"/>
    <w:rsid w:val="002529DC"/>
    <w:rsid w:val="00252ADE"/>
    <w:rsid w:val="00252BC5"/>
    <w:rsid w:val="00252BFB"/>
    <w:rsid w:val="00252EF4"/>
    <w:rsid w:val="00252F20"/>
    <w:rsid w:val="0025318B"/>
    <w:rsid w:val="00253250"/>
    <w:rsid w:val="002532A0"/>
    <w:rsid w:val="00253351"/>
    <w:rsid w:val="00253423"/>
    <w:rsid w:val="0025346A"/>
    <w:rsid w:val="0025359C"/>
    <w:rsid w:val="002535E7"/>
    <w:rsid w:val="00253606"/>
    <w:rsid w:val="00253793"/>
    <w:rsid w:val="002538C6"/>
    <w:rsid w:val="002539A9"/>
    <w:rsid w:val="00253A3A"/>
    <w:rsid w:val="00253A7E"/>
    <w:rsid w:val="00253B13"/>
    <w:rsid w:val="00253F89"/>
    <w:rsid w:val="00254161"/>
    <w:rsid w:val="002542FF"/>
    <w:rsid w:val="002546C2"/>
    <w:rsid w:val="00254849"/>
    <w:rsid w:val="00254949"/>
    <w:rsid w:val="002549D4"/>
    <w:rsid w:val="00254A17"/>
    <w:rsid w:val="00254D6C"/>
    <w:rsid w:val="00254DB2"/>
    <w:rsid w:val="0025502C"/>
    <w:rsid w:val="0025504A"/>
    <w:rsid w:val="0025517F"/>
    <w:rsid w:val="002551FE"/>
    <w:rsid w:val="002552B2"/>
    <w:rsid w:val="0025558A"/>
    <w:rsid w:val="0025567F"/>
    <w:rsid w:val="00255C1B"/>
    <w:rsid w:val="002560D0"/>
    <w:rsid w:val="002560DC"/>
    <w:rsid w:val="0025640A"/>
    <w:rsid w:val="00256576"/>
    <w:rsid w:val="002569DC"/>
    <w:rsid w:val="00256CD8"/>
    <w:rsid w:val="00256D18"/>
    <w:rsid w:val="00256E7A"/>
    <w:rsid w:val="00256EB8"/>
    <w:rsid w:val="00257158"/>
    <w:rsid w:val="002571BB"/>
    <w:rsid w:val="00257311"/>
    <w:rsid w:val="00257479"/>
    <w:rsid w:val="002575B6"/>
    <w:rsid w:val="002577EE"/>
    <w:rsid w:val="002578FF"/>
    <w:rsid w:val="00257A15"/>
    <w:rsid w:val="00257B2C"/>
    <w:rsid w:val="0026046F"/>
    <w:rsid w:val="002604DA"/>
    <w:rsid w:val="00260548"/>
    <w:rsid w:val="0026058A"/>
    <w:rsid w:val="002605B9"/>
    <w:rsid w:val="002606E7"/>
    <w:rsid w:val="00260734"/>
    <w:rsid w:val="0026074A"/>
    <w:rsid w:val="002609AE"/>
    <w:rsid w:val="002609D3"/>
    <w:rsid w:val="00261106"/>
    <w:rsid w:val="002611BA"/>
    <w:rsid w:val="0026138B"/>
    <w:rsid w:val="00261537"/>
    <w:rsid w:val="00261806"/>
    <w:rsid w:val="002619AB"/>
    <w:rsid w:val="00261BFA"/>
    <w:rsid w:val="00261C44"/>
    <w:rsid w:val="00261C89"/>
    <w:rsid w:val="00261E6A"/>
    <w:rsid w:val="00262118"/>
    <w:rsid w:val="002628DB"/>
    <w:rsid w:val="0026299F"/>
    <w:rsid w:val="00263152"/>
    <w:rsid w:val="002632A5"/>
    <w:rsid w:val="002633D0"/>
    <w:rsid w:val="002634ED"/>
    <w:rsid w:val="0026357A"/>
    <w:rsid w:val="0026359A"/>
    <w:rsid w:val="002635A7"/>
    <w:rsid w:val="00263633"/>
    <w:rsid w:val="0026366B"/>
    <w:rsid w:val="00263DA1"/>
    <w:rsid w:val="0026411D"/>
    <w:rsid w:val="002641E3"/>
    <w:rsid w:val="00264314"/>
    <w:rsid w:val="0026436F"/>
    <w:rsid w:val="0026444E"/>
    <w:rsid w:val="00264693"/>
    <w:rsid w:val="0026479C"/>
    <w:rsid w:val="00264857"/>
    <w:rsid w:val="00264D63"/>
    <w:rsid w:val="00264F00"/>
    <w:rsid w:val="00265186"/>
    <w:rsid w:val="00265205"/>
    <w:rsid w:val="0026526A"/>
    <w:rsid w:val="002653BD"/>
    <w:rsid w:val="0026540A"/>
    <w:rsid w:val="002654CC"/>
    <w:rsid w:val="002655C7"/>
    <w:rsid w:val="0026560B"/>
    <w:rsid w:val="0026597E"/>
    <w:rsid w:val="0026599F"/>
    <w:rsid w:val="00265D57"/>
    <w:rsid w:val="00265F51"/>
    <w:rsid w:val="00265FC2"/>
    <w:rsid w:val="00266152"/>
    <w:rsid w:val="002661E6"/>
    <w:rsid w:val="00266393"/>
    <w:rsid w:val="00266500"/>
    <w:rsid w:val="0026652A"/>
    <w:rsid w:val="0026679E"/>
    <w:rsid w:val="002667F4"/>
    <w:rsid w:val="0026693B"/>
    <w:rsid w:val="002669FE"/>
    <w:rsid w:val="00266A64"/>
    <w:rsid w:val="00267061"/>
    <w:rsid w:val="002671DE"/>
    <w:rsid w:val="002673CA"/>
    <w:rsid w:val="002675BB"/>
    <w:rsid w:val="002676C2"/>
    <w:rsid w:val="002676CB"/>
    <w:rsid w:val="0026788D"/>
    <w:rsid w:val="00267BE6"/>
    <w:rsid w:val="00267DD9"/>
    <w:rsid w:val="00270211"/>
    <w:rsid w:val="00270299"/>
    <w:rsid w:val="00270484"/>
    <w:rsid w:val="002706DA"/>
    <w:rsid w:val="0027086A"/>
    <w:rsid w:val="0027090A"/>
    <w:rsid w:val="00270BC7"/>
    <w:rsid w:val="00270C63"/>
    <w:rsid w:val="00270DCE"/>
    <w:rsid w:val="00270EAD"/>
    <w:rsid w:val="00270F42"/>
    <w:rsid w:val="00270FC1"/>
    <w:rsid w:val="00271101"/>
    <w:rsid w:val="00271281"/>
    <w:rsid w:val="00271308"/>
    <w:rsid w:val="0027137F"/>
    <w:rsid w:val="0027175D"/>
    <w:rsid w:val="00271798"/>
    <w:rsid w:val="00271822"/>
    <w:rsid w:val="0027187F"/>
    <w:rsid w:val="0027194F"/>
    <w:rsid w:val="00271E18"/>
    <w:rsid w:val="0027212F"/>
    <w:rsid w:val="0027223A"/>
    <w:rsid w:val="002722B7"/>
    <w:rsid w:val="002722EF"/>
    <w:rsid w:val="0027237D"/>
    <w:rsid w:val="002724D1"/>
    <w:rsid w:val="002726AE"/>
    <w:rsid w:val="00272795"/>
    <w:rsid w:val="00272A2D"/>
    <w:rsid w:val="00272AED"/>
    <w:rsid w:val="00272C5D"/>
    <w:rsid w:val="00272D3F"/>
    <w:rsid w:val="00273226"/>
    <w:rsid w:val="0027324D"/>
    <w:rsid w:val="002732DE"/>
    <w:rsid w:val="00273794"/>
    <w:rsid w:val="002737B6"/>
    <w:rsid w:val="00273B42"/>
    <w:rsid w:val="00273C37"/>
    <w:rsid w:val="00273ED9"/>
    <w:rsid w:val="00274015"/>
    <w:rsid w:val="00274084"/>
    <w:rsid w:val="0027438D"/>
    <w:rsid w:val="0027450F"/>
    <w:rsid w:val="002745C9"/>
    <w:rsid w:val="002745ED"/>
    <w:rsid w:val="0027496C"/>
    <w:rsid w:val="00274B6C"/>
    <w:rsid w:val="00274C98"/>
    <w:rsid w:val="00274EF2"/>
    <w:rsid w:val="00274FE7"/>
    <w:rsid w:val="00275204"/>
    <w:rsid w:val="00275382"/>
    <w:rsid w:val="0027546A"/>
    <w:rsid w:val="00275686"/>
    <w:rsid w:val="00275719"/>
    <w:rsid w:val="00275756"/>
    <w:rsid w:val="00275B16"/>
    <w:rsid w:val="00275CC3"/>
    <w:rsid w:val="00275E21"/>
    <w:rsid w:val="00275ECD"/>
    <w:rsid w:val="00276203"/>
    <w:rsid w:val="00276210"/>
    <w:rsid w:val="00276246"/>
    <w:rsid w:val="00276365"/>
    <w:rsid w:val="002764C0"/>
    <w:rsid w:val="002765F7"/>
    <w:rsid w:val="002766F0"/>
    <w:rsid w:val="00276717"/>
    <w:rsid w:val="002768DB"/>
    <w:rsid w:val="002769F3"/>
    <w:rsid w:val="00276A5D"/>
    <w:rsid w:val="00276D9F"/>
    <w:rsid w:val="00276FE2"/>
    <w:rsid w:val="00277406"/>
    <w:rsid w:val="0027746D"/>
    <w:rsid w:val="00277474"/>
    <w:rsid w:val="00277500"/>
    <w:rsid w:val="0027758F"/>
    <w:rsid w:val="002775BA"/>
    <w:rsid w:val="002775BD"/>
    <w:rsid w:val="00277622"/>
    <w:rsid w:val="00277661"/>
    <w:rsid w:val="002776C5"/>
    <w:rsid w:val="002778B3"/>
    <w:rsid w:val="00277966"/>
    <w:rsid w:val="00277E78"/>
    <w:rsid w:val="00280347"/>
    <w:rsid w:val="002803C9"/>
    <w:rsid w:val="0028045A"/>
    <w:rsid w:val="00280848"/>
    <w:rsid w:val="00280E3F"/>
    <w:rsid w:val="00280FC6"/>
    <w:rsid w:val="002812AD"/>
    <w:rsid w:val="00281353"/>
    <w:rsid w:val="00281431"/>
    <w:rsid w:val="00281592"/>
    <w:rsid w:val="00281749"/>
    <w:rsid w:val="00281B19"/>
    <w:rsid w:val="00281C52"/>
    <w:rsid w:val="00281D4E"/>
    <w:rsid w:val="00281DDF"/>
    <w:rsid w:val="00281E82"/>
    <w:rsid w:val="00281EA8"/>
    <w:rsid w:val="00281FE4"/>
    <w:rsid w:val="00282013"/>
    <w:rsid w:val="00282122"/>
    <w:rsid w:val="002824BA"/>
    <w:rsid w:val="0028255E"/>
    <w:rsid w:val="00282589"/>
    <w:rsid w:val="0028283D"/>
    <w:rsid w:val="00282AE4"/>
    <w:rsid w:val="00282B0E"/>
    <w:rsid w:val="00282B83"/>
    <w:rsid w:val="00282BA2"/>
    <w:rsid w:val="00282BA7"/>
    <w:rsid w:val="00282C39"/>
    <w:rsid w:val="00282CD2"/>
    <w:rsid w:val="00282F0C"/>
    <w:rsid w:val="00282F56"/>
    <w:rsid w:val="00282F92"/>
    <w:rsid w:val="00282FEE"/>
    <w:rsid w:val="00283010"/>
    <w:rsid w:val="002833C1"/>
    <w:rsid w:val="002833CC"/>
    <w:rsid w:val="002833F9"/>
    <w:rsid w:val="00283C36"/>
    <w:rsid w:val="00283FBD"/>
    <w:rsid w:val="002844B0"/>
    <w:rsid w:val="002846FE"/>
    <w:rsid w:val="00284ECA"/>
    <w:rsid w:val="00285014"/>
    <w:rsid w:val="00285130"/>
    <w:rsid w:val="00285341"/>
    <w:rsid w:val="00285700"/>
    <w:rsid w:val="002858B7"/>
    <w:rsid w:val="0028590C"/>
    <w:rsid w:val="00286052"/>
    <w:rsid w:val="00286175"/>
    <w:rsid w:val="00286228"/>
    <w:rsid w:val="002862DA"/>
    <w:rsid w:val="00286437"/>
    <w:rsid w:val="002866AD"/>
    <w:rsid w:val="002866C0"/>
    <w:rsid w:val="0028696B"/>
    <w:rsid w:val="00286D0A"/>
    <w:rsid w:val="00286D62"/>
    <w:rsid w:val="00286DC6"/>
    <w:rsid w:val="00286EC1"/>
    <w:rsid w:val="00287362"/>
    <w:rsid w:val="0028744E"/>
    <w:rsid w:val="002875A2"/>
    <w:rsid w:val="0028762E"/>
    <w:rsid w:val="00287680"/>
    <w:rsid w:val="002878D7"/>
    <w:rsid w:val="00287904"/>
    <w:rsid w:val="00287A8C"/>
    <w:rsid w:val="00287B22"/>
    <w:rsid w:val="00287C47"/>
    <w:rsid w:val="00287D22"/>
    <w:rsid w:val="002900B8"/>
    <w:rsid w:val="002901ED"/>
    <w:rsid w:val="0029045A"/>
    <w:rsid w:val="002908F9"/>
    <w:rsid w:val="002909FD"/>
    <w:rsid w:val="00290C44"/>
    <w:rsid w:val="00290CAC"/>
    <w:rsid w:val="002911CC"/>
    <w:rsid w:val="00291283"/>
    <w:rsid w:val="002913F9"/>
    <w:rsid w:val="0029167F"/>
    <w:rsid w:val="0029189F"/>
    <w:rsid w:val="002919D2"/>
    <w:rsid w:val="00291ABA"/>
    <w:rsid w:val="00291B7C"/>
    <w:rsid w:val="00291E3B"/>
    <w:rsid w:val="00291E6D"/>
    <w:rsid w:val="00291F8A"/>
    <w:rsid w:val="00292041"/>
    <w:rsid w:val="002920A6"/>
    <w:rsid w:val="00292110"/>
    <w:rsid w:val="00292114"/>
    <w:rsid w:val="00292470"/>
    <w:rsid w:val="002925DC"/>
    <w:rsid w:val="00292760"/>
    <w:rsid w:val="002927E3"/>
    <w:rsid w:val="002928C1"/>
    <w:rsid w:val="00292B7A"/>
    <w:rsid w:val="00292DC8"/>
    <w:rsid w:val="00293163"/>
    <w:rsid w:val="0029319B"/>
    <w:rsid w:val="0029353B"/>
    <w:rsid w:val="0029374C"/>
    <w:rsid w:val="0029393D"/>
    <w:rsid w:val="00293965"/>
    <w:rsid w:val="00293ACB"/>
    <w:rsid w:val="00293E93"/>
    <w:rsid w:val="00293F69"/>
    <w:rsid w:val="0029420D"/>
    <w:rsid w:val="00294413"/>
    <w:rsid w:val="002946D4"/>
    <w:rsid w:val="002948C1"/>
    <w:rsid w:val="00294A32"/>
    <w:rsid w:val="00294BB1"/>
    <w:rsid w:val="00294BF1"/>
    <w:rsid w:val="00294C3B"/>
    <w:rsid w:val="00294EC7"/>
    <w:rsid w:val="00294F3E"/>
    <w:rsid w:val="00294F91"/>
    <w:rsid w:val="00295034"/>
    <w:rsid w:val="00295058"/>
    <w:rsid w:val="00295072"/>
    <w:rsid w:val="00295296"/>
    <w:rsid w:val="0029542A"/>
    <w:rsid w:val="002954AD"/>
    <w:rsid w:val="0029569D"/>
    <w:rsid w:val="002958BF"/>
    <w:rsid w:val="00295955"/>
    <w:rsid w:val="00295AFB"/>
    <w:rsid w:val="00295C21"/>
    <w:rsid w:val="00295D72"/>
    <w:rsid w:val="00295E01"/>
    <w:rsid w:val="00295F2A"/>
    <w:rsid w:val="002960E7"/>
    <w:rsid w:val="002961CA"/>
    <w:rsid w:val="00296207"/>
    <w:rsid w:val="00296263"/>
    <w:rsid w:val="00296276"/>
    <w:rsid w:val="0029656B"/>
    <w:rsid w:val="0029693C"/>
    <w:rsid w:val="0029696C"/>
    <w:rsid w:val="0029699C"/>
    <w:rsid w:val="00296A32"/>
    <w:rsid w:val="00296A9F"/>
    <w:rsid w:val="00296BDF"/>
    <w:rsid w:val="00296DBE"/>
    <w:rsid w:val="002970FF"/>
    <w:rsid w:val="00297548"/>
    <w:rsid w:val="002975AF"/>
    <w:rsid w:val="0029769F"/>
    <w:rsid w:val="00297913"/>
    <w:rsid w:val="0029792B"/>
    <w:rsid w:val="00297D7B"/>
    <w:rsid w:val="00297E67"/>
    <w:rsid w:val="00297EC7"/>
    <w:rsid w:val="002A0230"/>
    <w:rsid w:val="002A0262"/>
    <w:rsid w:val="002A0412"/>
    <w:rsid w:val="002A04A1"/>
    <w:rsid w:val="002A04EB"/>
    <w:rsid w:val="002A06DF"/>
    <w:rsid w:val="002A073F"/>
    <w:rsid w:val="002A07E1"/>
    <w:rsid w:val="002A0AE4"/>
    <w:rsid w:val="002A0B23"/>
    <w:rsid w:val="002A0EF9"/>
    <w:rsid w:val="002A0FBE"/>
    <w:rsid w:val="002A1310"/>
    <w:rsid w:val="002A1B54"/>
    <w:rsid w:val="002A1B7D"/>
    <w:rsid w:val="002A1E4F"/>
    <w:rsid w:val="002A1EF3"/>
    <w:rsid w:val="002A1FFE"/>
    <w:rsid w:val="002A206F"/>
    <w:rsid w:val="002A218C"/>
    <w:rsid w:val="002A2387"/>
    <w:rsid w:val="002A2555"/>
    <w:rsid w:val="002A26E0"/>
    <w:rsid w:val="002A2832"/>
    <w:rsid w:val="002A2880"/>
    <w:rsid w:val="002A2AEC"/>
    <w:rsid w:val="002A2BE8"/>
    <w:rsid w:val="002A2C5C"/>
    <w:rsid w:val="002A2C6C"/>
    <w:rsid w:val="002A305F"/>
    <w:rsid w:val="002A308A"/>
    <w:rsid w:val="002A30EE"/>
    <w:rsid w:val="002A328D"/>
    <w:rsid w:val="002A3373"/>
    <w:rsid w:val="002A33BA"/>
    <w:rsid w:val="002A34B2"/>
    <w:rsid w:val="002A34C6"/>
    <w:rsid w:val="002A3565"/>
    <w:rsid w:val="002A37D2"/>
    <w:rsid w:val="002A3B59"/>
    <w:rsid w:val="002A3C0B"/>
    <w:rsid w:val="002A3E91"/>
    <w:rsid w:val="002A3EBF"/>
    <w:rsid w:val="002A42B7"/>
    <w:rsid w:val="002A42E7"/>
    <w:rsid w:val="002A464F"/>
    <w:rsid w:val="002A4672"/>
    <w:rsid w:val="002A467B"/>
    <w:rsid w:val="002A4761"/>
    <w:rsid w:val="002A4872"/>
    <w:rsid w:val="002A495E"/>
    <w:rsid w:val="002A49A1"/>
    <w:rsid w:val="002A49B5"/>
    <w:rsid w:val="002A4A54"/>
    <w:rsid w:val="002A4DDD"/>
    <w:rsid w:val="002A4F48"/>
    <w:rsid w:val="002A5049"/>
    <w:rsid w:val="002A50F1"/>
    <w:rsid w:val="002A518E"/>
    <w:rsid w:val="002A543A"/>
    <w:rsid w:val="002A548F"/>
    <w:rsid w:val="002A56A6"/>
    <w:rsid w:val="002A57E6"/>
    <w:rsid w:val="002A591A"/>
    <w:rsid w:val="002A5995"/>
    <w:rsid w:val="002A5A81"/>
    <w:rsid w:val="002A5B1E"/>
    <w:rsid w:val="002A5C31"/>
    <w:rsid w:val="002A5C53"/>
    <w:rsid w:val="002A5CAF"/>
    <w:rsid w:val="002A5F16"/>
    <w:rsid w:val="002A604C"/>
    <w:rsid w:val="002A6052"/>
    <w:rsid w:val="002A61E6"/>
    <w:rsid w:val="002A636E"/>
    <w:rsid w:val="002A63E3"/>
    <w:rsid w:val="002A63E6"/>
    <w:rsid w:val="002A668B"/>
    <w:rsid w:val="002A68A6"/>
    <w:rsid w:val="002A6B03"/>
    <w:rsid w:val="002A6BC1"/>
    <w:rsid w:val="002A6CA6"/>
    <w:rsid w:val="002A6DA2"/>
    <w:rsid w:val="002A6DF7"/>
    <w:rsid w:val="002A72C3"/>
    <w:rsid w:val="002A7408"/>
    <w:rsid w:val="002A7419"/>
    <w:rsid w:val="002A7623"/>
    <w:rsid w:val="002A7646"/>
    <w:rsid w:val="002A76B1"/>
    <w:rsid w:val="002A771A"/>
    <w:rsid w:val="002A79AE"/>
    <w:rsid w:val="002A79CF"/>
    <w:rsid w:val="002A79FD"/>
    <w:rsid w:val="002A7A4E"/>
    <w:rsid w:val="002A7AAC"/>
    <w:rsid w:val="002A7CEF"/>
    <w:rsid w:val="002A7D0C"/>
    <w:rsid w:val="002A7D4E"/>
    <w:rsid w:val="002A7D7E"/>
    <w:rsid w:val="002A7F12"/>
    <w:rsid w:val="002B0146"/>
    <w:rsid w:val="002B041B"/>
    <w:rsid w:val="002B04F1"/>
    <w:rsid w:val="002B04F8"/>
    <w:rsid w:val="002B06DF"/>
    <w:rsid w:val="002B07DD"/>
    <w:rsid w:val="002B08F5"/>
    <w:rsid w:val="002B0B03"/>
    <w:rsid w:val="002B0B1A"/>
    <w:rsid w:val="002B0CB0"/>
    <w:rsid w:val="002B0DD9"/>
    <w:rsid w:val="002B0DEB"/>
    <w:rsid w:val="002B0FAE"/>
    <w:rsid w:val="002B0FF8"/>
    <w:rsid w:val="002B117D"/>
    <w:rsid w:val="002B11DE"/>
    <w:rsid w:val="002B147A"/>
    <w:rsid w:val="002B166E"/>
    <w:rsid w:val="002B1744"/>
    <w:rsid w:val="002B1885"/>
    <w:rsid w:val="002B1962"/>
    <w:rsid w:val="002B1B6A"/>
    <w:rsid w:val="002B1B8B"/>
    <w:rsid w:val="002B1EC8"/>
    <w:rsid w:val="002B1FD5"/>
    <w:rsid w:val="002B2106"/>
    <w:rsid w:val="002B22F9"/>
    <w:rsid w:val="002B29BC"/>
    <w:rsid w:val="002B2A19"/>
    <w:rsid w:val="002B2C92"/>
    <w:rsid w:val="002B2CE3"/>
    <w:rsid w:val="002B2EFC"/>
    <w:rsid w:val="002B3097"/>
    <w:rsid w:val="002B322A"/>
    <w:rsid w:val="002B3265"/>
    <w:rsid w:val="002B349C"/>
    <w:rsid w:val="002B358B"/>
    <w:rsid w:val="002B35E0"/>
    <w:rsid w:val="002B3AE5"/>
    <w:rsid w:val="002B3BC0"/>
    <w:rsid w:val="002B45F0"/>
    <w:rsid w:val="002B46CA"/>
    <w:rsid w:val="002B4907"/>
    <w:rsid w:val="002B49AC"/>
    <w:rsid w:val="002B4B3D"/>
    <w:rsid w:val="002B4C31"/>
    <w:rsid w:val="002B509D"/>
    <w:rsid w:val="002B515B"/>
    <w:rsid w:val="002B5176"/>
    <w:rsid w:val="002B548B"/>
    <w:rsid w:val="002B55AB"/>
    <w:rsid w:val="002B5685"/>
    <w:rsid w:val="002B56A9"/>
    <w:rsid w:val="002B56D3"/>
    <w:rsid w:val="002B5753"/>
    <w:rsid w:val="002B584F"/>
    <w:rsid w:val="002B58DC"/>
    <w:rsid w:val="002B5BC9"/>
    <w:rsid w:val="002B5BF9"/>
    <w:rsid w:val="002B5C2F"/>
    <w:rsid w:val="002B6342"/>
    <w:rsid w:val="002B63C6"/>
    <w:rsid w:val="002B63DD"/>
    <w:rsid w:val="002B6547"/>
    <w:rsid w:val="002B65B1"/>
    <w:rsid w:val="002B65D2"/>
    <w:rsid w:val="002B669E"/>
    <w:rsid w:val="002B671B"/>
    <w:rsid w:val="002B69E7"/>
    <w:rsid w:val="002B7087"/>
    <w:rsid w:val="002B75BC"/>
    <w:rsid w:val="002B7790"/>
    <w:rsid w:val="002B795C"/>
    <w:rsid w:val="002B7996"/>
    <w:rsid w:val="002B7AEE"/>
    <w:rsid w:val="002B7B23"/>
    <w:rsid w:val="002B7F85"/>
    <w:rsid w:val="002B7FC2"/>
    <w:rsid w:val="002C068C"/>
    <w:rsid w:val="002C09E4"/>
    <w:rsid w:val="002C0DE3"/>
    <w:rsid w:val="002C1007"/>
    <w:rsid w:val="002C103A"/>
    <w:rsid w:val="002C10DB"/>
    <w:rsid w:val="002C12E3"/>
    <w:rsid w:val="002C13CC"/>
    <w:rsid w:val="002C178B"/>
    <w:rsid w:val="002C198B"/>
    <w:rsid w:val="002C1A40"/>
    <w:rsid w:val="002C1B7D"/>
    <w:rsid w:val="002C1C2F"/>
    <w:rsid w:val="002C1D1E"/>
    <w:rsid w:val="002C1D47"/>
    <w:rsid w:val="002C1DC3"/>
    <w:rsid w:val="002C1E5B"/>
    <w:rsid w:val="002C1FD3"/>
    <w:rsid w:val="002C21D8"/>
    <w:rsid w:val="002C2255"/>
    <w:rsid w:val="002C2345"/>
    <w:rsid w:val="002C2435"/>
    <w:rsid w:val="002C2584"/>
    <w:rsid w:val="002C28A8"/>
    <w:rsid w:val="002C28C9"/>
    <w:rsid w:val="002C2939"/>
    <w:rsid w:val="002C2B2E"/>
    <w:rsid w:val="002C2D29"/>
    <w:rsid w:val="002C2D96"/>
    <w:rsid w:val="002C2E26"/>
    <w:rsid w:val="002C321E"/>
    <w:rsid w:val="002C33F4"/>
    <w:rsid w:val="002C3572"/>
    <w:rsid w:val="002C378E"/>
    <w:rsid w:val="002C37E0"/>
    <w:rsid w:val="002C3875"/>
    <w:rsid w:val="002C38D4"/>
    <w:rsid w:val="002C3918"/>
    <w:rsid w:val="002C3993"/>
    <w:rsid w:val="002C3BA7"/>
    <w:rsid w:val="002C3C4F"/>
    <w:rsid w:val="002C3CB8"/>
    <w:rsid w:val="002C4186"/>
    <w:rsid w:val="002C420C"/>
    <w:rsid w:val="002C46D6"/>
    <w:rsid w:val="002C4783"/>
    <w:rsid w:val="002C4ACC"/>
    <w:rsid w:val="002C4E13"/>
    <w:rsid w:val="002C4E4C"/>
    <w:rsid w:val="002C50FC"/>
    <w:rsid w:val="002C5245"/>
    <w:rsid w:val="002C53D8"/>
    <w:rsid w:val="002C554B"/>
    <w:rsid w:val="002C5584"/>
    <w:rsid w:val="002C58EE"/>
    <w:rsid w:val="002C5B73"/>
    <w:rsid w:val="002C5E37"/>
    <w:rsid w:val="002C607A"/>
    <w:rsid w:val="002C61BE"/>
    <w:rsid w:val="002C6213"/>
    <w:rsid w:val="002C62A4"/>
    <w:rsid w:val="002C6339"/>
    <w:rsid w:val="002C6413"/>
    <w:rsid w:val="002C6495"/>
    <w:rsid w:val="002C6A36"/>
    <w:rsid w:val="002C6E66"/>
    <w:rsid w:val="002C7086"/>
    <w:rsid w:val="002C7144"/>
    <w:rsid w:val="002C716B"/>
    <w:rsid w:val="002C7204"/>
    <w:rsid w:val="002C7277"/>
    <w:rsid w:val="002C748A"/>
    <w:rsid w:val="002C74B7"/>
    <w:rsid w:val="002C75B0"/>
    <w:rsid w:val="002C7612"/>
    <w:rsid w:val="002C7922"/>
    <w:rsid w:val="002C7AAA"/>
    <w:rsid w:val="002C7EBD"/>
    <w:rsid w:val="002D0042"/>
    <w:rsid w:val="002D00D1"/>
    <w:rsid w:val="002D0466"/>
    <w:rsid w:val="002D05F2"/>
    <w:rsid w:val="002D06AC"/>
    <w:rsid w:val="002D06F4"/>
    <w:rsid w:val="002D0722"/>
    <w:rsid w:val="002D08B4"/>
    <w:rsid w:val="002D0932"/>
    <w:rsid w:val="002D0AE1"/>
    <w:rsid w:val="002D0BE7"/>
    <w:rsid w:val="002D0D76"/>
    <w:rsid w:val="002D0DFE"/>
    <w:rsid w:val="002D0F38"/>
    <w:rsid w:val="002D1008"/>
    <w:rsid w:val="002D1101"/>
    <w:rsid w:val="002D11AE"/>
    <w:rsid w:val="002D1233"/>
    <w:rsid w:val="002D1319"/>
    <w:rsid w:val="002D1530"/>
    <w:rsid w:val="002D1802"/>
    <w:rsid w:val="002D19A0"/>
    <w:rsid w:val="002D1A10"/>
    <w:rsid w:val="002D1A6C"/>
    <w:rsid w:val="002D1A8A"/>
    <w:rsid w:val="002D1D0D"/>
    <w:rsid w:val="002D1ECD"/>
    <w:rsid w:val="002D1F85"/>
    <w:rsid w:val="002D1FD2"/>
    <w:rsid w:val="002D1FF3"/>
    <w:rsid w:val="002D2173"/>
    <w:rsid w:val="002D2244"/>
    <w:rsid w:val="002D2750"/>
    <w:rsid w:val="002D279D"/>
    <w:rsid w:val="002D29EE"/>
    <w:rsid w:val="002D2B12"/>
    <w:rsid w:val="002D2E0B"/>
    <w:rsid w:val="002D2F1D"/>
    <w:rsid w:val="002D30E9"/>
    <w:rsid w:val="002D3846"/>
    <w:rsid w:val="002D38B6"/>
    <w:rsid w:val="002D38B8"/>
    <w:rsid w:val="002D3949"/>
    <w:rsid w:val="002D3AEA"/>
    <w:rsid w:val="002D3B08"/>
    <w:rsid w:val="002D3C27"/>
    <w:rsid w:val="002D3D3C"/>
    <w:rsid w:val="002D3F36"/>
    <w:rsid w:val="002D401B"/>
    <w:rsid w:val="002D4450"/>
    <w:rsid w:val="002D4559"/>
    <w:rsid w:val="002D45C2"/>
    <w:rsid w:val="002D48DA"/>
    <w:rsid w:val="002D4D10"/>
    <w:rsid w:val="002D4E29"/>
    <w:rsid w:val="002D4EF6"/>
    <w:rsid w:val="002D51E8"/>
    <w:rsid w:val="002D5236"/>
    <w:rsid w:val="002D532A"/>
    <w:rsid w:val="002D54E0"/>
    <w:rsid w:val="002D54F6"/>
    <w:rsid w:val="002D5690"/>
    <w:rsid w:val="002D57DC"/>
    <w:rsid w:val="002D5B3C"/>
    <w:rsid w:val="002D5B54"/>
    <w:rsid w:val="002D5CEC"/>
    <w:rsid w:val="002D5D34"/>
    <w:rsid w:val="002D5D87"/>
    <w:rsid w:val="002D6019"/>
    <w:rsid w:val="002D61CE"/>
    <w:rsid w:val="002D6316"/>
    <w:rsid w:val="002D6853"/>
    <w:rsid w:val="002D68E2"/>
    <w:rsid w:val="002D6907"/>
    <w:rsid w:val="002D69C1"/>
    <w:rsid w:val="002D6A27"/>
    <w:rsid w:val="002D6B36"/>
    <w:rsid w:val="002D6B3B"/>
    <w:rsid w:val="002D6D44"/>
    <w:rsid w:val="002D6E16"/>
    <w:rsid w:val="002D6EC4"/>
    <w:rsid w:val="002D71E0"/>
    <w:rsid w:val="002D7548"/>
    <w:rsid w:val="002D75D4"/>
    <w:rsid w:val="002D76D4"/>
    <w:rsid w:val="002D7702"/>
    <w:rsid w:val="002D7803"/>
    <w:rsid w:val="002D78F1"/>
    <w:rsid w:val="002D791E"/>
    <w:rsid w:val="002D7BE0"/>
    <w:rsid w:val="002D7C44"/>
    <w:rsid w:val="002D7CFD"/>
    <w:rsid w:val="002E0035"/>
    <w:rsid w:val="002E0315"/>
    <w:rsid w:val="002E0602"/>
    <w:rsid w:val="002E0716"/>
    <w:rsid w:val="002E08E6"/>
    <w:rsid w:val="002E09E2"/>
    <w:rsid w:val="002E09E5"/>
    <w:rsid w:val="002E0AC7"/>
    <w:rsid w:val="002E0E22"/>
    <w:rsid w:val="002E0E89"/>
    <w:rsid w:val="002E0F98"/>
    <w:rsid w:val="002E10A4"/>
    <w:rsid w:val="002E11FC"/>
    <w:rsid w:val="002E126B"/>
    <w:rsid w:val="002E1354"/>
    <w:rsid w:val="002E136B"/>
    <w:rsid w:val="002E13BD"/>
    <w:rsid w:val="002E191C"/>
    <w:rsid w:val="002E19B0"/>
    <w:rsid w:val="002E1B72"/>
    <w:rsid w:val="002E1C09"/>
    <w:rsid w:val="002E20B7"/>
    <w:rsid w:val="002E2252"/>
    <w:rsid w:val="002E237F"/>
    <w:rsid w:val="002E2A15"/>
    <w:rsid w:val="002E2A20"/>
    <w:rsid w:val="002E2A32"/>
    <w:rsid w:val="002E2B4C"/>
    <w:rsid w:val="002E2BFC"/>
    <w:rsid w:val="002E2CF6"/>
    <w:rsid w:val="002E2F6F"/>
    <w:rsid w:val="002E3039"/>
    <w:rsid w:val="002E32FD"/>
    <w:rsid w:val="002E3309"/>
    <w:rsid w:val="002E35CD"/>
    <w:rsid w:val="002E36DE"/>
    <w:rsid w:val="002E37E9"/>
    <w:rsid w:val="002E38CF"/>
    <w:rsid w:val="002E3C33"/>
    <w:rsid w:val="002E3CEC"/>
    <w:rsid w:val="002E3D65"/>
    <w:rsid w:val="002E3D76"/>
    <w:rsid w:val="002E3F33"/>
    <w:rsid w:val="002E3FF4"/>
    <w:rsid w:val="002E3FFF"/>
    <w:rsid w:val="002E40CA"/>
    <w:rsid w:val="002E46AA"/>
    <w:rsid w:val="002E4C8B"/>
    <w:rsid w:val="002E4C91"/>
    <w:rsid w:val="002E4D31"/>
    <w:rsid w:val="002E4DD9"/>
    <w:rsid w:val="002E4ED0"/>
    <w:rsid w:val="002E4F4C"/>
    <w:rsid w:val="002E50C0"/>
    <w:rsid w:val="002E50CA"/>
    <w:rsid w:val="002E51A0"/>
    <w:rsid w:val="002E51C4"/>
    <w:rsid w:val="002E5236"/>
    <w:rsid w:val="002E5265"/>
    <w:rsid w:val="002E5492"/>
    <w:rsid w:val="002E5526"/>
    <w:rsid w:val="002E59C6"/>
    <w:rsid w:val="002E5A26"/>
    <w:rsid w:val="002E5BCA"/>
    <w:rsid w:val="002E5BF2"/>
    <w:rsid w:val="002E6157"/>
    <w:rsid w:val="002E65AD"/>
    <w:rsid w:val="002E66FA"/>
    <w:rsid w:val="002E673C"/>
    <w:rsid w:val="002E6901"/>
    <w:rsid w:val="002E6BEF"/>
    <w:rsid w:val="002E6D37"/>
    <w:rsid w:val="002E6DC9"/>
    <w:rsid w:val="002E6E58"/>
    <w:rsid w:val="002E6FC4"/>
    <w:rsid w:val="002E7750"/>
    <w:rsid w:val="002E7CC8"/>
    <w:rsid w:val="002E7D7E"/>
    <w:rsid w:val="002E7E3C"/>
    <w:rsid w:val="002F003F"/>
    <w:rsid w:val="002F00A2"/>
    <w:rsid w:val="002F019F"/>
    <w:rsid w:val="002F04BD"/>
    <w:rsid w:val="002F0CBF"/>
    <w:rsid w:val="002F0D21"/>
    <w:rsid w:val="002F0F99"/>
    <w:rsid w:val="002F0FB7"/>
    <w:rsid w:val="002F0FE2"/>
    <w:rsid w:val="002F12BD"/>
    <w:rsid w:val="002F13E3"/>
    <w:rsid w:val="002F1800"/>
    <w:rsid w:val="002F1A3A"/>
    <w:rsid w:val="002F1A47"/>
    <w:rsid w:val="002F1BCE"/>
    <w:rsid w:val="002F1FBF"/>
    <w:rsid w:val="002F20D4"/>
    <w:rsid w:val="002F2345"/>
    <w:rsid w:val="002F23E8"/>
    <w:rsid w:val="002F2720"/>
    <w:rsid w:val="002F27F3"/>
    <w:rsid w:val="002F2831"/>
    <w:rsid w:val="002F2DA8"/>
    <w:rsid w:val="002F2F0E"/>
    <w:rsid w:val="002F3024"/>
    <w:rsid w:val="002F3264"/>
    <w:rsid w:val="002F3406"/>
    <w:rsid w:val="002F345D"/>
    <w:rsid w:val="002F3667"/>
    <w:rsid w:val="002F3703"/>
    <w:rsid w:val="002F3823"/>
    <w:rsid w:val="002F386B"/>
    <w:rsid w:val="002F3A9C"/>
    <w:rsid w:val="002F3A9D"/>
    <w:rsid w:val="002F3B71"/>
    <w:rsid w:val="002F3C4F"/>
    <w:rsid w:val="002F3EA8"/>
    <w:rsid w:val="002F4171"/>
    <w:rsid w:val="002F42E4"/>
    <w:rsid w:val="002F437D"/>
    <w:rsid w:val="002F43EA"/>
    <w:rsid w:val="002F44ED"/>
    <w:rsid w:val="002F47BA"/>
    <w:rsid w:val="002F4809"/>
    <w:rsid w:val="002F48EC"/>
    <w:rsid w:val="002F4948"/>
    <w:rsid w:val="002F49E7"/>
    <w:rsid w:val="002F4A02"/>
    <w:rsid w:val="002F4A1B"/>
    <w:rsid w:val="002F4A6B"/>
    <w:rsid w:val="002F4E4A"/>
    <w:rsid w:val="002F5332"/>
    <w:rsid w:val="002F53DA"/>
    <w:rsid w:val="002F5521"/>
    <w:rsid w:val="002F5865"/>
    <w:rsid w:val="002F59C8"/>
    <w:rsid w:val="002F5BFF"/>
    <w:rsid w:val="002F5D85"/>
    <w:rsid w:val="002F5D8B"/>
    <w:rsid w:val="002F5E40"/>
    <w:rsid w:val="002F6210"/>
    <w:rsid w:val="002F6326"/>
    <w:rsid w:val="002F6959"/>
    <w:rsid w:val="002F6AA5"/>
    <w:rsid w:val="002F6B65"/>
    <w:rsid w:val="002F6BA7"/>
    <w:rsid w:val="002F6C3B"/>
    <w:rsid w:val="002F6CC9"/>
    <w:rsid w:val="002F6D21"/>
    <w:rsid w:val="002F6DD4"/>
    <w:rsid w:val="002F6E17"/>
    <w:rsid w:val="002F7106"/>
    <w:rsid w:val="002F7906"/>
    <w:rsid w:val="002F79B0"/>
    <w:rsid w:val="002F7A34"/>
    <w:rsid w:val="002F7A69"/>
    <w:rsid w:val="002F7ACC"/>
    <w:rsid w:val="002F7CC5"/>
    <w:rsid w:val="002F7D1F"/>
    <w:rsid w:val="002F7D74"/>
    <w:rsid w:val="002F7FBE"/>
    <w:rsid w:val="0030083A"/>
    <w:rsid w:val="00300D5B"/>
    <w:rsid w:val="00300E5D"/>
    <w:rsid w:val="00300F9C"/>
    <w:rsid w:val="003011BA"/>
    <w:rsid w:val="00301299"/>
    <w:rsid w:val="00301402"/>
    <w:rsid w:val="003015B2"/>
    <w:rsid w:val="00301726"/>
    <w:rsid w:val="00301782"/>
    <w:rsid w:val="003017DD"/>
    <w:rsid w:val="003018CE"/>
    <w:rsid w:val="0030194D"/>
    <w:rsid w:val="00301966"/>
    <w:rsid w:val="00301B33"/>
    <w:rsid w:val="00301D4B"/>
    <w:rsid w:val="00301DBA"/>
    <w:rsid w:val="00301F3E"/>
    <w:rsid w:val="00301F90"/>
    <w:rsid w:val="0030219B"/>
    <w:rsid w:val="00302241"/>
    <w:rsid w:val="003022B9"/>
    <w:rsid w:val="0030242B"/>
    <w:rsid w:val="00302611"/>
    <w:rsid w:val="00302620"/>
    <w:rsid w:val="003027F2"/>
    <w:rsid w:val="0030284B"/>
    <w:rsid w:val="00302929"/>
    <w:rsid w:val="003029C4"/>
    <w:rsid w:val="00302A41"/>
    <w:rsid w:val="00302D16"/>
    <w:rsid w:val="00302DC7"/>
    <w:rsid w:val="00302E62"/>
    <w:rsid w:val="003030C5"/>
    <w:rsid w:val="00303102"/>
    <w:rsid w:val="003031EF"/>
    <w:rsid w:val="0030345B"/>
    <w:rsid w:val="00303544"/>
    <w:rsid w:val="003037FC"/>
    <w:rsid w:val="00303A32"/>
    <w:rsid w:val="00303B6B"/>
    <w:rsid w:val="00303BA9"/>
    <w:rsid w:val="00303E42"/>
    <w:rsid w:val="00304040"/>
    <w:rsid w:val="003041AE"/>
    <w:rsid w:val="003041FC"/>
    <w:rsid w:val="003044F8"/>
    <w:rsid w:val="003045DC"/>
    <w:rsid w:val="003046DF"/>
    <w:rsid w:val="003046FD"/>
    <w:rsid w:val="00304740"/>
    <w:rsid w:val="003047EE"/>
    <w:rsid w:val="003048BE"/>
    <w:rsid w:val="00304B10"/>
    <w:rsid w:val="00304B4A"/>
    <w:rsid w:val="00304C42"/>
    <w:rsid w:val="00304CEB"/>
    <w:rsid w:val="0030524C"/>
    <w:rsid w:val="003052E4"/>
    <w:rsid w:val="003053B0"/>
    <w:rsid w:val="00305548"/>
    <w:rsid w:val="0030588A"/>
    <w:rsid w:val="0030589E"/>
    <w:rsid w:val="003058EE"/>
    <w:rsid w:val="0030596F"/>
    <w:rsid w:val="00306223"/>
    <w:rsid w:val="00306AD9"/>
    <w:rsid w:val="00306B8C"/>
    <w:rsid w:val="00306C22"/>
    <w:rsid w:val="00306E4A"/>
    <w:rsid w:val="00306E4C"/>
    <w:rsid w:val="00306FC7"/>
    <w:rsid w:val="00307112"/>
    <w:rsid w:val="00307425"/>
    <w:rsid w:val="003075EF"/>
    <w:rsid w:val="0030772E"/>
    <w:rsid w:val="003078CC"/>
    <w:rsid w:val="003078FB"/>
    <w:rsid w:val="00307937"/>
    <w:rsid w:val="00307BA1"/>
    <w:rsid w:val="00307C76"/>
    <w:rsid w:val="00307CE7"/>
    <w:rsid w:val="00307ED2"/>
    <w:rsid w:val="00307F5D"/>
    <w:rsid w:val="003101C7"/>
    <w:rsid w:val="00310231"/>
    <w:rsid w:val="00310255"/>
    <w:rsid w:val="00310377"/>
    <w:rsid w:val="00310420"/>
    <w:rsid w:val="003104F2"/>
    <w:rsid w:val="003105EB"/>
    <w:rsid w:val="00310AEE"/>
    <w:rsid w:val="00310CED"/>
    <w:rsid w:val="00310CF1"/>
    <w:rsid w:val="00310DD5"/>
    <w:rsid w:val="00310F1A"/>
    <w:rsid w:val="0031112B"/>
    <w:rsid w:val="00311327"/>
    <w:rsid w:val="00311372"/>
    <w:rsid w:val="003115A9"/>
    <w:rsid w:val="00311636"/>
    <w:rsid w:val="003116AF"/>
    <w:rsid w:val="003118D0"/>
    <w:rsid w:val="00311948"/>
    <w:rsid w:val="0031198B"/>
    <w:rsid w:val="00311E07"/>
    <w:rsid w:val="00311F07"/>
    <w:rsid w:val="00311F33"/>
    <w:rsid w:val="00312063"/>
    <w:rsid w:val="00312066"/>
    <w:rsid w:val="003120ED"/>
    <w:rsid w:val="00312190"/>
    <w:rsid w:val="00312240"/>
    <w:rsid w:val="003123A7"/>
    <w:rsid w:val="00312448"/>
    <w:rsid w:val="003127A3"/>
    <w:rsid w:val="003127D8"/>
    <w:rsid w:val="003128DB"/>
    <w:rsid w:val="00312C42"/>
    <w:rsid w:val="00312C5A"/>
    <w:rsid w:val="00312CD4"/>
    <w:rsid w:val="00312F29"/>
    <w:rsid w:val="00312FB1"/>
    <w:rsid w:val="00313090"/>
    <w:rsid w:val="003130CB"/>
    <w:rsid w:val="003132CC"/>
    <w:rsid w:val="0031332A"/>
    <w:rsid w:val="003133DF"/>
    <w:rsid w:val="00313C0A"/>
    <w:rsid w:val="00313D2C"/>
    <w:rsid w:val="00313D59"/>
    <w:rsid w:val="003140E1"/>
    <w:rsid w:val="0031422A"/>
    <w:rsid w:val="00314259"/>
    <w:rsid w:val="003143FC"/>
    <w:rsid w:val="003144D6"/>
    <w:rsid w:val="003146E5"/>
    <w:rsid w:val="00314848"/>
    <w:rsid w:val="00314C89"/>
    <w:rsid w:val="00314DDC"/>
    <w:rsid w:val="00315122"/>
    <w:rsid w:val="00315157"/>
    <w:rsid w:val="00315633"/>
    <w:rsid w:val="0031574A"/>
    <w:rsid w:val="00315771"/>
    <w:rsid w:val="003158F1"/>
    <w:rsid w:val="0031598A"/>
    <w:rsid w:val="003159B8"/>
    <w:rsid w:val="00315A5D"/>
    <w:rsid w:val="00315BB5"/>
    <w:rsid w:val="00315DAF"/>
    <w:rsid w:val="00315E15"/>
    <w:rsid w:val="00315E20"/>
    <w:rsid w:val="00315EA4"/>
    <w:rsid w:val="00315F24"/>
    <w:rsid w:val="003166F6"/>
    <w:rsid w:val="00316CCE"/>
    <w:rsid w:val="00316F5F"/>
    <w:rsid w:val="00317147"/>
    <w:rsid w:val="003173E8"/>
    <w:rsid w:val="00317515"/>
    <w:rsid w:val="003175FC"/>
    <w:rsid w:val="00317815"/>
    <w:rsid w:val="00317C3B"/>
    <w:rsid w:val="00317CF2"/>
    <w:rsid w:val="00317D05"/>
    <w:rsid w:val="00317D5B"/>
    <w:rsid w:val="00317EED"/>
    <w:rsid w:val="00317F15"/>
    <w:rsid w:val="00317FD9"/>
    <w:rsid w:val="00320088"/>
    <w:rsid w:val="003201C3"/>
    <w:rsid w:val="00320465"/>
    <w:rsid w:val="003204A5"/>
    <w:rsid w:val="00320572"/>
    <w:rsid w:val="003205DC"/>
    <w:rsid w:val="00320A00"/>
    <w:rsid w:val="00320A16"/>
    <w:rsid w:val="00320CCE"/>
    <w:rsid w:val="00320D15"/>
    <w:rsid w:val="0032103D"/>
    <w:rsid w:val="00321345"/>
    <w:rsid w:val="0032148A"/>
    <w:rsid w:val="00321533"/>
    <w:rsid w:val="00321694"/>
    <w:rsid w:val="0032177C"/>
    <w:rsid w:val="00321818"/>
    <w:rsid w:val="003218AF"/>
    <w:rsid w:val="00321C79"/>
    <w:rsid w:val="00321CC1"/>
    <w:rsid w:val="00321DCB"/>
    <w:rsid w:val="00321EAF"/>
    <w:rsid w:val="003220BC"/>
    <w:rsid w:val="003221B6"/>
    <w:rsid w:val="00322403"/>
    <w:rsid w:val="003224A5"/>
    <w:rsid w:val="003225AC"/>
    <w:rsid w:val="003225C0"/>
    <w:rsid w:val="003225E4"/>
    <w:rsid w:val="00322A74"/>
    <w:rsid w:val="00322B9E"/>
    <w:rsid w:val="00322C15"/>
    <w:rsid w:val="00322DD7"/>
    <w:rsid w:val="00322E9C"/>
    <w:rsid w:val="003231FA"/>
    <w:rsid w:val="00323409"/>
    <w:rsid w:val="0032355C"/>
    <w:rsid w:val="00323666"/>
    <w:rsid w:val="003237CF"/>
    <w:rsid w:val="003238D5"/>
    <w:rsid w:val="00323B0A"/>
    <w:rsid w:val="00323E00"/>
    <w:rsid w:val="00323F19"/>
    <w:rsid w:val="00324454"/>
    <w:rsid w:val="003245F0"/>
    <w:rsid w:val="0032484A"/>
    <w:rsid w:val="00324930"/>
    <w:rsid w:val="00324AEF"/>
    <w:rsid w:val="00324C17"/>
    <w:rsid w:val="00324F52"/>
    <w:rsid w:val="00324FF9"/>
    <w:rsid w:val="003253E1"/>
    <w:rsid w:val="003254A2"/>
    <w:rsid w:val="003254B8"/>
    <w:rsid w:val="0032562B"/>
    <w:rsid w:val="00325B24"/>
    <w:rsid w:val="00325B50"/>
    <w:rsid w:val="00325B93"/>
    <w:rsid w:val="00325DD2"/>
    <w:rsid w:val="00325EBE"/>
    <w:rsid w:val="00326025"/>
    <w:rsid w:val="00326149"/>
    <w:rsid w:val="00326459"/>
    <w:rsid w:val="00326502"/>
    <w:rsid w:val="003265F6"/>
    <w:rsid w:val="003267E6"/>
    <w:rsid w:val="00326800"/>
    <w:rsid w:val="00326B46"/>
    <w:rsid w:val="00326C37"/>
    <w:rsid w:val="00326D35"/>
    <w:rsid w:val="00326D88"/>
    <w:rsid w:val="00327010"/>
    <w:rsid w:val="00327052"/>
    <w:rsid w:val="00327230"/>
    <w:rsid w:val="00327410"/>
    <w:rsid w:val="00327634"/>
    <w:rsid w:val="00327704"/>
    <w:rsid w:val="00327862"/>
    <w:rsid w:val="00327A71"/>
    <w:rsid w:val="00327AAE"/>
    <w:rsid w:val="00327BF7"/>
    <w:rsid w:val="00327D6B"/>
    <w:rsid w:val="00327F12"/>
    <w:rsid w:val="00327F80"/>
    <w:rsid w:val="00327FBC"/>
    <w:rsid w:val="00330063"/>
    <w:rsid w:val="0033010B"/>
    <w:rsid w:val="003302CB"/>
    <w:rsid w:val="00330484"/>
    <w:rsid w:val="003306D4"/>
    <w:rsid w:val="00330817"/>
    <w:rsid w:val="0033087B"/>
    <w:rsid w:val="00330AA7"/>
    <w:rsid w:val="00330C74"/>
    <w:rsid w:val="003310B9"/>
    <w:rsid w:val="003314CB"/>
    <w:rsid w:val="00331651"/>
    <w:rsid w:val="003319B7"/>
    <w:rsid w:val="00331D14"/>
    <w:rsid w:val="00331D62"/>
    <w:rsid w:val="00331DCF"/>
    <w:rsid w:val="00331EF0"/>
    <w:rsid w:val="00331F2C"/>
    <w:rsid w:val="00332150"/>
    <w:rsid w:val="00332262"/>
    <w:rsid w:val="00332462"/>
    <w:rsid w:val="00332615"/>
    <w:rsid w:val="00332E26"/>
    <w:rsid w:val="00332EA8"/>
    <w:rsid w:val="00332EBA"/>
    <w:rsid w:val="00332FD7"/>
    <w:rsid w:val="00333187"/>
    <w:rsid w:val="00333227"/>
    <w:rsid w:val="003332BA"/>
    <w:rsid w:val="0033335A"/>
    <w:rsid w:val="003333AC"/>
    <w:rsid w:val="0033359E"/>
    <w:rsid w:val="00333768"/>
    <w:rsid w:val="00333782"/>
    <w:rsid w:val="0033390D"/>
    <w:rsid w:val="00333BB8"/>
    <w:rsid w:val="00333E32"/>
    <w:rsid w:val="0033416A"/>
    <w:rsid w:val="00334366"/>
    <w:rsid w:val="0033444D"/>
    <w:rsid w:val="003345CC"/>
    <w:rsid w:val="003346BA"/>
    <w:rsid w:val="00334761"/>
    <w:rsid w:val="00334AA4"/>
    <w:rsid w:val="00334B16"/>
    <w:rsid w:val="00334C24"/>
    <w:rsid w:val="00334D83"/>
    <w:rsid w:val="00334DEE"/>
    <w:rsid w:val="00334E85"/>
    <w:rsid w:val="00334EC0"/>
    <w:rsid w:val="0033513B"/>
    <w:rsid w:val="003351CB"/>
    <w:rsid w:val="003352D4"/>
    <w:rsid w:val="00335328"/>
    <w:rsid w:val="003353A9"/>
    <w:rsid w:val="0033545F"/>
    <w:rsid w:val="003355F2"/>
    <w:rsid w:val="003356AF"/>
    <w:rsid w:val="00335765"/>
    <w:rsid w:val="003359C3"/>
    <w:rsid w:val="00335C1B"/>
    <w:rsid w:val="00335D81"/>
    <w:rsid w:val="00335F16"/>
    <w:rsid w:val="003362D6"/>
    <w:rsid w:val="00336413"/>
    <w:rsid w:val="00336431"/>
    <w:rsid w:val="00336515"/>
    <w:rsid w:val="003366C8"/>
    <w:rsid w:val="00336A21"/>
    <w:rsid w:val="00336C02"/>
    <w:rsid w:val="00336CBA"/>
    <w:rsid w:val="00336F04"/>
    <w:rsid w:val="00337162"/>
    <w:rsid w:val="003371A1"/>
    <w:rsid w:val="003372DA"/>
    <w:rsid w:val="003379A1"/>
    <w:rsid w:val="003379D8"/>
    <w:rsid w:val="00337D34"/>
    <w:rsid w:val="00337E60"/>
    <w:rsid w:val="00340137"/>
    <w:rsid w:val="0034016F"/>
    <w:rsid w:val="00340469"/>
    <w:rsid w:val="0034059D"/>
    <w:rsid w:val="003406A6"/>
    <w:rsid w:val="003406C4"/>
    <w:rsid w:val="003408E2"/>
    <w:rsid w:val="00340E54"/>
    <w:rsid w:val="00341063"/>
    <w:rsid w:val="0034116E"/>
    <w:rsid w:val="003411E8"/>
    <w:rsid w:val="0034128B"/>
    <w:rsid w:val="00341627"/>
    <w:rsid w:val="00341738"/>
    <w:rsid w:val="00341864"/>
    <w:rsid w:val="0034199C"/>
    <w:rsid w:val="00341A21"/>
    <w:rsid w:val="00341A53"/>
    <w:rsid w:val="00341AA3"/>
    <w:rsid w:val="003423CC"/>
    <w:rsid w:val="0034271A"/>
    <w:rsid w:val="00342827"/>
    <w:rsid w:val="003428D4"/>
    <w:rsid w:val="0034296A"/>
    <w:rsid w:val="00342A3A"/>
    <w:rsid w:val="00342D14"/>
    <w:rsid w:val="00342F0F"/>
    <w:rsid w:val="00343158"/>
    <w:rsid w:val="003431A1"/>
    <w:rsid w:val="00343220"/>
    <w:rsid w:val="00343271"/>
    <w:rsid w:val="00343288"/>
    <w:rsid w:val="003432E7"/>
    <w:rsid w:val="00343467"/>
    <w:rsid w:val="003438B3"/>
    <w:rsid w:val="003439DF"/>
    <w:rsid w:val="00343B59"/>
    <w:rsid w:val="00343BBD"/>
    <w:rsid w:val="00343C02"/>
    <w:rsid w:val="003443C6"/>
    <w:rsid w:val="003444C2"/>
    <w:rsid w:val="003444CD"/>
    <w:rsid w:val="003446A2"/>
    <w:rsid w:val="003446C5"/>
    <w:rsid w:val="003447E1"/>
    <w:rsid w:val="00344997"/>
    <w:rsid w:val="00344A2C"/>
    <w:rsid w:val="00344CCA"/>
    <w:rsid w:val="00344E0D"/>
    <w:rsid w:val="00345392"/>
    <w:rsid w:val="003453D2"/>
    <w:rsid w:val="0034545E"/>
    <w:rsid w:val="003454D6"/>
    <w:rsid w:val="00345577"/>
    <w:rsid w:val="0034564F"/>
    <w:rsid w:val="00345957"/>
    <w:rsid w:val="00345A76"/>
    <w:rsid w:val="00345E80"/>
    <w:rsid w:val="00345FF1"/>
    <w:rsid w:val="00346075"/>
    <w:rsid w:val="003460D0"/>
    <w:rsid w:val="00346124"/>
    <w:rsid w:val="00346C7F"/>
    <w:rsid w:val="003471D4"/>
    <w:rsid w:val="003471D9"/>
    <w:rsid w:val="00347210"/>
    <w:rsid w:val="003473CB"/>
    <w:rsid w:val="003478DE"/>
    <w:rsid w:val="00347937"/>
    <w:rsid w:val="00347B26"/>
    <w:rsid w:val="00347E56"/>
    <w:rsid w:val="00347FAD"/>
    <w:rsid w:val="00350352"/>
    <w:rsid w:val="00350620"/>
    <w:rsid w:val="0035067F"/>
    <w:rsid w:val="003509D2"/>
    <w:rsid w:val="00350A5C"/>
    <w:rsid w:val="00350F9E"/>
    <w:rsid w:val="00351373"/>
    <w:rsid w:val="003518BB"/>
    <w:rsid w:val="0035194D"/>
    <w:rsid w:val="0035198B"/>
    <w:rsid w:val="00351B50"/>
    <w:rsid w:val="00351E54"/>
    <w:rsid w:val="00351E8F"/>
    <w:rsid w:val="00351EB9"/>
    <w:rsid w:val="0035227E"/>
    <w:rsid w:val="00352434"/>
    <w:rsid w:val="003524EA"/>
    <w:rsid w:val="0035260A"/>
    <w:rsid w:val="00352765"/>
    <w:rsid w:val="003529A1"/>
    <w:rsid w:val="003529B8"/>
    <w:rsid w:val="00352B37"/>
    <w:rsid w:val="00352CF8"/>
    <w:rsid w:val="00352D2D"/>
    <w:rsid w:val="00353017"/>
    <w:rsid w:val="00353030"/>
    <w:rsid w:val="003532B3"/>
    <w:rsid w:val="003533CA"/>
    <w:rsid w:val="00353410"/>
    <w:rsid w:val="00353469"/>
    <w:rsid w:val="003538EF"/>
    <w:rsid w:val="00353C40"/>
    <w:rsid w:val="00353CC9"/>
    <w:rsid w:val="00353D67"/>
    <w:rsid w:val="00353D94"/>
    <w:rsid w:val="00353E80"/>
    <w:rsid w:val="00353E82"/>
    <w:rsid w:val="00353F48"/>
    <w:rsid w:val="00353F99"/>
    <w:rsid w:val="0035413B"/>
    <w:rsid w:val="0035415F"/>
    <w:rsid w:val="003546EA"/>
    <w:rsid w:val="00354948"/>
    <w:rsid w:val="00354CC1"/>
    <w:rsid w:val="00354CF2"/>
    <w:rsid w:val="00354FD8"/>
    <w:rsid w:val="00355603"/>
    <w:rsid w:val="003556B4"/>
    <w:rsid w:val="003556E7"/>
    <w:rsid w:val="00355870"/>
    <w:rsid w:val="00355B53"/>
    <w:rsid w:val="00355BB5"/>
    <w:rsid w:val="00355C08"/>
    <w:rsid w:val="00355C96"/>
    <w:rsid w:val="00355CA6"/>
    <w:rsid w:val="00355DE7"/>
    <w:rsid w:val="00355F02"/>
    <w:rsid w:val="00356072"/>
    <w:rsid w:val="0035607B"/>
    <w:rsid w:val="00356288"/>
    <w:rsid w:val="00356303"/>
    <w:rsid w:val="0035655D"/>
    <w:rsid w:val="003565D5"/>
    <w:rsid w:val="00356656"/>
    <w:rsid w:val="003567E0"/>
    <w:rsid w:val="00356928"/>
    <w:rsid w:val="00356930"/>
    <w:rsid w:val="003569A1"/>
    <w:rsid w:val="00356C7B"/>
    <w:rsid w:val="00356E3D"/>
    <w:rsid w:val="00356FA2"/>
    <w:rsid w:val="00357326"/>
    <w:rsid w:val="0035739F"/>
    <w:rsid w:val="0035752B"/>
    <w:rsid w:val="003575CF"/>
    <w:rsid w:val="00357662"/>
    <w:rsid w:val="003577F1"/>
    <w:rsid w:val="00357869"/>
    <w:rsid w:val="00357A9E"/>
    <w:rsid w:val="00357B1D"/>
    <w:rsid w:val="00357BA6"/>
    <w:rsid w:val="00357D3F"/>
    <w:rsid w:val="00360014"/>
    <w:rsid w:val="0036004C"/>
    <w:rsid w:val="0036014C"/>
    <w:rsid w:val="003601E9"/>
    <w:rsid w:val="003606C8"/>
    <w:rsid w:val="00360769"/>
    <w:rsid w:val="0036083D"/>
    <w:rsid w:val="003608E7"/>
    <w:rsid w:val="003609DB"/>
    <w:rsid w:val="00360BA2"/>
    <w:rsid w:val="00360F2A"/>
    <w:rsid w:val="00361180"/>
    <w:rsid w:val="003615A5"/>
    <w:rsid w:val="003617B4"/>
    <w:rsid w:val="0036185B"/>
    <w:rsid w:val="00361959"/>
    <w:rsid w:val="00361BCB"/>
    <w:rsid w:val="00361C9C"/>
    <w:rsid w:val="00361F67"/>
    <w:rsid w:val="00361F6F"/>
    <w:rsid w:val="0036204E"/>
    <w:rsid w:val="00362118"/>
    <w:rsid w:val="0036219C"/>
    <w:rsid w:val="003621D1"/>
    <w:rsid w:val="00362299"/>
    <w:rsid w:val="00362456"/>
    <w:rsid w:val="0036270F"/>
    <w:rsid w:val="0036288A"/>
    <w:rsid w:val="00362A65"/>
    <w:rsid w:val="00362B1F"/>
    <w:rsid w:val="00362BC0"/>
    <w:rsid w:val="00362C03"/>
    <w:rsid w:val="00362CF7"/>
    <w:rsid w:val="00362D1E"/>
    <w:rsid w:val="00362F53"/>
    <w:rsid w:val="00363035"/>
    <w:rsid w:val="00363117"/>
    <w:rsid w:val="0036334E"/>
    <w:rsid w:val="00363782"/>
    <w:rsid w:val="003638C2"/>
    <w:rsid w:val="00363A69"/>
    <w:rsid w:val="00363D1A"/>
    <w:rsid w:val="00363E55"/>
    <w:rsid w:val="00363EF0"/>
    <w:rsid w:val="00364007"/>
    <w:rsid w:val="00364009"/>
    <w:rsid w:val="0036431E"/>
    <w:rsid w:val="00364597"/>
    <w:rsid w:val="003645FB"/>
    <w:rsid w:val="00364856"/>
    <w:rsid w:val="00364A22"/>
    <w:rsid w:val="00364AC9"/>
    <w:rsid w:val="00364D6C"/>
    <w:rsid w:val="00364E37"/>
    <w:rsid w:val="003651B1"/>
    <w:rsid w:val="0036580D"/>
    <w:rsid w:val="00365982"/>
    <w:rsid w:val="00365A63"/>
    <w:rsid w:val="00365CA2"/>
    <w:rsid w:val="00366018"/>
    <w:rsid w:val="00366452"/>
    <w:rsid w:val="003664AB"/>
    <w:rsid w:val="003664E9"/>
    <w:rsid w:val="0036655A"/>
    <w:rsid w:val="003665D5"/>
    <w:rsid w:val="00366815"/>
    <w:rsid w:val="003668BE"/>
    <w:rsid w:val="00366B58"/>
    <w:rsid w:val="00366C08"/>
    <w:rsid w:val="00366C2C"/>
    <w:rsid w:val="00366ECE"/>
    <w:rsid w:val="00366F19"/>
    <w:rsid w:val="0036700A"/>
    <w:rsid w:val="0036704A"/>
    <w:rsid w:val="00367461"/>
    <w:rsid w:val="003677F6"/>
    <w:rsid w:val="00367AE7"/>
    <w:rsid w:val="00367B5E"/>
    <w:rsid w:val="00367D10"/>
    <w:rsid w:val="00367F19"/>
    <w:rsid w:val="00367F67"/>
    <w:rsid w:val="0037002D"/>
    <w:rsid w:val="003700AD"/>
    <w:rsid w:val="003703A8"/>
    <w:rsid w:val="00370571"/>
    <w:rsid w:val="003705F3"/>
    <w:rsid w:val="003706B7"/>
    <w:rsid w:val="0037080E"/>
    <w:rsid w:val="003709B7"/>
    <w:rsid w:val="00370AA2"/>
    <w:rsid w:val="00370B0D"/>
    <w:rsid w:val="00370B2C"/>
    <w:rsid w:val="00370FB0"/>
    <w:rsid w:val="003714D1"/>
    <w:rsid w:val="0037152F"/>
    <w:rsid w:val="003715B7"/>
    <w:rsid w:val="00371B92"/>
    <w:rsid w:val="00371EE8"/>
    <w:rsid w:val="00371FA7"/>
    <w:rsid w:val="00372276"/>
    <w:rsid w:val="0037229B"/>
    <w:rsid w:val="00372491"/>
    <w:rsid w:val="003724FC"/>
    <w:rsid w:val="00372A04"/>
    <w:rsid w:val="00372A14"/>
    <w:rsid w:val="00372D22"/>
    <w:rsid w:val="00372DCA"/>
    <w:rsid w:val="00372EF8"/>
    <w:rsid w:val="00373173"/>
    <w:rsid w:val="00373660"/>
    <w:rsid w:val="003739FF"/>
    <w:rsid w:val="00373B65"/>
    <w:rsid w:val="00373BC5"/>
    <w:rsid w:val="00373CDF"/>
    <w:rsid w:val="00374139"/>
    <w:rsid w:val="003745BE"/>
    <w:rsid w:val="003749BE"/>
    <w:rsid w:val="00374A00"/>
    <w:rsid w:val="00374E4B"/>
    <w:rsid w:val="00374E6C"/>
    <w:rsid w:val="00374F27"/>
    <w:rsid w:val="00374F56"/>
    <w:rsid w:val="003750B4"/>
    <w:rsid w:val="003750FC"/>
    <w:rsid w:val="003752F1"/>
    <w:rsid w:val="00375365"/>
    <w:rsid w:val="00375385"/>
    <w:rsid w:val="00375389"/>
    <w:rsid w:val="003753F0"/>
    <w:rsid w:val="00375501"/>
    <w:rsid w:val="003756B3"/>
    <w:rsid w:val="003758BA"/>
    <w:rsid w:val="0037590E"/>
    <w:rsid w:val="00375959"/>
    <w:rsid w:val="003759A0"/>
    <w:rsid w:val="003759D9"/>
    <w:rsid w:val="00375AC7"/>
    <w:rsid w:val="00375AF1"/>
    <w:rsid w:val="00375DD0"/>
    <w:rsid w:val="00375E30"/>
    <w:rsid w:val="00376035"/>
    <w:rsid w:val="003763B2"/>
    <w:rsid w:val="00376427"/>
    <w:rsid w:val="00376502"/>
    <w:rsid w:val="0037658A"/>
    <w:rsid w:val="003767BD"/>
    <w:rsid w:val="003767FA"/>
    <w:rsid w:val="0037693D"/>
    <w:rsid w:val="00376AEE"/>
    <w:rsid w:val="00376B74"/>
    <w:rsid w:val="00376B75"/>
    <w:rsid w:val="00376B96"/>
    <w:rsid w:val="00376C7E"/>
    <w:rsid w:val="00377030"/>
    <w:rsid w:val="003772DC"/>
    <w:rsid w:val="003773DA"/>
    <w:rsid w:val="00377679"/>
    <w:rsid w:val="003776D9"/>
    <w:rsid w:val="00377883"/>
    <w:rsid w:val="003778A4"/>
    <w:rsid w:val="00377C80"/>
    <w:rsid w:val="00377C9B"/>
    <w:rsid w:val="00377CA3"/>
    <w:rsid w:val="00377F7F"/>
    <w:rsid w:val="003802A5"/>
    <w:rsid w:val="003803BB"/>
    <w:rsid w:val="00380751"/>
    <w:rsid w:val="00380DD9"/>
    <w:rsid w:val="0038115E"/>
    <w:rsid w:val="0038141C"/>
    <w:rsid w:val="0038143F"/>
    <w:rsid w:val="003819EE"/>
    <w:rsid w:val="00381BEE"/>
    <w:rsid w:val="00381D15"/>
    <w:rsid w:val="00381E20"/>
    <w:rsid w:val="003821D4"/>
    <w:rsid w:val="00382298"/>
    <w:rsid w:val="003823BF"/>
    <w:rsid w:val="003824F7"/>
    <w:rsid w:val="0038252D"/>
    <w:rsid w:val="0038265B"/>
    <w:rsid w:val="0038270D"/>
    <w:rsid w:val="00382798"/>
    <w:rsid w:val="003827EC"/>
    <w:rsid w:val="0038287E"/>
    <w:rsid w:val="003829AC"/>
    <w:rsid w:val="00382AC3"/>
    <w:rsid w:val="00382AE9"/>
    <w:rsid w:val="00382AEA"/>
    <w:rsid w:val="00382B43"/>
    <w:rsid w:val="00382D34"/>
    <w:rsid w:val="00382F2A"/>
    <w:rsid w:val="00382F3F"/>
    <w:rsid w:val="00382FA7"/>
    <w:rsid w:val="00382FC9"/>
    <w:rsid w:val="00383481"/>
    <w:rsid w:val="0038351C"/>
    <w:rsid w:val="0038382D"/>
    <w:rsid w:val="00383DE8"/>
    <w:rsid w:val="00383DEF"/>
    <w:rsid w:val="00384118"/>
    <w:rsid w:val="003841BD"/>
    <w:rsid w:val="0038421B"/>
    <w:rsid w:val="00384325"/>
    <w:rsid w:val="003845D0"/>
    <w:rsid w:val="003845DE"/>
    <w:rsid w:val="0038470D"/>
    <w:rsid w:val="003847C3"/>
    <w:rsid w:val="003849EA"/>
    <w:rsid w:val="00384AB2"/>
    <w:rsid w:val="00384D09"/>
    <w:rsid w:val="0038501C"/>
    <w:rsid w:val="00385077"/>
    <w:rsid w:val="00385363"/>
    <w:rsid w:val="00385458"/>
    <w:rsid w:val="003855F3"/>
    <w:rsid w:val="003855F6"/>
    <w:rsid w:val="00385665"/>
    <w:rsid w:val="003856E3"/>
    <w:rsid w:val="00385722"/>
    <w:rsid w:val="00385736"/>
    <w:rsid w:val="003858BD"/>
    <w:rsid w:val="0038591E"/>
    <w:rsid w:val="00385B28"/>
    <w:rsid w:val="00385B2F"/>
    <w:rsid w:val="00385CB0"/>
    <w:rsid w:val="00385D3E"/>
    <w:rsid w:val="00385D49"/>
    <w:rsid w:val="00385DC1"/>
    <w:rsid w:val="00385DD0"/>
    <w:rsid w:val="00385DE9"/>
    <w:rsid w:val="00385FCB"/>
    <w:rsid w:val="00386025"/>
    <w:rsid w:val="003860EC"/>
    <w:rsid w:val="003862E5"/>
    <w:rsid w:val="003866C9"/>
    <w:rsid w:val="00386859"/>
    <w:rsid w:val="00386873"/>
    <w:rsid w:val="003868C3"/>
    <w:rsid w:val="00386BB3"/>
    <w:rsid w:val="00386C1B"/>
    <w:rsid w:val="00386E75"/>
    <w:rsid w:val="00387055"/>
    <w:rsid w:val="0038736B"/>
    <w:rsid w:val="00387556"/>
    <w:rsid w:val="00387AFF"/>
    <w:rsid w:val="00387D44"/>
    <w:rsid w:val="00387F71"/>
    <w:rsid w:val="00390079"/>
    <w:rsid w:val="00390302"/>
    <w:rsid w:val="0039030A"/>
    <w:rsid w:val="0039037B"/>
    <w:rsid w:val="00390B19"/>
    <w:rsid w:val="00390D79"/>
    <w:rsid w:val="00390E1C"/>
    <w:rsid w:val="003910E6"/>
    <w:rsid w:val="00391162"/>
    <w:rsid w:val="003912BA"/>
    <w:rsid w:val="00391B31"/>
    <w:rsid w:val="00391DF9"/>
    <w:rsid w:val="00391E6B"/>
    <w:rsid w:val="00392216"/>
    <w:rsid w:val="00392591"/>
    <w:rsid w:val="003925C9"/>
    <w:rsid w:val="0039262D"/>
    <w:rsid w:val="003926B0"/>
    <w:rsid w:val="003926C4"/>
    <w:rsid w:val="003926F7"/>
    <w:rsid w:val="00392798"/>
    <w:rsid w:val="0039284D"/>
    <w:rsid w:val="00392ACA"/>
    <w:rsid w:val="00392B2F"/>
    <w:rsid w:val="00392C06"/>
    <w:rsid w:val="00392E3F"/>
    <w:rsid w:val="00392E4D"/>
    <w:rsid w:val="00392EC2"/>
    <w:rsid w:val="00393741"/>
    <w:rsid w:val="003937B1"/>
    <w:rsid w:val="00393AB2"/>
    <w:rsid w:val="00393D4B"/>
    <w:rsid w:val="00393D69"/>
    <w:rsid w:val="003941F0"/>
    <w:rsid w:val="0039420E"/>
    <w:rsid w:val="00394249"/>
    <w:rsid w:val="003942F9"/>
    <w:rsid w:val="003942FE"/>
    <w:rsid w:val="00394359"/>
    <w:rsid w:val="003943B3"/>
    <w:rsid w:val="00394529"/>
    <w:rsid w:val="003946DE"/>
    <w:rsid w:val="003948B3"/>
    <w:rsid w:val="00394915"/>
    <w:rsid w:val="00394968"/>
    <w:rsid w:val="003949F4"/>
    <w:rsid w:val="00394B60"/>
    <w:rsid w:val="00394F1D"/>
    <w:rsid w:val="00395558"/>
    <w:rsid w:val="003956DA"/>
    <w:rsid w:val="003958A6"/>
    <w:rsid w:val="0039593C"/>
    <w:rsid w:val="003959D9"/>
    <w:rsid w:val="00395A10"/>
    <w:rsid w:val="00395BEF"/>
    <w:rsid w:val="00395C56"/>
    <w:rsid w:val="00395D21"/>
    <w:rsid w:val="00396039"/>
    <w:rsid w:val="00396223"/>
    <w:rsid w:val="0039626B"/>
    <w:rsid w:val="00396311"/>
    <w:rsid w:val="003964A6"/>
    <w:rsid w:val="003965C1"/>
    <w:rsid w:val="003965CF"/>
    <w:rsid w:val="003965E5"/>
    <w:rsid w:val="00396798"/>
    <w:rsid w:val="003969EF"/>
    <w:rsid w:val="00396A45"/>
    <w:rsid w:val="0039700C"/>
    <w:rsid w:val="00397015"/>
    <w:rsid w:val="003973D4"/>
    <w:rsid w:val="00397453"/>
    <w:rsid w:val="0039754D"/>
    <w:rsid w:val="003976B1"/>
    <w:rsid w:val="0039773E"/>
    <w:rsid w:val="0039774A"/>
    <w:rsid w:val="003977F3"/>
    <w:rsid w:val="00397895"/>
    <w:rsid w:val="00397982"/>
    <w:rsid w:val="003979A7"/>
    <w:rsid w:val="003979E8"/>
    <w:rsid w:val="00397AAE"/>
    <w:rsid w:val="00397C3A"/>
    <w:rsid w:val="00397FF6"/>
    <w:rsid w:val="003A0037"/>
    <w:rsid w:val="003A0153"/>
    <w:rsid w:val="003A05D3"/>
    <w:rsid w:val="003A08EB"/>
    <w:rsid w:val="003A0957"/>
    <w:rsid w:val="003A0C9E"/>
    <w:rsid w:val="003A0F4D"/>
    <w:rsid w:val="003A1162"/>
    <w:rsid w:val="003A1543"/>
    <w:rsid w:val="003A19B3"/>
    <w:rsid w:val="003A1C38"/>
    <w:rsid w:val="003A1D95"/>
    <w:rsid w:val="003A1FD7"/>
    <w:rsid w:val="003A2009"/>
    <w:rsid w:val="003A2126"/>
    <w:rsid w:val="003A21C3"/>
    <w:rsid w:val="003A2202"/>
    <w:rsid w:val="003A23A6"/>
    <w:rsid w:val="003A2691"/>
    <w:rsid w:val="003A2953"/>
    <w:rsid w:val="003A2A07"/>
    <w:rsid w:val="003A2A5B"/>
    <w:rsid w:val="003A2BD0"/>
    <w:rsid w:val="003A2C04"/>
    <w:rsid w:val="003A2C3C"/>
    <w:rsid w:val="003A2E0A"/>
    <w:rsid w:val="003A2E21"/>
    <w:rsid w:val="003A2F72"/>
    <w:rsid w:val="003A3108"/>
    <w:rsid w:val="003A31D4"/>
    <w:rsid w:val="003A3722"/>
    <w:rsid w:val="003A374D"/>
    <w:rsid w:val="003A37BE"/>
    <w:rsid w:val="003A3A13"/>
    <w:rsid w:val="003A3AC8"/>
    <w:rsid w:val="003A3CCB"/>
    <w:rsid w:val="003A3F59"/>
    <w:rsid w:val="003A406A"/>
    <w:rsid w:val="003A43E2"/>
    <w:rsid w:val="003A473F"/>
    <w:rsid w:val="003A4749"/>
    <w:rsid w:val="003A4760"/>
    <w:rsid w:val="003A4B48"/>
    <w:rsid w:val="003A4C93"/>
    <w:rsid w:val="003A51F2"/>
    <w:rsid w:val="003A5399"/>
    <w:rsid w:val="003A540A"/>
    <w:rsid w:val="003A55ED"/>
    <w:rsid w:val="003A5617"/>
    <w:rsid w:val="003A5834"/>
    <w:rsid w:val="003A58DA"/>
    <w:rsid w:val="003A5A0D"/>
    <w:rsid w:val="003A5ABD"/>
    <w:rsid w:val="003A5BBD"/>
    <w:rsid w:val="003A5EBE"/>
    <w:rsid w:val="003A5EC1"/>
    <w:rsid w:val="003A60C3"/>
    <w:rsid w:val="003A6276"/>
    <w:rsid w:val="003A6420"/>
    <w:rsid w:val="003A678A"/>
    <w:rsid w:val="003A6827"/>
    <w:rsid w:val="003A6972"/>
    <w:rsid w:val="003A6C45"/>
    <w:rsid w:val="003A6D26"/>
    <w:rsid w:val="003A70FC"/>
    <w:rsid w:val="003A725F"/>
    <w:rsid w:val="003A7429"/>
    <w:rsid w:val="003A7439"/>
    <w:rsid w:val="003A7A56"/>
    <w:rsid w:val="003A7E22"/>
    <w:rsid w:val="003B061F"/>
    <w:rsid w:val="003B07B9"/>
    <w:rsid w:val="003B0845"/>
    <w:rsid w:val="003B0853"/>
    <w:rsid w:val="003B0A37"/>
    <w:rsid w:val="003B0AFC"/>
    <w:rsid w:val="003B0BEB"/>
    <w:rsid w:val="003B0ED6"/>
    <w:rsid w:val="003B0F3A"/>
    <w:rsid w:val="003B0FBC"/>
    <w:rsid w:val="003B1083"/>
    <w:rsid w:val="003B113C"/>
    <w:rsid w:val="003B1283"/>
    <w:rsid w:val="003B1362"/>
    <w:rsid w:val="003B13BC"/>
    <w:rsid w:val="003B1616"/>
    <w:rsid w:val="003B1738"/>
    <w:rsid w:val="003B187D"/>
    <w:rsid w:val="003B1A92"/>
    <w:rsid w:val="003B1C14"/>
    <w:rsid w:val="003B1F03"/>
    <w:rsid w:val="003B20A6"/>
    <w:rsid w:val="003B22C2"/>
    <w:rsid w:val="003B2322"/>
    <w:rsid w:val="003B23D9"/>
    <w:rsid w:val="003B23FA"/>
    <w:rsid w:val="003B252A"/>
    <w:rsid w:val="003B27E8"/>
    <w:rsid w:val="003B2EA0"/>
    <w:rsid w:val="003B3519"/>
    <w:rsid w:val="003B3710"/>
    <w:rsid w:val="003B379F"/>
    <w:rsid w:val="003B3973"/>
    <w:rsid w:val="003B3EA7"/>
    <w:rsid w:val="003B3F8D"/>
    <w:rsid w:val="003B4116"/>
    <w:rsid w:val="003B4143"/>
    <w:rsid w:val="003B4363"/>
    <w:rsid w:val="003B443E"/>
    <w:rsid w:val="003B457A"/>
    <w:rsid w:val="003B4B25"/>
    <w:rsid w:val="003B4B60"/>
    <w:rsid w:val="003B4B74"/>
    <w:rsid w:val="003B4B8F"/>
    <w:rsid w:val="003B4E6C"/>
    <w:rsid w:val="003B4F5A"/>
    <w:rsid w:val="003B4FB5"/>
    <w:rsid w:val="003B5246"/>
    <w:rsid w:val="003B5284"/>
    <w:rsid w:val="003B559B"/>
    <w:rsid w:val="003B57FF"/>
    <w:rsid w:val="003B5989"/>
    <w:rsid w:val="003B599A"/>
    <w:rsid w:val="003B59F9"/>
    <w:rsid w:val="003B5A47"/>
    <w:rsid w:val="003B5B70"/>
    <w:rsid w:val="003B5C0D"/>
    <w:rsid w:val="003B5C87"/>
    <w:rsid w:val="003B61E5"/>
    <w:rsid w:val="003B626E"/>
    <w:rsid w:val="003B6BD7"/>
    <w:rsid w:val="003B6E4F"/>
    <w:rsid w:val="003B74D1"/>
    <w:rsid w:val="003B75C5"/>
    <w:rsid w:val="003B76D7"/>
    <w:rsid w:val="003B7713"/>
    <w:rsid w:val="003B7979"/>
    <w:rsid w:val="003B7A54"/>
    <w:rsid w:val="003B7A71"/>
    <w:rsid w:val="003B7B63"/>
    <w:rsid w:val="003B7CD1"/>
    <w:rsid w:val="003B7D61"/>
    <w:rsid w:val="003C0202"/>
    <w:rsid w:val="003C0255"/>
    <w:rsid w:val="003C040F"/>
    <w:rsid w:val="003C04C7"/>
    <w:rsid w:val="003C09E7"/>
    <w:rsid w:val="003C0AD0"/>
    <w:rsid w:val="003C0D98"/>
    <w:rsid w:val="003C1071"/>
    <w:rsid w:val="003C156E"/>
    <w:rsid w:val="003C15C3"/>
    <w:rsid w:val="003C172B"/>
    <w:rsid w:val="003C17E7"/>
    <w:rsid w:val="003C1BA8"/>
    <w:rsid w:val="003C1D40"/>
    <w:rsid w:val="003C1D84"/>
    <w:rsid w:val="003C1F7B"/>
    <w:rsid w:val="003C20B9"/>
    <w:rsid w:val="003C227D"/>
    <w:rsid w:val="003C2C67"/>
    <w:rsid w:val="003C2D09"/>
    <w:rsid w:val="003C2F70"/>
    <w:rsid w:val="003C325C"/>
    <w:rsid w:val="003C3643"/>
    <w:rsid w:val="003C368D"/>
    <w:rsid w:val="003C3876"/>
    <w:rsid w:val="003C38A7"/>
    <w:rsid w:val="003C3910"/>
    <w:rsid w:val="003C39E7"/>
    <w:rsid w:val="003C3A00"/>
    <w:rsid w:val="003C3BD6"/>
    <w:rsid w:val="003C3BF1"/>
    <w:rsid w:val="003C3FC8"/>
    <w:rsid w:val="003C4036"/>
    <w:rsid w:val="003C420B"/>
    <w:rsid w:val="003C4331"/>
    <w:rsid w:val="003C4385"/>
    <w:rsid w:val="003C46E7"/>
    <w:rsid w:val="003C4715"/>
    <w:rsid w:val="003C4783"/>
    <w:rsid w:val="003C48CC"/>
    <w:rsid w:val="003C4B02"/>
    <w:rsid w:val="003C4C94"/>
    <w:rsid w:val="003C4D4B"/>
    <w:rsid w:val="003C4F5A"/>
    <w:rsid w:val="003C50A4"/>
    <w:rsid w:val="003C519E"/>
    <w:rsid w:val="003C51B1"/>
    <w:rsid w:val="003C520E"/>
    <w:rsid w:val="003C539D"/>
    <w:rsid w:val="003C543D"/>
    <w:rsid w:val="003C54C1"/>
    <w:rsid w:val="003C566A"/>
    <w:rsid w:val="003C5937"/>
    <w:rsid w:val="003C5C6C"/>
    <w:rsid w:val="003C5D2A"/>
    <w:rsid w:val="003C5D79"/>
    <w:rsid w:val="003C5EEE"/>
    <w:rsid w:val="003C60E0"/>
    <w:rsid w:val="003C6218"/>
    <w:rsid w:val="003C62CA"/>
    <w:rsid w:val="003C6385"/>
    <w:rsid w:val="003C65BD"/>
    <w:rsid w:val="003C670B"/>
    <w:rsid w:val="003C6793"/>
    <w:rsid w:val="003C695A"/>
    <w:rsid w:val="003C6C64"/>
    <w:rsid w:val="003C6D79"/>
    <w:rsid w:val="003C6E41"/>
    <w:rsid w:val="003C6ED0"/>
    <w:rsid w:val="003C6ED8"/>
    <w:rsid w:val="003C6F02"/>
    <w:rsid w:val="003C76EB"/>
    <w:rsid w:val="003C7764"/>
    <w:rsid w:val="003C7982"/>
    <w:rsid w:val="003C7A0D"/>
    <w:rsid w:val="003C7BAB"/>
    <w:rsid w:val="003C7D40"/>
    <w:rsid w:val="003C7D6B"/>
    <w:rsid w:val="003C7EC2"/>
    <w:rsid w:val="003C7F79"/>
    <w:rsid w:val="003D01C9"/>
    <w:rsid w:val="003D0208"/>
    <w:rsid w:val="003D02BC"/>
    <w:rsid w:val="003D033F"/>
    <w:rsid w:val="003D05C2"/>
    <w:rsid w:val="003D06C7"/>
    <w:rsid w:val="003D07E7"/>
    <w:rsid w:val="003D098A"/>
    <w:rsid w:val="003D0BF0"/>
    <w:rsid w:val="003D0E5C"/>
    <w:rsid w:val="003D0ED6"/>
    <w:rsid w:val="003D0FD1"/>
    <w:rsid w:val="003D0FDF"/>
    <w:rsid w:val="003D10B4"/>
    <w:rsid w:val="003D1221"/>
    <w:rsid w:val="003D15EF"/>
    <w:rsid w:val="003D17BF"/>
    <w:rsid w:val="003D18D3"/>
    <w:rsid w:val="003D1A92"/>
    <w:rsid w:val="003D1B37"/>
    <w:rsid w:val="003D1C67"/>
    <w:rsid w:val="003D1E32"/>
    <w:rsid w:val="003D2062"/>
    <w:rsid w:val="003D206F"/>
    <w:rsid w:val="003D223E"/>
    <w:rsid w:val="003D2391"/>
    <w:rsid w:val="003D25BB"/>
    <w:rsid w:val="003D26CF"/>
    <w:rsid w:val="003D287A"/>
    <w:rsid w:val="003D2D25"/>
    <w:rsid w:val="003D2DE2"/>
    <w:rsid w:val="003D2E7A"/>
    <w:rsid w:val="003D2EB1"/>
    <w:rsid w:val="003D32A3"/>
    <w:rsid w:val="003D3419"/>
    <w:rsid w:val="003D3452"/>
    <w:rsid w:val="003D3586"/>
    <w:rsid w:val="003D3701"/>
    <w:rsid w:val="003D3796"/>
    <w:rsid w:val="003D38BF"/>
    <w:rsid w:val="003D3C2A"/>
    <w:rsid w:val="003D3C5E"/>
    <w:rsid w:val="003D3C72"/>
    <w:rsid w:val="003D3E4C"/>
    <w:rsid w:val="003D3F1B"/>
    <w:rsid w:val="003D408F"/>
    <w:rsid w:val="003D43A4"/>
    <w:rsid w:val="003D4A30"/>
    <w:rsid w:val="003D4BD0"/>
    <w:rsid w:val="003D4C42"/>
    <w:rsid w:val="003D4E12"/>
    <w:rsid w:val="003D520F"/>
    <w:rsid w:val="003D5287"/>
    <w:rsid w:val="003D53DD"/>
    <w:rsid w:val="003D588C"/>
    <w:rsid w:val="003D59A4"/>
    <w:rsid w:val="003D5B2A"/>
    <w:rsid w:val="003D5DA7"/>
    <w:rsid w:val="003D5EC2"/>
    <w:rsid w:val="003D5FFB"/>
    <w:rsid w:val="003D600B"/>
    <w:rsid w:val="003D60EF"/>
    <w:rsid w:val="003D62F4"/>
    <w:rsid w:val="003D6301"/>
    <w:rsid w:val="003D641D"/>
    <w:rsid w:val="003D6439"/>
    <w:rsid w:val="003D66A0"/>
    <w:rsid w:val="003D67EA"/>
    <w:rsid w:val="003D6811"/>
    <w:rsid w:val="003D6851"/>
    <w:rsid w:val="003D6D9D"/>
    <w:rsid w:val="003D6F2B"/>
    <w:rsid w:val="003D6F5C"/>
    <w:rsid w:val="003D6FBE"/>
    <w:rsid w:val="003D6FC3"/>
    <w:rsid w:val="003D7016"/>
    <w:rsid w:val="003D7047"/>
    <w:rsid w:val="003D71FD"/>
    <w:rsid w:val="003D72DF"/>
    <w:rsid w:val="003D750E"/>
    <w:rsid w:val="003D75AB"/>
    <w:rsid w:val="003D79C0"/>
    <w:rsid w:val="003D7A0C"/>
    <w:rsid w:val="003D7B06"/>
    <w:rsid w:val="003D7F4B"/>
    <w:rsid w:val="003D7FAE"/>
    <w:rsid w:val="003E01D2"/>
    <w:rsid w:val="003E0332"/>
    <w:rsid w:val="003E050A"/>
    <w:rsid w:val="003E09B3"/>
    <w:rsid w:val="003E0C37"/>
    <w:rsid w:val="003E0D2B"/>
    <w:rsid w:val="003E0DED"/>
    <w:rsid w:val="003E0E10"/>
    <w:rsid w:val="003E0EB7"/>
    <w:rsid w:val="003E140A"/>
    <w:rsid w:val="003E1710"/>
    <w:rsid w:val="003E17BA"/>
    <w:rsid w:val="003E18D2"/>
    <w:rsid w:val="003E1AB5"/>
    <w:rsid w:val="003E1BC8"/>
    <w:rsid w:val="003E1E00"/>
    <w:rsid w:val="003E1F54"/>
    <w:rsid w:val="003E1F77"/>
    <w:rsid w:val="003E228D"/>
    <w:rsid w:val="003E24C0"/>
    <w:rsid w:val="003E2687"/>
    <w:rsid w:val="003E276F"/>
    <w:rsid w:val="003E279E"/>
    <w:rsid w:val="003E2961"/>
    <w:rsid w:val="003E2A8B"/>
    <w:rsid w:val="003E2ACC"/>
    <w:rsid w:val="003E2C46"/>
    <w:rsid w:val="003E2C80"/>
    <w:rsid w:val="003E2EC6"/>
    <w:rsid w:val="003E2FDD"/>
    <w:rsid w:val="003E32C1"/>
    <w:rsid w:val="003E33B4"/>
    <w:rsid w:val="003E3457"/>
    <w:rsid w:val="003E35D1"/>
    <w:rsid w:val="003E375B"/>
    <w:rsid w:val="003E3781"/>
    <w:rsid w:val="003E384A"/>
    <w:rsid w:val="003E3894"/>
    <w:rsid w:val="003E3B40"/>
    <w:rsid w:val="003E3B8A"/>
    <w:rsid w:val="003E3BFB"/>
    <w:rsid w:val="003E3C4B"/>
    <w:rsid w:val="003E3F40"/>
    <w:rsid w:val="003E3F6D"/>
    <w:rsid w:val="003E3FF1"/>
    <w:rsid w:val="003E4121"/>
    <w:rsid w:val="003E4199"/>
    <w:rsid w:val="003E465F"/>
    <w:rsid w:val="003E46C0"/>
    <w:rsid w:val="003E473D"/>
    <w:rsid w:val="003E474A"/>
    <w:rsid w:val="003E4848"/>
    <w:rsid w:val="003E4916"/>
    <w:rsid w:val="003E49A0"/>
    <w:rsid w:val="003E4A28"/>
    <w:rsid w:val="003E4EA4"/>
    <w:rsid w:val="003E51EA"/>
    <w:rsid w:val="003E536E"/>
    <w:rsid w:val="003E56E3"/>
    <w:rsid w:val="003E588B"/>
    <w:rsid w:val="003E58D5"/>
    <w:rsid w:val="003E5A57"/>
    <w:rsid w:val="003E5D30"/>
    <w:rsid w:val="003E5EE3"/>
    <w:rsid w:val="003E630E"/>
    <w:rsid w:val="003E6311"/>
    <w:rsid w:val="003E6554"/>
    <w:rsid w:val="003E6659"/>
    <w:rsid w:val="003E66F1"/>
    <w:rsid w:val="003E6A0A"/>
    <w:rsid w:val="003E6D9C"/>
    <w:rsid w:val="003E6DCB"/>
    <w:rsid w:val="003E6EE9"/>
    <w:rsid w:val="003E6F0A"/>
    <w:rsid w:val="003E6F49"/>
    <w:rsid w:val="003E724A"/>
    <w:rsid w:val="003E7526"/>
    <w:rsid w:val="003E75D1"/>
    <w:rsid w:val="003E766D"/>
    <w:rsid w:val="003E776F"/>
    <w:rsid w:val="003E77BA"/>
    <w:rsid w:val="003E7BBC"/>
    <w:rsid w:val="003E7BC7"/>
    <w:rsid w:val="003E7D6C"/>
    <w:rsid w:val="003E7E05"/>
    <w:rsid w:val="003E7EFE"/>
    <w:rsid w:val="003E7F70"/>
    <w:rsid w:val="003EF477"/>
    <w:rsid w:val="003F0022"/>
    <w:rsid w:val="003F0174"/>
    <w:rsid w:val="003F04CE"/>
    <w:rsid w:val="003F0621"/>
    <w:rsid w:val="003F079C"/>
    <w:rsid w:val="003F090F"/>
    <w:rsid w:val="003F09CE"/>
    <w:rsid w:val="003F0A0C"/>
    <w:rsid w:val="003F0A39"/>
    <w:rsid w:val="003F0BB2"/>
    <w:rsid w:val="003F107F"/>
    <w:rsid w:val="003F10A7"/>
    <w:rsid w:val="003F11A0"/>
    <w:rsid w:val="003F1637"/>
    <w:rsid w:val="003F18B6"/>
    <w:rsid w:val="003F1966"/>
    <w:rsid w:val="003F19A8"/>
    <w:rsid w:val="003F1C29"/>
    <w:rsid w:val="003F1D4B"/>
    <w:rsid w:val="003F1D85"/>
    <w:rsid w:val="003F1EB0"/>
    <w:rsid w:val="003F1F15"/>
    <w:rsid w:val="003F1F65"/>
    <w:rsid w:val="003F2343"/>
    <w:rsid w:val="003F25B6"/>
    <w:rsid w:val="003F25C0"/>
    <w:rsid w:val="003F2700"/>
    <w:rsid w:val="003F2738"/>
    <w:rsid w:val="003F292E"/>
    <w:rsid w:val="003F29D4"/>
    <w:rsid w:val="003F29F5"/>
    <w:rsid w:val="003F2A97"/>
    <w:rsid w:val="003F2AB3"/>
    <w:rsid w:val="003F2C84"/>
    <w:rsid w:val="003F2D38"/>
    <w:rsid w:val="003F2E42"/>
    <w:rsid w:val="003F32B9"/>
    <w:rsid w:val="003F38F2"/>
    <w:rsid w:val="003F3C90"/>
    <w:rsid w:val="003F3CE7"/>
    <w:rsid w:val="003F3CEB"/>
    <w:rsid w:val="003F3D6E"/>
    <w:rsid w:val="003F4393"/>
    <w:rsid w:val="003F43DC"/>
    <w:rsid w:val="003F4820"/>
    <w:rsid w:val="003F4964"/>
    <w:rsid w:val="003F4C05"/>
    <w:rsid w:val="003F4C94"/>
    <w:rsid w:val="003F4D62"/>
    <w:rsid w:val="003F4D67"/>
    <w:rsid w:val="003F4EAD"/>
    <w:rsid w:val="003F4FCA"/>
    <w:rsid w:val="003F50EF"/>
    <w:rsid w:val="003F5122"/>
    <w:rsid w:val="003F52F0"/>
    <w:rsid w:val="003F52F4"/>
    <w:rsid w:val="003F5907"/>
    <w:rsid w:val="003F5B32"/>
    <w:rsid w:val="003F5D45"/>
    <w:rsid w:val="003F5FA0"/>
    <w:rsid w:val="003F604A"/>
    <w:rsid w:val="003F62D8"/>
    <w:rsid w:val="003F640A"/>
    <w:rsid w:val="003F67AA"/>
    <w:rsid w:val="003F690F"/>
    <w:rsid w:val="003F6B82"/>
    <w:rsid w:val="003F6C26"/>
    <w:rsid w:val="003F6C77"/>
    <w:rsid w:val="003F6D11"/>
    <w:rsid w:val="003F70CF"/>
    <w:rsid w:val="003F7136"/>
    <w:rsid w:val="003F7386"/>
    <w:rsid w:val="003F78B6"/>
    <w:rsid w:val="003F7AF1"/>
    <w:rsid w:val="003F7C58"/>
    <w:rsid w:val="003F7D3B"/>
    <w:rsid w:val="003F7F38"/>
    <w:rsid w:val="00400161"/>
    <w:rsid w:val="00400702"/>
    <w:rsid w:val="00400737"/>
    <w:rsid w:val="004008AB"/>
    <w:rsid w:val="00400B20"/>
    <w:rsid w:val="00400EDC"/>
    <w:rsid w:val="0040101D"/>
    <w:rsid w:val="00401180"/>
    <w:rsid w:val="004013B4"/>
    <w:rsid w:val="004015CA"/>
    <w:rsid w:val="00401A94"/>
    <w:rsid w:val="00401AD2"/>
    <w:rsid w:val="00401C02"/>
    <w:rsid w:val="00401C92"/>
    <w:rsid w:val="004023CA"/>
    <w:rsid w:val="0040248E"/>
    <w:rsid w:val="004024AC"/>
    <w:rsid w:val="00402572"/>
    <w:rsid w:val="004025E9"/>
    <w:rsid w:val="00402630"/>
    <w:rsid w:val="00402671"/>
    <w:rsid w:val="004027FA"/>
    <w:rsid w:val="004028FB"/>
    <w:rsid w:val="004029B0"/>
    <w:rsid w:val="00402D44"/>
    <w:rsid w:val="00402D55"/>
    <w:rsid w:val="00402DFB"/>
    <w:rsid w:val="00402E2C"/>
    <w:rsid w:val="0040308C"/>
    <w:rsid w:val="004030D3"/>
    <w:rsid w:val="004030E0"/>
    <w:rsid w:val="00403153"/>
    <w:rsid w:val="004031CD"/>
    <w:rsid w:val="00403211"/>
    <w:rsid w:val="004032B1"/>
    <w:rsid w:val="004033BD"/>
    <w:rsid w:val="0040368F"/>
    <w:rsid w:val="00403700"/>
    <w:rsid w:val="0040375A"/>
    <w:rsid w:val="00403833"/>
    <w:rsid w:val="0040391D"/>
    <w:rsid w:val="00403962"/>
    <w:rsid w:val="00403B45"/>
    <w:rsid w:val="00403BAF"/>
    <w:rsid w:val="00403DA8"/>
    <w:rsid w:val="004041F2"/>
    <w:rsid w:val="0040438F"/>
    <w:rsid w:val="0040440C"/>
    <w:rsid w:val="004046B0"/>
    <w:rsid w:val="00404861"/>
    <w:rsid w:val="00404B17"/>
    <w:rsid w:val="00405053"/>
    <w:rsid w:val="00405476"/>
    <w:rsid w:val="00405560"/>
    <w:rsid w:val="00405868"/>
    <w:rsid w:val="0040595F"/>
    <w:rsid w:val="00405B9E"/>
    <w:rsid w:val="00405CAB"/>
    <w:rsid w:val="00405E1E"/>
    <w:rsid w:val="00405ED2"/>
    <w:rsid w:val="004061CC"/>
    <w:rsid w:val="0040659A"/>
    <w:rsid w:val="004065DF"/>
    <w:rsid w:val="00406674"/>
    <w:rsid w:val="004067FD"/>
    <w:rsid w:val="00406874"/>
    <w:rsid w:val="00406B29"/>
    <w:rsid w:val="00406EB2"/>
    <w:rsid w:val="00407000"/>
    <w:rsid w:val="00407050"/>
    <w:rsid w:val="00407073"/>
    <w:rsid w:val="0040710B"/>
    <w:rsid w:val="0040710E"/>
    <w:rsid w:val="00407188"/>
    <w:rsid w:val="004073C0"/>
    <w:rsid w:val="00407668"/>
    <w:rsid w:val="00407885"/>
    <w:rsid w:val="00407BA2"/>
    <w:rsid w:val="00407BC2"/>
    <w:rsid w:val="00407D90"/>
    <w:rsid w:val="00407DFA"/>
    <w:rsid w:val="00407F1D"/>
    <w:rsid w:val="00410009"/>
    <w:rsid w:val="00410090"/>
    <w:rsid w:val="004103E2"/>
    <w:rsid w:val="00410573"/>
    <w:rsid w:val="00410627"/>
    <w:rsid w:val="0041079B"/>
    <w:rsid w:val="004109CB"/>
    <w:rsid w:val="004109D6"/>
    <w:rsid w:val="00410BB6"/>
    <w:rsid w:val="00411248"/>
    <w:rsid w:val="0041130E"/>
    <w:rsid w:val="00411345"/>
    <w:rsid w:val="004113A3"/>
    <w:rsid w:val="004113CE"/>
    <w:rsid w:val="00411425"/>
    <w:rsid w:val="004115AB"/>
    <w:rsid w:val="00411A29"/>
    <w:rsid w:val="00411A88"/>
    <w:rsid w:val="00411BF4"/>
    <w:rsid w:val="00411DE3"/>
    <w:rsid w:val="004121CD"/>
    <w:rsid w:val="004122FF"/>
    <w:rsid w:val="00412453"/>
    <w:rsid w:val="00412682"/>
    <w:rsid w:val="00412C54"/>
    <w:rsid w:val="00412D27"/>
    <w:rsid w:val="00412FBA"/>
    <w:rsid w:val="004131F8"/>
    <w:rsid w:val="004132F1"/>
    <w:rsid w:val="0041349D"/>
    <w:rsid w:val="00413992"/>
    <w:rsid w:val="00413A0A"/>
    <w:rsid w:val="00413BE2"/>
    <w:rsid w:val="00413E02"/>
    <w:rsid w:val="00413E50"/>
    <w:rsid w:val="00413E6A"/>
    <w:rsid w:val="0041404B"/>
    <w:rsid w:val="0041440F"/>
    <w:rsid w:val="004146BF"/>
    <w:rsid w:val="004148A9"/>
    <w:rsid w:val="004148B4"/>
    <w:rsid w:val="00414903"/>
    <w:rsid w:val="00414C5F"/>
    <w:rsid w:val="004150A2"/>
    <w:rsid w:val="00415269"/>
    <w:rsid w:val="004153B2"/>
    <w:rsid w:val="00415586"/>
    <w:rsid w:val="004155E4"/>
    <w:rsid w:val="004156FB"/>
    <w:rsid w:val="00415A16"/>
    <w:rsid w:val="00415AB7"/>
    <w:rsid w:val="00415C63"/>
    <w:rsid w:val="00415F33"/>
    <w:rsid w:val="0041679E"/>
    <w:rsid w:val="004167C7"/>
    <w:rsid w:val="00416804"/>
    <w:rsid w:val="004169BE"/>
    <w:rsid w:val="00416EB9"/>
    <w:rsid w:val="00416F39"/>
    <w:rsid w:val="00417055"/>
    <w:rsid w:val="004170DF"/>
    <w:rsid w:val="00417103"/>
    <w:rsid w:val="00417108"/>
    <w:rsid w:val="00417200"/>
    <w:rsid w:val="00417350"/>
    <w:rsid w:val="00417418"/>
    <w:rsid w:val="0041757D"/>
    <w:rsid w:val="0041772C"/>
    <w:rsid w:val="00417A3F"/>
    <w:rsid w:val="00417B70"/>
    <w:rsid w:val="00417B8B"/>
    <w:rsid w:val="00417EC7"/>
    <w:rsid w:val="00417F26"/>
    <w:rsid w:val="00420214"/>
    <w:rsid w:val="0042077D"/>
    <w:rsid w:val="00420820"/>
    <w:rsid w:val="004208F3"/>
    <w:rsid w:val="0042091C"/>
    <w:rsid w:val="00420CCB"/>
    <w:rsid w:val="00420D12"/>
    <w:rsid w:val="00420F71"/>
    <w:rsid w:val="0042131D"/>
    <w:rsid w:val="0042137C"/>
    <w:rsid w:val="004213F9"/>
    <w:rsid w:val="004214E7"/>
    <w:rsid w:val="00421534"/>
    <w:rsid w:val="004216B5"/>
    <w:rsid w:val="00421758"/>
    <w:rsid w:val="0042186E"/>
    <w:rsid w:val="0042188E"/>
    <w:rsid w:val="004218F8"/>
    <w:rsid w:val="00421A5C"/>
    <w:rsid w:val="00421B09"/>
    <w:rsid w:val="00421B37"/>
    <w:rsid w:val="00421D30"/>
    <w:rsid w:val="00421E01"/>
    <w:rsid w:val="00421E75"/>
    <w:rsid w:val="00422084"/>
    <w:rsid w:val="004223F2"/>
    <w:rsid w:val="0042256E"/>
    <w:rsid w:val="00422624"/>
    <w:rsid w:val="00422625"/>
    <w:rsid w:val="00422649"/>
    <w:rsid w:val="00422676"/>
    <w:rsid w:val="004227F1"/>
    <w:rsid w:val="00422935"/>
    <w:rsid w:val="00422A6A"/>
    <w:rsid w:val="00422ECF"/>
    <w:rsid w:val="0042302B"/>
    <w:rsid w:val="00423057"/>
    <w:rsid w:val="004230A7"/>
    <w:rsid w:val="00423258"/>
    <w:rsid w:val="004235FA"/>
    <w:rsid w:val="0042370C"/>
    <w:rsid w:val="00423816"/>
    <w:rsid w:val="00423BF1"/>
    <w:rsid w:val="00423D02"/>
    <w:rsid w:val="004246A0"/>
    <w:rsid w:val="00424B4A"/>
    <w:rsid w:val="00424C07"/>
    <w:rsid w:val="004255CA"/>
    <w:rsid w:val="00425645"/>
    <w:rsid w:val="00425766"/>
    <w:rsid w:val="00425ADC"/>
    <w:rsid w:val="00425B21"/>
    <w:rsid w:val="00425B82"/>
    <w:rsid w:val="00425D5C"/>
    <w:rsid w:val="00425EFA"/>
    <w:rsid w:val="004265E9"/>
    <w:rsid w:val="0042664E"/>
    <w:rsid w:val="00426733"/>
    <w:rsid w:val="0042678F"/>
    <w:rsid w:val="004269D9"/>
    <w:rsid w:val="00426B71"/>
    <w:rsid w:val="00426CD9"/>
    <w:rsid w:val="00426D7F"/>
    <w:rsid w:val="00426F41"/>
    <w:rsid w:val="00426FF1"/>
    <w:rsid w:val="004270A7"/>
    <w:rsid w:val="00427217"/>
    <w:rsid w:val="00427256"/>
    <w:rsid w:val="004272BB"/>
    <w:rsid w:val="004274DD"/>
    <w:rsid w:val="004277D3"/>
    <w:rsid w:val="004279C1"/>
    <w:rsid w:val="00427AA9"/>
    <w:rsid w:val="00427D40"/>
    <w:rsid w:val="00427F0E"/>
    <w:rsid w:val="00427F97"/>
    <w:rsid w:val="004306BC"/>
    <w:rsid w:val="00430762"/>
    <w:rsid w:val="004307E9"/>
    <w:rsid w:val="00430831"/>
    <w:rsid w:val="00430A75"/>
    <w:rsid w:val="00430B89"/>
    <w:rsid w:val="00430CCA"/>
    <w:rsid w:val="00430E00"/>
    <w:rsid w:val="00431081"/>
    <w:rsid w:val="00431336"/>
    <w:rsid w:val="0043144C"/>
    <w:rsid w:val="004318F5"/>
    <w:rsid w:val="00431E76"/>
    <w:rsid w:val="00431FC8"/>
    <w:rsid w:val="004320D0"/>
    <w:rsid w:val="004321F3"/>
    <w:rsid w:val="0043223B"/>
    <w:rsid w:val="004322A7"/>
    <w:rsid w:val="00432368"/>
    <w:rsid w:val="0043246E"/>
    <w:rsid w:val="00432475"/>
    <w:rsid w:val="004324CB"/>
    <w:rsid w:val="004325E6"/>
    <w:rsid w:val="00432945"/>
    <w:rsid w:val="00432998"/>
    <w:rsid w:val="004329D1"/>
    <w:rsid w:val="00432B10"/>
    <w:rsid w:val="00432C39"/>
    <w:rsid w:val="00432C56"/>
    <w:rsid w:val="00432FD8"/>
    <w:rsid w:val="0043323C"/>
    <w:rsid w:val="00433328"/>
    <w:rsid w:val="00433386"/>
    <w:rsid w:val="004334FE"/>
    <w:rsid w:val="004335B5"/>
    <w:rsid w:val="00433759"/>
    <w:rsid w:val="004337F2"/>
    <w:rsid w:val="00433C40"/>
    <w:rsid w:val="00433CEF"/>
    <w:rsid w:val="00433E1D"/>
    <w:rsid w:val="0043404C"/>
    <w:rsid w:val="00434058"/>
    <w:rsid w:val="0043473E"/>
    <w:rsid w:val="00434ABA"/>
    <w:rsid w:val="00434D76"/>
    <w:rsid w:val="00434DCD"/>
    <w:rsid w:val="0043505E"/>
    <w:rsid w:val="0043516E"/>
    <w:rsid w:val="00435256"/>
    <w:rsid w:val="00435743"/>
    <w:rsid w:val="00435804"/>
    <w:rsid w:val="00435867"/>
    <w:rsid w:val="004359A5"/>
    <w:rsid w:val="00435BB6"/>
    <w:rsid w:val="00435E0F"/>
    <w:rsid w:val="00435E89"/>
    <w:rsid w:val="00435FA4"/>
    <w:rsid w:val="004361EE"/>
    <w:rsid w:val="00436529"/>
    <w:rsid w:val="004365B6"/>
    <w:rsid w:val="004365D6"/>
    <w:rsid w:val="0043661A"/>
    <w:rsid w:val="00436882"/>
    <w:rsid w:val="004369C7"/>
    <w:rsid w:val="00436D6E"/>
    <w:rsid w:val="00436EEB"/>
    <w:rsid w:val="00436F7B"/>
    <w:rsid w:val="00437267"/>
    <w:rsid w:val="00437288"/>
    <w:rsid w:val="004377B3"/>
    <w:rsid w:val="0043797D"/>
    <w:rsid w:val="00437A1C"/>
    <w:rsid w:val="00437B49"/>
    <w:rsid w:val="00437C29"/>
    <w:rsid w:val="00437C40"/>
    <w:rsid w:val="00437DB9"/>
    <w:rsid w:val="00437EED"/>
    <w:rsid w:val="00437F72"/>
    <w:rsid w:val="00440091"/>
    <w:rsid w:val="00440105"/>
    <w:rsid w:val="00440129"/>
    <w:rsid w:val="0044028F"/>
    <w:rsid w:val="004402A4"/>
    <w:rsid w:val="0044031D"/>
    <w:rsid w:val="004403A7"/>
    <w:rsid w:val="004409D6"/>
    <w:rsid w:val="004409E6"/>
    <w:rsid w:val="00440AC0"/>
    <w:rsid w:val="00440C4A"/>
    <w:rsid w:val="00440E24"/>
    <w:rsid w:val="00440EF1"/>
    <w:rsid w:val="004410AD"/>
    <w:rsid w:val="0044113C"/>
    <w:rsid w:val="004413A7"/>
    <w:rsid w:val="004413B8"/>
    <w:rsid w:val="004419A5"/>
    <w:rsid w:val="00441CEB"/>
    <w:rsid w:val="00441D7B"/>
    <w:rsid w:val="00441E15"/>
    <w:rsid w:val="00441F6E"/>
    <w:rsid w:val="004421AF"/>
    <w:rsid w:val="00442340"/>
    <w:rsid w:val="004423EC"/>
    <w:rsid w:val="00442964"/>
    <w:rsid w:val="00442A99"/>
    <w:rsid w:val="00442ACB"/>
    <w:rsid w:val="00442CE1"/>
    <w:rsid w:val="00442FF6"/>
    <w:rsid w:val="00443150"/>
    <w:rsid w:val="00443300"/>
    <w:rsid w:val="004433FC"/>
    <w:rsid w:val="00443436"/>
    <w:rsid w:val="00443518"/>
    <w:rsid w:val="0044401F"/>
    <w:rsid w:val="0044423C"/>
    <w:rsid w:val="00444439"/>
    <w:rsid w:val="00444466"/>
    <w:rsid w:val="00444803"/>
    <w:rsid w:val="00444B55"/>
    <w:rsid w:val="00444D2C"/>
    <w:rsid w:val="00445155"/>
    <w:rsid w:val="00445246"/>
    <w:rsid w:val="004452DB"/>
    <w:rsid w:val="00445428"/>
    <w:rsid w:val="00445553"/>
    <w:rsid w:val="004457EE"/>
    <w:rsid w:val="004458A6"/>
    <w:rsid w:val="00445BA0"/>
    <w:rsid w:val="00445C3A"/>
    <w:rsid w:val="00445D98"/>
    <w:rsid w:val="00445E57"/>
    <w:rsid w:val="00445E60"/>
    <w:rsid w:val="00445EF4"/>
    <w:rsid w:val="00445F54"/>
    <w:rsid w:val="00446323"/>
    <w:rsid w:val="0044632D"/>
    <w:rsid w:val="0044653F"/>
    <w:rsid w:val="00446BA4"/>
    <w:rsid w:val="00446C1E"/>
    <w:rsid w:val="00446CF6"/>
    <w:rsid w:val="00446E19"/>
    <w:rsid w:val="00446EC9"/>
    <w:rsid w:val="00447069"/>
    <w:rsid w:val="00447073"/>
    <w:rsid w:val="004472BE"/>
    <w:rsid w:val="004473E8"/>
    <w:rsid w:val="004475E2"/>
    <w:rsid w:val="004476FA"/>
    <w:rsid w:val="00447749"/>
    <w:rsid w:val="004477D7"/>
    <w:rsid w:val="004477D9"/>
    <w:rsid w:val="00447D6A"/>
    <w:rsid w:val="00447E3B"/>
    <w:rsid w:val="00447F1C"/>
    <w:rsid w:val="0045004F"/>
    <w:rsid w:val="00450100"/>
    <w:rsid w:val="0045017B"/>
    <w:rsid w:val="004505C9"/>
    <w:rsid w:val="004506EE"/>
    <w:rsid w:val="0045074A"/>
    <w:rsid w:val="00450A74"/>
    <w:rsid w:val="00450AB9"/>
    <w:rsid w:val="00450F33"/>
    <w:rsid w:val="00450FDF"/>
    <w:rsid w:val="0045127C"/>
    <w:rsid w:val="004515BC"/>
    <w:rsid w:val="00451629"/>
    <w:rsid w:val="0045173C"/>
    <w:rsid w:val="00451BD6"/>
    <w:rsid w:val="00451CE4"/>
    <w:rsid w:val="00451EE2"/>
    <w:rsid w:val="0045223F"/>
    <w:rsid w:val="004525EA"/>
    <w:rsid w:val="004526EA"/>
    <w:rsid w:val="004528F3"/>
    <w:rsid w:val="00452910"/>
    <w:rsid w:val="00452AAC"/>
    <w:rsid w:val="00452C4D"/>
    <w:rsid w:val="00452CFD"/>
    <w:rsid w:val="00452D8C"/>
    <w:rsid w:val="00452E86"/>
    <w:rsid w:val="004531AB"/>
    <w:rsid w:val="004531BC"/>
    <w:rsid w:val="0045322C"/>
    <w:rsid w:val="0045340F"/>
    <w:rsid w:val="00453712"/>
    <w:rsid w:val="004537DB"/>
    <w:rsid w:val="00453983"/>
    <w:rsid w:val="00453B9A"/>
    <w:rsid w:val="00453D50"/>
    <w:rsid w:val="00453F98"/>
    <w:rsid w:val="00453FA0"/>
    <w:rsid w:val="00454157"/>
    <w:rsid w:val="00454283"/>
    <w:rsid w:val="004543DB"/>
    <w:rsid w:val="004544CA"/>
    <w:rsid w:val="0045455B"/>
    <w:rsid w:val="00454693"/>
    <w:rsid w:val="00454698"/>
    <w:rsid w:val="00454705"/>
    <w:rsid w:val="004548F2"/>
    <w:rsid w:val="00454AEA"/>
    <w:rsid w:val="00454B10"/>
    <w:rsid w:val="00454B11"/>
    <w:rsid w:val="00454BED"/>
    <w:rsid w:val="00454C55"/>
    <w:rsid w:val="00454CC5"/>
    <w:rsid w:val="00454DD2"/>
    <w:rsid w:val="00454DEE"/>
    <w:rsid w:val="00454ECD"/>
    <w:rsid w:val="00454F6E"/>
    <w:rsid w:val="004556B8"/>
    <w:rsid w:val="004556D6"/>
    <w:rsid w:val="00455751"/>
    <w:rsid w:val="00455945"/>
    <w:rsid w:val="00455A97"/>
    <w:rsid w:val="00455B97"/>
    <w:rsid w:val="00455CC7"/>
    <w:rsid w:val="00455DC0"/>
    <w:rsid w:val="00455E2E"/>
    <w:rsid w:val="00455EEE"/>
    <w:rsid w:val="00455F19"/>
    <w:rsid w:val="00455F38"/>
    <w:rsid w:val="00456017"/>
    <w:rsid w:val="0045609E"/>
    <w:rsid w:val="004560A3"/>
    <w:rsid w:val="00456269"/>
    <w:rsid w:val="004565F8"/>
    <w:rsid w:val="00456D80"/>
    <w:rsid w:val="00456DA7"/>
    <w:rsid w:val="00457017"/>
    <w:rsid w:val="00457194"/>
    <w:rsid w:val="00457307"/>
    <w:rsid w:val="0045762E"/>
    <w:rsid w:val="00457671"/>
    <w:rsid w:val="004577E0"/>
    <w:rsid w:val="0045782A"/>
    <w:rsid w:val="00457936"/>
    <w:rsid w:val="0045796F"/>
    <w:rsid w:val="00457C80"/>
    <w:rsid w:val="00460383"/>
    <w:rsid w:val="004606A7"/>
    <w:rsid w:val="004608EA"/>
    <w:rsid w:val="00460919"/>
    <w:rsid w:val="004609F2"/>
    <w:rsid w:val="00460BEA"/>
    <w:rsid w:val="00460C50"/>
    <w:rsid w:val="00460D68"/>
    <w:rsid w:val="00460EC7"/>
    <w:rsid w:val="004610DD"/>
    <w:rsid w:val="00461104"/>
    <w:rsid w:val="0046145E"/>
    <w:rsid w:val="00461510"/>
    <w:rsid w:val="0046153E"/>
    <w:rsid w:val="00461811"/>
    <w:rsid w:val="00461977"/>
    <w:rsid w:val="00461B85"/>
    <w:rsid w:val="00461BFC"/>
    <w:rsid w:val="00461C35"/>
    <w:rsid w:val="00461CD8"/>
    <w:rsid w:val="00461D6E"/>
    <w:rsid w:val="00461E32"/>
    <w:rsid w:val="004621A6"/>
    <w:rsid w:val="004621D1"/>
    <w:rsid w:val="004622C6"/>
    <w:rsid w:val="004622E2"/>
    <w:rsid w:val="0046232C"/>
    <w:rsid w:val="004624C8"/>
    <w:rsid w:val="004628FB"/>
    <w:rsid w:val="0046298F"/>
    <w:rsid w:val="00462CD2"/>
    <w:rsid w:val="00462E50"/>
    <w:rsid w:val="00462EA2"/>
    <w:rsid w:val="0046314C"/>
    <w:rsid w:val="004631D3"/>
    <w:rsid w:val="00463231"/>
    <w:rsid w:val="00463646"/>
    <w:rsid w:val="004637EE"/>
    <w:rsid w:val="004638FA"/>
    <w:rsid w:val="00463A57"/>
    <w:rsid w:val="00463ABB"/>
    <w:rsid w:val="00463B45"/>
    <w:rsid w:val="00463CE1"/>
    <w:rsid w:val="00463D28"/>
    <w:rsid w:val="00463E56"/>
    <w:rsid w:val="00463ED5"/>
    <w:rsid w:val="00463F2E"/>
    <w:rsid w:val="00463FE3"/>
    <w:rsid w:val="00464163"/>
    <w:rsid w:val="00464170"/>
    <w:rsid w:val="00464346"/>
    <w:rsid w:val="00464659"/>
    <w:rsid w:val="004646D6"/>
    <w:rsid w:val="00464777"/>
    <w:rsid w:val="004649DF"/>
    <w:rsid w:val="00464AEE"/>
    <w:rsid w:val="00464AF6"/>
    <w:rsid w:val="00464B4A"/>
    <w:rsid w:val="00464C4B"/>
    <w:rsid w:val="00464E30"/>
    <w:rsid w:val="00464FE4"/>
    <w:rsid w:val="004650CD"/>
    <w:rsid w:val="00465633"/>
    <w:rsid w:val="00465681"/>
    <w:rsid w:val="00465909"/>
    <w:rsid w:val="00465C24"/>
    <w:rsid w:val="00465DBB"/>
    <w:rsid w:val="004660CC"/>
    <w:rsid w:val="004667BC"/>
    <w:rsid w:val="00466A28"/>
    <w:rsid w:val="00466EC6"/>
    <w:rsid w:val="00467119"/>
    <w:rsid w:val="0046714C"/>
    <w:rsid w:val="00467178"/>
    <w:rsid w:val="0046755C"/>
    <w:rsid w:val="004675E6"/>
    <w:rsid w:val="004676A0"/>
    <w:rsid w:val="00467752"/>
    <w:rsid w:val="0046777C"/>
    <w:rsid w:val="004677BF"/>
    <w:rsid w:val="00467AE8"/>
    <w:rsid w:val="00467AF8"/>
    <w:rsid w:val="00467B80"/>
    <w:rsid w:val="00467CE2"/>
    <w:rsid w:val="00470252"/>
    <w:rsid w:val="00470335"/>
    <w:rsid w:val="0047034B"/>
    <w:rsid w:val="0047036F"/>
    <w:rsid w:val="00470419"/>
    <w:rsid w:val="00470564"/>
    <w:rsid w:val="00470837"/>
    <w:rsid w:val="004709C6"/>
    <w:rsid w:val="00470AA3"/>
    <w:rsid w:val="00470B84"/>
    <w:rsid w:val="00470BE2"/>
    <w:rsid w:val="00470C0B"/>
    <w:rsid w:val="00470DD4"/>
    <w:rsid w:val="00470FE7"/>
    <w:rsid w:val="0047115A"/>
    <w:rsid w:val="00471181"/>
    <w:rsid w:val="0047127D"/>
    <w:rsid w:val="00471465"/>
    <w:rsid w:val="00471487"/>
    <w:rsid w:val="004714FB"/>
    <w:rsid w:val="0047178C"/>
    <w:rsid w:val="00471A78"/>
    <w:rsid w:val="00471B92"/>
    <w:rsid w:val="00471D2A"/>
    <w:rsid w:val="00471FD5"/>
    <w:rsid w:val="0047206B"/>
    <w:rsid w:val="0047256C"/>
    <w:rsid w:val="004726AC"/>
    <w:rsid w:val="00472701"/>
    <w:rsid w:val="00472772"/>
    <w:rsid w:val="0047292B"/>
    <w:rsid w:val="004729CC"/>
    <w:rsid w:val="00472A56"/>
    <w:rsid w:val="00472EFE"/>
    <w:rsid w:val="00472FEC"/>
    <w:rsid w:val="0047336C"/>
    <w:rsid w:val="00473531"/>
    <w:rsid w:val="004737AC"/>
    <w:rsid w:val="00473807"/>
    <w:rsid w:val="00473B00"/>
    <w:rsid w:val="00473B45"/>
    <w:rsid w:val="00473D12"/>
    <w:rsid w:val="00473D29"/>
    <w:rsid w:val="00473FA3"/>
    <w:rsid w:val="004740E6"/>
    <w:rsid w:val="0047436C"/>
    <w:rsid w:val="00474734"/>
    <w:rsid w:val="00474A83"/>
    <w:rsid w:val="00474BBE"/>
    <w:rsid w:val="00474D6C"/>
    <w:rsid w:val="00474DD0"/>
    <w:rsid w:val="00474DE9"/>
    <w:rsid w:val="00474E2F"/>
    <w:rsid w:val="00474F05"/>
    <w:rsid w:val="00475004"/>
    <w:rsid w:val="00475266"/>
    <w:rsid w:val="004752B3"/>
    <w:rsid w:val="004755A4"/>
    <w:rsid w:val="0047563B"/>
    <w:rsid w:val="0047566B"/>
    <w:rsid w:val="004756CF"/>
    <w:rsid w:val="00475821"/>
    <w:rsid w:val="004758F0"/>
    <w:rsid w:val="00475BD8"/>
    <w:rsid w:val="00475C59"/>
    <w:rsid w:val="00475C5C"/>
    <w:rsid w:val="00475DC1"/>
    <w:rsid w:val="00475DDD"/>
    <w:rsid w:val="00475E1D"/>
    <w:rsid w:val="00476025"/>
    <w:rsid w:val="0047608A"/>
    <w:rsid w:val="00476230"/>
    <w:rsid w:val="004762A6"/>
    <w:rsid w:val="004766FA"/>
    <w:rsid w:val="004767E3"/>
    <w:rsid w:val="00476893"/>
    <w:rsid w:val="004768F3"/>
    <w:rsid w:val="00476AEE"/>
    <w:rsid w:val="00476CF6"/>
    <w:rsid w:val="00476DAD"/>
    <w:rsid w:val="00476F41"/>
    <w:rsid w:val="004770E4"/>
    <w:rsid w:val="00477296"/>
    <w:rsid w:val="00477381"/>
    <w:rsid w:val="00477739"/>
    <w:rsid w:val="004777EF"/>
    <w:rsid w:val="004778F6"/>
    <w:rsid w:val="00477C46"/>
    <w:rsid w:val="00477C73"/>
    <w:rsid w:val="00477D8A"/>
    <w:rsid w:val="00477E91"/>
    <w:rsid w:val="00477F17"/>
    <w:rsid w:val="004803EC"/>
    <w:rsid w:val="00480733"/>
    <w:rsid w:val="00480A3B"/>
    <w:rsid w:val="00480C49"/>
    <w:rsid w:val="00480C6D"/>
    <w:rsid w:val="004811F0"/>
    <w:rsid w:val="00481276"/>
    <w:rsid w:val="00481364"/>
    <w:rsid w:val="00481570"/>
    <w:rsid w:val="004815D1"/>
    <w:rsid w:val="004817B1"/>
    <w:rsid w:val="004818E2"/>
    <w:rsid w:val="00481C55"/>
    <w:rsid w:val="00481D8F"/>
    <w:rsid w:val="004820AF"/>
    <w:rsid w:val="004822FF"/>
    <w:rsid w:val="004824BC"/>
    <w:rsid w:val="0048251A"/>
    <w:rsid w:val="00482587"/>
    <w:rsid w:val="00482596"/>
    <w:rsid w:val="0048262F"/>
    <w:rsid w:val="004829B5"/>
    <w:rsid w:val="004829F2"/>
    <w:rsid w:val="00482C12"/>
    <w:rsid w:val="00482C59"/>
    <w:rsid w:val="00482CE8"/>
    <w:rsid w:val="00482D45"/>
    <w:rsid w:val="00482DBA"/>
    <w:rsid w:val="00482F9D"/>
    <w:rsid w:val="00483027"/>
    <w:rsid w:val="00483055"/>
    <w:rsid w:val="00483404"/>
    <w:rsid w:val="0048356E"/>
    <w:rsid w:val="00483688"/>
    <w:rsid w:val="004836A9"/>
    <w:rsid w:val="00483939"/>
    <w:rsid w:val="00483C95"/>
    <w:rsid w:val="00484041"/>
    <w:rsid w:val="0048411C"/>
    <w:rsid w:val="0048427B"/>
    <w:rsid w:val="00484299"/>
    <w:rsid w:val="004844F4"/>
    <w:rsid w:val="0048451A"/>
    <w:rsid w:val="00484557"/>
    <w:rsid w:val="004845CB"/>
    <w:rsid w:val="00484662"/>
    <w:rsid w:val="0048472B"/>
    <w:rsid w:val="00484806"/>
    <w:rsid w:val="00484A00"/>
    <w:rsid w:val="00484CA5"/>
    <w:rsid w:val="00484D1D"/>
    <w:rsid w:val="00484E8B"/>
    <w:rsid w:val="00484F88"/>
    <w:rsid w:val="0048510E"/>
    <w:rsid w:val="00485436"/>
    <w:rsid w:val="00485447"/>
    <w:rsid w:val="004855B9"/>
    <w:rsid w:val="00485757"/>
    <w:rsid w:val="00485886"/>
    <w:rsid w:val="00485A5D"/>
    <w:rsid w:val="00485BBA"/>
    <w:rsid w:val="00485CB4"/>
    <w:rsid w:val="00485CBC"/>
    <w:rsid w:val="00485D0B"/>
    <w:rsid w:val="00485E44"/>
    <w:rsid w:val="0048610C"/>
    <w:rsid w:val="0048627D"/>
    <w:rsid w:val="004865BC"/>
    <w:rsid w:val="004866A9"/>
    <w:rsid w:val="00486755"/>
    <w:rsid w:val="0048683B"/>
    <w:rsid w:val="00486848"/>
    <w:rsid w:val="00486A49"/>
    <w:rsid w:val="00486B73"/>
    <w:rsid w:val="00487874"/>
    <w:rsid w:val="004878C7"/>
    <w:rsid w:val="00487A07"/>
    <w:rsid w:val="00487C5F"/>
    <w:rsid w:val="00487C8D"/>
    <w:rsid w:val="00487D59"/>
    <w:rsid w:val="00487DBC"/>
    <w:rsid w:val="00487F84"/>
    <w:rsid w:val="00490177"/>
    <w:rsid w:val="004901B7"/>
    <w:rsid w:val="004901BD"/>
    <w:rsid w:val="00490354"/>
    <w:rsid w:val="00490371"/>
    <w:rsid w:val="004905E4"/>
    <w:rsid w:val="00490669"/>
    <w:rsid w:val="004907F0"/>
    <w:rsid w:val="0049094D"/>
    <w:rsid w:val="0049099F"/>
    <w:rsid w:val="00490A77"/>
    <w:rsid w:val="00490E2F"/>
    <w:rsid w:val="004912BA"/>
    <w:rsid w:val="004913BF"/>
    <w:rsid w:val="0049140F"/>
    <w:rsid w:val="0049161F"/>
    <w:rsid w:val="004916CC"/>
    <w:rsid w:val="004918C2"/>
    <w:rsid w:val="00491CA5"/>
    <w:rsid w:val="00491D70"/>
    <w:rsid w:val="00491EFB"/>
    <w:rsid w:val="00491FDE"/>
    <w:rsid w:val="00492158"/>
    <w:rsid w:val="00492343"/>
    <w:rsid w:val="00492520"/>
    <w:rsid w:val="004926C7"/>
    <w:rsid w:val="004926DB"/>
    <w:rsid w:val="00492709"/>
    <w:rsid w:val="004928E0"/>
    <w:rsid w:val="00492ADE"/>
    <w:rsid w:val="00492AE3"/>
    <w:rsid w:val="00492C79"/>
    <w:rsid w:val="00492D3C"/>
    <w:rsid w:val="00492F26"/>
    <w:rsid w:val="00492FD5"/>
    <w:rsid w:val="00492FFD"/>
    <w:rsid w:val="00493006"/>
    <w:rsid w:val="00493060"/>
    <w:rsid w:val="004930A9"/>
    <w:rsid w:val="00493332"/>
    <w:rsid w:val="00493371"/>
    <w:rsid w:val="004935D9"/>
    <w:rsid w:val="004936D0"/>
    <w:rsid w:val="0049387C"/>
    <w:rsid w:val="00493C68"/>
    <w:rsid w:val="00493C9B"/>
    <w:rsid w:val="00493CA4"/>
    <w:rsid w:val="00493CD9"/>
    <w:rsid w:val="00493E58"/>
    <w:rsid w:val="00494218"/>
    <w:rsid w:val="004942CC"/>
    <w:rsid w:val="004948F1"/>
    <w:rsid w:val="00494966"/>
    <w:rsid w:val="00494D8B"/>
    <w:rsid w:val="00494FC8"/>
    <w:rsid w:val="0049502E"/>
    <w:rsid w:val="00495051"/>
    <w:rsid w:val="004955E4"/>
    <w:rsid w:val="004956C6"/>
    <w:rsid w:val="004959C3"/>
    <w:rsid w:val="00495B39"/>
    <w:rsid w:val="00495E9B"/>
    <w:rsid w:val="0049621F"/>
    <w:rsid w:val="0049645B"/>
    <w:rsid w:val="004964AB"/>
    <w:rsid w:val="004964EC"/>
    <w:rsid w:val="0049655A"/>
    <w:rsid w:val="00496738"/>
    <w:rsid w:val="0049688F"/>
    <w:rsid w:val="00496991"/>
    <w:rsid w:val="00496AA1"/>
    <w:rsid w:val="00496BF6"/>
    <w:rsid w:val="00496D32"/>
    <w:rsid w:val="00496F4B"/>
    <w:rsid w:val="00496F72"/>
    <w:rsid w:val="00496F9B"/>
    <w:rsid w:val="004971E0"/>
    <w:rsid w:val="004971EC"/>
    <w:rsid w:val="00497326"/>
    <w:rsid w:val="0049733C"/>
    <w:rsid w:val="0049734B"/>
    <w:rsid w:val="00497353"/>
    <w:rsid w:val="00497540"/>
    <w:rsid w:val="00497552"/>
    <w:rsid w:val="004975DF"/>
    <w:rsid w:val="00497702"/>
    <w:rsid w:val="0049779B"/>
    <w:rsid w:val="00497827"/>
    <w:rsid w:val="00497B6C"/>
    <w:rsid w:val="00497BBA"/>
    <w:rsid w:val="00497C22"/>
    <w:rsid w:val="00497D52"/>
    <w:rsid w:val="00497EC3"/>
    <w:rsid w:val="00497EDE"/>
    <w:rsid w:val="00497F04"/>
    <w:rsid w:val="00497F85"/>
    <w:rsid w:val="004A01A7"/>
    <w:rsid w:val="004A03B9"/>
    <w:rsid w:val="004A03D8"/>
    <w:rsid w:val="004A0638"/>
    <w:rsid w:val="004A071F"/>
    <w:rsid w:val="004A0885"/>
    <w:rsid w:val="004A0946"/>
    <w:rsid w:val="004A09C0"/>
    <w:rsid w:val="004A09C5"/>
    <w:rsid w:val="004A0CA4"/>
    <w:rsid w:val="004A0CB1"/>
    <w:rsid w:val="004A0E2A"/>
    <w:rsid w:val="004A1233"/>
    <w:rsid w:val="004A1330"/>
    <w:rsid w:val="004A1537"/>
    <w:rsid w:val="004A1790"/>
    <w:rsid w:val="004A1B3D"/>
    <w:rsid w:val="004A1B63"/>
    <w:rsid w:val="004A1C4F"/>
    <w:rsid w:val="004A1C5A"/>
    <w:rsid w:val="004A1FC2"/>
    <w:rsid w:val="004A21A5"/>
    <w:rsid w:val="004A2884"/>
    <w:rsid w:val="004A292C"/>
    <w:rsid w:val="004A2A7B"/>
    <w:rsid w:val="004A3101"/>
    <w:rsid w:val="004A3310"/>
    <w:rsid w:val="004A3325"/>
    <w:rsid w:val="004A3372"/>
    <w:rsid w:val="004A3514"/>
    <w:rsid w:val="004A3587"/>
    <w:rsid w:val="004A3591"/>
    <w:rsid w:val="004A3674"/>
    <w:rsid w:val="004A3748"/>
    <w:rsid w:val="004A3751"/>
    <w:rsid w:val="004A3765"/>
    <w:rsid w:val="004A3889"/>
    <w:rsid w:val="004A3D16"/>
    <w:rsid w:val="004A3D38"/>
    <w:rsid w:val="004A3D55"/>
    <w:rsid w:val="004A3E5E"/>
    <w:rsid w:val="004A3E8D"/>
    <w:rsid w:val="004A3EA8"/>
    <w:rsid w:val="004A40C1"/>
    <w:rsid w:val="004A4154"/>
    <w:rsid w:val="004A41B9"/>
    <w:rsid w:val="004A420F"/>
    <w:rsid w:val="004A42F3"/>
    <w:rsid w:val="004A43F4"/>
    <w:rsid w:val="004A4436"/>
    <w:rsid w:val="004A45B0"/>
    <w:rsid w:val="004A488D"/>
    <w:rsid w:val="004A49E0"/>
    <w:rsid w:val="004A4AD7"/>
    <w:rsid w:val="004A4C5F"/>
    <w:rsid w:val="004A4DB6"/>
    <w:rsid w:val="004A4E26"/>
    <w:rsid w:val="004A4FF6"/>
    <w:rsid w:val="004A5727"/>
    <w:rsid w:val="004A5A2A"/>
    <w:rsid w:val="004A5A8C"/>
    <w:rsid w:val="004A5CF4"/>
    <w:rsid w:val="004A60EF"/>
    <w:rsid w:val="004A63AA"/>
    <w:rsid w:val="004A64FA"/>
    <w:rsid w:val="004A6697"/>
    <w:rsid w:val="004A6FB1"/>
    <w:rsid w:val="004A7002"/>
    <w:rsid w:val="004A7221"/>
    <w:rsid w:val="004A72B9"/>
    <w:rsid w:val="004A74EA"/>
    <w:rsid w:val="004A752C"/>
    <w:rsid w:val="004A75D7"/>
    <w:rsid w:val="004A78E2"/>
    <w:rsid w:val="004A7BD1"/>
    <w:rsid w:val="004A7F50"/>
    <w:rsid w:val="004B004C"/>
    <w:rsid w:val="004B02D3"/>
    <w:rsid w:val="004B03AB"/>
    <w:rsid w:val="004B04B8"/>
    <w:rsid w:val="004B04BA"/>
    <w:rsid w:val="004B0800"/>
    <w:rsid w:val="004B0C62"/>
    <w:rsid w:val="004B0E5C"/>
    <w:rsid w:val="004B1412"/>
    <w:rsid w:val="004B163F"/>
    <w:rsid w:val="004B19FE"/>
    <w:rsid w:val="004B1B2E"/>
    <w:rsid w:val="004B1D04"/>
    <w:rsid w:val="004B1EA4"/>
    <w:rsid w:val="004B208F"/>
    <w:rsid w:val="004B20AF"/>
    <w:rsid w:val="004B22D5"/>
    <w:rsid w:val="004B23BC"/>
    <w:rsid w:val="004B286D"/>
    <w:rsid w:val="004B29C8"/>
    <w:rsid w:val="004B2B24"/>
    <w:rsid w:val="004B2C4D"/>
    <w:rsid w:val="004B2E17"/>
    <w:rsid w:val="004B2F11"/>
    <w:rsid w:val="004B3154"/>
    <w:rsid w:val="004B32A6"/>
    <w:rsid w:val="004B3570"/>
    <w:rsid w:val="004B359E"/>
    <w:rsid w:val="004B3731"/>
    <w:rsid w:val="004B394D"/>
    <w:rsid w:val="004B3A45"/>
    <w:rsid w:val="004B3ABA"/>
    <w:rsid w:val="004B3C65"/>
    <w:rsid w:val="004B3C7F"/>
    <w:rsid w:val="004B3CCA"/>
    <w:rsid w:val="004B400F"/>
    <w:rsid w:val="004B40F1"/>
    <w:rsid w:val="004B4151"/>
    <w:rsid w:val="004B4320"/>
    <w:rsid w:val="004B4402"/>
    <w:rsid w:val="004B4471"/>
    <w:rsid w:val="004B472D"/>
    <w:rsid w:val="004B4820"/>
    <w:rsid w:val="004B4C52"/>
    <w:rsid w:val="004B4C5E"/>
    <w:rsid w:val="004B516D"/>
    <w:rsid w:val="004B53C4"/>
    <w:rsid w:val="004B5442"/>
    <w:rsid w:val="004B55C7"/>
    <w:rsid w:val="004B566D"/>
    <w:rsid w:val="004B5745"/>
    <w:rsid w:val="004B5854"/>
    <w:rsid w:val="004B5A68"/>
    <w:rsid w:val="004B5B49"/>
    <w:rsid w:val="004B5BB9"/>
    <w:rsid w:val="004B5D5B"/>
    <w:rsid w:val="004B5E15"/>
    <w:rsid w:val="004B5FC2"/>
    <w:rsid w:val="004B6337"/>
    <w:rsid w:val="004B6632"/>
    <w:rsid w:val="004B6A29"/>
    <w:rsid w:val="004B6A5B"/>
    <w:rsid w:val="004B6C2E"/>
    <w:rsid w:val="004B6DF3"/>
    <w:rsid w:val="004B6EC7"/>
    <w:rsid w:val="004B6F4F"/>
    <w:rsid w:val="004B70A3"/>
    <w:rsid w:val="004B72CE"/>
    <w:rsid w:val="004B7421"/>
    <w:rsid w:val="004B7428"/>
    <w:rsid w:val="004B7498"/>
    <w:rsid w:val="004B7670"/>
    <w:rsid w:val="004B77A8"/>
    <w:rsid w:val="004B77D0"/>
    <w:rsid w:val="004B7AF1"/>
    <w:rsid w:val="004C0050"/>
    <w:rsid w:val="004C0062"/>
    <w:rsid w:val="004C00F2"/>
    <w:rsid w:val="004C00FA"/>
    <w:rsid w:val="004C0150"/>
    <w:rsid w:val="004C0304"/>
    <w:rsid w:val="004C06B8"/>
    <w:rsid w:val="004C08C3"/>
    <w:rsid w:val="004C0901"/>
    <w:rsid w:val="004C0A14"/>
    <w:rsid w:val="004C0B64"/>
    <w:rsid w:val="004C0B99"/>
    <w:rsid w:val="004C0F4E"/>
    <w:rsid w:val="004C1009"/>
    <w:rsid w:val="004C1204"/>
    <w:rsid w:val="004C196B"/>
    <w:rsid w:val="004C1981"/>
    <w:rsid w:val="004C19CE"/>
    <w:rsid w:val="004C1A34"/>
    <w:rsid w:val="004C1AEC"/>
    <w:rsid w:val="004C23A0"/>
    <w:rsid w:val="004C242D"/>
    <w:rsid w:val="004C2500"/>
    <w:rsid w:val="004C2520"/>
    <w:rsid w:val="004C2839"/>
    <w:rsid w:val="004C287D"/>
    <w:rsid w:val="004C2906"/>
    <w:rsid w:val="004C29C7"/>
    <w:rsid w:val="004C2BC5"/>
    <w:rsid w:val="004C2D06"/>
    <w:rsid w:val="004C2E31"/>
    <w:rsid w:val="004C3571"/>
    <w:rsid w:val="004C36DF"/>
    <w:rsid w:val="004C3750"/>
    <w:rsid w:val="004C3945"/>
    <w:rsid w:val="004C3A52"/>
    <w:rsid w:val="004C3B0C"/>
    <w:rsid w:val="004C44CD"/>
    <w:rsid w:val="004C44D5"/>
    <w:rsid w:val="004C44D8"/>
    <w:rsid w:val="004C45B1"/>
    <w:rsid w:val="004C469C"/>
    <w:rsid w:val="004C477B"/>
    <w:rsid w:val="004C4832"/>
    <w:rsid w:val="004C48C3"/>
    <w:rsid w:val="004C502B"/>
    <w:rsid w:val="004C5525"/>
    <w:rsid w:val="004C5874"/>
    <w:rsid w:val="004C59FA"/>
    <w:rsid w:val="004C5C54"/>
    <w:rsid w:val="004C5D24"/>
    <w:rsid w:val="004C5EF7"/>
    <w:rsid w:val="004C5F47"/>
    <w:rsid w:val="004C607D"/>
    <w:rsid w:val="004C6080"/>
    <w:rsid w:val="004C63EA"/>
    <w:rsid w:val="004C650F"/>
    <w:rsid w:val="004C6605"/>
    <w:rsid w:val="004C66B9"/>
    <w:rsid w:val="004C6708"/>
    <w:rsid w:val="004C6872"/>
    <w:rsid w:val="004C69E0"/>
    <w:rsid w:val="004C6EA6"/>
    <w:rsid w:val="004C6F9B"/>
    <w:rsid w:val="004C7102"/>
    <w:rsid w:val="004C713E"/>
    <w:rsid w:val="004C71AB"/>
    <w:rsid w:val="004C72DF"/>
    <w:rsid w:val="004C7435"/>
    <w:rsid w:val="004C74A2"/>
    <w:rsid w:val="004C74B0"/>
    <w:rsid w:val="004C7534"/>
    <w:rsid w:val="004C772E"/>
    <w:rsid w:val="004C7970"/>
    <w:rsid w:val="004C79EB"/>
    <w:rsid w:val="004C7B3C"/>
    <w:rsid w:val="004C7F1C"/>
    <w:rsid w:val="004C7F59"/>
    <w:rsid w:val="004C7FE7"/>
    <w:rsid w:val="004D002F"/>
    <w:rsid w:val="004D01B9"/>
    <w:rsid w:val="004D0754"/>
    <w:rsid w:val="004D0CC7"/>
    <w:rsid w:val="004D0CFE"/>
    <w:rsid w:val="004D0D6F"/>
    <w:rsid w:val="004D0D9B"/>
    <w:rsid w:val="004D0E6F"/>
    <w:rsid w:val="004D0EC0"/>
    <w:rsid w:val="004D0F4D"/>
    <w:rsid w:val="004D0FE0"/>
    <w:rsid w:val="004D111B"/>
    <w:rsid w:val="004D112D"/>
    <w:rsid w:val="004D1343"/>
    <w:rsid w:val="004D13E8"/>
    <w:rsid w:val="004D17D9"/>
    <w:rsid w:val="004D1978"/>
    <w:rsid w:val="004D1DE5"/>
    <w:rsid w:val="004D1E69"/>
    <w:rsid w:val="004D1E9A"/>
    <w:rsid w:val="004D1F28"/>
    <w:rsid w:val="004D2260"/>
    <w:rsid w:val="004D23BB"/>
    <w:rsid w:val="004D23F1"/>
    <w:rsid w:val="004D26CA"/>
    <w:rsid w:val="004D2793"/>
    <w:rsid w:val="004D2A0B"/>
    <w:rsid w:val="004D2B27"/>
    <w:rsid w:val="004D2F09"/>
    <w:rsid w:val="004D2F3E"/>
    <w:rsid w:val="004D30D4"/>
    <w:rsid w:val="004D30E9"/>
    <w:rsid w:val="004D337A"/>
    <w:rsid w:val="004D3382"/>
    <w:rsid w:val="004D3430"/>
    <w:rsid w:val="004D352A"/>
    <w:rsid w:val="004D355A"/>
    <w:rsid w:val="004D359B"/>
    <w:rsid w:val="004D3968"/>
    <w:rsid w:val="004D39A4"/>
    <w:rsid w:val="004D3C33"/>
    <w:rsid w:val="004D3C5B"/>
    <w:rsid w:val="004D3D19"/>
    <w:rsid w:val="004D3FA5"/>
    <w:rsid w:val="004D44FE"/>
    <w:rsid w:val="004D45A6"/>
    <w:rsid w:val="004D475F"/>
    <w:rsid w:val="004D494F"/>
    <w:rsid w:val="004D4BDD"/>
    <w:rsid w:val="004D5020"/>
    <w:rsid w:val="004D532D"/>
    <w:rsid w:val="004D5357"/>
    <w:rsid w:val="004D5824"/>
    <w:rsid w:val="004D58C4"/>
    <w:rsid w:val="004D5F12"/>
    <w:rsid w:val="004D60C6"/>
    <w:rsid w:val="004D664C"/>
    <w:rsid w:val="004D693C"/>
    <w:rsid w:val="004D6ADC"/>
    <w:rsid w:val="004D7078"/>
    <w:rsid w:val="004D7122"/>
    <w:rsid w:val="004D72D9"/>
    <w:rsid w:val="004D7542"/>
    <w:rsid w:val="004D7576"/>
    <w:rsid w:val="004D75AC"/>
    <w:rsid w:val="004D78A7"/>
    <w:rsid w:val="004D78B1"/>
    <w:rsid w:val="004D793A"/>
    <w:rsid w:val="004D79F6"/>
    <w:rsid w:val="004D7A06"/>
    <w:rsid w:val="004D7B94"/>
    <w:rsid w:val="004D7CD3"/>
    <w:rsid w:val="004D7E17"/>
    <w:rsid w:val="004E0293"/>
    <w:rsid w:val="004E04FE"/>
    <w:rsid w:val="004E0671"/>
    <w:rsid w:val="004E0BF6"/>
    <w:rsid w:val="004E10BA"/>
    <w:rsid w:val="004E1240"/>
    <w:rsid w:val="004E126E"/>
    <w:rsid w:val="004E154B"/>
    <w:rsid w:val="004E16ED"/>
    <w:rsid w:val="004E1988"/>
    <w:rsid w:val="004E1E02"/>
    <w:rsid w:val="004E1E78"/>
    <w:rsid w:val="004E2017"/>
    <w:rsid w:val="004E21CE"/>
    <w:rsid w:val="004E235D"/>
    <w:rsid w:val="004E23FA"/>
    <w:rsid w:val="004E2589"/>
    <w:rsid w:val="004E2871"/>
    <w:rsid w:val="004E298E"/>
    <w:rsid w:val="004E2ADC"/>
    <w:rsid w:val="004E2C32"/>
    <w:rsid w:val="004E3046"/>
    <w:rsid w:val="004E3054"/>
    <w:rsid w:val="004E30EA"/>
    <w:rsid w:val="004E3108"/>
    <w:rsid w:val="004E316F"/>
    <w:rsid w:val="004E33D2"/>
    <w:rsid w:val="004E33E6"/>
    <w:rsid w:val="004E3684"/>
    <w:rsid w:val="004E3737"/>
    <w:rsid w:val="004E38B0"/>
    <w:rsid w:val="004E38D6"/>
    <w:rsid w:val="004E39DA"/>
    <w:rsid w:val="004E3CCD"/>
    <w:rsid w:val="004E3D35"/>
    <w:rsid w:val="004E3DD3"/>
    <w:rsid w:val="004E3EAA"/>
    <w:rsid w:val="004E406C"/>
    <w:rsid w:val="004E413F"/>
    <w:rsid w:val="004E43E2"/>
    <w:rsid w:val="004E43E8"/>
    <w:rsid w:val="004E461E"/>
    <w:rsid w:val="004E462A"/>
    <w:rsid w:val="004E466A"/>
    <w:rsid w:val="004E50CA"/>
    <w:rsid w:val="004E51A7"/>
    <w:rsid w:val="004E543E"/>
    <w:rsid w:val="004E5455"/>
    <w:rsid w:val="004E56E7"/>
    <w:rsid w:val="004E58D2"/>
    <w:rsid w:val="004E5AFD"/>
    <w:rsid w:val="004E5C77"/>
    <w:rsid w:val="004E5DA7"/>
    <w:rsid w:val="004E6132"/>
    <w:rsid w:val="004E6287"/>
    <w:rsid w:val="004E63BA"/>
    <w:rsid w:val="004E63C0"/>
    <w:rsid w:val="004E64C0"/>
    <w:rsid w:val="004E6859"/>
    <w:rsid w:val="004E6A8C"/>
    <w:rsid w:val="004E716A"/>
    <w:rsid w:val="004E76D7"/>
    <w:rsid w:val="004E7767"/>
    <w:rsid w:val="004E77C2"/>
    <w:rsid w:val="004E7B72"/>
    <w:rsid w:val="004E7E24"/>
    <w:rsid w:val="004E7E27"/>
    <w:rsid w:val="004F0744"/>
    <w:rsid w:val="004F0870"/>
    <w:rsid w:val="004F0911"/>
    <w:rsid w:val="004F09BC"/>
    <w:rsid w:val="004F1045"/>
    <w:rsid w:val="004F104E"/>
    <w:rsid w:val="004F113D"/>
    <w:rsid w:val="004F12D6"/>
    <w:rsid w:val="004F133B"/>
    <w:rsid w:val="004F18C9"/>
    <w:rsid w:val="004F18FF"/>
    <w:rsid w:val="004F19D5"/>
    <w:rsid w:val="004F1D11"/>
    <w:rsid w:val="004F1DDE"/>
    <w:rsid w:val="004F1E59"/>
    <w:rsid w:val="004F1F8D"/>
    <w:rsid w:val="004F20D2"/>
    <w:rsid w:val="004F220D"/>
    <w:rsid w:val="004F22A0"/>
    <w:rsid w:val="004F25AF"/>
    <w:rsid w:val="004F27CF"/>
    <w:rsid w:val="004F283A"/>
    <w:rsid w:val="004F29B4"/>
    <w:rsid w:val="004F2BD9"/>
    <w:rsid w:val="004F2F46"/>
    <w:rsid w:val="004F3058"/>
    <w:rsid w:val="004F314E"/>
    <w:rsid w:val="004F3155"/>
    <w:rsid w:val="004F34C2"/>
    <w:rsid w:val="004F34C9"/>
    <w:rsid w:val="004F3754"/>
    <w:rsid w:val="004F3851"/>
    <w:rsid w:val="004F3873"/>
    <w:rsid w:val="004F39E9"/>
    <w:rsid w:val="004F3B35"/>
    <w:rsid w:val="004F3E5D"/>
    <w:rsid w:val="004F40E0"/>
    <w:rsid w:val="004F40F0"/>
    <w:rsid w:val="004F4501"/>
    <w:rsid w:val="004F4648"/>
    <w:rsid w:val="004F48E9"/>
    <w:rsid w:val="004F48F4"/>
    <w:rsid w:val="004F4918"/>
    <w:rsid w:val="004F4A17"/>
    <w:rsid w:val="004F4B12"/>
    <w:rsid w:val="004F4D45"/>
    <w:rsid w:val="004F5126"/>
    <w:rsid w:val="004F5361"/>
    <w:rsid w:val="004F53F2"/>
    <w:rsid w:val="004F5418"/>
    <w:rsid w:val="004F577D"/>
    <w:rsid w:val="004F5BB0"/>
    <w:rsid w:val="004F6169"/>
    <w:rsid w:val="004F616E"/>
    <w:rsid w:val="004F618D"/>
    <w:rsid w:val="004F6298"/>
    <w:rsid w:val="004F6315"/>
    <w:rsid w:val="004F6327"/>
    <w:rsid w:val="004F6582"/>
    <w:rsid w:val="004F6670"/>
    <w:rsid w:val="004F68D1"/>
    <w:rsid w:val="004F69D0"/>
    <w:rsid w:val="004F6AE8"/>
    <w:rsid w:val="004F6CD2"/>
    <w:rsid w:val="004F6DD6"/>
    <w:rsid w:val="004F7136"/>
    <w:rsid w:val="004F7229"/>
    <w:rsid w:val="004F7322"/>
    <w:rsid w:val="004F754F"/>
    <w:rsid w:val="004F78A0"/>
    <w:rsid w:val="004F79EC"/>
    <w:rsid w:val="004F7BAF"/>
    <w:rsid w:val="004F7D4D"/>
    <w:rsid w:val="004F7E3E"/>
    <w:rsid w:val="00500017"/>
    <w:rsid w:val="0050020F"/>
    <w:rsid w:val="00500219"/>
    <w:rsid w:val="0050030A"/>
    <w:rsid w:val="005003FC"/>
    <w:rsid w:val="005004D4"/>
    <w:rsid w:val="005005EB"/>
    <w:rsid w:val="0050063E"/>
    <w:rsid w:val="00500687"/>
    <w:rsid w:val="00500780"/>
    <w:rsid w:val="0050086F"/>
    <w:rsid w:val="00500D13"/>
    <w:rsid w:val="00500D27"/>
    <w:rsid w:val="00500FB8"/>
    <w:rsid w:val="0050115D"/>
    <w:rsid w:val="005011AC"/>
    <w:rsid w:val="005012E4"/>
    <w:rsid w:val="005013D2"/>
    <w:rsid w:val="00501454"/>
    <w:rsid w:val="00501490"/>
    <w:rsid w:val="0050167A"/>
    <w:rsid w:val="00501824"/>
    <w:rsid w:val="00501A1D"/>
    <w:rsid w:val="00501AA5"/>
    <w:rsid w:val="00501C81"/>
    <w:rsid w:val="00501E32"/>
    <w:rsid w:val="00501ED8"/>
    <w:rsid w:val="00502168"/>
    <w:rsid w:val="005021B9"/>
    <w:rsid w:val="005027D1"/>
    <w:rsid w:val="005028C4"/>
    <w:rsid w:val="00502968"/>
    <w:rsid w:val="00502F93"/>
    <w:rsid w:val="00503176"/>
    <w:rsid w:val="005031A9"/>
    <w:rsid w:val="005031B0"/>
    <w:rsid w:val="0050336C"/>
    <w:rsid w:val="0050346C"/>
    <w:rsid w:val="0050365B"/>
    <w:rsid w:val="0050379E"/>
    <w:rsid w:val="0050389E"/>
    <w:rsid w:val="00503C2C"/>
    <w:rsid w:val="00503CBD"/>
    <w:rsid w:val="00503D3C"/>
    <w:rsid w:val="00503E0F"/>
    <w:rsid w:val="00503E8B"/>
    <w:rsid w:val="0050400D"/>
    <w:rsid w:val="00504283"/>
    <w:rsid w:val="00504289"/>
    <w:rsid w:val="00504695"/>
    <w:rsid w:val="0050475B"/>
    <w:rsid w:val="005048A7"/>
    <w:rsid w:val="00504A5C"/>
    <w:rsid w:val="00504B4F"/>
    <w:rsid w:val="00504D08"/>
    <w:rsid w:val="00504E1F"/>
    <w:rsid w:val="00504E9B"/>
    <w:rsid w:val="00505524"/>
    <w:rsid w:val="00505548"/>
    <w:rsid w:val="00505588"/>
    <w:rsid w:val="005057B1"/>
    <w:rsid w:val="005057FF"/>
    <w:rsid w:val="00505924"/>
    <w:rsid w:val="00505AE1"/>
    <w:rsid w:val="00505D84"/>
    <w:rsid w:val="00505F78"/>
    <w:rsid w:val="00505F9B"/>
    <w:rsid w:val="00506121"/>
    <w:rsid w:val="00506222"/>
    <w:rsid w:val="0050629E"/>
    <w:rsid w:val="00506351"/>
    <w:rsid w:val="005064F6"/>
    <w:rsid w:val="005066A2"/>
    <w:rsid w:val="0050688A"/>
    <w:rsid w:val="00506A16"/>
    <w:rsid w:val="00506AC6"/>
    <w:rsid w:val="00506DBD"/>
    <w:rsid w:val="005070CA"/>
    <w:rsid w:val="0050727B"/>
    <w:rsid w:val="0050732B"/>
    <w:rsid w:val="00507470"/>
    <w:rsid w:val="0050754E"/>
    <w:rsid w:val="0050784D"/>
    <w:rsid w:val="00507911"/>
    <w:rsid w:val="00507BF9"/>
    <w:rsid w:val="00507CCF"/>
    <w:rsid w:val="00507DC5"/>
    <w:rsid w:val="00507DE5"/>
    <w:rsid w:val="00510237"/>
    <w:rsid w:val="0051029A"/>
    <w:rsid w:val="005102D7"/>
    <w:rsid w:val="005103BC"/>
    <w:rsid w:val="0051044C"/>
    <w:rsid w:val="005104B7"/>
    <w:rsid w:val="00510606"/>
    <w:rsid w:val="00510758"/>
    <w:rsid w:val="005108E0"/>
    <w:rsid w:val="005109AE"/>
    <w:rsid w:val="005109DA"/>
    <w:rsid w:val="00510A55"/>
    <w:rsid w:val="00510C00"/>
    <w:rsid w:val="00510C1E"/>
    <w:rsid w:val="00510E16"/>
    <w:rsid w:val="00510FC1"/>
    <w:rsid w:val="00511553"/>
    <w:rsid w:val="005115EF"/>
    <w:rsid w:val="00511786"/>
    <w:rsid w:val="00511ADD"/>
    <w:rsid w:val="00511CB9"/>
    <w:rsid w:val="00512030"/>
    <w:rsid w:val="00512074"/>
    <w:rsid w:val="005121A4"/>
    <w:rsid w:val="00512249"/>
    <w:rsid w:val="005123EF"/>
    <w:rsid w:val="00512560"/>
    <w:rsid w:val="0051258D"/>
    <w:rsid w:val="0051274E"/>
    <w:rsid w:val="00512856"/>
    <w:rsid w:val="00512983"/>
    <w:rsid w:val="00512AAC"/>
    <w:rsid w:val="00512CCB"/>
    <w:rsid w:val="00512D7C"/>
    <w:rsid w:val="00512F7F"/>
    <w:rsid w:val="0051303F"/>
    <w:rsid w:val="0051304A"/>
    <w:rsid w:val="005136BA"/>
    <w:rsid w:val="00513954"/>
    <w:rsid w:val="005139C1"/>
    <w:rsid w:val="005139C6"/>
    <w:rsid w:val="005139D2"/>
    <w:rsid w:val="00513A7B"/>
    <w:rsid w:val="00513B1F"/>
    <w:rsid w:val="00513B3C"/>
    <w:rsid w:val="00513E81"/>
    <w:rsid w:val="005140F2"/>
    <w:rsid w:val="00514134"/>
    <w:rsid w:val="00514441"/>
    <w:rsid w:val="0051455B"/>
    <w:rsid w:val="0051457B"/>
    <w:rsid w:val="0051459C"/>
    <w:rsid w:val="00514620"/>
    <w:rsid w:val="0051474D"/>
    <w:rsid w:val="005148A7"/>
    <w:rsid w:val="00514BF4"/>
    <w:rsid w:val="00514D93"/>
    <w:rsid w:val="00514E72"/>
    <w:rsid w:val="00514FDE"/>
    <w:rsid w:val="00515515"/>
    <w:rsid w:val="005155C3"/>
    <w:rsid w:val="0051569D"/>
    <w:rsid w:val="005156F8"/>
    <w:rsid w:val="005157D5"/>
    <w:rsid w:val="00515F38"/>
    <w:rsid w:val="00516762"/>
    <w:rsid w:val="00516819"/>
    <w:rsid w:val="0051689D"/>
    <w:rsid w:val="00516985"/>
    <w:rsid w:val="005169AE"/>
    <w:rsid w:val="00516B95"/>
    <w:rsid w:val="00517394"/>
    <w:rsid w:val="0051741F"/>
    <w:rsid w:val="005174A8"/>
    <w:rsid w:val="00517535"/>
    <w:rsid w:val="005175AE"/>
    <w:rsid w:val="00517659"/>
    <w:rsid w:val="005177B7"/>
    <w:rsid w:val="0051784A"/>
    <w:rsid w:val="00517896"/>
    <w:rsid w:val="00517CA3"/>
    <w:rsid w:val="00517CF9"/>
    <w:rsid w:val="00517E30"/>
    <w:rsid w:val="00517E8C"/>
    <w:rsid w:val="00520018"/>
    <w:rsid w:val="00520066"/>
    <w:rsid w:val="005200C6"/>
    <w:rsid w:val="0052019B"/>
    <w:rsid w:val="00520320"/>
    <w:rsid w:val="005204B4"/>
    <w:rsid w:val="005208A8"/>
    <w:rsid w:val="005208C1"/>
    <w:rsid w:val="005208C3"/>
    <w:rsid w:val="005209AA"/>
    <w:rsid w:val="00520A9B"/>
    <w:rsid w:val="00520B04"/>
    <w:rsid w:val="00520B9C"/>
    <w:rsid w:val="00520C1B"/>
    <w:rsid w:val="00520DA1"/>
    <w:rsid w:val="00520DCF"/>
    <w:rsid w:val="00520E4D"/>
    <w:rsid w:val="00520F92"/>
    <w:rsid w:val="00520FE0"/>
    <w:rsid w:val="0052125E"/>
    <w:rsid w:val="005214AB"/>
    <w:rsid w:val="00521550"/>
    <w:rsid w:val="00521A90"/>
    <w:rsid w:val="00521CB6"/>
    <w:rsid w:val="00521D57"/>
    <w:rsid w:val="00521E1A"/>
    <w:rsid w:val="00521FB8"/>
    <w:rsid w:val="00522395"/>
    <w:rsid w:val="0052266F"/>
    <w:rsid w:val="005226A8"/>
    <w:rsid w:val="00522827"/>
    <w:rsid w:val="005228CF"/>
    <w:rsid w:val="00522BA6"/>
    <w:rsid w:val="00522D40"/>
    <w:rsid w:val="00522EA0"/>
    <w:rsid w:val="00522F2A"/>
    <w:rsid w:val="0052321C"/>
    <w:rsid w:val="00523865"/>
    <w:rsid w:val="005239ED"/>
    <w:rsid w:val="00523A12"/>
    <w:rsid w:val="00523BF8"/>
    <w:rsid w:val="00523C37"/>
    <w:rsid w:val="00523CDA"/>
    <w:rsid w:val="00523D0D"/>
    <w:rsid w:val="00523F93"/>
    <w:rsid w:val="00524412"/>
    <w:rsid w:val="00524475"/>
    <w:rsid w:val="00524669"/>
    <w:rsid w:val="00524766"/>
    <w:rsid w:val="00524AF9"/>
    <w:rsid w:val="00524D01"/>
    <w:rsid w:val="00524FBB"/>
    <w:rsid w:val="005253E3"/>
    <w:rsid w:val="00525B52"/>
    <w:rsid w:val="00525BF8"/>
    <w:rsid w:val="00525CD5"/>
    <w:rsid w:val="00525D8C"/>
    <w:rsid w:val="00525F81"/>
    <w:rsid w:val="00526233"/>
    <w:rsid w:val="00526268"/>
    <w:rsid w:val="0052644B"/>
    <w:rsid w:val="005264E9"/>
    <w:rsid w:val="0052670D"/>
    <w:rsid w:val="00526753"/>
    <w:rsid w:val="0052675E"/>
    <w:rsid w:val="00526857"/>
    <w:rsid w:val="005269D4"/>
    <w:rsid w:val="00526BEB"/>
    <w:rsid w:val="00526C20"/>
    <w:rsid w:val="00526C51"/>
    <w:rsid w:val="00526DE1"/>
    <w:rsid w:val="00526E5B"/>
    <w:rsid w:val="00526F72"/>
    <w:rsid w:val="00527112"/>
    <w:rsid w:val="005271DC"/>
    <w:rsid w:val="00527430"/>
    <w:rsid w:val="005275C3"/>
    <w:rsid w:val="005275D3"/>
    <w:rsid w:val="0052785E"/>
    <w:rsid w:val="005278F6"/>
    <w:rsid w:val="00527908"/>
    <w:rsid w:val="0052795A"/>
    <w:rsid w:val="00527EDF"/>
    <w:rsid w:val="005301DF"/>
    <w:rsid w:val="00530310"/>
    <w:rsid w:val="00530397"/>
    <w:rsid w:val="005303B1"/>
    <w:rsid w:val="00530472"/>
    <w:rsid w:val="00530508"/>
    <w:rsid w:val="0053058C"/>
    <w:rsid w:val="00530597"/>
    <w:rsid w:val="00530631"/>
    <w:rsid w:val="005306C0"/>
    <w:rsid w:val="00530744"/>
    <w:rsid w:val="0053083B"/>
    <w:rsid w:val="005308CF"/>
    <w:rsid w:val="005308E7"/>
    <w:rsid w:val="00530A4B"/>
    <w:rsid w:val="00530B0B"/>
    <w:rsid w:val="00530C2F"/>
    <w:rsid w:val="00530DB2"/>
    <w:rsid w:val="00530E64"/>
    <w:rsid w:val="0053138D"/>
    <w:rsid w:val="005314A9"/>
    <w:rsid w:val="005315AB"/>
    <w:rsid w:val="00531861"/>
    <w:rsid w:val="00531BA6"/>
    <w:rsid w:val="00531EA3"/>
    <w:rsid w:val="00532002"/>
    <w:rsid w:val="00532213"/>
    <w:rsid w:val="00532244"/>
    <w:rsid w:val="005322EB"/>
    <w:rsid w:val="0053262E"/>
    <w:rsid w:val="005328C6"/>
    <w:rsid w:val="005328E3"/>
    <w:rsid w:val="00532AB1"/>
    <w:rsid w:val="00532DCB"/>
    <w:rsid w:val="005330F8"/>
    <w:rsid w:val="005332D1"/>
    <w:rsid w:val="0053346C"/>
    <w:rsid w:val="00533483"/>
    <w:rsid w:val="00533679"/>
    <w:rsid w:val="00533812"/>
    <w:rsid w:val="00533833"/>
    <w:rsid w:val="00533865"/>
    <w:rsid w:val="005338EF"/>
    <w:rsid w:val="00533AC4"/>
    <w:rsid w:val="00533CB1"/>
    <w:rsid w:val="00533EE6"/>
    <w:rsid w:val="00533F89"/>
    <w:rsid w:val="0053417F"/>
    <w:rsid w:val="005342D8"/>
    <w:rsid w:val="00534328"/>
    <w:rsid w:val="00534745"/>
    <w:rsid w:val="0053488B"/>
    <w:rsid w:val="005348BD"/>
    <w:rsid w:val="00534AE0"/>
    <w:rsid w:val="00534C53"/>
    <w:rsid w:val="00534CC4"/>
    <w:rsid w:val="00535022"/>
    <w:rsid w:val="0053522B"/>
    <w:rsid w:val="005353F2"/>
    <w:rsid w:val="0053553B"/>
    <w:rsid w:val="0053554C"/>
    <w:rsid w:val="0053563D"/>
    <w:rsid w:val="0053571D"/>
    <w:rsid w:val="00535960"/>
    <w:rsid w:val="00535B17"/>
    <w:rsid w:val="00535C34"/>
    <w:rsid w:val="00536014"/>
    <w:rsid w:val="00536131"/>
    <w:rsid w:val="00536171"/>
    <w:rsid w:val="005361CA"/>
    <w:rsid w:val="00536406"/>
    <w:rsid w:val="00536811"/>
    <w:rsid w:val="00536A59"/>
    <w:rsid w:val="00537092"/>
    <w:rsid w:val="00537102"/>
    <w:rsid w:val="00537323"/>
    <w:rsid w:val="0053738B"/>
    <w:rsid w:val="005374E7"/>
    <w:rsid w:val="00537888"/>
    <w:rsid w:val="005379E5"/>
    <w:rsid w:val="00537DC7"/>
    <w:rsid w:val="00537EC7"/>
    <w:rsid w:val="00537FC2"/>
    <w:rsid w:val="00540057"/>
    <w:rsid w:val="0054026C"/>
    <w:rsid w:val="005403F4"/>
    <w:rsid w:val="005406DB"/>
    <w:rsid w:val="00540C65"/>
    <w:rsid w:val="00540F3F"/>
    <w:rsid w:val="005410EF"/>
    <w:rsid w:val="00541103"/>
    <w:rsid w:val="005414E0"/>
    <w:rsid w:val="005416B5"/>
    <w:rsid w:val="00541B44"/>
    <w:rsid w:val="00541C9C"/>
    <w:rsid w:val="00541F0D"/>
    <w:rsid w:val="00542049"/>
    <w:rsid w:val="005420AF"/>
    <w:rsid w:val="005423BD"/>
    <w:rsid w:val="00542711"/>
    <w:rsid w:val="0054298C"/>
    <w:rsid w:val="00542C7B"/>
    <w:rsid w:val="00542CDB"/>
    <w:rsid w:val="00542DA0"/>
    <w:rsid w:val="005430D6"/>
    <w:rsid w:val="005431D1"/>
    <w:rsid w:val="00543209"/>
    <w:rsid w:val="0054333C"/>
    <w:rsid w:val="0054356C"/>
    <w:rsid w:val="00543586"/>
    <w:rsid w:val="0054358A"/>
    <w:rsid w:val="00543814"/>
    <w:rsid w:val="0054395F"/>
    <w:rsid w:val="00543C76"/>
    <w:rsid w:val="00543C8B"/>
    <w:rsid w:val="0054426A"/>
    <w:rsid w:val="005442EF"/>
    <w:rsid w:val="00544529"/>
    <w:rsid w:val="005446A8"/>
    <w:rsid w:val="00544866"/>
    <w:rsid w:val="00544994"/>
    <w:rsid w:val="005449C3"/>
    <w:rsid w:val="00544B7B"/>
    <w:rsid w:val="00544D23"/>
    <w:rsid w:val="00544F64"/>
    <w:rsid w:val="005452F0"/>
    <w:rsid w:val="005453CA"/>
    <w:rsid w:val="005456B5"/>
    <w:rsid w:val="005456F2"/>
    <w:rsid w:val="0054579D"/>
    <w:rsid w:val="005458A2"/>
    <w:rsid w:val="005458DB"/>
    <w:rsid w:val="00545976"/>
    <w:rsid w:val="005459EE"/>
    <w:rsid w:val="00545B52"/>
    <w:rsid w:val="00545CF5"/>
    <w:rsid w:val="00545D30"/>
    <w:rsid w:val="00545F8E"/>
    <w:rsid w:val="00546060"/>
    <w:rsid w:val="005460E4"/>
    <w:rsid w:val="00546311"/>
    <w:rsid w:val="0054635A"/>
    <w:rsid w:val="00546473"/>
    <w:rsid w:val="005468B5"/>
    <w:rsid w:val="005468CF"/>
    <w:rsid w:val="00546950"/>
    <w:rsid w:val="0054696B"/>
    <w:rsid w:val="00546981"/>
    <w:rsid w:val="00546D14"/>
    <w:rsid w:val="00546E1F"/>
    <w:rsid w:val="00546E29"/>
    <w:rsid w:val="00546EC6"/>
    <w:rsid w:val="00546F30"/>
    <w:rsid w:val="005470CC"/>
    <w:rsid w:val="0054763F"/>
    <w:rsid w:val="00547829"/>
    <w:rsid w:val="00547E3A"/>
    <w:rsid w:val="00547E40"/>
    <w:rsid w:val="00550083"/>
    <w:rsid w:val="005500CB"/>
    <w:rsid w:val="005500F1"/>
    <w:rsid w:val="005508FF"/>
    <w:rsid w:val="005509A2"/>
    <w:rsid w:val="005509C4"/>
    <w:rsid w:val="00550A25"/>
    <w:rsid w:val="00550A39"/>
    <w:rsid w:val="00550AA5"/>
    <w:rsid w:val="00550BE1"/>
    <w:rsid w:val="00550E8D"/>
    <w:rsid w:val="0055103A"/>
    <w:rsid w:val="0055108A"/>
    <w:rsid w:val="00551139"/>
    <w:rsid w:val="0055131E"/>
    <w:rsid w:val="005513A7"/>
    <w:rsid w:val="005514F2"/>
    <w:rsid w:val="005515E0"/>
    <w:rsid w:val="00551768"/>
    <w:rsid w:val="00551808"/>
    <w:rsid w:val="00551BA0"/>
    <w:rsid w:val="00551E4A"/>
    <w:rsid w:val="00552050"/>
    <w:rsid w:val="005521A7"/>
    <w:rsid w:val="005521B6"/>
    <w:rsid w:val="005521C7"/>
    <w:rsid w:val="00552296"/>
    <w:rsid w:val="00552700"/>
    <w:rsid w:val="0055292A"/>
    <w:rsid w:val="00552ED5"/>
    <w:rsid w:val="005530B9"/>
    <w:rsid w:val="0055327E"/>
    <w:rsid w:val="0055329A"/>
    <w:rsid w:val="00553501"/>
    <w:rsid w:val="005535EB"/>
    <w:rsid w:val="00553901"/>
    <w:rsid w:val="00553930"/>
    <w:rsid w:val="00553942"/>
    <w:rsid w:val="00553945"/>
    <w:rsid w:val="00553A27"/>
    <w:rsid w:val="00553AB7"/>
    <w:rsid w:val="00553CE9"/>
    <w:rsid w:val="0055407A"/>
    <w:rsid w:val="005540E6"/>
    <w:rsid w:val="005540EE"/>
    <w:rsid w:val="0055415A"/>
    <w:rsid w:val="005541A4"/>
    <w:rsid w:val="00554248"/>
    <w:rsid w:val="00554369"/>
    <w:rsid w:val="005543D1"/>
    <w:rsid w:val="0055449A"/>
    <w:rsid w:val="00554751"/>
    <w:rsid w:val="0055481D"/>
    <w:rsid w:val="0055485B"/>
    <w:rsid w:val="0055494C"/>
    <w:rsid w:val="005549E4"/>
    <w:rsid w:val="00554A7D"/>
    <w:rsid w:val="00554AE3"/>
    <w:rsid w:val="00554CC5"/>
    <w:rsid w:val="00554D68"/>
    <w:rsid w:val="00554DF6"/>
    <w:rsid w:val="00555094"/>
    <w:rsid w:val="00555135"/>
    <w:rsid w:val="0055516B"/>
    <w:rsid w:val="005552F8"/>
    <w:rsid w:val="00555447"/>
    <w:rsid w:val="005554E2"/>
    <w:rsid w:val="005555D8"/>
    <w:rsid w:val="005557A7"/>
    <w:rsid w:val="0055584D"/>
    <w:rsid w:val="00555C69"/>
    <w:rsid w:val="00555E10"/>
    <w:rsid w:val="00556015"/>
    <w:rsid w:val="00556237"/>
    <w:rsid w:val="005562CC"/>
    <w:rsid w:val="00556326"/>
    <w:rsid w:val="0055643D"/>
    <w:rsid w:val="005565BF"/>
    <w:rsid w:val="005567A1"/>
    <w:rsid w:val="005569EE"/>
    <w:rsid w:val="00556A08"/>
    <w:rsid w:val="00556A55"/>
    <w:rsid w:val="00556AD0"/>
    <w:rsid w:val="00556E8B"/>
    <w:rsid w:val="00556EF3"/>
    <w:rsid w:val="00557075"/>
    <w:rsid w:val="005570E8"/>
    <w:rsid w:val="005571E6"/>
    <w:rsid w:val="00557322"/>
    <w:rsid w:val="0055790F"/>
    <w:rsid w:val="00557DB8"/>
    <w:rsid w:val="00557E32"/>
    <w:rsid w:val="0056015A"/>
    <w:rsid w:val="0056021A"/>
    <w:rsid w:val="00560221"/>
    <w:rsid w:val="00560284"/>
    <w:rsid w:val="00560428"/>
    <w:rsid w:val="00560988"/>
    <w:rsid w:val="00560A27"/>
    <w:rsid w:val="00560B61"/>
    <w:rsid w:val="00560B71"/>
    <w:rsid w:val="00560B84"/>
    <w:rsid w:val="0056107B"/>
    <w:rsid w:val="005610BE"/>
    <w:rsid w:val="005611AE"/>
    <w:rsid w:val="00561377"/>
    <w:rsid w:val="00561513"/>
    <w:rsid w:val="005617A5"/>
    <w:rsid w:val="00561B34"/>
    <w:rsid w:val="00561C11"/>
    <w:rsid w:val="00561D48"/>
    <w:rsid w:val="00561F9E"/>
    <w:rsid w:val="00562064"/>
    <w:rsid w:val="00562257"/>
    <w:rsid w:val="00562372"/>
    <w:rsid w:val="00562685"/>
    <w:rsid w:val="005626DE"/>
    <w:rsid w:val="00562AFB"/>
    <w:rsid w:val="00562B8D"/>
    <w:rsid w:val="00562BCD"/>
    <w:rsid w:val="00562BF5"/>
    <w:rsid w:val="00562CD1"/>
    <w:rsid w:val="00562DD3"/>
    <w:rsid w:val="00562E85"/>
    <w:rsid w:val="005630B4"/>
    <w:rsid w:val="00563180"/>
    <w:rsid w:val="00563344"/>
    <w:rsid w:val="005634A3"/>
    <w:rsid w:val="0056371D"/>
    <w:rsid w:val="00563788"/>
    <w:rsid w:val="00563A82"/>
    <w:rsid w:val="00563B89"/>
    <w:rsid w:val="00563CAE"/>
    <w:rsid w:val="00563DA0"/>
    <w:rsid w:val="00563ED6"/>
    <w:rsid w:val="00563ED9"/>
    <w:rsid w:val="00563F40"/>
    <w:rsid w:val="00564224"/>
    <w:rsid w:val="005642A6"/>
    <w:rsid w:val="0056432A"/>
    <w:rsid w:val="0056436A"/>
    <w:rsid w:val="00564476"/>
    <w:rsid w:val="00564656"/>
    <w:rsid w:val="00564666"/>
    <w:rsid w:val="005648FD"/>
    <w:rsid w:val="00564913"/>
    <w:rsid w:val="00564B9C"/>
    <w:rsid w:val="00564CE9"/>
    <w:rsid w:val="00564EDD"/>
    <w:rsid w:val="005650D0"/>
    <w:rsid w:val="0056513A"/>
    <w:rsid w:val="00566007"/>
    <w:rsid w:val="005665CA"/>
    <w:rsid w:val="005666CD"/>
    <w:rsid w:val="00566743"/>
    <w:rsid w:val="0056682A"/>
    <w:rsid w:val="005668F1"/>
    <w:rsid w:val="005669F3"/>
    <w:rsid w:val="00566B87"/>
    <w:rsid w:val="00566BAD"/>
    <w:rsid w:val="00566DC8"/>
    <w:rsid w:val="00566FCF"/>
    <w:rsid w:val="0056744E"/>
    <w:rsid w:val="0056767F"/>
    <w:rsid w:val="005676B2"/>
    <w:rsid w:val="005679F0"/>
    <w:rsid w:val="00567AC7"/>
    <w:rsid w:val="00567B95"/>
    <w:rsid w:val="00567CAC"/>
    <w:rsid w:val="00567E02"/>
    <w:rsid w:val="00567FA5"/>
    <w:rsid w:val="00567FDF"/>
    <w:rsid w:val="00570165"/>
    <w:rsid w:val="00570237"/>
    <w:rsid w:val="00570493"/>
    <w:rsid w:val="005707E6"/>
    <w:rsid w:val="00570C2D"/>
    <w:rsid w:val="00570FA0"/>
    <w:rsid w:val="0057104D"/>
    <w:rsid w:val="00571387"/>
    <w:rsid w:val="005713B8"/>
    <w:rsid w:val="005717D3"/>
    <w:rsid w:val="00571806"/>
    <w:rsid w:val="005718D6"/>
    <w:rsid w:val="0057198A"/>
    <w:rsid w:val="00571CBE"/>
    <w:rsid w:val="00571DE3"/>
    <w:rsid w:val="0057202F"/>
    <w:rsid w:val="0057220E"/>
    <w:rsid w:val="00572344"/>
    <w:rsid w:val="00572400"/>
    <w:rsid w:val="00572451"/>
    <w:rsid w:val="005724E7"/>
    <w:rsid w:val="0057252E"/>
    <w:rsid w:val="00572695"/>
    <w:rsid w:val="005727BA"/>
    <w:rsid w:val="0057285B"/>
    <w:rsid w:val="00572E09"/>
    <w:rsid w:val="00573397"/>
    <w:rsid w:val="005734D2"/>
    <w:rsid w:val="005735A8"/>
    <w:rsid w:val="005738D2"/>
    <w:rsid w:val="00573A28"/>
    <w:rsid w:val="00573B76"/>
    <w:rsid w:val="00573E07"/>
    <w:rsid w:val="00573E3D"/>
    <w:rsid w:val="00573FDF"/>
    <w:rsid w:val="00574002"/>
    <w:rsid w:val="005740C4"/>
    <w:rsid w:val="005741EB"/>
    <w:rsid w:val="00574409"/>
    <w:rsid w:val="0057445F"/>
    <w:rsid w:val="005745C0"/>
    <w:rsid w:val="005745DE"/>
    <w:rsid w:val="00574838"/>
    <w:rsid w:val="0057487A"/>
    <w:rsid w:val="005749AE"/>
    <w:rsid w:val="00574A6E"/>
    <w:rsid w:val="00574E44"/>
    <w:rsid w:val="00574F08"/>
    <w:rsid w:val="005750EA"/>
    <w:rsid w:val="00575517"/>
    <w:rsid w:val="00575563"/>
    <w:rsid w:val="00575728"/>
    <w:rsid w:val="00575755"/>
    <w:rsid w:val="005758B8"/>
    <w:rsid w:val="00575A2C"/>
    <w:rsid w:val="00575A49"/>
    <w:rsid w:val="00575AE1"/>
    <w:rsid w:val="00575C45"/>
    <w:rsid w:val="00575DDF"/>
    <w:rsid w:val="00576160"/>
    <w:rsid w:val="00576302"/>
    <w:rsid w:val="005764D5"/>
    <w:rsid w:val="005766CE"/>
    <w:rsid w:val="00576750"/>
    <w:rsid w:val="00576839"/>
    <w:rsid w:val="00576894"/>
    <w:rsid w:val="00576A8E"/>
    <w:rsid w:val="00576B23"/>
    <w:rsid w:val="00576B36"/>
    <w:rsid w:val="00576B9B"/>
    <w:rsid w:val="00576BCA"/>
    <w:rsid w:val="00576DCF"/>
    <w:rsid w:val="00576E4C"/>
    <w:rsid w:val="0057712F"/>
    <w:rsid w:val="005772D6"/>
    <w:rsid w:val="0057735A"/>
    <w:rsid w:val="0057739E"/>
    <w:rsid w:val="00577617"/>
    <w:rsid w:val="005777C1"/>
    <w:rsid w:val="005777CE"/>
    <w:rsid w:val="00577972"/>
    <w:rsid w:val="00577B21"/>
    <w:rsid w:val="00577B3F"/>
    <w:rsid w:val="00577D36"/>
    <w:rsid w:val="00580259"/>
    <w:rsid w:val="00580508"/>
    <w:rsid w:val="005806E7"/>
    <w:rsid w:val="00580A5E"/>
    <w:rsid w:val="00580AA2"/>
    <w:rsid w:val="00580C45"/>
    <w:rsid w:val="0058101D"/>
    <w:rsid w:val="00581023"/>
    <w:rsid w:val="00581248"/>
    <w:rsid w:val="00581299"/>
    <w:rsid w:val="005813CC"/>
    <w:rsid w:val="0058158C"/>
    <w:rsid w:val="00581AAA"/>
    <w:rsid w:val="00581E41"/>
    <w:rsid w:val="00581F91"/>
    <w:rsid w:val="0058206B"/>
    <w:rsid w:val="0058210C"/>
    <w:rsid w:val="005825C0"/>
    <w:rsid w:val="005825E1"/>
    <w:rsid w:val="00582746"/>
    <w:rsid w:val="005828CD"/>
    <w:rsid w:val="00582AE5"/>
    <w:rsid w:val="00582C03"/>
    <w:rsid w:val="00582EDB"/>
    <w:rsid w:val="005832F8"/>
    <w:rsid w:val="0058330A"/>
    <w:rsid w:val="00583482"/>
    <w:rsid w:val="00583516"/>
    <w:rsid w:val="0058361C"/>
    <w:rsid w:val="00583B13"/>
    <w:rsid w:val="00583B1E"/>
    <w:rsid w:val="00583D84"/>
    <w:rsid w:val="00583E7D"/>
    <w:rsid w:val="005841F0"/>
    <w:rsid w:val="00584711"/>
    <w:rsid w:val="0058475D"/>
    <w:rsid w:val="00584883"/>
    <w:rsid w:val="005848A5"/>
    <w:rsid w:val="0058490E"/>
    <w:rsid w:val="00584A63"/>
    <w:rsid w:val="00584ACF"/>
    <w:rsid w:val="00584BED"/>
    <w:rsid w:val="00584C13"/>
    <w:rsid w:val="00584C9D"/>
    <w:rsid w:val="00584CA7"/>
    <w:rsid w:val="00584CB9"/>
    <w:rsid w:val="00584FBF"/>
    <w:rsid w:val="00585089"/>
    <w:rsid w:val="005854C4"/>
    <w:rsid w:val="005855C1"/>
    <w:rsid w:val="0058577C"/>
    <w:rsid w:val="005857EB"/>
    <w:rsid w:val="0058589C"/>
    <w:rsid w:val="005858B1"/>
    <w:rsid w:val="00585CED"/>
    <w:rsid w:val="00585E16"/>
    <w:rsid w:val="00585ECA"/>
    <w:rsid w:val="00585F10"/>
    <w:rsid w:val="00585F66"/>
    <w:rsid w:val="00585F89"/>
    <w:rsid w:val="0058619E"/>
    <w:rsid w:val="00586340"/>
    <w:rsid w:val="00586345"/>
    <w:rsid w:val="005864D3"/>
    <w:rsid w:val="00586525"/>
    <w:rsid w:val="00586544"/>
    <w:rsid w:val="0058654A"/>
    <w:rsid w:val="0058658E"/>
    <w:rsid w:val="00586BB9"/>
    <w:rsid w:val="00586D7E"/>
    <w:rsid w:val="00586DC1"/>
    <w:rsid w:val="0058712B"/>
    <w:rsid w:val="005873F5"/>
    <w:rsid w:val="0058746D"/>
    <w:rsid w:val="005874BD"/>
    <w:rsid w:val="00587507"/>
    <w:rsid w:val="005877E7"/>
    <w:rsid w:val="005878AF"/>
    <w:rsid w:val="0058794B"/>
    <w:rsid w:val="005879E9"/>
    <w:rsid w:val="00587AAF"/>
    <w:rsid w:val="00587C9A"/>
    <w:rsid w:val="00587F0A"/>
    <w:rsid w:val="00590362"/>
    <w:rsid w:val="0059045C"/>
    <w:rsid w:val="00590767"/>
    <w:rsid w:val="005908DA"/>
    <w:rsid w:val="00590B28"/>
    <w:rsid w:val="00590C96"/>
    <w:rsid w:val="00590DF6"/>
    <w:rsid w:val="00590E1C"/>
    <w:rsid w:val="00590FF9"/>
    <w:rsid w:val="005910BD"/>
    <w:rsid w:val="0059116F"/>
    <w:rsid w:val="005911F0"/>
    <w:rsid w:val="00591332"/>
    <w:rsid w:val="00591392"/>
    <w:rsid w:val="005913C3"/>
    <w:rsid w:val="00591424"/>
    <w:rsid w:val="005914B2"/>
    <w:rsid w:val="0059155C"/>
    <w:rsid w:val="0059177B"/>
    <w:rsid w:val="005918B4"/>
    <w:rsid w:val="00591B50"/>
    <w:rsid w:val="00591D39"/>
    <w:rsid w:val="00591D5A"/>
    <w:rsid w:val="00591D95"/>
    <w:rsid w:val="00591E37"/>
    <w:rsid w:val="00591E50"/>
    <w:rsid w:val="0059261C"/>
    <w:rsid w:val="0059263B"/>
    <w:rsid w:val="00592CE1"/>
    <w:rsid w:val="00592D95"/>
    <w:rsid w:val="00593123"/>
    <w:rsid w:val="005931C7"/>
    <w:rsid w:val="005931CA"/>
    <w:rsid w:val="00593327"/>
    <w:rsid w:val="00593424"/>
    <w:rsid w:val="0059346E"/>
    <w:rsid w:val="005934FF"/>
    <w:rsid w:val="00593693"/>
    <w:rsid w:val="005936A0"/>
    <w:rsid w:val="005936FD"/>
    <w:rsid w:val="00593832"/>
    <w:rsid w:val="00593852"/>
    <w:rsid w:val="00593F18"/>
    <w:rsid w:val="0059436A"/>
    <w:rsid w:val="005944CE"/>
    <w:rsid w:val="0059456B"/>
    <w:rsid w:val="005945C7"/>
    <w:rsid w:val="00594601"/>
    <w:rsid w:val="00594657"/>
    <w:rsid w:val="00594762"/>
    <w:rsid w:val="00594829"/>
    <w:rsid w:val="0059483A"/>
    <w:rsid w:val="00594AD1"/>
    <w:rsid w:val="00594C49"/>
    <w:rsid w:val="00594C97"/>
    <w:rsid w:val="00594D7F"/>
    <w:rsid w:val="00594F45"/>
    <w:rsid w:val="0059525E"/>
    <w:rsid w:val="0059525F"/>
    <w:rsid w:val="0059581D"/>
    <w:rsid w:val="00595849"/>
    <w:rsid w:val="005958D1"/>
    <w:rsid w:val="00595F38"/>
    <w:rsid w:val="00595F47"/>
    <w:rsid w:val="00595F5C"/>
    <w:rsid w:val="00595F85"/>
    <w:rsid w:val="0059622B"/>
    <w:rsid w:val="00596285"/>
    <w:rsid w:val="005963E7"/>
    <w:rsid w:val="0059661B"/>
    <w:rsid w:val="00596ADC"/>
    <w:rsid w:val="00596BD9"/>
    <w:rsid w:val="00596F8A"/>
    <w:rsid w:val="00597282"/>
    <w:rsid w:val="0059767D"/>
    <w:rsid w:val="005979B4"/>
    <w:rsid w:val="00597A99"/>
    <w:rsid w:val="00597C6B"/>
    <w:rsid w:val="00597E5A"/>
    <w:rsid w:val="00597EEC"/>
    <w:rsid w:val="00597F3E"/>
    <w:rsid w:val="005A00AE"/>
    <w:rsid w:val="005A0158"/>
    <w:rsid w:val="005A035E"/>
    <w:rsid w:val="005A04A5"/>
    <w:rsid w:val="005A06CC"/>
    <w:rsid w:val="005A0833"/>
    <w:rsid w:val="005A0845"/>
    <w:rsid w:val="005A0BC8"/>
    <w:rsid w:val="005A0BCA"/>
    <w:rsid w:val="005A10A5"/>
    <w:rsid w:val="005A1133"/>
    <w:rsid w:val="005A15C4"/>
    <w:rsid w:val="005A17DD"/>
    <w:rsid w:val="005A18F4"/>
    <w:rsid w:val="005A22EF"/>
    <w:rsid w:val="005A231A"/>
    <w:rsid w:val="005A249D"/>
    <w:rsid w:val="005A2628"/>
    <w:rsid w:val="005A2994"/>
    <w:rsid w:val="005A320A"/>
    <w:rsid w:val="005A320F"/>
    <w:rsid w:val="005A330C"/>
    <w:rsid w:val="005A338D"/>
    <w:rsid w:val="005A348E"/>
    <w:rsid w:val="005A35F8"/>
    <w:rsid w:val="005A36A7"/>
    <w:rsid w:val="005A3703"/>
    <w:rsid w:val="005A3947"/>
    <w:rsid w:val="005A3A48"/>
    <w:rsid w:val="005A3D50"/>
    <w:rsid w:val="005A4250"/>
    <w:rsid w:val="005A4615"/>
    <w:rsid w:val="005A46B4"/>
    <w:rsid w:val="005A4743"/>
    <w:rsid w:val="005A4B08"/>
    <w:rsid w:val="005A4BCB"/>
    <w:rsid w:val="005A4BCD"/>
    <w:rsid w:val="005A4D1D"/>
    <w:rsid w:val="005A4DB0"/>
    <w:rsid w:val="005A4E5A"/>
    <w:rsid w:val="005A4FD5"/>
    <w:rsid w:val="005A5001"/>
    <w:rsid w:val="005A508A"/>
    <w:rsid w:val="005A52D2"/>
    <w:rsid w:val="005A538F"/>
    <w:rsid w:val="005A54BC"/>
    <w:rsid w:val="005A5503"/>
    <w:rsid w:val="005A579A"/>
    <w:rsid w:val="005A5881"/>
    <w:rsid w:val="005A5968"/>
    <w:rsid w:val="005A5B47"/>
    <w:rsid w:val="005A5B95"/>
    <w:rsid w:val="005A5B99"/>
    <w:rsid w:val="005A5BA4"/>
    <w:rsid w:val="005A5F7B"/>
    <w:rsid w:val="005A6560"/>
    <w:rsid w:val="005A6639"/>
    <w:rsid w:val="005A66EF"/>
    <w:rsid w:val="005A68B9"/>
    <w:rsid w:val="005A69EC"/>
    <w:rsid w:val="005A6A83"/>
    <w:rsid w:val="005A6BE5"/>
    <w:rsid w:val="005A6F2C"/>
    <w:rsid w:val="005A7081"/>
    <w:rsid w:val="005A718A"/>
    <w:rsid w:val="005A7212"/>
    <w:rsid w:val="005A72E2"/>
    <w:rsid w:val="005A73BE"/>
    <w:rsid w:val="005A73DA"/>
    <w:rsid w:val="005A7447"/>
    <w:rsid w:val="005A767D"/>
    <w:rsid w:val="005A76F2"/>
    <w:rsid w:val="005A7B03"/>
    <w:rsid w:val="005A7C72"/>
    <w:rsid w:val="005A7CC2"/>
    <w:rsid w:val="005A7CE5"/>
    <w:rsid w:val="005A7D6F"/>
    <w:rsid w:val="005A7EFD"/>
    <w:rsid w:val="005B00E2"/>
    <w:rsid w:val="005B02FA"/>
    <w:rsid w:val="005B030D"/>
    <w:rsid w:val="005B03EC"/>
    <w:rsid w:val="005B04BF"/>
    <w:rsid w:val="005B0614"/>
    <w:rsid w:val="005B0696"/>
    <w:rsid w:val="005B070F"/>
    <w:rsid w:val="005B08DC"/>
    <w:rsid w:val="005B0B10"/>
    <w:rsid w:val="005B0B1C"/>
    <w:rsid w:val="005B0CC4"/>
    <w:rsid w:val="005B0CDC"/>
    <w:rsid w:val="005B0EEC"/>
    <w:rsid w:val="005B0F30"/>
    <w:rsid w:val="005B1182"/>
    <w:rsid w:val="005B1184"/>
    <w:rsid w:val="005B1191"/>
    <w:rsid w:val="005B1193"/>
    <w:rsid w:val="005B126A"/>
    <w:rsid w:val="005B13E4"/>
    <w:rsid w:val="005B1473"/>
    <w:rsid w:val="005B15C3"/>
    <w:rsid w:val="005B1788"/>
    <w:rsid w:val="005B1828"/>
    <w:rsid w:val="005B1830"/>
    <w:rsid w:val="005B19A7"/>
    <w:rsid w:val="005B1A27"/>
    <w:rsid w:val="005B1A44"/>
    <w:rsid w:val="005B1FBA"/>
    <w:rsid w:val="005B2700"/>
    <w:rsid w:val="005B2874"/>
    <w:rsid w:val="005B2D50"/>
    <w:rsid w:val="005B2DD0"/>
    <w:rsid w:val="005B2FD2"/>
    <w:rsid w:val="005B34AC"/>
    <w:rsid w:val="005B3946"/>
    <w:rsid w:val="005B39FB"/>
    <w:rsid w:val="005B3AF7"/>
    <w:rsid w:val="005B3CA4"/>
    <w:rsid w:val="005B3CEA"/>
    <w:rsid w:val="005B3F13"/>
    <w:rsid w:val="005B4186"/>
    <w:rsid w:val="005B455A"/>
    <w:rsid w:val="005B4682"/>
    <w:rsid w:val="005B46B3"/>
    <w:rsid w:val="005B48A1"/>
    <w:rsid w:val="005B4A96"/>
    <w:rsid w:val="005B4DAC"/>
    <w:rsid w:val="005B5217"/>
    <w:rsid w:val="005B5259"/>
    <w:rsid w:val="005B5350"/>
    <w:rsid w:val="005B5420"/>
    <w:rsid w:val="005B55B4"/>
    <w:rsid w:val="005B5637"/>
    <w:rsid w:val="005B5661"/>
    <w:rsid w:val="005B572A"/>
    <w:rsid w:val="005B577C"/>
    <w:rsid w:val="005B5D0A"/>
    <w:rsid w:val="005B615E"/>
    <w:rsid w:val="005B6185"/>
    <w:rsid w:val="005B6195"/>
    <w:rsid w:val="005B61AC"/>
    <w:rsid w:val="005B62B4"/>
    <w:rsid w:val="005B62C6"/>
    <w:rsid w:val="005B640B"/>
    <w:rsid w:val="005B6456"/>
    <w:rsid w:val="005B6498"/>
    <w:rsid w:val="005B6715"/>
    <w:rsid w:val="005B67EB"/>
    <w:rsid w:val="005B6AA1"/>
    <w:rsid w:val="005B6C7F"/>
    <w:rsid w:val="005B6CB9"/>
    <w:rsid w:val="005B6E38"/>
    <w:rsid w:val="005B6E65"/>
    <w:rsid w:val="005B6F22"/>
    <w:rsid w:val="005B7161"/>
    <w:rsid w:val="005B7217"/>
    <w:rsid w:val="005B7374"/>
    <w:rsid w:val="005B7443"/>
    <w:rsid w:val="005B79DD"/>
    <w:rsid w:val="005B79F9"/>
    <w:rsid w:val="005C00BE"/>
    <w:rsid w:val="005C01A5"/>
    <w:rsid w:val="005C02C1"/>
    <w:rsid w:val="005C060D"/>
    <w:rsid w:val="005C060F"/>
    <w:rsid w:val="005C066E"/>
    <w:rsid w:val="005C08CE"/>
    <w:rsid w:val="005C0A03"/>
    <w:rsid w:val="005C0B69"/>
    <w:rsid w:val="005C0DD6"/>
    <w:rsid w:val="005C0E45"/>
    <w:rsid w:val="005C0E61"/>
    <w:rsid w:val="005C0F16"/>
    <w:rsid w:val="005C0F9A"/>
    <w:rsid w:val="005C10F8"/>
    <w:rsid w:val="005C1432"/>
    <w:rsid w:val="005C1509"/>
    <w:rsid w:val="005C1552"/>
    <w:rsid w:val="005C1638"/>
    <w:rsid w:val="005C163B"/>
    <w:rsid w:val="005C1A78"/>
    <w:rsid w:val="005C1BC9"/>
    <w:rsid w:val="005C1C3D"/>
    <w:rsid w:val="005C1C55"/>
    <w:rsid w:val="005C2340"/>
    <w:rsid w:val="005C23B9"/>
    <w:rsid w:val="005C2448"/>
    <w:rsid w:val="005C2962"/>
    <w:rsid w:val="005C2B6A"/>
    <w:rsid w:val="005C2BFE"/>
    <w:rsid w:val="005C2E1A"/>
    <w:rsid w:val="005C2E5F"/>
    <w:rsid w:val="005C2E65"/>
    <w:rsid w:val="005C3089"/>
    <w:rsid w:val="005C30F8"/>
    <w:rsid w:val="005C3694"/>
    <w:rsid w:val="005C3938"/>
    <w:rsid w:val="005C3AD4"/>
    <w:rsid w:val="005C3B5D"/>
    <w:rsid w:val="005C3C12"/>
    <w:rsid w:val="005C4208"/>
    <w:rsid w:val="005C45DF"/>
    <w:rsid w:val="005C4612"/>
    <w:rsid w:val="005C4659"/>
    <w:rsid w:val="005C4706"/>
    <w:rsid w:val="005C4738"/>
    <w:rsid w:val="005C4883"/>
    <w:rsid w:val="005C4991"/>
    <w:rsid w:val="005C4A7E"/>
    <w:rsid w:val="005C4CDC"/>
    <w:rsid w:val="005C4EAC"/>
    <w:rsid w:val="005C5036"/>
    <w:rsid w:val="005C531A"/>
    <w:rsid w:val="005C53EB"/>
    <w:rsid w:val="005C543F"/>
    <w:rsid w:val="005C59FF"/>
    <w:rsid w:val="005C5B21"/>
    <w:rsid w:val="005C5E52"/>
    <w:rsid w:val="005C5FB0"/>
    <w:rsid w:val="005C5FEA"/>
    <w:rsid w:val="005C6131"/>
    <w:rsid w:val="005C6137"/>
    <w:rsid w:val="005C6185"/>
    <w:rsid w:val="005C619E"/>
    <w:rsid w:val="005C63FF"/>
    <w:rsid w:val="005C66B4"/>
    <w:rsid w:val="005C66F5"/>
    <w:rsid w:val="005C6960"/>
    <w:rsid w:val="005C6AC7"/>
    <w:rsid w:val="005C6CC0"/>
    <w:rsid w:val="005C6FA0"/>
    <w:rsid w:val="005C6FCF"/>
    <w:rsid w:val="005C70D7"/>
    <w:rsid w:val="005C7211"/>
    <w:rsid w:val="005C7477"/>
    <w:rsid w:val="005C7536"/>
    <w:rsid w:val="005C759E"/>
    <w:rsid w:val="005C764A"/>
    <w:rsid w:val="005C7BAA"/>
    <w:rsid w:val="005C7BEE"/>
    <w:rsid w:val="005D0267"/>
    <w:rsid w:val="005D036D"/>
    <w:rsid w:val="005D0393"/>
    <w:rsid w:val="005D0894"/>
    <w:rsid w:val="005D08F4"/>
    <w:rsid w:val="005D0A1B"/>
    <w:rsid w:val="005D0A41"/>
    <w:rsid w:val="005D0E27"/>
    <w:rsid w:val="005D0FC8"/>
    <w:rsid w:val="005D11B3"/>
    <w:rsid w:val="005D1273"/>
    <w:rsid w:val="005D1399"/>
    <w:rsid w:val="005D13D7"/>
    <w:rsid w:val="005D1446"/>
    <w:rsid w:val="005D155E"/>
    <w:rsid w:val="005D1844"/>
    <w:rsid w:val="005D1BAA"/>
    <w:rsid w:val="005D1D86"/>
    <w:rsid w:val="005D1DF1"/>
    <w:rsid w:val="005D2035"/>
    <w:rsid w:val="005D2133"/>
    <w:rsid w:val="005D2336"/>
    <w:rsid w:val="005D25A0"/>
    <w:rsid w:val="005D2A2A"/>
    <w:rsid w:val="005D2AA8"/>
    <w:rsid w:val="005D2D8D"/>
    <w:rsid w:val="005D2E25"/>
    <w:rsid w:val="005D2EFB"/>
    <w:rsid w:val="005D2FE3"/>
    <w:rsid w:val="005D32E3"/>
    <w:rsid w:val="005D34FD"/>
    <w:rsid w:val="005D359A"/>
    <w:rsid w:val="005D35A0"/>
    <w:rsid w:val="005D38A2"/>
    <w:rsid w:val="005D3C33"/>
    <w:rsid w:val="005D3E04"/>
    <w:rsid w:val="005D4308"/>
    <w:rsid w:val="005D459A"/>
    <w:rsid w:val="005D4753"/>
    <w:rsid w:val="005D48F7"/>
    <w:rsid w:val="005D4A29"/>
    <w:rsid w:val="005D4A71"/>
    <w:rsid w:val="005D4A9A"/>
    <w:rsid w:val="005D4AD4"/>
    <w:rsid w:val="005D4B11"/>
    <w:rsid w:val="005D4BA3"/>
    <w:rsid w:val="005D51BB"/>
    <w:rsid w:val="005D52F7"/>
    <w:rsid w:val="005D53AE"/>
    <w:rsid w:val="005D5637"/>
    <w:rsid w:val="005D5779"/>
    <w:rsid w:val="005D578C"/>
    <w:rsid w:val="005D593A"/>
    <w:rsid w:val="005D5A20"/>
    <w:rsid w:val="005D5F11"/>
    <w:rsid w:val="005D5F7C"/>
    <w:rsid w:val="005D5F88"/>
    <w:rsid w:val="005D5FA8"/>
    <w:rsid w:val="005D6014"/>
    <w:rsid w:val="005D603B"/>
    <w:rsid w:val="005D62DB"/>
    <w:rsid w:val="005D6741"/>
    <w:rsid w:val="005D6ACE"/>
    <w:rsid w:val="005D6D65"/>
    <w:rsid w:val="005D6EFF"/>
    <w:rsid w:val="005D6FB6"/>
    <w:rsid w:val="005D7005"/>
    <w:rsid w:val="005D71E8"/>
    <w:rsid w:val="005D723B"/>
    <w:rsid w:val="005D727F"/>
    <w:rsid w:val="005D743F"/>
    <w:rsid w:val="005D75C3"/>
    <w:rsid w:val="005D769C"/>
    <w:rsid w:val="005D7801"/>
    <w:rsid w:val="005D790B"/>
    <w:rsid w:val="005E0045"/>
    <w:rsid w:val="005E0154"/>
    <w:rsid w:val="005E0179"/>
    <w:rsid w:val="005E0307"/>
    <w:rsid w:val="005E0444"/>
    <w:rsid w:val="005E0703"/>
    <w:rsid w:val="005E0818"/>
    <w:rsid w:val="005E095A"/>
    <w:rsid w:val="005E0B32"/>
    <w:rsid w:val="005E0DF4"/>
    <w:rsid w:val="005E0E71"/>
    <w:rsid w:val="005E1058"/>
    <w:rsid w:val="005E10E9"/>
    <w:rsid w:val="005E11AB"/>
    <w:rsid w:val="005E1214"/>
    <w:rsid w:val="005E1233"/>
    <w:rsid w:val="005E12C4"/>
    <w:rsid w:val="005E136E"/>
    <w:rsid w:val="005E1538"/>
    <w:rsid w:val="005E17CD"/>
    <w:rsid w:val="005E189C"/>
    <w:rsid w:val="005E1A64"/>
    <w:rsid w:val="005E1C44"/>
    <w:rsid w:val="005E217D"/>
    <w:rsid w:val="005E26E1"/>
    <w:rsid w:val="005E26E2"/>
    <w:rsid w:val="005E28A8"/>
    <w:rsid w:val="005E293E"/>
    <w:rsid w:val="005E294A"/>
    <w:rsid w:val="005E2FC1"/>
    <w:rsid w:val="005E3136"/>
    <w:rsid w:val="005E3826"/>
    <w:rsid w:val="005E3B81"/>
    <w:rsid w:val="005E3C2A"/>
    <w:rsid w:val="005E3C58"/>
    <w:rsid w:val="005E3E30"/>
    <w:rsid w:val="005E4129"/>
    <w:rsid w:val="005E41E7"/>
    <w:rsid w:val="005E4203"/>
    <w:rsid w:val="005E4265"/>
    <w:rsid w:val="005E451C"/>
    <w:rsid w:val="005E453C"/>
    <w:rsid w:val="005E4682"/>
    <w:rsid w:val="005E46A1"/>
    <w:rsid w:val="005E47FA"/>
    <w:rsid w:val="005E4A24"/>
    <w:rsid w:val="005E4AB3"/>
    <w:rsid w:val="005E4C78"/>
    <w:rsid w:val="005E4E57"/>
    <w:rsid w:val="005E5392"/>
    <w:rsid w:val="005E5436"/>
    <w:rsid w:val="005E5578"/>
    <w:rsid w:val="005E5A76"/>
    <w:rsid w:val="005E5B90"/>
    <w:rsid w:val="005E5C4B"/>
    <w:rsid w:val="005E5ED0"/>
    <w:rsid w:val="005E60FD"/>
    <w:rsid w:val="005E61A8"/>
    <w:rsid w:val="005E6241"/>
    <w:rsid w:val="005E633D"/>
    <w:rsid w:val="005E637B"/>
    <w:rsid w:val="005E63E0"/>
    <w:rsid w:val="005E6614"/>
    <w:rsid w:val="005E6698"/>
    <w:rsid w:val="005E6913"/>
    <w:rsid w:val="005E6A3E"/>
    <w:rsid w:val="005E6B7D"/>
    <w:rsid w:val="005E6D7F"/>
    <w:rsid w:val="005E6F83"/>
    <w:rsid w:val="005E7034"/>
    <w:rsid w:val="005E708C"/>
    <w:rsid w:val="005E7268"/>
    <w:rsid w:val="005E73B5"/>
    <w:rsid w:val="005E757B"/>
    <w:rsid w:val="005E759B"/>
    <w:rsid w:val="005E75D0"/>
    <w:rsid w:val="005E75D9"/>
    <w:rsid w:val="005E7746"/>
    <w:rsid w:val="005E78D7"/>
    <w:rsid w:val="005E7911"/>
    <w:rsid w:val="005E7984"/>
    <w:rsid w:val="005E79EC"/>
    <w:rsid w:val="005E7B13"/>
    <w:rsid w:val="005E7B74"/>
    <w:rsid w:val="005E7D24"/>
    <w:rsid w:val="005E7E2C"/>
    <w:rsid w:val="005E7E9C"/>
    <w:rsid w:val="005F013B"/>
    <w:rsid w:val="005F026A"/>
    <w:rsid w:val="005F0332"/>
    <w:rsid w:val="005F0343"/>
    <w:rsid w:val="005F0427"/>
    <w:rsid w:val="005F048D"/>
    <w:rsid w:val="005F04F0"/>
    <w:rsid w:val="005F0560"/>
    <w:rsid w:val="005F06C2"/>
    <w:rsid w:val="005F0962"/>
    <w:rsid w:val="005F0AA7"/>
    <w:rsid w:val="005F0ADF"/>
    <w:rsid w:val="005F0CDB"/>
    <w:rsid w:val="005F108D"/>
    <w:rsid w:val="005F10FB"/>
    <w:rsid w:val="005F1124"/>
    <w:rsid w:val="005F1238"/>
    <w:rsid w:val="005F17AB"/>
    <w:rsid w:val="005F1820"/>
    <w:rsid w:val="005F1A5F"/>
    <w:rsid w:val="005F1A8C"/>
    <w:rsid w:val="005F1AC7"/>
    <w:rsid w:val="005F1ADE"/>
    <w:rsid w:val="005F1CFC"/>
    <w:rsid w:val="005F1D55"/>
    <w:rsid w:val="005F1DE0"/>
    <w:rsid w:val="005F1E9C"/>
    <w:rsid w:val="005F208A"/>
    <w:rsid w:val="005F2119"/>
    <w:rsid w:val="005F243E"/>
    <w:rsid w:val="005F24CE"/>
    <w:rsid w:val="005F262D"/>
    <w:rsid w:val="005F269C"/>
    <w:rsid w:val="005F281D"/>
    <w:rsid w:val="005F2A2C"/>
    <w:rsid w:val="005F2D0A"/>
    <w:rsid w:val="005F3006"/>
    <w:rsid w:val="005F31C5"/>
    <w:rsid w:val="005F32DB"/>
    <w:rsid w:val="005F3640"/>
    <w:rsid w:val="005F392C"/>
    <w:rsid w:val="005F3982"/>
    <w:rsid w:val="005F39EA"/>
    <w:rsid w:val="005F3B2C"/>
    <w:rsid w:val="005F3B32"/>
    <w:rsid w:val="005F3B53"/>
    <w:rsid w:val="005F3D6C"/>
    <w:rsid w:val="005F3E8B"/>
    <w:rsid w:val="005F474B"/>
    <w:rsid w:val="005F47A6"/>
    <w:rsid w:val="005F4A39"/>
    <w:rsid w:val="005F4C1D"/>
    <w:rsid w:val="005F4FD1"/>
    <w:rsid w:val="005F4FF2"/>
    <w:rsid w:val="005F51BF"/>
    <w:rsid w:val="005F5480"/>
    <w:rsid w:val="005F565B"/>
    <w:rsid w:val="005F566B"/>
    <w:rsid w:val="005F56D9"/>
    <w:rsid w:val="005F58B3"/>
    <w:rsid w:val="005F59D3"/>
    <w:rsid w:val="005F5A13"/>
    <w:rsid w:val="005F5BD2"/>
    <w:rsid w:val="005F5DC0"/>
    <w:rsid w:val="005F5E43"/>
    <w:rsid w:val="005F5FF5"/>
    <w:rsid w:val="005F6131"/>
    <w:rsid w:val="005F6248"/>
    <w:rsid w:val="005F62D9"/>
    <w:rsid w:val="005F64CD"/>
    <w:rsid w:val="005F651D"/>
    <w:rsid w:val="005F6555"/>
    <w:rsid w:val="005F65FD"/>
    <w:rsid w:val="005F67C9"/>
    <w:rsid w:val="005F69E1"/>
    <w:rsid w:val="005F6C92"/>
    <w:rsid w:val="005F6CC3"/>
    <w:rsid w:val="005F6DC0"/>
    <w:rsid w:val="005F6E40"/>
    <w:rsid w:val="005F7155"/>
    <w:rsid w:val="005F7300"/>
    <w:rsid w:val="005F74B1"/>
    <w:rsid w:val="005F74C9"/>
    <w:rsid w:val="005F76B2"/>
    <w:rsid w:val="005F76EA"/>
    <w:rsid w:val="005F7951"/>
    <w:rsid w:val="005F7A9D"/>
    <w:rsid w:val="006002A8"/>
    <w:rsid w:val="00600333"/>
    <w:rsid w:val="006003C8"/>
    <w:rsid w:val="00600683"/>
    <w:rsid w:val="00600735"/>
    <w:rsid w:val="006008B2"/>
    <w:rsid w:val="0060092E"/>
    <w:rsid w:val="00600B3D"/>
    <w:rsid w:val="00600BB4"/>
    <w:rsid w:val="00600CB4"/>
    <w:rsid w:val="00600D39"/>
    <w:rsid w:val="00600EBC"/>
    <w:rsid w:val="00600ED7"/>
    <w:rsid w:val="00600F62"/>
    <w:rsid w:val="00600FD3"/>
    <w:rsid w:val="00601121"/>
    <w:rsid w:val="00601215"/>
    <w:rsid w:val="0060125C"/>
    <w:rsid w:val="00601585"/>
    <w:rsid w:val="0060173F"/>
    <w:rsid w:val="0060192C"/>
    <w:rsid w:val="00601990"/>
    <w:rsid w:val="006019F8"/>
    <w:rsid w:val="00601D22"/>
    <w:rsid w:val="00601D9D"/>
    <w:rsid w:val="00602061"/>
    <w:rsid w:val="006022DE"/>
    <w:rsid w:val="00602681"/>
    <w:rsid w:val="006026C9"/>
    <w:rsid w:val="006026DB"/>
    <w:rsid w:val="00602730"/>
    <w:rsid w:val="0060282B"/>
    <w:rsid w:val="006028F7"/>
    <w:rsid w:val="00602CB2"/>
    <w:rsid w:val="00602D4E"/>
    <w:rsid w:val="00602DE2"/>
    <w:rsid w:val="00602F31"/>
    <w:rsid w:val="00603026"/>
    <w:rsid w:val="0060310C"/>
    <w:rsid w:val="00603221"/>
    <w:rsid w:val="006032E1"/>
    <w:rsid w:val="00603324"/>
    <w:rsid w:val="0060335A"/>
    <w:rsid w:val="00603644"/>
    <w:rsid w:val="0060373C"/>
    <w:rsid w:val="006037C3"/>
    <w:rsid w:val="0060385B"/>
    <w:rsid w:val="0060393C"/>
    <w:rsid w:val="00604280"/>
    <w:rsid w:val="006042F2"/>
    <w:rsid w:val="00604444"/>
    <w:rsid w:val="00604632"/>
    <w:rsid w:val="006046F3"/>
    <w:rsid w:val="006048AE"/>
    <w:rsid w:val="0060492F"/>
    <w:rsid w:val="0060493B"/>
    <w:rsid w:val="00604A25"/>
    <w:rsid w:val="00604BCA"/>
    <w:rsid w:val="00604C92"/>
    <w:rsid w:val="00604F95"/>
    <w:rsid w:val="0060508F"/>
    <w:rsid w:val="006051CE"/>
    <w:rsid w:val="006052D6"/>
    <w:rsid w:val="00605300"/>
    <w:rsid w:val="006053BA"/>
    <w:rsid w:val="006055CC"/>
    <w:rsid w:val="00605931"/>
    <w:rsid w:val="00605A5A"/>
    <w:rsid w:val="00605ED2"/>
    <w:rsid w:val="0060602B"/>
    <w:rsid w:val="00606622"/>
    <w:rsid w:val="006067B2"/>
    <w:rsid w:val="006067D0"/>
    <w:rsid w:val="00606875"/>
    <w:rsid w:val="00606BD5"/>
    <w:rsid w:val="00606C53"/>
    <w:rsid w:val="00606CB5"/>
    <w:rsid w:val="00606E39"/>
    <w:rsid w:val="00606F41"/>
    <w:rsid w:val="00606F89"/>
    <w:rsid w:val="006071F7"/>
    <w:rsid w:val="0060728B"/>
    <w:rsid w:val="0060735D"/>
    <w:rsid w:val="00607441"/>
    <w:rsid w:val="006075A1"/>
    <w:rsid w:val="006077A5"/>
    <w:rsid w:val="00607A96"/>
    <w:rsid w:val="00607BBB"/>
    <w:rsid w:val="00610010"/>
    <w:rsid w:val="00610188"/>
    <w:rsid w:val="0061023E"/>
    <w:rsid w:val="006103BE"/>
    <w:rsid w:val="00610853"/>
    <w:rsid w:val="00610868"/>
    <w:rsid w:val="00610A00"/>
    <w:rsid w:val="00610B7A"/>
    <w:rsid w:val="00610C43"/>
    <w:rsid w:val="00610D48"/>
    <w:rsid w:val="00610ECB"/>
    <w:rsid w:val="00611001"/>
    <w:rsid w:val="00611153"/>
    <w:rsid w:val="006111C0"/>
    <w:rsid w:val="00611209"/>
    <w:rsid w:val="0061120C"/>
    <w:rsid w:val="00611278"/>
    <w:rsid w:val="0061135F"/>
    <w:rsid w:val="0061140D"/>
    <w:rsid w:val="00611443"/>
    <w:rsid w:val="006116BA"/>
    <w:rsid w:val="006116C1"/>
    <w:rsid w:val="00611D7B"/>
    <w:rsid w:val="00611E1C"/>
    <w:rsid w:val="00612229"/>
    <w:rsid w:val="006123AB"/>
    <w:rsid w:val="00612847"/>
    <w:rsid w:val="00612954"/>
    <w:rsid w:val="00612BB0"/>
    <w:rsid w:val="00612C74"/>
    <w:rsid w:val="00612D3B"/>
    <w:rsid w:val="00612F96"/>
    <w:rsid w:val="00613222"/>
    <w:rsid w:val="0061388B"/>
    <w:rsid w:val="006138FB"/>
    <w:rsid w:val="00613AF0"/>
    <w:rsid w:val="00613B0A"/>
    <w:rsid w:val="00614655"/>
    <w:rsid w:val="00614768"/>
    <w:rsid w:val="00614C1F"/>
    <w:rsid w:val="00614C3D"/>
    <w:rsid w:val="00614E87"/>
    <w:rsid w:val="00614EEC"/>
    <w:rsid w:val="006150C2"/>
    <w:rsid w:val="00615770"/>
    <w:rsid w:val="00615AD0"/>
    <w:rsid w:val="00615BC9"/>
    <w:rsid w:val="006164B4"/>
    <w:rsid w:val="0061651B"/>
    <w:rsid w:val="0061660F"/>
    <w:rsid w:val="00616753"/>
    <w:rsid w:val="00616790"/>
    <w:rsid w:val="006167BB"/>
    <w:rsid w:val="00616928"/>
    <w:rsid w:val="00616AF4"/>
    <w:rsid w:val="00616B1B"/>
    <w:rsid w:val="00616C39"/>
    <w:rsid w:val="00616C8C"/>
    <w:rsid w:val="00616FEC"/>
    <w:rsid w:val="006170A7"/>
    <w:rsid w:val="0061716C"/>
    <w:rsid w:val="006172E1"/>
    <w:rsid w:val="006173B1"/>
    <w:rsid w:val="006173EE"/>
    <w:rsid w:val="00617647"/>
    <w:rsid w:val="00617887"/>
    <w:rsid w:val="00617A1D"/>
    <w:rsid w:val="00617CF4"/>
    <w:rsid w:val="00617E13"/>
    <w:rsid w:val="006203B7"/>
    <w:rsid w:val="0062065D"/>
    <w:rsid w:val="00620745"/>
    <w:rsid w:val="00620780"/>
    <w:rsid w:val="006207CF"/>
    <w:rsid w:val="00620927"/>
    <w:rsid w:val="00620B65"/>
    <w:rsid w:val="00620B67"/>
    <w:rsid w:val="00620D30"/>
    <w:rsid w:val="00621075"/>
    <w:rsid w:val="00621350"/>
    <w:rsid w:val="00621751"/>
    <w:rsid w:val="00621ADA"/>
    <w:rsid w:val="00621CA1"/>
    <w:rsid w:val="00621CFC"/>
    <w:rsid w:val="00621E92"/>
    <w:rsid w:val="00621F1B"/>
    <w:rsid w:val="00621FA5"/>
    <w:rsid w:val="00621FEC"/>
    <w:rsid w:val="006220F9"/>
    <w:rsid w:val="00622393"/>
    <w:rsid w:val="006223B0"/>
    <w:rsid w:val="006223BB"/>
    <w:rsid w:val="00622419"/>
    <w:rsid w:val="006224E6"/>
    <w:rsid w:val="006225FD"/>
    <w:rsid w:val="006226A8"/>
    <w:rsid w:val="006227C1"/>
    <w:rsid w:val="00622812"/>
    <w:rsid w:val="006228D6"/>
    <w:rsid w:val="006229A7"/>
    <w:rsid w:val="00622ADB"/>
    <w:rsid w:val="00622B20"/>
    <w:rsid w:val="00622BE5"/>
    <w:rsid w:val="00622C70"/>
    <w:rsid w:val="00622EBD"/>
    <w:rsid w:val="006230C6"/>
    <w:rsid w:val="00623162"/>
    <w:rsid w:val="00623313"/>
    <w:rsid w:val="00623436"/>
    <w:rsid w:val="00623752"/>
    <w:rsid w:val="00623795"/>
    <w:rsid w:val="00623798"/>
    <w:rsid w:val="0062380E"/>
    <w:rsid w:val="0062384B"/>
    <w:rsid w:val="00623A57"/>
    <w:rsid w:val="0062418E"/>
    <w:rsid w:val="00624392"/>
    <w:rsid w:val="006243DD"/>
    <w:rsid w:val="00624508"/>
    <w:rsid w:val="00624605"/>
    <w:rsid w:val="00624646"/>
    <w:rsid w:val="00624703"/>
    <w:rsid w:val="00624862"/>
    <w:rsid w:val="006248C3"/>
    <w:rsid w:val="0062490E"/>
    <w:rsid w:val="00624949"/>
    <w:rsid w:val="00624A12"/>
    <w:rsid w:val="00624B55"/>
    <w:rsid w:val="0062506B"/>
    <w:rsid w:val="00625103"/>
    <w:rsid w:val="0062533C"/>
    <w:rsid w:val="00625443"/>
    <w:rsid w:val="00625533"/>
    <w:rsid w:val="006255D3"/>
    <w:rsid w:val="00625640"/>
    <w:rsid w:val="00625700"/>
    <w:rsid w:val="0062592A"/>
    <w:rsid w:val="0062596C"/>
    <w:rsid w:val="00625982"/>
    <w:rsid w:val="00625CAA"/>
    <w:rsid w:val="00625E19"/>
    <w:rsid w:val="00625EE6"/>
    <w:rsid w:val="00625F3F"/>
    <w:rsid w:val="00625FD6"/>
    <w:rsid w:val="006261BA"/>
    <w:rsid w:val="006261FA"/>
    <w:rsid w:val="00626219"/>
    <w:rsid w:val="0062638A"/>
    <w:rsid w:val="00626449"/>
    <w:rsid w:val="0062671F"/>
    <w:rsid w:val="00626732"/>
    <w:rsid w:val="006269AD"/>
    <w:rsid w:val="00626A68"/>
    <w:rsid w:val="00626B4E"/>
    <w:rsid w:val="00626C5A"/>
    <w:rsid w:val="00626DF8"/>
    <w:rsid w:val="00626DFA"/>
    <w:rsid w:val="00626E0C"/>
    <w:rsid w:val="00627249"/>
    <w:rsid w:val="006273E0"/>
    <w:rsid w:val="006274B8"/>
    <w:rsid w:val="00627551"/>
    <w:rsid w:val="00627627"/>
    <w:rsid w:val="00627668"/>
    <w:rsid w:val="00627743"/>
    <w:rsid w:val="006277E2"/>
    <w:rsid w:val="0062780F"/>
    <w:rsid w:val="0062790B"/>
    <w:rsid w:val="00627AC5"/>
    <w:rsid w:val="00627B41"/>
    <w:rsid w:val="00627BAF"/>
    <w:rsid w:val="00627D36"/>
    <w:rsid w:val="00627F65"/>
    <w:rsid w:val="006304D2"/>
    <w:rsid w:val="006305CC"/>
    <w:rsid w:val="00630A1D"/>
    <w:rsid w:val="00630ABE"/>
    <w:rsid w:val="00630F62"/>
    <w:rsid w:val="00630FFC"/>
    <w:rsid w:val="0063189B"/>
    <w:rsid w:val="00631964"/>
    <w:rsid w:val="0063196D"/>
    <w:rsid w:val="00631AC5"/>
    <w:rsid w:val="00631F86"/>
    <w:rsid w:val="00632040"/>
    <w:rsid w:val="00632180"/>
    <w:rsid w:val="00632183"/>
    <w:rsid w:val="006321F6"/>
    <w:rsid w:val="00632290"/>
    <w:rsid w:val="00632304"/>
    <w:rsid w:val="006323C4"/>
    <w:rsid w:val="006324B1"/>
    <w:rsid w:val="00632677"/>
    <w:rsid w:val="0063289E"/>
    <w:rsid w:val="00632B03"/>
    <w:rsid w:val="00632C9D"/>
    <w:rsid w:val="00632D9D"/>
    <w:rsid w:val="00632E0B"/>
    <w:rsid w:val="00632EAD"/>
    <w:rsid w:val="00633160"/>
    <w:rsid w:val="0063345E"/>
    <w:rsid w:val="006336B1"/>
    <w:rsid w:val="0063375A"/>
    <w:rsid w:val="006337A4"/>
    <w:rsid w:val="00633B93"/>
    <w:rsid w:val="00633E1D"/>
    <w:rsid w:val="00633F0A"/>
    <w:rsid w:val="00633FEE"/>
    <w:rsid w:val="00634012"/>
    <w:rsid w:val="0063405A"/>
    <w:rsid w:val="00634309"/>
    <w:rsid w:val="00634406"/>
    <w:rsid w:val="006344BB"/>
    <w:rsid w:val="006344E9"/>
    <w:rsid w:val="0063460B"/>
    <w:rsid w:val="0063463E"/>
    <w:rsid w:val="006346BC"/>
    <w:rsid w:val="00634762"/>
    <w:rsid w:val="006348A0"/>
    <w:rsid w:val="00634908"/>
    <w:rsid w:val="00634924"/>
    <w:rsid w:val="006349C6"/>
    <w:rsid w:val="00634DA4"/>
    <w:rsid w:val="00634DFB"/>
    <w:rsid w:val="00634FDA"/>
    <w:rsid w:val="00635B96"/>
    <w:rsid w:val="00635CC4"/>
    <w:rsid w:val="00635D2B"/>
    <w:rsid w:val="00635E21"/>
    <w:rsid w:val="006360C7"/>
    <w:rsid w:val="006361EC"/>
    <w:rsid w:val="006365C7"/>
    <w:rsid w:val="00636AF0"/>
    <w:rsid w:val="00636BAB"/>
    <w:rsid w:val="00636C1C"/>
    <w:rsid w:val="00636D7B"/>
    <w:rsid w:val="00636E05"/>
    <w:rsid w:val="00636EF7"/>
    <w:rsid w:val="0063706A"/>
    <w:rsid w:val="00637119"/>
    <w:rsid w:val="00637287"/>
    <w:rsid w:val="0063758A"/>
    <w:rsid w:val="0063759F"/>
    <w:rsid w:val="00637682"/>
    <w:rsid w:val="0063784E"/>
    <w:rsid w:val="00637873"/>
    <w:rsid w:val="00637963"/>
    <w:rsid w:val="00637B20"/>
    <w:rsid w:val="00637B88"/>
    <w:rsid w:val="00637DAC"/>
    <w:rsid w:val="00637DE8"/>
    <w:rsid w:val="00637EA0"/>
    <w:rsid w:val="00637FE8"/>
    <w:rsid w:val="00640240"/>
    <w:rsid w:val="0064024E"/>
    <w:rsid w:val="00640462"/>
    <w:rsid w:val="00640499"/>
    <w:rsid w:val="00640746"/>
    <w:rsid w:val="00640C28"/>
    <w:rsid w:val="00640D1C"/>
    <w:rsid w:val="00640E9A"/>
    <w:rsid w:val="00640FE7"/>
    <w:rsid w:val="0064101F"/>
    <w:rsid w:val="00641026"/>
    <w:rsid w:val="00641396"/>
    <w:rsid w:val="006413F7"/>
    <w:rsid w:val="006416FF"/>
    <w:rsid w:val="00641849"/>
    <w:rsid w:val="00641EA9"/>
    <w:rsid w:val="00641EF9"/>
    <w:rsid w:val="006421EB"/>
    <w:rsid w:val="0064229D"/>
    <w:rsid w:val="006422B0"/>
    <w:rsid w:val="00642404"/>
    <w:rsid w:val="006424C7"/>
    <w:rsid w:val="00642567"/>
    <w:rsid w:val="00642872"/>
    <w:rsid w:val="00642950"/>
    <w:rsid w:val="00642B1B"/>
    <w:rsid w:val="00642DD3"/>
    <w:rsid w:val="00642F07"/>
    <w:rsid w:val="00643052"/>
    <w:rsid w:val="0064316F"/>
    <w:rsid w:val="0064317F"/>
    <w:rsid w:val="006431CC"/>
    <w:rsid w:val="0064327E"/>
    <w:rsid w:val="0064366C"/>
    <w:rsid w:val="0064380C"/>
    <w:rsid w:val="00643A1C"/>
    <w:rsid w:val="00643A87"/>
    <w:rsid w:val="00643C20"/>
    <w:rsid w:val="00643C63"/>
    <w:rsid w:val="00643E89"/>
    <w:rsid w:val="00644125"/>
    <w:rsid w:val="006442F6"/>
    <w:rsid w:val="0064435E"/>
    <w:rsid w:val="006445EC"/>
    <w:rsid w:val="00644829"/>
    <w:rsid w:val="0064482D"/>
    <w:rsid w:val="00644890"/>
    <w:rsid w:val="00644ADE"/>
    <w:rsid w:val="00644B9C"/>
    <w:rsid w:val="00644BE9"/>
    <w:rsid w:val="00644C28"/>
    <w:rsid w:val="00644D35"/>
    <w:rsid w:val="00644E83"/>
    <w:rsid w:val="00645402"/>
    <w:rsid w:val="006454AF"/>
    <w:rsid w:val="006454FC"/>
    <w:rsid w:val="00645679"/>
    <w:rsid w:val="0064569E"/>
    <w:rsid w:val="0064592F"/>
    <w:rsid w:val="00645941"/>
    <w:rsid w:val="00645A1C"/>
    <w:rsid w:val="00645C98"/>
    <w:rsid w:val="00645CB1"/>
    <w:rsid w:val="00645DE2"/>
    <w:rsid w:val="00645FEA"/>
    <w:rsid w:val="00646027"/>
    <w:rsid w:val="0064638C"/>
    <w:rsid w:val="00646417"/>
    <w:rsid w:val="0064664F"/>
    <w:rsid w:val="00646788"/>
    <w:rsid w:val="0064688D"/>
    <w:rsid w:val="006468A9"/>
    <w:rsid w:val="00646A5F"/>
    <w:rsid w:val="00646F34"/>
    <w:rsid w:val="00646F60"/>
    <w:rsid w:val="00647150"/>
    <w:rsid w:val="00647154"/>
    <w:rsid w:val="00647164"/>
    <w:rsid w:val="006477DE"/>
    <w:rsid w:val="006477F7"/>
    <w:rsid w:val="00647A12"/>
    <w:rsid w:val="00647C0A"/>
    <w:rsid w:val="00647E15"/>
    <w:rsid w:val="00647EA1"/>
    <w:rsid w:val="00647F69"/>
    <w:rsid w:val="0065008A"/>
    <w:rsid w:val="006501A8"/>
    <w:rsid w:val="006501CC"/>
    <w:rsid w:val="006501F8"/>
    <w:rsid w:val="00650256"/>
    <w:rsid w:val="006503A8"/>
    <w:rsid w:val="00650479"/>
    <w:rsid w:val="006505EE"/>
    <w:rsid w:val="006506BC"/>
    <w:rsid w:val="006507D5"/>
    <w:rsid w:val="006508A3"/>
    <w:rsid w:val="00650965"/>
    <w:rsid w:val="00650B45"/>
    <w:rsid w:val="00650C22"/>
    <w:rsid w:val="00650C32"/>
    <w:rsid w:val="00650D7D"/>
    <w:rsid w:val="00650EAB"/>
    <w:rsid w:val="00650F2C"/>
    <w:rsid w:val="00650F80"/>
    <w:rsid w:val="00651623"/>
    <w:rsid w:val="00651A41"/>
    <w:rsid w:val="00651B9B"/>
    <w:rsid w:val="00651D5C"/>
    <w:rsid w:val="00652179"/>
    <w:rsid w:val="006523AD"/>
    <w:rsid w:val="00652574"/>
    <w:rsid w:val="006526D4"/>
    <w:rsid w:val="00652890"/>
    <w:rsid w:val="00652896"/>
    <w:rsid w:val="00652900"/>
    <w:rsid w:val="00652A42"/>
    <w:rsid w:val="00652C8A"/>
    <w:rsid w:val="00652E86"/>
    <w:rsid w:val="00652F05"/>
    <w:rsid w:val="00653058"/>
    <w:rsid w:val="006531B1"/>
    <w:rsid w:val="00653245"/>
    <w:rsid w:val="0065334F"/>
    <w:rsid w:val="006534F4"/>
    <w:rsid w:val="0065364F"/>
    <w:rsid w:val="006536D9"/>
    <w:rsid w:val="00653897"/>
    <w:rsid w:val="00653F6B"/>
    <w:rsid w:val="006540D5"/>
    <w:rsid w:val="006541CC"/>
    <w:rsid w:val="00654205"/>
    <w:rsid w:val="00654387"/>
    <w:rsid w:val="006543D0"/>
    <w:rsid w:val="006543D7"/>
    <w:rsid w:val="00654523"/>
    <w:rsid w:val="00654657"/>
    <w:rsid w:val="00654726"/>
    <w:rsid w:val="0065473E"/>
    <w:rsid w:val="00654756"/>
    <w:rsid w:val="006547BE"/>
    <w:rsid w:val="00654883"/>
    <w:rsid w:val="00654BF9"/>
    <w:rsid w:val="00654CFB"/>
    <w:rsid w:val="0065516B"/>
    <w:rsid w:val="0065533B"/>
    <w:rsid w:val="00655356"/>
    <w:rsid w:val="00655659"/>
    <w:rsid w:val="006556F6"/>
    <w:rsid w:val="006557B0"/>
    <w:rsid w:val="00655836"/>
    <w:rsid w:val="00655909"/>
    <w:rsid w:val="00655D4D"/>
    <w:rsid w:val="006563C7"/>
    <w:rsid w:val="006566D4"/>
    <w:rsid w:val="00656823"/>
    <w:rsid w:val="006569EA"/>
    <w:rsid w:val="00656AC3"/>
    <w:rsid w:val="00656CE6"/>
    <w:rsid w:val="00656D8E"/>
    <w:rsid w:val="006570E5"/>
    <w:rsid w:val="006572A5"/>
    <w:rsid w:val="006575E0"/>
    <w:rsid w:val="00657B42"/>
    <w:rsid w:val="00657CE2"/>
    <w:rsid w:val="00657D03"/>
    <w:rsid w:val="00657DBB"/>
    <w:rsid w:val="00657E44"/>
    <w:rsid w:val="00657F44"/>
    <w:rsid w:val="00657FCD"/>
    <w:rsid w:val="006606B4"/>
    <w:rsid w:val="00660EB9"/>
    <w:rsid w:val="0066106E"/>
    <w:rsid w:val="0066108D"/>
    <w:rsid w:val="006613A2"/>
    <w:rsid w:val="006614E6"/>
    <w:rsid w:val="006614F1"/>
    <w:rsid w:val="00661543"/>
    <w:rsid w:val="00661614"/>
    <w:rsid w:val="00661911"/>
    <w:rsid w:val="00661B0B"/>
    <w:rsid w:val="00661CDB"/>
    <w:rsid w:val="0066210B"/>
    <w:rsid w:val="0066237D"/>
    <w:rsid w:val="00662621"/>
    <w:rsid w:val="0066286F"/>
    <w:rsid w:val="0066297A"/>
    <w:rsid w:val="006629F6"/>
    <w:rsid w:val="00662A64"/>
    <w:rsid w:val="00662AFC"/>
    <w:rsid w:val="00662DAD"/>
    <w:rsid w:val="00662DCF"/>
    <w:rsid w:val="00662EA4"/>
    <w:rsid w:val="00662F52"/>
    <w:rsid w:val="0066333A"/>
    <w:rsid w:val="00663553"/>
    <w:rsid w:val="00663594"/>
    <w:rsid w:val="006635E8"/>
    <w:rsid w:val="00663617"/>
    <w:rsid w:val="0066367D"/>
    <w:rsid w:val="006637F6"/>
    <w:rsid w:val="006638C3"/>
    <w:rsid w:val="00663985"/>
    <w:rsid w:val="00663B67"/>
    <w:rsid w:val="00663C33"/>
    <w:rsid w:val="00663C3A"/>
    <w:rsid w:val="00663F78"/>
    <w:rsid w:val="00664135"/>
    <w:rsid w:val="006642C3"/>
    <w:rsid w:val="0066438D"/>
    <w:rsid w:val="0066453A"/>
    <w:rsid w:val="006645FC"/>
    <w:rsid w:val="006646DE"/>
    <w:rsid w:val="006648BA"/>
    <w:rsid w:val="006649CB"/>
    <w:rsid w:val="00664C20"/>
    <w:rsid w:val="00664D5A"/>
    <w:rsid w:val="00664D83"/>
    <w:rsid w:val="00664E6D"/>
    <w:rsid w:val="00665131"/>
    <w:rsid w:val="006651F2"/>
    <w:rsid w:val="00665388"/>
    <w:rsid w:val="006654B3"/>
    <w:rsid w:val="00665519"/>
    <w:rsid w:val="006657A1"/>
    <w:rsid w:val="00665833"/>
    <w:rsid w:val="006659AF"/>
    <w:rsid w:val="00665B52"/>
    <w:rsid w:val="00665BB7"/>
    <w:rsid w:val="00665C29"/>
    <w:rsid w:val="00665CE1"/>
    <w:rsid w:val="00665D06"/>
    <w:rsid w:val="00665D34"/>
    <w:rsid w:val="00665EDB"/>
    <w:rsid w:val="006660F2"/>
    <w:rsid w:val="00666176"/>
    <w:rsid w:val="006661A4"/>
    <w:rsid w:val="006665F4"/>
    <w:rsid w:val="0066660A"/>
    <w:rsid w:val="00666666"/>
    <w:rsid w:val="00666702"/>
    <w:rsid w:val="0066672F"/>
    <w:rsid w:val="00666785"/>
    <w:rsid w:val="0066688B"/>
    <w:rsid w:val="00666890"/>
    <w:rsid w:val="00666948"/>
    <w:rsid w:val="00666BA9"/>
    <w:rsid w:val="00666CAF"/>
    <w:rsid w:val="00666CC1"/>
    <w:rsid w:val="00666DB5"/>
    <w:rsid w:val="00666DC1"/>
    <w:rsid w:val="00666FF2"/>
    <w:rsid w:val="00667215"/>
    <w:rsid w:val="0066722E"/>
    <w:rsid w:val="0066760B"/>
    <w:rsid w:val="00667773"/>
    <w:rsid w:val="006679B1"/>
    <w:rsid w:val="006679E1"/>
    <w:rsid w:val="00667C02"/>
    <w:rsid w:val="00667DCE"/>
    <w:rsid w:val="00667F59"/>
    <w:rsid w:val="006700DB"/>
    <w:rsid w:val="006705E6"/>
    <w:rsid w:val="0067062F"/>
    <w:rsid w:val="0067065E"/>
    <w:rsid w:val="0067084C"/>
    <w:rsid w:val="00670967"/>
    <w:rsid w:val="00670B5D"/>
    <w:rsid w:val="00670C4A"/>
    <w:rsid w:val="00670EF5"/>
    <w:rsid w:val="00670F89"/>
    <w:rsid w:val="0067129B"/>
    <w:rsid w:val="006714E8"/>
    <w:rsid w:val="0067159C"/>
    <w:rsid w:val="006715FA"/>
    <w:rsid w:val="006716FC"/>
    <w:rsid w:val="00671A9E"/>
    <w:rsid w:val="00671D1E"/>
    <w:rsid w:val="00671E78"/>
    <w:rsid w:val="00671EAD"/>
    <w:rsid w:val="00672145"/>
    <w:rsid w:val="006721F6"/>
    <w:rsid w:val="00672599"/>
    <w:rsid w:val="006726EC"/>
    <w:rsid w:val="00672737"/>
    <w:rsid w:val="006728F6"/>
    <w:rsid w:val="00672934"/>
    <w:rsid w:val="00672ADB"/>
    <w:rsid w:val="00672C70"/>
    <w:rsid w:val="00672D4D"/>
    <w:rsid w:val="006731B4"/>
    <w:rsid w:val="006731F1"/>
    <w:rsid w:val="006734CD"/>
    <w:rsid w:val="006734EA"/>
    <w:rsid w:val="006735B9"/>
    <w:rsid w:val="00673765"/>
    <w:rsid w:val="00673BE5"/>
    <w:rsid w:val="00673E16"/>
    <w:rsid w:val="006742F9"/>
    <w:rsid w:val="006744FE"/>
    <w:rsid w:val="00674B3C"/>
    <w:rsid w:val="00674CFA"/>
    <w:rsid w:val="00674E06"/>
    <w:rsid w:val="00674F03"/>
    <w:rsid w:val="006751CC"/>
    <w:rsid w:val="006752BE"/>
    <w:rsid w:val="00675375"/>
    <w:rsid w:val="006756C6"/>
    <w:rsid w:val="00675732"/>
    <w:rsid w:val="00675823"/>
    <w:rsid w:val="00675E53"/>
    <w:rsid w:val="00675F1D"/>
    <w:rsid w:val="00675FCA"/>
    <w:rsid w:val="0067644A"/>
    <w:rsid w:val="0067645D"/>
    <w:rsid w:val="006765F7"/>
    <w:rsid w:val="00676658"/>
    <w:rsid w:val="006766CF"/>
    <w:rsid w:val="0067670A"/>
    <w:rsid w:val="00676764"/>
    <w:rsid w:val="00676813"/>
    <w:rsid w:val="00676A34"/>
    <w:rsid w:val="00676D1A"/>
    <w:rsid w:val="00676ED3"/>
    <w:rsid w:val="00677043"/>
    <w:rsid w:val="006771A0"/>
    <w:rsid w:val="00677594"/>
    <w:rsid w:val="006775AA"/>
    <w:rsid w:val="0067769D"/>
    <w:rsid w:val="0067779C"/>
    <w:rsid w:val="00677B38"/>
    <w:rsid w:val="00677EE4"/>
    <w:rsid w:val="00677EEB"/>
    <w:rsid w:val="0068039F"/>
    <w:rsid w:val="0068060F"/>
    <w:rsid w:val="00680642"/>
    <w:rsid w:val="00680711"/>
    <w:rsid w:val="00680800"/>
    <w:rsid w:val="00680A14"/>
    <w:rsid w:val="00680B60"/>
    <w:rsid w:val="00680DF6"/>
    <w:rsid w:val="00680E29"/>
    <w:rsid w:val="00680EE5"/>
    <w:rsid w:val="00681052"/>
    <w:rsid w:val="00681414"/>
    <w:rsid w:val="00681468"/>
    <w:rsid w:val="00681657"/>
    <w:rsid w:val="00681934"/>
    <w:rsid w:val="00681CC6"/>
    <w:rsid w:val="00681E47"/>
    <w:rsid w:val="00681F44"/>
    <w:rsid w:val="00682060"/>
    <w:rsid w:val="0068206D"/>
    <w:rsid w:val="0068213A"/>
    <w:rsid w:val="0068217A"/>
    <w:rsid w:val="0068219D"/>
    <w:rsid w:val="006821CC"/>
    <w:rsid w:val="006821F3"/>
    <w:rsid w:val="00682204"/>
    <w:rsid w:val="006822D5"/>
    <w:rsid w:val="00682410"/>
    <w:rsid w:val="00682698"/>
    <w:rsid w:val="006829BB"/>
    <w:rsid w:val="00682B4B"/>
    <w:rsid w:val="006830CB"/>
    <w:rsid w:val="0068310F"/>
    <w:rsid w:val="006833AD"/>
    <w:rsid w:val="00683469"/>
    <w:rsid w:val="00683637"/>
    <w:rsid w:val="0068386C"/>
    <w:rsid w:val="00683A25"/>
    <w:rsid w:val="00683AC7"/>
    <w:rsid w:val="00683B67"/>
    <w:rsid w:val="00683C2D"/>
    <w:rsid w:val="00683C67"/>
    <w:rsid w:val="00683C6A"/>
    <w:rsid w:val="00683E73"/>
    <w:rsid w:val="00684046"/>
    <w:rsid w:val="006842C1"/>
    <w:rsid w:val="00684414"/>
    <w:rsid w:val="006845A8"/>
    <w:rsid w:val="006846B8"/>
    <w:rsid w:val="006847F8"/>
    <w:rsid w:val="00684804"/>
    <w:rsid w:val="00684886"/>
    <w:rsid w:val="00684957"/>
    <w:rsid w:val="006849D5"/>
    <w:rsid w:val="00684A5D"/>
    <w:rsid w:val="00684A87"/>
    <w:rsid w:val="00684AE8"/>
    <w:rsid w:val="00684CEB"/>
    <w:rsid w:val="00684D56"/>
    <w:rsid w:val="00684E67"/>
    <w:rsid w:val="006850A3"/>
    <w:rsid w:val="006854BA"/>
    <w:rsid w:val="0068563C"/>
    <w:rsid w:val="00685748"/>
    <w:rsid w:val="006858A7"/>
    <w:rsid w:val="00685A90"/>
    <w:rsid w:val="00685B21"/>
    <w:rsid w:val="00685C14"/>
    <w:rsid w:val="00686340"/>
    <w:rsid w:val="006863DF"/>
    <w:rsid w:val="00686406"/>
    <w:rsid w:val="0068658C"/>
    <w:rsid w:val="006868DE"/>
    <w:rsid w:val="00686923"/>
    <w:rsid w:val="00686AB8"/>
    <w:rsid w:val="00686BE8"/>
    <w:rsid w:val="00687030"/>
    <w:rsid w:val="0068707F"/>
    <w:rsid w:val="006874BE"/>
    <w:rsid w:val="006874FE"/>
    <w:rsid w:val="0068758D"/>
    <w:rsid w:val="0068782C"/>
    <w:rsid w:val="00687ADE"/>
    <w:rsid w:val="00687DFE"/>
    <w:rsid w:val="00687F6A"/>
    <w:rsid w:val="00687FF5"/>
    <w:rsid w:val="006902B5"/>
    <w:rsid w:val="0069058B"/>
    <w:rsid w:val="00690729"/>
    <w:rsid w:val="006908FC"/>
    <w:rsid w:val="00690A29"/>
    <w:rsid w:val="00690A6D"/>
    <w:rsid w:val="00690AD3"/>
    <w:rsid w:val="00690B7F"/>
    <w:rsid w:val="00690C58"/>
    <w:rsid w:val="00690D95"/>
    <w:rsid w:val="00690FA5"/>
    <w:rsid w:val="006916BD"/>
    <w:rsid w:val="006918C6"/>
    <w:rsid w:val="006918C8"/>
    <w:rsid w:val="00691992"/>
    <w:rsid w:val="006919F5"/>
    <w:rsid w:val="00691B84"/>
    <w:rsid w:val="00691CBD"/>
    <w:rsid w:val="00691E4D"/>
    <w:rsid w:val="00691E54"/>
    <w:rsid w:val="00691ED9"/>
    <w:rsid w:val="00692020"/>
    <w:rsid w:val="006921DE"/>
    <w:rsid w:val="0069225E"/>
    <w:rsid w:val="0069233B"/>
    <w:rsid w:val="006923FD"/>
    <w:rsid w:val="00692525"/>
    <w:rsid w:val="0069268E"/>
    <w:rsid w:val="00692698"/>
    <w:rsid w:val="006928CD"/>
    <w:rsid w:val="00692962"/>
    <w:rsid w:val="00692A44"/>
    <w:rsid w:val="00692E09"/>
    <w:rsid w:val="006931AC"/>
    <w:rsid w:val="00693699"/>
    <w:rsid w:val="00693773"/>
    <w:rsid w:val="00693A34"/>
    <w:rsid w:val="006942CD"/>
    <w:rsid w:val="00694A0B"/>
    <w:rsid w:val="00694AC4"/>
    <w:rsid w:val="00694ECD"/>
    <w:rsid w:val="00694EFF"/>
    <w:rsid w:val="00695694"/>
    <w:rsid w:val="00695A0D"/>
    <w:rsid w:val="00695A28"/>
    <w:rsid w:val="00695AB9"/>
    <w:rsid w:val="00695B48"/>
    <w:rsid w:val="00695C50"/>
    <w:rsid w:val="00695D46"/>
    <w:rsid w:val="00695DBF"/>
    <w:rsid w:val="00695E65"/>
    <w:rsid w:val="006960B3"/>
    <w:rsid w:val="00696307"/>
    <w:rsid w:val="006964CE"/>
    <w:rsid w:val="00696636"/>
    <w:rsid w:val="006966DF"/>
    <w:rsid w:val="0069688F"/>
    <w:rsid w:val="00696B7D"/>
    <w:rsid w:val="00697058"/>
    <w:rsid w:val="0069708F"/>
    <w:rsid w:val="006970F8"/>
    <w:rsid w:val="0069711E"/>
    <w:rsid w:val="0069716A"/>
    <w:rsid w:val="006971BF"/>
    <w:rsid w:val="00697464"/>
    <w:rsid w:val="0069753F"/>
    <w:rsid w:val="006975B3"/>
    <w:rsid w:val="006975C5"/>
    <w:rsid w:val="00697B61"/>
    <w:rsid w:val="00697C6A"/>
    <w:rsid w:val="006A0083"/>
    <w:rsid w:val="006A0111"/>
    <w:rsid w:val="006A011B"/>
    <w:rsid w:val="006A047B"/>
    <w:rsid w:val="006A060B"/>
    <w:rsid w:val="006A0612"/>
    <w:rsid w:val="006A0657"/>
    <w:rsid w:val="006A0AB0"/>
    <w:rsid w:val="006A0BE9"/>
    <w:rsid w:val="006A0D7C"/>
    <w:rsid w:val="006A0EDA"/>
    <w:rsid w:val="006A1240"/>
    <w:rsid w:val="006A13A9"/>
    <w:rsid w:val="006A13D1"/>
    <w:rsid w:val="006A1409"/>
    <w:rsid w:val="006A1577"/>
    <w:rsid w:val="006A17BD"/>
    <w:rsid w:val="006A196A"/>
    <w:rsid w:val="006A1ACF"/>
    <w:rsid w:val="006A1BF3"/>
    <w:rsid w:val="006A1E87"/>
    <w:rsid w:val="006A1F37"/>
    <w:rsid w:val="006A1FAD"/>
    <w:rsid w:val="006A2210"/>
    <w:rsid w:val="006A22B6"/>
    <w:rsid w:val="006A23AF"/>
    <w:rsid w:val="006A24D1"/>
    <w:rsid w:val="006A260C"/>
    <w:rsid w:val="006A28A9"/>
    <w:rsid w:val="006A2DC1"/>
    <w:rsid w:val="006A2FD1"/>
    <w:rsid w:val="006A2FE7"/>
    <w:rsid w:val="006A3007"/>
    <w:rsid w:val="006A30BF"/>
    <w:rsid w:val="006A33D8"/>
    <w:rsid w:val="006A356A"/>
    <w:rsid w:val="006A378B"/>
    <w:rsid w:val="006A39BB"/>
    <w:rsid w:val="006A3ADE"/>
    <w:rsid w:val="006A3B3D"/>
    <w:rsid w:val="006A3DEA"/>
    <w:rsid w:val="006A3DEE"/>
    <w:rsid w:val="006A3DFB"/>
    <w:rsid w:val="006A3EDD"/>
    <w:rsid w:val="006A3EF9"/>
    <w:rsid w:val="006A3F0D"/>
    <w:rsid w:val="006A43C2"/>
    <w:rsid w:val="006A4584"/>
    <w:rsid w:val="006A46AA"/>
    <w:rsid w:val="006A48A7"/>
    <w:rsid w:val="006A48DC"/>
    <w:rsid w:val="006A48F9"/>
    <w:rsid w:val="006A4A29"/>
    <w:rsid w:val="006A4C34"/>
    <w:rsid w:val="006A4D74"/>
    <w:rsid w:val="006A5070"/>
    <w:rsid w:val="006A5101"/>
    <w:rsid w:val="006A51D0"/>
    <w:rsid w:val="006A52FD"/>
    <w:rsid w:val="006A53A9"/>
    <w:rsid w:val="006A53BC"/>
    <w:rsid w:val="006A55C5"/>
    <w:rsid w:val="006A5741"/>
    <w:rsid w:val="006A5AF8"/>
    <w:rsid w:val="006A5B87"/>
    <w:rsid w:val="006A5EB9"/>
    <w:rsid w:val="006A5F1B"/>
    <w:rsid w:val="006A6046"/>
    <w:rsid w:val="006A606B"/>
    <w:rsid w:val="006A622F"/>
    <w:rsid w:val="006A66FA"/>
    <w:rsid w:val="006A6BCD"/>
    <w:rsid w:val="006A6D0A"/>
    <w:rsid w:val="006A6EC4"/>
    <w:rsid w:val="006A6F4F"/>
    <w:rsid w:val="006A7172"/>
    <w:rsid w:val="006A717B"/>
    <w:rsid w:val="006A7553"/>
    <w:rsid w:val="006A780A"/>
    <w:rsid w:val="006A7848"/>
    <w:rsid w:val="006A78AF"/>
    <w:rsid w:val="006A79E3"/>
    <w:rsid w:val="006A79F6"/>
    <w:rsid w:val="006A7B36"/>
    <w:rsid w:val="006A7D34"/>
    <w:rsid w:val="006A7F99"/>
    <w:rsid w:val="006B018C"/>
    <w:rsid w:val="006B066A"/>
    <w:rsid w:val="006B0686"/>
    <w:rsid w:val="006B09AF"/>
    <w:rsid w:val="006B0BE0"/>
    <w:rsid w:val="006B0BE8"/>
    <w:rsid w:val="006B0D08"/>
    <w:rsid w:val="006B0D0B"/>
    <w:rsid w:val="006B0E59"/>
    <w:rsid w:val="006B0E8F"/>
    <w:rsid w:val="006B0EAD"/>
    <w:rsid w:val="006B1056"/>
    <w:rsid w:val="006B1061"/>
    <w:rsid w:val="006B13E1"/>
    <w:rsid w:val="006B1424"/>
    <w:rsid w:val="006B152B"/>
    <w:rsid w:val="006B1648"/>
    <w:rsid w:val="006B16FF"/>
    <w:rsid w:val="006B172A"/>
    <w:rsid w:val="006B1A66"/>
    <w:rsid w:val="006B1DA6"/>
    <w:rsid w:val="006B1F21"/>
    <w:rsid w:val="006B1F7C"/>
    <w:rsid w:val="006B1FBF"/>
    <w:rsid w:val="006B2347"/>
    <w:rsid w:val="006B245D"/>
    <w:rsid w:val="006B24DD"/>
    <w:rsid w:val="006B28D1"/>
    <w:rsid w:val="006B2A5B"/>
    <w:rsid w:val="006B2BB5"/>
    <w:rsid w:val="006B2CB2"/>
    <w:rsid w:val="006B2FB2"/>
    <w:rsid w:val="006B30E6"/>
    <w:rsid w:val="006B31E4"/>
    <w:rsid w:val="006B334D"/>
    <w:rsid w:val="006B3359"/>
    <w:rsid w:val="006B3690"/>
    <w:rsid w:val="006B3772"/>
    <w:rsid w:val="006B3863"/>
    <w:rsid w:val="006B38B3"/>
    <w:rsid w:val="006B3A83"/>
    <w:rsid w:val="006B3DAE"/>
    <w:rsid w:val="006B3E51"/>
    <w:rsid w:val="006B3E60"/>
    <w:rsid w:val="006B3E82"/>
    <w:rsid w:val="006B3F19"/>
    <w:rsid w:val="006B40E6"/>
    <w:rsid w:val="006B438C"/>
    <w:rsid w:val="006B458F"/>
    <w:rsid w:val="006B46BB"/>
    <w:rsid w:val="006B47D0"/>
    <w:rsid w:val="006B482C"/>
    <w:rsid w:val="006B48CF"/>
    <w:rsid w:val="006B4B92"/>
    <w:rsid w:val="006B4C0B"/>
    <w:rsid w:val="006B4C76"/>
    <w:rsid w:val="006B4FCE"/>
    <w:rsid w:val="006B501C"/>
    <w:rsid w:val="006B50FD"/>
    <w:rsid w:val="006B51A0"/>
    <w:rsid w:val="006B53E2"/>
    <w:rsid w:val="006B54A9"/>
    <w:rsid w:val="006B5C64"/>
    <w:rsid w:val="006B5C7F"/>
    <w:rsid w:val="006B5CF1"/>
    <w:rsid w:val="006B5DAF"/>
    <w:rsid w:val="006B5FC7"/>
    <w:rsid w:val="006B5FE5"/>
    <w:rsid w:val="006B6312"/>
    <w:rsid w:val="006B65F6"/>
    <w:rsid w:val="006B6767"/>
    <w:rsid w:val="006B694F"/>
    <w:rsid w:val="006B6BC2"/>
    <w:rsid w:val="006B6CE9"/>
    <w:rsid w:val="006B6F83"/>
    <w:rsid w:val="006B7099"/>
    <w:rsid w:val="006B7114"/>
    <w:rsid w:val="006B720C"/>
    <w:rsid w:val="006B73A3"/>
    <w:rsid w:val="006B7524"/>
    <w:rsid w:val="006B7910"/>
    <w:rsid w:val="006B7BA3"/>
    <w:rsid w:val="006B7D77"/>
    <w:rsid w:val="006B7E4C"/>
    <w:rsid w:val="006C01D9"/>
    <w:rsid w:val="006C0315"/>
    <w:rsid w:val="006C04AB"/>
    <w:rsid w:val="006C0537"/>
    <w:rsid w:val="006C05B6"/>
    <w:rsid w:val="006C0610"/>
    <w:rsid w:val="006C06B0"/>
    <w:rsid w:val="006C071B"/>
    <w:rsid w:val="006C0730"/>
    <w:rsid w:val="006C096D"/>
    <w:rsid w:val="006C09C6"/>
    <w:rsid w:val="006C09D5"/>
    <w:rsid w:val="006C0A39"/>
    <w:rsid w:val="006C0BA5"/>
    <w:rsid w:val="006C0CD4"/>
    <w:rsid w:val="006C0D92"/>
    <w:rsid w:val="006C0D99"/>
    <w:rsid w:val="006C0F2E"/>
    <w:rsid w:val="006C1153"/>
    <w:rsid w:val="006C118A"/>
    <w:rsid w:val="006C118C"/>
    <w:rsid w:val="006C1230"/>
    <w:rsid w:val="006C12AF"/>
    <w:rsid w:val="006C16D0"/>
    <w:rsid w:val="006C1829"/>
    <w:rsid w:val="006C1AF5"/>
    <w:rsid w:val="006C1BD6"/>
    <w:rsid w:val="006C1C24"/>
    <w:rsid w:val="006C1EA3"/>
    <w:rsid w:val="006C1F24"/>
    <w:rsid w:val="006C2026"/>
    <w:rsid w:val="006C25CC"/>
    <w:rsid w:val="006C2630"/>
    <w:rsid w:val="006C2649"/>
    <w:rsid w:val="006C2718"/>
    <w:rsid w:val="006C274E"/>
    <w:rsid w:val="006C280D"/>
    <w:rsid w:val="006C2833"/>
    <w:rsid w:val="006C2B1F"/>
    <w:rsid w:val="006C2C14"/>
    <w:rsid w:val="006C2CCB"/>
    <w:rsid w:val="006C2D76"/>
    <w:rsid w:val="006C2DE1"/>
    <w:rsid w:val="006C2F90"/>
    <w:rsid w:val="006C328F"/>
    <w:rsid w:val="006C33C1"/>
    <w:rsid w:val="006C36A2"/>
    <w:rsid w:val="006C399C"/>
    <w:rsid w:val="006C3A4B"/>
    <w:rsid w:val="006C3B45"/>
    <w:rsid w:val="006C3F41"/>
    <w:rsid w:val="006C3F74"/>
    <w:rsid w:val="006C4210"/>
    <w:rsid w:val="006C4418"/>
    <w:rsid w:val="006C45E0"/>
    <w:rsid w:val="006C482D"/>
    <w:rsid w:val="006C4911"/>
    <w:rsid w:val="006C49C9"/>
    <w:rsid w:val="006C4A51"/>
    <w:rsid w:val="006C4D0B"/>
    <w:rsid w:val="006C4D8D"/>
    <w:rsid w:val="006C4F19"/>
    <w:rsid w:val="006C50FA"/>
    <w:rsid w:val="006C5448"/>
    <w:rsid w:val="006C5B07"/>
    <w:rsid w:val="006C5B43"/>
    <w:rsid w:val="006C5DD4"/>
    <w:rsid w:val="006C60D5"/>
    <w:rsid w:val="006C6153"/>
    <w:rsid w:val="006C6166"/>
    <w:rsid w:val="006C61C9"/>
    <w:rsid w:val="006C64A1"/>
    <w:rsid w:val="006C668A"/>
    <w:rsid w:val="006C6851"/>
    <w:rsid w:val="006C6CA9"/>
    <w:rsid w:val="006C6CC0"/>
    <w:rsid w:val="006C6E01"/>
    <w:rsid w:val="006C6E4F"/>
    <w:rsid w:val="006C6E8B"/>
    <w:rsid w:val="006C6FE3"/>
    <w:rsid w:val="006C6FF4"/>
    <w:rsid w:val="006C71F0"/>
    <w:rsid w:val="006C730D"/>
    <w:rsid w:val="006C7371"/>
    <w:rsid w:val="006C73A0"/>
    <w:rsid w:val="006C7460"/>
    <w:rsid w:val="006C7461"/>
    <w:rsid w:val="006C74E7"/>
    <w:rsid w:val="006C75AE"/>
    <w:rsid w:val="006C788E"/>
    <w:rsid w:val="006C795B"/>
    <w:rsid w:val="006C799E"/>
    <w:rsid w:val="006C7A5B"/>
    <w:rsid w:val="006C7A77"/>
    <w:rsid w:val="006C7C81"/>
    <w:rsid w:val="006C7D20"/>
    <w:rsid w:val="006C7D4D"/>
    <w:rsid w:val="006C7DC2"/>
    <w:rsid w:val="006D00F7"/>
    <w:rsid w:val="006D0417"/>
    <w:rsid w:val="006D0467"/>
    <w:rsid w:val="006D05EC"/>
    <w:rsid w:val="006D09BF"/>
    <w:rsid w:val="006D0C38"/>
    <w:rsid w:val="006D0D81"/>
    <w:rsid w:val="006D109F"/>
    <w:rsid w:val="006D11BC"/>
    <w:rsid w:val="006D12B6"/>
    <w:rsid w:val="006D12D9"/>
    <w:rsid w:val="006D1607"/>
    <w:rsid w:val="006D166D"/>
    <w:rsid w:val="006D17E2"/>
    <w:rsid w:val="006D1B17"/>
    <w:rsid w:val="006D1C78"/>
    <w:rsid w:val="006D1C8E"/>
    <w:rsid w:val="006D1CFD"/>
    <w:rsid w:val="006D1E1A"/>
    <w:rsid w:val="006D1F07"/>
    <w:rsid w:val="006D1FF3"/>
    <w:rsid w:val="006D20BA"/>
    <w:rsid w:val="006D2155"/>
    <w:rsid w:val="006D249F"/>
    <w:rsid w:val="006D24AC"/>
    <w:rsid w:val="006D2731"/>
    <w:rsid w:val="006D27CA"/>
    <w:rsid w:val="006D29B2"/>
    <w:rsid w:val="006D29B4"/>
    <w:rsid w:val="006D2A32"/>
    <w:rsid w:val="006D2AFF"/>
    <w:rsid w:val="006D2DDF"/>
    <w:rsid w:val="006D2EFA"/>
    <w:rsid w:val="006D2FC3"/>
    <w:rsid w:val="006D3299"/>
    <w:rsid w:val="006D35DD"/>
    <w:rsid w:val="006D390D"/>
    <w:rsid w:val="006D3979"/>
    <w:rsid w:val="006D3A70"/>
    <w:rsid w:val="006D3D1B"/>
    <w:rsid w:val="006D3D75"/>
    <w:rsid w:val="006D3F7C"/>
    <w:rsid w:val="006D459F"/>
    <w:rsid w:val="006D45FF"/>
    <w:rsid w:val="006D4642"/>
    <w:rsid w:val="006D473C"/>
    <w:rsid w:val="006D47A6"/>
    <w:rsid w:val="006D4A9A"/>
    <w:rsid w:val="006D4C04"/>
    <w:rsid w:val="006D4D63"/>
    <w:rsid w:val="006D4E57"/>
    <w:rsid w:val="006D4F1C"/>
    <w:rsid w:val="006D5121"/>
    <w:rsid w:val="006D519E"/>
    <w:rsid w:val="006D5211"/>
    <w:rsid w:val="006D527E"/>
    <w:rsid w:val="006D5289"/>
    <w:rsid w:val="006D52E9"/>
    <w:rsid w:val="006D5543"/>
    <w:rsid w:val="006D567D"/>
    <w:rsid w:val="006D57EA"/>
    <w:rsid w:val="006D5C41"/>
    <w:rsid w:val="006D5C7F"/>
    <w:rsid w:val="006D5CF1"/>
    <w:rsid w:val="006D5E11"/>
    <w:rsid w:val="006D5F39"/>
    <w:rsid w:val="006D5F7C"/>
    <w:rsid w:val="006D6348"/>
    <w:rsid w:val="006D64A6"/>
    <w:rsid w:val="006D6617"/>
    <w:rsid w:val="006D6718"/>
    <w:rsid w:val="006D6761"/>
    <w:rsid w:val="006D6876"/>
    <w:rsid w:val="006D68EA"/>
    <w:rsid w:val="006D6A04"/>
    <w:rsid w:val="006D6A6F"/>
    <w:rsid w:val="006D6A95"/>
    <w:rsid w:val="006D6AAC"/>
    <w:rsid w:val="006D6ADC"/>
    <w:rsid w:val="006D6BAB"/>
    <w:rsid w:val="006D6C16"/>
    <w:rsid w:val="006D6C24"/>
    <w:rsid w:val="006D6EF6"/>
    <w:rsid w:val="006D735A"/>
    <w:rsid w:val="006D7369"/>
    <w:rsid w:val="006D73C9"/>
    <w:rsid w:val="006D7415"/>
    <w:rsid w:val="006D760E"/>
    <w:rsid w:val="006D76F2"/>
    <w:rsid w:val="006D7898"/>
    <w:rsid w:val="006D78BA"/>
    <w:rsid w:val="006D7E92"/>
    <w:rsid w:val="006D7F04"/>
    <w:rsid w:val="006E0067"/>
    <w:rsid w:val="006E00BD"/>
    <w:rsid w:val="006E028E"/>
    <w:rsid w:val="006E03A0"/>
    <w:rsid w:val="006E05A1"/>
    <w:rsid w:val="006E0A53"/>
    <w:rsid w:val="006E0E3B"/>
    <w:rsid w:val="006E1059"/>
    <w:rsid w:val="006E138E"/>
    <w:rsid w:val="006E139A"/>
    <w:rsid w:val="006E1617"/>
    <w:rsid w:val="006E161C"/>
    <w:rsid w:val="006E1692"/>
    <w:rsid w:val="006E1910"/>
    <w:rsid w:val="006E19AB"/>
    <w:rsid w:val="006E1B28"/>
    <w:rsid w:val="006E1B57"/>
    <w:rsid w:val="006E1C6F"/>
    <w:rsid w:val="006E1DD6"/>
    <w:rsid w:val="006E215F"/>
    <w:rsid w:val="006E2481"/>
    <w:rsid w:val="006E24FB"/>
    <w:rsid w:val="006E2B06"/>
    <w:rsid w:val="006E2E92"/>
    <w:rsid w:val="006E2F47"/>
    <w:rsid w:val="006E2FA3"/>
    <w:rsid w:val="006E2FC7"/>
    <w:rsid w:val="006E30AA"/>
    <w:rsid w:val="006E3108"/>
    <w:rsid w:val="006E3109"/>
    <w:rsid w:val="006E3331"/>
    <w:rsid w:val="006E3473"/>
    <w:rsid w:val="006E3542"/>
    <w:rsid w:val="006E37CF"/>
    <w:rsid w:val="006E38AA"/>
    <w:rsid w:val="006E397E"/>
    <w:rsid w:val="006E3B4C"/>
    <w:rsid w:val="006E3B67"/>
    <w:rsid w:val="006E3C0E"/>
    <w:rsid w:val="006E3CEA"/>
    <w:rsid w:val="006E40AF"/>
    <w:rsid w:val="006E4147"/>
    <w:rsid w:val="006E4261"/>
    <w:rsid w:val="006E42B7"/>
    <w:rsid w:val="006E432A"/>
    <w:rsid w:val="006E4385"/>
    <w:rsid w:val="006E45A7"/>
    <w:rsid w:val="006E4609"/>
    <w:rsid w:val="006E46A9"/>
    <w:rsid w:val="006E47E7"/>
    <w:rsid w:val="006E47FB"/>
    <w:rsid w:val="006E4BEF"/>
    <w:rsid w:val="006E4E6B"/>
    <w:rsid w:val="006E50AB"/>
    <w:rsid w:val="006E512E"/>
    <w:rsid w:val="006E51E0"/>
    <w:rsid w:val="006E5462"/>
    <w:rsid w:val="006E5628"/>
    <w:rsid w:val="006E5646"/>
    <w:rsid w:val="006E5658"/>
    <w:rsid w:val="006E56A4"/>
    <w:rsid w:val="006E5966"/>
    <w:rsid w:val="006E59D1"/>
    <w:rsid w:val="006E5B3A"/>
    <w:rsid w:val="006E5E18"/>
    <w:rsid w:val="006E5EEC"/>
    <w:rsid w:val="006E5F5C"/>
    <w:rsid w:val="006E6173"/>
    <w:rsid w:val="006E6303"/>
    <w:rsid w:val="006E63F4"/>
    <w:rsid w:val="006E64AF"/>
    <w:rsid w:val="006E6542"/>
    <w:rsid w:val="006E65F9"/>
    <w:rsid w:val="006E6799"/>
    <w:rsid w:val="006E68A2"/>
    <w:rsid w:val="006E6B3B"/>
    <w:rsid w:val="006E6D87"/>
    <w:rsid w:val="006E6E32"/>
    <w:rsid w:val="006E6FCD"/>
    <w:rsid w:val="006E7153"/>
    <w:rsid w:val="006E7246"/>
    <w:rsid w:val="006E7559"/>
    <w:rsid w:val="006E7590"/>
    <w:rsid w:val="006E77A4"/>
    <w:rsid w:val="006E7A02"/>
    <w:rsid w:val="006E7C4B"/>
    <w:rsid w:val="006E7E4A"/>
    <w:rsid w:val="006F01E9"/>
    <w:rsid w:val="006F0334"/>
    <w:rsid w:val="006F0484"/>
    <w:rsid w:val="006F06E7"/>
    <w:rsid w:val="006F084E"/>
    <w:rsid w:val="006F08AF"/>
    <w:rsid w:val="006F0AF2"/>
    <w:rsid w:val="006F0AFB"/>
    <w:rsid w:val="006F0C04"/>
    <w:rsid w:val="006F0C30"/>
    <w:rsid w:val="006F0C4F"/>
    <w:rsid w:val="006F0CB8"/>
    <w:rsid w:val="006F0F9A"/>
    <w:rsid w:val="006F0FAB"/>
    <w:rsid w:val="006F105B"/>
    <w:rsid w:val="006F105C"/>
    <w:rsid w:val="006F1101"/>
    <w:rsid w:val="006F12C9"/>
    <w:rsid w:val="006F12CA"/>
    <w:rsid w:val="006F16C9"/>
    <w:rsid w:val="006F18C6"/>
    <w:rsid w:val="006F1B5F"/>
    <w:rsid w:val="006F1C3D"/>
    <w:rsid w:val="006F1C88"/>
    <w:rsid w:val="006F1F05"/>
    <w:rsid w:val="006F2021"/>
    <w:rsid w:val="006F22B2"/>
    <w:rsid w:val="006F23D7"/>
    <w:rsid w:val="006F28E7"/>
    <w:rsid w:val="006F317F"/>
    <w:rsid w:val="006F3228"/>
    <w:rsid w:val="006F33BE"/>
    <w:rsid w:val="006F33FF"/>
    <w:rsid w:val="006F3708"/>
    <w:rsid w:val="006F3796"/>
    <w:rsid w:val="006F3A9D"/>
    <w:rsid w:val="006F3AB5"/>
    <w:rsid w:val="006F3AD8"/>
    <w:rsid w:val="006F3B59"/>
    <w:rsid w:val="006F3BF9"/>
    <w:rsid w:val="006F3DDD"/>
    <w:rsid w:val="006F3E47"/>
    <w:rsid w:val="006F3E4B"/>
    <w:rsid w:val="006F3E86"/>
    <w:rsid w:val="006F3EDC"/>
    <w:rsid w:val="006F40EE"/>
    <w:rsid w:val="006F4175"/>
    <w:rsid w:val="006F469E"/>
    <w:rsid w:val="006F4A52"/>
    <w:rsid w:val="006F4AE7"/>
    <w:rsid w:val="006F4D72"/>
    <w:rsid w:val="006F4EE9"/>
    <w:rsid w:val="006F50CA"/>
    <w:rsid w:val="006F5141"/>
    <w:rsid w:val="006F5256"/>
    <w:rsid w:val="006F554A"/>
    <w:rsid w:val="006F579B"/>
    <w:rsid w:val="006F587B"/>
    <w:rsid w:val="006F5916"/>
    <w:rsid w:val="006F59A6"/>
    <w:rsid w:val="006F612E"/>
    <w:rsid w:val="006F63C3"/>
    <w:rsid w:val="006F63E1"/>
    <w:rsid w:val="006F64F8"/>
    <w:rsid w:val="006F6621"/>
    <w:rsid w:val="006F6909"/>
    <w:rsid w:val="006F6929"/>
    <w:rsid w:val="006F69BA"/>
    <w:rsid w:val="006F69C3"/>
    <w:rsid w:val="006F6B8A"/>
    <w:rsid w:val="006F6BE4"/>
    <w:rsid w:val="006F6C1B"/>
    <w:rsid w:val="006F6C80"/>
    <w:rsid w:val="006F6F1F"/>
    <w:rsid w:val="006F7026"/>
    <w:rsid w:val="006F7139"/>
    <w:rsid w:val="006F7202"/>
    <w:rsid w:val="006F7426"/>
    <w:rsid w:val="006F75AF"/>
    <w:rsid w:val="006F77F5"/>
    <w:rsid w:val="006F7856"/>
    <w:rsid w:val="006F7E19"/>
    <w:rsid w:val="006F7FFD"/>
    <w:rsid w:val="00700097"/>
    <w:rsid w:val="00700261"/>
    <w:rsid w:val="007002BF"/>
    <w:rsid w:val="007002EC"/>
    <w:rsid w:val="007003C0"/>
    <w:rsid w:val="0070054B"/>
    <w:rsid w:val="007005C8"/>
    <w:rsid w:val="00700709"/>
    <w:rsid w:val="00700DF1"/>
    <w:rsid w:val="00700EEC"/>
    <w:rsid w:val="007011FB"/>
    <w:rsid w:val="007014AC"/>
    <w:rsid w:val="007014D9"/>
    <w:rsid w:val="007016B6"/>
    <w:rsid w:val="007018BE"/>
    <w:rsid w:val="00701A2F"/>
    <w:rsid w:val="00701C4E"/>
    <w:rsid w:val="00701D7B"/>
    <w:rsid w:val="00701E03"/>
    <w:rsid w:val="00702045"/>
    <w:rsid w:val="0070216C"/>
    <w:rsid w:val="0070219D"/>
    <w:rsid w:val="0070248D"/>
    <w:rsid w:val="00702496"/>
    <w:rsid w:val="00702B8F"/>
    <w:rsid w:val="00702BE1"/>
    <w:rsid w:val="00702E6D"/>
    <w:rsid w:val="0070328C"/>
    <w:rsid w:val="007032A5"/>
    <w:rsid w:val="007033A9"/>
    <w:rsid w:val="00703696"/>
    <w:rsid w:val="007037B2"/>
    <w:rsid w:val="00703AB4"/>
    <w:rsid w:val="00703F4E"/>
    <w:rsid w:val="00704201"/>
    <w:rsid w:val="00704291"/>
    <w:rsid w:val="00704319"/>
    <w:rsid w:val="00704461"/>
    <w:rsid w:val="007045AF"/>
    <w:rsid w:val="0070467F"/>
    <w:rsid w:val="007047FE"/>
    <w:rsid w:val="00704822"/>
    <w:rsid w:val="00704880"/>
    <w:rsid w:val="00704B11"/>
    <w:rsid w:val="00704C3E"/>
    <w:rsid w:val="00704CBF"/>
    <w:rsid w:val="00704D07"/>
    <w:rsid w:val="00704D57"/>
    <w:rsid w:val="00704E0F"/>
    <w:rsid w:val="00704E64"/>
    <w:rsid w:val="00704F37"/>
    <w:rsid w:val="00705148"/>
    <w:rsid w:val="00705185"/>
    <w:rsid w:val="007053BC"/>
    <w:rsid w:val="00705608"/>
    <w:rsid w:val="00705621"/>
    <w:rsid w:val="007056EA"/>
    <w:rsid w:val="00705833"/>
    <w:rsid w:val="00705834"/>
    <w:rsid w:val="0070591C"/>
    <w:rsid w:val="00705E57"/>
    <w:rsid w:val="00705EDC"/>
    <w:rsid w:val="00705EFC"/>
    <w:rsid w:val="00705F22"/>
    <w:rsid w:val="00705F44"/>
    <w:rsid w:val="00706103"/>
    <w:rsid w:val="00706346"/>
    <w:rsid w:val="0070643B"/>
    <w:rsid w:val="00706544"/>
    <w:rsid w:val="007065CC"/>
    <w:rsid w:val="007065D1"/>
    <w:rsid w:val="007065EE"/>
    <w:rsid w:val="0070680B"/>
    <w:rsid w:val="0070682C"/>
    <w:rsid w:val="00706E70"/>
    <w:rsid w:val="00706EA3"/>
    <w:rsid w:val="007070BD"/>
    <w:rsid w:val="00707158"/>
    <w:rsid w:val="007071C6"/>
    <w:rsid w:val="0070721E"/>
    <w:rsid w:val="00707445"/>
    <w:rsid w:val="00707514"/>
    <w:rsid w:val="007076DB"/>
    <w:rsid w:val="007076E6"/>
    <w:rsid w:val="00707723"/>
    <w:rsid w:val="007078D5"/>
    <w:rsid w:val="007079D6"/>
    <w:rsid w:val="00707C6D"/>
    <w:rsid w:val="00707D43"/>
    <w:rsid w:val="00710164"/>
    <w:rsid w:val="007101CA"/>
    <w:rsid w:val="007101E5"/>
    <w:rsid w:val="007101E8"/>
    <w:rsid w:val="0071091F"/>
    <w:rsid w:val="00710B04"/>
    <w:rsid w:val="00710BC4"/>
    <w:rsid w:val="00710BD5"/>
    <w:rsid w:val="00710BFA"/>
    <w:rsid w:val="00710E30"/>
    <w:rsid w:val="00710E47"/>
    <w:rsid w:val="00710E9F"/>
    <w:rsid w:val="00710F78"/>
    <w:rsid w:val="00710F7E"/>
    <w:rsid w:val="00710FCC"/>
    <w:rsid w:val="00711004"/>
    <w:rsid w:val="007110E3"/>
    <w:rsid w:val="0071112F"/>
    <w:rsid w:val="007116DA"/>
    <w:rsid w:val="007118DD"/>
    <w:rsid w:val="00711B3C"/>
    <w:rsid w:val="00711E17"/>
    <w:rsid w:val="00711F16"/>
    <w:rsid w:val="007121F5"/>
    <w:rsid w:val="00712577"/>
    <w:rsid w:val="007125E4"/>
    <w:rsid w:val="00712688"/>
    <w:rsid w:val="007127A9"/>
    <w:rsid w:val="00712844"/>
    <w:rsid w:val="007128B6"/>
    <w:rsid w:val="00712A53"/>
    <w:rsid w:val="00712BDF"/>
    <w:rsid w:val="00712DED"/>
    <w:rsid w:val="00712EAE"/>
    <w:rsid w:val="00712EC0"/>
    <w:rsid w:val="00712F1D"/>
    <w:rsid w:val="00713010"/>
    <w:rsid w:val="0071307A"/>
    <w:rsid w:val="00713136"/>
    <w:rsid w:val="00713191"/>
    <w:rsid w:val="00713260"/>
    <w:rsid w:val="007133E6"/>
    <w:rsid w:val="007135CF"/>
    <w:rsid w:val="00713668"/>
    <w:rsid w:val="007137BD"/>
    <w:rsid w:val="007137C5"/>
    <w:rsid w:val="007137C7"/>
    <w:rsid w:val="0071388E"/>
    <w:rsid w:val="00713D1A"/>
    <w:rsid w:val="00713D39"/>
    <w:rsid w:val="00713E9C"/>
    <w:rsid w:val="0071417F"/>
    <w:rsid w:val="007143B9"/>
    <w:rsid w:val="00714440"/>
    <w:rsid w:val="00714499"/>
    <w:rsid w:val="007144C4"/>
    <w:rsid w:val="00714622"/>
    <w:rsid w:val="007146DD"/>
    <w:rsid w:val="0071470D"/>
    <w:rsid w:val="00714A1B"/>
    <w:rsid w:val="00714B50"/>
    <w:rsid w:val="00714DBF"/>
    <w:rsid w:val="00714E33"/>
    <w:rsid w:val="00714F10"/>
    <w:rsid w:val="00714F19"/>
    <w:rsid w:val="00715031"/>
    <w:rsid w:val="00715353"/>
    <w:rsid w:val="00715681"/>
    <w:rsid w:val="007156A4"/>
    <w:rsid w:val="00715935"/>
    <w:rsid w:val="007159CA"/>
    <w:rsid w:val="00715A29"/>
    <w:rsid w:val="00715CDF"/>
    <w:rsid w:val="00715F7F"/>
    <w:rsid w:val="00716172"/>
    <w:rsid w:val="00716244"/>
    <w:rsid w:val="00716547"/>
    <w:rsid w:val="0071657F"/>
    <w:rsid w:val="0071691A"/>
    <w:rsid w:val="0071707E"/>
    <w:rsid w:val="0071725A"/>
    <w:rsid w:val="00717263"/>
    <w:rsid w:val="007174A9"/>
    <w:rsid w:val="007174B4"/>
    <w:rsid w:val="007174D2"/>
    <w:rsid w:val="0071772D"/>
    <w:rsid w:val="00717E00"/>
    <w:rsid w:val="00717F84"/>
    <w:rsid w:val="0071A7D2"/>
    <w:rsid w:val="00720036"/>
    <w:rsid w:val="007203EE"/>
    <w:rsid w:val="007207A8"/>
    <w:rsid w:val="00720A09"/>
    <w:rsid w:val="00720A6A"/>
    <w:rsid w:val="00720B15"/>
    <w:rsid w:val="00720B74"/>
    <w:rsid w:val="00720E38"/>
    <w:rsid w:val="00720EBA"/>
    <w:rsid w:val="00721406"/>
    <w:rsid w:val="00721F9E"/>
    <w:rsid w:val="00721FE1"/>
    <w:rsid w:val="0072200D"/>
    <w:rsid w:val="007220B4"/>
    <w:rsid w:val="00722186"/>
    <w:rsid w:val="00722404"/>
    <w:rsid w:val="007225D0"/>
    <w:rsid w:val="007228A4"/>
    <w:rsid w:val="00722910"/>
    <w:rsid w:val="0072296D"/>
    <w:rsid w:val="007229BF"/>
    <w:rsid w:val="007229DB"/>
    <w:rsid w:val="00723186"/>
    <w:rsid w:val="0072350D"/>
    <w:rsid w:val="00723530"/>
    <w:rsid w:val="007236CD"/>
    <w:rsid w:val="007241FD"/>
    <w:rsid w:val="00724255"/>
    <w:rsid w:val="00724530"/>
    <w:rsid w:val="007247CC"/>
    <w:rsid w:val="007248B5"/>
    <w:rsid w:val="00724A31"/>
    <w:rsid w:val="00724ABE"/>
    <w:rsid w:val="00724D85"/>
    <w:rsid w:val="0072501C"/>
    <w:rsid w:val="00725166"/>
    <w:rsid w:val="0072552E"/>
    <w:rsid w:val="0072555E"/>
    <w:rsid w:val="007255A8"/>
    <w:rsid w:val="00725638"/>
    <w:rsid w:val="00725A50"/>
    <w:rsid w:val="00725BC4"/>
    <w:rsid w:val="00725D56"/>
    <w:rsid w:val="00725E74"/>
    <w:rsid w:val="007263FF"/>
    <w:rsid w:val="00726501"/>
    <w:rsid w:val="007266DD"/>
    <w:rsid w:val="00726805"/>
    <w:rsid w:val="00726969"/>
    <w:rsid w:val="007269D9"/>
    <w:rsid w:val="00726AB4"/>
    <w:rsid w:val="00726C91"/>
    <w:rsid w:val="00726F4A"/>
    <w:rsid w:val="007270C1"/>
    <w:rsid w:val="0072717B"/>
    <w:rsid w:val="007271A8"/>
    <w:rsid w:val="00727294"/>
    <w:rsid w:val="0072737D"/>
    <w:rsid w:val="0072750D"/>
    <w:rsid w:val="0072753C"/>
    <w:rsid w:val="00727786"/>
    <w:rsid w:val="00727788"/>
    <w:rsid w:val="0072791E"/>
    <w:rsid w:val="00727A06"/>
    <w:rsid w:val="00727B7F"/>
    <w:rsid w:val="00727DD8"/>
    <w:rsid w:val="00727EE3"/>
    <w:rsid w:val="00727F37"/>
    <w:rsid w:val="00727FAF"/>
    <w:rsid w:val="00730014"/>
    <w:rsid w:val="007300AB"/>
    <w:rsid w:val="007300BE"/>
    <w:rsid w:val="0073022E"/>
    <w:rsid w:val="007304C9"/>
    <w:rsid w:val="007306A5"/>
    <w:rsid w:val="007307F0"/>
    <w:rsid w:val="0073084A"/>
    <w:rsid w:val="0073098F"/>
    <w:rsid w:val="00730A92"/>
    <w:rsid w:val="00730B5C"/>
    <w:rsid w:val="00730BB8"/>
    <w:rsid w:val="00730BF0"/>
    <w:rsid w:val="00730D12"/>
    <w:rsid w:val="00730D5A"/>
    <w:rsid w:val="00730E13"/>
    <w:rsid w:val="00731132"/>
    <w:rsid w:val="00731493"/>
    <w:rsid w:val="007315D2"/>
    <w:rsid w:val="007315E6"/>
    <w:rsid w:val="00731871"/>
    <w:rsid w:val="00731A0C"/>
    <w:rsid w:val="00731AB7"/>
    <w:rsid w:val="00731B62"/>
    <w:rsid w:val="00731F65"/>
    <w:rsid w:val="0073209E"/>
    <w:rsid w:val="007320A6"/>
    <w:rsid w:val="00732149"/>
    <w:rsid w:val="007321C0"/>
    <w:rsid w:val="00732258"/>
    <w:rsid w:val="007322BC"/>
    <w:rsid w:val="0073255F"/>
    <w:rsid w:val="0073259E"/>
    <w:rsid w:val="00732676"/>
    <w:rsid w:val="00732699"/>
    <w:rsid w:val="007328E3"/>
    <w:rsid w:val="00732A52"/>
    <w:rsid w:val="00732DE7"/>
    <w:rsid w:val="00732E17"/>
    <w:rsid w:val="00732F63"/>
    <w:rsid w:val="00733068"/>
    <w:rsid w:val="00733293"/>
    <w:rsid w:val="007333A6"/>
    <w:rsid w:val="007333C8"/>
    <w:rsid w:val="007335D0"/>
    <w:rsid w:val="0073366A"/>
    <w:rsid w:val="00733978"/>
    <w:rsid w:val="00733A16"/>
    <w:rsid w:val="00733A1D"/>
    <w:rsid w:val="00733C90"/>
    <w:rsid w:val="00733CD8"/>
    <w:rsid w:val="00733D5C"/>
    <w:rsid w:val="00733F13"/>
    <w:rsid w:val="00734345"/>
    <w:rsid w:val="00734460"/>
    <w:rsid w:val="0073487C"/>
    <w:rsid w:val="00734886"/>
    <w:rsid w:val="00734ABC"/>
    <w:rsid w:val="00734B10"/>
    <w:rsid w:val="00734B19"/>
    <w:rsid w:val="00734E61"/>
    <w:rsid w:val="00734E82"/>
    <w:rsid w:val="00734F36"/>
    <w:rsid w:val="007350C2"/>
    <w:rsid w:val="007354EE"/>
    <w:rsid w:val="00735725"/>
    <w:rsid w:val="0073577C"/>
    <w:rsid w:val="00735823"/>
    <w:rsid w:val="00735832"/>
    <w:rsid w:val="00735882"/>
    <w:rsid w:val="007358CC"/>
    <w:rsid w:val="00735ADB"/>
    <w:rsid w:val="00735B15"/>
    <w:rsid w:val="00735B37"/>
    <w:rsid w:val="00735B93"/>
    <w:rsid w:val="00735FC1"/>
    <w:rsid w:val="00736056"/>
    <w:rsid w:val="007362E1"/>
    <w:rsid w:val="0073667C"/>
    <w:rsid w:val="007367AB"/>
    <w:rsid w:val="00736A99"/>
    <w:rsid w:val="00736B2F"/>
    <w:rsid w:val="00736CAC"/>
    <w:rsid w:val="00736EF7"/>
    <w:rsid w:val="00736F70"/>
    <w:rsid w:val="007370A6"/>
    <w:rsid w:val="00737250"/>
    <w:rsid w:val="007372AF"/>
    <w:rsid w:val="0073734D"/>
    <w:rsid w:val="00737588"/>
    <w:rsid w:val="007375CB"/>
    <w:rsid w:val="0073783D"/>
    <w:rsid w:val="00737AB0"/>
    <w:rsid w:val="00737B84"/>
    <w:rsid w:val="00737F55"/>
    <w:rsid w:val="00737F83"/>
    <w:rsid w:val="00740061"/>
    <w:rsid w:val="0074030A"/>
    <w:rsid w:val="007403CD"/>
    <w:rsid w:val="007404D5"/>
    <w:rsid w:val="00740792"/>
    <w:rsid w:val="007407D3"/>
    <w:rsid w:val="0074091F"/>
    <w:rsid w:val="00740A0B"/>
    <w:rsid w:val="00740A70"/>
    <w:rsid w:val="00740A99"/>
    <w:rsid w:val="00740AF6"/>
    <w:rsid w:val="00740C93"/>
    <w:rsid w:val="00740DAF"/>
    <w:rsid w:val="00740DE8"/>
    <w:rsid w:val="00741170"/>
    <w:rsid w:val="00741610"/>
    <w:rsid w:val="007418D7"/>
    <w:rsid w:val="00741904"/>
    <w:rsid w:val="007419B6"/>
    <w:rsid w:val="00741A96"/>
    <w:rsid w:val="00741B1F"/>
    <w:rsid w:val="00741B44"/>
    <w:rsid w:val="00741E5A"/>
    <w:rsid w:val="00741F4B"/>
    <w:rsid w:val="00742204"/>
    <w:rsid w:val="007423AD"/>
    <w:rsid w:val="00742463"/>
    <w:rsid w:val="007424EE"/>
    <w:rsid w:val="0074263F"/>
    <w:rsid w:val="00742724"/>
    <w:rsid w:val="0074294E"/>
    <w:rsid w:val="00742D5B"/>
    <w:rsid w:val="0074300E"/>
    <w:rsid w:val="00743210"/>
    <w:rsid w:val="0074321D"/>
    <w:rsid w:val="0074322A"/>
    <w:rsid w:val="007437CF"/>
    <w:rsid w:val="0074382E"/>
    <w:rsid w:val="00743ACB"/>
    <w:rsid w:val="00743CDD"/>
    <w:rsid w:val="00743F13"/>
    <w:rsid w:val="00743F92"/>
    <w:rsid w:val="007441B4"/>
    <w:rsid w:val="00744595"/>
    <w:rsid w:val="007448B8"/>
    <w:rsid w:val="00744B49"/>
    <w:rsid w:val="00744D05"/>
    <w:rsid w:val="00744F26"/>
    <w:rsid w:val="00744F3D"/>
    <w:rsid w:val="00745310"/>
    <w:rsid w:val="00745392"/>
    <w:rsid w:val="00745590"/>
    <w:rsid w:val="0074559A"/>
    <w:rsid w:val="00745727"/>
    <w:rsid w:val="00745864"/>
    <w:rsid w:val="007458B5"/>
    <w:rsid w:val="00745C4B"/>
    <w:rsid w:val="00745D0E"/>
    <w:rsid w:val="00745D45"/>
    <w:rsid w:val="00745D8C"/>
    <w:rsid w:val="00745EC5"/>
    <w:rsid w:val="00745FD7"/>
    <w:rsid w:val="00746211"/>
    <w:rsid w:val="007462AB"/>
    <w:rsid w:val="00746379"/>
    <w:rsid w:val="00746606"/>
    <w:rsid w:val="007467BD"/>
    <w:rsid w:val="0074681E"/>
    <w:rsid w:val="007468FA"/>
    <w:rsid w:val="00746A00"/>
    <w:rsid w:val="00746B13"/>
    <w:rsid w:val="00746B2C"/>
    <w:rsid w:val="00746CE2"/>
    <w:rsid w:val="00746D67"/>
    <w:rsid w:val="00746F14"/>
    <w:rsid w:val="00747483"/>
    <w:rsid w:val="007474EB"/>
    <w:rsid w:val="00747538"/>
    <w:rsid w:val="00747613"/>
    <w:rsid w:val="00747744"/>
    <w:rsid w:val="00747748"/>
    <w:rsid w:val="00747939"/>
    <w:rsid w:val="00747966"/>
    <w:rsid w:val="007479C4"/>
    <w:rsid w:val="00747EE0"/>
    <w:rsid w:val="00750180"/>
    <w:rsid w:val="007501FD"/>
    <w:rsid w:val="00750283"/>
    <w:rsid w:val="00750364"/>
    <w:rsid w:val="007504C0"/>
    <w:rsid w:val="00750612"/>
    <w:rsid w:val="007506D5"/>
    <w:rsid w:val="007510B2"/>
    <w:rsid w:val="007510F4"/>
    <w:rsid w:val="00751196"/>
    <w:rsid w:val="00751487"/>
    <w:rsid w:val="00751570"/>
    <w:rsid w:val="00751B73"/>
    <w:rsid w:val="00751C62"/>
    <w:rsid w:val="00751D3B"/>
    <w:rsid w:val="00751E05"/>
    <w:rsid w:val="00751E97"/>
    <w:rsid w:val="00751F55"/>
    <w:rsid w:val="00752030"/>
    <w:rsid w:val="00752285"/>
    <w:rsid w:val="00752353"/>
    <w:rsid w:val="00752663"/>
    <w:rsid w:val="00752683"/>
    <w:rsid w:val="00752722"/>
    <w:rsid w:val="00752959"/>
    <w:rsid w:val="00752A7E"/>
    <w:rsid w:val="00752CCC"/>
    <w:rsid w:val="00752D91"/>
    <w:rsid w:val="00753000"/>
    <w:rsid w:val="007530F2"/>
    <w:rsid w:val="0075324B"/>
    <w:rsid w:val="007532C0"/>
    <w:rsid w:val="00753403"/>
    <w:rsid w:val="00753416"/>
    <w:rsid w:val="00753721"/>
    <w:rsid w:val="007537C5"/>
    <w:rsid w:val="00753882"/>
    <w:rsid w:val="00753A74"/>
    <w:rsid w:val="00753C01"/>
    <w:rsid w:val="00753E1F"/>
    <w:rsid w:val="0075487D"/>
    <w:rsid w:val="00754944"/>
    <w:rsid w:val="00754AD8"/>
    <w:rsid w:val="00754AF7"/>
    <w:rsid w:val="00754E7D"/>
    <w:rsid w:val="0075506B"/>
    <w:rsid w:val="00755125"/>
    <w:rsid w:val="00755297"/>
    <w:rsid w:val="0075530A"/>
    <w:rsid w:val="00755532"/>
    <w:rsid w:val="007555BD"/>
    <w:rsid w:val="00755AC3"/>
    <w:rsid w:val="00755F21"/>
    <w:rsid w:val="00755FC7"/>
    <w:rsid w:val="0075615E"/>
    <w:rsid w:val="007561BE"/>
    <w:rsid w:val="007563E0"/>
    <w:rsid w:val="00756446"/>
    <w:rsid w:val="00756490"/>
    <w:rsid w:val="007564F4"/>
    <w:rsid w:val="00756612"/>
    <w:rsid w:val="0075678E"/>
    <w:rsid w:val="007568A3"/>
    <w:rsid w:val="007568D4"/>
    <w:rsid w:val="00756AE9"/>
    <w:rsid w:val="00756BC6"/>
    <w:rsid w:val="00756CF9"/>
    <w:rsid w:val="00756D69"/>
    <w:rsid w:val="00756D9A"/>
    <w:rsid w:val="00756EE9"/>
    <w:rsid w:val="00756FC5"/>
    <w:rsid w:val="00757298"/>
    <w:rsid w:val="00757506"/>
    <w:rsid w:val="007575F9"/>
    <w:rsid w:val="00757651"/>
    <w:rsid w:val="0075770C"/>
    <w:rsid w:val="0075779F"/>
    <w:rsid w:val="007578DA"/>
    <w:rsid w:val="00757974"/>
    <w:rsid w:val="007579FE"/>
    <w:rsid w:val="00760582"/>
    <w:rsid w:val="00760929"/>
    <w:rsid w:val="00760937"/>
    <w:rsid w:val="00760955"/>
    <w:rsid w:val="0076098B"/>
    <w:rsid w:val="00760A9F"/>
    <w:rsid w:val="00760B70"/>
    <w:rsid w:val="00760B79"/>
    <w:rsid w:val="00760BEE"/>
    <w:rsid w:val="00760CDC"/>
    <w:rsid w:val="00760D64"/>
    <w:rsid w:val="00760ED0"/>
    <w:rsid w:val="00761085"/>
    <w:rsid w:val="007611DC"/>
    <w:rsid w:val="007612A4"/>
    <w:rsid w:val="0076135C"/>
    <w:rsid w:val="00761513"/>
    <w:rsid w:val="00761588"/>
    <w:rsid w:val="00761674"/>
    <w:rsid w:val="00761836"/>
    <w:rsid w:val="00761911"/>
    <w:rsid w:val="007619DF"/>
    <w:rsid w:val="00761A7A"/>
    <w:rsid w:val="00761D18"/>
    <w:rsid w:val="00761D68"/>
    <w:rsid w:val="00762026"/>
    <w:rsid w:val="007623DE"/>
    <w:rsid w:val="00762436"/>
    <w:rsid w:val="00762767"/>
    <w:rsid w:val="00762795"/>
    <w:rsid w:val="007627B1"/>
    <w:rsid w:val="007629AD"/>
    <w:rsid w:val="00762BDF"/>
    <w:rsid w:val="00762F6E"/>
    <w:rsid w:val="00762FC9"/>
    <w:rsid w:val="0076305E"/>
    <w:rsid w:val="0076311E"/>
    <w:rsid w:val="007631D3"/>
    <w:rsid w:val="007633BC"/>
    <w:rsid w:val="007635A0"/>
    <w:rsid w:val="00763663"/>
    <w:rsid w:val="00763719"/>
    <w:rsid w:val="00763744"/>
    <w:rsid w:val="00763769"/>
    <w:rsid w:val="00763E5B"/>
    <w:rsid w:val="0076400B"/>
    <w:rsid w:val="007643C6"/>
    <w:rsid w:val="00764AD8"/>
    <w:rsid w:val="00764C97"/>
    <w:rsid w:val="00764CEB"/>
    <w:rsid w:val="00764D46"/>
    <w:rsid w:val="00764DD9"/>
    <w:rsid w:val="00764E1D"/>
    <w:rsid w:val="00764E27"/>
    <w:rsid w:val="00764F88"/>
    <w:rsid w:val="00764FFB"/>
    <w:rsid w:val="007651DA"/>
    <w:rsid w:val="007654B5"/>
    <w:rsid w:val="0076556E"/>
    <w:rsid w:val="00765758"/>
    <w:rsid w:val="00765893"/>
    <w:rsid w:val="00765E5B"/>
    <w:rsid w:val="00765ECD"/>
    <w:rsid w:val="007660CF"/>
    <w:rsid w:val="00766552"/>
    <w:rsid w:val="00766790"/>
    <w:rsid w:val="007669AC"/>
    <w:rsid w:val="00766C9E"/>
    <w:rsid w:val="00766D85"/>
    <w:rsid w:val="00766F71"/>
    <w:rsid w:val="00766FB3"/>
    <w:rsid w:val="00767225"/>
    <w:rsid w:val="00767261"/>
    <w:rsid w:val="0076726C"/>
    <w:rsid w:val="00767706"/>
    <w:rsid w:val="007677E6"/>
    <w:rsid w:val="00767B11"/>
    <w:rsid w:val="00767C7B"/>
    <w:rsid w:val="00767E07"/>
    <w:rsid w:val="0077004F"/>
    <w:rsid w:val="00770654"/>
    <w:rsid w:val="00770703"/>
    <w:rsid w:val="00770784"/>
    <w:rsid w:val="00770991"/>
    <w:rsid w:val="00770B19"/>
    <w:rsid w:val="00770C1E"/>
    <w:rsid w:val="00770C9D"/>
    <w:rsid w:val="00770DCC"/>
    <w:rsid w:val="00770DE2"/>
    <w:rsid w:val="007711BC"/>
    <w:rsid w:val="00771364"/>
    <w:rsid w:val="00771423"/>
    <w:rsid w:val="00771491"/>
    <w:rsid w:val="00771557"/>
    <w:rsid w:val="007715BD"/>
    <w:rsid w:val="00771600"/>
    <w:rsid w:val="007717C4"/>
    <w:rsid w:val="00771871"/>
    <w:rsid w:val="007718C2"/>
    <w:rsid w:val="00771EEE"/>
    <w:rsid w:val="0077221C"/>
    <w:rsid w:val="007722A8"/>
    <w:rsid w:val="007722EA"/>
    <w:rsid w:val="007723AB"/>
    <w:rsid w:val="007723C9"/>
    <w:rsid w:val="007726F1"/>
    <w:rsid w:val="00772AE4"/>
    <w:rsid w:val="00772B0A"/>
    <w:rsid w:val="00772DAE"/>
    <w:rsid w:val="00772F86"/>
    <w:rsid w:val="007734C0"/>
    <w:rsid w:val="00773579"/>
    <w:rsid w:val="00773725"/>
    <w:rsid w:val="007737F7"/>
    <w:rsid w:val="007738B1"/>
    <w:rsid w:val="00773A7B"/>
    <w:rsid w:val="00773CEB"/>
    <w:rsid w:val="00773DD4"/>
    <w:rsid w:val="00773E38"/>
    <w:rsid w:val="00773FC8"/>
    <w:rsid w:val="00774097"/>
    <w:rsid w:val="00774224"/>
    <w:rsid w:val="0077432C"/>
    <w:rsid w:val="00774474"/>
    <w:rsid w:val="007744FC"/>
    <w:rsid w:val="00774518"/>
    <w:rsid w:val="0077482F"/>
    <w:rsid w:val="0077486B"/>
    <w:rsid w:val="00774BA5"/>
    <w:rsid w:val="00774D56"/>
    <w:rsid w:val="00774DCC"/>
    <w:rsid w:val="00774E12"/>
    <w:rsid w:val="00774FEB"/>
    <w:rsid w:val="00775145"/>
    <w:rsid w:val="00775322"/>
    <w:rsid w:val="007756EC"/>
    <w:rsid w:val="007759C3"/>
    <w:rsid w:val="00775A77"/>
    <w:rsid w:val="00775A9A"/>
    <w:rsid w:val="00775DBE"/>
    <w:rsid w:val="00775DFC"/>
    <w:rsid w:val="00775E3A"/>
    <w:rsid w:val="00775E4C"/>
    <w:rsid w:val="00775F5B"/>
    <w:rsid w:val="00776472"/>
    <w:rsid w:val="0077657E"/>
    <w:rsid w:val="00776993"/>
    <w:rsid w:val="00776A0C"/>
    <w:rsid w:val="00776C57"/>
    <w:rsid w:val="00776CAE"/>
    <w:rsid w:val="00776E61"/>
    <w:rsid w:val="00776E81"/>
    <w:rsid w:val="007771A0"/>
    <w:rsid w:val="007771CA"/>
    <w:rsid w:val="00777470"/>
    <w:rsid w:val="00777589"/>
    <w:rsid w:val="00777B96"/>
    <w:rsid w:val="00777CA9"/>
    <w:rsid w:val="00777F68"/>
    <w:rsid w:val="00780145"/>
    <w:rsid w:val="0078040F"/>
    <w:rsid w:val="0078042F"/>
    <w:rsid w:val="007805D9"/>
    <w:rsid w:val="007807AD"/>
    <w:rsid w:val="0078080A"/>
    <w:rsid w:val="00780A0F"/>
    <w:rsid w:val="00780ACA"/>
    <w:rsid w:val="00780D20"/>
    <w:rsid w:val="00780DCC"/>
    <w:rsid w:val="00781413"/>
    <w:rsid w:val="007814B9"/>
    <w:rsid w:val="00781709"/>
    <w:rsid w:val="00781736"/>
    <w:rsid w:val="0078176D"/>
    <w:rsid w:val="007818CA"/>
    <w:rsid w:val="00781938"/>
    <w:rsid w:val="007819EB"/>
    <w:rsid w:val="00781A8D"/>
    <w:rsid w:val="00781BE7"/>
    <w:rsid w:val="00781EA9"/>
    <w:rsid w:val="00781F88"/>
    <w:rsid w:val="007822E8"/>
    <w:rsid w:val="007823AA"/>
    <w:rsid w:val="007826A8"/>
    <w:rsid w:val="007829A1"/>
    <w:rsid w:val="00782D02"/>
    <w:rsid w:val="00782E8A"/>
    <w:rsid w:val="007830BF"/>
    <w:rsid w:val="00783307"/>
    <w:rsid w:val="00783525"/>
    <w:rsid w:val="007838B4"/>
    <w:rsid w:val="007838D5"/>
    <w:rsid w:val="00783A1E"/>
    <w:rsid w:val="00783FC6"/>
    <w:rsid w:val="0078406A"/>
    <w:rsid w:val="00784186"/>
    <w:rsid w:val="0078423F"/>
    <w:rsid w:val="0078429A"/>
    <w:rsid w:val="007842A1"/>
    <w:rsid w:val="007843C7"/>
    <w:rsid w:val="007843F2"/>
    <w:rsid w:val="00784558"/>
    <w:rsid w:val="00784572"/>
    <w:rsid w:val="0078482A"/>
    <w:rsid w:val="00784997"/>
    <w:rsid w:val="00784C0D"/>
    <w:rsid w:val="00784C4F"/>
    <w:rsid w:val="00784C65"/>
    <w:rsid w:val="00785164"/>
    <w:rsid w:val="0078516C"/>
    <w:rsid w:val="007852A5"/>
    <w:rsid w:val="00785319"/>
    <w:rsid w:val="007853AB"/>
    <w:rsid w:val="00785525"/>
    <w:rsid w:val="00785800"/>
    <w:rsid w:val="007859C4"/>
    <w:rsid w:val="007859D7"/>
    <w:rsid w:val="00785A80"/>
    <w:rsid w:val="00785B52"/>
    <w:rsid w:val="00785B68"/>
    <w:rsid w:val="00785C0C"/>
    <w:rsid w:val="00785DEF"/>
    <w:rsid w:val="00785E69"/>
    <w:rsid w:val="00785F15"/>
    <w:rsid w:val="00786038"/>
    <w:rsid w:val="007861BA"/>
    <w:rsid w:val="00786215"/>
    <w:rsid w:val="0078650B"/>
    <w:rsid w:val="0078692F"/>
    <w:rsid w:val="00786B29"/>
    <w:rsid w:val="00786C39"/>
    <w:rsid w:val="00786CEE"/>
    <w:rsid w:val="00786D24"/>
    <w:rsid w:val="00786E2C"/>
    <w:rsid w:val="00787054"/>
    <w:rsid w:val="007870EC"/>
    <w:rsid w:val="00787451"/>
    <w:rsid w:val="007874F3"/>
    <w:rsid w:val="0078772F"/>
    <w:rsid w:val="0078776A"/>
    <w:rsid w:val="007877E8"/>
    <w:rsid w:val="00787A56"/>
    <w:rsid w:val="00787AC6"/>
    <w:rsid w:val="00787B7A"/>
    <w:rsid w:val="00787F43"/>
    <w:rsid w:val="00790131"/>
    <w:rsid w:val="0079028C"/>
    <w:rsid w:val="0079035E"/>
    <w:rsid w:val="007903FE"/>
    <w:rsid w:val="00790493"/>
    <w:rsid w:val="007906E0"/>
    <w:rsid w:val="00790852"/>
    <w:rsid w:val="00790948"/>
    <w:rsid w:val="00790B48"/>
    <w:rsid w:val="00790B70"/>
    <w:rsid w:val="00790C57"/>
    <w:rsid w:val="00790CE9"/>
    <w:rsid w:val="00790DF6"/>
    <w:rsid w:val="00791195"/>
    <w:rsid w:val="007913F9"/>
    <w:rsid w:val="007914DC"/>
    <w:rsid w:val="0079151B"/>
    <w:rsid w:val="00791688"/>
    <w:rsid w:val="00791890"/>
    <w:rsid w:val="00791A62"/>
    <w:rsid w:val="00791AAA"/>
    <w:rsid w:val="00791B0F"/>
    <w:rsid w:val="00791B69"/>
    <w:rsid w:val="00791EC0"/>
    <w:rsid w:val="00791F88"/>
    <w:rsid w:val="00792140"/>
    <w:rsid w:val="00792326"/>
    <w:rsid w:val="00792433"/>
    <w:rsid w:val="0079268B"/>
    <w:rsid w:val="0079273F"/>
    <w:rsid w:val="00792875"/>
    <w:rsid w:val="00792BA6"/>
    <w:rsid w:val="00792C07"/>
    <w:rsid w:val="00792D17"/>
    <w:rsid w:val="00792D1A"/>
    <w:rsid w:val="007930DD"/>
    <w:rsid w:val="007933F3"/>
    <w:rsid w:val="00793660"/>
    <w:rsid w:val="007937F8"/>
    <w:rsid w:val="00793910"/>
    <w:rsid w:val="00793995"/>
    <w:rsid w:val="00793B04"/>
    <w:rsid w:val="00793B5A"/>
    <w:rsid w:val="00793CC7"/>
    <w:rsid w:val="00793EFE"/>
    <w:rsid w:val="00794029"/>
    <w:rsid w:val="007940B8"/>
    <w:rsid w:val="00794442"/>
    <w:rsid w:val="0079449D"/>
    <w:rsid w:val="0079472C"/>
    <w:rsid w:val="00794871"/>
    <w:rsid w:val="007949A8"/>
    <w:rsid w:val="00794B5A"/>
    <w:rsid w:val="00794BD9"/>
    <w:rsid w:val="00794C45"/>
    <w:rsid w:val="00794C56"/>
    <w:rsid w:val="00794D87"/>
    <w:rsid w:val="00794E4D"/>
    <w:rsid w:val="0079513D"/>
    <w:rsid w:val="00795280"/>
    <w:rsid w:val="00795471"/>
    <w:rsid w:val="00795591"/>
    <w:rsid w:val="0079596C"/>
    <w:rsid w:val="00795C98"/>
    <w:rsid w:val="00795EF8"/>
    <w:rsid w:val="00795F89"/>
    <w:rsid w:val="007960A5"/>
    <w:rsid w:val="007960FC"/>
    <w:rsid w:val="0079611A"/>
    <w:rsid w:val="0079622A"/>
    <w:rsid w:val="00796475"/>
    <w:rsid w:val="00796A23"/>
    <w:rsid w:val="00796D0C"/>
    <w:rsid w:val="00796F35"/>
    <w:rsid w:val="00796FFB"/>
    <w:rsid w:val="007971E0"/>
    <w:rsid w:val="007972FE"/>
    <w:rsid w:val="00797316"/>
    <w:rsid w:val="00797614"/>
    <w:rsid w:val="00797622"/>
    <w:rsid w:val="007977DD"/>
    <w:rsid w:val="0079780F"/>
    <w:rsid w:val="007979E9"/>
    <w:rsid w:val="00797B93"/>
    <w:rsid w:val="00797CA0"/>
    <w:rsid w:val="00797D66"/>
    <w:rsid w:val="00797DD8"/>
    <w:rsid w:val="00797E93"/>
    <w:rsid w:val="00797F12"/>
    <w:rsid w:val="007A0396"/>
    <w:rsid w:val="007A0445"/>
    <w:rsid w:val="007A06C1"/>
    <w:rsid w:val="007A08ED"/>
    <w:rsid w:val="007A0B3E"/>
    <w:rsid w:val="007A0DCD"/>
    <w:rsid w:val="007A0FBF"/>
    <w:rsid w:val="007A1031"/>
    <w:rsid w:val="007A1044"/>
    <w:rsid w:val="007A1051"/>
    <w:rsid w:val="007A1642"/>
    <w:rsid w:val="007A1720"/>
    <w:rsid w:val="007A1873"/>
    <w:rsid w:val="007A1AD4"/>
    <w:rsid w:val="007A1B33"/>
    <w:rsid w:val="007A1CC2"/>
    <w:rsid w:val="007A1D6D"/>
    <w:rsid w:val="007A1E4F"/>
    <w:rsid w:val="007A1EA0"/>
    <w:rsid w:val="007A215B"/>
    <w:rsid w:val="007A2395"/>
    <w:rsid w:val="007A2543"/>
    <w:rsid w:val="007A2701"/>
    <w:rsid w:val="007A270F"/>
    <w:rsid w:val="007A2825"/>
    <w:rsid w:val="007A289D"/>
    <w:rsid w:val="007A2AE6"/>
    <w:rsid w:val="007A2C85"/>
    <w:rsid w:val="007A2E3B"/>
    <w:rsid w:val="007A319D"/>
    <w:rsid w:val="007A321C"/>
    <w:rsid w:val="007A361B"/>
    <w:rsid w:val="007A373C"/>
    <w:rsid w:val="007A38DB"/>
    <w:rsid w:val="007A3904"/>
    <w:rsid w:val="007A39CF"/>
    <w:rsid w:val="007A3A6C"/>
    <w:rsid w:val="007A3B5C"/>
    <w:rsid w:val="007A3DD3"/>
    <w:rsid w:val="007A3F16"/>
    <w:rsid w:val="007A438F"/>
    <w:rsid w:val="007A439A"/>
    <w:rsid w:val="007A4541"/>
    <w:rsid w:val="007A4782"/>
    <w:rsid w:val="007A47D8"/>
    <w:rsid w:val="007A4910"/>
    <w:rsid w:val="007A4B6B"/>
    <w:rsid w:val="007A4C9A"/>
    <w:rsid w:val="007A4C9E"/>
    <w:rsid w:val="007A4FF5"/>
    <w:rsid w:val="007A5014"/>
    <w:rsid w:val="007A5066"/>
    <w:rsid w:val="007A517A"/>
    <w:rsid w:val="007A5549"/>
    <w:rsid w:val="007A5C93"/>
    <w:rsid w:val="007A5EE9"/>
    <w:rsid w:val="007A606D"/>
    <w:rsid w:val="007A622F"/>
    <w:rsid w:val="007A62BE"/>
    <w:rsid w:val="007A63AB"/>
    <w:rsid w:val="007A6429"/>
    <w:rsid w:val="007A656F"/>
    <w:rsid w:val="007A662B"/>
    <w:rsid w:val="007A664A"/>
    <w:rsid w:val="007A6734"/>
    <w:rsid w:val="007A6BF0"/>
    <w:rsid w:val="007A6CF8"/>
    <w:rsid w:val="007A6E36"/>
    <w:rsid w:val="007A6EC9"/>
    <w:rsid w:val="007A702B"/>
    <w:rsid w:val="007A7054"/>
    <w:rsid w:val="007A716D"/>
    <w:rsid w:val="007A71EC"/>
    <w:rsid w:val="007A72A1"/>
    <w:rsid w:val="007A737A"/>
    <w:rsid w:val="007A777D"/>
    <w:rsid w:val="007A7941"/>
    <w:rsid w:val="007A7D0D"/>
    <w:rsid w:val="007A7F9F"/>
    <w:rsid w:val="007A7FFD"/>
    <w:rsid w:val="007B0842"/>
    <w:rsid w:val="007B0892"/>
    <w:rsid w:val="007B0B98"/>
    <w:rsid w:val="007B0DA7"/>
    <w:rsid w:val="007B10D4"/>
    <w:rsid w:val="007B1368"/>
    <w:rsid w:val="007B13F6"/>
    <w:rsid w:val="007B142C"/>
    <w:rsid w:val="007B1587"/>
    <w:rsid w:val="007B176E"/>
    <w:rsid w:val="007B1BE6"/>
    <w:rsid w:val="007B233B"/>
    <w:rsid w:val="007B24F2"/>
    <w:rsid w:val="007B25B2"/>
    <w:rsid w:val="007B2632"/>
    <w:rsid w:val="007B29BC"/>
    <w:rsid w:val="007B2ADD"/>
    <w:rsid w:val="007B2B55"/>
    <w:rsid w:val="007B2DA6"/>
    <w:rsid w:val="007B2E2B"/>
    <w:rsid w:val="007B2EAD"/>
    <w:rsid w:val="007B324C"/>
    <w:rsid w:val="007B3279"/>
    <w:rsid w:val="007B3407"/>
    <w:rsid w:val="007B3586"/>
    <w:rsid w:val="007B38B9"/>
    <w:rsid w:val="007B3A9D"/>
    <w:rsid w:val="007B42DC"/>
    <w:rsid w:val="007B448A"/>
    <w:rsid w:val="007B4611"/>
    <w:rsid w:val="007B463E"/>
    <w:rsid w:val="007B46A8"/>
    <w:rsid w:val="007B4834"/>
    <w:rsid w:val="007B48FC"/>
    <w:rsid w:val="007B49F5"/>
    <w:rsid w:val="007B4B7D"/>
    <w:rsid w:val="007B4C33"/>
    <w:rsid w:val="007B4E57"/>
    <w:rsid w:val="007B4E7B"/>
    <w:rsid w:val="007B509F"/>
    <w:rsid w:val="007B5198"/>
    <w:rsid w:val="007B5735"/>
    <w:rsid w:val="007B583A"/>
    <w:rsid w:val="007B5CD1"/>
    <w:rsid w:val="007B5DB8"/>
    <w:rsid w:val="007B5E37"/>
    <w:rsid w:val="007B6125"/>
    <w:rsid w:val="007B641F"/>
    <w:rsid w:val="007B6438"/>
    <w:rsid w:val="007B64C4"/>
    <w:rsid w:val="007B65DE"/>
    <w:rsid w:val="007B6691"/>
    <w:rsid w:val="007B6973"/>
    <w:rsid w:val="007B6C70"/>
    <w:rsid w:val="007B6CDB"/>
    <w:rsid w:val="007B6CE6"/>
    <w:rsid w:val="007B6CFB"/>
    <w:rsid w:val="007B6F90"/>
    <w:rsid w:val="007B727E"/>
    <w:rsid w:val="007B7389"/>
    <w:rsid w:val="007B7456"/>
    <w:rsid w:val="007B74DC"/>
    <w:rsid w:val="007B75E3"/>
    <w:rsid w:val="007B7ABF"/>
    <w:rsid w:val="007B7E57"/>
    <w:rsid w:val="007B7EA3"/>
    <w:rsid w:val="007C01DE"/>
    <w:rsid w:val="007C0485"/>
    <w:rsid w:val="007C054E"/>
    <w:rsid w:val="007C0835"/>
    <w:rsid w:val="007C0A1F"/>
    <w:rsid w:val="007C0BB7"/>
    <w:rsid w:val="007C0DD9"/>
    <w:rsid w:val="007C0E17"/>
    <w:rsid w:val="007C0FF1"/>
    <w:rsid w:val="007C10CD"/>
    <w:rsid w:val="007C1487"/>
    <w:rsid w:val="007C161D"/>
    <w:rsid w:val="007C1627"/>
    <w:rsid w:val="007C1679"/>
    <w:rsid w:val="007C168A"/>
    <w:rsid w:val="007C16DD"/>
    <w:rsid w:val="007C1770"/>
    <w:rsid w:val="007C1A70"/>
    <w:rsid w:val="007C1C3B"/>
    <w:rsid w:val="007C1DDE"/>
    <w:rsid w:val="007C1E24"/>
    <w:rsid w:val="007C1EDE"/>
    <w:rsid w:val="007C1FD1"/>
    <w:rsid w:val="007C22FA"/>
    <w:rsid w:val="007C2301"/>
    <w:rsid w:val="007C232B"/>
    <w:rsid w:val="007C2345"/>
    <w:rsid w:val="007C2498"/>
    <w:rsid w:val="007C2577"/>
    <w:rsid w:val="007C2624"/>
    <w:rsid w:val="007C2658"/>
    <w:rsid w:val="007C26AF"/>
    <w:rsid w:val="007C2764"/>
    <w:rsid w:val="007C27C2"/>
    <w:rsid w:val="007C280A"/>
    <w:rsid w:val="007C2CE0"/>
    <w:rsid w:val="007C2F10"/>
    <w:rsid w:val="007C30E8"/>
    <w:rsid w:val="007C3228"/>
    <w:rsid w:val="007C3347"/>
    <w:rsid w:val="007C340C"/>
    <w:rsid w:val="007C3438"/>
    <w:rsid w:val="007C366E"/>
    <w:rsid w:val="007C3714"/>
    <w:rsid w:val="007C3737"/>
    <w:rsid w:val="007C375C"/>
    <w:rsid w:val="007C3D28"/>
    <w:rsid w:val="007C3FC2"/>
    <w:rsid w:val="007C3FC7"/>
    <w:rsid w:val="007C3FF3"/>
    <w:rsid w:val="007C40B5"/>
    <w:rsid w:val="007C4227"/>
    <w:rsid w:val="007C4393"/>
    <w:rsid w:val="007C493A"/>
    <w:rsid w:val="007C4C28"/>
    <w:rsid w:val="007C4D32"/>
    <w:rsid w:val="007C533C"/>
    <w:rsid w:val="007C5456"/>
    <w:rsid w:val="007C556C"/>
    <w:rsid w:val="007C56AE"/>
    <w:rsid w:val="007C56F2"/>
    <w:rsid w:val="007C570B"/>
    <w:rsid w:val="007C5A19"/>
    <w:rsid w:val="007C5F37"/>
    <w:rsid w:val="007C608D"/>
    <w:rsid w:val="007C6115"/>
    <w:rsid w:val="007C63D9"/>
    <w:rsid w:val="007C6500"/>
    <w:rsid w:val="007C6845"/>
    <w:rsid w:val="007C68E6"/>
    <w:rsid w:val="007C69B2"/>
    <w:rsid w:val="007C7207"/>
    <w:rsid w:val="007C7237"/>
    <w:rsid w:val="007C72F2"/>
    <w:rsid w:val="007C7642"/>
    <w:rsid w:val="007C77ED"/>
    <w:rsid w:val="007C78F9"/>
    <w:rsid w:val="007C7AA1"/>
    <w:rsid w:val="007C7B15"/>
    <w:rsid w:val="007C7C75"/>
    <w:rsid w:val="007C7C9C"/>
    <w:rsid w:val="007C7D8D"/>
    <w:rsid w:val="007C7F3D"/>
    <w:rsid w:val="007C7FF6"/>
    <w:rsid w:val="007D0477"/>
    <w:rsid w:val="007D04CE"/>
    <w:rsid w:val="007D066E"/>
    <w:rsid w:val="007D06F7"/>
    <w:rsid w:val="007D0783"/>
    <w:rsid w:val="007D0A8C"/>
    <w:rsid w:val="007D0DB5"/>
    <w:rsid w:val="007D0DCA"/>
    <w:rsid w:val="007D0E75"/>
    <w:rsid w:val="007D0F8C"/>
    <w:rsid w:val="007D1008"/>
    <w:rsid w:val="007D1134"/>
    <w:rsid w:val="007D1246"/>
    <w:rsid w:val="007D1253"/>
    <w:rsid w:val="007D12EE"/>
    <w:rsid w:val="007D1425"/>
    <w:rsid w:val="007D16AC"/>
    <w:rsid w:val="007D1903"/>
    <w:rsid w:val="007D19D6"/>
    <w:rsid w:val="007D1B50"/>
    <w:rsid w:val="007D1CE9"/>
    <w:rsid w:val="007D1E1F"/>
    <w:rsid w:val="007D1FED"/>
    <w:rsid w:val="007D23E9"/>
    <w:rsid w:val="007D23FB"/>
    <w:rsid w:val="007D2443"/>
    <w:rsid w:val="007D24B1"/>
    <w:rsid w:val="007D266D"/>
    <w:rsid w:val="007D26D9"/>
    <w:rsid w:val="007D2777"/>
    <w:rsid w:val="007D29BE"/>
    <w:rsid w:val="007D2A5D"/>
    <w:rsid w:val="007D2C24"/>
    <w:rsid w:val="007D2C99"/>
    <w:rsid w:val="007D2CA4"/>
    <w:rsid w:val="007D302F"/>
    <w:rsid w:val="007D3144"/>
    <w:rsid w:val="007D3181"/>
    <w:rsid w:val="007D339A"/>
    <w:rsid w:val="007D343B"/>
    <w:rsid w:val="007D36F3"/>
    <w:rsid w:val="007D375D"/>
    <w:rsid w:val="007D394C"/>
    <w:rsid w:val="007D3EA2"/>
    <w:rsid w:val="007D3ECD"/>
    <w:rsid w:val="007D3EE4"/>
    <w:rsid w:val="007D3F4F"/>
    <w:rsid w:val="007D3F6F"/>
    <w:rsid w:val="007D402F"/>
    <w:rsid w:val="007D4046"/>
    <w:rsid w:val="007D40B0"/>
    <w:rsid w:val="007D47EB"/>
    <w:rsid w:val="007D4B3D"/>
    <w:rsid w:val="007D4B50"/>
    <w:rsid w:val="007D4BB6"/>
    <w:rsid w:val="007D516E"/>
    <w:rsid w:val="007D55BF"/>
    <w:rsid w:val="007D5613"/>
    <w:rsid w:val="007D5637"/>
    <w:rsid w:val="007D57CA"/>
    <w:rsid w:val="007D58D4"/>
    <w:rsid w:val="007D5910"/>
    <w:rsid w:val="007D5AB9"/>
    <w:rsid w:val="007D5B99"/>
    <w:rsid w:val="007D5BD9"/>
    <w:rsid w:val="007D5ED1"/>
    <w:rsid w:val="007D609B"/>
    <w:rsid w:val="007D6106"/>
    <w:rsid w:val="007D6146"/>
    <w:rsid w:val="007D6220"/>
    <w:rsid w:val="007D6436"/>
    <w:rsid w:val="007D6556"/>
    <w:rsid w:val="007D65AF"/>
    <w:rsid w:val="007D6863"/>
    <w:rsid w:val="007D6D0E"/>
    <w:rsid w:val="007D6E96"/>
    <w:rsid w:val="007D71CA"/>
    <w:rsid w:val="007D7256"/>
    <w:rsid w:val="007D72B4"/>
    <w:rsid w:val="007D72B7"/>
    <w:rsid w:val="007D732A"/>
    <w:rsid w:val="007D7486"/>
    <w:rsid w:val="007D7694"/>
    <w:rsid w:val="007D7899"/>
    <w:rsid w:val="007D79D8"/>
    <w:rsid w:val="007D7DD6"/>
    <w:rsid w:val="007E000B"/>
    <w:rsid w:val="007E04D7"/>
    <w:rsid w:val="007E058C"/>
    <w:rsid w:val="007E05E2"/>
    <w:rsid w:val="007E0737"/>
    <w:rsid w:val="007E085B"/>
    <w:rsid w:val="007E08BC"/>
    <w:rsid w:val="007E0B10"/>
    <w:rsid w:val="007E0BB4"/>
    <w:rsid w:val="007E10E2"/>
    <w:rsid w:val="007E1230"/>
    <w:rsid w:val="007E1261"/>
    <w:rsid w:val="007E128B"/>
    <w:rsid w:val="007E1319"/>
    <w:rsid w:val="007E1E3D"/>
    <w:rsid w:val="007E1EF8"/>
    <w:rsid w:val="007E1F33"/>
    <w:rsid w:val="007E209C"/>
    <w:rsid w:val="007E2216"/>
    <w:rsid w:val="007E2280"/>
    <w:rsid w:val="007E22A0"/>
    <w:rsid w:val="007E2318"/>
    <w:rsid w:val="007E255F"/>
    <w:rsid w:val="007E2597"/>
    <w:rsid w:val="007E2746"/>
    <w:rsid w:val="007E27F5"/>
    <w:rsid w:val="007E2972"/>
    <w:rsid w:val="007E2B8A"/>
    <w:rsid w:val="007E2E4A"/>
    <w:rsid w:val="007E2FFA"/>
    <w:rsid w:val="007E31F4"/>
    <w:rsid w:val="007E3381"/>
    <w:rsid w:val="007E3419"/>
    <w:rsid w:val="007E344A"/>
    <w:rsid w:val="007E3499"/>
    <w:rsid w:val="007E34B2"/>
    <w:rsid w:val="007E3641"/>
    <w:rsid w:val="007E3689"/>
    <w:rsid w:val="007E3796"/>
    <w:rsid w:val="007E3862"/>
    <w:rsid w:val="007E3E0A"/>
    <w:rsid w:val="007E3FBD"/>
    <w:rsid w:val="007E41AB"/>
    <w:rsid w:val="007E4345"/>
    <w:rsid w:val="007E44DC"/>
    <w:rsid w:val="007E4743"/>
    <w:rsid w:val="007E47BD"/>
    <w:rsid w:val="007E4824"/>
    <w:rsid w:val="007E4CBE"/>
    <w:rsid w:val="007E4DE1"/>
    <w:rsid w:val="007E4FF8"/>
    <w:rsid w:val="007E515D"/>
    <w:rsid w:val="007E53BF"/>
    <w:rsid w:val="007E55F2"/>
    <w:rsid w:val="007E5694"/>
    <w:rsid w:val="007E58BC"/>
    <w:rsid w:val="007E5A00"/>
    <w:rsid w:val="007E5DE0"/>
    <w:rsid w:val="007E5F02"/>
    <w:rsid w:val="007E6199"/>
    <w:rsid w:val="007E640A"/>
    <w:rsid w:val="007E6487"/>
    <w:rsid w:val="007E65C9"/>
    <w:rsid w:val="007E6783"/>
    <w:rsid w:val="007E6800"/>
    <w:rsid w:val="007E6882"/>
    <w:rsid w:val="007E6910"/>
    <w:rsid w:val="007E6959"/>
    <w:rsid w:val="007E69A4"/>
    <w:rsid w:val="007E6B6A"/>
    <w:rsid w:val="007E6B97"/>
    <w:rsid w:val="007E7518"/>
    <w:rsid w:val="007E7EA8"/>
    <w:rsid w:val="007E7F98"/>
    <w:rsid w:val="007F0037"/>
    <w:rsid w:val="007F0084"/>
    <w:rsid w:val="007F0206"/>
    <w:rsid w:val="007F039B"/>
    <w:rsid w:val="007F0858"/>
    <w:rsid w:val="007F09FE"/>
    <w:rsid w:val="007F0F53"/>
    <w:rsid w:val="007F1024"/>
    <w:rsid w:val="007F1098"/>
    <w:rsid w:val="007F13E3"/>
    <w:rsid w:val="007F1655"/>
    <w:rsid w:val="007F191E"/>
    <w:rsid w:val="007F1924"/>
    <w:rsid w:val="007F1A64"/>
    <w:rsid w:val="007F242F"/>
    <w:rsid w:val="007F2472"/>
    <w:rsid w:val="007F24DE"/>
    <w:rsid w:val="007F2550"/>
    <w:rsid w:val="007F2766"/>
    <w:rsid w:val="007F29B8"/>
    <w:rsid w:val="007F2B34"/>
    <w:rsid w:val="007F2B82"/>
    <w:rsid w:val="007F2D0E"/>
    <w:rsid w:val="007F2D8A"/>
    <w:rsid w:val="007F2E4B"/>
    <w:rsid w:val="007F2E53"/>
    <w:rsid w:val="007F2F15"/>
    <w:rsid w:val="007F2F97"/>
    <w:rsid w:val="007F3054"/>
    <w:rsid w:val="007F360E"/>
    <w:rsid w:val="007F36DE"/>
    <w:rsid w:val="007F3705"/>
    <w:rsid w:val="007F3818"/>
    <w:rsid w:val="007F3962"/>
    <w:rsid w:val="007F399E"/>
    <w:rsid w:val="007F3A9A"/>
    <w:rsid w:val="007F3B2E"/>
    <w:rsid w:val="007F3BBF"/>
    <w:rsid w:val="007F3BE3"/>
    <w:rsid w:val="007F3CDA"/>
    <w:rsid w:val="007F3E98"/>
    <w:rsid w:val="007F3EE6"/>
    <w:rsid w:val="007F3FCC"/>
    <w:rsid w:val="007F4145"/>
    <w:rsid w:val="007F41D4"/>
    <w:rsid w:val="007F429F"/>
    <w:rsid w:val="007F42F4"/>
    <w:rsid w:val="007F4379"/>
    <w:rsid w:val="007F4428"/>
    <w:rsid w:val="007F4725"/>
    <w:rsid w:val="007F47EC"/>
    <w:rsid w:val="007F496B"/>
    <w:rsid w:val="007F4979"/>
    <w:rsid w:val="007F4DB5"/>
    <w:rsid w:val="007F4DED"/>
    <w:rsid w:val="007F4DFF"/>
    <w:rsid w:val="007F4E98"/>
    <w:rsid w:val="007F4EF4"/>
    <w:rsid w:val="007F4EF8"/>
    <w:rsid w:val="007F4F22"/>
    <w:rsid w:val="007F4FCD"/>
    <w:rsid w:val="007F4FE7"/>
    <w:rsid w:val="007F5017"/>
    <w:rsid w:val="007F507C"/>
    <w:rsid w:val="007F50F9"/>
    <w:rsid w:val="007F5126"/>
    <w:rsid w:val="007F52E1"/>
    <w:rsid w:val="007F53CB"/>
    <w:rsid w:val="007F5520"/>
    <w:rsid w:val="007F58B8"/>
    <w:rsid w:val="007F5B34"/>
    <w:rsid w:val="007F5F57"/>
    <w:rsid w:val="007F614A"/>
    <w:rsid w:val="007F62EE"/>
    <w:rsid w:val="007F641B"/>
    <w:rsid w:val="007F665F"/>
    <w:rsid w:val="007F68D6"/>
    <w:rsid w:val="007F6DBB"/>
    <w:rsid w:val="007F6DC5"/>
    <w:rsid w:val="007F6DDC"/>
    <w:rsid w:val="007F6F8A"/>
    <w:rsid w:val="007F759C"/>
    <w:rsid w:val="007F78F9"/>
    <w:rsid w:val="007F7A8A"/>
    <w:rsid w:val="007F7BD0"/>
    <w:rsid w:val="007F7C05"/>
    <w:rsid w:val="007F7CB5"/>
    <w:rsid w:val="007F7FE4"/>
    <w:rsid w:val="007F7FFE"/>
    <w:rsid w:val="00800155"/>
    <w:rsid w:val="0080017D"/>
    <w:rsid w:val="00800516"/>
    <w:rsid w:val="008008A3"/>
    <w:rsid w:val="00800928"/>
    <w:rsid w:val="00800993"/>
    <w:rsid w:val="0080099F"/>
    <w:rsid w:val="00800A1D"/>
    <w:rsid w:val="00800C72"/>
    <w:rsid w:val="00800E91"/>
    <w:rsid w:val="00800EBF"/>
    <w:rsid w:val="00800F24"/>
    <w:rsid w:val="008010A0"/>
    <w:rsid w:val="008010A8"/>
    <w:rsid w:val="0080128F"/>
    <w:rsid w:val="008013A2"/>
    <w:rsid w:val="008015BA"/>
    <w:rsid w:val="00801659"/>
    <w:rsid w:val="008017BE"/>
    <w:rsid w:val="0080183B"/>
    <w:rsid w:val="008019AD"/>
    <w:rsid w:val="00801C16"/>
    <w:rsid w:val="00801C7D"/>
    <w:rsid w:val="00801D8A"/>
    <w:rsid w:val="008022EE"/>
    <w:rsid w:val="00802410"/>
    <w:rsid w:val="00802463"/>
    <w:rsid w:val="008024B1"/>
    <w:rsid w:val="00802620"/>
    <w:rsid w:val="008026D1"/>
    <w:rsid w:val="0080272E"/>
    <w:rsid w:val="008027B3"/>
    <w:rsid w:val="008028D0"/>
    <w:rsid w:val="00802AD2"/>
    <w:rsid w:val="00802E31"/>
    <w:rsid w:val="008030CE"/>
    <w:rsid w:val="00803122"/>
    <w:rsid w:val="00803260"/>
    <w:rsid w:val="00803298"/>
    <w:rsid w:val="00803347"/>
    <w:rsid w:val="00803381"/>
    <w:rsid w:val="008033B6"/>
    <w:rsid w:val="0080371A"/>
    <w:rsid w:val="008038B0"/>
    <w:rsid w:val="00803B0E"/>
    <w:rsid w:val="00803E24"/>
    <w:rsid w:val="00803E64"/>
    <w:rsid w:val="00803ED8"/>
    <w:rsid w:val="00804118"/>
    <w:rsid w:val="008043A0"/>
    <w:rsid w:val="0080447A"/>
    <w:rsid w:val="0080451D"/>
    <w:rsid w:val="008045F8"/>
    <w:rsid w:val="008047FD"/>
    <w:rsid w:val="00804806"/>
    <w:rsid w:val="0080499F"/>
    <w:rsid w:val="008049E3"/>
    <w:rsid w:val="00804C1D"/>
    <w:rsid w:val="00804D38"/>
    <w:rsid w:val="00804D56"/>
    <w:rsid w:val="00805008"/>
    <w:rsid w:val="00805248"/>
    <w:rsid w:val="008052DE"/>
    <w:rsid w:val="00805393"/>
    <w:rsid w:val="008053BF"/>
    <w:rsid w:val="00805403"/>
    <w:rsid w:val="008055AF"/>
    <w:rsid w:val="0080573C"/>
    <w:rsid w:val="00805781"/>
    <w:rsid w:val="00805889"/>
    <w:rsid w:val="0080598E"/>
    <w:rsid w:val="008059A2"/>
    <w:rsid w:val="00805A33"/>
    <w:rsid w:val="00805A99"/>
    <w:rsid w:val="00805CE9"/>
    <w:rsid w:val="00805E8B"/>
    <w:rsid w:val="00805F88"/>
    <w:rsid w:val="008061F3"/>
    <w:rsid w:val="0080629D"/>
    <w:rsid w:val="00806307"/>
    <w:rsid w:val="00806486"/>
    <w:rsid w:val="00806A17"/>
    <w:rsid w:val="00806A63"/>
    <w:rsid w:val="00806E54"/>
    <w:rsid w:val="00806E70"/>
    <w:rsid w:val="00806F28"/>
    <w:rsid w:val="0080705D"/>
    <w:rsid w:val="008071A3"/>
    <w:rsid w:val="008072BD"/>
    <w:rsid w:val="008075C9"/>
    <w:rsid w:val="008075CF"/>
    <w:rsid w:val="008075F8"/>
    <w:rsid w:val="00807652"/>
    <w:rsid w:val="008079FA"/>
    <w:rsid w:val="00807A1D"/>
    <w:rsid w:val="00807C57"/>
    <w:rsid w:val="00810384"/>
    <w:rsid w:val="00810B64"/>
    <w:rsid w:val="00810BF7"/>
    <w:rsid w:val="00810D94"/>
    <w:rsid w:val="00810F32"/>
    <w:rsid w:val="00810FDD"/>
    <w:rsid w:val="00810FEC"/>
    <w:rsid w:val="00811071"/>
    <w:rsid w:val="0081139D"/>
    <w:rsid w:val="008115A8"/>
    <w:rsid w:val="00811821"/>
    <w:rsid w:val="00811942"/>
    <w:rsid w:val="00811B9C"/>
    <w:rsid w:val="00811C04"/>
    <w:rsid w:val="00811EE4"/>
    <w:rsid w:val="00811FBB"/>
    <w:rsid w:val="00812240"/>
    <w:rsid w:val="00812519"/>
    <w:rsid w:val="00812685"/>
    <w:rsid w:val="0081278D"/>
    <w:rsid w:val="00812942"/>
    <w:rsid w:val="00812A45"/>
    <w:rsid w:val="00812A68"/>
    <w:rsid w:val="00812A71"/>
    <w:rsid w:val="00812B5A"/>
    <w:rsid w:val="00812D35"/>
    <w:rsid w:val="00812EC2"/>
    <w:rsid w:val="00812EE4"/>
    <w:rsid w:val="00812F4E"/>
    <w:rsid w:val="008131FD"/>
    <w:rsid w:val="008136C4"/>
    <w:rsid w:val="00813736"/>
    <w:rsid w:val="00813995"/>
    <w:rsid w:val="00813BEB"/>
    <w:rsid w:val="00813BEF"/>
    <w:rsid w:val="00813CA2"/>
    <w:rsid w:val="00813F93"/>
    <w:rsid w:val="008142B1"/>
    <w:rsid w:val="008143C5"/>
    <w:rsid w:val="008143E8"/>
    <w:rsid w:val="00814786"/>
    <w:rsid w:val="0081481E"/>
    <w:rsid w:val="00814891"/>
    <w:rsid w:val="00814D27"/>
    <w:rsid w:val="00814DB2"/>
    <w:rsid w:val="00814F6E"/>
    <w:rsid w:val="00814F82"/>
    <w:rsid w:val="00814F8B"/>
    <w:rsid w:val="00815032"/>
    <w:rsid w:val="008150E5"/>
    <w:rsid w:val="008151DB"/>
    <w:rsid w:val="00815469"/>
    <w:rsid w:val="0081550F"/>
    <w:rsid w:val="0081555B"/>
    <w:rsid w:val="0081556A"/>
    <w:rsid w:val="00815A90"/>
    <w:rsid w:val="00815C57"/>
    <w:rsid w:val="00815FC7"/>
    <w:rsid w:val="0081600A"/>
    <w:rsid w:val="00816185"/>
    <w:rsid w:val="008162E5"/>
    <w:rsid w:val="00816309"/>
    <w:rsid w:val="00816390"/>
    <w:rsid w:val="00816767"/>
    <w:rsid w:val="008167AF"/>
    <w:rsid w:val="008168AB"/>
    <w:rsid w:val="00816945"/>
    <w:rsid w:val="00816992"/>
    <w:rsid w:val="00816B11"/>
    <w:rsid w:val="00816C81"/>
    <w:rsid w:val="00816CFE"/>
    <w:rsid w:val="00816D70"/>
    <w:rsid w:val="008170FF"/>
    <w:rsid w:val="00817199"/>
    <w:rsid w:val="0081719F"/>
    <w:rsid w:val="008173F3"/>
    <w:rsid w:val="00817585"/>
    <w:rsid w:val="0081798D"/>
    <w:rsid w:val="00817B5E"/>
    <w:rsid w:val="00817D47"/>
    <w:rsid w:val="00817FC9"/>
    <w:rsid w:val="00820067"/>
    <w:rsid w:val="00820293"/>
    <w:rsid w:val="00820482"/>
    <w:rsid w:val="008204FC"/>
    <w:rsid w:val="00820529"/>
    <w:rsid w:val="008205AD"/>
    <w:rsid w:val="008205BC"/>
    <w:rsid w:val="008206D7"/>
    <w:rsid w:val="00820871"/>
    <w:rsid w:val="00820EE9"/>
    <w:rsid w:val="00820FDA"/>
    <w:rsid w:val="0082109B"/>
    <w:rsid w:val="00821105"/>
    <w:rsid w:val="0082124A"/>
    <w:rsid w:val="008214DF"/>
    <w:rsid w:val="008216F6"/>
    <w:rsid w:val="00821776"/>
    <w:rsid w:val="00821784"/>
    <w:rsid w:val="0082184B"/>
    <w:rsid w:val="00821C18"/>
    <w:rsid w:val="00821D2F"/>
    <w:rsid w:val="00821DB3"/>
    <w:rsid w:val="00821F30"/>
    <w:rsid w:val="008220A3"/>
    <w:rsid w:val="008221C9"/>
    <w:rsid w:val="00822283"/>
    <w:rsid w:val="00822464"/>
    <w:rsid w:val="0082276E"/>
    <w:rsid w:val="008228F4"/>
    <w:rsid w:val="00822BF7"/>
    <w:rsid w:val="00822D00"/>
    <w:rsid w:val="00822DA3"/>
    <w:rsid w:val="00823100"/>
    <w:rsid w:val="0082336E"/>
    <w:rsid w:val="00823544"/>
    <w:rsid w:val="0082363E"/>
    <w:rsid w:val="008236B7"/>
    <w:rsid w:val="0082372D"/>
    <w:rsid w:val="00823762"/>
    <w:rsid w:val="00823A96"/>
    <w:rsid w:val="00823AB4"/>
    <w:rsid w:val="00823D6C"/>
    <w:rsid w:val="00823DB6"/>
    <w:rsid w:val="00823DB9"/>
    <w:rsid w:val="00823E0C"/>
    <w:rsid w:val="00824209"/>
    <w:rsid w:val="0082452F"/>
    <w:rsid w:val="0082488A"/>
    <w:rsid w:val="008248DC"/>
    <w:rsid w:val="00824B26"/>
    <w:rsid w:val="00824CE7"/>
    <w:rsid w:val="00824EA8"/>
    <w:rsid w:val="008251B3"/>
    <w:rsid w:val="008251DD"/>
    <w:rsid w:val="008253CC"/>
    <w:rsid w:val="0082573F"/>
    <w:rsid w:val="008257F0"/>
    <w:rsid w:val="00825A0B"/>
    <w:rsid w:val="00825D6C"/>
    <w:rsid w:val="00825F8D"/>
    <w:rsid w:val="00825F96"/>
    <w:rsid w:val="00825FC5"/>
    <w:rsid w:val="00825FCD"/>
    <w:rsid w:val="00826118"/>
    <w:rsid w:val="0082617D"/>
    <w:rsid w:val="008263C1"/>
    <w:rsid w:val="0082654D"/>
    <w:rsid w:val="0082656F"/>
    <w:rsid w:val="00826636"/>
    <w:rsid w:val="008268C8"/>
    <w:rsid w:val="008269D3"/>
    <w:rsid w:val="0082702A"/>
    <w:rsid w:val="00827036"/>
    <w:rsid w:val="0082703F"/>
    <w:rsid w:val="008270A5"/>
    <w:rsid w:val="00827201"/>
    <w:rsid w:val="00827951"/>
    <w:rsid w:val="00827C66"/>
    <w:rsid w:val="008304CE"/>
    <w:rsid w:val="008304DC"/>
    <w:rsid w:val="00830919"/>
    <w:rsid w:val="00830C76"/>
    <w:rsid w:val="0083111C"/>
    <w:rsid w:val="00831277"/>
    <w:rsid w:val="00831347"/>
    <w:rsid w:val="008313F7"/>
    <w:rsid w:val="0083149F"/>
    <w:rsid w:val="0083159F"/>
    <w:rsid w:val="008316F8"/>
    <w:rsid w:val="008318C3"/>
    <w:rsid w:val="008319AB"/>
    <w:rsid w:val="00831AA7"/>
    <w:rsid w:val="00831D45"/>
    <w:rsid w:val="00831D6D"/>
    <w:rsid w:val="00831EF7"/>
    <w:rsid w:val="00831F59"/>
    <w:rsid w:val="008321BD"/>
    <w:rsid w:val="00832261"/>
    <w:rsid w:val="00832476"/>
    <w:rsid w:val="008326A3"/>
    <w:rsid w:val="00832897"/>
    <w:rsid w:val="00832968"/>
    <w:rsid w:val="00832B02"/>
    <w:rsid w:val="00832B60"/>
    <w:rsid w:val="00832BBE"/>
    <w:rsid w:val="00832C92"/>
    <w:rsid w:val="00832D01"/>
    <w:rsid w:val="00832DB4"/>
    <w:rsid w:val="008330E0"/>
    <w:rsid w:val="008331B7"/>
    <w:rsid w:val="0083333E"/>
    <w:rsid w:val="008333D8"/>
    <w:rsid w:val="008335BF"/>
    <w:rsid w:val="0083371C"/>
    <w:rsid w:val="0083386C"/>
    <w:rsid w:val="00833A94"/>
    <w:rsid w:val="00833B02"/>
    <w:rsid w:val="00833BB6"/>
    <w:rsid w:val="00833BD0"/>
    <w:rsid w:val="00833F28"/>
    <w:rsid w:val="008340AE"/>
    <w:rsid w:val="00834107"/>
    <w:rsid w:val="00834169"/>
    <w:rsid w:val="00834382"/>
    <w:rsid w:val="008344C8"/>
    <w:rsid w:val="0083466A"/>
    <w:rsid w:val="00834826"/>
    <w:rsid w:val="008348DF"/>
    <w:rsid w:val="00834940"/>
    <w:rsid w:val="00834A24"/>
    <w:rsid w:val="00834B80"/>
    <w:rsid w:val="00834BBA"/>
    <w:rsid w:val="00834CE0"/>
    <w:rsid w:val="00834D36"/>
    <w:rsid w:val="00834DDE"/>
    <w:rsid w:val="00834E2D"/>
    <w:rsid w:val="00834EA7"/>
    <w:rsid w:val="00834F51"/>
    <w:rsid w:val="00834F96"/>
    <w:rsid w:val="008350A2"/>
    <w:rsid w:val="008351ED"/>
    <w:rsid w:val="00835217"/>
    <w:rsid w:val="008355AD"/>
    <w:rsid w:val="008355AF"/>
    <w:rsid w:val="00835696"/>
    <w:rsid w:val="008356BC"/>
    <w:rsid w:val="00835B71"/>
    <w:rsid w:val="00836090"/>
    <w:rsid w:val="008361AB"/>
    <w:rsid w:val="0083630A"/>
    <w:rsid w:val="0083640B"/>
    <w:rsid w:val="008364DF"/>
    <w:rsid w:val="00836545"/>
    <w:rsid w:val="008369CE"/>
    <w:rsid w:val="00836A8C"/>
    <w:rsid w:val="00836B9C"/>
    <w:rsid w:val="00836EA4"/>
    <w:rsid w:val="008374D9"/>
    <w:rsid w:val="008375A0"/>
    <w:rsid w:val="00837665"/>
    <w:rsid w:val="00837813"/>
    <w:rsid w:val="00837B05"/>
    <w:rsid w:val="00837F0F"/>
    <w:rsid w:val="008400A4"/>
    <w:rsid w:val="00840199"/>
    <w:rsid w:val="008402EC"/>
    <w:rsid w:val="008403B9"/>
    <w:rsid w:val="00840438"/>
    <w:rsid w:val="00840864"/>
    <w:rsid w:val="00840A19"/>
    <w:rsid w:val="00840B41"/>
    <w:rsid w:val="00840C29"/>
    <w:rsid w:val="00840DCE"/>
    <w:rsid w:val="00840E2C"/>
    <w:rsid w:val="00840FCE"/>
    <w:rsid w:val="008415C8"/>
    <w:rsid w:val="00841648"/>
    <w:rsid w:val="0084176E"/>
    <w:rsid w:val="00841B47"/>
    <w:rsid w:val="00841B61"/>
    <w:rsid w:val="00841BB0"/>
    <w:rsid w:val="00841C91"/>
    <w:rsid w:val="00841DB4"/>
    <w:rsid w:val="00841EAB"/>
    <w:rsid w:val="00841F5E"/>
    <w:rsid w:val="008423B5"/>
    <w:rsid w:val="00842476"/>
    <w:rsid w:val="00842873"/>
    <w:rsid w:val="00842912"/>
    <w:rsid w:val="00842A11"/>
    <w:rsid w:val="00842A8B"/>
    <w:rsid w:val="00842B51"/>
    <w:rsid w:val="00842C0A"/>
    <w:rsid w:val="0084304B"/>
    <w:rsid w:val="008432CA"/>
    <w:rsid w:val="00843927"/>
    <w:rsid w:val="00843EDC"/>
    <w:rsid w:val="00844057"/>
    <w:rsid w:val="00844237"/>
    <w:rsid w:val="0084469D"/>
    <w:rsid w:val="008446C9"/>
    <w:rsid w:val="008447B1"/>
    <w:rsid w:val="00844986"/>
    <w:rsid w:val="00844990"/>
    <w:rsid w:val="00844A50"/>
    <w:rsid w:val="00844BE4"/>
    <w:rsid w:val="00844BFA"/>
    <w:rsid w:val="00844FD9"/>
    <w:rsid w:val="00844FF1"/>
    <w:rsid w:val="00845227"/>
    <w:rsid w:val="0084531A"/>
    <w:rsid w:val="0084580C"/>
    <w:rsid w:val="00845AD6"/>
    <w:rsid w:val="00845D98"/>
    <w:rsid w:val="008462FA"/>
    <w:rsid w:val="008464F0"/>
    <w:rsid w:val="00846616"/>
    <w:rsid w:val="0084677A"/>
    <w:rsid w:val="0084686B"/>
    <w:rsid w:val="008469B6"/>
    <w:rsid w:val="008469CA"/>
    <w:rsid w:val="00846A22"/>
    <w:rsid w:val="00846A49"/>
    <w:rsid w:val="00846A6A"/>
    <w:rsid w:val="00846C1E"/>
    <w:rsid w:val="00846C50"/>
    <w:rsid w:val="00846CF4"/>
    <w:rsid w:val="00846E80"/>
    <w:rsid w:val="0084714D"/>
    <w:rsid w:val="00847214"/>
    <w:rsid w:val="008472B6"/>
    <w:rsid w:val="00847502"/>
    <w:rsid w:val="00847821"/>
    <w:rsid w:val="00847A3F"/>
    <w:rsid w:val="00847CB4"/>
    <w:rsid w:val="00847D29"/>
    <w:rsid w:val="00847DCF"/>
    <w:rsid w:val="00847FD4"/>
    <w:rsid w:val="00850258"/>
    <w:rsid w:val="0085025F"/>
    <w:rsid w:val="00850298"/>
    <w:rsid w:val="0085046B"/>
    <w:rsid w:val="0085055B"/>
    <w:rsid w:val="00850634"/>
    <w:rsid w:val="0085089F"/>
    <w:rsid w:val="00850B59"/>
    <w:rsid w:val="00850BC1"/>
    <w:rsid w:val="00850C90"/>
    <w:rsid w:val="00850FBA"/>
    <w:rsid w:val="0085113D"/>
    <w:rsid w:val="00851187"/>
    <w:rsid w:val="0085129D"/>
    <w:rsid w:val="0085131B"/>
    <w:rsid w:val="00851772"/>
    <w:rsid w:val="00851807"/>
    <w:rsid w:val="00851979"/>
    <w:rsid w:val="00851A3D"/>
    <w:rsid w:val="00851B53"/>
    <w:rsid w:val="00851B59"/>
    <w:rsid w:val="00851D3A"/>
    <w:rsid w:val="00851DBD"/>
    <w:rsid w:val="00851DD0"/>
    <w:rsid w:val="00851E5C"/>
    <w:rsid w:val="00851EA7"/>
    <w:rsid w:val="00851FD6"/>
    <w:rsid w:val="008521E4"/>
    <w:rsid w:val="0085222B"/>
    <w:rsid w:val="0085247D"/>
    <w:rsid w:val="008526F6"/>
    <w:rsid w:val="00852888"/>
    <w:rsid w:val="00852C1C"/>
    <w:rsid w:val="00852C49"/>
    <w:rsid w:val="00853181"/>
    <w:rsid w:val="008535E2"/>
    <w:rsid w:val="00853616"/>
    <w:rsid w:val="00853618"/>
    <w:rsid w:val="00853773"/>
    <w:rsid w:val="00853818"/>
    <w:rsid w:val="00853A0C"/>
    <w:rsid w:val="00853C2B"/>
    <w:rsid w:val="00853E34"/>
    <w:rsid w:val="00854088"/>
    <w:rsid w:val="008546B3"/>
    <w:rsid w:val="0085473F"/>
    <w:rsid w:val="00854764"/>
    <w:rsid w:val="00854982"/>
    <w:rsid w:val="00854D80"/>
    <w:rsid w:val="00854F46"/>
    <w:rsid w:val="00855204"/>
    <w:rsid w:val="00855420"/>
    <w:rsid w:val="008557C5"/>
    <w:rsid w:val="00855B0A"/>
    <w:rsid w:val="00855C5A"/>
    <w:rsid w:val="00855CB3"/>
    <w:rsid w:val="00855DB0"/>
    <w:rsid w:val="00855E47"/>
    <w:rsid w:val="008561F5"/>
    <w:rsid w:val="00856581"/>
    <w:rsid w:val="008565FE"/>
    <w:rsid w:val="00856624"/>
    <w:rsid w:val="008566C9"/>
    <w:rsid w:val="00856708"/>
    <w:rsid w:val="0085678D"/>
    <w:rsid w:val="0085680F"/>
    <w:rsid w:val="00856A30"/>
    <w:rsid w:val="00856F6B"/>
    <w:rsid w:val="00857179"/>
    <w:rsid w:val="008571FC"/>
    <w:rsid w:val="008572F2"/>
    <w:rsid w:val="008572F7"/>
    <w:rsid w:val="00857450"/>
    <w:rsid w:val="0085751F"/>
    <w:rsid w:val="008577F0"/>
    <w:rsid w:val="008578F7"/>
    <w:rsid w:val="008579EA"/>
    <w:rsid w:val="00857B12"/>
    <w:rsid w:val="00857CC1"/>
    <w:rsid w:val="00857E46"/>
    <w:rsid w:val="00857FA4"/>
    <w:rsid w:val="00857FEB"/>
    <w:rsid w:val="00860029"/>
    <w:rsid w:val="0086002C"/>
    <w:rsid w:val="008601F2"/>
    <w:rsid w:val="008602F9"/>
    <w:rsid w:val="00860409"/>
    <w:rsid w:val="008607D5"/>
    <w:rsid w:val="008607D8"/>
    <w:rsid w:val="00860915"/>
    <w:rsid w:val="00860E07"/>
    <w:rsid w:val="00860F5C"/>
    <w:rsid w:val="00860F82"/>
    <w:rsid w:val="00861196"/>
    <w:rsid w:val="00861302"/>
    <w:rsid w:val="008614A0"/>
    <w:rsid w:val="008616BC"/>
    <w:rsid w:val="00861708"/>
    <w:rsid w:val="0086170F"/>
    <w:rsid w:val="0086186B"/>
    <w:rsid w:val="00861959"/>
    <w:rsid w:val="00861A66"/>
    <w:rsid w:val="00861ADF"/>
    <w:rsid w:val="00861CEE"/>
    <w:rsid w:val="00861E7F"/>
    <w:rsid w:val="00861E86"/>
    <w:rsid w:val="00861EA2"/>
    <w:rsid w:val="00861EF7"/>
    <w:rsid w:val="00862102"/>
    <w:rsid w:val="008622ED"/>
    <w:rsid w:val="008625D0"/>
    <w:rsid w:val="008625F1"/>
    <w:rsid w:val="00862791"/>
    <w:rsid w:val="008627C8"/>
    <w:rsid w:val="008628F0"/>
    <w:rsid w:val="00862A64"/>
    <w:rsid w:val="00862A88"/>
    <w:rsid w:val="00862A9B"/>
    <w:rsid w:val="00862B20"/>
    <w:rsid w:val="00862CDE"/>
    <w:rsid w:val="00862D0F"/>
    <w:rsid w:val="00862DA2"/>
    <w:rsid w:val="00862DF6"/>
    <w:rsid w:val="00862EC4"/>
    <w:rsid w:val="00862F26"/>
    <w:rsid w:val="00862F45"/>
    <w:rsid w:val="00862F69"/>
    <w:rsid w:val="0086326D"/>
    <w:rsid w:val="0086356E"/>
    <w:rsid w:val="008635D9"/>
    <w:rsid w:val="0086363E"/>
    <w:rsid w:val="00863708"/>
    <w:rsid w:val="00863840"/>
    <w:rsid w:val="00863915"/>
    <w:rsid w:val="00863A36"/>
    <w:rsid w:val="00863AF6"/>
    <w:rsid w:val="00863B20"/>
    <w:rsid w:val="00863C4E"/>
    <w:rsid w:val="00863CD1"/>
    <w:rsid w:val="00863FB0"/>
    <w:rsid w:val="0086403F"/>
    <w:rsid w:val="0086411F"/>
    <w:rsid w:val="0086417E"/>
    <w:rsid w:val="008641FE"/>
    <w:rsid w:val="00864313"/>
    <w:rsid w:val="00864484"/>
    <w:rsid w:val="00864B6C"/>
    <w:rsid w:val="00864BA2"/>
    <w:rsid w:val="00865373"/>
    <w:rsid w:val="008654FA"/>
    <w:rsid w:val="00865674"/>
    <w:rsid w:val="00865935"/>
    <w:rsid w:val="00865A56"/>
    <w:rsid w:val="00865A67"/>
    <w:rsid w:val="00865A9A"/>
    <w:rsid w:val="00866091"/>
    <w:rsid w:val="00866190"/>
    <w:rsid w:val="008663A9"/>
    <w:rsid w:val="008664B1"/>
    <w:rsid w:val="008664CD"/>
    <w:rsid w:val="008664F5"/>
    <w:rsid w:val="008666BF"/>
    <w:rsid w:val="0086681A"/>
    <w:rsid w:val="0086696E"/>
    <w:rsid w:val="0086698C"/>
    <w:rsid w:val="008669B0"/>
    <w:rsid w:val="00866BC6"/>
    <w:rsid w:val="00866EE3"/>
    <w:rsid w:val="00866F91"/>
    <w:rsid w:val="00866FA4"/>
    <w:rsid w:val="00866FB6"/>
    <w:rsid w:val="008670EB"/>
    <w:rsid w:val="00867129"/>
    <w:rsid w:val="008671B1"/>
    <w:rsid w:val="008671D3"/>
    <w:rsid w:val="008671E3"/>
    <w:rsid w:val="00867261"/>
    <w:rsid w:val="008673C3"/>
    <w:rsid w:val="008673F1"/>
    <w:rsid w:val="008677EA"/>
    <w:rsid w:val="008679F0"/>
    <w:rsid w:val="00867B87"/>
    <w:rsid w:val="00867FC7"/>
    <w:rsid w:val="00870083"/>
    <w:rsid w:val="0087013B"/>
    <w:rsid w:val="008701A6"/>
    <w:rsid w:val="00870245"/>
    <w:rsid w:val="00870261"/>
    <w:rsid w:val="00870612"/>
    <w:rsid w:val="008709B2"/>
    <w:rsid w:val="00870AEC"/>
    <w:rsid w:val="00870B3D"/>
    <w:rsid w:val="00870D4F"/>
    <w:rsid w:val="00870E1D"/>
    <w:rsid w:val="00870E69"/>
    <w:rsid w:val="00870F2B"/>
    <w:rsid w:val="0087103F"/>
    <w:rsid w:val="008712A0"/>
    <w:rsid w:val="00871438"/>
    <w:rsid w:val="0087161A"/>
    <w:rsid w:val="00871621"/>
    <w:rsid w:val="0087170D"/>
    <w:rsid w:val="008718D5"/>
    <w:rsid w:val="00871987"/>
    <w:rsid w:val="0087199F"/>
    <w:rsid w:val="00871B92"/>
    <w:rsid w:val="00871BC4"/>
    <w:rsid w:val="00871FE5"/>
    <w:rsid w:val="00872144"/>
    <w:rsid w:val="008726BC"/>
    <w:rsid w:val="008729AD"/>
    <w:rsid w:val="00872AD7"/>
    <w:rsid w:val="00872ED7"/>
    <w:rsid w:val="00873052"/>
    <w:rsid w:val="008730F7"/>
    <w:rsid w:val="0087316B"/>
    <w:rsid w:val="008732F3"/>
    <w:rsid w:val="00873357"/>
    <w:rsid w:val="0087348B"/>
    <w:rsid w:val="008735C6"/>
    <w:rsid w:val="008737AB"/>
    <w:rsid w:val="00873802"/>
    <w:rsid w:val="008739CB"/>
    <w:rsid w:val="00873ACD"/>
    <w:rsid w:val="00873B01"/>
    <w:rsid w:val="00873BC1"/>
    <w:rsid w:val="00873FE9"/>
    <w:rsid w:val="00874009"/>
    <w:rsid w:val="00874143"/>
    <w:rsid w:val="00874302"/>
    <w:rsid w:val="00874377"/>
    <w:rsid w:val="00874433"/>
    <w:rsid w:val="008746DF"/>
    <w:rsid w:val="008746E9"/>
    <w:rsid w:val="00874706"/>
    <w:rsid w:val="008748BD"/>
    <w:rsid w:val="00874CC3"/>
    <w:rsid w:val="00874CCB"/>
    <w:rsid w:val="00874D61"/>
    <w:rsid w:val="00874EC5"/>
    <w:rsid w:val="00874EE2"/>
    <w:rsid w:val="00875012"/>
    <w:rsid w:val="00875026"/>
    <w:rsid w:val="008754AF"/>
    <w:rsid w:val="00875767"/>
    <w:rsid w:val="00875889"/>
    <w:rsid w:val="008759A8"/>
    <w:rsid w:val="00875A40"/>
    <w:rsid w:val="00875B72"/>
    <w:rsid w:val="00875CB9"/>
    <w:rsid w:val="00875CEE"/>
    <w:rsid w:val="00875E9A"/>
    <w:rsid w:val="00875FDF"/>
    <w:rsid w:val="00876202"/>
    <w:rsid w:val="0087636D"/>
    <w:rsid w:val="00876661"/>
    <w:rsid w:val="00876698"/>
    <w:rsid w:val="00876709"/>
    <w:rsid w:val="0087681F"/>
    <w:rsid w:val="00876881"/>
    <w:rsid w:val="008769EC"/>
    <w:rsid w:val="00876A94"/>
    <w:rsid w:val="00876B33"/>
    <w:rsid w:val="00876B4A"/>
    <w:rsid w:val="00876BFF"/>
    <w:rsid w:val="00876C76"/>
    <w:rsid w:val="00876CB5"/>
    <w:rsid w:val="00876F88"/>
    <w:rsid w:val="00877104"/>
    <w:rsid w:val="008771E0"/>
    <w:rsid w:val="00877206"/>
    <w:rsid w:val="0087750E"/>
    <w:rsid w:val="00877560"/>
    <w:rsid w:val="00877653"/>
    <w:rsid w:val="00877760"/>
    <w:rsid w:val="0087785D"/>
    <w:rsid w:val="00877A5D"/>
    <w:rsid w:val="00877ADB"/>
    <w:rsid w:val="00877B8C"/>
    <w:rsid w:val="00877C7A"/>
    <w:rsid w:val="00877C7D"/>
    <w:rsid w:val="00877E07"/>
    <w:rsid w:val="00877F1D"/>
    <w:rsid w:val="00880051"/>
    <w:rsid w:val="00880258"/>
    <w:rsid w:val="0088049F"/>
    <w:rsid w:val="00880621"/>
    <w:rsid w:val="00880648"/>
    <w:rsid w:val="008806EF"/>
    <w:rsid w:val="00880741"/>
    <w:rsid w:val="008808B6"/>
    <w:rsid w:val="008808CE"/>
    <w:rsid w:val="00880965"/>
    <w:rsid w:val="00880C29"/>
    <w:rsid w:val="00880F26"/>
    <w:rsid w:val="0088109A"/>
    <w:rsid w:val="008810AC"/>
    <w:rsid w:val="008810C0"/>
    <w:rsid w:val="00881149"/>
    <w:rsid w:val="008811EF"/>
    <w:rsid w:val="00881313"/>
    <w:rsid w:val="00881409"/>
    <w:rsid w:val="00881529"/>
    <w:rsid w:val="00881650"/>
    <w:rsid w:val="008816DD"/>
    <w:rsid w:val="008816E9"/>
    <w:rsid w:val="00881873"/>
    <w:rsid w:val="00881892"/>
    <w:rsid w:val="00881DC2"/>
    <w:rsid w:val="00881FD5"/>
    <w:rsid w:val="0088206D"/>
    <w:rsid w:val="00882503"/>
    <w:rsid w:val="00882695"/>
    <w:rsid w:val="00882A49"/>
    <w:rsid w:val="00882BBF"/>
    <w:rsid w:val="00882C77"/>
    <w:rsid w:val="00882D63"/>
    <w:rsid w:val="00882E48"/>
    <w:rsid w:val="00883003"/>
    <w:rsid w:val="00883089"/>
    <w:rsid w:val="008833E8"/>
    <w:rsid w:val="008834FD"/>
    <w:rsid w:val="008835E7"/>
    <w:rsid w:val="008836A2"/>
    <w:rsid w:val="00883741"/>
    <w:rsid w:val="00883878"/>
    <w:rsid w:val="00883E89"/>
    <w:rsid w:val="008841B6"/>
    <w:rsid w:val="00884291"/>
    <w:rsid w:val="0088493E"/>
    <w:rsid w:val="00884D3D"/>
    <w:rsid w:val="00884E0F"/>
    <w:rsid w:val="00884E23"/>
    <w:rsid w:val="00885015"/>
    <w:rsid w:val="008850C2"/>
    <w:rsid w:val="008851B0"/>
    <w:rsid w:val="008851D0"/>
    <w:rsid w:val="00885399"/>
    <w:rsid w:val="008854AE"/>
    <w:rsid w:val="0088556A"/>
    <w:rsid w:val="00885716"/>
    <w:rsid w:val="00885805"/>
    <w:rsid w:val="00885AE1"/>
    <w:rsid w:val="00885BB1"/>
    <w:rsid w:val="00885C9F"/>
    <w:rsid w:val="00886209"/>
    <w:rsid w:val="008862EE"/>
    <w:rsid w:val="008863D4"/>
    <w:rsid w:val="00886436"/>
    <w:rsid w:val="0088649E"/>
    <w:rsid w:val="008864CF"/>
    <w:rsid w:val="008868A0"/>
    <w:rsid w:val="0088692C"/>
    <w:rsid w:val="008869A1"/>
    <w:rsid w:val="00886E9D"/>
    <w:rsid w:val="00887278"/>
    <w:rsid w:val="008873CE"/>
    <w:rsid w:val="008875A9"/>
    <w:rsid w:val="0088781D"/>
    <w:rsid w:val="00887906"/>
    <w:rsid w:val="00887B14"/>
    <w:rsid w:val="0089006F"/>
    <w:rsid w:val="0089007B"/>
    <w:rsid w:val="0089010A"/>
    <w:rsid w:val="00890129"/>
    <w:rsid w:val="00890628"/>
    <w:rsid w:val="00890653"/>
    <w:rsid w:val="008906C9"/>
    <w:rsid w:val="00890710"/>
    <w:rsid w:val="00890A0D"/>
    <w:rsid w:val="00890FB4"/>
    <w:rsid w:val="00890FBB"/>
    <w:rsid w:val="008910FB"/>
    <w:rsid w:val="008911ED"/>
    <w:rsid w:val="00891263"/>
    <w:rsid w:val="008912DD"/>
    <w:rsid w:val="008917DF"/>
    <w:rsid w:val="00892191"/>
    <w:rsid w:val="008921CA"/>
    <w:rsid w:val="008922F6"/>
    <w:rsid w:val="00892319"/>
    <w:rsid w:val="008924A2"/>
    <w:rsid w:val="008927D1"/>
    <w:rsid w:val="00892829"/>
    <w:rsid w:val="008929B1"/>
    <w:rsid w:val="00892E05"/>
    <w:rsid w:val="00892F16"/>
    <w:rsid w:val="00893127"/>
    <w:rsid w:val="00893269"/>
    <w:rsid w:val="0089334E"/>
    <w:rsid w:val="008936D4"/>
    <w:rsid w:val="008937D9"/>
    <w:rsid w:val="0089382A"/>
    <w:rsid w:val="008938E8"/>
    <w:rsid w:val="00893C61"/>
    <w:rsid w:val="0089405A"/>
    <w:rsid w:val="00894104"/>
    <w:rsid w:val="008941FA"/>
    <w:rsid w:val="00894292"/>
    <w:rsid w:val="008943A4"/>
    <w:rsid w:val="008944EA"/>
    <w:rsid w:val="0089450D"/>
    <w:rsid w:val="0089480C"/>
    <w:rsid w:val="00894839"/>
    <w:rsid w:val="008948D0"/>
    <w:rsid w:val="00894942"/>
    <w:rsid w:val="00894B61"/>
    <w:rsid w:val="00894DB1"/>
    <w:rsid w:val="00895390"/>
    <w:rsid w:val="00895396"/>
    <w:rsid w:val="0089556F"/>
    <w:rsid w:val="008955B8"/>
    <w:rsid w:val="008955FB"/>
    <w:rsid w:val="00895AA3"/>
    <w:rsid w:val="00895E10"/>
    <w:rsid w:val="00895E75"/>
    <w:rsid w:val="008960F6"/>
    <w:rsid w:val="0089621E"/>
    <w:rsid w:val="00896220"/>
    <w:rsid w:val="0089623D"/>
    <w:rsid w:val="008963BE"/>
    <w:rsid w:val="008964E5"/>
    <w:rsid w:val="008964FD"/>
    <w:rsid w:val="00896B87"/>
    <w:rsid w:val="0089740A"/>
    <w:rsid w:val="008975A1"/>
    <w:rsid w:val="00897613"/>
    <w:rsid w:val="0089761E"/>
    <w:rsid w:val="0089778F"/>
    <w:rsid w:val="00897CA4"/>
    <w:rsid w:val="00897CDB"/>
    <w:rsid w:val="008A014F"/>
    <w:rsid w:val="008A0275"/>
    <w:rsid w:val="008A031D"/>
    <w:rsid w:val="008A0688"/>
    <w:rsid w:val="008A06BD"/>
    <w:rsid w:val="008A071B"/>
    <w:rsid w:val="008A0AC3"/>
    <w:rsid w:val="008A0C49"/>
    <w:rsid w:val="008A0F0E"/>
    <w:rsid w:val="008A1152"/>
    <w:rsid w:val="008A1572"/>
    <w:rsid w:val="008A15D4"/>
    <w:rsid w:val="008A15E5"/>
    <w:rsid w:val="008A17DE"/>
    <w:rsid w:val="008A1ED4"/>
    <w:rsid w:val="008A25A0"/>
    <w:rsid w:val="008A27BC"/>
    <w:rsid w:val="008A2836"/>
    <w:rsid w:val="008A291C"/>
    <w:rsid w:val="008A2AE4"/>
    <w:rsid w:val="008A2B86"/>
    <w:rsid w:val="008A2BDE"/>
    <w:rsid w:val="008A2D1A"/>
    <w:rsid w:val="008A3109"/>
    <w:rsid w:val="008A339D"/>
    <w:rsid w:val="008A3833"/>
    <w:rsid w:val="008A3AFE"/>
    <w:rsid w:val="008A3CDD"/>
    <w:rsid w:val="008A3E2F"/>
    <w:rsid w:val="008A3EA0"/>
    <w:rsid w:val="008A4114"/>
    <w:rsid w:val="008A413C"/>
    <w:rsid w:val="008A4321"/>
    <w:rsid w:val="008A43AF"/>
    <w:rsid w:val="008A473A"/>
    <w:rsid w:val="008A4835"/>
    <w:rsid w:val="008A4C1C"/>
    <w:rsid w:val="008A4D5E"/>
    <w:rsid w:val="008A4D86"/>
    <w:rsid w:val="008A4E9F"/>
    <w:rsid w:val="008A5143"/>
    <w:rsid w:val="008A5518"/>
    <w:rsid w:val="008A5634"/>
    <w:rsid w:val="008A58FE"/>
    <w:rsid w:val="008A5BC6"/>
    <w:rsid w:val="008A5CD3"/>
    <w:rsid w:val="008A5D36"/>
    <w:rsid w:val="008A5DFA"/>
    <w:rsid w:val="008A60B7"/>
    <w:rsid w:val="008A60DC"/>
    <w:rsid w:val="008A6531"/>
    <w:rsid w:val="008A6618"/>
    <w:rsid w:val="008A6637"/>
    <w:rsid w:val="008A6666"/>
    <w:rsid w:val="008A6970"/>
    <w:rsid w:val="008A69C2"/>
    <w:rsid w:val="008A6C18"/>
    <w:rsid w:val="008A6FF1"/>
    <w:rsid w:val="008A71BD"/>
    <w:rsid w:val="008A7405"/>
    <w:rsid w:val="008A74A4"/>
    <w:rsid w:val="008A76BD"/>
    <w:rsid w:val="008A7715"/>
    <w:rsid w:val="008A7AB0"/>
    <w:rsid w:val="008A7CA5"/>
    <w:rsid w:val="008B019C"/>
    <w:rsid w:val="008B0226"/>
    <w:rsid w:val="008B0711"/>
    <w:rsid w:val="008B076C"/>
    <w:rsid w:val="008B084B"/>
    <w:rsid w:val="008B0904"/>
    <w:rsid w:val="008B0B9A"/>
    <w:rsid w:val="008B0C06"/>
    <w:rsid w:val="008B0F4D"/>
    <w:rsid w:val="008B109D"/>
    <w:rsid w:val="008B116B"/>
    <w:rsid w:val="008B11C9"/>
    <w:rsid w:val="008B1525"/>
    <w:rsid w:val="008B15C6"/>
    <w:rsid w:val="008B1691"/>
    <w:rsid w:val="008B182C"/>
    <w:rsid w:val="008B19FC"/>
    <w:rsid w:val="008B1B00"/>
    <w:rsid w:val="008B1BA7"/>
    <w:rsid w:val="008B1CAF"/>
    <w:rsid w:val="008B1CE3"/>
    <w:rsid w:val="008B2042"/>
    <w:rsid w:val="008B24A4"/>
    <w:rsid w:val="008B24F8"/>
    <w:rsid w:val="008B2505"/>
    <w:rsid w:val="008B266B"/>
    <w:rsid w:val="008B2D44"/>
    <w:rsid w:val="008B2F32"/>
    <w:rsid w:val="008B2FFE"/>
    <w:rsid w:val="008B3213"/>
    <w:rsid w:val="008B32A9"/>
    <w:rsid w:val="008B336F"/>
    <w:rsid w:val="008B3412"/>
    <w:rsid w:val="008B3692"/>
    <w:rsid w:val="008B3886"/>
    <w:rsid w:val="008B3887"/>
    <w:rsid w:val="008B39A3"/>
    <w:rsid w:val="008B39E2"/>
    <w:rsid w:val="008B3A6D"/>
    <w:rsid w:val="008B3EC4"/>
    <w:rsid w:val="008B4105"/>
    <w:rsid w:val="008B4157"/>
    <w:rsid w:val="008B453B"/>
    <w:rsid w:val="008B470F"/>
    <w:rsid w:val="008B479E"/>
    <w:rsid w:val="008B4A51"/>
    <w:rsid w:val="008B4A80"/>
    <w:rsid w:val="008B4ADA"/>
    <w:rsid w:val="008B4B43"/>
    <w:rsid w:val="008B4BDC"/>
    <w:rsid w:val="008B4D8E"/>
    <w:rsid w:val="008B4E26"/>
    <w:rsid w:val="008B4E61"/>
    <w:rsid w:val="008B4F36"/>
    <w:rsid w:val="008B4FFC"/>
    <w:rsid w:val="008B5005"/>
    <w:rsid w:val="008B519B"/>
    <w:rsid w:val="008B5259"/>
    <w:rsid w:val="008B52AB"/>
    <w:rsid w:val="008B5413"/>
    <w:rsid w:val="008B55A5"/>
    <w:rsid w:val="008B57B6"/>
    <w:rsid w:val="008B582D"/>
    <w:rsid w:val="008B5955"/>
    <w:rsid w:val="008B5A88"/>
    <w:rsid w:val="008B5F54"/>
    <w:rsid w:val="008B613A"/>
    <w:rsid w:val="008B61F6"/>
    <w:rsid w:val="008B629B"/>
    <w:rsid w:val="008B632E"/>
    <w:rsid w:val="008B673B"/>
    <w:rsid w:val="008B6798"/>
    <w:rsid w:val="008B69AD"/>
    <w:rsid w:val="008B6A3A"/>
    <w:rsid w:val="008B6A55"/>
    <w:rsid w:val="008B6BAE"/>
    <w:rsid w:val="008B70E4"/>
    <w:rsid w:val="008B724F"/>
    <w:rsid w:val="008B7868"/>
    <w:rsid w:val="008B78D1"/>
    <w:rsid w:val="008B78E3"/>
    <w:rsid w:val="008B79A5"/>
    <w:rsid w:val="008B7A97"/>
    <w:rsid w:val="008B7CF1"/>
    <w:rsid w:val="008B7DD8"/>
    <w:rsid w:val="008B7F54"/>
    <w:rsid w:val="008C00F7"/>
    <w:rsid w:val="008C02EA"/>
    <w:rsid w:val="008C02FD"/>
    <w:rsid w:val="008C02FE"/>
    <w:rsid w:val="008C04D5"/>
    <w:rsid w:val="008C05A3"/>
    <w:rsid w:val="008C05EB"/>
    <w:rsid w:val="008C0863"/>
    <w:rsid w:val="008C0A46"/>
    <w:rsid w:val="008C0A72"/>
    <w:rsid w:val="008C0C60"/>
    <w:rsid w:val="008C0D0D"/>
    <w:rsid w:val="008C0E29"/>
    <w:rsid w:val="008C0E41"/>
    <w:rsid w:val="008C0ED1"/>
    <w:rsid w:val="008C1007"/>
    <w:rsid w:val="008C14C2"/>
    <w:rsid w:val="008C154C"/>
    <w:rsid w:val="008C17C3"/>
    <w:rsid w:val="008C1B1A"/>
    <w:rsid w:val="008C1BC2"/>
    <w:rsid w:val="008C1C5C"/>
    <w:rsid w:val="008C1D42"/>
    <w:rsid w:val="008C1DA3"/>
    <w:rsid w:val="008C1EE7"/>
    <w:rsid w:val="008C1EE9"/>
    <w:rsid w:val="008C1F99"/>
    <w:rsid w:val="008C1FDA"/>
    <w:rsid w:val="008C1FFF"/>
    <w:rsid w:val="008C2048"/>
    <w:rsid w:val="008C2060"/>
    <w:rsid w:val="008C2152"/>
    <w:rsid w:val="008C2283"/>
    <w:rsid w:val="008C22BA"/>
    <w:rsid w:val="008C23E5"/>
    <w:rsid w:val="008C2452"/>
    <w:rsid w:val="008C24EE"/>
    <w:rsid w:val="008C25D7"/>
    <w:rsid w:val="008C2790"/>
    <w:rsid w:val="008C2886"/>
    <w:rsid w:val="008C28DF"/>
    <w:rsid w:val="008C290B"/>
    <w:rsid w:val="008C2B8A"/>
    <w:rsid w:val="008C2B9F"/>
    <w:rsid w:val="008C2BB5"/>
    <w:rsid w:val="008C2C94"/>
    <w:rsid w:val="008C2E43"/>
    <w:rsid w:val="008C2EC8"/>
    <w:rsid w:val="008C3015"/>
    <w:rsid w:val="008C311F"/>
    <w:rsid w:val="008C31E3"/>
    <w:rsid w:val="008C325C"/>
    <w:rsid w:val="008C32A6"/>
    <w:rsid w:val="008C341A"/>
    <w:rsid w:val="008C36E3"/>
    <w:rsid w:val="008C388F"/>
    <w:rsid w:val="008C3C5C"/>
    <w:rsid w:val="008C3D1C"/>
    <w:rsid w:val="008C3D6C"/>
    <w:rsid w:val="008C3EE4"/>
    <w:rsid w:val="008C3F57"/>
    <w:rsid w:val="008C430D"/>
    <w:rsid w:val="008C4313"/>
    <w:rsid w:val="008C44CC"/>
    <w:rsid w:val="008C4624"/>
    <w:rsid w:val="008C4691"/>
    <w:rsid w:val="008C47BB"/>
    <w:rsid w:val="008C4A7B"/>
    <w:rsid w:val="008C4B2B"/>
    <w:rsid w:val="008C4DFC"/>
    <w:rsid w:val="008C4E08"/>
    <w:rsid w:val="008C4EF6"/>
    <w:rsid w:val="008C5201"/>
    <w:rsid w:val="008C5264"/>
    <w:rsid w:val="008C52AE"/>
    <w:rsid w:val="008C5440"/>
    <w:rsid w:val="008C56D5"/>
    <w:rsid w:val="008C5821"/>
    <w:rsid w:val="008C5A68"/>
    <w:rsid w:val="008C5C64"/>
    <w:rsid w:val="008C5F05"/>
    <w:rsid w:val="008C60BD"/>
    <w:rsid w:val="008C6128"/>
    <w:rsid w:val="008C6468"/>
    <w:rsid w:val="008C647A"/>
    <w:rsid w:val="008C652E"/>
    <w:rsid w:val="008C6630"/>
    <w:rsid w:val="008C6745"/>
    <w:rsid w:val="008C69BB"/>
    <w:rsid w:val="008C6A55"/>
    <w:rsid w:val="008C6B66"/>
    <w:rsid w:val="008C6DCD"/>
    <w:rsid w:val="008C6E6C"/>
    <w:rsid w:val="008C6EE1"/>
    <w:rsid w:val="008C720E"/>
    <w:rsid w:val="008C76BD"/>
    <w:rsid w:val="008C76ED"/>
    <w:rsid w:val="008C78F5"/>
    <w:rsid w:val="008C7AF4"/>
    <w:rsid w:val="008C7AF6"/>
    <w:rsid w:val="008C7B3D"/>
    <w:rsid w:val="008C7CBD"/>
    <w:rsid w:val="008C7DDB"/>
    <w:rsid w:val="008C7EEE"/>
    <w:rsid w:val="008D0025"/>
    <w:rsid w:val="008D01E6"/>
    <w:rsid w:val="008D0268"/>
    <w:rsid w:val="008D029E"/>
    <w:rsid w:val="008D0340"/>
    <w:rsid w:val="008D03A6"/>
    <w:rsid w:val="008D04BB"/>
    <w:rsid w:val="008D04CE"/>
    <w:rsid w:val="008D05C1"/>
    <w:rsid w:val="008D06BC"/>
    <w:rsid w:val="008D06FF"/>
    <w:rsid w:val="008D097B"/>
    <w:rsid w:val="008D0CE5"/>
    <w:rsid w:val="008D0E2D"/>
    <w:rsid w:val="008D0FF8"/>
    <w:rsid w:val="008D113A"/>
    <w:rsid w:val="008D11B8"/>
    <w:rsid w:val="008D11F2"/>
    <w:rsid w:val="008D137E"/>
    <w:rsid w:val="008D14DB"/>
    <w:rsid w:val="008D16AB"/>
    <w:rsid w:val="008D180A"/>
    <w:rsid w:val="008D19F9"/>
    <w:rsid w:val="008D1A87"/>
    <w:rsid w:val="008D1D4E"/>
    <w:rsid w:val="008D1F18"/>
    <w:rsid w:val="008D22A6"/>
    <w:rsid w:val="008D2382"/>
    <w:rsid w:val="008D28FB"/>
    <w:rsid w:val="008D2902"/>
    <w:rsid w:val="008D29C0"/>
    <w:rsid w:val="008D2BE3"/>
    <w:rsid w:val="008D2F27"/>
    <w:rsid w:val="008D2F73"/>
    <w:rsid w:val="008D308A"/>
    <w:rsid w:val="008D346D"/>
    <w:rsid w:val="008D34E9"/>
    <w:rsid w:val="008D375D"/>
    <w:rsid w:val="008D37DD"/>
    <w:rsid w:val="008D384B"/>
    <w:rsid w:val="008D3A52"/>
    <w:rsid w:val="008D3B5D"/>
    <w:rsid w:val="008D3B9A"/>
    <w:rsid w:val="008D3BA2"/>
    <w:rsid w:val="008D3C25"/>
    <w:rsid w:val="008D3D37"/>
    <w:rsid w:val="008D4542"/>
    <w:rsid w:val="008D4663"/>
    <w:rsid w:val="008D4869"/>
    <w:rsid w:val="008D493C"/>
    <w:rsid w:val="008D4982"/>
    <w:rsid w:val="008D49C4"/>
    <w:rsid w:val="008D49CA"/>
    <w:rsid w:val="008D4B9B"/>
    <w:rsid w:val="008D4C11"/>
    <w:rsid w:val="008D4CD3"/>
    <w:rsid w:val="008D4E6A"/>
    <w:rsid w:val="008D4EE4"/>
    <w:rsid w:val="008D527E"/>
    <w:rsid w:val="008D530F"/>
    <w:rsid w:val="008D5524"/>
    <w:rsid w:val="008D56EF"/>
    <w:rsid w:val="008D57B7"/>
    <w:rsid w:val="008D57D3"/>
    <w:rsid w:val="008D5822"/>
    <w:rsid w:val="008D584E"/>
    <w:rsid w:val="008D58E0"/>
    <w:rsid w:val="008D5AA2"/>
    <w:rsid w:val="008D5B0D"/>
    <w:rsid w:val="008D5BF8"/>
    <w:rsid w:val="008D5EA1"/>
    <w:rsid w:val="008D6178"/>
    <w:rsid w:val="008D626C"/>
    <w:rsid w:val="008D639C"/>
    <w:rsid w:val="008D6842"/>
    <w:rsid w:val="008D69A7"/>
    <w:rsid w:val="008D69B9"/>
    <w:rsid w:val="008D6D08"/>
    <w:rsid w:val="008D6F5A"/>
    <w:rsid w:val="008D6F75"/>
    <w:rsid w:val="008D6F97"/>
    <w:rsid w:val="008D70F2"/>
    <w:rsid w:val="008D7227"/>
    <w:rsid w:val="008D738A"/>
    <w:rsid w:val="008D76E3"/>
    <w:rsid w:val="008D779C"/>
    <w:rsid w:val="008D786D"/>
    <w:rsid w:val="008D7A03"/>
    <w:rsid w:val="008D7A32"/>
    <w:rsid w:val="008D7C20"/>
    <w:rsid w:val="008D7D45"/>
    <w:rsid w:val="008D7F29"/>
    <w:rsid w:val="008E0093"/>
    <w:rsid w:val="008E0116"/>
    <w:rsid w:val="008E011E"/>
    <w:rsid w:val="008E0361"/>
    <w:rsid w:val="008E055F"/>
    <w:rsid w:val="008E06C0"/>
    <w:rsid w:val="008E0878"/>
    <w:rsid w:val="008E0A97"/>
    <w:rsid w:val="008E0B5F"/>
    <w:rsid w:val="008E0D99"/>
    <w:rsid w:val="008E0E95"/>
    <w:rsid w:val="008E0EDB"/>
    <w:rsid w:val="008E1193"/>
    <w:rsid w:val="008E1326"/>
    <w:rsid w:val="008E13D0"/>
    <w:rsid w:val="008E15A7"/>
    <w:rsid w:val="008E1673"/>
    <w:rsid w:val="008E1D6A"/>
    <w:rsid w:val="008E1FB8"/>
    <w:rsid w:val="008E2039"/>
    <w:rsid w:val="008E2169"/>
    <w:rsid w:val="008E22D4"/>
    <w:rsid w:val="008E27B0"/>
    <w:rsid w:val="008E28DD"/>
    <w:rsid w:val="008E2A44"/>
    <w:rsid w:val="008E2F80"/>
    <w:rsid w:val="008E2FA2"/>
    <w:rsid w:val="008E3A54"/>
    <w:rsid w:val="008E3B19"/>
    <w:rsid w:val="008E3B42"/>
    <w:rsid w:val="008E3BE2"/>
    <w:rsid w:val="008E3E6D"/>
    <w:rsid w:val="008E3F10"/>
    <w:rsid w:val="008E42C9"/>
    <w:rsid w:val="008E4472"/>
    <w:rsid w:val="008E44A5"/>
    <w:rsid w:val="008E4555"/>
    <w:rsid w:val="008E45A8"/>
    <w:rsid w:val="008E460D"/>
    <w:rsid w:val="008E4C16"/>
    <w:rsid w:val="008E4C98"/>
    <w:rsid w:val="008E5764"/>
    <w:rsid w:val="008E57EB"/>
    <w:rsid w:val="008E58A0"/>
    <w:rsid w:val="008E5916"/>
    <w:rsid w:val="008E5AEE"/>
    <w:rsid w:val="008E5B50"/>
    <w:rsid w:val="008E5D2D"/>
    <w:rsid w:val="008E5E38"/>
    <w:rsid w:val="008E5F6A"/>
    <w:rsid w:val="008E5FA5"/>
    <w:rsid w:val="008E63AA"/>
    <w:rsid w:val="008E63E0"/>
    <w:rsid w:val="008E641F"/>
    <w:rsid w:val="008E64BC"/>
    <w:rsid w:val="008E6502"/>
    <w:rsid w:val="008E653A"/>
    <w:rsid w:val="008E6550"/>
    <w:rsid w:val="008E65A0"/>
    <w:rsid w:val="008E67B3"/>
    <w:rsid w:val="008E6AAD"/>
    <w:rsid w:val="008E6C12"/>
    <w:rsid w:val="008E6CA9"/>
    <w:rsid w:val="008E6E6E"/>
    <w:rsid w:val="008E6E73"/>
    <w:rsid w:val="008E6FAB"/>
    <w:rsid w:val="008E737C"/>
    <w:rsid w:val="008E7538"/>
    <w:rsid w:val="008E7741"/>
    <w:rsid w:val="008E77E4"/>
    <w:rsid w:val="008E788D"/>
    <w:rsid w:val="008E79AD"/>
    <w:rsid w:val="008E7C25"/>
    <w:rsid w:val="008E7CED"/>
    <w:rsid w:val="008E7E48"/>
    <w:rsid w:val="008E7F62"/>
    <w:rsid w:val="008F011B"/>
    <w:rsid w:val="008F0B0D"/>
    <w:rsid w:val="008F0C83"/>
    <w:rsid w:val="008F0D4F"/>
    <w:rsid w:val="008F0D86"/>
    <w:rsid w:val="008F0EA8"/>
    <w:rsid w:val="008F1057"/>
    <w:rsid w:val="008F11C2"/>
    <w:rsid w:val="008F129C"/>
    <w:rsid w:val="008F1591"/>
    <w:rsid w:val="008F1AB2"/>
    <w:rsid w:val="008F1F0B"/>
    <w:rsid w:val="008F2012"/>
    <w:rsid w:val="008F228E"/>
    <w:rsid w:val="008F25EB"/>
    <w:rsid w:val="008F2A5D"/>
    <w:rsid w:val="008F2AC7"/>
    <w:rsid w:val="008F2D85"/>
    <w:rsid w:val="008F33E3"/>
    <w:rsid w:val="008F341C"/>
    <w:rsid w:val="008F35C5"/>
    <w:rsid w:val="008F35CD"/>
    <w:rsid w:val="008F35D0"/>
    <w:rsid w:val="008F3AE4"/>
    <w:rsid w:val="008F3BA8"/>
    <w:rsid w:val="008F3BF9"/>
    <w:rsid w:val="008F3D78"/>
    <w:rsid w:val="008F3E25"/>
    <w:rsid w:val="008F42D2"/>
    <w:rsid w:val="008F4469"/>
    <w:rsid w:val="008F447E"/>
    <w:rsid w:val="008F4603"/>
    <w:rsid w:val="008F46B2"/>
    <w:rsid w:val="008F50E2"/>
    <w:rsid w:val="008F53FC"/>
    <w:rsid w:val="008F568B"/>
    <w:rsid w:val="008F59AD"/>
    <w:rsid w:val="008F5A07"/>
    <w:rsid w:val="008F5A7A"/>
    <w:rsid w:val="008F5ACE"/>
    <w:rsid w:val="008F5D4F"/>
    <w:rsid w:val="008F5DB7"/>
    <w:rsid w:val="008F5F15"/>
    <w:rsid w:val="008F600E"/>
    <w:rsid w:val="008F6379"/>
    <w:rsid w:val="008F638D"/>
    <w:rsid w:val="008F6434"/>
    <w:rsid w:val="008F6627"/>
    <w:rsid w:val="008F664F"/>
    <w:rsid w:val="008F6719"/>
    <w:rsid w:val="008F6A1F"/>
    <w:rsid w:val="008F6B68"/>
    <w:rsid w:val="008F6CBA"/>
    <w:rsid w:val="008F6D5E"/>
    <w:rsid w:val="008F6FC5"/>
    <w:rsid w:val="008F709F"/>
    <w:rsid w:val="008F71FD"/>
    <w:rsid w:val="008F726C"/>
    <w:rsid w:val="008F73A8"/>
    <w:rsid w:val="008F73F2"/>
    <w:rsid w:val="008F7E79"/>
    <w:rsid w:val="008F7F49"/>
    <w:rsid w:val="009003DC"/>
    <w:rsid w:val="00900429"/>
    <w:rsid w:val="00900602"/>
    <w:rsid w:val="00900629"/>
    <w:rsid w:val="00900812"/>
    <w:rsid w:val="009008DE"/>
    <w:rsid w:val="009009B5"/>
    <w:rsid w:val="009009C4"/>
    <w:rsid w:val="00900C3D"/>
    <w:rsid w:val="00900E5B"/>
    <w:rsid w:val="00901002"/>
    <w:rsid w:val="009011B1"/>
    <w:rsid w:val="009012D2"/>
    <w:rsid w:val="00901326"/>
    <w:rsid w:val="00901713"/>
    <w:rsid w:val="009018F9"/>
    <w:rsid w:val="009019E5"/>
    <w:rsid w:val="00901F2F"/>
    <w:rsid w:val="009021F7"/>
    <w:rsid w:val="00902986"/>
    <w:rsid w:val="00902C57"/>
    <w:rsid w:val="00902C73"/>
    <w:rsid w:val="00902F28"/>
    <w:rsid w:val="00903020"/>
    <w:rsid w:val="0090306D"/>
    <w:rsid w:val="00903082"/>
    <w:rsid w:val="009031DC"/>
    <w:rsid w:val="009031FA"/>
    <w:rsid w:val="0090339F"/>
    <w:rsid w:val="0090343B"/>
    <w:rsid w:val="00903461"/>
    <w:rsid w:val="009035E4"/>
    <w:rsid w:val="009036C0"/>
    <w:rsid w:val="00903B06"/>
    <w:rsid w:val="00903BFE"/>
    <w:rsid w:val="00903D19"/>
    <w:rsid w:val="00903EEF"/>
    <w:rsid w:val="009041B1"/>
    <w:rsid w:val="00904605"/>
    <w:rsid w:val="00904782"/>
    <w:rsid w:val="00904927"/>
    <w:rsid w:val="009049DD"/>
    <w:rsid w:val="00904B01"/>
    <w:rsid w:val="00904C53"/>
    <w:rsid w:val="00905023"/>
    <w:rsid w:val="009052EF"/>
    <w:rsid w:val="0090550A"/>
    <w:rsid w:val="00905784"/>
    <w:rsid w:val="0090590C"/>
    <w:rsid w:val="00905A29"/>
    <w:rsid w:val="00905D71"/>
    <w:rsid w:val="00905E8A"/>
    <w:rsid w:val="00905FF7"/>
    <w:rsid w:val="009060DD"/>
    <w:rsid w:val="009061FC"/>
    <w:rsid w:val="009062B8"/>
    <w:rsid w:val="009062CF"/>
    <w:rsid w:val="009062F9"/>
    <w:rsid w:val="00906508"/>
    <w:rsid w:val="00906535"/>
    <w:rsid w:val="009067BE"/>
    <w:rsid w:val="00906852"/>
    <w:rsid w:val="00906A01"/>
    <w:rsid w:val="00906A56"/>
    <w:rsid w:val="00906AC5"/>
    <w:rsid w:val="00906C88"/>
    <w:rsid w:val="00906F17"/>
    <w:rsid w:val="00906FE6"/>
    <w:rsid w:val="00906FFE"/>
    <w:rsid w:val="0090709F"/>
    <w:rsid w:val="0090716C"/>
    <w:rsid w:val="009072D0"/>
    <w:rsid w:val="0090765A"/>
    <w:rsid w:val="0090783D"/>
    <w:rsid w:val="00907BB6"/>
    <w:rsid w:val="00907DFE"/>
    <w:rsid w:val="00907E69"/>
    <w:rsid w:val="00907F7A"/>
    <w:rsid w:val="00910009"/>
    <w:rsid w:val="00910020"/>
    <w:rsid w:val="00910268"/>
    <w:rsid w:val="009104A0"/>
    <w:rsid w:val="009109B5"/>
    <w:rsid w:val="00910CB6"/>
    <w:rsid w:val="00910D68"/>
    <w:rsid w:val="00910D7B"/>
    <w:rsid w:val="009110DA"/>
    <w:rsid w:val="009113E8"/>
    <w:rsid w:val="009117FD"/>
    <w:rsid w:val="0091218C"/>
    <w:rsid w:val="00912191"/>
    <w:rsid w:val="009124FE"/>
    <w:rsid w:val="009126B3"/>
    <w:rsid w:val="009126B8"/>
    <w:rsid w:val="0091273B"/>
    <w:rsid w:val="00912844"/>
    <w:rsid w:val="009129DE"/>
    <w:rsid w:val="00912C0A"/>
    <w:rsid w:val="00912D99"/>
    <w:rsid w:val="00912EC0"/>
    <w:rsid w:val="00912F3C"/>
    <w:rsid w:val="00913017"/>
    <w:rsid w:val="00913236"/>
    <w:rsid w:val="00913614"/>
    <w:rsid w:val="0091361D"/>
    <w:rsid w:val="00913690"/>
    <w:rsid w:val="00913908"/>
    <w:rsid w:val="0091390C"/>
    <w:rsid w:val="00913EC5"/>
    <w:rsid w:val="0091408D"/>
    <w:rsid w:val="009140A4"/>
    <w:rsid w:val="009140C8"/>
    <w:rsid w:val="00914298"/>
    <w:rsid w:val="00914A39"/>
    <w:rsid w:val="00914BD0"/>
    <w:rsid w:val="00914C07"/>
    <w:rsid w:val="00914D87"/>
    <w:rsid w:val="00915181"/>
    <w:rsid w:val="0091553A"/>
    <w:rsid w:val="0091570A"/>
    <w:rsid w:val="00915723"/>
    <w:rsid w:val="00915767"/>
    <w:rsid w:val="00915EB3"/>
    <w:rsid w:val="00915FB6"/>
    <w:rsid w:val="00915FC8"/>
    <w:rsid w:val="0091603A"/>
    <w:rsid w:val="009162B3"/>
    <w:rsid w:val="009162B8"/>
    <w:rsid w:val="0091655F"/>
    <w:rsid w:val="00916738"/>
    <w:rsid w:val="009167EE"/>
    <w:rsid w:val="009169AB"/>
    <w:rsid w:val="00916A4D"/>
    <w:rsid w:val="00916D45"/>
    <w:rsid w:val="00916DB4"/>
    <w:rsid w:val="00916F39"/>
    <w:rsid w:val="0091714E"/>
    <w:rsid w:val="00917156"/>
    <w:rsid w:val="00917642"/>
    <w:rsid w:val="009176E5"/>
    <w:rsid w:val="00917869"/>
    <w:rsid w:val="0091798A"/>
    <w:rsid w:val="00917CF2"/>
    <w:rsid w:val="00917EBA"/>
    <w:rsid w:val="00917FDA"/>
    <w:rsid w:val="009200E7"/>
    <w:rsid w:val="0092036F"/>
    <w:rsid w:val="00920385"/>
    <w:rsid w:val="0092048D"/>
    <w:rsid w:val="00920690"/>
    <w:rsid w:val="009209F1"/>
    <w:rsid w:val="00920B81"/>
    <w:rsid w:val="00920D58"/>
    <w:rsid w:val="00920D59"/>
    <w:rsid w:val="00920F8E"/>
    <w:rsid w:val="00921018"/>
    <w:rsid w:val="0092101C"/>
    <w:rsid w:val="0092112D"/>
    <w:rsid w:val="0092134A"/>
    <w:rsid w:val="00921574"/>
    <w:rsid w:val="009215A0"/>
    <w:rsid w:val="00921687"/>
    <w:rsid w:val="009217B4"/>
    <w:rsid w:val="00921990"/>
    <w:rsid w:val="00921C1E"/>
    <w:rsid w:val="00921D13"/>
    <w:rsid w:val="00921E7E"/>
    <w:rsid w:val="00921F1A"/>
    <w:rsid w:val="00921FA2"/>
    <w:rsid w:val="0092201C"/>
    <w:rsid w:val="00922336"/>
    <w:rsid w:val="00922390"/>
    <w:rsid w:val="009224E3"/>
    <w:rsid w:val="009226F4"/>
    <w:rsid w:val="009228AE"/>
    <w:rsid w:val="00922A79"/>
    <w:rsid w:val="00922BF9"/>
    <w:rsid w:val="00923321"/>
    <w:rsid w:val="0092342B"/>
    <w:rsid w:val="00923436"/>
    <w:rsid w:val="00923480"/>
    <w:rsid w:val="00923735"/>
    <w:rsid w:val="009239C2"/>
    <w:rsid w:val="00923C02"/>
    <w:rsid w:val="00923C2B"/>
    <w:rsid w:val="00923D29"/>
    <w:rsid w:val="0092460E"/>
    <w:rsid w:val="00924611"/>
    <w:rsid w:val="009246D7"/>
    <w:rsid w:val="00924741"/>
    <w:rsid w:val="0092488A"/>
    <w:rsid w:val="00924A54"/>
    <w:rsid w:val="00924A59"/>
    <w:rsid w:val="00924AD4"/>
    <w:rsid w:val="00924B63"/>
    <w:rsid w:val="00924CF6"/>
    <w:rsid w:val="00924D46"/>
    <w:rsid w:val="00924E07"/>
    <w:rsid w:val="0092502B"/>
    <w:rsid w:val="00925530"/>
    <w:rsid w:val="00925764"/>
    <w:rsid w:val="0092586A"/>
    <w:rsid w:val="00925922"/>
    <w:rsid w:val="00925B3B"/>
    <w:rsid w:val="00925D76"/>
    <w:rsid w:val="009260BA"/>
    <w:rsid w:val="009262C5"/>
    <w:rsid w:val="009263C9"/>
    <w:rsid w:val="00926524"/>
    <w:rsid w:val="009266CF"/>
    <w:rsid w:val="009267C1"/>
    <w:rsid w:val="0092693E"/>
    <w:rsid w:val="00926967"/>
    <w:rsid w:val="00926F0B"/>
    <w:rsid w:val="00926F75"/>
    <w:rsid w:val="009271C6"/>
    <w:rsid w:val="009271CE"/>
    <w:rsid w:val="00927447"/>
    <w:rsid w:val="009274A3"/>
    <w:rsid w:val="00927671"/>
    <w:rsid w:val="00927D63"/>
    <w:rsid w:val="00927DA7"/>
    <w:rsid w:val="00927ED4"/>
    <w:rsid w:val="009301E0"/>
    <w:rsid w:val="009301EC"/>
    <w:rsid w:val="009302A6"/>
    <w:rsid w:val="009305F7"/>
    <w:rsid w:val="0093081C"/>
    <w:rsid w:val="009309C7"/>
    <w:rsid w:val="00930A33"/>
    <w:rsid w:val="00930D05"/>
    <w:rsid w:val="00930D24"/>
    <w:rsid w:val="00930E42"/>
    <w:rsid w:val="00930F96"/>
    <w:rsid w:val="00931123"/>
    <w:rsid w:val="00931146"/>
    <w:rsid w:val="009312AC"/>
    <w:rsid w:val="00931652"/>
    <w:rsid w:val="00931C13"/>
    <w:rsid w:val="00931C30"/>
    <w:rsid w:val="00931E8C"/>
    <w:rsid w:val="00931EF6"/>
    <w:rsid w:val="00931F3B"/>
    <w:rsid w:val="00931FCA"/>
    <w:rsid w:val="0093202B"/>
    <w:rsid w:val="0093215E"/>
    <w:rsid w:val="0093223B"/>
    <w:rsid w:val="0093296B"/>
    <w:rsid w:val="009329C4"/>
    <w:rsid w:val="00932D35"/>
    <w:rsid w:val="00933000"/>
    <w:rsid w:val="0093330E"/>
    <w:rsid w:val="00933707"/>
    <w:rsid w:val="009337E8"/>
    <w:rsid w:val="00933C78"/>
    <w:rsid w:val="00933C80"/>
    <w:rsid w:val="00933C99"/>
    <w:rsid w:val="00933F56"/>
    <w:rsid w:val="00934139"/>
    <w:rsid w:val="00934417"/>
    <w:rsid w:val="009346A9"/>
    <w:rsid w:val="0093474D"/>
    <w:rsid w:val="009348BC"/>
    <w:rsid w:val="009348C4"/>
    <w:rsid w:val="00934AAD"/>
    <w:rsid w:val="00934AF9"/>
    <w:rsid w:val="00934BE4"/>
    <w:rsid w:val="00934BED"/>
    <w:rsid w:val="0093500A"/>
    <w:rsid w:val="00935166"/>
    <w:rsid w:val="0093519D"/>
    <w:rsid w:val="009354BD"/>
    <w:rsid w:val="009355ED"/>
    <w:rsid w:val="00935650"/>
    <w:rsid w:val="0093581A"/>
    <w:rsid w:val="00935DCA"/>
    <w:rsid w:val="00935DEA"/>
    <w:rsid w:val="00935FB7"/>
    <w:rsid w:val="00936328"/>
    <w:rsid w:val="0093636A"/>
    <w:rsid w:val="0093638E"/>
    <w:rsid w:val="00936685"/>
    <w:rsid w:val="009366E7"/>
    <w:rsid w:val="0093678F"/>
    <w:rsid w:val="009367B1"/>
    <w:rsid w:val="0093692B"/>
    <w:rsid w:val="00936B3D"/>
    <w:rsid w:val="00936D98"/>
    <w:rsid w:val="00937063"/>
    <w:rsid w:val="009370C7"/>
    <w:rsid w:val="0093731D"/>
    <w:rsid w:val="0093732C"/>
    <w:rsid w:val="009373FA"/>
    <w:rsid w:val="00937554"/>
    <w:rsid w:val="009375BC"/>
    <w:rsid w:val="00937635"/>
    <w:rsid w:val="009376CA"/>
    <w:rsid w:val="00937970"/>
    <w:rsid w:val="00937A1C"/>
    <w:rsid w:val="00937ADE"/>
    <w:rsid w:val="00937C30"/>
    <w:rsid w:val="00937E44"/>
    <w:rsid w:val="0094020A"/>
    <w:rsid w:val="0094024F"/>
    <w:rsid w:val="009402FF"/>
    <w:rsid w:val="009406FD"/>
    <w:rsid w:val="00940837"/>
    <w:rsid w:val="009408F8"/>
    <w:rsid w:val="009409F1"/>
    <w:rsid w:val="00940AC8"/>
    <w:rsid w:val="0094119F"/>
    <w:rsid w:val="0094130E"/>
    <w:rsid w:val="009416D9"/>
    <w:rsid w:val="00941740"/>
    <w:rsid w:val="00941779"/>
    <w:rsid w:val="00941849"/>
    <w:rsid w:val="00941921"/>
    <w:rsid w:val="00941976"/>
    <w:rsid w:val="00941AB0"/>
    <w:rsid w:val="00941AF0"/>
    <w:rsid w:val="00941C98"/>
    <w:rsid w:val="009420BF"/>
    <w:rsid w:val="0094236D"/>
    <w:rsid w:val="0094268A"/>
    <w:rsid w:val="00942837"/>
    <w:rsid w:val="0094292D"/>
    <w:rsid w:val="00942981"/>
    <w:rsid w:val="00942E3F"/>
    <w:rsid w:val="00942F39"/>
    <w:rsid w:val="009430F0"/>
    <w:rsid w:val="00943185"/>
    <w:rsid w:val="009431FA"/>
    <w:rsid w:val="0094338C"/>
    <w:rsid w:val="009433C6"/>
    <w:rsid w:val="009434F0"/>
    <w:rsid w:val="0094351A"/>
    <w:rsid w:val="009435D3"/>
    <w:rsid w:val="00943614"/>
    <w:rsid w:val="00943806"/>
    <w:rsid w:val="009438AE"/>
    <w:rsid w:val="009439CE"/>
    <w:rsid w:val="00943B40"/>
    <w:rsid w:val="00943C16"/>
    <w:rsid w:val="00943C96"/>
    <w:rsid w:val="00943FF4"/>
    <w:rsid w:val="009440AF"/>
    <w:rsid w:val="009440C3"/>
    <w:rsid w:val="0094410D"/>
    <w:rsid w:val="00944436"/>
    <w:rsid w:val="00944771"/>
    <w:rsid w:val="009447A8"/>
    <w:rsid w:val="0094484A"/>
    <w:rsid w:val="00944895"/>
    <w:rsid w:val="009448D6"/>
    <w:rsid w:val="00944A0C"/>
    <w:rsid w:val="00944AFC"/>
    <w:rsid w:val="00944BFE"/>
    <w:rsid w:val="00944C14"/>
    <w:rsid w:val="00944C43"/>
    <w:rsid w:val="00944C80"/>
    <w:rsid w:val="00944F27"/>
    <w:rsid w:val="00944FC6"/>
    <w:rsid w:val="00945047"/>
    <w:rsid w:val="0094537A"/>
    <w:rsid w:val="00945380"/>
    <w:rsid w:val="0094545A"/>
    <w:rsid w:val="009456B2"/>
    <w:rsid w:val="0094577F"/>
    <w:rsid w:val="00945931"/>
    <w:rsid w:val="009459BE"/>
    <w:rsid w:val="00945AC1"/>
    <w:rsid w:val="00945B89"/>
    <w:rsid w:val="00945B8E"/>
    <w:rsid w:val="00945C44"/>
    <w:rsid w:val="00945D22"/>
    <w:rsid w:val="00945DCF"/>
    <w:rsid w:val="00946010"/>
    <w:rsid w:val="00946050"/>
    <w:rsid w:val="00946202"/>
    <w:rsid w:val="009462D7"/>
    <w:rsid w:val="0094634E"/>
    <w:rsid w:val="00946462"/>
    <w:rsid w:val="009464BD"/>
    <w:rsid w:val="00946643"/>
    <w:rsid w:val="0094669B"/>
    <w:rsid w:val="00946A54"/>
    <w:rsid w:val="00946B1F"/>
    <w:rsid w:val="00946D0C"/>
    <w:rsid w:val="00946EFF"/>
    <w:rsid w:val="00947002"/>
    <w:rsid w:val="0094708D"/>
    <w:rsid w:val="00947137"/>
    <w:rsid w:val="009471F7"/>
    <w:rsid w:val="009477E2"/>
    <w:rsid w:val="009479AA"/>
    <w:rsid w:val="009479EF"/>
    <w:rsid w:val="00947E57"/>
    <w:rsid w:val="00947F4B"/>
    <w:rsid w:val="0095001B"/>
    <w:rsid w:val="00950170"/>
    <w:rsid w:val="00950202"/>
    <w:rsid w:val="0095046F"/>
    <w:rsid w:val="00950713"/>
    <w:rsid w:val="00950751"/>
    <w:rsid w:val="0095094C"/>
    <w:rsid w:val="00950A6A"/>
    <w:rsid w:val="00950CB7"/>
    <w:rsid w:val="00950CD7"/>
    <w:rsid w:val="00950FA1"/>
    <w:rsid w:val="00951225"/>
    <w:rsid w:val="009514B8"/>
    <w:rsid w:val="00951731"/>
    <w:rsid w:val="009519D0"/>
    <w:rsid w:val="009519E7"/>
    <w:rsid w:val="00951BE2"/>
    <w:rsid w:val="00951C5A"/>
    <w:rsid w:val="00951C7C"/>
    <w:rsid w:val="00951CCB"/>
    <w:rsid w:val="00951DFF"/>
    <w:rsid w:val="00951F1C"/>
    <w:rsid w:val="00951F5A"/>
    <w:rsid w:val="0095218D"/>
    <w:rsid w:val="00952516"/>
    <w:rsid w:val="00952732"/>
    <w:rsid w:val="009527FB"/>
    <w:rsid w:val="00952A18"/>
    <w:rsid w:val="00952AD9"/>
    <w:rsid w:val="00952BDF"/>
    <w:rsid w:val="00952BF2"/>
    <w:rsid w:val="00952C1E"/>
    <w:rsid w:val="00953464"/>
    <w:rsid w:val="00953479"/>
    <w:rsid w:val="009534B1"/>
    <w:rsid w:val="00953820"/>
    <w:rsid w:val="0095398B"/>
    <w:rsid w:val="009542B9"/>
    <w:rsid w:val="00954326"/>
    <w:rsid w:val="00954491"/>
    <w:rsid w:val="0095462D"/>
    <w:rsid w:val="009546A5"/>
    <w:rsid w:val="009546EC"/>
    <w:rsid w:val="009546ED"/>
    <w:rsid w:val="009546F5"/>
    <w:rsid w:val="009548F3"/>
    <w:rsid w:val="00954A40"/>
    <w:rsid w:val="00954B2B"/>
    <w:rsid w:val="00954EDB"/>
    <w:rsid w:val="00954F8F"/>
    <w:rsid w:val="00954FB7"/>
    <w:rsid w:val="00955027"/>
    <w:rsid w:val="009552A9"/>
    <w:rsid w:val="009554CF"/>
    <w:rsid w:val="00955F3B"/>
    <w:rsid w:val="00956038"/>
    <w:rsid w:val="009562EF"/>
    <w:rsid w:val="00956404"/>
    <w:rsid w:val="00956496"/>
    <w:rsid w:val="00956703"/>
    <w:rsid w:val="00956ABC"/>
    <w:rsid w:val="009570E8"/>
    <w:rsid w:val="0095715F"/>
    <w:rsid w:val="00957399"/>
    <w:rsid w:val="00957479"/>
    <w:rsid w:val="0095759E"/>
    <w:rsid w:val="009575F5"/>
    <w:rsid w:val="009577DD"/>
    <w:rsid w:val="00957802"/>
    <w:rsid w:val="00957A1F"/>
    <w:rsid w:val="00957CA9"/>
    <w:rsid w:val="00957E55"/>
    <w:rsid w:val="00957F05"/>
    <w:rsid w:val="009602C6"/>
    <w:rsid w:val="0096035F"/>
    <w:rsid w:val="00960736"/>
    <w:rsid w:val="00960898"/>
    <w:rsid w:val="009608ED"/>
    <w:rsid w:val="00960BA7"/>
    <w:rsid w:val="00960EEE"/>
    <w:rsid w:val="00961345"/>
    <w:rsid w:val="0096138B"/>
    <w:rsid w:val="009613C4"/>
    <w:rsid w:val="00961533"/>
    <w:rsid w:val="00961A5D"/>
    <w:rsid w:val="00961C4C"/>
    <w:rsid w:val="00961D21"/>
    <w:rsid w:val="00961ED4"/>
    <w:rsid w:val="00962293"/>
    <w:rsid w:val="00962320"/>
    <w:rsid w:val="00962433"/>
    <w:rsid w:val="00962579"/>
    <w:rsid w:val="00962769"/>
    <w:rsid w:val="009628B1"/>
    <w:rsid w:val="0096310C"/>
    <w:rsid w:val="009631EF"/>
    <w:rsid w:val="009632B4"/>
    <w:rsid w:val="00963403"/>
    <w:rsid w:val="009634F9"/>
    <w:rsid w:val="0096362A"/>
    <w:rsid w:val="00963650"/>
    <w:rsid w:val="009636F7"/>
    <w:rsid w:val="00963700"/>
    <w:rsid w:val="00963B92"/>
    <w:rsid w:val="00963C07"/>
    <w:rsid w:val="00963CCA"/>
    <w:rsid w:val="00963DF4"/>
    <w:rsid w:val="00963E4F"/>
    <w:rsid w:val="00964324"/>
    <w:rsid w:val="0096481A"/>
    <w:rsid w:val="00964899"/>
    <w:rsid w:val="0096490C"/>
    <w:rsid w:val="00964A5B"/>
    <w:rsid w:val="00964D06"/>
    <w:rsid w:val="00964DF7"/>
    <w:rsid w:val="00964F91"/>
    <w:rsid w:val="0096548A"/>
    <w:rsid w:val="009655FF"/>
    <w:rsid w:val="0096581E"/>
    <w:rsid w:val="00965953"/>
    <w:rsid w:val="00965C8C"/>
    <w:rsid w:val="00965C98"/>
    <w:rsid w:val="00965D0E"/>
    <w:rsid w:val="00966288"/>
    <w:rsid w:val="009662C1"/>
    <w:rsid w:val="009664F6"/>
    <w:rsid w:val="0096654D"/>
    <w:rsid w:val="0096669C"/>
    <w:rsid w:val="009668AA"/>
    <w:rsid w:val="00966983"/>
    <w:rsid w:val="00966A55"/>
    <w:rsid w:val="00966ADF"/>
    <w:rsid w:val="00966AEB"/>
    <w:rsid w:val="00966B0B"/>
    <w:rsid w:val="00966F2F"/>
    <w:rsid w:val="0096701C"/>
    <w:rsid w:val="009670F3"/>
    <w:rsid w:val="0096713D"/>
    <w:rsid w:val="00967195"/>
    <w:rsid w:val="009672C5"/>
    <w:rsid w:val="0096730B"/>
    <w:rsid w:val="009673DC"/>
    <w:rsid w:val="009675CA"/>
    <w:rsid w:val="009679F2"/>
    <w:rsid w:val="00967AFE"/>
    <w:rsid w:val="00967BE0"/>
    <w:rsid w:val="00967D7E"/>
    <w:rsid w:val="00967DB9"/>
    <w:rsid w:val="00967E0A"/>
    <w:rsid w:val="00967E43"/>
    <w:rsid w:val="00967E4C"/>
    <w:rsid w:val="00967FF7"/>
    <w:rsid w:val="00969A79"/>
    <w:rsid w:val="00970980"/>
    <w:rsid w:val="009709F9"/>
    <w:rsid w:val="00970DFD"/>
    <w:rsid w:val="00970EF6"/>
    <w:rsid w:val="00970F56"/>
    <w:rsid w:val="00971038"/>
    <w:rsid w:val="0097120D"/>
    <w:rsid w:val="009716A3"/>
    <w:rsid w:val="009716C3"/>
    <w:rsid w:val="00971853"/>
    <w:rsid w:val="00972294"/>
    <w:rsid w:val="009722BA"/>
    <w:rsid w:val="00972349"/>
    <w:rsid w:val="00972472"/>
    <w:rsid w:val="00972766"/>
    <w:rsid w:val="009728C0"/>
    <w:rsid w:val="00972A9E"/>
    <w:rsid w:val="0097309E"/>
    <w:rsid w:val="00973650"/>
    <w:rsid w:val="00973A7D"/>
    <w:rsid w:val="00973AC1"/>
    <w:rsid w:val="00973D60"/>
    <w:rsid w:val="009742C7"/>
    <w:rsid w:val="009742E5"/>
    <w:rsid w:val="0097440B"/>
    <w:rsid w:val="009744AB"/>
    <w:rsid w:val="009744AE"/>
    <w:rsid w:val="00974520"/>
    <w:rsid w:val="0097456E"/>
    <w:rsid w:val="00974650"/>
    <w:rsid w:val="0097475F"/>
    <w:rsid w:val="00974C77"/>
    <w:rsid w:val="009750F5"/>
    <w:rsid w:val="00975239"/>
    <w:rsid w:val="00975349"/>
    <w:rsid w:val="009753DC"/>
    <w:rsid w:val="00975466"/>
    <w:rsid w:val="0097566A"/>
    <w:rsid w:val="0097568F"/>
    <w:rsid w:val="009758A2"/>
    <w:rsid w:val="009759F9"/>
    <w:rsid w:val="00975B33"/>
    <w:rsid w:val="00975B7C"/>
    <w:rsid w:val="00975CA5"/>
    <w:rsid w:val="00975F19"/>
    <w:rsid w:val="00975FBD"/>
    <w:rsid w:val="0097607C"/>
    <w:rsid w:val="0097614A"/>
    <w:rsid w:val="009761A9"/>
    <w:rsid w:val="00976366"/>
    <w:rsid w:val="00976372"/>
    <w:rsid w:val="009764A9"/>
    <w:rsid w:val="0097657C"/>
    <w:rsid w:val="009765C0"/>
    <w:rsid w:val="00976716"/>
    <w:rsid w:val="009767BB"/>
    <w:rsid w:val="009767F6"/>
    <w:rsid w:val="00976D5E"/>
    <w:rsid w:val="00976F01"/>
    <w:rsid w:val="0097702F"/>
    <w:rsid w:val="00977356"/>
    <w:rsid w:val="009773A0"/>
    <w:rsid w:val="00977584"/>
    <w:rsid w:val="009775AB"/>
    <w:rsid w:val="0097765E"/>
    <w:rsid w:val="0097784C"/>
    <w:rsid w:val="00977ADB"/>
    <w:rsid w:val="00977AFA"/>
    <w:rsid w:val="00977C9A"/>
    <w:rsid w:val="00977D49"/>
    <w:rsid w:val="00977E3C"/>
    <w:rsid w:val="00977ECA"/>
    <w:rsid w:val="00980052"/>
    <w:rsid w:val="009803DF"/>
    <w:rsid w:val="00980625"/>
    <w:rsid w:val="009807ED"/>
    <w:rsid w:val="009808BA"/>
    <w:rsid w:val="00980FB8"/>
    <w:rsid w:val="00980FD0"/>
    <w:rsid w:val="00981187"/>
    <w:rsid w:val="009811E2"/>
    <w:rsid w:val="0098159A"/>
    <w:rsid w:val="00981923"/>
    <w:rsid w:val="00981C9B"/>
    <w:rsid w:val="00981EB3"/>
    <w:rsid w:val="00981EC8"/>
    <w:rsid w:val="0098206A"/>
    <w:rsid w:val="00982232"/>
    <w:rsid w:val="00982261"/>
    <w:rsid w:val="009822F6"/>
    <w:rsid w:val="00982584"/>
    <w:rsid w:val="0098269F"/>
    <w:rsid w:val="00982ACD"/>
    <w:rsid w:val="00982C03"/>
    <w:rsid w:val="00982C4A"/>
    <w:rsid w:val="00982CF3"/>
    <w:rsid w:val="00982E01"/>
    <w:rsid w:val="00982F2B"/>
    <w:rsid w:val="0098303E"/>
    <w:rsid w:val="0098325B"/>
    <w:rsid w:val="0098338B"/>
    <w:rsid w:val="0098344D"/>
    <w:rsid w:val="00983508"/>
    <w:rsid w:val="00983616"/>
    <w:rsid w:val="00983770"/>
    <w:rsid w:val="0098379D"/>
    <w:rsid w:val="009837A3"/>
    <w:rsid w:val="0098380D"/>
    <w:rsid w:val="009838B8"/>
    <w:rsid w:val="009838F5"/>
    <w:rsid w:val="00983A4B"/>
    <w:rsid w:val="00983F45"/>
    <w:rsid w:val="00983FE5"/>
    <w:rsid w:val="00984417"/>
    <w:rsid w:val="00984A53"/>
    <w:rsid w:val="00984AB5"/>
    <w:rsid w:val="00984B58"/>
    <w:rsid w:val="00984D09"/>
    <w:rsid w:val="00984DC3"/>
    <w:rsid w:val="00984E41"/>
    <w:rsid w:val="009850E6"/>
    <w:rsid w:val="00985212"/>
    <w:rsid w:val="00985410"/>
    <w:rsid w:val="0098550C"/>
    <w:rsid w:val="009857D0"/>
    <w:rsid w:val="00985885"/>
    <w:rsid w:val="009859C4"/>
    <w:rsid w:val="00985A09"/>
    <w:rsid w:val="00985B40"/>
    <w:rsid w:val="00985F18"/>
    <w:rsid w:val="00985F94"/>
    <w:rsid w:val="009861D4"/>
    <w:rsid w:val="009862EC"/>
    <w:rsid w:val="00986678"/>
    <w:rsid w:val="009866F1"/>
    <w:rsid w:val="0098681E"/>
    <w:rsid w:val="00986841"/>
    <w:rsid w:val="00986873"/>
    <w:rsid w:val="009869BA"/>
    <w:rsid w:val="00986DC0"/>
    <w:rsid w:val="00986F8E"/>
    <w:rsid w:val="00986FD5"/>
    <w:rsid w:val="00987162"/>
    <w:rsid w:val="009876F3"/>
    <w:rsid w:val="009876F4"/>
    <w:rsid w:val="00987705"/>
    <w:rsid w:val="0098774D"/>
    <w:rsid w:val="009877EB"/>
    <w:rsid w:val="00987811"/>
    <w:rsid w:val="00987D68"/>
    <w:rsid w:val="00987DB7"/>
    <w:rsid w:val="00990082"/>
    <w:rsid w:val="00990308"/>
    <w:rsid w:val="00990642"/>
    <w:rsid w:val="00990814"/>
    <w:rsid w:val="00990C1D"/>
    <w:rsid w:val="00990CD9"/>
    <w:rsid w:val="00990D53"/>
    <w:rsid w:val="00991144"/>
    <w:rsid w:val="00991264"/>
    <w:rsid w:val="009912BC"/>
    <w:rsid w:val="00991498"/>
    <w:rsid w:val="009914C8"/>
    <w:rsid w:val="00991AA1"/>
    <w:rsid w:val="00991ABF"/>
    <w:rsid w:val="00991DCB"/>
    <w:rsid w:val="00991DDB"/>
    <w:rsid w:val="00991DE0"/>
    <w:rsid w:val="00991DE3"/>
    <w:rsid w:val="00991E3D"/>
    <w:rsid w:val="00991EDC"/>
    <w:rsid w:val="00991F00"/>
    <w:rsid w:val="00991FC5"/>
    <w:rsid w:val="00992045"/>
    <w:rsid w:val="0099222F"/>
    <w:rsid w:val="009922EB"/>
    <w:rsid w:val="00992656"/>
    <w:rsid w:val="00992CFB"/>
    <w:rsid w:val="00993023"/>
    <w:rsid w:val="009930F2"/>
    <w:rsid w:val="00993188"/>
    <w:rsid w:val="00993233"/>
    <w:rsid w:val="00993247"/>
    <w:rsid w:val="009932DB"/>
    <w:rsid w:val="0099332A"/>
    <w:rsid w:val="00993490"/>
    <w:rsid w:val="00993499"/>
    <w:rsid w:val="009934BE"/>
    <w:rsid w:val="009935D2"/>
    <w:rsid w:val="00993618"/>
    <w:rsid w:val="00993712"/>
    <w:rsid w:val="009937F7"/>
    <w:rsid w:val="00993855"/>
    <w:rsid w:val="00993863"/>
    <w:rsid w:val="0099395A"/>
    <w:rsid w:val="00993AF7"/>
    <w:rsid w:val="00993B05"/>
    <w:rsid w:val="00993DA6"/>
    <w:rsid w:val="00993F4A"/>
    <w:rsid w:val="00994124"/>
    <w:rsid w:val="00994237"/>
    <w:rsid w:val="009942AA"/>
    <w:rsid w:val="00994372"/>
    <w:rsid w:val="00994701"/>
    <w:rsid w:val="00994703"/>
    <w:rsid w:val="00994746"/>
    <w:rsid w:val="009948B7"/>
    <w:rsid w:val="00994CED"/>
    <w:rsid w:val="00994D8C"/>
    <w:rsid w:val="0099504B"/>
    <w:rsid w:val="00995131"/>
    <w:rsid w:val="0099522A"/>
    <w:rsid w:val="009952F8"/>
    <w:rsid w:val="0099535E"/>
    <w:rsid w:val="00995997"/>
    <w:rsid w:val="00995ADF"/>
    <w:rsid w:val="00995B47"/>
    <w:rsid w:val="00995D46"/>
    <w:rsid w:val="00995D91"/>
    <w:rsid w:val="00995E31"/>
    <w:rsid w:val="00995F78"/>
    <w:rsid w:val="0099604D"/>
    <w:rsid w:val="00996189"/>
    <w:rsid w:val="009961D2"/>
    <w:rsid w:val="0099644D"/>
    <w:rsid w:val="00996519"/>
    <w:rsid w:val="009965C5"/>
    <w:rsid w:val="009968CF"/>
    <w:rsid w:val="009968EF"/>
    <w:rsid w:val="00996930"/>
    <w:rsid w:val="0099695F"/>
    <w:rsid w:val="00996D06"/>
    <w:rsid w:val="00996D34"/>
    <w:rsid w:val="00996DAA"/>
    <w:rsid w:val="00996DEF"/>
    <w:rsid w:val="0099727D"/>
    <w:rsid w:val="00997280"/>
    <w:rsid w:val="00997465"/>
    <w:rsid w:val="009974A7"/>
    <w:rsid w:val="009978B4"/>
    <w:rsid w:val="00997AE7"/>
    <w:rsid w:val="00997D8B"/>
    <w:rsid w:val="009A001C"/>
    <w:rsid w:val="009A0139"/>
    <w:rsid w:val="009A034B"/>
    <w:rsid w:val="009A05CA"/>
    <w:rsid w:val="009A06A9"/>
    <w:rsid w:val="009A06F7"/>
    <w:rsid w:val="009A0911"/>
    <w:rsid w:val="009A09B1"/>
    <w:rsid w:val="009A0E47"/>
    <w:rsid w:val="009A0E54"/>
    <w:rsid w:val="009A108D"/>
    <w:rsid w:val="009A12DC"/>
    <w:rsid w:val="009A12E4"/>
    <w:rsid w:val="009A1366"/>
    <w:rsid w:val="009A13D4"/>
    <w:rsid w:val="009A1838"/>
    <w:rsid w:val="009A1D73"/>
    <w:rsid w:val="009A206F"/>
    <w:rsid w:val="009A2090"/>
    <w:rsid w:val="009A2213"/>
    <w:rsid w:val="009A2957"/>
    <w:rsid w:val="009A2F3C"/>
    <w:rsid w:val="009A331E"/>
    <w:rsid w:val="009A3522"/>
    <w:rsid w:val="009A3823"/>
    <w:rsid w:val="009A38E2"/>
    <w:rsid w:val="009A39D9"/>
    <w:rsid w:val="009A3A84"/>
    <w:rsid w:val="009A3BD9"/>
    <w:rsid w:val="009A3F6B"/>
    <w:rsid w:val="009A40DA"/>
    <w:rsid w:val="009A419C"/>
    <w:rsid w:val="009A4288"/>
    <w:rsid w:val="009A4391"/>
    <w:rsid w:val="009A43D7"/>
    <w:rsid w:val="009A470B"/>
    <w:rsid w:val="009A48D5"/>
    <w:rsid w:val="009A4925"/>
    <w:rsid w:val="009A499B"/>
    <w:rsid w:val="009A49AE"/>
    <w:rsid w:val="009A4AF5"/>
    <w:rsid w:val="009A51CF"/>
    <w:rsid w:val="009A525E"/>
    <w:rsid w:val="009A567D"/>
    <w:rsid w:val="009A585D"/>
    <w:rsid w:val="009A5992"/>
    <w:rsid w:val="009A606D"/>
    <w:rsid w:val="009A62FD"/>
    <w:rsid w:val="009A64E3"/>
    <w:rsid w:val="009A651C"/>
    <w:rsid w:val="009A6698"/>
    <w:rsid w:val="009A6789"/>
    <w:rsid w:val="009A6852"/>
    <w:rsid w:val="009A6A3C"/>
    <w:rsid w:val="009A7065"/>
    <w:rsid w:val="009A70CA"/>
    <w:rsid w:val="009A713A"/>
    <w:rsid w:val="009A724C"/>
    <w:rsid w:val="009A7352"/>
    <w:rsid w:val="009A764B"/>
    <w:rsid w:val="009A77C2"/>
    <w:rsid w:val="009A78B4"/>
    <w:rsid w:val="009A7DFC"/>
    <w:rsid w:val="009B01B4"/>
    <w:rsid w:val="009B0314"/>
    <w:rsid w:val="009B0442"/>
    <w:rsid w:val="009B07BD"/>
    <w:rsid w:val="009B0821"/>
    <w:rsid w:val="009B0A8C"/>
    <w:rsid w:val="009B0AB8"/>
    <w:rsid w:val="009B0EB7"/>
    <w:rsid w:val="009B1191"/>
    <w:rsid w:val="009B11C6"/>
    <w:rsid w:val="009B12AE"/>
    <w:rsid w:val="009B13FB"/>
    <w:rsid w:val="009B141B"/>
    <w:rsid w:val="009B1905"/>
    <w:rsid w:val="009B19E1"/>
    <w:rsid w:val="009B1A0B"/>
    <w:rsid w:val="009B1B6B"/>
    <w:rsid w:val="009B1BE3"/>
    <w:rsid w:val="009B1C64"/>
    <w:rsid w:val="009B1E7B"/>
    <w:rsid w:val="009B1E86"/>
    <w:rsid w:val="009B1FE7"/>
    <w:rsid w:val="009B24BE"/>
    <w:rsid w:val="009B28A3"/>
    <w:rsid w:val="009B29F8"/>
    <w:rsid w:val="009B2B63"/>
    <w:rsid w:val="009B2C06"/>
    <w:rsid w:val="009B2D76"/>
    <w:rsid w:val="009B2E8D"/>
    <w:rsid w:val="009B2ECA"/>
    <w:rsid w:val="009B3066"/>
    <w:rsid w:val="009B31EF"/>
    <w:rsid w:val="009B3271"/>
    <w:rsid w:val="009B363D"/>
    <w:rsid w:val="009B3926"/>
    <w:rsid w:val="009B3A26"/>
    <w:rsid w:val="009B3D59"/>
    <w:rsid w:val="009B4188"/>
    <w:rsid w:val="009B418D"/>
    <w:rsid w:val="009B453F"/>
    <w:rsid w:val="009B4610"/>
    <w:rsid w:val="009B47A0"/>
    <w:rsid w:val="009B47BC"/>
    <w:rsid w:val="009B48DE"/>
    <w:rsid w:val="009B4929"/>
    <w:rsid w:val="009B493D"/>
    <w:rsid w:val="009B49D4"/>
    <w:rsid w:val="009B4BAB"/>
    <w:rsid w:val="009B4EE9"/>
    <w:rsid w:val="009B4F69"/>
    <w:rsid w:val="009B5517"/>
    <w:rsid w:val="009B56CC"/>
    <w:rsid w:val="009B58DC"/>
    <w:rsid w:val="009B5A45"/>
    <w:rsid w:val="009B5ABB"/>
    <w:rsid w:val="009B5B1A"/>
    <w:rsid w:val="009B5BDF"/>
    <w:rsid w:val="009B5EE8"/>
    <w:rsid w:val="009B5FB8"/>
    <w:rsid w:val="009B6197"/>
    <w:rsid w:val="009B62A7"/>
    <w:rsid w:val="009B63D0"/>
    <w:rsid w:val="009B64CE"/>
    <w:rsid w:val="009B6670"/>
    <w:rsid w:val="009B6A1E"/>
    <w:rsid w:val="009B6C84"/>
    <w:rsid w:val="009B6D6B"/>
    <w:rsid w:val="009B6DE5"/>
    <w:rsid w:val="009B6F55"/>
    <w:rsid w:val="009B70B2"/>
    <w:rsid w:val="009B762B"/>
    <w:rsid w:val="009B76E5"/>
    <w:rsid w:val="009B7721"/>
    <w:rsid w:val="009B7860"/>
    <w:rsid w:val="009B79B7"/>
    <w:rsid w:val="009B7CC6"/>
    <w:rsid w:val="009B7E2F"/>
    <w:rsid w:val="009B7F41"/>
    <w:rsid w:val="009C0359"/>
    <w:rsid w:val="009C039B"/>
    <w:rsid w:val="009C03DF"/>
    <w:rsid w:val="009C0483"/>
    <w:rsid w:val="009C0528"/>
    <w:rsid w:val="009C06DE"/>
    <w:rsid w:val="009C077A"/>
    <w:rsid w:val="009C07B5"/>
    <w:rsid w:val="009C083C"/>
    <w:rsid w:val="009C0908"/>
    <w:rsid w:val="009C0AFF"/>
    <w:rsid w:val="009C0C8D"/>
    <w:rsid w:val="009C0DF0"/>
    <w:rsid w:val="009C0F66"/>
    <w:rsid w:val="009C12A0"/>
    <w:rsid w:val="009C142A"/>
    <w:rsid w:val="009C1515"/>
    <w:rsid w:val="009C15CD"/>
    <w:rsid w:val="009C15E1"/>
    <w:rsid w:val="009C1735"/>
    <w:rsid w:val="009C1D19"/>
    <w:rsid w:val="009C1E85"/>
    <w:rsid w:val="009C1FC1"/>
    <w:rsid w:val="009C2133"/>
    <w:rsid w:val="009C233D"/>
    <w:rsid w:val="009C23C5"/>
    <w:rsid w:val="009C2436"/>
    <w:rsid w:val="009C2494"/>
    <w:rsid w:val="009C2509"/>
    <w:rsid w:val="009C267E"/>
    <w:rsid w:val="009C28C4"/>
    <w:rsid w:val="009C2AB3"/>
    <w:rsid w:val="009C2ABB"/>
    <w:rsid w:val="009C2B24"/>
    <w:rsid w:val="009C2CCF"/>
    <w:rsid w:val="009C2EC5"/>
    <w:rsid w:val="009C2FF0"/>
    <w:rsid w:val="009C3052"/>
    <w:rsid w:val="009C31AE"/>
    <w:rsid w:val="009C32FC"/>
    <w:rsid w:val="009C3355"/>
    <w:rsid w:val="009C3440"/>
    <w:rsid w:val="009C35C4"/>
    <w:rsid w:val="009C36BD"/>
    <w:rsid w:val="009C37B3"/>
    <w:rsid w:val="009C3AE8"/>
    <w:rsid w:val="009C3B0D"/>
    <w:rsid w:val="009C3ED3"/>
    <w:rsid w:val="009C3FA3"/>
    <w:rsid w:val="009C3FA5"/>
    <w:rsid w:val="009C3FF8"/>
    <w:rsid w:val="009C40C4"/>
    <w:rsid w:val="009C41C7"/>
    <w:rsid w:val="009C427C"/>
    <w:rsid w:val="009C4314"/>
    <w:rsid w:val="009C446A"/>
    <w:rsid w:val="009C48E5"/>
    <w:rsid w:val="009C4AC4"/>
    <w:rsid w:val="009C5104"/>
    <w:rsid w:val="009C51B1"/>
    <w:rsid w:val="009C5222"/>
    <w:rsid w:val="009C5AD3"/>
    <w:rsid w:val="009C5ADC"/>
    <w:rsid w:val="009C5B98"/>
    <w:rsid w:val="009C5C03"/>
    <w:rsid w:val="009C5CC1"/>
    <w:rsid w:val="009C5D43"/>
    <w:rsid w:val="009C5D48"/>
    <w:rsid w:val="009C601A"/>
    <w:rsid w:val="009C6039"/>
    <w:rsid w:val="009C61BD"/>
    <w:rsid w:val="009C6218"/>
    <w:rsid w:val="009C6587"/>
    <w:rsid w:val="009C6916"/>
    <w:rsid w:val="009C6A3D"/>
    <w:rsid w:val="009C6E07"/>
    <w:rsid w:val="009C7046"/>
    <w:rsid w:val="009C70D7"/>
    <w:rsid w:val="009C72AF"/>
    <w:rsid w:val="009C7328"/>
    <w:rsid w:val="009C756E"/>
    <w:rsid w:val="009C78F9"/>
    <w:rsid w:val="009C7AA6"/>
    <w:rsid w:val="009C7AE6"/>
    <w:rsid w:val="009C7C87"/>
    <w:rsid w:val="009C7CB3"/>
    <w:rsid w:val="009C7D49"/>
    <w:rsid w:val="009D003D"/>
    <w:rsid w:val="009D00A3"/>
    <w:rsid w:val="009D0118"/>
    <w:rsid w:val="009D018C"/>
    <w:rsid w:val="009D020B"/>
    <w:rsid w:val="009D041D"/>
    <w:rsid w:val="009D0427"/>
    <w:rsid w:val="009D08E0"/>
    <w:rsid w:val="009D0D6B"/>
    <w:rsid w:val="009D0DAF"/>
    <w:rsid w:val="009D0F43"/>
    <w:rsid w:val="009D0FBB"/>
    <w:rsid w:val="009D0FC1"/>
    <w:rsid w:val="009D1205"/>
    <w:rsid w:val="009D1212"/>
    <w:rsid w:val="009D1448"/>
    <w:rsid w:val="009D17D8"/>
    <w:rsid w:val="009D18A4"/>
    <w:rsid w:val="009D1D72"/>
    <w:rsid w:val="009D1F6C"/>
    <w:rsid w:val="009D2288"/>
    <w:rsid w:val="009D23BF"/>
    <w:rsid w:val="009D241C"/>
    <w:rsid w:val="009D25C8"/>
    <w:rsid w:val="009D2695"/>
    <w:rsid w:val="009D26F8"/>
    <w:rsid w:val="009D28F2"/>
    <w:rsid w:val="009D29EE"/>
    <w:rsid w:val="009D2B17"/>
    <w:rsid w:val="009D2BC0"/>
    <w:rsid w:val="009D309C"/>
    <w:rsid w:val="009D309E"/>
    <w:rsid w:val="009D32BA"/>
    <w:rsid w:val="009D35CB"/>
    <w:rsid w:val="009D36BE"/>
    <w:rsid w:val="009D370D"/>
    <w:rsid w:val="009D3718"/>
    <w:rsid w:val="009D3B9A"/>
    <w:rsid w:val="009D3BE0"/>
    <w:rsid w:val="009D3CFE"/>
    <w:rsid w:val="009D3D45"/>
    <w:rsid w:val="009D3E15"/>
    <w:rsid w:val="009D3F2B"/>
    <w:rsid w:val="009D3F35"/>
    <w:rsid w:val="009D4021"/>
    <w:rsid w:val="009D4087"/>
    <w:rsid w:val="009D4241"/>
    <w:rsid w:val="009D46E9"/>
    <w:rsid w:val="009D473B"/>
    <w:rsid w:val="009D47E5"/>
    <w:rsid w:val="009D47F5"/>
    <w:rsid w:val="009D4880"/>
    <w:rsid w:val="009D4C60"/>
    <w:rsid w:val="009D4D27"/>
    <w:rsid w:val="009D4FD9"/>
    <w:rsid w:val="009D5377"/>
    <w:rsid w:val="009D54A8"/>
    <w:rsid w:val="009D5715"/>
    <w:rsid w:val="009D5846"/>
    <w:rsid w:val="009D5BF7"/>
    <w:rsid w:val="009D5C79"/>
    <w:rsid w:val="009D5F57"/>
    <w:rsid w:val="009D6221"/>
    <w:rsid w:val="009D687D"/>
    <w:rsid w:val="009D6A88"/>
    <w:rsid w:val="009D6AA8"/>
    <w:rsid w:val="009D6CC2"/>
    <w:rsid w:val="009D6E1E"/>
    <w:rsid w:val="009D6E7A"/>
    <w:rsid w:val="009D6ED7"/>
    <w:rsid w:val="009D6F5F"/>
    <w:rsid w:val="009D71F6"/>
    <w:rsid w:val="009D7624"/>
    <w:rsid w:val="009D789C"/>
    <w:rsid w:val="009D7A09"/>
    <w:rsid w:val="009D7A31"/>
    <w:rsid w:val="009D7CA9"/>
    <w:rsid w:val="009D7F1F"/>
    <w:rsid w:val="009E0060"/>
    <w:rsid w:val="009E0162"/>
    <w:rsid w:val="009E01E6"/>
    <w:rsid w:val="009E0407"/>
    <w:rsid w:val="009E06F0"/>
    <w:rsid w:val="009E0777"/>
    <w:rsid w:val="009E07F2"/>
    <w:rsid w:val="009E08E6"/>
    <w:rsid w:val="009E0938"/>
    <w:rsid w:val="009E0FBC"/>
    <w:rsid w:val="009E1043"/>
    <w:rsid w:val="009E123F"/>
    <w:rsid w:val="009E14B8"/>
    <w:rsid w:val="009E1698"/>
    <w:rsid w:val="009E16C0"/>
    <w:rsid w:val="009E16E6"/>
    <w:rsid w:val="009E175D"/>
    <w:rsid w:val="009E199F"/>
    <w:rsid w:val="009E1AC0"/>
    <w:rsid w:val="009E1B43"/>
    <w:rsid w:val="009E1BB2"/>
    <w:rsid w:val="009E1D43"/>
    <w:rsid w:val="009E1E1D"/>
    <w:rsid w:val="009E1E68"/>
    <w:rsid w:val="009E2349"/>
    <w:rsid w:val="009E239B"/>
    <w:rsid w:val="009E23D0"/>
    <w:rsid w:val="009E23EA"/>
    <w:rsid w:val="009E2695"/>
    <w:rsid w:val="009E27B4"/>
    <w:rsid w:val="009E28FB"/>
    <w:rsid w:val="009E2941"/>
    <w:rsid w:val="009E2A36"/>
    <w:rsid w:val="009E2A60"/>
    <w:rsid w:val="009E2AFC"/>
    <w:rsid w:val="009E2B84"/>
    <w:rsid w:val="009E2BD7"/>
    <w:rsid w:val="009E2C34"/>
    <w:rsid w:val="009E2EA3"/>
    <w:rsid w:val="009E2F3E"/>
    <w:rsid w:val="009E2F72"/>
    <w:rsid w:val="009E30BB"/>
    <w:rsid w:val="009E32E9"/>
    <w:rsid w:val="009E3559"/>
    <w:rsid w:val="009E37DB"/>
    <w:rsid w:val="009E3902"/>
    <w:rsid w:val="009E3A62"/>
    <w:rsid w:val="009E3CE9"/>
    <w:rsid w:val="009E3CF3"/>
    <w:rsid w:val="009E3EF6"/>
    <w:rsid w:val="009E3F8C"/>
    <w:rsid w:val="009E4167"/>
    <w:rsid w:val="009E42C9"/>
    <w:rsid w:val="009E43B2"/>
    <w:rsid w:val="009E467C"/>
    <w:rsid w:val="009E48BC"/>
    <w:rsid w:val="009E49C2"/>
    <w:rsid w:val="009E4A16"/>
    <w:rsid w:val="009E4B8B"/>
    <w:rsid w:val="009E4D9B"/>
    <w:rsid w:val="009E4E0C"/>
    <w:rsid w:val="009E4E7E"/>
    <w:rsid w:val="009E51B6"/>
    <w:rsid w:val="009E51DC"/>
    <w:rsid w:val="009E5471"/>
    <w:rsid w:val="009E567F"/>
    <w:rsid w:val="009E57A0"/>
    <w:rsid w:val="009E57B1"/>
    <w:rsid w:val="009E57B5"/>
    <w:rsid w:val="009E5990"/>
    <w:rsid w:val="009E59AD"/>
    <w:rsid w:val="009E5D0D"/>
    <w:rsid w:val="009E5D5B"/>
    <w:rsid w:val="009E5D95"/>
    <w:rsid w:val="009E5FE8"/>
    <w:rsid w:val="009E5FFD"/>
    <w:rsid w:val="009E60D8"/>
    <w:rsid w:val="009E6126"/>
    <w:rsid w:val="009E6333"/>
    <w:rsid w:val="009E6484"/>
    <w:rsid w:val="009E65D8"/>
    <w:rsid w:val="009E660B"/>
    <w:rsid w:val="009E6709"/>
    <w:rsid w:val="009E675F"/>
    <w:rsid w:val="009E683A"/>
    <w:rsid w:val="009E69D1"/>
    <w:rsid w:val="009E6AE3"/>
    <w:rsid w:val="009E6C05"/>
    <w:rsid w:val="009E6F1C"/>
    <w:rsid w:val="009E6F84"/>
    <w:rsid w:val="009E6FC7"/>
    <w:rsid w:val="009E7065"/>
    <w:rsid w:val="009E71B6"/>
    <w:rsid w:val="009E771B"/>
    <w:rsid w:val="009E77F1"/>
    <w:rsid w:val="009E7913"/>
    <w:rsid w:val="009E7C2F"/>
    <w:rsid w:val="009E7FA3"/>
    <w:rsid w:val="009F007C"/>
    <w:rsid w:val="009F0192"/>
    <w:rsid w:val="009F03E6"/>
    <w:rsid w:val="009F09F8"/>
    <w:rsid w:val="009F09FF"/>
    <w:rsid w:val="009F0B26"/>
    <w:rsid w:val="009F0BA6"/>
    <w:rsid w:val="009F0EC2"/>
    <w:rsid w:val="009F0F4E"/>
    <w:rsid w:val="009F10DF"/>
    <w:rsid w:val="009F1729"/>
    <w:rsid w:val="009F1737"/>
    <w:rsid w:val="009F1942"/>
    <w:rsid w:val="009F1A8F"/>
    <w:rsid w:val="009F1B4C"/>
    <w:rsid w:val="009F1C25"/>
    <w:rsid w:val="009F1C5A"/>
    <w:rsid w:val="009F1C6F"/>
    <w:rsid w:val="009F1CA9"/>
    <w:rsid w:val="009F1CBE"/>
    <w:rsid w:val="009F1D4A"/>
    <w:rsid w:val="009F1E85"/>
    <w:rsid w:val="009F2049"/>
    <w:rsid w:val="009F2673"/>
    <w:rsid w:val="009F2776"/>
    <w:rsid w:val="009F2906"/>
    <w:rsid w:val="009F2CC1"/>
    <w:rsid w:val="009F2D53"/>
    <w:rsid w:val="009F2D59"/>
    <w:rsid w:val="009F2DC4"/>
    <w:rsid w:val="009F31D9"/>
    <w:rsid w:val="009F329B"/>
    <w:rsid w:val="009F32C1"/>
    <w:rsid w:val="009F3469"/>
    <w:rsid w:val="009F351C"/>
    <w:rsid w:val="009F360C"/>
    <w:rsid w:val="009F3785"/>
    <w:rsid w:val="009F3AE4"/>
    <w:rsid w:val="009F3DF4"/>
    <w:rsid w:val="009F3F3F"/>
    <w:rsid w:val="009F40AC"/>
    <w:rsid w:val="009F4190"/>
    <w:rsid w:val="009F41A0"/>
    <w:rsid w:val="009F4273"/>
    <w:rsid w:val="009F42DA"/>
    <w:rsid w:val="009F4363"/>
    <w:rsid w:val="009F4453"/>
    <w:rsid w:val="009F464A"/>
    <w:rsid w:val="009F46FD"/>
    <w:rsid w:val="009F485C"/>
    <w:rsid w:val="009F4867"/>
    <w:rsid w:val="009F4981"/>
    <w:rsid w:val="009F49E9"/>
    <w:rsid w:val="009F4A13"/>
    <w:rsid w:val="009F4E1A"/>
    <w:rsid w:val="009F520A"/>
    <w:rsid w:val="009F53DF"/>
    <w:rsid w:val="009F5700"/>
    <w:rsid w:val="009F572F"/>
    <w:rsid w:val="009F5828"/>
    <w:rsid w:val="009F58F2"/>
    <w:rsid w:val="009F5A6A"/>
    <w:rsid w:val="009F5AA2"/>
    <w:rsid w:val="009F5BFC"/>
    <w:rsid w:val="009F5CA1"/>
    <w:rsid w:val="009F614C"/>
    <w:rsid w:val="009F62AD"/>
    <w:rsid w:val="009F6376"/>
    <w:rsid w:val="009F650D"/>
    <w:rsid w:val="009F6608"/>
    <w:rsid w:val="009F6A04"/>
    <w:rsid w:val="009F6A98"/>
    <w:rsid w:val="009F6F58"/>
    <w:rsid w:val="009F6FE0"/>
    <w:rsid w:val="009F70D9"/>
    <w:rsid w:val="009F7F40"/>
    <w:rsid w:val="00A00524"/>
    <w:rsid w:val="00A0062C"/>
    <w:rsid w:val="00A00BA8"/>
    <w:rsid w:val="00A00CA0"/>
    <w:rsid w:val="00A00CD0"/>
    <w:rsid w:val="00A00D8A"/>
    <w:rsid w:val="00A00E10"/>
    <w:rsid w:val="00A00F8D"/>
    <w:rsid w:val="00A01281"/>
    <w:rsid w:val="00A01494"/>
    <w:rsid w:val="00A014CA"/>
    <w:rsid w:val="00A01709"/>
    <w:rsid w:val="00A01729"/>
    <w:rsid w:val="00A0173C"/>
    <w:rsid w:val="00A017A6"/>
    <w:rsid w:val="00A0184B"/>
    <w:rsid w:val="00A018D1"/>
    <w:rsid w:val="00A018EB"/>
    <w:rsid w:val="00A01D0C"/>
    <w:rsid w:val="00A01D72"/>
    <w:rsid w:val="00A01D81"/>
    <w:rsid w:val="00A01EC1"/>
    <w:rsid w:val="00A0218A"/>
    <w:rsid w:val="00A02261"/>
    <w:rsid w:val="00A0240D"/>
    <w:rsid w:val="00A024DC"/>
    <w:rsid w:val="00A02568"/>
    <w:rsid w:val="00A02610"/>
    <w:rsid w:val="00A02743"/>
    <w:rsid w:val="00A02815"/>
    <w:rsid w:val="00A0287C"/>
    <w:rsid w:val="00A02AAD"/>
    <w:rsid w:val="00A02B55"/>
    <w:rsid w:val="00A02BC3"/>
    <w:rsid w:val="00A02EC4"/>
    <w:rsid w:val="00A0317D"/>
    <w:rsid w:val="00A033B2"/>
    <w:rsid w:val="00A035F8"/>
    <w:rsid w:val="00A036B0"/>
    <w:rsid w:val="00A03753"/>
    <w:rsid w:val="00A037E3"/>
    <w:rsid w:val="00A03DE3"/>
    <w:rsid w:val="00A03EDB"/>
    <w:rsid w:val="00A04028"/>
    <w:rsid w:val="00A041C2"/>
    <w:rsid w:val="00A04414"/>
    <w:rsid w:val="00A04416"/>
    <w:rsid w:val="00A04417"/>
    <w:rsid w:val="00A044D2"/>
    <w:rsid w:val="00A045FB"/>
    <w:rsid w:val="00A0481B"/>
    <w:rsid w:val="00A0495A"/>
    <w:rsid w:val="00A04A42"/>
    <w:rsid w:val="00A04BC0"/>
    <w:rsid w:val="00A04D34"/>
    <w:rsid w:val="00A04D63"/>
    <w:rsid w:val="00A04E14"/>
    <w:rsid w:val="00A04E50"/>
    <w:rsid w:val="00A04F12"/>
    <w:rsid w:val="00A050DC"/>
    <w:rsid w:val="00A05179"/>
    <w:rsid w:val="00A055FC"/>
    <w:rsid w:val="00A056F4"/>
    <w:rsid w:val="00A05EBF"/>
    <w:rsid w:val="00A05FC2"/>
    <w:rsid w:val="00A0632B"/>
    <w:rsid w:val="00A06438"/>
    <w:rsid w:val="00A068C8"/>
    <w:rsid w:val="00A06AB4"/>
    <w:rsid w:val="00A06CBC"/>
    <w:rsid w:val="00A06E95"/>
    <w:rsid w:val="00A07010"/>
    <w:rsid w:val="00A07195"/>
    <w:rsid w:val="00A071E5"/>
    <w:rsid w:val="00A07470"/>
    <w:rsid w:val="00A075B5"/>
    <w:rsid w:val="00A075C9"/>
    <w:rsid w:val="00A0760B"/>
    <w:rsid w:val="00A0776A"/>
    <w:rsid w:val="00A07914"/>
    <w:rsid w:val="00A0791A"/>
    <w:rsid w:val="00A0797A"/>
    <w:rsid w:val="00A07D30"/>
    <w:rsid w:val="00A07D74"/>
    <w:rsid w:val="00A07DA6"/>
    <w:rsid w:val="00A100C1"/>
    <w:rsid w:val="00A10123"/>
    <w:rsid w:val="00A10198"/>
    <w:rsid w:val="00A10304"/>
    <w:rsid w:val="00A103EB"/>
    <w:rsid w:val="00A10412"/>
    <w:rsid w:val="00A106C2"/>
    <w:rsid w:val="00A1087F"/>
    <w:rsid w:val="00A10BDD"/>
    <w:rsid w:val="00A10C1D"/>
    <w:rsid w:val="00A11038"/>
    <w:rsid w:val="00A110D7"/>
    <w:rsid w:val="00A110EB"/>
    <w:rsid w:val="00A1115A"/>
    <w:rsid w:val="00A112AB"/>
    <w:rsid w:val="00A114E3"/>
    <w:rsid w:val="00A11519"/>
    <w:rsid w:val="00A115F8"/>
    <w:rsid w:val="00A11649"/>
    <w:rsid w:val="00A1181B"/>
    <w:rsid w:val="00A118EB"/>
    <w:rsid w:val="00A11957"/>
    <w:rsid w:val="00A11A5D"/>
    <w:rsid w:val="00A11AD2"/>
    <w:rsid w:val="00A11D29"/>
    <w:rsid w:val="00A11DD8"/>
    <w:rsid w:val="00A11F13"/>
    <w:rsid w:val="00A12328"/>
    <w:rsid w:val="00A12379"/>
    <w:rsid w:val="00A1237E"/>
    <w:rsid w:val="00A124AF"/>
    <w:rsid w:val="00A1264B"/>
    <w:rsid w:val="00A1289A"/>
    <w:rsid w:val="00A12B31"/>
    <w:rsid w:val="00A12B70"/>
    <w:rsid w:val="00A12C33"/>
    <w:rsid w:val="00A12CF0"/>
    <w:rsid w:val="00A12FA1"/>
    <w:rsid w:val="00A12FC4"/>
    <w:rsid w:val="00A133C0"/>
    <w:rsid w:val="00A134DC"/>
    <w:rsid w:val="00A135D2"/>
    <w:rsid w:val="00A137B1"/>
    <w:rsid w:val="00A13821"/>
    <w:rsid w:val="00A13D38"/>
    <w:rsid w:val="00A13E46"/>
    <w:rsid w:val="00A13F49"/>
    <w:rsid w:val="00A13F5B"/>
    <w:rsid w:val="00A140B1"/>
    <w:rsid w:val="00A140D4"/>
    <w:rsid w:val="00A14265"/>
    <w:rsid w:val="00A142D9"/>
    <w:rsid w:val="00A143BA"/>
    <w:rsid w:val="00A14443"/>
    <w:rsid w:val="00A14602"/>
    <w:rsid w:val="00A14794"/>
    <w:rsid w:val="00A14E73"/>
    <w:rsid w:val="00A150E4"/>
    <w:rsid w:val="00A1515D"/>
    <w:rsid w:val="00A151B7"/>
    <w:rsid w:val="00A1525B"/>
    <w:rsid w:val="00A153E9"/>
    <w:rsid w:val="00A153F0"/>
    <w:rsid w:val="00A154BB"/>
    <w:rsid w:val="00A15990"/>
    <w:rsid w:val="00A15A6C"/>
    <w:rsid w:val="00A15BBB"/>
    <w:rsid w:val="00A15D13"/>
    <w:rsid w:val="00A15F07"/>
    <w:rsid w:val="00A15F81"/>
    <w:rsid w:val="00A15FF0"/>
    <w:rsid w:val="00A16048"/>
    <w:rsid w:val="00A1606C"/>
    <w:rsid w:val="00A163EA"/>
    <w:rsid w:val="00A16535"/>
    <w:rsid w:val="00A16C91"/>
    <w:rsid w:val="00A16D2B"/>
    <w:rsid w:val="00A16E94"/>
    <w:rsid w:val="00A16EFA"/>
    <w:rsid w:val="00A17260"/>
    <w:rsid w:val="00A172B7"/>
    <w:rsid w:val="00A173B9"/>
    <w:rsid w:val="00A17712"/>
    <w:rsid w:val="00A17773"/>
    <w:rsid w:val="00A1788D"/>
    <w:rsid w:val="00A17A17"/>
    <w:rsid w:val="00A17BEF"/>
    <w:rsid w:val="00A17CC6"/>
    <w:rsid w:val="00A17ED3"/>
    <w:rsid w:val="00A20162"/>
    <w:rsid w:val="00A2017B"/>
    <w:rsid w:val="00A20240"/>
    <w:rsid w:val="00A20276"/>
    <w:rsid w:val="00A202FC"/>
    <w:rsid w:val="00A203BB"/>
    <w:rsid w:val="00A207EA"/>
    <w:rsid w:val="00A2084D"/>
    <w:rsid w:val="00A20DB5"/>
    <w:rsid w:val="00A20E07"/>
    <w:rsid w:val="00A2120F"/>
    <w:rsid w:val="00A212C9"/>
    <w:rsid w:val="00A213CF"/>
    <w:rsid w:val="00A215C0"/>
    <w:rsid w:val="00A21696"/>
    <w:rsid w:val="00A21843"/>
    <w:rsid w:val="00A21AEC"/>
    <w:rsid w:val="00A21F0A"/>
    <w:rsid w:val="00A21F37"/>
    <w:rsid w:val="00A21F44"/>
    <w:rsid w:val="00A22148"/>
    <w:rsid w:val="00A221F4"/>
    <w:rsid w:val="00A226C6"/>
    <w:rsid w:val="00A2275D"/>
    <w:rsid w:val="00A230B1"/>
    <w:rsid w:val="00A230FA"/>
    <w:rsid w:val="00A23180"/>
    <w:rsid w:val="00A2331A"/>
    <w:rsid w:val="00A23566"/>
    <w:rsid w:val="00A238CE"/>
    <w:rsid w:val="00A23A12"/>
    <w:rsid w:val="00A23A75"/>
    <w:rsid w:val="00A23A83"/>
    <w:rsid w:val="00A23B3D"/>
    <w:rsid w:val="00A23D69"/>
    <w:rsid w:val="00A23F5A"/>
    <w:rsid w:val="00A23F91"/>
    <w:rsid w:val="00A2411D"/>
    <w:rsid w:val="00A2437E"/>
    <w:rsid w:val="00A243C8"/>
    <w:rsid w:val="00A2458D"/>
    <w:rsid w:val="00A2466B"/>
    <w:rsid w:val="00A249A8"/>
    <w:rsid w:val="00A24A6A"/>
    <w:rsid w:val="00A24A97"/>
    <w:rsid w:val="00A24D08"/>
    <w:rsid w:val="00A24FE0"/>
    <w:rsid w:val="00A25062"/>
    <w:rsid w:val="00A25338"/>
    <w:rsid w:val="00A253BA"/>
    <w:rsid w:val="00A25402"/>
    <w:rsid w:val="00A25620"/>
    <w:rsid w:val="00A25654"/>
    <w:rsid w:val="00A25C77"/>
    <w:rsid w:val="00A26133"/>
    <w:rsid w:val="00A26351"/>
    <w:rsid w:val="00A26416"/>
    <w:rsid w:val="00A26584"/>
    <w:rsid w:val="00A2661F"/>
    <w:rsid w:val="00A26FA0"/>
    <w:rsid w:val="00A26FFC"/>
    <w:rsid w:val="00A27125"/>
    <w:rsid w:val="00A271BD"/>
    <w:rsid w:val="00A2731F"/>
    <w:rsid w:val="00A2741A"/>
    <w:rsid w:val="00A27481"/>
    <w:rsid w:val="00A274A2"/>
    <w:rsid w:val="00A2771A"/>
    <w:rsid w:val="00A279B1"/>
    <w:rsid w:val="00A27A28"/>
    <w:rsid w:val="00A27BB2"/>
    <w:rsid w:val="00A27C16"/>
    <w:rsid w:val="00A27DDD"/>
    <w:rsid w:val="00A27DEC"/>
    <w:rsid w:val="00A27F47"/>
    <w:rsid w:val="00A2F17B"/>
    <w:rsid w:val="00A301D5"/>
    <w:rsid w:val="00A3043F"/>
    <w:rsid w:val="00A30552"/>
    <w:rsid w:val="00A3081F"/>
    <w:rsid w:val="00A308C9"/>
    <w:rsid w:val="00A308F2"/>
    <w:rsid w:val="00A309A2"/>
    <w:rsid w:val="00A309CC"/>
    <w:rsid w:val="00A30D1A"/>
    <w:rsid w:val="00A30D7C"/>
    <w:rsid w:val="00A31270"/>
    <w:rsid w:val="00A314F0"/>
    <w:rsid w:val="00A317AB"/>
    <w:rsid w:val="00A3189F"/>
    <w:rsid w:val="00A318D7"/>
    <w:rsid w:val="00A318F7"/>
    <w:rsid w:val="00A31A76"/>
    <w:rsid w:val="00A31BCC"/>
    <w:rsid w:val="00A31EE4"/>
    <w:rsid w:val="00A32127"/>
    <w:rsid w:val="00A321B9"/>
    <w:rsid w:val="00A3226E"/>
    <w:rsid w:val="00A326BF"/>
    <w:rsid w:val="00A32863"/>
    <w:rsid w:val="00A32BC9"/>
    <w:rsid w:val="00A32D09"/>
    <w:rsid w:val="00A33034"/>
    <w:rsid w:val="00A337CE"/>
    <w:rsid w:val="00A3395E"/>
    <w:rsid w:val="00A339BB"/>
    <w:rsid w:val="00A33A0A"/>
    <w:rsid w:val="00A33A5B"/>
    <w:rsid w:val="00A33DFE"/>
    <w:rsid w:val="00A33E21"/>
    <w:rsid w:val="00A3402F"/>
    <w:rsid w:val="00A340B5"/>
    <w:rsid w:val="00A3418A"/>
    <w:rsid w:val="00A341D8"/>
    <w:rsid w:val="00A3430B"/>
    <w:rsid w:val="00A34364"/>
    <w:rsid w:val="00A343C1"/>
    <w:rsid w:val="00A3446F"/>
    <w:rsid w:val="00A34555"/>
    <w:rsid w:val="00A34A74"/>
    <w:rsid w:val="00A34B60"/>
    <w:rsid w:val="00A34C90"/>
    <w:rsid w:val="00A34D4B"/>
    <w:rsid w:val="00A34DB1"/>
    <w:rsid w:val="00A34F7B"/>
    <w:rsid w:val="00A35214"/>
    <w:rsid w:val="00A3579F"/>
    <w:rsid w:val="00A359A3"/>
    <w:rsid w:val="00A359BD"/>
    <w:rsid w:val="00A35F1B"/>
    <w:rsid w:val="00A35F56"/>
    <w:rsid w:val="00A36207"/>
    <w:rsid w:val="00A36232"/>
    <w:rsid w:val="00A36737"/>
    <w:rsid w:val="00A367FE"/>
    <w:rsid w:val="00A36946"/>
    <w:rsid w:val="00A36A81"/>
    <w:rsid w:val="00A36ABF"/>
    <w:rsid w:val="00A36B25"/>
    <w:rsid w:val="00A36C4D"/>
    <w:rsid w:val="00A36D43"/>
    <w:rsid w:val="00A3725C"/>
    <w:rsid w:val="00A374A3"/>
    <w:rsid w:val="00A3796B"/>
    <w:rsid w:val="00A37AA7"/>
    <w:rsid w:val="00A37D5B"/>
    <w:rsid w:val="00A40465"/>
    <w:rsid w:val="00A404B5"/>
    <w:rsid w:val="00A404C2"/>
    <w:rsid w:val="00A40542"/>
    <w:rsid w:val="00A407BE"/>
    <w:rsid w:val="00A40A41"/>
    <w:rsid w:val="00A40B2E"/>
    <w:rsid w:val="00A40C02"/>
    <w:rsid w:val="00A40CE1"/>
    <w:rsid w:val="00A40DBE"/>
    <w:rsid w:val="00A40F00"/>
    <w:rsid w:val="00A41256"/>
    <w:rsid w:val="00A41290"/>
    <w:rsid w:val="00A4135B"/>
    <w:rsid w:val="00A415BB"/>
    <w:rsid w:val="00A4178E"/>
    <w:rsid w:val="00A41B9D"/>
    <w:rsid w:val="00A41BE3"/>
    <w:rsid w:val="00A41E1F"/>
    <w:rsid w:val="00A41F5C"/>
    <w:rsid w:val="00A4202B"/>
    <w:rsid w:val="00A42070"/>
    <w:rsid w:val="00A42104"/>
    <w:rsid w:val="00A42166"/>
    <w:rsid w:val="00A422C8"/>
    <w:rsid w:val="00A42430"/>
    <w:rsid w:val="00A42612"/>
    <w:rsid w:val="00A42BAB"/>
    <w:rsid w:val="00A43200"/>
    <w:rsid w:val="00A4326B"/>
    <w:rsid w:val="00A432D7"/>
    <w:rsid w:val="00A43408"/>
    <w:rsid w:val="00A43AA1"/>
    <w:rsid w:val="00A43B0D"/>
    <w:rsid w:val="00A43D88"/>
    <w:rsid w:val="00A43E02"/>
    <w:rsid w:val="00A43E2C"/>
    <w:rsid w:val="00A4417B"/>
    <w:rsid w:val="00A4424F"/>
    <w:rsid w:val="00A446BA"/>
    <w:rsid w:val="00A44D4A"/>
    <w:rsid w:val="00A44D76"/>
    <w:rsid w:val="00A4500A"/>
    <w:rsid w:val="00A4520D"/>
    <w:rsid w:val="00A4527D"/>
    <w:rsid w:val="00A4539D"/>
    <w:rsid w:val="00A4540D"/>
    <w:rsid w:val="00A45735"/>
    <w:rsid w:val="00A45A04"/>
    <w:rsid w:val="00A45C6B"/>
    <w:rsid w:val="00A45E62"/>
    <w:rsid w:val="00A45F58"/>
    <w:rsid w:val="00A461D2"/>
    <w:rsid w:val="00A46209"/>
    <w:rsid w:val="00A46240"/>
    <w:rsid w:val="00A463D6"/>
    <w:rsid w:val="00A4653A"/>
    <w:rsid w:val="00A4655D"/>
    <w:rsid w:val="00A4677C"/>
    <w:rsid w:val="00A467AB"/>
    <w:rsid w:val="00A46976"/>
    <w:rsid w:val="00A46A10"/>
    <w:rsid w:val="00A46A6B"/>
    <w:rsid w:val="00A46C5C"/>
    <w:rsid w:val="00A46CEB"/>
    <w:rsid w:val="00A46D2F"/>
    <w:rsid w:val="00A46DF6"/>
    <w:rsid w:val="00A472E5"/>
    <w:rsid w:val="00A473B2"/>
    <w:rsid w:val="00A474F7"/>
    <w:rsid w:val="00A47908"/>
    <w:rsid w:val="00A4790B"/>
    <w:rsid w:val="00A47A17"/>
    <w:rsid w:val="00A47D92"/>
    <w:rsid w:val="00A47DEA"/>
    <w:rsid w:val="00A47E45"/>
    <w:rsid w:val="00A501EF"/>
    <w:rsid w:val="00A502C1"/>
    <w:rsid w:val="00A50477"/>
    <w:rsid w:val="00A506BD"/>
    <w:rsid w:val="00A5082E"/>
    <w:rsid w:val="00A5093B"/>
    <w:rsid w:val="00A50A2A"/>
    <w:rsid w:val="00A50A73"/>
    <w:rsid w:val="00A50C50"/>
    <w:rsid w:val="00A50CEB"/>
    <w:rsid w:val="00A50D35"/>
    <w:rsid w:val="00A50EC9"/>
    <w:rsid w:val="00A50F87"/>
    <w:rsid w:val="00A51004"/>
    <w:rsid w:val="00A51151"/>
    <w:rsid w:val="00A5124D"/>
    <w:rsid w:val="00A513EA"/>
    <w:rsid w:val="00A5154B"/>
    <w:rsid w:val="00A5185D"/>
    <w:rsid w:val="00A51968"/>
    <w:rsid w:val="00A5198B"/>
    <w:rsid w:val="00A51B55"/>
    <w:rsid w:val="00A51C53"/>
    <w:rsid w:val="00A51EB2"/>
    <w:rsid w:val="00A5200C"/>
    <w:rsid w:val="00A52073"/>
    <w:rsid w:val="00A5226B"/>
    <w:rsid w:val="00A5234E"/>
    <w:rsid w:val="00A52397"/>
    <w:rsid w:val="00A523B3"/>
    <w:rsid w:val="00A523EE"/>
    <w:rsid w:val="00A52434"/>
    <w:rsid w:val="00A52569"/>
    <w:rsid w:val="00A526BE"/>
    <w:rsid w:val="00A526CC"/>
    <w:rsid w:val="00A528AD"/>
    <w:rsid w:val="00A52BC8"/>
    <w:rsid w:val="00A52D8C"/>
    <w:rsid w:val="00A52D94"/>
    <w:rsid w:val="00A53170"/>
    <w:rsid w:val="00A532CE"/>
    <w:rsid w:val="00A53402"/>
    <w:rsid w:val="00A5350A"/>
    <w:rsid w:val="00A53512"/>
    <w:rsid w:val="00A5351F"/>
    <w:rsid w:val="00A535B1"/>
    <w:rsid w:val="00A53916"/>
    <w:rsid w:val="00A53955"/>
    <w:rsid w:val="00A53985"/>
    <w:rsid w:val="00A53A0F"/>
    <w:rsid w:val="00A53D22"/>
    <w:rsid w:val="00A53F33"/>
    <w:rsid w:val="00A53FC8"/>
    <w:rsid w:val="00A53FEB"/>
    <w:rsid w:val="00A5422E"/>
    <w:rsid w:val="00A5433F"/>
    <w:rsid w:val="00A54359"/>
    <w:rsid w:val="00A54483"/>
    <w:rsid w:val="00A54763"/>
    <w:rsid w:val="00A5481D"/>
    <w:rsid w:val="00A549D8"/>
    <w:rsid w:val="00A54ACA"/>
    <w:rsid w:val="00A54B55"/>
    <w:rsid w:val="00A54EAD"/>
    <w:rsid w:val="00A5507D"/>
    <w:rsid w:val="00A55173"/>
    <w:rsid w:val="00A5520E"/>
    <w:rsid w:val="00A55273"/>
    <w:rsid w:val="00A552F4"/>
    <w:rsid w:val="00A5536F"/>
    <w:rsid w:val="00A5547D"/>
    <w:rsid w:val="00A55551"/>
    <w:rsid w:val="00A55687"/>
    <w:rsid w:val="00A557A9"/>
    <w:rsid w:val="00A55A93"/>
    <w:rsid w:val="00A55AEA"/>
    <w:rsid w:val="00A55B40"/>
    <w:rsid w:val="00A55C55"/>
    <w:rsid w:val="00A55CCC"/>
    <w:rsid w:val="00A55D62"/>
    <w:rsid w:val="00A55DF2"/>
    <w:rsid w:val="00A56108"/>
    <w:rsid w:val="00A56143"/>
    <w:rsid w:val="00A561B2"/>
    <w:rsid w:val="00A5623F"/>
    <w:rsid w:val="00A56287"/>
    <w:rsid w:val="00A562B5"/>
    <w:rsid w:val="00A56304"/>
    <w:rsid w:val="00A56320"/>
    <w:rsid w:val="00A5691A"/>
    <w:rsid w:val="00A5696B"/>
    <w:rsid w:val="00A56E98"/>
    <w:rsid w:val="00A56EA0"/>
    <w:rsid w:val="00A56F9F"/>
    <w:rsid w:val="00A57462"/>
    <w:rsid w:val="00A5764C"/>
    <w:rsid w:val="00A57D97"/>
    <w:rsid w:val="00A6019D"/>
    <w:rsid w:val="00A602D2"/>
    <w:rsid w:val="00A6034F"/>
    <w:rsid w:val="00A60694"/>
    <w:rsid w:val="00A60879"/>
    <w:rsid w:val="00A609B7"/>
    <w:rsid w:val="00A60A20"/>
    <w:rsid w:val="00A60AAF"/>
    <w:rsid w:val="00A60C40"/>
    <w:rsid w:val="00A60C91"/>
    <w:rsid w:val="00A60CE2"/>
    <w:rsid w:val="00A60CF9"/>
    <w:rsid w:val="00A60DA1"/>
    <w:rsid w:val="00A60E1F"/>
    <w:rsid w:val="00A610A3"/>
    <w:rsid w:val="00A6122A"/>
    <w:rsid w:val="00A6131B"/>
    <w:rsid w:val="00A61465"/>
    <w:rsid w:val="00A61918"/>
    <w:rsid w:val="00A61AAE"/>
    <w:rsid w:val="00A61ABC"/>
    <w:rsid w:val="00A61C66"/>
    <w:rsid w:val="00A61DAA"/>
    <w:rsid w:val="00A61E5F"/>
    <w:rsid w:val="00A6232E"/>
    <w:rsid w:val="00A62386"/>
    <w:rsid w:val="00A623E3"/>
    <w:rsid w:val="00A624A4"/>
    <w:rsid w:val="00A62632"/>
    <w:rsid w:val="00A627F2"/>
    <w:rsid w:val="00A62860"/>
    <w:rsid w:val="00A62940"/>
    <w:rsid w:val="00A62B67"/>
    <w:rsid w:val="00A62BD1"/>
    <w:rsid w:val="00A62C67"/>
    <w:rsid w:val="00A62C94"/>
    <w:rsid w:val="00A6302D"/>
    <w:rsid w:val="00A630E1"/>
    <w:rsid w:val="00A6319D"/>
    <w:rsid w:val="00A63389"/>
    <w:rsid w:val="00A63496"/>
    <w:rsid w:val="00A6372F"/>
    <w:rsid w:val="00A63D59"/>
    <w:rsid w:val="00A63E4C"/>
    <w:rsid w:val="00A641A1"/>
    <w:rsid w:val="00A6452F"/>
    <w:rsid w:val="00A6482A"/>
    <w:rsid w:val="00A648A8"/>
    <w:rsid w:val="00A64D99"/>
    <w:rsid w:val="00A64E7D"/>
    <w:rsid w:val="00A65222"/>
    <w:rsid w:val="00A65477"/>
    <w:rsid w:val="00A65664"/>
    <w:rsid w:val="00A656EF"/>
    <w:rsid w:val="00A6578D"/>
    <w:rsid w:val="00A65A2F"/>
    <w:rsid w:val="00A65B34"/>
    <w:rsid w:val="00A65BAF"/>
    <w:rsid w:val="00A65BDB"/>
    <w:rsid w:val="00A65C0D"/>
    <w:rsid w:val="00A65C34"/>
    <w:rsid w:val="00A65CA5"/>
    <w:rsid w:val="00A65E00"/>
    <w:rsid w:val="00A65EE3"/>
    <w:rsid w:val="00A66068"/>
    <w:rsid w:val="00A660E1"/>
    <w:rsid w:val="00A6615B"/>
    <w:rsid w:val="00A662E3"/>
    <w:rsid w:val="00A6665E"/>
    <w:rsid w:val="00A66A47"/>
    <w:rsid w:val="00A66AAE"/>
    <w:rsid w:val="00A66AE4"/>
    <w:rsid w:val="00A66CD4"/>
    <w:rsid w:val="00A66CF4"/>
    <w:rsid w:val="00A66DB4"/>
    <w:rsid w:val="00A66F2E"/>
    <w:rsid w:val="00A672E3"/>
    <w:rsid w:val="00A6739E"/>
    <w:rsid w:val="00A675FF"/>
    <w:rsid w:val="00A67686"/>
    <w:rsid w:val="00A677C5"/>
    <w:rsid w:val="00A6783D"/>
    <w:rsid w:val="00A6786B"/>
    <w:rsid w:val="00A67875"/>
    <w:rsid w:val="00A67921"/>
    <w:rsid w:val="00A67963"/>
    <w:rsid w:val="00A679DE"/>
    <w:rsid w:val="00A67A64"/>
    <w:rsid w:val="00A67EDA"/>
    <w:rsid w:val="00A7000E"/>
    <w:rsid w:val="00A700EC"/>
    <w:rsid w:val="00A7064D"/>
    <w:rsid w:val="00A70869"/>
    <w:rsid w:val="00A70904"/>
    <w:rsid w:val="00A70B74"/>
    <w:rsid w:val="00A70DC5"/>
    <w:rsid w:val="00A70FA1"/>
    <w:rsid w:val="00A71064"/>
    <w:rsid w:val="00A71161"/>
    <w:rsid w:val="00A71567"/>
    <w:rsid w:val="00A715C6"/>
    <w:rsid w:val="00A71859"/>
    <w:rsid w:val="00A71A0A"/>
    <w:rsid w:val="00A71A70"/>
    <w:rsid w:val="00A7204C"/>
    <w:rsid w:val="00A720A8"/>
    <w:rsid w:val="00A725C0"/>
    <w:rsid w:val="00A72713"/>
    <w:rsid w:val="00A727DA"/>
    <w:rsid w:val="00A72A38"/>
    <w:rsid w:val="00A72B8E"/>
    <w:rsid w:val="00A72CF7"/>
    <w:rsid w:val="00A72E3D"/>
    <w:rsid w:val="00A733C7"/>
    <w:rsid w:val="00A735A6"/>
    <w:rsid w:val="00A7382E"/>
    <w:rsid w:val="00A73846"/>
    <w:rsid w:val="00A7384D"/>
    <w:rsid w:val="00A738C5"/>
    <w:rsid w:val="00A73DE9"/>
    <w:rsid w:val="00A74071"/>
    <w:rsid w:val="00A74228"/>
    <w:rsid w:val="00A74322"/>
    <w:rsid w:val="00A7437C"/>
    <w:rsid w:val="00A74412"/>
    <w:rsid w:val="00A747E5"/>
    <w:rsid w:val="00A748B5"/>
    <w:rsid w:val="00A749FB"/>
    <w:rsid w:val="00A74A15"/>
    <w:rsid w:val="00A74B4D"/>
    <w:rsid w:val="00A74D60"/>
    <w:rsid w:val="00A74DFC"/>
    <w:rsid w:val="00A74F75"/>
    <w:rsid w:val="00A750A6"/>
    <w:rsid w:val="00A7527A"/>
    <w:rsid w:val="00A7528A"/>
    <w:rsid w:val="00A75341"/>
    <w:rsid w:val="00A753AC"/>
    <w:rsid w:val="00A75773"/>
    <w:rsid w:val="00A757F9"/>
    <w:rsid w:val="00A7658B"/>
    <w:rsid w:val="00A7668B"/>
    <w:rsid w:val="00A76D26"/>
    <w:rsid w:val="00A77190"/>
    <w:rsid w:val="00A772CA"/>
    <w:rsid w:val="00A774A9"/>
    <w:rsid w:val="00A77811"/>
    <w:rsid w:val="00A77DA4"/>
    <w:rsid w:val="00A77E67"/>
    <w:rsid w:val="00A77EF4"/>
    <w:rsid w:val="00A77F8E"/>
    <w:rsid w:val="00A77F9B"/>
    <w:rsid w:val="00A80083"/>
    <w:rsid w:val="00A802E0"/>
    <w:rsid w:val="00A8032B"/>
    <w:rsid w:val="00A80525"/>
    <w:rsid w:val="00A805E3"/>
    <w:rsid w:val="00A8073F"/>
    <w:rsid w:val="00A8089C"/>
    <w:rsid w:val="00A80A5B"/>
    <w:rsid w:val="00A80AE9"/>
    <w:rsid w:val="00A80AF6"/>
    <w:rsid w:val="00A80EFB"/>
    <w:rsid w:val="00A80F6D"/>
    <w:rsid w:val="00A810CE"/>
    <w:rsid w:val="00A8129A"/>
    <w:rsid w:val="00A812EA"/>
    <w:rsid w:val="00A81374"/>
    <w:rsid w:val="00A81BBB"/>
    <w:rsid w:val="00A81CC9"/>
    <w:rsid w:val="00A8209A"/>
    <w:rsid w:val="00A82227"/>
    <w:rsid w:val="00A82323"/>
    <w:rsid w:val="00A82367"/>
    <w:rsid w:val="00A8250F"/>
    <w:rsid w:val="00A825C0"/>
    <w:rsid w:val="00A826E5"/>
    <w:rsid w:val="00A82801"/>
    <w:rsid w:val="00A82B7A"/>
    <w:rsid w:val="00A82C1D"/>
    <w:rsid w:val="00A82C78"/>
    <w:rsid w:val="00A830E3"/>
    <w:rsid w:val="00A832AF"/>
    <w:rsid w:val="00A83327"/>
    <w:rsid w:val="00A833F8"/>
    <w:rsid w:val="00A834B9"/>
    <w:rsid w:val="00A835B0"/>
    <w:rsid w:val="00A837E3"/>
    <w:rsid w:val="00A839EC"/>
    <w:rsid w:val="00A83CDC"/>
    <w:rsid w:val="00A83E8A"/>
    <w:rsid w:val="00A83EB3"/>
    <w:rsid w:val="00A83F10"/>
    <w:rsid w:val="00A83F49"/>
    <w:rsid w:val="00A84099"/>
    <w:rsid w:val="00A840F5"/>
    <w:rsid w:val="00A84163"/>
    <w:rsid w:val="00A841F4"/>
    <w:rsid w:val="00A84514"/>
    <w:rsid w:val="00A8461B"/>
    <w:rsid w:val="00A84713"/>
    <w:rsid w:val="00A84C1F"/>
    <w:rsid w:val="00A84C53"/>
    <w:rsid w:val="00A84E4B"/>
    <w:rsid w:val="00A85078"/>
    <w:rsid w:val="00A851F3"/>
    <w:rsid w:val="00A853E5"/>
    <w:rsid w:val="00A855F8"/>
    <w:rsid w:val="00A85614"/>
    <w:rsid w:val="00A856CE"/>
    <w:rsid w:val="00A85753"/>
    <w:rsid w:val="00A858C9"/>
    <w:rsid w:val="00A85AAB"/>
    <w:rsid w:val="00A85B53"/>
    <w:rsid w:val="00A85BB0"/>
    <w:rsid w:val="00A85C39"/>
    <w:rsid w:val="00A85ECB"/>
    <w:rsid w:val="00A85F8F"/>
    <w:rsid w:val="00A860E7"/>
    <w:rsid w:val="00A8633B"/>
    <w:rsid w:val="00A864A2"/>
    <w:rsid w:val="00A86534"/>
    <w:rsid w:val="00A865F1"/>
    <w:rsid w:val="00A86832"/>
    <w:rsid w:val="00A8687A"/>
    <w:rsid w:val="00A86A8E"/>
    <w:rsid w:val="00A87085"/>
    <w:rsid w:val="00A872D0"/>
    <w:rsid w:val="00A872F5"/>
    <w:rsid w:val="00A87521"/>
    <w:rsid w:val="00A87666"/>
    <w:rsid w:val="00A876CD"/>
    <w:rsid w:val="00A876D3"/>
    <w:rsid w:val="00A87BE7"/>
    <w:rsid w:val="00A87DD6"/>
    <w:rsid w:val="00A87E69"/>
    <w:rsid w:val="00A87EB5"/>
    <w:rsid w:val="00A87F13"/>
    <w:rsid w:val="00A90723"/>
    <w:rsid w:val="00A90738"/>
    <w:rsid w:val="00A9075F"/>
    <w:rsid w:val="00A90A21"/>
    <w:rsid w:val="00A90C60"/>
    <w:rsid w:val="00A90CE5"/>
    <w:rsid w:val="00A90EFD"/>
    <w:rsid w:val="00A90F90"/>
    <w:rsid w:val="00A910CB"/>
    <w:rsid w:val="00A9118B"/>
    <w:rsid w:val="00A912F7"/>
    <w:rsid w:val="00A91388"/>
    <w:rsid w:val="00A91554"/>
    <w:rsid w:val="00A915B6"/>
    <w:rsid w:val="00A91607"/>
    <w:rsid w:val="00A916BA"/>
    <w:rsid w:val="00A91965"/>
    <w:rsid w:val="00A91A25"/>
    <w:rsid w:val="00A91A74"/>
    <w:rsid w:val="00A91C4B"/>
    <w:rsid w:val="00A91CF0"/>
    <w:rsid w:val="00A91DC3"/>
    <w:rsid w:val="00A91E6C"/>
    <w:rsid w:val="00A92117"/>
    <w:rsid w:val="00A921E3"/>
    <w:rsid w:val="00A9221E"/>
    <w:rsid w:val="00A9229F"/>
    <w:rsid w:val="00A92391"/>
    <w:rsid w:val="00A9246C"/>
    <w:rsid w:val="00A92688"/>
    <w:rsid w:val="00A926F2"/>
    <w:rsid w:val="00A9276B"/>
    <w:rsid w:val="00A9288D"/>
    <w:rsid w:val="00A92899"/>
    <w:rsid w:val="00A929F0"/>
    <w:rsid w:val="00A92C54"/>
    <w:rsid w:val="00A92CBC"/>
    <w:rsid w:val="00A92D1C"/>
    <w:rsid w:val="00A92DBD"/>
    <w:rsid w:val="00A92DDF"/>
    <w:rsid w:val="00A92E50"/>
    <w:rsid w:val="00A92F1A"/>
    <w:rsid w:val="00A9337E"/>
    <w:rsid w:val="00A93441"/>
    <w:rsid w:val="00A93700"/>
    <w:rsid w:val="00A939C5"/>
    <w:rsid w:val="00A93BA9"/>
    <w:rsid w:val="00A94034"/>
    <w:rsid w:val="00A94279"/>
    <w:rsid w:val="00A9433E"/>
    <w:rsid w:val="00A9440C"/>
    <w:rsid w:val="00A945F8"/>
    <w:rsid w:val="00A94664"/>
    <w:rsid w:val="00A94674"/>
    <w:rsid w:val="00A9485C"/>
    <w:rsid w:val="00A94B5B"/>
    <w:rsid w:val="00A94C0A"/>
    <w:rsid w:val="00A94D02"/>
    <w:rsid w:val="00A94F04"/>
    <w:rsid w:val="00A94F96"/>
    <w:rsid w:val="00A94FA2"/>
    <w:rsid w:val="00A951A0"/>
    <w:rsid w:val="00A954E0"/>
    <w:rsid w:val="00A95614"/>
    <w:rsid w:val="00A9563D"/>
    <w:rsid w:val="00A956A6"/>
    <w:rsid w:val="00A956B4"/>
    <w:rsid w:val="00A959D2"/>
    <w:rsid w:val="00A95C15"/>
    <w:rsid w:val="00A95ECA"/>
    <w:rsid w:val="00A96216"/>
    <w:rsid w:val="00A96319"/>
    <w:rsid w:val="00A9651B"/>
    <w:rsid w:val="00A9670C"/>
    <w:rsid w:val="00A96878"/>
    <w:rsid w:val="00A96B87"/>
    <w:rsid w:val="00A96E90"/>
    <w:rsid w:val="00A96F86"/>
    <w:rsid w:val="00A97473"/>
    <w:rsid w:val="00A979DC"/>
    <w:rsid w:val="00A97A39"/>
    <w:rsid w:val="00A97A86"/>
    <w:rsid w:val="00A97C55"/>
    <w:rsid w:val="00A97CDD"/>
    <w:rsid w:val="00A97D5B"/>
    <w:rsid w:val="00A97DE9"/>
    <w:rsid w:val="00A97EEC"/>
    <w:rsid w:val="00AA006B"/>
    <w:rsid w:val="00AA00F7"/>
    <w:rsid w:val="00AA01C6"/>
    <w:rsid w:val="00AA0219"/>
    <w:rsid w:val="00AA0389"/>
    <w:rsid w:val="00AA0392"/>
    <w:rsid w:val="00AA0589"/>
    <w:rsid w:val="00AA05D4"/>
    <w:rsid w:val="00AA06B2"/>
    <w:rsid w:val="00AA0961"/>
    <w:rsid w:val="00AA0B7E"/>
    <w:rsid w:val="00AA0BEF"/>
    <w:rsid w:val="00AA0C08"/>
    <w:rsid w:val="00AA0D6A"/>
    <w:rsid w:val="00AA0D6B"/>
    <w:rsid w:val="00AA0D70"/>
    <w:rsid w:val="00AA0FCB"/>
    <w:rsid w:val="00AA10BC"/>
    <w:rsid w:val="00AA121F"/>
    <w:rsid w:val="00AA1447"/>
    <w:rsid w:val="00AA17DD"/>
    <w:rsid w:val="00AA1A36"/>
    <w:rsid w:val="00AA1BB0"/>
    <w:rsid w:val="00AA1DDD"/>
    <w:rsid w:val="00AA1FCB"/>
    <w:rsid w:val="00AA1FD6"/>
    <w:rsid w:val="00AA2105"/>
    <w:rsid w:val="00AA21CF"/>
    <w:rsid w:val="00AA21D6"/>
    <w:rsid w:val="00AA2219"/>
    <w:rsid w:val="00AA222A"/>
    <w:rsid w:val="00AA2599"/>
    <w:rsid w:val="00AA260B"/>
    <w:rsid w:val="00AA267D"/>
    <w:rsid w:val="00AA271F"/>
    <w:rsid w:val="00AA27DC"/>
    <w:rsid w:val="00AA2B1E"/>
    <w:rsid w:val="00AA2D10"/>
    <w:rsid w:val="00AA2DFC"/>
    <w:rsid w:val="00AA3046"/>
    <w:rsid w:val="00AA30D0"/>
    <w:rsid w:val="00AA31C5"/>
    <w:rsid w:val="00AA31F5"/>
    <w:rsid w:val="00AA32A6"/>
    <w:rsid w:val="00AA3359"/>
    <w:rsid w:val="00AA37B9"/>
    <w:rsid w:val="00AA3943"/>
    <w:rsid w:val="00AA3AB9"/>
    <w:rsid w:val="00AA3B23"/>
    <w:rsid w:val="00AA3EBE"/>
    <w:rsid w:val="00AA3F46"/>
    <w:rsid w:val="00AA4078"/>
    <w:rsid w:val="00AA447E"/>
    <w:rsid w:val="00AA4485"/>
    <w:rsid w:val="00AA44DA"/>
    <w:rsid w:val="00AA4A33"/>
    <w:rsid w:val="00AA4C16"/>
    <w:rsid w:val="00AA4C2B"/>
    <w:rsid w:val="00AA4C34"/>
    <w:rsid w:val="00AA4CDF"/>
    <w:rsid w:val="00AA4FD3"/>
    <w:rsid w:val="00AA57E0"/>
    <w:rsid w:val="00AA5809"/>
    <w:rsid w:val="00AA59C4"/>
    <w:rsid w:val="00AA59CB"/>
    <w:rsid w:val="00AA5B48"/>
    <w:rsid w:val="00AA5BFC"/>
    <w:rsid w:val="00AA5D03"/>
    <w:rsid w:val="00AA6224"/>
    <w:rsid w:val="00AA6523"/>
    <w:rsid w:val="00AA66D0"/>
    <w:rsid w:val="00AA679D"/>
    <w:rsid w:val="00AA7079"/>
    <w:rsid w:val="00AA7673"/>
    <w:rsid w:val="00AA79B5"/>
    <w:rsid w:val="00AA7AF5"/>
    <w:rsid w:val="00AA7C71"/>
    <w:rsid w:val="00AA7D83"/>
    <w:rsid w:val="00AA7DD7"/>
    <w:rsid w:val="00AA7FC8"/>
    <w:rsid w:val="00AB01C9"/>
    <w:rsid w:val="00AB0263"/>
    <w:rsid w:val="00AB043E"/>
    <w:rsid w:val="00AB05BC"/>
    <w:rsid w:val="00AB07F3"/>
    <w:rsid w:val="00AB090D"/>
    <w:rsid w:val="00AB0923"/>
    <w:rsid w:val="00AB0958"/>
    <w:rsid w:val="00AB0DA8"/>
    <w:rsid w:val="00AB0DE2"/>
    <w:rsid w:val="00AB103C"/>
    <w:rsid w:val="00AB11FE"/>
    <w:rsid w:val="00AB1317"/>
    <w:rsid w:val="00AB1461"/>
    <w:rsid w:val="00AB147E"/>
    <w:rsid w:val="00AB1528"/>
    <w:rsid w:val="00AB16E5"/>
    <w:rsid w:val="00AB1AFE"/>
    <w:rsid w:val="00AB1B4D"/>
    <w:rsid w:val="00AB2052"/>
    <w:rsid w:val="00AB2068"/>
    <w:rsid w:val="00AB2102"/>
    <w:rsid w:val="00AB2197"/>
    <w:rsid w:val="00AB21A0"/>
    <w:rsid w:val="00AB21D3"/>
    <w:rsid w:val="00AB21F7"/>
    <w:rsid w:val="00AB2438"/>
    <w:rsid w:val="00AB24FD"/>
    <w:rsid w:val="00AB2597"/>
    <w:rsid w:val="00AB2768"/>
    <w:rsid w:val="00AB278F"/>
    <w:rsid w:val="00AB2809"/>
    <w:rsid w:val="00AB290F"/>
    <w:rsid w:val="00AB2A3E"/>
    <w:rsid w:val="00AB2A65"/>
    <w:rsid w:val="00AB2EB9"/>
    <w:rsid w:val="00AB3228"/>
    <w:rsid w:val="00AB324F"/>
    <w:rsid w:val="00AB3479"/>
    <w:rsid w:val="00AB350D"/>
    <w:rsid w:val="00AB367D"/>
    <w:rsid w:val="00AB387A"/>
    <w:rsid w:val="00AB395A"/>
    <w:rsid w:val="00AB3A29"/>
    <w:rsid w:val="00AB3F0C"/>
    <w:rsid w:val="00AB407D"/>
    <w:rsid w:val="00AB4143"/>
    <w:rsid w:val="00AB419D"/>
    <w:rsid w:val="00AB42E9"/>
    <w:rsid w:val="00AB432A"/>
    <w:rsid w:val="00AB4455"/>
    <w:rsid w:val="00AB44E8"/>
    <w:rsid w:val="00AB4879"/>
    <w:rsid w:val="00AB4A34"/>
    <w:rsid w:val="00AB4C8A"/>
    <w:rsid w:val="00AB4CF4"/>
    <w:rsid w:val="00AB4D0D"/>
    <w:rsid w:val="00AB4F39"/>
    <w:rsid w:val="00AB4FD6"/>
    <w:rsid w:val="00AB504E"/>
    <w:rsid w:val="00AB5197"/>
    <w:rsid w:val="00AB53BA"/>
    <w:rsid w:val="00AB594E"/>
    <w:rsid w:val="00AB59E1"/>
    <w:rsid w:val="00AB5A24"/>
    <w:rsid w:val="00AB5EAB"/>
    <w:rsid w:val="00AB5EF8"/>
    <w:rsid w:val="00AB61F5"/>
    <w:rsid w:val="00AB6554"/>
    <w:rsid w:val="00AB66DC"/>
    <w:rsid w:val="00AB67BD"/>
    <w:rsid w:val="00AB68F4"/>
    <w:rsid w:val="00AB6B64"/>
    <w:rsid w:val="00AB6CBF"/>
    <w:rsid w:val="00AB6D32"/>
    <w:rsid w:val="00AB6DA2"/>
    <w:rsid w:val="00AB6EAC"/>
    <w:rsid w:val="00AB7243"/>
    <w:rsid w:val="00AB73E1"/>
    <w:rsid w:val="00AB74A4"/>
    <w:rsid w:val="00AB767A"/>
    <w:rsid w:val="00AB773F"/>
    <w:rsid w:val="00AB7838"/>
    <w:rsid w:val="00AB78A7"/>
    <w:rsid w:val="00AB7C77"/>
    <w:rsid w:val="00AB7C9C"/>
    <w:rsid w:val="00AB7CFF"/>
    <w:rsid w:val="00AC0240"/>
    <w:rsid w:val="00AC061E"/>
    <w:rsid w:val="00AC078B"/>
    <w:rsid w:val="00AC142E"/>
    <w:rsid w:val="00AC14B6"/>
    <w:rsid w:val="00AC14B7"/>
    <w:rsid w:val="00AC1675"/>
    <w:rsid w:val="00AC1682"/>
    <w:rsid w:val="00AC1E74"/>
    <w:rsid w:val="00AC1F86"/>
    <w:rsid w:val="00AC1FCE"/>
    <w:rsid w:val="00AC2001"/>
    <w:rsid w:val="00AC2261"/>
    <w:rsid w:val="00AC242B"/>
    <w:rsid w:val="00AC25A3"/>
    <w:rsid w:val="00AC2743"/>
    <w:rsid w:val="00AC27BF"/>
    <w:rsid w:val="00AC2851"/>
    <w:rsid w:val="00AC29AB"/>
    <w:rsid w:val="00AC2B0D"/>
    <w:rsid w:val="00AC2EC5"/>
    <w:rsid w:val="00AC2F50"/>
    <w:rsid w:val="00AC3006"/>
    <w:rsid w:val="00AC3331"/>
    <w:rsid w:val="00AC3509"/>
    <w:rsid w:val="00AC3700"/>
    <w:rsid w:val="00AC371F"/>
    <w:rsid w:val="00AC3A65"/>
    <w:rsid w:val="00AC3C62"/>
    <w:rsid w:val="00AC3C84"/>
    <w:rsid w:val="00AC3CBF"/>
    <w:rsid w:val="00AC3F77"/>
    <w:rsid w:val="00AC3FC5"/>
    <w:rsid w:val="00AC4300"/>
    <w:rsid w:val="00AC434E"/>
    <w:rsid w:val="00AC4405"/>
    <w:rsid w:val="00AC45AB"/>
    <w:rsid w:val="00AC4674"/>
    <w:rsid w:val="00AC477B"/>
    <w:rsid w:val="00AC478A"/>
    <w:rsid w:val="00AC491A"/>
    <w:rsid w:val="00AC49A1"/>
    <w:rsid w:val="00AC49AC"/>
    <w:rsid w:val="00AC4A41"/>
    <w:rsid w:val="00AC4A67"/>
    <w:rsid w:val="00AC4F10"/>
    <w:rsid w:val="00AC4F61"/>
    <w:rsid w:val="00AC5029"/>
    <w:rsid w:val="00AC5036"/>
    <w:rsid w:val="00AC5097"/>
    <w:rsid w:val="00AC51AA"/>
    <w:rsid w:val="00AC5272"/>
    <w:rsid w:val="00AC57E5"/>
    <w:rsid w:val="00AC5A76"/>
    <w:rsid w:val="00AC5D43"/>
    <w:rsid w:val="00AC5F8E"/>
    <w:rsid w:val="00AC5FD3"/>
    <w:rsid w:val="00AC619B"/>
    <w:rsid w:val="00AC625D"/>
    <w:rsid w:val="00AC6388"/>
    <w:rsid w:val="00AC6431"/>
    <w:rsid w:val="00AC65BC"/>
    <w:rsid w:val="00AC6679"/>
    <w:rsid w:val="00AC672B"/>
    <w:rsid w:val="00AC687F"/>
    <w:rsid w:val="00AC693F"/>
    <w:rsid w:val="00AC6BD4"/>
    <w:rsid w:val="00AC6FB7"/>
    <w:rsid w:val="00AC7071"/>
    <w:rsid w:val="00AC7671"/>
    <w:rsid w:val="00AC771B"/>
    <w:rsid w:val="00AC7841"/>
    <w:rsid w:val="00AC7CF4"/>
    <w:rsid w:val="00AC7D58"/>
    <w:rsid w:val="00AC7E10"/>
    <w:rsid w:val="00AC7E61"/>
    <w:rsid w:val="00AC7F18"/>
    <w:rsid w:val="00AD0214"/>
    <w:rsid w:val="00AD0328"/>
    <w:rsid w:val="00AD0329"/>
    <w:rsid w:val="00AD0482"/>
    <w:rsid w:val="00AD06BC"/>
    <w:rsid w:val="00AD0B1B"/>
    <w:rsid w:val="00AD0BFC"/>
    <w:rsid w:val="00AD0C4D"/>
    <w:rsid w:val="00AD0D0B"/>
    <w:rsid w:val="00AD1230"/>
    <w:rsid w:val="00AD12EF"/>
    <w:rsid w:val="00AD151F"/>
    <w:rsid w:val="00AD17D3"/>
    <w:rsid w:val="00AD19D7"/>
    <w:rsid w:val="00AD1B57"/>
    <w:rsid w:val="00AD1B5F"/>
    <w:rsid w:val="00AD1E65"/>
    <w:rsid w:val="00AD1F23"/>
    <w:rsid w:val="00AD20BA"/>
    <w:rsid w:val="00AD24DE"/>
    <w:rsid w:val="00AD25A9"/>
    <w:rsid w:val="00AD26BA"/>
    <w:rsid w:val="00AD297E"/>
    <w:rsid w:val="00AD2C81"/>
    <w:rsid w:val="00AD2C97"/>
    <w:rsid w:val="00AD2F91"/>
    <w:rsid w:val="00AD3002"/>
    <w:rsid w:val="00AD30DE"/>
    <w:rsid w:val="00AD32E8"/>
    <w:rsid w:val="00AD366D"/>
    <w:rsid w:val="00AD3891"/>
    <w:rsid w:val="00AD3986"/>
    <w:rsid w:val="00AD3B2A"/>
    <w:rsid w:val="00AD3C04"/>
    <w:rsid w:val="00AD42CC"/>
    <w:rsid w:val="00AD4342"/>
    <w:rsid w:val="00AD44CC"/>
    <w:rsid w:val="00AD4667"/>
    <w:rsid w:val="00AD4695"/>
    <w:rsid w:val="00AD4961"/>
    <w:rsid w:val="00AD5492"/>
    <w:rsid w:val="00AD55FD"/>
    <w:rsid w:val="00AD560F"/>
    <w:rsid w:val="00AD5629"/>
    <w:rsid w:val="00AD5646"/>
    <w:rsid w:val="00AD59BD"/>
    <w:rsid w:val="00AD5A1A"/>
    <w:rsid w:val="00AD5B0F"/>
    <w:rsid w:val="00AD5D2A"/>
    <w:rsid w:val="00AD5D4A"/>
    <w:rsid w:val="00AD5D99"/>
    <w:rsid w:val="00AD5E12"/>
    <w:rsid w:val="00AD5E53"/>
    <w:rsid w:val="00AD5F62"/>
    <w:rsid w:val="00AD604F"/>
    <w:rsid w:val="00AD6142"/>
    <w:rsid w:val="00AD6431"/>
    <w:rsid w:val="00AD684F"/>
    <w:rsid w:val="00AD6872"/>
    <w:rsid w:val="00AD6A3E"/>
    <w:rsid w:val="00AD6B54"/>
    <w:rsid w:val="00AD6C83"/>
    <w:rsid w:val="00AD6D39"/>
    <w:rsid w:val="00AD6DDF"/>
    <w:rsid w:val="00AD6E1F"/>
    <w:rsid w:val="00AD6EE3"/>
    <w:rsid w:val="00AD6F0B"/>
    <w:rsid w:val="00AD7013"/>
    <w:rsid w:val="00AD7113"/>
    <w:rsid w:val="00AD7116"/>
    <w:rsid w:val="00AD73A5"/>
    <w:rsid w:val="00AD73C8"/>
    <w:rsid w:val="00AD7444"/>
    <w:rsid w:val="00AD74E0"/>
    <w:rsid w:val="00AD75A7"/>
    <w:rsid w:val="00AD7629"/>
    <w:rsid w:val="00AD7AC8"/>
    <w:rsid w:val="00AD7AFA"/>
    <w:rsid w:val="00AD7C52"/>
    <w:rsid w:val="00AD7CAD"/>
    <w:rsid w:val="00AD7CBD"/>
    <w:rsid w:val="00AD7EA8"/>
    <w:rsid w:val="00AD7F00"/>
    <w:rsid w:val="00AE00A7"/>
    <w:rsid w:val="00AE0127"/>
    <w:rsid w:val="00AE01C8"/>
    <w:rsid w:val="00AE0265"/>
    <w:rsid w:val="00AE07B9"/>
    <w:rsid w:val="00AE0808"/>
    <w:rsid w:val="00AE089F"/>
    <w:rsid w:val="00AE0A28"/>
    <w:rsid w:val="00AE0AE3"/>
    <w:rsid w:val="00AE0BC0"/>
    <w:rsid w:val="00AE0F01"/>
    <w:rsid w:val="00AE0F42"/>
    <w:rsid w:val="00AE1147"/>
    <w:rsid w:val="00AE1220"/>
    <w:rsid w:val="00AE14A4"/>
    <w:rsid w:val="00AE1577"/>
    <w:rsid w:val="00AE1906"/>
    <w:rsid w:val="00AE197F"/>
    <w:rsid w:val="00AE1AAA"/>
    <w:rsid w:val="00AE1BE5"/>
    <w:rsid w:val="00AE1E22"/>
    <w:rsid w:val="00AE1EC2"/>
    <w:rsid w:val="00AE1F9C"/>
    <w:rsid w:val="00AE2005"/>
    <w:rsid w:val="00AE20E1"/>
    <w:rsid w:val="00AE216A"/>
    <w:rsid w:val="00AE24CB"/>
    <w:rsid w:val="00AE2787"/>
    <w:rsid w:val="00AE27AD"/>
    <w:rsid w:val="00AE2963"/>
    <w:rsid w:val="00AE29C0"/>
    <w:rsid w:val="00AE29E1"/>
    <w:rsid w:val="00AE2A4F"/>
    <w:rsid w:val="00AE2EDE"/>
    <w:rsid w:val="00AE2F1E"/>
    <w:rsid w:val="00AE2FE7"/>
    <w:rsid w:val="00AE3341"/>
    <w:rsid w:val="00AE362D"/>
    <w:rsid w:val="00AE3916"/>
    <w:rsid w:val="00AE39DB"/>
    <w:rsid w:val="00AE3ABB"/>
    <w:rsid w:val="00AE3B36"/>
    <w:rsid w:val="00AE3C98"/>
    <w:rsid w:val="00AE3EF5"/>
    <w:rsid w:val="00AE4060"/>
    <w:rsid w:val="00AE4475"/>
    <w:rsid w:val="00AE45F2"/>
    <w:rsid w:val="00AE4C05"/>
    <w:rsid w:val="00AE4E42"/>
    <w:rsid w:val="00AE522F"/>
    <w:rsid w:val="00AE5658"/>
    <w:rsid w:val="00AE5758"/>
    <w:rsid w:val="00AE58FD"/>
    <w:rsid w:val="00AE5A36"/>
    <w:rsid w:val="00AE5D68"/>
    <w:rsid w:val="00AE5DF1"/>
    <w:rsid w:val="00AE5E2D"/>
    <w:rsid w:val="00AE5F80"/>
    <w:rsid w:val="00AE5FC7"/>
    <w:rsid w:val="00AE6170"/>
    <w:rsid w:val="00AE618A"/>
    <w:rsid w:val="00AE61A2"/>
    <w:rsid w:val="00AE62AA"/>
    <w:rsid w:val="00AE6425"/>
    <w:rsid w:val="00AE657F"/>
    <w:rsid w:val="00AE682B"/>
    <w:rsid w:val="00AE6BA8"/>
    <w:rsid w:val="00AE6BB2"/>
    <w:rsid w:val="00AE6D2A"/>
    <w:rsid w:val="00AE74C1"/>
    <w:rsid w:val="00AE77F1"/>
    <w:rsid w:val="00AE7A3F"/>
    <w:rsid w:val="00AE7F46"/>
    <w:rsid w:val="00AF004E"/>
    <w:rsid w:val="00AF01C3"/>
    <w:rsid w:val="00AF02AE"/>
    <w:rsid w:val="00AF039D"/>
    <w:rsid w:val="00AF0469"/>
    <w:rsid w:val="00AF054B"/>
    <w:rsid w:val="00AF0581"/>
    <w:rsid w:val="00AF0EC2"/>
    <w:rsid w:val="00AF0F93"/>
    <w:rsid w:val="00AF1000"/>
    <w:rsid w:val="00AF125A"/>
    <w:rsid w:val="00AF1387"/>
    <w:rsid w:val="00AF13CC"/>
    <w:rsid w:val="00AF178D"/>
    <w:rsid w:val="00AF1989"/>
    <w:rsid w:val="00AF1AF6"/>
    <w:rsid w:val="00AF1B39"/>
    <w:rsid w:val="00AF1B41"/>
    <w:rsid w:val="00AF1B49"/>
    <w:rsid w:val="00AF1B76"/>
    <w:rsid w:val="00AF1B91"/>
    <w:rsid w:val="00AF1F40"/>
    <w:rsid w:val="00AF1F8A"/>
    <w:rsid w:val="00AF2145"/>
    <w:rsid w:val="00AF21D0"/>
    <w:rsid w:val="00AF261A"/>
    <w:rsid w:val="00AF2674"/>
    <w:rsid w:val="00AF268B"/>
    <w:rsid w:val="00AF29A2"/>
    <w:rsid w:val="00AF29DE"/>
    <w:rsid w:val="00AF2ACA"/>
    <w:rsid w:val="00AF2CC5"/>
    <w:rsid w:val="00AF2E2E"/>
    <w:rsid w:val="00AF2E6F"/>
    <w:rsid w:val="00AF3128"/>
    <w:rsid w:val="00AF312B"/>
    <w:rsid w:val="00AF324C"/>
    <w:rsid w:val="00AF3258"/>
    <w:rsid w:val="00AF339E"/>
    <w:rsid w:val="00AF357B"/>
    <w:rsid w:val="00AF35F8"/>
    <w:rsid w:val="00AF361A"/>
    <w:rsid w:val="00AF3B48"/>
    <w:rsid w:val="00AF3EB4"/>
    <w:rsid w:val="00AF3F2D"/>
    <w:rsid w:val="00AF4581"/>
    <w:rsid w:val="00AF4613"/>
    <w:rsid w:val="00AF467A"/>
    <w:rsid w:val="00AF47CF"/>
    <w:rsid w:val="00AF4B15"/>
    <w:rsid w:val="00AF4B3E"/>
    <w:rsid w:val="00AF4F81"/>
    <w:rsid w:val="00AF4F8D"/>
    <w:rsid w:val="00AF5159"/>
    <w:rsid w:val="00AF522B"/>
    <w:rsid w:val="00AF5267"/>
    <w:rsid w:val="00AF53A9"/>
    <w:rsid w:val="00AF53CD"/>
    <w:rsid w:val="00AF55FA"/>
    <w:rsid w:val="00AF56D5"/>
    <w:rsid w:val="00AF571F"/>
    <w:rsid w:val="00AF57E6"/>
    <w:rsid w:val="00AF5CCF"/>
    <w:rsid w:val="00AF5D1A"/>
    <w:rsid w:val="00AF5D54"/>
    <w:rsid w:val="00AF5EB0"/>
    <w:rsid w:val="00AF62BA"/>
    <w:rsid w:val="00AF64FA"/>
    <w:rsid w:val="00AF6546"/>
    <w:rsid w:val="00AF6646"/>
    <w:rsid w:val="00AF6708"/>
    <w:rsid w:val="00AF69A4"/>
    <w:rsid w:val="00AF6C96"/>
    <w:rsid w:val="00AF6EE3"/>
    <w:rsid w:val="00AF7010"/>
    <w:rsid w:val="00AF71F6"/>
    <w:rsid w:val="00AF7239"/>
    <w:rsid w:val="00AF75DA"/>
    <w:rsid w:val="00AF7635"/>
    <w:rsid w:val="00AF7830"/>
    <w:rsid w:val="00AF7832"/>
    <w:rsid w:val="00AF7852"/>
    <w:rsid w:val="00AF7898"/>
    <w:rsid w:val="00AF7B09"/>
    <w:rsid w:val="00AF7C3D"/>
    <w:rsid w:val="00AF7DDB"/>
    <w:rsid w:val="00B00569"/>
    <w:rsid w:val="00B005C0"/>
    <w:rsid w:val="00B005D6"/>
    <w:rsid w:val="00B006F2"/>
    <w:rsid w:val="00B00981"/>
    <w:rsid w:val="00B00982"/>
    <w:rsid w:val="00B00E26"/>
    <w:rsid w:val="00B00F03"/>
    <w:rsid w:val="00B0108F"/>
    <w:rsid w:val="00B0111E"/>
    <w:rsid w:val="00B012D8"/>
    <w:rsid w:val="00B012F6"/>
    <w:rsid w:val="00B01598"/>
    <w:rsid w:val="00B01640"/>
    <w:rsid w:val="00B01882"/>
    <w:rsid w:val="00B019CA"/>
    <w:rsid w:val="00B01A68"/>
    <w:rsid w:val="00B01B44"/>
    <w:rsid w:val="00B01DC8"/>
    <w:rsid w:val="00B01DF3"/>
    <w:rsid w:val="00B01E9A"/>
    <w:rsid w:val="00B020AC"/>
    <w:rsid w:val="00B02107"/>
    <w:rsid w:val="00B021D2"/>
    <w:rsid w:val="00B023D4"/>
    <w:rsid w:val="00B023EC"/>
    <w:rsid w:val="00B025CB"/>
    <w:rsid w:val="00B02690"/>
    <w:rsid w:val="00B0278E"/>
    <w:rsid w:val="00B02831"/>
    <w:rsid w:val="00B02846"/>
    <w:rsid w:val="00B029F0"/>
    <w:rsid w:val="00B02A1F"/>
    <w:rsid w:val="00B02B01"/>
    <w:rsid w:val="00B02B4F"/>
    <w:rsid w:val="00B02BA9"/>
    <w:rsid w:val="00B02C65"/>
    <w:rsid w:val="00B02CE5"/>
    <w:rsid w:val="00B02DC2"/>
    <w:rsid w:val="00B02DF5"/>
    <w:rsid w:val="00B02F31"/>
    <w:rsid w:val="00B032D1"/>
    <w:rsid w:val="00B03654"/>
    <w:rsid w:val="00B03736"/>
    <w:rsid w:val="00B037D5"/>
    <w:rsid w:val="00B039AC"/>
    <w:rsid w:val="00B03A6D"/>
    <w:rsid w:val="00B03AF1"/>
    <w:rsid w:val="00B03C0E"/>
    <w:rsid w:val="00B03E73"/>
    <w:rsid w:val="00B040C4"/>
    <w:rsid w:val="00B04B6A"/>
    <w:rsid w:val="00B04BEC"/>
    <w:rsid w:val="00B04C63"/>
    <w:rsid w:val="00B04D9D"/>
    <w:rsid w:val="00B04DD0"/>
    <w:rsid w:val="00B0527A"/>
    <w:rsid w:val="00B054DC"/>
    <w:rsid w:val="00B055BE"/>
    <w:rsid w:val="00B059AF"/>
    <w:rsid w:val="00B05E8A"/>
    <w:rsid w:val="00B06064"/>
    <w:rsid w:val="00B06120"/>
    <w:rsid w:val="00B06150"/>
    <w:rsid w:val="00B06432"/>
    <w:rsid w:val="00B064CA"/>
    <w:rsid w:val="00B0666A"/>
    <w:rsid w:val="00B0680E"/>
    <w:rsid w:val="00B069F8"/>
    <w:rsid w:val="00B06A0A"/>
    <w:rsid w:val="00B06A21"/>
    <w:rsid w:val="00B06B8D"/>
    <w:rsid w:val="00B072E4"/>
    <w:rsid w:val="00B073A4"/>
    <w:rsid w:val="00B0745E"/>
    <w:rsid w:val="00B079B9"/>
    <w:rsid w:val="00B07A5F"/>
    <w:rsid w:val="00B07B9D"/>
    <w:rsid w:val="00B07BE8"/>
    <w:rsid w:val="00B10067"/>
    <w:rsid w:val="00B101BB"/>
    <w:rsid w:val="00B1026E"/>
    <w:rsid w:val="00B10361"/>
    <w:rsid w:val="00B10435"/>
    <w:rsid w:val="00B105AD"/>
    <w:rsid w:val="00B1084B"/>
    <w:rsid w:val="00B1094A"/>
    <w:rsid w:val="00B10B1B"/>
    <w:rsid w:val="00B10B7E"/>
    <w:rsid w:val="00B10C23"/>
    <w:rsid w:val="00B10C58"/>
    <w:rsid w:val="00B110FF"/>
    <w:rsid w:val="00B11329"/>
    <w:rsid w:val="00B1167F"/>
    <w:rsid w:val="00B11883"/>
    <w:rsid w:val="00B118D5"/>
    <w:rsid w:val="00B11A92"/>
    <w:rsid w:val="00B11C5B"/>
    <w:rsid w:val="00B12065"/>
    <w:rsid w:val="00B121A9"/>
    <w:rsid w:val="00B121FC"/>
    <w:rsid w:val="00B1238C"/>
    <w:rsid w:val="00B12492"/>
    <w:rsid w:val="00B12890"/>
    <w:rsid w:val="00B1295A"/>
    <w:rsid w:val="00B12963"/>
    <w:rsid w:val="00B12E3F"/>
    <w:rsid w:val="00B12E41"/>
    <w:rsid w:val="00B12EC1"/>
    <w:rsid w:val="00B13092"/>
    <w:rsid w:val="00B134AB"/>
    <w:rsid w:val="00B13D16"/>
    <w:rsid w:val="00B13E83"/>
    <w:rsid w:val="00B14031"/>
    <w:rsid w:val="00B14058"/>
    <w:rsid w:val="00B142AC"/>
    <w:rsid w:val="00B14387"/>
    <w:rsid w:val="00B145A5"/>
    <w:rsid w:val="00B145C6"/>
    <w:rsid w:val="00B145DD"/>
    <w:rsid w:val="00B14667"/>
    <w:rsid w:val="00B146FC"/>
    <w:rsid w:val="00B147B9"/>
    <w:rsid w:val="00B14846"/>
    <w:rsid w:val="00B14ACE"/>
    <w:rsid w:val="00B14B2C"/>
    <w:rsid w:val="00B14C4F"/>
    <w:rsid w:val="00B15008"/>
    <w:rsid w:val="00B15027"/>
    <w:rsid w:val="00B15042"/>
    <w:rsid w:val="00B150F7"/>
    <w:rsid w:val="00B151DD"/>
    <w:rsid w:val="00B1535D"/>
    <w:rsid w:val="00B1549C"/>
    <w:rsid w:val="00B156DD"/>
    <w:rsid w:val="00B15770"/>
    <w:rsid w:val="00B15C3B"/>
    <w:rsid w:val="00B15F15"/>
    <w:rsid w:val="00B1621A"/>
    <w:rsid w:val="00B16403"/>
    <w:rsid w:val="00B1658C"/>
    <w:rsid w:val="00B168B9"/>
    <w:rsid w:val="00B16958"/>
    <w:rsid w:val="00B16A06"/>
    <w:rsid w:val="00B16A7C"/>
    <w:rsid w:val="00B16B42"/>
    <w:rsid w:val="00B16C05"/>
    <w:rsid w:val="00B16CE1"/>
    <w:rsid w:val="00B16DD1"/>
    <w:rsid w:val="00B16E6B"/>
    <w:rsid w:val="00B16FDE"/>
    <w:rsid w:val="00B16FF4"/>
    <w:rsid w:val="00B17026"/>
    <w:rsid w:val="00B17028"/>
    <w:rsid w:val="00B1719A"/>
    <w:rsid w:val="00B1740D"/>
    <w:rsid w:val="00B1744F"/>
    <w:rsid w:val="00B174DF"/>
    <w:rsid w:val="00B17A5A"/>
    <w:rsid w:val="00B17B7E"/>
    <w:rsid w:val="00B17E99"/>
    <w:rsid w:val="00B17F90"/>
    <w:rsid w:val="00B20232"/>
    <w:rsid w:val="00B203A9"/>
    <w:rsid w:val="00B205C4"/>
    <w:rsid w:val="00B205F0"/>
    <w:rsid w:val="00B209D5"/>
    <w:rsid w:val="00B20AC4"/>
    <w:rsid w:val="00B20B30"/>
    <w:rsid w:val="00B20D6B"/>
    <w:rsid w:val="00B20E9D"/>
    <w:rsid w:val="00B20F34"/>
    <w:rsid w:val="00B210DE"/>
    <w:rsid w:val="00B211D3"/>
    <w:rsid w:val="00B216B0"/>
    <w:rsid w:val="00B216D8"/>
    <w:rsid w:val="00B216E7"/>
    <w:rsid w:val="00B21896"/>
    <w:rsid w:val="00B21A7B"/>
    <w:rsid w:val="00B21ACF"/>
    <w:rsid w:val="00B21AFA"/>
    <w:rsid w:val="00B21CFA"/>
    <w:rsid w:val="00B21D75"/>
    <w:rsid w:val="00B21FED"/>
    <w:rsid w:val="00B22003"/>
    <w:rsid w:val="00B2206B"/>
    <w:rsid w:val="00B221BD"/>
    <w:rsid w:val="00B22221"/>
    <w:rsid w:val="00B22350"/>
    <w:rsid w:val="00B2235F"/>
    <w:rsid w:val="00B224D7"/>
    <w:rsid w:val="00B22515"/>
    <w:rsid w:val="00B22576"/>
    <w:rsid w:val="00B225AE"/>
    <w:rsid w:val="00B2281A"/>
    <w:rsid w:val="00B22855"/>
    <w:rsid w:val="00B22FE4"/>
    <w:rsid w:val="00B23204"/>
    <w:rsid w:val="00B232C0"/>
    <w:rsid w:val="00B23394"/>
    <w:rsid w:val="00B239C4"/>
    <w:rsid w:val="00B23C1F"/>
    <w:rsid w:val="00B23DCE"/>
    <w:rsid w:val="00B23FB6"/>
    <w:rsid w:val="00B24190"/>
    <w:rsid w:val="00B2425A"/>
    <w:rsid w:val="00B24285"/>
    <w:rsid w:val="00B242FE"/>
    <w:rsid w:val="00B243DB"/>
    <w:rsid w:val="00B243F9"/>
    <w:rsid w:val="00B246E6"/>
    <w:rsid w:val="00B24741"/>
    <w:rsid w:val="00B24763"/>
    <w:rsid w:val="00B24844"/>
    <w:rsid w:val="00B248E2"/>
    <w:rsid w:val="00B248E4"/>
    <w:rsid w:val="00B24A2C"/>
    <w:rsid w:val="00B24C02"/>
    <w:rsid w:val="00B24C83"/>
    <w:rsid w:val="00B25023"/>
    <w:rsid w:val="00B25371"/>
    <w:rsid w:val="00B253D9"/>
    <w:rsid w:val="00B25580"/>
    <w:rsid w:val="00B2574E"/>
    <w:rsid w:val="00B25BF7"/>
    <w:rsid w:val="00B25C2B"/>
    <w:rsid w:val="00B25CD2"/>
    <w:rsid w:val="00B25D8E"/>
    <w:rsid w:val="00B26140"/>
    <w:rsid w:val="00B26333"/>
    <w:rsid w:val="00B264E6"/>
    <w:rsid w:val="00B264ED"/>
    <w:rsid w:val="00B26556"/>
    <w:rsid w:val="00B2684C"/>
    <w:rsid w:val="00B2687F"/>
    <w:rsid w:val="00B26CAD"/>
    <w:rsid w:val="00B26EE6"/>
    <w:rsid w:val="00B26F0A"/>
    <w:rsid w:val="00B26FBD"/>
    <w:rsid w:val="00B26FBF"/>
    <w:rsid w:val="00B26FCB"/>
    <w:rsid w:val="00B27146"/>
    <w:rsid w:val="00B27291"/>
    <w:rsid w:val="00B272D5"/>
    <w:rsid w:val="00B27360"/>
    <w:rsid w:val="00B275CB"/>
    <w:rsid w:val="00B2772D"/>
    <w:rsid w:val="00B27767"/>
    <w:rsid w:val="00B27843"/>
    <w:rsid w:val="00B27889"/>
    <w:rsid w:val="00B27AD4"/>
    <w:rsid w:val="00B27BEB"/>
    <w:rsid w:val="00B27E9A"/>
    <w:rsid w:val="00B27F2B"/>
    <w:rsid w:val="00B27FE8"/>
    <w:rsid w:val="00B301AE"/>
    <w:rsid w:val="00B30677"/>
    <w:rsid w:val="00B307B7"/>
    <w:rsid w:val="00B309DF"/>
    <w:rsid w:val="00B30B53"/>
    <w:rsid w:val="00B30B89"/>
    <w:rsid w:val="00B30C47"/>
    <w:rsid w:val="00B30C7C"/>
    <w:rsid w:val="00B30CD2"/>
    <w:rsid w:val="00B30DFE"/>
    <w:rsid w:val="00B30E2C"/>
    <w:rsid w:val="00B30E97"/>
    <w:rsid w:val="00B30EC6"/>
    <w:rsid w:val="00B30EF0"/>
    <w:rsid w:val="00B310C5"/>
    <w:rsid w:val="00B310FF"/>
    <w:rsid w:val="00B313AC"/>
    <w:rsid w:val="00B31420"/>
    <w:rsid w:val="00B31489"/>
    <w:rsid w:val="00B314DF"/>
    <w:rsid w:val="00B316DB"/>
    <w:rsid w:val="00B3175A"/>
    <w:rsid w:val="00B319F7"/>
    <w:rsid w:val="00B31AB6"/>
    <w:rsid w:val="00B31F89"/>
    <w:rsid w:val="00B31F9C"/>
    <w:rsid w:val="00B3218E"/>
    <w:rsid w:val="00B321AE"/>
    <w:rsid w:val="00B32517"/>
    <w:rsid w:val="00B32814"/>
    <w:rsid w:val="00B3281B"/>
    <w:rsid w:val="00B32B23"/>
    <w:rsid w:val="00B32B53"/>
    <w:rsid w:val="00B32B56"/>
    <w:rsid w:val="00B32BCB"/>
    <w:rsid w:val="00B32C38"/>
    <w:rsid w:val="00B32CCB"/>
    <w:rsid w:val="00B32D1D"/>
    <w:rsid w:val="00B330F9"/>
    <w:rsid w:val="00B3324B"/>
    <w:rsid w:val="00B33449"/>
    <w:rsid w:val="00B33795"/>
    <w:rsid w:val="00B33C9A"/>
    <w:rsid w:val="00B33E07"/>
    <w:rsid w:val="00B34010"/>
    <w:rsid w:val="00B3416D"/>
    <w:rsid w:val="00B34186"/>
    <w:rsid w:val="00B34258"/>
    <w:rsid w:val="00B34306"/>
    <w:rsid w:val="00B3433D"/>
    <w:rsid w:val="00B343C4"/>
    <w:rsid w:val="00B343CA"/>
    <w:rsid w:val="00B346BA"/>
    <w:rsid w:val="00B34775"/>
    <w:rsid w:val="00B34BF1"/>
    <w:rsid w:val="00B34DD5"/>
    <w:rsid w:val="00B34FD1"/>
    <w:rsid w:val="00B356B0"/>
    <w:rsid w:val="00B356B5"/>
    <w:rsid w:val="00B35A4B"/>
    <w:rsid w:val="00B35BF4"/>
    <w:rsid w:val="00B3607F"/>
    <w:rsid w:val="00B362DA"/>
    <w:rsid w:val="00B36339"/>
    <w:rsid w:val="00B3668C"/>
    <w:rsid w:val="00B3678D"/>
    <w:rsid w:val="00B3691A"/>
    <w:rsid w:val="00B36B02"/>
    <w:rsid w:val="00B36CEC"/>
    <w:rsid w:val="00B36F79"/>
    <w:rsid w:val="00B36F83"/>
    <w:rsid w:val="00B37417"/>
    <w:rsid w:val="00B37C1E"/>
    <w:rsid w:val="00B37C54"/>
    <w:rsid w:val="00B37E6C"/>
    <w:rsid w:val="00B37E73"/>
    <w:rsid w:val="00B37F87"/>
    <w:rsid w:val="00B40517"/>
    <w:rsid w:val="00B4080D"/>
    <w:rsid w:val="00B4082B"/>
    <w:rsid w:val="00B4094F"/>
    <w:rsid w:val="00B40AF1"/>
    <w:rsid w:val="00B410BD"/>
    <w:rsid w:val="00B41166"/>
    <w:rsid w:val="00B411FB"/>
    <w:rsid w:val="00B4135D"/>
    <w:rsid w:val="00B41406"/>
    <w:rsid w:val="00B414AC"/>
    <w:rsid w:val="00B419D6"/>
    <w:rsid w:val="00B41A6F"/>
    <w:rsid w:val="00B41B84"/>
    <w:rsid w:val="00B41D35"/>
    <w:rsid w:val="00B41E98"/>
    <w:rsid w:val="00B41EF2"/>
    <w:rsid w:val="00B41F85"/>
    <w:rsid w:val="00B4209A"/>
    <w:rsid w:val="00B4212F"/>
    <w:rsid w:val="00B42350"/>
    <w:rsid w:val="00B42396"/>
    <w:rsid w:val="00B426CB"/>
    <w:rsid w:val="00B42727"/>
    <w:rsid w:val="00B42A65"/>
    <w:rsid w:val="00B42A6D"/>
    <w:rsid w:val="00B42E22"/>
    <w:rsid w:val="00B432F8"/>
    <w:rsid w:val="00B435F8"/>
    <w:rsid w:val="00B43624"/>
    <w:rsid w:val="00B436BC"/>
    <w:rsid w:val="00B43983"/>
    <w:rsid w:val="00B43C4D"/>
    <w:rsid w:val="00B43C56"/>
    <w:rsid w:val="00B43CBD"/>
    <w:rsid w:val="00B43FB3"/>
    <w:rsid w:val="00B43FD6"/>
    <w:rsid w:val="00B446C9"/>
    <w:rsid w:val="00B44748"/>
    <w:rsid w:val="00B44945"/>
    <w:rsid w:val="00B44A04"/>
    <w:rsid w:val="00B44A74"/>
    <w:rsid w:val="00B44DBB"/>
    <w:rsid w:val="00B44E59"/>
    <w:rsid w:val="00B45042"/>
    <w:rsid w:val="00B450C0"/>
    <w:rsid w:val="00B45120"/>
    <w:rsid w:val="00B451DE"/>
    <w:rsid w:val="00B4520D"/>
    <w:rsid w:val="00B45491"/>
    <w:rsid w:val="00B45701"/>
    <w:rsid w:val="00B458EF"/>
    <w:rsid w:val="00B45A33"/>
    <w:rsid w:val="00B45A82"/>
    <w:rsid w:val="00B45F4A"/>
    <w:rsid w:val="00B4605E"/>
    <w:rsid w:val="00B4614B"/>
    <w:rsid w:val="00B4619A"/>
    <w:rsid w:val="00B46342"/>
    <w:rsid w:val="00B46545"/>
    <w:rsid w:val="00B46677"/>
    <w:rsid w:val="00B46686"/>
    <w:rsid w:val="00B467CF"/>
    <w:rsid w:val="00B4690B"/>
    <w:rsid w:val="00B46C6C"/>
    <w:rsid w:val="00B46D48"/>
    <w:rsid w:val="00B46D94"/>
    <w:rsid w:val="00B46F6E"/>
    <w:rsid w:val="00B46FAC"/>
    <w:rsid w:val="00B475AF"/>
    <w:rsid w:val="00B475D1"/>
    <w:rsid w:val="00B4776C"/>
    <w:rsid w:val="00B47871"/>
    <w:rsid w:val="00B478A6"/>
    <w:rsid w:val="00B47D5C"/>
    <w:rsid w:val="00B47ED5"/>
    <w:rsid w:val="00B5012F"/>
    <w:rsid w:val="00B5015F"/>
    <w:rsid w:val="00B50746"/>
    <w:rsid w:val="00B507C1"/>
    <w:rsid w:val="00B5085F"/>
    <w:rsid w:val="00B508F6"/>
    <w:rsid w:val="00B509C0"/>
    <w:rsid w:val="00B50A20"/>
    <w:rsid w:val="00B50AE0"/>
    <w:rsid w:val="00B50B6C"/>
    <w:rsid w:val="00B50C44"/>
    <w:rsid w:val="00B50CC1"/>
    <w:rsid w:val="00B50CF6"/>
    <w:rsid w:val="00B50D5F"/>
    <w:rsid w:val="00B50DAB"/>
    <w:rsid w:val="00B510A1"/>
    <w:rsid w:val="00B510D0"/>
    <w:rsid w:val="00B51307"/>
    <w:rsid w:val="00B51437"/>
    <w:rsid w:val="00B516A7"/>
    <w:rsid w:val="00B516CF"/>
    <w:rsid w:val="00B517D3"/>
    <w:rsid w:val="00B519DB"/>
    <w:rsid w:val="00B51DC1"/>
    <w:rsid w:val="00B51E2C"/>
    <w:rsid w:val="00B51ECC"/>
    <w:rsid w:val="00B51F99"/>
    <w:rsid w:val="00B52412"/>
    <w:rsid w:val="00B524CD"/>
    <w:rsid w:val="00B524D2"/>
    <w:rsid w:val="00B52772"/>
    <w:rsid w:val="00B528A6"/>
    <w:rsid w:val="00B5302A"/>
    <w:rsid w:val="00B5344C"/>
    <w:rsid w:val="00B537C5"/>
    <w:rsid w:val="00B539A8"/>
    <w:rsid w:val="00B54074"/>
    <w:rsid w:val="00B54110"/>
    <w:rsid w:val="00B5424D"/>
    <w:rsid w:val="00B54556"/>
    <w:rsid w:val="00B54773"/>
    <w:rsid w:val="00B54903"/>
    <w:rsid w:val="00B54955"/>
    <w:rsid w:val="00B54969"/>
    <w:rsid w:val="00B5497B"/>
    <w:rsid w:val="00B54ADE"/>
    <w:rsid w:val="00B54DAF"/>
    <w:rsid w:val="00B54FEE"/>
    <w:rsid w:val="00B5506D"/>
    <w:rsid w:val="00B550E9"/>
    <w:rsid w:val="00B55190"/>
    <w:rsid w:val="00B55599"/>
    <w:rsid w:val="00B55686"/>
    <w:rsid w:val="00B55A68"/>
    <w:rsid w:val="00B5608D"/>
    <w:rsid w:val="00B56273"/>
    <w:rsid w:val="00B568E1"/>
    <w:rsid w:val="00B56ABA"/>
    <w:rsid w:val="00B56B5F"/>
    <w:rsid w:val="00B57971"/>
    <w:rsid w:val="00B57AE4"/>
    <w:rsid w:val="00B57C5A"/>
    <w:rsid w:val="00B57DAB"/>
    <w:rsid w:val="00B5C26E"/>
    <w:rsid w:val="00B600A0"/>
    <w:rsid w:val="00B6017B"/>
    <w:rsid w:val="00B6030B"/>
    <w:rsid w:val="00B60349"/>
    <w:rsid w:val="00B60356"/>
    <w:rsid w:val="00B603B2"/>
    <w:rsid w:val="00B604E8"/>
    <w:rsid w:val="00B6061A"/>
    <w:rsid w:val="00B6095D"/>
    <w:rsid w:val="00B60ACC"/>
    <w:rsid w:val="00B60B1A"/>
    <w:rsid w:val="00B60B21"/>
    <w:rsid w:val="00B61233"/>
    <w:rsid w:val="00B613D0"/>
    <w:rsid w:val="00B6154C"/>
    <w:rsid w:val="00B61578"/>
    <w:rsid w:val="00B6173F"/>
    <w:rsid w:val="00B61773"/>
    <w:rsid w:val="00B618CC"/>
    <w:rsid w:val="00B61C83"/>
    <w:rsid w:val="00B61CF1"/>
    <w:rsid w:val="00B61DC3"/>
    <w:rsid w:val="00B61EE2"/>
    <w:rsid w:val="00B61F5F"/>
    <w:rsid w:val="00B61F94"/>
    <w:rsid w:val="00B623A5"/>
    <w:rsid w:val="00B6287D"/>
    <w:rsid w:val="00B629F2"/>
    <w:rsid w:val="00B62A3A"/>
    <w:rsid w:val="00B62A68"/>
    <w:rsid w:val="00B62A72"/>
    <w:rsid w:val="00B62B6E"/>
    <w:rsid w:val="00B62BFA"/>
    <w:rsid w:val="00B62BFB"/>
    <w:rsid w:val="00B62D64"/>
    <w:rsid w:val="00B63094"/>
    <w:rsid w:val="00B63115"/>
    <w:rsid w:val="00B631E5"/>
    <w:rsid w:val="00B6321F"/>
    <w:rsid w:val="00B6336A"/>
    <w:rsid w:val="00B63572"/>
    <w:rsid w:val="00B63765"/>
    <w:rsid w:val="00B63873"/>
    <w:rsid w:val="00B63E71"/>
    <w:rsid w:val="00B63FC9"/>
    <w:rsid w:val="00B6442B"/>
    <w:rsid w:val="00B6444E"/>
    <w:rsid w:val="00B64493"/>
    <w:rsid w:val="00B644D2"/>
    <w:rsid w:val="00B64772"/>
    <w:rsid w:val="00B64784"/>
    <w:rsid w:val="00B64BCA"/>
    <w:rsid w:val="00B64CD0"/>
    <w:rsid w:val="00B654DB"/>
    <w:rsid w:val="00B65662"/>
    <w:rsid w:val="00B65A8B"/>
    <w:rsid w:val="00B65D69"/>
    <w:rsid w:val="00B65ED4"/>
    <w:rsid w:val="00B65F9E"/>
    <w:rsid w:val="00B65FC3"/>
    <w:rsid w:val="00B66005"/>
    <w:rsid w:val="00B66054"/>
    <w:rsid w:val="00B662D1"/>
    <w:rsid w:val="00B66509"/>
    <w:rsid w:val="00B66614"/>
    <w:rsid w:val="00B668C5"/>
    <w:rsid w:val="00B669F2"/>
    <w:rsid w:val="00B66DBB"/>
    <w:rsid w:val="00B6724D"/>
    <w:rsid w:val="00B672D5"/>
    <w:rsid w:val="00B67452"/>
    <w:rsid w:val="00B676D1"/>
    <w:rsid w:val="00B677BC"/>
    <w:rsid w:val="00B67822"/>
    <w:rsid w:val="00B678E3"/>
    <w:rsid w:val="00B678F2"/>
    <w:rsid w:val="00B67A29"/>
    <w:rsid w:val="00B67A56"/>
    <w:rsid w:val="00B67B68"/>
    <w:rsid w:val="00B67C78"/>
    <w:rsid w:val="00B67D54"/>
    <w:rsid w:val="00B67E7A"/>
    <w:rsid w:val="00B67F50"/>
    <w:rsid w:val="00B70258"/>
    <w:rsid w:val="00B7026F"/>
    <w:rsid w:val="00B7056C"/>
    <w:rsid w:val="00B70A12"/>
    <w:rsid w:val="00B70AED"/>
    <w:rsid w:val="00B70C15"/>
    <w:rsid w:val="00B70E2D"/>
    <w:rsid w:val="00B71025"/>
    <w:rsid w:val="00B713FB"/>
    <w:rsid w:val="00B714FE"/>
    <w:rsid w:val="00B71758"/>
    <w:rsid w:val="00B717AB"/>
    <w:rsid w:val="00B717E1"/>
    <w:rsid w:val="00B718E0"/>
    <w:rsid w:val="00B71A66"/>
    <w:rsid w:val="00B71C09"/>
    <w:rsid w:val="00B71DB6"/>
    <w:rsid w:val="00B71F04"/>
    <w:rsid w:val="00B72426"/>
    <w:rsid w:val="00B7263F"/>
    <w:rsid w:val="00B72912"/>
    <w:rsid w:val="00B729D4"/>
    <w:rsid w:val="00B72ADA"/>
    <w:rsid w:val="00B72E80"/>
    <w:rsid w:val="00B72F56"/>
    <w:rsid w:val="00B732FF"/>
    <w:rsid w:val="00B73484"/>
    <w:rsid w:val="00B73706"/>
    <w:rsid w:val="00B738E4"/>
    <w:rsid w:val="00B738F0"/>
    <w:rsid w:val="00B73A97"/>
    <w:rsid w:val="00B73AF0"/>
    <w:rsid w:val="00B73D19"/>
    <w:rsid w:val="00B73F0C"/>
    <w:rsid w:val="00B7406B"/>
    <w:rsid w:val="00B740EE"/>
    <w:rsid w:val="00B74170"/>
    <w:rsid w:val="00B743E0"/>
    <w:rsid w:val="00B7440B"/>
    <w:rsid w:val="00B7449E"/>
    <w:rsid w:val="00B74C3A"/>
    <w:rsid w:val="00B74CC4"/>
    <w:rsid w:val="00B74DF4"/>
    <w:rsid w:val="00B74E03"/>
    <w:rsid w:val="00B74E2B"/>
    <w:rsid w:val="00B750A6"/>
    <w:rsid w:val="00B75138"/>
    <w:rsid w:val="00B751AC"/>
    <w:rsid w:val="00B7524E"/>
    <w:rsid w:val="00B75340"/>
    <w:rsid w:val="00B753FA"/>
    <w:rsid w:val="00B75593"/>
    <w:rsid w:val="00B7569C"/>
    <w:rsid w:val="00B75747"/>
    <w:rsid w:val="00B7587F"/>
    <w:rsid w:val="00B75CC0"/>
    <w:rsid w:val="00B75D75"/>
    <w:rsid w:val="00B75D7A"/>
    <w:rsid w:val="00B75E8A"/>
    <w:rsid w:val="00B760FD"/>
    <w:rsid w:val="00B763AC"/>
    <w:rsid w:val="00B7684B"/>
    <w:rsid w:val="00B76858"/>
    <w:rsid w:val="00B7685E"/>
    <w:rsid w:val="00B7694F"/>
    <w:rsid w:val="00B76CA1"/>
    <w:rsid w:val="00B76D12"/>
    <w:rsid w:val="00B76E0C"/>
    <w:rsid w:val="00B76EC8"/>
    <w:rsid w:val="00B76F87"/>
    <w:rsid w:val="00B77144"/>
    <w:rsid w:val="00B771F3"/>
    <w:rsid w:val="00B7727A"/>
    <w:rsid w:val="00B772F4"/>
    <w:rsid w:val="00B7745F"/>
    <w:rsid w:val="00B778C9"/>
    <w:rsid w:val="00B779DF"/>
    <w:rsid w:val="00B77BC6"/>
    <w:rsid w:val="00B77DEF"/>
    <w:rsid w:val="00B77EAE"/>
    <w:rsid w:val="00B77F96"/>
    <w:rsid w:val="00B80252"/>
    <w:rsid w:val="00B803A2"/>
    <w:rsid w:val="00B803C1"/>
    <w:rsid w:val="00B80885"/>
    <w:rsid w:val="00B808C4"/>
    <w:rsid w:val="00B80B2A"/>
    <w:rsid w:val="00B80BA8"/>
    <w:rsid w:val="00B80BF6"/>
    <w:rsid w:val="00B80D0C"/>
    <w:rsid w:val="00B80DFF"/>
    <w:rsid w:val="00B80F65"/>
    <w:rsid w:val="00B80FE5"/>
    <w:rsid w:val="00B8107A"/>
    <w:rsid w:val="00B8107C"/>
    <w:rsid w:val="00B810E6"/>
    <w:rsid w:val="00B811EC"/>
    <w:rsid w:val="00B815A1"/>
    <w:rsid w:val="00B818A9"/>
    <w:rsid w:val="00B81E41"/>
    <w:rsid w:val="00B81E9A"/>
    <w:rsid w:val="00B81F0E"/>
    <w:rsid w:val="00B82150"/>
    <w:rsid w:val="00B822E4"/>
    <w:rsid w:val="00B82309"/>
    <w:rsid w:val="00B82594"/>
    <w:rsid w:val="00B828F4"/>
    <w:rsid w:val="00B828F5"/>
    <w:rsid w:val="00B8291E"/>
    <w:rsid w:val="00B829E2"/>
    <w:rsid w:val="00B82CA4"/>
    <w:rsid w:val="00B82FDA"/>
    <w:rsid w:val="00B83244"/>
    <w:rsid w:val="00B833A0"/>
    <w:rsid w:val="00B8365D"/>
    <w:rsid w:val="00B836E3"/>
    <w:rsid w:val="00B839F2"/>
    <w:rsid w:val="00B83A43"/>
    <w:rsid w:val="00B83B6C"/>
    <w:rsid w:val="00B83F2F"/>
    <w:rsid w:val="00B8409A"/>
    <w:rsid w:val="00B841A6"/>
    <w:rsid w:val="00B84371"/>
    <w:rsid w:val="00B843AE"/>
    <w:rsid w:val="00B8451D"/>
    <w:rsid w:val="00B84771"/>
    <w:rsid w:val="00B8478F"/>
    <w:rsid w:val="00B84854"/>
    <w:rsid w:val="00B8499A"/>
    <w:rsid w:val="00B84AA4"/>
    <w:rsid w:val="00B84B28"/>
    <w:rsid w:val="00B84BBC"/>
    <w:rsid w:val="00B84BDC"/>
    <w:rsid w:val="00B84C54"/>
    <w:rsid w:val="00B84D61"/>
    <w:rsid w:val="00B84F60"/>
    <w:rsid w:val="00B8519C"/>
    <w:rsid w:val="00B8535D"/>
    <w:rsid w:val="00B8540B"/>
    <w:rsid w:val="00B8545A"/>
    <w:rsid w:val="00B85489"/>
    <w:rsid w:val="00B856CD"/>
    <w:rsid w:val="00B856FC"/>
    <w:rsid w:val="00B8576D"/>
    <w:rsid w:val="00B85DF8"/>
    <w:rsid w:val="00B85EC0"/>
    <w:rsid w:val="00B86024"/>
    <w:rsid w:val="00B860CC"/>
    <w:rsid w:val="00B8644B"/>
    <w:rsid w:val="00B86849"/>
    <w:rsid w:val="00B86AB8"/>
    <w:rsid w:val="00B86B22"/>
    <w:rsid w:val="00B86C6A"/>
    <w:rsid w:val="00B86ED4"/>
    <w:rsid w:val="00B86F7D"/>
    <w:rsid w:val="00B86F9D"/>
    <w:rsid w:val="00B86FD2"/>
    <w:rsid w:val="00B87037"/>
    <w:rsid w:val="00B87175"/>
    <w:rsid w:val="00B87354"/>
    <w:rsid w:val="00B87358"/>
    <w:rsid w:val="00B87679"/>
    <w:rsid w:val="00B876BD"/>
    <w:rsid w:val="00B87B91"/>
    <w:rsid w:val="00B90234"/>
    <w:rsid w:val="00B905E3"/>
    <w:rsid w:val="00B90650"/>
    <w:rsid w:val="00B90AD2"/>
    <w:rsid w:val="00B90CD6"/>
    <w:rsid w:val="00B90D21"/>
    <w:rsid w:val="00B90D8C"/>
    <w:rsid w:val="00B90F6D"/>
    <w:rsid w:val="00B91711"/>
    <w:rsid w:val="00B9179E"/>
    <w:rsid w:val="00B91829"/>
    <w:rsid w:val="00B91873"/>
    <w:rsid w:val="00B9187F"/>
    <w:rsid w:val="00B91B60"/>
    <w:rsid w:val="00B91C5B"/>
    <w:rsid w:val="00B91E6A"/>
    <w:rsid w:val="00B91F43"/>
    <w:rsid w:val="00B91F5A"/>
    <w:rsid w:val="00B920D2"/>
    <w:rsid w:val="00B923C6"/>
    <w:rsid w:val="00B9269A"/>
    <w:rsid w:val="00B926DD"/>
    <w:rsid w:val="00B9288E"/>
    <w:rsid w:val="00B92A60"/>
    <w:rsid w:val="00B92AB7"/>
    <w:rsid w:val="00B92AF4"/>
    <w:rsid w:val="00B92DBC"/>
    <w:rsid w:val="00B92E12"/>
    <w:rsid w:val="00B92E3E"/>
    <w:rsid w:val="00B93001"/>
    <w:rsid w:val="00B93114"/>
    <w:rsid w:val="00B933DB"/>
    <w:rsid w:val="00B93632"/>
    <w:rsid w:val="00B939E0"/>
    <w:rsid w:val="00B93A93"/>
    <w:rsid w:val="00B93B0F"/>
    <w:rsid w:val="00B93B39"/>
    <w:rsid w:val="00B93D8B"/>
    <w:rsid w:val="00B94083"/>
    <w:rsid w:val="00B9427C"/>
    <w:rsid w:val="00B94558"/>
    <w:rsid w:val="00B9465C"/>
    <w:rsid w:val="00B94790"/>
    <w:rsid w:val="00B9498D"/>
    <w:rsid w:val="00B94C01"/>
    <w:rsid w:val="00B94EB9"/>
    <w:rsid w:val="00B94F3E"/>
    <w:rsid w:val="00B94F65"/>
    <w:rsid w:val="00B9512F"/>
    <w:rsid w:val="00B952B3"/>
    <w:rsid w:val="00B95340"/>
    <w:rsid w:val="00B95614"/>
    <w:rsid w:val="00B957AC"/>
    <w:rsid w:val="00B957F4"/>
    <w:rsid w:val="00B95993"/>
    <w:rsid w:val="00B959CB"/>
    <w:rsid w:val="00B95A6E"/>
    <w:rsid w:val="00B95A74"/>
    <w:rsid w:val="00B95C6C"/>
    <w:rsid w:val="00B95C7A"/>
    <w:rsid w:val="00B95D54"/>
    <w:rsid w:val="00B95E63"/>
    <w:rsid w:val="00B95EC8"/>
    <w:rsid w:val="00B9643E"/>
    <w:rsid w:val="00B96567"/>
    <w:rsid w:val="00B96727"/>
    <w:rsid w:val="00B96806"/>
    <w:rsid w:val="00B96973"/>
    <w:rsid w:val="00B96B9B"/>
    <w:rsid w:val="00B96D03"/>
    <w:rsid w:val="00B971E7"/>
    <w:rsid w:val="00B973AC"/>
    <w:rsid w:val="00B97742"/>
    <w:rsid w:val="00B97BCF"/>
    <w:rsid w:val="00B97BFE"/>
    <w:rsid w:val="00B97C68"/>
    <w:rsid w:val="00B97F0A"/>
    <w:rsid w:val="00BA011D"/>
    <w:rsid w:val="00BA0319"/>
    <w:rsid w:val="00BA0352"/>
    <w:rsid w:val="00BA0464"/>
    <w:rsid w:val="00BA0499"/>
    <w:rsid w:val="00BA051D"/>
    <w:rsid w:val="00BA0710"/>
    <w:rsid w:val="00BA0842"/>
    <w:rsid w:val="00BA0A7B"/>
    <w:rsid w:val="00BA0B36"/>
    <w:rsid w:val="00BA0BA3"/>
    <w:rsid w:val="00BA0C77"/>
    <w:rsid w:val="00BA1296"/>
    <w:rsid w:val="00BA12BA"/>
    <w:rsid w:val="00BA1394"/>
    <w:rsid w:val="00BA15B8"/>
    <w:rsid w:val="00BA16D1"/>
    <w:rsid w:val="00BA18CB"/>
    <w:rsid w:val="00BA1959"/>
    <w:rsid w:val="00BA19BA"/>
    <w:rsid w:val="00BA1C5D"/>
    <w:rsid w:val="00BA1D6B"/>
    <w:rsid w:val="00BA1DD2"/>
    <w:rsid w:val="00BA1EBB"/>
    <w:rsid w:val="00BA1F1B"/>
    <w:rsid w:val="00BA1FDF"/>
    <w:rsid w:val="00BA204A"/>
    <w:rsid w:val="00BA205B"/>
    <w:rsid w:val="00BA2198"/>
    <w:rsid w:val="00BA249D"/>
    <w:rsid w:val="00BA2598"/>
    <w:rsid w:val="00BA25CF"/>
    <w:rsid w:val="00BA2686"/>
    <w:rsid w:val="00BA26FF"/>
    <w:rsid w:val="00BA2841"/>
    <w:rsid w:val="00BA2988"/>
    <w:rsid w:val="00BA2FE1"/>
    <w:rsid w:val="00BA308A"/>
    <w:rsid w:val="00BA32CB"/>
    <w:rsid w:val="00BA3485"/>
    <w:rsid w:val="00BA34E6"/>
    <w:rsid w:val="00BA375C"/>
    <w:rsid w:val="00BA37E9"/>
    <w:rsid w:val="00BA380F"/>
    <w:rsid w:val="00BA3A11"/>
    <w:rsid w:val="00BA3A8F"/>
    <w:rsid w:val="00BA3D20"/>
    <w:rsid w:val="00BA4316"/>
    <w:rsid w:val="00BA43C8"/>
    <w:rsid w:val="00BA4811"/>
    <w:rsid w:val="00BA48ED"/>
    <w:rsid w:val="00BA4A87"/>
    <w:rsid w:val="00BA4B05"/>
    <w:rsid w:val="00BA4C7A"/>
    <w:rsid w:val="00BA4CFF"/>
    <w:rsid w:val="00BA4EC9"/>
    <w:rsid w:val="00BA4F4E"/>
    <w:rsid w:val="00BA50A4"/>
    <w:rsid w:val="00BA536D"/>
    <w:rsid w:val="00BA53D7"/>
    <w:rsid w:val="00BA5498"/>
    <w:rsid w:val="00BA5550"/>
    <w:rsid w:val="00BA56B3"/>
    <w:rsid w:val="00BA584E"/>
    <w:rsid w:val="00BA58EB"/>
    <w:rsid w:val="00BA59DB"/>
    <w:rsid w:val="00BA5BA8"/>
    <w:rsid w:val="00BA5D88"/>
    <w:rsid w:val="00BA5F08"/>
    <w:rsid w:val="00BA6075"/>
    <w:rsid w:val="00BA60EC"/>
    <w:rsid w:val="00BA6247"/>
    <w:rsid w:val="00BA63F8"/>
    <w:rsid w:val="00BA641D"/>
    <w:rsid w:val="00BA67E6"/>
    <w:rsid w:val="00BA6805"/>
    <w:rsid w:val="00BA6854"/>
    <w:rsid w:val="00BA6888"/>
    <w:rsid w:val="00BA6923"/>
    <w:rsid w:val="00BA6A12"/>
    <w:rsid w:val="00BA6B6F"/>
    <w:rsid w:val="00BA6CC9"/>
    <w:rsid w:val="00BA7069"/>
    <w:rsid w:val="00BA718E"/>
    <w:rsid w:val="00BA7224"/>
    <w:rsid w:val="00BA73AB"/>
    <w:rsid w:val="00BA7520"/>
    <w:rsid w:val="00BA75AE"/>
    <w:rsid w:val="00BA7861"/>
    <w:rsid w:val="00BA797D"/>
    <w:rsid w:val="00BA798D"/>
    <w:rsid w:val="00BA7AB6"/>
    <w:rsid w:val="00BA7BA8"/>
    <w:rsid w:val="00BA7CAB"/>
    <w:rsid w:val="00BA7D8B"/>
    <w:rsid w:val="00BB00CF"/>
    <w:rsid w:val="00BB0198"/>
    <w:rsid w:val="00BB0439"/>
    <w:rsid w:val="00BB05B6"/>
    <w:rsid w:val="00BB06E8"/>
    <w:rsid w:val="00BB0D75"/>
    <w:rsid w:val="00BB0E2E"/>
    <w:rsid w:val="00BB0F77"/>
    <w:rsid w:val="00BB1100"/>
    <w:rsid w:val="00BB11F6"/>
    <w:rsid w:val="00BB1306"/>
    <w:rsid w:val="00BB145B"/>
    <w:rsid w:val="00BB158D"/>
    <w:rsid w:val="00BB15D8"/>
    <w:rsid w:val="00BB163A"/>
    <w:rsid w:val="00BB1648"/>
    <w:rsid w:val="00BB1781"/>
    <w:rsid w:val="00BB1867"/>
    <w:rsid w:val="00BB188B"/>
    <w:rsid w:val="00BB18BE"/>
    <w:rsid w:val="00BB19D7"/>
    <w:rsid w:val="00BB201F"/>
    <w:rsid w:val="00BB213B"/>
    <w:rsid w:val="00BB21B2"/>
    <w:rsid w:val="00BB2351"/>
    <w:rsid w:val="00BB2622"/>
    <w:rsid w:val="00BB26D1"/>
    <w:rsid w:val="00BB26F8"/>
    <w:rsid w:val="00BB2A76"/>
    <w:rsid w:val="00BB2AFD"/>
    <w:rsid w:val="00BB2E4C"/>
    <w:rsid w:val="00BB2E6E"/>
    <w:rsid w:val="00BB335F"/>
    <w:rsid w:val="00BB3381"/>
    <w:rsid w:val="00BB33D5"/>
    <w:rsid w:val="00BB3452"/>
    <w:rsid w:val="00BB3735"/>
    <w:rsid w:val="00BB37C4"/>
    <w:rsid w:val="00BB3804"/>
    <w:rsid w:val="00BB38C0"/>
    <w:rsid w:val="00BB398C"/>
    <w:rsid w:val="00BB3BE4"/>
    <w:rsid w:val="00BB3DB8"/>
    <w:rsid w:val="00BB4158"/>
    <w:rsid w:val="00BB42AA"/>
    <w:rsid w:val="00BB441F"/>
    <w:rsid w:val="00BB44B6"/>
    <w:rsid w:val="00BB45F4"/>
    <w:rsid w:val="00BB4C49"/>
    <w:rsid w:val="00BB4CAF"/>
    <w:rsid w:val="00BB4E9B"/>
    <w:rsid w:val="00BB53D7"/>
    <w:rsid w:val="00BB5564"/>
    <w:rsid w:val="00BB5746"/>
    <w:rsid w:val="00BB57EF"/>
    <w:rsid w:val="00BB580E"/>
    <w:rsid w:val="00BB5870"/>
    <w:rsid w:val="00BB598D"/>
    <w:rsid w:val="00BB5A9A"/>
    <w:rsid w:val="00BB5BC3"/>
    <w:rsid w:val="00BB5DB1"/>
    <w:rsid w:val="00BB5EC3"/>
    <w:rsid w:val="00BB6135"/>
    <w:rsid w:val="00BB632D"/>
    <w:rsid w:val="00BB64A4"/>
    <w:rsid w:val="00BB64A8"/>
    <w:rsid w:val="00BB67DF"/>
    <w:rsid w:val="00BB6927"/>
    <w:rsid w:val="00BB6BBC"/>
    <w:rsid w:val="00BB6C02"/>
    <w:rsid w:val="00BB6C74"/>
    <w:rsid w:val="00BB6DEB"/>
    <w:rsid w:val="00BB6EAB"/>
    <w:rsid w:val="00BB70C3"/>
    <w:rsid w:val="00BB70CA"/>
    <w:rsid w:val="00BB7270"/>
    <w:rsid w:val="00BB73E4"/>
    <w:rsid w:val="00BB74D1"/>
    <w:rsid w:val="00BB7638"/>
    <w:rsid w:val="00BB76BD"/>
    <w:rsid w:val="00BB77E3"/>
    <w:rsid w:val="00BB7A5C"/>
    <w:rsid w:val="00BB7A7A"/>
    <w:rsid w:val="00BB7BE7"/>
    <w:rsid w:val="00BB7C79"/>
    <w:rsid w:val="00BB7E97"/>
    <w:rsid w:val="00BC024B"/>
    <w:rsid w:val="00BC0331"/>
    <w:rsid w:val="00BC03A4"/>
    <w:rsid w:val="00BC063D"/>
    <w:rsid w:val="00BC08DD"/>
    <w:rsid w:val="00BC0982"/>
    <w:rsid w:val="00BC0B8C"/>
    <w:rsid w:val="00BC0DCB"/>
    <w:rsid w:val="00BC1037"/>
    <w:rsid w:val="00BC133B"/>
    <w:rsid w:val="00BC13D2"/>
    <w:rsid w:val="00BC1417"/>
    <w:rsid w:val="00BC167E"/>
    <w:rsid w:val="00BC172F"/>
    <w:rsid w:val="00BC178C"/>
    <w:rsid w:val="00BC1C3C"/>
    <w:rsid w:val="00BC1CB3"/>
    <w:rsid w:val="00BC1F56"/>
    <w:rsid w:val="00BC1FB5"/>
    <w:rsid w:val="00BC2469"/>
    <w:rsid w:val="00BC2641"/>
    <w:rsid w:val="00BC2776"/>
    <w:rsid w:val="00BC2805"/>
    <w:rsid w:val="00BC29C3"/>
    <w:rsid w:val="00BC2BEF"/>
    <w:rsid w:val="00BC2DE5"/>
    <w:rsid w:val="00BC2EAE"/>
    <w:rsid w:val="00BC2F0F"/>
    <w:rsid w:val="00BC30FE"/>
    <w:rsid w:val="00BC31BD"/>
    <w:rsid w:val="00BC3721"/>
    <w:rsid w:val="00BC39EF"/>
    <w:rsid w:val="00BC3B6C"/>
    <w:rsid w:val="00BC3C46"/>
    <w:rsid w:val="00BC3F0F"/>
    <w:rsid w:val="00BC3FC2"/>
    <w:rsid w:val="00BC404C"/>
    <w:rsid w:val="00BC410F"/>
    <w:rsid w:val="00BC445B"/>
    <w:rsid w:val="00BC446C"/>
    <w:rsid w:val="00BC4504"/>
    <w:rsid w:val="00BC461E"/>
    <w:rsid w:val="00BC4661"/>
    <w:rsid w:val="00BC47FD"/>
    <w:rsid w:val="00BC4A26"/>
    <w:rsid w:val="00BC4B40"/>
    <w:rsid w:val="00BC4C6F"/>
    <w:rsid w:val="00BC4F4F"/>
    <w:rsid w:val="00BC507A"/>
    <w:rsid w:val="00BC522B"/>
    <w:rsid w:val="00BC532E"/>
    <w:rsid w:val="00BC5470"/>
    <w:rsid w:val="00BC5476"/>
    <w:rsid w:val="00BC5623"/>
    <w:rsid w:val="00BC57C8"/>
    <w:rsid w:val="00BC58B9"/>
    <w:rsid w:val="00BC58FD"/>
    <w:rsid w:val="00BC5B25"/>
    <w:rsid w:val="00BC5C14"/>
    <w:rsid w:val="00BC5C33"/>
    <w:rsid w:val="00BC5E7B"/>
    <w:rsid w:val="00BC5EFE"/>
    <w:rsid w:val="00BC6292"/>
    <w:rsid w:val="00BC668E"/>
    <w:rsid w:val="00BC66D2"/>
    <w:rsid w:val="00BC6A63"/>
    <w:rsid w:val="00BC6D45"/>
    <w:rsid w:val="00BC6F7B"/>
    <w:rsid w:val="00BC7438"/>
    <w:rsid w:val="00BC75BE"/>
    <w:rsid w:val="00BC75D8"/>
    <w:rsid w:val="00BC7734"/>
    <w:rsid w:val="00BC7918"/>
    <w:rsid w:val="00BC7B07"/>
    <w:rsid w:val="00BC7CAC"/>
    <w:rsid w:val="00BD0218"/>
    <w:rsid w:val="00BD0365"/>
    <w:rsid w:val="00BD0745"/>
    <w:rsid w:val="00BD0AB1"/>
    <w:rsid w:val="00BD0CEF"/>
    <w:rsid w:val="00BD0F4E"/>
    <w:rsid w:val="00BD0F5A"/>
    <w:rsid w:val="00BD1060"/>
    <w:rsid w:val="00BD11AC"/>
    <w:rsid w:val="00BD1250"/>
    <w:rsid w:val="00BD1255"/>
    <w:rsid w:val="00BD151B"/>
    <w:rsid w:val="00BD1A7C"/>
    <w:rsid w:val="00BD1A89"/>
    <w:rsid w:val="00BD1E04"/>
    <w:rsid w:val="00BD1E4A"/>
    <w:rsid w:val="00BD2033"/>
    <w:rsid w:val="00BD2202"/>
    <w:rsid w:val="00BD2515"/>
    <w:rsid w:val="00BD25F6"/>
    <w:rsid w:val="00BD2658"/>
    <w:rsid w:val="00BD27ED"/>
    <w:rsid w:val="00BD2922"/>
    <w:rsid w:val="00BD2BDA"/>
    <w:rsid w:val="00BD2F8D"/>
    <w:rsid w:val="00BD300E"/>
    <w:rsid w:val="00BD31D8"/>
    <w:rsid w:val="00BD3246"/>
    <w:rsid w:val="00BD33D5"/>
    <w:rsid w:val="00BD33EC"/>
    <w:rsid w:val="00BD359C"/>
    <w:rsid w:val="00BD362B"/>
    <w:rsid w:val="00BD3990"/>
    <w:rsid w:val="00BD39DE"/>
    <w:rsid w:val="00BD40FA"/>
    <w:rsid w:val="00BD41F5"/>
    <w:rsid w:val="00BD42B1"/>
    <w:rsid w:val="00BD43D3"/>
    <w:rsid w:val="00BD478D"/>
    <w:rsid w:val="00BD493A"/>
    <w:rsid w:val="00BD4CBF"/>
    <w:rsid w:val="00BD4DF7"/>
    <w:rsid w:val="00BD4ED1"/>
    <w:rsid w:val="00BD4EE2"/>
    <w:rsid w:val="00BD4EFC"/>
    <w:rsid w:val="00BD5612"/>
    <w:rsid w:val="00BD571F"/>
    <w:rsid w:val="00BD583D"/>
    <w:rsid w:val="00BD5AB6"/>
    <w:rsid w:val="00BD5B1D"/>
    <w:rsid w:val="00BD5B8F"/>
    <w:rsid w:val="00BD5D7E"/>
    <w:rsid w:val="00BD5EA6"/>
    <w:rsid w:val="00BD6030"/>
    <w:rsid w:val="00BD60E9"/>
    <w:rsid w:val="00BD613B"/>
    <w:rsid w:val="00BD614D"/>
    <w:rsid w:val="00BD67A1"/>
    <w:rsid w:val="00BD6A09"/>
    <w:rsid w:val="00BD6AE4"/>
    <w:rsid w:val="00BD6E6C"/>
    <w:rsid w:val="00BD6EC4"/>
    <w:rsid w:val="00BD703C"/>
    <w:rsid w:val="00BD7173"/>
    <w:rsid w:val="00BD72A5"/>
    <w:rsid w:val="00BD74CA"/>
    <w:rsid w:val="00BD754B"/>
    <w:rsid w:val="00BD75C5"/>
    <w:rsid w:val="00BD7614"/>
    <w:rsid w:val="00BD76BE"/>
    <w:rsid w:val="00BD778A"/>
    <w:rsid w:val="00BD7913"/>
    <w:rsid w:val="00BD79B7"/>
    <w:rsid w:val="00BD7D25"/>
    <w:rsid w:val="00BD7E73"/>
    <w:rsid w:val="00BD7EFF"/>
    <w:rsid w:val="00BE0129"/>
    <w:rsid w:val="00BE01CA"/>
    <w:rsid w:val="00BE02A7"/>
    <w:rsid w:val="00BE052D"/>
    <w:rsid w:val="00BE0561"/>
    <w:rsid w:val="00BE05B6"/>
    <w:rsid w:val="00BE05FF"/>
    <w:rsid w:val="00BE072E"/>
    <w:rsid w:val="00BE0733"/>
    <w:rsid w:val="00BE0824"/>
    <w:rsid w:val="00BE0B5D"/>
    <w:rsid w:val="00BE0C11"/>
    <w:rsid w:val="00BE0C42"/>
    <w:rsid w:val="00BE0DEF"/>
    <w:rsid w:val="00BE0EE1"/>
    <w:rsid w:val="00BE11EF"/>
    <w:rsid w:val="00BE1205"/>
    <w:rsid w:val="00BE125B"/>
    <w:rsid w:val="00BE1329"/>
    <w:rsid w:val="00BE1475"/>
    <w:rsid w:val="00BE156A"/>
    <w:rsid w:val="00BE16C0"/>
    <w:rsid w:val="00BE1794"/>
    <w:rsid w:val="00BE180E"/>
    <w:rsid w:val="00BE1926"/>
    <w:rsid w:val="00BE1DF0"/>
    <w:rsid w:val="00BE1E3A"/>
    <w:rsid w:val="00BE1E9E"/>
    <w:rsid w:val="00BE1F1F"/>
    <w:rsid w:val="00BE2173"/>
    <w:rsid w:val="00BE2405"/>
    <w:rsid w:val="00BE245E"/>
    <w:rsid w:val="00BE24FA"/>
    <w:rsid w:val="00BE2543"/>
    <w:rsid w:val="00BE26E7"/>
    <w:rsid w:val="00BE26E9"/>
    <w:rsid w:val="00BE2945"/>
    <w:rsid w:val="00BE2A4D"/>
    <w:rsid w:val="00BE2B2D"/>
    <w:rsid w:val="00BE2F82"/>
    <w:rsid w:val="00BE2FF6"/>
    <w:rsid w:val="00BE3036"/>
    <w:rsid w:val="00BE3149"/>
    <w:rsid w:val="00BE319A"/>
    <w:rsid w:val="00BE37EA"/>
    <w:rsid w:val="00BE399D"/>
    <w:rsid w:val="00BE3AA8"/>
    <w:rsid w:val="00BE3AB4"/>
    <w:rsid w:val="00BE3B37"/>
    <w:rsid w:val="00BE403B"/>
    <w:rsid w:val="00BE4048"/>
    <w:rsid w:val="00BE4066"/>
    <w:rsid w:val="00BE42BD"/>
    <w:rsid w:val="00BE43FE"/>
    <w:rsid w:val="00BE448A"/>
    <w:rsid w:val="00BE4656"/>
    <w:rsid w:val="00BE4756"/>
    <w:rsid w:val="00BE4762"/>
    <w:rsid w:val="00BE49A9"/>
    <w:rsid w:val="00BE4BE1"/>
    <w:rsid w:val="00BE4F42"/>
    <w:rsid w:val="00BE5049"/>
    <w:rsid w:val="00BE5610"/>
    <w:rsid w:val="00BE5773"/>
    <w:rsid w:val="00BE5797"/>
    <w:rsid w:val="00BE57CD"/>
    <w:rsid w:val="00BE57EE"/>
    <w:rsid w:val="00BE57FC"/>
    <w:rsid w:val="00BE5D68"/>
    <w:rsid w:val="00BE5D8A"/>
    <w:rsid w:val="00BE5EA0"/>
    <w:rsid w:val="00BE5FBE"/>
    <w:rsid w:val="00BE65AC"/>
    <w:rsid w:val="00BE6725"/>
    <w:rsid w:val="00BE674A"/>
    <w:rsid w:val="00BE6770"/>
    <w:rsid w:val="00BE67BA"/>
    <w:rsid w:val="00BE69BA"/>
    <w:rsid w:val="00BE6B69"/>
    <w:rsid w:val="00BE6C4C"/>
    <w:rsid w:val="00BE6C96"/>
    <w:rsid w:val="00BE6F2E"/>
    <w:rsid w:val="00BE6FC1"/>
    <w:rsid w:val="00BE6FC2"/>
    <w:rsid w:val="00BE71F1"/>
    <w:rsid w:val="00BE7222"/>
    <w:rsid w:val="00BE7278"/>
    <w:rsid w:val="00BE7284"/>
    <w:rsid w:val="00BE730C"/>
    <w:rsid w:val="00BE731A"/>
    <w:rsid w:val="00BE738F"/>
    <w:rsid w:val="00BE7416"/>
    <w:rsid w:val="00BE746F"/>
    <w:rsid w:val="00BE75A4"/>
    <w:rsid w:val="00BE76ED"/>
    <w:rsid w:val="00BE770D"/>
    <w:rsid w:val="00BE789A"/>
    <w:rsid w:val="00BE78BF"/>
    <w:rsid w:val="00BE78E3"/>
    <w:rsid w:val="00BE7BE6"/>
    <w:rsid w:val="00BE7D1F"/>
    <w:rsid w:val="00BE7E4F"/>
    <w:rsid w:val="00BE7EB9"/>
    <w:rsid w:val="00BE7F25"/>
    <w:rsid w:val="00BF0313"/>
    <w:rsid w:val="00BF0345"/>
    <w:rsid w:val="00BF0480"/>
    <w:rsid w:val="00BF0591"/>
    <w:rsid w:val="00BF0681"/>
    <w:rsid w:val="00BF06EC"/>
    <w:rsid w:val="00BF07A6"/>
    <w:rsid w:val="00BF08F0"/>
    <w:rsid w:val="00BF0906"/>
    <w:rsid w:val="00BF0A5A"/>
    <w:rsid w:val="00BF0BA1"/>
    <w:rsid w:val="00BF0C53"/>
    <w:rsid w:val="00BF0E0B"/>
    <w:rsid w:val="00BF0ECF"/>
    <w:rsid w:val="00BF0F5D"/>
    <w:rsid w:val="00BF1077"/>
    <w:rsid w:val="00BF112C"/>
    <w:rsid w:val="00BF1163"/>
    <w:rsid w:val="00BF118C"/>
    <w:rsid w:val="00BF12F7"/>
    <w:rsid w:val="00BF13E0"/>
    <w:rsid w:val="00BF1489"/>
    <w:rsid w:val="00BF154E"/>
    <w:rsid w:val="00BF166A"/>
    <w:rsid w:val="00BF1699"/>
    <w:rsid w:val="00BF16BE"/>
    <w:rsid w:val="00BF17A2"/>
    <w:rsid w:val="00BF1806"/>
    <w:rsid w:val="00BF1B9D"/>
    <w:rsid w:val="00BF1C11"/>
    <w:rsid w:val="00BF1D4A"/>
    <w:rsid w:val="00BF1EDF"/>
    <w:rsid w:val="00BF1F34"/>
    <w:rsid w:val="00BF2125"/>
    <w:rsid w:val="00BF243B"/>
    <w:rsid w:val="00BF24F8"/>
    <w:rsid w:val="00BF2538"/>
    <w:rsid w:val="00BF258E"/>
    <w:rsid w:val="00BF260D"/>
    <w:rsid w:val="00BF2754"/>
    <w:rsid w:val="00BF27F0"/>
    <w:rsid w:val="00BF281B"/>
    <w:rsid w:val="00BF28AF"/>
    <w:rsid w:val="00BF29CF"/>
    <w:rsid w:val="00BF2E05"/>
    <w:rsid w:val="00BF2EC4"/>
    <w:rsid w:val="00BF3157"/>
    <w:rsid w:val="00BF3283"/>
    <w:rsid w:val="00BF33F2"/>
    <w:rsid w:val="00BF3427"/>
    <w:rsid w:val="00BF34A0"/>
    <w:rsid w:val="00BF34F6"/>
    <w:rsid w:val="00BF353F"/>
    <w:rsid w:val="00BF37DD"/>
    <w:rsid w:val="00BF3867"/>
    <w:rsid w:val="00BF3C2F"/>
    <w:rsid w:val="00BF3C81"/>
    <w:rsid w:val="00BF3D38"/>
    <w:rsid w:val="00BF3D9E"/>
    <w:rsid w:val="00BF3DB5"/>
    <w:rsid w:val="00BF401E"/>
    <w:rsid w:val="00BF4138"/>
    <w:rsid w:val="00BF42AE"/>
    <w:rsid w:val="00BF44EA"/>
    <w:rsid w:val="00BF45ED"/>
    <w:rsid w:val="00BF47D0"/>
    <w:rsid w:val="00BF4970"/>
    <w:rsid w:val="00BF4B5B"/>
    <w:rsid w:val="00BF4B7A"/>
    <w:rsid w:val="00BF4D77"/>
    <w:rsid w:val="00BF5298"/>
    <w:rsid w:val="00BF5386"/>
    <w:rsid w:val="00BF569B"/>
    <w:rsid w:val="00BF5961"/>
    <w:rsid w:val="00BF5C7C"/>
    <w:rsid w:val="00BF5DA3"/>
    <w:rsid w:val="00BF60AF"/>
    <w:rsid w:val="00BF6101"/>
    <w:rsid w:val="00BF6453"/>
    <w:rsid w:val="00BF646D"/>
    <w:rsid w:val="00BF68F4"/>
    <w:rsid w:val="00BF6CB3"/>
    <w:rsid w:val="00BF6CD4"/>
    <w:rsid w:val="00BF6D49"/>
    <w:rsid w:val="00BF6E51"/>
    <w:rsid w:val="00BF6E61"/>
    <w:rsid w:val="00BF6ED2"/>
    <w:rsid w:val="00BF6F42"/>
    <w:rsid w:val="00BF6F8A"/>
    <w:rsid w:val="00BF704B"/>
    <w:rsid w:val="00BF70B9"/>
    <w:rsid w:val="00BF713B"/>
    <w:rsid w:val="00BF76C3"/>
    <w:rsid w:val="00BF77B5"/>
    <w:rsid w:val="00BF7857"/>
    <w:rsid w:val="00BF7A1E"/>
    <w:rsid w:val="00BF7A33"/>
    <w:rsid w:val="00BF7DE5"/>
    <w:rsid w:val="00BF7EB7"/>
    <w:rsid w:val="00BF7F9D"/>
    <w:rsid w:val="00C0018B"/>
    <w:rsid w:val="00C00278"/>
    <w:rsid w:val="00C003D2"/>
    <w:rsid w:val="00C00715"/>
    <w:rsid w:val="00C00717"/>
    <w:rsid w:val="00C008D1"/>
    <w:rsid w:val="00C009A8"/>
    <w:rsid w:val="00C00B63"/>
    <w:rsid w:val="00C00F75"/>
    <w:rsid w:val="00C0102F"/>
    <w:rsid w:val="00C011A3"/>
    <w:rsid w:val="00C011B7"/>
    <w:rsid w:val="00C012B2"/>
    <w:rsid w:val="00C01304"/>
    <w:rsid w:val="00C01341"/>
    <w:rsid w:val="00C01504"/>
    <w:rsid w:val="00C0168A"/>
    <w:rsid w:val="00C01997"/>
    <w:rsid w:val="00C01A36"/>
    <w:rsid w:val="00C01B19"/>
    <w:rsid w:val="00C01B94"/>
    <w:rsid w:val="00C01B9F"/>
    <w:rsid w:val="00C01BCD"/>
    <w:rsid w:val="00C01EC9"/>
    <w:rsid w:val="00C0202A"/>
    <w:rsid w:val="00C0229B"/>
    <w:rsid w:val="00C023F3"/>
    <w:rsid w:val="00C025BA"/>
    <w:rsid w:val="00C02786"/>
    <w:rsid w:val="00C02903"/>
    <w:rsid w:val="00C02912"/>
    <w:rsid w:val="00C029D8"/>
    <w:rsid w:val="00C02A26"/>
    <w:rsid w:val="00C02B5D"/>
    <w:rsid w:val="00C02BBC"/>
    <w:rsid w:val="00C02E03"/>
    <w:rsid w:val="00C02EB3"/>
    <w:rsid w:val="00C02F3E"/>
    <w:rsid w:val="00C02FBB"/>
    <w:rsid w:val="00C03026"/>
    <w:rsid w:val="00C03117"/>
    <w:rsid w:val="00C03142"/>
    <w:rsid w:val="00C03295"/>
    <w:rsid w:val="00C03375"/>
    <w:rsid w:val="00C036FC"/>
    <w:rsid w:val="00C03798"/>
    <w:rsid w:val="00C03A30"/>
    <w:rsid w:val="00C03CB6"/>
    <w:rsid w:val="00C03D5F"/>
    <w:rsid w:val="00C03DD7"/>
    <w:rsid w:val="00C03E0F"/>
    <w:rsid w:val="00C03F0A"/>
    <w:rsid w:val="00C03F1C"/>
    <w:rsid w:val="00C03F5D"/>
    <w:rsid w:val="00C0410E"/>
    <w:rsid w:val="00C0433A"/>
    <w:rsid w:val="00C043A5"/>
    <w:rsid w:val="00C04763"/>
    <w:rsid w:val="00C04878"/>
    <w:rsid w:val="00C04B5A"/>
    <w:rsid w:val="00C04D7A"/>
    <w:rsid w:val="00C04E2C"/>
    <w:rsid w:val="00C05126"/>
    <w:rsid w:val="00C0524C"/>
    <w:rsid w:val="00C0534F"/>
    <w:rsid w:val="00C05359"/>
    <w:rsid w:val="00C05420"/>
    <w:rsid w:val="00C055A2"/>
    <w:rsid w:val="00C0563B"/>
    <w:rsid w:val="00C05739"/>
    <w:rsid w:val="00C0585C"/>
    <w:rsid w:val="00C05926"/>
    <w:rsid w:val="00C059A5"/>
    <w:rsid w:val="00C05C5B"/>
    <w:rsid w:val="00C05F28"/>
    <w:rsid w:val="00C06284"/>
    <w:rsid w:val="00C063EA"/>
    <w:rsid w:val="00C06634"/>
    <w:rsid w:val="00C066CC"/>
    <w:rsid w:val="00C0673B"/>
    <w:rsid w:val="00C068FA"/>
    <w:rsid w:val="00C06913"/>
    <w:rsid w:val="00C0693F"/>
    <w:rsid w:val="00C06A81"/>
    <w:rsid w:val="00C06C6F"/>
    <w:rsid w:val="00C06DF4"/>
    <w:rsid w:val="00C06EDE"/>
    <w:rsid w:val="00C06F42"/>
    <w:rsid w:val="00C06F81"/>
    <w:rsid w:val="00C06F8F"/>
    <w:rsid w:val="00C07031"/>
    <w:rsid w:val="00C070E6"/>
    <w:rsid w:val="00C071C2"/>
    <w:rsid w:val="00C073A5"/>
    <w:rsid w:val="00C073AB"/>
    <w:rsid w:val="00C07421"/>
    <w:rsid w:val="00C075CF"/>
    <w:rsid w:val="00C07913"/>
    <w:rsid w:val="00C07A29"/>
    <w:rsid w:val="00C07B35"/>
    <w:rsid w:val="00C07C75"/>
    <w:rsid w:val="00C07D9D"/>
    <w:rsid w:val="00C07DB5"/>
    <w:rsid w:val="00C07DDC"/>
    <w:rsid w:val="00C1001C"/>
    <w:rsid w:val="00C102DB"/>
    <w:rsid w:val="00C10458"/>
    <w:rsid w:val="00C108F7"/>
    <w:rsid w:val="00C10901"/>
    <w:rsid w:val="00C10A81"/>
    <w:rsid w:val="00C10BF0"/>
    <w:rsid w:val="00C10DD9"/>
    <w:rsid w:val="00C10EFE"/>
    <w:rsid w:val="00C10F53"/>
    <w:rsid w:val="00C11034"/>
    <w:rsid w:val="00C1114A"/>
    <w:rsid w:val="00C112F1"/>
    <w:rsid w:val="00C113C2"/>
    <w:rsid w:val="00C11434"/>
    <w:rsid w:val="00C11571"/>
    <w:rsid w:val="00C1165C"/>
    <w:rsid w:val="00C118D0"/>
    <w:rsid w:val="00C11967"/>
    <w:rsid w:val="00C11ACD"/>
    <w:rsid w:val="00C11EC5"/>
    <w:rsid w:val="00C11F1A"/>
    <w:rsid w:val="00C11F65"/>
    <w:rsid w:val="00C12174"/>
    <w:rsid w:val="00C1228E"/>
    <w:rsid w:val="00C1231D"/>
    <w:rsid w:val="00C127AF"/>
    <w:rsid w:val="00C127C4"/>
    <w:rsid w:val="00C128C9"/>
    <w:rsid w:val="00C12AD6"/>
    <w:rsid w:val="00C12CB5"/>
    <w:rsid w:val="00C12CCF"/>
    <w:rsid w:val="00C12DD7"/>
    <w:rsid w:val="00C12E76"/>
    <w:rsid w:val="00C12F2B"/>
    <w:rsid w:val="00C13158"/>
    <w:rsid w:val="00C13292"/>
    <w:rsid w:val="00C13720"/>
    <w:rsid w:val="00C1372C"/>
    <w:rsid w:val="00C137D2"/>
    <w:rsid w:val="00C13BA6"/>
    <w:rsid w:val="00C13BC5"/>
    <w:rsid w:val="00C13BDB"/>
    <w:rsid w:val="00C13C60"/>
    <w:rsid w:val="00C13C93"/>
    <w:rsid w:val="00C13CA8"/>
    <w:rsid w:val="00C13CEE"/>
    <w:rsid w:val="00C13D44"/>
    <w:rsid w:val="00C14070"/>
    <w:rsid w:val="00C140CA"/>
    <w:rsid w:val="00C1427A"/>
    <w:rsid w:val="00C1440E"/>
    <w:rsid w:val="00C14A28"/>
    <w:rsid w:val="00C14B6A"/>
    <w:rsid w:val="00C14D82"/>
    <w:rsid w:val="00C14FFC"/>
    <w:rsid w:val="00C152E8"/>
    <w:rsid w:val="00C154C9"/>
    <w:rsid w:val="00C15535"/>
    <w:rsid w:val="00C157D1"/>
    <w:rsid w:val="00C15929"/>
    <w:rsid w:val="00C159CE"/>
    <w:rsid w:val="00C15A46"/>
    <w:rsid w:val="00C15CC7"/>
    <w:rsid w:val="00C162BB"/>
    <w:rsid w:val="00C167AF"/>
    <w:rsid w:val="00C16867"/>
    <w:rsid w:val="00C169DF"/>
    <w:rsid w:val="00C16A02"/>
    <w:rsid w:val="00C16AE7"/>
    <w:rsid w:val="00C16C30"/>
    <w:rsid w:val="00C16CF3"/>
    <w:rsid w:val="00C16FC5"/>
    <w:rsid w:val="00C17266"/>
    <w:rsid w:val="00C17269"/>
    <w:rsid w:val="00C172B9"/>
    <w:rsid w:val="00C1734E"/>
    <w:rsid w:val="00C176CB"/>
    <w:rsid w:val="00C17791"/>
    <w:rsid w:val="00C17DF2"/>
    <w:rsid w:val="00C17E6F"/>
    <w:rsid w:val="00C17F70"/>
    <w:rsid w:val="00C20206"/>
    <w:rsid w:val="00C20475"/>
    <w:rsid w:val="00C2057D"/>
    <w:rsid w:val="00C2075E"/>
    <w:rsid w:val="00C208DD"/>
    <w:rsid w:val="00C2094C"/>
    <w:rsid w:val="00C20AA0"/>
    <w:rsid w:val="00C20CEA"/>
    <w:rsid w:val="00C20EFA"/>
    <w:rsid w:val="00C210A7"/>
    <w:rsid w:val="00C21109"/>
    <w:rsid w:val="00C21135"/>
    <w:rsid w:val="00C2113D"/>
    <w:rsid w:val="00C2166F"/>
    <w:rsid w:val="00C21755"/>
    <w:rsid w:val="00C21769"/>
    <w:rsid w:val="00C2180C"/>
    <w:rsid w:val="00C219DA"/>
    <w:rsid w:val="00C21F37"/>
    <w:rsid w:val="00C21F41"/>
    <w:rsid w:val="00C21FE3"/>
    <w:rsid w:val="00C22159"/>
    <w:rsid w:val="00C22232"/>
    <w:rsid w:val="00C222B8"/>
    <w:rsid w:val="00C2235D"/>
    <w:rsid w:val="00C22383"/>
    <w:rsid w:val="00C22433"/>
    <w:rsid w:val="00C227F0"/>
    <w:rsid w:val="00C22801"/>
    <w:rsid w:val="00C2281E"/>
    <w:rsid w:val="00C22992"/>
    <w:rsid w:val="00C229B5"/>
    <w:rsid w:val="00C229F2"/>
    <w:rsid w:val="00C22A6F"/>
    <w:rsid w:val="00C22CD0"/>
    <w:rsid w:val="00C22DED"/>
    <w:rsid w:val="00C22EBA"/>
    <w:rsid w:val="00C22EBB"/>
    <w:rsid w:val="00C22F4A"/>
    <w:rsid w:val="00C22FA8"/>
    <w:rsid w:val="00C230D7"/>
    <w:rsid w:val="00C230F7"/>
    <w:rsid w:val="00C23157"/>
    <w:rsid w:val="00C231B3"/>
    <w:rsid w:val="00C23330"/>
    <w:rsid w:val="00C2335B"/>
    <w:rsid w:val="00C23930"/>
    <w:rsid w:val="00C2397E"/>
    <w:rsid w:val="00C23B6A"/>
    <w:rsid w:val="00C23B89"/>
    <w:rsid w:val="00C23F76"/>
    <w:rsid w:val="00C23FA0"/>
    <w:rsid w:val="00C241DF"/>
    <w:rsid w:val="00C24255"/>
    <w:rsid w:val="00C24284"/>
    <w:rsid w:val="00C24461"/>
    <w:rsid w:val="00C2448F"/>
    <w:rsid w:val="00C2472E"/>
    <w:rsid w:val="00C247F2"/>
    <w:rsid w:val="00C24D7B"/>
    <w:rsid w:val="00C24E42"/>
    <w:rsid w:val="00C25342"/>
    <w:rsid w:val="00C25382"/>
    <w:rsid w:val="00C254E1"/>
    <w:rsid w:val="00C25512"/>
    <w:rsid w:val="00C256A1"/>
    <w:rsid w:val="00C2580D"/>
    <w:rsid w:val="00C25868"/>
    <w:rsid w:val="00C2587E"/>
    <w:rsid w:val="00C259D0"/>
    <w:rsid w:val="00C25A5C"/>
    <w:rsid w:val="00C25BF6"/>
    <w:rsid w:val="00C25C88"/>
    <w:rsid w:val="00C25DDB"/>
    <w:rsid w:val="00C25EA3"/>
    <w:rsid w:val="00C25FA3"/>
    <w:rsid w:val="00C2600F"/>
    <w:rsid w:val="00C2609F"/>
    <w:rsid w:val="00C266A1"/>
    <w:rsid w:val="00C2680F"/>
    <w:rsid w:val="00C26828"/>
    <w:rsid w:val="00C26994"/>
    <w:rsid w:val="00C26BF2"/>
    <w:rsid w:val="00C26C28"/>
    <w:rsid w:val="00C26E2B"/>
    <w:rsid w:val="00C26FF6"/>
    <w:rsid w:val="00C27040"/>
    <w:rsid w:val="00C271DE"/>
    <w:rsid w:val="00C27433"/>
    <w:rsid w:val="00C27438"/>
    <w:rsid w:val="00C27572"/>
    <w:rsid w:val="00C27857"/>
    <w:rsid w:val="00C27877"/>
    <w:rsid w:val="00C2793D"/>
    <w:rsid w:val="00C27A1C"/>
    <w:rsid w:val="00C27A41"/>
    <w:rsid w:val="00C27ACD"/>
    <w:rsid w:val="00C27BBB"/>
    <w:rsid w:val="00C27F65"/>
    <w:rsid w:val="00C27FC7"/>
    <w:rsid w:val="00C3017C"/>
    <w:rsid w:val="00C30301"/>
    <w:rsid w:val="00C3033E"/>
    <w:rsid w:val="00C3046A"/>
    <w:rsid w:val="00C30680"/>
    <w:rsid w:val="00C30978"/>
    <w:rsid w:val="00C30A80"/>
    <w:rsid w:val="00C30A9C"/>
    <w:rsid w:val="00C30D27"/>
    <w:rsid w:val="00C30D4B"/>
    <w:rsid w:val="00C30E47"/>
    <w:rsid w:val="00C30EEA"/>
    <w:rsid w:val="00C30FA7"/>
    <w:rsid w:val="00C311CB"/>
    <w:rsid w:val="00C3123E"/>
    <w:rsid w:val="00C313B6"/>
    <w:rsid w:val="00C317D4"/>
    <w:rsid w:val="00C317D6"/>
    <w:rsid w:val="00C3180A"/>
    <w:rsid w:val="00C3180B"/>
    <w:rsid w:val="00C31A33"/>
    <w:rsid w:val="00C31A64"/>
    <w:rsid w:val="00C31B5E"/>
    <w:rsid w:val="00C31B9E"/>
    <w:rsid w:val="00C31EBB"/>
    <w:rsid w:val="00C31EE2"/>
    <w:rsid w:val="00C320E0"/>
    <w:rsid w:val="00C321A1"/>
    <w:rsid w:val="00C32689"/>
    <w:rsid w:val="00C32795"/>
    <w:rsid w:val="00C327A3"/>
    <w:rsid w:val="00C32835"/>
    <w:rsid w:val="00C3288A"/>
    <w:rsid w:val="00C32991"/>
    <w:rsid w:val="00C329EE"/>
    <w:rsid w:val="00C32AC0"/>
    <w:rsid w:val="00C32C40"/>
    <w:rsid w:val="00C32CAB"/>
    <w:rsid w:val="00C32D8F"/>
    <w:rsid w:val="00C3311C"/>
    <w:rsid w:val="00C3313F"/>
    <w:rsid w:val="00C33169"/>
    <w:rsid w:val="00C33210"/>
    <w:rsid w:val="00C3323A"/>
    <w:rsid w:val="00C333D6"/>
    <w:rsid w:val="00C3344D"/>
    <w:rsid w:val="00C33578"/>
    <w:rsid w:val="00C33646"/>
    <w:rsid w:val="00C3372F"/>
    <w:rsid w:val="00C33802"/>
    <w:rsid w:val="00C33965"/>
    <w:rsid w:val="00C339D7"/>
    <w:rsid w:val="00C33B28"/>
    <w:rsid w:val="00C33C4E"/>
    <w:rsid w:val="00C343B1"/>
    <w:rsid w:val="00C345D2"/>
    <w:rsid w:val="00C3466D"/>
    <w:rsid w:val="00C347BD"/>
    <w:rsid w:val="00C347F5"/>
    <w:rsid w:val="00C3487A"/>
    <w:rsid w:val="00C3494E"/>
    <w:rsid w:val="00C34A33"/>
    <w:rsid w:val="00C34C8A"/>
    <w:rsid w:val="00C34E4C"/>
    <w:rsid w:val="00C34E7F"/>
    <w:rsid w:val="00C34FC9"/>
    <w:rsid w:val="00C35310"/>
    <w:rsid w:val="00C354F1"/>
    <w:rsid w:val="00C3566D"/>
    <w:rsid w:val="00C359DB"/>
    <w:rsid w:val="00C359ED"/>
    <w:rsid w:val="00C35C2E"/>
    <w:rsid w:val="00C35D23"/>
    <w:rsid w:val="00C35E72"/>
    <w:rsid w:val="00C361DA"/>
    <w:rsid w:val="00C363AA"/>
    <w:rsid w:val="00C3648F"/>
    <w:rsid w:val="00C36615"/>
    <w:rsid w:val="00C36681"/>
    <w:rsid w:val="00C3699C"/>
    <w:rsid w:val="00C36A42"/>
    <w:rsid w:val="00C36D00"/>
    <w:rsid w:val="00C36DBD"/>
    <w:rsid w:val="00C37366"/>
    <w:rsid w:val="00C374F3"/>
    <w:rsid w:val="00C37A6A"/>
    <w:rsid w:val="00C37BFB"/>
    <w:rsid w:val="00C37C30"/>
    <w:rsid w:val="00C37C44"/>
    <w:rsid w:val="00C37F3D"/>
    <w:rsid w:val="00C37F74"/>
    <w:rsid w:val="00C40158"/>
    <w:rsid w:val="00C40340"/>
    <w:rsid w:val="00C404A6"/>
    <w:rsid w:val="00C40649"/>
    <w:rsid w:val="00C40967"/>
    <w:rsid w:val="00C40BB5"/>
    <w:rsid w:val="00C40E79"/>
    <w:rsid w:val="00C41265"/>
    <w:rsid w:val="00C41330"/>
    <w:rsid w:val="00C414BF"/>
    <w:rsid w:val="00C41523"/>
    <w:rsid w:val="00C41538"/>
    <w:rsid w:val="00C41779"/>
    <w:rsid w:val="00C417A8"/>
    <w:rsid w:val="00C417AC"/>
    <w:rsid w:val="00C417BE"/>
    <w:rsid w:val="00C4181D"/>
    <w:rsid w:val="00C41958"/>
    <w:rsid w:val="00C41BAC"/>
    <w:rsid w:val="00C41C50"/>
    <w:rsid w:val="00C41D30"/>
    <w:rsid w:val="00C42020"/>
    <w:rsid w:val="00C4207E"/>
    <w:rsid w:val="00C4211B"/>
    <w:rsid w:val="00C42243"/>
    <w:rsid w:val="00C422BE"/>
    <w:rsid w:val="00C422E9"/>
    <w:rsid w:val="00C42539"/>
    <w:rsid w:val="00C428F5"/>
    <w:rsid w:val="00C4290C"/>
    <w:rsid w:val="00C42926"/>
    <w:rsid w:val="00C42B04"/>
    <w:rsid w:val="00C42DFE"/>
    <w:rsid w:val="00C42E51"/>
    <w:rsid w:val="00C42ECF"/>
    <w:rsid w:val="00C42F13"/>
    <w:rsid w:val="00C43061"/>
    <w:rsid w:val="00C43154"/>
    <w:rsid w:val="00C4321A"/>
    <w:rsid w:val="00C43538"/>
    <w:rsid w:val="00C435E0"/>
    <w:rsid w:val="00C43613"/>
    <w:rsid w:val="00C43AFD"/>
    <w:rsid w:val="00C43BB8"/>
    <w:rsid w:val="00C43C42"/>
    <w:rsid w:val="00C4401F"/>
    <w:rsid w:val="00C4429B"/>
    <w:rsid w:val="00C442D8"/>
    <w:rsid w:val="00C44360"/>
    <w:rsid w:val="00C443E3"/>
    <w:rsid w:val="00C44479"/>
    <w:rsid w:val="00C4454C"/>
    <w:rsid w:val="00C446F9"/>
    <w:rsid w:val="00C447C2"/>
    <w:rsid w:val="00C44904"/>
    <w:rsid w:val="00C44990"/>
    <w:rsid w:val="00C44C26"/>
    <w:rsid w:val="00C44C81"/>
    <w:rsid w:val="00C44F62"/>
    <w:rsid w:val="00C4511D"/>
    <w:rsid w:val="00C45131"/>
    <w:rsid w:val="00C451B6"/>
    <w:rsid w:val="00C452F0"/>
    <w:rsid w:val="00C453CE"/>
    <w:rsid w:val="00C453EE"/>
    <w:rsid w:val="00C454C4"/>
    <w:rsid w:val="00C4567E"/>
    <w:rsid w:val="00C456B0"/>
    <w:rsid w:val="00C45782"/>
    <w:rsid w:val="00C457B5"/>
    <w:rsid w:val="00C45A54"/>
    <w:rsid w:val="00C45B82"/>
    <w:rsid w:val="00C45E14"/>
    <w:rsid w:val="00C45E8D"/>
    <w:rsid w:val="00C46011"/>
    <w:rsid w:val="00C4602A"/>
    <w:rsid w:val="00C462D4"/>
    <w:rsid w:val="00C46459"/>
    <w:rsid w:val="00C4651E"/>
    <w:rsid w:val="00C4656B"/>
    <w:rsid w:val="00C46839"/>
    <w:rsid w:val="00C46858"/>
    <w:rsid w:val="00C469AE"/>
    <w:rsid w:val="00C46B5C"/>
    <w:rsid w:val="00C46B6A"/>
    <w:rsid w:val="00C46BCE"/>
    <w:rsid w:val="00C46E11"/>
    <w:rsid w:val="00C47382"/>
    <w:rsid w:val="00C4759B"/>
    <w:rsid w:val="00C4780C"/>
    <w:rsid w:val="00C479D5"/>
    <w:rsid w:val="00C47A6A"/>
    <w:rsid w:val="00C47C5C"/>
    <w:rsid w:val="00C50161"/>
    <w:rsid w:val="00C50175"/>
    <w:rsid w:val="00C501B4"/>
    <w:rsid w:val="00C50414"/>
    <w:rsid w:val="00C50507"/>
    <w:rsid w:val="00C508B9"/>
    <w:rsid w:val="00C50949"/>
    <w:rsid w:val="00C50ACC"/>
    <w:rsid w:val="00C50CB7"/>
    <w:rsid w:val="00C50D5C"/>
    <w:rsid w:val="00C50F3E"/>
    <w:rsid w:val="00C50F56"/>
    <w:rsid w:val="00C5125F"/>
    <w:rsid w:val="00C51392"/>
    <w:rsid w:val="00C5159D"/>
    <w:rsid w:val="00C5189E"/>
    <w:rsid w:val="00C51B2B"/>
    <w:rsid w:val="00C51B5D"/>
    <w:rsid w:val="00C51D65"/>
    <w:rsid w:val="00C51E87"/>
    <w:rsid w:val="00C52246"/>
    <w:rsid w:val="00C526A1"/>
    <w:rsid w:val="00C527B7"/>
    <w:rsid w:val="00C52801"/>
    <w:rsid w:val="00C528AD"/>
    <w:rsid w:val="00C528BC"/>
    <w:rsid w:val="00C528E6"/>
    <w:rsid w:val="00C529F5"/>
    <w:rsid w:val="00C52F32"/>
    <w:rsid w:val="00C53179"/>
    <w:rsid w:val="00C53400"/>
    <w:rsid w:val="00C5344E"/>
    <w:rsid w:val="00C53B0D"/>
    <w:rsid w:val="00C53C32"/>
    <w:rsid w:val="00C53C98"/>
    <w:rsid w:val="00C53CD7"/>
    <w:rsid w:val="00C54050"/>
    <w:rsid w:val="00C54383"/>
    <w:rsid w:val="00C544E7"/>
    <w:rsid w:val="00C546E2"/>
    <w:rsid w:val="00C54947"/>
    <w:rsid w:val="00C54AB3"/>
    <w:rsid w:val="00C54F90"/>
    <w:rsid w:val="00C5500D"/>
    <w:rsid w:val="00C550B3"/>
    <w:rsid w:val="00C5515E"/>
    <w:rsid w:val="00C55207"/>
    <w:rsid w:val="00C5534F"/>
    <w:rsid w:val="00C553EE"/>
    <w:rsid w:val="00C554F5"/>
    <w:rsid w:val="00C555A9"/>
    <w:rsid w:val="00C5571C"/>
    <w:rsid w:val="00C55806"/>
    <w:rsid w:val="00C55939"/>
    <w:rsid w:val="00C55B55"/>
    <w:rsid w:val="00C55B85"/>
    <w:rsid w:val="00C55BBE"/>
    <w:rsid w:val="00C55D79"/>
    <w:rsid w:val="00C56179"/>
    <w:rsid w:val="00C56228"/>
    <w:rsid w:val="00C56300"/>
    <w:rsid w:val="00C5649E"/>
    <w:rsid w:val="00C56549"/>
    <w:rsid w:val="00C565AE"/>
    <w:rsid w:val="00C5664C"/>
    <w:rsid w:val="00C56952"/>
    <w:rsid w:val="00C56E8C"/>
    <w:rsid w:val="00C56EBF"/>
    <w:rsid w:val="00C57301"/>
    <w:rsid w:val="00C57388"/>
    <w:rsid w:val="00C57530"/>
    <w:rsid w:val="00C57895"/>
    <w:rsid w:val="00C5797D"/>
    <w:rsid w:val="00C57A8A"/>
    <w:rsid w:val="00C57EA8"/>
    <w:rsid w:val="00C57F31"/>
    <w:rsid w:val="00C57F8F"/>
    <w:rsid w:val="00C603A8"/>
    <w:rsid w:val="00C609AD"/>
    <w:rsid w:val="00C60A81"/>
    <w:rsid w:val="00C60C83"/>
    <w:rsid w:val="00C60E9F"/>
    <w:rsid w:val="00C61157"/>
    <w:rsid w:val="00C612D9"/>
    <w:rsid w:val="00C613CE"/>
    <w:rsid w:val="00C61416"/>
    <w:rsid w:val="00C615C1"/>
    <w:rsid w:val="00C61673"/>
    <w:rsid w:val="00C61681"/>
    <w:rsid w:val="00C61831"/>
    <w:rsid w:val="00C61998"/>
    <w:rsid w:val="00C61AE1"/>
    <w:rsid w:val="00C61F1D"/>
    <w:rsid w:val="00C61F3E"/>
    <w:rsid w:val="00C62002"/>
    <w:rsid w:val="00C626C7"/>
    <w:rsid w:val="00C62D6B"/>
    <w:rsid w:val="00C6303D"/>
    <w:rsid w:val="00C633C2"/>
    <w:rsid w:val="00C6347C"/>
    <w:rsid w:val="00C63828"/>
    <w:rsid w:val="00C6391E"/>
    <w:rsid w:val="00C63A1A"/>
    <w:rsid w:val="00C63A33"/>
    <w:rsid w:val="00C63D92"/>
    <w:rsid w:val="00C63F1C"/>
    <w:rsid w:val="00C63F36"/>
    <w:rsid w:val="00C63F6B"/>
    <w:rsid w:val="00C64185"/>
    <w:rsid w:val="00C64283"/>
    <w:rsid w:val="00C64374"/>
    <w:rsid w:val="00C644E1"/>
    <w:rsid w:val="00C64538"/>
    <w:rsid w:val="00C6462B"/>
    <w:rsid w:val="00C647D7"/>
    <w:rsid w:val="00C64937"/>
    <w:rsid w:val="00C64C7E"/>
    <w:rsid w:val="00C64D7C"/>
    <w:rsid w:val="00C64E1B"/>
    <w:rsid w:val="00C64EDF"/>
    <w:rsid w:val="00C650A2"/>
    <w:rsid w:val="00C65151"/>
    <w:rsid w:val="00C651DA"/>
    <w:rsid w:val="00C65251"/>
    <w:rsid w:val="00C6526D"/>
    <w:rsid w:val="00C652BC"/>
    <w:rsid w:val="00C65338"/>
    <w:rsid w:val="00C653B7"/>
    <w:rsid w:val="00C6551F"/>
    <w:rsid w:val="00C656C8"/>
    <w:rsid w:val="00C657FA"/>
    <w:rsid w:val="00C6594B"/>
    <w:rsid w:val="00C659D8"/>
    <w:rsid w:val="00C65A4B"/>
    <w:rsid w:val="00C65C21"/>
    <w:rsid w:val="00C65DF8"/>
    <w:rsid w:val="00C65F67"/>
    <w:rsid w:val="00C6601E"/>
    <w:rsid w:val="00C6611C"/>
    <w:rsid w:val="00C66156"/>
    <w:rsid w:val="00C662D1"/>
    <w:rsid w:val="00C66356"/>
    <w:rsid w:val="00C6641B"/>
    <w:rsid w:val="00C664E5"/>
    <w:rsid w:val="00C666C7"/>
    <w:rsid w:val="00C66724"/>
    <w:rsid w:val="00C667AD"/>
    <w:rsid w:val="00C6688C"/>
    <w:rsid w:val="00C669E5"/>
    <w:rsid w:val="00C66A4A"/>
    <w:rsid w:val="00C66C89"/>
    <w:rsid w:val="00C6717D"/>
    <w:rsid w:val="00C67419"/>
    <w:rsid w:val="00C674DF"/>
    <w:rsid w:val="00C67543"/>
    <w:rsid w:val="00C6762A"/>
    <w:rsid w:val="00C67828"/>
    <w:rsid w:val="00C678A4"/>
    <w:rsid w:val="00C67914"/>
    <w:rsid w:val="00C67A04"/>
    <w:rsid w:val="00C67A69"/>
    <w:rsid w:val="00C67D11"/>
    <w:rsid w:val="00C7012B"/>
    <w:rsid w:val="00C70147"/>
    <w:rsid w:val="00C70162"/>
    <w:rsid w:val="00C70192"/>
    <w:rsid w:val="00C701FC"/>
    <w:rsid w:val="00C702C9"/>
    <w:rsid w:val="00C70571"/>
    <w:rsid w:val="00C705BD"/>
    <w:rsid w:val="00C7086C"/>
    <w:rsid w:val="00C70A85"/>
    <w:rsid w:val="00C70D7C"/>
    <w:rsid w:val="00C7123C"/>
    <w:rsid w:val="00C7147F"/>
    <w:rsid w:val="00C716FB"/>
    <w:rsid w:val="00C71856"/>
    <w:rsid w:val="00C718EE"/>
    <w:rsid w:val="00C7198A"/>
    <w:rsid w:val="00C719F0"/>
    <w:rsid w:val="00C71BEA"/>
    <w:rsid w:val="00C71D75"/>
    <w:rsid w:val="00C71DF0"/>
    <w:rsid w:val="00C71F1C"/>
    <w:rsid w:val="00C71F20"/>
    <w:rsid w:val="00C71F6B"/>
    <w:rsid w:val="00C72025"/>
    <w:rsid w:val="00C723CE"/>
    <w:rsid w:val="00C72567"/>
    <w:rsid w:val="00C728AE"/>
    <w:rsid w:val="00C729E0"/>
    <w:rsid w:val="00C72AD6"/>
    <w:rsid w:val="00C72B6B"/>
    <w:rsid w:val="00C72D9F"/>
    <w:rsid w:val="00C72E81"/>
    <w:rsid w:val="00C72F6D"/>
    <w:rsid w:val="00C731E6"/>
    <w:rsid w:val="00C7322A"/>
    <w:rsid w:val="00C73415"/>
    <w:rsid w:val="00C73527"/>
    <w:rsid w:val="00C73747"/>
    <w:rsid w:val="00C7389C"/>
    <w:rsid w:val="00C73A8A"/>
    <w:rsid w:val="00C73AB6"/>
    <w:rsid w:val="00C73BB5"/>
    <w:rsid w:val="00C73D03"/>
    <w:rsid w:val="00C73FC0"/>
    <w:rsid w:val="00C7406D"/>
    <w:rsid w:val="00C740BD"/>
    <w:rsid w:val="00C7410F"/>
    <w:rsid w:val="00C7462D"/>
    <w:rsid w:val="00C746E3"/>
    <w:rsid w:val="00C74811"/>
    <w:rsid w:val="00C74995"/>
    <w:rsid w:val="00C74B2A"/>
    <w:rsid w:val="00C74B54"/>
    <w:rsid w:val="00C74D3B"/>
    <w:rsid w:val="00C74D95"/>
    <w:rsid w:val="00C74DA9"/>
    <w:rsid w:val="00C74E02"/>
    <w:rsid w:val="00C74EB6"/>
    <w:rsid w:val="00C74EEE"/>
    <w:rsid w:val="00C75091"/>
    <w:rsid w:val="00C75305"/>
    <w:rsid w:val="00C7559D"/>
    <w:rsid w:val="00C755F0"/>
    <w:rsid w:val="00C75696"/>
    <w:rsid w:val="00C756BC"/>
    <w:rsid w:val="00C75B84"/>
    <w:rsid w:val="00C75E33"/>
    <w:rsid w:val="00C75FD6"/>
    <w:rsid w:val="00C76067"/>
    <w:rsid w:val="00C76123"/>
    <w:rsid w:val="00C76138"/>
    <w:rsid w:val="00C7625F"/>
    <w:rsid w:val="00C76486"/>
    <w:rsid w:val="00C765ED"/>
    <w:rsid w:val="00C76768"/>
    <w:rsid w:val="00C76872"/>
    <w:rsid w:val="00C76A7B"/>
    <w:rsid w:val="00C76ADB"/>
    <w:rsid w:val="00C76E46"/>
    <w:rsid w:val="00C76EF1"/>
    <w:rsid w:val="00C7700A"/>
    <w:rsid w:val="00C77173"/>
    <w:rsid w:val="00C772B0"/>
    <w:rsid w:val="00C773F4"/>
    <w:rsid w:val="00C774B5"/>
    <w:rsid w:val="00C77815"/>
    <w:rsid w:val="00C7781D"/>
    <w:rsid w:val="00C77A02"/>
    <w:rsid w:val="00C77AA3"/>
    <w:rsid w:val="00C77B14"/>
    <w:rsid w:val="00C77D77"/>
    <w:rsid w:val="00C77FF5"/>
    <w:rsid w:val="00C7C449"/>
    <w:rsid w:val="00C8012A"/>
    <w:rsid w:val="00C80350"/>
    <w:rsid w:val="00C803FF"/>
    <w:rsid w:val="00C8040E"/>
    <w:rsid w:val="00C80532"/>
    <w:rsid w:val="00C80712"/>
    <w:rsid w:val="00C80AAB"/>
    <w:rsid w:val="00C80AC5"/>
    <w:rsid w:val="00C80BBE"/>
    <w:rsid w:val="00C80DE3"/>
    <w:rsid w:val="00C80ECE"/>
    <w:rsid w:val="00C81307"/>
    <w:rsid w:val="00C815A1"/>
    <w:rsid w:val="00C816BC"/>
    <w:rsid w:val="00C816C1"/>
    <w:rsid w:val="00C81777"/>
    <w:rsid w:val="00C819E4"/>
    <w:rsid w:val="00C819FC"/>
    <w:rsid w:val="00C81B07"/>
    <w:rsid w:val="00C81D45"/>
    <w:rsid w:val="00C81D5C"/>
    <w:rsid w:val="00C81F33"/>
    <w:rsid w:val="00C81FA3"/>
    <w:rsid w:val="00C82473"/>
    <w:rsid w:val="00C825D5"/>
    <w:rsid w:val="00C82638"/>
    <w:rsid w:val="00C82646"/>
    <w:rsid w:val="00C82950"/>
    <w:rsid w:val="00C82A1E"/>
    <w:rsid w:val="00C82A67"/>
    <w:rsid w:val="00C82C27"/>
    <w:rsid w:val="00C83845"/>
    <w:rsid w:val="00C83880"/>
    <w:rsid w:val="00C83938"/>
    <w:rsid w:val="00C83E42"/>
    <w:rsid w:val="00C83FF7"/>
    <w:rsid w:val="00C84003"/>
    <w:rsid w:val="00C84310"/>
    <w:rsid w:val="00C843B7"/>
    <w:rsid w:val="00C84556"/>
    <w:rsid w:val="00C84687"/>
    <w:rsid w:val="00C846A7"/>
    <w:rsid w:val="00C847BD"/>
    <w:rsid w:val="00C84A53"/>
    <w:rsid w:val="00C84A8C"/>
    <w:rsid w:val="00C84B0E"/>
    <w:rsid w:val="00C84DF1"/>
    <w:rsid w:val="00C84F00"/>
    <w:rsid w:val="00C84FDB"/>
    <w:rsid w:val="00C85134"/>
    <w:rsid w:val="00C852AC"/>
    <w:rsid w:val="00C8562D"/>
    <w:rsid w:val="00C85699"/>
    <w:rsid w:val="00C858B9"/>
    <w:rsid w:val="00C8593A"/>
    <w:rsid w:val="00C85AC4"/>
    <w:rsid w:val="00C85CE2"/>
    <w:rsid w:val="00C85DF7"/>
    <w:rsid w:val="00C85F71"/>
    <w:rsid w:val="00C86052"/>
    <w:rsid w:val="00C860C2"/>
    <w:rsid w:val="00C8615E"/>
    <w:rsid w:val="00C862D8"/>
    <w:rsid w:val="00C8647C"/>
    <w:rsid w:val="00C8658E"/>
    <w:rsid w:val="00C86698"/>
    <w:rsid w:val="00C86707"/>
    <w:rsid w:val="00C869EB"/>
    <w:rsid w:val="00C86B36"/>
    <w:rsid w:val="00C86B39"/>
    <w:rsid w:val="00C86B5A"/>
    <w:rsid w:val="00C86B6E"/>
    <w:rsid w:val="00C86CD7"/>
    <w:rsid w:val="00C86DE0"/>
    <w:rsid w:val="00C86E8E"/>
    <w:rsid w:val="00C86F76"/>
    <w:rsid w:val="00C8722C"/>
    <w:rsid w:val="00C872C6"/>
    <w:rsid w:val="00C87734"/>
    <w:rsid w:val="00C87A1E"/>
    <w:rsid w:val="00C87CAE"/>
    <w:rsid w:val="00C87E47"/>
    <w:rsid w:val="00C87E59"/>
    <w:rsid w:val="00C9015E"/>
    <w:rsid w:val="00C901BD"/>
    <w:rsid w:val="00C90408"/>
    <w:rsid w:val="00C9086C"/>
    <w:rsid w:val="00C908D9"/>
    <w:rsid w:val="00C9097C"/>
    <w:rsid w:val="00C909AB"/>
    <w:rsid w:val="00C90B58"/>
    <w:rsid w:val="00C90C1D"/>
    <w:rsid w:val="00C90CCD"/>
    <w:rsid w:val="00C90DD3"/>
    <w:rsid w:val="00C90E36"/>
    <w:rsid w:val="00C90E54"/>
    <w:rsid w:val="00C90FB2"/>
    <w:rsid w:val="00C9124F"/>
    <w:rsid w:val="00C91484"/>
    <w:rsid w:val="00C91768"/>
    <w:rsid w:val="00C91D32"/>
    <w:rsid w:val="00C91DEB"/>
    <w:rsid w:val="00C92010"/>
    <w:rsid w:val="00C921CB"/>
    <w:rsid w:val="00C9227B"/>
    <w:rsid w:val="00C92524"/>
    <w:rsid w:val="00C92703"/>
    <w:rsid w:val="00C9273C"/>
    <w:rsid w:val="00C92775"/>
    <w:rsid w:val="00C92829"/>
    <w:rsid w:val="00C92E59"/>
    <w:rsid w:val="00C930C7"/>
    <w:rsid w:val="00C93343"/>
    <w:rsid w:val="00C93A0D"/>
    <w:rsid w:val="00C93C49"/>
    <w:rsid w:val="00C93C79"/>
    <w:rsid w:val="00C93F4B"/>
    <w:rsid w:val="00C94040"/>
    <w:rsid w:val="00C9428E"/>
    <w:rsid w:val="00C946E3"/>
    <w:rsid w:val="00C94748"/>
    <w:rsid w:val="00C94BB6"/>
    <w:rsid w:val="00C94D28"/>
    <w:rsid w:val="00C94E60"/>
    <w:rsid w:val="00C94EFB"/>
    <w:rsid w:val="00C951C2"/>
    <w:rsid w:val="00C95219"/>
    <w:rsid w:val="00C953BC"/>
    <w:rsid w:val="00C95586"/>
    <w:rsid w:val="00C95AFC"/>
    <w:rsid w:val="00C95B5F"/>
    <w:rsid w:val="00C95BA1"/>
    <w:rsid w:val="00C95C1B"/>
    <w:rsid w:val="00C95CE5"/>
    <w:rsid w:val="00C95D04"/>
    <w:rsid w:val="00C95E21"/>
    <w:rsid w:val="00C95FC7"/>
    <w:rsid w:val="00C966D0"/>
    <w:rsid w:val="00C96AB0"/>
    <w:rsid w:val="00C96B07"/>
    <w:rsid w:val="00C96C2A"/>
    <w:rsid w:val="00C96F7A"/>
    <w:rsid w:val="00C97116"/>
    <w:rsid w:val="00C97783"/>
    <w:rsid w:val="00C978A4"/>
    <w:rsid w:val="00C978B9"/>
    <w:rsid w:val="00C978C0"/>
    <w:rsid w:val="00C978E9"/>
    <w:rsid w:val="00C97A3A"/>
    <w:rsid w:val="00C97A9B"/>
    <w:rsid w:val="00C97B4C"/>
    <w:rsid w:val="00CA0586"/>
    <w:rsid w:val="00CA05F0"/>
    <w:rsid w:val="00CA0692"/>
    <w:rsid w:val="00CA0722"/>
    <w:rsid w:val="00CA08EA"/>
    <w:rsid w:val="00CA0ABA"/>
    <w:rsid w:val="00CA0ABE"/>
    <w:rsid w:val="00CA0C3A"/>
    <w:rsid w:val="00CA0C5B"/>
    <w:rsid w:val="00CA0CD1"/>
    <w:rsid w:val="00CA0D72"/>
    <w:rsid w:val="00CA0D8B"/>
    <w:rsid w:val="00CA0F7C"/>
    <w:rsid w:val="00CA10B4"/>
    <w:rsid w:val="00CA120B"/>
    <w:rsid w:val="00CA13EF"/>
    <w:rsid w:val="00CA1411"/>
    <w:rsid w:val="00CA14C1"/>
    <w:rsid w:val="00CA17EE"/>
    <w:rsid w:val="00CA1874"/>
    <w:rsid w:val="00CA1B35"/>
    <w:rsid w:val="00CA1D3F"/>
    <w:rsid w:val="00CA1E00"/>
    <w:rsid w:val="00CA200F"/>
    <w:rsid w:val="00CA21F6"/>
    <w:rsid w:val="00CA272A"/>
    <w:rsid w:val="00CA27EE"/>
    <w:rsid w:val="00CA2813"/>
    <w:rsid w:val="00CA28E0"/>
    <w:rsid w:val="00CA2A78"/>
    <w:rsid w:val="00CA2C9F"/>
    <w:rsid w:val="00CA2D2B"/>
    <w:rsid w:val="00CA2F60"/>
    <w:rsid w:val="00CA314E"/>
    <w:rsid w:val="00CA329B"/>
    <w:rsid w:val="00CA3397"/>
    <w:rsid w:val="00CA3400"/>
    <w:rsid w:val="00CA36B5"/>
    <w:rsid w:val="00CA3881"/>
    <w:rsid w:val="00CA38C1"/>
    <w:rsid w:val="00CA3FBC"/>
    <w:rsid w:val="00CA40A0"/>
    <w:rsid w:val="00CA40AB"/>
    <w:rsid w:val="00CA460C"/>
    <w:rsid w:val="00CA4A21"/>
    <w:rsid w:val="00CA4B59"/>
    <w:rsid w:val="00CA4E82"/>
    <w:rsid w:val="00CA4F00"/>
    <w:rsid w:val="00CA5820"/>
    <w:rsid w:val="00CA582E"/>
    <w:rsid w:val="00CA58BB"/>
    <w:rsid w:val="00CA5937"/>
    <w:rsid w:val="00CA5A88"/>
    <w:rsid w:val="00CA5AC2"/>
    <w:rsid w:val="00CA5B69"/>
    <w:rsid w:val="00CA5C24"/>
    <w:rsid w:val="00CA5DE0"/>
    <w:rsid w:val="00CA5E88"/>
    <w:rsid w:val="00CA612A"/>
    <w:rsid w:val="00CA61A8"/>
    <w:rsid w:val="00CA61AF"/>
    <w:rsid w:val="00CA6372"/>
    <w:rsid w:val="00CA64C7"/>
    <w:rsid w:val="00CA65E4"/>
    <w:rsid w:val="00CA67A1"/>
    <w:rsid w:val="00CA6B9D"/>
    <w:rsid w:val="00CA6D53"/>
    <w:rsid w:val="00CA6D8B"/>
    <w:rsid w:val="00CA6E6B"/>
    <w:rsid w:val="00CA7516"/>
    <w:rsid w:val="00CA77E5"/>
    <w:rsid w:val="00CA789F"/>
    <w:rsid w:val="00CA7908"/>
    <w:rsid w:val="00CA7DE2"/>
    <w:rsid w:val="00CB0026"/>
    <w:rsid w:val="00CB00F0"/>
    <w:rsid w:val="00CB0201"/>
    <w:rsid w:val="00CB0354"/>
    <w:rsid w:val="00CB03F6"/>
    <w:rsid w:val="00CB07AA"/>
    <w:rsid w:val="00CB097E"/>
    <w:rsid w:val="00CB0CF8"/>
    <w:rsid w:val="00CB0D55"/>
    <w:rsid w:val="00CB10FE"/>
    <w:rsid w:val="00CB112B"/>
    <w:rsid w:val="00CB11D3"/>
    <w:rsid w:val="00CB124F"/>
    <w:rsid w:val="00CB1428"/>
    <w:rsid w:val="00CB15FD"/>
    <w:rsid w:val="00CB1678"/>
    <w:rsid w:val="00CB180E"/>
    <w:rsid w:val="00CB1944"/>
    <w:rsid w:val="00CB19A3"/>
    <w:rsid w:val="00CB1A3D"/>
    <w:rsid w:val="00CB1B12"/>
    <w:rsid w:val="00CB1CBB"/>
    <w:rsid w:val="00CB1E24"/>
    <w:rsid w:val="00CB1E38"/>
    <w:rsid w:val="00CB20AB"/>
    <w:rsid w:val="00CB20AF"/>
    <w:rsid w:val="00CB20B0"/>
    <w:rsid w:val="00CB273A"/>
    <w:rsid w:val="00CB288D"/>
    <w:rsid w:val="00CB2AD1"/>
    <w:rsid w:val="00CB2D5F"/>
    <w:rsid w:val="00CB2D95"/>
    <w:rsid w:val="00CB2F19"/>
    <w:rsid w:val="00CB3008"/>
    <w:rsid w:val="00CB3074"/>
    <w:rsid w:val="00CB35CB"/>
    <w:rsid w:val="00CB3713"/>
    <w:rsid w:val="00CB3804"/>
    <w:rsid w:val="00CB3805"/>
    <w:rsid w:val="00CB3966"/>
    <w:rsid w:val="00CB3C37"/>
    <w:rsid w:val="00CB3EC4"/>
    <w:rsid w:val="00CB3FC8"/>
    <w:rsid w:val="00CB4262"/>
    <w:rsid w:val="00CB443D"/>
    <w:rsid w:val="00CB44E1"/>
    <w:rsid w:val="00CB45AC"/>
    <w:rsid w:val="00CB462C"/>
    <w:rsid w:val="00CB4A28"/>
    <w:rsid w:val="00CB4AD7"/>
    <w:rsid w:val="00CB4BBF"/>
    <w:rsid w:val="00CB4D7B"/>
    <w:rsid w:val="00CB4F95"/>
    <w:rsid w:val="00CB5062"/>
    <w:rsid w:val="00CB5100"/>
    <w:rsid w:val="00CB5341"/>
    <w:rsid w:val="00CB5343"/>
    <w:rsid w:val="00CB53C6"/>
    <w:rsid w:val="00CB53DE"/>
    <w:rsid w:val="00CB57D6"/>
    <w:rsid w:val="00CB57FB"/>
    <w:rsid w:val="00CB5A06"/>
    <w:rsid w:val="00CB5E2F"/>
    <w:rsid w:val="00CB5E88"/>
    <w:rsid w:val="00CB5EE5"/>
    <w:rsid w:val="00CB62E7"/>
    <w:rsid w:val="00CB645B"/>
    <w:rsid w:val="00CB64AE"/>
    <w:rsid w:val="00CB6660"/>
    <w:rsid w:val="00CB6738"/>
    <w:rsid w:val="00CB67B8"/>
    <w:rsid w:val="00CB6810"/>
    <w:rsid w:val="00CB6941"/>
    <w:rsid w:val="00CB6D97"/>
    <w:rsid w:val="00CB6E04"/>
    <w:rsid w:val="00CB7161"/>
    <w:rsid w:val="00CB7292"/>
    <w:rsid w:val="00CB7335"/>
    <w:rsid w:val="00CB752B"/>
    <w:rsid w:val="00CB7803"/>
    <w:rsid w:val="00CB7860"/>
    <w:rsid w:val="00CB78BB"/>
    <w:rsid w:val="00CB7937"/>
    <w:rsid w:val="00CB7AAD"/>
    <w:rsid w:val="00CB7B3B"/>
    <w:rsid w:val="00CB7B4E"/>
    <w:rsid w:val="00CB7C41"/>
    <w:rsid w:val="00CB7FBF"/>
    <w:rsid w:val="00CC0070"/>
    <w:rsid w:val="00CC023B"/>
    <w:rsid w:val="00CC0369"/>
    <w:rsid w:val="00CC0488"/>
    <w:rsid w:val="00CC04AF"/>
    <w:rsid w:val="00CC058B"/>
    <w:rsid w:val="00CC0802"/>
    <w:rsid w:val="00CC099F"/>
    <w:rsid w:val="00CC09D1"/>
    <w:rsid w:val="00CC0A51"/>
    <w:rsid w:val="00CC0A76"/>
    <w:rsid w:val="00CC0B7F"/>
    <w:rsid w:val="00CC0DBA"/>
    <w:rsid w:val="00CC0DEB"/>
    <w:rsid w:val="00CC0EB5"/>
    <w:rsid w:val="00CC0F17"/>
    <w:rsid w:val="00CC0F1B"/>
    <w:rsid w:val="00CC0F28"/>
    <w:rsid w:val="00CC12B0"/>
    <w:rsid w:val="00CC12F2"/>
    <w:rsid w:val="00CC136A"/>
    <w:rsid w:val="00CC155E"/>
    <w:rsid w:val="00CC1560"/>
    <w:rsid w:val="00CC1913"/>
    <w:rsid w:val="00CC1A99"/>
    <w:rsid w:val="00CC1B61"/>
    <w:rsid w:val="00CC1CA2"/>
    <w:rsid w:val="00CC1F21"/>
    <w:rsid w:val="00CC20F3"/>
    <w:rsid w:val="00CC20F7"/>
    <w:rsid w:val="00CC22B0"/>
    <w:rsid w:val="00CC28BC"/>
    <w:rsid w:val="00CC2910"/>
    <w:rsid w:val="00CC2A78"/>
    <w:rsid w:val="00CC2BB3"/>
    <w:rsid w:val="00CC2CA1"/>
    <w:rsid w:val="00CC2CF4"/>
    <w:rsid w:val="00CC2D71"/>
    <w:rsid w:val="00CC2E7E"/>
    <w:rsid w:val="00CC329B"/>
    <w:rsid w:val="00CC32A4"/>
    <w:rsid w:val="00CC331E"/>
    <w:rsid w:val="00CC35EC"/>
    <w:rsid w:val="00CC387F"/>
    <w:rsid w:val="00CC3A2E"/>
    <w:rsid w:val="00CC3A63"/>
    <w:rsid w:val="00CC407F"/>
    <w:rsid w:val="00CC40EC"/>
    <w:rsid w:val="00CC43F6"/>
    <w:rsid w:val="00CC440B"/>
    <w:rsid w:val="00CC449C"/>
    <w:rsid w:val="00CC44F8"/>
    <w:rsid w:val="00CC4640"/>
    <w:rsid w:val="00CC467C"/>
    <w:rsid w:val="00CC4717"/>
    <w:rsid w:val="00CC4739"/>
    <w:rsid w:val="00CC49CB"/>
    <w:rsid w:val="00CC4C1D"/>
    <w:rsid w:val="00CC4E3A"/>
    <w:rsid w:val="00CC4EEF"/>
    <w:rsid w:val="00CC4FCD"/>
    <w:rsid w:val="00CC5053"/>
    <w:rsid w:val="00CC520F"/>
    <w:rsid w:val="00CC52A6"/>
    <w:rsid w:val="00CC53AA"/>
    <w:rsid w:val="00CC5536"/>
    <w:rsid w:val="00CC55C1"/>
    <w:rsid w:val="00CC579A"/>
    <w:rsid w:val="00CC5B0A"/>
    <w:rsid w:val="00CC5C16"/>
    <w:rsid w:val="00CC5C87"/>
    <w:rsid w:val="00CC5E7F"/>
    <w:rsid w:val="00CC625F"/>
    <w:rsid w:val="00CC62EE"/>
    <w:rsid w:val="00CC634E"/>
    <w:rsid w:val="00CC6362"/>
    <w:rsid w:val="00CC6508"/>
    <w:rsid w:val="00CC65B0"/>
    <w:rsid w:val="00CC66BF"/>
    <w:rsid w:val="00CC66CD"/>
    <w:rsid w:val="00CC68B9"/>
    <w:rsid w:val="00CC6903"/>
    <w:rsid w:val="00CC6A39"/>
    <w:rsid w:val="00CC6D8E"/>
    <w:rsid w:val="00CC6E89"/>
    <w:rsid w:val="00CC6EE6"/>
    <w:rsid w:val="00CC710C"/>
    <w:rsid w:val="00CC7227"/>
    <w:rsid w:val="00CC7406"/>
    <w:rsid w:val="00CC7495"/>
    <w:rsid w:val="00CC7773"/>
    <w:rsid w:val="00CC786F"/>
    <w:rsid w:val="00CC79C3"/>
    <w:rsid w:val="00CC7C22"/>
    <w:rsid w:val="00CC7CC3"/>
    <w:rsid w:val="00CC7CD3"/>
    <w:rsid w:val="00CC7CEB"/>
    <w:rsid w:val="00CC7D7F"/>
    <w:rsid w:val="00CC7E2C"/>
    <w:rsid w:val="00CC7EE5"/>
    <w:rsid w:val="00CD008C"/>
    <w:rsid w:val="00CD00DD"/>
    <w:rsid w:val="00CD0349"/>
    <w:rsid w:val="00CD0392"/>
    <w:rsid w:val="00CD0452"/>
    <w:rsid w:val="00CD0478"/>
    <w:rsid w:val="00CD056F"/>
    <w:rsid w:val="00CD05F9"/>
    <w:rsid w:val="00CD0990"/>
    <w:rsid w:val="00CD0A6F"/>
    <w:rsid w:val="00CD0C79"/>
    <w:rsid w:val="00CD0CC0"/>
    <w:rsid w:val="00CD0CF0"/>
    <w:rsid w:val="00CD0DE6"/>
    <w:rsid w:val="00CD0E29"/>
    <w:rsid w:val="00CD0E2F"/>
    <w:rsid w:val="00CD0F3A"/>
    <w:rsid w:val="00CD0FAF"/>
    <w:rsid w:val="00CD0FDB"/>
    <w:rsid w:val="00CD1010"/>
    <w:rsid w:val="00CD11FF"/>
    <w:rsid w:val="00CD1287"/>
    <w:rsid w:val="00CD1B32"/>
    <w:rsid w:val="00CD1ECB"/>
    <w:rsid w:val="00CD1F05"/>
    <w:rsid w:val="00CD2123"/>
    <w:rsid w:val="00CD2162"/>
    <w:rsid w:val="00CD21D9"/>
    <w:rsid w:val="00CD2267"/>
    <w:rsid w:val="00CD2657"/>
    <w:rsid w:val="00CD2729"/>
    <w:rsid w:val="00CD2825"/>
    <w:rsid w:val="00CD2C1D"/>
    <w:rsid w:val="00CD2C58"/>
    <w:rsid w:val="00CD309E"/>
    <w:rsid w:val="00CD326A"/>
    <w:rsid w:val="00CD3292"/>
    <w:rsid w:val="00CD330F"/>
    <w:rsid w:val="00CD36B8"/>
    <w:rsid w:val="00CD3841"/>
    <w:rsid w:val="00CD3989"/>
    <w:rsid w:val="00CD3AF7"/>
    <w:rsid w:val="00CD3BA6"/>
    <w:rsid w:val="00CD4023"/>
    <w:rsid w:val="00CD440B"/>
    <w:rsid w:val="00CD4581"/>
    <w:rsid w:val="00CD4743"/>
    <w:rsid w:val="00CD474E"/>
    <w:rsid w:val="00CD47FC"/>
    <w:rsid w:val="00CD4CD0"/>
    <w:rsid w:val="00CD4DCA"/>
    <w:rsid w:val="00CD4DD8"/>
    <w:rsid w:val="00CD5202"/>
    <w:rsid w:val="00CD52EC"/>
    <w:rsid w:val="00CD53F2"/>
    <w:rsid w:val="00CD53FE"/>
    <w:rsid w:val="00CD54AF"/>
    <w:rsid w:val="00CD5542"/>
    <w:rsid w:val="00CD55F0"/>
    <w:rsid w:val="00CD5826"/>
    <w:rsid w:val="00CD5846"/>
    <w:rsid w:val="00CD5BCC"/>
    <w:rsid w:val="00CD5C3B"/>
    <w:rsid w:val="00CD5CD8"/>
    <w:rsid w:val="00CD5D60"/>
    <w:rsid w:val="00CD5E1E"/>
    <w:rsid w:val="00CD5E7A"/>
    <w:rsid w:val="00CD5FD3"/>
    <w:rsid w:val="00CD6086"/>
    <w:rsid w:val="00CD6163"/>
    <w:rsid w:val="00CD61F2"/>
    <w:rsid w:val="00CD6245"/>
    <w:rsid w:val="00CD6384"/>
    <w:rsid w:val="00CD645C"/>
    <w:rsid w:val="00CD65B3"/>
    <w:rsid w:val="00CD6621"/>
    <w:rsid w:val="00CD6AE9"/>
    <w:rsid w:val="00CD6C36"/>
    <w:rsid w:val="00CD6E13"/>
    <w:rsid w:val="00CD6FB0"/>
    <w:rsid w:val="00CD7411"/>
    <w:rsid w:val="00CD7475"/>
    <w:rsid w:val="00CD7605"/>
    <w:rsid w:val="00CD77BE"/>
    <w:rsid w:val="00CD77F8"/>
    <w:rsid w:val="00CD78A1"/>
    <w:rsid w:val="00CD7935"/>
    <w:rsid w:val="00CD79F2"/>
    <w:rsid w:val="00CD7A81"/>
    <w:rsid w:val="00CD7B89"/>
    <w:rsid w:val="00CD7C83"/>
    <w:rsid w:val="00CD7D11"/>
    <w:rsid w:val="00CE0062"/>
    <w:rsid w:val="00CE01A9"/>
    <w:rsid w:val="00CE038A"/>
    <w:rsid w:val="00CE051C"/>
    <w:rsid w:val="00CE081E"/>
    <w:rsid w:val="00CE0866"/>
    <w:rsid w:val="00CE0957"/>
    <w:rsid w:val="00CE0D9C"/>
    <w:rsid w:val="00CE0FF6"/>
    <w:rsid w:val="00CE11B9"/>
    <w:rsid w:val="00CE11C1"/>
    <w:rsid w:val="00CE11F3"/>
    <w:rsid w:val="00CE1301"/>
    <w:rsid w:val="00CE1716"/>
    <w:rsid w:val="00CE1AAC"/>
    <w:rsid w:val="00CE1D44"/>
    <w:rsid w:val="00CE1FC9"/>
    <w:rsid w:val="00CE1FDA"/>
    <w:rsid w:val="00CE20AF"/>
    <w:rsid w:val="00CE228D"/>
    <w:rsid w:val="00CE2348"/>
    <w:rsid w:val="00CE248C"/>
    <w:rsid w:val="00CE2534"/>
    <w:rsid w:val="00CE27AA"/>
    <w:rsid w:val="00CE27B3"/>
    <w:rsid w:val="00CE299E"/>
    <w:rsid w:val="00CE2A85"/>
    <w:rsid w:val="00CE2D38"/>
    <w:rsid w:val="00CE2E58"/>
    <w:rsid w:val="00CE3132"/>
    <w:rsid w:val="00CE31C3"/>
    <w:rsid w:val="00CE31E6"/>
    <w:rsid w:val="00CE32D6"/>
    <w:rsid w:val="00CE3423"/>
    <w:rsid w:val="00CE3505"/>
    <w:rsid w:val="00CE3750"/>
    <w:rsid w:val="00CE38F8"/>
    <w:rsid w:val="00CE39F1"/>
    <w:rsid w:val="00CE3EAA"/>
    <w:rsid w:val="00CE3F66"/>
    <w:rsid w:val="00CE419A"/>
    <w:rsid w:val="00CE43F0"/>
    <w:rsid w:val="00CE454E"/>
    <w:rsid w:val="00CE4B47"/>
    <w:rsid w:val="00CE4D4C"/>
    <w:rsid w:val="00CE4FCB"/>
    <w:rsid w:val="00CE539A"/>
    <w:rsid w:val="00CE558B"/>
    <w:rsid w:val="00CE5649"/>
    <w:rsid w:val="00CE5783"/>
    <w:rsid w:val="00CE582D"/>
    <w:rsid w:val="00CE5B52"/>
    <w:rsid w:val="00CE5C7E"/>
    <w:rsid w:val="00CE5DE8"/>
    <w:rsid w:val="00CE5ED9"/>
    <w:rsid w:val="00CE61B2"/>
    <w:rsid w:val="00CE63C3"/>
    <w:rsid w:val="00CE654E"/>
    <w:rsid w:val="00CE66AF"/>
    <w:rsid w:val="00CE6858"/>
    <w:rsid w:val="00CE6996"/>
    <w:rsid w:val="00CE6FD0"/>
    <w:rsid w:val="00CE7083"/>
    <w:rsid w:val="00CE7184"/>
    <w:rsid w:val="00CE7252"/>
    <w:rsid w:val="00CE72ED"/>
    <w:rsid w:val="00CE7383"/>
    <w:rsid w:val="00CE777C"/>
    <w:rsid w:val="00CE7A67"/>
    <w:rsid w:val="00CE7AA6"/>
    <w:rsid w:val="00CE7B8F"/>
    <w:rsid w:val="00CE7D83"/>
    <w:rsid w:val="00CF008B"/>
    <w:rsid w:val="00CF0139"/>
    <w:rsid w:val="00CF0302"/>
    <w:rsid w:val="00CF047A"/>
    <w:rsid w:val="00CF05C4"/>
    <w:rsid w:val="00CF069C"/>
    <w:rsid w:val="00CF06A4"/>
    <w:rsid w:val="00CF0794"/>
    <w:rsid w:val="00CF07F0"/>
    <w:rsid w:val="00CF0859"/>
    <w:rsid w:val="00CF08D3"/>
    <w:rsid w:val="00CF0A0E"/>
    <w:rsid w:val="00CF0CB8"/>
    <w:rsid w:val="00CF0E73"/>
    <w:rsid w:val="00CF1121"/>
    <w:rsid w:val="00CF114D"/>
    <w:rsid w:val="00CF1848"/>
    <w:rsid w:val="00CF1930"/>
    <w:rsid w:val="00CF1B8B"/>
    <w:rsid w:val="00CF1C45"/>
    <w:rsid w:val="00CF1D37"/>
    <w:rsid w:val="00CF1D6E"/>
    <w:rsid w:val="00CF2194"/>
    <w:rsid w:val="00CF2512"/>
    <w:rsid w:val="00CF25E0"/>
    <w:rsid w:val="00CF26EB"/>
    <w:rsid w:val="00CF27CE"/>
    <w:rsid w:val="00CF2BC0"/>
    <w:rsid w:val="00CF2E1B"/>
    <w:rsid w:val="00CF2E78"/>
    <w:rsid w:val="00CF2F14"/>
    <w:rsid w:val="00CF2F5E"/>
    <w:rsid w:val="00CF31F6"/>
    <w:rsid w:val="00CF3669"/>
    <w:rsid w:val="00CF3679"/>
    <w:rsid w:val="00CF36DA"/>
    <w:rsid w:val="00CF38EE"/>
    <w:rsid w:val="00CF398C"/>
    <w:rsid w:val="00CF3A03"/>
    <w:rsid w:val="00CF3C03"/>
    <w:rsid w:val="00CF3E49"/>
    <w:rsid w:val="00CF3F90"/>
    <w:rsid w:val="00CF40F6"/>
    <w:rsid w:val="00CF430A"/>
    <w:rsid w:val="00CF433C"/>
    <w:rsid w:val="00CF4584"/>
    <w:rsid w:val="00CF4828"/>
    <w:rsid w:val="00CF4A2A"/>
    <w:rsid w:val="00CF4BA4"/>
    <w:rsid w:val="00CF4DBE"/>
    <w:rsid w:val="00CF4F6C"/>
    <w:rsid w:val="00CF501F"/>
    <w:rsid w:val="00CF51EF"/>
    <w:rsid w:val="00CF51F6"/>
    <w:rsid w:val="00CF563D"/>
    <w:rsid w:val="00CF5D39"/>
    <w:rsid w:val="00CF5F09"/>
    <w:rsid w:val="00CF5FB1"/>
    <w:rsid w:val="00CF6091"/>
    <w:rsid w:val="00CF623F"/>
    <w:rsid w:val="00CF6650"/>
    <w:rsid w:val="00CF67D0"/>
    <w:rsid w:val="00CF681B"/>
    <w:rsid w:val="00CF69D4"/>
    <w:rsid w:val="00CF6A46"/>
    <w:rsid w:val="00CF6AC8"/>
    <w:rsid w:val="00CF6B69"/>
    <w:rsid w:val="00CF6C0C"/>
    <w:rsid w:val="00CF6C50"/>
    <w:rsid w:val="00CF7027"/>
    <w:rsid w:val="00CF7180"/>
    <w:rsid w:val="00CF71D2"/>
    <w:rsid w:val="00CF72DD"/>
    <w:rsid w:val="00CF7440"/>
    <w:rsid w:val="00CF7452"/>
    <w:rsid w:val="00CF75EE"/>
    <w:rsid w:val="00CF7632"/>
    <w:rsid w:val="00CF7934"/>
    <w:rsid w:val="00CF7B4C"/>
    <w:rsid w:val="00CF7D34"/>
    <w:rsid w:val="00CF7DC1"/>
    <w:rsid w:val="00D004D2"/>
    <w:rsid w:val="00D005CA"/>
    <w:rsid w:val="00D00956"/>
    <w:rsid w:val="00D00A6B"/>
    <w:rsid w:val="00D00C6E"/>
    <w:rsid w:val="00D00E5D"/>
    <w:rsid w:val="00D00EB7"/>
    <w:rsid w:val="00D0114E"/>
    <w:rsid w:val="00D01157"/>
    <w:rsid w:val="00D01579"/>
    <w:rsid w:val="00D015B8"/>
    <w:rsid w:val="00D015CA"/>
    <w:rsid w:val="00D01655"/>
    <w:rsid w:val="00D01736"/>
    <w:rsid w:val="00D01BF7"/>
    <w:rsid w:val="00D01CD6"/>
    <w:rsid w:val="00D01D70"/>
    <w:rsid w:val="00D01E19"/>
    <w:rsid w:val="00D020E3"/>
    <w:rsid w:val="00D02110"/>
    <w:rsid w:val="00D02175"/>
    <w:rsid w:val="00D02A2C"/>
    <w:rsid w:val="00D02A5D"/>
    <w:rsid w:val="00D02A6A"/>
    <w:rsid w:val="00D02D0D"/>
    <w:rsid w:val="00D02DAB"/>
    <w:rsid w:val="00D02E76"/>
    <w:rsid w:val="00D02E89"/>
    <w:rsid w:val="00D02F27"/>
    <w:rsid w:val="00D02F6E"/>
    <w:rsid w:val="00D03210"/>
    <w:rsid w:val="00D032AC"/>
    <w:rsid w:val="00D03491"/>
    <w:rsid w:val="00D03553"/>
    <w:rsid w:val="00D03583"/>
    <w:rsid w:val="00D03B47"/>
    <w:rsid w:val="00D03B67"/>
    <w:rsid w:val="00D03DC6"/>
    <w:rsid w:val="00D03FB0"/>
    <w:rsid w:val="00D0467A"/>
    <w:rsid w:val="00D04AF4"/>
    <w:rsid w:val="00D04CFE"/>
    <w:rsid w:val="00D05278"/>
    <w:rsid w:val="00D052EF"/>
    <w:rsid w:val="00D05350"/>
    <w:rsid w:val="00D053D0"/>
    <w:rsid w:val="00D0541B"/>
    <w:rsid w:val="00D05563"/>
    <w:rsid w:val="00D056B4"/>
    <w:rsid w:val="00D05800"/>
    <w:rsid w:val="00D0587E"/>
    <w:rsid w:val="00D05B60"/>
    <w:rsid w:val="00D05BCE"/>
    <w:rsid w:val="00D05C17"/>
    <w:rsid w:val="00D05D3A"/>
    <w:rsid w:val="00D05E4F"/>
    <w:rsid w:val="00D05F77"/>
    <w:rsid w:val="00D05F94"/>
    <w:rsid w:val="00D06150"/>
    <w:rsid w:val="00D0629B"/>
    <w:rsid w:val="00D06413"/>
    <w:rsid w:val="00D064C7"/>
    <w:rsid w:val="00D06766"/>
    <w:rsid w:val="00D068E7"/>
    <w:rsid w:val="00D068FD"/>
    <w:rsid w:val="00D06A85"/>
    <w:rsid w:val="00D06B8D"/>
    <w:rsid w:val="00D06C42"/>
    <w:rsid w:val="00D06E49"/>
    <w:rsid w:val="00D06FD5"/>
    <w:rsid w:val="00D07333"/>
    <w:rsid w:val="00D07354"/>
    <w:rsid w:val="00D074AA"/>
    <w:rsid w:val="00D0755C"/>
    <w:rsid w:val="00D07710"/>
    <w:rsid w:val="00D078C5"/>
    <w:rsid w:val="00D07B08"/>
    <w:rsid w:val="00D07D2A"/>
    <w:rsid w:val="00D1002E"/>
    <w:rsid w:val="00D103ED"/>
    <w:rsid w:val="00D10490"/>
    <w:rsid w:val="00D1068F"/>
    <w:rsid w:val="00D106B8"/>
    <w:rsid w:val="00D10779"/>
    <w:rsid w:val="00D10B1A"/>
    <w:rsid w:val="00D10C46"/>
    <w:rsid w:val="00D10D9F"/>
    <w:rsid w:val="00D10EF9"/>
    <w:rsid w:val="00D11006"/>
    <w:rsid w:val="00D11295"/>
    <w:rsid w:val="00D11492"/>
    <w:rsid w:val="00D11609"/>
    <w:rsid w:val="00D11629"/>
    <w:rsid w:val="00D118DA"/>
    <w:rsid w:val="00D1193D"/>
    <w:rsid w:val="00D11BCD"/>
    <w:rsid w:val="00D11FC5"/>
    <w:rsid w:val="00D1201C"/>
    <w:rsid w:val="00D12133"/>
    <w:rsid w:val="00D121CB"/>
    <w:rsid w:val="00D124B8"/>
    <w:rsid w:val="00D125CA"/>
    <w:rsid w:val="00D12640"/>
    <w:rsid w:val="00D12686"/>
    <w:rsid w:val="00D12822"/>
    <w:rsid w:val="00D12ACF"/>
    <w:rsid w:val="00D12B27"/>
    <w:rsid w:val="00D12C11"/>
    <w:rsid w:val="00D12F6C"/>
    <w:rsid w:val="00D12F74"/>
    <w:rsid w:val="00D1303C"/>
    <w:rsid w:val="00D131B9"/>
    <w:rsid w:val="00D1320A"/>
    <w:rsid w:val="00D13297"/>
    <w:rsid w:val="00D134A4"/>
    <w:rsid w:val="00D13546"/>
    <w:rsid w:val="00D13AB3"/>
    <w:rsid w:val="00D13BF5"/>
    <w:rsid w:val="00D13CCE"/>
    <w:rsid w:val="00D13D41"/>
    <w:rsid w:val="00D13E2B"/>
    <w:rsid w:val="00D13F44"/>
    <w:rsid w:val="00D1443E"/>
    <w:rsid w:val="00D14455"/>
    <w:rsid w:val="00D14483"/>
    <w:rsid w:val="00D145F6"/>
    <w:rsid w:val="00D146D9"/>
    <w:rsid w:val="00D147E0"/>
    <w:rsid w:val="00D148BD"/>
    <w:rsid w:val="00D148D7"/>
    <w:rsid w:val="00D14A91"/>
    <w:rsid w:val="00D14BC9"/>
    <w:rsid w:val="00D14D61"/>
    <w:rsid w:val="00D14E16"/>
    <w:rsid w:val="00D150B1"/>
    <w:rsid w:val="00D15296"/>
    <w:rsid w:val="00D1540B"/>
    <w:rsid w:val="00D15451"/>
    <w:rsid w:val="00D154DF"/>
    <w:rsid w:val="00D15939"/>
    <w:rsid w:val="00D15BA7"/>
    <w:rsid w:val="00D15D4A"/>
    <w:rsid w:val="00D15D60"/>
    <w:rsid w:val="00D15D63"/>
    <w:rsid w:val="00D15E19"/>
    <w:rsid w:val="00D15E2E"/>
    <w:rsid w:val="00D1603A"/>
    <w:rsid w:val="00D16249"/>
    <w:rsid w:val="00D16330"/>
    <w:rsid w:val="00D163B6"/>
    <w:rsid w:val="00D164B1"/>
    <w:rsid w:val="00D165A8"/>
    <w:rsid w:val="00D16782"/>
    <w:rsid w:val="00D1689D"/>
    <w:rsid w:val="00D1697C"/>
    <w:rsid w:val="00D169DB"/>
    <w:rsid w:val="00D169EB"/>
    <w:rsid w:val="00D16E22"/>
    <w:rsid w:val="00D16E71"/>
    <w:rsid w:val="00D17091"/>
    <w:rsid w:val="00D170BF"/>
    <w:rsid w:val="00D1740E"/>
    <w:rsid w:val="00D174BF"/>
    <w:rsid w:val="00D17616"/>
    <w:rsid w:val="00D176E7"/>
    <w:rsid w:val="00D17783"/>
    <w:rsid w:val="00D177A7"/>
    <w:rsid w:val="00D17836"/>
    <w:rsid w:val="00D1799B"/>
    <w:rsid w:val="00D179C5"/>
    <w:rsid w:val="00D17AF0"/>
    <w:rsid w:val="00D17B93"/>
    <w:rsid w:val="00D17C4A"/>
    <w:rsid w:val="00D17D69"/>
    <w:rsid w:val="00D2016C"/>
    <w:rsid w:val="00D201E8"/>
    <w:rsid w:val="00D20293"/>
    <w:rsid w:val="00D20324"/>
    <w:rsid w:val="00D2055D"/>
    <w:rsid w:val="00D20859"/>
    <w:rsid w:val="00D208E8"/>
    <w:rsid w:val="00D209C4"/>
    <w:rsid w:val="00D20A2E"/>
    <w:rsid w:val="00D20AA8"/>
    <w:rsid w:val="00D20AFA"/>
    <w:rsid w:val="00D213CD"/>
    <w:rsid w:val="00D213ED"/>
    <w:rsid w:val="00D21401"/>
    <w:rsid w:val="00D21526"/>
    <w:rsid w:val="00D218F3"/>
    <w:rsid w:val="00D21A9F"/>
    <w:rsid w:val="00D21AED"/>
    <w:rsid w:val="00D21D3B"/>
    <w:rsid w:val="00D22193"/>
    <w:rsid w:val="00D222EE"/>
    <w:rsid w:val="00D222F8"/>
    <w:rsid w:val="00D22300"/>
    <w:rsid w:val="00D2235E"/>
    <w:rsid w:val="00D223C7"/>
    <w:rsid w:val="00D2274E"/>
    <w:rsid w:val="00D227F4"/>
    <w:rsid w:val="00D228EF"/>
    <w:rsid w:val="00D22A92"/>
    <w:rsid w:val="00D22DFC"/>
    <w:rsid w:val="00D22E15"/>
    <w:rsid w:val="00D22E1E"/>
    <w:rsid w:val="00D22E3F"/>
    <w:rsid w:val="00D232B7"/>
    <w:rsid w:val="00D2341F"/>
    <w:rsid w:val="00D2363A"/>
    <w:rsid w:val="00D2366A"/>
    <w:rsid w:val="00D23731"/>
    <w:rsid w:val="00D237DA"/>
    <w:rsid w:val="00D239F6"/>
    <w:rsid w:val="00D23B6C"/>
    <w:rsid w:val="00D23DD6"/>
    <w:rsid w:val="00D23F2D"/>
    <w:rsid w:val="00D23FB4"/>
    <w:rsid w:val="00D241DB"/>
    <w:rsid w:val="00D24300"/>
    <w:rsid w:val="00D24499"/>
    <w:rsid w:val="00D247AA"/>
    <w:rsid w:val="00D24A40"/>
    <w:rsid w:val="00D24ACA"/>
    <w:rsid w:val="00D24B0C"/>
    <w:rsid w:val="00D24B42"/>
    <w:rsid w:val="00D24B5D"/>
    <w:rsid w:val="00D24C4E"/>
    <w:rsid w:val="00D24CF4"/>
    <w:rsid w:val="00D24ECC"/>
    <w:rsid w:val="00D25120"/>
    <w:rsid w:val="00D25235"/>
    <w:rsid w:val="00D25289"/>
    <w:rsid w:val="00D2535D"/>
    <w:rsid w:val="00D25435"/>
    <w:rsid w:val="00D25617"/>
    <w:rsid w:val="00D257C1"/>
    <w:rsid w:val="00D25818"/>
    <w:rsid w:val="00D25839"/>
    <w:rsid w:val="00D2590B"/>
    <w:rsid w:val="00D25983"/>
    <w:rsid w:val="00D25B7B"/>
    <w:rsid w:val="00D25C34"/>
    <w:rsid w:val="00D25D32"/>
    <w:rsid w:val="00D25DDE"/>
    <w:rsid w:val="00D25E0F"/>
    <w:rsid w:val="00D25EFA"/>
    <w:rsid w:val="00D26208"/>
    <w:rsid w:val="00D26316"/>
    <w:rsid w:val="00D263B5"/>
    <w:rsid w:val="00D263C0"/>
    <w:rsid w:val="00D26797"/>
    <w:rsid w:val="00D26975"/>
    <w:rsid w:val="00D26B10"/>
    <w:rsid w:val="00D26BB4"/>
    <w:rsid w:val="00D270AF"/>
    <w:rsid w:val="00D2720E"/>
    <w:rsid w:val="00D27284"/>
    <w:rsid w:val="00D27325"/>
    <w:rsid w:val="00D274D2"/>
    <w:rsid w:val="00D277D1"/>
    <w:rsid w:val="00D27875"/>
    <w:rsid w:val="00D278A5"/>
    <w:rsid w:val="00D2795F"/>
    <w:rsid w:val="00D27D34"/>
    <w:rsid w:val="00D27E68"/>
    <w:rsid w:val="00D27EA4"/>
    <w:rsid w:val="00D27EB7"/>
    <w:rsid w:val="00D27EC6"/>
    <w:rsid w:val="00D300A0"/>
    <w:rsid w:val="00D300F4"/>
    <w:rsid w:val="00D3020A"/>
    <w:rsid w:val="00D30515"/>
    <w:rsid w:val="00D3069E"/>
    <w:rsid w:val="00D307DF"/>
    <w:rsid w:val="00D31078"/>
    <w:rsid w:val="00D31919"/>
    <w:rsid w:val="00D31A4E"/>
    <w:rsid w:val="00D31AE5"/>
    <w:rsid w:val="00D31D24"/>
    <w:rsid w:val="00D32108"/>
    <w:rsid w:val="00D32214"/>
    <w:rsid w:val="00D32281"/>
    <w:rsid w:val="00D3262C"/>
    <w:rsid w:val="00D32769"/>
    <w:rsid w:val="00D32770"/>
    <w:rsid w:val="00D328AA"/>
    <w:rsid w:val="00D328CF"/>
    <w:rsid w:val="00D3295A"/>
    <w:rsid w:val="00D32BB9"/>
    <w:rsid w:val="00D32D93"/>
    <w:rsid w:val="00D32F32"/>
    <w:rsid w:val="00D32FF0"/>
    <w:rsid w:val="00D3308A"/>
    <w:rsid w:val="00D330A8"/>
    <w:rsid w:val="00D330F0"/>
    <w:rsid w:val="00D33325"/>
    <w:rsid w:val="00D333E0"/>
    <w:rsid w:val="00D334F7"/>
    <w:rsid w:val="00D336A0"/>
    <w:rsid w:val="00D336D7"/>
    <w:rsid w:val="00D33722"/>
    <w:rsid w:val="00D337B2"/>
    <w:rsid w:val="00D33991"/>
    <w:rsid w:val="00D33C26"/>
    <w:rsid w:val="00D33C80"/>
    <w:rsid w:val="00D33CB7"/>
    <w:rsid w:val="00D33D10"/>
    <w:rsid w:val="00D33D60"/>
    <w:rsid w:val="00D33FBE"/>
    <w:rsid w:val="00D33FF1"/>
    <w:rsid w:val="00D3464C"/>
    <w:rsid w:val="00D349DA"/>
    <w:rsid w:val="00D34BF8"/>
    <w:rsid w:val="00D34E47"/>
    <w:rsid w:val="00D352F9"/>
    <w:rsid w:val="00D3538E"/>
    <w:rsid w:val="00D356C3"/>
    <w:rsid w:val="00D35A2C"/>
    <w:rsid w:val="00D35A5D"/>
    <w:rsid w:val="00D35B7C"/>
    <w:rsid w:val="00D35B91"/>
    <w:rsid w:val="00D35E29"/>
    <w:rsid w:val="00D35E69"/>
    <w:rsid w:val="00D35EEE"/>
    <w:rsid w:val="00D36059"/>
    <w:rsid w:val="00D360D5"/>
    <w:rsid w:val="00D36179"/>
    <w:rsid w:val="00D362FB"/>
    <w:rsid w:val="00D36554"/>
    <w:rsid w:val="00D366A6"/>
    <w:rsid w:val="00D36760"/>
    <w:rsid w:val="00D36797"/>
    <w:rsid w:val="00D36811"/>
    <w:rsid w:val="00D36860"/>
    <w:rsid w:val="00D36AFF"/>
    <w:rsid w:val="00D36B46"/>
    <w:rsid w:val="00D36D9D"/>
    <w:rsid w:val="00D36E98"/>
    <w:rsid w:val="00D3732B"/>
    <w:rsid w:val="00D3741F"/>
    <w:rsid w:val="00D3744D"/>
    <w:rsid w:val="00D377A2"/>
    <w:rsid w:val="00D378B4"/>
    <w:rsid w:val="00D378D2"/>
    <w:rsid w:val="00D37A10"/>
    <w:rsid w:val="00D37A90"/>
    <w:rsid w:val="00D37C78"/>
    <w:rsid w:val="00D37F26"/>
    <w:rsid w:val="00D40000"/>
    <w:rsid w:val="00D4023D"/>
    <w:rsid w:val="00D4081A"/>
    <w:rsid w:val="00D40A2F"/>
    <w:rsid w:val="00D40BA9"/>
    <w:rsid w:val="00D40E0B"/>
    <w:rsid w:val="00D40F86"/>
    <w:rsid w:val="00D40FF2"/>
    <w:rsid w:val="00D41036"/>
    <w:rsid w:val="00D41055"/>
    <w:rsid w:val="00D410B1"/>
    <w:rsid w:val="00D4115B"/>
    <w:rsid w:val="00D413F8"/>
    <w:rsid w:val="00D41578"/>
    <w:rsid w:val="00D4172B"/>
    <w:rsid w:val="00D41C03"/>
    <w:rsid w:val="00D41C4D"/>
    <w:rsid w:val="00D41D68"/>
    <w:rsid w:val="00D41DC3"/>
    <w:rsid w:val="00D4214C"/>
    <w:rsid w:val="00D42218"/>
    <w:rsid w:val="00D42265"/>
    <w:rsid w:val="00D42382"/>
    <w:rsid w:val="00D423BA"/>
    <w:rsid w:val="00D42580"/>
    <w:rsid w:val="00D425D7"/>
    <w:rsid w:val="00D4287B"/>
    <w:rsid w:val="00D42B4C"/>
    <w:rsid w:val="00D42B5A"/>
    <w:rsid w:val="00D42F39"/>
    <w:rsid w:val="00D42FBD"/>
    <w:rsid w:val="00D43281"/>
    <w:rsid w:val="00D432FD"/>
    <w:rsid w:val="00D43308"/>
    <w:rsid w:val="00D433C4"/>
    <w:rsid w:val="00D433CF"/>
    <w:rsid w:val="00D434A4"/>
    <w:rsid w:val="00D435CA"/>
    <w:rsid w:val="00D43647"/>
    <w:rsid w:val="00D43667"/>
    <w:rsid w:val="00D437CA"/>
    <w:rsid w:val="00D43B89"/>
    <w:rsid w:val="00D43BA6"/>
    <w:rsid w:val="00D43C9A"/>
    <w:rsid w:val="00D43CAF"/>
    <w:rsid w:val="00D43EFC"/>
    <w:rsid w:val="00D43F43"/>
    <w:rsid w:val="00D43F97"/>
    <w:rsid w:val="00D43FA0"/>
    <w:rsid w:val="00D43FDD"/>
    <w:rsid w:val="00D44067"/>
    <w:rsid w:val="00D44087"/>
    <w:rsid w:val="00D442C3"/>
    <w:rsid w:val="00D44304"/>
    <w:rsid w:val="00D4450E"/>
    <w:rsid w:val="00D44618"/>
    <w:rsid w:val="00D4470F"/>
    <w:rsid w:val="00D44979"/>
    <w:rsid w:val="00D449BD"/>
    <w:rsid w:val="00D449DD"/>
    <w:rsid w:val="00D44F39"/>
    <w:rsid w:val="00D45193"/>
    <w:rsid w:val="00D451E4"/>
    <w:rsid w:val="00D45219"/>
    <w:rsid w:val="00D452C1"/>
    <w:rsid w:val="00D45406"/>
    <w:rsid w:val="00D4585A"/>
    <w:rsid w:val="00D45AE7"/>
    <w:rsid w:val="00D45C3A"/>
    <w:rsid w:val="00D45CAE"/>
    <w:rsid w:val="00D45DB7"/>
    <w:rsid w:val="00D45E08"/>
    <w:rsid w:val="00D45F16"/>
    <w:rsid w:val="00D45F58"/>
    <w:rsid w:val="00D46177"/>
    <w:rsid w:val="00D4618F"/>
    <w:rsid w:val="00D46642"/>
    <w:rsid w:val="00D467C4"/>
    <w:rsid w:val="00D469C7"/>
    <w:rsid w:val="00D46B98"/>
    <w:rsid w:val="00D46E35"/>
    <w:rsid w:val="00D46EB5"/>
    <w:rsid w:val="00D46EDD"/>
    <w:rsid w:val="00D470EB"/>
    <w:rsid w:val="00D47392"/>
    <w:rsid w:val="00D476EC"/>
    <w:rsid w:val="00D4790A"/>
    <w:rsid w:val="00D479D8"/>
    <w:rsid w:val="00D479EC"/>
    <w:rsid w:val="00D47B1F"/>
    <w:rsid w:val="00D47C27"/>
    <w:rsid w:val="00D47DF3"/>
    <w:rsid w:val="00D47E44"/>
    <w:rsid w:val="00D501EC"/>
    <w:rsid w:val="00D502A6"/>
    <w:rsid w:val="00D503C7"/>
    <w:rsid w:val="00D5043B"/>
    <w:rsid w:val="00D505D3"/>
    <w:rsid w:val="00D506B3"/>
    <w:rsid w:val="00D508B0"/>
    <w:rsid w:val="00D509BA"/>
    <w:rsid w:val="00D50A80"/>
    <w:rsid w:val="00D510B6"/>
    <w:rsid w:val="00D512CD"/>
    <w:rsid w:val="00D5143B"/>
    <w:rsid w:val="00D51470"/>
    <w:rsid w:val="00D51657"/>
    <w:rsid w:val="00D5167A"/>
    <w:rsid w:val="00D51756"/>
    <w:rsid w:val="00D5182F"/>
    <w:rsid w:val="00D518FB"/>
    <w:rsid w:val="00D51E7F"/>
    <w:rsid w:val="00D522EE"/>
    <w:rsid w:val="00D52368"/>
    <w:rsid w:val="00D52988"/>
    <w:rsid w:val="00D52A57"/>
    <w:rsid w:val="00D52A93"/>
    <w:rsid w:val="00D52AD0"/>
    <w:rsid w:val="00D534FB"/>
    <w:rsid w:val="00D5358B"/>
    <w:rsid w:val="00D5361A"/>
    <w:rsid w:val="00D538D9"/>
    <w:rsid w:val="00D53989"/>
    <w:rsid w:val="00D53B89"/>
    <w:rsid w:val="00D53CD3"/>
    <w:rsid w:val="00D54003"/>
    <w:rsid w:val="00D540E5"/>
    <w:rsid w:val="00D54398"/>
    <w:rsid w:val="00D54595"/>
    <w:rsid w:val="00D54EC2"/>
    <w:rsid w:val="00D54F9E"/>
    <w:rsid w:val="00D55023"/>
    <w:rsid w:val="00D55292"/>
    <w:rsid w:val="00D554B0"/>
    <w:rsid w:val="00D554EF"/>
    <w:rsid w:val="00D555FA"/>
    <w:rsid w:val="00D55773"/>
    <w:rsid w:val="00D55A93"/>
    <w:rsid w:val="00D55AD3"/>
    <w:rsid w:val="00D55D65"/>
    <w:rsid w:val="00D55DB9"/>
    <w:rsid w:val="00D55F48"/>
    <w:rsid w:val="00D560DD"/>
    <w:rsid w:val="00D562A1"/>
    <w:rsid w:val="00D562DE"/>
    <w:rsid w:val="00D56333"/>
    <w:rsid w:val="00D563C0"/>
    <w:rsid w:val="00D564A2"/>
    <w:rsid w:val="00D5672B"/>
    <w:rsid w:val="00D5681E"/>
    <w:rsid w:val="00D56826"/>
    <w:rsid w:val="00D56E36"/>
    <w:rsid w:val="00D56F86"/>
    <w:rsid w:val="00D57013"/>
    <w:rsid w:val="00D57244"/>
    <w:rsid w:val="00D573BA"/>
    <w:rsid w:val="00D57A16"/>
    <w:rsid w:val="00D57A26"/>
    <w:rsid w:val="00D57BED"/>
    <w:rsid w:val="00D57CA2"/>
    <w:rsid w:val="00D57CB6"/>
    <w:rsid w:val="00D57D64"/>
    <w:rsid w:val="00D57E44"/>
    <w:rsid w:val="00D57EFD"/>
    <w:rsid w:val="00D57FDB"/>
    <w:rsid w:val="00D60233"/>
    <w:rsid w:val="00D603BB"/>
    <w:rsid w:val="00D60637"/>
    <w:rsid w:val="00D6066A"/>
    <w:rsid w:val="00D60705"/>
    <w:rsid w:val="00D607C2"/>
    <w:rsid w:val="00D60903"/>
    <w:rsid w:val="00D60927"/>
    <w:rsid w:val="00D60B97"/>
    <w:rsid w:val="00D60D52"/>
    <w:rsid w:val="00D60D6B"/>
    <w:rsid w:val="00D610CB"/>
    <w:rsid w:val="00D61138"/>
    <w:rsid w:val="00D61323"/>
    <w:rsid w:val="00D618DA"/>
    <w:rsid w:val="00D61919"/>
    <w:rsid w:val="00D61A04"/>
    <w:rsid w:val="00D61A3F"/>
    <w:rsid w:val="00D61B4B"/>
    <w:rsid w:val="00D61BBB"/>
    <w:rsid w:val="00D61EF0"/>
    <w:rsid w:val="00D61F0F"/>
    <w:rsid w:val="00D61F68"/>
    <w:rsid w:val="00D61FC0"/>
    <w:rsid w:val="00D6225A"/>
    <w:rsid w:val="00D629E9"/>
    <w:rsid w:val="00D62AA3"/>
    <w:rsid w:val="00D62BC7"/>
    <w:rsid w:val="00D62D2D"/>
    <w:rsid w:val="00D63073"/>
    <w:rsid w:val="00D6307A"/>
    <w:rsid w:val="00D631E4"/>
    <w:rsid w:val="00D63207"/>
    <w:rsid w:val="00D632DB"/>
    <w:rsid w:val="00D634A3"/>
    <w:rsid w:val="00D63516"/>
    <w:rsid w:val="00D636C1"/>
    <w:rsid w:val="00D63797"/>
    <w:rsid w:val="00D63820"/>
    <w:rsid w:val="00D63942"/>
    <w:rsid w:val="00D639A8"/>
    <w:rsid w:val="00D63A40"/>
    <w:rsid w:val="00D63AA3"/>
    <w:rsid w:val="00D6403E"/>
    <w:rsid w:val="00D64196"/>
    <w:rsid w:val="00D64321"/>
    <w:rsid w:val="00D64357"/>
    <w:rsid w:val="00D64415"/>
    <w:rsid w:val="00D64443"/>
    <w:rsid w:val="00D64677"/>
    <w:rsid w:val="00D64716"/>
    <w:rsid w:val="00D64826"/>
    <w:rsid w:val="00D64992"/>
    <w:rsid w:val="00D64B7D"/>
    <w:rsid w:val="00D64C27"/>
    <w:rsid w:val="00D65050"/>
    <w:rsid w:val="00D651AE"/>
    <w:rsid w:val="00D65288"/>
    <w:rsid w:val="00D6548A"/>
    <w:rsid w:val="00D654BF"/>
    <w:rsid w:val="00D65559"/>
    <w:rsid w:val="00D656A2"/>
    <w:rsid w:val="00D6576D"/>
    <w:rsid w:val="00D65971"/>
    <w:rsid w:val="00D65A7A"/>
    <w:rsid w:val="00D65ED0"/>
    <w:rsid w:val="00D6608C"/>
    <w:rsid w:val="00D66291"/>
    <w:rsid w:val="00D6634F"/>
    <w:rsid w:val="00D66429"/>
    <w:rsid w:val="00D664A5"/>
    <w:rsid w:val="00D66586"/>
    <w:rsid w:val="00D6668A"/>
    <w:rsid w:val="00D667F4"/>
    <w:rsid w:val="00D668AA"/>
    <w:rsid w:val="00D66C7F"/>
    <w:rsid w:val="00D66CA5"/>
    <w:rsid w:val="00D671D9"/>
    <w:rsid w:val="00D671F3"/>
    <w:rsid w:val="00D67267"/>
    <w:rsid w:val="00D673C5"/>
    <w:rsid w:val="00D673C6"/>
    <w:rsid w:val="00D67480"/>
    <w:rsid w:val="00D6778F"/>
    <w:rsid w:val="00D6786B"/>
    <w:rsid w:val="00D678D4"/>
    <w:rsid w:val="00D67903"/>
    <w:rsid w:val="00D67B70"/>
    <w:rsid w:val="00D67ED9"/>
    <w:rsid w:val="00D700BC"/>
    <w:rsid w:val="00D70202"/>
    <w:rsid w:val="00D7071D"/>
    <w:rsid w:val="00D70765"/>
    <w:rsid w:val="00D70892"/>
    <w:rsid w:val="00D70FD6"/>
    <w:rsid w:val="00D7115C"/>
    <w:rsid w:val="00D71173"/>
    <w:rsid w:val="00D71195"/>
    <w:rsid w:val="00D71258"/>
    <w:rsid w:val="00D713AE"/>
    <w:rsid w:val="00D714D6"/>
    <w:rsid w:val="00D71585"/>
    <w:rsid w:val="00D716B3"/>
    <w:rsid w:val="00D716F9"/>
    <w:rsid w:val="00D7172F"/>
    <w:rsid w:val="00D718EE"/>
    <w:rsid w:val="00D71C2B"/>
    <w:rsid w:val="00D71DA8"/>
    <w:rsid w:val="00D71E7C"/>
    <w:rsid w:val="00D71F0E"/>
    <w:rsid w:val="00D71F2A"/>
    <w:rsid w:val="00D71F2D"/>
    <w:rsid w:val="00D71FC2"/>
    <w:rsid w:val="00D72089"/>
    <w:rsid w:val="00D721A0"/>
    <w:rsid w:val="00D72270"/>
    <w:rsid w:val="00D722A2"/>
    <w:rsid w:val="00D72556"/>
    <w:rsid w:val="00D725AB"/>
    <w:rsid w:val="00D728E3"/>
    <w:rsid w:val="00D72B32"/>
    <w:rsid w:val="00D72C35"/>
    <w:rsid w:val="00D72CBC"/>
    <w:rsid w:val="00D72F31"/>
    <w:rsid w:val="00D733D3"/>
    <w:rsid w:val="00D73AA5"/>
    <w:rsid w:val="00D73AD6"/>
    <w:rsid w:val="00D73BBC"/>
    <w:rsid w:val="00D73DFD"/>
    <w:rsid w:val="00D73F7F"/>
    <w:rsid w:val="00D73F9C"/>
    <w:rsid w:val="00D74060"/>
    <w:rsid w:val="00D740F5"/>
    <w:rsid w:val="00D742DB"/>
    <w:rsid w:val="00D748BD"/>
    <w:rsid w:val="00D7490E"/>
    <w:rsid w:val="00D74AF0"/>
    <w:rsid w:val="00D74EAA"/>
    <w:rsid w:val="00D74EFD"/>
    <w:rsid w:val="00D74F2A"/>
    <w:rsid w:val="00D751BD"/>
    <w:rsid w:val="00D75412"/>
    <w:rsid w:val="00D75539"/>
    <w:rsid w:val="00D757E2"/>
    <w:rsid w:val="00D7583F"/>
    <w:rsid w:val="00D75906"/>
    <w:rsid w:val="00D75958"/>
    <w:rsid w:val="00D7596C"/>
    <w:rsid w:val="00D75B83"/>
    <w:rsid w:val="00D75EBA"/>
    <w:rsid w:val="00D75ECB"/>
    <w:rsid w:val="00D75F5F"/>
    <w:rsid w:val="00D76015"/>
    <w:rsid w:val="00D76284"/>
    <w:rsid w:val="00D7652C"/>
    <w:rsid w:val="00D766AF"/>
    <w:rsid w:val="00D76792"/>
    <w:rsid w:val="00D76961"/>
    <w:rsid w:val="00D7698A"/>
    <w:rsid w:val="00D76D88"/>
    <w:rsid w:val="00D76E4B"/>
    <w:rsid w:val="00D770C7"/>
    <w:rsid w:val="00D77138"/>
    <w:rsid w:val="00D7714B"/>
    <w:rsid w:val="00D773C4"/>
    <w:rsid w:val="00D774CE"/>
    <w:rsid w:val="00D775A8"/>
    <w:rsid w:val="00D7777E"/>
    <w:rsid w:val="00D777A3"/>
    <w:rsid w:val="00D777F1"/>
    <w:rsid w:val="00D77941"/>
    <w:rsid w:val="00D77C47"/>
    <w:rsid w:val="00D77DAC"/>
    <w:rsid w:val="00D77DD2"/>
    <w:rsid w:val="00D77F12"/>
    <w:rsid w:val="00D80043"/>
    <w:rsid w:val="00D80073"/>
    <w:rsid w:val="00D80087"/>
    <w:rsid w:val="00D8049B"/>
    <w:rsid w:val="00D804D1"/>
    <w:rsid w:val="00D80515"/>
    <w:rsid w:val="00D806A8"/>
    <w:rsid w:val="00D80958"/>
    <w:rsid w:val="00D80C33"/>
    <w:rsid w:val="00D80D2A"/>
    <w:rsid w:val="00D80D2F"/>
    <w:rsid w:val="00D81242"/>
    <w:rsid w:val="00D812E0"/>
    <w:rsid w:val="00D8130C"/>
    <w:rsid w:val="00D813D8"/>
    <w:rsid w:val="00D81415"/>
    <w:rsid w:val="00D81893"/>
    <w:rsid w:val="00D81945"/>
    <w:rsid w:val="00D819B9"/>
    <w:rsid w:val="00D81B1E"/>
    <w:rsid w:val="00D81D62"/>
    <w:rsid w:val="00D81D83"/>
    <w:rsid w:val="00D81E90"/>
    <w:rsid w:val="00D81F2D"/>
    <w:rsid w:val="00D81F36"/>
    <w:rsid w:val="00D82005"/>
    <w:rsid w:val="00D82320"/>
    <w:rsid w:val="00D82559"/>
    <w:rsid w:val="00D82881"/>
    <w:rsid w:val="00D828C9"/>
    <w:rsid w:val="00D83494"/>
    <w:rsid w:val="00D837ED"/>
    <w:rsid w:val="00D8382A"/>
    <w:rsid w:val="00D83AA5"/>
    <w:rsid w:val="00D83B3E"/>
    <w:rsid w:val="00D83C1A"/>
    <w:rsid w:val="00D83CC7"/>
    <w:rsid w:val="00D84143"/>
    <w:rsid w:val="00D844FB"/>
    <w:rsid w:val="00D847B9"/>
    <w:rsid w:val="00D84A88"/>
    <w:rsid w:val="00D84B79"/>
    <w:rsid w:val="00D84CA4"/>
    <w:rsid w:val="00D84D69"/>
    <w:rsid w:val="00D84DDC"/>
    <w:rsid w:val="00D84EB2"/>
    <w:rsid w:val="00D84EDA"/>
    <w:rsid w:val="00D8524E"/>
    <w:rsid w:val="00D85252"/>
    <w:rsid w:val="00D85299"/>
    <w:rsid w:val="00D85431"/>
    <w:rsid w:val="00D85684"/>
    <w:rsid w:val="00D8570F"/>
    <w:rsid w:val="00D85964"/>
    <w:rsid w:val="00D85AC0"/>
    <w:rsid w:val="00D85E30"/>
    <w:rsid w:val="00D8609A"/>
    <w:rsid w:val="00D86396"/>
    <w:rsid w:val="00D8650D"/>
    <w:rsid w:val="00D8655A"/>
    <w:rsid w:val="00D868A4"/>
    <w:rsid w:val="00D869E1"/>
    <w:rsid w:val="00D86A6F"/>
    <w:rsid w:val="00D86B3C"/>
    <w:rsid w:val="00D86F74"/>
    <w:rsid w:val="00D87025"/>
    <w:rsid w:val="00D870E3"/>
    <w:rsid w:val="00D877CE"/>
    <w:rsid w:val="00D878A9"/>
    <w:rsid w:val="00D87B18"/>
    <w:rsid w:val="00D87BAF"/>
    <w:rsid w:val="00D87EAB"/>
    <w:rsid w:val="00D90085"/>
    <w:rsid w:val="00D90464"/>
    <w:rsid w:val="00D90863"/>
    <w:rsid w:val="00D9093E"/>
    <w:rsid w:val="00D9098E"/>
    <w:rsid w:val="00D90AF7"/>
    <w:rsid w:val="00D90B65"/>
    <w:rsid w:val="00D91188"/>
    <w:rsid w:val="00D91264"/>
    <w:rsid w:val="00D91568"/>
    <w:rsid w:val="00D91AD3"/>
    <w:rsid w:val="00D91D0D"/>
    <w:rsid w:val="00D91E47"/>
    <w:rsid w:val="00D92575"/>
    <w:rsid w:val="00D92621"/>
    <w:rsid w:val="00D9282E"/>
    <w:rsid w:val="00D92A17"/>
    <w:rsid w:val="00D92CCC"/>
    <w:rsid w:val="00D93072"/>
    <w:rsid w:val="00D93142"/>
    <w:rsid w:val="00D934E9"/>
    <w:rsid w:val="00D935F2"/>
    <w:rsid w:val="00D936EA"/>
    <w:rsid w:val="00D938F1"/>
    <w:rsid w:val="00D93947"/>
    <w:rsid w:val="00D939AB"/>
    <w:rsid w:val="00D93BFF"/>
    <w:rsid w:val="00D93DB9"/>
    <w:rsid w:val="00D93DF9"/>
    <w:rsid w:val="00D93F09"/>
    <w:rsid w:val="00D9426A"/>
    <w:rsid w:val="00D94314"/>
    <w:rsid w:val="00D945A0"/>
    <w:rsid w:val="00D94AEC"/>
    <w:rsid w:val="00D94CF7"/>
    <w:rsid w:val="00D94D72"/>
    <w:rsid w:val="00D94F48"/>
    <w:rsid w:val="00D951E3"/>
    <w:rsid w:val="00D955F1"/>
    <w:rsid w:val="00D95611"/>
    <w:rsid w:val="00D95D93"/>
    <w:rsid w:val="00D9610C"/>
    <w:rsid w:val="00D96521"/>
    <w:rsid w:val="00D965E5"/>
    <w:rsid w:val="00D965E8"/>
    <w:rsid w:val="00D96629"/>
    <w:rsid w:val="00D96B86"/>
    <w:rsid w:val="00D96CF9"/>
    <w:rsid w:val="00D96D49"/>
    <w:rsid w:val="00D96DBE"/>
    <w:rsid w:val="00D96E3B"/>
    <w:rsid w:val="00D96E6E"/>
    <w:rsid w:val="00D96FCD"/>
    <w:rsid w:val="00D9710C"/>
    <w:rsid w:val="00D97305"/>
    <w:rsid w:val="00D97B6E"/>
    <w:rsid w:val="00D97C60"/>
    <w:rsid w:val="00D97CD5"/>
    <w:rsid w:val="00D97D16"/>
    <w:rsid w:val="00D97E8A"/>
    <w:rsid w:val="00DA001D"/>
    <w:rsid w:val="00DA06A0"/>
    <w:rsid w:val="00DA06CD"/>
    <w:rsid w:val="00DA0831"/>
    <w:rsid w:val="00DA0C4D"/>
    <w:rsid w:val="00DA0D92"/>
    <w:rsid w:val="00DA0FFA"/>
    <w:rsid w:val="00DA1042"/>
    <w:rsid w:val="00DA1141"/>
    <w:rsid w:val="00DA129D"/>
    <w:rsid w:val="00DA12DF"/>
    <w:rsid w:val="00DA1477"/>
    <w:rsid w:val="00DA1543"/>
    <w:rsid w:val="00DA15F6"/>
    <w:rsid w:val="00DA1658"/>
    <w:rsid w:val="00DA18D6"/>
    <w:rsid w:val="00DA1BB8"/>
    <w:rsid w:val="00DA1BF7"/>
    <w:rsid w:val="00DA1D21"/>
    <w:rsid w:val="00DA2038"/>
    <w:rsid w:val="00DA220A"/>
    <w:rsid w:val="00DA2217"/>
    <w:rsid w:val="00DA2233"/>
    <w:rsid w:val="00DA24EE"/>
    <w:rsid w:val="00DA25CC"/>
    <w:rsid w:val="00DA2708"/>
    <w:rsid w:val="00DA2797"/>
    <w:rsid w:val="00DA283E"/>
    <w:rsid w:val="00DA2878"/>
    <w:rsid w:val="00DA2966"/>
    <w:rsid w:val="00DA2B26"/>
    <w:rsid w:val="00DA2E50"/>
    <w:rsid w:val="00DA30C3"/>
    <w:rsid w:val="00DA3103"/>
    <w:rsid w:val="00DA3202"/>
    <w:rsid w:val="00DA364C"/>
    <w:rsid w:val="00DA37CC"/>
    <w:rsid w:val="00DA3BB0"/>
    <w:rsid w:val="00DA3FC8"/>
    <w:rsid w:val="00DA4076"/>
    <w:rsid w:val="00DA4247"/>
    <w:rsid w:val="00DA4D09"/>
    <w:rsid w:val="00DA4E16"/>
    <w:rsid w:val="00DA4F92"/>
    <w:rsid w:val="00DA5152"/>
    <w:rsid w:val="00DA517A"/>
    <w:rsid w:val="00DA51CE"/>
    <w:rsid w:val="00DA52C1"/>
    <w:rsid w:val="00DA55B2"/>
    <w:rsid w:val="00DA57D5"/>
    <w:rsid w:val="00DA5846"/>
    <w:rsid w:val="00DA5ADB"/>
    <w:rsid w:val="00DA5C65"/>
    <w:rsid w:val="00DA5CE9"/>
    <w:rsid w:val="00DA5FCF"/>
    <w:rsid w:val="00DA60EC"/>
    <w:rsid w:val="00DA626D"/>
    <w:rsid w:val="00DA64A3"/>
    <w:rsid w:val="00DA67C4"/>
    <w:rsid w:val="00DA6A6E"/>
    <w:rsid w:val="00DA6A93"/>
    <w:rsid w:val="00DA6B25"/>
    <w:rsid w:val="00DA6B55"/>
    <w:rsid w:val="00DA6CC1"/>
    <w:rsid w:val="00DA703A"/>
    <w:rsid w:val="00DA7E6E"/>
    <w:rsid w:val="00DA7E7F"/>
    <w:rsid w:val="00DA7F5D"/>
    <w:rsid w:val="00DA7F6D"/>
    <w:rsid w:val="00DB01F8"/>
    <w:rsid w:val="00DB0355"/>
    <w:rsid w:val="00DB0559"/>
    <w:rsid w:val="00DB0576"/>
    <w:rsid w:val="00DB063D"/>
    <w:rsid w:val="00DB0655"/>
    <w:rsid w:val="00DB0783"/>
    <w:rsid w:val="00DB07F5"/>
    <w:rsid w:val="00DB08A6"/>
    <w:rsid w:val="00DB08DB"/>
    <w:rsid w:val="00DB0969"/>
    <w:rsid w:val="00DB0A5A"/>
    <w:rsid w:val="00DB0A61"/>
    <w:rsid w:val="00DB0AFB"/>
    <w:rsid w:val="00DB0CA0"/>
    <w:rsid w:val="00DB1001"/>
    <w:rsid w:val="00DB10C3"/>
    <w:rsid w:val="00DB10FB"/>
    <w:rsid w:val="00DB1264"/>
    <w:rsid w:val="00DB12B6"/>
    <w:rsid w:val="00DB1475"/>
    <w:rsid w:val="00DB16A7"/>
    <w:rsid w:val="00DB17EE"/>
    <w:rsid w:val="00DB18D2"/>
    <w:rsid w:val="00DB1DD8"/>
    <w:rsid w:val="00DB1E7A"/>
    <w:rsid w:val="00DB241A"/>
    <w:rsid w:val="00DB28C6"/>
    <w:rsid w:val="00DB2926"/>
    <w:rsid w:val="00DB2931"/>
    <w:rsid w:val="00DB299A"/>
    <w:rsid w:val="00DB2A37"/>
    <w:rsid w:val="00DB2DB2"/>
    <w:rsid w:val="00DB2E35"/>
    <w:rsid w:val="00DB2E83"/>
    <w:rsid w:val="00DB2FEC"/>
    <w:rsid w:val="00DB306B"/>
    <w:rsid w:val="00DB31D7"/>
    <w:rsid w:val="00DB3376"/>
    <w:rsid w:val="00DB3906"/>
    <w:rsid w:val="00DB39AD"/>
    <w:rsid w:val="00DB3B26"/>
    <w:rsid w:val="00DB3B43"/>
    <w:rsid w:val="00DB3B59"/>
    <w:rsid w:val="00DB3D67"/>
    <w:rsid w:val="00DB4052"/>
    <w:rsid w:val="00DB4057"/>
    <w:rsid w:val="00DB4372"/>
    <w:rsid w:val="00DB4576"/>
    <w:rsid w:val="00DB464D"/>
    <w:rsid w:val="00DB479B"/>
    <w:rsid w:val="00DB48BF"/>
    <w:rsid w:val="00DB48D0"/>
    <w:rsid w:val="00DB48E3"/>
    <w:rsid w:val="00DB494E"/>
    <w:rsid w:val="00DB4BAC"/>
    <w:rsid w:val="00DB4DCF"/>
    <w:rsid w:val="00DB4DEF"/>
    <w:rsid w:val="00DB4E93"/>
    <w:rsid w:val="00DB4EBC"/>
    <w:rsid w:val="00DB50F8"/>
    <w:rsid w:val="00DB5377"/>
    <w:rsid w:val="00DB553B"/>
    <w:rsid w:val="00DB55A9"/>
    <w:rsid w:val="00DB55E3"/>
    <w:rsid w:val="00DB5623"/>
    <w:rsid w:val="00DB566E"/>
    <w:rsid w:val="00DB57C1"/>
    <w:rsid w:val="00DB58BE"/>
    <w:rsid w:val="00DB5983"/>
    <w:rsid w:val="00DB59BF"/>
    <w:rsid w:val="00DB5C19"/>
    <w:rsid w:val="00DB5DCD"/>
    <w:rsid w:val="00DB5E0E"/>
    <w:rsid w:val="00DB5E75"/>
    <w:rsid w:val="00DB5FA1"/>
    <w:rsid w:val="00DB5FD4"/>
    <w:rsid w:val="00DB5FDC"/>
    <w:rsid w:val="00DB6336"/>
    <w:rsid w:val="00DB6379"/>
    <w:rsid w:val="00DB6401"/>
    <w:rsid w:val="00DB6485"/>
    <w:rsid w:val="00DB6487"/>
    <w:rsid w:val="00DB650D"/>
    <w:rsid w:val="00DB68BE"/>
    <w:rsid w:val="00DB6990"/>
    <w:rsid w:val="00DB6EB2"/>
    <w:rsid w:val="00DB6F97"/>
    <w:rsid w:val="00DB7172"/>
    <w:rsid w:val="00DB71A5"/>
    <w:rsid w:val="00DB7336"/>
    <w:rsid w:val="00DB73AD"/>
    <w:rsid w:val="00DB73FF"/>
    <w:rsid w:val="00DB7425"/>
    <w:rsid w:val="00DB74A2"/>
    <w:rsid w:val="00DB7724"/>
    <w:rsid w:val="00DB77CE"/>
    <w:rsid w:val="00DB7A84"/>
    <w:rsid w:val="00DB7B3F"/>
    <w:rsid w:val="00DB7C58"/>
    <w:rsid w:val="00DB7D1A"/>
    <w:rsid w:val="00DB7E61"/>
    <w:rsid w:val="00DB7F7A"/>
    <w:rsid w:val="00DC01AF"/>
    <w:rsid w:val="00DC033C"/>
    <w:rsid w:val="00DC0492"/>
    <w:rsid w:val="00DC070F"/>
    <w:rsid w:val="00DC080C"/>
    <w:rsid w:val="00DC0817"/>
    <w:rsid w:val="00DC0961"/>
    <w:rsid w:val="00DC0A05"/>
    <w:rsid w:val="00DC0D36"/>
    <w:rsid w:val="00DC0D6C"/>
    <w:rsid w:val="00DC103D"/>
    <w:rsid w:val="00DC1217"/>
    <w:rsid w:val="00DC14C9"/>
    <w:rsid w:val="00DC1500"/>
    <w:rsid w:val="00DC15D8"/>
    <w:rsid w:val="00DC1973"/>
    <w:rsid w:val="00DC1994"/>
    <w:rsid w:val="00DC1BB9"/>
    <w:rsid w:val="00DC1E5E"/>
    <w:rsid w:val="00DC20F6"/>
    <w:rsid w:val="00DC22D4"/>
    <w:rsid w:val="00DC238B"/>
    <w:rsid w:val="00DC2443"/>
    <w:rsid w:val="00DC2538"/>
    <w:rsid w:val="00DC26AC"/>
    <w:rsid w:val="00DC2712"/>
    <w:rsid w:val="00DC2752"/>
    <w:rsid w:val="00DC2830"/>
    <w:rsid w:val="00DC2AF1"/>
    <w:rsid w:val="00DC2BD2"/>
    <w:rsid w:val="00DC2C00"/>
    <w:rsid w:val="00DC2D95"/>
    <w:rsid w:val="00DC2EAE"/>
    <w:rsid w:val="00DC2F1E"/>
    <w:rsid w:val="00DC2FAF"/>
    <w:rsid w:val="00DC2FE1"/>
    <w:rsid w:val="00DC2FFA"/>
    <w:rsid w:val="00DC3090"/>
    <w:rsid w:val="00DC35CD"/>
    <w:rsid w:val="00DC36BF"/>
    <w:rsid w:val="00DC3834"/>
    <w:rsid w:val="00DC3B66"/>
    <w:rsid w:val="00DC3BC5"/>
    <w:rsid w:val="00DC3E53"/>
    <w:rsid w:val="00DC3F2E"/>
    <w:rsid w:val="00DC4092"/>
    <w:rsid w:val="00DC4138"/>
    <w:rsid w:val="00DC4582"/>
    <w:rsid w:val="00DC4652"/>
    <w:rsid w:val="00DC46E1"/>
    <w:rsid w:val="00DC46E8"/>
    <w:rsid w:val="00DC47C3"/>
    <w:rsid w:val="00DC4BF7"/>
    <w:rsid w:val="00DC4F55"/>
    <w:rsid w:val="00DC5174"/>
    <w:rsid w:val="00DC51BE"/>
    <w:rsid w:val="00DC54A1"/>
    <w:rsid w:val="00DC5874"/>
    <w:rsid w:val="00DC5BF5"/>
    <w:rsid w:val="00DC5C01"/>
    <w:rsid w:val="00DC5DA5"/>
    <w:rsid w:val="00DC5F79"/>
    <w:rsid w:val="00DC5FF7"/>
    <w:rsid w:val="00DC6022"/>
    <w:rsid w:val="00DC61DF"/>
    <w:rsid w:val="00DC6270"/>
    <w:rsid w:val="00DC6449"/>
    <w:rsid w:val="00DC64EF"/>
    <w:rsid w:val="00DC6520"/>
    <w:rsid w:val="00DC6574"/>
    <w:rsid w:val="00DC6673"/>
    <w:rsid w:val="00DC6861"/>
    <w:rsid w:val="00DC6876"/>
    <w:rsid w:val="00DC69A7"/>
    <w:rsid w:val="00DC6A65"/>
    <w:rsid w:val="00DC6A7D"/>
    <w:rsid w:val="00DC6A86"/>
    <w:rsid w:val="00DC6AFA"/>
    <w:rsid w:val="00DC6D69"/>
    <w:rsid w:val="00DC6EC4"/>
    <w:rsid w:val="00DC730E"/>
    <w:rsid w:val="00DC7340"/>
    <w:rsid w:val="00DC73B9"/>
    <w:rsid w:val="00DC73F2"/>
    <w:rsid w:val="00DC7577"/>
    <w:rsid w:val="00DC761F"/>
    <w:rsid w:val="00DC7878"/>
    <w:rsid w:val="00DC7B12"/>
    <w:rsid w:val="00DC7CBE"/>
    <w:rsid w:val="00DC7E09"/>
    <w:rsid w:val="00DC7EAF"/>
    <w:rsid w:val="00DC7F8E"/>
    <w:rsid w:val="00DD033B"/>
    <w:rsid w:val="00DD0383"/>
    <w:rsid w:val="00DD0549"/>
    <w:rsid w:val="00DD085E"/>
    <w:rsid w:val="00DD09AE"/>
    <w:rsid w:val="00DD0FBF"/>
    <w:rsid w:val="00DD10DD"/>
    <w:rsid w:val="00DD10EC"/>
    <w:rsid w:val="00DD1121"/>
    <w:rsid w:val="00DD127A"/>
    <w:rsid w:val="00DD12C8"/>
    <w:rsid w:val="00DD13A1"/>
    <w:rsid w:val="00DD1734"/>
    <w:rsid w:val="00DD174E"/>
    <w:rsid w:val="00DD19AC"/>
    <w:rsid w:val="00DD19CB"/>
    <w:rsid w:val="00DD1A49"/>
    <w:rsid w:val="00DD1A54"/>
    <w:rsid w:val="00DD1B8B"/>
    <w:rsid w:val="00DD1BB1"/>
    <w:rsid w:val="00DD1E16"/>
    <w:rsid w:val="00DD1EA8"/>
    <w:rsid w:val="00DD2303"/>
    <w:rsid w:val="00DD2509"/>
    <w:rsid w:val="00DD261D"/>
    <w:rsid w:val="00DD2772"/>
    <w:rsid w:val="00DD2CE9"/>
    <w:rsid w:val="00DD2E79"/>
    <w:rsid w:val="00DD3023"/>
    <w:rsid w:val="00DD33A2"/>
    <w:rsid w:val="00DD33A4"/>
    <w:rsid w:val="00DD3547"/>
    <w:rsid w:val="00DD357D"/>
    <w:rsid w:val="00DD3826"/>
    <w:rsid w:val="00DD39E6"/>
    <w:rsid w:val="00DD3BE1"/>
    <w:rsid w:val="00DD3CD2"/>
    <w:rsid w:val="00DD3E79"/>
    <w:rsid w:val="00DD40F9"/>
    <w:rsid w:val="00DD442E"/>
    <w:rsid w:val="00DD4557"/>
    <w:rsid w:val="00DD468E"/>
    <w:rsid w:val="00DD48D1"/>
    <w:rsid w:val="00DD4A67"/>
    <w:rsid w:val="00DD4C18"/>
    <w:rsid w:val="00DD4CCD"/>
    <w:rsid w:val="00DD4D08"/>
    <w:rsid w:val="00DD54D8"/>
    <w:rsid w:val="00DD564A"/>
    <w:rsid w:val="00DD5EC2"/>
    <w:rsid w:val="00DD5FAF"/>
    <w:rsid w:val="00DD5FD0"/>
    <w:rsid w:val="00DD613D"/>
    <w:rsid w:val="00DD61B5"/>
    <w:rsid w:val="00DD62F6"/>
    <w:rsid w:val="00DD6340"/>
    <w:rsid w:val="00DD6368"/>
    <w:rsid w:val="00DD63B5"/>
    <w:rsid w:val="00DD6515"/>
    <w:rsid w:val="00DD6894"/>
    <w:rsid w:val="00DD6B2F"/>
    <w:rsid w:val="00DD6B8B"/>
    <w:rsid w:val="00DD6B93"/>
    <w:rsid w:val="00DD6C76"/>
    <w:rsid w:val="00DD6DB5"/>
    <w:rsid w:val="00DD6F3D"/>
    <w:rsid w:val="00DD716E"/>
    <w:rsid w:val="00DD71AC"/>
    <w:rsid w:val="00DD7525"/>
    <w:rsid w:val="00DD7538"/>
    <w:rsid w:val="00DD79DE"/>
    <w:rsid w:val="00DD7A68"/>
    <w:rsid w:val="00DD7F28"/>
    <w:rsid w:val="00DE01FE"/>
    <w:rsid w:val="00DE05C5"/>
    <w:rsid w:val="00DE07AD"/>
    <w:rsid w:val="00DE08BD"/>
    <w:rsid w:val="00DE0958"/>
    <w:rsid w:val="00DE0A1C"/>
    <w:rsid w:val="00DE0C7E"/>
    <w:rsid w:val="00DE0F7A"/>
    <w:rsid w:val="00DE10BB"/>
    <w:rsid w:val="00DE115C"/>
    <w:rsid w:val="00DE1185"/>
    <w:rsid w:val="00DE126C"/>
    <w:rsid w:val="00DE128A"/>
    <w:rsid w:val="00DE151F"/>
    <w:rsid w:val="00DE1553"/>
    <w:rsid w:val="00DE161C"/>
    <w:rsid w:val="00DE16C9"/>
    <w:rsid w:val="00DE1802"/>
    <w:rsid w:val="00DE18A6"/>
    <w:rsid w:val="00DE1918"/>
    <w:rsid w:val="00DE1FD1"/>
    <w:rsid w:val="00DE2319"/>
    <w:rsid w:val="00DE2326"/>
    <w:rsid w:val="00DE241D"/>
    <w:rsid w:val="00DE2553"/>
    <w:rsid w:val="00DE25A8"/>
    <w:rsid w:val="00DE25E5"/>
    <w:rsid w:val="00DE2626"/>
    <w:rsid w:val="00DE2898"/>
    <w:rsid w:val="00DE29B0"/>
    <w:rsid w:val="00DE2F7C"/>
    <w:rsid w:val="00DE2F7F"/>
    <w:rsid w:val="00DE3000"/>
    <w:rsid w:val="00DE3197"/>
    <w:rsid w:val="00DE3473"/>
    <w:rsid w:val="00DE3519"/>
    <w:rsid w:val="00DE3545"/>
    <w:rsid w:val="00DE36A2"/>
    <w:rsid w:val="00DE37AA"/>
    <w:rsid w:val="00DE3831"/>
    <w:rsid w:val="00DE392F"/>
    <w:rsid w:val="00DE3B7A"/>
    <w:rsid w:val="00DE3E7B"/>
    <w:rsid w:val="00DE3EB9"/>
    <w:rsid w:val="00DE3EF1"/>
    <w:rsid w:val="00DE4054"/>
    <w:rsid w:val="00DE41C6"/>
    <w:rsid w:val="00DE421E"/>
    <w:rsid w:val="00DE4453"/>
    <w:rsid w:val="00DE44D2"/>
    <w:rsid w:val="00DE4646"/>
    <w:rsid w:val="00DE46C8"/>
    <w:rsid w:val="00DE475D"/>
    <w:rsid w:val="00DE4975"/>
    <w:rsid w:val="00DE4BB5"/>
    <w:rsid w:val="00DE4C31"/>
    <w:rsid w:val="00DE4ED8"/>
    <w:rsid w:val="00DE527A"/>
    <w:rsid w:val="00DE5692"/>
    <w:rsid w:val="00DE57FF"/>
    <w:rsid w:val="00DE58BD"/>
    <w:rsid w:val="00DE597E"/>
    <w:rsid w:val="00DE5AF2"/>
    <w:rsid w:val="00DE5CC9"/>
    <w:rsid w:val="00DE5EAD"/>
    <w:rsid w:val="00DE5EC0"/>
    <w:rsid w:val="00DE6005"/>
    <w:rsid w:val="00DE6088"/>
    <w:rsid w:val="00DE6191"/>
    <w:rsid w:val="00DE641B"/>
    <w:rsid w:val="00DE6F33"/>
    <w:rsid w:val="00DE7587"/>
    <w:rsid w:val="00DE7765"/>
    <w:rsid w:val="00DE7A2F"/>
    <w:rsid w:val="00DE7AEE"/>
    <w:rsid w:val="00DE7CDB"/>
    <w:rsid w:val="00DE7DCE"/>
    <w:rsid w:val="00DF0062"/>
    <w:rsid w:val="00DF0157"/>
    <w:rsid w:val="00DF02C1"/>
    <w:rsid w:val="00DF03D2"/>
    <w:rsid w:val="00DF05F9"/>
    <w:rsid w:val="00DF0B03"/>
    <w:rsid w:val="00DF0B22"/>
    <w:rsid w:val="00DF0C4B"/>
    <w:rsid w:val="00DF0D41"/>
    <w:rsid w:val="00DF0D62"/>
    <w:rsid w:val="00DF0F22"/>
    <w:rsid w:val="00DF11D9"/>
    <w:rsid w:val="00DF12EA"/>
    <w:rsid w:val="00DF1306"/>
    <w:rsid w:val="00DF147F"/>
    <w:rsid w:val="00DF1924"/>
    <w:rsid w:val="00DF1F36"/>
    <w:rsid w:val="00DF208B"/>
    <w:rsid w:val="00DF2187"/>
    <w:rsid w:val="00DF21CB"/>
    <w:rsid w:val="00DF245B"/>
    <w:rsid w:val="00DF259F"/>
    <w:rsid w:val="00DF2648"/>
    <w:rsid w:val="00DF27C6"/>
    <w:rsid w:val="00DF293F"/>
    <w:rsid w:val="00DF2A7F"/>
    <w:rsid w:val="00DF2D7D"/>
    <w:rsid w:val="00DF32A8"/>
    <w:rsid w:val="00DF330B"/>
    <w:rsid w:val="00DF3398"/>
    <w:rsid w:val="00DF3723"/>
    <w:rsid w:val="00DF37B0"/>
    <w:rsid w:val="00DF3DAF"/>
    <w:rsid w:val="00DF3E12"/>
    <w:rsid w:val="00DF3FB2"/>
    <w:rsid w:val="00DF4032"/>
    <w:rsid w:val="00DF4035"/>
    <w:rsid w:val="00DF4702"/>
    <w:rsid w:val="00DF473E"/>
    <w:rsid w:val="00DF4829"/>
    <w:rsid w:val="00DF4A4E"/>
    <w:rsid w:val="00DF4B15"/>
    <w:rsid w:val="00DF4B6F"/>
    <w:rsid w:val="00DF4FEB"/>
    <w:rsid w:val="00DF5058"/>
    <w:rsid w:val="00DF5365"/>
    <w:rsid w:val="00DF543F"/>
    <w:rsid w:val="00DF550F"/>
    <w:rsid w:val="00DF55FF"/>
    <w:rsid w:val="00DF56B9"/>
    <w:rsid w:val="00DF59E9"/>
    <w:rsid w:val="00DF59F0"/>
    <w:rsid w:val="00DF5A06"/>
    <w:rsid w:val="00DF5AB0"/>
    <w:rsid w:val="00DF5D78"/>
    <w:rsid w:val="00DF5DE3"/>
    <w:rsid w:val="00DF5EBE"/>
    <w:rsid w:val="00DF60E4"/>
    <w:rsid w:val="00DF64F3"/>
    <w:rsid w:val="00DF661D"/>
    <w:rsid w:val="00DF6F25"/>
    <w:rsid w:val="00DF6F5E"/>
    <w:rsid w:val="00DF7126"/>
    <w:rsid w:val="00DF72D5"/>
    <w:rsid w:val="00DF73F1"/>
    <w:rsid w:val="00DF7501"/>
    <w:rsid w:val="00DF76F5"/>
    <w:rsid w:val="00DF7762"/>
    <w:rsid w:val="00DF7949"/>
    <w:rsid w:val="00DF7A94"/>
    <w:rsid w:val="00DF7CB4"/>
    <w:rsid w:val="00DF7E01"/>
    <w:rsid w:val="00DF7E16"/>
    <w:rsid w:val="00E0006A"/>
    <w:rsid w:val="00E0007D"/>
    <w:rsid w:val="00E00558"/>
    <w:rsid w:val="00E007D8"/>
    <w:rsid w:val="00E0086E"/>
    <w:rsid w:val="00E008D2"/>
    <w:rsid w:val="00E00A2B"/>
    <w:rsid w:val="00E00AC5"/>
    <w:rsid w:val="00E00C0D"/>
    <w:rsid w:val="00E00EF8"/>
    <w:rsid w:val="00E00FB7"/>
    <w:rsid w:val="00E0126A"/>
    <w:rsid w:val="00E01339"/>
    <w:rsid w:val="00E01514"/>
    <w:rsid w:val="00E0174C"/>
    <w:rsid w:val="00E01770"/>
    <w:rsid w:val="00E01783"/>
    <w:rsid w:val="00E01848"/>
    <w:rsid w:val="00E01904"/>
    <w:rsid w:val="00E019C4"/>
    <w:rsid w:val="00E01CDF"/>
    <w:rsid w:val="00E02048"/>
    <w:rsid w:val="00E0209F"/>
    <w:rsid w:val="00E021AE"/>
    <w:rsid w:val="00E02DE5"/>
    <w:rsid w:val="00E02E1C"/>
    <w:rsid w:val="00E02FDC"/>
    <w:rsid w:val="00E03019"/>
    <w:rsid w:val="00E031E1"/>
    <w:rsid w:val="00E031FB"/>
    <w:rsid w:val="00E03431"/>
    <w:rsid w:val="00E0347F"/>
    <w:rsid w:val="00E0376F"/>
    <w:rsid w:val="00E038DF"/>
    <w:rsid w:val="00E03AE4"/>
    <w:rsid w:val="00E03C52"/>
    <w:rsid w:val="00E03D50"/>
    <w:rsid w:val="00E03E0A"/>
    <w:rsid w:val="00E03F1F"/>
    <w:rsid w:val="00E0420A"/>
    <w:rsid w:val="00E0483F"/>
    <w:rsid w:val="00E04842"/>
    <w:rsid w:val="00E04A4D"/>
    <w:rsid w:val="00E04CBD"/>
    <w:rsid w:val="00E04CFA"/>
    <w:rsid w:val="00E04F35"/>
    <w:rsid w:val="00E050F8"/>
    <w:rsid w:val="00E0527E"/>
    <w:rsid w:val="00E0536B"/>
    <w:rsid w:val="00E0546F"/>
    <w:rsid w:val="00E05533"/>
    <w:rsid w:val="00E0580A"/>
    <w:rsid w:val="00E05965"/>
    <w:rsid w:val="00E05969"/>
    <w:rsid w:val="00E059C9"/>
    <w:rsid w:val="00E05F63"/>
    <w:rsid w:val="00E0608C"/>
    <w:rsid w:val="00E06101"/>
    <w:rsid w:val="00E06128"/>
    <w:rsid w:val="00E06150"/>
    <w:rsid w:val="00E0615E"/>
    <w:rsid w:val="00E06227"/>
    <w:rsid w:val="00E06490"/>
    <w:rsid w:val="00E065A8"/>
    <w:rsid w:val="00E065D7"/>
    <w:rsid w:val="00E069E2"/>
    <w:rsid w:val="00E06B7E"/>
    <w:rsid w:val="00E06E89"/>
    <w:rsid w:val="00E06E91"/>
    <w:rsid w:val="00E07092"/>
    <w:rsid w:val="00E07175"/>
    <w:rsid w:val="00E07197"/>
    <w:rsid w:val="00E07526"/>
    <w:rsid w:val="00E075D0"/>
    <w:rsid w:val="00E075E9"/>
    <w:rsid w:val="00E075FF"/>
    <w:rsid w:val="00E07693"/>
    <w:rsid w:val="00E079CE"/>
    <w:rsid w:val="00E07E0E"/>
    <w:rsid w:val="00E07F91"/>
    <w:rsid w:val="00E07FDB"/>
    <w:rsid w:val="00E10226"/>
    <w:rsid w:val="00E102F4"/>
    <w:rsid w:val="00E1031F"/>
    <w:rsid w:val="00E10811"/>
    <w:rsid w:val="00E10944"/>
    <w:rsid w:val="00E10BEE"/>
    <w:rsid w:val="00E10E0D"/>
    <w:rsid w:val="00E10EAC"/>
    <w:rsid w:val="00E111D2"/>
    <w:rsid w:val="00E11295"/>
    <w:rsid w:val="00E1150A"/>
    <w:rsid w:val="00E1175B"/>
    <w:rsid w:val="00E11764"/>
    <w:rsid w:val="00E11811"/>
    <w:rsid w:val="00E11C8D"/>
    <w:rsid w:val="00E11CD1"/>
    <w:rsid w:val="00E11EB1"/>
    <w:rsid w:val="00E120A1"/>
    <w:rsid w:val="00E120C3"/>
    <w:rsid w:val="00E121FD"/>
    <w:rsid w:val="00E123C1"/>
    <w:rsid w:val="00E1247E"/>
    <w:rsid w:val="00E127CC"/>
    <w:rsid w:val="00E12992"/>
    <w:rsid w:val="00E12A99"/>
    <w:rsid w:val="00E12BB2"/>
    <w:rsid w:val="00E12CCB"/>
    <w:rsid w:val="00E12CE3"/>
    <w:rsid w:val="00E12D75"/>
    <w:rsid w:val="00E130B7"/>
    <w:rsid w:val="00E130D4"/>
    <w:rsid w:val="00E130E7"/>
    <w:rsid w:val="00E13368"/>
    <w:rsid w:val="00E13389"/>
    <w:rsid w:val="00E13577"/>
    <w:rsid w:val="00E13608"/>
    <w:rsid w:val="00E138BD"/>
    <w:rsid w:val="00E13982"/>
    <w:rsid w:val="00E13B0A"/>
    <w:rsid w:val="00E13C4A"/>
    <w:rsid w:val="00E13C76"/>
    <w:rsid w:val="00E13CD8"/>
    <w:rsid w:val="00E13D04"/>
    <w:rsid w:val="00E13D2E"/>
    <w:rsid w:val="00E13EAA"/>
    <w:rsid w:val="00E13EEC"/>
    <w:rsid w:val="00E13FAF"/>
    <w:rsid w:val="00E14270"/>
    <w:rsid w:val="00E147DE"/>
    <w:rsid w:val="00E148DB"/>
    <w:rsid w:val="00E14A8D"/>
    <w:rsid w:val="00E14B77"/>
    <w:rsid w:val="00E14BF0"/>
    <w:rsid w:val="00E14C2D"/>
    <w:rsid w:val="00E14C56"/>
    <w:rsid w:val="00E14E96"/>
    <w:rsid w:val="00E14EF4"/>
    <w:rsid w:val="00E14F3E"/>
    <w:rsid w:val="00E15445"/>
    <w:rsid w:val="00E15780"/>
    <w:rsid w:val="00E15814"/>
    <w:rsid w:val="00E1589C"/>
    <w:rsid w:val="00E158AB"/>
    <w:rsid w:val="00E15C1D"/>
    <w:rsid w:val="00E15CB7"/>
    <w:rsid w:val="00E15CDD"/>
    <w:rsid w:val="00E15D39"/>
    <w:rsid w:val="00E15E8D"/>
    <w:rsid w:val="00E15EDD"/>
    <w:rsid w:val="00E1611E"/>
    <w:rsid w:val="00E16199"/>
    <w:rsid w:val="00E1648F"/>
    <w:rsid w:val="00E1652F"/>
    <w:rsid w:val="00E16547"/>
    <w:rsid w:val="00E16795"/>
    <w:rsid w:val="00E1694A"/>
    <w:rsid w:val="00E16AA3"/>
    <w:rsid w:val="00E16C5F"/>
    <w:rsid w:val="00E16E0C"/>
    <w:rsid w:val="00E16E27"/>
    <w:rsid w:val="00E170D7"/>
    <w:rsid w:val="00E171A3"/>
    <w:rsid w:val="00E173C4"/>
    <w:rsid w:val="00E174D1"/>
    <w:rsid w:val="00E175E2"/>
    <w:rsid w:val="00E17679"/>
    <w:rsid w:val="00E176FC"/>
    <w:rsid w:val="00E17730"/>
    <w:rsid w:val="00E17744"/>
    <w:rsid w:val="00E177ED"/>
    <w:rsid w:val="00E17942"/>
    <w:rsid w:val="00E17969"/>
    <w:rsid w:val="00E17987"/>
    <w:rsid w:val="00E17B9F"/>
    <w:rsid w:val="00E17E57"/>
    <w:rsid w:val="00E2032A"/>
    <w:rsid w:val="00E203FE"/>
    <w:rsid w:val="00E2051C"/>
    <w:rsid w:val="00E2053C"/>
    <w:rsid w:val="00E206A9"/>
    <w:rsid w:val="00E206D6"/>
    <w:rsid w:val="00E2073A"/>
    <w:rsid w:val="00E20828"/>
    <w:rsid w:val="00E20BA6"/>
    <w:rsid w:val="00E20C0C"/>
    <w:rsid w:val="00E20DFB"/>
    <w:rsid w:val="00E20DFF"/>
    <w:rsid w:val="00E20F71"/>
    <w:rsid w:val="00E21025"/>
    <w:rsid w:val="00E210A3"/>
    <w:rsid w:val="00E21426"/>
    <w:rsid w:val="00E2192C"/>
    <w:rsid w:val="00E21D77"/>
    <w:rsid w:val="00E2208F"/>
    <w:rsid w:val="00E2218A"/>
    <w:rsid w:val="00E222AF"/>
    <w:rsid w:val="00E223C7"/>
    <w:rsid w:val="00E224C1"/>
    <w:rsid w:val="00E22867"/>
    <w:rsid w:val="00E228C0"/>
    <w:rsid w:val="00E22AA4"/>
    <w:rsid w:val="00E22DA1"/>
    <w:rsid w:val="00E22FF2"/>
    <w:rsid w:val="00E2336F"/>
    <w:rsid w:val="00E233A1"/>
    <w:rsid w:val="00E23570"/>
    <w:rsid w:val="00E236BC"/>
    <w:rsid w:val="00E236E1"/>
    <w:rsid w:val="00E2383E"/>
    <w:rsid w:val="00E2388A"/>
    <w:rsid w:val="00E23EC1"/>
    <w:rsid w:val="00E23FE9"/>
    <w:rsid w:val="00E24026"/>
    <w:rsid w:val="00E2414B"/>
    <w:rsid w:val="00E24535"/>
    <w:rsid w:val="00E2460C"/>
    <w:rsid w:val="00E2462B"/>
    <w:rsid w:val="00E247D0"/>
    <w:rsid w:val="00E24A11"/>
    <w:rsid w:val="00E24A73"/>
    <w:rsid w:val="00E24C4D"/>
    <w:rsid w:val="00E24C54"/>
    <w:rsid w:val="00E24CAA"/>
    <w:rsid w:val="00E24F10"/>
    <w:rsid w:val="00E25292"/>
    <w:rsid w:val="00E2538C"/>
    <w:rsid w:val="00E2545F"/>
    <w:rsid w:val="00E25776"/>
    <w:rsid w:val="00E25983"/>
    <w:rsid w:val="00E25AF9"/>
    <w:rsid w:val="00E25B35"/>
    <w:rsid w:val="00E25B89"/>
    <w:rsid w:val="00E25D83"/>
    <w:rsid w:val="00E2622B"/>
    <w:rsid w:val="00E26723"/>
    <w:rsid w:val="00E26858"/>
    <w:rsid w:val="00E26C02"/>
    <w:rsid w:val="00E26CB2"/>
    <w:rsid w:val="00E26CDA"/>
    <w:rsid w:val="00E26E24"/>
    <w:rsid w:val="00E26E5B"/>
    <w:rsid w:val="00E27032"/>
    <w:rsid w:val="00E27083"/>
    <w:rsid w:val="00E270CE"/>
    <w:rsid w:val="00E2755A"/>
    <w:rsid w:val="00E278A1"/>
    <w:rsid w:val="00E278DC"/>
    <w:rsid w:val="00E278F3"/>
    <w:rsid w:val="00E27905"/>
    <w:rsid w:val="00E27CE7"/>
    <w:rsid w:val="00E27D30"/>
    <w:rsid w:val="00E3032A"/>
    <w:rsid w:val="00E30B20"/>
    <w:rsid w:val="00E30C8E"/>
    <w:rsid w:val="00E30EBA"/>
    <w:rsid w:val="00E31209"/>
    <w:rsid w:val="00E31241"/>
    <w:rsid w:val="00E317F6"/>
    <w:rsid w:val="00E31868"/>
    <w:rsid w:val="00E31960"/>
    <w:rsid w:val="00E31BA6"/>
    <w:rsid w:val="00E31C78"/>
    <w:rsid w:val="00E31D57"/>
    <w:rsid w:val="00E31D97"/>
    <w:rsid w:val="00E3215B"/>
    <w:rsid w:val="00E32429"/>
    <w:rsid w:val="00E3246E"/>
    <w:rsid w:val="00E32534"/>
    <w:rsid w:val="00E326AB"/>
    <w:rsid w:val="00E32BF7"/>
    <w:rsid w:val="00E32F47"/>
    <w:rsid w:val="00E33039"/>
    <w:rsid w:val="00E3344C"/>
    <w:rsid w:val="00E334EF"/>
    <w:rsid w:val="00E3364E"/>
    <w:rsid w:val="00E339B2"/>
    <w:rsid w:val="00E33C63"/>
    <w:rsid w:val="00E33CC5"/>
    <w:rsid w:val="00E33E0A"/>
    <w:rsid w:val="00E34099"/>
    <w:rsid w:val="00E34327"/>
    <w:rsid w:val="00E343C1"/>
    <w:rsid w:val="00E343C2"/>
    <w:rsid w:val="00E3452F"/>
    <w:rsid w:val="00E34706"/>
    <w:rsid w:val="00E348B9"/>
    <w:rsid w:val="00E349F3"/>
    <w:rsid w:val="00E34C6F"/>
    <w:rsid w:val="00E34DE0"/>
    <w:rsid w:val="00E34F3E"/>
    <w:rsid w:val="00E350BF"/>
    <w:rsid w:val="00E350C2"/>
    <w:rsid w:val="00E352A3"/>
    <w:rsid w:val="00E35383"/>
    <w:rsid w:val="00E353E6"/>
    <w:rsid w:val="00E3569F"/>
    <w:rsid w:val="00E35915"/>
    <w:rsid w:val="00E35998"/>
    <w:rsid w:val="00E35AF3"/>
    <w:rsid w:val="00E35B7F"/>
    <w:rsid w:val="00E3609B"/>
    <w:rsid w:val="00E360A6"/>
    <w:rsid w:val="00E365E8"/>
    <w:rsid w:val="00E366A8"/>
    <w:rsid w:val="00E36A7A"/>
    <w:rsid w:val="00E36B89"/>
    <w:rsid w:val="00E36B91"/>
    <w:rsid w:val="00E36CB9"/>
    <w:rsid w:val="00E36D28"/>
    <w:rsid w:val="00E36D4D"/>
    <w:rsid w:val="00E37086"/>
    <w:rsid w:val="00E370B6"/>
    <w:rsid w:val="00E37428"/>
    <w:rsid w:val="00E37556"/>
    <w:rsid w:val="00E37958"/>
    <w:rsid w:val="00E37A74"/>
    <w:rsid w:val="00E37B42"/>
    <w:rsid w:val="00E37CE2"/>
    <w:rsid w:val="00E40046"/>
    <w:rsid w:val="00E400B1"/>
    <w:rsid w:val="00E401F4"/>
    <w:rsid w:val="00E40210"/>
    <w:rsid w:val="00E402EF"/>
    <w:rsid w:val="00E40326"/>
    <w:rsid w:val="00E40441"/>
    <w:rsid w:val="00E4045C"/>
    <w:rsid w:val="00E4049D"/>
    <w:rsid w:val="00E40686"/>
    <w:rsid w:val="00E4079F"/>
    <w:rsid w:val="00E40A1A"/>
    <w:rsid w:val="00E40B34"/>
    <w:rsid w:val="00E40E5C"/>
    <w:rsid w:val="00E40E8A"/>
    <w:rsid w:val="00E40FE5"/>
    <w:rsid w:val="00E41042"/>
    <w:rsid w:val="00E4116F"/>
    <w:rsid w:val="00E41344"/>
    <w:rsid w:val="00E41368"/>
    <w:rsid w:val="00E4161E"/>
    <w:rsid w:val="00E4180B"/>
    <w:rsid w:val="00E41875"/>
    <w:rsid w:val="00E4199B"/>
    <w:rsid w:val="00E419D2"/>
    <w:rsid w:val="00E41AB5"/>
    <w:rsid w:val="00E41AFE"/>
    <w:rsid w:val="00E420C9"/>
    <w:rsid w:val="00E4217F"/>
    <w:rsid w:val="00E423C8"/>
    <w:rsid w:val="00E423F3"/>
    <w:rsid w:val="00E425F4"/>
    <w:rsid w:val="00E42731"/>
    <w:rsid w:val="00E42786"/>
    <w:rsid w:val="00E42877"/>
    <w:rsid w:val="00E429A7"/>
    <w:rsid w:val="00E42B66"/>
    <w:rsid w:val="00E42D3C"/>
    <w:rsid w:val="00E430F5"/>
    <w:rsid w:val="00E43137"/>
    <w:rsid w:val="00E43310"/>
    <w:rsid w:val="00E433CA"/>
    <w:rsid w:val="00E43449"/>
    <w:rsid w:val="00E434DF"/>
    <w:rsid w:val="00E43723"/>
    <w:rsid w:val="00E4378C"/>
    <w:rsid w:val="00E43EF5"/>
    <w:rsid w:val="00E43F29"/>
    <w:rsid w:val="00E440AB"/>
    <w:rsid w:val="00E440C8"/>
    <w:rsid w:val="00E44125"/>
    <w:rsid w:val="00E443DF"/>
    <w:rsid w:val="00E44528"/>
    <w:rsid w:val="00E44714"/>
    <w:rsid w:val="00E4478E"/>
    <w:rsid w:val="00E44933"/>
    <w:rsid w:val="00E44952"/>
    <w:rsid w:val="00E44A20"/>
    <w:rsid w:val="00E44B50"/>
    <w:rsid w:val="00E44BA3"/>
    <w:rsid w:val="00E44DBC"/>
    <w:rsid w:val="00E44E22"/>
    <w:rsid w:val="00E44F53"/>
    <w:rsid w:val="00E4500B"/>
    <w:rsid w:val="00E4517B"/>
    <w:rsid w:val="00E45277"/>
    <w:rsid w:val="00E45311"/>
    <w:rsid w:val="00E45365"/>
    <w:rsid w:val="00E45433"/>
    <w:rsid w:val="00E45562"/>
    <w:rsid w:val="00E459E3"/>
    <w:rsid w:val="00E45B13"/>
    <w:rsid w:val="00E45B71"/>
    <w:rsid w:val="00E45C59"/>
    <w:rsid w:val="00E45CF2"/>
    <w:rsid w:val="00E45D2D"/>
    <w:rsid w:val="00E46158"/>
    <w:rsid w:val="00E466A1"/>
    <w:rsid w:val="00E4698A"/>
    <w:rsid w:val="00E46AC2"/>
    <w:rsid w:val="00E46BCA"/>
    <w:rsid w:val="00E46BFE"/>
    <w:rsid w:val="00E46CE2"/>
    <w:rsid w:val="00E46F08"/>
    <w:rsid w:val="00E4742B"/>
    <w:rsid w:val="00E47530"/>
    <w:rsid w:val="00E477CB"/>
    <w:rsid w:val="00E4785D"/>
    <w:rsid w:val="00E47933"/>
    <w:rsid w:val="00E47B98"/>
    <w:rsid w:val="00E47C90"/>
    <w:rsid w:val="00E47F06"/>
    <w:rsid w:val="00E5015F"/>
    <w:rsid w:val="00E504D1"/>
    <w:rsid w:val="00E504F4"/>
    <w:rsid w:val="00E505C3"/>
    <w:rsid w:val="00E50607"/>
    <w:rsid w:val="00E5089A"/>
    <w:rsid w:val="00E50BFB"/>
    <w:rsid w:val="00E50DA8"/>
    <w:rsid w:val="00E50DD8"/>
    <w:rsid w:val="00E50EB5"/>
    <w:rsid w:val="00E50ECF"/>
    <w:rsid w:val="00E510F0"/>
    <w:rsid w:val="00E511E1"/>
    <w:rsid w:val="00E513BB"/>
    <w:rsid w:val="00E515E6"/>
    <w:rsid w:val="00E51744"/>
    <w:rsid w:val="00E51A36"/>
    <w:rsid w:val="00E51C92"/>
    <w:rsid w:val="00E51D9F"/>
    <w:rsid w:val="00E51E06"/>
    <w:rsid w:val="00E51FA6"/>
    <w:rsid w:val="00E523DF"/>
    <w:rsid w:val="00E524CA"/>
    <w:rsid w:val="00E52879"/>
    <w:rsid w:val="00E529CD"/>
    <w:rsid w:val="00E529CE"/>
    <w:rsid w:val="00E52B19"/>
    <w:rsid w:val="00E52BD1"/>
    <w:rsid w:val="00E52E6B"/>
    <w:rsid w:val="00E52E89"/>
    <w:rsid w:val="00E53091"/>
    <w:rsid w:val="00E531BC"/>
    <w:rsid w:val="00E532A0"/>
    <w:rsid w:val="00E5332E"/>
    <w:rsid w:val="00E537D3"/>
    <w:rsid w:val="00E53862"/>
    <w:rsid w:val="00E5388A"/>
    <w:rsid w:val="00E538AB"/>
    <w:rsid w:val="00E538FD"/>
    <w:rsid w:val="00E53D48"/>
    <w:rsid w:val="00E53E7B"/>
    <w:rsid w:val="00E53F3B"/>
    <w:rsid w:val="00E53FAD"/>
    <w:rsid w:val="00E54241"/>
    <w:rsid w:val="00E5441B"/>
    <w:rsid w:val="00E5442C"/>
    <w:rsid w:val="00E54433"/>
    <w:rsid w:val="00E546E8"/>
    <w:rsid w:val="00E547AE"/>
    <w:rsid w:val="00E54965"/>
    <w:rsid w:val="00E54BDA"/>
    <w:rsid w:val="00E54DD0"/>
    <w:rsid w:val="00E54E1B"/>
    <w:rsid w:val="00E54EAB"/>
    <w:rsid w:val="00E550E6"/>
    <w:rsid w:val="00E5539E"/>
    <w:rsid w:val="00E555F4"/>
    <w:rsid w:val="00E5579C"/>
    <w:rsid w:val="00E55863"/>
    <w:rsid w:val="00E55A16"/>
    <w:rsid w:val="00E55A28"/>
    <w:rsid w:val="00E564DA"/>
    <w:rsid w:val="00E56528"/>
    <w:rsid w:val="00E56565"/>
    <w:rsid w:val="00E56594"/>
    <w:rsid w:val="00E56687"/>
    <w:rsid w:val="00E56B33"/>
    <w:rsid w:val="00E56B47"/>
    <w:rsid w:val="00E56CC2"/>
    <w:rsid w:val="00E56D8A"/>
    <w:rsid w:val="00E56E71"/>
    <w:rsid w:val="00E570ED"/>
    <w:rsid w:val="00E57338"/>
    <w:rsid w:val="00E57477"/>
    <w:rsid w:val="00E57CF0"/>
    <w:rsid w:val="00E57D64"/>
    <w:rsid w:val="00E57D76"/>
    <w:rsid w:val="00E57E01"/>
    <w:rsid w:val="00E57FAB"/>
    <w:rsid w:val="00E57FC3"/>
    <w:rsid w:val="00E60098"/>
    <w:rsid w:val="00E600CA"/>
    <w:rsid w:val="00E6025C"/>
    <w:rsid w:val="00E6025D"/>
    <w:rsid w:val="00E60286"/>
    <w:rsid w:val="00E6038A"/>
    <w:rsid w:val="00E60600"/>
    <w:rsid w:val="00E6072A"/>
    <w:rsid w:val="00E60955"/>
    <w:rsid w:val="00E60AF7"/>
    <w:rsid w:val="00E60BCD"/>
    <w:rsid w:val="00E61085"/>
    <w:rsid w:val="00E61343"/>
    <w:rsid w:val="00E61674"/>
    <w:rsid w:val="00E618B1"/>
    <w:rsid w:val="00E6194C"/>
    <w:rsid w:val="00E61A0D"/>
    <w:rsid w:val="00E61C9F"/>
    <w:rsid w:val="00E61CA7"/>
    <w:rsid w:val="00E61E12"/>
    <w:rsid w:val="00E61E73"/>
    <w:rsid w:val="00E61EA6"/>
    <w:rsid w:val="00E62251"/>
    <w:rsid w:val="00E6242F"/>
    <w:rsid w:val="00E6263B"/>
    <w:rsid w:val="00E62929"/>
    <w:rsid w:val="00E629D0"/>
    <w:rsid w:val="00E62A87"/>
    <w:rsid w:val="00E62CE5"/>
    <w:rsid w:val="00E62D31"/>
    <w:rsid w:val="00E62F72"/>
    <w:rsid w:val="00E630D3"/>
    <w:rsid w:val="00E63207"/>
    <w:rsid w:val="00E63253"/>
    <w:rsid w:val="00E634FA"/>
    <w:rsid w:val="00E63B38"/>
    <w:rsid w:val="00E63B49"/>
    <w:rsid w:val="00E63C61"/>
    <w:rsid w:val="00E63FD5"/>
    <w:rsid w:val="00E64152"/>
    <w:rsid w:val="00E641F4"/>
    <w:rsid w:val="00E64319"/>
    <w:rsid w:val="00E64564"/>
    <w:rsid w:val="00E6471A"/>
    <w:rsid w:val="00E647CB"/>
    <w:rsid w:val="00E648E4"/>
    <w:rsid w:val="00E649EA"/>
    <w:rsid w:val="00E64A02"/>
    <w:rsid w:val="00E64A43"/>
    <w:rsid w:val="00E64BC2"/>
    <w:rsid w:val="00E64CC5"/>
    <w:rsid w:val="00E64FDC"/>
    <w:rsid w:val="00E65112"/>
    <w:rsid w:val="00E656E5"/>
    <w:rsid w:val="00E656FD"/>
    <w:rsid w:val="00E65951"/>
    <w:rsid w:val="00E659F4"/>
    <w:rsid w:val="00E65C8D"/>
    <w:rsid w:val="00E65DA1"/>
    <w:rsid w:val="00E65E06"/>
    <w:rsid w:val="00E65ECB"/>
    <w:rsid w:val="00E65F24"/>
    <w:rsid w:val="00E65F6A"/>
    <w:rsid w:val="00E662C7"/>
    <w:rsid w:val="00E662CA"/>
    <w:rsid w:val="00E663E5"/>
    <w:rsid w:val="00E664B2"/>
    <w:rsid w:val="00E66809"/>
    <w:rsid w:val="00E66865"/>
    <w:rsid w:val="00E66924"/>
    <w:rsid w:val="00E66A43"/>
    <w:rsid w:val="00E66E42"/>
    <w:rsid w:val="00E66E53"/>
    <w:rsid w:val="00E675F9"/>
    <w:rsid w:val="00E67791"/>
    <w:rsid w:val="00E677EE"/>
    <w:rsid w:val="00E67999"/>
    <w:rsid w:val="00E67BC0"/>
    <w:rsid w:val="00E67D1E"/>
    <w:rsid w:val="00E67DAF"/>
    <w:rsid w:val="00E67ECF"/>
    <w:rsid w:val="00E7005A"/>
    <w:rsid w:val="00E701AB"/>
    <w:rsid w:val="00E70593"/>
    <w:rsid w:val="00E705BF"/>
    <w:rsid w:val="00E706F0"/>
    <w:rsid w:val="00E70808"/>
    <w:rsid w:val="00E70A0C"/>
    <w:rsid w:val="00E70A3A"/>
    <w:rsid w:val="00E70CC1"/>
    <w:rsid w:val="00E711C3"/>
    <w:rsid w:val="00E7150E"/>
    <w:rsid w:val="00E71555"/>
    <w:rsid w:val="00E7175F"/>
    <w:rsid w:val="00E717AD"/>
    <w:rsid w:val="00E71C9F"/>
    <w:rsid w:val="00E71EC1"/>
    <w:rsid w:val="00E71F01"/>
    <w:rsid w:val="00E71F78"/>
    <w:rsid w:val="00E720FB"/>
    <w:rsid w:val="00E7232B"/>
    <w:rsid w:val="00E723B8"/>
    <w:rsid w:val="00E727A6"/>
    <w:rsid w:val="00E72905"/>
    <w:rsid w:val="00E72A42"/>
    <w:rsid w:val="00E72A64"/>
    <w:rsid w:val="00E72CD0"/>
    <w:rsid w:val="00E72EA2"/>
    <w:rsid w:val="00E72FEC"/>
    <w:rsid w:val="00E7356B"/>
    <w:rsid w:val="00E7384C"/>
    <w:rsid w:val="00E73B35"/>
    <w:rsid w:val="00E73ED2"/>
    <w:rsid w:val="00E740A0"/>
    <w:rsid w:val="00E7451D"/>
    <w:rsid w:val="00E74953"/>
    <w:rsid w:val="00E74CD5"/>
    <w:rsid w:val="00E74DE4"/>
    <w:rsid w:val="00E74E07"/>
    <w:rsid w:val="00E74EE5"/>
    <w:rsid w:val="00E75068"/>
    <w:rsid w:val="00E750E8"/>
    <w:rsid w:val="00E752A7"/>
    <w:rsid w:val="00E752BA"/>
    <w:rsid w:val="00E752EC"/>
    <w:rsid w:val="00E75586"/>
    <w:rsid w:val="00E755C0"/>
    <w:rsid w:val="00E756B7"/>
    <w:rsid w:val="00E756FE"/>
    <w:rsid w:val="00E75881"/>
    <w:rsid w:val="00E75901"/>
    <w:rsid w:val="00E75958"/>
    <w:rsid w:val="00E75988"/>
    <w:rsid w:val="00E75A34"/>
    <w:rsid w:val="00E75B03"/>
    <w:rsid w:val="00E75C1D"/>
    <w:rsid w:val="00E75D1B"/>
    <w:rsid w:val="00E75EB3"/>
    <w:rsid w:val="00E75FD2"/>
    <w:rsid w:val="00E76092"/>
    <w:rsid w:val="00E76306"/>
    <w:rsid w:val="00E76451"/>
    <w:rsid w:val="00E76507"/>
    <w:rsid w:val="00E769CD"/>
    <w:rsid w:val="00E7717E"/>
    <w:rsid w:val="00E7781F"/>
    <w:rsid w:val="00E779C8"/>
    <w:rsid w:val="00E77A90"/>
    <w:rsid w:val="00E77B4C"/>
    <w:rsid w:val="00E77BDC"/>
    <w:rsid w:val="00E77DCB"/>
    <w:rsid w:val="00E77E19"/>
    <w:rsid w:val="00E8002F"/>
    <w:rsid w:val="00E800A9"/>
    <w:rsid w:val="00E8011C"/>
    <w:rsid w:val="00E80203"/>
    <w:rsid w:val="00E80256"/>
    <w:rsid w:val="00E8065D"/>
    <w:rsid w:val="00E806A6"/>
    <w:rsid w:val="00E80BDB"/>
    <w:rsid w:val="00E80DE1"/>
    <w:rsid w:val="00E80E72"/>
    <w:rsid w:val="00E80FEB"/>
    <w:rsid w:val="00E81025"/>
    <w:rsid w:val="00E81032"/>
    <w:rsid w:val="00E81050"/>
    <w:rsid w:val="00E81100"/>
    <w:rsid w:val="00E81286"/>
    <w:rsid w:val="00E815C3"/>
    <w:rsid w:val="00E81710"/>
    <w:rsid w:val="00E81776"/>
    <w:rsid w:val="00E81D25"/>
    <w:rsid w:val="00E81EC7"/>
    <w:rsid w:val="00E820B9"/>
    <w:rsid w:val="00E82139"/>
    <w:rsid w:val="00E822EE"/>
    <w:rsid w:val="00E82324"/>
    <w:rsid w:val="00E824B7"/>
    <w:rsid w:val="00E8255C"/>
    <w:rsid w:val="00E8294E"/>
    <w:rsid w:val="00E8297F"/>
    <w:rsid w:val="00E82B30"/>
    <w:rsid w:val="00E82C77"/>
    <w:rsid w:val="00E82D10"/>
    <w:rsid w:val="00E82D7D"/>
    <w:rsid w:val="00E82E94"/>
    <w:rsid w:val="00E82FD6"/>
    <w:rsid w:val="00E830BA"/>
    <w:rsid w:val="00E831F7"/>
    <w:rsid w:val="00E8334E"/>
    <w:rsid w:val="00E83570"/>
    <w:rsid w:val="00E835F0"/>
    <w:rsid w:val="00E83600"/>
    <w:rsid w:val="00E836CA"/>
    <w:rsid w:val="00E836EE"/>
    <w:rsid w:val="00E83C09"/>
    <w:rsid w:val="00E84127"/>
    <w:rsid w:val="00E841D7"/>
    <w:rsid w:val="00E8437B"/>
    <w:rsid w:val="00E843C1"/>
    <w:rsid w:val="00E843E6"/>
    <w:rsid w:val="00E8462A"/>
    <w:rsid w:val="00E846FD"/>
    <w:rsid w:val="00E84863"/>
    <w:rsid w:val="00E849F9"/>
    <w:rsid w:val="00E84BE0"/>
    <w:rsid w:val="00E84C94"/>
    <w:rsid w:val="00E84E20"/>
    <w:rsid w:val="00E84E86"/>
    <w:rsid w:val="00E85119"/>
    <w:rsid w:val="00E85296"/>
    <w:rsid w:val="00E8543E"/>
    <w:rsid w:val="00E854A1"/>
    <w:rsid w:val="00E8567B"/>
    <w:rsid w:val="00E85686"/>
    <w:rsid w:val="00E8587D"/>
    <w:rsid w:val="00E8588B"/>
    <w:rsid w:val="00E858B7"/>
    <w:rsid w:val="00E85934"/>
    <w:rsid w:val="00E85B8B"/>
    <w:rsid w:val="00E85CC4"/>
    <w:rsid w:val="00E85EE5"/>
    <w:rsid w:val="00E85F2B"/>
    <w:rsid w:val="00E85FE9"/>
    <w:rsid w:val="00E86139"/>
    <w:rsid w:val="00E86183"/>
    <w:rsid w:val="00E8635A"/>
    <w:rsid w:val="00E8646B"/>
    <w:rsid w:val="00E864E0"/>
    <w:rsid w:val="00E86526"/>
    <w:rsid w:val="00E865C2"/>
    <w:rsid w:val="00E86737"/>
    <w:rsid w:val="00E867AD"/>
    <w:rsid w:val="00E86835"/>
    <w:rsid w:val="00E86A24"/>
    <w:rsid w:val="00E86BE4"/>
    <w:rsid w:val="00E86DCE"/>
    <w:rsid w:val="00E86F4A"/>
    <w:rsid w:val="00E86F97"/>
    <w:rsid w:val="00E8704E"/>
    <w:rsid w:val="00E8706E"/>
    <w:rsid w:val="00E870C6"/>
    <w:rsid w:val="00E8716C"/>
    <w:rsid w:val="00E871C6"/>
    <w:rsid w:val="00E872CC"/>
    <w:rsid w:val="00E8743D"/>
    <w:rsid w:val="00E8766A"/>
    <w:rsid w:val="00E87788"/>
    <w:rsid w:val="00E878B2"/>
    <w:rsid w:val="00E878FC"/>
    <w:rsid w:val="00E8797B"/>
    <w:rsid w:val="00E87B89"/>
    <w:rsid w:val="00E87C6F"/>
    <w:rsid w:val="00E87C7D"/>
    <w:rsid w:val="00E87D47"/>
    <w:rsid w:val="00E87EAE"/>
    <w:rsid w:val="00E87F3E"/>
    <w:rsid w:val="00E901D6"/>
    <w:rsid w:val="00E90254"/>
    <w:rsid w:val="00E90298"/>
    <w:rsid w:val="00E903E4"/>
    <w:rsid w:val="00E904F2"/>
    <w:rsid w:val="00E9053C"/>
    <w:rsid w:val="00E90941"/>
    <w:rsid w:val="00E9098D"/>
    <w:rsid w:val="00E90AB5"/>
    <w:rsid w:val="00E90C67"/>
    <w:rsid w:val="00E90D38"/>
    <w:rsid w:val="00E90DF4"/>
    <w:rsid w:val="00E90F58"/>
    <w:rsid w:val="00E910B1"/>
    <w:rsid w:val="00E9112A"/>
    <w:rsid w:val="00E91295"/>
    <w:rsid w:val="00E912EE"/>
    <w:rsid w:val="00E912FD"/>
    <w:rsid w:val="00E91509"/>
    <w:rsid w:val="00E916A8"/>
    <w:rsid w:val="00E918E5"/>
    <w:rsid w:val="00E91A00"/>
    <w:rsid w:val="00E91AF6"/>
    <w:rsid w:val="00E91B3F"/>
    <w:rsid w:val="00E91B7D"/>
    <w:rsid w:val="00E91BCA"/>
    <w:rsid w:val="00E91D27"/>
    <w:rsid w:val="00E91EA4"/>
    <w:rsid w:val="00E91F77"/>
    <w:rsid w:val="00E9201A"/>
    <w:rsid w:val="00E920A6"/>
    <w:rsid w:val="00E920FE"/>
    <w:rsid w:val="00E92171"/>
    <w:rsid w:val="00E92182"/>
    <w:rsid w:val="00E92294"/>
    <w:rsid w:val="00E9247C"/>
    <w:rsid w:val="00E925B1"/>
    <w:rsid w:val="00E92A06"/>
    <w:rsid w:val="00E92B02"/>
    <w:rsid w:val="00E92C3D"/>
    <w:rsid w:val="00E92D1F"/>
    <w:rsid w:val="00E92E25"/>
    <w:rsid w:val="00E92EA0"/>
    <w:rsid w:val="00E93000"/>
    <w:rsid w:val="00E93011"/>
    <w:rsid w:val="00E930F9"/>
    <w:rsid w:val="00E932C6"/>
    <w:rsid w:val="00E9342E"/>
    <w:rsid w:val="00E9354C"/>
    <w:rsid w:val="00E936D2"/>
    <w:rsid w:val="00E937EF"/>
    <w:rsid w:val="00E93817"/>
    <w:rsid w:val="00E938B7"/>
    <w:rsid w:val="00E9392D"/>
    <w:rsid w:val="00E939EF"/>
    <w:rsid w:val="00E93AEF"/>
    <w:rsid w:val="00E93CD3"/>
    <w:rsid w:val="00E93E3D"/>
    <w:rsid w:val="00E93E42"/>
    <w:rsid w:val="00E941A2"/>
    <w:rsid w:val="00E94F56"/>
    <w:rsid w:val="00E9516B"/>
    <w:rsid w:val="00E95525"/>
    <w:rsid w:val="00E958F9"/>
    <w:rsid w:val="00E95D36"/>
    <w:rsid w:val="00E960E3"/>
    <w:rsid w:val="00E96323"/>
    <w:rsid w:val="00E96350"/>
    <w:rsid w:val="00E96372"/>
    <w:rsid w:val="00E96443"/>
    <w:rsid w:val="00E966F3"/>
    <w:rsid w:val="00E96853"/>
    <w:rsid w:val="00E96A47"/>
    <w:rsid w:val="00E96BC1"/>
    <w:rsid w:val="00E96D85"/>
    <w:rsid w:val="00E96EE1"/>
    <w:rsid w:val="00E96F9A"/>
    <w:rsid w:val="00E97478"/>
    <w:rsid w:val="00E974E6"/>
    <w:rsid w:val="00E9765F"/>
    <w:rsid w:val="00E97880"/>
    <w:rsid w:val="00E978A6"/>
    <w:rsid w:val="00E978DF"/>
    <w:rsid w:val="00E97D95"/>
    <w:rsid w:val="00E97DF7"/>
    <w:rsid w:val="00E97F2D"/>
    <w:rsid w:val="00E97FD9"/>
    <w:rsid w:val="00EA004E"/>
    <w:rsid w:val="00EA026D"/>
    <w:rsid w:val="00EA02A9"/>
    <w:rsid w:val="00EA02E4"/>
    <w:rsid w:val="00EA04A4"/>
    <w:rsid w:val="00EA06CA"/>
    <w:rsid w:val="00EA0885"/>
    <w:rsid w:val="00EA09C5"/>
    <w:rsid w:val="00EA0B13"/>
    <w:rsid w:val="00EA0B46"/>
    <w:rsid w:val="00EA0C72"/>
    <w:rsid w:val="00EA0C81"/>
    <w:rsid w:val="00EA0F91"/>
    <w:rsid w:val="00EA0FAD"/>
    <w:rsid w:val="00EA0FED"/>
    <w:rsid w:val="00EA1559"/>
    <w:rsid w:val="00EA1642"/>
    <w:rsid w:val="00EA19CF"/>
    <w:rsid w:val="00EA1BBA"/>
    <w:rsid w:val="00EA1C08"/>
    <w:rsid w:val="00EA1C62"/>
    <w:rsid w:val="00EA1CF6"/>
    <w:rsid w:val="00EA2133"/>
    <w:rsid w:val="00EA227D"/>
    <w:rsid w:val="00EA244C"/>
    <w:rsid w:val="00EA24A0"/>
    <w:rsid w:val="00EA2544"/>
    <w:rsid w:val="00EA2880"/>
    <w:rsid w:val="00EA28E7"/>
    <w:rsid w:val="00EA29DF"/>
    <w:rsid w:val="00EA2B52"/>
    <w:rsid w:val="00EA2B5F"/>
    <w:rsid w:val="00EA2BC9"/>
    <w:rsid w:val="00EA2C01"/>
    <w:rsid w:val="00EA2CBC"/>
    <w:rsid w:val="00EA2CD9"/>
    <w:rsid w:val="00EA317E"/>
    <w:rsid w:val="00EA31EB"/>
    <w:rsid w:val="00EA341E"/>
    <w:rsid w:val="00EA34A5"/>
    <w:rsid w:val="00EA34D9"/>
    <w:rsid w:val="00EA35B0"/>
    <w:rsid w:val="00EA3628"/>
    <w:rsid w:val="00EA3670"/>
    <w:rsid w:val="00EA3713"/>
    <w:rsid w:val="00EA3840"/>
    <w:rsid w:val="00EA38F5"/>
    <w:rsid w:val="00EA392A"/>
    <w:rsid w:val="00EA39A4"/>
    <w:rsid w:val="00EA3D8F"/>
    <w:rsid w:val="00EA3DA6"/>
    <w:rsid w:val="00EA3E20"/>
    <w:rsid w:val="00EA3ED9"/>
    <w:rsid w:val="00EA41E8"/>
    <w:rsid w:val="00EA43E6"/>
    <w:rsid w:val="00EA455E"/>
    <w:rsid w:val="00EA473A"/>
    <w:rsid w:val="00EA4824"/>
    <w:rsid w:val="00EA4898"/>
    <w:rsid w:val="00EA4985"/>
    <w:rsid w:val="00EA4A67"/>
    <w:rsid w:val="00EA4B83"/>
    <w:rsid w:val="00EA4B91"/>
    <w:rsid w:val="00EA4B9E"/>
    <w:rsid w:val="00EA4BF7"/>
    <w:rsid w:val="00EA4C4B"/>
    <w:rsid w:val="00EA4D94"/>
    <w:rsid w:val="00EA4F77"/>
    <w:rsid w:val="00EA5197"/>
    <w:rsid w:val="00EA51DF"/>
    <w:rsid w:val="00EA5233"/>
    <w:rsid w:val="00EA529D"/>
    <w:rsid w:val="00EA5306"/>
    <w:rsid w:val="00EA53CD"/>
    <w:rsid w:val="00EA5732"/>
    <w:rsid w:val="00EA58C3"/>
    <w:rsid w:val="00EA58FF"/>
    <w:rsid w:val="00EA597C"/>
    <w:rsid w:val="00EA5997"/>
    <w:rsid w:val="00EA5C2C"/>
    <w:rsid w:val="00EA5FDC"/>
    <w:rsid w:val="00EA5FF5"/>
    <w:rsid w:val="00EA6CE4"/>
    <w:rsid w:val="00EA6DD8"/>
    <w:rsid w:val="00EA6EE0"/>
    <w:rsid w:val="00EA7025"/>
    <w:rsid w:val="00EA70CD"/>
    <w:rsid w:val="00EA7179"/>
    <w:rsid w:val="00EA7284"/>
    <w:rsid w:val="00EA73AC"/>
    <w:rsid w:val="00EA7600"/>
    <w:rsid w:val="00EA7636"/>
    <w:rsid w:val="00EA78B3"/>
    <w:rsid w:val="00EA793B"/>
    <w:rsid w:val="00EA7AE1"/>
    <w:rsid w:val="00EA7BBF"/>
    <w:rsid w:val="00EB023A"/>
    <w:rsid w:val="00EB0296"/>
    <w:rsid w:val="00EB0346"/>
    <w:rsid w:val="00EB03E3"/>
    <w:rsid w:val="00EB067B"/>
    <w:rsid w:val="00EB072A"/>
    <w:rsid w:val="00EB08F1"/>
    <w:rsid w:val="00EB0A8E"/>
    <w:rsid w:val="00EB0AAC"/>
    <w:rsid w:val="00EB0BC4"/>
    <w:rsid w:val="00EB0C29"/>
    <w:rsid w:val="00EB0CE7"/>
    <w:rsid w:val="00EB0D4F"/>
    <w:rsid w:val="00EB108E"/>
    <w:rsid w:val="00EB1289"/>
    <w:rsid w:val="00EB178D"/>
    <w:rsid w:val="00EB1853"/>
    <w:rsid w:val="00EB18E4"/>
    <w:rsid w:val="00EB19BB"/>
    <w:rsid w:val="00EB19BD"/>
    <w:rsid w:val="00EB1A06"/>
    <w:rsid w:val="00EB1ACD"/>
    <w:rsid w:val="00EB1AEA"/>
    <w:rsid w:val="00EB1BB2"/>
    <w:rsid w:val="00EB1ECC"/>
    <w:rsid w:val="00EB1EE7"/>
    <w:rsid w:val="00EB1FBF"/>
    <w:rsid w:val="00EB2240"/>
    <w:rsid w:val="00EB23BB"/>
    <w:rsid w:val="00EB25FB"/>
    <w:rsid w:val="00EB26C5"/>
    <w:rsid w:val="00EB28FC"/>
    <w:rsid w:val="00EB2966"/>
    <w:rsid w:val="00EB29AC"/>
    <w:rsid w:val="00EB29E4"/>
    <w:rsid w:val="00EB2A6C"/>
    <w:rsid w:val="00EB2B17"/>
    <w:rsid w:val="00EB2CEF"/>
    <w:rsid w:val="00EB2D05"/>
    <w:rsid w:val="00EB2E7E"/>
    <w:rsid w:val="00EB2EC9"/>
    <w:rsid w:val="00EB2EE3"/>
    <w:rsid w:val="00EB2F2E"/>
    <w:rsid w:val="00EB2FF1"/>
    <w:rsid w:val="00EB32D7"/>
    <w:rsid w:val="00EB3471"/>
    <w:rsid w:val="00EB353B"/>
    <w:rsid w:val="00EB363C"/>
    <w:rsid w:val="00EB3675"/>
    <w:rsid w:val="00EB3AC2"/>
    <w:rsid w:val="00EB3BFD"/>
    <w:rsid w:val="00EB3D96"/>
    <w:rsid w:val="00EB3F0E"/>
    <w:rsid w:val="00EB402A"/>
    <w:rsid w:val="00EB402B"/>
    <w:rsid w:val="00EB4050"/>
    <w:rsid w:val="00EB4145"/>
    <w:rsid w:val="00EB4259"/>
    <w:rsid w:val="00EB431B"/>
    <w:rsid w:val="00EB4481"/>
    <w:rsid w:val="00EB46BC"/>
    <w:rsid w:val="00EB473A"/>
    <w:rsid w:val="00EB4B26"/>
    <w:rsid w:val="00EB4E69"/>
    <w:rsid w:val="00EB4ECC"/>
    <w:rsid w:val="00EB4EE4"/>
    <w:rsid w:val="00EB505B"/>
    <w:rsid w:val="00EB50D7"/>
    <w:rsid w:val="00EB5778"/>
    <w:rsid w:val="00EB5A62"/>
    <w:rsid w:val="00EB5B89"/>
    <w:rsid w:val="00EB5B94"/>
    <w:rsid w:val="00EB5BBC"/>
    <w:rsid w:val="00EB5F63"/>
    <w:rsid w:val="00EB5F72"/>
    <w:rsid w:val="00EB60A4"/>
    <w:rsid w:val="00EB62B7"/>
    <w:rsid w:val="00EB63AE"/>
    <w:rsid w:val="00EB6751"/>
    <w:rsid w:val="00EB67D5"/>
    <w:rsid w:val="00EB6B75"/>
    <w:rsid w:val="00EB6BD9"/>
    <w:rsid w:val="00EB6C12"/>
    <w:rsid w:val="00EB6FBB"/>
    <w:rsid w:val="00EB6FEC"/>
    <w:rsid w:val="00EB75E1"/>
    <w:rsid w:val="00EB77C2"/>
    <w:rsid w:val="00EB7870"/>
    <w:rsid w:val="00EB7C2F"/>
    <w:rsid w:val="00EB7D65"/>
    <w:rsid w:val="00EC0255"/>
    <w:rsid w:val="00EC045B"/>
    <w:rsid w:val="00EC0876"/>
    <w:rsid w:val="00EC088C"/>
    <w:rsid w:val="00EC09A8"/>
    <w:rsid w:val="00EC0A52"/>
    <w:rsid w:val="00EC0BA9"/>
    <w:rsid w:val="00EC0E45"/>
    <w:rsid w:val="00EC0F12"/>
    <w:rsid w:val="00EC0F16"/>
    <w:rsid w:val="00EC0FE7"/>
    <w:rsid w:val="00EC10E0"/>
    <w:rsid w:val="00EC12C5"/>
    <w:rsid w:val="00EC1359"/>
    <w:rsid w:val="00EC1384"/>
    <w:rsid w:val="00EC144C"/>
    <w:rsid w:val="00EC172A"/>
    <w:rsid w:val="00EC1854"/>
    <w:rsid w:val="00EC186F"/>
    <w:rsid w:val="00EC18AC"/>
    <w:rsid w:val="00EC1A7C"/>
    <w:rsid w:val="00EC1B48"/>
    <w:rsid w:val="00EC1C08"/>
    <w:rsid w:val="00EC1C13"/>
    <w:rsid w:val="00EC1F4A"/>
    <w:rsid w:val="00EC2131"/>
    <w:rsid w:val="00EC21D8"/>
    <w:rsid w:val="00EC2423"/>
    <w:rsid w:val="00EC2548"/>
    <w:rsid w:val="00EC259D"/>
    <w:rsid w:val="00EC269A"/>
    <w:rsid w:val="00EC272E"/>
    <w:rsid w:val="00EC281D"/>
    <w:rsid w:val="00EC2855"/>
    <w:rsid w:val="00EC2886"/>
    <w:rsid w:val="00EC29CC"/>
    <w:rsid w:val="00EC2A8A"/>
    <w:rsid w:val="00EC2CAB"/>
    <w:rsid w:val="00EC309B"/>
    <w:rsid w:val="00EC3107"/>
    <w:rsid w:val="00EC3348"/>
    <w:rsid w:val="00EC36E0"/>
    <w:rsid w:val="00EC3864"/>
    <w:rsid w:val="00EC386D"/>
    <w:rsid w:val="00EC3A9E"/>
    <w:rsid w:val="00EC4248"/>
    <w:rsid w:val="00EC432F"/>
    <w:rsid w:val="00EC4386"/>
    <w:rsid w:val="00EC4434"/>
    <w:rsid w:val="00EC4484"/>
    <w:rsid w:val="00EC466B"/>
    <w:rsid w:val="00EC4678"/>
    <w:rsid w:val="00EC4684"/>
    <w:rsid w:val="00EC46D9"/>
    <w:rsid w:val="00EC4A41"/>
    <w:rsid w:val="00EC4A42"/>
    <w:rsid w:val="00EC4B3E"/>
    <w:rsid w:val="00EC4E83"/>
    <w:rsid w:val="00EC4F0C"/>
    <w:rsid w:val="00EC5068"/>
    <w:rsid w:val="00EC520A"/>
    <w:rsid w:val="00EC52DD"/>
    <w:rsid w:val="00EC5924"/>
    <w:rsid w:val="00EC59A1"/>
    <w:rsid w:val="00EC5A93"/>
    <w:rsid w:val="00EC5B64"/>
    <w:rsid w:val="00EC600E"/>
    <w:rsid w:val="00EC654C"/>
    <w:rsid w:val="00EC6648"/>
    <w:rsid w:val="00EC66B1"/>
    <w:rsid w:val="00EC6932"/>
    <w:rsid w:val="00EC698A"/>
    <w:rsid w:val="00EC6A25"/>
    <w:rsid w:val="00EC6E37"/>
    <w:rsid w:val="00EC6E51"/>
    <w:rsid w:val="00EC6FDF"/>
    <w:rsid w:val="00EC72CF"/>
    <w:rsid w:val="00EC74AB"/>
    <w:rsid w:val="00EC74C8"/>
    <w:rsid w:val="00EC75DC"/>
    <w:rsid w:val="00EC76AD"/>
    <w:rsid w:val="00EC7749"/>
    <w:rsid w:val="00EC7E58"/>
    <w:rsid w:val="00ED0052"/>
    <w:rsid w:val="00ED01CB"/>
    <w:rsid w:val="00ED01F4"/>
    <w:rsid w:val="00ED04C6"/>
    <w:rsid w:val="00ED0553"/>
    <w:rsid w:val="00ED0702"/>
    <w:rsid w:val="00ED0888"/>
    <w:rsid w:val="00ED0976"/>
    <w:rsid w:val="00ED0F0B"/>
    <w:rsid w:val="00ED0FF2"/>
    <w:rsid w:val="00ED1394"/>
    <w:rsid w:val="00ED14F6"/>
    <w:rsid w:val="00ED17DF"/>
    <w:rsid w:val="00ED19A5"/>
    <w:rsid w:val="00ED1BFA"/>
    <w:rsid w:val="00ED1CD9"/>
    <w:rsid w:val="00ED1DD5"/>
    <w:rsid w:val="00ED1F40"/>
    <w:rsid w:val="00ED2063"/>
    <w:rsid w:val="00ED2140"/>
    <w:rsid w:val="00ED2218"/>
    <w:rsid w:val="00ED2524"/>
    <w:rsid w:val="00ED270C"/>
    <w:rsid w:val="00ED27BD"/>
    <w:rsid w:val="00ED29E9"/>
    <w:rsid w:val="00ED2A78"/>
    <w:rsid w:val="00ED2B5A"/>
    <w:rsid w:val="00ED2BA4"/>
    <w:rsid w:val="00ED2BEE"/>
    <w:rsid w:val="00ED2C57"/>
    <w:rsid w:val="00ED2D03"/>
    <w:rsid w:val="00ED2F7C"/>
    <w:rsid w:val="00ED3263"/>
    <w:rsid w:val="00ED3439"/>
    <w:rsid w:val="00ED34D7"/>
    <w:rsid w:val="00ED355F"/>
    <w:rsid w:val="00ED3883"/>
    <w:rsid w:val="00ED3900"/>
    <w:rsid w:val="00ED3B36"/>
    <w:rsid w:val="00ED3B82"/>
    <w:rsid w:val="00ED3B9D"/>
    <w:rsid w:val="00ED3BA8"/>
    <w:rsid w:val="00ED3D1A"/>
    <w:rsid w:val="00ED4116"/>
    <w:rsid w:val="00ED41A0"/>
    <w:rsid w:val="00ED41E1"/>
    <w:rsid w:val="00ED465D"/>
    <w:rsid w:val="00ED4AB0"/>
    <w:rsid w:val="00ED4DD7"/>
    <w:rsid w:val="00ED4E85"/>
    <w:rsid w:val="00ED53F2"/>
    <w:rsid w:val="00ED548A"/>
    <w:rsid w:val="00ED56ED"/>
    <w:rsid w:val="00ED58BD"/>
    <w:rsid w:val="00ED5A36"/>
    <w:rsid w:val="00ED5BA1"/>
    <w:rsid w:val="00ED5D4B"/>
    <w:rsid w:val="00ED5F71"/>
    <w:rsid w:val="00ED5F90"/>
    <w:rsid w:val="00ED6268"/>
    <w:rsid w:val="00ED6293"/>
    <w:rsid w:val="00ED64DF"/>
    <w:rsid w:val="00ED64EB"/>
    <w:rsid w:val="00ED69D8"/>
    <w:rsid w:val="00ED69FA"/>
    <w:rsid w:val="00ED6B4C"/>
    <w:rsid w:val="00ED6DAA"/>
    <w:rsid w:val="00ED73AE"/>
    <w:rsid w:val="00ED741A"/>
    <w:rsid w:val="00ED7560"/>
    <w:rsid w:val="00ED76B9"/>
    <w:rsid w:val="00ED787F"/>
    <w:rsid w:val="00ED7A3A"/>
    <w:rsid w:val="00ED7BD0"/>
    <w:rsid w:val="00EE0054"/>
    <w:rsid w:val="00EE0541"/>
    <w:rsid w:val="00EE0705"/>
    <w:rsid w:val="00EE0843"/>
    <w:rsid w:val="00EE0ABC"/>
    <w:rsid w:val="00EE0AF6"/>
    <w:rsid w:val="00EE0BBB"/>
    <w:rsid w:val="00EE0BF4"/>
    <w:rsid w:val="00EE0CD2"/>
    <w:rsid w:val="00EE0CDE"/>
    <w:rsid w:val="00EE0DA2"/>
    <w:rsid w:val="00EE0E0A"/>
    <w:rsid w:val="00EE0EBE"/>
    <w:rsid w:val="00EE0F42"/>
    <w:rsid w:val="00EE1353"/>
    <w:rsid w:val="00EE175E"/>
    <w:rsid w:val="00EE18A7"/>
    <w:rsid w:val="00EE195A"/>
    <w:rsid w:val="00EE19FB"/>
    <w:rsid w:val="00EE1A85"/>
    <w:rsid w:val="00EE1AD2"/>
    <w:rsid w:val="00EE1ADF"/>
    <w:rsid w:val="00EE1CFC"/>
    <w:rsid w:val="00EE1E04"/>
    <w:rsid w:val="00EE1F57"/>
    <w:rsid w:val="00EE2091"/>
    <w:rsid w:val="00EE2242"/>
    <w:rsid w:val="00EE2541"/>
    <w:rsid w:val="00EE2651"/>
    <w:rsid w:val="00EE275A"/>
    <w:rsid w:val="00EE2BD1"/>
    <w:rsid w:val="00EE2D57"/>
    <w:rsid w:val="00EE2DE0"/>
    <w:rsid w:val="00EE300B"/>
    <w:rsid w:val="00EE30C2"/>
    <w:rsid w:val="00EE3159"/>
    <w:rsid w:val="00EE329D"/>
    <w:rsid w:val="00EE35C5"/>
    <w:rsid w:val="00EE360D"/>
    <w:rsid w:val="00EE3755"/>
    <w:rsid w:val="00EE3881"/>
    <w:rsid w:val="00EE39F1"/>
    <w:rsid w:val="00EE3A19"/>
    <w:rsid w:val="00EE3B2B"/>
    <w:rsid w:val="00EE3C69"/>
    <w:rsid w:val="00EE3D20"/>
    <w:rsid w:val="00EE425D"/>
    <w:rsid w:val="00EE46BC"/>
    <w:rsid w:val="00EE46C9"/>
    <w:rsid w:val="00EE4B52"/>
    <w:rsid w:val="00EE4C65"/>
    <w:rsid w:val="00EE4ECE"/>
    <w:rsid w:val="00EE4FE9"/>
    <w:rsid w:val="00EE534B"/>
    <w:rsid w:val="00EE5444"/>
    <w:rsid w:val="00EE55BD"/>
    <w:rsid w:val="00EE561A"/>
    <w:rsid w:val="00EE5686"/>
    <w:rsid w:val="00EE5DBB"/>
    <w:rsid w:val="00EE5DD3"/>
    <w:rsid w:val="00EE5E3F"/>
    <w:rsid w:val="00EE5F71"/>
    <w:rsid w:val="00EE5FEC"/>
    <w:rsid w:val="00EE603B"/>
    <w:rsid w:val="00EE6162"/>
    <w:rsid w:val="00EE6242"/>
    <w:rsid w:val="00EE64CD"/>
    <w:rsid w:val="00EE64F6"/>
    <w:rsid w:val="00EE65C2"/>
    <w:rsid w:val="00EE65DD"/>
    <w:rsid w:val="00EE66A6"/>
    <w:rsid w:val="00EE68D5"/>
    <w:rsid w:val="00EE692C"/>
    <w:rsid w:val="00EE695C"/>
    <w:rsid w:val="00EE69F7"/>
    <w:rsid w:val="00EE6A5B"/>
    <w:rsid w:val="00EE6C39"/>
    <w:rsid w:val="00EE6EBD"/>
    <w:rsid w:val="00EE7116"/>
    <w:rsid w:val="00EE71E0"/>
    <w:rsid w:val="00EE750D"/>
    <w:rsid w:val="00EE7BA2"/>
    <w:rsid w:val="00EE7C5C"/>
    <w:rsid w:val="00EE7F95"/>
    <w:rsid w:val="00EF015A"/>
    <w:rsid w:val="00EF0672"/>
    <w:rsid w:val="00EF082A"/>
    <w:rsid w:val="00EF0A5F"/>
    <w:rsid w:val="00EF0AC3"/>
    <w:rsid w:val="00EF0B15"/>
    <w:rsid w:val="00EF0D06"/>
    <w:rsid w:val="00EF0D0E"/>
    <w:rsid w:val="00EF0D78"/>
    <w:rsid w:val="00EF0F62"/>
    <w:rsid w:val="00EF0F77"/>
    <w:rsid w:val="00EF0F9D"/>
    <w:rsid w:val="00EF1295"/>
    <w:rsid w:val="00EF1769"/>
    <w:rsid w:val="00EF1AB4"/>
    <w:rsid w:val="00EF1B6D"/>
    <w:rsid w:val="00EF1BBB"/>
    <w:rsid w:val="00EF1D87"/>
    <w:rsid w:val="00EF1F2F"/>
    <w:rsid w:val="00EF222B"/>
    <w:rsid w:val="00EF2412"/>
    <w:rsid w:val="00EF250B"/>
    <w:rsid w:val="00EF257B"/>
    <w:rsid w:val="00EF262F"/>
    <w:rsid w:val="00EF27DD"/>
    <w:rsid w:val="00EF27DE"/>
    <w:rsid w:val="00EF2840"/>
    <w:rsid w:val="00EF2AA0"/>
    <w:rsid w:val="00EF2AB7"/>
    <w:rsid w:val="00EF2C3F"/>
    <w:rsid w:val="00EF2CD9"/>
    <w:rsid w:val="00EF2D3B"/>
    <w:rsid w:val="00EF2D5A"/>
    <w:rsid w:val="00EF2D8A"/>
    <w:rsid w:val="00EF2E86"/>
    <w:rsid w:val="00EF3001"/>
    <w:rsid w:val="00EF3035"/>
    <w:rsid w:val="00EF33E6"/>
    <w:rsid w:val="00EF3453"/>
    <w:rsid w:val="00EF34C3"/>
    <w:rsid w:val="00EF37AA"/>
    <w:rsid w:val="00EF37C0"/>
    <w:rsid w:val="00EF380E"/>
    <w:rsid w:val="00EF3823"/>
    <w:rsid w:val="00EF3901"/>
    <w:rsid w:val="00EF3A26"/>
    <w:rsid w:val="00EF3A4D"/>
    <w:rsid w:val="00EF3DAA"/>
    <w:rsid w:val="00EF3E80"/>
    <w:rsid w:val="00EF3F05"/>
    <w:rsid w:val="00EF401B"/>
    <w:rsid w:val="00EF4100"/>
    <w:rsid w:val="00EF4190"/>
    <w:rsid w:val="00EF433B"/>
    <w:rsid w:val="00EF44F2"/>
    <w:rsid w:val="00EF44FD"/>
    <w:rsid w:val="00EF4672"/>
    <w:rsid w:val="00EF4725"/>
    <w:rsid w:val="00EF4835"/>
    <w:rsid w:val="00EF48AB"/>
    <w:rsid w:val="00EF4C0B"/>
    <w:rsid w:val="00EF4CE8"/>
    <w:rsid w:val="00EF4D32"/>
    <w:rsid w:val="00EF4E80"/>
    <w:rsid w:val="00EF4E8E"/>
    <w:rsid w:val="00EF5179"/>
    <w:rsid w:val="00EF51BC"/>
    <w:rsid w:val="00EF5345"/>
    <w:rsid w:val="00EF55C5"/>
    <w:rsid w:val="00EF5795"/>
    <w:rsid w:val="00EF58FA"/>
    <w:rsid w:val="00EF5941"/>
    <w:rsid w:val="00EF5D99"/>
    <w:rsid w:val="00EF5F8B"/>
    <w:rsid w:val="00EF61FC"/>
    <w:rsid w:val="00EF63B9"/>
    <w:rsid w:val="00EF6A07"/>
    <w:rsid w:val="00EF6AD0"/>
    <w:rsid w:val="00EF7148"/>
    <w:rsid w:val="00EF7496"/>
    <w:rsid w:val="00EF7796"/>
    <w:rsid w:val="00EF78F8"/>
    <w:rsid w:val="00EF7B60"/>
    <w:rsid w:val="00EF7EB0"/>
    <w:rsid w:val="00F000E9"/>
    <w:rsid w:val="00F001CE"/>
    <w:rsid w:val="00F00396"/>
    <w:rsid w:val="00F0070E"/>
    <w:rsid w:val="00F00762"/>
    <w:rsid w:val="00F00886"/>
    <w:rsid w:val="00F008B1"/>
    <w:rsid w:val="00F009C4"/>
    <w:rsid w:val="00F00B7E"/>
    <w:rsid w:val="00F00BC5"/>
    <w:rsid w:val="00F00CB9"/>
    <w:rsid w:val="00F00D00"/>
    <w:rsid w:val="00F00D34"/>
    <w:rsid w:val="00F00E96"/>
    <w:rsid w:val="00F00EF2"/>
    <w:rsid w:val="00F00F33"/>
    <w:rsid w:val="00F00FBC"/>
    <w:rsid w:val="00F0110C"/>
    <w:rsid w:val="00F012A0"/>
    <w:rsid w:val="00F01361"/>
    <w:rsid w:val="00F01523"/>
    <w:rsid w:val="00F017D6"/>
    <w:rsid w:val="00F01FF6"/>
    <w:rsid w:val="00F01FFF"/>
    <w:rsid w:val="00F020BE"/>
    <w:rsid w:val="00F023D3"/>
    <w:rsid w:val="00F02B37"/>
    <w:rsid w:val="00F02BAC"/>
    <w:rsid w:val="00F02DD0"/>
    <w:rsid w:val="00F02F9E"/>
    <w:rsid w:val="00F02FEE"/>
    <w:rsid w:val="00F0314D"/>
    <w:rsid w:val="00F03241"/>
    <w:rsid w:val="00F0368E"/>
    <w:rsid w:val="00F03758"/>
    <w:rsid w:val="00F037D7"/>
    <w:rsid w:val="00F039D3"/>
    <w:rsid w:val="00F03A32"/>
    <w:rsid w:val="00F03A54"/>
    <w:rsid w:val="00F03AEC"/>
    <w:rsid w:val="00F03E1C"/>
    <w:rsid w:val="00F03FB3"/>
    <w:rsid w:val="00F04017"/>
    <w:rsid w:val="00F040A2"/>
    <w:rsid w:val="00F041E2"/>
    <w:rsid w:val="00F0427C"/>
    <w:rsid w:val="00F0428E"/>
    <w:rsid w:val="00F042B8"/>
    <w:rsid w:val="00F044CF"/>
    <w:rsid w:val="00F04624"/>
    <w:rsid w:val="00F0479A"/>
    <w:rsid w:val="00F04854"/>
    <w:rsid w:val="00F04A36"/>
    <w:rsid w:val="00F04B45"/>
    <w:rsid w:val="00F04B96"/>
    <w:rsid w:val="00F04BC5"/>
    <w:rsid w:val="00F04CB8"/>
    <w:rsid w:val="00F04EFF"/>
    <w:rsid w:val="00F04F96"/>
    <w:rsid w:val="00F0508D"/>
    <w:rsid w:val="00F05240"/>
    <w:rsid w:val="00F05296"/>
    <w:rsid w:val="00F0537F"/>
    <w:rsid w:val="00F055B4"/>
    <w:rsid w:val="00F05B82"/>
    <w:rsid w:val="00F05BEA"/>
    <w:rsid w:val="00F05CDE"/>
    <w:rsid w:val="00F05D3D"/>
    <w:rsid w:val="00F05DCE"/>
    <w:rsid w:val="00F06503"/>
    <w:rsid w:val="00F06630"/>
    <w:rsid w:val="00F0664D"/>
    <w:rsid w:val="00F067F4"/>
    <w:rsid w:val="00F0692C"/>
    <w:rsid w:val="00F0695B"/>
    <w:rsid w:val="00F06A13"/>
    <w:rsid w:val="00F06B5D"/>
    <w:rsid w:val="00F06BE2"/>
    <w:rsid w:val="00F06DA0"/>
    <w:rsid w:val="00F06DCC"/>
    <w:rsid w:val="00F06E0B"/>
    <w:rsid w:val="00F06E11"/>
    <w:rsid w:val="00F071F7"/>
    <w:rsid w:val="00F072A1"/>
    <w:rsid w:val="00F073AA"/>
    <w:rsid w:val="00F074DE"/>
    <w:rsid w:val="00F0788E"/>
    <w:rsid w:val="00F07C08"/>
    <w:rsid w:val="00F07C65"/>
    <w:rsid w:val="00F07F1B"/>
    <w:rsid w:val="00F10299"/>
    <w:rsid w:val="00F103F2"/>
    <w:rsid w:val="00F10404"/>
    <w:rsid w:val="00F1044E"/>
    <w:rsid w:val="00F105A1"/>
    <w:rsid w:val="00F10686"/>
    <w:rsid w:val="00F106D4"/>
    <w:rsid w:val="00F107E1"/>
    <w:rsid w:val="00F10859"/>
    <w:rsid w:val="00F1090E"/>
    <w:rsid w:val="00F10C54"/>
    <w:rsid w:val="00F10C87"/>
    <w:rsid w:val="00F10CF2"/>
    <w:rsid w:val="00F10E44"/>
    <w:rsid w:val="00F10F05"/>
    <w:rsid w:val="00F11081"/>
    <w:rsid w:val="00F11185"/>
    <w:rsid w:val="00F1118E"/>
    <w:rsid w:val="00F11193"/>
    <w:rsid w:val="00F1121A"/>
    <w:rsid w:val="00F1134A"/>
    <w:rsid w:val="00F11355"/>
    <w:rsid w:val="00F11524"/>
    <w:rsid w:val="00F1187F"/>
    <w:rsid w:val="00F119D6"/>
    <w:rsid w:val="00F11B2B"/>
    <w:rsid w:val="00F11B31"/>
    <w:rsid w:val="00F11B52"/>
    <w:rsid w:val="00F11C4D"/>
    <w:rsid w:val="00F11C93"/>
    <w:rsid w:val="00F11CC9"/>
    <w:rsid w:val="00F11EFA"/>
    <w:rsid w:val="00F120DF"/>
    <w:rsid w:val="00F1226B"/>
    <w:rsid w:val="00F12659"/>
    <w:rsid w:val="00F1292C"/>
    <w:rsid w:val="00F12A4F"/>
    <w:rsid w:val="00F12A5B"/>
    <w:rsid w:val="00F12CB5"/>
    <w:rsid w:val="00F12FF7"/>
    <w:rsid w:val="00F13264"/>
    <w:rsid w:val="00F135E0"/>
    <w:rsid w:val="00F13738"/>
    <w:rsid w:val="00F13744"/>
    <w:rsid w:val="00F13772"/>
    <w:rsid w:val="00F1382A"/>
    <w:rsid w:val="00F13BF9"/>
    <w:rsid w:val="00F13CF6"/>
    <w:rsid w:val="00F13D02"/>
    <w:rsid w:val="00F14043"/>
    <w:rsid w:val="00F140AD"/>
    <w:rsid w:val="00F14366"/>
    <w:rsid w:val="00F1478A"/>
    <w:rsid w:val="00F14836"/>
    <w:rsid w:val="00F148BB"/>
    <w:rsid w:val="00F148F6"/>
    <w:rsid w:val="00F14950"/>
    <w:rsid w:val="00F14BA1"/>
    <w:rsid w:val="00F15107"/>
    <w:rsid w:val="00F15248"/>
    <w:rsid w:val="00F15483"/>
    <w:rsid w:val="00F154C8"/>
    <w:rsid w:val="00F156C1"/>
    <w:rsid w:val="00F15908"/>
    <w:rsid w:val="00F15AB5"/>
    <w:rsid w:val="00F15C9E"/>
    <w:rsid w:val="00F15F32"/>
    <w:rsid w:val="00F15F91"/>
    <w:rsid w:val="00F16650"/>
    <w:rsid w:val="00F1676B"/>
    <w:rsid w:val="00F171B6"/>
    <w:rsid w:val="00F17365"/>
    <w:rsid w:val="00F17380"/>
    <w:rsid w:val="00F1749F"/>
    <w:rsid w:val="00F174A5"/>
    <w:rsid w:val="00F1758D"/>
    <w:rsid w:val="00F17D46"/>
    <w:rsid w:val="00F17E7D"/>
    <w:rsid w:val="00F17FCB"/>
    <w:rsid w:val="00F200D0"/>
    <w:rsid w:val="00F20115"/>
    <w:rsid w:val="00F20198"/>
    <w:rsid w:val="00F20237"/>
    <w:rsid w:val="00F202EF"/>
    <w:rsid w:val="00F20358"/>
    <w:rsid w:val="00F2051E"/>
    <w:rsid w:val="00F205A7"/>
    <w:rsid w:val="00F20962"/>
    <w:rsid w:val="00F209E3"/>
    <w:rsid w:val="00F20BE3"/>
    <w:rsid w:val="00F20CBF"/>
    <w:rsid w:val="00F20CCF"/>
    <w:rsid w:val="00F20D68"/>
    <w:rsid w:val="00F212F4"/>
    <w:rsid w:val="00F21425"/>
    <w:rsid w:val="00F214DA"/>
    <w:rsid w:val="00F2164F"/>
    <w:rsid w:val="00F21720"/>
    <w:rsid w:val="00F21BC6"/>
    <w:rsid w:val="00F224D3"/>
    <w:rsid w:val="00F22527"/>
    <w:rsid w:val="00F2265C"/>
    <w:rsid w:val="00F2297D"/>
    <w:rsid w:val="00F22F73"/>
    <w:rsid w:val="00F2301E"/>
    <w:rsid w:val="00F230AD"/>
    <w:rsid w:val="00F230B7"/>
    <w:rsid w:val="00F231DF"/>
    <w:rsid w:val="00F2354C"/>
    <w:rsid w:val="00F236D7"/>
    <w:rsid w:val="00F23823"/>
    <w:rsid w:val="00F2397B"/>
    <w:rsid w:val="00F23C3E"/>
    <w:rsid w:val="00F23C5B"/>
    <w:rsid w:val="00F23E47"/>
    <w:rsid w:val="00F23EBE"/>
    <w:rsid w:val="00F240DC"/>
    <w:rsid w:val="00F2410F"/>
    <w:rsid w:val="00F24205"/>
    <w:rsid w:val="00F2453B"/>
    <w:rsid w:val="00F247F1"/>
    <w:rsid w:val="00F24B63"/>
    <w:rsid w:val="00F24C2B"/>
    <w:rsid w:val="00F24CB6"/>
    <w:rsid w:val="00F24CDA"/>
    <w:rsid w:val="00F24CDC"/>
    <w:rsid w:val="00F24D34"/>
    <w:rsid w:val="00F24D63"/>
    <w:rsid w:val="00F24E64"/>
    <w:rsid w:val="00F24FB4"/>
    <w:rsid w:val="00F25195"/>
    <w:rsid w:val="00F251C0"/>
    <w:rsid w:val="00F25419"/>
    <w:rsid w:val="00F256C5"/>
    <w:rsid w:val="00F25A61"/>
    <w:rsid w:val="00F25AC9"/>
    <w:rsid w:val="00F25DFE"/>
    <w:rsid w:val="00F25E6D"/>
    <w:rsid w:val="00F2612B"/>
    <w:rsid w:val="00F26363"/>
    <w:rsid w:val="00F2666C"/>
    <w:rsid w:val="00F2676C"/>
    <w:rsid w:val="00F267BE"/>
    <w:rsid w:val="00F26809"/>
    <w:rsid w:val="00F26943"/>
    <w:rsid w:val="00F26AA1"/>
    <w:rsid w:val="00F26E59"/>
    <w:rsid w:val="00F26F22"/>
    <w:rsid w:val="00F26FD7"/>
    <w:rsid w:val="00F27217"/>
    <w:rsid w:val="00F27335"/>
    <w:rsid w:val="00F27402"/>
    <w:rsid w:val="00F274D9"/>
    <w:rsid w:val="00F2758D"/>
    <w:rsid w:val="00F27661"/>
    <w:rsid w:val="00F2767F"/>
    <w:rsid w:val="00F27768"/>
    <w:rsid w:val="00F277C8"/>
    <w:rsid w:val="00F278C0"/>
    <w:rsid w:val="00F27EA2"/>
    <w:rsid w:val="00F301AB"/>
    <w:rsid w:val="00F3078E"/>
    <w:rsid w:val="00F30904"/>
    <w:rsid w:val="00F30918"/>
    <w:rsid w:val="00F30A01"/>
    <w:rsid w:val="00F30D84"/>
    <w:rsid w:val="00F30E79"/>
    <w:rsid w:val="00F30E7D"/>
    <w:rsid w:val="00F30EC8"/>
    <w:rsid w:val="00F30EFB"/>
    <w:rsid w:val="00F31182"/>
    <w:rsid w:val="00F3121E"/>
    <w:rsid w:val="00F313D3"/>
    <w:rsid w:val="00F3144C"/>
    <w:rsid w:val="00F316E7"/>
    <w:rsid w:val="00F31978"/>
    <w:rsid w:val="00F319E7"/>
    <w:rsid w:val="00F31AB3"/>
    <w:rsid w:val="00F31E9E"/>
    <w:rsid w:val="00F32212"/>
    <w:rsid w:val="00F3223B"/>
    <w:rsid w:val="00F3227F"/>
    <w:rsid w:val="00F323E2"/>
    <w:rsid w:val="00F3244D"/>
    <w:rsid w:val="00F32709"/>
    <w:rsid w:val="00F3270D"/>
    <w:rsid w:val="00F327EC"/>
    <w:rsid w:val="00F328B7"/>
    <w:rsid w:val="00F328F1"/>
    <w:rsid w:val="00F32A64"/>
    <w:rsid w:val="00F32D16"/>
    <w:rsid w:val="00F32DD1"/>
    <w:rsid w:val="00F32EBE"/>
    <w:rsid w:val="00F3317F"/>
    <w:rsid w:val="00F3329F"/>
    <w:rsid w:val="00F332A2"/>
    <w:rsid w:val="00F333C9"/>
    <w:rsid w:val="00F33500"/>
    <w:rsid w:val="00F33565"/>
    <w:rsid w:val="00F33674"/>
    <w:rsid w:val="00F336F4"/>
    <w:rsid w:val="00F33712"/>
    <w:rsid w:val="00F3371F"/>
    <w:rsid w:val="00F339EE"/>
    <w:rsid w:val="00F33BF7"/>
    <w:rsid w:val="00F33D9B"/>
    <w:rsid w:val="00F34029"/>
    <w:rsid w:val="00F3448C"/>
    <w:rsid w:val="00F345D0"/>
    <w:rsid w:val="00F34610"/>
    <w:rsid w:val="00F347DD"/>
    <w:rsid w:val="00F348ED"/>
    <w:rsid w:val="00F3490C"/>
    <w:rsid w:val="00F34EB1"/>
    <w:rsid w:val="00F351C1"/>
    <w:rsid w:val="00F3529B"/>
    <w:rsid w:val="00F35406"/>
    <w:rsid w:val="00F355D1"/>
    <w:rsid w:val="00F357BB"/>
    <w:rsid w:val="00F3586F"/>
    <w:rsid w:val="00F35CAC"/>
    <w:rsid w:val="00F35D2B"/>
    <w:rsid w:val="00F360F2"/>
    <w:rsid w:val="00F36166"/>
    <w:rsid w:val="00F3631D"/>
    <w:rsid w:val="00F365D1"/>
    <w:rsid w:val="00F3662A"/>
    <w:rsid w:val="00F369E8"/>
    <w:rsid w:val="00F36C09"/>
    <w:rsid w:val="00F36CF0"/>
    <w:rsid w:val="00F36E0F"/>
    <w:rsid w:val="00F36ED7"/>
    <w:rsid w:val="00F36F0A"/>
    <w:rsid w:val="00F372BE"/>
    <w:rsid w:val="00F3748F"/>
    <w:rsid w:val="00F379C3"/>
    <w:rsid w:val="00F37AD9"/>
    <w:rsid w:val="00F37BC1"/>
    <w:rsid w:val="00F37C54"/>
    <w:rsid w:val="00F37C6A"/>
    <w:rsid w:val="00F37CA4"/>
    <w:rsid w:val="00F37F44"/>
    <w:rsid w:val="00F37F60"/>
    <w:rsid w:val="00F4014D"/>
    <w:rsid w:val="00F40495"/>
    <w:rsid w:val="00F404BE"/>
    <w:rsid w:val="00F40696"/>
    <w:rsid w:val="00F40765"/>
    <w:rsid w:val="00F4079C"/>
    <w:rsid w:val="00F40893"/>
    <w:rsid w:val="00F4098D"/>
    <w:rsid w:val="00F4099E"/>
    <w:rsid w:val="00F409E5"/>
    <w:rsid w:val="00F40BE7"/>
    <w:rsid w:val="00F40C72"/>
    <w:rsid w:val="00F40CAF"/>
    <w:rsid w:val="00F40E47"/>
    <w:rsid w:val="00F40E5E"/>
    <w:rsid w:val="00F40F7F"/>
    <w:rsid w:val="00F40FA7"/>
    <w:rsid w:val="00F40FE4"/>
    <w:rsid w:val="00F410C8"/>
    <w:rsid w:val="00F41193"/>
    <w:rsid w:val="00F41209"/>
    <w:rsid w:val="00F41350"/>
    <w:rsid w:val="00F413C0"/>
    <w:rsid w:val="00F41650"/>
    <w:rsid w:val="00F4175F"/>
    <w:rsid w:val="00F418C4"/>
    <w:rsid w:val="00F41936"/>
    <w:rsid w:val="00F4221E"/>
    <w:rsid w:val="00F42604"/>
    <w:rsid w:val="00F42654"/>
    <w:rsid w:val="00F426FD"/>
    <w:rsid w:val="00F429B6"/>
    <w:rsid w:val="00F42A69"/>
    <w:rsid w:val="00F42B7D"/>
    <w:rsid w:val="00F42C0E"/>
    <w:rsid w:val="00F42E52"/>
    <w:rsid w:val="00F42E73"/>
    <w:rsid w:val="00F430B5"/>
    <w:rsid w:val="00F430C9"/>
    <w:rsid w:val="00F431F2"/>
    <w:rsid w:val="00F43340"/>
    <w:rsid w:val="00F43425"/>
    <w:rsid w:val="00F434D8"/>
    <w:rsid w:val="00F439EF"/>
    <w:rsid w:val="00F43B8A"/>
    <w:rsid w:val="00F43C41"/>
    <w:rsid w:val="00F43CDD"/>
    <w:rsid w:val="00F43F30"/>
    <w:rsid w:val="00F444C1"/>
    <w:rsid w:val="00F4463B"/>
    <w:rsid w:val="00F4473F"/>
    <w:rsid w:val="00F44A37"/>
    <w:rsid w:val="00F44ABA"/>
    <w:rsid w:val="00F44ADC"/>
    <w:rsid w:val="00F44B32"/>
    <w:rsid w:val="00F44C6E"/>
    <w:rsid w:val="00F44ED4"/>
    <w:rsid w:val="00F44F6D"/>
    <w:rsid w:val="00F45313"/>
    <w:rsid w:val="00F453D9"/>
    <w:rsid w:val="00F4542D"/>
    <w:rsid w:val="00F4544E"/>
    <w:rsid w:val="00F4583C"/>
    <w:rsid w:val="00F459B5"/>
    <w:rsid w:val="00F45A1C"/>
    <w:rsid w:val="00F45B1A"/>
    <w:rsid w:val="00F45B5F"/>
    <w:rsid w:val="00F45C74"/>
    <w:rsid w:val="00F45D35"/>
    <w:rsid w:val="00F4606D"/>
    <w:rsid w:val="00F4610F"/>
    <w:rsid w:val="00F46223"/>
    <w:rsid w:val="00F46470"/>
    <w:rsid w:val="00F466A5"/>
    <w:rsid w:val="00F46730"/>
    <w:rsid w:val="00F4684D"/>
    <w:rsid w:val="00F46888"/>
    <w:rsid w:val="00F46F30"/>
    <w:rsid w:val="00F47350"/>
    <w:rsid w:val="00F473A6"/>
    <w:rsid w:val="00F4741D"/>
    <w:rsid w:val="00F47495"/>
    <w:rsid w:val="00F4761A"/>
    <w:rsid w:val="00F47755"/>
    <w:rsid w:val="00F47775"/>
    <w:rsid w:val="00F47921"/>
    <w:rsid w:val="00F479AD"/>
    <w:rsid w:val="00F479BE"/>
    <w:rsid w:val="00F47A0B"/>
    <w:rsid w:val="00F47CB7"/>
    <w:rsid w:val="00F47DE5"/>
    <w:rsid w:val="00F47F24"/>
    <w:rsid w:val="00F47F42"/>
    <w:rsid w:val="00F502C2"/>
    <w:rsid w:val="00F5060E"/>
    <w:rsid w:val="00F5066A"/>
    <w:rsid w:val="00F50963"/>
    <w:rsid w:val="00F50A20"/>
    <w:rsid w:val="00F50A32"/>
    <w:rsid w:val="00F50D97"/>
    <w:rsid w:val="00F50E45"/>
    <w:rsid w:val="00F5116C"/>
    <w:rsid w:val="00F511CE"/>
    <w:rsid w:val="00F514E2"/>
    <w:rsid w:val="00F515D0"/>
    <w:rsid w:val="00F51929"/>
    <w:rsid w:val="00F51E10"/>
    <w:rsid w:val="00F51F98"/>
    <w:rsid w:val="00F5203F"/>
    <w:rsid w:val="00F524FA"/>
    <w:rsid w:val="00F5261F"/>
    <w:rsid w:val="00F526DD"/>
    <w:rsid w:val="00F528B6"/>
    <w:rsid w:val="00F52D62"/>
    <w:rsid w:val="00F52E31"/>
    <w:rsid w:val="00F52E4B"/>
    <w:rsid w:val="00F52FD3"/>
    <w:rsid w:val="00F52FDC"/>
    <w:rsid w:val="00F53303"/>
    <w:rsid w:val="00F533A2"/>
    <w:rsid w:val="00F5357F"/>
    <w:rsid w:val="00F535B8"/>
    <w:rsid w:val="00F53632"/>
    <w:rsid w:val="00F536FE"/>
    <w:rsid w:val="00F538A5"/>
    <w:rsid w:val="00F53961"/>
    <w:rsid w:val="00F53971"/>
    <w:rsid w:val="00F53A10"/>
    <w:rsid w:val="00F53EDC"/>
    <w:rsid w:val="00F5403B"/>
    <w:rsid w:val="00F54799"/>
    <w:rsid w:val="00F548D8"/>
    <w:rsid w:val="00F54BB6"/>
    <w:rsid w:val="00F54C57"/>
    <w:rsid w:val="00F54CE0"/>
    <w:rsid w:val="00F54D1E"/>
    <w:rsid w:val="00F54E8C"/>
    <w:rsid w:val="00F54E99"/>
    <w:rsid w:val="00F54F39"/>
    <w:rsid w:val="00F54FAA"/>
    <w:rsid w:val="00F55166"/>
    <w:rsid w:val="00F551B1"/>
    <w:rsid w:val="00F551CC"/>
    <w:rsid w:val="00F55431"/>
    <w:rsid w:val="00F5580E"/>
    <w:rsid w:val="00F5595C"/>
    <w:rsid w:val="00F55E42"/>
    <w:rsid w:val="00F56165"/>
    <w:rsid w:val="00F561AD"/>
    <w:rsid w:val="00F5627E"/>
    <w:rsid w:val="00F562AF"/>
    <w:rsid w:val="00F562D5"/>
    <w:rsid w:val="00F566B2"/>
    <w:rsid w:val="00F56717"/>
    <w:rsid w:val="00F56794"/>
    <w:rsid w:val="00F567F2"/>
    <w:rsid w:val="00F56A53"/>
    <w:rsid w:val="00F56BE9"/>
    <w:rsid w:val="00F56D3C"/>
    <w:rsid w:val="00F5711D"/>
    <w:rsid w:val="00F571C7"/>
    <w:rsid w:val="00F57303"/>
    <w:rsid w:val="00F5736B"/>
    <w:rsid w:val="00F57436"/>
    <w:rsid w:val="00F57498"/>
    <w:rsid w:val="00F5757B"/>
    <w:rsid w:val="00F576F6"/>
    <w:rsid w:val="00F577A1"/>
    <w:rsid w:val="00F5791B"/>
    <w:rsid w:val="00F57BF6"/>
    <w:rsid w:val="00F57CA4"/>
    <w:rsid w:val="00F57CE6"/>
    <w:rsid w:val="00F57D31"/>
    <w:rsid w:val="00F57DFB"/>
    <w:rsid w:val="00F60094"/>
    <w:rsid w:val="00F60351"/>
    <w:rsid w:val="00F6040A"/>
    <w:rsid w:val="00F604BC"/>
    <w:rsid w:val="00F60665"/>
    <w:rsid w:val="00F606F1"/>
    <w:rsid w:val="00F6079E"/>
    <w:rsid w:val="00F60A50"/>
    <w:rsid w:val="00F61152"/>
    <w:rsid w:val="00F6133C"/>
    <w:rsid w:val="00F6147C"/>
    <w:rsid w:val="00F61501"/>
    <w:rsid w:val="00F61646"/>
    <w:rsid w:val="00F616A2"/>
    <w:rsid w:val="00F61A9E"/>
    <w:rsid w:val="00F61C0C"/>
    <w:rsid w:val="00F61CA8"/>
    <w:rsid w:val="00F61CD5"/>
    <w:rsid w:val="00F61F51"/>
    <w:rsid w:val="00F62392"/>
    <w:rsid w:val="00F623E5"/>
    <w:rsid w:val="00F62430"/>
    <w:rsid w:val="00F6248D"/>
    <w:rsid w:val="00F62550"/>
    <w:rsid w:val="00F62698"/>
    <w:rsid w:val="00F62716"/>
    <w:rsid w:val="00F62941"/>
    <w:rsid w:val="00F62BA9"/>
    <w:rsid w:val="00F62C9F"/>
    <w:rsid w:val="00F62CA0"/>
    <w:rsid w:val="00F63018"/>
    <w:rsid w:val="00F63557"/>
    <w:rsid w:val="00F635B9"/>
    <w:rsid w:val="00F6383A"/>
    <w:rsid w:val="00F6394D"/>
    <w:rsid w:val="00F63985"/>
    <w:rsid w:val="00F63BD5"/>
    <w:rsid w:val="00F63BF6"/>
    <w:rsid w:val="00F63C42"/>
    <w:rsid w:val="00F63EC7"/>
    <w:rsid w:val="00F63FE2"/>
    <w:rsid w:val="00F643F7"/>
    <w:rsid w:val="00F643FA"/>
    <w:rsid w:val="00F6453A"/>
    <w:rsid w:val="00F6454A"/>
    <w:rsid w:val="00F6466C"/>
    <w:rsid w:val="00F64E2E"/>
    <w:rsid w:val="00F64E3A"/>
    <w:rsid w:val="00F64FAD"/>
    <w:rsid w:val="00F65125"/>
    <w:rsid w:val="00F651FF"/>
    <w:rsid w:val="00F6528F"/>
    <w:rsid w:val="00F65601"/>
    <w:rsid w:val="00F65683"/>
    <w:rsid w:val="00F65853"/>
    <w:rsid w:val="00F65A39"/>
    <w:rsid w:val="00F65B6E"/>
    <w:rsid w:val="00F65D82"/>
    <w:rsid w:val="00F65E0F"/>
    <w:rsid w:val="00F65ECF"/>
    <w:rsid w:val="00F660D0"/>
    <w:rsid w:val="00F662FE"/>
    <w:rsid w:val="00F66380"/>
    <w:rsid w:val="00F663CA"/>
    <w:rsid w:val="00F663D7"/>
    <w:rsid w:val="00F665CE"/>
    <w:rsid w:val="00F665F5"/>
    <w:rsid w:val="00F66735"/>
    <w:rsid w:val="00F667A1"/>
    <w:rsid w:val="00F66955"/>
    <w:rsid w:val="00F66A36"/>
    <w:rsid w:val="00F66B13"/>
    <w:rsid w:val="00F66D4D"/>
    <w:rsid w:val="00F66EE3"/>
    <w:rsid w:val="00F67126"/>
    <w:rsid w:val="00F67127"/>
    <w:rsid w:val="00F671E3"/>
    <w:rsid w:val="00F67209"/>
    <w:rsid w:val="00F674C9"/>
    <w:rsid w:val="00F6757C"/>
    <w:rsid w:val="00F67790"/>
    <w:rsid w:val="00F67892"/>
    <w:rsid w:val="00F67A40"/>
    <w:rsid w:val="00F67C7B"/>
    <w:rsid w:val="00F67C7D"/>
    <w:rsid w:val="00F67E6D"/>
    <w:rsid w:val="00F702FC"/>
    <w:rsid w:val="00F70309"/>
    <w:rsid w:val="00F7038D"/>
    <w:rsid w:val="00F703DC"/>
    <w:rsid w:val="00F7042B"/>
    <w:rsid w:val="00F70451"/>
    <w:rsid w:val="00F70455"/>
    <w:rsid w:val="00F705CC"/>
    <w:rsid w:val="00F70610"/>
    <w:rsid w:val="00F70AFF"/>
    <w:rsid w:val="00F70B79"/>
    <w:rsid w:val="00F70C4C"/>
    <w:rsid w:val="00F70C94"/>
    <w:rsid w:val="00F711E8"/>
    <w:rsid w:val="00F713AA"/>
    <w:rsid w:val="00F7141F"/>
    <w:rsid w:val="00F7158A"/>
    <w:rsid w:val="00F717C8"/>
    <w:rsid w:val="00F7189A"/>
    <w:rsid w:val="00F71989"/>
    <w:rsid w:val="00F71B17"/>
    <w:rsid w:val="00F71B7E"/>
    <w:rsid w:val="00F71D19"/>
    <w:rsid w:val="00F71D9F"/>
    <w:rsid w:val="00F721C6"/>
    <w:rsid w:val="00F7222A"/>
    <w:rsid w:val="00F726F6"/>
    <w:rsid w:val="00F729AB"/>
    <w:rsid w:val="00F729F2"/>
    <w:rsid w:val="00F73000"/>
    <w:rsid w:val="00F730D0"/>
    <w:rsid w:val="00F732F0"/>
    <w:rsid w:val="00F73320"/>
    <w:rsid w:val="00F73894"/>
    <w:rsid w:val="00F738E7"/>
    <w:rsid w:val="00F73944"/>
    <w:rsid w:val="00F73B2B"/>
    <w:rsid w:val="00F73B47"/>
    <w:rsid w:val="00F73C47"/>
    <w:rsid w:val="00F740D8"/>
    <w:rsid w:val="00F74263"/>
    <w:rsid w:val="00F74390"/>
    <w:rsid w:val="00F743C4"/>
    <w:rsid w:val="00F74510"/>
    <w:rsid w:val="00F746C8"/>
    <w:rsid w:val="00F7484C"/>
    <w:rsid w:val="00F749DB"/>
    <w:rsid w:val="00F74AE0"/>
    <w:rsid w:val="00F74B08"/>
    <w:rsid w:val="00F74B46"/>
    <w:rsid w:val="00F74C4C"/>
    <w:rsid w:val="00F750BC"/>
    <w:rsid w:val="00F7523A"/>
    <w:rsid w:val="00F75425"/>
    <w:rsid w:val="00F75464"/>
    <w:rsid w:val="00F754E2"/>
    <w:rsid w:val="00F75A63"/>
    <w:rsid w:val="00F75F19"/>
    <w:rsid w:val="00F76132"/>
    <w:rsid w:val="00F76545"/>
    <w:rsid w:val="00F76756"/>
    <w:rsid w:val="00F76931"/>
    <w:rsid w:val="00F76A50"/>
    <w:rsid w:val="00F76AE7"/>
    <w:rsid w:val="00F76D57"/>
    <w:rsid w:val="00F76DA7"/>
    <w:rsid w:val="00F770AA"/>
    <w:rsid w:val="00F77304"/>
    <w:rsid w:val="00F773F1"/>
    <w:rsid w:val="00F77421"/>
    <w:rsid w:val="00F774D5"/>
    <w:rsid w:val="00F775C0"/>
    <w:rsid w:val="00F775E4"/>
    <w:rsid w:val="00F7761D"/>
    <w:rsid w:val="00F7766E"/>
    <w:rsid w:val="00F7777B"/>
    <w:rsid w:val="00F77871"/>
    <w:rsid w:val="00F77998"/>
    <w:rsid w:val="00F77A05"/>
    <w:rsid w:val="00F77A2C"/>
    <w:rsid w:val="00F77FD4"/>
    <w:rsid w:val="00F8000F"/>
    <w:rsid w:val="00F800B8"/>
    <w:rsid w:val="00F800D8"/>
    <w:rsid w:val="00F8014B"/>
    <w:rsid w:val="00F8035E"/>
    <w:rsid w:val="00F80583"/>
    <w:rsid w:val="00F80748"/>
    <w:rsid w:val="00F808A4"/>
    <w:rsid w:val="00F80906"/>
    <w:rsid w:val="00F80A50"/>
    <w:rsid w:val="00F80D3A"/>
    <w:rsid w:val="00F80EE5"/>
    <w:rsid w:val="00F81020"/>
    <w:rsid w:val="00F81173"/>
    <w:rsid w:val="00F811BC"/>
    <w:rsid w:val="00F81268"/>
    <w:rsid w:val="00F812E6"/>
    <w:rsid w:val="00F812FA"/>
    <w:rsid w:val="00F8165B"/>
    <w:rsid w:val="00F818B7"/>
    <w:rsid w:val="00F81AAA"/>
    <w:rsid w:val="00F81B99"/>
    <w:rsid w:val="00F81CA6"/>
    <w:rsid w:val="00F81D9B"/>
    <w:rsid w:val="00F81E56"/>
    <w:rsid w:val="00F8206B"/>
    <w:rsid w:val="00F820B6"/>
    <w:rsid w:val="00F8226F"/>
    <w:rsid w:val="00F822B4"/>
    <w:rsid w:val="00F825B0"/>
    <w:rsid w:val="00F826AD"/>
    <w:rsid w:val="00F82775"/>
    <w:rsid w:val="00F828A5"/>
    <w:rsid w:val="00F82AF1"/>
    <w:rsid w:val="00F82BDF"/>
    <w:rsid w:val="00F82C7E"/>
    <w:rsid w:val="00F82CBF"/>
    <w:rsid w:val="00F82EA1"/>
    <w:rsid w:val="00F83160"/>
    <w:rsid w:val="00F83240"/>
    <w:rsid w:val="00F8327E"/>
    <w:rsid w:val="00F8343D"/>
    <w:rsid w:val="00F8356D"/>
    <w:rsid w:val="00F835C5"/>
    <w:rsid w:val="00F8371E"/>
    <w:rsid w:val="00F83836"/>
    <w:rsid w:val="00F8389B"/>
    <w:rsid w:val="00F83989"/>
    <w:rsid w:val="00F83BA9"/>
    <w:rsid w:val="00F83FD1"/>
    <w:rsid w:val="00F84055"/>
    <w:rsid w:val="00F84057"/>
    <w:rsid w:val="00F843C4"/>
    <w:rsid w:val="00F8453F"/>
    <w:rsid w:val="00F84568"/>
    <w:rsid w:val="00F84E09"/>
    <w:rsid w:val="00F84E7A"/>
    <w:rsid w:val="00F84F35"/>
    <w:rsid w:val="00F84F3A"/>
    <w:rsid w:val="00F852C3"/>
    <w:rsid w:val="00F8544C"/>
    <w:rsid w:val="00F854A0"/>
    <w:rsid w:val="00F855C8"/>
    <w:rsid w:val="00F856C3"/>
    <w:rsid w:val="00F85761"/>
    <w:rsid w:val="00F859F2"/>
    <w:rsid w:val="00F85A39"/>
    <w:rsid w:val="00F85D82"/>
    <w:rsid w:val="00F85E8E"/>
    <w:rsid w:val="00F86CB4"/>
    <w:rsid w:val="00F86DD5"/>
    <w:rsid w:val="00F86DD8"/>
    <w:rsid w:val="00F86E52"/>
    <w:rsid w:val="00F86E7D"/>
    <w:rsid w:val="00F86EF5"/>
    <w:rsid w:val="00F87024"/>
    <w:rsid w:val="00F87123"/>
    <w:rsid w:val="00F87223"/>
    <w:rsid w:val="00F87514"/>
    <w:rsid w:val="00F87522"/>
    <w:rsid w:val="00F876AB"/>
    <w:rsid w:val="00F87717"/>
    <w:rsid w:val="00F877FF"/>
    <w:rsid w:val="00F87AD8"/>
    <w:rsid w:val="00F87B68"/>
    <w:rsid w:val="00F87CDB"/>
    <w:rsid w:val="00F87D6D"/>
    <w:rsid w:val="00F87EAC"/>
    <w:rsid w:val="00F900F6"/>
    <w:rsid w:val="00F901EE"/>
    <w:rsid w:val="00F90356"/>
    <w:rsid w:val="00F903D2"/>
    <w:rsid w:val="00F9054D"/>
    <w:rsid w:val="00F9056C"/>
    <w:rsid w:val="00F9066A"/>
    <w:rsid w:val="00F906D1"/>
    <w:rsid w:val="00F906DE"/>
    <w:rsid w:val="00F9084C"/>
    <w:rsid w:val="00F908A7"/>
    <w:rsid w:val="00F908BF"/>
    <w:rsid w:val="00F90C5D"/>
    <w:rsid w:val="00F90C9E"/>
    <w:rsid w:val="00F90DF5"/>
    <w:rsid w:val="00F90E2B"/>
    <w:rsid w:val="00F90E95"/>
    <w:rsid w:val="00F91066"/>
    <w:rsid w:val="00F91222"/>
    <w:rsid w:val="00F913CA"/>
    <w:rsid w:val="00F91575"/>
    <w:rsid w:val="00F91633"/>
    <w:rsid w:val="00F91698"/>
    <w:rsid w:val="00F91728"/>
    <w:rsid w:val="00F917B2"/>
    <w:rsid w:val="00F9181E"/>
    <w:rsid w:val="00F91828"/>
    <w:rsid w:val="00F91ABB"/>
    <w:rsid w:val="00F91B0E"/>
    <w:rsid w:val="00F91B47"/>
    <w:rsid w:val="00F91B6C"/>
    <w:rsid w:val="00F91B8B"/>
    <w:rsid w:val="00F91BB5"/>
    <w:rsid w:val="00F91CAA"/>
    <w:rsid w:val="00F91D11"/>
    <w:rsid w:val="00F91ED2"/>
    <w:rsid w:val="00F9218F"/>
    <w:rsid w:val="00F922A5"/>
    <w:rsid w:val="00F92360"/>
    <w:rsid w:val="00F92384"/>
    <w:rsid w:val="00F923EB"/>
    <w:rsid w:val="00F924D2"/>
    <w:rsid w:val="00F925D2"/>
    <w:rsid w:val="00F9270B"/>
    <w:rsid w:val="00F9275A"/>
    <w:rsid w:val="00F9276C"/>
    <w:rsid w:val="00F92809"/>
    <w:rsid w:val="00F92BCE"/>
    <w:rsid w:val="00F92DDE"/>
    <w:rsid w:val="00F93003"/>
    <w:rsid w:val="00F9305B"/>
    <w:rsid w:val="00F9305F"/>
    <w:rsid w:val="00F930A6"/>
    <w:rsid w:val="00F931DC"/>
    <w:rsid w:val="00F93232"/>
    <w:rsid w:val="00F9326F"/>
    <w:rsid w:val="00F933EC"/>
    <w:rsid w:val="00F93742"/>
    <w:rsid w:val="00F9374C"/>
    <w:rsid w:val="00F9388C"/>
    <w:rsid w:val="00F9399F"/>
    <w:rsid w:val="00F93D8C"/>
    <w:rsid w:val="00F93DAB"/>
    <w:rsid w:val="00F93ECD"/>
    <w:rsid w:val="00F9413A"/>
    <w:rsid w:val="00F945CD"/>
    <w:rsid w:val="00F946AA"/>
    <w:rsid w:val="00F9478E"/>
    <w:rsid w:val="00F94BD3"/>
    <w:rsid w:val="00F95426"/>
    <w:rsid w:val="00F95428"/>
    <w:rsid w:val="00F954C9"/>
    <w:rsid w:val="00F9554A"/>
    <w:rsid w:val="00F95B55"/>
    <w:rsid w:val="00F95C69"/>
    <w:rsid w:val="00F96212"/>
    <w:rsid w:val="00F96222"/>
    <w:rsid w:val="00F96327"/>
    <w:rsid w:val="00F963D4"/>
    <w:rsid w:val="00F963ED"/>
    <w:rsid w:val="00F96566"/>
    <w:rsid w:val="00F96667"/>
    <w:rsid w:val="00F96839"/>
    <w:rsid w:val="00F9692E"/>
    <w:rsid w:val="00F96E91"/>
    <w:rsid w:val="00F96E9F"/>
    <w:rsid w:val="00F96ED4"/>
    <w:rsid w:val="00F96F1C"/>
    <w:rsid w:val="00F9705F"/>
    <w:rsid w:val="00F970B4"/>
    <w:rsid w:val="00F9715B"/>
    <w:rsid w:val="00F97235"/>
    <w:rsid w:val="00F972E7"/>
    <w:rsid w:val="00F9735D"/>
    <w:rsid w:val="00F9750F"/>
    <w:rsid w:val="00F97609"/>
    <w:rsid w:val="00F97837"/>
    <w:rsid w:val="00F978F3"/>
    <w:rsid w:val="00F97AD0"/>
    <w:rsid w:val="00F97B0E"/>
    <w:rsid w:val="00F97B12"/>
    <w:rsid w:val="00F97F45"/>
    <w:rsid w:val="00FA0022"/>
    <w:rsid w:val="00FA00ED"/>
    <w:rsid w:val="00FA01FC"/>
    <w:rsid w:val="00FA0301"/>
    <w:rsid w:val="00FA033F"/>
    <w:rsid w:val="00FA0417"/>
    <w:rsid w:val="00FA0461"/>
    <w:rsid w:val="00FA048E"/>
    <w:rsid w:val="00FA0523"/>
    <w:rsid w:val="00FA08EE"/>
    <w:rsid w:val="00FA0BF3"/>
    <w:rsid w:val="00FA0EBD"/>
    <w:rsid w:val="00FA0F3A"/>
    <w:rsid w:val="00FA0F6E"/>
    <w:rsid w:val="00FA1002"/>
    <w:rsid w:val="00FA129C"/>
    <w:rsid w:val="00FA18A1"/>
    <w:rsid w:val="00FA1915"/>
    <w:rsid w:val="00FA1CEE"/>
    <w:rsid w:val="00FA1DB0"/>
    <w:rsid w:val="00FA1F3E"/>
    <w:rsid w:val="00FA1F4D"/>
    <w:rsid w:val="00FA2254"/>
    <w:rsid w:val="00FA22B0"/>
    <w:rsid w:val="00FA24CA"/>
    <w:rsid w:val="00FA25DA"/>
    <w:rsid w:val="00FA27D5"/>
    <w:rsid w:val="00FA2A98"/>
    <w:rsid w:val="00FA2AF5"/>
    <w:rsid w:val="00FA2BF0"/>
    <w:rsid w:val="00FA2D2A"/>
    <w:rsid w:val="00FA2D46"/>
    <w:rsid w:val="00FA3217"/>
    <w:rsid w:val="00FA32DC"/>
    <w:rsid w:val="00FA331B"/>
    <w:rsid w:val="00FA3327"/>
    <w:rsid w:val="00FA35B5"/>
    <w:rsid w:val="00FA3626"/>
    <w:rsid w:val="00FA38C4"/>
    <w:rsid w:val="00FA39B5"/>
    <w:rsid w:val="00FA3A4A"/>
    <w:rsid w:val="00FA3C80"/>
    <w:rsid w:val="00FA3EF3"/>
    <w:rsid w:val="00FA3FF8"/>
    <w:rsid w:val="00FA4359"/>
    <w:rsid w:val="00FA44DD"/>
    <w:rsid w:val="00FA4757"/>
    <w:rsid w:val="00FA4AE5"/>
    <w:rsid w:val="00FA4C5E"/>
    <w:rsid w:val="00FA5154"/>
    <w:rsid w:val="00FA5320"/>
    <w:rsid w:val="00FA5553"/>
    <w:rsid w:val="00FA5856"/>
    <w:rsid w:val="00FA5895"/>
    <w:rsid w:val="00FA5993"/>
    <w:rsid w:val="00FA5BB7"/>
    <w:rsid w:val="00FA5CF7"/>
    <w:rsid w:val="00FA5D42"/>
    <w:rsid w:val="00FA5D99"/>
    <w:rsid w:val="00FA5E7D"/>
    <w:rsid w:val="00FA5EB6"/>
    <w:rsid w:val="00FA5FA9"/>
    <w:rsid w:val="00FA6036"/>
    <w:rsid w:val="00FA617D"/>
    <w:rsid w:val="00FA63B8"/>
    <w:rsid w:val="00FA63FB"/>
    <w:rsid w:val="00FA64BF"/>
    <w:rsid w:val="00FA6726"/>
    <w:rsid w:val="00FA6966"/>
    <w:rsid w:val="00FA6CB8"/>
    <w:rsid w:val="00FA6DFF"/>
    <w:rsid w:val="00FA71D1"/>
    <w:rsid w:val="00FA7207"/>
    <w:rsid w:val="00FA72DA"/>
    <w:rsid w:val="00FA798D"/>
    <w:rsid w:val="00FA7B02"/>
    <w:rsid w:val="00FA7B59"/>
    <w:rsid w:val="00FA7E07"/>
    <w:rsid w:val="00FA7EAB"/>
    <w:rsid w:val="00FA7F34"/>
    <w:rsid w:val="00FB0074"/>
    <w:rsid w:val="00FB01F2"/>
    <w:rsid w:val="00FB0420"/>
    <w:rsid w:val="00FB0543"/>
    <w:rsid w:val="00FB0A00"/>
    <w:rsid w:val="00FB0B40"/>
    <w:rsid w:val="00FB0B71"/>
    <w:rsid w:val="00FB0CDC"/>
    <w:rsid w:val="00FB0DF9"/>
    <w:rsid w:val="00FB0E5E"/>
    <w:rsid w:val="00FB106F"/>
    <w:rsid w:val="00FB11B2"/>
    <w:rsid w:val="00FB122A"/>
    <w:rsid w:val="00FB13A2"/>
    <w:rsid w:val="00FB13E5"/>
    <w:rsid w:val="00FB15C7"/>
    <w:rsid w:val="00FB1709"/>
    <w:rsid w:val="00FB1D80"/>
    <w:rsid w:val="00FB1DB7"/>
    <w:rsid w:val="00FB1F23"/>
    <w:rsid w:val="00FB1FD8"/>
    <w:rsid w:val="00FB239A"/>
    <w:rsid w:val="00FB24E1"/>
    <w:rsid w:val="00FB26C4"/>
    <w:rsid w:val="00FB26F2"/>
    <w:rsid w:val="00FB2776"/>
    <w:rsid w:val="00FB297C"/>
    <w:rsid w:val="00FB2A60"/>
    <w:rsid w:val="00FB2CC2"/>
    <w:rsid w:val="00FB2D19"/>
    <w:rsid w:val="00FB2DD6"/>
    <w:rsid w:val="00FB2DF1"/>
    <w:rsid w:val="00FB2DFB"/>
    <w:rsid w:val="00FB2EA1"/>
    <w:rsid w:val="00FB2EEF"/>
    <w:rsid w:val="00FB2F94"/>
    <w:rsid w:val="00FB3105"/>
    <w:rsid w:val="00FB311C"/>
    <w:rsid w:val="00FB3339"/>
    <w:rsid w:val="00FB338F"/>
    <w:rsid w:val="00FB3496"/>
    <w:rsid w:val="00FB356A"/>
    <w:rsid w:val="00FB35EB"/>
    <w:rsid w:val="00FB397E"/>
    <w:rsid w:val="00FB3D34"/>
    <w:rsid w:val="00FB4484"/>
    <w:rsid w:val="00FB4894"/>
    <w:rsid w:val="00FB49F7"/>
    <w:rsid w:val="00FB4A09"/>
    <w:rsid w:val="00FB4B8B"/>
    <w:rsid w:val="00FB4BD0"/>
    <w:rsid w:val="00FB4C4A"/>
    <w:rsid w:val="00FB4C50"/>
    <w:rsid w:val="00FB4F71"/>
    <w:rsid w:val="00FB5072"/>
    <w:rsid w:val="00FB51E1"/>
    <w:rsid w:val="00FB553A"/>
    <w:rsid w:val="00FB5633"/>
    <w:rsid w:val="00FB56B1"/>
    <w:rsid w:val="00FB5925"/>
    <w:rsid w:val="00FB59CE"/>
    <w:rsid w:val="00FB59ED"/>
    <w:rsid w:val="00FB5A6A"/>
    <w:rsid w:val="00FB5A6C"/>
    <w:rsid w:val="00FB5AD4"/>
    <w:rsid w:val="00FB5C37"/>
    <w:rsid w:val="00FB5D48"/>
    <w:rsid w:val="00FB5ED1"/>
    <w:rsid w:val="00FB5EF0"/>
    <w:rsid w:val="00FB5FE0"/>
    <w:rsid w:val="00FB6185"/>
    <w:rsid w:val="00FB62D2"/>
    <w:rsid w:val="00FB63CE"/>
    <w:rsid w:val="00FB6549"/>
    <w:rsid w:val="00FB6731"/>
    <w:rsid w:val="00FB6751"/>
    <w:rsid w:val="00FB6C9B"/>
    <w:rsid w:val="00FB6D09"/>
    <w:rsid w:val="00FB6F5D"/>
    <w:rsid w:val="00FB7207"/>
    <w:rsid w:val="00FB72E7"/>
    <w:rsid w:val="00FB74C9"/>
    <w:rsid w:val="00FB7508"/>
    <w:rsid w:val="00FB7564"/>
    <w:rsid w:val="00FB772D"/>
    <w:rsid w:val="00FB7D55"/>
    <w:rsid w:val="00FB7E16"/>
    <w:rsid w:val="00FB7E2E"/>
    <w:rsid w:val="00FC00F9"/>
    <w:rsid w:val="00FC0100"/>
    <w:rsid w:val="00FC0322"/>
    <w:rsid w:val="00FC04B1"/>
    <w:rsid w:val="00FC0592"/>
    <w:rsid w:val="00FC07A1"/>
    <w:rsid w:val="00FC07A5"/>
    <w:rsid w:val="00FC08C5"/>
    <w:rsid w:val="00FC0932"/>
    <w:rsid w:val="00FC0934"/>
    <w:rsid w:val="00FC0AB7"/>
    <w:rsid w:val="00FC0C9F"/>
    <w:rsid w:val="00FC0E11"/>
    <w:rsid w:val="00FC102C"/>
    <w:rsid w:val="00FC10F4"/>
    <w:rsid w:val="00FC1162"/>
    <w:rsid w:val="00FC12BF"/>
    <w:rsid w:val="00FC17A2"/>
    <w:rsid w:val="00FC188E"/>
    <w:rsid w:val="00FC1C66"/>
    <w:rsid w:val="00FC1DCF"/>
    <w:rsid w:val="00FC1DD2"/>
    <w:rsid w:val="00FC1DEC"/>
    <w:rsid w:val="00FC1E2A"/>
    <w:rsid w:val="00FC2172"/>
    <w:rsid w:val="00FC23CD"/>
    <w:rsid w:val="00FC242A"/>
    <w:rsid w:val="00FC2529"/>
    <w:rsid w:val="00FC2C29"/>
    <w:rsid w:val="00FC309D"/>
    <w:rsid w:val="00FC326F"/>
    <w:rsid w:val="00FC37AA"/>
    <w:rsid w:val="00FC3A59"/>
    <w:rsid w:val="00FC3EA3"/>
    <w:rsid w:val="00FC3F28"/>
    <w:rsid w:val="00FC4082"/>
    <w:rsid w:val="00FC4278"/>
    <w:rsid w:val="00FC443F"/>
    <w:rsid w:val="00FC44AD"/>
    <w:rsid w:val="00FC4730"/>
    <w:rsid w:val="00FC48F3"/>
    <w:rsid w:val="00FC48F6"/>
    <w:rsid w:val="00FC490C"/>
    <w:rsid w:val="00FC4A1A"/>
    <w:rsid w:val="00FC4BBD"/>
    <w:rsid w:val="00FC4C53"/>
    <w:rsid w:val="00FC4D29"/>
    <w:rsid w:val="00FC4D50"/>
    <w:rsid w:val="00FC5051"/>
    <w:rsid w:val="00FC5062"/>
    <w:rsid w:val="00FC51B1"/>
    <w:rsid w:val="00FC5751"/>
    <w:rsid w:val="00FC57CE"/>
    <w:rsid w:val="00FC5822"/>
    <w:rsid w:val="00FC5873"/>
    <w:rsid w:val="00FC59B0"/>
    <w:rsid w:val="00FC5A6B"/>
    <w:rsid w:val="00FC6243"/>
    <w:rsid w:val="00FC6328"/>
    <w:rsid w:val="00FC637F"/>
    <w:rsid w:val="00FC65E0"/>
    <w:rsid w:val="00FC6698"/>
    <w:rsid w:val="00FC6727"/>
    <w:rsid w:val="00FC6812"/>
    <w:rsid w:val="00FC69BD"/>
    <w:rsid w:val="00FC6AB5"/>
    <w:rsid w:val="00FC71E3"/>
    <w:rsid w:val="00FC7295"/>
    <w:rsid w:val="00FC7855"/>
    <w:rsid w:val="00FC7C3C"/>
    <w:rsid w:val="00FC7D81"/>
    <w:rsid w:val="00FC7EC1"/>
    <w:rsid w:val="00FD00FC"/>
    <w:rsid w:val="00FD02BC"/>
    <w:rsid w:val="00FD043F"/>
    <w:rsid w:val="00FD045C"/>
    <w:rsid w:val="00FD05A4"/>
    <w:rsid w:val="00FD064B"/>
    <w:rsid w:val="00FD0777"/>
    <w:rsid w:val="00FD0928"/>
    <w:rsid w:val="00FD09D7"/>
    <w:rsid w:val="00FD0A2E"/>
    <w:rsid w:val="00FD0CBC"/>
    <w:rsid w:val="00FD0DB3"/>
    <w:rsid w:val="00FD0DC8"/>
    <w:rsid w:val="00FD0F99"/>
    <w:rsid w:val="00FD0FB1"/>
    <w:rsid w:val="00FD12D5"/>
    <w:rsid w:val="00FD13A9"/>
    <w:rsid w:val="00FD14CD"/>
    <w:rsid w:val="00FD1711"/>
    <w:rsid w:val="00FD172C"/>
    <w:rsid w:val="00FD17CF"/>
    <w:rsid w:val="00FD18B9"/>
    <w:rsid w:val="00FD1B32"/>
    <w:rsid w:val="00FD21A0"/>
    <w:rsid w:val="00FD2267"/>
    <w:rsid w:val="00FD2647"/>
    <w:rsid w:val="00FD2720"/>
    <w:rsid w:val="00FD28DA"/>
    <w:rsid w:val="00FD2CB2"/>
    <w:rsid w:val="00FD3288"/>
    <w:rsid w:val="00FD3327"/>
    <w:rsid w:val="00FD33EF"/>
    <w:rsid w:val="00FD346C"/>
    <w:rsid w:val="00FD35B8"/>
    <w:rsid w:val="00FD35BA"/>
    <w:rsid w:val="00FD36A5"/>
    <w:rsid w:val="00FD375D"/>
    <w:rsid w:val="00FD3818"/>
    <w:rsid w:val="00FD3A6B"/>
    <w:rsid w:val="00FD3E4A"/>
    <w:rsid w:val="00FD3E63"/>
    <w:rsid w:val="00FD4063"/>
    <w:rsid w:val="00FD412A"/>
    <w:rsid w:val="00FD41C2"/>
    <w:rsid w:val="00FD4223"/>
    <w:rsid w:val="00FD4507"/>
    <w:rsid w:val="00FD4882"/>
    <w:rsid w:val="00FD4C72"/>
    <w:rsid w:val="00FD4E53"/>
    <w:rsid w:val="00FD4F54"/>
    <w:rsid w:val="00FD4FE8"/>
    <w:rsid w:val="00FD50B0"/>
    <w:rsid w:val="00FD5143"/>
    <w:rsid w:val="00FD52EA"/>
    <w:rsid w:val="00FD52F0"/>
    <w:rsid w:val="00FD55BB"/>
    <w:rsid w:val="00FD563B"/>
    <w:rsid w:val="00FD5826"/>
    <w:rsid w:val="00FD5862"/>
    <w:rsid w:val="00FD58B4"/>
    <w:rsid w:val="00FD5B73"/>
    <w:rsid w:val="00FD5CEF"/>
    <w:rsid w:val="00FD5CF8"/>
    <w:rsid w:val="00FD5DC1"/>
    <w:rsid w:val="00FD5E98"/>
    <w:rsid w:val="00FD5FC8"/>
    <w:rsid w:val="00FD61E9"/>
    <w:rsid w:val="00FD64CB"/>
    <w:rsid w:val="00FD6561"/>
    <w:rsid w:val="00FD67AD"/>
    <w:rsid w:val="00FD6900"/>
    <w:rsid w:val="00FD6939"/>
    <w:rsid w:val="00FD69D8"/>
    <w:rsid w:val="00FD6A55"/>
    <w:rsid w:val="00FD6B08"/>
    <w:rsid w:val="00FD70EA"/>
    <w:rsid w:val="00FD7268"/>
    <w:rsid w:val="00FD7480"/>
    <w:rsid w:val="00FD748D"/>
    <w:rsid w:val="00FD74CA"/>
    <w:rsid w:val="00FD755C"/>
    <w:rsid w:val="00FD777B"/>
    <w:rsid w:val="00FD77A7"/>
    <w:rsid w:val="00FD77AA"/>
    <w:rsid w:val="00FD77B4"/>
    <w:rsid w:val="00FD7ACA"/>
    <w:rsid w:val="00FD7CB5"/>
    <w:rsid w:val="00FD7EA7"/>
    <w:rsid w:val="00FE0113"/>
    <w:rsid w:val="00FE0251"/>
    <w:rsid w:val="00FE0316"/>
    <w:rsid w:val="00FE038E"/>
    <w:rsid w:val="00FE03DC"/>
    <w:rsid w:val="00FE04E5"/>
    <w:rsid w:val="00FE06C8"/>
    <w:rsid w:val="00FE07CF"/>
    <w:rsid w:val="00FE0829"/>
    <w:rsid w:val="00FE094C"/>
    <w:rsid w:val="00FE0954"/>
    <w:rsid w:val="00FE09BA"/>
    <w:rsid w:val="00FE0C62"/>
    <w:rsid w:val="00FE0E5A"/>
    <w:rsid w:val="00FE10CA"/>
    <w:rsid w:val="00FE1275"/>
    <w:rsid w:val="00FE136E"/>
    <w:rsid w:val="00FE13BA"/>
    <w:rsid w:val="00FE1734"/>
    <w:rsid w:val="00FE17FD"/>
    <w:rsid w:val="00FE1850"/>
    <w:rsid w:val="00FE19B7"/>
    <w:rsid w:val="00FE19DE"/>
    <w:rsid w:val="00FE1AFE"/>
    <w:rsid w:val="00FE1B62"/>
    <w:rsid w:val="00FE213A"/>
    <w:rsid w:val="00FE241E"/>
    <w:rsid w:val="00FE2D30"/>
    <w:rsid w:val="00FE2D88"/>
    <w:rsid w:val="00FE2EEF"/>
    <w:rsid w:val="00FE33AF"/>
    <w:rsid w:val="00FE34A5"/>
    <w:rsid w:val="00FE351B"/>
    <w:rsid w:val="00FE3622"/>
    <w:rsid w:val="00FE364E"/>
    <w:rsid w:val="00FE3989"/>
    <w:rsid w:val="00FE3B5F"/>
    <w:rsid w:val="00FE3C1A"/>
    <w:rsid w:val="00FE3CBD"/>
    <w:rsid w:val="00FE3D34"/>
    <w:rsid w:val="00FE40A2"/>
    <w:rsid w:val="00FE414C"/>
    <w:rsid w:val="00FE4170"/>
    <w:rsid w:val="00FE41E4"/>
    <w:rsid w:val="00FE4336"/>
    <w:rsid w:val="00FE447F"/>
    <w:rsid w:val="00FE456B"/>
    <w:rsid w:val="00FE4882"/>
    <w:rsid w:val="00FE4924"/>
    <w:rsid w:val="00FE4C49"/>
    <w:rsid w:val="00FE4D36"/>
    <w:rsid w:val="00FE4F97"/>
    <w:rsid w:val="00FE508C"/>
    <w:rsid w:val="00FE5091"/>
    <w:rsid w:val="00FE534D"/>
    <w:rsid w:val="00FE53A0"/>
    <w:rsid w:val="00FE55B0"/>
    <w:rsid w:val="00FE57D7"/>
    <w:rsid w:val="00FE585C"/>
    <w:rsid w:val="00FE5881"/>
    <w:rsid w:val="00FE58FB"/>
    <w:rsid w:val="00FE5B13"/>
    <w:rsid w:val="00FE5B5A"/>
    <w:rsid w:val="00FE5BBF"/>
    <w:rsid w:val="00FE5BD6"/>
    <w:rsid w:val="00FE5C84"/>
    <w:rsid w:val="00FE5D6D"/>
    <w:rsid w:val="00FE5DA1"/>
    <w:rsid w:val="00FE5E8C"/>
    <w:rsid w:val="00FE5F2A"/>
    <w:rsid w:val="00FE6293"/>
    <w:rsid w:val="00FE63A0"/>
    <w:rsid w:val="00FE6450"/>
    <w:rsid w:val="00FE657F"/>
    <w:rsid w:val="00FE67E4"/>
    <w:rsid w:val="00FE693D"/>
    <w:rsid w:val="00FE6BA9"/>
    <w:rsid w:val="00FE6BD6"/>
    <w:rsid w:val="00FE6C0C"/>
    <w:rsid w:val="00FE6D41"/>
    <w:rsid w:val="00FE6EFD"/>
    <w:rsid w:val="00FE6F52"/>
    <w:rsid w:val="00FE7324"/>
    <w:rsid w:val="00FE7356"/>
    <w:rsid w:val="00FE738D"/>
    <w:rsid w:val="00FE755E"/>
    <w:rsid w:val="00FE75BB"/>
    <w:rsid w:val="00FE7759"/>
    <w:rsid w:val="00FE78D8"/>
    <w:rsid w:val="00FE79B3"/>
    <w:rsid w:val="00FE7B18"/>
    <w:rsid w:val="00FE7BB3"/>
    <w:rsid w:val="00FE7D96"/>
    <w:rsid w:val="00FE7DC8"/>
    <w:rsid w:val="00FF01FE"/>
    <w:rsid w:val="00FF0394"/>
    <w:rsid w:val="00FF03D0"/>
    <w:rsid w:val="00FF0893"/>
    <w:rsid w:val="00FF0BA5"/>
    <w:rsid w:val="00FF0BCE"/>
    <w:rsid w:val="00FF0CDD"/>
    <w:rsid w:val="00FF0CE7"/>
    <w:rsid w:val="00FF0E0C"/>
    <w:rsid w:val="00FF109C"/>
    <w:rsid w:val="00FF120D"/>
    <w:rsid w:val="00FF1241"/>
    <w:rsid w:val="00FF1269"/>
    <w:rsid w:val="00FF133B"/>
    <w:rsid w:val="00FF13AB"/>
    <w:rsid w:val="00FF1446"/>
    <w:rsid w:val="00FF15BB"/>
    <w:rsid w:val="00FF1798"/>
    <w:rsid w:val="00FF17BC"/>
    <w:rsid w:val="00FF18FC"/>
    <w:rsid w:val="00FF1993"/>
    <w:rsid w:val="00FF1A2C"/>
    <w:rsid w:val="00FF1BD7"/>
    <w:rsid w:val="00FF1EEB"/>
    <w:rsid w:val="00FF1F66"/>
    <w:rsid w:val="00FF2068"/>
    <w:rsid w:val="00FF22B6"/>
    <w:rsid w:val="00FF24D9"/>
    <w:rsid w:val="00FF25B3"/>
    <w:rsid w:val="00FF26E3"/>
    <w:rsid w:val="00FF274D"/>
    <w:rsid w:val="00FF276E"/>
    <w:rsid w:val="00FF2828"/>
    <w:rsid w:val="00FF2A07"/>
    <w:rsid w:val="00FF2CCF"/>
    <w:rsid w:val="00FF2DCE"/>
    <w:rsid w:val="00FF311A"/>
    <w:rsid w:val="00FF3203"/>
    <w:rsid w:val="00FF3BC6"/>
    <w:rsid w:val="00FF40AD"/>
    <w:rsid w:val="00FF4236"/>
    <w:rsid w:val="00FF42C1"/>
    <w:rsid w:val="00FF43D8"/>
    <w:rsid w:val="00FF4601"/>
    <w:rsid w:val="00FF476A"/>
    <w:rsid w:val="00FF47FA"/>
    <w:rsid w:val="00FF48A8"/>
    <w:rsid w:val="00FF4965"/>
    <w:rsid w:val="00FF4981"/>
    <w:rsid w:val="00FF4A3B"/>
    <w:rsid w:val="00FF4B37"/>
    <w:rsid w:val="00FF4C82"/>
    <w:rsid w:val="00FF4CA6"/>
    <w:rsid w:val="00FF4D74"/>
    <w:rsid w:val="00FF4E8E"/>
    <w:rsid w:val="00FF4F4A"/>
    <w:rsid w:val="00FF50EE"/>
    <w:rsid w:val="00FF51A9"/>
    <w:rsid w:val="00FF568B"/>
    <w:rsid w:val="00FF5938"/>
    <w:rsid w:val="00FF59B2"/>
    <w:rsid w:val="00FF5BE2"/>
    <w:rsid w:val="00FF5C0E"/>
    <w:rsid w:val="00FF5C32"/>
    <w:rsid w:val="00FF5E50"/>
    <w:rsid w:val="00FF5E90"/>
    <w:rsid w:val="00FF5E95"/>
    <w:rsid w:val="00FF626C"/>
    <w:rsid w:val="00FF65AB"/>
    <w:rsid w:val="00FF65D2"/>
    <w:rsid w:val="00FF67C5"/>
    <w:rsid w:val="00FF68D6"/>
    <w:rsid w:val="00FF69BE"/>
    <w:rsid w:val="00FF7171"/>
    <w:rsid w:val="00FF7292"/>
    <w:rsid w:val="00FF72CE"/>
    <w:rsid w:val="00FF7336"/>
    <w:rsid w:val="00FF762D"/>
    <w:rsid w:val="00FF7799"/>
    <w:rsid w:val="00FF78CD"/>
    <w:rsid w:val="00FF7957"/>
    <w:rsid w:val="00FF79A6"/>
    <w:rsid w:val="00FF79AC"/>
    <w:rsid w:val="00FF7CC7"/>
    <w:rsid w:val="00FF7CCB"/>
    <w:rsid w:val="00FF7F92"/>
    <w:rsid w:val="00FF7FB2"/>
    <w:rsid w:val="00FF7FB4"/>
    <w:rsid w:val="0105143F"/>
    <w:rsid w:val="01466381"/>
    <w:rsid w:val="019FCFE9"/>
    <w:rsid w:val="01BDE938"/>
    <w:rsid w:val="01E8807B"/>
    <w:rsid w:val="02047FD7"/>
    <w:rsid w:val="0213F145"/>
    <w:rsid w:val="021D9E07"/>
    <w:rsid w:val="022BB863"/>
    <w:rsid w:val="025E8135"/>
    <w:rsid w:val="029F8EA9"/>
    <w:rsid w:val="02B30F80"/>
    <w:rsid w:val="02BBCDF4"/>
    <w:rsid w:val="02BC988F"/>
    <w:rsid w:val="03339FB4"/>
    <w:rsid w:val="037EB74D"/>
    <w:rsid w:val="0389EDB2"/>
    <w:rsid w:val="0476C0DE"/>
    <w:rsid w:val="047AC78A"/>
    <w:rsid w:val="04AC6D8E"/>
    <w:rsid w:val="04B3833E"/>
    <w:rsid w:val="04C3EE1E"/>
    <w:rsid w:val="052217E4"/>
    <w:rsid w:val="05CAA4A0"/>
    <w:rsid w:val="05E13441"/>
    <w:rsid w:val="05F757A2"/>
    <w:rsid w:val="06019C0B"/>
    <w:rsid w:val="06244571"/>
    <w:rsid w:val="062D0BBE"/>
    <w:rsid w:val="062D29D0"/>
    <w:rsid w:val="063EADB2"/>
    <w:rsid w:val="06545762"/>
    <w:rsid w:val="067F090D"/>
    <w:rsid w:val="0693EFF6"/>
    <w:rsid w:val="06CE5B5C"/>
    <w:rsid w:val="06FF2986"/>
    <w:rsid w:val="0726499E"/>
    <w:rsid w:val="078219D4"/>
    <w:rsid w:val="078BD0C2"/>
    <w:rsid w:val="07CFB9B7"/>
    <w:rsid w:val="07E23732"/>
    <w:rsid w:val="084017BB"/>
    <w:rsid w:val="084C1050"/>
    <w:rsid w:val="085823A5"/>
    <w:rsid w:val="08851E30"/>
    <w:rsid w:val="088657D6"/>
    <w:rsid w:val="08A86846"/>
    <w:rsid w:val="08D2E20D"/>
    <w:rsid w:val="08DA26E0"/>
    <w:rsid w:val="08DB531F"/>
    <w:rsid w:val="08EDBDC1"/>
    <w:rsid w:val="0909DA92"/>
    <w:rsid w:val="0912A591"/>
    <w:rsid w:val="0923DB97"/>
    <w:rsid w:val="09AB9266"/>
    <w:rsid w:val="09BE7677"/>
    <w:rsid w:val="09C913DE"/>
    <w:rsid w:val="09C9E70C"/>
    <w:rsid w:val="0A2AC8BB"/>
    <w:rsid w:val="0A6BA9B1"/>
    <w:rsid w:val="0AA293EC"/>
    <w:rsid w:val="0AC2AA72"/>
    <w:rsid w:val="0B199EDF"/>
    <w:rsid w:val="0B228F2B"/>
    <w:rsid w:val="0B256B71"/>
    <w:rsid w:val="0B3F39FF"/>
    <w:rsid w:val="0B58070C"/>
    <w:rsid w:val="0B5DD4D3"/>
    <w:rsid w:val="0B691A6D"/>
    <w:rsid w:val="0BA43B4D"/>
    <w:rsid w:val="0BD9DD11"/>
    <w:rsid w:val="0BFF4B20"/>
    <w:rsid w:val="0C2F788D"/>
    <w:rsid w:val="0C33DF95"/>
    <w:rsid w:val="0C7CBDD5"/>
    <w:rsid w:val="0C8F69B1"/>
    <w:rsid w:val="0C9C1265"/>
    <w:rsid w:val="0CC9B6C4"/>
    <w:rsid w:val="0CD0EF89"/>
    <w:rsid w:val="0CD672B0"/>
    <w:rsid w:val="0D58CF78"/>
    <w:rsid w:val="0D848630"/>
    <w:rsid w:val="0DA2F97C"/>
    <w:rsid w:val="0DE55818"/>
    <w:rsid w:val="0E1775CD"/>
    <w:rsid w:val="0E219A31"/>
    <w:rsid w:val="0E2DA284"/>
    <w:rsid w:val="0E457ACD"/>
    <w:rsid w:val="0EB2CFD3"/>
    <w:rsid w:val="0F4623F2"/>
    <w:rsid w:val="0FE45409"/>
    <w:rsid w:val="102B0B5D"/>
    <w:rsid w:val="102F96BD"/>
    <w:rsid w:val="10421231"/>
    <w:rsid w:val="106344C5"/>
    <w:rsid w:val="10A6565C"/>
    <w:rsid w:val="10A82865"/>
    <w:rsid w:val="10B056F4"/>
    <w:rsid w:val="11218E96"/>
    <w:rsid w:val="112D71DE"/>
    <w:rsid w:val="1146057D"/>
    <w:rsid w:val="114D5C8B"/>
    <w:rsid w:val="114F6D75"/>
    <w:rsid w:val="115606C0"/>
    <w:rsid w:val="1179B787"/>
    <w:rsid w:val="11802B23"/>
    <w:rsid w:val="11A70C7F"/>
    <w:rsid w:val="11B89108"/>
    <w:rsid w:val="11C4851B"/>
    <w:rsid w:val="120E1E99"/>
    <w:rsid w:val="128007A8"/>
    <w:rsid w:val="1298F77A"/>
    <w:rsid w:val="12A70A82"/>
    <w:rsid w:val="12EFD980"/>
    <w:rsid w:val="1319FC4E"/>
    <w:rsid w:val="13453305"/>
    <w:rsid w:val="1384103F"/>
    <w:rsid w:val="139E4575"/>
    <w:rsid w:val="13A74310"/>
    <w:rsid w:val="13AFFAD6"/>
    <w:rsid w:val="13B7A163"/>
    <w:rsid w:val="13C3C9A1"/>
    <w:rsid w:val="13E65D36"/>
    <w:rsid w:val="140519AC"/>
    <w:rsid w:val="144B10A8"/>
    <w:rsid w:val="145D1948"/>
    <w:rsid w:val="147F6931"/>
    <w:rsid w:val="14903309"/>
    <w:rsid w:val="1491B643"/>
    <w:rsid w:val="14949AD0"/>
    <w:rsid w:val="14B0473E"/>
    <w:rsid w:val="14C05685"/>
    <w:rsid w:val="14CF42CA"/>
    <w:rsid w:val="1507AF7E"/>
    <w:rsid w:val="154EBAD6"/>
    <w:rsid w:val="15698B84"/>
    <w:rsid w:val="15A56BF2"/>
    <w:rsid w:val="15DE8715"/>
    <w:rsid w:val="15FDCDD7"/>
    <w:rsid w:val="15FEFEBC"/>
    <w:rsid w:val="1633703C"/>
    <w:rsid w:val="16838664"/>
    <w:rsid w:val="16A45477"/>
    <w:rsid w:val="16EE46EB"/>
    <w:rsid w:val="16F732FB"/>
    <w:rsid w:val="17269C6B"/>
    <w:rsid w:val="1730041A"/>
    <w:rsid w:val="174ACD27"/>
    <w:rsid w:val="179F5C78"/>
    <w:rsid w:val="17B05D26"/>
    <w:rsid w:val="17B7B1BF"/>
    <w:rsid w:val="17BE986F"/>
    <w:rsid w:val="17EAA9DC"/>
    <w:rsid w:val="185FE1BB"/>
    <w:rsid w:val="18694057"/>
    <w:rsid w:val="188E7E3A"/>
    <w:rsid w:val="18B031DD"/>
    <w:rsid w:val="18FC0AE7"/>
    <w:rsid w:val="1914BC94"/>
    <w:rsid w:val="192E0A93"/>
    <w:rsid w:val="1947CC77"/>
    <w:rsid w:val="195D5E72"/>
    <w:rsid w:val="1975ED32"/>
    <w:rsid w:val="19AF6F1B"/>
    <w:rsid w:val="19B158E6"/>
    <w:rsid w:val="19BD2777"/>
    <w:rsid w:val="19D9FA95"/>
    <w:rsid w:val="1A13996B"/>
    <w:rsid w:val="1A1B2729"/>
    <w:rsid w:val="1A52CEEE"/>
    <w:rsid w:val="1A67E511"/>
    <w:rsid w:val="1ADC972A"/>
    <w:rsid w:val="1B0A2CFA"/>
    <w:rsid w:val="1B3647D8"/>
    <w:rsid w:val="1B5E2113"/>
    <w:rsid w:val="1B6A2041"/>
    <w:rsid w:val="1B7D656A"/>
    <w:rsid w:val="1BB48C44"/>
    <w:rsid w:val="1C10CCFC"/>
    <w:rsid w:val="1C1E2807"/>
    <w:rsid w:val="1CAE667A"/>
    <w:rsid w:val="1CAEA4EC"/>
    <w:rsid w:val="1CD9D971"/>
    <w:rsid w:val="1CE8654A"/>
    <w:rsid w:val="1CEBA1A5"/>
    <w:rsid w:val="1CFBFC9F"/>
    <w:rsid w:val="1D263902"/>
    <w:rsid w:val="1D50DE62"/>
    <w:rsid w:val="1D562314"/>
    <w:rsid w:val="1D78F877"/>
    <w:rsid w:val="1D8CE166"/>
    <w:rsid w:val="1D9BA5C4"/>
    <w:rsid w:val="1DCA2575"/>
    <w:rsid w:val="1DD3CE38"/>
    <w:rsid w:val="1E2A5D04"/>
    <w:rsid w:val="1EAF31C1"/>
    <w:rsid w:val="1EB11108"/>
    <w:rsid w:val="1EECC8C1"/>
    <w:rsid w:val="1EEE5D85"/>
    <w:rsid w:val="1EF7169C"/>
    <w:rsid w:val="1F7F73B3"/>
    <w:rsid w:val="1F8FF3FA"/>
    <w:rsid w:val="1F9EC8E3"/>
    <w:rsid w:val="1FB9D07D"/>
    <w:rsid w:val="1FBE6A34"/>
    <w:rsid w:val="1FC2FDF4"/>
    <w:rsid w:val="1FD6EA12"/>
    <w:rsid w:val="1FE0F5D0"/>
    <w:rsid w:val="1FF741BB"/>
    <w:rsid w:val="200E5484"/>
    <w:rsid w:val="201DA5AE"/>
    <w:rsid w:val="2020D611"/>
    <w:rsid w:val="20282B44"/>
    <w:rsid w:val="205A7697"/>
    <w:rsid w:val="20936E7B"/>
    <w:rsid w:val="20A52D08"/>
    <w:rsid w:val="20E94200"/>
    <w:rsid w:val="210A0456"/>
    <w:rsid w:val="21A7ACBC"/>
    <w:rsid w:val="21C865CE"/>
    <w:rsid w:val="21CAE988"/>
    <w:rsid w:val="21F651BD"/>
    <w:rsid w:val="220652CF"/>
    <w:rsid w:val="221CF264"/>
    <w:rsid w:val="222C4461"/>
    <w:rsid w:val="22460732"/>
    <w:rsid w:val="224C4475"/>
    <w:rsid w:val="2250986A"/>
    <w:rsid w:val="22611A3B"/>
    <w:rsid w:val="22806495"/>
    <w:rsid w:val="229D9698"/>
    <w:rsid w:val="229E4368"/>
    <w:rsid w:val="22ACE0D1"/>
    <w:rsid w:val="2348E597"/>
    <w:rsid w:val="238C41AB"/>
    <w:rsid w:val="23A48297"/>
    <w:rsid w:val="242CB511"/>
    <w:rsid w:val="242CE694"/>
    <w:rsid w:val="2489A2B4"/>
    <w:rsid w:val="249FCBC1"/>
    <w:rsid w:val="25066177"/>
    <w:rsid w:val="25168EF7"/>
    <w:rsid w:val="25246515"/>
    <w:rsid w:val="2553E112"/>
    <w:rsid w:val="25686046"/>
    <w:rsid w:val="259E86E5"/>
    <w:rsid w:val="25A51E96"/>
    <w:rsid w:val="25F4ED7C"/>
    <w:rsid w:val="262FD1D0"/>
    <w:rsid w:val="264D6FED"/>
    <w:rsid w:val="2664E7C1"/>
    <w:rsid w:val="26714F48"/>
    <w:rsid w:val="2678F73F"/>
    <w:rsid w:val="268AE5E5"/>
    <w:rsid w:val="26908557"/>
    <w:rsid w:val="269E3912"/>
    <w:rsid w:val="26CD147E"/>
    <w:rsid w:val="273E42C9"/>
    <w:rsid w:val="274FEB23"/>
    <w:rsid w:val="27733865"/>
    <w:rsid w:val="27A36E58"/>
    <w:rsid w:val="27DE7D2E"/>
    <w:rsid w:val="282102AF"/>
    <w:rsid w:val="283785CA"/>
    <w:rsid w:val="284EE229"/>
    <w:rsid w:val="2850B26C"/>
    <w:rsid w:val="28BE5467"/>
    <w:rsid w:val="28E1FC07"/>
    <w:rsid w:val="291474B1"/>
    <w:rsid w:val="291FE520"/>
    <w:rsid w:val="2958E4EF"/>
    <w:rsid w:val="29B069F6"/>
    <w:rsid w:val="29C32D58"/>
    <w:rsid w:val="29D14790"/>
    <w:rsid w:val="29E1E6C8"/>
    <w:rsid w:val="2A0D6519"/>
    <w:rsid w:val="2A26D057"/>
    <w:rsid w:val="2A29E2B6"/>
    <w:rsid w:val="2A3851E5"/>
    <w:rsid w:val="2A3E7E5D"/>
    <w:rsid w:val="2A467603"/>
    <w:rsid w:val="2A4D4402"/>
    <w:rsid w:val="2A525E6C"/>
    <w:rsid w:val="2A538431"/>
    <w:rsid w:val="2ADE72EB"/>
    <w:rsid w:val="2AE66A65"/>
    <w:rsid w:val="2AE8656B"/>
    <w:rsid w:val="2AEB2C68"/>
    <w:rsid w:val="2B425CDA"/>
    <w:rsid w:val="2B53AC2D"/>
    <w:rsid w:val="2B58A371"/>
    <w:rsid w:val="2B663E81"/>
    <w:rsid w:val="2B79D662"/>
    <w:rsid w:val="2B7CB344"/>
    <w:rsid w:val="2B833CA2"/>
    <w:rsid w:val="2BD11B14"/>
    <w:rsid w:val="2BDBBCFD"/>
    <w:rsid w:val="2BE8151C"/>
    <w:rsid w:val="2C0D65CE"/>
    <w:rsid w:val="2C309544"/>
    <w:rsid w:val="2C405690"/>
    <w:rsid w:val="2C47A87B"/>
    <w:rsid w:val="2C62C201"/>
    <w:rsid w:val="2C6AC84F"/>
    <w:rsid w:val="2C8CF830"/>
    <w:rsid w:val="2CDF2119"/>
    <w:rsid w:val="2CE3F460"/>
    <w:rsid w:val="2CFD273C"/>
    <w:rsid w:val="2D43216B"/>
    <w:rsid w:val="2D6AE385"/>
    <w:rsid w:val="2DA05431"/>
    <w:rsid w:val="2DAD1ECE"/>
    <w:rsid w:val="2DC9A5F6"/>
    <w:rsid w:val="2E2A4BA8"/>
    <w:rsid w:val="2E33C9F8"/>
    <w:rsid w:val="2E4CE0DB"/>
    <w:rsid w:val="2E50365A"/>
    <w:rsid w:val="2EEBA407"/>
    <w:rsid w:val="2F3EF0FF"/>
    <w:rsid w:val="2F89312A"/>
    <w:rsid w:val="2F99619C"/>
    <w:rsid w:val="2FAE56F4"/>
    <w:rsid w:val="2FCB4B85"/>
    <w:rsid w:val="2FCDC96B"/>
    <w:rsid w:val="2FF41555"/>
    <w:rsid w:val="3006C52E"/>
    <w:rsid w:val="305396A8"/>
    <w:rsid w:val="305777C3"/>
    <w:rsid w:val="30775CC4"/>
    <w:rsid w:val="3077F568"/>
    <w:rsid w:val="307C1D33"/>
    <w:rsid w:val="309A27D6"/>
    <w:rsid w:val="30E638A6"/>
    <w:rsid w:val="31018526"/>
    <w:rsid w:val="311847D4"/>
    <w:rsid w:val="3124B289"/>
    <w:rsid w:val="313E4A76"/>
    <w:rsid w:val="314A9391"/>
    <w:rsid w:val="316EECF0"/>
    <w:rsid w:val="317311E3"/>
    <w:rsid w:val="31BD97DC"/>
    <w:rsid w:val="3214132B"/>
    <w:rsid w:val="322E6086"/>
    <w:rsid w:val="324C4728"/>
    <w:rsid w:val="325FFFED"/>
    <w:rsid w:val="3276B5BB"/>
    <w:rsid w:val="3296E723"/>
    <w:rsid w:val="32BDC55E"/>
    <w:rsid w:val="331B1217"/>
    <w:rsid w:val="334B293C"/>
    <w:rsid w:val="33A9FB23"/>
    <w:rsid w:val="33DA7E9D"/>
    <w:rsid w:val="343D6656"/>
    <w:rsid w:val="3455BD96"/>
    <w:rsid w:val="34982D03"/>
    <w:rsid w:val="34CBC107"/>
    <w:rsid w:val="34DB53BD"/>
    <w:rsid w:val="35135862"/>
    <w:rsid w:val="35272455"/>
    <w:rsid w:val="352BC2B1"/>
    <w:rsid w:val="355F42AF"/>
    <w:rsid w:val="356E5A96"/>
    <w:rsid w:val="35AB0166"/>
    <w:rsid w:val="35AE0D00"/>
    <w:rsid w:val="35CE8DFD"/>
    <w:rsid w:val="35DC5928"/>
    <w:rsid w:val="35F54245"/>
    <w:rsid w:val="3603272F"/>
    <w:rsid w:val="361BF0B2"/>
    <w:rsid w:val="363C48C7"/>
    <w:rsid w:val="3657D4A2"/>
    <w:rsid w:val="367ED2BF"/>
    <w:rsid w:val="36808DAF"/>
    <w:rsid w:val="36AA3A34"/>
    <w:rsid w:val="36E86578"/>
    <w:rsid w:val="36FED5E9"/>
    <w:rsid w:val="3730DFD9"/>
    <w:rsid w:val="378873C3"/>
    <w:rsid w:val="378ABDCF"/>
    <w:rsid w:val="37D5C615"/>
    <w:rsid w:val="37FA3B05"/>
    <w:rsid w:val="3804D6E0"/>
    <w:rsid w:val="382D88B1"/>
    <w:rsid w:val="3878F428"/>
    <w:rsid w:val="389A3ED3"/>
    <w:rsid w:val="389FEA1F"/>
    <w:rsid w:val="38B5FB00"/>
    <w:rsid w:val="38CAEAF4"/>
    <w:rsid w:val="38D18454"/>
    <w:rsid w:val="38EA2BA4"/>
    <w:rsid w:val="3971FC05"/>
    <w:rsid w:val="39B26417"/>
    <w:rsid w:val="39BFED61"/>
    <w:rsid w:val="39C30AC5"/>
    <w:rsid w:val="39DA3310"/>
    <w:rsid w:val="39EEF379"/>
    <w:rsid w:val="39FC5B20"/>
    <w:rsid w:val="3A09B172"/>
    <w:rsid w:val="3A3CD56D"/>
    <w:rsid w:val="3A6F26ED"/>
    <w:rsid w:val="3AA404FB"/>
    <w:rsid w:val="3AA52F79"/>
    <w:rsid w:val="3AAFE41C"/>
    <w:rsid w:val="3AD35CA9"/>
    <w:rsid w:val="3AE8D1C8"/>
    <w:rsid w:val="3B339BA9"/>
    <w:rsid w:val="3B431220"/>
    <w:rsid w:val="3BB02580"/>
    <w:rsid w:val="3BB68FAF"/>
    <w:rsid w:val="3BD485A1"/>
    <w:rsid w:val="3C45462F"/>
    <w:rsid w:val="3C5F19C6"/>
    <w:rsid w:val="3C6E4D06"/>
    <w:rsid w:val="3C714336"/>
    <w:rsid w:val="3C80146D"/>
    <w:rsid w:val="3C91400D"/>
    <w:rsid w:val="3CAD7D05"/>
    <w:rsid w:val="3CE5B109"/>
    <w:rsid w:val="3CFB8C83"/>
    <w:rsid w:val="3D0F78F4"/>
    <w:rsid w:val="3D26A5EA"/>
    <w:rsid w:val="3D7414EF"/>
    <w:rsid w:val="3D7A2264"/>
    <w:rsid w:val="3D9B50EC"/>
    <w:rsid w:val="3DBA6B1D"/>
    <w:rsid w:val="3DE5762F"/>
    <w:rsid w:val="3E00F52F"/>
    <w:rsid w:val="3E05308D"/>
    <w:rsid w:val="3E069B92"/>
    <w:rsid w:val="3E1E7193"/>
    <w:rsid w:val="3E226040"/>
    <w:rsid w:val="3E53759B"/>
    <w:rsid w:val="3E6088B0"/>
    <w:rsid w:val="3E810418"/>
    <w:rsid w:val="3E9C84D2"/>
    <w:rsid w:val="3ED3335C"/>
    <w:rsid w:val="3F088C83"/>
    <w:rsid w:val="3F51D0CF"/>
    <w:rsid w:val="3F6D1813"/>
    <w:rsid w:val="3FA353FE"/>
    <w:rsid w:val="3FADDDE8"/>
    <w:rsid w:val="3FC4D9D9"/>
    <w:rsid w:val="3FEFFD92"/>
    <w:rsid w:val="3FF6A95F"/>
    <w:rsid w:val="400FF898"/>
    <w:rsid w:val="408C47A2"/>
    <w:rsid w:val="4097EFF0"/>
    <w:rsid w:val="40A7EE57"/>
    <w:rsid w:val="40C33DAE"/>
    <w:rsid w:val="40C496F1"/>
    <w:rsid w:val="40F8478C"/>
    <w:rsid w:val="410AD31B"/>
    <w:rsid w:val="4110DDDE"/>
    <w:rsid w:val="4135D7B1"/>
    <w:rsid w:val="414BBC0A"/>
    <w:rsid w:val="419BA9EC"/>
    <w:rsid w:val="41A5957D"/>
    <w:rsid w:val="41BC9137"/>
    <w:rsid w:val="41C305A8"/>
    <w:rsid w:val="41D7571F"/>
    <w:rsid w:val="41EB72F8"/>
    <w:rsid w:val="41FD9132"/>
    <w:rsid w:val="420F85CD"/>
    <w:rsid w:val="4244A86A"/>
    <w:rsid w:val="42AFAC96"/>
    <w:rsid w:val="431A60CE"/>
    <w:rsid w:val="4358FCDB"/>
    <w:rsid w:val="436C4962"/>
    <w:rsid w:val="4379216C"/>
    <w:rsid w:val="437C1157"/>
    <w:rsid w:val="4393C463"/>
    <w:rsid w:val="43BC7E55"/>
    <w:rsid w:val="43CB9D34"/>
    <w:rsid w:val="43EC8352"/>
    <w:rsid w:val="44127ED5"/>
    <w:rsid w:val="445A929A"/>
    <w:rsid w:val="445B5DEA"/>
    <w:rsid w:val="44765C7E"/>
    <w:rsid w:val="44A7752A"/>
    <w:rsid w:val="44D578EA"/>
    <w:rsid w:val="45330185"/>
    <w:rsid w:val="4533E220"/>
    <w:rsid w:val="45888448"/>
    <w:rsid w:val="45B3767A"/>
    <w:rsid w:val="45C78256"/>
    <w:rsid w:val="45DA4327"/>
    <w:rsid w:val="45DF5E21"/>
    <w:rsid w:val="461136B4"/>
    <w:rsid w:val="46246B13"/>
    <w:rsid w:val="4690E68B"/>
    <w:rsid w:val="46BF76AE"/>
    <w:rsid w:val="46C2F717"/>
    <w:rsid w:val="46DA6B58"/>
    <w:rsid w:val="46ED2285"/>
    <w:rsid w:val="47407FF1"/>
    <w:rsid w:val="4748B9D1"/>
    <w:rsid w:val="47561D28"/>
    <w:rsid w:val="47D7BFB7"/>
    <w:rsid w:val="47E57511"/>
    <w:rsid w:val="48048F84"/>
    <w:rsid w:val="481A0ED8"/>
    <w:rsid w:val="4875FF1C"/>
    <w:rsid w:val="48D6D112"/>
    <w:rsid w:val="48FD4986"/>
    <w:rsid w:val="490A4BF2"/>
    <w:rsid w:val="4936F59C"/>
    <w:rsid w:val="493B0ADF"/>
    <w:rsid w:val="4969C801"/>
    <w:rsid w:val="4981C116"/>
    <w:rsid w:val="49D0F3A1"/>
    <w:rsid w:val="49D66AE9"/>
    <w:rsid w:val="49D9D324"/>
    <w:rsid w:val="49DED624"/>
    <w:rsid w:val="4A54D794"/>
    <w:rsid w:val="4AE870DD"/>
    <w:rsid w:val="4B2188A6"/>
    <w:rsid w:val="4B3A8541"/>
    <w:rsid w:val="4B427D3F"/>
    <w:rsid w:val="4B5A8BEE"/>
    <w:rsid w:val="4B5E428C"/>
    <w:rsid w:val="4B8E5ABB"/>
    <w:rsid w:val="4B9B6124"/>
    <w:rsid w:val="4BBA45B0"/>
    <w:rsid w:val="4BC74649"/>
    <w:rsid w:val="4C2F8F1C"/>
    <w:rsid w:val="4C36871A"/>
    <w:rsid w:val="4C5A5982"/>
    <w:rsid w:val="4C5BC868"/>
    <w:rsid w:val="4C870B6C"/>
    <w:rsid w:val="4C9DE8A0"/>
    <w:rsid w:val="4CA0384D"/>
    <w:rsid w:val="4CCED539"/>
    <w:rsid w:val="4CEDCEAA"/>
    <w:rsid w:val="4CF841CD"/>
    <w:rsid w:val="4D8F6437"/>
    <w:rsid w:val="4D906A30"/>
    <w:rsid w:val="4E08D2E3"/>
    <w:rsid w:val="4E1D4375"/>
    <w:rsid w:val="4E1F8F3C"/>
    <w:rsid w:val="4E3A6DE2"/>
    <w:rsid w:val="4E46042B"/>
    <w:rsid w:val="4E88B59A"/>
    <w:rsid w:val="4E965DF8"/>
    <w:rsid w:val="4E984777"/>
    <w:rsid w:val="4EC972AD"/>
    <w:rsid w:val="4ECABB43"/>
    <w:rsid w:val="4EDC0BD3"/>
    <w:rsid w:val="4F0EC35F"/>
    <w:rsid w:val="4F1D73C9"/>
    <w:rsid w:val="4F1F6ED4"/>
    <w:rsid w:val="4F72373F"/>
    <w:rsid w:val="4F78A1AE"/>
    <w:rsid w:val="4F867CD5"/>
    <w:rsid w:val="4F89C61F"/>
    <w:rsid w:val="4F98ADC1"/>
    <w:rsid w:val="4F9B258F"/>
    <w:rsid w:val="4FA61BD5"/>
    <w:rsid w:val="4FB37FE8"/>
    <w:rsid w:val="4FE4B675"/>
    <w:rsid w:val="4FFA0ECA"/>
    <w:rsid w:val="5041CDCA"/>
    <w:rsid w:val="505C0BD9"/>
    <w:rsid w:val="50BA72DA"/>
    <w:rsid w:val="50C3E94D"/>
    <w:rsid w:val="50FF8C50"/>
    <w:rsid w:val="5111815D"/>
    <w:rsid w:val="515AB2B6"/>
    <w:rsid w:val="518A0ADB"/>
    <w:rsid w:val="51B484E6"/>
    <w:rsid w:val="51CD63CC"/>
    <w:rsid w:val="51D4F3E9"/>
    <w:rsid w:val="51FCE604"/>
    <w:rsid w:val="5254D5EE"/>
    <w:rsid w:val="52690BE9"/>
    <w:rsid w:val="5278B996"/>
    <w:rsid w:val="529EAF55"/>
    <w:rsid w:val="52B3BEA1"/>
    <w:rsid w:val="52CEE8BD"/>
    <w:rsid w:val="52FAF2B3"/>
    <w:rsid w:val="5308894B"/>
    <w:rsid w:val="5311D5CC"/>
    <w:rsid w:val="5364FBA3"/>
    <w:rsid w:val="53785303"/>
    <w:rsid w:val="53C0E656"/>
    <w:rsid w:val="53CD0BBB"/>
    <w:rsid w:val="53E6AF6C"/>
    <w:rsid w:val="544786F2"/>
    <w:rsid w:val="5466A7EB"/>
    <w:rsid w:val="5475E862"/>
    <w:rsid w:val="549FC756"/>
    <w:rsid w:val="55167B5E"/>
    <w:rsid w:val="55326A62"/>
    <w:rsid w:val="5535BF8A"/>
    <w:rsid w:val="5559CB8F"/>
    <w:rsid w:val="557C18AD"/>
    <w:rsid w:val="5581C7FB"/>
    <w:rsid w:val="55F5DB22"/>
    <w:rsid w:val="561C90D1"/>
    <w:rsid w:val="56376749"/>
    <w:rsid w:val="5658E5B5"/>
    <w:rsid w:val="566365D8"/>
    <w:rsid w:val="5681CA5F"/>
    <w:rsid w:val="568966A0"/>
    <w:rsid w:val="568D622B"/>
    <w:rsid w:val="56A3836C"/>
    <w:rsid w:val="56E0440C"/>
    <w:rsid w:val="570107AF"/>
    <w:rsid w:val="573B993A"/>
    <w:rsid w:val="57635688"/>
    <w:rsid w:val="57A825DA"/>
    <w:rsid w:val="57C658AA"/>
    <w:rsid w:val="57C71019"/>
    <w:rsid w:val="57D406D4"/>
    <w:rsid w:val="57D5AFF6"/>
    <w:rsid w:val="57F8E73D"/>
    <w:rsid w:val="588A3F42"/>
    <w:rsid w:val="588D4350"/>
    <w:rsid w:val="589472B5"/>
    <w:rsid w:val="58A03821"/>
    <w:rsid w:val="58C6A9D5"/>
    <w:rsid w:val="58C85D28"/>
    <w:rsid w:val="591D7AB2"/>
    <w:rsid w:val="59A6E3F4"/>
    <w:rsid w:val="59AA1027"/>
    <w:rsid w:val="59B132DA"/>
    <w:rsid w:val="59BD67F8"/>
    <w:rsid w:val="59BFD2AB"/>
    <w:rsid w:val="59D32DD9"/>
    <w:rsid w:val="59D978C9"/>
    <w:rsid w:val="59F9419E"/>
    <w:rsid w:val="5A4B42F2"/>
    <w:rsid w:val="5A4DC5D9"/>
    <w:rsid w:val="5AAD773C"/>
    <w:rsid w:val="5AF532B1"/>
    <w:rsid w:val="5B6905DD"/>
    <w:rsid w:val="5B76BE07"/>
    <w:rsid w:val="5B844C86"/>
    <w:rsid w:val="5BA4C3B4"/>
    <w:rsid w:val="5BB00151"/>
    <w:rsid w:val="5BB36439"/>
    <w:rsid w:val="5BBB8BD5"/>
    <w:rsid w:val="5BEF06D4"/>
    <w:rsid w:val="5C12640E"/>
    <w:rsid w:val="5C3BCD9E"/>
    <w:rsid w:val="5C3EA500"/>
    <w:rsid w:val="5C85A7B3"/>
    <w:rsid w:val="5CAAB43E"/>
    <w:rsid w:val="5CD52E89"/>
    <w:rsid w:val="5CF97283"/>
    <w:rsid w:val="5D0B01EF"/>
    <w:rsid w:val="5D108FA2"/>
    <w:rsid w:val="5D66F006"/>
    <w:rsid w:val="5D7115C8"/>
    <w:rsid w:val="5DAE689E"/>
    <w:rsid w:val="5DC07624"/>
    <w:rsid w:val="5DE3DBAA"/>
    <w:rsid w:val="5E049CEC"/>
    <w:rsid w:val="5E1091D8"/>
    <w:rsid w:val="5E48DE07"/>
    <w:rsid w:val="5E4CF5A8"/>
    <w:rsid w:val="5E5883BE"/>
    <w:rsid w:val="5E6ECFBE"/>
    <w:rsid w:val="5E77F9B2"/>
    <w:rsid w:val="5E9A4A72"/>
    <w:rsid w:val="5F14E501"/>
    <w:rsid w:val="5F24BE0A"/>
    <w:rsid w:val="5F2CA4D4"/>
    <w:rsid w:val="5F67C3A7"/>
    <w:rsid w:val="5F8A8483"/>
    <w:rsid w:val="5F9C0F50"/>
    <w:rsid w:val="5FA3137D"/>
    <w:rsid w:val="5FDA483C"/>
    <w:rsid w:val="5FDD4728"/>
    <w:rsid w:val="5FEAC9C1"/>
    <w:rsid w:val="5FF5282E"/>
    <w:rsid w:val="600230F4"/>
    <w:rsid w:val="603EE4A0"/>
    <w:rsid w:val="605F7CCC"/>
    <w:rsid w:val="606F81EB"/>
    <w:rsid w:val="60B53F1B"/>
    <w:rsid w:val="60EB683D"/>
    <w:rsid w:val="61460B6B"/>
    <w:rsid w:val="616C3263"/>
    <w:rsid w:val="61834612"/>
    <w:rsid w:val="61A53D26"/>
    <w:rsid w:val="61AB5460"/>
    <w:rsid w:val="61C76EA1"/>
    <w:rsid w:val="62145A6A"/>
    <w:rsid w:val="62235A50"/>
    <w:rsid w:val="622F14B6"/>
    <w:rsid w:val="62419430"/>
    <w:rsid w:val="626E44B0"/>
    <w:rsid w:val="62B36EC4"/>
    <w:rsid w:val="62CA975C"/>
    <w:rsid w:val="62CCB3EB"/>
    <w:rsid w:val="62D5631B"/>
    <w:rsid w:val="62ED643A"/>
    <w:rsid w:val="635904DF"/>
    <w:rsid w:val="635C7AF8"/>
    <w:rsid w:val="6361CD52"/>
    <w:rsid w:val="639F448E"/>
    <w:rsid w:val="63A6B807"/>
    <w:rsid w:val="63BB37CE"/>
    <w:rsid w:val="63D8B738"/>
    <w:rsid w:val="642953DD"/>
    <w:rsid w:val="6432300B"/>
    <w:rsid w:val="643F3320"/>
    <w:rsid w:val="64425CE1"/>
    <w:rsid w:val="64614383"/>
    <w:rsid w:val="64A07ED9"/>
    <w:rsid w:val="64DE4765"/>
    <w:rsid w:val="64E5A245"/>
    <w:rsid w:val="64FE3BDA"/>
    <w:rsid w:val="655694E5"/>
    <w:rsid w:val="65625E2C"/>
    <w:rsid w:val="657F5352"/>
    <w:rsid w:val="65A72311"/>
    <w:rsid w:val="65C9E1BC"/>
    <w:rsid w:val="66483C05"/>
    <w:rsid w:val="6668A25D"/>
    <w:rsid w:val="667D9FEA"/>
    <w:rsid w:val="668FC69E"/>
    <w:rsid w:val="66B755C5"/>
    <w:rsid w:val="66C3A18C"/>
    <w:rsid w:val="66CCBA50"/>
    <w:rsid w:val="66D82A2B"/>
    <w:rsid w:val="66DDF43F"/>
    <w:rsid w:val="66F05603"/>
    <w:rsid w:val="670D959F"/>
    <w:rsid w:val="6718EB58"/>
    <w:rsid w:val="67531ADD"/>
    <w:rsid w:val="675FD261"/>
    <w:rsid w:val="679969D4"/>
    <w:rsid w:val="67D93C81"/>
    <w:rsid w:val="6803A32F"/>
    <w:rsid w:val="6837E151"/>
    <w:rsid w:val="68710352"/>
    <w:rsid w:val="68CB240C"/>
    <w:rsid w:val="6904CA54"/>
    <w:rsid w:val="690DA29B"/>
    <w:rsid w:val="694C159B"/>
    <w:rsid w:val="695E0E8E"/>
    <w:rsid w:val="697BB0FD"/>
    <w:rsid w:val="698C12B8"/>
    <w:rsid w:val="698C6CE5"/>
    <w:rsid w:val="69982CD5"/>
    <w:rsid w:val="69ADD8D0"/>
    <w:rsid w:val="69C20097"/>
    <w:rsid w:val="69CAED8C"/>
    <w:rsid w:val="69EE1760"/>
    <w:rsid w:val="69FB8878"/>
    <w:rsid w:val="6A0CE093"/>
    <w:rsid w:val="6A0DFE24"/>
    <w:rsid w:val="6A570BEC"/>
    <w:rsid w:val="6A628FB5"/>
    <w:rsid w:val="6A7E430D"/>
    <w:rsid w:val="6A9FF609"/>
    <w:rsid w:val="6AEBD981"/>
    <w:rsid w:val="6AFED5FF"/>
    <w:rsid w:val="6B03F13D"/>
    <w:rsid w:val="6B04E961"/>
    <w:rsid w:val="6B3F9BA3"/>
    <w:rsid w:val="6B5B33A4"/>
    <w:rsid w:val="6B61E117"/>
    <w:rsid w:val="6B895B39"/>
    <w:rsid w:val="6B983155"/>
    <w:rsid w:val="6B9DBCCC"/>
    <w:rsid w:val="6BC69D3C"/>
    <w:rsid w:val="6BDFA14B"/>
    <w:rsid w:val="6C0F223F"/>
    <w:rsid w:val="6C1698E8"/>
    <w:rsid w:val="6C2786A1"/>
    <w:rsid w:val="6C408D3A"/>
    <w:rsid w:val="6C9B732D"/>
    <w:rsid w:val="6D0B7CF0"/>
    <w:rsid w:val="6D1AF4EF"/>
    <w:rsid w:val="6D1FE2E3"/>
    <w:rsid w:val="6D2BCF56"/>
    <w:rsid w:val="6D354CCF"/>
    <w:rsid w:val="6D766A62"/>
    <w:rsid w:val="6DA8A319"/>
    <w:rsid w:val="6DF4FFF7"/>
    <w:rsid w:val="6E00AF89"/>
    <w:rsid w:val="6E1B446B"/>
    <w:rsid w:val="6E1B45C8"/>
    <w:rsid w:val="6E29377B"/>
    <w:rsid w:val="6E48BE6A"/>
    <w:rsid w:val="6E4E8F7E"/>
    <w:rsid w:val="6E72C322"/>
    <w:rsid w:val="6E7E3F90"/>
    <w:rsid w:val="6E7F4332"/>
    <w:rsid w:val="6E85D4F4"/>
    <w:rsid w:val="6E8C4100"/>
    <w:rsid w:val="6EBB56FC"/>
    <w:rsid w:val="6EE99915"/>
    <w:rsid w:val="6EF1101B"/>
    <w:rsid w:val="6F1D5623"/>
    <w:rsid w:val="6F2B0F20"/>
    <w:rsid w:val="6F2F9B4A"/>
    <w:rsid w:val="6F9ECC30"/>
    <w:rsid w:val="6FC84D15"/>
    <w:rsid w:val="6FE3D749"/>
    <w:rsid w:val="700D2F61"/>
    <w:rsid w:val="701038AC"/>
    <w:rsid w:val="7023A2B4"/>
    <w:rsid w:val="703F7EB5"/>
    <w:rsid w:val="7080F9B6"/>
    <w:rsid w:val="709511EA"/>
    <w:rsid w:val="71C8F7BC"/>
    <w:rsid w:val="71EC53DD"/>
    <w:rsid w:val="71F36DD5"/>
    <w:rsid w:val="7249F182"/>
    <w:rsid w:val="725670E3"/>
    <w:rsid w:val="7299B0EA"/>
    <w:rsid w:val="72F6773E"/>
    <w:rsid w:val="7334C6E2"/>
    <w:rsid w:val="73481CB4"/>
    <w:rsid w:val="736E25A9"/>
    <w:rsid w:val="7386C557"/>
    <w:rsid w:val="738DD8B5"/>
    <w:rsid w:val="73D1F7A5"/>
    <w:rsid w:val="7416DE1E"/>
    <w:rsid w:val="743F7D59"/>
    <w:rsid w:val="74468B8F"/>
    <w:rsid w:val="7448A8D3"/>
    <w:rsid w:val="74A826AB"/>
    <w:rsid w:val="750B5795"/>
    <w:rsid w:val="751DF60C"/>
    <w:rsid w:val="755E4413"/>
    <w:rsid w:val="75CB3308"/>
    <w:rsid w:val="75D74484"/>
    <w:rsid w:val="761AAE9F"/>
    <w:rsid w:val="761D3407"/>
    <w:rsid w:val="763F5CF6"/>
    <w:rsid w:val="768208CF"/>
    <w:rsid w:val="76C3D00D"/>
    <w:rsid w:val="76F8301D"/>
    <w:rsid w:val="7712B336"/>
    <w:rsid w:val="774272A1"/>
    <w:rsid w:val="778CE132"/>
    <w:rsid w:val="77A5F125"/>
    <w:rsid w:val="77C31172"/>
    <w:rsid w:val="77C91ED6"/>
    <w:rsid w:val="77CFB95E"/>
    <w:rsid w:val="7866AF07"/>
    <w:rsid w:val="787868C0"/>
    <w:rsid w:val="7894FDE9"/>
    <w:rsid w:val="78A0D236"/>
    <w:rsid w:val="78AF93E4"/>
    <w:rsid w:val="78B97A4F"/>
    <w:rsid w:val="78C8E76D"/>
    <w:rsid w:val="78D87C4C"/>
    <w:rsid w:val="78DCF9CC"/>
    <w:rsid w:val="78F18517"/>
    <w:rsid w:val="7925F739"/>
    <w:rsid w:val="7984B80B"/>
    <w:rsid w:val="799C9521"/>
    <w:rsid w:val="79DD4AD3"/>
    <w:rsid w:val="79E6EC13"/>
    <w:rsid w:val="7A119B42"/>
    <w:rsid w:val="7A2F2883"/>
    <w:rsid w:val="7A41DCF8"/>
    <w:rsid w:val="7A48ABCD"/>
    <w:rsid w:val="7A76B993"/>
    <w:rsid w:val="7A7968DE"/>
    <w:rsid w:val="7A940EDC"/>
    <w:rsid w:val="7A94F0FA"/>
    <w:rsid w:val="7AA0BDDF"/>
    <w:rsid w:val="7AAA55B7"/>
    <w:rsid w:val="7AAE59E3"/>
    <w:rsid w:val="7AF72392"/>
    <w:rsid w:val="7B37AAB7"/>
    <w:rsid w:val="7B8D851D"/>
    <w:rsid w:val="7BA7E46F"/>
    <w:rsid w:val="7C0CC0C3"/>
    <w:rsid w:val="7C262511"/>
    <w:rsid w:val="7C3648AE"/>
    <w:rsid w:val="7C55E012"/>
    <w:rsid w:val="7C7BDC5D"/>
    <w:rsid w:val="7C8A6E56"/>
    <w:rsid w:val="7D0250B0"/>
    <w:rsid w:val="7D8D1F0B"/>
    <w:rsid w:val="7D909815"/>
    <w:rsid w:val="7D9F3A1B"/>
    <w:rsid w:val="7DF9DC60"/>
    <w:rsid w:val="7E6D56EA"/>
    <w:rsid w:val="7EC9F780"/>
    <w:rsid w:val="7ED1C6C3"/>
    <w:rsid w:val="7F1485B8"/>
    <w:rsid w:val="7F6F57E0"/>
    <w:rsid w:val="7F8D1788"/>
    <w:rsid w:val="7FA5B477"/>
    <w:rsid w:val="7FBB84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59A"/>
  <w15:chartTrackingRefBased/>
  <w15:docId w15:val="{319FFA94-1609-4276-9FAA-EE4F5FEC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354"/>
    <w:rPr>
      <w:rFonts w:ascii="Arial" w:hAnsi="Arial"/>
    </w:rPr>
  </w:style>
  <w:style w:type="paragraph" w:styleId="Heading1">
    <w:name w:val="heading 1"/>
    <w:basedOn w:val="Normal"/>
    <w:next w:val="Normal"/>
    <w:link w:val="Heading1Char"/>
    <w:qFormat/>
    <w:rsid w:val="00684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D0CC0"/>
    <w:pPr>
      <w:keepNext/>
      <w:widowControl w:val="0"/>
      <w:overflowPunct w:val="0"/>
      <w:autoSpaceDE w:val="0"/>
      <w:autoSpaceDN w:val="0"/>
      <w:adjustRightInd w:val="0"/>
      <w:spacing w:before="240" w:after="60" w:line="240" w:lineRule="auto"/>
      <w:outlineLvl w:val="1"/>
    </w:pPr>
    <w:rPr>
      <w:rFonts w:eastAsia="Times New Roman" w:cs="Arial"/>
      <w:b/>
      <w:bCs/>
      <w:i/>
      <w:iCs/>
      <w:kern w:val="28"/>
      <w:szCs w:val="28"/>
      <w:lang w:eastAsia="en-GB"/>
    </w:rPr>
  </w:style>
  <w:style w:type="paragraph" w:styleId="Heading3">
    <w:name w:val="heading 3"/>
    <w:basedOn w:val="Normal"/>
    <w:next w:val="Normal"/>
    <w:link w:val="Heading3Char"/>
    <w:unhideWhenUsed/>
    <w:qFormat/>
    <w:rsid w:val="0000078B"/>
    <w:pPr>
      <w:keepNext/>
      <w:widowControl w:val="0"/>
      <w:overflowPunct w:val="0"/>
      <w:autoSpaceDE w:val="0"/>
      <w:autoSpaceDN w:val="0"/>
      <w:adjustRightInd w:val="0"/>
      <w:spacing w:before="240" w:after="60" w:line="240" w:lineRule="auto"/>
      <w:outlineLvl w:val="2"/>
    </w:pPr>
    <w:rPr>
      <w:rFonts w:ascii="Calibri Light" w:eastAsia="Times New Roman" w:hAnsi="Calibri Light" w:cs="Times New Roman"/>
      <w:b/>
      <w:bCs/>
      <w:kern w:val="28"/>
      <w:sz w:val="26"/>
      <w:szCs w:val="26"/>
      <w:lang w:eastAsia="en-GB"/>
    </w:rPr>
  </w:style>
  <w:style w:type="paragraph" w:styleId="Heading4">
    <w:name w:val="heading 4"/>
    <w:basedOn w:val="Normal"/>
    <w:next w:val="BodyText2"/>
    <w:link w:val="Heading4Char"/>
    <w:qFormat/>
    <w:rsid w:val="00286052"/>
    <w:pPr>
      <w:keepNext/>
      <w:keepLines/>
      <w:spacing w:before="200" w:after="100" w:line="240" w:lineRule="auto"/>
      <w:ind w:left="851"/>
      <w:outlineLvl w:val="3"/>
    </w:pPr>
    <w:rPr>
      <w:rFonts w:eastAsia="Times New Roman" w:cs="Times New Roman"/>
      <w:bCs/>
      <w:i/>
      <w:iCs/>
      <w:sz w:val="24"/>
    </w:rPr>
  </w:style>
  <w:style w:type="paragraph" w:styleId="Heading5">
    <w:name w:val="heading 5"/>
    <w:basedOn w:val="Normal"/>
    <w:next w:val="BodyText2"/>
    <w:link w:val="Heading5Char"/>
    <w:qFormat/>
    <w:rsid w:val="00286052"/>
    <w:pPr>
      <w:keepNext/>
      <w:keepLines/>
      <w:spacing w:before="200" w:after="0" w:line="240" w:lineRule="atLeast"/>
      <w:ind w:left="851"/>
      <w:outlineLvl w:val="4"/>
    </w:pPr>
    <w:rPr>
      <w:rFonts w:eastAsia="Times New Roman" w:cs="Times New Roman"/>
      <w:b/>
      <w:sz w:val="20"/>
    </w:rPr>
  </w:style>
  <w:style w:type="paragraph" w:styleId="Heading6">
    <w:name w:val="heading 6"/>
    <w:basedOn w:val="Normal"/>
    <w:next w:val="BodyText"/>
    <w:link w:val="Heading6Char"/>
    <w:qFormat/>
    <w:rsid w:val="00286052"/>
    <w:pPr>
      <w:keepNext/>
      <w:keepLines/>
      <w:spacing w:before="200" w:after="0" w:line="240" w:lineRule="auto"/>
      <w:outlineLvl w:val="5"/>
    </w:pPr>
    <w:rPr>
      <w:rFonts w:eastAsia="Times New Roman" w:cs="Times New Roman"/>
      <w:i/>
      <w:iCs/>
    </w:rPr>
  </w:style>
  <w:style w:type="paragraph" w:styleId="Heading7">
    <w:name w:val="heading 7"/>
    <w:basedOn w:val="Normal"/>
    <w:next w:val="Normal"/>
    <w:link w:val="Heading7Char"/>
    <w:qFormat/>
    <w:rsid w:val="00286052"/>
    <w:pPr>
      <w:keepNext/>
      <w:keepLines/>
      <w:spacing w:before="200" w:after="0" w:line="240"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qFormat/>
    <w:rsid w:val="00286052"/>
    <w:pPr>
      <w:tabs>
        <w:tab w:val="num" w:pos="2160"/>
      </w:tabs>
      <w:spacing w:before="240" w:after="60" w:line="240" w:lineRule="auto"/>
      <w:ind w:left="2160" w:hanging="1440"/>
      <w:outlineLvl w:val="7"/>
    </w:pPr>
    <w:rPr>
      <w:rFonts w:ascii="Times New Roman" w:eastAsia="Times New Roman" w:hAnsi="Times New Roman" w:cs="Times New Roman"/>
      <w:i/>
      <w:iCs/>
      <w:sz w:val="24"/>
      <w:szCs w:val="24"/>
      <w:lang w:val="x-none"/>
    </w:rPr>
  </w:style>
  <w:style w:type="paragraph" w:styleId="Heading9">
    <w:name w:val="heading 9"/>
    <w:basedOn w:val="Normal"/>
    <w:next w:val="Normal"/>
    <w:link w:val="Heading9Char"/>
    <w:qFormat/>
    <w:rsid w:val="00286052"/>
    <w:pPr>
      <w:tabs>
        <w:tab w:val="num" w:pos="2304"/>
      </w:tabs>
      <w:spacing w:before="240" w:after="60" w:line="240" w:lineRule="auto"/>
      <w:ind w:left="2304" w:hanging="1584"/>
      <w:outlineLvl w:val="8"/>
    </w:pPr>
    <w:rPr>
      <w:rFonts w:eastAsia="Times New Roman" w:cs="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nhideWhenUsed/>
    <w:rsid w:val="00B56B5F"/>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B56B5F"/>
  </w:style>
  <w:style w:type="paragraph" w:styleId="Footer">
    <w:name w:val="footer"/>
    <w:basedOn w:val="Normal"/>
    <w:link w:val="FooterChar"/>
    <w:uiPriority w:val="99"/>
    <w:unhideWhenUsed/>
    <w:rsid w:val="00B56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B5F"/>
  </w:style>
  <w:style w:type="paragraph" w:customStyle="1" w:styleId="Head1">
    <w:name w:val="Head 1"/>
    <w:basedOn w:val="Heading1"/>
    <w:next w:val="Normal"/>
    <w:qFormat/>
    <w:rsid w:val="00DA0FFA"/>
    <w:pPr>
      <w:numPr>
        <w:numId w:val="2"/>
      </w:numPr>
      <w:spacing w:after="240"/>
    </w:pPr>
    <w:rPr>
      <w:rFonts w:ascii="Arial" w:hAnsi="Arial"/>
      <w:b/>
      <w:color w:val="009999"/>
      <w:sz w:val="28"/>
    </w:rPr>
  </w:style>
  <w:style w:type="paragraph" w:customStyle="1" w:styleId="Head2">
    <w:name w:val="Head 2"/>
    <w:basedOn w:val="Head1"/>
    <w:qFormat/>
    <w:rsid w:val="00202B9F"/>
    <w:pPr>
      <w:numPr>
        <w:ilvl w:val="1"/>
      </w:numPr>
      <w:spacing w:before="0" w:after="160"/>
    </w:pPr>
    <w:rPr>
      <w:b w:val="0"/>
      <w:color w:val="auto"/>
      <w:sz w:val="22"/>
    </w:rPr>
  </w:style>
  <w:style w:type="character" w:customStyle="1" w:styleId="Heading1Char">
    <w:name w:val="Heading 1 Char"/>
    <w:basedOn w:val="DefaultParagraphFont"/>
    <w:link w:val="Heading1"/>
    <w:uiPriority w:val="9"/>
    <w:rsid w:val="00684886"/>
    <w:rPr>
      <w:rFonts w:asciiTheme="majorHAnsi" w:eastAsiaTheme="majorEastAsia" w:hAnsiTheme="majorHAnsi" w:cstheme="majorBidi"/>
      <w:color w:val="2F5496" w:themeColor="accent1" w:themeShade="BF"/>
      <w:sz w:val="32"/>
      <w:szCs w:val="3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A5EE9"/>
    <w:pPr>
      <w:ind w:left="720"/>
      <w:contextualSpacing/>
    </w:pPr>
  </w:style>
  <w:style w:type="character" w:styleId="CommentReference">
    <w:name w:val="annotation reference"/>
    <w:basedOn w:val="DefaultParagraphFont"/>
    <w:uiPriority w:val="99"/>
    <w:unhideWhenUsed/>
    <w:rsid w:val="00485E44"/>
    <w:rPr>
      <w:sz w:val="16"/>
      <w:szCs w:val="16"/>
    </w:rPr>
  </w:style>
  <w:style w:type="paragraph" w:styleId="CommentText">
    <w:name w:val="annotation text"/>
    <w:basedOn w:val="Normal"/>
    <w:link w:val="CommentTextChar"/>
    <w:uiPriority w:val="99"/>
    <w:unhideWhenUsed/>
    <w:rsid w:val="00485E44"/>
    <w:pPr>
      <w:spacing w:line="240" w:lineRule="auto"/>
    </w:pPr>
    <w:rPr>
      <w:sz w:val="20"/>
      <w:szCs w:val="20"/>
    </w:rPr>
  </w:style>
  <w:style w:type="character" w:customStyle="1" w:styleId="CommentTextChar">
    <w:name w:val="Comment Text Char"/>
    <w:basedOn w:val="DefaultParagraphFont"/>
    <w:link w:val="CommentText"/>
    <w:uiPriority w:val="99"/>
    <w:rsid w:val="00485E44"/>
    <w:rPr>
      <w:rFonts w:ascii="Arial" w:hAnsi="Arial"/>
      <w:sz w:val="20"/>
      <w:szCs w:val="20"/>
    </w:rPr>
  </w:style>
  <w:style w:type="paragraph" w:styleId="CommentSubject">
    <w:name w:val="annotation subject"/>
    <w:basedOn w:val="CommentText"/>
    <w:next w:val="CommentText"/>
    <w:link w:val="CommentSubjectChar"/>
    <w:unhideWhenUsed/>
    <w:rsid w:val="00485E44"/>
    <w:rPr>
      <w:b/>
      <w:bCs/>
    </w:rPr>
  </w:style>
  <w:style w:type="character" w:customStyle="1" w:styleId="CommentSubjectChar">
    <w:name w:val="Comment Subject Char"/>
    <w:basedOn w:val="CommentTextChar"/>
    <w:link w:val="CommentSubject"/>
    <w:rsid w:val="00485E44"/>
    <w:rPr>
      <w:rFonts w:ascii="Arial" w:hAnsi="Arial"/>
      <w:b/>
      <w:bCs/>
      <w:sz w:val="20"/>
      <w:szCs w:val="20"/>
    </w:rPr>
  </w:style>
  <w:style w:type="paragraph" w:styleId="BalloonText">
    <w:name w:val="Balloon Text"/>
    <w:basedOn w:val="Normal"/>
    <w:link w:val="BalloonTextChar"/>
    <w:semiHidden/>
    <w:unhideWhenUsed/>
    <w:rsid w:val="00485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E44"/>
    <w:rPr>
      <w:rFonts w:ascii="Segoe UI" w:hAnsi="Segoe UI" w:cs="Segoe UI"/>
      <w:sz w:val="18"/>
      <w:szCs w:val="18"/>
    </w:rPr>
  </w:style>
  <w:style w:type="character" w:customStyle="1" w:styleId="Heading2Char">
    <w:name w:val="Heading 2 Char"/>
    <w:basedOn w:val="DefaultParagraphFont"/>
    <w:link w:val="Heading2"/>
    <w:rsid w:val="00CD0CC0"/>
    <w:rPr>
      <w:rFonts w:ascii="Arial" w:eastAsia="Times New Roman" w:hAnsi="Arial" w:cs="Arial"/>
      <w:b/>
      <w:bCs/>
      <w:i/>
      <w:iCs/>
      <w:kern w:val="28"/>
      <w:szCs w:val="28"/>
      <w:lang w:eastAsia="en-GB"/>
    </w:rPr>
  </w:style>
  <w:style w:type="character" w:styleId="Hyperlink">
    <w:name w:val="Hyperlink"/>
    <w:uiPriority w:val="99"/>
    <w:rsid w:val="00040866"/>
    <w:rPr>
      <w:color w:val="0000FF"/>
      <w:u w:val="single"/>
    </w:rPr>
  </w:style>
  <w:style w:type="character" w:customStyle="1" w:styleId="Heading3Char">
    <w:name w:val="Heading 3 Char"/>
    <w:basedOn w:val="DefaultParagraphFont"/>
    <w:link w:val="Heading3"/>
    <w:rsid w:val="0000078B"/>
    <w:rPr>
      <w:rFonts w:ascii="Calibri Light" w:eastAsia="Times New Roman" w:hAnsi="Calibri Light" w:cs="Times New Roman"/>
      <w:b/>
      <w:bCs/>
      <w:kern w:val="28"/>
      <w:sz w:val="26"/>
      <w:szCs w:val="26"/>
      <w:lang w:eastAsia="en-GB"/>
    </w:rPr>
  </w:style>
  <w:style w:type="character" w:styleId="FollowedHyperlink">
    <w:name w:val="FollowedHyperlink"/>
    <w:rsid w:val="0000078B"/>
    <w:rPr>
      <w:color w:val="800080"/>
      <w:u w:val="single"/>
    </w:rPr>
  </w:style>
  <w:style w:type="paragraph" w:customStyle="1" w:styleId="Headingbold">
    <w:name w:val="Heading bold"/>
    <w:basedOn w:val="Normal"/>
    <w:rsid w:val="0000078B"/>
    <w:pPr>
      <w:overflowPunct w:val="0"/>
      <w:autoSpaceDE w:val="0"/>
      <w:autoSpaceDN w:val="0"/>
      <w:adjustRightInd w:val="0"/>
      <w:spacing w:after="0" w:line="240" w:lineRule="auto"/>
      <w:textAlignment w:val="baseline"/>
    </w:pPr>
    <w:rPr>
      <w:rFonts w:ascii="Garamond" w:eastAsia="Times New Roman" w:hAnsi="Garamond" w:cs="Times New Roman"/>
      <w:b/>
      <w:sz w:val="24"/>
      <w:szCs w:val="20"/>
      <w:lang w:val="en-US"/>
    </w:rPr>
  </w:style>
  <w:style w:type="paragraph" w:styleId="NormalWeb">
    <w:name w:val="Normal (Web)"/>
    <w:basedOn w:val="Normal"/>
    <w:uiPriority w:val="99"/>
    <w:rsid w:val="0000078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rCharCharCharCharCharCharCharChar">
    <w:name w:val="Char Char Char Char Char Char Char Char Char"/>
    <w:basedOn w:val="Normal"/>
    <w:rsid w:val="0000078B"/>
    <w:pPr>
      <w:spacing w:line="240" w:lineRule="exact"/>
    </w:pPr>
    <w:rPr>
      <w:rFonts w:ascii="Verdana" w:eastAsia="Times New Roman" w:hAnsi="Verdana" w:cs="Times New Roman"/>
      <w:sz w:val="20"/>
      <w:szCs w:val="20"/>
      <w:lang w:val="en-US"/>
    </w:rPr>
  </w:style>
  <w:style w:type="paragraph" w:styleId="PlainText">
    <w:name w:val="Plain Text"/>
    <w:basedOn w:val="Normal"/>
    <w:link w:val="PlainTextChar"/>
    <w:rsid w:val="0000078B"/>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0078B"/>
    <w:rPr>
      <w:rFonts w:ascii="Courier New" w:eastAsia="Times New Roman" w:hAnsi="Courier New" w:cs="Courier New"/>
      <w:sz w:val="20"/>
      <w:szCs w:val="20"/>
      <w:lang w:eastAsia="en-GB"/>
    </w:rPr>
  </w:style>
  <w:style w:type="character" w:styleId="PageNumber">
    <w:name w:val="page number"/>
    <w:basedOn w:val="DefaultParagraphFont"/>
    <w:rsid w:val="0000078B"/>
  </w:style>
  <w:style w:type="paragraph" w:styleId="BodyTextIndent">
    <w:name w:val="Body Text Indent"/>
    <w:basedOn w:val="Normal"/>
    <w:link w:val="BodyTextIndentChar"/>
    <w:rsid w:val="0000078B"/>
    <w:pPr>
      <w:overflowPunct w:val="0"/>
      <w:autoSpaceDE w:val="0"/>
      <w:autoSpaceDN w:val="0"/>
      <w:adjustRightInd w:val="0"/>
      <w:spacing w:after="120" w:line="240" w:lineRule="auto"/>
      <w:ind w:left="283"/>
      <w:textAlignment w:val="baseline"/>
    </w:pPr>
    <w:rPr>
      <w:rFonts w:ascii="Arial (W1)" w:eastAsia="Times New Roman" w:hAnsi="Arial (W1)" w:cs="Times New Roman"/>
      <w:sz w:val="24"/>
      <w:szCs w:val="20"/>
    </w:rPr>
  </w:style>
  <w:style w:type="character" w:customStyle="1" w:styleId="BodyTextIndentChar">
    <w:name w:val="Body Text Indent Char"/>
    <w:basedOn w:val="DefaultParagraphFont"/>
    <w:link w:val="BodyTextIndent"/>
    <w:rsid w:val="0000078B"/>
    <w:rPr>
      <w:rFonts w:ascii="Arial (W1)" w:eastAsia="Times New Roman" w:hAnsi="Arial (W1)" w:cs="Times New Roman"/>
      <w:sz w:val="24"/>
      <w:szCs w:val="20"/>
    </w:rPr>
  </w:style>
  <w:style w:type="table" w:styleId="TableGrid">
    <w:name w:val="Table Grid"/>
    <w:aliases w:val="Teamsolve Table Grid"/>
    <w:basedOn w:val="TableNormal"/>
    <w:rsid w:val="000007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78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00078B"/>
    <w:pPr>
      <w:widowControl w:val="0"/>
      <w:overflowPunct w:val="0"/>
      <w:autoSpaceDE w:val="0"/>
      <w:autoSpaceDN w:val="0"/>
      <w:adjustRightInd w:val="0"/>
      <w:spacing w:after="120" w:line="480" w:lineRule="auto"/>
    </w:pPr>
    <w:rPr>
      <w:rFonts w:ascii="Times New Roman" w:eastAsia="Times New Roman" w:hAnsi="Times New Roman" w:cs="Times New Roman"/>
      <w:kern w:val="28"/>
      <w:sz w:val="20"/>
      <w:szCs w:val="20"/>
      <w:lang w:eastAsia="en-GB"/>
    </w:rPr>
  </w:style>
  <w:style w:type="character" w:customStyle="1" w:styleId="BodyText2Char">
    <w:name w:val="Body Text 2 Char"/>
    <w:basedOn w:val="DefaultParagraphFont"/>
    <w:link w:val="BodyText2"/>
    <w:rsid w:val="0000078B"/>
    <w:rPr>
      <w:rFonts w:ascii="Times New Roman" w:eastAsia="Times New Roman" w:hAnsi="Times New Roman" w:cs="Times New Roman"/>
      <w:kern w:val="28"/>
      <w:sz w:val="20"/>
      <w:szCs w:val="20"/>
      <w:lang w:eastAsia="en-GB"/>
    </w:rPr>
  </w:style>
  <w:style w:type="paragraph" w:customStyle="1" w:styleId="Text1">
    <w:name w:val="Text 1"/>
    <w:basedOn w:val="Normal"/>
    <w:rsid w:val="0000078B"/>
    <w:pPr>
      <w:spacing w:before="120" w:after="120" w:line="360" w:lineRule="auto"/>
    </w:pPr>
    <w:rPr>
      <w:rFonts w:eastAsia="Times New Roman" w:cs="Times New Roman"/>
      <w:spacing w:val="-5"/>
      <w:szCs w:val="20"/>
      <w:lang w:val="en-US"/>
    </w:rPr>
  </w:style>
  <w:style w:type="paragraph" w:styleId="Revision">
    <w:name w:val="Revision"/>
    <w:hidden/>
    <w:uiPriority w:val="99"/>
    <w:semiHidden/>
    <w:rsid w:val="0000078B"/>
    <w:pPr>
      <w:spacing w:after="0" w:line="240" w:lineRule="auto"/>
    </w:pPr>
    <w:rPr>
      <w:rFonts w:ascii="Times New Roman" w:eastAsia="Times New Roman" w:hAnsi="Times New Roman" w:cs="Times New Roman"/>
      <w:kern w:val="28"/>
      <w:sz w:val="20"/>
      <w:szCs w:val="20"/>
      <w:lang w:eastAsia="en-GB"/>
    </w:rPr>
  </w:style>
  <w:style w:type="paragraph" w:styleId="TOC1">
    <w:name w:val="toc 1"/>
    <w:basedOn w:val="Normal"/>
    <w:next w:val="Normal"/>
    <w:autoRedefine/>
    <w:uiPriority w:val="39"/>
    <w:qFormat/>
    <w:rsid w:val="00B12E3F"/>
    <w:pPr>
      <w:widowControl w:val="0"/>
      <w:tabs>
        <w:tab w:val="left" w:pos="400"/>
        <w:tab w:val="right" w:leader="dot" w:pos="9247"/>
      </w:tabs>
      <w:overflowPunct w:val="0"/>
      <w:autoSpaceDE w:val="0"/>
      <w:autoSpaceDN w:val="0"/>
      <w:adjustRightInd w:val="0"/>
      <w:spacing w:after="0" w:line="360" w:lineRule="auto"/>
      <w:ind w:right="95"/>
    </w:pPr>
    <w:rPr>
      <w:rFonts w:eastAsia="Times New Roman" w:cs="Times New Roman"/>
      <w:bCs/>
      <w:kern w:val="28"/>
      <w:szCs w:val="24"/>
      <w:lang w:eastAsia="en-GB"/>
    </w:rPr>
  </w:style>
  <w:style w:type="paragraph" w:styleId="TOC2">
    <w:name w:val="toc 2"/>
    <w:basedOn w:val="Normal"/>
    <w:next w:val="Normal"/>
    <w:autoRedefine/>
    <w:uiPriority w:val="39"/>
    <w:qFormat/>
    <w:rsid w:val="0000078B"/>
    <w:pPr>
      <w:widowControl w:val="0"/>
      <w:overflowPunct w:val="0"/>
      <w:autoSpaceDE w:val="0"/>
      <w:autoSpaceDN w:val="0"/>
      <w:adjustRightInd w:val="0"/>
      <w:spacing w:before="240" w:after="0" w:line="240" w:lineRule="auto"/>
    </w:pPr>
    <w:rPr>
      <w:rFonts w:ascii="Calibri" w:eastAsia="Times New Roman" w:hAnsi="Calibri" w:cs="Times New Roman"/>
      <w:b/>
      <w:bCs/>
      <w:kern w:val="28"/>
      <w:sz w:val="20"/>
      <w:szCs w:val="20"/>
      <w:lang w:eastAsia="en-GB"/>
    </w:rPr>
  </w:style>
  <w:style w:type="paragraph" w:customStyle="1" w:styleId="Normal2">
    <w:name w:val="Normal 2"/>
    <w:basedOn w:val="Normal"/>
    <w:qFormat/>
    <w:rsid w:val="0000078B"/>
    <w:pPr>
      <w:spacing w:after="60" w:line="240" w:lineRule="auto"/>
    </w:pPr>
    <w:rPr>
      <w:rFonts w:eastAsia="Times New Roman" w:cs="Arial"/>
      <w:kern w:val="28"/>
      <w:lang w:eastAsia="en-GB"/>
    </w:rPr>
  </w:style>
  <w:style w:type="paragraph" w:styleId="TOC3">
    <w:name w:val="toc 3"/>
    <w:basedOn w:val="Normal"/>
    <w:next w:val="Normal"/>
    <w:autoRedefine/>
    <w:uiPriority w:val="39"/>
    <w:qFormat/>
    <w:rsid w:val="0000078B"/>
    <w:pPr>
      <w:widowControl w:val="0"/>
      <w:overflowPunct w:val="0"/>
      <w:autoSpaceDE w:val="0"/>
      <w:autoSpaceDN w:val="0"/>
      <w:adjustRightInd w:val="0"/>
      <w:spacing w:after="0" w:line="240" w:lineRule="auto"/>
      <w:ind w:left="200"/>
    </w:pPr>
    <w:rPr>
      <w:rFonts w:ascii="Calibri" w:eastAsia="Times New Roman" w:hAnsi="Calibri" w:cs="Times New Roman"/>
      <w:kern w:val="28"/>
      <w:sz w:val="20"/>
      <w:szCs w:val="20"/>
      <w:lang w:eastAsia="en-GB"/>
    </w:rPr>
  </w:style>
  <w:style w:type="paragraph" w:styleId="TOC4">
    <w:name w:val="toc 4"/>
    <w:basedOn w:val="Normal"/>
    <w:next w:val="Normal"/>
    <w:autoRedefine/>
    <w:uiPriority w:val="39"/>
    <w:rsid w:val="0000078B"/>
    <w:pPr>
      <w:widowControl w:val="0"/>
      <w:overflowPunct w:val="0"/>
      <w:autoSpaceDE w:val="0"/>
      <w:autoSpaceDN w:val="0"/>
      <w:adjustRightInd w:val="0"/>
      <w:spacing w:after="0" w:line="240" w:lineRule="auto"/>
      <w:ind w:left="400"/>
    </w:pPr>
    <w:rPr>
      <w:rFonts w:ascii="Calibri" w:eastAsia="Times New Roman" w:hAnsi="Calibri" w:cs="Times New Roman"/>
      <w:kern w:val="28"/>
      <w:sz w:val="20"/>
      <w:szCs w:val="20"/>
      <w:lang w:eastAsia="en-GB"/>
    </w:rPr>
  </w:style>
  <w:style w:type="paragraph" w:styleId="TOC5">
    <w:name w:val="toc 5"/>
    <w:basedOn w:val="Normal"/>
    <w:next w:val="Normal"/>
    <w:autoRedefine/>
    <w:uiPriority w:val="39"/>
    <w:rsid w:val="0000078B"/>
    <w:pPr>
      <w:widowControl w:val="0"/>
      <w:overflowPunct w:val="0"/>
      <w:autoSpaceDE w:val="0"/>
      <w:autoSpaceDN w:val="0"/>
      <w:adjustRightInd w:val="0"/>
      <w:spacing w:after="0" w:line="240" w:lineRule="auto"/>
      <w:ind w:left="600"/>
    </w:pPr>
    <w:rPr>
      <w:rFonts w:ascii="Calibri" w:eastAsia="Times New Roman" w:hAnsi="Calibri" w:cs="Times New Roman"/>
      <w:kern w:val="28"/>
      <w:sz w:val="20"/>
      <w:szCs w:val="20"/>
      <w:lang w:eastAsia="en-GB"/>
    </w:rPr>
  </w:style>
  <w:style w:type="paragraph" w:styleId="TOC6">
    <w:name w:val="toc 6"/>
    <w:basedOn w:val="Normal"/>
    <w:next w:val="Normal"/>
    <w:autoRedefine/>
    <w:uiPriority w:val="39"/>
    <w:rsid w:val="0000078B"/>
    <w:pPr>
      <w:widowControl w:val="0"/>
      <w:overflowPunct w:val="0"/>
      <w:autoSpaceDE w:val="0"/>
      <w:autoSpaceDN w:val="0"/>
      <w:adjustRightInd w:val="0"/>
      <w:spacing w:after="0" w:line="240" w:lineRule="auto"/>
      <w:ind w:left="800"/>
    </w:pPr>
    <w:rPr>
      <w:rFonts w:ascii="Calibri" w:eastAsia="Times New Roman" w:hAnsi="Calibri" w:cs="Times New Roman"/>
      <w:kern w:val="28"/>
      <w:sz w:val="20"/>
      <w:szCs w:val="20"/>
      <w:lang w:eastAsia="en-GB"/>
    </w:rPr>
  </w:style>
  <w:style w:type="paragraph" w:styleId="TOC7">
    <w:name w:val="toc 7"/>
    <w:basedOn w:val="Normal"/>
    <w:next w:val="Normal"/>
    <w:autoRedefine/>
    <w:uiPriority w:val="39"/>
    <w:rsid w:val="0000078B"/>
    <w:pPr>
      <w:widowControl w:val="0"/>
      <w:overflowPunct w:val="0"/>
      <w:autoSpaceDE w:val="0"/>
      <w:autoSpaceDN w:val="0"/>
      <w:adjustRightInd w:val="0"/>
      <w:spacing w:after="0" w:line="240" w:lineRule="auto"/>
      <w:ind w:left="1000"/>
    </w:pPr>
    <w:rPr>
      <w:rFonts w:ascii="Calibri" w:eastAsia="Times New Roman" w:hAnsi="Calibri" w:cs="Times New Roman"/>
      <w:kern w:val="28"/>
      <w:sz w:val="20"/>
      <w:szCs w:val="20"/>
      <w:lang w:eastAsia="en-GB"/>
    </w:rPr>
  </w:style>
  <w:style w:type="paragraph" w:styleId="TOC8">
    <w:name w:val="toc 8"/>
    <w:basedOn w:val="Normal"/>
    <w:next w:val="Normal"/>
    <w:autoRedefine/>
    <w:uiPriority w:val="39"/>
    <w:rsid w:val="0000078B"/>
    <w:pPr>
      <w:widowControl w:val="0"/>
      <w:overflowPunct w:val="0"/>
      <w:autoSpaceDE w:val="0"/>
      <w:autoSpaceDN w:val="0"/>
      <w:adjustRightInd w:val="0"/>
      <w:spacing w:after="0" w:line="240" w:lineRule="auto"/>
      <w:ind w:left="1200"/>
    </w:pPr>
    <w:rPr>
      <w:rFonts w:ascii="Calibri" w:eastAsia="Times New Roman" w:hAnsi="Calibri" w:cs="Times New Roman"/>
      <w:kern w:val="28"/>
      <w:sz w:val="20"/>
      <w:szCs w:val="20"/>
      <w:lang w:eastAsia="en-GB"/>
    </w:rPr>
  </w:style>
  <w:style w:type="paragraph" w:styleId="TOC9">
    <w:name w:val="toc 9"/>
    <w:basedOn w:val="Normal"/>
    <w:next w:val="Normal"/>
    <w:autoRedefine/>
    <w:uiPriority w:val="39"/>
    <w:rsid w:val="0000078B"/>
    <w:pPr>
      <w:widowControl w:val="0"/>
      <w:overflowPunct w:val="0"/>
      <w:autoSpaceDE w:val="0"/>
      <w:autoSpaceDN w:val="0"/>
      <w:adjustRightInd w:val="0"/>
      <w:spacing w:after="0" w:line="240" w:lineRule="auto"/>
      <w:ind w:left="1400"/>
    </w:pPr>
    <w:rPr>
      <w:rFonts w:ascii="Calibri" w:eastAsia="Times New Roman" w:hAnsi="Calibri" w:cs="Times New Roman"/>
      <w:kern w:val="28"/>
      <w:sz w:val="20"/>
      <w:szCs w:val="20"/>
      <w:lang w:eastAsia="en-GB"/>
    </w:rPr>
  </w:style>
  <w:style w:type="paragraph" w:styleId="TOCHeading">
    <w:name w:val="TOC Heading"/>
    <w:basedOn w:val="Heading1"/>
    <w:next w:val="Normal"/>
    <w:uiPriority w:val="39"/>
    <w:unhideWhenUsed/>
    <w:qFormat/>
    <w:rsid w:val="0000078B"/>
    <w:pPr>
      <w:outlineLvl w:val="9"/>
    </w:pPr>
    <w:rPr>
      <w:rFonts w:ascii="Calibri Light" w:eastAsia="Times New Roman" w:hAnsi="Calibri Light" w:cs="Times New Roman"/>
      <w:color w:val="2E74B5"/>
      <w:lang w:val="en-US"/>
    </w:rPr>
  </w:style>
  <w:style w:type="numbering" w:customStyle="1" w:styleId="Style1">
    <w:name w:val="Style1"/>
    <w:rsid w:val="0000078B"/>
    <w:pPr>
      <w:numPr>
        <w:numId w:val="3"/>
      </w:numPr>
    </w:pPr>
  </w:style>
  <w:style w:type="numbering" w:customStyle="1" w:styleId="Style2">
    <w:name w:val="Style2"/>
    <w:rsid w:val="0000078B"/>
    <w:pPr>
      <w:numPr>
        <w:numId w:val="1"/>
      </w:numPr>
    </w:pPr>
  </w:style>
  <w:style w:type="paragraph" w:styleId="BodyTextIndent2">
    <w:name w:val="Body Text Indent 2"/>
    <w:basedOn w:val="Normal"/>
    <w:link w:val="BodyTextIndent2Char"/>
    <w:rsid w:val="0000078B"/>
    <w:pPr>
      <w:widowControl w:val="0"/>
      <w:overflowPunct w:val="0"/>
      <w:autoSpaceDE w:val="0"/>
      <w:autoSpaceDN w:val="0"/>
      <w:adjustRightInd w:val="0"/>
      <w:spacing w:after="120" w:line="480" w:lineRule="auto"/>
      <w:ind w:left="283"/>
    </w:pPr>
    <w:rPr>
      <w:rFonts w:ascii="Times New Roman" w:eastAsia="Times New Roman" w:hAnsi="Times New Roman" w:cs="Times New Roman"/>
      <w:kern w:val="28"/>
      <w:sz w:val="20"/>
      <w:szCs w:val="20"/>
      <w:lang w:eastAsia="en-GB"/>
    </w:rPr>
  </w:style>
  <w:style w:type="character" w:customStyle="1" w:styleId="BodyTextIndent2Char">
    <w:name w:val="Body Text Indent 2 Char"/>
    <w:basedOn w:val="DefaultParagraphFont"/>
    <w:link w:val="BodyTextIndent2"/>
    <w:rsid w:val="0000078B"/>
    <w:rPr>
      <w:rFonts w:ascii="Times New Roman" w:eastAsia="Times New Roman" w:hAnsi="Times New Roman" w:cs="Times New Roman"/>
      <w:kern w:val="28"/>
      <w:sz w:val="20"/>
      <w:szCs w:val="20"/>
      <w:lang w:eastAsia="en-GB"/>
    </w:rPr>
  </w:style>
  <w:style w:type="character" w:styleId="UnresolvedMention">
    <w:name w:val="Unresolved Mention"/>
    <w:uiPriority w:val="99"/>
    <w:semiHidden/>
    <w:unhideWhenUsed/>
    <w:rsid w:val="0000078B"/>
    <w:rPr>
      <w:color w:val="605E5C"/>
      <w:shd w:val="clear" w:color="auto" w:fill="E1DFDD"/>
    </w:rPr>
  </w:style>
  <w:style w:type="character" w:customStyle="1" w:styleId="normaltextrun">
    <w:name w:val="normaltextrun"/>
    <w:basedOn w:val="DefaultParagraphFont"/>
    <w:rsid w:val="00853181"/>
  </w:style>
  <w:style w:type="paragraph" w:customStyle="1" w:styleId="Standard">
    <w:name w:val="Standard"/>
    <w:rsid w:val="003638C2"/>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character" w:styleId="FootnoteReference">
    <w:name w:val="footnote reference"/>
    <w:basedOn w:val="DefaultParagraphFont"/>
    <w:uiPriority w:val="99"/>
    <w:semiHidden/>
    <w:unhideWhenUsed/>
    <w:rsid w:val="003638C2"/>
    <w:rPr>
      <w:vertAlign w:val="superscript"/>
    </w:rPr>
  </w:style>
  <w:style w:type="character" w:customStyle="1" w:styleId="eop">
    <w:name w:val="eop"/>
    <w:basedOn w:val="DefaultParagraphFont"/>
    <w:rsid w:val="00D02A2C"/>
  </w:style>
  <w:style w:type="paragraph" w:customStyle="1" w:styleId="paragraph">
    <w:name w:val="paragraph"/>
    <w:basedOn w:val="Normal"/>
    <w:rsid w:val="009C3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hidesearchterm">
    <w:name w:val="co_hidesearchterm"/>
    <w:basedOn w:val="DefaultParagraphFont"/>
    <w:rsid w:val="00BD359C"/>
  </w:style>
  <w:style w:type="character" w:styleId="Emphasis">
    <w:name w:val="Emphasis"/>
    <w:basedOn w:val="DefaultParagraphFont"/>
    <w:uiPriority w:val="20"/>
    <w:qFormat/>
    <w:rsid w:val="00BD359C"/>
    <w:rPr>
      <w:i/>
      <w:iCs/>
    </w:rPr>
  </w:style>
  <w:style w:type="paragraph" w:customStyle="1" w:styleId="BodyText1">
    <w:name w:val="Body Text1"/>
    <w:basedOn w:val="Normal"/>
    <w:qFormat/>
    <w:rsid w:val="00504695"/>
    <w:pPr>
      <w:pBdr>
        <w:top w:val="nil"/>
        <w:left w:val="nil"/>
        <w:bottom w:val="nil"/>
        <w:right w:val="nil"/>
        <w:between w:val="nil"/>
      </w:pBdr>
      <w:suppressAutoHyphens/>
      <w:spacing w:after="240" w:line="240" w:lineRule="auto"/>
    </w:pPr>
    <w:rPr>
      <w:rFonts w:asciiTheme="minorHAnsi" w:eastAsia="Helvetica Neue Light" w:hAnsiTheme="minorHAnsi" w:cs="Helvetica Neue Light"/>
      <w:sz w:val="24"/>
      <w:szCs w:val="24"/>
      <w:lang w:eastAsia="en-GB"/>
    </w:rPr>
  </w:style>
  <w:style w:type="character" w:styleId="Mention">
    <w:name w:val="Mention"/>
    <w:basedOn w:val="DefaultParagraphFont"/>
    <w:uiPriority w:val="99"/>
    <w:unhideWhenUsed/>
    <w:rsid w:val="00F231DF"/>
    <w:rPr>
      <w:color w:val="2B579A"/>
      <w:shd w:val="clear" w:color="auto" w:fill="E1DFDD"/>
    </w:rPr>
  </w:style>
  <w:style w:type="numbering" w:customStyle="1" w:styleId="Style3">
    <w:name w:val="Style3"/>
    <w:uiPriority w:val="99"/>
    <w:rsid w:val="0085680F"/>
    <w:pPr>
      <w:numPr>
        <w:numId w:val="10"/>
      </w:numPr>
    </w:pPr>
  </w:style>
  <w:style w:type="numbering" w:customStyle="1" w:styleId="CoP">
    <w:name w:val="CoP"/>
    <w:uiPriority w:val="99"/>
    <w:rsid w:val="00DB5983"/>
    <w:pPr>
      <w:numPr>
        <w:numId w:val="13"/>
      </w:numPr>
    </w:pPr>
  </w:style>
  <w:style w:type="paragraph" w:customStyle="1" w:styleId="Letters">
    <w:name w:val="Letters"/>
    <w:basedOn w:val="Head2"/>
    <w:qFormat/>
    <w:rsid w:val="00B12E3F"/>
    <w:pPr>
      <w:numPr>
        <w:ilvl w:val="2"/>
        <w:numId w:val="76"/>
      </w:numPr>
      <w:jc w:val="both"/>
    </w:pPr>
    <w:rPr>
      <w:rFonts w:cs="Arial"/>
      <w:szCs w:val="22"/>
    </w:rPr>
  </w:style>
  <w:style w:type="paragraph" w:customStyle="1" w:styleId="Numerals">
    <w:name w:val="Numerals"/>
    <w:basedOn w:val="Head2"/>
    <w:qFormat/>
    <w:rsid w:val="00B12E3F"/>
    <w:pPr>
      <w:numPr>
        <w:ilvl w:val="3"/>
        <w:numId w:val="76"/>
      </w:numPr>
      <w:jc w:val="both"/>
    </w:pPr>
    <w:rPr>
      <w:rFonts w:cs="Arial"/>
      <w:szCs w:val="22"/>
    </w:rPr>
  </w:style>
  <w:style w:type="character" w:styleId="Strong">
    <w:name w:val="Strong"/>
    <w:basedOn w:val="DefaultParagraphFont"/>
    <w:uiPriority w:val="22"/>
    <w:qFormat/>
    <w:rsid w:val="001435BC"/>
    <w:rPr>
      <w:b/>
      <w:bCs/>
    </w:rPr>
  </w:style>
  <w:style w:type="table" w:customStyle="1" w:styleId="TableGrid2">
    <w:name w:val="Table Grid2"/>
    <w:basedOn w:val="TableNormal"/>
    <w:next w:val="TableGrid"/>
    <w:uiPriority w:val="39"/>
    <w:rsid w:val="00310231"/>
    <w:pPr>
      <w:spacing w:after="0" w:line="240" w:lineRule="auto"/>
    </w:pPr>
    <w:rPr>
      <w:rFonts w:eastAsia="MS PGothic"/>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251DD8"/>
    <w:pPr>
      <w:spacing w:after="120"/>
    </w:pPr>
  </w:style>
  <w:style w:type="character" w:customStyle="1" w:styleId="BodyTextChar">
    <w:name w:val="Body Text Char"/>
    <w:basedOn w:val="DefaultParagraphFont"/>
    <w:link w:val="BodyText"/>
    <w:uiPriority w:val="99"/>
    <w:rsid w:val="00251DD8"/>
    <w:rPr>
      <w:rFonts w:ascii="Arial" w:hAnsi="Arial"/>
    </w:rPr>
  </w:style>
  <w:style w:type="character" w:customStyle="1" w:styleId="wacimagecontainer">
    <w:name w:val="wacimagecontainer"/>
    <w:basedOn w:val="DefaultParagraphFont"/>
    <w:rsid w:val="001C53BF"/>
  </w:style>
  <w:style w:type="paragraph" w:customStyle="1" w:styleId="Appendixheader">
    <w:name w:val="Appendix header"/>
    <w:basedOn w:val="Head2"/>
    <w:qFormat/>
    <w:rsid w:val="003F107F"/>
    <w:pPr>
      <w:pageBreakBefore/>
      <w:numPr>
        <w:ilvl w:val="0"/>
        <w:numId w:val="0"/>
      </w:numPr>
      <w:spacing w:before="240"/>
    </w:pPr>
    <w:rPr>
      <w:rFonts w:cs="Arial"/>
      <w:b/>
      <w:bCs/>
      <w:color w:val="009999"/>
      <w:sz w:val="24"/>
      <w:szCs w:val="24"/>
    </w:rPr>
  </w:style>
  <w:style w:type="table" w:styleId="GridTable1Light-Accent5">
    <w:name w:val="Grid Table 1 Light Accent 5"/>
    <w:basedOn w:val="TableNormal"/>
    <w:uiPriority w:val="46"/>
    <w:rsid w:val="0070054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Schedule2">
    <w:name w:val="Schedule 2"/>
    <w:qFormat/>
    <w:rsid w:val="00682698"/>
    <w:rPr>
      <w:rFonts w:ascii="Arial" w:hAnsi="Arial"/>
    </w:rPr>
  </w:style>
  <w:style w:type="paragraph" w:customStyle="1" w:styleId="Annex1header1">
    <w:name w:val="Annex 1 header 1"/>
    <w:qFormat/>
    <w:rsid w:val="00DD7538"/>
    <w:pPr>
      <w:numPr>
        <w:numId w:val="28"/>
      </w:numPr>
      <w:spacing w:after="0"/>
    </w:pPr>
    <w:rPr>
      <w:rFonts w:ascii="Arial" w:hAnsi="Arial" w:cs="Arial"/>
      <w:b/>
    </w:rPr>
  </w:style>
  <w:style w:type="paragraph" w:customStyle="1" w:styleId="Annex1text2">
    <w:name w:val="Annex 1 text 2"/>
    <w:qFormat/>
    <w:rsid w:val="001E0641"/>
    <w:pPr>
      <w:numPr>
        <w:ilvl w:val="1"/>
        <w:numId w:val="28"/>
      </w:numPr>
      <w:spacing w:after="80"/>
    </w:pPr>
    <w:rPr>
      <w:rFonts w:ascii="Arial" w:hAnsi="Arial" w:cs="Arial"/>
      <w:b/>
    </w:rPr>
  </w:style>
  <w:style w:type="character" w:customStyle="1" w:styleId="Heading4Char">
    <w:name w:val="Heading 4 Char"/>
    <w:basedOn w:val="DefaultParagraphFont"/>
    <w:link w:val="Heading4"/>
    <w:rsid w:val="00286052"/>
    <w:rPr>
      <w:rFonts w:ascii="Arial" w:eastAsia="Times New Roman" w:hAnsi="Arial" w:cs="Times New Roman"/>
      <w:bCs/>
      <w:i/>
      <w:iCs/>
      <w:sz w:val="24"/>
    </w:rPr>
  </w:style>
  <w:style w:type="character" w:customStyle="1" w:styleId="Heading5Char">
    <w:name w:val="Heading 5 Char"/>
    <w:basedOn w:val="DefaultParagraphFont"/>
    <w:link w:val="Heading5"/>
    <w:rsid w:val="00286052"/>
    <w:rPr>
      <w:rFonts w:ascii="Arial" w:eastAsia="Times New Roman" w:hAnsi="Arial" w:cs="Times New Roman"/>
      <w:b/>
      <w:sz w:val="20"/>
    </w:rPr>
  </w:style>
  <w:style w:type="character" w:customStyle="1" w:styleId="Heading6Char">
    <w:name w:val="Heading 6 Char"/>
    <w:basedOn w:val="DefaultParagraphFont"/>
    <w:link w:val="Heading6"/>
    <w:rsid w:val="00286052"/>
    <w:rPr>
      <w:rFonts w:ascii="Arial" w:eastAsia="Times New Roman" w:hAnsi="Arial" w:cs="Times New Roman"/>
      <w:i/>
      <w:iCs/>
    </w:rPr>
  </w:style>
  <w:style w:type="character" w:customStyle="1" w:styleId="Heading7Char">
    <w:name w:val="Heading 7 Char"/>
    <w:basedOn w:val="DefaultParagraphFont"/>
    <w:link w:val="Heading7"/>
    <w:rsid w:val="00286052"/>
    <w:rPr>
      <w:rFonts w:ascii="Cambria" w:eastAsia="Times New Roman" w:hAnsi="Cambria" w:cs="Times New Roman"/>
      <w:i/>
      <w:iCs/>
      <w:color w:val="404040"/>
    </w:rPr>
  </w:style>
  <w:style w:type="character" w:customStyle="1" w:styleId="Heading8Char">
    <w:name w:val="Heading 8 Char"/>
    <w:basedOn w:val="DefaultParagraphFont"/>
    <w:link w:val="Heading8"/>
    <w:rsid w:val="00286052"/>
    <w:rPr>
      <w:rFonts w:ascii="Times New Roman" w:eastAsia="Times New Roman" w:hAnsi="Times New Roman" w:cs="Times New Roman"/>
      <w:i/>
      <w:iCs/>
      <w:sz w:val="24"/>
      <w:szCs w:val="24"/>
      <w:lang w:val="x-none"/>
    </w:rPr>
  </w:style>
  <w:style w:type="character" w:customStyle="1" w:styleId="Heading9Char">
    <w:name w:val="Heading 9 Char"/>
    <w:basedOn w:val="DefaultParagraphFont"/>
    <w:link w:val="Heading9"/>
    <w:rsid w:val="00286052"/>
    <w:rPr>
      <w:rFonts w:ascii="Arial" w:eastAsia="Times New Roman" w:hAnsi="Arial" w:cs="Times New Roman"/>
      <w:lang w:val="x-none"/>
    </w:rPr>
  </w:style>
  <w:style w:type="table" w:customStyle="1" w:styleId="TableGrid1">
    <w:name w:val="Table Grid1"/>
    <w:basedOn w:val="TableNormal"/>
    <w:next w:val="TableGrid"/>
    <w:uiPriority w:val="59"/>
    <w:rsid w:val="0028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28605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286052"/>
    <w:rPr>
      <w:rFonts w:ascii="Calibri" w:eastAsia="Calibri" w:hAnsi="Calibri" w:cs="Times New Roman"/>
      <w:sz w:val="20"/>
      <w:szCs w:val="20"/>
    </w:rPr>
  </w:style>
  <w:style w:type="paragraph" w:customStyle="1" w:styleId="Normal1">
    <w:name w:val="Normal1"/>
    <w:rsid w:val="00286052"/>
    <w:pPr>
      <w:spacing w:after="0" w:line="240" w:lineRule="auto"/>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286052"/>
  </w:style>
  <w:style w:type="paragraph" w:customStyle="1" w:styleId="ReportTitle">
    <w:name w:val="Report Title"/>
    <w:basedOn w:val="Normal"/>
    <w:uiPriority w:val="1"/>
    <w:rsid w:val="00286052"/>
    <w:pPr>
      <w:spacing w:after="0" w:line="620" w:lineRule="exact"/>
    </w:pPr>
    <w:rPr>
      <w:rFonts w:ascii="Calibri" w:eastAsia="Calibri" w:hAnsi="Calibri" w:cs="Calibri"/>
      <w:color w:val="000000"/>
      <w:sz w:val="56"/>
      <w:szCs w:val="20"/>
    </w:rPr>
  </w:style>
  <w:style w:type="paragraph" w:customStyle="1" w:styleId="BlueBodyText">
    <w:name w:val="Blue Body Text"/>
    <w:basedOn w:val="Normal"/>
    <w:uiPriority w:val="2"/>
    <w:qFormat/>
    <w:rsid w:val="00286052"/>
    <w:pPr>
      <w:spacing w:line="280" w:lineRule="exact"/>
    </w:pPr>
    <w:rPr>
      <w:rFonts w:ascii="Calibri" w:eastAsia="Calibri" w:hAnsi="Calibri" w:cs="Calibri"/>
      <w:color w:val="9BBB59"/>
      <w:szCs w:val="20"/>
    </w:rPr>
  </w:style>
  <w:style w:type="paragraph" w:customStyle="1" w:styleId="ContactDetails">
    <w:name w:val="Contact Details"/>
    <w:basedOn w:val="Normal"/>
    <w:uiPriority w:val="1"/>
    <w:rsid w:val="00286052"/>
    <w:pPr>
      <w:spacing w:after="0" w:line="280" w:lineRule="exact"/>
    </w:pPr>
    <w:rPr>
      <w:rFonts w:ascii="Calibri" w:eastAsia="Calibri" w:hAnsi="Calibri" w:cs="Calibri"/>
      <w:color w:val="000000"/>
      <w:sz w:val="28"/>
      <w:szCs w:val="20"/>
    </w:rPr>
  </w:style>
  <w:style w:type="table" w:customStyle="1" w:styleId="LightShading1">
    <w:name w:val="Light Shading1"/>
    <w:basedOn w:val="TableNormal"/>
    <w:next w:val="LightShading"/>
    <w:uiPriority w:val="60"/>
    <w:rsid w:val="0028605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Number">
    <w:name w:val="List Number"/>
    <w:basedOn w:val="BodyText"/>
    <w:uiPriority w:val="99"/>
    <w:unhideWhenUsed/>
    <w:qFormat/>
    <w:rsid w:val="00AA0D6A"/>
    <w:pPr>
      <w:numPr>
        <w:numId w:val="37"/>
      </w:numPr>
      <w:tabs>
        <w:tab w:val="num" w:pos="360"/>
      </w:tabs>
      <w:spacing w:after="165" w:line="260" w:lineRule="atLeast"/>
    </w:pPr>
    <w:rPr>
      <w:rFonts w:eastAsia="Calibri" w:cs="Times New Roman"/>
    </w:rPr>
  </w:style>
  <w:style w:type="numbering" w:customStyle="1" w:styleId="HCANumbering1">
    <w:name w:val="HCA Numbering1"/>
    <w:basedOn w:val="NoList"/>
    <w:uiPriority w:val="99"/>
    <w:rsid w:val="00286052"/>
    <w:pPr>
      <w:numPr>
        <w:numId w:val="34"/>
      </w:numPr>
    </w:pPr>
  </w:style>
  <w:style w:type="paragraph" w:customStyle="1" w:styleId="msolistparagraph0">
    <w:name w:val="msolistparagraph"/>
    <w:basedOn w:val="Normal"/>
    <w:uiPriority w:val="99"/>
    <w:rsid w:val="00286052"/>
    <w:pPr>
      <w:spacing w:after="0" w:line="240" w:lineRule="auto"/>
      <w:ind w:left="720"/>
    </w:pPr>
    <w:rPr>
      <w:rFonts w:ascii="Calibri" w:eastAsia="Times New Roman" w:hAnsi="Calibri" w:cs="Times New Roman"/>
      <w:lang w:eastAsia="en-GB"/>
    </w:rPr>
  </w:style>
  <w:style w:type="paragraph" w:styleId="ListContinue">
    <w:name w:val="List Continue"/>
    <w:basedOn w:val="Normal"/>
    <w:uiPriority w:val="99"/>
    <w:unhideWhenUsed/>
    <w:qFormat/>
    <w:rsid w:val="00286052"/>
    <w:pPr>
      <w:spacing w:after="165" w:line="260" w:lineRule="atLeast"/>
      <w:ind w:left="851"/>
    </w:pPr>
    <w:rPr>
      <w:rFonts w:eastAsia="Calibri" w:cs="Times New Roman"/>
    </w:rPr>
  </w:style>
  <w:style w:type="paragraph" w:styleId="ListContinue2">
    <w:name w:val="List Continue 2"/>
    <w:basedOn w:val="Normal"/>
    <w:uiPriority w:val="99"/>
    <w:unhideWhenUsed/>
    <w:qFormat/>
    <w:rsid w:val="00286052"/>
    <w:pPr>
      <w:spacing w:after="165" w:line="260" w:lineRule="atLeast"/>
      <w:ind w:left="1276"/>
    </w:pPr>
    <w:rPr>
      <w:rFonts w:eastAsia="Calibri" w:cs="Times New Roman"/>
    </w:rPr>
  </w:style>
  <w:style w:type="paragraph" w:styleId="ListBullet">
    <w:name w:val="List Bullet"/>
    <w:basedOn w:val="Normal"/>
    <w:uiPriority w:val="99"/>
    <w:unhideWhenUsed/>
    <w:qFormat/>
    <w:rsid w:val="00AA0D6A"/>
    <w:pPr>
      <w:tabs>
        <w:tab w:val="num" w:pos="1276"/>
        <w:tab w:val="num" w:pos="1419"/>
      </w:tabs>
      <w:spacing w:after="165" w:line="260" w:lineRule="atLeast"/>
      <w:ind w:left="1419" w:hanging="284"/>
    </w:pPr>
    <w:rPr>
      <w:rFonts w:eastAsia="Calibri" w:cs="Times New Roman"/>
    </w:rPr>
  </w:style>
  <w:style w:type="paragraph" w:styleId="Title">
    <w:name w:val="Title"/>
    <w:basedOn w:val="Normal"/>
    <w:next w:val="Normal"/>
    <w:link w:val="TitleChar"/>
    <w:uiPriority w:val="10"/>
    <w:qFormat/>
    <w:rsid w:val="00286052"/>
    <w:pPr>
      <w:spacing w:after="180" w:line="240" w:lineRule="auto"/>
    </w:pPr>
    <w:rPr>
      <w:rFonts w:eastAsia="Times New Roman" w:cs="Times New Roman"/>
      <w:b/>
      <w:caps/>
      <w:color w:val="FFFFFF"/>
      <w:kern w:val="28"/>
      <w:sz w:val="60"/>
      <w:szCs w:val="52"/>
    </w:rPr>
  </w:style>
  <w:style w:type="character" w:customStyle="1" w:styleId="TitleChar">
    <w:name w:val="Title Char"/>
    <w:basedOn w:val="DefaultParagraphFont"/>
    <w:link w:val="Title"/>
    <w:uiPriority w:val="10"/>
    <w:rsid w:val="00286052"/>
    <w:rPr>
      <w:rFonts w:ascii="Arial" w:eastAsia="Times New Roman" w:hAnsi="Arial" w:cs="Times New Roman"/>
      <w:b/>
      <w:caps/>
      <w:color w:val="FFFFFF"/>
      <w:kern w:val="28"/>
      <w:sz w:val="60"/>
      <w:szCs w:val="52"/>
    </w:rPr>
  </w:style>
  <w:style w:type="paragraph" w:styleId="Subtitle">
    <w:name w:val="Subtitle"/>
    <w:basedOn w:val="Normal"/>
    <w:next w:val="Normal"/>
    <w:link w:val="SubtitleChar"/>
    <w:uiPriority w:val="11"/>
    <w:qFormat/>
    <w:rsid w:val="00286052"/>
    <w:pPr>
      <w:numPr>
        <w:ilvl w:val="1"/>
      </w:numPr>
      <w:spacing w:after="0" w:line="240" w:lineRule="auto"/>
    </w:pPr>
    <w:rPr>
      <w:rFonts w:eastAsia="Times New Roman" w:cs="Times New Roman"/>
      <w:iCs/>
      <w:color w:val="FFFFFF"/>
      <w:sz w:val="40"/>
      <w:szCs w:val="24"/>
    </w:rPr>
  </w:style>
  <w:style w:type="character" w:customStyle="1" w:styleId="SubtitleChar">
    <w:name w:val="Subtitle Char"/>
    <w:basedOn w:val="DefaultParagraphFont"/>
    <w:link w:val="Subtitle"/>
    <w:uiPriority w:val="11"/>
    <w:rsid w:val="00286052"/>
    <w:rPr>
      <w:rFonts w:ascii="Arial" w:eastAsia="Times New Roman" w:hAnsi="Arial" w:cs="Times New Roman"/>
      <w:iCs/>
      <w:color w:val="FFFFFF"/>
      <w:sz w:val="40"/>
      <w:szCs w:val="24"/>
    </w:rPr>
  </w:style>
  <w:style w:type="table" w:customStyle="1" w:styleId="Blank">
    <w:name w:val="Blank"/>
    <w:basedOn w:val="TableNormal"/>
    <w:uiPriority w:val="99"/>
    <w:rsid w:val="00286052"/>
    <w:pPr>
      <w:spacing w:after="0" w:line="240" w:lineRule="auto"/>
    </w:pPr>
    <w:rPr>
      <w:rFonts w:ascii="Cambria" w:eastAsia="Calibri" w:hAnsi="Cambria" w:cs="Times New Roman"/>
      <w:sz w:val="20"/>
      <w:szCs w:val="20"/>
      <w:lang w:eastAsia="en-GB"/>
    </w:rPr>
    <w:tblPr>
      <w:tblCellMar>
        <w:left w:w="0" w:type="dxa"/>
        <w:right w:w="0" w:type="dxa"/>
      </w:tblCellMar>
    </w:tblPr>
  </w:style>
  <w:style w:type="paragraph" w:customStyle="1" w:styleId="Version">
    <w:name w:val="Version"/>
    <w:basedOn w:val="Normal"/>
    <w:qFormat/>
    <w:rsid w:val="00286052"/>
    <w:pPr>
      <w:spacing w:after="0" w:line="240" w:lineRule="auto"/>
    </w:pPr>
    <w:rPr>
      <w:rFonts w:eastAsia="Calibri" w:cs="Times New Roman"/>
      <w:color w:val="FFFFFF"/>
      <w:sz w:val="24"/>
    </w:rPr>
  </w:style>
  <w:style w:type="paragraph" w:customStyle="1" w:styleId="NumberedHeading">
    <w:name w:val="Numbered Heading"/>
    <w:basedOn w:val="Normal"/>
    <w:next w:val="NumberedParagraph"/>
    <w:qFormat/>
    <w:rsid w:val="00AA0D6A"/>
    <w:pPr>
      <w:keepNext/>
      <w:tabs>
        <w:tab w:val="num" w:pos="709"/>
        <w:tab w:val="num" w:pos="851"/>
      </w:tabs>
      <w:spacing w:after="200" w:line="240" w:lineRule="auto"/>
      <w:ind w:left="709" w:hanging="709"/>
    </w:pPr>
    <w:rPr>
      <w:rFonts w:eastAsia="Calibri" w:cs="Times New Roman"/>
      <w:b/>
      <w:color w:val="155697"/>
      <w:sz w:val="32"/>
    </w:rPr>
  </w:style>
  <w:style w:type="paragraph" w:customStyle="1" w:styleId="NumberedParagraph">
    <w:name w:val="Numbered Paragraph"/>
    <w:basedOn w:val="BodyText"/>
    <w:qFormat/>
    <w:rsid w:val="00AA0D6A"/>
    <w:pPr>
      <w:tabs>
        <w:tab w:val="num" w:pos="851"/>
        <w:tab w:val="num" w:pos="979"/>
      </w:tabs>
      <w:spacing w:after="165" w:line="260" w:lineRule="atLeast"/>
      <w:ind w:left="680" w:hanging="680"/>
    </w:pPr>
    <w:rPr>
      <w:rFonts w:eastAsia="Calibri" w:cs="Times New Roman"/>
    </w:rPr>
  </w:style>
  <w:style w:type="numbering" w:customStyle="1" w:styleId="HCANumbering">
    <w:name w:val="HCA Numbering"/>
    <w:basedOn w:val="NoList"/>
    <w:uiPriority w:val="99"/>
    <w:rsid w:val="00286052"/>
    <w:pPr>
      <w:numPr>
        <w:numId w:val="32"/>
      </w:numPr>
    </w:pPr>
  </w:style>
  <w:style w:type="numbering" w:customStyle="1" w:styleId="HCABullets">
    <w:name w:val="HCA Bullets"/>
    <w:basedOn w:val="NoList"/>
    <w:uiPriority w:val="99"/>
    <w:rsid w:val="00286052"/>
    <w:pPr>
      <w:numPr>
        <w:numId w:val="33"/>
      </w:numPr>
    </w:pPr>
  </w:style>
  <w:style w:type="paragraph" w:customStyle="1" w:styleId="FigureHeading">
    <w:name w:val="Figure Heading"/>
    <w:basedOn w:val="Normal"/>
    <w:next w:val="BodyText2"/>
    <w:qFormat/>
    <w:rsid w:val="00286052"/>
    <w:pPr>
      <w:keepNext/>
      <w:tabs>
        <w:tab w:val="num" w:pos="1419"/>
      </w:tabs>
      <w:spacing w:after="120" w:line="240" w:lineRule="auto"/>
      <w:ind w:left="1419" w:hanging="709"/>
    </w:pPr>
    <w:rPr>
      <w:rFonts w:eastAsia="Calibri" w:cs="Times New Roman"/>
      <w:b/>
      <w:color w:val="155697"/>
      <w:sz w:val="20"/>
    </w:rPr>
  </w:style>
  <w:style w:type="paragraph" w:customStyle="1" w:styleId="Notes">
    <w:name w:val="Notes"/>
    <w:basedOn w:val="BodyText"/>
    <w:qFormat/>
    <w:rsid w:val="00286052"/>
    <w:pPr>
      <w:tabs>
        <w:tab w:val="left" w:pos="851"/>
      </w:tabs>
      <w:spacing w:after="165" w:line="240" w:lineRule="atLeast"/>
      <w:ind w:left="1702" w:hanging="851"/>
    </w:pPr>
    <w:rPr>
      <w:rFonts w:eastAsia="Calibri" w:cs="Times New Roman"/>
      <w:sz w:val="20"/>
    </w:rPr>
  </w:style>
  <w:style w:type="paragraph" w:customStyle="1" w:styleId="TableHeading">
    <w:name w:val="Table Heading"/>
    <w:basedOn w:val="Normal"/>
    <w:next w:val="BodyText2"/>
    <w:qFormat/>
    <w:rsid w:val="00286052"/>
    <w:pPr>
      <w:keepNext/>
      <w:tabs>
        <w:tab w:val="num" w:pos="2126"/>
      </w:tabs>
      <w:spacing w:after="120" w:line="240" w:lineRule="auto"/>
      <w:ind w:left="2126" w:hanging="708"/>
    </w:pPr>
    <w:rPr>
      <w:rFonts w:eastAsia="Calibri" w:cs="Times New Roman"/>
      <w:b/>
      <w:color w:val="155697"/>
      <w:sz w:val="20"/>
    </w:rPr>
  </w:style>
  <w:style w:type="paragraph" w:customStyle="1" w:styleId="MapHeading">
    <w:name w:val="Map Heading"/>
    <w:basedOn w:val="Normal"/>
    <w:next w:val="BodyText2"/>
    <w:qFormat/>
    <w:rsid w:val="00286052"/>
    <w:pPr>
      <w:keepNext/>
      <w:tabs>
        <w:tab w:val="num" w:pos="2836"/>
      </w:tabs>
      <w:spacing w:after="120" w:line="240" w:lineRule="auto"/>
      <w:ind w:left="2836" w:hanging="709"/>
    </w:pPr>
    <w:rPr>
      <w:rFonts w:eastAsia="Calibri" w:cs="Times New Roman"/>
      <w:b/>
      <w:color w:val="155697"/>
      <w:sz w:val="20"/>
    </w:rPr>
  </w:style>
  <w:style w:type="paragraph" w:customStyle="1" w:styleId="TableText">
    <w:name w:val="Table Text"/>
    <w:basedOn w:val="Normal"/>
    <w:qFormat/>
    <w:rsid w:val="00286052"/>
    <w:pPr>
      <w:spacing w:after="0" w:line="240" w:lineRule="auto"/>
    </w:pPr>
    <w:rPr>
      <w:rFonts w:eastAsia="Calibri" w:cs="Times New Roman"/>
      <w:sz w:val="20"/>
    </w:rPr>
  </w:style>
  <w:style w:type="paragraph" w:customStyle="1" w:styleId="ColumnHeading">
    <w:name w:val="Column Heading"/>
    <w:basedOn w:val="Normal"/>
    <w:qFormat/>
    <w:rsid w:val="00286052"/>
    <w:pPr>
      <w:spacing w:after="0" w:line="240" w:lineRule="auto"/>
    </w:pPr>
    <w:rPr>
      <w:rFonts w:eastAsia="Calibri" w:cs="Times New Roman"/>
      <w:b/>
      <w:sz w:val="20"/>
    </w:rPr>
  </w:style>
  <w:style w:type="paragraph" w:customStyle="1" w:styleId="Glossary">
    <w:name w:val="Glossary"/>
    <w:basedOn w:val="BodyText"/>
    <w:qFormat/>
    <w:rsid w:val="00286052"/>
    <w:pPr>
      <w:tabs>
        <w:tab w:val="left" w:pos="1134"/>
        <w:tab w:val="left" w:pos="1701"/>
      </w:tabs>
      <w:spacing w:after="165" w:line="260" w:lineRule="atLeast"/>
    </w:pPr>
    <w:rPr>
      <w:rFonts w:eastAsia="Calibri" w:cs="Times New Roman"/>
    </w:rPr>
  </w:style>
  <w:style w:type="paragraph" w:customStyle="1" w:styleId="SignOff">
    <w:name w:val="Sign Off"/>
    <w:basedOn w:val="Normal"/>
    <w:qFormat/>
    <w:rsid w:val="00286052"/>
    <w:pPr>
      <w:spacing w:after="0" w:line="240" w:lineRule="auto"/>
    </w:pPr>
    <w:rPr>
      <w:rFonts w:eastAsia="Calibri" w:cs="Times New Roman"/>
      <w:sz w:val="20"/>
    </w:rPr>
  </w:style>
  <w:style w:type="paragraph" w:customStyle="1" w:styleId="SignOffHeading">
    <w:name w:val="Sign Off Heading"/>
    <w:basedOn w:val="Normal"/>
    <w:next w:val="SignOff"/>
    <w:qFormat/>
    <w:rsid w:val="00286052"/>
    <w:pPr>
      <w:spacing w:after="0" w:line="240" w:lineRule="auto"/>
    </w:pPr>
    <w:rPr>
      <w:rFonts w:eastAsia="Calibri" w:cs="Times New Roman"/>
      <w:b/>
      <w:sz w:val="20"/>
    </w:rPr>
  </w:style>
  <w:style w:type="paragraph" w:styleId="Date">
    <w:name w:val="Date"/>
    <w:basedOn w:val="Normal"/>
    <w:next w:val="Normal"/>
    <w:link w:val="DateChar"/>
    <w:uiPriority w:val="99"/>
    <w:rsid w:val="00286052"/>
    <w:pPr>
      <w:spacing w:after="0" w:line="240" w:lineRule="auto"/>
    </w:pPr>
    <w:rPr>
      <w:rFonts w:eastAsia="Calibri" w:cs="Times New Roman"/>
      <w:color w:val="696968"/>
      <w:sz w:val="14"/>
    </w:rPr>
  </w:style>
  <w:style w:type="character" w:customStyle="1" w:styleId="DateChar">
    <w:name w:val="Date Char"/>
    <w:basedOn w:val="DefaultParagraphFont"/>
    <w:link w:val="Date"/>
    <w:uiPriority w:val="99"/>
    <w:rsid w:val="00286052"/>
    <w:rPr>
      <w:rFonts w:ascii="Arial" w:eastAsia="Calibri" w:hAnsi="Arial" w:cs="Times New Roman"/>
      <w:color w:val="696968"/>
      <w:sz w:val="14"/>
    </w:rPr>
  </w:style>
  <w:style w:type="numbering" w:customStyle="1" w:styleId="HCAListNumbers">
    <w:name w:val="HCA List Numbers"/>
    <w:basedOn w:val="NoList"/>
    <w:uiPriority w:val="99"/>
    <w:rsid w:val="00286052"/>
    <w:pPr>
      <w:numPr>
        <w:numId w:val="35"/>
      </w:numPr>
    </w:pPr>
  </w:style>
  <w:style w:type="paragraph" w:customStyle="1" w:styleId="TableParagraph">
    <w:name w:val="Table Paragraph"/>
    <w:basedOn w:val="Normal"/>
    <w:uiPriority w:val="1"/>
    <w:qFormat/>
    <w:rsid w:val="00286052"/>
    <w:pPr>
      <w:widowControl w:val="0"/>
      <w:spacing w:after="0" w:line="240" w:lineRule="auto"/>
    </w:pPr>
    <w:rPr>
      <w:rFonts w:ascii="Calibri" w:eastAsia="Calibri" w:hAnsi="Calibri" w:cs="Times New Roman"/>
      <w:lang w:val="en-US"/>
    </w:rPr>
  </w:style>
  <w:style w:type="paragraph" w:customStyle="1" w:styleId="Sub-heading">
    <w:name w:val="Sub-heading"/>
    <w:basedOn w:val="Heading1"/>
    <w:next w:val="Heading1"/>
    <w:rsid w:val="00286052"/>
    <w:pPr>
      <w:keepLines w:val="0"/>
      <w:tabs>
        <w:tab w:val="num" w:pos="540"/>
        <w:tab w:val="left" w:pos="1152"/>
      </w:tabs>
      <w:spacing w:before="100" w:beforeAutospacing="1" w:after="60" w:line="240" w:lineRule="auto"/>
      <w:ind w:left="252" w:hanging="72"/>
    </w:pPr>
    <w:rPr>
      <w:rFonts w:ascii="Univers" w:eastAsia="Times New Roman" w:hAnsi="Univers" w:cs="Arial"/>
      <w:b/>
      <w:bCs/>
      <w:color w:val="808080"/>
      <w:kern w:val="32"/>
      <w:sz w:val="28"/>
      <w:szCs w:val="24"/>
      <w:lang w:val="x-none"/>
    </w:rPr>
  </w:style>
  <w:style w:type="paragraph" w:customStyle="1" w:styleId="Blockquote">
    <w:name w:val="Blockquote"/>
    <w:basedOn w:val="Normal"/>
    <w:rsid w:val="00286052"/>
    <w:pPr>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Sub-Sub-Heading">
    <w:name w:val="Sub-Sub-Heading"/>
    <w:basedOn w:val="BodyText"/>
    <w:rsid w:val="00286052"/>
    <w:pPr>
      <w:autoSpaceDE w:val="0"/>
      <w:autoSpaceDN w:val="0"/>
      <w:adjustRightInd w:val="0"/>
      <w:spacing w:after="0" w:line="240" w:lineRule="auto"/>
      <w:jc w:val="both"/>
    </w:pPr>
    <w:rPr>
      <w:rFonts w:ascii="Univers" w:eastAsia="Times New Roman" w:hAnsi="Univers" w:cs="Arial"/>
      <w:b/>
      <w:color w:val="808080"/>
      <w:sz w:val="24"/>
      <w:szCs w:val="24"/>
      <w:u w:val="single"/>
      <w:lang w:val="en-US" w:eastAsia="x-none"/>
    </w:rPr>
  </w:style>
  <w:style w:type="paragraph" w:customStyle="1" w:styleId="Body">
    <w:name w:val="Body"/>
    <w:basedOn w:val="Normal"/>
    <w:rsid w:val="00286052"/>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Style1Char">
    <w:name w:val="Style1 Char"/>
    <w:rsid w:val="00286052"/>
    <w:rPr>
      <w:rFonts w:ascii="Arial" w:eastAsia="Times New Roman" w:hAnsi="Arial" w:cs="Times New Roman"/>
      <w:b/>
      <w:bCs/>
      <w:kern w:val="0"/>
      <w14:ligatures w14:val="none"/>
    </w:rPr>
  </w:style>
  <w:style w:type="paragraph" w:customStyle="1" w:styleId="Unformatteed">
    <w:name w:val="Unformatteed"/>
    <w:basedOn w:val="Normal"/>
    <w:rsid w:val="00286052"/>
    <w:pPr>
      <w:tabs>
        <w:tab w:val="left" w:pos="851"/>
      </w:tabs>
      <w:spacing w:after="0" w:line="240" w:lineRule="auto"/>
      <w:jc w:val="both"/>
    </w:pPr>
    <w:rPr>
      <w:rFonts w:eastAsia="Times New Roman" w:cs="Arial"/>
      <w:sz w:val="18"/>
      <w:szCs w:val="18"/>
    </w:rPr>
  </w:style>
  <w:style w:type="paragraph" w:styleId="BodyTextIndent3">
    <w:name w:val="Body Text Indent 3"/>
    <w:basedOn w:val="Normal"/>
    <w:link w:val="BodyTextIndent3Char"/>
    <w:rsid w:val="00286052"/>
    <w:pPr>
      <w:tabs>
        <w:tab w:val="left" w:pos="-1440"/>
        <w:tab w:val="left" w:pos="-720"/>
      </w:tabs>
      <w:suppressAutoHyphens/>
      <w:spacing w:after="0" w:line="240" w:lineRule="auto"/>
      <w:ind w:left="720"/>
      <w:jc w:val="both"/>
    </w:pPr>
    <w:rPr>
      <w:rFonts w:ascii="Times New Roman" w:eastAsia="Times New Roman" w:hAnsi="Times New Roman" w:cs="Times New Roman"/>
      <w:spacing w:val="-3"/>
      <w:sz w:val="24"/>
      <w:szCs w:val="24"/>
    </w:rPr>
  </w:style>
  <w:style w:type="character" w:customStyle="1" w:styleId="BodyTextIndent3Char">
    <w:name w:val="Body Text Indent 3 Char"/>
    <w:basedOn w:val="DefaultParagraphFont"/>
    <w:link w:val="BodyTextIndent3"/>
    <w:rsid w:val="00286052"/>
    <w:rPr>
      <w:rFonts w:ascii="Times New Roman" w:eastAsia="Times New Roman" w:hAnsi="Times New Roman" w:cs="Times New Roman"/>
      <w:spacing w:val="-3"/>
      <w:sz w:val="24"/>
      <w:szCs w:val="24"/>
    </w:rPr>
  </w:style>
  <w:style w:type="paragraph" w:customStyle="1" w:styleId="Schedule">
    <w:name w:val="Schedule"/>
    <w:basedOn w:val="Normal"/>
    <w:next w:val="BodyText"/>
    <w:rsid w:val="0038252D"/>
    <w:pPr>
      <w:numPr>
        <w:numId w:val="35"/>
      </w:numPr>
      <w:spacing w:after="240" w:line="240" w:lineRule="auto"/>
    </w:pPr>
    <w:rPr>
      <w:rFonts w:eastAsia="Times New Roman" w:cs="Times New Roman"/>
      <w:b/>
      <w:sz w:val="28"/>
      <w:szCs w:val="20"/>
    </w:rPr>
  </w:style>
  <w:style w:type="paragraph" w:customStyle="1" w:styleId="CommentaryText">
    <w:name w:val="CommentaryText"/>
    <w:basedOn w:val="Normal"/>
    <w:next w:val="Normal"/>
    <w:link w:val="CommentaryTextChar"/>
    <w:rsid w:val="00286052"/>
    <w:pPr>
      <w:spacing w:after="120" w:line="240" w:lineRule="auto"/>
    </w:pPr>
    <w:rPr>
      <w:rFonts w:eastAsia="Times New Roman" w:cs="Times New Roman"/>
      <w:i/>
      <w:sz w:val="18"/>
      <w:szCs w:val="20"/>
      <w:lang w:val="x-none" w:eastAsia="en-GB"/>
    </w:rPr>
  </w:style>
  <w:style w:type="character" w:customStyle="1" w:styleId="CommentaryTextChar">
    <w:name w:val="CommentaryText Char"/>
    <w:link w:val="CommentaryText"/>
    <w:rsid w:val="00286052"/>
    <w:rPr>
      <w:rFonts w:ascii="Arial" w:eastAsia="Times New Roman" w:hAnsi="Arial" w:cs="Times New Roman"/>
      <w:i/>
      <w:sz w:val="18"/>
      <w:szCs w:val="20"/>
      <w:lang w:val="x-none" w:eastAsia="en-GB"/>
    </w:rPr>
  </w:style>
  <w:style w:type="table" w:customStyle="1" w:styleId="LightShading-Accent21">
    <w:name w:val="Light Shading - Accent 21"/>
    <w:basedOn w:val="TableNormal"/>
    <w:next w:val="LightShading-Accent2"/>
    <w:uiPriority w:val="60"/>
    <w:rsid w:val="00286052"/>
    <w:pPr>
      <w:spacing w:after="0" w:line="240" w:lineRule="auto"/>
    </w:pPr>
    <w:rPr>
      <w:rFonts w:ascii="Corbel" w:hAnsi="Corbel"/>
      <w:color w:val="92D050"/>
      <w:sz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BookTitle">
    <w:name w:val="Book Title"/>
    <w:basedOn w:val="DefaultParagraphFont"/>
    <w:uiPriority w:val="33"/>
    <w:qFormat/>
    <w:rsid w:val="00286052"/>
    <w:rPr>
      <w:b/>
      <w:bCs/>
      <w:smallCaps/>
      <w:spacing w:val="5"/>
    </w:rPr>
  </w:style>
  <w:style w:type="table" w:customStyle="1" w:styleId="MediumShading11">
    <w:name w:val="Medium Shading 11"/>
    <w:basedOn w:val="TableNormal"/>
    <w:next w:val="MediumShading1"/>
    <w:uiPriority w:val="63"/>
    <w:rsid w:val="00286052"/>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Shading">
    <w:name w:val="Light Shading"/>
    <w:basedOn w:val="TableNormal"/>
    <w:uiPriority w:val="60"/>
    <w:semiHidden/>
    <w:unhideWhenUsed/>
    <w:rsid w:val="00286052"/>
    <w:pPr>
      <w:spacing w:after="0" w:line="240" w:lineRule="auto"/>
    </w:pPr>
    <w:rPr>
      <w:color w:val="000000" w:themeColor="text1" w:themeShade="BF"/>
      <w:kern w:val="2"/>
      <w14:ligatures w14:val="standardContextua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286052"/>
    <w:pPr>
      <w:spacing w:after="0" w:line="240" w:lineRule="auto"/>
    </w:pPr>
    <w:rPr>
      <w:color w:val="C45911" w:themeColor="accent2" w:themeShade="BF"/>
      <w:kern w:val="2"/>
      <w14:ligatures w14:val="standardContextual"/>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Shading1">
    <w:name w:val="Medium Shading 1"/>
    <w:basedOn w:val="TableNormal"/>
    <w:uiPriority w:val="63"/>
    <w:semiHidden/>
    <w:unhideWhenUsed/>
    <w:rsid w:val="00286052"/>
    <w:pPr>
      <w:spacing w:after="0" w:line="240" w:lineRule="auto"/>
    </w:pPr>
    <w:rPr>
      <w:kern w:val="2"/>
      <w14:ligatures w14:val="standardContextu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286052"/>
  </w:style>
  <w:style w:type="table" w:customStyle="1" w:styleId="TableGrid3">
    <w:name w:val="Table Grid3"/>
    <w:basedOn w:val="TableNormal"/>
    <w:next w:val="TableGrid"/>
    <w:uiPriority w:val="59"/>
    <w:rsid w:val="00286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8605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HCANumbering11">
    <w:name w:val="HCA Numbering11"/>
    <w:basedOn w:val="NoList"/>
    <w:uiPriority w:val="99"/>
    <w:rsid w:val="00286052"/>
  </w:style>
  <w:style w:type="numbering" w:customStyle="1" w:styleId="HCANumbering2">
    <w:name w:val="HCA Numbering2"/>
    <w:basedOn w:val="NoList"/>
    <w:uiPriority w:val="99"/>
    <w:rsid w:val="00286052"/>
  </w:style>
  <w:style w:type="numbering" w:customStyle="1" w:styleId="HCABullets1">
    <w:name w:val="HCA Bullets1"/>
    <w:basedOn w:val="NoList"/>
    <w:uiPriority w:val="99"/>
    <w:rsid w:val="00286052"/>
  </w:style>
  <w:style w:type="numbering" w:customStyle="1" w:styleId="HCAListNumbers1">
    <w:name w:val="HCA List Numbers1"/>
    <w:basedOn w:val="NoList"/>
    <w:uiPriority w:val="99"/>
    <w:rsid w:val="00286052"/>
  </w:style>
  <w:style w:type="table" w:customStyle="1" w:styleId="LightShading-Accent22">
    <w:name w:val="Light Shading - Accent 22"/>
    <w:basedOn w:val="TableNormal"/>
    <w:next w:val="LightShading-Accent2"/>
    <w:uiPriority w:val="60"/>
    <w:rsid w:val="00286052"/>
    <w:pPr>
      <w:spacing w:after="0" w:line="240" w:lineRule="auto"/>
    </w:pPr>
    <w:rPr>
      <w:rFonts w:ascii="Corbel" w:hAnsi="Corbel"/>
      <w:color w:val="92D050"/>
      <w:sz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2">
    <w:name w:val="Medium Shading 12"/>
    <w:basedOn w:val="TableNormal"/>
    <w:next w:val="MediumShading1"/>
    <w:uiPriority w:val="63"/>
    <w:rsid w:val="00286052"/>
    <w:pPr>
      <w:spacing w:after="0" w:line="240" w:lineRule="auto"/>
    </w:p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WWNum35">
    <w:name w:val="WWNum35"/>
    <w:basedOn w:val="NoList"/>
    <w:rsid w:val="00286052"/>
    <w:pPr>
      <w:numPr>
        <w:numId w:val="36"/>
      </w:numPr>
    </w:pPr>
  </w:style>
  <w:style w:type="numbering" w:customStyle="1" w:styleId="WWNum36">
    <w:name w:val="WWNum36"/>
    <w:basedOn w:val="NoList"/>
    <w:rsid w:val="00286052"/>
    <w:pPr>
      <w:numPr>
        <w:numId w:val="48"/>
      </w:numPr>
    </w:pPr>
  </w:style>
  <w:style w:type="numbering" w:customStyle="1" w:styleId="WWNum5">
    <w:name w:val="WWNum5"/>
    <w:basedOn w:val="NoList"/>
    <w:rsid w:val="00286052"/>
    <w:pPr>
      <w:numPr>
        <w:numId w:val="49"/>
      </w:numPr>
    </w:pPr>
  </w:style>
  <w:style w:type="numbering" w:customStyle="1" w:styleId="WWNum10">
    <w:name w:val="WWNum10"/>
    <w:basedOn w:val="NoList"/>
    <w:rsid w:val="00286052"/>
    <w:pPr>
      <w:numPr>
        <w:numId w:val="38"/>
      </w:numPr>
    </w:pPr>
  </w:style>
  <w:style w:type="numbering" w:customStyle="1" w:styleId="WWNum19">
    <w:name w:val="WWNum19"/>
    <w:basedOn w:val="NoList"/>
    <w:rsid w:val="00286052"/>
    <w:pPr>
      <w:numPr>
        <w:numId w:val="39"/>
      </w:numPr>
    </w:pPr>
  </w:style>
  <w:style w:type="numbering" w:customStyle="1" w:styleId="WWNum24">
    <w:name w:val="WWNum24"/>
    <w:basedOn w:val="NoList"/>
    <w:rsid w:val="00286052"/>
    <w:pPr>
      <w:numPr>
        <w:numId w:val="40"/>
      </w:numPr>
    </w:pPr>
  </w:style>
  <w:style w:type="numbering" w:customStyle="1" w:styleId="WWNum38">
    <w:name w:val="WWNum38"/>
    <w:basedOn w:val="NoList"/>
    <w:rsid w:val="00286052"/>
    <w:pPr>
      <w:numPr>
        <w:numId w:val="71"/>
      </w:numPr>
    </w:pPr>
  </w:style>
  <w:style w:type="numbering" w:customStyle="1" w:styleId="WWNum39">
    <w:name w:val="WWNum39"/>
    <w:basedOn w:val="NoList"/>
    <w:rsid w:val="00286052"/>
    <w:pPr>
      <w:numPr>
        <w:numId w:val="54"/>
      </w:numPr>
    </w:pPr>
  </w:style>
  <w:style w:type="numbering" w:customStyle="1" w:styleId="WWNum41">
    <w:name w:val="WWNum41"/>
    <w:basedOn w:val="NoList"/>
    <w:rsid w:val="00286052"/>
    <w:pPr>
      <w:numPr>
        <w:numId w:val="55"/>
      </w:numPr>
    </w:pPr>
  </w:style>
  <w:style w:type="numbering" w:customStyle="1" w:styleId="WWNum3">
    <w:name w:val="WWNum3"/>
    <w:basedOn w:val="NoList"/>
    <w:rsid w:val="00286052"/>
    <w:pPr>
      <w:numPr>
        <w:numId w:val="56"/>
      </w:numPr>
    </w:pPr>
  </w:style>
  <w:style w:type="numbering" w:customStyle="1" w:styleId="WWNum20">
    <w:name w:val="WWNum20"/>
    <w:basedOn w:val="NoList"/>
    <w:rsid w:val="00286052"/>
    <w:pPr>
      <w:numPr>
        <w:numId w:val="41"/>
      </w:numPr>
    </w:pPr>
  </w:style>
  <w:style w:type="numbering" w:customStyle="1" w:styleId="WWNum40">
    <w:name w:val="WWNum40"/>
    <w:basedOn w:val="NoList"/>
    <w:rsid w:val="00286052"/>
    <w:pPr>
      <w:numPr>
        <w:numId w:val="42"/>
      </w:numPr>
    </w:pPr>
  </w:style>
  <w:style w:type="numbering" w:customStyle="1" w:styleId="WWNum42">
    <w:name w:val="WWNum42"/>
    <w:basedOn w:val="NoList"/>
    <w:rsid w:val="00286052"/>
    <w:pPr>
      <w:numPr>
        <w:numId w:val="43"/>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286052"/>
    <w:rPr>
      <w:rFonts w:ascii="Arial" w:hAnsi="Arial"/>
    </w:rPr>
  </w:style>
  <w:style w:type="paragraph" w:customStyle="1" w:styleId="legclearfix">
    <w:name w:val="legclearfix"/>
    <w:basedOn w:val="Normal"/>
    <w:rsid w:val="002860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286052"/>
  </w:style>
  <w:style w:type="character" w:customStyle="1" w:styleId="legterm">
    <w:name w:val="legterm"/>
    <w:basedOn w:val="DefaultParagraphFont"/>
    <w:rsid w:val="00286052"/>
  </w:style>
  <w:style w:type="paragraph" w:customStyle="1" w:styleId="legrhs">
    <w:name w:val="legrhs"/>
    <w:basedOn w:val="Normal"/>
    <w:rsid w:val="002860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listtextstandard">
    <w:name w:val="leglisttextstandard"/>
    <w:basedOn w:val="Normal"/>
    <w:rsid w:val="002860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286052"/>
  </w:style>
  <w:style w:type="character" w:customStyle="1" w:styleId="cf01">
    <w:name w:val="cf01"/>
    <w:basedOn w:val="DefaultParagraphFont"/>
    <w:rsid w:val="004A74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5451">
      <w:bodyDiv w:val="1"/>
      <w:marLeft w:val="0"/>
      <w:marRight w:val="0"/>
      <w:marTop w:val="0"/>
      <w:marBottom w:val="0"/>
      <w:divBdr>
        <w:top w:val="none" w:sz="0" w:space="0" w:color="auto"/>
        <w:left w:val="none" w:sz="0" w:space="0" w:color="auto"/>
        <w:bottom w:val="none" w:sz="0" w:space="0" w:color="auto"/>
        <w:right w:val="none" w:sz="0" w:space="0" w:color="auto"/>
      </w:divBdr>
      <w:divsChild>
        <w:div w:id="34431387">
          <w:marLeft w:val="0"/>
          <w:marRight w:val="0"/>
          <w:marTop w:val="0"/>
          <w:marBottom w:val="0"/>
          <w:divBdr>
            <w:top w:val="none" w:sz="0" w:space="0" w:color="auto"/>
            <w:left w:val="none" w:sz="0" w:space="0" w:color="auto"/>
            <w:bottom w:val="none" w:sz="0" w:space="0" w:color="auto"/>
            <w:right w:val="none" w:sz="0" w:space="0" w:color="auto"/>
          </w:divBdr>
          <w:divsChild>
            <w:div w:id="221605719">
              <w:marLeft w:val="0"/>
              <w:marRight w:val="0"/>
              <w:marTop w:val="0"/>
              <w:marBottom w:val="0"/>
              <w:divBdr>
                <w:top w:val="none" w:sz="0" w:space="0" w:color="auto"/>
                <w:left w:val="none" w:sz="0" w:space="0" w:color="auto"/>
                <w:bottom w:val="none" w:sz="0" w:space="0" w:color="auto"/>
                <w:right w:val="none" w:sz="0" w:space="0" w:color="auto"/>
              </w:divBdr>
            </w:div>
            <w:div w:id="284624219">
              <w:marLeft w:val="0"/>
              <w:marRight w:val="0"/>
              <w:marTop w:val="0"/>
              <w:marBottom w:val="0"/>
              <w:divBdr>
                <w:top w:val="none" w:sz="0" w:space="0" w:color="auto"/>
                <w:left w:val="none" w:sz="0" w:space="0" w:color="auto"/>
                <w:bottom w:val="none" w:sz="0" w:space="0" w:color="auto"/>
                <w:right w:val="none" w:sz="0" w:space="0" w:color="auto"/>
              </w:divBdr>
            </w:div>
          </w:divsChild>
        </w:div>
        <w:div w:id="1192184292">
          <w:marLeft w:val="0"/>
          <w:marRight w:val="0"/>
          <w:marTop w:val="0"/>
          <w:marBottom w:val="0"/>
          <w:divBdr>
            <w:top w:val="none" w:sz="0" w:space="0" w:color="auto"/>
            <w:left w:val="none" w:sz="0" w:space="0" w:color="auto"/>
            <w:bottom w:val="none" w:sz="0" w:space="0" w:color="auto"/>
            <w:right w:val="none" w:sz="0" w:space="0" w:color="auto"/>
          </w:divBdr>
          <w:divsChild>
            <w:div w:id="165050758">
              <w:marLeft w:val="0"/>
              <w:marRight w:val="0"/>
              <w:marTop w:val="0"/>
              <w:marBottom w:val="0"/>
              <w:divBdr>
                <w:top w:val="none" w:sz="0" w:space="0" w:color="auto"/>
                <w:left w:val="none" w:sz="0" w:space="0" w:color="auto"/>
                <w:bottom w:val="none" w:sz="0" w:space="0" w:color="auto"/>
                <w:right w:val="none" w:sz="0" w:space="0" w:color="auto"/>
              </w:divBdr>
            </w:div>
            <w:div w:id="450981526">
              <w:marLeft w:val="0"/>
              <w:marRight w:val="0"/>
              <w:marTop w:val="0"/>
              <w:marBottom w:val="0"/>
              <w:divBdr>
                <w:top w:val="none" w:sz="0" w:space="0" w:color="auto"/>
                <w:left w:val="none" w:sz="0" w:space="0" w:color="auto"/>
                <w:bottom w:val="none" w:sz="0" w:space="0" w:color="auto"/>
                <w:right w:val="none" w:sz="0" w:space="0" w:color="auto"/>
              </w:divBdr>
            </w:div>
            <w:div w:id="519929017">
              <w:marLeft w:val="0"/>
              <w:marRight w:val="0"/>
              <w:marTop w:val="0"/>
              <w:marBottom w:val="0"/>
              <w:divBdr>
                <w:top w:val="none" w:sz="0" w:space="0" w:color="auto"/>
                <w:left w:val="none" w:sz="0" w:space="0" w:color="auto"/>
                <w:bottom w:val="none" w:sz="0" w:space="0" w:color="auto"/>
                <w:right w:val="none" w:sz="0" w:space="0" w:color="auto"/>
              </w:divBdr>
            </w:div>
            <w:div w:id="1486507534">
              <w:marLeft w:val="0"/>
              <w:marRight w:val="0"/>
              <w:marTop w:val="0"/>
              <w:marBottom w:val="0"/>
              <w:divBdr>
                <w:top w:val="none" w:sz="0" w:space="0" w:color="auto"/>
                <w:left w:val="none" w:sz="0" w:space="0" w:color="auto"/>
                <w:bottom w:val="none" w:sz="0" w:space="0" w:color="auto"/>
                <w:right w:val="none" w:sz="0" w:space="0" w:color="auto"/>
              </w:divBdr>
            </w:div>
            <w:div w:id="2088375742">
              <w:marLeft w:val="0"/>
              <w:marRight w:val="0"/>
              <w:marTop w:val="0"/>
              <w:marBottom w:val="0"/>
              <w:divBdr>
                <w:top w:val="none" w:sz="0" w:space="0" w:color="auto"/>
                <w:left w:val="none" w:sz="0" w:space="0" w:color="auto"/>
                <w:bottom w:val="none" w:sz="0" w:space="0" w:color="auto"/>
                <w:right w:val="none" w:sz="0" w:space="0" w:color="auto"/>
              </w:divBdr>
            </w:div>
          </w:divsChild>
        </w:div>
        <w:div w:id="1219129186">
          <w:marLeft w:val="0"/>
          <w:marRight w:val="0"/>
          <w:marTop w:val="0"/>
          <w:marBottom w:val="0"/>
          <w:divBdr>
            <w:top w:val="none" w:sz="0" w:space="0" w:color="auto"/>
            <w:left w:val="none" w:sz="0" w:space="0" w:color="auto"/>
            <w:bottom w:val="none" w:sz="0" w:space="0" w:color="auto"/>
            <w:right w:val="none" w:sz="0" w:space="0" w:color="auto"/>
          </w:divBdr>
          <w:divsChild>
            <w:div w:id="256835693">
              <w:marLeft w:val="0"/>
              <w:marRight w:val="0"/>
              <w:marTop w:val="0"/>
              <w:marBottom w:val="0"/>
              <w:divBdr>
                <w:top w:val="none" w:sz="0" w:space="0" w:color="auto"/>
                <w:left w:val="none" w:sz="0" w:space="0" w:color="auto"/>
                <w:bottom w:val="none" w:sz="0" w:space="0" w:color="auto"/>
                <w:right w:val="none" w:sz="0" w:space="0" w:color="auto"/>
              </w:divBdr>
            </w:div>
            <w:div w:id="357397087">
              <w:marLeft w:val="0"/>
              <w:marRight w:val="0"/>
              <w:marTop w:val="0"/>
              <w:marBottom w:val="0"/>
              <w:divBdr>
                <w:top w:val="none" w:sz="0" w:space="0" w:color="auto"/>
                <w:left w:val="none" w:sz="0" w:space="0" w:color="auto"/>
                <w:bottom w:val="none" w:sz="0" w:space="0" w:color="auto"/>
                <w:right w:val="none" w:sz="0" w:space="0" w:color="auto"/>
              </w:divBdr>
            </w:div>
            <w:div w:id="945499897">
              <w:marLeft w:val="0"/>
              <w:marRight w:val="0"/>
              <w:marTop w:val="0"/>
              <w:marBottom w:val="0"/>
              <w:divBdr>
                <w:top w:val="none" w:sz="0" w:space="0" w:color="auto"/>
                <w:left w:val="none" w:sz="0" w:space="0" w:color="auto"/>
                <w:bottom w:val="none" w:sz="0" w:space="0" w:color="auto"/>
                <w:right w:val="none" w:sz="0" w:space="0" w:color="auto"/>
              </w:divBdr>
            </w:div>
            <w:div w:id="1202667699">
              <w:marLeft w:val="0"/>
              <w:marRight w:val="0"/>
              <w:marTop w:val="0"/>
              <w:marBottom w:val="0"/>
              <w:divBdr>
                <w:top w:val="none" w:sz="0" w:space="0" w:color="auto"/>
                <w:left w:val="none" w:sz="0" w:space="0" w:color="auto"/>
                <w:bottom w:val="none" w:sz="0" w:space="0" w:color="auto"/>
                <w:right w:val="none" w:sz="0" w:space="0" w:color="auto"/>
              </w:divBdr>
            </w:div>
            <w:div w:id="1667785366">
              <w:marLeft w:val="0"/>
              <w:marRight w:val="0"/>
              <w:marTop w:val="0"/>
              <w:marBottom w:val="0"/>
              <w:divBdr>
                <w:top w:val="none" w:sz="0" w:space="0" w:color="auto"/>
                <w:left w:val="none" w:sz="0" w:space="0" w:color="auto"/>
                <w:bottom w:val="none" w:sz="0" w:space="0" w:color="auto"/>
                <w:right w:val="none" w:sz="0" w:space="0" w:color="auto"/>
              </w:divBdr>
            </w:div>
          </w:divsChild>
        </w:div>
        <w:div w:id="1893732743">
          <w:marLeft w:val="0"/>
          <w:marRight w:val="0"/>
          <w:marTop w:val="0"/>
          <w:marBottom w:val="0"/>
          <w:divBdr>
            <w:top w:val="none" w:sz="0" w:space="0" w:color="auto"/>
            <w:left w:val="none" w:sz="0" w:space="0" w:color="auto"/>
            <w:bottom w:val="none" w:sz="0" w:space="0" w:color="auto"/>
            <w:right w:val="none" w:sz="0" w:space="0" w:color="auto"/>
          </w:divBdr>
          <w:divsChild>
            <w:div w:id="850485778">
              <w:marLeft w:val="0"/>
              <w:marRight w:val="0"/>
              <w:marTop w:val="0"/>
              <w:marBottom w:val="0"/>
              <w:divBdr>
                <w:top w:val="none" w:sz="0" w:space="0" w:color="auto"/>
                <w:left w:val="none" w:sz="0" w:space="0" w:color="auto"/>
                <w:bottom w:val="none" w:sz="0" w:space="0" w:color="auto"/>
                <w:right w:val="none" w:sz="0" w:space="0" w:color="auto"/>
              </w:divBdr>
            </w:div>
            <w:div w:id="1558667874">
              <w:marLeft w:val="0"/>
              <w:marRight w:val="0"/>
              <w:marTop w:val="0"/>
              <w:marBottom w:val="0"/>
              <w:divBdr>
                <w:top w:val="none" w:sz="0" w:space="0" w:color="auto"/>
                <w:left w:val="none" w:sz="0" w:space="0" w:color="auto"/>
                <w:bottom w:val="none" w:sz="0" w:space="0" w:color="auto"/>
                <w:right w:val="none" w:sz="0" w:space="0" w:color="auto"/>
              </w:divBdr>
            </w:div>
            <w:div w:id="17424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1748">
      <w:bodyDiv w:val="1"/>
      <w:marLeft w:val="0"/>
      <w:marRight w:val="0"/>
      <w:marTop w:val="0"/>
      <w:marBottom w:val="0"/>
      <w:divBdr>
        <w:top w:val="none" w:sz="0" w:space="0" w:color="auto"/>
        <w:left w:val="none" w:sz="0" w:space="0" w:color="auto"/>
        <w:bottom w:val="none" w:sz="0" w:space="0" w:color="auto"/>
        <w:right w:val="none" w:sz="0" w:space="0" w:color="auto"/>
      </w:divBdr>
    </w:div>
    <w:div w:id="91321022">
      <w:bodyDiv w:val="1"/>
      <w:marLeft w:val="0"/>
      <w:marRight w:val="0"/>
      <w:marTop w:val="0"/>
      <w:marBottom w:val="0"/>
      <w:divBdr>
        <w:top w:val="none" w:sz="0" w:space="0" w:color="auto"/>
        <w:left w:val="none" w:sz="0" w:space="0" w:color="auto"/>
        <w:bottom w:val="none" w:sz="0" w:space="0" w:color="auto"/>
        <w:right w:val="none" w:sz="0" w:space="0" w:color="auto"/>
      </w:divBdr>
    </w:div>
    <w:div w:id="124351596">
      <w:bodyDiv w:val="1"/>
      <w:marLeft w:val="0"/>
      <w:marRight w:val="0"/>
      <w:marTop w:val="0"/>
      <w:marBottom w:val="0"/>
      <w:divBdr>
        <w:top w:val="none" w:sz="0" w:space="0" w:color="auto"/>
        <w:left w:val="none" w:sz="0" w:space="0" w:color="auto"/>
        <w:bottom w:val="none" w:sz="0" w:space="0" w:color="auto"/>
        <w:right w:val="none" w:sz="0" w:space="0" w:color="auto"/>
      </w:divBdr>
    </w:div>
    <w:div w:id="152450705">
      <w:bodyDiv w:val="1"/>
      <w:marLeft w:val="0"/>
      <w:marRight w:val="0"/>
      <w:marTop w:val="0"/>
      <w:marBottom w:val="0"/>
      <w:divBdr>
        <w:top w:val="none" w:sz="0" w:space="0" w:color="auto"/>
        <w:left w:val="none" w:sz="0" w:space="0" w:color="auto"/>
        <w:bottom w:val="none" w:sz="0" w:space="0" w:color="auto"/>
        <w:right w:val="none" w:sz="0" w:space="0" w:color="auto"/>
      </w:divBdr>
    </w:div>
    <w:div w:id="170143185">
      <w:bodyDiv w:val="1"/>
      <w:marLeft w:val="0"/>
      <w:marRight w:val="0"/>
      <w:marTop w:val="0"/>
      <w:marBottom w:val="0"/>
      <w:divBdr>
        <w:top w:val="none" w:sz="0" w:space="0" w:color="auto"/>
        <w:left w:val="none" w:sz="0" w:space="0" w:color="auto"/>
        <w:bottom w:val="none" w:sz="0" w:space="0" w:color="auto"/>
        <w:right w:val="none" w:sz="0" w:space="0" w:color="auto"/>
      </w:divBdr>
    </w:div>
    <w:div w:id="220100607">
      <w:bodyDiv w:val="1"/>
      <w:marLeft w:val="0"/>
      <w:marRight w:val="0"/>
      <w:marTop w:val="0"/>
      <w:marBottom w:val="0"/>
      <w:divBdr>
        <w:top w:val="none" w:sz="0" w:space="0" w:color="auto"/>
        <w:left w:val="none" w:sz="0" w:space="0" w:color="auto"/>
        <w:bottom w:val="none" w:sz="0" w:space="0" w:color="auto"/>
        <w:right w:val="none" w:sz="0" w:space="0" w:color="auto"/>
      </w:divBdr>
    </w:div>
    <w:div w:id="225336717">
      <w:bodyDiv w:val="1"/>
      <w:marLeft w:val="0"/>
      <w:marRight w:val="0"/>
      <w:marTop w:val="0"/>
      <w:marBottom w:val="0"/>
      <w:divBdr>
        <w:top w:val="none" w:sz="0" w:space="0" w:color="auto"/>
        <w:left w:val="none" w:sz="0" w:space="0" w:color="auto"/>
        <w:bottom w:val="none" w:sz="0" w:space="0" w:color="auto"/>
        <w:right w:val="none" w:sz="0" w:space="0" w:color="auto"/>
      </w:divBdr>
    </w:div>
    <w:div w:id="229771471">
      <w:bodyDiv w:val="1"/>
      <w:marLeft w:val="0"/>
      <w:marRight w:val="0"/>
      <w:marTop w:val="0"/>
      <w:marBottom w:val="0"/>
      <w:divBdr>
        <w:top w:val="none" w:sz="0" w:space="0" w:color="auto"/>
        <w:left w:val="none" w:sz="0" w:space="0" w:color="auto"/>
        <w:bottom w:val="none" w:sz="0" w:space="0" w:color="auto"/>
        <w:right w:val="none" w:sz="0" w:space="0" w:color="auto"/>
      </w:divBdr>
    </w:div>
    <w:div w:id="235752948">
      <w:bodyDiv w:val="1"/>
      <w:marLeft w:val="0"/>
      <w:marRight w:val="0"/>
      <w:marTop w:val="0"/>
      <w:marBottom w:val="0"/>
      <w:divBdr>
        <w:top w:val="none" w:sz="0" w:space="0" w:color="auto"/>
        <w:left w:val="none" w:sz="0" w:space="0" w:color="auto"/>
        <w:bottom w:val="none" w:sz="0" w:space="0" w:color="auto"/>
        <w:right w:val="none" w:sz="0" w:space="0" w:color="auto"/>
      </w:divBdr>
    </w:div>
    <w:div w:id="240796137">
      <w:bodyDiv w:val="1"/>
      <w:marLeft w:val="0"/>
      <w:marRight w:val="0"/>
      <w:marTop w:val="0"/>
      <w:marBottom w:val="0"/>
      <w:divBdr>
        <w:top w:val="none" w:sz="0" w:space="0" w:color="auto"/>
        <w:left w:val="none" w:sz="0" w:space="0" w:color="auto"/>
        <w:bottom w:val="none" w:sz="0" w:space="0" w:color="auto"/>
        <w:right w:val="none" w:sz="0" w:space="0" w:color="auto"/>
      </w:divBdr>
    </w:div>
    <w:div w:id="269555706">
      <w:bodyDiv w:val="1"/>
      <w:marLeft w:val="0"/>
      <w:marRight w:val="0"/>
      <w:marTop w:val="0"/>
      <w:marBottom w:val="0"/>
      <w:divBdr>
        <w:top w:val="none" w:sz="0" w:space="0" w:color="auto"/>
        <w:left w:val="none" w:sz="0" w:space="0" w:color="auto"/>
        <w:bottom w:val="none" w:sz="0" w:space="0" w:color="auto"/>
        <w:right w:val="none" w:sz="0" w:space="0" w:color="auto"/>
      </w:divBdr>
    </w:div>
    <w:div w:id="295718592">
      <w:bodyDiv w:val="1"/>
      <w:marLeft w:val="0"/>
      <w:marRight w:val="0"/>
      <w:marTop w:val="0"/>
      <w:marBottom w:val="0"/>
      <w:divBdr>
        <w:top w:val="none" w:sz="0" w:space="0" w:color="auto"/>
        <w:left w:val="none" w:sz="0" w:space="0" w:color="auto"/>
        <w:bottom w:val="none" w:sz="0" w:space="0" w:color="auto"/>
        <w:right w:val="none" w:sz="0" w:space="0" w:color="auto"/>
      </w:divBdr>
      <w:divsChild>
        <w:div w:id="689454882">
          <w:marLeft w:val="274"/>
          <w:marRight w:val="0"/>
          <w:marTop w:val="0"/>
          <w:marBottom w:val="0"/>
          <w:divBdr>
            <w:top w:val="none" w:sz="0" w:space="0" w:color="auto"/>
            <w:left w:val="none" w:sz="0" w:space="0" w:color="auto"/>
            <w:bottom w:val="none" w:sz="0" w:space="0" w:color="auto"/>
            <w:right w:val="none" w:sz="0" w:space="0" w:color="auto"/>
          </w:divBdr>
        </w:div>
      </w:divsChild>
    </w:div>
    <w:div w:id="305089402">
      <w:bodyDiv w:val="1"/>
      <w:marLeft w:val="0"/>
      <w:marRight w:val="0"/>
      <w:marTop w:val="0"/>
      <w:marBottom w:val="0"/>
      <w:divBdr>
        <w:top w:val="none" w:sz="0" w:space="0" w:color="auto"/>
        <w:left w:val="none" w:sz="0" w:space="0" w:color="auto"/>
        <w:bottom w:val="none" w:sz="0" w:space="0" w:color="auto"/>
        <w:right w:val="none" w:sz="0" w:space="0" w:color="auto"/>
      </w:divBdr>
      <w:divsChild>
        <w:div w:id="518542899">
          <w:marLeft w:val="446"/>
          <w:marRight w:val="0"/>
          <w:marTop w:val="0"/>
          <w:marBottom w:val="160"/>
          <w:divBdr>
            <w:top w:val="none" w:sz="0" w:space="0" w:color="auto"/>
            <w:left w:val="none" w:sz="0" w:space="0" w:color="auto"/>
            <w:bottom w:val="none" w:sz="0" w:space="0" w:color="auto"/>
            <w:right w:val="none" w:sz="0" w:space="0" w:color="auto"/>
          </w:divBdr>
        </w:div>
        <w:div w:id="1034843130">
          <w:marLeft w:val="446"/>
          <w:marRight w:val="0"/>
          <w:marTop w:val="0"/>
          <w:marBottom w:val="160"/>
          <w:divBdr>
            <w:top w:val="none" w:sz="0" w:space="0" w:color="auto"/>
            <w:left w:val="none" w:sz="0" w:space="0" w:color="auto"/>
            <w:bottom w:val="none" w:sz="0" w:space="0" w:color="auto"/>
            <w:right w:val="none" w:sz="0" w:space="0" w:color="auto"/>
          </w:divBdr>
        </w:div>
        <w:div w:id="1487165869">
          <w:marLeft w:val="446"/>
          <w:marRight w:val="0"/>
          <w:marTop w:val="0"/>
          <w:marBottom w:val="160"/>
          <w:divBdr>
            <w:top w:val="none" w:sz="0" w:space="0" w:color="auto"/>
            <w:left w:val="none" w:sz="0" w:space="0" w:color="auto"/>
            <w:bottom w:val="none" w:sz="0" w:space="0" w:color="auto"/>
            <w:right w:val="none" w:sz="0" w:space="0" w:color="auto"/>
          </w:divBdr>
        </w:div>
        <w:div w:id="1950579889">
          <w:marLeft w:val="446"/>
          <w:marRight w:val="0"/>
          <w:marTop w:val="0"/>
          <w:marBottom w:val="160"/>
          <w:divBdr>
            <w:top w:val="none" w:sz="0" w:space="0" w:color="auto"/>
            <w:left w:val="none" w:sz="0" w:space="0" w:color="auto"/>
            <w:bottom w:val="none" w:sz="0" w:space="0" w:color="auto"/>
            <w:right w:val="none" w:sz="0" w:space="0" w:color="auto"/>
          </w:divBdr>
        </w:div>
      </w:divsChild>
    </w:div>
    <w:div w:id="321396489">
      <w:bodyDiv w:val="1"/>
      <w:marLeft w:val="0"/>
      <w:marRight w:val="0"/>
      <w:marTop w:val="0"/>
      <w:marBottom w:val="0"/>
      <w:divBdr>
        <w:top w:val="none" w:sz="0" w:space="0" w:color="auto"/>
        <w:left w:val="none" w:sz="0" w:space="0" w:color="auto"/>
        <w:bottom w:val="none" w:sz="0" w:space="0" w:color="auto"/>
        <w:right w:val="none" w:sz="0" w:space="0" w:color="auto"/>
      </w:divBdr>
    </w:div>
    <w:div w:id="344865541">
      <w:bodyDiv w:val="1"/>
      <w:marLeft w:val="0"/>
      <w:marRight w:val="0"/>
      <w:marTop w:val="0"/>
      <w:marBottom w:val="0"/>
      <w:divBdr>
        <w:top w:val="none" w:sz="0" w:space="0" w:color="auto"/>
        <w:left w:val="none" w:sz="0" w:space="0" w:color="auto"/>
        <w:bottom w:val="none" w:sz="0" w:space="0" w:color="auto"/>
        <w:right w:val="none" w:sz="0" w:space="0" w:color="auto"/>
      </w:divBdr>
    </w:div>
    <w:div w:id="408695028">
      <w:bodyDiv w:val="1"/>
      <w:marLeft w:val="0"/>
      <w:marRight w:val="0"/>
      <w:marTop w:val="0"/>
      <w:marBottom w:val="0"/>
      <w:divBdr>
        <w:top w:val="none" w:sz="0" w:space="0" w:color="auto"/>
        <w:left w:val="none" w:sz="0" w:space="0" w:color="auto"/>
        <w:bottom w:val="none" w:sz="0" w:space="0" w:color="auto"/>
        <w:right w:val="none" w:sz="0" w:space="0" w:color="auto"/>
      </w:divBdr>
    </w:div>
    <w:div w:id="410855427">
      <w:bodyDiv w:val="1"/>
      <w:marLeft w:val="0"/>
      <w:marRight w:val="0"/>
      <w:marTop w:val="0"/>
      <w:marBottom w:val="0"/>
      <w:divBdr>
        <w:top w:val="none" w:sz="0" w:space="0" w:color="auto"/>
        <w:left w:val="none" w:sz="0" w:space="0" w:color="auto"/>
        <w:bottom w:val="none" w:sz="0" w:space="0" w:color="auto"/>
        <w:right w:val="none" w:sz="0" w:space="0" w:color="auto"/>
      </w:divBdr>
    </w:div>
    <w:div w:id="418143266">
      <w:bodyDiv w:val="1"/>
      <w:marLeft w:val="0"/>
      <w:marRight w:val="0"/>
      <w:marTop w:val="0"/>
      <w:marBottom w:val="0"/>
      <w:divBdr>
        <w:top w:val="none" w:sz="0" w:space="0" w:color="auto"/>
        <w:left w:val="none" w:sz="0" w:space="0" w:color="auto"/>
        <w:bottom w:val="none" w:sz="0" w:space="0" w:color="auto"/>
        <w:right w:val="none" w:sz="0" w:space="0" w:color="auto"/>
      </w:divBdr>
    </w:div>
    <w:div w:id="420107024">
      <w:bodyDiv w:val="1"/>
      <w:marLeft w:val="0"/>
      <w:marRight w:val="0"/>
      <w:marTop w:val="0"/>
      <w:marBottom w:val="0"/>
      <w:divBdr>
        <w:top w:val="none" w:sz="0" w:space="0" w:color="auto"/>
        <w:left w:val="none" w:sz="0" w:space="0" w:color="auto"/>
        <w:bottom w:val="none" w:sz="0" w:space="0" w:color="auto"/>
        <w:right w:val="none" w:sz="0" w:space="0" w:color="auto"/>
      </w:divBdr>
    </w:div>
    <w:div w:id="429005074">
      <w:bodyDiv w:val="1"/>
      <w:marLeft w:val="0"/>
      <w:marRight w:val="0"/>
      <w:marTop w:val="0"/>
      <w:marBottom w:val="0"/>
      <w:divBdr>
        <w:top w:val="none" w:sz="0" w:space="0" w:color="auto"/>
        <w:left w:val="none" w:sz="0" w:space="0" w:color="auto"/>
        <w:bottom w:val="none" w:sz="0" w:space="0" w:color="auto"/>
        <w:right w:val="none" w:sz="0" w:space="0" w:color="auto"/>
      </w:divBdr>
    </w:div>
    <w:div w:id="457798787">
      <w:bodyDiv w:val="1"/>
      <w:marLeft w:val="0"/>
      <w:marRight w:val="0"/>
      <w:marTop w:val="0"/>
      <w:marBottom w:val="0"/>
      <w:divBdr>
        <w:top w:val="none" w:sz="0" w:space="0" w:color="auto"/>
        <w:left w:val="none" w:sz="0" w:space="0" w:color="auto"/>
        <w:bottom w:val="none" w:sz="0" w:space="0" w:color="auto"/>
        <w:right w:val="none" w:sz="0" w:space="0" w:color="auto"/>
      </w:divBdr>
      <w:divsChild>
        <w:div w:id="134104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549216">
      <w:bodyDiv w:val="1"/>
      <w:marLeft w:val="0"/>
      <w:marRight w:val="0"/>
      <w:marTop w:val="0"/>
      <w:marBottom w:val="0"/>
      <w:divBdr>
        <w:top w:val="none" w:sz="0" w:space="0" w:color="auto"/>
        <w:left w:val="none" w:sz="0" w:space="0" w:color="auto"/>
        <w:bottom w:val="none" w:sz="0" w:space="0" w:color="auto"/>
        <w:right w:val="none" w:sz="0" w:space="0" w:color="auto"/>
      </w:divBdr>
    </w:div>
    <w:div w:id="469323287">
      <w:bodyDiv w:val="1"/>
      <w:marLeft w:val="0"/>
      <w:marRight w:val="0"/>
      <w:marTop w:val="0"/>
      <w:marBottom w:val="0"/>
      <w:divBdr>
        <w:top w:val="none" w:sz="0" w:space="0" w:color="auto"/>
        <w:left w:val="none" w:sz="0" w:space="0" w:color="auto"/>
        <w:bottom w:val="none" w:sz="0" w:space="0" w:color="auto"/>
        <w:right w:val="none" w:sz="0" w:space="0" w:color="auto"/>
      </w:divBdr>
    </w:div>
    <w:div w:id="539780308">
      <w:bodyDiv w:val="1"/>
      <w:marLeft w:val="0"/>
      <w:marRight w:val="0"/>
      <w:marTop w:val="0"/>
      <w:marBottom w:val="0"/>
      <w:divBdr>
        <w:top w:val="none" w:sz="0" w:space="0" w:color="auto"/>
        <w:left w:val="none" w:sz="0" w:space="0" w:color="auto"/>
        <w:bottom w:val="none" w:sz="0" w:space="0" w:color="auto"/>
        <w:right w:val="none" w:sz="0" w:space="0" w:color="auto"/>
      </w:divBdr>
      <w:divsChild>
        <w:div w:id="333192381">
          <w:marLeft w:val="274"/>
          <w:marRight w:val="0"/>
          <w:marTop w:val="120"/>
          <w:marBottom w:val="160"/>
          <w:divBdr>
            <w:top w:val="none" w:sz="0" w:space="0" w:color="auto"/>
            <w:left w:val="none" w:sz="0" w:space="0" w:color="auto"/>
            <w:bottom w:val="none" w:sz="0" w:space="0" w:color="auto"/>
            <w:right w:val="none" w:sz="0" w:space="0" w:color="auto"/>
          </w:divBdr>
        </w:div>
        <w:div w:id="1010066858">
          <w:marLeft w:val="274"/>
          <w:marRight w:val="0"/>
          <w:marTop w:val="120"/>
          <w:marBottom w:val="160"/>
          <w:divBdr>
            <w:top w:val="none" w:sz="0" w:space="0" w:color="auto"/>
            <w:left w:val="none" w:sz="0" w:space="0" w:color="auto"/>
            <w:bottom w:val="none" w:sz="0" w:space="0" w:color="auto"/>
            <w:right w:val="none" w:sz="0" w:space="0" w:color="auto"/>
          </w:divBdr>
        </w:div>
      </w:divsChild>
    </w:div>
    <w:div w:id="541332971">
      <w:bodyDiv w:val="1"/>
      <w:marLeft w:val="0"/>
      <w:marRight w:val="0"/>
      <w:marTop w:val="0"/>
      <w:marBottom w:val="0"/>
      <w:divBdr>
        <w:top w:val="none" w:sz="0" w:space="0" w:color="auto"/>
        <w:left w:val="none" w:sz="0" w:space="0" w:color="auto"/>
        <w:bottom w:val="none" w:sz="0" w:space="0" w:color="auto"/>
        <w:right w:val="none" w:sz="0" w:space="0" w:color="auto"/>
      </w:divBdr>
    </w:div>
    <w:div w:id="612058009">
      <w:bodyDiv w:val="1"/>
      <w:marLeft w:val="0"/>
      <w:marRight w:val="0"/>
      <w:marTop w:val="0"/>
      <w:marBottom w:val="0"/>
      <w:divBdr>
        <w:top w:val="none" w:sz="0" w:space="0" w:color="auto"/>
        <w:left w:val="none" w:sz="0" w:space="0" w:color="auto"/>
        <w:bottom w:val="none" w:sz="0" w:space="0" w:color="auto"/>
        <w:right w:val="none" w:sz="0" w:space="0" w:color="auto"/>
      </w:divBdr>
    </w:div>
    <w:div w:id="613950360">
      <w:bodyDiv w:val="1"/>
      <w:marLeft w:val="0"/>
      <w:marRight w:val="0"/>
      <w:marTop w:val="0"/>
      <w:marBottom w:val="0"/>
      <w:divBdr>
        <w:top w:val="none" w:sz="0" w:space="0" w:color="auto"/>
        <w:left w:val="none" w:sz="0" w:space="0" w:color="auto"/>
        <w:bottom w:val="none" w:sz="0" w:space="0" w:color="auto"/>
        <w:right w:val="none" w:sz="0" w:space="0" w:color="auto"/>
      </w:divBdr>
    </w:div>
    <w:div w:id="676734607">
      <w:bodyDiv w:val="1"/>
      <w:marLeft w:val="0"/>
      <w:marRight w:val="0"/>
      <w:marTop w:val="0"/>
      <w:marBottom w:val="0"/>
      <w:divBdr>
        <w:top w:val="none" w:sz="0" w:space="0" w:color="auto"/>
        <w:left w:val="none" w:sz="0" w:space="0" w:color="auto"/>
        <w:bottom w:val="none" w:sz="0" w:space="0" w:color="auto"/>
        <w:right w:val="none" w:sz="0" w:space="0" w:color="auto"/>
      </w:divBdr>
    </w:div>
    <w:div w:id="719942446">
      <w:bodyDiv w:val="1"/>
      <w:marLeft w:val="0"/>
      <w:marRight w:val="0"/>
      <w:marTop w:val="0"/>
      <w:marBottom w:val="0"/>
      <w:divBdr>
        <w:top w:val="none" w:sz="0" w:space="0" w:color="auto"/>
        <w:left w:val="none" w:sz="0" w:space="0" w:color="auto"/>
        <w:bottom w:val="none" w:sz="0" w:space="0" w:color="auto"/>
        <w:right w:val="none" w:sz="0" w:space="0" w:color="auto"/>
      </w:divBdr>
    </w:div>
    <w:div w:id="720325924">
      <w:bodyDiv w:val="1"/>
      <w:marLeft w:val="0"/>
      <w:marRight w:val="0"/>
      <w:marTop w:val="0"/>
      <w:marBottom w:val="0"/>
      <w:divBdr>
        <w:top w:val="none" w:sz="0" w:space="0" w:color="auto"/>
        <w:left w:val="none" w:sz="0" w:space="0" w:color="auto"/>
        <w:bottom w:val="none" w:sz="0" w:space="0" w:color="auto"/>
        <w:right w:val="none" w:sz="0" w:space="0" w:color="auto"/>
      </w:divBdr>
    </w:div>
    <w:div w:id="766969551">
      <w:bodyDiv w:val="1"/>
      <w:marLeft w:val="0"/>
      <w:marRight w:val="0"/>
      <w:marTop w:val="0"/>
      <w:marBottom w:val="0"/>
      <w:divBdr>
        <w:top w:val="none" w:sz="0" w:space="0" w:color="auto"/>
        <w:left w:val="none" w:sz="0" w:space="0" w:color="auto"/>
        <w:bottom w:val="none" w:sz="0" w:space="0" w:color="auto"/>
        <w:right w:val="none" w:sz="0" w:space="0" w:color="auto"/>
      </w:divBdr>
    </w:div>
    <w:div w:id="783812066">
      <w:bodyDiv w:val="1"/>
      <w:marLeft w:val="0"/>
      <w:marRight w:val="0"/>
      <w:marTop w:val="0"/>
      <w:marBottom w:val="0"/>
      <w:divBdr>
        <w:top w:val="none" w:sz="0" w:space="0" w:color="auto"/>
        <w:left w:val="none" w:sz="0" w:space="0" w:color="auto"/>
        <w:bottom w:val="none" w:sz="0" w:space="0" w:color="auto"/>
        <w:right w:val="none" w:sz="0" w:space="0" w:color="auto"/>
      </w:divBdr>
    </w:div>
    <w:div w:id="820582268">
      <w:bodyDiv w:val="1"/>
      <w:marLeft w:val="0"/>
      <w:marRight w:val="0"/>
      <w:marTop w:val="0"/>
      <w:marBottom w:val="0"/>
      <w:divBdr>
        <w:top w:val="none" w:sz="0" w:space="0" w:color="auto"/>
        <w:left w:val="none" w:sz="0" w:space="0" w:color="auto"/>
        <w:bottom w:val="none" w:sz="0" w:space="0" w:color="auto"/>
        <w:right w:val="none" w:sz="0" w:space="0" w:color="auto"/>
      </w:divBdr>
    </w:div>
    <w:div w:id="824708866">
      <w:bodyDiv w:val="1"/>
      <w:marLeft w:val="0"/>
      <w:marRight w:val="0"/>
      <w:marTop w:val="0"/>
      <w:marBottom w:val="0"/>
      <w:divBdr>
        <w:top w:val="none" w:sz="0" w:space="0" w:color="auto"/>
        <w:left w:val="none" w:sz="0" w:space="0" w:color="auto"/>
        <w:bottom w:val="none" w:sz="0" w:space="0" w:color="auto"/>
        <w:right w:val="none" w:sz="0" w:space="0" w:color="auto"/>
      </w:divBdr>
    </w:div>
    <w:div w:id="826165457">
      <w:bodyDiv w:val="1"/>
      <w:marLeft w:val="0"/>
      <w:marRight w:val="0"/>
      <w:marTop w:val="0"/>
      <w:marBottom w:val="0"/>
      <w:divBdr>
        <w:top w:val="none" w:sz="0" w:space="0" w:color="auto"/>
        <w:left w:val="none" w:sz="0" w:space="0" w:color="auto"/>
        <w:bottom w:val="none" w:sz="0" w:space="0" w:color="auto"/>
        <w:right w:val="none" w:sz="0" w:space="0" w:color="auto"/>
      </w:divBdr>
    </w:div>
    <w:div w:id="829909250">
      <w:bodyDiv w:val="1"/>
      <w:marLeft w:val="0"/>
      <w:marRight w:val="0"/>
      <w:marTop w:val="0"/>
      <w:marBottom w:val="0"/>
      <w:divBdr>
        <w:top w:val="none" w:sz="0" w:space="0" w:color="auto"/>
        <w:left w:val="none" w:sz="0" w:space="0" w:color="auto"/>
        <w:bottom w:val="none" w:sz="0" w:space="0" w:color="auto"/>
        <w:right w:val="none" w:sz="0" w:space="0" w:color="auto"/>
      </w:divBdr>
      <w:divsChild>
        <w:div w:id="722675020">
          <w:marLeft w:val="0"/>
          <w:marRight w:val="0"/>
          <w:marTop w:val="0"/>
          <w:marBottom w:val="0"/>
          <w:divBdr>
            <w:top w:val="none" w:sz="0" w:space="0" w:color="auto"/>
            <w:left w:val="none" w:sz="0" w:space="0" w:color="auto"/>
            <w:bottom w:val="none" w:sz="0" w:space="0" w:color="auto"/>
            <w:right w:val="none" w:sz="0" w:space="0" w:color="auto"/>
          </w:divBdr>
          <w:divsChild>
            <w:div w:id="304629608">
              <w:marLeft w:val="0"/>
              <w:marRight w:val="0"/>
              <w:marTop w:val="0"/>
              <w:marBottom w:val="0"/>
              <w:divBdr>
                <w:top w:val="none" w:sz="0" w:space="0" w:color="auto"/>
                <w:left w:val="none" w:sz="0" w:space="0" w:color="auto"/>
                <w:bottom w:val="none" w:sz="0" w:space="0" w:color="auto"/>
                <w:right w:val="none" w:sz="0" w:space="0" w:color="auto"/>
              </w:divBdr>
            </w:div>
            <w:div w:id="1290018476">
              <w:marLeft w:val="0"/>
              <w:marRight w:val="0"/>
              <w:marTop w:val="0"/>
              <w:marBottom w:val="0"/>
              <w:divBdr>
                <w:top w:val="none" w:sz="0" w:space="0" w:color="auto"/>
                <w:left w:val="none" w:sz="0" w:space="0" w:color="auto"/>
                <w:bottom w:val="none" w:sz="0" w:space="0" w:color="auto"/>
                <w:right w:val="none" w:sz="0" w:space="0" w:color="auto"/>
              </w:divBdr>
            </w:div>
          </w:divsChild>
        </w:div>
        <w:div w:id="1506745087">
          <w:marLeft w:val="0"/>
          <w:marRight w:val="0"/>
          <w:marTop w:val="0"/>
          <w:marBottom w:val="0"/>
          <w:divBdr>
            <w:top w:val="none" w:sz="0" w:space="0" w:color="auto"/>
            <w:left w:val="none" w:sz="0" w:space="0" w:color="auto"/>
            <w:bottom w:val="none" w:sz="0" w:space="0" w:color="auto"/>
            <w:right w:val="none" w:sz="0" w:space="0" w:color="auto"/>
          </w:divBdr>
          <w:divsChild>
            <w:div w:id="264769446">
              <w:marLeft w:val="0"/>
              <w:marRight w:val="0"/>
              <w:marTop w:val="0"/>
              <w:marBottom w:val="0"/>
              <w:divBdr>
                <w:top w:val="none" w:sz="0" w:space="0" w:color="auto"/>
                <w:left w:val="none" w:sz="0" w:space="0" w:color="auto"/>
                <w:bottom w:val="none" w:sz="0" w:space="0" w:color="auto"/>
                <w:right w:val="none" w:sz="0" w:space="0" w:color="auto"/>
              </w:divBdr>
            </w:div>
            <w:div w:id="425151480">
              <w:marLeft w:val="0"/>
              <w:marRight w:val="0"/>
              <w:marTop w:val="0"/>
              <w:marBottom w:val="0"/>
              <w:divBdr>
                <w:top w:val="none" w:sz="0" w:space="0" w:color="auto"/>
                <w:left w:val="none" w:sz="0" w:space="0" w:color="auto"/>
                <w:bottom w:val="none" w:sz="0" w:space="0" w:color="auto"/>
                <w:right w:val="none" w:sz="0" w:space="0" w:color="auto"/>
              </w:divBdr>
            </w:div>
            <w:div w:id="958612906">
              <w:marLeft w:val="0"/>
              <w:marRight w:val="0"/>
              <w:marTop w:val="0"/>
              <w:marBottom w:val="0"/>
              <w:divBdr>
                <w:top w:val="none" w:sz="0" w:space="0" w:color="auto"/>
                <w:left w:val="none" w:sz="0" w:space="0" w:color="auto"/>
                <w:bottom w:val="none" w:sz="0" w:space="0" w:color="auto"/>
                <w:right w:val="none" w:sz="0" w:space="0" w:color="auto"/>
              </w:divBdr>
            </w:div>
            <w:div w:id="1231502764">
              <w:marLeft w:val="0"/>
              <w:marRight w:val="0"/>
              <w:marTop w:val="0"/>
              <w:marBottom w:val="0"/>
              <w:divBdr>
                <w:top w:val="none" w:sz="0" w:space="0" w:color="auto"/>
                <w:left w:val="none" w:sz="0" w:space="0" w:color="auto"/>
                <w:bottom w:val="none" w:sz="0" w:space="0" w:color="auto"/>
                <w:right w:val="none" w:sz="0" w:space="0" w:color="auto"/>
              </w:divBdr>
            </w:div>
            <w:div w:id="15653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6006">
      <w:bodyDiv w:val="1"/>
      <w:marLeft w:val="0"/>
      <w:marRight w:val="0"/>
      <w:marTop w:val="0"/>
      <w:marBottom w:val="0"/>
      <w:divBdr>
        <w:top w:val="none" w:sz="0" w:space="0" w:color="auto"/>
        <w:left w:val="none" w:sz="0" w:space="0" w:color="auto"/>
        <w:bottom w:val="none" w:sz="0" w:space="0" w:color="auto"/>
        <w:right w:val="none" w:sz="0" w:space="0" w:color="auto"/>
      </w:divBdr>
    </w:div>
    <w:div w:id="866068955">
      <w:bodyDiv w:val="1"/>
      <w:marLeft w:val="0"/>
      <w:marRight w:val="0"/>
      <w:marTop w:val="0"/>
      <w:marBottom w:val="0"/>
      <w:divBdr>
        <w:top w:val="none" w:sz="0" w:space="0" w:color="auto"/>
        <w:left w:val="none" w:sz="0" w:space="0" w:color="auto"/>
        <w:bottom w:val="none" w:sz="0" w:space="0" w:color="auto"/>
        <w:right w:val="none" w:sz="0" w:space="0" w:color="auto"/>
      </w:divBdr>
    </w:div>
    <w:div w:id="876237763">
      <w:bodyDiv w:val="1"/>
      <w:marLeft w:val="0"/>
      <w:marRight w:val="0"/>
      <w:marTop w:val="0"/>
      <w:marBottom w:val="0"/>
      <w:divBdr>
        <w:top w:val="none" w:sz="0" w:space="0" w:color="auto"/>
        <w:left w:val="none" w:sz="0" w:space="0" w:color="auto"/>
        <w:bottom w:val="none" w:sz="0" w:space="0" w:color="auto"/>
        <w:right w:val="none" w:sz="0" w:space="0" w:color="auto"/>
      </w:divBdr>
    </w:div>
    <w:div w:id="908884648">
      <w:bodyDiv w:val="1"/>
      <w:marLeft w:val="0"/>
      <w:marRight w:val="0"/>
      <w:marTop w:val="0"/>
      <w:marBottom w:val="0"/>
      <w:divBdr>
        <w:top w:val="none" w:sz="0" w:space="0" w:color="auto"/>
        <w:left w:val="none" w:sz="0" w:space="0" w:color="auto"/>
        <w:bottom w:val="none" w:sz="0" w:space="0" w:color="auto"/>
        <w:right w:val="none" w:sz="0" w:space="0" w:color="auto"/>
      </w:divBdr>
    </w:div>
    <w:div w:id="909075726">
      <w:bodyDiv w:val="1"/>
      <w:marLeft w:val="0"/>
      <w:marRight w:val="0"/>
      <w:marTop w:val="0"/>
      <w:marBottom w:val="0"/>
      <w:divBdr>
        <w:top w:val="none" w:sz="0" w:space="0" w:color="auto"/>
        <w:left w:val="none" w:sz="0" w:space="0" w:color="auto"/>
        <w:bottom w:val="none" w:sz="0" w:space="0" w:color="auto"/>
        <w:right w:val="none" w:sz="0" w:space="0" w:color="auto"/>
      </w:divBdr>
      <w:divsChild>
        <w:div w:id="108353709">
          <w:marLeft w:val="274"/>
          <w:marRight w:val="0"/>
          <w:marTop w:val="0"/>
          <w:marBottom w:val="120"/>
          <w:divBdr>
            <w:top w:val="none" w:sz="0" w:space="0" w:color="auto"/>
            <w:left w:val="none" w:sz="0" w:space="0" w:color="auto"/>
            <w:bottom w:val="none" w:sz="0" w:space="0" w:color="auto"/>
            <w:right w:val="none" w:sz="0" w:space="0" w:color="auto"/>
          </w:divBdr>
        </w:div>
        <w:div w:id="164832303">
          <w:marLeft w:val="274"/>
          <w:marRight w:val="0"/>
          <w:marTop w:val="0"/>
          <w:marBottom w:val="120"/>
          <w:divBdr>
            <w:top w:val="none" w:sz="0" w:space="0" w:color="auto"/>
            <w:left w:val="none" w:sz="0" w:space="0" w:color="auto"/>
            <w:bottom w:val="none" w:sz="0" w:space="0" w:color="auto"/>
            <w:right w:val="none" w:sz="0" w:space="0" w:color="auto"/>
          </w:divBdr>
        </w:div>
        <w:div w:id="241138620">
          <w:marLeft w:val="274"/>
          <w:marRight w:val="0"/>
          <w:marTop w:val="0"/>
          <w:marBottom w:val="120"/>
          <w:divBdr>
            <w:top w:val="none" w:sz="0" w:space="0" w:color="auto"/>
            <w:left w:val="none" w:sz="0" w:space="0" w:color="auto"/>
            <w:bottom w:val="none" w:sz="0" w:space="0" w:color="auto"/>
            <w:right w:val="none" w:sz="0" w:space="0" w:color="auto"/>
          </w:divBdr>
        </w:div>
        <w:div w:id="247156312">
          <w:marLeft w:val="274"/>
          <w:marRight w:val="0"/>
          <w:marTop w:val="0"/>
          <w:marBottom w:val="120"/>
          <w:divBdr>
            <w:top w:val="none" w:sz="0" w:space="0" w:color="auto"/>
            <w:left w:val="none" w:sz="0" w:space="0" w:color="auto"/>
            <w:bottom w:val="none" w:sz="0" w:space="0" w:color="auto"/>
            <w:right w:val="none" w:sz="0" w:space="0" w:color="auto"/>
          </w:divBdr>
        </w:div>
        <w:div w:id="288367540">
          <w:marLeft w:val="274"/>
          <w:marRight w:val="0"/>
          <w:marTop w:val="0"/>
          <w:marBottom w:val="120"/>
          <w:divBdr>
            <w:top w:val="none" w:sz="0" w:space="0" w:color="auto"/>
            <w:left w:val="none" w:sz="0" w:space="0" w:color="auto"/>
            <w:bottom w:val="none" w:sz="0" w:space="0" w:color="auto"/>
            <w:right w:val="none" w:sz="0" w:space="0" w:color="auto"/>
          </w:divBdr>
        </w:div>
        <w:div w:id="605505285">
          <w:marLeft w:val="274"/>
          <w:marRight w:val="0"/>
          <w:marTop w:val="0"/>
          <w:marBottom w:val="120"/>
          <w:divBdr>
            <w:top w:val="none" w:sz="0" w:space="0" w:color="auto"/>
            <w:left w:val="none" w:sz="0" w:space="0" w:color="auto"/>
            <w:bottom w:val="none" w:sz="0" w:space="0" w:color="auto"/>
            <w:right w:val="none" w:sz="0" w:space="0" w:color="auto"/>
          </w:divBdr>
        </w:div>
        <w:div w:id="624503517">
          <w:marLeft w:val="274"/>
          <w:marRight w:val="0"/>
          <w:marTop w:val="0"/>
          <w:marBottom w:val="120"/>
          <w:divBdr>
            <w:top w:val="none" w:sz="0" w:space="0" w:color="auto"/>
            <w:left w:val="none" w:sz="0" w:space="0" w:color="auto"/>
            <w:bottom w:val="none" w:sz="0" w:space="0" w:color="auto"/>
            <w:right w:val="none" w:sz="0" w:space="0" w:color="auto"/>
          </w:divBdr>
        </w:div>
        <w:div w:id="679163909">
          <w:marLeft w:val="274"/>
          <w:marRight w:val="0"/>
          <w:marTop w:val="0"/>
          <w:marBottom w:val="120"/>
          <w:divBdr>
            <w:top w:val="none" w:sz="0" w:space="0" w:color="auto"/>
            <w:left w:val="none" w:sz="0" w:space="0" w:color="auto"/>
            <w:bottom w:val="none" w:sz="0" w:space="0" w:color="auto"/>
            <w:right w:val="none" w:sz="0" w:space="0" w:color="auto"/>
          </w:divBdr>
        </w:div>
        <w:div w:id="1049037662">
          <w:marLeft w:val="274"/>
          <w:marRight w:val="0"/>
          <w:marTop w:val="0"/>
          <w:marBottom w:val="120"/>
          <w:divBdr>
            <w:top w:val="none" w:sz="0" w:space="0" w:color="auto"/>
            <w:left w:val="none" w:sz="0" w:space="0" w:color="auto"/>
            <w:bottom w:val="none" w:sz="0" w:space="0" w:color="auto"/>
            <w:right w:val="none" w:sz="0" w:space="0" w:color="auto"/>
          </w:divBdr>
        </w:div>
        <w:div w:id="1307979488">
          <w:marLeft w:val="274"/>
          <w:marRight w:val="0"/>
          <w:marTop w:val="0"/>
          <w:marBottom w:val="120"/>
          <w:divBdr>
            <w:top w:val="none" w:sz="0" w:space="0" w:color="auto"/>
            <w:left w:val="none" w:sz="0" w:space="0" w:color="auto"/>
            <w:bottom w:val="none" w:sz="0" w:space="0" w:color="auto"/>
            <w:right w:val="none" w:sz="0" w:space="0" w:color="auto"/>
          </w:divBdr>
        </w:div>
        <w:div w:id="1440179021">
          <w:marLeft w:val="274"/>
          <w:marRight w:val="0"/>
          <w:marTop w:val="0"/>
          <w:marBottom w:val="120"/>
          <w:divBdr>
            <w:top w:val="none" w:sz="0" w:space="0" w:color="auto"/>
            <w:left w:val="none" w:sz="0" w:space="0" w:color="auto"/>
            <w:bottom w:val="none" w:sz="0" w:space="0" w:color="auto"/>
            <w:right w:val="none" w:sz="0" w:space="0" w:color="auto"/>
          </w:divBdr>
        </w:div>
        <w:div w:id="1490514087">
          <w:marLeft w:val="274"/>
          <w:marRight w:val="0"/>
          <w:marTop w:val="0"/>
          <w:marBottom w:val="120"/>
          <w:divBdr>
            <w:top w:val="none" w:sz="0" w:space="0" w:color="auto"/>
            <w:left w:val="none" w:sz="0" w:space="0" w:color="auto"/>
            <w:bottom w:val="none" w:sz="0" w:space="0" w:color="auto"/>
            <w:right w:val="none" w:sz="0" w:space="0" w:color="auto"/>
          </w:divBdr>
        </w:div>
        <w:div w:id="1961834729">
          <w:marLeft w:val="274"/>
          <w:marRight w:val="0"/>
          <w:marTop w:val="0"/>
          <w:marBottom w:val="120"/>
          <w:divBdr>
            <w:top w:val="none" w:sz="0" w:space="0" w:color="auto"/>
            <w:left w:val="none" w:sz="0" w:space="0" w:color="auto"/>
            <w:bottom w:val="none" w:sz="0" w:space="0" w:color="auto"/>
            <w:right w:val="none" w:sz="0" w:space="0" w:color="auto"/>
          </w:divBdr>
        </w:div>
      </w:divsChild>
    </w:div>
    <w:div w:id="909314073">
      <w:bodyDiv w:val="1"/>
      <w:marLeft w:val="0"/>
      <w:marRight w:val="0"/>
      <w:marTop w:val="0"/>
      <w:marBottom w:val="0"/>
      <w:divBdr>
        <w:top w:val="none" w:sz="0" w:space="0" w:color="auto"/>
        <w:left w:val="none" w:sz="0" w:space="0" w:color="auto"/>
        <w:bottom w:val="none" w:sz="0" w:space="0" w:color="auto"/>
        <w:right w:val="none" w:sz="0" w:space="0" w:color="auto"/>
      </w:divBdr>
    </w:div>
    <w:div w:id="916593194">
      <w:bodyDiv w:val="1"/>
      <w:marLeft w:val="0"/>
      <w:marRight w:val="0"/>
      <w:marTop w:val="0"/>
      <w:marBottom w:val="0"/>
      <w:divBdr>
        <w:top w:val="none" w:sz="0" w:space="0" w:color="auto"/>
        <w:left w:val="none" w:sz="0" w:space="0" w:color="auto"/>
        <w:bottom w:val="none" w:sz="0" w:space="0" w:color="auto"/>
        <w:right w:val="none" w:sz="0" w:space="0" w:color="auto"/>
      </w:divBdr>
    </w:div>
    <w:div w:id="945698394">
      <w:bodyDiv w:val="1"/>
      <w:marLeft w:val="0"/>
      <w:marRight w:val="0"/>
      <w:marTop w:val="0"/>
      <w:marBottom w:val="0"/>
      <w:divBdr>
        <w:top w:val="none" w:sz="0" w:space="0" w:color="auto"/>
        <w:left w:val="none" w:sz="0" w:space="0" w:color="auto"/>
        <w:bottom w:val="none" w:sz="0" w:space="0" w:color="auto"/>
        <w:right w:val="none" w:sz="0" w:space="0" w:color="auto"/>
      </w:divBdr>
      <w:divsChild>
        <w:div w:id="537620463">
          <w:marLeft w:val="547"/>
          <w:marRight w:val="0"/>
          <w:marTop w:val="120"/>
          <w:marBottom w:val="120"/>
          <w:divBdr>
            <w:top w:val="none" w:sz="0" w:space="0" w:color="auto"/>
            <w:left w:val="none" w:sz="0" w:space="0" w:color="auto"/>
            <w:bottom w:val="none" w:sz="0" w:space="0" w:color="auto"/>
            <w:right w:val="none" w:sz="0" w:space="0" w:color="auto"/>
          </w:divBdr>
        </w:div>
        <w:div w:id="736056035">
          <w:marLeft w:val="547"/>
          <w:marRight w:val="0"/>
          <w:marTop w:val="120"/>
          <w:marBottom w:val="120"/>
          <w:divBdr>
            <w:top w:val="none" w:sz="0" w:space="0" w:color="auto"/>
            <w:left w:val="none" w:sz="0" w:space="0" w:color="auto"/>
            <w:bottom w:val="none" w:sz="0" w:space="0" w:color="auto"/>
            <w:right w:val="none" w:sz="0" w:space="0" w:color="auto"/>
          </w:divBdr>
        </w:div>
        <w:div w:id="1330518460">
          <w:marLeft w:val="547"/>
          <w:marRight w:val="0"/>
          <w:marTop w:val="120"/>
          <w:marBottom w:val="120"/>
          <w:divBdr>
            <w:top w:val="none" w:sz="0" w:space="0" w:color="auto"/>
            <w:left w:val="none" w:sz="0" w:space="0" w:color="auto"/>
            <w:bottom w:val="none" w:sz="0" w:space="0" w:color="auto"/>
            <w:right w:val="none" w:sz="0" w:space="0" w:color="auto"/>
          </w:divBdr>
        </w:div>
        <w:div w:id="1512335388">
          <w:marLeft w:val="547"/>
          <w:marRight w:val="0"/>
          <w:marTop w:val="120"/>
          <w:marBottom w:val="120"/>
          <w:divBdr>
            <w:top w:val="none" w:sz="0" w:space="0" w:color="auto"/>
            <w:left w:val="none" w:sz="0" w:space="0" w:color="auto"/>
            <w:bottom w:val="none" w:sz="0" w:space="0" w:color="auto"/>
            <w:right w:val="none" w:sz="0" w:space="0" w:color="auto"/>
          </w:divBdr>
        </w:div>
        <w:div w:id="1883403788">
          <w:marLeft w:val="547"/>
          <w:marRight w:val="0"/>
          <w:marTop w:val="120"/>
          <w:marBottom w:val="120"/>
          <w:divBdr>
            <w:top w:val="none" w:sz="0" w:space="0" w:color="auto"/>
            <w:left w:val="none" w:sz="0" w:space="0" w:color="auto"/>
            <w:bottom w:val="none" w:sz="0" w:space="0" w:color="auto"/>
            <w:right w:val="none" w:sz="0" w:space="0" w:color="auto"/>
          </w:divBdr>
        </w:div>
        <w:div w:id="1986815014">
          <w:marLeft w:val="547"/>
          <w:marRight w:val="0"/>
          <w:marTop w:val="120"/>
          <w:marBottom w:val="120"/>
          <w:divBdr>
            <w:top w:val="none" w:sz="0" w:space="0" w:color="auto"/>
            <w:left w:val="none" w:sz="0" w:space="0" w:color="auto"/>
            <w:bottom w:val="none" w:sz="0" w:space="0" w:color="auto"/>
            <w:right w:val="none" w:sz="0" w:space="0" w:color="auto"/>
          </w:divBdr>
        </w:div>
        <w:div w:id="2006663427">
          <w:marLeft w:val="547"/>
          <w:marRight w:val="0"/>
          <w:marTop w:val="120"/>
          <w:marBottom w:val="120"/>
          <w:divBdr>
            <w:top w:val="none" w:sz="0" w:space="0" w:color="auto"/>
            <w:left w:val="none" w:sz="0" w:space="0" w:color="auto"/>
            <w:bottom w:val="none" w:sz="0" w:space="0" w:color="auto"/>
            <w:right w:val="none" w:sz="0" w:space="0" w:color="auto"/>
          </w:divBdr>
        </w:div>
        <w:div w:id="2114351901">
          <w:marLeft w:val="547"/>
          <w:marRight w:val="0"/>
          <w:marTop w:val="120"/>
          <w:marBottom w:val="120"/>
          <w:divBdr>
            <w:top w:val="none" w:sz="0" w:space="0" w:color="auto"/>
            <w:left w:val="none" w:sz="0" w:space="0" w:color="auto"/>
            <w:bottom w:val="none" w:sz="0" w:space="0" w:color="auto"/>
            <w:right w:val="none" w:sz="0" w:space="0" w:color="auto"/>
          </w:divBdr>
        </w:div>
      </w:divsChild>
    </w:div>
    <w:div w:id="946041568">
      <w:bodyDiv w:val="1"/>
      <w:marLeft w:val="0"/>
      <w:marRight w:val="0"/>
      <w:marTop w:val="0"/>
      <w:marBottom w:val="0"/>
      <w:divBdr>
        <w:top w:val="none" w:sz="0" w:space="0" w:color="auto"/>
        <w:left w:val="none" w:sz="0" w:space="0" w:color="auto"/>
        <w:bottom w:val="none" w:sz="0" w:space="0" w:color="auto"/>
        <w:right w:val="none" w:sz="0" w:space="0" w:color="auto"/>
      </w:divBdr>
    </w:div>
    <w:div w:id="966200618">
      <w:bodyDiv w:val="1"/>
      <w:marLeft w:val="0"/>
      <w:marRight w:val="0"/>
      <w:marTop w:val="0"/>
      <w:marBottom w:val="0"/>
      <w:divBdr>
        <w:top w:val="none" w:sz="0" w:space="0" w:color="auto"/>
        <w:left w:val="none" w:sz="0" w:space="0" w:color="auto"/>
        <w:bottom w:val="none" w:sz="0" w:space="0" w:color="auto"/>
        <w:right w:val="none" w:sz="0" w:space="0" w:color="auto"/>
      </w:divBdr>
    </w:div>
    <w:div w:id="1004632494">
      <w:bodyDiv w:val="1"/>
      <w:marLeft w:val="0"/>
      <w:marRight w:val="0"/>
      <w:marTop w:val="0"/>
      <w:marBottom w:val="0"/>
      <w:divBdr>
        <w:top w:val="none" w:sz="0" w:space="0" w:color="auto"/>
        <w:left w:val="none" w:sz="0" w:space="0" w:color="auto"/>
        <w:bottom w:val="none" w:sz="0" w:space="0" w:color="auto"/>
        <w:right w:val="none" w:sz="0" w:space="0" w:color="auto"/>
      </w:divBdr>
      <w:divsChild>
        <w:div w:id="459685949">
          <w:marLeft w:val="1267"/>
          <w:marRight w:val="0"/>
          <w:marTop w:val="0"/>
          <w:marBottom w:val="0"/>
          <w:divBdr>
            <w:top w:val="none" w:sz="0" w:space="0" w:color="auto"/>
            <w:left w:val="none" w:sz="0" w:space="0" w:color="auto"/>
            <w:bottom w:val="none" w:sz="0" w:space="0" w:color="auto"/>
            <w:right w:val="none" w:sz="0" w:space="0" w:color="auto"/>
          </w:divBdr>
        </w:div>
        <w:div w:id="770978918">
          <w:marLeft w:val="547"/>
          <w:marRight w:val="0"/>
          <w:marTop w:val="0"/>
          <w:marBottom w:val="0"/>
          <w:divBdr>
            <w:top w:val="none" w:sz="0" w:space="0" w:color="auto"/>
            <w:left w:val="none" w:sz="0" w:space="0" w:color="auto"/>
            <w:bottom w:val="none" w:sz="0" w:space="0" w:color="auto"/>
            <w:right w:val="none" w:sz="0" w:space="0" w:color="auto"/>
          </w:divBdr>
        </w:div>
        <w:div w:id="1120612513">
          <w:marLeft w:val="1267"/>
          <w:marRight w:val="0"/>
          <w:marTop w:val="0"/>
          <w:marBottom w:val="0"/>
          <w:divBdr>
            <w:top w:val="none" w:sz="0" w:space="0" w:color="auto"/>
            <w:left w:val="none" w:sz="0" w:space="0" w:color="auto"/>
            <w:bottom w:val="none" w:sz="0" w:space="0" w:color="auto"/>
            <w:right w:val="none" w:sz="0" w:space="0" w:color="auto"/>
          </w:divBdr>
        </w:div>
        <w:div w:id="1272471544">
          <w:marLeft w:val="1267"/>
          <w:marRight w:val="0"/>
          <w:marTop w:val="0"/>
          <w:marBottom w:val="0"/>
          <w:divBdr>
            <w:top w:val="none" w:sz="0" w:space="0" w:color="auto"/>
            <w:left w:val="none" w:sz="0" w:space="0" w:color="auto"/>
            <w:bottom w:val="none" w:sz="0" w:space="0" w:color="auto"/>
            <w:right w:val="none" w:sz="0" w:space="0" w:color="auto"/>
          </w:divBdr>
        </w:div>
        <w:div w:id="1958369410">
          <w:marLeft w:val="547"/>
          <w:marRight w:val="0"/>
          <w:marTop w:val="0"/>
          <w:marBottom w:val="0"/>
          <w:divBdr>
            <w:top w:val="none" w:sz="0" w:space="0" w:color="auto"/>
            <w:left w:val="none" w:sz="0" w:space="0" w:color="auto"/>
            <w:bottom w:val="none" w:sz="0" w:space="0" w:color="auto"/>
            <w:right w:val="none" w:sz="0" w:space="0" w:color="auto"/>
          </w:divBdr>
        </w:div>
        <w:div w:id="2129162304">
          <w:marLeft w:val="547"/>
          <w:marRight w:val="0"/>
          <w:marTop w:val="0"/>
          <w:marBottom w:val="0"/>
          <w:divBdr>
            <w:top w:val="none" w:sz="0" w:space="0" w:color="auto"/>
            <w:left w:val="none" w:sz="0" w:space="0" w:color="auto"/>
            <w:bottom w:val="none" w:sz="0" w:space="0" w:color="auto"/>
            <w:right w:val="none" w:sz="0" w:space="0" w:color="auto"/>
          </w:divBdr>
        </w:div>
      </w:divsChild>
    </w:div>
    <w:div w:id="1065420915">
      <w:bodyDiv w:val="1"/>
      <w:marLeft w:val="0"/>
      <w:marRight w:val="0"/>
      <w:marTop w:val="0"/>
      <w:marBottom w:val="0"/>
      <w:divBdr>
        <w:top w:val="none" w:sz="0" w:space="0" w:color="auto"/>
        <w:left w:val="none" w:sz="0" w:space="0" w:color="auto"/>
        <w:bottom w:val="none" w:sz="0" w:space="0" w:color="auto"/>
        <w:right w:val="none" w:sz="0" w:space="0" w:color="auto"/>
      </w:divBdr>
    </w:div>
    <w:div w:id="1095980921">
      <w:bodyDiv w:val="1"/>
      <w:marLeft w:val="0"/>
      <w:marRight w:val="0"/>
      <w:marTop w:val="0"/>
      <w:marBottom w:val="0"/>
      <w:divBdr>
        <w:top w:val="none" w:sz="0" w:space="0" w:color="auto"/>
        <w:left w:val="none" w:sz="0" w:space="0" w:color="auto"/>
        <w:bottom w:val="none" w:sz="0" w:space="0" w:color="auto"/>
        <w:right w:val="none" w:sz="0" w:space="0" w:color="auto"/>
      </w:divBdr>
      <w:divsChild>
        <w:div w:id="233010887">
          <w:marLeft w:val="547"/>
          <w:marRight w:val="0"/>
          <w:marTop w:val="0"/>
          <w:marBottom w:val="160"/>
          <w:divBdr>
            <w:top w:val="none" w:sz="0" w:space="0" w:color="auto"/>
            <w:left w:val="none" w:sz="0" w:space="0" w:color="auto"/>
            <w:bottom w:val="none" w:sz="0" w:space="0" w:color="auto"/>
            <w:right w:val="none" w:sz="0" w:space="0" w:color="auto"/>
          </w:divBdr>
        </w:div>
        <w:div w:id="282928336">
          <w:marLeft w:val="547"/>
          <w:marRight w:val="0"/>
          <w:marTop w:val="0"/>
          <w:marBottom w:val="160"/>
          <w:divBdr>
            <w:top w:val="none" w:sz="0" w:space="0" w:color="auto"/>
            <w:left w:val="none" w:sz="0" w:space="0" w:color="auto"/>
            <w:bottom w:val="none" w:sz="0" w:space="0" w:color="auto"/>
            <w:right w:val="none" w:sz="0" w:space="0" w:color="auto"/>
          </w:divBdr>
        </w:div>
        <w:div w:id="509610481">
          <w:marLeft w:val="547"/>
          <w:marRight w:val="0"/>
          <w:marTop w:val="0"/>
          <w:marBottom w:val="160"/>
          <w:divBdr>
            <w:top w:val="none" w:sz="0" w:space="0" w:color="auto"/>
            <w:left w:val="none" w:sz="0" w:space="0" w:color="auto"/>
            <w:bottom w:val="none" w:sz="0" w:space="0" w:color="auto"/>
            <w:right w:val="none" w:sz="0" w:space="0" w:color="auto"/>
          </w:divBdr>
        </w:div>
        <w:div w:id="516190474">
          <w:marLeft w:val="547"/>
          <w:marRight w:val="0"/>
          <w:marTop w:val="0"/>
          <w:marBottom w:val="160"/>
          <w:divBdr>
            <w:top w:val="none" w:sz="0" w:space="0" w:color="auto"/>
            <w:left w:val="none" w:sz="0" w:space="0" w:color="auto"/>
            <w:bottom w:val="none" w:sz="0" w:space="0" w:color="auto"/>
            <w:right w:val="none" w:sz="0" w:space="0" w:color="auto"/>
          </w:divBdr>
        </w:div>
        <w:div w:id="608514187">
          <w:marLeft w:val="547"/>
          <w:marRight w:val="0"/>
          <w:marTop w:val="0"/>
          <w:marBottom w:val="160"/>
          <w:divBdr>
            <w:top w:val="none" w:sz="0" w:space="0" w:color="auto"/>
            <w:left w:val="none" w:sz="0" w:space="0" w:color="auto"/>
            <w:bottom w:val="none" w:sz="0" w:space="0" w:color="auto"/>
            <w:right w:val="none" w:sz="0" w:space="0" w:color="auto"/>
          </w:divBdr>
        </w:div>
        <w:div w:id="837689802">
          <w:marLeft w:val="547"/>
          <w:marRight w:val="0"/>
          <w:marTop w:val="0"/>
          <w:marBottom w:val="160"/>
          <w:divBdr>
            <w:top w:val="none" w:sz="0" w:space="0" w:color="auto"/>
            <w:left w:val="none" w:sz="0" w:space="0" w:color="auto"/>
            <w:bottom w:val="none" w:sz="0" w:space="0" w:color="auto"/>
            <w:right w:val="none" w:sz="0" w:space="0" w:color="auto"/>
          </w:divBdr>
        </w:div>
        <w:div w:id="908073482">
          <w:marLeft w:val="547"/>
          <w:marRight w:val="0"/>
          <w:marTop w:val="0"/>
          <w:marBottom w:val="160"/>
          <w:divBdr>
            <w:top w:val="none" w:sz="0" w:space="0" w:color="auto"/>
            <w:left w:val="none" w:sz="0" w:space="0" w:color="auto"/>
            <w:bottom w:val="none" w:sz="0" w:space="0" w:color="auto"/>
            <w:right w:val="none" w:sz="0" w:space="0" w:color="auto"/>
          </w:divBdr>
        </w:div>
        <w:div w:id="1042942231">
          <w:marLeft w:val="547"/>
          <w:marRight w:val="0"/>
          <w:marTop w:val="0"/>
          <w:marBottom w:val="160"/>
          <w:divBdr>
            <w:top w:val="none" w:sz="0" w:space="0" w:color="auto"/>
            <w:left w:val="none" w:sz="0" w:space="0" w:color="auto"/>
            <w:bottom w:val="none" w:sz="0" w:space="0" w:color="auto"/>
            <w:right w:val="none" w:sz="0" w:space="0" w:color="auto"/>
          </w:divBdr>
        </w:div>
        <w:div w:id="1268081362">
          <w:marLeft w:val="547"/>
          <w:marRight w:val="0"/>
          <w:marTop w:val="0"/>
          <w:marBottom w:val="160"/>
          <w:divBdr>
            <w:top w:val="none" w:sz="0" w:space="0" w:color="auto"/>
            <w:left w:val="none" w:sz="0" w:space="0" w:color="auto"/>
            <w:bottom w:val="none" w:sz="0" w:space="0" w:color="auto"/>
            <w:right w:val="none" w:sz="0" w:space="0" w:color="auto"/>
          </w:divBdr>
        </w:div>
        <w:div w:id="1580676584">
          <w:marLeft w:val="547"/>
          <w:marRight w:val="0"/>
          <w:marTop w:val="0"/>
          <w:marBottom w:val="160"/>
          <w:divBdr>
            <w:top w:val="none" w:sz="0" w:space="0" w:color="auto"/>
            <w:left w:val="none" w:sz="0" w:space="0" w:color="auto"/>
            <w:bottom w:val="none" w:sz="0" w:space="0" w:color="auto"/>
            <w:right w:val="none" w:sz="0" w:space="0" w:color="auto"/>
          </w:divBdr>
        </w:div>
      </w:divsChild>
    </w:div>
    <w:div w:id="1100636572">
      <w:bodyDiv w:val="1"/>
      <w:marLeft w:val="0"/>
      <w:marRight w:val="0"/>
      <w:marTop w:val="0"/>
      <w:marBottom w:val="0"/>
      <w:divBdr>
        <w:top w:val="none" w:sz="0" w:space="0" w:color="auto"/>
        <w:left w:val="none" w:sz="0" w:space="0" w:color="auto"/>
        <w:bottom w:val="none" w:sz="0" w:space="0" w:color="auto"/>
        <w:right w:val="none" w:sz="0" w:space="0" w:color="auto"/>
      </w:divBdr>
      <w:divsChild>
        <w:div w:id="12457556">
          <w:marLeft w:val="446"/>
          <w:marRight w:val="0"/>
          <w:marTop w:val="0"/>
          <w:marBottom w:val="0"/>
          <w:divBdr>
            <w:top w:val="none" w:sz="0" w:space="0" w:color="auto"/>
            <w:left w:val="none" w:sz="0" w:space="0" w:color="auto"/>
            <w:bottom w:val="none" w:sz="0" w:space="0" w:color="auto"/>
            <w:right w:val="none" w:sz="0" w:space="0" w:color="auto"/>
          </w:divBdr>
        </w:div>
        <w:div w:id="26610694">
          <w:marLeft w:val="547"/>
          <w:marRight w:val="0"/>
          <w:marTop w:val="0"/>
          <w:marBottom w:val="160"/>
          <w:divBdr>
            <w:top w:val="none" w:sz="0" w:space="0" w:color="auto"/>
            <w:left w:val="none" w:sz="0" w:space="0" w:color="auto"/>
            <w:bottom w:val="none" w:sz="0" w:space="0" w:color="auto"/>
            <w:right w:val="none" w:sz="0" w:space="0" w:color="auto"/>
          </w:divBdr>
        </w:div>
        <w:div w:id="382755190">
          <w:marLeft w:val="547"/>
          <w:marRight w:val="0"/>
          <w:marTop w:val="0"/>
          <w:marBottom w:val="0"/>
          <w:divBdr>
            <w:top w:val="none" w:sz="0" w:space="0" w:color="auto"/>
            <w:left w:val="none" w:sz="0" w:space="0" w:color="auto"/>
            <w:bottom w:val="none" w:sz="0" w:space="0" w:color="auto"/>
            <w:right w:val="none" w:sz="0" w:space="0" w:color="auto"/>
          </w:divBdr>
        </w:div>
        <w:div w:id="451482898">
          <w:marLeft w:val="446"/>
          <w:marRight w:val="0"/>
          <w:marTop w:val="0"/>
          <w:marBottom w:val="0"/>
          <w:divBdr>
            <w:top w:val="none" w:sz="0" w:space="0" w:color="auto"/>
            <w:left w:val="none" w:sz="0" w:space="0" w:color="auto"/>
            <w:bottom w:val="none" w:sz="0" w:space="0" w:color="auto"/>
            <w:right w:val="none" w:sz="0" w:space="0" w:color="auto"/>
          </w:divBdr>
        </w:div>
        <w:div w:id="491526675">
          <w:marLeft w:val="446"/>
          <w:marRight w:val="0"/>
          <w:marTop w:val="0"/>
          <w:marBottom w:val="0"/>
          <w:divBdr>
            <w:top w:val="none" w:sz="0" w:space="0" w:color="auto"/>
            <w:left w:val="none" w:sz="0" w:space="0" w:color="auto"/>
            <w:bottom w:val="none" w:sz="0" w:space="0" w:color="auto"/>
            <w:right w:val="none" w:sz="0" w:space="0" w:color="auto"/>
          </w:divBdr>
        </w:div>
        <w:div w:id="535775746">
          <w:marLeft w:val="446"/>
          <w:marRight w:val="0"/>
          <w:marTop w:val="0"/>
          <w:marBottom w:val="0"/>
          <w:divBdr>
            <w:top w:val="none" w:sz="0" w:space="0" w:color="auto"/>
            <w:left w:val="none" w:sz="0" w:space="0" w:color="auto"/>
            <w:bottom w:val="none" w:sz="0" w:space="0" w:color="auto"/>
            <w:right w:val="none" w:sz="0" w:space="0" w:color="auto"/>
          </w:divBdr>
        </w:div>
        <w:div w:id="536432397">
          <w:marLeft w:val="446"/>
          <w:marRight w:val="0"/>
          <w:marTop w:val="0"/>
          <w:marBottom w:val="0"/>
          <w:divBdr>
            <w:top w:val="none" w:sz="0" w:space="0" w:color="auto"/>
            <w:left w:val="none" w:sz="0" w:space="0" w:color="auto"/>
            <w:bottom w:val="none" w:sz="0" w:space="0" w:color="auto"/>
            <w:right w:val="none" w:sz="0" w:space="0" w:color="auto"/>
          </w:divBdr>
        </w:div>
        <w:div w:id="587815728">
          <w:marLeft w:val="547"/>
          <w:marRight w:val="0"/>
          <w:marTop w:val="0"/>
          <w:marBottom w:val="160"/>
          <w:divBdr>
            <w:top w:val="none" w:sz="0" w:space="0" w:color="auto"/>
            <w:left w:val="none" w:sz="0" w:space="0" w:color="auto"/>
            <w:bottom w:val="none" w:sz="0" w:space="0" w:color="auto"/>
            <w:right w:val="none" w:sz="0" w:space="0" w:color="auto"/>
          </w:divBdr>
        </w:div>
        <w:div w:id="832380540">
          <w:marLeft w:val="446"/>
          <w:marRight w:val="0"/>
          <w:marTop w:val="0"/>
          <w:marBottom w:val="0"/>
          <w:divBdr>
            <w:top w:val="none" w:sz="0" w:space="0" w:color="auto"/>
            <w:left w:val="none" w:sz="0" w:space="0" w:color="auto"/>
            <w:bottom w:val="none" w:sz="0" w:space="0" w:color="auto"/>
            <w:right w:val="none" w:sz="0" w:space="0" w:color="auto"/>
          </w:divBdr>
        </w:div>
        <w:div w:id="889271726">
          <w:marLeft w:val="547"/>
          <w:marRight w:val="0"/>
          <w:marTop w:val="0"/>
          <w:marBottom w:val="0"/>
          <w:divBdr>
            <w:top w:val="none" w:sz="0" w:space="0" w:color="auto"/>
            <w:left w:val="none" w:sz="0" w:space="0" w:color="auto"/>
            <w:bottom w:val="none" w:sz="0" w:space="0" w:color="auto"/>
            <w:right w:val="none" w:sz="0" w:space="0" w:color="auto"/>
          </w:divBdr>
        </w:div>
        <w:div w:id="914121624">
          <w:marLeft w:val="547"/>
          <w:marRight w:val="0"/>
          <w:marTop w:val="0"/>
          <w:marBottom w:val="160"/>
          <w:divBdr>
            <w:top w:val="none" w:sz="0" w:space="0" w:color="auto"/>
            <w:left w:val="none" w:sz="0" w:space="0" w:color="auto"/>
            <w:bottom w:val="none" w:sz="0" w:space="0" w:color="auto"/>
            <w:right w:val="none" w:sz="0" w:space="0" w:color="auto"/>
          </w:divBdr>
        </w:div>
        <w:div w:id="918638607">
          <w:marLeft w:val="547"/>
          <w:marRight w:val="0"/>
          <w:marTop w:val="0"/>
          <w:marBottom w:val="0"/>
          <w:divBdr>
            <w:top w:val="none" w:sz="0" w:space="0" w:color="auto"/>
            <w:left w:val="none" w:sz="0" w:space="0" w:color="auto"/>
            <w:bottom w:val="none" w:sz="0" w:space="0" w:color="auto"/>
            <w:right w:val="none" w:sz="0" w:space="0" w:color="auto"/>
          </w:divBdr>
        </w:div>
        <w:div w:id="925767411">
          <w:marLeft w:val="1166"/>
          <w:marRight w:val="0"/>
          <w:marTop w:val="0"/>
          <w:marBottom w:val="0"/>
          <w:divBdr>
            <w:top w:val="none" w:sz="0" w:space="0" w:color="auto"/>
            <w:left w:val="none" w:sz="0" w:space="0" w:color="auto"/>
            <w:bottom w:val="none" w:sz="0" w:space="0" w:color="auto"/>
            <w:right w:val="none" w:sz="0" w:space="0" w:color="auto"/>
          </w:divBdr>
        </w:div>
        <w:div w:id="939605861">
          <w:marLeft w:val="547"/>
          <w:marRight w:val="0"/>
          <w:marTop w:val="0"/>
          <w:marBottom w:val="160"/>
          <w:divBdr>
            <w:top w:val="none" w:sz="0" w:space="0" w:color="auto"/>
            <w:left w:val="none" w:sz="0" w:space="0" w:color="auto"/>
            <w:bottom w:val="none" w:sz="0" w:space="0" w:color="auto"/>
            <w:right w:val="none" w:sz="0" w:space="0" w:color="auto"/>
          </w:divBdr>
        </w:div>
        <w:div w:id="1077677525">
          <w:marLeft w:val="1166"/>
          <w:marRight w:val="0"/>
          <w:marTop w:val="0"/>
          <w:marBottom w:val="0"/>
          <w:divBdr>
            <w:top w:val="none" w:sz="0" w:space="0" w:color="auto"/>
            <w:left w:val="none" w:sz="0" w:space="0" w:color="auto"/>
            <w:bottom w:val="none" w:sz="0" w:space="0" w:color="auto"/>
            <w:right w:val="none" w:sz="0" w:space="0" w:color="auto"/>
          </w:divBdr>
        </w:div>
        <w:div w:id="1117288910">
          <w:marLeft w:val="547"/>
          <w:marRight w:val="0"/>
          <w:marTop w:val="0"/>
          <w:marBottom w:val="160"/>
          <w:divBdr>
            <w:top w:val="none" w:sz="0" w:space="0" w:color="auto"/>
            <w:left w:val="none" w:sz="0" w:space="0" w:color="auto"/>
            <w:bottom w:val="none" w:sz="0" w:space="0" w:color="auto"/>
            <w:right w:val="none" w:sz="0" w:space="0" w:color="auto"/>
          </w:divBdr>
        </w:div>
        <w:div w:id="1121193057">
          <w:marLeft w:val="547"/>
          <w:marRight w:val="0"/>
          <w:marTop w:val="0"/>
          <w:marBottom w:val="160"/>
          <w:divBdr>
            <w:top w:val="none" w:sz="0" w:space="0" w:color="auto"/>
            <w:left w:val="none" w:sz="0" w:space="0" w:color="auto"/>
            <w:bottom w:val="none" w:sz="0" w:space="0" w:color="auto"/>
            <w:right w:val="none" w:sz="0" w:space="0" w:color="auto"/>
          </w:divBdr>
        </w:div>
        <w:div w:id="1126237069">
          <w:marLeft w:val="446"/>
          <w:marRight w:val="0"/>
          <w:marTop w:val="0"/>
          <w:marBottom w:val="0"/>
          <w:divBdr>
            <w:top w:val="none" w:sz="0" w:space="0" w:color="auto"/>
            <w:left w:val="none" w:sz="0" w:space="0" w:color="auto"/>
            <w:bottom w:val="none" w:sz="0" w:space="0" w:color="auto"/>
            <w:right w:val="none" w:sz="0" w:space="0" w:color="auto"/>
          </w:divBdr>
        </w:div>
        <w:div w:id="1140735149">
          <w:marLeft w:val="446"/>
          <w:marRight w:val="0"/>
          <w:marTop w:val="0"/>
          <w:marBottom w:val="0"/>
          <w:divBdr>
            <w:top w:val="none" w:sz="0" w:space="0" w:color="auto"/>
            <w:left w:val="none" w:sz="0" w:space="0" w:color="auto"/>
            <w:bottom w:val="none" w:sz="0" w:space="0" w:color="auto"/>
            <w:right w:val="none" w:sz="0" w:space="0" w:color="auto"/>
          </w:divBdr>
        </w:div>
        <w:div w:id="1264992904">
          <w:marLeft w:val="547"/>
          <w:marRight w:val="0"/>
          <w:marTop w:val="0"/>
          <w:marBottom w:val="0"/>
          <w:divBdr>
            <w:top w:val="none" w:sz="0" w:space="0" w:color="auto"/>
            <w:left w:val="none" w:sz="0" w:space="0" w:color="auto"/>
            <w:bottom w:val="none" w:sz="0" w:space="0" w:color="auto"/>
            <w:right w:val="none" w:sz="0" w:space="0" w:color="auto"/>
          </w:divBdr>
        </w:div>
        <w:div w:id="1374771167">
          <w:marLeft w:val="547"/>
          <w:marRight w:val="0"/>
          <w:marTop w:val="0"/>
          <w:marBottom w:val="160"/>
          <w:divBdr>
            <w:top w:val="none" w:sz="0" w:space="0" w:color="auto"/>
            <w:left w:val="none" w:sz="0" w:space="0" w:color="auto"/>
            <w:bottom w:val="none" w:sz="0" w:space="0" w:color="auto"/>
            <w:right w:val="none" w:sz="0" w:space="0" w:color="auto"/>
          </w:divBdr>
        </w:div>
        <w:div w:id="1418558686">
          <w:marLeft w:val="446"/>
          <w:marRight w:val="0"/>
          <w:marTop w:val="0"/>
          <w:marBottom w:val="0"/>
          <w:divBdr>
            <w:top w:val="none" w:sz="0" w:space="0" w:color="auto"/>
            <w:left w:val="none" w:sz="0" w:space="0" w:color="auto"/>
            <w:bottom w:val="none" w:sz="0" w:space="0" w:color="auto"/>
            <w:right w:val="none" w:sz="0" w:space="0" w:color="auto"/>
          </w:divBdr>
        </w:div>
        <w:div w:id="1469398635">
          <w:marLeft w:val="547"/>
          <w:marRight w:val="0"/>
          <w:marTop w:val="0"/>
          <w:marBottom w:val="160"/>
          <w:divBdr>
            <w:top w:val="none" w:sz="0" w:space="0" w:color="auto"/>
            <w:left w:val="none" w:sz="0" w:space="0" w:color="auto"/>
            <w:bottom w:val="none" w:sz="0" w:space="0" w:color="auto"/>
            <w:right w:val="none" w:sz="0" w:space="0" w:color="auto"/>
          </w:divBdr>
        </w:div>
        <w:div w:id="1490245631">
          <w:marLeft w:val="446"/>
          <w:marRight w:val="0"/>
          <w:marTop w:val="0"/>
          <w:marBottom w:val="0"/>
          <w:divBdr>
            <w:top w:val="none" w:sz="0" w:space="0" w:color="auto"/>
            <w:left w:val="none" w:sz="0" w:space="0" w:color="auto"/>
            <w:bottom w:val="none" w:sz="0" w:space="0" w:color="auto"/>
            <w:right w:val="none" w:sz="0" w:space="0" w:color="auto"/>
          </w:divBdr>
        </w:div>
        <w:div w:id="1504977941">
          <w:marLeft w:val="446"/>
          <w:marRight w:val="0"/>
          <w:marTop w:val="0"/>
          <w:marBottom w:val="0"/>
          <w:divBdr>
            <w:top w:val="none" w:sz="0" w:space="0" w:color="auto"/>
            <w:left w:val="none" w:sz="0" w:space="0" w:color="auto"/>
            <w:bottom w:val="none" w:sz="0" w:space="0" w:color="auto"/>
            <w:right w:val="none" w:sz="0" w:space="0" w:color="auto"/>
          </w:divBdr>
        </w:div>
        <w:div w:id="1508249564">
          <w:marLeft w:val="547"/>
          <w:marRight w:val="0"/>
          <w:marTop w:val="0"/>
          <w:marBottom w:val="160"/>
          <w:divBdr>
            <w:top w:val="none" w:sz="0" w:space="0" w:color="auto"/>
            <w:left w:val="none" w:sz="0" w:space="0" w:color="auto"/>
            <w:bottom w:val="none" w:sz="0" w:space="0" w:color="auto"/>
            <w:right w:val="none" w:sz="0" w:space="0" w:color="auto"/>
          </w:divBdr>
        </w:div>
        <w:div w:id="1686325039">
          <w:marLeft w:val="1166"/>
          <w:marRight w:val="0"/>
          <w:marTop w:val="0"/>
          <w:marBottom w:val="0"/>
          <w:divBdr>
            <w:top w:val="none" w:sz="0" w:space="0" w:color="auto"/>
            <w:left w:val="none" w:sz="0" w:space="0" w:color="auto"/>
            <w:bottom w:val="none" w:sz="0" w:space="0" w:color="auto"/>
            <w:right w:val="none" w:sz="0" w:space="0" w:color="auto"/>
          </w:divBdr>
        </w:div>
        <w:div w:id="1786072583">
          <w:marLeft w:val="547"/>
          <w:marRight w:val="0"/>
          <w:marTop w:val="0"/>
          <w:marBottom w:val="0"/>
          <w:divBdr>
            <w:top w:val="none" w:sz="0" w:space="0" w:color="auto"/>
            <w:left w:val="none" w:sz="0" w:space="0" w:color="auto"/>
            <w:bottom w:val="none" w:sz="0" w:space="0" w:color="auto"/>
            <w:right w:val="none" w:sz="0" w:space="0" w:color="auto"/>
          </w:divBdr>
        </w:div>
        <w:div w:id="1907764439">
          <w:marLeft w:val="547"/>
          <w:marRight w:val="0"/>
          <w:marTop w:val="0"/>
          <w:marBottom w:val="160"/>
          <w:divBdr>
            <w:top w:val="none" w:sz="0" w:space="0" w:color="auto"/>
            <w:left w:val="none" w:sz="0" w:space="0" w:color="auto"/>
            <w:bottom w:val="none" w:sz="0" w:space="0" w:color="auto"/>
            <w:right w:val="none" w:sz="0" w:space="0" w:color="auto"/>
          </w:divBdr>
        </w:div>
        <w:div w:id="2107966149">
          <w:marLeft w:val="446"/>
          <w:marRight w:val="0"/>
          <w:marTop w:val="0"/>
          <w:marBottom w:val="0"/>
          <w:divBdr>
            <w:top w:val="none" w:sz="0" w:space="0" w:color="auto"/>
            <w:left w:val="none" w:sz="0" w:space="0" w:color="auto"/>
            <w:bottom w:val="none" w:sz="0" w:space="0" w:color="auto"/>
            <w:right w:val="none" w:sz="0" w:space="0" w:color="auto"/>
          </w:divBdr>
        </w:div>
        <w:div w:id="2111121689">
          <w:marLeft w:val="446"/>
          <w:marRight w:val="0"/>
          <w:marTop w:val="0"/>
          <w:marBottom w:val="0"/>
          <w:divBdr>
            <w:top w:val="none" w:sz="0" w:space="0" w:color="auto"/>
            <w:left w:val="none" w:sz="0" w:space="0" w:color="auto"/>
            <w:bottom w:val="none" w:sz="0" w:space="0" w:color="auto"/>
            <w:right w:val="none" w:sz="0" w:space="0" w:color="auto"/>
          </w:divBdr>
        </w:div>
      </w:divsChild>
    </w:div>
    <w:div w:id="1102994344">
      <w:bodyDiv w:val="1"/>
      <w:marLeft w:val="0"/>
      <w:marRight w:val="0"/>
      <w:marTop w:val="0"/>
      <w:marBottom w:val="0"/>
      <w:divBdr>
        <w:top w:val="none" w:sz="0" w:space="0" w:color="auto"/>
        <w:left w:val="none" w:sz="0" w:space="0" w:color="auto"/>
        <w:bottom w:val="none" w:sz="0" w:space="0" w:color="auto"/>
        <w:right w:val="none" w:sz="0" w:space="0" w:color="auto"/>
      </w:divBdr>
      <w:divsChild>
        <w:div w:id="150029574">
          <w:marLeft w:val="274"/>
          <w:marRight w:val="0"/>
          <w:marTop w:val="120"/>
          <w:marBottom w:val="160"/>
          <w:divBdr>
            <w:top w:val="none" w:sz="0" w:space="0" w:color="auto"/>
            <w:left w:val="none" w:sz="0" w:space="0" w:color="auto"/>
            <w:bottom w:val="none" w:sz="0" w:space="0" w:color="auto"/>
            <w:right w:val="none" w:sz="0" w:space="0" w:color="auto"/>
          </w:divBdr>
        </w:div>
        <w:div w:id="194732354">
          <w:marLeft w:val="274"/>
          <w:marRight w:val="0"/>
          <w:marTop w:val="120"/>
          <w:marBottom w:val="160"/>
          <w:divBdr>
            <w:top w:val="none" w:sz="0" w:space="0" w:color="auto"/>
            <w:left w:val="none" w:sz="0" w:space="0" w:color="auto"/>
            <w:bottom w:val="none" w:sz="0" w:space="0" w:color="auto"/>
            <w:right w:val="none" w:sz="0" w:space="0" w:color="auto"/>
          </w:divBdr>
        </w:div>
        <w:div w:id="230698758">
          <w:marLeft w:val="274"/>
          <w:marRight w:val="0"/>
          <w:marTop w:val="120"/>
          <w:marBottom w:val="160"/>
          <w:divBdr>
            <w:top w:val="none" w:sz="0" w:space="0" w:color="auto"/>
            <w:left w:val="none" w:sz="0" w:space="0" w:color="auto"/>
            <w:bottom w:val="none" w:sz="0" w:space="0" w:color="auto"/>
            <w:right w:val="none" w:sz="0" w:space="0" w:color="auto"/>
          </w:divBdr>
        </w:div>
        <w:div w:id="233207157">
          <w:marLeft w:val="274"/>
          <w:marRight w:val="0"/>
          <w:marTop w:val="120"/>
          <w:marBottom w:val="160"/>
          <w:divBdr>
            <w:top w:val="none" w:sz="0" w:space="0" w:color="auto"/>
            <w:left w:val="none" w:sz="0" w:space="0" w:color="auto"/>
            <w:bottom w:val="none" w:sz="0" w:space="0" w:color="auto"/>
            <w:right w:val="none" w:sz="0" w:space="0" w:color="auto"/>
          </w:divBdr>
        </w:div>
        <w:div w:id="516240495">
          <w:marLeft w:val="274"/>
          <w:marRight w:val="0"/>
          <w:marTop w:val="120"/>
          <w:marBottom w:val="160"/>
          <w:divBdr>
            <w:top w:val="none" w:sz="0" w:space="0" w:color="auto"/>
            <w:left w:val="none" w:sz="0" w:space="0" w:color="auto"/>
            <w:bottom w:val="none" w:sz="0" w:space="0" w:color="auto"/>
            <w:right w:val="none" w:sz="0" w:space="0" w:color="auto"/>
          </w:divBdr>
        </w:div>
        <w:div w:id="1119838583">
          <w:marLeft w:val="274"/>
          <w:marRight w:val="0"/>
          <w:marTop w:val="120"/>
          <w:marBottom w:val="160"/>
          <w:divBdr>
            <w:top w:val="none" w:sz="0" w:space="0" w:color="auto"/>
            <w:left w:val="none" w:sz="0" w:space="0" w:color="auto"/>
            <w:bottom w:val="none" w:sz="0" w:space="0" w:color="auto"/>
            <w:right w:val="none" w:sz="0" w:space="0" w:color="auto"/>
          </w:divBdr>
        </w:div>
        <w:div w:id="1200556600">
          <w:marLeft w:val="274"/>
          <w:marRight w:val="0"/>
          <w:marTop w:val="120"/>
          <w:marBottom w:val="160"/>
          <w:divBdr>
            <w:top w:val="none" w:sz="0" w:space="0" w:color="auto"/>
            <w:left w:val="none" w:sz="0" w:space="0" w:color="auto"/>
            <w:bottom w:val="none" w:sz="0" w:space="0" w:color="auto"/>
            <w:right w:val="none" w:sz="0" w:space="0" w:color="auto"/>
          </w:divBdr>
        </w:div>
        <w:div w:id="1693532384">
          <w:marLeft w:val="274"/>
          <w:marRight w:val="0"/>
          <w:marTop w:val="120"/>
          <w:marBottom w:val="160"/>
          <w:divBdr>
            <w:top w:val="none" w:sz="0" w:space="0" w:color="auto"/>
            <w:left w:val="none" w:sz="0" w:space="0" w:color="auto"/>
            <w:bottom w:val="none" w:sz="0" w:space="0" w:color="auto"/>
            <w:right w:val="none" w:sz="0" w:space="0" w:color="auto"/>
          </w:divBdr>
        </w:div>
        <w:div w:id="2135099564">
          <w:marLeft w:val="274"/>
          <w:marRight w:val="0"/>
          <w:marTop w:val="120"/>
          <w:marBottom w:val="160"/>
          <w:divBdr>
            <w:top w:val="none" w:sz="0" w:space="0" w:color="auto"/>
            <w:left w:val="none" w:sz="0" w:space="0" w:color="auto"/>
            <w:bottom w:val="none" w:sz="0" w:space="0" w:color="auto"/>
            <w:right w:val="none" w:sz="0" w:space="0" w:color="auto"/>
          </w:divBdr>
        </w:div>
      </w:divsChild>
    </w:div>
    <w:div w:id="1109861185">
      <w:bodyDiv w:val="1"/>
      <w:marLeft w:val="0"/>
      <w:marRight w:val="0"/>
      <w:marTop w:val="0"/>
      <w:marBottom w:val="0"/>
      <w:divBdr>
        <w:top w:val="none" w:sz="0" w:space="0" w:color="auto"/>
        <w:left w:val="none" w:sz="0" w:space="0" w:color="auto"/>
        <w:bottom w:val="none" w:sz="0" w:space="0" w:color="auto"/>
        <w:right w:val="none" w:sz="0" w:space="0" w:color="auto"/>
      </w:divBdr>
    </w:div>
    <w:div w:id="1145390642">
      <w:bodyDiv w:val="1"/>
      <w:marLeft w:val="0"/>
      <w:marRight w:val="0"/>
      <w:marTop w:val="0"/>
      <w:marBottom w:val="0"/>
      <w:divBdr>
        <w:top w:val="none" w:sz="0" w:space="0" w:color="auto"/>
        <w:left w:val="none" w:sz="0" w:space="0" w:color="auto"/>
        <w:bottom w:val="none" w:sz="0" w:space="0" w:color="auto"/>
        <w:right w:val="none" w:sz="0" w:space="0" w:color="auto"/>
      </w:divBdr>
    </w:div>
    <w:div w:id="1162506207">
      <w:bodyDiv w:val="1"/>
      <w:marLeft w:val="0"/>
      <w:marRight w:val="0"/>
      <w:marTop w:val="0"/>
      <w:marBottom w:val="0"/>
      <w:divBdr>
        <w:top w:val="none" w:sz="0" w:space="0" w:color="auto"/>
        <w:left w:val="none" w:sz="0" w:space="0" w:color="auto"/>
        <w:bottom w:val="none" w:sz="0" w:space="0" w:color="auto"/>
        <w:right w:val="none" w:sz="0" w:space="0" w:color="auto"/>
      </w:divBdr>
    </w:div>
    <w:div w:id="1177694765">
      <w:bodyDiv w:val="1"/>
      <w:marLeft w:val="0"/>
      <w:marRight w:val="0"/>
      <w:marTop w:val="0"/>
      <w:marBottom w:val="0"/>
      <w:divBdr>
        <w:top w:val="none" w:sz="0" w:space="0" w:color="auto"/>
        <w:left w:val="none" w:sz="0" w:space="0" w:color="auto"/>
        <w:bottom w:val="none" w:sz="0" w:space="0" w:color="auto"/>
        <w:right w:val="none" w:sz="0" w:space="0" w:color="auto"/>
      </w:divBdr>
      <w:divsChild>
        <w:div w:id="277107512">
          <w:marLeft w:val="274"/>
          <w:marRight w:val="0"/>
          <w:marTop w:val="120"/>
          <w:marBottom w:val="160"/>
          <w:divBdr>
            <w:top w:val="none" w:sz="0" w:space="0" w:color="auto"/>
            <w:left w:val="none" w:sz="0" w:space="0" w:color="auto"/>
            <w:bottom w:val="none" w:sz="0" w:space="0" w:color="auto"/>
            <w:right w:val="none" w:sz="0" w:space="0" w:color="auto"/>
          </w:divBdr>
        </w:div>
        <w:div w:id="862788226">
          <w:marLeft w:val="274"/>
          <w:marRight w:val="0"/>
          <w:marTop w:val="120"/>
          <w:marBottom w:val="160"/>
          <w:divBdr>
            <w:top w:val="none" w:sz="0" w:space="0" w:color="auto"/>
            <w:left w:val="none" w:sz="0" w:space="0" w:color="auto"/>
            <w:bottom w:val="none" w:sz="0" w:space="0" w:color="auto"/>
            <w:right w:val="none" w:sz="0" w:space="0" w:color="auto"/>
          </w:divBdr>
        </w:div>
        <w:div w:id="899949676">
          <w:marLeft w:val="274"/>
          <w:marRight w:val="0"/>
          <w:marTop w:val="120"/>
          <w:marBottom w:val="160"/>
          <w:divBdr>
            <w:top w:val="none" w:sz="0" w:space="0" w:color="auto"/>
            <w:left w:val="none" w:sz="0" w:space="0" w:color="auto"/>
            <w:bottom w:val="none" w:sz="0" w:space="0" w:color="auto"/>
            <w:right w:val="none" w:sz="0" w:space="0" w:color="auto"/>
          </w:divBdr>
        </w:div>
        <w:div w:id="1398279668">
          <w:marLeft w:val="274"/>
          <w:marRight w:val="0"/>
          <w:marTop w:val="120"/>
          <w:marBottom w:val="160"/>
          <w:divBdr>
            <w:top w:val="none" w:sz="0" w:space="0" w:color="auto"/>
            <w:left w:val="none" w:sz="0" w:space="0" w:color="auto"/>
            <w:bottom w:val="none" w:sz="0" w:space="0" w:color="auto"/>
            <w:right w:val="none" w:sz="0" w:space="0" w:color="auto"/>
          </w:divBdr>
        </w:div>
      </w:divsChild>
    </w:div>
    <w:div w:id="1187795572">
      <w:bodyDiv w:val="1"/>
      <w:marLeft w:val="0"/>
      <w:marRight w:val="0"/>
      <w:marTop w:val="0"/>
      <w:marBottom w:val="0"/>
      <w:divBdr>
        <w:top w:val="none" w:sz="0" w:space="0" w:color="auto"/>
        <w:left w:val="none" w:sz="0" w:space="0" w:color="auto"/>
        <w:bottom w:val="none" w:sz="0" w:space="0" w:color="auto"/>
        <w:right w:val="none" w:sz="0" w:space="0" w:color="auto"/>
      </w:divBdr>
    </w:div>
    <w:div w:id="1205600442">
      <w:bodyDiv w:val="1"/>
      <w:marLeft w:val="0"/>
      <w:marRight w:val="0"/>
      <w:marTop w:val="0"/>
      <w:marBottom w:val="0"/>
      <w:divBdr>
        <w:top w:val="none" w:sz="0" w:space="0" w:color="auto"/>
        <w:left w:val="none" w:sz="0" w:space="0" w:color="auto"/>
        <w:bottom w:val="none" w:sz="0" w:space="0" w:color="auto"/>
        <w:right w:val="none" w:sz="0" w:space="0" w:color="auto"/>
      </w:divBdr>
      <w:divsChild>
        <w:div w:id="303893326">
          <w:marLeft w:val="274"/>
          <w:marRight w:val="0"/>
          <w:marTop w:val="0"/>
          <w:marBottom w:val="0"/>
          <w:divBdr>
            <w:top w:val="none" w:sz="0" w:space="0" w:color="auto"/>
            <w:left w:val="none" w:sz="0" w:space="0" w:color="auto"/>
            <w:bottom w:val="none" w:sz="0" w:space="0" w:color="auto"/>
            <w:right w:val="none" w:sz="0" w:space="0" w:color="auto"/>
          </w:divBdr>
        </w:div>
        <w:div w:id="369694075">
          <w:marLeft w:val="274"/>
          <w:marRight w:val="0"/>
          <w:marTop w:val="120"/>
          <w:marBottom w:val="160"/>
          <w:divBdr>
            <w:top w:val="none" w:sz="0" w:space="0" w:color="auto"/>
            <w:left w:val="none" w:sz="0" w:space="0" w:color="auto"/>
            <w:bottom w:val="none" w:sz="0" w:space="0" w:color="auto"/>
            <w:right w:val="none" w:sz="0" w:space="0" w:color="auto"/>
          </w:divBdr>
        </w:div>
        <w:div w:id="376703906">
          <w:marLeft w:val="274"/>
          <w:marRight w:val="0"/>
          <w:marTop w:val="120"/>
          <w:marBottom w:val="160"/>
          <w:divBdr>
            <w:top w:val="none" w:sz="0" w:space="0" w:color="auto"/>
            <w:left w:val="none" w:sz="0" w:space="0" w:color="auto"/>
            <w:bottom w:val="none" w:sz="0" w:space="0" w:color="auto"/>
            <w:right w:val="none" w:sz="0" w:space="0" w:color="auto"/>
          </w:divBdr>
        </w:div>
        <w:div w:id="413550905">
          <w:marLeft w:val="274"/>
          <w:marRight w:val="0"/>
          <w:marTop w:val="120"/>
          <w:marBottom w:val="160"/>
          <w:divBdr>
            <w:top w:val="none" w:sz="0" w:space="0" w:color="auto"/>
            <w:left w:val="none" w:sz="0" w:space="0" w:color="auto"/>
            <w:bottom w:val="none" w:sz="0" w:space="0" w:color="auto"/>
            <w:right w:val="none" w:sz="0" w:space="0" w:color="auto"/>
          </w:divBdr>
        </w:div>
        <w:div w:id="494150768">
          <w:marLeft w:val="274"/>
          <w:marRight w:val="0"/>
          <w:marTop w:val="0"/>
          <w:marBottom w:val="0"/>
          <w:divBdr>
            <w:top w:val="none" w:sz="0" w:space="0" w:color="auto"/>
            <w:left w:val="none" w:sz="0" w:space="0" w:color="auto"/>
            <w:bottom w:val="none" w:sz="0" w:space="0" w:color="auto"/>
            <w:right w:val="none" w:sz="0" w:space="0" w:color="auto"/>
          </w:divBdr>
        </w:div>
        <w:div w:id="519929015">
          <w:marLeft w:val="274"/>
          <w:marRight w:val="0"/>
          <w:marTop w:val="120"/>
          <w:marBottom w:val="160"/>
          <w:divBdr>
            <w:top w:val="none" w:sz="0" w:space="0" w:color="auto"/>
            <w:left w:val="none" w:sz="0" w:space="0" w:color="auto"/>
            <w:bottom w:val="none" w:sz="0" w:space="0" w:color="auto"/>
            <w:right w:val="none" w:sz="0" w:space="0" w:color="auto"/>
          </w:divBdr>
        </w:div>
        <w:div w:id="931014689">
          <w:marLeft w:val="274"/>
          <w:marRight w:val="0"/>
          <w:marTop w:val="120"/>
          <w:marBottom w:val="160"/>
          <w:divBdr>
            <w:top w:val="none" w:sz="0" w:space="0" w:color="auto"/>
            <w:left w:val="none" w:sz="0" w:space="0" w:color="auto"/>
            <w:bottom w:val="none" w:sz="0" w:space="0" w:color="auto"/>
            <w:right w:val="none" w:sz="0" w:space="0" w:color="auto"/>
          </w:divBdr>
        </w:div>
        <w:div w:id="1073774197">
          <w:marLeft w:val="274"/>
          <w:marRight w:val="0"/>
          <w:marTop w:val="120"/>
          <w:marBottom w:val="160"/>
          <w:divBdr>
            <w:top w:val="none" w:sz="0" w:space="0" w:color="auto"/>
            <w:left w:val="none" w:sz="0" w:space="0" w:color="auto"/>
            <w:bottom w:val="none" w:sz="0" w:space="0" w:color="auto"/>
            <w:right w:val="none" w:sz="0" w:space="0" w:color="auto"/>
          </w:divBdr>
        </w:div>
        <w:div w:id="1090463171">
          <w:marLeft w:val="274"/>
          <w:marRight w:val="0"/>
          <w:marTop w:val="0"/>
          <w:marBottom w:val="0"/>
          <w:divBdr>
            <w:top w:val="none" w:sz="0" w:space="0" w:color="auto"/>
            <w:left w:val="none" w:sz="0" w:space="0" w:color="auto"/>
            <w:bottom w:val="none" w:sz="0" w:space="0" w:color="auto"/>
            <w:right w:val="none" w:sz="0" w:space="0" w:color="auto"/>
          </w:divBdr>
        </w:div>
        <w:div w:id="1342511422">
          <w:marLeft w:val="274"/>
          <w:marRight w:val="0"/>
          <w:marTop w:val="0"/>
          <w:marBottom w:val="0"/>
          <w:divBdr>
            <w:top w:val="none" w:sz="0" w:space="0" w:color="auto"/>
            <w:left w:val="none" w:sz="0" w:space="0" w:color="auto"/>
            <w:bottom w:val="none" w:sz="0" w:space="0" w:color="auto"/>
            <w:right w:val="none" w:sz="0" w:space="0" w:color="auto"/>
          </w:divBdr>
        </w:div>
        <w:div w:id="1399867705">
          <w:marLeft w:val="274"/>
          <w:marRight w:val="0"/>
          <w:marTop w:val="120"/>
          <w:marBottom w:val="160"/>
          <w:divBdr>
            <w:top w:val="none" w:sz="0" w:space="0" w:color="auto"/>
            <w:left w:val="none" w:sz="0" w:space="0" w:color="auto"/>
            <w:bottom w:val="none" w:sz="0" w:space="0" w:color="auto"/>
            <w:right w:val="none" w:sz="0" w:space="0" w:color="auto"/>
          </w:divBdr>
        </w:div>
        <w:div w:id="1578369656">
          <w:marLeft w:val="274"/>
          <w:marRight w:val="0"/>
          <w:marTop w:val="120"/>
          <w:marBottom w:val="160"/>
          <w:divBdr>
            <w:top w:val="none" w:sz="0" w:space="0" w:color="auto"/>
            <w:left w:val="none" w:sz="0" w:space="0" w:color="auto"/>
            <w:bottom w:val="none" w:sz="0" w:space="0" w:color="auto"/>
            <w:right w:val="none" w:sz="0" w:space="0" w:color="auto"/>
          </w:divBdr>
        </w:div>
        <w:div w:id="1630932860">
          <w:marLeft w:val="274"/>
          <w:marRight w:val="0"/>
          <w:marTop w:val="120"/>
          <w:marBottom w:val="160"/>
          <w:divBdr>
            <w:top w:val="none" w:sz="0" w:space="0" w:color="auto"/>
            <w:left w:val="none" w:sz="0" w:space="0" w:color="auto"/>
            <w:bottom w:val="none" w:sz="0" w:space="0" w:color="auto"/>
            <w:right w:val="none" w:sz="0" w:space="0" w:color="auto"/>
          </w:divBdr>
        </w:div>
        <w:div w:id="1659768146">
          <w:marLeft w:val="274"/>
          <w:marRight w:val="0"/>
          <w:marTop w:val="120"/>
          <w:marBottom w:val="160"/>
          <w:divBdr>
            <w:top w:val="none" w:sz="0" w:space="0" w:color="auto"/>
            <w:left w:val="none" w:sz="0" w:space="0" w:color="auto"/>
            <w:bottom w:val="none" w:sz="0" w:space="0" w:color="auto"/>
            <w:right w:val="none" w:sz="0" w:space="0" w:color="auto"/>
          </w:divBdr>
        </w:div>
        <w:div w:id="2074959621">
          <w:marLeft w:val="274"/>
          <w:marRight w:val="0"/>
          <w:marTop w:val="0"/>
          <w:marBottom w:val="0"/>
          <w:divBdr>
            <w:top w:val="none" w:sz="0" w:space="0" w:color="auto"/>
            <w:left w:val="none" w:sz="0" w:space="0" w:color="auto"/>
            <w:bottom w:val="none" w:sz="0" w:space="0" w:color="auto"/>
            <w:right w:val="none" w:sz="0" w:space="0" w:color="auto"/>
          </w:divBdr>
        </w:div>
      </w:divsChild>
    </w:div>
    <w:div w:id="1206060023">
      <w:bodyDiv w:val="1"/>
      <w:marLeft w:val="0"/>
      <w:marRight w:val="0"/>
      <w:marTop w:val="0"/>
      <w:marBottom w:val="0"/>
      <w:divBdr>
        <w:top w:val="none" w:sz="0" w:space="0" w:color="auto"/>
        <w:left w:val="none" w:sz="0" w:space="0" w:color="auto"/>
        <w:bottom w:val="none" w:sz="0" w:space="0" w:color="auto"/>
        <w:right w:val="none" w:sz="0" w:space="0" w:color="auto"/>
      </w:divBdr>
    </w:div>
    <w:div w:id="1218392724">
      <w:bodyDiv w:val="1"/>
      <w:marLeft w:val="0"/>
      <w:marRight w:val="0"/>
      <w:marTop w:val="0"/>
      <w:marBottom w:val="0"/>
      <w:divBdr>
        <w:top w:val="none" w:sz="0" w:space="0" w:color="auto"/>
        <w:left w:val="none" w:sz="0" w:space="0" w:color="auto"/>
        <w:bottom w:val="none" w:sz="0" w:space="0" w:color="auto"/>
        <w:right w:val="none" w:sz="0" w:space="0" w:color="auto"/>
      </w:divBdr>
      <w:divsChild>
        <w:div w:id="1074429880">
          <w:marLeft w:val="0"/>
          <w:marRight w:val="0"/>
          <w:marTop w:val="0"/>
          <w:marBottom w:val="0"/>
          <w:divBdr>
            <w:top w:val="none" w:sz="0" w:space="0" w:color="auto"/>
            <w:left w:val="none" w:sz="0" w:space="0" w:color="auto"/>
            <w:bottom w:val="none" w:sz="0" w:space="0" w:color="auto"/>
            <w:right w:val="none" w:sz="0" w:space="0" w:color="auto"/>
          </w:divBdr>
          <w:divsChild>
            <w:div w:id="435445078">
              <w:marLeft w:val="0"/>
              <w:marRight w:val="0"/>
              <w:marTop w:val="0"/>
              <w:marBottom w:val="0"/>
              <w:divBdr>
                <w:top w:val="none" w:sz="0" w:space="0" w:color="auto"/>
                <w:left w:val="none" w:sz="0" w:space="0" w:color="auto"/>
                <w:bottom w:val="none" w:sz="0" w:space="0" w:color="auto"/>
                <w:right w:val="none" w:sz="0" w:space="0" w:color="auto"/>
              </w:divBdr>
            </w:div>
          </w:divsChild>
        </w:div>
        <w:div w:id="1094940902">
          <w:marLeft w:val="0"/>
          <w:marRight w:val="0"/>
          <w:marTop w:val="0"/>
          <w:marBottom w:val="0"/>
          <w:divBdr>
            <w:top w:val="none" w:sz="0" w:space="0" w:color="auto"/>
            <w:left w:val="none" w:sz="0" w:space="0" w:color="auto"/>
            <w:bottom w:val="none" w:sz="0" w:space="0" w:color="auto"/>
            <w:right w:val="none" w:sz="0" w:space="0" w:color="auto"/>
          </w:divBdr>
          <w:divsChild>
            <w:div w:id="322587137">
              <w:marLeft w:val="0"/>
              <w:marRight w:val="0"/>
              <w:marTop w:val="0"/>
              <w:marBottom w:val="0"/>
              <w:divBdr>
                <w:top w:val="none" w:sz="0" w:space="0" w:color="auto"/>
                <w:left w:val="none" w:sz="0" w:space="0" w:color="auto"/>
                <w:bottom w:val="none" w:sz="0" w:space="0" w:color="auto"/>
                <w:right w:val="none" w:sz="0" w:space="0" w:color="auto"/>
              </w:divBdr>
              <w:divsChild>
                <w:div w:id="1408527488">
                  <w:marLeft w:val="0"/>
                  <w:marRight w:val="0"/>
                  <w:marTop w:val="0"/>
                  <w:marBottom w:val="0"/>
                  <w:divBdr>
                    <w:top w:val="none" w:sz="0" w:space="0" w:color="auto"/>
                    <w:left w:val="none" w:sz="0" w:space="0" w:color="auto"/>
                    <w:bottom w:val="none" w:sz="0" w:space="0" w:color="auto"/>
                    <w:right w:val="none" w:sz="0" w:space="0" w:color="auto"/>
                  </w:divBdr>
                  <w:divsChild>
                    <w:div w:id="17678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21759">
              <w:marLeft w:val="0"/>
              <w:marRight w:val="0"/>
              <w:marTop w:val="0"/>
              <w:marBottom w:val="0"/>
              <w:divBdr>
                <w:top w:val="none" w:sz="0" w:space="0" w:color="auto"/>
                <w:left w:val="none" w:sz="0" w:space="0" w:color="auto"/>
                <w:bottom w:val="none" w:sz="0" w:space="0" w:color="auto"/>
                <w:right w:val="none" w:sz="0" w:space="0" w:color="auto"/>
              </w:divBdr>
              <w:divsChild>
                <w:div w:id="572353091">
                  <w:marLeft w:val="0"/>
                  <w:marRight w:val="0"/>
                  <w:marTop w:val="0"/>
                  <w:marBottom w:val="0"/>
                  <w:divBdr>
                    <w:top w:val="none" w:sz="0" w:space="0" w:color="auto"/>
                    <w:left w:val="none" w:sz="0" w:space="0" w:color="auto"/>
                    <w:bottom w:val="none" w:sz="0" w:space="0" w:color="auto"/>
                    <w:right w:val="none" w:sz="0" w:space="0" w:color="auto"/>
                  </w:divBdr>
                  <w:divsChild>
                    <w:div w:id="4324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7475">
      <w:bodyDiv w:val="1"/>
      <w:marLeft w:val="0"/>
      <w:marRight w:val="0"/>
      <w:marTop w:val="0"/>
      <w:marBottom w:val="0"/>
      <w:divBdr>
        <w:top w:val="none" w:sz="0" w:space="0" w:color="auto"/>
        <w:left w:val="none" w:sz="0" w:space="0" w:color="auto"/>
        <w:bottom w:val="none" w:sz="0" w:space="0" w:color="auto"/>
        <w:right w:val="none" w:sz="0" w:space="0" w:color="auto"/>
      </w:divBdr>
    </w:div>
    <w:div w:id="1281258303">
      <w:bodyDiv w:val="1"/>
      <w:marLeft w:val="0"/>
      <w:marRight w:val="0"/>
      <w:marTop w:val="0"/>
      <w:marBottom w:val="0"/>
      <w:divBdr>
        <w:top w:val="none" w:sz="0" w:space="0" w:color="auto"/>
        <w:left w:val="none" w:sz="0" w:space="0" w:color="auto"/>
        <w:bottom w:val="none" w:sz="0" w:space="0" w:color="auto"/>
        <w:right w:val="none" w:sz="0" w:space="0" w:color="auto"/>
      </w:divBdr>
    </w:div>
    <w:div w:id="1313756035">
      <w:bodyDiv w:val="1"/>
      <w:marLeft w:val="0"/>
      <w:marRight w:val="0"/>
      <w:marTop w:val="0"/>
      <w:marBottom w:val="0"/>
      <w:divBdr>
        <w:top w:val="none" w:sz="0" w:space="0" w:color="auto"/>
        <w:left w:val="none" w:sz="0" w:space="0" w:color="auto"/>
        <w:bottom w:val="none" w:sz="0" w:space="0" w:color="auto"/>
        <w:right w:val="none" w:sz="0" w:space="0" w:color="auto"/>
      </w:divBdr>
    </w:div>
    <w:div w:id="1332221086">
      <w:bodyDiv w:val="1"/>
      <w:marLeft w:val="0"/>
      <w:marRight w:val="0"/>
      <w:marTop w:val="0"/>
      <w:marBottom w:val="0"/>
      <w:divBdr>
        <w:top w:val="none" w:sz="0" w:space="0" w:color="auto"/>
        <w:left w:val="none" w:sz="0" w:space="0" w:color="auto"/>
        <w:bottom w:val="none" w:sz="0" w:space="0" w:color="auto"/>
        <w:right w:val="none" w:sz="0" w:space="0" w:color="auto"/>
      </w:divBdr>
    </w:div>
    <w:div w:id="1335766669">
      <w:bodyDiv w:val="1"/>
      <w:marLeft w:val="0"/>
      <w:marRight w:val="0"/>
      <w:marTop w:val="0"/>
      <w:marBottom w:val="0"/>
      <w:divBdr>
        <w:top w:val="none" w:sz="0" w:space="0" w:color="auto"/>
        <w:left w:val="none" w:sz="0" w:space="0" w:color="auto"/>
        <w:bottom w:val="none" w:sz="0" w:space="0" w:color="auto"/>
        <w:right w:val="none" w:sz="0" w:space="0" w:color="auto"/>
      </w:divBdr>
    </w:div>
    <w:div w:id="1336301786">
      <w:bodyDiv w:val="1"/>
      <w:marLeft w:val="0"/>
      <w:marRight w:val="0"/>
      <w:marTop w:val="0"/>
      <w:marBottom w:val="0"/>
      <w:divBdr>
        <w:top w:val="none" w:sz="0" w:space="0" w:color="auto"/>
        <w:left w:val="none" w:sz="0" w:space="0" w:color="auto"/>
        <w:bottom w:val="none" w:sz="0" w:space="0" w:color="auto"/>
        <w:right w:val="none" w:sz="0" w:space="0" w:color="auto"/>
      </w:divBdr>
    </w:div>
    <w:div w:id="1352531990">
      <w:bodyDiv w:val="1"/>
      <w:marLeft w:val="0"/>
      <w:marRight w:val="0"/>
      <w:marTop w:val="0"/>
      <w:marBottom w:val="0"/>
      <w:divBdr>
        <w:top w:val="none" w:sz="0" w:space="0" w:color="auto"/>
        <w:left w:val="none" w:sz="0" w:space="0" w:color="auto"/>
        <w:bottom w:val="none" w:sz="0" w:space="0" w:color="auto"/>
        <w:right w:val="none" w:sz="0" w:space="0" w:color="auto"/>
      </w:divBdr>
    </w:div>
    <w:div w:id="1364984428">
      <w:bodyDiv w:val="1"/>
      <w:marLeft w:val="0"/>
      <w:marRight w:val="0"/>
      <w:marTop w:val="0"/>
      <w:marBottom w:val="0"/>
      <w:divBdr>
        <w:top w:val="none" w:sz="0" w:space="0" w:color="auto"/>
        <w:left w:val="none" w:sz="0" w:space="0" w:color="auto"/>
        <w:bottom w:val="none" w:sz="0" w:space="0" w:color="auto"/>
        <w:right w:val="none" w:sz="0" w:space="0" w:color="auto"/>
      </w:divBdr>
    </w:div>
    <w:div w:id="1368406565">
      <w:bodyDiv w:val="1"/>
      <w:marLeft w:val="0"/>
      <w:marRight w:val="0"/>
      <w:marTop w:val="0"/>
      <w:marBottom w:val="0"/>
      <w:divBdr>
        <w:top w:val="none" w:sz="0" w:space="0" w:color="auto"/>
        <w:left w:val="none" w:sz="0" w:space="0" w:color="auto"/>
        <w:bottom w:val="none" w:sz="0" w:space="0" w:color="auto"/>
        <w:right w:val="none" w:sz="0" w:space="0" w:color="auto"/>
      </w:divBdr>
    </w:div>
    <w:div w:id="1389572763">
      <w:bodyDiv w:val="1"/>
      <w:marLeft w:val="0"/>
      <w:marRight w:val="0"/>
      <w:marTop w:val="0"/>
      <w:marBottom w:val="0"/>
      <w:divBdr>
        <w:top w:val="none" w:sz="0" w:space="0" w:color="auto"/>
        <w:left w:val="none" w:sz="0" w:space="0" w:color="auto"/>
        <w:bottom w:val="none" w:sz="0" w:space="0" w:color="auto"/>
        <w:right w:val="none" w:sz="0" w:space="0" w:color="auto"/>
      </w:divBdr>
    </w:div>
    <w:div w:id="1422530697">
      <w:bodyDiv w:val="1"/>
      <w:marLeft w:val="0"/>
      <w:marRight w:val="0"/>
      <w:marTop w:val="0"/>
      <w:marBottom w:val="0"/>
      <w:divBdr>
        <w:top w:val="none" w:sz="0" w:space="0" w:color="auto"/>
        <w:left w:val="none" w:sz="0" w:space="0" w:color="auto"/>
        <w:bottom w:val="none" w:sz="0" w:space="0" w:color="auto"/>
        <w:right w:val="none" w:sz="0" w:space="0" w:color="auto"/>
      </w:divBdr>
    </w:div>
    <w:div w:id="1435125027">
      <w:bodyDiv w:val="1"/>
      <w:marLeft w:val="0"/>
      <w:marRight w:val="0"/>
      <w:marTop w:val="0"/>
      <w:marBottom w:val="0"/>
      <w:divBdr>
        <w:top w:val="none" w:sz="0" w:space="0" w:color="auto"/>
        <w:left w:val="none" w:sz="0" w:space="0" w:color="auto"/>
        <w:bottom w:val="none" w:sz="0" w:space="0" w:color="auto"/>
        <w:right w:val="none" w:sz="0" w:space="0" w:color="auto"/>
      </w:divBdr>
    </w:div>
    <w:div w:id="1441027071">
      <w:bodyDiv w:val="1"/>
      <w:marLeft w:val="0"/>
      <w:marRight w:val="0"/>
      <w:marTop w:val="0"/>
      <w:marBottom w:val="0"/>
      <w:divBdr>
        <w:top w:val="none" w:sz="0" w:space="0" w:color="auto"/>
        <w:left w:val="none" w:sz="0" w:space="0" w:color="auto"/>
        <w:bottom w:val="none" w:sz="0" w:space="0" w:color="auto"/>
        <w:right w:val="none" w:sz="0" w:space="0" w:color="auto"/>
      </w:divBdr>
    </w:div>
    <w:div w:id="1482648798">
      <w:bodyDiv w:val="1"/>
      <w:marLeft w:val="0"/>
      <w:marRight w:val="0"/>
      <w:marTop w:val="0"/>
      <w:marBottom w:val="0"/>
      <w:divBdr>
        <w:top w:val="none" w:sz="0" w:space="0" w:color="auto"/>
        <w:left w:val="none" w:sz="0" w:space="0" w:color="auto"/>
        <w:bottom w:val="none" w:sz="0" w:space="0" w:color="auto"/>
        <w:right w:val="none" w:sz="0" w:space="0" w:color="auto"/>
      </w:divBdr>
    </w:div>
    <w:div w:id="1484155597">
      <w:bodyDiv w:val="1"/>
      <w:marLeft w:val="0"/>
      <w:marRight w:val="0"/>
      <w:marTop w:val="0"/>
      <w:marBottom w:val="0"/>
      <w:divBdr>
        <w:top w:val="none" w:sz="0" w:space="0" w:color="auto"/>
        <w:left w:val="none" w:sz="0" w:space="0" w:color="auto"/>
        <w:bottom w:val="none" w:sz="0" w:space="0" w:color="auto"/>
        <w:right w:val="none" w:sz="0" w:space="0" w:color="auto"/>
      </w:divBdr>
    </w:div>
    <w:div w:id="1502770911">
      <w:bodyDiv w:val="1"/>
      <w:marLeft w:val="0"/>
      <w:marRight w:val="0"/>
      <w:marTop w:val="0"/>
      <w:marBottom w:val="0"/>
      <w:divBdr>
        <w:top w:val="none" w:sz="0" w:space="0" w:color="auto"/>
        <w:left w:val="none" w:sz="0" w:space="0" w:color="auto"/>
        <w:bottom w:val="none" w:sz="0" w:space="0" w:color="auto"/>
        <w:right w:val="none" w:sz="0" w:space="0" w:color="auto"/>
      </w:divBdr>
    </w:div>
    <w:div w:id="1516189724">
      <w:bodyDiv w:val="1"/>
      <w:marLeft w:val="0"/>
      <w:marRight w:val="0"/>
      <w:marTop w:val="0"/>
      <w:marBottom w:val="0"/>
      <w:divBdr>
        <w:top w:val="none" w:sz="0" w:space="0" w:color="auto"/>
        <w:left w:val="none" w:sz="0" w:space="0" w:color="auto"/>
        <w:bottom w:val="none" w:sz="0" w:space="0" w:color="auto"/>
        <w:right w:val="none" w:sz="0" w:space="0" w:color="auto"/>
      </w:divBdr>
    </w:div>
    <w:div w:id="1532500675">
      <w:bodyDiv w:val="1"/>
      <w:marLeft w:val="0"/>
      <w:marRight w:val="0"/>
      <w:marTop w:val="0"/>
      <w:marBottom w:val="0"/>
      <w:divBdr>
        <w:top w:val="none" w:sz="0" w:space="0" w:color="auto"/>
        <w:left w:val="none" w:sz="0" w:space="0" w:color="auto"/>
        <w:bottom w:val="none" w:sz="0" w:space="0" w:color="auto"/>
        <w:right w:val="none" w:sz="0" w:space="0" w:color="auto"/>
      </w:divBdr>
      <w:divsChild>
        <w:div w:id="137694891">
          <w:marLeft w:val="274"/>
          <w:marRight w:val="0"/>
          <w:marTop w:val="120"/>
          <w:marBottom w:val="160"/>
          <w:divBdr>
            <w:top w:val="none" w:sz="0" w:space="0" w:color="auto"/>
            <w:left w:val="none" w:sz="0" w:space="0" w:color="auto"/>
            <w:bottom w:val="none" w:sz="0" w:space="0" w:color="auto"/>
            <w:right w:val="none" w:sz="0" w:space="0" w:color="auto"/>
          </w:divBdr>
        </w:div>
        <w:div w:id="530147418">
          <w:marLeft w:val="274"/>
          <w:marRight w:val="0"/>
          <w:marTop w:val="120"/>
          <w:marBottom w:val="160"/>
          <w:divBdr>
            <w:top w:val="none" w:sz="0" w:space="0" w:color="auto"/>
            <w:left w:val="none" w:sz="0" w:space="0" w:color="auto"/>
            <w:bottom w:val="none" w:sz="0" w:space="0" w:color="auto"/>
            <w:right w:val="none" w:sz="0" w:space="0" w:color="auto"/>
          </w:divBdr>
        </w:div>
        <w:div w:id="671495114">
          <w:marLeft w:val="274"/>
          <w:marRight w:val="0"/>
          <w:marTop w:val="120"/>
          <w:marBottom w:val="160"/>
          <w:divBdr>
            <w:top w:val="none" w:sz="0" w:space="0" w:color="auto"/>
            <w:left w:val="none" w:sz="0" w:space="0" w:color="auto"/>
            <w:bottom w:val="none" w:sz="0" w:space="0" w:color="auto"/>
            <w:right w:val="none" w:sz="0" w:space="0" w:color="auto"/>
          </w:divBdr>
        </w:div>
        <w:div w:id="734008715">
          <w:marLeft w:val="274"/>
          <w:marRight w:val="0"/>
          <w:marTop w:val="120"/>
          <w:marBottom w:val="160"/>
          <w:divBdr>
            <w:top w:val="none" w:sz="0" w:space="0" w:color="auto"/>
            <w:left w:val="none" w:sz="0" w:space="0" w:color="auto"/>
            <w:bottom w:val="none" w:sz="0" w:space="0" w:color="auto"/>
            <w:right w:val="none" w:sz="0" w:space="0" w:color="auto"/>
          </w:divBdr>
        </w:div>
        <w:div w:id="1129931215">
          <w:marLeft w:val="274"/>
          <w:marRight w:val="0"/>
          <w:marTop w:val="120"/>
          <w:marBottom w:val="160"/>
          <w:divBdr>
            <w:top w:val="none" w:sz="0" w:space="0" w:color="auto"/>
            <w:left w:val="none" w:sz="0" w:space="0" w:color="auto"/>
            <w:bottom w:val="none" w:sz="0" w:space="0" w:color="auto"/>
            <w:right w:val="none" w:sz="0" w:space="0" w:color="auto"/>
          </w:divBdr>
        </w:div>
        <w:div w:id="1351028473">
          <w:marLeft w:val="274"/>
          <w:marRight w:val="0"/>
          <w:marTop w:val="120"/>
          <w:marBottom w:val="160"/>
          <w:divBdr>
            <w:top w:val="none" w:sz="0" w:space="0" w:color="auto"/>
            <w:left w:val="none" w:sz="0" w:space="0" w:color="auto"/>
            <w:bottom w:val="none" w:sz="0" w:space="0" w:color="auto"/>
            <w:right w:val="none" w:sz="0" w:space="0" w:color="auto"/>
          </w:divBdr>
        </w:div>
        <w:div w:id="1536501871">
          <w:marLeft w:val="274"/>
          <w:marRight w:val="0"/>
          <w:marTop w:val="120"/>
          <w:marBottom w:val="160"/>
          <w:divBdr>
            <w:top w:val="none" w:sz="0" w:space="0" w:color="auto"/>
            <w:left w:val="none" w:sz="0" w:space="0" w:color="auto"/>
            <w:bottom w:val="none" w:sz="0" w:space="0" w:color="auto"/>
            <w:right w:val="none" w:sz="0" w:space="0" w:color="auto"/>
          </w:divBdr>
        </w:div>
      </w:divsChild>
    </w:div>
    <w:div w:id="1621256591">
      <w:bodyDiv w:val="1"/>
      <w:marLeft w:val="0"/>
      <w:marRight w:val="0"/>
      <w:marTop w:val="0"/>
      <w:marBottom w:val="0"/>
      <w:divBdr>
        <w:top w:val="none" w:sz="0" w:space="0" w:color="auto"/>
        <w:left w:val="none" w:sz="0" w:space="0" w:color="auto"/>
        <w:bottom w:val="none" w:sz="0" w:space="0" w:color="auto"/>
        <w:right w:val="none" w:sz="0" w:space="0" w:color="auto"/>
      </w:divBdr>
      <w:divsChild>
        <w:div w:id="405615246">
          <w:marLeft w:val="0"/>
          <w:marRight w:val="0"/>
          <w:marTop w:val="0"/>
          <w:marBottom w:val="0"/>
          <w:divBdr>
            <w:top w:val="none" w:sz="0" w:space="0" w:color="auto"/>
            <w:left w:val="none" w:sz="0" w:space="0" w:color="auto"/>
            <w:bottom w:val="none" w:sz="0" w:space="0" w:color="auto"/>
            <w:right w:val="none" w:sz="0" w:space="0" w:color="auto"/>
          </w:divBdr>
          <w:divsChild>
            <w:div w:id="396126930">
              <w:marLeft w:val="0"/>
              <w:marRight w:val="0"/>
              <w:marTop w:val="0"/>
              <w:marBottom w:val="0"/>
              <w:divBdr>
                <w:top w:val="none" w:sz="0" w:space="0" w:color="auto"/>
                <w:left w:val="none" w:sz="0" w:space="0" w:color="auto"/>
                <w:bottom w:val="none" w:sz="0" w:space="0" w:color="auto"/>
                <w:right w:val="none" w:sz="0" w:space="0" w:color="auto"/>
              </w:divBdr>
            </w:div>
            <w:div w:id="1335767836">
              <w:marLeft w:val="0"/>
              <w:marRight w:val="0"/>
              <w:marTop w:val="0"/>
              <w:marBottom w:val="0"/>
              <w:divBdr>
                <w:top w:val="none" w:sz="0" w:space="0" w:color="auto"/>
                <w:left w:val="none" w:sz="0" w:space="0" w:color="auto"/>
                <w:bottom w:val="none" w:sz="0" w:space="0" w:color="auto"/>
                <w:right w:val="none" w:sz="0" w:space="0" w:color="auto"/>
              </w:divBdr>
            </w:div>
            <w:div w:id="1614750996">
              <w:marLeft w:val="0"/>
              <w:marRight w:val="0"/>
              <w:marTop w:val="0"/>
              <w:marBottom w:val="0"/>
              <w:divBdr>
                <w:top w:val="none" w:sz="0" w:space="0" w:color="auto"/>
                <w:left w:val="none" w:sz="0" w:space="0" w:color="auto"/>
                <w:bottom w:val="none" w:sz="0" w:space="0" w:color="auto"/>
                <w:right w:val="none" w:sz="0" w:space="0" w:color="auto"/>
              </w:divBdr>
            </w:div>
            <w:div w:id="2116167685">
              <w:marLeft w:val="0"/>
              <w:marRight w:val="0"/>
              <w:marTop w:val="0"/>
              <w:marBottom w:val="0"/>
              <w:divBdr>
                <w:top w:val="none" w:sz="0" w:space="0" w:color="auto"/>
                <w:left w:val="none" w:sz="0" w:space="0" w:color="auto"/>
                <w:bottom w:val="none" w:sz="0" w:space="0" w:color="auto"/>
                <w:right w:val="none" w:sz="0" w:space="0" w:color="auto"/>
              </w:divBdr>
            </w:div>
            <w:div w:id="2130389920">
              <w:marLeft w:val="0"/>
              <w:marRight w:val="0"/>
              <w:marTop w:val="0"/>
              <w:marBottom w:val="0"/>
              <w:divBdr>
                <w:top w:val="none" w:sz="0" w:space="0" w:color="auto"/>
                <w:left w:val="none" w:sz="0" w:space="0" w:color="auto"/>
                <w:bottom w:val="none" w:sz="0" w:space="0" w:color="auto"/>
                <w:right w:val="none" w:sz="0" w:space="0" w:color="auto"/>
              </w:divBdr>
            </w:div>
          </w:divsChild>
        </w:div>
        <w:div w:id="1507286702">
          <w:marLeft w:val="0"/>
          <w:marRight w:val="0"/>
          <w:marTop w:val="0"/>
          <w:marBottom w:val="0"/>
          <w:divBdr>
            <w:top w:val="none" w:sz="0" w:space="0" w:color="auto"/>
            <w:left w:val="none" w:sz="0" w:space="0" w:color="auto"/>
            <w:bottom w:val="none" w:sz="0" w:space="0" w:color="auto"/>
            <w:right w:val="none" w:sz="0" w:space="0" w:color="auto"/>
          </w:divBdr>
          <w:divsChild>
            <w:div w:id="505823158">
              <w:marLeft w:val="0"/>
              <w:marRight w:val="0"/>
              <w:marTop w:val="0"/>
              <w:marBottom w:val="0"/>
              <w:divBdr>
                <w:top w:val="none" w:sz="0" w:space="0" w:color="auto"/>
                <w:left w:val="none" w:sz="0" w:space="0" w:color="auto"/>
                <w:bottom w:val="none" w:sz="0" w:space="0" w:color="auto"/>
                <w:right w:val="none" w:sz="0" w:space="0" w:color="auto"/>
              </w:divBdr>
            </w:div>
            <w:div w:id="606431053">
              <w:marLeft w:val="0"/>
              <w:marRight w:val="0"/>
              <w:marTop w:val="0"/>
              <w:marBottom w:val="0"/>
              <w:divBdr>
                <w:top w:val="none" w:sz="0" w:space="0" w:color="auto"/>
                <w:left w:val="none" w:sz="0" w:space="0" w:color="auto"/>
                <w:bottom w:val="none" w:sz="0" w:space="0" w:color="auto"/>
                <w:right w:val="none" w:sz="0" w:space="0" w:color="auto"/>
              </w:divBdr>
            </w:div>
            <w:div w:id="957296786">
              <w:marLeft w:val="0"/>
              <w:marRight w:val="0"/>
              <w:marTop w:val="0"/>
              <w:marBottom w:val="0"/>
              <w:divBdr>
                <w:top w:val="none" w:sz="0" w:space="0" w:color="auto"/>
                <w:left w:val="none" w:sz="0" w:space="0" w:color="auto"/>
                <w:bottom w:val="none" w:sz="0" w:space="0" w:color="auto"/>
                <w:right w:val="none" w:sz="0" w:space="0" w:color="auto"/>
              </w:divBdr>
            </w:div>
            <w:div w:id="1150827103">
              <w:marLeft w:val="0"/>
              <w:marRight w:val="0"/>
              <w:marTop w:val="0"/>
              <w:marBottom w:val="0"/>
              <w:divBdr>
                <w:top w:val="none" w:sz="0" w:space="0" w:color="auto"/>
                <w:left w:val="none" w:sz="0" w:space="0" w:color="auto"/>
                <w:bottom w:val="none" w:sz="0" w:space="0" w:color="auto"/>
                <w:right w:val="none" w:sz="0" w:space="0" w:color="auto"/>
              </w:divBdr>
            </w:div>
            <w:div w:id="1479223903">
              <w:marLeft w:val="0"/>
              <w:marRight w:val="0"/>
              <w:marTop w:val="0"/>
              <w:marBottom w:val="0"/>
              <w:divBdr>
                <w:top w:val="none" w:sz="0" w:space="0" w:color="auto"/>
                <w:left w:val="none" w:sz="0" w:space="0" w:color="auto"/>
                <w:bottom w:val="none" w:sz="0" w:space="0" w:color="auto"/>
                <w:right w:val="none" w:sz="0" w:space="0" w:color="auto"/>
              </w:divBdr>
            </w:div>
          </w:divsChild>
        </w:div>
        <w:div w:id="1900050396">
          <w:marLeft w:val="0"/>
          <w:marRight w:val="0"/>
          <w:marTop w:val="0"/>
          <w:marBottom w:val="0"/>
          <w:divBdr>
            <w:top w:val="none" w:sz="0" w:space="0" w:color="auto"/>
            <w:left w:val="none" w:sz="0" w:space="0" w:color="auto"/>
            <w:bottom w:val="none" w:sz="0" w:space="0" w:color="auto"/>
            <w:right w:val="none" w:sz="0" w:space="0" w:color="auto"/>
          </w:divBdr>
          <w:divsChild>
            <w:div w:id="730345628">
              <w:marLeft w:val="0"/>
              <w:marRight w:val="0"/>
              <w:marTop w:val="0"/>
              <w:marBottom w:val="0"/>
              <w:divBdr>
                <w:top w:val="none" w:sz="0" w:space="0" w:color="auto"/>
                <w:left w:val="none" w:sz="0" w:space="0" w:color="auto"/>
                <w:bottom w:val="none" w:sz="0" w:space="0" w:color="auto"/>
                <w:right w:val="none" w:sz="0" w:space="0" w:color="auto"/>
              </w:divBdr>
            </w:div>
            <w:div w:id="1159074937">
              <w:marLeft w:val="0"/>
              <w:marRight w:val="0"/>
              <w:marTop w:val="0"/>
              <w:marBottom w:val="0"/>
              <w:divBdr>
                <w:top w:val="none" w:sz="0" w:space="0" w:color="auto"/>
                <w:left w:val="none" w:sz="0" w:space="0" w:color="auto"/>
                <w:bottom w:val="none" w:sz="0" w:space="0" w:color="auto"/>
                <w:right w:val="none" w:sz="0" w:space="0" w:color="auto"/>
              </w:divBdr>
            </w:div>
          </w:divsChild>
        </w:div>
        <w:div w:id="1946814103">
          <w:marLeft w:val="0"/>
          <w:marRight w:val="0"/>
          <w:marTop w:val="0"/>
          <w:marBottom w:val="0"/>
          <w:divBdr>
            <w:top w:val="none" w:sz="0" w:space="0" w:color="auto"/>
            <w:left w:val="none" w:sz="0" w:space="0" w:color="auto"/>
            <w:bottom w:val="none" w:sz="0" w:space="0" w:color="auto"/>
            <w:right w:val="none" w:sz="0" w:space="0" w:color="auto"/>
          </w:divBdr>
          <w:divsChild>
            <w:div w:id="147601858">
              <w:marLeft w:val="0"/>
              <w:marRight w:val="0"/>
              <w:marTop w:val="0"/>
              <w:marBottom w:val="0"/>
              <w:divBdr>
                <w:top w:val="none" w:sz="0" w:space="0" w:color="auto"/>
                <w:left w:val="none" w:sz="0" w:space="0" w:color="auto"/>
                <w:bottom w:val="none" w:sz="0" w:space="0" w:color="auto"/>
                <w:right w:val="none" w:sz="0" w:space="0" w:color="auto"/>
              </w:divBdr>
            </w:div>
            <w:div w:id="589706317">
              <w:marLeft w:val="0"/>
              <w:marRight w:val="0"/>
              <w:marTop w:val="0"/>
              <w:marBottom w:val="0"/>
              <w:divBdr>
                <w:top w:val="none" w:sz="0" w:space="0" w:color="auto"/>
                <w:left w:val="none" w:sz="0" w:space="0" w:color="auto"/>
                <w:bottom w:val="none" w:sz="0" w:space="0" w:color="auto"/>
                <w:right w:val="none" w:sz="0" w:space="0" w:color="auto"/>
              </w:divBdr>
            </w:div>
            <w:div w:id="186150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6916">
      <w:bodyDiv w:val="1"/>
      <w:marLeft w:val="0"/>
      <w:marRight w:val="0"/>
      <w:marTop w:val="0"/>
      <w:marBottom w:val="0"/>
      <w:divBdr>
        <w:top w:val="none" w:sz="0" w:space="0" w:color="auto"/>
        <w:left w:val="none" w:sz="0" w:space="0" w:color="auto"/>
        <w:bottom w:val="none" w:sz="0" w:space="0" w:color="auto"/>
        <w:right w:val="none" w:sz="0" w:space="0" w:color="auto"/>
      </w:divBdr>
    </w:div>
    <w:div w:id="1712343279">
      <w:bodyDiv w:val="1"/>
      <w:marLeft w:val="0"/>
      <w:marRight w:val="0"/>
      <w:marTop w:val="0"/>
      <w:marBottom w:val="0"/>
      <w:divBdr>
        <w:top w:val="none" w:sz="0" w:space="0" w:color="auto"/>
        <w:left w:val="none" w:sz="0" w:space="0" w:color="auto"/>
        <w:bottom w:val="none" w:sz="0" w:space="0" w:color="auto"/>
        <w:right w:val="none" w:sz="0" w:space="0" w:color="auto"/>
      </w:divBdr>
      <w:divsChild>
        <w:div w:id="984629002">
          <w:marLeft w:val="0"/>
          <w:marRight w:val="0"/>
          <w:marTop w:val="0"/>
          <w:marBottom w:val="0"/>
          <w:divBdr>
            <w:top w:val="none" w:sz="0" w:space="0" w:color="auto"/>
            <w:left w:val="none" w:sz="0" w:space="0" w:color="auto"/>
            <w:bottom w:val="none" w:sz="0" w:space="0" w:color="auto"/>
            <w:right w:val="none" w:sz="0" w:space="0" w:color="auto"/>
          </w:divBdr>
          <w:divsChild>
            <w:div w:id="342779549">
              <w:marLeft w:val="0"/>
              <w:marRight w:val="0"/>
              <w:marTop w:val="0"/>
              <w:marBottom w:val="0"/>
              <w:divBdr>
                <w:top w:val="none" w:sz="0" w:space="0" w:color="auto"/>
                <w:left w:val="none" w:sz="0" w:space="0" w:color="auto"/>
                <w:bottom w:val="none" w:sz="0" w:space="0" w:color="auto"/>
                <w:right w:val="none" w:sz="0" w:space="0" w:color="auto"/>
              </w:divBdr>
            </w:div>
          </w:divsChild>
        </w:div>
        <w:div w:id="1014258699">
          <w:marLeft w:val="0"/>
          <w:marRight w:val="0"/>
          <w:marTop w:val="0"/>
          <w:marBottom w:val="0"/>
          <w:divBdr>
            <w:top w:val="none" w:sz="0" w:space="0" w:color="auto"/>
            <w:left w:val="none" w:sz="0" w:space="0" w:color="auto"/>
            <w:bottom w:val="none" w:sz="0" w:space="0" w:color="auto"/>
            <w:right w:val="none" w:sz="0" w:space="0" w:color="auto"/>
          </w:divBdr>
          <w:divsChild>
            <w:div w:id="1793090652">
              <w:marLeft w:val="0"/>
              <w:marRight w:val="0"/>
              <w:marTop w:val="0"/>
              <w:marBottom w:val="0"/>
              <w:divBdr>
                <w:top w:val="none" w:sz="0" w:space="0" w:color="auto"/>
                <w:left w:val="none" w:sz="0" w:space="0" w:color="auto"/>
                <w:bottom w:val="none" w:sz="0" w:space="0" w:color="auto"/>
                <w:right w:val="none" w:sz="0" w:space="0" w:color="auto"/>
              </w:divBdr>
            </w:div>
          </w:divsChild>
        </w:div>
        <w:div w:id="1211192215">
          <w:marLeft w:val="0"/>
          <w:marRight w:val="0"/>
          <w:marTop w:val="0"/>
          <w:marBottom w:val="0"/>
          <w:divBdr>
            <w:top w:val="none" w:sz="0" w:space="0" w:color="auto"/>
            <w:left w:val="none" w:sz="0" w:space="0" w:color="auto"/>
            <w:bottom w:val="none" w:sz="0" w:space="0" w:color="auto"/>
            <w:right w:val="none" w:sz="0" w:space="0" w:color="auto"/>
          </w:divBdr>
          <w:divsChild>
            <w:div w:id="520167928">
              <w:marLeft w:val="0"/>
              <w:marRight w:val="0"/>
              <w:marTop w:val="0"/>
              <w:marBottom w:val="0"/>
              <w:divBdr>
                <w:top w:val="none" w:sz="0" w:space="0" w:color="auto"/>
                <w:left w:val="none" w:sz="0" w:space="0" w:color="auto"/>
                <w:bottom w:val="none" w:sz="0" w:space="0" w:color="auto"/>
                <w:right w:val="none" w:sz="0" w:space="0" w:color="auto"/>
              </w:divBdr>
              <w:divsChild>
                <w:div w:id="1284581062">
                  <w:marLeft w:val="0"/>
                  <w:marRight w:val="0"/>
                  <w:marTop w:val="0"/>
                  <w:marBottom w:val="0"/>
                  <w:divBdr>
                    <w:top w:val="none" w:sz="0" w:space="0" w:color="auto"/>
                    <w:left w:val="none" w:sz="0" w:space="0" w:color="auto"/>
                    <w:bottom w:val="none" w:sz="0" w:space="0" w:color="auto"/>
                    <w:right w:val="none" w:sz="0" w:space="0" w:color="auto"/>
                  </w:divBdr>
                  <w:divsChild>
                    <w:div w:id="18364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38637">
              <w:marLeft w:val="0"/>
              <w:marRight w:val="0"/>
              <w:marTop w:val="0"/>
              <w:marBottom w:val="0"/>
              <w:divBdr>
                <w:top w:val="none" w:sz="0" w:space="0" w:color="auto"/>
                <w:left w:val="none" w:sz="0" w:space="0" w:color="auto"/>
                <w:bottom w:val="none" w:sz="0" w:space="0" w:color="auto"/>
                <w:right w:val="none" w:sz="0" w:space="0" w:color="auto"/>
              </w:divBdr>
              <w:divsChild>
                <w:div w:id="11415777">
                  <w:marLeft w:val="0"/>
                  <w:marRight w:val="0"/>
                  <w:marTop w:val="0"/>
                  <w:marBottom w:val="0"/>
                  <w:divBdr>
                    <w:top w:val="none" w:sz="0" w:space="0" w:color="auto"/>
                    <w:left w:val="none" w:sz="0" w:space="0" w:color="auto"/>
                    <w:bottom w:val="none" w:sz="0" w:space="0" w:color="auto"/>
                    <w:right w:val="none" w:sz="0" w:space="0" w:color="auto"/>
                  </w:divBdr>
                  <w:divsChild>
                    <w:div w:id="443765122">
                      <w:marLeft w:val="0"/>
                      <w:marRight w:val="0"/>
                      <w:marTop w:val="0"/>
                      <w:marBottom w:val="0"/>
                      <w:divBdr>
                        <w:top w:val="none" w:sz="0" w:space="0" w:color="auto"/>
                        <w:left w:val="none" w:sz="0" w:space="0" w:color="auto"/>
                        <w:bottom w:val="none" w:sz="0" w:space="0" w:color="auto"/>
                        <w:right w:val="none" w:sz="0" w:space="0" w:color="auto"/>
                      </w:divBdr>
                    </w:div>
                  </w:divsChild>
                </w:div>
                <w:div w:id="216555731">
                  <w:marLeft w:val="0"/>
                  <w:marRight w:val="0"/>
                  <w:marTop w:val="0"/>
                  <w:marBottom w:val="0"/>
                  <w:divBdr>
                    <w:top w:val="none" w:sz="0" w:space="0" w:color="auto"/>
                    <w:left w:val="none" w:sz="0" w:space="0" w:color="auto"/>
                    <w:bottom w:val="none" w:sz="0" w:space="0" w:color="auto"/>
                    <w:right w:val="none" w:sz="0" w:space="0" w:color="auto"/>
                  </w:divBdr>
                  <w:divsChild>
                    <w:div w:id="1104768602">
                      <w:marLeft w:val="0"/>
                      <w:marRight w:val="0"/>
                      <w:marTop w:val="0"/>
                      <w:marBottom w:val="0"/>
                      <w:divBdr>
                        <w:top w:val="none" w:sz="0" w:space="0" w:color="auto"/>
                        <w:left w:val="none" w:sz="0" w:space="0" w:color="auto"/>
                        <w:bottom w:val="none" w:sz="0" w:space="0" w:color="auto"/>
                        <w:right w:val="none" w:sz="0" w:space="0" w:color="auto"/>
                      </w:divBdr>
                      <w:divsChild>
                        <w:div w:id="882908844">
                          <w:marLeft w:val="0"/>
                          <w:marRight w:val="0"/>
                          <w:marTop w:val="0"/>
                          <w:marBottom w:val="0"/>
                          <w:divBdr>
                            <w:top w:val="none" w:sz="0" w:space="0" w:color="auto"/>
                            <w:left w:val="none" w:sz="0" w:space="0" w:color="auto"/>
                            <w:bottom w:val="none" w:sz="0" w:space="0" w:color="auto"/>
                            <w:right w:val="none" w:sz="0" w:space="0" w:color="auto"/>
                          </w:divBdr>
                          <w:divsChild>
                            <w:div w:id="6958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08962">
                      <w:marLeft w:val="0"/>
                      <w:marRight w:val="0"/>
                      <w:marTop w:val="0"/>
                      <w:marBottom w:val="0"/>
                      <w:divBdr>
                        <w:top w:val="none" w:sz="0" w:space="0" w:color="auto"/>
                        <w:left w:val="none" w:sz="0" w:space="0" w:color="auto"/>
                        <w:bottom w:val="none" w:sz="0" w:space="0" w:color="auto"/>
                        <w:right w:val="none" w:sz="0" w:space="0" w:color="auto"/>
                      </w:divBdr>
                      <w:divsChild>
                        <w:div w:id="1561792569">
                          <w:marLeft w:val="0"/>
                          <w:marRight w:val="0"/>
                          <w:marTop w:val="0"/>
                          <w:marBottom w:val="0"/>
                          <w:divBdr>
                            <w:top w:val="none" w:sz="0" w:space="0" w:color="auto"/>
                            <w:left w:val="none" w:sz="0" w:space="0" w:color="auto"/>
                            <w:bottom w:val="none" w:sz="0" w:space="0" w:color="auto"/>
                            <w:right w:val="none" w:sz="0" w:space="0" w:color="auto"/>
                          </w:divBdr>
                          <w:divsChild>
                            <w:div w:id="4309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91160">
                  <w:marLeft w:val="0"/>
                  <w:marRight w:val="0"/>
                  <w:marTop w:val="0"/>
                  <w:marBottom w:val="0"/>
                  <w:divBdr>
                    <w:top w:val="none" w:sz="0" w:space="0" w:color="auto"/>
                    <w:left w:val="none" w:sz="0" w:space="0" w:color="auto"/>
                    <w:bottom w:val="none" w:sz="0" w:space="0" w:color="auto"/>
                    <w:right w:val="none" w:sz="0" w:space="0" w:color="auto"/>
                  </w:divBdr>
                  <w:divsChild>
                    <w:div w:id="119283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7195">
              <w:marLeft w:val="0"/>
              <w:marRight w:val="0"/>
              <w:marTop w:val="0"/>
              <w:marBottom w:val="0"/>
              <w:divBdr>
                <w:top w:val="none" w:sz="0" w:space="0" w:color="auto"/>
                <w:left w:val="none" w:sz="0" w:space="0" w:color="auto"/>
                <w:bottom w:val="none" w:sz="0" w:space="0" w:color="auto"/>
                <w:right w:val="none" w:sz="0" w:space="0" w:color="auto"/>
              </w:divBdr>
              <w:divsChild>
                <w:div w:id="437986352">
                  <w:marLeft w:val="0"/>
                  <w:marRight w:val="0"/>
                  <w:marTop w:val="0"/>
                  <w:marBottom w:val="0"/>
                  <w:divBdr>
                    <w:top w:val="none" w:sz="0" w:space="0" w:color="auto"/>
                    <w:left w:val="none" w:sz="0" w:space="0" w:color="auto"/>
                    <w:bottom w:val="none" w:sz="0" w:space="0" w:color="auto"/>
                    <w:right w:val="none" w:sz="0" w:space="0" w:color="auto"/>
                  </w:divBdr>
                  <w:divsChild>
                    <w:div w:id="14104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944">
          <w:marLeft w:val="0"/>
          <w:marRight w:val="0"/>
          <w:marTop w:val="0"/>
          <w:marBottom w:val="0"/>
          <w:divBdr>
            <w:top w:val="none" w:sz="0" w:space="0" w:color="auto"/>
            <w:left w:val="none" w:sz="0" w:space="0" w:color="auto"/>
            <w:bottom w:val="none" w:sz="0" w:space="0" w:color="auto"/>
            <w:right w:val="none" w:sz="0" w:space="0" w:color="auto"/>
          </w:divBdr>
          <w:divsChild>
            <w:div w:id="192244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0737">
      <w:bodyDiv w:val="1"/>
      <w:marLeft w:val="0"/>
      <w:marRight w:val="0"/>
      <w:marTop w:val="0"/>
      <w:marBottom w:val="0"/>
      <w:divBdr>
        <w:top w:val="none" w:sz="0" w:space="0" w:color="auto"/>
        <w:left w:val="none" w:sz="0" w:space="0" w:color="auto"/>
        <w:bottom w:val="none" w:sz="0" w:space="0" w:color="auto"/>
        <w:right w:val="none" w:sz="0" w:space="0" w:color="auto"/>
      </w:divBdr>
      <w:divsChild>
        <w:div w:id="1493764684">
          <w:marLeft w:val="274"/>
          <w:marRight w:val="0"/>
          <w:marTop w:val="0"/>
          <w:marBottom w:val="0"/>
          <w:divBdr>
            <w:top w:val="none" w:sz="0" w:space="0" w:color="auto"/>
            <w:left w:val="none" w:sz="0" w:space="0" w:color="auto"/>
            <w:bottom w:val="none" w:sz="0" w:space="0" w:color="auto"/>
            <w:right w:val="none" w:sz="0" w:space="0" w:color="auto"/>
          </w:divBdr>
        </w:div>
        <w:div w:id="1644693041">
          <w:marLeft w:val="274"/>
          <w:marRight w:val="0"/>
          <w:marTop w:val="0"/>
          <w:marBottom w:val="0"/>
          <w:divBdr>
            <w:top w:val="none" w:sz="0" w:space="0" w:color="auto"/>
            <w:left w:val="none" w:sz="0" w:space="0" w:color="auto"/>
            <w:bottom w:val="none" w:sz="0" w:space="0" w:color="auto"/>
            <w:right w:val="none" w:sz="0" w:space="0" w:color="auto"/>
          </w:divBdr>
        </w:div>
        <w:div w:id="2109229464">
          <w:marLeft w:val="274"/>
          <w:marRight w:val="0"/>
          <w:marTop w:val="0"/>
          <w:marBottom w:val="0"/>
          <w:divBdr>
            <w:top w:val="none" w:sz="0" w:space="0" w:color="auto"/>
            <w:left w:val="none" w:sz="0" w:space="0" w:color="auto"/>
            <w:bottom w:val="none" w:sz="0" w:space="0" w:color="auto"/>
            <w:right w:val="none" w:sz="0" w:space="0" w:color="auto"/>
          </w:divBdr>
        </w:div>
      </w:divsChild>
    </w:div>
    <w:div w:id="1756659093">
      <w:bodyDiv w:val="1"/>
      <w:marLeft w:val="0"/>
      <w:marRight w:val="0"/>
      <w:marTop w:val="0"/>
      <w:marBottom w:val="0"/>
      <w:divBdr>
        <w:top w:val="none" w:sz="0" w:space="0" w:color="auto"/>
        <w:left w:val="none" w:sz="0" w:space="0" w:color="auto"/>
        <w:bottom w:val="none" w:sz="0" w:space="0" w:color="auto"/>
        <w:right w:val="none" w:sz="0" w:space="0" w:color="auto"/>
      </w:divBdr>
      <w:divsChild>
        <w:div w:id="573978403">
          <w:marLeft w:val="0"/>
          <w:marRight w:val="0"/>
          <w:marTop w:val="0"/>
          <w:marBottom w:val="0"/>
          <w:divBdr>
            <w:top w:val="none" w:sz="0" w:space="0" w:color="auto"/>
            <w:left w:val="none" w:sz="0" w:space="0" w:color="auto"/>
            <w:bottom w:val="none" w:sz="0" w:space="0" w:color="auto"/>
            <w:right w:val="none" w:sz="0" w:space="0" w:color="auto"/>
          </w:divBdr>
          <w:divsChild>
            <w:div w:id="1744912242">
              <w:marLeft w:val="0"/>
              <w:marRight w:val="0"/>
              <w:marTop w:val="0"/>
              <w:marBottom w:val="0"/>
              <w:divBdr>
                <w:top w:val="none" w:sz="0" w:space="0" w:color="auto"/>
                <w:left w:val="none" w:sz="0" w:space="0" w:color="auto"/>
                <w:bottom w:val="none" w:sz="0" w:space="0" w:color="auto"/>
                <w:right w:val="none" w:sz="0" w:space="0" w:color="auto"/>
              </w:divBdr>
            </w:div>
          </w:divsChild>
        </w:div>
        <w:div w:id="1399981349">
          <w:marLeft w:val="0"/>
          <w:marRight w:val="0"/>
          <w:marTop w:val="0"/>
          <w:marBottom w:val="0"/>
          <w:divBdr>
            <w:top w:val="none" w:sz="0" w:space="0" w:color="auto"/>
            <w:left w:val="none" w:sz="0" w:space="0" w:color="auto"/>
            <w:bottom w:val="none" w:sz="0" w:space="0" w:color="auto"/>
            <w:right w:val="none" w:sz="0" w:space="0" w:color="auto"/>
          </w:divBdr>
          <w:divsChild>
            <w:div w:id="16279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3822">
      <w:bodyDiv w:val="1"/>
      <w:marLeft w:val="0"/>
      <w:marRight w:val="0"/>
      <w:marTop w:val="0"/>
      <w:marBottom w:val="0"/>
      <w:divBdr>
        <w:top w:val="none" w:sz="0" w:space="0" w:color="auto"/>
        <w:left w:val="none" w:sz="0" w:space="0" w:color="auto"/>
        <w:bottom w:val="none" w:sz="0" w:space="0" w:color="auto"/>
        <w:right w:val="none" w:sz="0" w:space="0" w:color="auto"/>
      </w:divBdr>
      <w:divsChild>
        <w:div w:id="749616711">
          <w:marLeft w:val="0"/>
          <w:marRight w:val="0"/>
          <w:marTop w:val="0"/>
          <w:marBottom w:val="0"/>
          <w:divBdr>
            <w:top w:val="none" w:sz="0" w:space="0" w:color="auto"/>
            <w:left w:val="none" w:sz="0" w:space="0" w:color="auto"/>
            <w:bottom w:val="none" w:sz="0" w:space="0" w:color="auto"/>
            <w:right w:val="none" w:sz="0" w:space="0" w:color="auto"/>
          </w:divBdr>
          <w:divsChild>
            <w:div w:id="522791476">
              <w:marLeft w:val="0"/>
              <w:marRight w:val="0"/>
              <w:marTop w:val="0"/>
              <w:marBottom w:val="0"/>
              <w:divBdr>
                <w:top w:val="none" w:sz="0" w:space="0" w:color="auto"/>
                <w:left w:val="none" w:sz="0" w:space="0" w:color="auto"/>
                <w:bottom w:val="none" w:sz="0" w:space="0" w:color="auto"/>
                <w:right w:val="none" w:sz="0" w:space="0" w:color="auto"/>
              </w:divBdr>
            </w:div>
          </w:divsChild>
        </w:div>
        <w:div w:id="1197625574">
          <w:marLeft w:val="0"/>
          <w:marRight w:val="0"/>
          <w:marTop w:val="0"/>
          <w:marBottom w:val="0"/>
          <w:divBdr>
            <w:top w:val="none" w:sz="0" w:space="0" w:color="auto"/>
            <w:left w:val="none" w:sz="0" w:space="0" w:color="auto"/>
            <w:bottom w:val="none" w:sz="0" w:space="0" w:color="auto"/>
            <w:right w:val="none" w:sz="0" w:space="0" w:color="auto"/>
          </w:divBdr>
          <w:divsChild>
            <w:div w:id="1634864688">
              <w:marLeft w:val="0"/>
              <w:marRight w:val="0"/>
              <w:marTop w:val="0"/>
              <w:marBottom w:val="0"/>
              <w:divBdr>
                <w:top w:val="none" w:sz="0" w:space="0" w:color="auto"/>
                <w:left w:val="none" w:sz="0" w:space="0" w:color="auto"/>
                <w:bottom w:val="none" w:sz="0" w:space="0" w:color="auto"/>
                <w:right w:val="none" w:sz="0" w:space="0" w:color="auto"/>
              </w:divBdr>
            </w:div>
          </w:divsChild>
        </w:div>
        <w:div w:id="1600869344">
          <w:marLeft w:val="0"/>
          <w:marRight w:val="0"/>
          <w:marTop w:val="0"/>
          <w:marBottom w:val="0"/>
          <w:divBdr>
            <w:top w:val="none" w:sz="0" w:space="0" w:color="auto"/>
            <w:left w:val="none" w:sz="0" w:space="0" w:color="auto"/>
            <w:bottom w:val="none" w:sz="0" w:space="0" w:color="auto"/>
            <w:right w:val="none" w:sz="0" w:space="0" w:color="auto"/>
          </w:divBdr>
          <w:divsChild>
            <w:div w:id="884751640">
              <w:marLeft w:val="0"/>
              <w:marRight w:val="0"/>
              <w:marTop w:val="0"/>
              <w:marBottom w:val="0"/>
              <w:divBdr>
                <w:top w:val="none" w:sz="0" w:space="0" w:color="auto"/>
                <w:left w:val="none" w:sz="0" w:space="0" w:color="auto"/>
                <w:bottom w:val="none" w:sz="0" w:space="0" w:color="auto"/>
                <w:right w:val="none" w:sz="0" w:space="0" w:color="auto"/>
              </w:divBdr>
            </w:div>
          </w:divsChild>
        </w:div>
        <w:div w:id="1752696108">
          <w:marLeft w:val="0"/>
          <w:marRight w:val="0"/>
          <w:marTop w:val="0"/>
          <w:marBottom w:val="0"/>
          <w:divBdr>
            <w:top w:val="none" w:sz="0" w:space="0" w:color="auto"/>
            <w:left w:val="none" w:sz="0" w:space="0" w:color="auto"/>
            <w:bottom w:val="none" w:sz="0" w:space="0" w:color="auto"/>
            <w:right w:val="none" w:sz="0" w:space="0" w:color="auto"/>
          </w:divBdr>
          <w:divsChild>
            <w:div w:id="66462818">
              <w:marLeft w:val="0"/>
              <w:marRight w:val="0"/>
              <w:marTop w:val="0"/>
              <w:marBottom w:val="0"/>
              <w:divBdr>
                <w:top w:val="none" w:sz="0" w:space="0" w:color="auto"/>
                <w:left w:val="none" w:sz="0" w:space="0" w:color="auto"/>
                <w:bottom w:val="none" w:sz="0" w:space="0" w:color="auto"/>
                <w:right w:val="none" w:sz="0" w:space="0" w:color="auto"/>
              </w:divBdr>
              <w:divsChild>
                <w:div w:id="893010573">
                  <w:marLeft w:val="0"/>
                  <w:marRight w:val="0"/>
                  <w:marTop w:val="0"/>
                  <w:marBottom w:val="0"/>
                  <w:divBdr>
                    <w:top w:val="none" w:sz="0" w:space="0" w:color="auto"/>
                    <w:left w:val="none" w:sz="0" w:space="0" w:color="auto"/>
                    <w:bottom w:val="none" w:sz="0" w:space="0" w:color="auto"/>
                    <w:right w:val="none" w:sz="0" w:space="0" w:color="auto"/>
                  </w:divBdr>
                  <w:divsChild>
                    <w:div w:id="210533251">
                      <w:marLeft w:val="0"/>
                      <w:marRight w:val="0"/>
                      <w:marTop w:val="0"/>
                      <w:marBottom w:val="0"/>
                      <w:divBdr>
                        <w:top w:val="none" w:sz="0" w:space="0" w:color="auto"/>
                        <w:left w:val="none" w:sz="0" w:space="0" w:color="auto"/>
                        <w:bottom w:val="none" w:sz="0" w:space="0" w:color="auto"/>
                        <w:right w:val="none" w:sz="0" w:space="0" w:color="auto"/>
                      </w:divBdr>
                      <w:divsChild>
                        <w:div w:id="1617640699">
                          <w:marLeft w:val="0"/>
                          <w:marRight w:val="0"/>
                          <w:marTop w:val="0"/>
                          <w:marBottom w:val="0"/>
                          <w:divBdr>
                            <w:top w:val="none" w:sz="0" w:space="0" w:color="auto"/>
                            <w:left w:val="none" w:sz="0" w:space="0" w:color="auto"/>
                            <w:bottom w:val="none" w:sz="0" w:space="0" w:color="auto"/>
                            <w:right w:val="none" w:sz="0" w:space="0" w:color="auto"/>
                          </w:divBdr>
                          <w:divsChild>
                            <w:div w:id="18065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11580">
                      <w:marLeft w:val="0"/>
                      <w:marRight w:val="0"/>
                      <w:marTop w:val="0"/>
                      <w:marBottom w:val="0"/>
                      <w:divBdr>
                        <w:top w:val="none" w:sz="0" w:space="0" w:color="auto"/>
                        <w:left w:val="none" w:sz="0" w:space="0" w:color="auto"/>
                        <w:bottom w:val="none" w:sz="0" w:space="0" w:color="auto"/>
                        <w:right w:val="none" w:sz="0" w:space="0" w:color="auto"/>
                      </w:divBdr>
                      <w:divsChild>
                        <w:div w:id="1625117642">
                          <w:marLeft w:val="0"/>
                          <w:marRight w:val="0"/>
                          <w:marTop w:val="0"/>
                          <w:marBottom w:val="0"/>
                          <w:divBdr>
                            <w:top w:val="none" w:sz="0" w:space="0" w:color="auto"/>
                            <w:left w:val="none" w:sz="0" w:space="0" w:color="auto"/>
                            <w:bottom w:val="none" w:sz="0" w:space="0" w:color="auto"/>
                            <w:right w:val="none" w:sz="0" w:space="0" w:color="auto"/>
                          </w:divBdr>
                          <w:divsChild>
                            <w:div w:id="18141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09778">
                  <w:marLeft w:val="0"/>
                  <w:marRight w:val="0"/>
                  <w:marTop w:val="0"/>
                  <w:marBottom w:val="0"/>
                  <w:divBdr>
                    <w:top w:val="none" w:sz="0" w:space="0" w:color="auto"/>
                    <w:left w:val="none" w:sz="0" w:space="0" w:color="auto"/>
                    <w:bottom w:val="none" w:sz="0" w:space="0" w:color="auto"/>
                    <w:right w:val="none" w:sz="0" w:space="0" w:color="auto"/>
                  </w:divBdr>
                  <w:divsChild>
                    <w:div w:id="1361860636">
                      <w:marLeft w:val="0"/>
                      <w:marRight w:val="0"/>
                      <w:marTop w:val="0"/>
                      <w:marBottom w:val="0"/>
                      <w:divBdr>
                        <w:top w:val="none" w:sz="0" w:space="0" w:color="auto"/>
                        <w:left w:val="none" w:sz="0" w:space="0" w:color="auto"/>
                        <w:bottom w:val="none" w:sz="0" w:space="0" w:color="auto"/>
                        <w:right w:val="none" w:sz="0" w:space="0" w:color="auto"/>
                      </w:divBdr>
                    </w:div>
                  </w:divsChild>
                </w:div>
                <w:div w:id="1430349004">
                  <w:marLeft w:val="0"/>
                  <w:marRight w:val="0"/>
                  <w:marTop w:val="0"/>
                  <w:marBottom w:val="0"/>
                  <w:divBdr>
                    <w:top w:val="none" w:sz="0" w:space="0" w:color="auto"/>
                    <w:left w:val="none" w:sz="0" w:space="0" w:color="auto"/>
                    <w:bottom w:val="none" w:sz="0" w:space="0" w:color="auto"/>
                    <w:right w:val="none" w:sz="0" w:space="0" w:color="auto"/>
                  </w:divBdr>
                  <w:divsChild>
                    <w:div w:id="9540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532">
              <w:marLeft w:val="0"/>
              <w:marRight w:val="0"/>
              <w:marTop w:val="0"/>
              <w:marBottom w:val="0"/>
              <w:divBdr>
                <w:top w:val="none" w:sz="0" w:space="0" w:color="auto"/>
                <w:left w:val="none" w:sz="0" w:space="0" w:color="auto"/>
                <w:bottom w:val="none" w:sz="0" w:space="0" w:color="auto"/>
                <w:right w:val="none" w:sz="0" w:space="0" w:color="auto"/>
              </w:divBdr>
              <w:divsChild>
                <w:div w:id="1641571278">
                  <w:marLeft w:val="0"/>
                  <w:marRight w:val="0"/>
                  <w:marTop w:val="0"/>
                  <w:marBottom w:val="0"/>
                  <w:divBdr>
                    <w:top w:val="none" w:sz="0" w:space="0" w:color="auto"/>
                    <w:left w:val="none" w:sz="0" w:space="0" w:color="auto"/>
                    <w:bottom w:val="none" w:sz="0" w:space="0" w:color="auto"/>
                    <w:right w:val="none" w:sz="0" w:space="0" w:color="auto"/>
                  </w:divBdr>
                  <w:divsChild>
                    <w:div w:id="10958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6109">
              <w:marLeft w:val="0"/>
              <w:marRight w:val="0"/>
              <w:marTop w:val="0"/>
              <w:marBottom w:val="0"/>
              <w:divBdr>
                <w:top w:val="none" w:sz="0" w:space="0" w:color="auto"/>
                <w:left w:val="none" w:sz="0" w:space="0" w:color="auto"/>
                <w:bottom w:val="none" w:sz="0" w:space="0" w:color="auto"/>
                <w:right w:val="none" w:sz="0" w:space="0" w:color="auto"/>
              </w:divBdr>
              <w:divsChild>
                <w:div w:id="672729335">
                  <w:marLeft w:val="0"/>
                  <w:marRight w:val="0"/>
                  <w:marTop w:val="0"/>
                  <w:marBottom w:val="0"/>
                  <w:divBdr>
                    <w:top w:val="none" w:sz="0" w:space="0" w:color="auto"/>
                    <w:left w:val="none" w:sz="0" w:space="0" w:color="auto"/>
                    <w:bottom w:val="none" w:sz="0" w:space="0" w:color="auto"/>
                    <w:right w:val="none" w:sz="0" w:space="0" w:color="auto"/>
                  </w:divBdr>
                  <w:divsChild>
                    <w:div w:id="10236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1589">
      <w:bodyDiv w:val="1"/>
      <w:marLeft w:val="0"/>
      <w:marRight w:val="0"/>
      <w:marTop w:val="0"/>
      <w:marBottom w:val="0"/>
      <w:divBdr>
        <w:top w:val="none" w:sz="0" w:space="0" w:color="auto"/>
        <w:left w:val="none" w:sz="0" w:space="0" w:color="auto"/>
        <w:bottom w:val="none" w:sz="0" w:space="0" w:color="auto"/>
        <w:right w:val="none" w:sz="0" w:space="0" w:color="auto"/>
      </w:divBdr>
      <w:divsChild>
        <w:div w:id="1134447393">
          <w:marLeft w:val="274"/>
          <w:marRight w:val="0"/>
          <w:marTop w:val="120"/>
          <w:marBottom w:val="160"/>
          <w:divBdr>
            <w:top w:val="none" w:sz="0" w:space="0" w:color="auto"/>
            <w:left w:val="none" w:sz="0" w:space="0" w:color="auto"/>
            <w:bottom w:val="none" w:sz="0" w:space="0" w:color="auto"/>
            <w:right w:val="none" w:sz="0" w:space="0" w:color="auto"/>
          </w:divBdr>
        </w:div>
        <w:div w:id="1493250394">
          <w:marLeft w:val="274"/>
          <w:marRight w:val="0"/>
          <w:marTop w:val="120"/>
          <w:marBottom w:val="160"/>
          <w:divBdr>
            <w:top w:val="none" w:sz="0" w:space="0" w:color="auto"/>
            <w:left w:val="none" w:sz="0" w:space="0" w:color="auto"/>
            <w:bottom w:val="none" w:sz="0" w:space="0" w:color="auto"/>
            <w:right w:val="none" w:sz="0" w:space="0" w:color="auto"/>
          </w:divBdr>
        </w:div>
        <w:div w:id="1504011894">
          <w:marLeft w:val="274"/>
          <w:marRight w:val="0"/>
          <w:marTop w:val="120"/>
          <w:marBottom w:val="160"/>
          <w:divBdr>
            <w:top w:val="none" w:sz="0" w:space="0" w:color="auto"/>
            <w:left w:val="none" w:sz="0" w:space="0" w:color="auto"/>
            <w:bottom w:val="none" w:sz="0" w:space="0" w:color="auto"/>
            <w:right w:val="none" w:sz="0" w:space="0" w:color="auto"/>
          </w:divBdr>
        </w:div>
        <w:div w:id="1635601624">
          <w:marLeft w:val="274"/>
          <w:marRight w:val="0"/>
          <w:marTop w:val="120"/>
          <w:marBottom w:val="160"/>
          <w:divBdr>
            <w:top w:val="none" w:sz="0" w:space="0" w:color="auto"/>
            <w:left w:val="none" w:sz="0" w:space="0" w:color="auto"/>
            <w:bottom w:val="none" w:sz="0" w:space="0" w:color="auto"/>
            <w:right w:val="none" w:sz="0" w:space="0" w:color="auto"/>
          </w:divBdr>
        </w:div>
        <w:div w:id="1662076302">
          <w:marLeft w:val="274"/>
          <w:marRight w:val="0"/>
          <w:marTop w:val="120"/>
          <w:marBottom w:val="160"/>
          <w:divBdr>
            <w:top w:val="none" w:sz="0" w:space="0" w:color="auto"/>
            <w:left w:val="none" w:sz="0" w:space="0" w:color="auto"/>
            <w:bottom w:val="none" w:sz="0" w:space="0" w:color="auto"/>
            <w:right w:val="none" w:sz="0" w:space="0" w:color="auto"/>
          </w:divBdr>
        </w:div>
        <w:div w:id="1828935147">
          <w:marLeft w:val="274"/>
          <w:marRight w:val="0"/>
          <w:marTop w:val="120"/>
          <w:marBottom w:val="160"/>
          <w:divBdr>
            <w:top w:val="none" w:sz="0" w:space="0" w:color="auto"/>
            <w:left w:val="none" w:sz="0" w:space="0" w:color="auto"/>
            <w:bottom w:val="none" w:sz="0" w:space="0" w:color="auto"/>
            <w:right w:val="none" w:sz="0" w:space="0" w:color="auto"/>
          </w:divBdr>
        </w:div>
      </w:divsChild>
    </w:div>
    <w:div w:id="1816725091">
      <w:bodyDiv w:val="1"/>
      <w:marLeft w:val="0"/>
      <w:marRight w:val="0"/>
      <w:marTop w:val="0"/>
      <w:marBottom w:val="0"/>
      <w:divBdr>
        <w:top w:val="none" w:sz="0" w:space="0" w:color="auto"/>
        <w:left w:val="none" w:sz="0" w:space="0" w:color="auto"/>
        <w:bottom w:val="none" w:sz="0" w:space="0" w:color="auto"/>
        <w:right w:val="none" w:sz="0" w:space="0" w:color="auto"/>
      </w:divBdr>
    </w:div>
    <w:div w:id="1847205394">
      <w:bodyDiv w:val="1"/>
      <w:marLeft w:val="0"/>
      <w:marRight w:val="0"/>
      <w:marTop w:val="0"/>
      <w:marBottom w:val="0"/>
      <w:divBdr>
        <w:top w:val="none" w:sz="0" w:space="0" w:color="auto"/>
        <w:left w:val="none" w:sz="0" w:space="0" w:color="auto"/>
        <w:bottom w:val="none" w:sz="0" w:space="0" w:color="auto"/>
        <w:right w:val="none" w:sz="0" w:space="0" w:color="auto"/>
      </w:divBdr>
      <w:divsChild>
        <w:div w:id="209194006">
          <w:marLeft w:val="274"/>
          <w:marRight w:val="0"/>
          <w:marTop w:val="120"/>
          <w:marBottom w:val="160"/>
          <w:divBdr>
            <w:top w:val="none" w:sz="0" w:space="0" w:color="auto"/>
            <w:left w:val="none" w:sz="0" w:space="0" w:color="auto"/>
            <w:bottom w:val="none" w:sz="0" w:space="0" w:color="auto"/>
            <w:right w:val="none" w:sz="0" w:space="0" w:color="auto"/>
          </w:divBdr>
        </w:div>
        <w:div w:id="209731826">
          <w:marLeft w:val="274"/>
          <w:marRight w:val="0"/>
          <w:marTop w:val="120"/>
          <w:marBottom w:val="160"/>
          <w:divBdr>
            <w:top w:val="none" w:sz="0" w:space="0" w:color="auto"/>
            <w:left w:val="none" w:sz="0" w:space="0" w:color="auto"/>
            <w:bottom w:val="none" w:sz="0" w:space="0" w:color="auto"/>
            <w:right w:val="none" w:sz="0" w:space="0" w:color="auto"/>
          </w:divBdr>
        </w:div>
        <w:div w:id="685979751">
          <w:marLeft w:val="274"/>
          <w:marRight w:val="0"/>
          <w:marTop w:val="120"/>
          <w:marBottom w:val="160"/>
          <w:divBdr>
            <w:top w:val="none" w:sz="0" w:space="0" w:color="auto"/>
            <w:left w:val="none" w:sz="0" w:space="0" w:color="auto"/>
            <w:bottom w:val="none" w:sz="0" w:space="0" w:color="auto"/>
            <w:right w:val="none" w:sz="0" w:space="0" w:color="auto"/>
          </w:divBdr>
        </w:div>
        <w:div w:id="1078673948">
          <w:marLeft w:val="274"/>
          <w:marRight w:val="0"/>
          <w:marTop w:val="120"/>
          <w:marBottom w:val="160"/>
          <w:divBdr>
            <w:top w:val="none" w:sz="0" w:space="0" w:color="auto"/>
            <w:left w:val="none" w:sz="0" w:space="0" w:color="auto"/>
            <w:bottom w:val="none" w:sz="0" w:space="0" w:color="auto"/>
            <w:right w:val="none" w:sz="0" w:space="0" w:color="auto"/>
          </w:divBdr>
        </w:div>
        <w:div w:id="1631087562">
          <w:marLeft w:val="274"/>
          <w:marRight w:val="0"/>
          <w:marTop w:val="120"/>
          <w:marBottom w:val="160"/>
          <w:divBdr>
            <w:top w:val="none" w:sz="0" w:space="0" w:color="auto"/>
            <w:left w:val="none" w:sz="0" w:space="0" w:color="auto"/>
            <w:bottom w:val="none" w:sz="0" w:space="0" w:color="auto"/>
            <w:right w:val="none" w:sz="0" w:space="0" w:color="auto"/>
          </w:divBdr>
        </w:div>
        <w:div w:id="1728646655">
          <w:marLeft w:val="274"/>
          <w:marRight w:val="0"/>
          <w:marTop w:val="120"/>
          <w:marBottom w:val="160"/>
          <w:divBdr>
            <w:top w:val="none" w:sz="0" w:space="0" w:color="auto"/>
            <w:left w:val="none" w:sz="0" w:space="0" w:color="auto"/>
            <w:bottom w:val="none" w:sz="0" w:space="0" w:color="auto"/>
            <w:right w:val="none" w:sz="0" w:space="0" w:color="auto"/>
          </w:divBdr>
        </w:div>
        <w:div w:id="1907298127">
          <w:marLeft w:val="274"/>
          <w:marRight w:val="0"/>
          <w:marTop w:val="120"/>
          <w:marBottom w:val="160"/>
          <w:divBdr>
            <w:top w:val="none" w:sz="0" w:space="0" w:color="auto"/>
            <w:left w:val="none" w:sz="0" w:space="0" w:color="auto"/>
            <w:bottom w:val="none" w:sz="0" w:space="0" w:color="auto"/>
            <w:right w:val="none" w:sz="0" w:space="0" w:color="auto"/>
          </w:divBdr>
        </w:div>
      </w:divsChild>
    </w:div>
    <w:div w:id="1858225467">
      <w:bodyDiv w:val="1"/>
      <w:marLeft w:val="0"/>
      <w:marRight w:val="0"/>
      <w:marTop w:val="0"/>
      <w:marBottom w:val="0"/>
      <w:divBdr>
        <w:top w:val="none" w:sz="0" w:space="0" w:color="auto"/>
        <w:left w:val="none" w:sz="0" w:space="0" w:color="auto"/>
        <w:bottom w:val="none" w:sz="0" w:space="0" w:color="auto"/>
        <w:right w:val="none" w:sz="0" w:space="0" w:color="auto"/>
      </w:divBdr>
    </w:div>
    <w:div w:id="1868642154">
      <w:bodyDiv w:val="1"/>
      <w:marLeft w:val="0"/>
      <w:marRight w:val="0"/>
      <w:marTop w:val="0"/>
      <w:marBottom w:val="0"/>
      <w:divBdr>
        <w:top w:val="none" w:sz="0" w:space="0" w:color="auto"/>
        <w:left w:val="none" w:sz="0" w:space="0" w:color="auto"/>
        <w:bottom w:val="none" w:sz="0" w:space="0" w:color="auto"/>
        <w:right w:val="none" w:sz="0" w:space="0" w:color="auto"/>
      </w:divBdr>
    </w:div>
    <w:div w:id="1879320794">
      <w:bodyDiv w:val="1"/>
      <w:marLeft w:val="0"/>
      <w:marRight w:val="0"/>
      <w:marTop w:val="0"/>
      <w:marBottom w:val="0"/>
      <w:divBdr>
        <w:top w:val="none" w:sz="0" w:space="0" w:color="auto"/>
        <w:left w:val="none" w:sz="0" w:space="0" w:color="auto"/>
        <w:bottom w:val="none" w:sz="0" w:space="0" w:color="auto"/>
        <w:right w:val="none" w:sz="0" w:space="0" w:color="auto"/>
      </w:divBdr>
    </w:div>
    <w:div w:id="1882089196">
      <w:bodyDiv w:val="1"/>
      <w:marLeft w:val="0"/>
      <w:marRight w:val="0"/>
      <w:marTop w:val="0"/>
      <w:marBottom w:val="0"/>
      <w:divBdr>
        <w:top w:val="none" w:sz="0" w:space="0" w:color="auto"/>
        <w:left w:val="none" w:sz="0" w:space="0" w:color="auto"/>
        <w:bottom w:val="none" w:sz="0" w:space="0" w:color="auto"/>
        <w:right w:val="none" w:sz="0" w:space="0" w:color="auto"/>
      </w:divBdr>
    </w:div>
    <w:div w:id="2020548130">
      <w:bodyDiv w:val="1"/>
      <w:marLeft w:val="0"/>
      <w:marRight w:val="0"/>
      <w:marTop w:val="0"/>
      <w:marBottom w:val="0"/>
      <w:divBdr>
        <w:top w:val="none" w:sz="0" w:space="0" w:color="auto"/>
        <w:left w:val="none" w:sz="0" w:space="0" w:color="auto"/>
        <w:bottom w:val="none" w:sz="0" w:space="0" w:color="auto"/>
        <w:right w:val="none" w:sz="0" w:space="0" w:color="auto"/>
      </w:divBdr>
    </w:div>
    <w:div w:id="2024357967">
      <w:bodyDiv w:val="1"/>
      <w:marLeft w:val="0"/>
      <w:marRight w:val="0"/>
      <w:marTop w:val="0"/>
      <w:marBottom w:val="0"/>
      <w:divBdr>
        <w:top w:val="none" w:sz="0" w:space="0" w:color="auto"/>
        <w:left w:val="none" w:sz="0" w:space="0" w:color="auto"/>
        <w:bottom w:val="none" w:sz="0" w:space="0" w:color="auto"/>
        <w:right w:val="none" w:sz="0" w:space="0" w:color="auto"/>
      </w:divBdr>
    </w:div>
    <w:div w:id="2038920289">
      <w:bodyDiv w:val="1"/>
      <w:marLeft w:val="0"/>
      <w:marRight w:val="0"/>
      <w:marTop w:val="0"/>
      <w:marBottom w:val="0"/>
      <w:divBdr>
        <w:top w:val="none" w:sz="0" w:space="0" w:color="auto"/>
        <w:left w:val="none" w:sz="0" w:space="0" w:color="auto"/>
        <w:bottom w:val="none" w:sz="0" w:space="0" w:color="auto"/>
        <w:right w:val="none" w:sz="0" w:space="0" w:color="auto"/>
      </w:divBdr>
    </w:div>
    <w:div w:id="2041933100">
      <w:bodyDiv w:val="1"/>
      <w:marLeft w:val="0"/>
      <w:marRight w:val="0"/>
      <w:marTop w:val="0"/>
      <w:marBottom w:val="0"/>
      <w:divBdr>
        <w:top w:val="none" w:sz="0" w:space="0" w:color="auto"/>
        <w:left w:val="none" w:sz="0" w:space="0" w:color="auto"/>
        <w:bottom w:val="none" w:sz="0" w:space="0" w:color="auto"/>
        <w:right w:val="none" w:sz="0" w:space="0" w:color="auto"/>
      </w:divBdr>
    </w:div>
    <w:div w:id="2081367764">
      <w:bodyDiv w:val="1"/>
      <w:marLeft w:val="0"/>
      <w:marRight w:val="0"/>
      <w:marTop w:val="0"/>
      <w:marBottom w:val="0"/>
      <w:divBdr>
        <w:top w:val="none" w:sz="0" w:space="0" w:color="auto"/>
        <w:left w:val="none" w:sz="0" w:space="0" w:color="auto"/>
        <w:bottom w:val="none" w:sz="0" w:space="0" w:color="auto"/>
        <w:right w:val="none" w:sz="0" w:space="0" w:color="auto"/>
      </w:divBdr>
    </w:div>
    <w:div w:id="21113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Notice/036824-2025?origin=Dashboard" TargetMode="External"/><Relationship Id="rId18" Type="http://schemas.openxmlformats.org/officeDocument/2006/relationships/hyperlink" Target="https://www.gov.uk/government/publications/social-value-act-information-and-resources/social-value-act-information-and-resources" TargetMode="External"/><Relationship Id="rId26" Type="http://schemas.openxmlformats.org/officeDocument/2006/relationships/hyperlink" Target="https://www.gov.uk/government/publications/ppn-009-tackling-modern-slavery-in-government-supply-chains/ppn-009-tackling-modern-slavery-in-government-supply-chains-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ov.uk/government/groups/government-banking-service-gbs" TargetMode="External"/><Relationship Id="rId17" Type="http://schemas.openxmlformats.org/officeDocument/2006/relationships/hyperlink" Target="http://www.ico.org.uk" TargetMode="External"/><Relationship Id="rId25"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government-security-classifications/government-security-classifications-policy-html" TargetMode="External"/><Relationship Id="rId20" Type="http://schemas.openxmlformats.org/officeDocument/2006/relationships/hyperlink" Target="https://www.gov.uk/find-tender" TargetMode="External"/><Relationship Id="rId29" Type="http://schemas.openxmlformats.org/officeDocument/2006/relationships/hyperlink" Target="https://www.gov.uk/government/publications/ppn-006-taking-account-of-carbon-reduction-plans-in-the-procurement-of-major-government-contra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v.uk/government/publications/business-payment-practices-and-performance-reporting-requirements" TargetMode="External"/><Relationship Id="rId32" Type="http://schemas.openxmlformats.org/officeDocument/2006/relationships/image" Target="media/image3.png"/><Relationship Id="rId37"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gov.uk/find-tender" TargetMode="External"/><Relationship Id="rId23" Type="http://schemas.openxmlformats.org/officeDocument/2006/relationships/hyperlink" Target="https://www.gov.uk/government/publications/ppn-015-how-to-take-account-of-a-suppliers-approach-to-payment-in-the-procurement-of-major-contracts/ppn-015-taking-account-of-a-suppliers-approach-to-payment-in-the-procurement-of-major-contracts-html" TargetMode="External"/><Relationship Id="rId28" Type="http://schemas.openxmlformats.org/officeDocument/2006/relationships/hyperlink" Target="https://assets.publishing.service.gov.uk/media/67b716f078dd6cacb71c6a87/2025-02-05_PPN_006_Guidance_on_taking_account_of_carbon_reduction_plans_-_adopting_and_applying_conditions_of_participation.docx.pdf"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gov.uk/find-tender"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89/6/contents" TargetMode="External"/><Relationship Id="rId22" Type="http://schemas.openxmlformats.org/officeDocument/2006/relationships/footer" Target="footer1.xml"/><Relationship Id="rId27" Type="http://schemas.openxmlformats.org/officeDocument/2006/relationships/hyperlink" Target="https://www.gov.uk/government/publications/ppn-006-taking-account-of-carbon-reduction-plans-in-the-procurement-of-major-government-contracts" TargetMode="External"/><Relationship Id="rId30" Type="http://schemas.openxmlformats.org/officeDocument/2006/relationships/header" Target="header2.xml"/><Relationship Id="rId3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2ACDAC32F5254FB5069E7E2DE5FA2E" ma:contentTypeVersion="9" ma:contentTypeDescription="Create a new document." ma:contentTypeScope="" ma:versionID="33d740f1759ec8c1e1482de4d07012c3">
  <xsd:schema xmlns:xsd="http://www.w3.org/2001/XMLSchema" xmlns:xs="http://www.w3.org/2001/XMLSchema" xmlns:p="http://schemas.microsoft.com/office/2006/metadata/properties" xmlns:ns2="7a4416ba-9ae3-47b2-be9d-0fb3c54b44b9" targetNamespace="http://schemas.microsoft.com/office/2006/metadata/properties" ma:root="true" ma:fieldsID="60b122aafe0d06dc7a65d4d70cac5cc4" ns2:_="">
    <xsd:import namespace="7a4416ba-9ae3-47b2-be9d-0fb3c54b44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416ba-9ae3-47b2-be9d-0fb3c54b4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4289A-5B92-468E-9AEF-ACA207295E15}">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7a4416ba-9ae3-47b2-be9d-0fb3c54b44b9"/>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3819160-3C6C-4DF6-BACE-B7AE7E35C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416ba-9ae3-47b2-be9d-0fb3c54b4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AA4B8-D084-4681-BC37-CE93214C6A99}">
  <ds:schemaRefs>
    <ds:schemaRef ds:uri="http://schemas.microsoft.com/sharepoint/v3/contenttype/forms"/>
  </ds:schemaRefs>
</ds:datastoreItem>
</file>

<file path=customXml/itemProps4.xml><?xml version="1.0" encoding="utf-8"?>
<ds:datastoreItem xmlns:ds="http://schemas.openxmlformats.org/officeDocument/2006/customXml" ds:itemID="{1E5407A6-73D2-4B84-8C98-A975F9DC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132</Pages>
  <Words>28526</Words>
  <Characters>162603</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Munro, Michael (Commercial)</dc:creator>
  <cp:keywords/>
  <dc:description/>
  <cp:lastModifiedBy>Edwards, Chris (Commercial)</cp:lastModifiedBy>
  <cp:revision>2</cp:revision>
  <dcterms:created xsi:type="dcterms:W3CDTF">2025-07-18T11:30:00Z</dcterms:created>
  <dcterms:modified xsi:type="dcterms:W3CDTF">2025-07-18T11:30:00Z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2021-05-18T12:48:59Z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b616b3ed-4ffa-481c-b8b7-3ccc7dc433a6</vt:lpwstr>
  </property>
  <property fmtid="{D5CDD505-2E9C-101B-9397-08002B2CF9AE}" pid="8" name="MSIP_Label_f9af038e-07b4-4369-a678-c835687cb272_ContentBits">
    <vt:lpwstr>2</vt:lpwstr>
  </property>
  <property fmtid="{D5CDD505-2E9C-101B-9397-08002B2CF9AE}" pid="9" name="ContentTypeId">
    <vt:lpwstr>0x010100F02ACDAC32F5254FB5069E7E2DE5FA2E</vt:lpwstr>
  </property>
  <property fmtid="{D5CDD505-2E9C-101B-9397-08002B2CF9AE}" pid="10" name="MediaServiceImageTags">
    <vt:lpwstr/>
  </property>
</Properties>
</file>