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Fonts w:ascii="Aptos" w:hAnsi="Aptos"/>
          <w:color w:val="000000"/>
          <w:sz w:val="40"/>
          <w:szCs w:val="40"/>
          <w:shd w:val="clear" w:color="auto" w:fill="FFFFFF"/>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sdtContent>
        <w:p w14:paraId="49400A4C" w14:textId="20ACD166" w:rsidR="00FC6860" w:rsidRPr="003B5AE4" w:rsidRDefault="00E87412" w:rsidP="003A16E9">
          <w:pPr>
            <w:pStyle w:val="Heading1"/>
            <w:rPr>
              <w:rStyle w:val="chrSubTitle"/>
              <w:color w:val="auto"/>
              <w:szCs w:val="40"/>
            </w:rPr>
          </w:pPr>
          <w:r>
            <w:rPr>
              <w:rFonts w:ascii="Aptos" w:hAnsi="Aptos"/>
              <w:color w:val="000000"/>
              <w:sz w:val="40"/>
              <w:szCs w:val="40"/>
              <w:shd w:val="clear" w:color="auto" w:fill="FFFFFF"/>
            </w:rPr>
            <w:t>A review of how both National Highways (NH) and Network Rail (NR) manage large renewal projects</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5-07-18T00:00:00Z">
          <w:dateFormat w:val="dd MMMM yyyy"/>
          <w:lid w:val="en-GB"/>
          <w:storeMappedDataAs w:val="dateTime"/>
          <w:calendar w:val="gregorian"/>
        </w:date>
      </w:sdtPr>
      <w:sdtEndPr/>
      <w:sdtContent>
        <w:p w14:paraId="38D7D855" w14:textId="0C56397D" w:rsidR="00FC6860" w:rsidRDefault="00DD00FD" w:rsidP="003A16E9">
          <w:pPr>
            <w:pStyle w:val="Date"/>
          </w:pPr>
          <w:r>
            <w:rPr>
              <w:bCs/>
            </w:rPr>
            <w:t>18 July 2025</w:t>
          </w:r>
        </w:p>
      </w:sdtContent>
    </w:sdt>
    <w:p w14:paraId="512B2E87" w14:textId="77777777" w:rsidR="003E5612" w:rsidRDefault="003E5612" w:rsidP="003E5612"/>
    <w:p w14:paraId="0B23CADF" w14:textId="47E7DF11" w:rsidR="003E5612" w:rsidRPr="00574B16" w:rsidRDefault="003E5612" w:rsidP="003E5612">
      <w:pPr>
        <w:pStyle w:val="NormalBulletround"/>
        <w:rPr>
          <w:b/>
          <w:bCs/>
          <w:color w:val="B1173B"/>
        </w:rPr>
      </w:pPr>
      <w:r w:rsidRPr="003E5612">
        <w:rPr>
          <w:b/>
          <w:bCs/>
        </w:rPr>
        <w:t xml:space="preserve">CPV Code: </w:t>
      </w:r>
      <w:r w:rsidR="00DD00FD">
        <w:rPr>
          <w:b/>
          <w:bCs/>
          <w:color w:val="B1173B"/>
        </w:rPr>
        <w:t>79400000</w:t>
      </w:r>
    </w:p>
    <w:p w14:paraId="4B92FCBC" w14:textId="6D2CC3E2" w:rsidR="00FC6860" w:rsidRPr="00574B16" w:rsidRDefault="003E5612" w:rsidP="003E5612">
      <w:pPr>
        <w:pStyle w:val="NormalBulletround"/>
        <w:rPr>
          <w:b/>
          <w:bCs/>
          <w:color w:val="B1173B"/>
        </w:rPr>
      </w:pPr>
      <w:r w:rsidRPr="003E5612">
        <w:rPr>
          <w:b/>
          <w:bCs/>
        </w:rPr>
        <w:t>Tender Reference:</w:t>
      </w:r>
      <w:r w:rsidRPr="00574B16">
        <w:rPr>
          <w:b/>
          <w:bCs/>
          <w:color w:val="B1173B"/>
        </w:rPr>
        <w:t xml:space="preserve"> </w:t>
      </w:r>
      <w:r w:rsidR="00EB4355">
        <w:rPr>
          <w:b/>
          <w:bCs/>
          <w:color w:val="B1173B"/>
        </w:rPr>
        <w:t>ORR CT 25-26</w:t>
      </w:r>
    </w:p>
    <w:p w14:paraId="60F6998D" w14:textId="0B0FBB2D" w:rsidR="003E5612" w:rsidRDefault="003E5612" w:rsidP="003A16E9">
      <w:pPr>
        <w:sectPr w:rsidR="003E5612" w:rsidSect="00FC6860">
          <w:headerReference w:type="default" r:id="rId13"/>
          <w:footerReference w:type="default" r:id="rId14"/>
          <w:headerReference w:type="first" r:id="rId15"/>
          <w:footerReference w:type="first" r:id="rId16"/>
          <w:pgSz w:w="11906" w:h="16838" w:code="9"/>
          <w:pgMar w:top="5443" w:right="1134" w:bottom="1134" w:left="1134" w:header="709" w:footer="709" w:gutter="0"/>
          <w:pgNumType w:start="1"/>
          <w:cols w:space="708"/>
          <w:titlePg/>
          <w:docGrid w:linePitch="360"/>
        </w:sectPr>
      </w:pPr>
    </w:p>
    <w:p w14:paraId="6F6DAD95" w14:textId="77777777" w:rsidR="00FC6860" w:rsidRDefault="00FC6860" w:rsidP="003A16E9">
      <w:pPr>
        <w:pStyle w:val="Heading2NoToc"/>
      </w:pPr>
      <w:r>
        <w:lastRenderedPageBreak/>
        <w:t>Contents</w:t>
      </w:r>
    </w:p>
    <w:p w14:paraId="71FCC505" w14:textId="7B9B38A8" w:rsidR="000306CF" w:rsidRDefault="00FC6860">
      <w:pPr>
        <w:pStyle w:val="TOC1"/>
        <w:rPr>
          <w:rFonts w:asciiTheme="minorHAnsi" w:eastAsiaTheme="minorEastAsia" w:hAnsiTheme="minorHAnsi"/>
          <w:b w:val="0"/>
          <w:bCs w:val="0"/>
          <w:color w:val="auto"/>
          <w:kern w:val="2"/>
          <w:szCs w:val="24"/>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203656469" w:history="1">
        <w:r w:rsidR="000306CF" w:rsidRPr="00567C8B">
          <w:rPr>
            <w:rStyle w:val="Hyperlink"/>
          </w:rPr>
          <w:t>Purpose of the document</w:t>
        </w:r>
        <w:r w:rsidR="000306CF">
          <w:rPr>
            <w:webHidden/>
          </w:rPr>
          <w:tab/>
        </w:r>
        <w:r w:rsidR="000306CF">
          <w:rPr>
            <w:webHidden/>
          </w:rPr>
          <w:fldChar w:fldCharType="begin"/>
        </w:r>
        <w:r w:rsidR="000306CF">
          <w:rPr>
            <w:webHidden/>
          </w:rPr>
          <w:instrText xml:space="preserve"> PAGEREF _Toc203656469 \h </w:instrText>
        </w:r>
        <w:r w:rsidR="000306CF">
          <w:rPr>
            <w:webHidden/>
          </w:rPr>
        </w:r>
        <w:r w:rsidR="000306CF">
          <w:rPr>
            <w:webHidden/>
          </w:rPr>
          <w:fldChar w:fldCharType="separate"/>
        </w:r>
        <w:r w:rsidR="00C57507">
          <w:rPr>
            <w:webHidden/>
          </w:rPr>
          <w:t>3</w:t>
        </w:r>
        <w:r w:rsidR="000306CF">
          <w:rPr>
            <w:webHidden/>
          </w:rPr>
          <w:fldChar w:fldCharType="end"/>
        </w:r>
      </w:hyperlink>
    </w:p>
    <w:p w14:paraId="091F3380" w14:textId="268182E7" w:rsidR="000306CF" w:rsidRDefault="000306CF">
      <w:pPr>
        <w:pStyle w:val="TOC1"/>
        <w:rPr>
          <w:rFonts w:asciiTheme="minorHAnsi" w:eastAsiaTheme="minorEastAsia" w:hAnsiTheme="minorHAnsi"/>
          <w:b w:val="0"/>
          <w:bCs w:val="0"/>
          <w:color w:val="auto"/>
          <w:kern w:val="2"/>
          <w:szCs w:val="24"/>
          <w:lang w:eastAsia="en-GB"/>
          <w14:ligatures w14:val="standardContextual"/>
        </w:rPr>
      </w:pPr>
      <w:hyperlink w:anchor="_Toc203656470" w:history="1">
        <w:r w:rsidRPr="00567C8B">
          <w:rPr>
            <w:rStyle w:val="Hyperlink"/>
          </w:rPr>
          <w:t>1.</w:t>
        </w:r>
        <w:r>
          <w:rPr>
            <w:rFonts w:asciiTheme="minorHAnsi" w:eastAsiaTheme="minorEastAsia" w:hAnsiTheme="minorHAnsi"/>
            <w:b w:val="0"/>
            <w:bCs w:val="0"/>
            <w:color w:val="auto"/>
            <w:kern w:val="2"/>
            <w:szCs w:val="24"/>
            <w:lang w:eastAsia="en-GB"/>
            <w14:ligatures w14:val="standardContextual"/>
          </w:rPr>
          <w:tab/>
        </w:r>
        <w:r w:rsidRPr="00567C8B">
          <w:rPr>
            <w:rStyle w:val="Hyperlink"/>
          </w:rPr>
          <w:t>Introduction to the Office of Rail and Road</w:t>
        </w:r>
        <w:r>
          <w:rPr>
            <w:webHidden/>
          </w:rPr>
          <w:tab/>
        </w:r>
        <w:r>
          <w:rPr>
            <w:webHidden/>
          </w:rPr>
          <w:fldChar w:fldCharType="begin"/>
        </w:r>
        <w:r>
          <w:rPr>
            <w:webHidden/>
          </w:rPr>
          <w:instrText xml:space="preserve"> PAGEREF _Toc203656470 \h </w:instrText>
        </w:r>
        <w:r>
          <w:rPr>
            <w:webHidden/>
          </w:rPr>
        </w:r>
        <w:r>
          <w:rPr>
            <w:webHidden/>
          </w:rPr>
          <w:fldChar w:fldCharType="separate"/>
        </w:r>
        <w:r w:rsidR="00C57507">
          <w:rPr>
            <w:webHidden/>
          </w:rPr>
          <w:t>4</w:t>
        </w:r>
        <w:r>
          <w:rPr>
            <w:webHidden/>
          </w:rPr>
          <w:fldChar w:fldCharType="end"/>
        </w:r>
      </w:hyperlink>
    </w:p>
    <w:p w14:paraId="0D077185" w14:textId="584BEFBE"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71" w:history="1">
        <w:r w:rsidRPr="00567C8B">
          <w:rPr>
            <w:rStyle w:val="Hyperlink"/>
            <w:noProof/>
          </w:rPr>
          <w:t>Our strategic objectives</w:t>
        </w:r>
        <w:r>
          <w:rPr>
            <w:noProof/>
            <w:webHidden/>
          </w:rPr>
          <w:tab/>
        </w:r>
        <w:r>
          <w:rPr>
            <w:noProof/>
            <w:webHidden/>
          </w:rPr>
          <w:fldChar w:fldCharType="begin"/>
        </w:r>
        <w:r>
          <w:rPr>
            <w:noProof/>
            <w:webHidden/>
          </w:rPr>
          <w:instrText xml:space="preserve"> PAGEREF _Toc203656471 \h </w:instrText>
        </w:r>
        <w:r>
          <w:rPr>
            <w:noProof/>
            <w:webHidden/>
          </w:rPr>
        </w:r>
        <w:r>
          <w:rPr>
            <w:noProof/>
            <w:webHidden/>
          </w:rPr>
          <w:fldChar w:fldCharType="separate"/>
        </w:r>
        <w:r w:rsidR="00C57507">
          <w:rPr>
            <w:noProof/>
            <w:webHidden/>
          </w:rPr>
          <w:t>4</w:t>
        </w:r>
        <w:r>
          <w:rPr>
            <w:noProof/>
            <w:webHidden/>
          </w:rPr>
          <w:fldChar w:fldCharType="end"/>
        </w:r>
      </w:hyperlink>
    </w:p>
    <w:p w14:paraId="719AC1BF" w14:textId="4F51A240"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72" w:history="1">
        <w:r w:rsidRPr="00567C8B">
          <w:rPr>
            <w:rStyle w:val="Hyperlink"/>
            <w:noProof/>
          </w:rPr>
          <w:t>Supplying ORR</w:t>
        </w:r>
        <w:r>
          <w:rPr>
            <w:noProof/>
            <w:webHidden/>
          </w:rPr>
          <w:tab/>
        </w:r>
        <w:r>
          <w:rPr>
            <w:noProof/>
            <w:webHidden/>
          </w:rPr>
          <w:fldChar w:fldCharType="begin"/>
        </w:r>
        <w:r>
          <w:rPr>
            <w:noProof/>
            <w:webHidden/>
          </w:rPr>
          <w:instrText xml:space="preserve"> PAGEREF _Toc203656472 \h </w:instrText>
        </w:r>
        <w:r>
          <w:rPr>
            <w:noProof/>
            <w:webHidden/>
          </w:rPr>
        </w:r>
        <w:r>
          <w:rPr>
            <w:noProof/>
            <w:webHidden/>
          </w:rPr>
          <w:fldChar w:fldCharType="separate"/>
        </w:r>
        <w:r w:rsidR="00C57507">
          <w:rPr>
            <w:noProof/>
            <w:webHidden/>
          </w:rPr>
          <w:t>4</w:t>
        </w:r>
        <w:r>
          <w:rPr>
            <w:noProof/>
            <w:webHidden/>
          </w:rPr>
          <w:fldChar w:fldCharType="end"/>
        </w:r>
      </w:hyperlink>
    </w:p>
    <w:p w14:paraId="5907B2B3" w14:textId="310B7EE4" w:rsidR="000306CF" w:rsidRDefault="000306CF">
      <w:pPr>
        <w:pStyle w:val="TOC1"/>
        <w:rPr>
          <w:rFonts w:asciiTheme="minorHAnsi" w:eastAsiaTheme="minorEastAsia" w:hAnsiTheme="minorHAnsi"/>
          <w:b w:val="0"/>
          <w:bCs w:val="0"/>
          <w:color w:val="auto"/>
          <w:kern w:val="2"/>
          <w:szCs w:val="24"/>
          <w:lang w:eastAsia="en-GB"/>
          <w14:ligatures w14:val="standardContextual"/>
        </w:rPr>
      </w:pPr>
      <w:hyperlink w:anchor="_Toc203656473" w:history="1">
        <w:r w:rsidRPr="00567C8B">
          <w:rPr>
            <w:rStyle w:val="Hyperlink"/>
          </w:rPr>
          <w:t>Small and Medium Enterprises</w:t>
        </w:r>
        <w:r>
          <w:rPr>
            <w:webHidden/>
          </w:rPr>
          <w:tab/>
        </w:r>
        <w:r>
          <w:rPr>
            <w:webHidden/>
          </w:rPr>
          <w:fldChar w:fldCharType="begin"/>
        </w:r>
        <w:r>
          <w:rPr>
            <w:webHidden/>
          </w:rPr>
          <w:instrText xml:space="preserve"> PAGEREF _Toc203656473 \h </w:instrText>
        </w:r>
        <w:r>
          <w:rPr>
            <w:webHidden/>
          </w:rPr>
        </w:r>
        <w:r>
          <w:rPr>
            <w:webHidden/>
          </w:rPr>
          <w:fldChar w:fldCharType="separate"/>
        </w:r>
        <w:r w:rsidR="00C57507">
          <w:rPr>
            <w:webHidden/>
          </w:rPr>
          <w:t>6</w:t>
        </w:r>
        <w:r>
          <w:rPr>
            <w:webHidden/>
          </w:rPr>
          <w:fldChar w:fldCharType="end"/>
        </w:r>
      </w:hyperlink>
    </w:p>
    <w:p w14:paraId="175F4FAD" w14:textId="7349B189" w:rsidR="000306CF" w:rsidRDefault="000306CF">
      <w:pPr>
        <w:pStyle w:val="TOC1"/>
        <w:rPr>
          <w:rFonts w:asciiTheme="minorHAnsi" w:eastAsiaTheme="minorEastAsia" w:hAnsiTheme="minorHAnsi"/>
          <w:b w:val="0"/>
          <w:bCs w:val="0"/>
          <w:color w:val="auto"/>
          <w:kern w:val="2"/>
          <w:szCs w:val="24"/>
          <w:lang w:eastAsia="en-GB"/>
          <w14:ligatures w14:val="standardContextual"/>
        </w:rPr>
      </w:pPr>
      <w:hyperlink w:anchor="_Toc203656474" w:history="1">
        <w:r w:rsidRPr="00567C8B">
          <w:rPr>
            <w:rStyle w:val="Hyperlink"/>
          </w:rPr>
          <w:t>2.</w:t>
        </w:r>
        <w:r>
          <w:rPr>
            <w:rFonts w:asciiTheme="minorHAnsi" w:eastAsiaTheme="minorEastAsia" w:hAnsiTheme="minorHAnsi"/>
            <w:b w:val="0"/>
            <w:bCs w:val="0"/>
            <w:color w:val="auto"/>
            <w:kern w:val="2"/>
            <w:szCs w:val="24"/>
            <w:lang w:eastAsia="en-GB"/>
            <w14:ligatures w14:val="standardContextual"/>
          </w:rPr>
          <w:tab/>
        </w:r>
        <w:r w:rsidRPr="00567C8B">
          <w:rPr>
            <w:rStyle w:val="Hyperlink"/>
          </w:rPr>
          <w:t>Statement of Requirement</w:t>
        </w:r>
        <w:r>
          <w:rPr>
            <w:webHidden/>
          </w:rPr>
          <w:tab/>
        </w:r>
        <w:r>
          <w:rPr>
            <w:webHidden/>
          </w:rPr>
          <w:fldChar w:fldCharType="begin"/>
        </w:r>
        <w:r>
          <w:rPr>
            <w:webHidden/>
          </w:rPr>
          <w:instrText xml:space="preserve"> PAGEREF _Toc203656474 \h </w:instrText>
        </w:r>
        <w:r>
          <w:rPr>
            <w:webHidden/>
          </w:rPr>
        </w:r>
        <w:r>
          <w:rPr>
            <w:webHidden/>
          </w:rPr>
          <w:fldChar w:fldCharType="separate"/>
        </w:r>
        <w:r w:rsidR="00C57507">
          <w:rPr>
            <w:webHidden/>
          </w:rPr>
          <w:t>7</w:t>
        </w:r>
        <w:r>
          <w:rPr>
            <w:webHidden/>
          </w:rPr>
          <w:fldChar w:fldCharType="end"/>
        </w:r>
      </w:hyperlink>
    </w:p>
    <w:p w14:paraId="3E8060BC" w14:textId="6A32BA60"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75" w:history="1">
        <w:r w:rsidRPr="00567C8B">
          <w:rPr>
            <w:rStyle w:val="Hyperlink"/>
            <w:noProof/>
          </w:rPr>
          <w:t>2.1 Background of the project</w:t>
        </w:r>
        <w:r>
          <w:rPr>
            <w:noProof/>
            <w:webHidden/>
          </w:rPr>
          <w:tab/>
        </w:r>
        <w:r>
          <w:rPr>
            <w:noProof/>
            <w:webHidden/>
          </w:rPr>
          <w:fldChar w:fldCharType="begin"/>
        </w:r>
        <w:r>
          <w:rPr>
            <w:noProof/>
            <w:webHidden/>
          </w:rPr>
          <w:instrText xml:space="preserve"> PAGEREF _Toc203656475 \h </w:instrText>
        </w:r>
        <w:r>
          <w:rPr>
            <w:noProof/>
            <w:webHidden/>
          </w:rPr>
        </w:r>
        <w:r>
          <w:rPr>
            <w:noProof/>
            <w:webHidden/>
          </w:rPr>
          <w:fldChar w:fldCharType="separate"/>
        </w:r>
        <w:r w:rsidR="00C57507">
          <w:rPr>
            <w:noProof/>
            <w:webHidden/>
          </w:rPr>
          <w:t>7</w:t>
        </w:r>
        <w:r>
          <w:rPr>
            <w:noProof/>
            <w:webHidden/>
          </w:rPr>
          <w:fldChar w:fldCharType="end"/>
        </w:r>
      </w:hyperlink>
    </w:p>
    <w:p w14:paraId="5E0BF1AC" w14:textId="1F735698"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76" w:history="1">
        <w:r w:rsidRPr="00567C8B">
          <w:rPr>
            <w:rStyle w:val="Hyperlink"/>
            <w:noProof/>
          </w:rPr>
          <w:t>2.2 Project Objectives and Scope</w:t>
        </w:r>
        <w:r>
          <w:rPr>
            <w:noProof/>
            <w:webHidden/>
          </w:rPr>
          <w:tab/>
        </w:r>
        <w:r>
          <w:rPr>
            <w:noProof/>
            <w:webHidden/>
          </w:rPr>
          <w:fldChar w:fldCharType="begin"/>
        </w:r>
        <w:r>
          <w:rPr>
            <w:noProof/>
            <w:webHidden/>
          </w:rPr>
          <w:instrText xml:space="preserve"> PAGEREF _Toc203656476 \h </w:instrText>
        </w:r>
        <w:r>
          <w:rPr>
            <w:noProof/>
            <w:webHidden/>
          </w:rPr>
        </w:r>
        <w:r>
          <w:rPr>
            <w:noProof/>
            <w:webHidden/>
          </w:rPr>
          <w:fldChar w:fldCharType="separate"/>
        </w:r>
        <w:r w:rsidR="00C57507">
          <w:rPr>
            <w:noProof/>
            <w:webHidden/>
          </w:rPr>
          <w:t>7</w:t>
        </w:r>
        <w:r>
          <w:rPr>
            <w:noProof/>
            <w:webHidden/>
          </w:rPr>
          <w:fldChar w:fldCharType="end"/>
        </w:r>
      </w:hyperlink>
    </w:p>
    <w:p w14:paraId="0B434A79" w14:textId="421E5DB1"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77" w:history="1">
        <w:r w:rsidRPr="00567C8B">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_Toc203656477 \h </w:instrText>
        </w:r>
        <w:r>
          <w:rPr>
            <w:noProof/>
            <w:webHidden/>
          </w:rPr>
        </w:r>
        <w:r>
          <w:rPr>
            <w:noProof/>
            <w:webHidden/>
          </w:rPr>
          <w:fldChar w:fldCharType="separate"/>
        </w:r>
        <w:r w:rsidR="00C57507">
          <w:rPr>
            <w:noProof/>
            <w:webHidden/>
          </w:rPr>
          <w:t>9</w:t>
        </w:r>
        <w:r>
          <w:rPr>
            <w:noProof/>
            <w:webHidden/>
          </w:rPr>
          <w:fldChar w:fldCharType="end"/>
        </w:r>
      </w:hyperlink>
    </w:p>
    <w:p w14:paraId="2F8CC885" w14:textId="07C41FE4"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78" w:history="1">
        <w:r w:rsidRPr="00567C8B">
          <w:rPr>
            <w:rStyle w:val="Hyperlink"/>
            <w:noProof/>
          </w:rPr>
          <w:t>2.4 Project Timescales</w:t>
        </w:r>
        <w:r>
          <w:rPr>
            <w:noProof/>
            <w:webHidden/>
          </w:rPr>
          <w:tab/>
        </w:r>
        <w:r>
          <w:rPr>
            <w:noProof/>
            <w:webHidden/>
          </w:rPr>
          <w:fldChar w:fldCharType="begin"/>
        </w:r>
        <w:r>
          <w:rPr>
            <w:noProof/>
            <w:webHidden/>
          </w:rPr>
          <w:instrText xml:space="preserve"> PAGEREF _Toc203656478 \h </w:instrText>
        </w:r>
        <w:r>
          <w:rPr>
            <w:noProof/>
            <w:webHidden/>
          </w:rPr>
        </w:r>
        <w:r>
          <w:rPr>
            <w:noProof/>
            <w:webHidden/>
          </w:rPr>
          <w:fldChar w:fldCharType="separate"/>
        </w:r>
        <w:r w:rsidR="00C57507">
          <w:rPr>
            <w:noProof/>
            <w:webHidden/>
          </w:rPr>
          <w:t>11</w:t>
        </w:r>
        <w:r>
          <w:rPr>
            <w:noProof/>
            <w:webHidden/>
          </w:rPr>
          <w:fldChar w:fldCharType="end"/>
        </w:r>
      </w:hyperlink>
    </w:p>
    <w:p w14:paraId="46F55182" w14:textId="776522D0"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79" w:history="1">
        <w:r w:rsidRPr="00567C8B">
          <w:rPr>
            <w:rStyle w:val="Hyperlink"/>
            <w:noProof/>
          </w:rPr>
          <w:t>2.5 Budget and Payment Schedule</w:t>
        </w:r>
        <w:r>
          <w:rPr>
            <w:noProof/>
            <w:webHidden/>
          </w:rPr>
          <w:tab/>
        </w:r>
        <w:r>
          <w:rPr>
            <w:noProof/>
            <w:webHidden/>
          </w:rPr>
          <w:fldChar w:fldCharType="begin"/>
        </w:r>
        <w:r>
          <w:rPr>
            <w:noProof/>
            <w:webHidden/>
          </w:rPr>
          <w:instrText xml:space="preserve"> PAGEREF _Toc203656479 \h </w:instrText>
        </w:r>
        <w:r>
          <w:rPr>
            <w:noProof/>
            <w:webHidden/>
          </w:rPr>
        </w:r>
        <w:r>
          <w:rPr>
            <w:noProof/>
            <w:webHidden/>
          </w:rPr>
          <w:fldChar w:fldCharType="separate"/>
        </w:r>
        <w:r w:rsidR="00C57507">
          <w:rPr>
            <w:noProof/>
            <w:webHidden/>
          </w:rPr>
          <w:t>11</w:t>
        </w:r>
        <w:r>
          <w:rPr>
            <w:noProof/>
            <w:webHidden/>
          </w:rPr>
          <w:fldChar w:fldCharType="end"/>
        </w:r>
      </w:hyperlink>
    </w:p>
    <w:p w14:paraId="4C44D519" w14:textId="4CA11E67"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80" w:history="1">
        <w:r w:rsidRPr="00567C8B">
          <w:rPr>
            <w:rStyle w:val="Hyperlink"/>
            <w:noProof/>
          </w:rPr>
          <w:t>2.6 Further project related information for bidders</w:t>
        </w:r>
        <w:r>
          <w:rPr>
            <w:noProof/>
            <w:webHidden/>
          </w:rPr>
          <w:tab/>
        </w:r>
        <w:r>
          <w:rPr>
            <w:noProof/>
            <w:webHidden/>
          </w:rPr>
          <w:fldChar w:fldCharType="begin"/>
        </w:r>
        <w:r>
          <w:rPr>
            <w:noProof/>
            <w:webHidden/>
          </w:rPr>
          <w:instrText xml:space="preserve"> PAGEREF _Toc203656480 \h </w:instrText>
        </w:r>
        <w:r>
          <w:rPr>
            <w:noProof/>
            <w:webHidden/>
          </w:rPr>
        </w:r>
        <w:r>
          <w:rPr>
            <w:noProof/>
            <w:webHidden/>
          </w:rPr>
          <w:fldChar w:fldCharType="separate"/>
        </w:r>
        <w:r w:rsidR="00C57507">
          <w:rPr>
            <w:noProof/>
            <w:webHidden/>
          </w:rPr>
          <w:t>12</w:t>
        </w:r>
        <w:r>
          <w:rPr>
            <w:noProof/>
            <w:webHidden/>
          </w:rPr>
          <w:fldChar w:fldCharType="end"/>
        </w:r>
      </w:hyperlink>
    </w:p>
    <w:p w14:paraId="07AFF701" w14:textId="25BA5595" w:rsidR="000306CF" w:rsidRDefault="000306CF">
      <w:pPr>
        <w:pStyle w:val="TOC1"/>
        <w:rPr>
          <w:rFonts w:asciiTheme="minorHAnsi" w:eastAsiaTheme="minorEastAsia" w:hAnsiTheme="minorHAnsi"/>
          <w:b w:val="0"/>
          <w:bCs w:val="0"/>
          <w:color w:val="auto"/>
          <w:kern w:val="2"/>
          <w:szCs w:val="24"/>
          <w:lang w:eastAsia="en-GB"/>
          <w14:ligatures w14:val="standardContextual"/>
        </w:rPr>
      </w:pPr>
      <w:hyperlink w:anchor="_Toc203656481" w:history="1">
        <w:r w:rsidRPr="00567C8B">
          <w:rPr>
            <w:rStyle w:val="Hyperlink"/>
          </w:rPr>
          <w:t>3.</w:t>
        </w:r>
        <w:r>
          <w:rPr>
            <w:rFonts w:asciiTheme="minorHAnsi" w:eastAsiaTheme="minorEastAsia" w:hAnsiTheme="minorHAnsi"/>
            <w:b w:val="0"/>
            <w:bCs w:val="0"/>
            <w:color w:val="auto"/>
            <w:kern w:val="2"/>
            <w:szCs w:val="24"/>
            <w:lang w:eastAsia="en-GB"/>
            <w14:ligatures w14:val="standardContextual"/>
          </w:rPr>
          <w:tab/>
        </w:r>
        <w:r w:rsidRPr="00567C8B">
          <w:rPr>
            <w:rStyle w:val="Hyperlink"/>
          </w:rPr>
          <w:t>Tender Response and Evaluation Criteria</w:t>
        </w:r>
        <w:r>
          <w:rPr>
            <w:webHidden/>
          </w:rPr>
          <w:tab/>
        </w:r>
        <w:r>
          <w:rPr>
            <w:webHidden/>
          </w:rPr>
          <w:fldChar w:fldCharType="begin"/>
        </w:r>
        <w:r>
          <w:rPr>
            <w:webHidden/>
          </w:rPr>
          <w:instrText xml:space="preserve"> PAGEREF _Toc203656481 \h </w:instrText>
        </w:r>
        <w:r>
          <w:rPr>
            <w:webHidden/>
          </w:rPr>
        </w:r>
        <w:r>
          <w:rPr>
            <w:webHidden/>
          </w:rPr>
          <w:fldChar w:fldCharType="separate"/>
        </w:r>
        <w:r w:rsidR="00C57507">
          <w:rPr>
            <w:webHidden/>
          </w:rPr>
          <w:t>14</w:t>
        </w:r>
        <w:r>
          <w:rPr>
            <w:webHidden/>
          </w:rPr>
          <w:fldChar w:fldCharType="end"/>
        </w:r>
      </w:hyperlink>
    </w:p>
    <w:p w14:paraId="04A38974" w14:textId="4928639D"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82" w:history="1">
        <w:r w:rsidRPr="00567C8B">
          <w:rPr>
            <w:rStyle w:val="Hyperlink"/>
            <w:noProof/>
          </w:rPr>
          <w:t>3.1 The Tender Response</w:t>
        </w:r>
        <w:r>
          <w:rPr>
            <w:noProof/>
            <w:webHidden/>
          </w:rPr>
          <w:tab/>
        </w:r>
        <w:r>
          <w:rPr>
            <w:noProof/>
            <w:webHidden/>
          </w:rPr>
          <w:fldChar w:fldCharType="begin"/>
        </w:r>
        <w:r>
          <w:rPr>
            <w:noProof/>
            <w:webHidden/>
          </w:rPr>
          <w:instrText xml:space="preserve"> PAGEREF _Toc203656482 \h </w:instrText>
        </w:r>
        <w:r>
          <w:rPr>
            <w:noProof/>
            <w:webHidden/>
          </w:rPr>
        </w:r>
        <w:r>
          <w:rPr>
            <w:noProof/>
            <w:webHidden/>
          </w:rPr>
          <w:fldChar w:fldCharType="separate"/>
        </w:r>
        <w:r w:rsidR="00C57507">
          <w:rPr>
            <w:noProof/>
            <w:webHidden/>
          </w:rPr>
          <w:t>14</w:t>
        </w:r>
        <w:r>
          <w:rPr>
            <w:noProof/>
            <w:webHidden/>
          </w:rPr>
          <w:fldChar w:fldCharType="end"/>
        </w:r>
      </w:hyperlink>
    </w:p>
    <w:p w14:paraId="10DCE170" w14:textId="7B5E0A75"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83" w:history="1">
        <w:r w:rsidRPr="00567C8B">
          <w:rPr>
            <w:rStyle w:val="Hyperlink"/>
            <w:noProof/>
          </w:rPr>
          <w:t>3.2 Evaluation Criteria</w:t>
        </w:r>
        <w:r>
          <w:rPr>
            <w:noProof/>
            <w:webHidden/>
          </w:rPr>
          <w:tab/>
        </w:r>
        <w:r>
          <w:rPr>
            <w:noProof/>
            <w:webHidden/>
          </w:rPr>
          <w:fldChar w:fldCharType="begin"/>
        </w:r>
        <w:r>
          <w:rPr>
            <w:noProof/>
            <w:webHidden/>
          </w:rPr>
          <w:instrText xml:space="preserve"> PAGEREF _Toc203656483 \h </w:instrText>
        </w:r>
        <w:r>
          <w:rPr>
            <w:noProof/>
            <w:webHidden/>
          </w:rPr>
        </w:r>
        <w:r>
          <w:rPr>
            <w:noProof/>
            <w:webHidden/>
          </w:rPr>
          <w:fldChar w:fldCharType="separate"/>
        </w:r>
        <w:r w:rsidR="00C57507">
          <w:rPr>
            <w:noProof/>
            <w:webHidden/>
          </w:rPr>
          <w:t>15</w:t>
        </w:r>
        <w:r>
          <w:rPr>
            <w:noProof/>
            <w:webHidden/>
          </w:rPr>
          <w:fldChar w:fldCharType="end"/>
        </w:r>
      </w:hyperlink>
    </w:p>
    <w:p w14:paraId="04C1454E" w14:textId="3F61DF96" w:rsidR="000306CF" w:rsidRDefault="000306CF">
      <w:pPr>
        <w:pStyle w:val="TOC1"/>
        <w:rPr>
          <w:rFonts w:asciiTheme="minorHAnsi" w:eastAsiaTheme="minorEastAsia" w:hAnsiTheme="minorHAnsi"/>
          <w:b w:val="0"/>
          <w:bCs w:val="0"/>
          <w:color w:val="auto"/>
          <w:kern w:val="2"/>
          <w:szCs w:val="24"/>
          <w:lang w:eastAsia="en-GB"/>
          <w14:ligatures w14:val="standardContextual"/>
        </w:rPr>
      </w:pPr>
      <w:hyperlink w:anchor="_Toc203656484" w:history="1">
        <w:r w:rsidRPr="00567C8B">
          <w:rPr>
            <w:rStyle w:val="Hyperlink"/>
          </w:rPr>
          <w:t>4.</w:t>
        </w:r>
        <w:r>
          <w:rPr>
            <w:rFonts w:asciiTheme="minorHAnsi" w:eastAsiaTheme="minorEastAsia" w:hAnsiTheme="minorHAnsi"/>
            <w:b w:val="0"/>
            <w:bCs w:val="0"/>
            <w:color w:val="auto"/>
            <w:kern w:val="2"/>
            <w:szCs w:val="24"/>
            <w:lang w:eastAsia="en-GB"/>
            <w14:ligatures w14:val="standardContextual"/>
          </w:rPr>
          <w:tab/>
        </w:r>
        <w:r w:rsidRPr="00567C8B">
          <w:rPr>
            <w:rStyle w:val="Hyperlink"/>
          </w:rPr>
          <w:t>Procurement Procedures</w:t>
        </w:r>
        <w:r>
          <w:rPr>
            <w:webHidden/>
          </w:rPr>
          <w:tab/>
        </w:r>
        <w:r>
          <w:rPr>
            <w:webHidden/>
          </w:rPr>
          <w:fldChar w:fldCharType="begin"/>
        </w:r>
        <w:r>
          <w:rPr>
            <w:webHidden/>
          </w:rPr>
          <w:instrText xml:space="preserve"> PAGEREF _Toc203656484 \h </w:instrText>
        </w:r>
        <w:r>
          <w:rPr>
            <w:webHidden/>
          </w:rPr>
        </w:r>
        <w:r>
          <w:rPr>
            <w:webHidden/>
          </w:rPr>
          <w:fldChar w:fldCharType="separate"/>
        </w:r>
        <w:r w:rsidR="00C57507">
          <w:rPr>
            <w:webHidden/>
          </w:rPr>
          <w:t>20</w:t>
        </w:r>
        <w:r>
          <w:rPr>
            <w:webHidden/>
          </w:rPr>
          <w:fldChar w:fldCharType="end"/>
        </w:r>
      </w:hyperlink>
    </w:p>
    <w:p w14:paraId="058C7CFC" w14:textId="19BD2241"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85" w:history="1">
        <w:r w:rsidRPr="00567C8B">
          <w:rPr>
            <w:rStyle w:val="Hyperlink"/>
            <w:noProof/>
          </w:rPr>
          <w:t>Tendering Timetable</w:t>
        </w:r>
        <w:r>
          <w:rPr>
            <w:noProof/>
            <w:webHidden/>
          </w:rPr>
          <w:tab/>
        </w:r>
        <w:r>
          <w:rPr>
            <w:noProof/>
            <w:webHidden/>
          </w:rPr>
          <w:fldChar w:fldCharType="begin"/>
        </w:r>
        <w:r>
          <w:rPr>
            <w:noProof/>
            <w:webHidden/>
          </w:rPr>
          <w:instrText xml:space="preserve"> PAGEREF _Toc203656485 \h </w:instrText>
        </w:r>
        <w:r>
          <w:rPr>
            <w:noProof/>
            <w:webHidden/>
          </w:rPr>
        </w:r>
        <w:r>
          <w:rPr>
            <w:noProof/>
            <w:webHidden/>
          </w:rPr>
          <w:fldChar w:fldCharType="separate"/>
        </w:r>
        <w:r w:rsidR="00C57507">
          <w:rPr>
            <w:noProof/>
            <w:webHidden/>
          </w:rPr>
          <w:t>20</w:t>
        </w:r>
        <w:r>
          <w:rPr>
            <w:noProof/>
            <w:webHidden/>
          </w:rPr>
          <w:fldChar w:fldCharType="end"/>
        </w:r>
      </w:hyperlink>
    </w:p>
    <w:p w14:paraId="79A37322" w14:textId="7F7F8187" w:rsidR="000306CF" w:rsidRDefault="000306CF">
      <w:pPr>
        <w:pStyle w:val="TOC2"/>
        <w:tabs>
          <w:tab w:val="right" w:pos="9628"/>
        </w:tabs>
        <w:rPr>
          <w:rFonts w:asciiTheme="minorHAnsi" w:eastAsiaTheme="minorEastAsia" w:hAnsiTheme="minorHAnsi"/>
          <w:noProof/>
          <w:kern w:val="2"/>
          <w:szCs w:val="24"/>
          <w:lang w:eastAsia="en-GB"/>
          <w14:ligatures w14:val="standardContextual"/>
        </w:rPr>
      </w:pPr>
      <w:hyperlink w:anchor="_Toc203656486" w:history="1">
        <w:r w:rsidRPr="00567C8B">
          <w:rPr>
            <w:rStyle w:val="Hyperlink"/>
            <w:noProof/>
          </w:rPr>
          <w:t>Tendering Instructions and Guidance</w:t>
        </w:r>
        <w:r>
          <w:rPr>
            <w:noProof/>
            <w:webHidden/>
          </w:rPr>
          <w:tab/>
        </w:r>
        <w:r>
          <w:rPr>
            <w:noProof/>
            <w:webHidden/>
          </w:rPr>
          <w:fldChar w:fldCharType="begin"/>
        </w:r>
        <w:r>
          <w:rPr>
            <w:noProof/>
            <w:webHidden/>
          </w:rPr>
          <w:instrText xml:space="preserve"> PAGEREF _Toc203656486 \h </w:instrText>
        </w:r>
        <w:r>
          <w:rPr>
            <w:noProof/>
            <w:webHidden/>
          </w:rPr>
        </w:r>
        <w:r>
          <w:rPr>
            <w:noProof/>
            <w:webHidden/>
          </w:rPr>
          <w:fldChar w:fldCharType="separate"/>
        </w:r>
        <w:r w:rsidR="00C57507">
          <w:rPr>
            <w:noProof/>
            <w:webHidden/>
          </w:rPr>
          <w:t>20</w:t>
        </w:r>
        <w:r>
          <w:rPr>
            <w:noProof/>
            <w:webHidden/>
          </w:rPr>
          <w:fldChar w:fldCharType="end"/>
        </w:r>
      </w:hyperlink>
    </w:p>
    <w:p w14:paraId="6B48D324" w14:textId="0E84EA46" w:rsidR="00FC6860" w:rsidRDefault="00FC6860" w:rsidP="003A16E9">
      <w:pPr>
        <w:sectPr w:rsidR="00FC6860" w:rsidSect="003A16E9">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203656469"/>
      <w:r>
        <w:lastRenderedPageBreak/>
        <w:t>Purpose of the document</w:t>
      </w:r>
      <w:bookmarkEnd w:id="4"/>
    </w:p>
    <w:p w14:paraId="39865CC2" w14:textId="77777777" w:rsidR="003A38D1" w:rsidRDefault="00A02455" w:rsidP="003A38D1">
      <w:pPr>
        <w:rPr>
          <w:rFonts w:ascii="Arial Bold" w:eastAsiaTheme="majorEastAsia" w:hAnsi="Arial Bold" w:cstheme="majorBidi"/>
          <w:b/>
          <w:color w:val="253268" w:themeColor="text2"/>
          <w:sz w:val="60"/>
          <w:szCs w:val="32"/>
        </w:rPr>
      </w:pPr>
      <w:r>
        <w:t xml:space="preserve">The purpose of this document is to invite proposals for </w:t>
      </w:r>
    </w:p>
    <w:sdt>
      <w:sdtPr>
        <w:rPr>
          <w:rFonts w:ascii="Arial" w:hAnsi="Arial" w:cs="Arial"/>
          <w:color w:val="000000"/>
          <w:sz w:val="24"/>
          <w:szCs w:val="24"/>
          <w:shd w:val="clear" w:color="auto" w:fill="FFFFFF"/>
        </w:rPr>
        <w:alias w:val="Subject"/>
        <w:tag w:val=""/>
        <w:id w:val="-1962179593"/>
        <w:placeholder>
          <w:docPart w:val="6AAE5BD536334CDFB0E24FD3254B79FA"/>
        </w:placeholder>
        <w:dataBinding w:prefixMappings="xmlns:ns0='http://purl.org/dc/elements/1.1/' xmlns:ns1='http://schemas.openxmlformats.org/package/2006/metadata/core-properties' " w:xpath="/ns1:coreProperties[1]/ns0:subject[1]" w:storeItemID="{6C3C8BC8-F283-45AE-878A-BAB7291924A1}"/>
        <w:text/>
      </w:sdtPr>
      <w:sdtEndPr/>
      <w:sdtContent>
        <w:p w14:paraId="7A2BC1F1" w14:textId="77777777" w:rsidR="003A38D1" w:rsidRPr="00B00A59" w:rsidRDefault="003A38D1" w:rsidP="003A38D1">
          <w:pPr>
            <w:pStyle w:val="Heading1"/>
            <w:rPr>
              <w:rFonts w:ascii="Aptos" w:eastAsiaTheme="minorEastAsia" w:hAnsi="Aptos" w:cstheme="minorBidi"/>
              <w:color w:val="000000"/>
              <w:shd w:val="clear" w:color="auto" w:fill="FFFFFF"/>
            </w:rPr>
          </w:pPr>
          <w:r w:rsidRPr="00B00A59">
            <w:rPr>
              <w:rFonts w:ascii="Arial" w:hAnsi="Arial" w:cs="Arial"/>
              <w:color w:val="000000"/>
              <w:sz w:val="24"/>
              <w:szCs w:val="24"/>
              <w:shd w:val="clear" w:color="auto" w:fill="FFFFFF"/>
            </w:rPr>
            <w:t>A review of how both National Highways (NH) and Network Rail (NR) manage large renewal projects</w:t>
          </w:r>
        </w:p>
      </w:sdtContent>
    </w:sdt>
    <w:p w14:paraId="5CB061E3" w14:textId="1263F16D" w:rsidR="00A02455" w:rsidRDefault="00A02455" w:rsidP="00A02455">
      <w:r>
        <w:t>for the Office of Rail and Road (ORR).</w:t>
      </w:r>
    </w:p>
    <w:p w14:paraId="75A839A6" w14:textId="77777777" w:rsidR="00A02455" w:rsidRDefault="00A02455" w:rsidP="00A02455">
      <w:r>
        <w:t>This document contains the following sections:</w:t>
      </w:r>
    </w:p>
    <w:p w14:paraId="51B87CA1" w14:textId="0A809E2A" w:rsidR="00A02455" w:rsidRDefault="00A02455" w:rsidP="00B839CE">
      <w:pPr>
        <w:pStyle w:val="NormalBulletnumber"/>
        <w:numPr>
          <w:ilvl w:val="0"/>
          <w:numId w:val="28"/>
        </w:numPr>
      </w:pPr>
      <w:r>
        <w:t>Introduction to the Office of Rail and Road</w:t>
      </w:r>
    </w:p>
    <w:p w14:paraId="2D9218E9" w14:textId="4F83CE9E" w:rsidR="00A02455" w:rsidRDefault="00A02455" w:rsidP="00B839CE">
      <w:pPr>
        <w:pStyle w:val="NormalBulletnumber"/>
        <w:numPr>
          <w:ilvl w:val="0"/>
          <w:numId w:val="28"/>
        </w:numPr>
      </w:pPr>
      <w:r>
        <w:t>Statement of Requirement</w:t>
      </w:r>
    </w:p>
    <w:p w14:paraId="58D2761D" w14:textId="4E706E40" w:rsidR="00A02455" w:rsidRDefault="00A02455" w:rsidP="00B839CE">
      <w:pPr>
        <w:pStyle w:val="NormalBulletnumber"/>
        <w:numPr>
          <w:ilvl w:val="0"/>
          <w:numId w:val="28"/>
        </w:numPr>
      </w:pPr>
      <w:r>
        <w:t>Tender Proposal &amp; Evaluation Criteria</w:t>
      </w:r>
    </w:p>
    <w:p w14:paraId="3E217975" w14:textId="2BDEF91E" w:rsidR="00451C67" w:rsidRPr="00451C67" w:rsidRDefault="00A02455" w:rsidP="00B839CE">
      <w:pPr>
        <w:pStyle w:val="NormalBulletnumber"/>
        <w:numPr>
          <w:ilvl w:val="0"/>
          <w:numId w:val="28"/>
        </w:numPr>
      </w:pPr>
      <w:r>
        <w:t>Procurement Procedures</w:t>
      </w:r>
    </w:p>
    <w:p w14:paraId="253D5E63" w14:textId="052BB41B" w:rsidR="003E1A78" w:rsidRDefault="00490915" w:rsidP="00D776B6">
      <w:pPr>
        <w:pStyle w:val="Heading2"/>
      </w:pPr>
      <w:bookmarkStart w:id="5" w:name="_Toc203656470"/>
      <w:r>
        <w:lastRenderedPageBreak/>
        <w:t>Introduction to the Office of Rail and Road</w:t>
      </w:r>
      <w:bookmarkEnd w:id="5"/>
    </w:p>
    <w:p w14:paraId="0EC8CF73" w14:textId="605CFF35" w:rsidR="00490915" w:rsidRDefault="00490915" w:rsidP="00490915">
      <w:r>
        <w:t>The Office of Rail and Road</w:t>
      </w:r>
      <w:r w:rsidR="00FA66DB">
        <w:t xml:space="preserve"> (ORR)</w:t>
      </w:r>
      <w:r>
        <w:t xml:space="preserve"> </w:t>
      </w:r>
      <w:r w:rsidR="00210CF2">
        <w:t xml:space="preserve">is the independent </w:t>
      </w:r>
      <w:r w:rsidR="00421F0E">
        <w:t xml:space="preserve">safety and economic regulators of Britain’s railways who also </w:t>
      </w:r>
      <w:r w:rsidR="00FA66DB">
        <w:t>hold National Highways to account for its day-to-day efficiency and performance, running the strategic road network, and for delivering the multi-year road investment strategy set by the Department for Transport (DfT).</w:t>
      </w:r>
    </w:p>
    <w:p w14:paraId="352A1B0F" w14:textId="703C592C" w:rsidR="00490915" w:rsidRDefault="00490915" w:rsidP="00490915">
      <w:r>
        <w:t xml:space="preserve">ORR currently employs approximately 360 personnel and operates from </w:t>
      </w:r>
      <w:r w:rsidR="00FA66DB">
        <w:t>six</w:t>
      </w:r>
      <w:r>
        <w:t xml:space="preserve">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203656471"/>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203656472"/>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23"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203656473"/>
      <w:r>
        <w:lastRenderedPageBreak/>
        <w:t>Small and Medium Enterprises</w:t>
      </w:r>
      <w:bookmarkEnd w:id="8"/>
    </w:p>
    <w:p w14:paraId="37ED9C1E" w14:textId="73536768"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noWrap/>
            <w:vAlign w:val="center"/>
          </w:tcPr>
          <w:p w14:paraId="789FBC62" w14:textId="77777777" w:rsidR="00D6160E" w:rsidRPr="00D6160E" w:rsidRDefault="00D6160E" w:rsidP="003A16E9">
            <w:pPr>
              <w:pStyle w:val="TblText"/>
            </w:pPr>
            <w:r w:rsidRPr="00D6160E">
              <w:t>≤ € 10 million</w:t>
            </w:r>
          </w:p>
        </w:tc>
        <w:tc>
          <w:tcPr>
            <w:tcW w:w="894" w:type="dxa"/>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noWrap/>
            <w:vAlign w:val="center"/>
          </w:tcPr>
          <w:p w14:paraId="2A51A8A8" w14:textId="77777777" w:rsidR="00D6160E" w:rsidRPr="00D6160E" w:rsidRDefault="00D6160E" w:rsidP="003A16E9">
            <w:pPr>
              <w:pStyle w:val="TblText"/>
            </w:pPr>
            <w:r w:rsidRPr="00D6160E">
              <w:t>&gt; € 50 million</w:t>
            </w:r>
          </w:p>
        </w:tc>
        <w:tc>
          <w:tcPr>
            <w:tcW w:w="894" w:type="dxa"/>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203656474"/>
      <w:r>
        <w:lastRenderedPageBreak/>
        <w:t>Statement of Requirement</w:t>
      </w:r>
      <w:bookmarkEnd w:id="9"/>
    </w:p>
    <w:p w14:paraId="0C918979" w14:textId="4CE3B4F2" w:rsidR="00F20E70" w:rsidRDefault="00F20E70" w:rsidP="00F20E70">
      <w:pPr>
        <w:pStyle w:val="Heading3"/>
      </w:pPr>
      <w:bookmarkStart w:id="10" w:name="_Toc203656475"/>
      <w:r>
        <w:t>2.1 Background of the project</w:t>
      </w:r>
      <w:bookmarkEnd w:id="10"/>
    </w:p>
    <w:p w14:paraId="3C0F4580" w14:textId="6DAFC3E9" w:rsidR="004C62D8" w:rsidRDefault="004C62D8" w:rsidP="00213108">
      <w:pPr>
        <w:pStyle w:val="Numberedparagraphdouble"/>
        <w:numPr>
          <w:ilvl w:val="0"/>
          <w:numId w:val="0"/>
        </w:numPr>
        <w:ind w:left="851"/>
      </w:pPr>
      <w:r>
        <w:t>The review will look at how large renewal projects evolve through the project stages and identifying and evidencing the causation factors and drivers for project changes.  In addition, the review will look at comparisons between road and rail (and where applicable draw examples from other sectors or industries)</w:t>
      </w:r>
      <w:r w:rsidR="00E5342C">
        <w:t>;</w:t>
      </w:r>
      <w:r>
        <w:t xml:space="preserve"> and where efficiencies can be delivered by the grouping, packaging or bundling together of renewals projects. </w:t>
      </w:r>
    </w:p>
    <w:p w14:paraId="1E9BDEA3" w14:textId="3C46E98A" w:rsidR="004C62D8" w:rsidRDefault="004C62D8" w:rsidP="00423CB9">
      <w:pPr>
        <w:pStyle w:val="Numberedparagraphdouble"/>
        <w:numPr>
          <w:ilvl w:val="0"/>
          <w:numId w:val="0"/>
        </w:numPr>
        <w:ind w:left="851"/>
      </w:pPr>
      <w:r>
        <w:t>N</w:t>
      </w:r>
      <w:r w:rsidR="00E06001">
        <w:t xml:space="preserve">ational </w:t>
      </w:r>
      <w:r>
        <w:t>H</w:t>
      </w:r>
      <w:r w:rsidR="00E06001">
        <w:t>ighways (NH)</w:t>
      </w:r>
      <w:r>
        <w:t xml:space="preserve"> has recently introduced a new set of governance and assurance arrangements for managing large renewals. The review will evaluate these new arrangements and assess whether they will provide effective governance and assurance for R</w:t>
      </w:r>
      <w:r w:rsidR="001A2A9F">
        <w:t xml:space="preserve">oad </w:t>
      </w:r>
      <w:r>
        <w:t>P</w:t>
      </w:r>
      <w:r w:rsidR="001A2A9F">
        <w:t xml:space="preserve">eriod </w:t>
      </w:r>
      <w:r>
        <w:t xml:space="preserve">3 </w:t>
      </w:r>
      <w:r w:rsidR="001A2A9F">
        <w:t>(</w:t>
      </w:r>
      <w:r>
        <w:t>RP3</w:t>
      </w:r>
      <w:r w:rsidR="001A2A9F">
        <w:t>)</w:t>
      </w:r>
      <w:r>
        <w:t xml:space="preserve"> large renewal projects. </w:t>
      </w:r>
    </w:p>
    <w:p w14:paraId="3729EBCB" w14:textId="41EDC3A8" w:rsidR="004C62D8" w:rsidRDefault="004C62D8" w:rsidP="00423CB9">
      <w:pPr>
        <w:pStyle w:val="Numberedparagraphdouble"/>
        <w:numPr>
          <w:ilvl w:val="0"/>
          <w:numId w:val="0"/>
        </w:numPr>
        <w:ind w:left="851"/>
      </w:pPr>
      <w:r>
        <w:t xml:space="preserve">The review is to encompass the development, design and, if applicable, construction stages of NHs large renewals projects to identify the key drivers in determining cost and schedule; delivering and capturing efficiencies; and how and why changes in project cost and schedule occur.  </w:t>
      </w:r>
    </w:p>
    <w:p w14:paraId="6AA72547" w14:textId="1F380950" w:rsidR="001D0D88" w:rsidRPr="001D0D88" w:rsidRDefault="004C62D8" w:rsidP="00423CB9">
      <w:pPr>
        <w:pStyle w:val="Numberedparagraphdouble"/>
        <w:numPr>
          <w:ilvl w:val="0"/>
          <w:numId w:val="0"/>
        </w:numPr>
        <w:ind w:left="851"/>
      </w:pPr>
      <w:r>
        <w:t>For the review of N</w:t>
      </w:r>
      <w:r w:rsidR="00417EC2">
        <w:t>etwork Rail’s</w:t>
      </w:r>
      <w:r w:rsidR="00E06001">
        <w:t xml:space="preserve"> (NR)</w:t>
      </w:r>
      <w:r>
        <w:t xml:space="preserve"> renewal projects, the aim is to review the development and design stages to identify the key drivers behind changes in project cost and schedule (time). It will focus on PACE stages 1 and 2 (engineering stages 1-5) and assess what change exists and the reasons for this.</w:t>
      </w:r>
    </w:p>
    <w:p w14:paraId="74919ACA" w14:textId="178F61FF" w:rsidR="00F20E70" w:rsidRDefault="00F20E70" w:rsidP="00F20E70">
      <w:pPr>
        <w:pStyle w:val="Heading3"/>
      </w:pPr>
      <w:bookmarkStart w:id="11" w:name="_Toc203656476"/>
      <w:r>
        <w:t>2.2 Project Objectives and Scope</w:t>
      </w:r>
      <w:bookmarkEnd w:id="11"/>
    </w:p>
    <w:p w14:paraId="19D2A4ED" w14:textId="77777777" w:rsidR="0007608B" w:rsidRPr="0007608B" w:rsidRDefault="0007608B" w:rsidP="008B05C2">
      <w:pPr>
        <w:pStyle w:val="Numberedparagraphdouble"/>
        <w:numPr>
          <w:ilvl w:val="0"/>
          <w:numId w:val="0"/>
        </w:numPr>
        <w:ind w:left="851"/>
      </w:pPr>
      <w:r w:rsidRPr="0007608B">
        <w:t>The review is split out into specific areas of focus across road and rail, as well as some areas of common interest in areas that lend themselves towards drawing comparisons across both organisations. </w:t>
      </w:r>
    </w:p>
    <w:p w14:paraId="410DE1C1" w14:textId="1FA29704" w:rsidR="0007608B" w:rsidRPr="0007608B" w:rsidRDefault="0007608B" w:rsidP="006F5550">
      <w:pPr>
        <w:pStyle w:val="Numberedparagraphdouble"/>
        <w:numPr>
          <w:ilvl w:val="0"/>
          <w:numId w:val="0"/>
        </w:numPr>
        <w:ind w:left="851"/>
      </w:pPr>
      <w:r w:rsidRPr="0007608B">
        <w:rPr>
          <w:b/>
          <w:bCs/>
        </w:rPr>
        <w:t>For both road and rail</w:t>
      </w:r>
      <w:r w:rsidR="00CA563E">
        <w:rPr>
          <w:b/>
          <w:bCs/>
        </w:rPr>
        <w:t>,</w:t>
      </w:r>
      <w:r w:rsidRPr="0007608B">
        <w:rPr>
          <w:b/>
          <w:bCs/>
        </w:rPr>
        <w:t xml:space="preserve"> the review will cover:</w:t>
      </w:r>
      <w:r w:rsidRPr="0007608B">
        <w:t> </w:t>
      </w:r>
    </w:p>
    <w:p w14:paraId="5DC5960A" w14:textId="11CD40D2" w:rsidR="0007608B" w:rsidRPr="0007608B" w:rsidRDefault="0007608B" w:rsidP="008B05C2">
      <w:pPr>
        <w:pStyle w:val="Numberedparagraphdouble"/>
        <w:numPr>
          <w:ilvl w:val="0"/>
          <w:numId w:val="46"/>
        </w:numPr>
      </w:pPr>
      <w:r w:rsidRPr="0007608B">
        <w:t>understanding how cost and schedule evolve through the project stages, how these estimates mature, and whether these arrangements provide good governance and assurance; and </w:t>
      </w:r>
    </w:p>
    <w:p w14:paraId="0019D7C7" w14:textId="77777777" w:rsidR="0007608B" w:rsidRPr="0007608B" w:rsidRDefault="0007608B" w:rsidP="008B05C2">
      <w:pPr>
        <w:pStyle w:val="Numberedparagraphdouble"/>
        <w:numPr>
          <w:ilvl w:val="0"/>
          <w:numId w:val="46"/>
        </w:numPr>
      </w:pPr>
      <w:r w:rsidRPr="0007608B">
        <w:t xml:space="preserve">identifying the key factors contributing to cost and schedule change of large renewals projects (&gt; £50m for road projects and the schemes outlined </w:t>
      </w:r>
      <w:r w:rsidRPr="0007608B">
        <w:lastRenderedPageBreak/>
        <w:t>within the ‘Top 10 Renewals’ dataset for rail projects) drawing out similarities and differences across asset disciplines and regional variation. </w:t>
      </w:r>
    </w:p>
    <w:p w14:paraId="7A778E1C" w14:textId="77777777" w:rsidR="0007608B" w:rsidRPr="0007608B" w:rsidRDefault="0007608B" w:rsidP="006F5550">
      <w:pPr>
        <w:pStyle w:val="Numberedparagraphdouble"/>
        <w:numPr>
          <w:ilvl w:val="0"/>
          <w:numId w:val="0"/>
        </w:numPr>
        <w:ind w:left="851"/>
      </w:pPr>
      <w:r w:rsidRPr="0007608B">
        <w:rPr>
          <w:b/>
          <w:bCs/>
        </w:rPr>
        <w:t>For road renewals projects the review should cover:</w:t>
      </w:r>
      <w:r w:rsidRPr="0007608B">
        <w:t> </w:t>
      </w:r>
    </w:p>
    <w:p w14:paraId="639E2C4E" w14:textId="18F07A91" w:rsidR="00503B22" w:rsidRDefault="008B2D44" w:rsidP="008B05C2">
      <w:pPr>
        <w:pStyle w:val="Numberedparagraphdouble"/>
        <w:numPr>
          <w:ilvl w:val="0"/>
          <w:numId w:val="45"/>
        </w:numPr>
      </w:pPr>
      <w:r w:rsidRPr="0007608B">
        <w:t>an assessment of processes, governance</w:t>
      </w:r>
      <w:r>
        <w:t>, risk management</w:t>
      </w:r>
      <w:r w:rsidRPr="0007608B">
        <w:t xml:space="preserve"> and standards for building up cost and schedule </w:t>
      </w:r>
      <w:proofErr w:type="gramStart"/>
      <w:r w:rsidRPr="0007608B">
        <w:t>estimates;</w:t>
      </w:r>
      <w:proofErr w:type="gramEnd"/>
      <w:r w:rsidRPr="0007608B">
        <w:t> </w:t>
      </w:r>
    </w:p>
    <w:p w14:paraId="5793B771" w14:textId="0A31B9B2" w:rsidR="0007608B" w:rsidRPr="0007608B" w:rsidRDefault="00CA563E" w:rsidP="008B05C2">
      <w:pPr>
        <w:pStyle w:val="Numberedparagraphdouble"/>
        <w:numPr>
          <w:ilvl w:val="0"/>
          <w:numId w:val="45"/>
        </w:numPr>
      </w:pPr>
      <w:r>
        <w:t>f</w:t>
      </w:r>
      <w:r w:rsidR="0007608B" w:rsidRPr="0007608B">
        <w:t xml:space="preserve">or both current and historical large renewals, what are the drivers for changes to project cost and schedule during planning, development and construction </w:t>
      </w:r>
      <w:proofErr w:type="gramStart"/>
      <w:r w:rsidR="0007608B" w:rsidRPr="0007608B">
        <w:t>stages;</w:t>
      </w:r>
      <w:proofErr w:type="gramEnd"/>
      <w:r w:rsidR="00ED7CEC">
        <w:t xml:space="preserve"> </w:t>
      </w:r>
    </w:p>
    <w:p w14:paraId="58F1477C" w14:textId="0A3C8518" w:rsidR="0007608B" w:rsidRPr="0007608B" w:rsidRDefault="00CA563E" w:rsidP="008B05C2">
      <w:pPr>
        <w:pStyle w:val="Numberedparagraphdouble"/>
        <w:numPr>
          <w:ilvl w:val="0"/>
          <w:numId w:val="45"/>
        </w:numPr>
      </w:pPr>
      <w:r>
        <w:t>e</w:t>
      </w:r>
      <w:r w:rsidR="0007608B" w:rsidRPr="0007608B">
        <w:t xml:space="preserve">valuating the cost and schedule management during delivery of large renewals (EVM or another metric). How they are checked against original forecasts set out in business planning and how information is fed back to update future estimating </w:t>
      </w:r>
      <w:proofErr w:type="gramStart"/>
      <w:r w:rsidR="0007608B" w:rsidRPr="0007608B">
        <w:t>approaches</w:t>
      </w:r>
      <w:r w:rsidR="003B5E86">
        <w:t>;</w:t>
      </w:r>
      <w:proofErr w:type="gramEnd"/>
      <w:r w:rsidR="0007608B" w:rsidRPr="0007608B">
        <w:t>  </w:t>
      </w:r>
    </w:p>
    <w:p w14:paraId="3B504D4B" w14:textId="4ECAA42A" w:rsidR="0007608B" w:rsidRPr="0007608B" w:rsidRDefault="00CA563E" w:rsidP="008B05C2">
      <w:pPr>
        <w:pStyle w:val="Numberedparagraphdouble"/>
        <w:numPr>
          <w:ilvl w:val="0"/>
          <w:numId w:val="45"/>
        </w:numPr>
      </w:pPr>
      <w:r>
        <w:t>h</w:t>
      </w:r>
      <w:r w:rsidR="0007608B" w:rsidRPr="0007608B">
        <w:t xml:space="preserve">ow do NH benchmark these schemes with other regions and </w:t>
      </w:r>
      <w:proofErr w:type="gramStart"/>
      <w:r w:rsidR="0007608B" w:rsidRPr="0007608B">
        <w:t>routes</w:t>
      </w:r>
      <w:r w:rsidR="003B5E86">
        <w:t>;</w:t>
      </w:r>
      <w:proofErr w:type="gramEnd"/>
      <w:r w:rsidR="0007608B" w:rsidRPr="0007608B">
        <w:t> </w:t>
      </w:r>
    </w:p>
    <w:p w14:paraId="6DEB9B50" w14:textId="7C453B2B" w:rsidR="0088702F" w:rsidRPr="0007608B" w:rsidRDefault="00CA563E" w:rsidP="008B05C2">
      <w:pPr>
        <w:pStyle w:val="Numberedparagraphdouble"/>
        <w:numPr>
          <w:ilvl w:val="0"/>
          <w:numId w:val="45"/>
        </w:numPr>
      </w:pPr>
      <w:r>
        <w:t>r</w:t>
      </w:r>
      <w:r w:rsidR="0007608B" w:rsidRPr="0007608B">
        <w:t xml:space="preserve">eview the new governance arrangements for large renewals. Will </w:t>
      </w:r>
      <w:r w:rsidR="007F5A62">
        <w:t>they</w:t>
      </w:r>
      <w:r w:rsidR="0007608B" w:rsidRPr="0007608B">
        <w:t xml:space="preserve"> provide a consistent and effective control approach to delivering a large renewals project to cost and schedule? How will these new arrangements identify and evidence efficiency, both in terms of delivering an efficient scheme and contributing to the NH efficiency target?</w:t>
      </w:r>
      <w:r w:rsidR="003B5E86">
        <w:t xml:space="preserve"> and</w:t>
      </w:r>
    </w:p>
    <w:p w14:paraId="5328B8C9" w14:textId="0042D306" w:rsidR="0007608B" w:rsidRPr="0007608B" w:rsidRDefault="00CA563E" w:rsidP="008B05C2">
      <w:pPr>
        <w:pStyle w:val="Numberedparagraphdouble"/>
        <w:numPr>
          <w:ilvl w:val="0"/>
          <w:numId w:val="45"/>
        </w:numPr>
      </w:pPr>
      <w:r>
        <w:t>s</w:t>
      </w:r>
      <w:r w:rsidR="0007608B" w:rsidRPr="0007608B">
        <w:t xml:space="preserve">elect an appropriate number of case study of NH renewal projects, both current and completed, where costs greater than £50m. Determine how costs and schedule change through the stage gates, what are the factors of cost and schedule changes.  For completed projects, provide views on </w:t>
      </w:r>
      <w:r w:rsidR="000C45DD">
        <w:t>t</w:t>
      </w:r>
      <w:r w:rsidR="0007608B" w:rsidRPr="0007608B">
        <w:t xml:space="preserve">raffic </w:t>
      </w:r>
      <w:r w:rsidR="000C45DD">
        <w:t>m</w:t>
      </w:r>
      <w:r w:rsidR="0007608B" w:rsidRPr="0007608B">
        <w:t>anagement costs and how they are calculated. </w:t>
      </w:r>
    </w:p>
    <w:p w14:paraId="5C45D98D" w14:textId="77777777" w:rsidR="0007608B" w:rsidRPr="0007608B" w:rsidRDefault="0007608B" w:rsidP="006F5550">
      <w:pPr>
        <w:pStyle w:val="Numberedparagraphdouble"/>
        <w:numPr>
          <w:ilvl w:val="0"/>
          <w:numId w:val="0"/>
        </w:numPr>
        <w:ind w:left="851"/>
      </w:pPr>
      <w:r w:rsidRPr="0007608B">
        <w:rPr>
          <w:b/>
          <w:bCs/>
        </w:rPr>
        <w:t>For rail renewals projects the review should cover:</w:t>
      </w:r>
      <w:r w:rsidRPr="0007608B">
        <w:t> </w:t>
      </w:r>
    </w:p>
    <w:p w14:paraId="7EB7CA97" w14:textId="4F08ACCF" w:rsidR="0007608B" w:rsidRPr="0007608B" w:rsidRDefault="0007608B" w:rsidP="008B05C2">
      <w:pPr>
        <w:pStyle w:val="Numberedparagraphdouble"/>
        <w:numPr>
          <w:ilvl w:val="0"/>
          <w:numId w:val="44"/>
        </w:numPr>
      </w:pPr>
      <w:r w:rsidRPr="0007608B">
        <w:t xml:space="preserve">determining the point within PACE stages 1 and 2 at which </w:t>
      </w:r>
      <w:proofErr w:type="gramStart"/>
      <w:r w:rsidRPr="0007608B">
        <w:t>cost</w:t>
      </w:r>
      <w:proofErr w:type="gramEnd"/>
      <w:r w:rsidRPr="0007608B">
        <w:t xml:space="preserve"> and schedule become more certain and assessing the impact of each engineering stage to identify the stages most susceptible to </w:t>
      </w:r>
      <w:proofErr w:type="gramStart"/>
      <w:r w:rsidRPr="0007608B">
        <w:t>variances;</w:t>
      </w:r>
      <w:proofErr w:type="gramEnd"/>
      <w:r w:rsidRPr="0007608B">
        <w:t> </w:t>
      </w:r>
    </w:p>
    <w:p w14:paraId="6BE3F0EC" w14:textId="77777777" w:rsidR="0007608B" w:rsidRPr="0007608B" w:rsidRDefault="0007608B" w:rsidP="008B05C2">
      <w:pPr>
        <w:pStyle w:val="Numberedparagraphdouble"/>
        <w:numPr>
          <w:ilvl w:val="0"/>
          <w:numId w:val="44"/>
        </w:numPr>
      </w:pPr>
      <w:r w:rsidRPr="0007608B">
        <w:t xml:space="preserve">evaluating the role of investment papers and the authority process in providing realistic cost and schedule estimates, and their effectiveness as control </w:t>
      </w:r>
      <w:proofErr w:type="gramStart"/>
      <w:r w:rsidRPr="0007608B">
        <w:t>mechanisms;</w:t>
      </w:r>
      <w:proofErr w:type="gramEnd"/>
      <w:r w:rsidRPr="0007608B">
        <w:t> </w:t>
      </w:r>
    </w:p>
    <w:p w14:paraId="229E877F" w14:textId="77777777" w:rsidR="0007608B" w:rsidRPr="0007608B" w:rsidRDefault="0007608B" w:rsidP="008B05C2">
      <w:pPr>
        <w:pStyle w:val="Numberedparagraphdouble"/>
        <w:numPr>
          <w:ilvl w:val="0"/>
          <w:numId w:val="44"/>
        </w:numPr>
      </w:pPr>
      <w:r w:rsidRPr="0007608B">
        <w:lastRenderedPageBreak/>
        <w:t xml:space="preserve">assessing whether funding allocation to initiate and development stages is sufficient to support accurate forecasting for cost and </w:t>
      </w:r>
      <w:proofErr w:type="gramStart"/>
      <w:r w:rsidRPr="0007608B">
        <w:t>time;</w:t>
      </w:r>
      <w:proofErr w:type="gramEnd"/>
      <w:r w:rsidRPr="0007608B">
        <w:t> </w:t>
      </w:r>
    </w:p>
    <w:p w14:paraId="36C0CD0F" w14:textId="77777777" w:rsidR="0007608B" w:rsidRPr="0007608B" w:rsidRDefault="0007608B" w:rsidP="008B05C2">
      <w:pPr>
        <w:pStyle w:val="Numberedparagraphdouble"/>
        <w:numPr>
          <w:ilvl w:val="0"/>
          <w:numId w:val="44"/>
        </w:numPr>
      </w:pPr>
      <w:r w:rsidRPr="0007608B">
        <w:t xml:space="preserve">comparing and identifying trends across different asset types and the Network Rail regions – utilising existing datasets supplied to ORR (such as Top 10 renewals data) and other data provided by Network </w:t>
      </w:r>
      <w:proofErr w:type="gramStart"/>
      <w:r w:rsidRPr="0007608B">
        <w:t>Rail;</w:t>
      </w:r>
      <w:proofErr w:type="gramEnd"/>
      <w:r w:rsidRPr="0007608B">
        <w:t> </w:t>
      </w:r>
    </w:p>
    <w:p w14:paraId="1D877B96" w14:textId="45E0806F" w:rsidR="0007608B" w:rsidRPr="0007608B" w:rsidRDefault="0007608B" w:rsidP="008B05C2">
      <w:pPr>
        <w:pStyle w:val="Numberedparagraphdouble"/>
        <w:numPr>
          <w:ilvl w:val="0"/>
          <w:numId w:val="44"/>
        </w:numPr>
      </w:pPr>
      <w:r w:rsidRPr="0007608B">
        <w:t>examining the extent to which renewals projects rely on benchmarking to provide an indicative cost and how does this compare to actual costs; and </w:t>
      </w:r>
    </w:p>
    <w:p w14:paraId="719CF9BD" w14:textId="77777777" w:rsidR="0007608B" w:rsidRDefault="0007608B" w:rsidP="008B05C2">
      <w:pPr>
        <w:pStyle w:val="Numberedparagraphdouble"/>
        <w:numPr>
          <w:ilvl w:val="0"/>
          <w:numId w:val="44"/>
        </w:numPr>
      </w:pPr>
      <w:r w:rsidRPr="0007608B">
        <w:t>investigating whether combining multiple asset categories or projects can lead to cost or time efficiencies, using the West Coast North Modernisation programme as a case study. </w:t>
      </w:r>
    </w:p>
    <w:p w14:paraId="5E840ED4" w14:textId="400F0BBE" w:rsidR="00295FB0" w:rsidRPr="0007608B" w:rsidRDefault="00246564" w:rsidP="00DC0ECB">
      <w:pPr>
        <w:pStyle w:val="Numberedparagraphdouble"/>
        <w:numPr>
          <w:ilvl w:val="0"/>
          <w:numId w:val="0"/>
        </w:numPr>
      </w:pPr>
      <w:r w:rsidRPr="00831550">
        <w:rPr>
          <w:b/>
          <w:bCs/>
        </w:rPr>
        <w:t>NB</w:t>
      </w:r>
      <w:r>
        <w:t>: All assessment, evidence and conclusions for the review of rail</w:t>
      </w:r>
      <w:r w:rsidR="00BA46D9">
        <w:t xml:space="preserve"> renewals projects</w:t>
      </w:r>
      <w:r>
        <w:t xml:space="preserve"> should be inferred, in the first instance, from existing information held by ORR (such as the Top 10 renewals dataset).</w:t>
      </w:r>
    </w:p>
    <w:p w14:paraId="2E25B61B" w14:textId="77777777" w:rsidR="0007608B" w:rsidRPr="0007608B" w:rsidRDefault="0007608B" w:rsidP="006F5550">
      <w:pPr>
        <w:pStyle w:val="Numberedparagraphdouble"/>
        <w:numPr>
          <w:ilvl w:val="0"/>
          <w:numId w:val="0"/>
        </w:numPr>
        <w:ind w:left="851"/>
      </w:pPr>
      <w:r w:rsidRPr="0007608B">
        <w:rPr>
          <w:b/>
          <w:bCs/>
        </w:rPr>
        <w:t>The review should include (but is not limited to) the following comparisons across road and rail:</w:t>
      </w:r>
      <w:r w:rsidRPr="0007608B">
        <w:t> </w:t>
      </w:r>
    </w:p>
    <w:p w14:paraId="77C7F9C1" w14:textId="50ABFFD6" w:rsidR="0007608B" w:rsidRPr="0007608B" w:rsidRDefault="00576496" w:rsidP="00DD392B">
      <w:pPr>
        <w:pStyle w:val="Numberedparagraphdouble"/>
        <w:numPr>
          <w:ilvl w:val="0"/>
          <w:numId w:val="47"/>
        </w:numPr>
      </w:pPr>
      <w:r>
        <w:t>h</w:t>
      </w:r>
      <w:r w:rsidRPr="0007608B">
        <w:t xml:space="preserve">ow </w:t>
      </w:r>
      <w:r w:rsidR="0007608B" w:rsidRPr="0007608B">
        <w:t xml:space="preserve">do both NH and NR evidence and realise efficiency in delivery of large renewals.  Particularly understanding how “bundling” or “packaging” of activities and/or projects together </w:t>
      </w:r>
      <w:proofErr w:type="gramStart"/>
      <w:r w:rsidR="0007608B" w:rsidRPr="0007608B">
        <w:t>works;</w:t>
      </w:r>
      <w:proofErr w:type="gramEnd"/>
      <w:r w:rsidR="0007608B" w:rsidRPr="0007608B">
        <w:t xml:space="preserve"> </w:t>
      </w:r>
    </w:p>
    <w:p w14:paraId="4DC55A0C" w14:textId="3AC0FBFB" w:rsidR="0007608B" w:rsidRPr="0007608B" w:rsidRDefault="00576496" w:rsidP="00DD392B">
      <w:pPr>
        <w:pStyle w:val="Numberedparagraphdouble"/>
        <w:numPr>
          <w:ilvl w:val="0"/>
          <w:numId w:val="47"/>
        </w:numPr>
      </w:pPr>
      <w:proofErr w:type="gramStart"/>
      <w:r>
        <w:t>c</w:t>
      </w:r>
      <w:r w:rsidRPr="0007608B">
        <w:t xml:space="preserve">ompare </w:t>
      </w:r>
      <w:r w:rsidR="0007608B" w:rsidRPr="0007608B">
        <w:t>and contrast</w:t>
      </w:r>
      <w:proofErr w:type="gramEnd"/>
      <w:r w:rsidR="0007608B" w:rsidRPr="0007608B">
        <w:t xml:space="preserve"> the internal governance and assurance arrangements of NH and NR. Benchmark best practice with other sectors</w:t>
      </w:r>
      <w:r>
        <w:t>; and</w:t>
      </w:r>
    </w:p>
    <w:p w14:paraId="271C5ECB" w14:textId="5A7C3EDE" w:rsidR="0007608B" w:rsidRPr="0007608B" w:rsidRDefault="00576496" w:rsidP="00DD392B">
      <w:pPr>
        <w:pStyle w:val="Numberedparagraphdouble"/>
        <w:numPr>
          <w:ilvl w:val="0"/>
          <w:numId w:val="47"/>
        </w:numPr>
      </w:pPr>
      <w:r>
        <w:t>w</w:t>
      </w:r>
      <w:r w:rsidRPr="0007608B">
        <w:t xml:space="preserve">hat </w:t>
      </w:r>
      <w:r w:rsidR="0007608B" w:rsidRPr="0007608B">
        <w:t>are the areas of strength &amp; improvement for both organisations, as well as comparing best practice from other sectors. Identify areas that can be shared and provide recommendations for improvement.  </w:t>
      </w:r>
    </w:p>
    <w:p w14:paraId="69A75C90" w14:textId="4E7D31A8" w:rsidR="003F3CB0" w:rsidRDefault="003F3CB0" w:rsidP="003F3CB0">
      <w:pPr>
        <w:pStyle w:val="Heading3"/>
      </w:pPr>
      <w:bookmarkStart w:id="12" w:name="_Toc203656477"/>
      <w:r w:rsidRPr="003F3CB0">
        <w:t>2.3 Project Outputs, Deliverables and Contract Management</w:t>
      </w:r>
      <w:bookmarkEnd w:id="12"/>
    </w:p>
    <w:p w14:paraId="480D8983" w14:textId="77777777" w:rsidR="00DB02EF" w:rsidRDefault="00DB02EF" w:rsidP="00DB02EF">
      <w:pPr>
        <w:pStyle w:val="Heading4"/>
      </w:pPr>
      <w:r>
        <w:t>Outputs and Deliverables</w:t>
      </w:r>
    </w:p>
    <w:p w14:paraId="779A007E" w14:textId="1F0A70A2" w:rsidR="00FA78CD" w:rsidRDefault="00FA78CD" w:rsidP="00FA78CD">
      <w:pPr>
        <w:pStyle w:val="NormalBulletround"/>
        <w:tabs>
          <w:tab w:val="clear" w:pos="1134"/>
        </w:tabs>
        <w:ind w:left="0" w:firstLine="0"/>
      </w:pPr>
      <w:r>
        <w:t>The consultants are to deliver the following:</w:t>
      </w:r>
    </w:p>
    <w:p w14:paraId="62B10252" w14:textId="566A1E87" w:rsidR="00F67BCC" w:rsidRDefault="00FA78CD" w:rsidP="006F5550">
      <w:pPr>
        <w:pStyle w:val="NormalBulletround"/>
        <w:numPr>
          <w:ilvl w:val="0"/>
          <w:numId w:val="38"/>
        </w:numPr>
      </w:pPr>
      <w:r w:rsidRPr="00FA78CD">
        <w:t>Interim presentation of emerging findings</w:t>
      </w:r>
      <w:r w:rsidR="00B320EC">
        <w:t xml:space="preserve"> to ORR</w:t>
      </w:r>
      <w:r>
        <w:t>.</w:t>
      </w:r>
    </w:p>
    <w:p w14:paraId="79B771C7" w14:textId="1825F0A1" w:rsidR="00F67BCC" w:rsidRDefault="00B320EC" w:rsidP="006F5550">
      <w:pPr>
        <w:pStyle w:val="NormalBulletround"/>
        <w:numPr>
          <w:ilvl w:val="0"/>
          <w:numId w:val="38"/>
        </w:numPr>
      </w:pPr>
      <w:r>
        <w:lastRenderedPageBreak/>
        <w:t>Followed by hosting</w:t>
      </w:r>
      <w:r w:rsidR="00F67BCC">
        <w:t xml:space="preserve"> </w:t>
      </w:r>
      <w:r>
        <w:t>two</w:t>
      </w:r>
      <w:r w:rsidR="00F67BCC">
        <w:t xml:space="preserve"> workshop</w:t>
      </w:r>
      <w:r>
        <w:t>s</w:t>
      </w:r>
      <w:r w:rsidR="00CF4A94">
        <w:t xml:space="preserve"> </w:t>
      </w:r>
      <w:r>
        <w:t xml:space="preserve">one </w:t>
      </w:r>
      <w:r w:rsidR="00CF4A94">
        <w:t>with N</w:t>
      </w:r>
      <w:r>
        <w:t>H and ORR</w:t>
      </w:r>
      <w:r w:rsidR="00783C06">
        <w:t xml:space="preserve">, </w:t>
      </w:r>
      <w:r>
        <w:t xml:space="preserve">the other with </w:t>
      </w:r>
      <w:r w:rsidR="00783C06">
        <w:t>N</w:t>
      </w:r>
      <w:r>
        <w:t>R</w:t>
      </w:r>
      <w:r w:rsidR="00CF4A94">
        <w:t xml:space="preserve"> and ORR to present early findings</w:t>
      </w:r>
      <w:r>
        <w:t xml:space="preserve"> and gather views</w:t>
      </w:r>
      <w:r w:rsidR="00CF4A94">
        <w:t>.</w:t>
      </w:r>
    </w:p>
    <w:p w14:paraId="49175C96" w14:textId="67A2A103" w:rsidR="00FA78CD" w:rsidRDefault="00FA78CD" w:rsidP="006F5550">
      <w:pPr>
        <w:pStyle w:val="NormalBulletround"/>
        <w:numPr>
          <w:ilvl w:val="0"/>
          <w:numId w:val="38"/>
        </w:numPr>
      </w:pPr>
      <w:r>
        <w:t xml:space="preserve">Draft report for ORR comment and review, which will also be shared with NH </w:t>
      </w:r>
      <w:r w:rsidR="00783C06">
        <w:t xml:space="preserve">and NR </w:t>
      </w:r>
      <w:r>
        <w:t>for factual accuracy.</w:t>
      </w:r>
    </w:p>
    <w:p w14:paraId="7D569B47" w14:textId="1893A332" w:rsidR="00FA78CD" w:rsidRDefault="00FA78CD" w:rsidP="00576496">
      <w:pPr>
        <w:pStyle w:val="NormalBulletround"/>
        <w:numPr>
          <w:ilvl w:val="0"/>
          <w:numId w:val="38"/>
        </w:numPr>
      </w:pPr>
      <w:r>
        <w:t>Final report for ORR that incorporates comments/amendments from ORR and, where relevant, N</w:t>
      </w:r>
      <w:r w:rsidR="00B320EC">
        <w:t>H</w:t>
      </w:r>
      <w:r w:rsidR="00783C06">
        <w:t xml:space="preserve"> and NR</w:t>
      </w:r>
      <w:r>
        <w:t>.</w:t>
      </w:r>
    </w:p>
    <w:p w14:paraId="05A52AA0" w14:textId="4A38163F" w:rsidR="00B320EC" w:rsidRDefault="00B320EC" w:rsidP="00576496">
      <w:pPr>
        <w:pStyle w:val="NormalBulletround"/>
        <w:numPr>
          <w:ilvl w:val="0"/>
          <w:numId w:val="38"/>
        </w:numPr>
      </w:pPr>
      <w:r>
        <w:t>Host a workshop with ORR, NH and NR to present report findings and recommendations.</w:t>
      </w:r>
    </w:p>
    <w:p w14:paraId="5F7C8782" w14:textId="2DBB8435" w:rsidR="00576496" w:rsidRDefault="00F56611" w:rsidP="006F5550">
      <w:pPr>
        <w:pStyle w:val="NormalBulletround"/>
        <w:numPr>
          <w:ilvl w:val="0"/>
          <w:numId w:val="38"/>
        </w:numPr>
      </w:pPr>
      <w:r>
        <w:t>Produce s</w:t>
      </w:r>
      <w:r w:rsidR="00576496">
        <w:t>lide presentation</w:t>
      </w:r>
      <w:r>
        <w:t xml:space="preserve"> of the review methodology/ findings and recommendations for future use by ORR/NH/NR</w:t>
      </w:r>
      <w:r w:rsidR="00F71545">
        <w:t>.</w:t>
      </w:r>
    </w:p>
    <w:p w14:paraId="4844A496" w14:textId="0426C92A" w:rsidR="00FA78CD" w:rsidRDefault="00FA78CD" w:rsidP="00FA78CD">
      <w:pPr>
        <w:pStyle w:val="NormalBulletround"/>
        <w:tabs>
          <w:tab w:val="clear" w:pos="1134"/>
        </w:tabs>
        <w:ind w:left="0" w:firstLine="0"/>
      </w:pPr>
      <w:r>
        <w:t xml:space="preserve">As we intend to publish this report, all documents must meet our </w:t>
      </w:r>
      <w:hyperlink r:id="rId24" w:history="1">
        <w:r>
          <w:rPr>
            <w:rStyle w:val="Hyperlink"/>
          </w:rPr>
          <w:t>Guidelines for writing accessible reports for ORR</w:t>
        </w:r>
      </w:hyperlink>
      <w:r>
        <w:t>.</w:t>
      </w:r>
    </w:p>
    <w:p w14:paraId="30DFB785" w14:textId="439A37DA" w:rsidR="00DB02EF" w:rsidRDefault="00DB02EF" w:rsidP="00DB02EF">
      <w:pPr>
        <w:pStyle w:val="Heading4"/>
      </w:pPr>
      <w:r>
        <w:t>Contract Management Requirements</w:t>
      </w:r>
    </w:p>
    <w:p w14:paraId="75C67E80" w14:textId="77777777" w:rsidR="005E5BC4" w:rsidRDefault="00C70DBA" w:rsidP="005E5BC4">
      <w:pPr>
        <w:pStyle w:val="NormalBulletround"/>
        <w:tabs>
          <w:tab w:val="clear" w:pos="1134"/>
        </w:tabs>
        <w:ind w:left="0" w:firstLine="0"/>
      </w:pPr>
      <w:r w:rsidRPr="00C70DBA">
        <w:t xml:space="preserve">We would expect to hold progress update meetings on a </w:t>
      </w:r>
      <w:r w:rsidR="00783C06">
        <w:t>weekly</w:t>
      </w:r>
      <w:r w:rsidRPr="00C70DBA">
        <w:t xml:space="preserve"> basis via Microsoft Teams. </w:t>
      </w:r>
    </w:p>
    <w:p w14:paraId="3DC8D208" w14:textId="76A36780" w:rsidR="005E5BC4" w:rsidRDefault="005E5BC4" w:rsidP="005E5BC4">
      <w:pPr>
        <w:pStyle w:val="NormalBulletround"/>
        <w:tabs>
          <w:tab w:val="clear" w:pos="1134"/>
        </w:tabs>
        <w:ind w:left="0" w:firstLine="0"/>
      </w:pPr>
      <w:r>
        <w:t xml:space="preserve">The supplier should prepare a project plan and present it with the proposal. If a contract is awarded to the supplier, the plan should be kept </w:t>
      </w:r>
      <w:proofErr w:type="gramStart"/>
      <w:r>
        <w:t>up-to-date</w:t>
      </w:r>
      <w:proofErr w:type="gramEnd"/>
      <w:r>
        <w:t xml:space="preserve">. </w:t>
      </w:r>
    </w:p>
    <w:p w14:paraId="55CA941B" w14:textId="77777777" w:rsidR="00C70DBA" w:rsidRPr="00C70DBA" w:rsidRDefault="00C70DBA" w:rsidP="00C70DBA">
      <w:r w:rsidRPr="00C70DBA">
        <w:t xml:space="preserve">Consultants should provide key updates on a shared Microsoft Teams channel or similar. </w:t>
      </w:r>
    </w:p>
    <w:p w14:paraId="6809DF7D" w14:textId="160F60ED" w:rsidR="00C70DBA" w:rsidRPr="00C70DBA" w:rsidRDefault="00C70DBA" w:rsidP="00C70DBA">
      <w:r w:rsidRPr="00C70DBA">
        <w:t xml:space="preserve">National Highways </w:t>
      </w:r>
      <w:r w:rsidR="00783C06">
        <w:t xml:space="preserve">&amp; Network Rail </w:t>
      </w:r>
      <w:r w:rsidRPr="00C70DBA">
        <w:t xml:space="preserve">will support the work and facilitate access to its staff and other information as appropriate. The company’s involvement will be co-ordinated through </w:t>
      </w:r>
      <w:r w:rsidR="00783C06">
        <w:t>the</w:t>
      </w:r>
      <w:r w:rsidRPr="00C70DBA">
        <w:t xml:space="preserve"> ORR Relations team</w:t>
      </w:r>
      <w:r w:rsidR="00783C06">
        <w:t>s</w:t>
      </w:r>
      <w:r w:rsidRPr="00C70DBA">
        <w:t xml:space="preserve"> who are responsible for managing the relationship with ORR. </w:t>
      </w:r>
    </w:p>
    <w:p w14:paraId="570DFC3C" w14:textId="6FDFA8A7" w:rsidR="00C70DBA" w:rsidRPr="00C70DBA" w:rsidRDefault="00C70DBA" w:rsidP="00C70DBA">
      <w:r w:rsidRPr="00C70DBA">
        <w:t xml:space="preserve">The ORR Relations team will assist in scheduling meetings and dealing with data requests. Engagement with National Highways </w:t>
      </w:r>
      <w:r w:rsidR="00783C06">
        <w:t xml:space="preserve">and Network Rail </w:t>
      </w:r>
      <w:r w:rsidRPr="00C70DBA">
        <w:t>should be proportionate and sensitive to resource pressures.</w:t>
      </w:r>
    </w:p>
    <w:p w14:paraId="458AD9F3" w14:textId="0D8C2207" w:rsidR="00C70DBA" w:rsidRPr="00C70DBA" w:rsidRDefault="00C70DBA" w:rsidP="00C70DBA">
      <w:r w:rsidRPr="00C70DBA">
        <w:t xml:space="preserve">The consultancy should note that National Highways </w:t>
      </w:r>
      <w:r w:rsidR="00783C06">
        <w:t>and Network Rail</w:t>
      </w:r>
      <w:r w:rsidRPr="00C70DBA">
        <w:t xml:space="preserve"> may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w:t>
      </w:r>
      <w:r w:rsidRPr="00C70DBA">
        <w:lastRenderedPageBreak/>
        <w:t>information, findings, data, analysis or reports prepared for ORR by the consultancy, and which includes any of the confidential information, is.</w:t>
      </w:r>
    </w:p>
    <w:p w14:paraId="7B64DF47" w14:textId="25EDDF14" w:rsidR="00C70DBA" w:rsidRDefault="00C70DBA" w:rsidP="00C70DBA">
      <w:r w:rsidRPr="00C70DBA">
        <w:t>The appointed consultancy will have access to available information necessary to carry out the project and to deliver the objectives and requirements identified above.</w:t>
      </w:r>
    </w:p>
    <w:p w14:paraId="3C90362C" w14:textId="77777777" w:rsidR="005E5BC4" w:rsidRDefault="005E5BC4" w:rsidP="005E5BC4">
      <w:pPr>
        <w:pStyle w:val="NormalBulletround"/>
        <w:tabs>
          <w:tab w:val="clear" w:pos="1134"/>
        </w:tabs>
        <w:ind w:left="0" w:firstLine="0"/>
      </w:pPr>
      <w:r w:rsidRPr="009A34CB">
        <w:t>Any analysis carried out by the Supplier in support of the contract deliverables must be supported by analytical assurance. This must be documented and an analytical assurance statement submitted to summarise the assurance that has been carried out together with the risk of error, scope for challenge and any uncertainties associated with the analysis</w:t>
      </w:r>
      <w:r>
        <w:t>.</w:t>
      </w:r>
    </w:p>
    <w:p w14:paraId="53D564FE" w14:textId="77777777" w:rsidR="005E5BC4" w:rsidRPr="00C70DBA" w:rsidRDefault="005E5BC4" w:rsidP="00C70DBA"/>
    <w:p w14:paraId="75F8969E" w14:textId="18013AB0" w:rsidR="00D6160E" w:rsidRDefault="00AF7AF9" w:rsidP="00AF7AF9">
      <w:pPr>
        <w:pStyle w:val="Heading3"/>
      </w:pPr>
      <w:bookmarkStart w:id="13" w:name="_Toc203656478"/>
      <w:r>
        <w:t>2.4 Project Timescales</w:t>
      </w:r>
      <w:bookmarkEnd w:id="13"/>
    </w:p>
    <w:p w14:paraId="232D4288" w14:textId="77777777" w:rsidR="00AF7AF9" w:rsidRDefault="00AF7AF9" w:rsidP="00AF7AF9">
      <w:r>
        <w:t>The provisional project timetable is as follows:</w:t>
      </w:r>
    </w:p>
    <w:p w14:paraId="1A5E1720" w14:textId="3168EC75" w:rsidR="00AF7AF9" w:rsidRDefault="00AF7AF9" w:rsidP="005E5BC4">
      <w:pPr>
        <w:pStyle w:val="NormalBulletround"/>
        <w:numPr>
          <w:ilvl w:val="0"/>
          <w:numId w:val="48"/>
        </w:numPr>
      </w:pPr>
      <w:r>
        <w:t>Start</w:t>
      </w:r>
      <w:r w:rsidR="004D0B11">
        <w:t>-</w:t>
      </w:r>
      <w:r>
        <w:t xml:space="preserve">up meeting and commencement w/c </w:t>
      </w:r>
      <w:r w:rsidR="00C70DBA">
        <w:t>0</w:t>
      </w:r>
      <w:r w:rsidR="00E45568">
        <w:t>1</w:t>
      </w:r>
      <w:r w:rsidR="00806DA3">
        <w:t>/</w:t>
      </w:r>
      <w:r w:rsidR="007F686E">
        <w:t>0</w:t>
      </w:r>
      <w:r w:rsidR="00E45568">
        <w:t>9</w:t>
      </w:r>
      <w:r w:rsidR="00806DA3">
        <w:t>/2025</w:t>
      </w:r>
      <w:r>
        <w:t>.</w:t>
      </w:r>
    </w:p>
    <w:p w14:paraId="26A9F78D" w14:textId="100DD095" w:rsidR="00AF7AF9" w:rsidRDefault="00657005" w:rsidP="005E5BC4">
      <w:pPr>
        <w:pStyle w:val="NormalBulletround"/>
        <w:numPr>
          <w:ilvl w:val="0"/>
          <w:numId w:val="48"/>
        </w:numPr>
      </w:pPr>
      <w:proofErr w:type="gramStart"/>
      <w:r>
        <w:t>Bi weekly</w:t>
      </w:r>
      <w:proofErr w:type="gramEnd"/>
      <w:r w:rsidR="00AF7AF9">
        <w:t xml:space="preserve"> updates on progress and any issues</w:t>
      </w:r>
      <w:r w:rsidR="00C70DBA">
        <w:t>.</w:t>
      </w:r>
    </w:p>
    <w:p w14:paraId="618A964A" w14:textId="5F867326" w:rsidR="00AF7AF9" w:rsidRDefault="00AF7AF9" w:rsidP="005E5BC4">
      <w:pPr>
        <w:pStyle w:val="NormalBulletround"/>
        <w:numPr>
          <w:ilvl w:val="0"/>
          <w:numId w:val="48"/>
        </w:numPr>
      </w:pPr>
      <w:r>
        <w:t xml:space="preserve">Presentation of interim findings </w:t>
      </w:r>
      <w:r w:rsidR="00C70DBA">
        <w:t>w/c</w:t>
      </w:r>
      <w:r>
        <w:t xml:space="preserve"> </w:t>
      </w:r>
      <w:r w:rsidR="00E45568">
        <w:t>20</w:t>
      </w:r>
      <w:r w:rsidR="00C70DBA">
        <w:t>/</w:t>
      </w:r>
      <w:r w:rsidR="00E45568">
        <w:t>10</w:t>
      </w:r>
      <w:r w:rsidR="00C70DBA">
        <w:t>/2025</w:t>
      </w:r>
      <w:r>
        <w:t xml:space="preserve"> (or as agreed)</w:t>
      </w:r>
      <w:r w:rsidR="00C70DBA">
        <w:t>.</w:t>
      </w:r>
    </w:p>
    <w:p w14:paraId="1CB48C52" w14:textId="6A9DBFFC" w:rsidR="00AF7AF9" w:rsidRDefault="00AF7AF9" w:rsidP="005E5BC4">
      <w:pPr>
        <w:pStyle w:val="NormalBulletround"/>
        <w:numPr>
          <w:ilvl w:val="0"/>
          <w:numId w:val="48"/>
        </w:numPr>
      </w:pPr>
      <w:r>
        <w:t xml:space="preserve">Draft report by </w:t>
      </w:r>
      <w:r w:rsidR="00C70DBA">
        <w:t xml:space="preserve">w/c </w:t>
      </w:r>
      <w:r w:rsidR="007F686E">
        <w:t>1</w:t>
      </w:r>
      <w:r w:rsidR="00E45568">
        <w:t>7</w:t>
      </w:r>
      <w:r w:rsidR="00C70DBA">
        <w:t>/</w:t>
      </w:r>
      <w:r w:rsidR="007F686E">
        <w:t>11</w:t>
      </w:r>
      <w:r w:rsidR="00C70DBA">
        <w:t>/202</w:t>
      </w:r>
      <w:r w:rsidR="007F686E">
        <w:t>5</w:t>
      </w:r>
      <w:r w:rsidR="00C70DBA">
        <w:t>.</w:t>
      </w:r>
    </w:p>
    <w:p w14:paraId="5577EDCB" w14:textId="38C501DE" w:rsidR="00AF7AF9" w:rsidRDefault="00AF7AF9" w:rsidP="005E5BC4">
      <w:pPr>
        <w:pStyle w:val="NormalBulletround"/>
        <w:numPr>
          <w:ilvl w:val="0"/>
          <w:numId w:val="48"/>
        </w:numPr>
      </w:pPr>
      <w:r>
        <w:t xml:space="preserve">Final report by </w:t>
      </w:r>
      <w:r w:rsidR="00C70DBA">
        <w:t xml:space="preserve">w/c </w:t>
      </w:r>
      <w:r w:rsidR="007F686E">
        <w:t>15</w:t>
      </w:r>
      <w:r w:rsidR="00C70DBA">
        <w:t>/</w:t>
      </w:r>
      <w:r w:rsidR="007F686E">
        <w:t>12</w:t>
      </w:r>
      <w:r w:rsidR="00C70DBA">
        <w:t>/202</w:t>
      </w:r>
      <w:r w:rsidR="007F686E">
        <w:t>5</w:t>
      </w:r>
      <w:r w:rsidR="00C70DBA">
        <w:t>.</w:t>
      </w:r>
    </w:p>
    <w:p w14:paraId="76E3EE61" w14:textId="420F91D1" w:rsidR="00AF7AF9" w:rsidRDefault="00AF7AF9" w:rsidP="00AF7AF9">
      <w:pPr>
        <w:pStyle w:val="Heading3"/>
      </w:pPr>
      <w:bookmarkStart w:id="14" w:name="_Toc203656479"/>
      <w:r w:rsidRPr="00AF7AF9">
        <w:t>2.5 Budget and Payment Schedule</w:t>
      </w:r>
      <w:bookmarkEnd w:id="14"/>
    </w:p>
    <w:p w14:paraId="45B2F5A5" w14:textId="77777777" w:rsidR="00D401C8" w:rsidRPr="00D401C8" w:rsidRDefault="00D401C8" w:rsidP="00D401C8">
      <w:pPr>
        <w:rPr>
          <w:b/>
          <w:bCs/>
        </w:rPr>
      </w:pPr>
      <w:r w:rsidRPr="00D401C8">
        <w:rPr>
          <w:b/>
          <w:bCs/>
        </w:rPr>
        <w:t>Disclosure of budget at tendering stage is not always advisable – speak to Procurement team for advice</w:t>
      </w:r>
    </w:p>
    <w:p w14:paraId="7D86A410" w14:textId="36F7381A" w:rsidR="00D401C8" w:rsidRDefault="00D401C8" w:rsidP="00D401C8">
      <w:r>
        <w:t xml:space="preserve">The maximum budget for this piece of work is </w:t>
      </w:r>
      <w:r w:rsidR="00806DA3">
        <w:t>£</w:t>
      </w:r>
      <w:r w:rsidR="00E45568">
        <w:t>130</w:t>
      </w:r>
      <w:r w:rsidR="00806DA3">
        <w:t>,000, subject to scope</w:t>
      </w:r>
      <w:r>
        <w:t xml:space="preserve"> (inc. of expenses, exc. of VAT).</w:t>
      </w:r>
    </w:p>
    <w:p w14:paraId="3150F3F2" w14:textId="77777777" w:rsidR="00D401C8" w:rsidRPr="00CF4A94" w:rsidRDefault="00D401C8" w:rsidP="00D401C8">
      <w:pPr>
        <w:pStyle w:val="Heading4"/>
      </w:pPr>
      <w:r w:rsidRPr="00CF4A94">
        <w:t>Payment Options</w:t>
      </w:r>
    </w:p>
    <w:p w14:paraId="71865B0B" w14:textId="6ADD4BE8" w:rsidR="00975CD4" w:rsidRDefault="00975CD4" w:rsidP="00B839CE">
      <w:pPr>
        <w:pStyle w:val="ListParagraph"/>
        <w:numPr>
          <w:ilvl w:val="0"/>
          <w:numId w:val="43"/>
        </w:numPr>
      </w:pPr>
      <w:r>
        <w:t>50% payment will be made when draft report is accepted by ORR; and</w:t>
      </w:r>
    </w:p>
    <w:p w14:paraId="3E4576FC" w14:textId="28F0B43B" w:rsidR="00CC0085" w:rsidRPr="00806DA3" w:rsidRDefault="00F67560" w:rsidP="00B839CE">
      <w:pPr>
        <w:pStyle w:val="ListParagraph"/>
        <w:numPr>
          <w:ilvl w:val="0"/>
          <w:numId w:val="43"/>
        </w:numPr>
      </w:pPr>
      <w:r>
        <w:t>100% of the</w:t>
      </w:r>
      <w:r w:rsidR="00975CD4">
        <w:t xml:space="preserve"> </w:t>
      </w:r>
      <w:proofErr w:type="gramStart"/>
      <w:r w:rsidR="00975CD4">
        <w:t xml:space="preserve">fee </w:t>
      </w:r>
      <w:r w:rsidR="00D401C8">
        <w:t xml:space="preserve"> will</w:t>
      </w:r>
      <w:proofErr w:type="gramEnd"/>
      <w:r w:rsidR="00D401C8">
        <w:t xml:space="preserve"> be </w:t>
      </w:r>
      <w:r w:rsidR="00975CD4">
        <w:t xml:space="preserve">made </w:t>
      </w:r>
      <w:r w:rsidR="00D401C8">
        <w:t>on the delivery and acceptance by ORR of all required outputs and/or deliverables.</w:t>
      </w:r>
    </w:p>
    <w:p w14:paraId="3BB5AE4A" w14:textId="4C2DE6EF" w:rsidR="00AF7AF9" w:rsidRDefault="00AF7AF9" w:rsidP="00AF7AF9">
      <w:pPr>
        <w:pStyle w:val="Heading3"/>
      </w:pPr>
      <w:bookmarkStart w:id="15" w:name="_Toc203656480"/>
      <w:r w:rsidRPr="00AF7AF9">
        <w:lastRenderedPageBreak/>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6C16972D" w:rsidR="00C26E3E" w:rsidRDefault="00C26E3E" w:rsidP="00C26E3E">
      <w:r>
        <w:t>Please note ORR is required to ensure that any new procurement opportunity above £</w:t>
      </w:r>
      <w:r w:rsidR="3814867E">
        <w:t>25</w:t>
      </w:r>
      <w:r>
        <w:t>,000 (excluding VAT) is published on C</w:t>
      </w:r>
      <w:r w:rsidR="79340FDD">
        <w:t>entral Digital Platform</w:t>
      </w:r>
      <w:r>
        <w:t xml:space="preserve">,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B0C873C" w14:textId="77777777" w:rsidR="00C26E3E" w:rsidRPr="00BA6492" w:rsidRDefault="00C26E3E" w:rsidP="00C26E3E">
      <w:r w:rsidRPr="00BA6492">
        <w:t xml:space="preserve">If the project is reliant on information supplied by third parties such as TOCs and Network Rail you should agree with them suitably worded confidentiality agreements; copies of which should be included as an annex to this ITT. </w:t>
      </w:r>
      <w:proofErr w:type="gramStart"/>
      <w:r w:rsidRPr="00BA6492">
        <w:t>As a general rule</w:t>
      </w:r>
      <w:proofErr w:type="gramEnd"/>
      <w:r w:rsidRPr="00BA6492">
        <w:t xml:space="preserve">, the confidentiality agreement should be between the provider of the </w:t>
      </w:r>
      <w:proofErr w:type="gramStart"/>
      <w:r w:rsidRPr="00BA6492">
        <w:t>third party</w:t>
      </w:r>
      <w:proofErr w:type="gramEnd"/>
      <w:r w:rsidRPr="00BA6492">
        <w:t xml:space="preserve"> data and the chosen supplier.</w:t>
      </w:r>
    </w:p>
    <w:p w14:paraId="1AACCFD5" w14:textId="70FCA122" w:rsidR="00C26E3E" w:rsidRPr="00BA6492" w:rsidRDefault="00C26E3E" w:rsidP="00C26E3E">
      <w:r w:rsidRPr="00BA6492">
        <w:t xml:space="preserve">The procurement section holds a draft pro-forma confidentiality agreement which may be used as a starting </w:t>
      </w:r>
      <w:proofErr w:type="gramStart"/>
      <w:r w:rsidRPr="00BA6492">
        <w:t>point</w:t>
      </w:r>
      <w:proofErr w:type="gramEnd"/>
      <w:r w:rsidRPr="00BA6492">
        <w:t xml:space="preserve"> but it is important that you obtain agreement from ORR’s Legal Department on the wording to ensure that it is appropriate for your needs.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B00A59">
      <w:pPr>
        <w:pStyle w:val="NormalBulletround"/>
        <w:ind w:left="0" w:firstLine="0"/>
      </w:pPr>
      <w:r>
        <w:t xml:space="preserve">That the Contractor assumes unconditional responsibility for the overall work and its </w:t>
      </w:r>
      <w:proofErr w:type="gramStart"/>
      <w:r>
        <w:t>quality;</w:t>
      </w:r>
      <w:proofErr w:type="gramEnd"/>
    </w:p>
    <w:p w14:paraId="457234D1" w14:textId="075706A3" w:rsidR="00C26E3E" w:rsidRDefault="00C26E3E" w:rsidP="00B00A59">
      <w:pPr>
        <w:pStyle w:val="NormalBulletround"/>
        <w:ind w:left="0" w:firstLine="0"/>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lastRenderedPageBreak/>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203656481"/>
      <w:r>
        <w:lastRenderedPageBreak/>
        <w:t>Tender Response and Evaluation Criteria</w:t>
      </w:r>
      <w:bookmarkEnd w:id="16"/>
    </w:p>
    <w:p w14:paraId="6C9F4B20" w14:textId="5CFF035D" w:rsidR="001768F1" w:rsidRDefault="001768F1" w:rsidP="001768F1">
      <w:pPr>
        <w:pStyle w:val="Heading3"/>
      </w:pPr>
      <w:bookmarkStart w:id="17" w:name="_Toc203656482"/>
      <w:r>
        <w:t>3.1 The Tender Response</w:t>
      </w:r>
      <w:bookmarkEnd w:id="17"/>
    </w:p>
    <w:p w14:paraId="33A2C61B" w14:textId="03E6D773" w:rsidR="001768F1" w:rsidRDefault="001768F1" w:rsidP="001768F1">
      <w:r>
        <w:t>The proposals for this project should include an outline of how bidders will meet the requirement outlined in section (ii) “Statement of Requirement”. The following information should be included</w:t>
      </w:r>
      <w:r w:rsidR="00CF4A94">
        <w:t>:</w:t>
      </w:r>
    </w:p>
    <w:p w14:paraId="0696CABC" w14:textId="13E563FF" w:rsidR="001768F1" w:rsidRPr="001E7C87" w:rsidRDefault="001768F1" w:rsidP="00D07E76">
      <w:pPr>
        <w:pStyle w:val="NormalBulletalpha"/>
        <w:numPr>
          <w:ilvl w:val="1"/>
          <w:numId w:val="29"/>
        </w:numPr>
        <w:rPr>
          <w:b/>
          <w:bCs/>
        </w:rPr>
      </w:pPr>
      <w:r w:rsidRPr="001E7C87">
        <w:rPr>
          <w:b/>
          <w:bCs/>
        </w:rPr>
        <w:t xml:space="preserve">Understanding of customer's requirements </w:t>
      </w:r>
    </w:p>
    <w:p w14:paraId="40A10F39" w14:textId="09F16AAB" w:rsidR="001768F1" w:rsidRDefault="001768F1" w:rsidP="005D2CD6">
      <w:pPr>
        <w:pStyle w:val="Numberedparagraphdouble"/>
        <w:numPr>
          <w:ilvl w:val="0"/>
          <w:numId w:val="0"/>
        </w:numPr>
        <w:ind w:left="851"/>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33CB741D" w:rsidR="001768F1" w:rsidRDefault="001768F1" w:rsidP="005D2CD6">
      <w:pPr>
        <w:pStyle w:val="Numberedparagraphdouble"/>
        <w:numPr>
          <w:ilvl w:val="0"/>
          <w:numId w:val="0"/>
        </w:numPr>
        <w:ind w:left="851"/>
      </w:pPr>
      <w:r>
        <w:t xml:space="preserve">Provide an explanation of the proposed approach and any methodologies bidders will work </w:t>
      </w:r>
      <w:proofErr w:type="gramStart"/>
      <w:r>
        <w:t>to;</w:t>
      </w:r>
      <w:proofErr w:type="gramEnd"/>
    </w:p>
    <w:p w14:paraId="1F4787C6" w14:textId="40FE65C4" w:rsidR="001768F1" w:rsidRDefault="001768F1" w:rsidP="005D2CD6">
      <w:pPr>
        <w:pStyle w:val="Numberedparagraphdouble"/>
        <w:numPr>
          <w:ilvl w:val="0"/>
          <w:numId w:val="0"/>
        </w:numPr>
        <w:ind w:left="851"/>
      </w:pPr>
      <w:r>
        <w:t xml:space="preserve">Details of your assumptions and/or constraints/dependencies made in relation to the project </w:t>
      </w:r>
    </w:p>
    <w:p w14:paraId="5DBC036E" w14:textId="7A92DA9B" w:rsidR="001768F1" w:rsidRDefault="001768F1" w:rsidP="005D2CD6">
      <w:pPr>
        <w:pStyle w:val="Numberedparagraphdouble"/>
        <w:numPr>
          <w:ilvl w:val="0"/>
          <w:numId w:val="0"/>
        </w:numPr>
        <w:ind w:left="851"/>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5D2CD6">
      <w:pPr>
        <w:pStyle w:val="Numberedparagraphdouble"/>
        <w:numPr>
          <w:ilvl w:val="0"/>
          <w:numId w:val="0"/>
        </w:numPr>
        <w:ind w:left="851"/>
      </w:pPr>
      <w:r>
        <w:t>An understanding of the risks, and explain how they would be mitigated to ensure delivery</w:t>
      </w:r>
    </w:p>
    <w:p w14:paraId="16625C17" w14:textId="458CDC1F" w:rsidR="001768F1" w:rsidRDefault="001768F1" w:rsidP="005D2CD6">
      <w:pPr>
        <w:pStyle w:val="Numberedparagraphdouble"/>
        <w:numPr>
          <w:ilvl w:val="0"/>
          <w:numId w:val="0"/>
        </w:numPr>
        <w:ind w:left="851"/>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5D2CD6">
      <w:pPr>
        <w:pStyle w:val="Numberedparagraphdouble"/>
        <w:numPr>
          <w:ilvl w:val="0"/>
          <w:numId w:val="0"/>
        </w:numPr>
        <w:ind w:left="851"/>
      </w:pPr>
      <w:r>
        <w:t xml:space="preserve">Key personnel including details of how their key skills, experience and qualifications align to the delivery of the project; and </w:t>
      </w:r>
    </w:p>
    <w:p w14:paraId="3E9E2235" w14:textId="56A583B4" w:rsidR="001768F1" w:rsidRDefault="001768F1" w:rsidP="005D2CD6">
      <w:pPr>
        <w:pStyle w:val="Numberedparagraphdouble"/>
        <w:numPr>
          <w:ilvl w:val="0"/>
          <w:numId w:val="0"/>
        </w:numPr>
        <w:ind w:left="851"/>
      </w:pPr>
      <w:r>
        <w:t xml:space="preserve">Project roles and responsibilities </w:t>
      </w:r>
    </w:p>
    <w:p w14:paraId="4BD28B95" w14:textId="26BA7685" w:rsidR="001768F1" w:rsidRDefault="001768F1" w:rsidP="005D2CD6">
      <w:pPr>
        <w:pStyle w:val="Numberedparagraphdouble"/>
        <w:numPr>
          <w:ilvl w:val="0"/>
          <w:numId w:val="0"/>
        </w:numPr>
        <w:ind w:left="851"/>
      </w:pPr>
      <w:r>
        <w:t>Confirmation that you have carried out the necessary employment checks (e.g. right to work in the UK)</w:t>
      </w:r>
    </w:p>
    <w:p w14:paraId="5F3C04C1" w14:textId="62AEAEA1" w:rsidR="001768F1" w:rsidRDefault="001768F1" w:rsidP="005D2CD6">
      <w:pPr>
        <w:pStyle w:val="Numberedparagraphdouble"/>
        <w:numPr>
          <w:ilvl w:val="0"/>
          <w:numId w:val="0"/>
        </w:numPr>
        <w:ind w:left="851"/>
      </w:pPr>
      <w:r>
        <w:t>Some relevant examples of previous work that bidders have carried out (</w:t>
      </w:r>
      <w:proofErr w:type="spellStart"/>
      <w:r>
        <w:t>eg.</w:t>
      </w:r>
      <w:proofErr w:type="spellEnd"/>
      <w:r>
        <w:t xml:space="preserve"> case studies)</w:t>
      </w:r>
    </w:p>
    <w:p w14:paraId="1C8F4186" w14:textId="6CC05A44" w:rsidR="001768F1" w:rsidRPr="001E7C87" w:rsidRDefault="001768F1" w:rsidP="00D07E76">
      <w:pPr>
        <w:pStyle w:val="NormalBulletalpha"/>
        <w:rPr>
          <w:b/>
          <w:bCs/>
        </w:rPr>
      </w:pPr>
      <w:r w:rsidRPr="001E7C87">
        <w:rPr>
          <w:b/>
          <w:bCs/>
        </w:rPr>
        <w:lastRenderedPageBreak/>
        <w:t>Pricing</w:t>
      </w:r>
    </w:p>
    <w:p w14:paraId="02E5F86A" w14:textId="038D9412" w:rsidR="001768F1" w:rsidRDefault="001768F1" w:rsidP="005D2CD6">
      <w:pPr>
        <w:pStyle w:val="Numberedparagraphdouble"/>
        <w:numPr>
          <w:ilvl w:val="0"/>
          <w:numId w:val="0"/>
        </w:numPr>
        <w:ind w:left="851"/>
      </w:pPr>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5D2CD6">
      <w:pPr>
        <w:pStyle w:val="Numberedparagraphdouble"/>
        <w:numPr>
          <w:ilvl w:val="0"/>
          <w:numId w:val="0"/>
        </w:numPr>
        <w:ind w:left="851"/>
      </w:pPr>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203656483"/>
      <w:r>
        <w:t>3.2 Evaluation Criteria</w:t>
      </w:r>
      <w:bookmarkEnd w:id="18"/>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E5BC4">
      <w:pPr>
        <w:pStyle w:val="NormalBulletround"/>
        <w:numPr>
          <w:ilvl w:val="0"/>
          <w:numId w:val="49"/>
        </w:numPr>
      </w:pPr>
      <w:r>
        <w:t>Completeness of the tender information</w:t>
      </w:r>
    </w:p>
    <w:p w14:paraId="11689649" w14:textId="50622408" w:rsidR="005C29ED" w:rsidRDefault="005C29ED" w:rsidP="005E5BC4">
      <w:pPr>
        <w:pStyle w:val="NormalBulletround"/>
        <w:numPr>
          <w:ilvl w:val="0"/>
          <w:numId w:val="49"/>
        </w:numPr>
      </w:pPr>
      <w:r>
        <w:t>Completed Declaration Form of Tender and Disclaimer</w:t>
      </w:r>
    </w:p>
    <w:p w14:paraId="745A254A" w14:textId="600D3905" w:rsidR="005C29ED" w:rsidRDefault="005C29ED" w:rsidP="005E5BC4">
      <w:pPr>
        <w:pStyle w:val="NormalBulletround"/>
        <w:numPr>
          <w:ilvl w:val="0"/>
          <w:numId w:val="49"/>
        </w:numPr>
      </w:pPr>
      <w:r>
        <w:t>Tender submitted in accordance with the conditions and instructions for tendering</w:t>
      </w:r>
    </w:p>
    <w:p w14:paraId="41557F9E" w14:textId="76516727" w:rsidR="005C29ED" w:rsidRDefault="005C29ED" w:rsidP="005E5BC4">
      <w:pPr>
        <w:pStyle w:val="NormalBulletround"/>
        <w:numPr>
          <w:ilvl w:val="0"/>
          <w:numId w:val="49"/>
        </w:numPr>
      </w:pPr>
      <w:r>
        <w:t>Tender submitted by the closing date and time</w:t>
      </w:r>
    </w:p>
    <w:p w14:paraId="080DB46E" w14:textId="1F325002" w:rsidR="005C29ED" w:rsidRDefault="005C29ED" w:rsidP="005E5BC4">
      <w:pPr>
        <w:pStyle w:val="NormalBulletround"/>
        <w:numPr>
          <w:ilvl w:val="0"/>
          <w:numId w:val="49"/>
        </w:numPr>
      </w:pPr>
      <w:r>
        <w:t>Compliance with contractual arrangements</w:t>
      </w:r>
    </w:p>
    <w:p w14:paraId="7BE3F130" w14:textId="626E4A1A" w:rsidR="001F4F0C" w:rsidRPr="00FF2534" w:rsidRDefault="00621979" w:rsidP="005E5BC4">
      <w:pPr>
        <w:pStyle w:val="NormalBulletround"/>
        <w:numPr>
          <w:ilvl w:val="0"/>
          <w:numId w:val="49"/>
        </w:numPr>
        <w:rPr>
          <w:b/>
          <w:bCs/>
          <w:color w:val="FF0000"/>
        </w:rPr>
      </w:pPr>
      <w:bookmarkStart w:id="19" w:name="_Hlk174010684"/>
      <w:r w:rsidRPr="008E5039">
        <w:t>Submission</w:t>
      </w:r>
      <w:r w:rsidR="001F4F0C" w:rsidRPr="008E5039">
        <w:t xml:space="preserve"> </w:t>
      </w:r>
      <w:r w:rsidRPr="008E5039">
        <w:t xml:space="preserve">of </w:t>
      </w:r>
      <w:r w:rsidR="001F4F0C" w:rsidRPr="008E5039">
        <w:t>Cyber Essentials</w:t>
      </w:r>
    </w:p>
    <w:bookmarkEnd w:id="19"/>
    <w:p w14:paraId="092980E7" w14:textId="77CC83A9" w:rsidR="005C29ED" w:rsidRDefault="005C29ED" w:rsidP="00CF4A94">
      <w:pPr>
        <w:pStyle w:val="NormalBulletround"/>
        <w:tabs>
          <w:tab w:val="clear" w:pos="1134"/>
        </w:tabs>
        <w:ind w:left="0" w:firstLine="0"/>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63442613" w:rsidR="005C29ED" w:rsidRDefault="005C29ED" w:rsidP="005C29ED">
      <w:r>
        <w:t xml:space="preserve">The contract will be awarded to the Bidder(s) submitting the </w:t>
      </w:r>
      <w:r w:rsidRPr="005C29ED">
        <w:rPr>
          <w:b/>
          <w:bCs/>
        </w:rPr>
        <w:t>‘most advantageous tender’</w:t>
      </w:r>
      <w:r>
        <w:t xml:space="preserve">. Tenders will be evaluated according to weighted criteria as follows: </w:t>
      </w:r>
    </w:p>
    <w:p w14:paraId="03D0E6C2" w14:textId="741989FB" w:rsidR="005C29ED" w:rsidRDefault="005C29ED" w:rsidP="00D61976">
      <w:pPr>
        <w:pStyle w:val="Heading4"/>
      </w:pPr>
      <w:r>
        <w:t xml:space="preserve">Methodology </w:t>
      </w:r>
      <w:r w:rsidRPr="002B2C22">
        <w:t>(</w:t>
      </w:r>
      <w:r w:rsidR="006A37BA">
        <w:t>3</w:t>
      </w:r>
      <w:r w:rsidR="002B2C22" w:rsidRPr="002B2C22">
        <w:t>5</w:t>
      </w:r>
      <w:r w:rsidRPr="002B2C22">
        <w:t>%)</w:t>
      </w:r>
    </w:p>
    <w:p w14:paraId="00314D37" w14:textId="77777777" w:rsidR="005C29ED" w:rsidRDefault="005C29ED"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30"/>
        </w:numPr>
      </w:pPr>
      <w:r>
        <w:lastRenderedPageBreak/>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30"/>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30"/>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30"/>
        </w:numPr>
      </w:pPr>
      <w:r>
        <w:t>Outline how the proposed approach utilises innovative consultation methodologies to develop a diverse and comprehensive evidence-base</w:t>
      </w:r>
    </w:p>
    <w:p w14:paraId="09DB644F" w14:textId="32F509B7" w:rsidR="005C29ED" w:rsidRDefault="005C29ED" w:rsidP="00350594">
      <w:pPr>
        <w:pStyle w:val="Heading4"/>
      </w:pPr>
      <w:r>
        <w:t xml:space="preserve">Delivery </w:t>
      </w:r>
      <w:r w:rsidRPr="002B2C22">
        <w:t>(</w:t>
      </w:r>
      <w:r w:rsidR="002B2C22" w:rsidRPr="002B2C22">
        <w:t>25</w:t>
      </w:r>
      <w:r w:rsidRPr="002B2C22">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1"/>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B839CE">
      <w:pPr>
        <w:pStyle w:val="NormalBulletalpha"/>
        <w:numPr>
          <w:ilvl w:val="1"/>
          <w:numId w:val="31"/>
        </w:numPr>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B839CE">
      <w:pPr>
        <w:pStyle w:val="NormalBulletalpha"/>
        <w:numPr>
          <w:ilvl w:val="1"/>
          <w:numId w:val="31"/>
        </w:numPr>
      </w:pPr>
      <w:r>
        <w:t>Explain the resources that will be allocated to delivering the required outcomes/output, and what other resources can be called upon if required.</w:t>
      </w:r>
    </w:p>
    <w:p w14:paraId="6A66D9E9" w14:textId="3951CDBF" w:rsidR="005C29ED" w:rsidRPr="002B2C22" w:rsidRDefault="005C29ED" w:rsidP="00350594">
      <w:pPr>
        <w:pStyle w:val="Heading4"/>
      </w:pPr>
      <w:r>
        <w:t xml:space="preserve">Experience </w:t>
      </w:r>
      <w:r w:rsidRPr="002B2C22">
        <w:t>(</w:t>
      </w:r>
      <w:r w:rsidR="002B2C22" w:rsidRPr="002B2C22">
        <w:t>2</w:t>
      </w:r>
      <w:r w:rsidR="00975CD4">
        <w:t>5</w:t>
      </w:r>
      <w:r w:rsidRPr="002B2C22">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2"/>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2"/>
        </w:numPr>
      </w:pPr>
      <w:r>
        <w:t>Highlight the organisation’s relevant experience for this project, submitting examples of similar projects.</w:t>
      </w:r>
    </w:p>
    <w:p w14:paraId="370476F8" w14:textId="7722EA19" w:rsidR="005C29ED" w:rsidRDefault="005C29ED" w:rsidP="00350594">
      <w:pPr>
        <w:pStyle w:val="Heading4"/>
      </w:pPr>
      <w:r>
        <w:t xml:space="preserve">Cost / Value for money </w:t>
      </w:r>
      <w:r w:rsidRPr="002B2C22">
        <w:t>(</w:t>
      </w:r>
      <w:r w:rsidR="00975CD4">
        <w:t>15</w:t>
      </w:r>
      <w:r w:rsidRPr="002B2C22">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0</w:t>
            </w:r>
          </w:p>
        </w:tc>
        <w:tc>
          <w:tcPr>
            <w:tcW w:w="1545" w:type="pct"/>
            <w:tcBorders>
              <w:top w:val="nil"/>
            </w:tcBorders>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w:t>
            </w:r>
            <w:proofErr w:type="gramStart"/>
            <w:r w:rsidRPr="00757472">
              <w:rPr>
                <w:rFonts w:eastAsia="Calibri" w:cs="Arial"/>
                <w:sz w:val="22"/>
                <w:lang w:val="en-US" w:eastAsia="en-GB"/>
              </w:rPr>
              <w:t>few</w:t>
            </w:r>
            <w:proofErr w:type="gramEnd"/>
            <w:r w:rsidRPr="00757472">
              <w:rPr>
                <w:rFonts w:eastAsia="Calibri" w:cs="Arial"/>
                <w:sz w:val="22"/>
                <w:lang w:val="en-US" w:eastAsia="en-GB"/>
              </w:rPr>
              <w:t xml:space="preserve">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lastRenderedPageBreak/>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0" w:name="_Toc203656484"/>
      <w:r w:rsidRPr="002D3643">
        <w:lastRenderedPageBreak/>
        <w:t xml:space="preserve">Procurement </w:t>
      </w:r>
      <w:r>
        <w:t>P</w:t>
      </w:r>
      <w:r w:rsidRPr="002D3643">
        <w:t>rocedures</w:t>
      </w:r>
      <w:bookmarkEnd w:id="20"/>
      <w:r w:rsidRPr="002D3643">
        <w:t xml:space="preserve"> </w:t>
      </w:r>
    </w:p>
    <w:p w14:paraId="038D890E" w14:textId="77777777" w:rsidR="00400432" w:rsidRDefault="00400432" w:rsidP="00400432">
      <w:pPr>
        <w:pStyle w:val="Heading3"/>
      </w:pPr>
      <w:bookmarkStart w:id="21" w:name="_Toc203656485"/>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36224BEA">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36224BEA">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hemeColor="background2"/>
            </w:tcBorders>
            <w:shd w:val="clear" w:color="auto" w:fill="FFFFFF" w:themeFill="background2"/>
          </w:tcPr>
          <w:p w14:paraId="0B221E35" w14:textId="37676605" w:rsidR="00400432" w:rsidRPr="00400432" w:rsidRDefault="000A37F2" w:rsidP="00400432">
            <w:pPr>
              <w:pStyle w:val="TblText"/>
            </w:pPr>
            <w:r>
              <w:t>18</w:t>
            </w:r>
            <w:r w:rsidR="002B2C22">
              <w:t>/07/2025</w:t>
            </w:r>
          </w:p>
        </w:tc>
      </w:tr>
      <w:tr w:rsidR="00400432" w:rsidRPr="00400432" w14:paraId="42283B80" w14:textId="77777777" w:rsidTr="36224BEA">
        <w:tc>
          <w:tcPr>
            <w:tcW w:w="4928"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hemeColor="background2"/>
            </w:tcBorders>
            <w:shd w:val="clear" w:color="auto" w:fill="E4E7F5"/>
          </w:tcPr>
          <w:p w14:paraId="4308C2DC" w14:textId="7F962B28" w:rsidR="00400432" w:rsidRPr="00400432" w:rsidRDefault="000C3B4C" w:rsidP="00400432">
            <w:pPr>
              <w:pStyle w:val="TblText"/>
            </w:pPr>
            <w:r>
              <w:t>25</w:t>
            </w:r>
            <w:r w:rsidR="002B2C22">
              <w:t>/0</w:t>
            </w:r>
            <w:r>
              <w:t>7</w:t>
            </w:r>
            <w:r w:rsidR="002B2C22">
              <w:t>/2025</w:t>
            </w:r>
            <w:r w:rsidR="002D1952">
              <w:t xml:space="preserve"> @ 12:00</w:t>
            </w:r>
          </w:p>
        </w:tc>
      </w:tr>
      <w:tr w:rsidR="00400432" w:rsidRPr="00400432" w14:paraId="66301268" w14:textId="77777777" w:rsidTr="36224BEA">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hemeColor="background2"/>
            </w:tcBorders>
            <w:shd w:val="clear" w:color="auto" w:fill="FFFFFF" w:themeFill="background2"/>
          </w:tcPr>
          <w:p w14:paraId="63343DB4" w14:textId="4049E29D" w:rsidR="00400432" w:rsidRPr="00400432" w:rsidRDefault="008E7553" w:rsidP="00400432">
            <w:pPr>
              <w:pStyle w:val="TblText"/>
            </w:pPr>
            <w:r>
              <w:t>11</w:t>
            </w:r>
            <w:r w:rsidR="002B2C22">
              <w:t>/0</w:t>
            </w:r>
            <w:r w:rsidR="009E5B3E">
              <w:t>8</w:t>
            </w:r>
            <w:r w:rsidR="002B2C22">
              <w:t>/2025</w:t>
            </w:r>
            <w:r w:rsidR="002D1952">
              <w:t xml:space="preserve"> @ 12:00</w:t>
            </w:r>
          </w:p>
        </w:tc>
      </w:tr>
      <w:tr w:rsidR="00400432" w:rsidRPr="00400432" w14:paraId="2D3D0936" w14:textId="77777777" w:rsidTr="36224BEA">
        <w:tc>
          <w:tcPr>
            <w:tcW w:w="4928"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hemeColor="background2"/>
            </w:tcBorders>
            <w:shd w:val="clear" w:color="auto" w:fill="E4E7F5"/>
          </w:tcPr>
          <w:p w14:paraId="2FF6E1B1" w14:textId="18BB5640" w:rsidR="00400432" w:rsidRPr="00400432" w:rsidRDefault="009E5B3E" w:rsidP="00400432">
            <w:pPr>
              <w:pStyle w:val="TblText"/>
            </w:pPr>
            <w:r>
              <w:t>w/c 1</w:t>
            </w:r>
            <w:r w:rsidR="002B2C22">
              <w:t>8/0</w:t>
            </w:r>
            <w:r>
              <w:t>8</w:t>
            </w:r>
            <w:r w:rsidR="002B2C22">
              <w:t>/2025</w:t>
            </w:r>
          </w:p>
        </w:tc>
      </w:tr>
      <w:tr w:rsidR="00400432" w:rsidRPr="00400432" w14:paraId="3E83975E" w14:textId="77777777" w:rsidTr="36224BEA">
        <w:tc>
          <w:tcPr>
            <w:tcW w:w="4928" w:type="dxa"/>
            <w:shd w:val="clear" w:color="auto" w:fill="FFFFFF" w:themeFill="background2"/>
          </w:tcPr>
          <w:p w14:paraId="19972227" w14:textId="440DBDA1" w:rsidR="00400432" w:rsidRPr="00400432" w:rsidRDefault="00400432" w:rsidP="00400432">
            <w:pPr>
              <w:pStyle w:val="TblText"/>
            </w:pPr>
            <w:r w:rsidRPr="00400432">
              <w:t xml:space="preserve">Project </w:t>
            </w:r>
            <w:r w:rsidR="0064278D">
              <w:t>Start-up meeting</w:t>
            </w:r>
          </w:p>
        </w:tc>
        <w:tc>
          <w:tcPr>
            <w:tcW w:w="3600" w:type="dxa"/>
            <w:shd w:val="clear" w:color="auto" w:fill="FFFFFF" w:themeFill="background2"/>
          </w:tcPr>
          <w:p w14:paraId="5605FB39" w14:textId="2B887365" w:rsidR="00400432" w:rsidRPr="00400432" w:rsidRDefault="00465E6B" w:rsidP="00400432">
            <w:pPr>
              <w:pStyle w:val="TblText"/>
            </w:pPr>
            <w:r>
              <w:t xml:space="preserve">w/c </w:t>
            </w:r>
            <w:r w:rsidR="002B2C22">
              <w:t>0</w:t>
            </w:r>
            <w:r w:rsidR="009E5B3E">
              <w:t>1</w:t>
            </w:r>
            <w:r w:rsidR="002B2C22">
              <w:t>/0</w:t>
            </w:r>
            <w:r w:rsidR="009E5B3E">
              <w:t>9</w:t>
            </w:r>
            <w:r w:rsidR="002B2C22">
              <w:t>/2025</w:t>
            </w:r>
          </w:p>
        </w:tc>
      </w:tr>
    </w:tbl>
    <w:p w14:paraId="3DFADB3D" w14:textId="77777777" w:rsidR="00433557" w:rsidRDefault="00433557" w:rsidP="000A0438">
      <w:pPr>
        <w:pStyle w:val="Heading3"/>
      </w:pPr>
      <w:bookmarkStart w:id="22" w:name="_Toc203656486"/>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bookmarkStart w:id="23" w:name="_Hlk187308838"/>
      <w:r>
        <w:t>Submission Process</w:t>
      </w:r>
    </w:p>
    <w:bookmarkEnd w:id="23"/>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6288F035" w14:textId="77777777" w:rsidR="00000449" w:rsidRDefault="00000449" w:rsidP="00433557"/>
    <w:p w14:paraId="18CAF52C" w14:textId="57464203" w:rsidR="567EF6F8" w:rsidRDefault="567EF6F8" w:rsidP="36224BEA">
      <w:pPr>
        <w:ind w:left="-20" w:right="-20"/>
      </w:pPr>
      <w:r w:rsidRPr="36224BEA">
        <w:rPr>
          <w:rFonts w:eastAsia="Arial" w:cs="Arial"/>
          <w:szCs w:val="24"/>
        </w:rPr>
        <w:lastRenderedPageBreak/>
        <w:t>The tender shall consist of two envelopes and bidders must submit the correct documents to the correct envelope as set out below:</w:t>
      </w:r>
    </w:p>
    <w:p w14:paraId="09F59168" w14:textId="3BE9FF7C" w:rsidR="567EF6F8" w:rsidRDefault="567EF6F8" w:rsidP="36224BEA">
      <w:pPr>
        <w:pStyle w:val="ListParagraph"/>
        <w:numPr>
          <w:ilvl w:val="0"/>
          <w:numId w:val="1"/>
        </w:numPr>
        <w:ind w:right="-20"/>
        <w:rPr>
          <w:rFonts w:eastAsia="Arial" w:cs="Arial"/>
          <w:szCs w:val="24"/>
        </w:rPr>
      </w:pPr>
      <w:r w:rsidRPr="36224BEA">
        <w:rPr>
          <w:rFonts w:eastAsia="Arial" w:cs="Arial"/>
          <w:b/>
          <w:bCs/>
          <w:szCs w:val="24"/>
        </w:rPr>
        <w:t>Technical Envelope</w:t>
      </w:r>
      <w:r w:rsidRPr="36224BEA">
        <w:rPr>
          <w:rFonts w:eastAsia="Arial" w:cs="Arial"/>
          <w:szCs w:val="24"/>
        </w:rPr>
        <w:t>: Quality response (Methodology, Delivery, Experience</w:t>
      </w:r>
      <w:r w:rsidR="77A3F6D2" w:rsidRPr="36224BEA">
        <w:rPr>
          <w:rFonts w:eastAsia="Arial" w:cs="Arial"/>
          <w:szCs w:val="24"/>
        </w:rPr>
        <w:t>), Disclaimer and Cyber Essentials or ISO27000 certification (or equivalent)</w:t>
      </w:r>
    </w:p>
    <w:p w14:paraId="54C291B4" w14:textId="6BFAECC1" w:rsidR="36224BEA" w:rsidRDefault="36224BEA" w:rsidP="36224BEA">
      <w:pPr>
        <w:pStyle w:val="ListParagraph"/>
        <w:ind w:right="-20"/>
        <w:rPr>
          <w:rFonts w:eastAsia="Arial" w:cs="Arial"/>
          <w:szCs w:val="24"/>
        </w:rPr>
      </w:pPr>
    </w:p>
    <w:p w14:paraId="6EEBA4B6" w14:textId="71699396" w:rsidR="77A3F6D2" w:rsidRDefault="77A3F6D2" w:rsidP="36224BEA">
      <w:pPr>
        <w:pStyle w:val="ListParagraph"/>
        <w:numPr>
          <w:ilvl w:val="0"/>
          <w:numId w:val="1"/>
        </w:numPr>
        <w:ind w:right="-20"/>
        <w:rPr>
          <w:rFonts w:eastAsia="Arial" w:cs="Arial"/>
          <w:szCs w:val="24"/>
        </w:rPr>
      </w:pPr>
      <w:r w:rsidRPr="36224BEA">
        <w:rPr>
          <w:rFonts w:eastAsia="Arial" w:cs="Arial"/>
          <w:b/>
          <w:bCs/>
          <w:szCs w:val="24"/>
        </w:rPr>
        <w:t>Commercial Envelope:</w:t>
      </w:r>
      <w:r w:rsidRPr="36224BEA">
        <w:rPr>
          <w:rFonts w:eastAsia="Arial" w:cs="Arial"/>
          <w:szCs w:val="24"/>
        </w:rPr>
        <w:t xml:space="preserve"> Price and Form of Tender</w:t>
      </w:r>
    </w:p>
    <w:p w14:paraId="78FF1853" w14:textId="29F59A80" w:rsidR="00433557" w:rsidRDefault="00433557" w:rsidP="00433557">
      <w:r>
        <w:t xml:space="preserve">If you are already registered on our </w:t>
      </w:r>
      <w:proofErr w:type="spellStart"/>
      <w:r>
        <w:t>eTendering</w:t>
      </w:r>
      <w:proofErr w:type="spellEnd"/>
      <w:r>
        <w:t xml:space="preserve"> portal but have forgotten your login details, please contact the portal administrator.</w:t>
      </w:r>
    </w:p>
    <w:p w14:paraId="6D553397" w14:textId="17C55AFB"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43433BBE" w14:textId="77777777" w:rsidR="00445FBE" w:rsidRDefault="00445FBE" w:rsidP="00445FBE">
      <w:pPr>
        <w:pStyle w:val="Heading4"/>
      </w:pPr>
      <w:r>
        <w:t>Debrief</w:t>
      </w:r>
    </w:p>
    <w:p w14:paraId="6DC89684" w14:textId="1B25BD11" w:rsidR="00445FBE" w:rsidRDefault="00445FBE" w:rsidP="00445FBE">
      <w:pPr>
        <w:pStyle w:val="Numberedparagraphdouble"/>
        <w:numPr>
          <w:ilvl w:val="0"/>
          <w:numId w:val="0"/>
        </w:numPr>
      </w:pPr>
      <w:r>
        <w:t xml:space="preserve">The debrief material shall contain comments and scores relevant to your tender. Bidders </w:t>
      </w:r>
      <w:r w:rsidRPr="00000449">
        <w:t>may seek clarification of the content, however no additional debriefs shall be offered.</w:t>
      </w:r>
      <w:r>
        <w:t xml:space="preserve"> We shall not disclose comments and scores relevant to other tenders other than the total score of the winning bidder.</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5"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5FE08B75"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w:t>
      </w:r>
      <w:r w:rsidR="003A2F43">
        <w:t xml:space="preserve">Short Form Services Agreement </w:t>
      </w:r>
      <w:r>
        <w:t xml:space="preserve">(see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 xml:space="preserve">ORR may be prepared to consider non-fundamental changes to the standard terms and conditions in exceptional circumstances.  If there are any areas where you feel you </w:t>
      </w:r>
      <w:proofErr w:type="gramStart"/>
      <w:r w:rsidRPr="00DB7BCE">
        <w:rPr>
          <w:b/>
          <w:bCs/>
        </w:rPr>
        <w:t>are not able to</w:t>
      </w:r>
      <w:proofErr w:type="gramEnd"/>
      <w:r w:rsidRPr="00DB7BCE">
        <w:rPr>
          <w:b/>
          <w:bCs/>
        </w:rPr>
        <w:t xml:space="preserve">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lastRenderedPageBreak/>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B839CE">
      <w:pPr>
        <w:pStyle w:val="Numberedparagraphdouble"/>
        <w:numPr>
          <w:ilvl w:val="0"/>
          <w:numId w:val="0"/>
        </w:numPr>
        <w:ind w:left="720"/>
      </w:pPr>
      <w:r>
        <w:t>contract price and any incentivisation mechanisms</w:t>
      </w:r>
    </w:p>
    <w:p w14:paraId="0C608C4C" w14:textId="4D5BAB55" w:rsidR="00D2517B" w:rsidRDefault="00D2517B" w:rsidP="00B839CE">
      <w:pPr>
        <w:pStyle w:val="Numberedparagraphdouble"/>
        <w:numPr>
          <w:ilvl w:val="0"/>
          <w:numId w:val="0"/>
        </w:numPr>
        <w:ind w:left="720"/>
      </w:pPr>
      <w:r>
        <w:t>performance metrics and management of them</w:t>
      </w:r>
    </w:p>
    <w:p w14:paraId="6EF2FC26" w14:textId="50C8AAC7" w:rsidR="00D2517B" w:rsidRDefault="00D2517B" w:rsidP="00B839CE">
      <w:pPr>
        <w:pStyle w:val="Numberedparagraphdouble"/>
        <w:numPr>
          <w:ilvl w:val="0"/>
          <w:numId w:val="0"/>
        </w:numPr>
        <w:ind w:left="720"/>
      </w:pPr>
      <w:r>
        <w:t>plans for management of underperformance and its financial impact</w:t>
      </w:r>
    </w:p>
    <w:p w14:paraId="7AC03503" w14:textId="62F75FFB" w:rsidR="00D2517B" w:rsidRDefault="00D2517B" w:rsidP="00B839CE">
      <w:pPr>
        <w:pStyle w:val="Numberedparagraphdouble"/>
        <w:numPr>
          <w:ilvl w:val="0"/>
          <w:numId w:val="0"/>
        </w:numPr>
        <w:ind w:left="720"/>
      </w:pPr>
      <w:r>
        <w:t>governance arrangements including through supply chains where significant contract value rests with subcontractors</w:t>
      </w:r>
    </w:p>
    <w:p w14:paraId="3ABEB3FE" w14:textId="39B3AE4E" w:rsidR="00D2517B" w:rsidRDefault="00D2517B" w:rsidP="00B839CE">
      <w:pPr>
        <w:pStyle w:val="Numberedparagraphdouble"/>
        <w:numPr>
          <w:ilvl w:val="0"/>
          <w:numId w:val="0"/>
        </w:numPr>
        <w:ind w:left="720"/>
      </w:pPr>
      <w:r>
        <w:t>resource plans</w:t>
      </w:r>
    </w:p>
    <w:p w14:paraId="410BF383" w14:textId="3D32CA97" w:rsidR="00D2517B" w:rsidRDefault="00D2517B" w:rsidP="00B839CE">
      <w:pPr>
        <w:pStyle w:val="Numberedparagraphdouble"/>
        <w:numPr>
          <w:ilvl w:val="0"/>
          <w:numId w:val="0"/>
        </w:numPr>
        <w:ind w:left="720"/>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w:t>
      </w:r>
      <w:proofErr w:type="gramStart"/>
      <w:r>
        <w:t>current;</w:t>
      </w:r>
      <w:proofErr w:type="gramEnd"/>
      <w:r>
        <w:t xml:space="preserve">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w:t>
      </w:r>
      <w:r>
        <w:lastRenderedPageBreak/>
        <w:t>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26"/>
          <w:headerReference w:type="default" r:id="rId27"/>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59991E9D">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0BFE59CF" w:rsidR="00D25F7E" w:rsidRDefault="00D25F7E" w:rsidP="00D25F7E">
      <w:pPr>
        <w:pStyle w:val="Copyrighttext"/>
      </w:pPr>
      <w:r>
        <w:t>© Crown copyright 202</w:t>
      </w:r>
      <w:r w:rsidR="00F57347">
        <w:t>5</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9"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2BAE3FE" w:rsidR="008F0B87" w:rsidRDefault="00D25F7E" w:rsidP="49F518E0">
      <w:pPr>
        <w:pStyle w:val="Copyrighttext"/>
      </w:pPr>
      <w:r>
        <w:t xml:space="preserve">This publication is available at </w:t>
      </w:r>
      <w:hyperlink r:id="rId30">
        <w:r w:rsidR="74B3C0C4" w:rsidRPr="49F518E0">
          <w:rPr>
            <w:rStyle w:val="Hyperlink"/>
          </w:rPr>
          <w:t>Find a Tender</w:t>
        </w:r>
      </w:hyperlink>
    </w:p>
    <w:p w14:paraId="2D68CC5D" w14:textId="2AE9329A" w:rsidR="00D25F7E" w:rsidRPr="00D25F7E" w:rsidRDefault="00D25F7E" w:rsidP="00D25F7E">
      <w:pPr>
        <w:pStyle w:val="Copyrighttext"/>
      </w:pPr>
      <w:r>
        <w:t xml:space="preserve">Any enquiries regarding this publication should be sent to us at </w:t>
      </w:r>
      <w:hyperlink r:id="rId31" w:history="1">
        <w:r w:rsidR="008F0B87" w:rsidRPr="00C9621C">
          <w:rPr>
            <w:rStyle w:val="Hyperlink"/>
          </w:rPr>
          <w:t>procurementteam@orr.gov.uk</w:t>
        </w:r>
      </w:hyperlink>
      <w:r w:rsidR="008F0B87">
        <w:t xml:space="preserve"> </w:t>
      </w:r>
    </w:p>
    <w:sectPr w:rsidR="00D25F7E" w:rsidRPr="00D25F7E" w:rsidSect="00D25F7E">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CA9B" w14:textId="77777777" w:rsidR="00B51E2F" w:rsidRDefault="00B51E2F" w:rsidP="00555585">
      <w:pPr>
        <w:spacing w:after="0" w:line="240" w:lineRule="auto"/>
      </w:pPr>
      <w:r>
        <w:separator/>
      </w:r>
    </w:p>
  </w:endnote>
  <w:endnote w:type="continuationSeparator" w:id="0">
    <w:p w14:paraId="47BCA6CC" w14:textId="77777777" w:rsidR="00B51E2F" w:rsidRDefault="00B51E2F" w:rsidP="00555585">
      <w:pPr>
        <w:spacing w:after="0" w:line="240" w:lineRule="auto"/>
      </w:pPr>
      <w:r>
        <w:continuationSeparator/>
      </w:r>
    </w:p>
  </w:endnote>
  <w:endnote w:type="continuationNotice" w:id="1">
    <w:p w14:paraId="6079C5F4" w14:textId="77777777" w:rsidR="00B51E2F" w:rsidRDefault="00B51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A768" w14:textId="77777777" w:rsidR="00B51E2F" w:rsidRDefault="00B51E2F" w:rsidP="00555585">
      <w:pPr>
        <w:spacing w:after="0" w:line="240" w:lineRule="auto"/>
      </w:pPr>
      <w:r>
        <w:separator/>
      </w:r>
    </w:p>
  </w:footnote>
  <w:footnote w:type="continuationSeparator" w:id="0">
    <w:p w14:paraId="643FE9BD" w14:textId="77777777" w:rsidR="00B51E2F" w:rsidRDefault="00B51E2F" w:rsidP="00555585">
      <w:pPr>
        <w:spacing w:after="0" w:line="240" w:lineRule="auto"/>
      </w:pPr>
      <w:r>
        <w:continuationSeparator/>
      </w:r>
    </w:p>
  </w:footnote>
  <w:footnote w:type="continuationNotice" w:id="1">
    <w:p w14:paraId="564519D4" w14:textId="77777777" w:rsidR="00B51E2F" w:rsidRDefault="00B51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bmkContents"/>
  <w:bookmarkEnd w:id="3"/>
  <w:p w14:paraId="787800DB" w14:textId="5484861F"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C57507" w:rsidRPr="00C5750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C57507">
      <w:instrText>Office of Rail and Road</w:instrText>
    </w:r>
    <w:r>
      <w:fldChar w:fldCharType="end"/>
    </w:r>
    <w:r w:rsidRPr="00AC3B7A">
      <w:instrText xml:space="preserve"> \* MERGEFORMAT </w:instrText>
    </w:r>
    <w:r w:rsidRPr="00A1673D">
      <w:fldChar w:fldCharType="separate"/>
    </w:r>
    <w:r w:rsidR="00C57507">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00C57507" w:rsidRPr="00C57507">
        <w:rPr>
          <w:b w:val="0"/>
          <w:bCs/>
          <w:lang w:val="en-US"/>
        </w:rPr>
        <w:instrText>ITT</w:instrText>
      </w:r>
    </w:fldSimple>
    <w:r w:rsidRPr="00AC3B7A">
      <w:instrText xml:space="preserve"> = "Error! No document variable supplied." " " </w:instrText>
    </w:r>
    <w:fldSimple w:instr="DOCVARIABLE  txtHdr \* MERGEFORMAT">
      <w:r w:rsidR="00C57507">
        <w:instrText>ITT</w:instrText>
      </w:r>
    </w:fldSimple>
    <w:r w:rsidRPr="00AC3B7A">
      <w:instrText xml:space="preserve"> \* MERGEFORMAT </w:instrText>
    </w:r>
    <w:r w:rsidRPr="00A1673D">
      <w:fldChar w:fldCharType="separate"/>
    </w:r>
    <w:r w:rsidR="00C57507">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EF3B" w14:textId="2C4B0BEA"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00C57507" w:rsidRPr="00C57507">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rsidR="00C57507">
      <w:instrText>Office of Rail and Road</w:instrText>
    </w:r>
    <w:r>
      <w:fldChar w:fldCharType="end"/>
    </w:r>
    <w:r w:rsidRPr="00AC3B7A">
      <w:instrText xml:space="preserve"> \* MERGEFORMAT </w:instrText>
    </w:r>
    <w:r w:rsidRPr="00A1673D">
      <w:fldChar w:fldCharType="separate"/>
    </w:r>
    <w:r w:rsidR="00C57507">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00C57507" w:rsidRPr="00C57507">
        <w:rPr>
          <w:b w:val="0"/>
          <w:bCs/>
          <w:lang w:val="en-US"/>
        </w:rPr>
        <w:instrText>ITT</w:instrText>
      </w:r>
    </w:fldSimple>
    <w:r w:rsidRPr="00AC3B7A">
      <w:instrText xml:space="preserve"> = "Error! No document variable supplied." " " </w:instrText>
    </w:r>
    <w:fldSimple w:instr="DOCVARIABLE  txtHdr \* MERGEFORMAT">
      <w:r w:rsidR="00C57507">
        <w:instrText>ITT</w:instrText>
      </w:r>
    </w:fldSimple>
    <w:r w:rsidRPr="00AC3B7A">
      <w:instrText xml:space="preserve"> \* MERGEFORMAT </w:instrText>
    </w:r>
    <w:r w:rsidRPr="00A1673D">
      <w:fldChar w:fldCharType="separate"/>
    </w:r>
    <w:r w:rsidR="00C57507">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3AF1" w14:textId="77777777" w:rsidR="00852E5A" w:rsidRPr="00FC6860" w:rsidRDefault="00852E5A" w:rsidP="00FC6860">
    <w:pPr>
      <w:pStyle w:val="Header"/>
    </w:pPr>
    <w:bookmarkStart w:id="24" w:name="bmkBackPage"/>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292"/>
    <w:multiLevelType w:val="hybridMultilevel"/>
    <w:tmpl w:val="2B7ECE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B8B7D0D"/>
    <w:multiLevelType w:val="hybridMultilevel"/>
    <w:tmpl w:val="549C4E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CD4621B"/>
    <w:multiLevelType w:val="multilevel"/>
    <w:tmpl w:val="0B3EB1C4"/>
    <w:numStyleLink w:val="ORRBoxed"/>
  </w:abstractNum>
  <w:abstractNum w:abstractNumId="5"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8439F5"/>
    <w:multiLevelType w:val="multilevel"/>
    <w:tmpl w:val="0B3EB1C4"/>
    <w:numStyleLink w:val="ORRBoxed"/>
  </w:abstractNum>
  <w:abstractNum w:abstractNumId="7" w15:restartNumberingAfterBreak="0">
    <w:nsid w:val="138756B1"/>
    <w:multiLevelType w:val="multilevel"/>
    <w:tmpl w:val="D79C245A"/>
    <w:numStyleLink w:val="ORRNormalList"/>
  </w:abstractNum>
  <w:abstractNum w:abstractNumId="8"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253268" w:themeColor="text2"/>
      </w:rPr>
    </w:lvl>
    <w:lvl w:ilvl="5">
      <w:start w:val="1"/>
      <w:numFmt w:val="bullet"/>
      <w:lvlText w:val="–"/>
      <w:lvlJc w:val="left"/>
      <w:pPr>
        <w:tabs>
          <w:tab w:val="num" w:pos="1701"/>
        </w:tabs>
        <w:ind w:left="1701" w:hanging="567"/>
      </w:pPr>
      <w:rPr>
        <w:rFonts w:ascii="Arial" w:hAnsi="Arial" w:hint="default"/>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20D24D6D"/>
    <w:multiLevelType w:val="hybridMultilevel"/>
    <w:tmpl w:val="1AA0EA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336443"/>
    <w:multiLevelType w:val="multilevel"/>
    <w:tmpl w:val="FEF47FD2"/>
    <w:numStyleLink w:val="ORRSummary"/>
  </w:abstractNum>
  <w:abstractNum w:abstractNumId="12" w15:restartNumberingAfterBreak="0">
    <w:nsid w:val="28296852"/>
    <w:multiLevelType w:val="multilevel"/>
    <w:tmpl w:val="D79C245A"/>
    <w:numStyleLink w:val="ORRNormalList"/>
  </w:abstractNum>
  <w:abstractNum w:abstractNumId="13" w15:restartNumberingAfterBreak="0">
    <w:nsid w:val="32F51AC2"/>
    <w:multiLevelType w:val="hybridMultilevel"/>
    <w:tmpl w:val="78780C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9A76BCC"/>
    <w:multiLevelType w:val="multilevel"/>
    <w:tmpl w:val="D79C245A"/>
    <w:numStyleLink w:val="ORRNormalList"/>
  </w:abstractNum>
  <w:abstractNum w:abstractNumId="15"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D441E7C"/>
    <w:multiLevelType w:val="hybridMultilevel"/>
    <w:tmpl w:val="7E5C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8332B"/>
    <w:multiLevelType w:val="hybridMultilevel"/>
    <w:tmpl w:val="585ADD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EA26E1A"/>
    <w:multiLevelType w:val="hybridMultilevel"/>
    <w:tmpl w:val="9398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B5352BF"/>
    <w:multiLevelType w:val="multilevel"/>
    <w:tmpl w:val="0B3EB1C4"/>
    <w:styleLink w:val="ORRBoxed"/>
    <w:lvl w:ilvl="0">
      <w:start w:val="1"/>
      <w:numFmt w:val="none"/>
      <w:suff w:val="nothing"/>
      <w:lvlText w:val=""/>
      <w:lvlJc w:val="left"/>
      <w:pPr>
        <w:ind w:left="0" w:firstLine="0"/>
      </w:pPr>
      <w:rPr>
        <w:rFonts w:hint="default"/>
        <w:color w:val="253268" w:themeColor="text2"/>
        <w:szCs w:val="28"/>
      </w:rPr>
    </w:lvl>
    <w:lvl w:ilvl="1">
      <w:start w:val="1"/>
      <w:numFmt w:val="bullet"/>
      <w:lvlText w:val="●"/>
      <w:lvlJc w:val="left"/>
      <w:pPr>
        <w:tabs>
          <w:tab w:val="num" w:pos="567"/>
        </w:tabs>
        <w:ind w:left="567" w:hanging="567"/>
      </w:pPr>
      <w:rPr>
        <w:rFonts w:ascii="Arial" w:hAnsi="Arial" w:hint="default"/>
        <w:color w:val="253268" w:themeColor="text2"/>
      </w:rPr>
    </w:lvl>
    <w:lvl w:ilvl="2">
      <w:start w:val="1"/>
      <w:numFmt w:val="none"/>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23" w15:restartNumberingAfterBreak="0">
    <w:nsid w:val="61D317BC"/>
    <w:multiLevelType w:val="multilevel"/>
    <w:tmpl w:val="6B204466"/>
    <w:styleLink w:val="ORRAnnex"/>
    <w:lvl w:ilvl="0">
      <w:start w:val="1"/>
      <w:numFmt w:val="upperLetter"/>
      <w:lvlText w:val="Annex %1:"/>
      <w:lvlJc w:val="left"/>
      <w:pPr>
        <w:tabs>
          <w:tab w:val="num" w:pos="2552"/>
        </w:tabs>
        <w:ind w:left="2552" w:hanging="2552"/>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decimal"/>
      <w:lvlText w:val="(%5)"/>
      <w:lvlJc w:val="left"/>
      <w:pPr>
        <w:tabs>
          <w:tab w:val="num" w:pos="2552"/>
        </w:tabs>
        <w:ind w:left="2552" w:hanging="567"/>
      </w:pPr>
      <w:rPr>
        <w:rFonts w:hint="default"/>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Calibri" w:hAnsi="Calibri" w:hint="default"/>
        <w:color w:val="253268" w:themeColor="text2"/>
      </w:rPr>
    </w:lvl>
    <w:lvl w:ilvl="7">
      <w:start w:val="1"/>
      <w:numFmt w:val="decimal"/>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24" w15:restartNumberingAfterBreak="0">
    <w:nsid w:val="68AB38B9"/>
    <w:multiLevelType w:val="hybridMultilevel"/>
    <w:tmpl w:val="761CA9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8BD5682"/>
    <w:multiLevelType w:val="multilevel"/>
    <w:tmpl w:val="EAD453D0"/>
    <w:numStyleLink w:val="NumbListHighlight"/>
  </w:abstractNum>
  <w:abstractNum w:abstractNumId="26"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D0CEE"/>
    <w:multiLevelType w:val="multilevel"/>
    <w:tmpl w:val="61544E3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5E340F"/>
    <w:multiLevelType w:val="hybridMultilevel"/>
    <w:tmpl w:val="AE6C03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0" w15:restartNumberingAfterBreak="0">
    <w:nsid w:val="72FA3D1E"/>
    <w:multiLevelType w:val="hybridMultilevel"/>
    <w:tmpl w:val="424A98CE"/>
    <w:lvl w:ilvl="0" w:tplc="57EEC2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C62AB"/>
    <w:multiLevelType w:val="multilevel"/>
    <w:tmpl w:val="6B204466"/>
    <w:numStyleLink w:val="ORRAnnex"/>
  </w:abstractNum>
  <w:abstractNum w:abstractNumId="32" w15:restartNumberingAfterBreak="0">
    <w:nsid w:val="7C885358"/>
    <w:multiLevelType w:val="hybridMultilevel"/>
    <w:tmpl w:val="39A00D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DDA5CB4"/>
    <w:multiLevelType w:val="multilevel"/>
    <w:tmpl w:val="6B204466"/>
    <w:numStyleLink w:val="ORRAnnex"/>
  </w:abstractNum>
  <w:num w:numId="1" w16cid:durableId="1643778289">
    <w:abstractNumId w:val="22"/>
  </w:num>
  <w:num w:numId="2" w16cid:durableId="1233007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43250">
    <w:abstractNumId w:val="29"/>
  </w:num>
  <w:num w:numId="4" w16cid:durableId="615990203">
    <w:abstractNumId w:val="8"/>
  </w:num>
  <w:num w:numId="5" w16cid:durableId="1539008159">
    <w:abstractNumId w:val="21"/>
  </w:num>
  <w:num w:numId="6" w16cid:durableId="1334801291">
    <w:abstractNumId w:val="9"/>
  </w:num>
  <w:num w:numId="7" w16cid:durableId="116142554">
    <w:abstractNumId w:val="14"/>
  </w:num>
  <w:num w:numId="8" w16cid:durableId="1708795862">
    <w:abstractNumId w:val="11"/>
  </w:num>
  <w:num w:numId="9" w16cid:durableId="1432780497">
    <w:abstractNumId w:val="6"/>
  </w:num>
  <w:num w:numId="10" w16cid:durableId="35012236">
    <w:abstractNumId w:val="5"/>
    <w:lvlOverride w:ilvl="1">
      <w:lvl w:ilvl="1">
        <w:start w:val="1"/>
        <w:numFmt w:val="decimal"/>
        <w:pStyle w:val="Numberedparagraphdouble"/>
        <w:lvlText w:val="%1.%2"/>
        <w:lvlJc w:val="left"/>
        <w:pPr>
          <w:tabs>
            <w:tab w:val="num" w:pos="851"/>
          </w:tabs>
          <w:ind w:left="851" w:hanging="851"/>
        </w:pPr>
        <w:rPr>
          <w:rFonts w:hint="default"/>
        </w:rPr>
      </w:lvl>
    </w:lvlOverride>
  </w:num>
  <w:num w:numId="11" w16cid:durableId="711077664">
    <w:abstractNumId w:val="1"/>
  </w:num>
  <w:num w:numId="12" w16cid:durableId="1604993918">
    <w:abstractNumId w:val="25"/>
  </w:num>
  <w:num w:numId="13" w16cid:durableId="435447028">
    <w:abstractNumId w:val="23"/>
  </w:num>
  <w:num w:numId="14" w16cid:durableId="2048019962">
    <w:abstractNumId w:val="31"/>
  </w:num>
  <w:num w:numId="15" w16cid:durableId="2025738407">
    <w:abstractNumId w:val="25"/>
  </w:num>
  <w:num w:numId="16" w16cid:durableId="150879135">
    <w:abstractNumId w:val="25"/>
  </w:num>
  <w:num w:numId="17" w16cid:durableId="891042484">
    <w:abstractNumId w:val="25"/>
  </w:num>
  <w:num w:numId="18" w16cid:durableId="727414043">
    <w:abstractNumId w:val="23"/>
  </w:num>
  <w:num w:numId="19" w16cid:durableId="1027833524">
    <w:abstractNumId w:val="2"/>
  </w:num>
  <w:num w:numId="20" w16cid:durableId="50661355">
    <w:abstractNumId w:val="7"/>
    <w:lvlOverride w:ilvl="4">
      <w:lvl w:ilvl="4">
        <w:start w:val="1"/>
        <w:numFmt w:val="bullet"/>
        <w:lvlText w:val="●"/>
        <w:lvlJc w:val="left"/>
        <w:pPr>
          <w:tabs>
            <w:tab w:val="num" w:pos="1134"/>
          </w:tabs>
          <w:ind w:left="1134" w:hanging="567"/>
        </w:pPr>
        <w:rPr>
          <w:rFonts w:ascii="Arial" w:hAnsi="Arial" w:hint="default"/>
          <w:color w:val="253268" w:themeColor="text2"/>
        </w:rPr>
      </w:lvl>
    </w:lvlOverride>
  </w:num>
  <w:num w:numId="21" w16cid:durableId="1446195555">
    <w:abstractNumId w:val="5"/>
  </w:num>
  <w:num w:numId="22" w16cid:durableId="558327301">
    <w:abstractNumId w:val="33"/>
  </w:num>
  <w:num w:numId="23" w16cid:durableId="463500638">
    <w:abstractNumId w:val="18"/>
  </w:num>
  <w:num w:numId="24" w16cid:durableId="1527019102">
    <w:abstractNumId w:val="4"/>
  </w:num>
  <w:num w:numId="25" w16cid:durableId="1992102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1438">
    <w:abstractNumId w:val="12"/>
  </w:num>
  <w:num w:numId="27" w16cid:durableId="1830293373">
    <w:abstractNumId w:val="26"/>
  </w:num>
  <w:num w:numId="28"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4356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8570">
    <w:abstractNumId w:val="20"/>
  </w:num>
  <w:num w:numId="34" w16cid:durableId="1325864055">
    <w:abstractNumId w:val="16"/>
  </w:num>
  <w:num w:numId="35" w16cid:durableId="1584486256">
    <w:abstractNumId w:val="30"/>
  </w:num>
  <w:num w:numId="36" w16cid:durableId="1685400674">
    <w:abstractNumId w:val="27"/>
  </w:num>
  <w:num w:numId="37" w16cid:durableId="2052727421">
    <w:abstractNumId w:val="17"/>
  </w:num>
  <w:num w:numId="38" w16cid:durableId="1171680459">
    <w:abstractNumId w:val="0"/>
  </w:num>
  <w:num w:numId="39" w16cid:durableId="2059864300">
    <w:abstractNumId w:val="7"/>
    <w:lvlOverride w:ilvl="4">
      <w:lvl w:ilvl="4">
        <w:start w:val="1"/>
        <w:numFmt w:val="bullet"/>
        <w:lvlText w:val="●"/>
        <w:lvlJc w:val="left"/>
        <w:pPr>
          <w:tabs>
            <w:tab w:val="num" w:pos="1134"/>
          </w:tabs>
          <w:ind w:left="1134" w:hanging="567"/>
        </w:pPr>
        <w:rPr>
          <w:rFonts w:ascii="Arial" w:hAnsi="Arial" w:hint="default"/>
          <w:color w:val="auto"/>
        </w:rPr>
      </w:lvl>
    </w:lvlOverride>
  </w:num>
  <w:num w:numId="40" w16cid:durableId="1506675184">
    <w:abstractNumId w:val="7"/>
    <w:lvlOverride w:ilvl="4">
      <w:lvl w:ilvl="4">
        <w:start w:val="1"/>
        <w:numFmt w:val="bullet"/>
        <w:lvlText w:val="●"/>
        <w:lvlJc w:val="left"/>
        <w:pPr>
          <w:tabs>
            <w:tab w:val="num" w:pos="1134"/>
          </w:tabs>
          <w:ind w:left="1134" w:hanging="567"/>
        </w:pPr>
        <w:rPr>
          <w:rFonts w:ascii="Arial" w:hAnsi="Arial" w:hint="default"/>
          <w:color w:val="auto"/>
        </w:rPr>
      </w:lvl>
    </w:lvlOverride>
  </w:num>
  <w:num w:numId="41" w16cid:durableId="693194487">
    <w:abstractNumId w:val="7"/>
    <w:lvlOverride w:ilvl="4">
      <w:lvl w:ilvl="4">
        <w:start w:val="1"/>
        <w:numFmt w:val="bullet"/>
        <w:lvlText w:val="●"/>
        <w:lvlJc w:val="left"/>
        <w:pPr>
          <w:tabs>
            <w:tab w:val="num" w:pos="1134"/>
          </w:tabs>
          <w:ind w:left="1134" w:hanging="567"/>
        </w:pPr>
        <w:rPr>
          <w:rFonts w:ascii="Arial" w:hAnsi="Arial" w:hint="default"/>
          <w:color w:val="auto"/>
        </w:rPr>
      </w:lvl>
    </w:lvlOverride>
  </w:num>
  <w:num w:numId="42" w16cid:durableId="1529415668">
    <w:abstractNumId w:val="7"/>
    <w:lvlOverride w:ilvl="4">
      <w:lvl w:ilvl="4">
        <w:start w:val="1"/>
        <w:numFmt w:val="bullet"/>
        <w:lvlText w:val="●"/>
        <w:lvlJc w:val="left"/>
        <w:pPr>
          <w:tabs>
            <w:tab w:val="num" w:pos="1134"/>
          </w:tabs>
          <w:ind w:left="1134" w:hanging="567"/>
        </w:pPr>
        <w:rPr>
          <w:rFonts w:ascii="Arial" w:hAnsi="Arial" w:hint="default"/>
          <w:color w:val="auto"/>
        </w:rPr>
      </w:lvl>
    </w:lvlOverride>
  </w:num>
  <w:num w:numId="43" w16cid:durableId="315381600">
    <w:abstractNumId w:val="19"/>
  </w:num>
  <w:num w:numId="44" w16cid:durableId="510920079">
    <w:abstractNumId w:val="24"/>
  </w:num>
  <w:num w:numId="45" w16cid:durableId="490217608">
    <w:abstractNumId w:val="13"/>
  </w:num>
  <w:num w:numId="46" w16cid:durableId="6293640">
    <w:abstractNumId w:val="32"/>
  </w:num>
  <w:num w:numId="47" w16cid:durableId="936324882">
    <w:abstractNumId w:val="28"/>
  </w:num>
  <w:num w:numId="48" w16cid:durableId="1537546918">
    <w:abstractNumId w:val="3"/>
  </w:num>
  <w:num w:numId="49" w16cid:durableId="185992714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449"/>
    <w:rsid w:val="00000EFE"/>
    <w:rsid w:val="000016D5"/>
    <w:rsid w:val="00002819"/>
    <w:rsid w:val="000032A5"/>
    <w:rsid w:val="000216F9"/>
    <w:rsid w:val="0002210B"/>
    <w:rsid w:val="000306CF"/>
    <w:rsid w:val="0003350C"/>
    <w:rsid w:val="00036DEB"/>
    <w:rsid w:val="00037BD2"/>
    <w:rsid w:val="00042B65"/>
    <w:rsid w:val="00043DA2"/>
    <w:rsid w:val="0004428A"/>
    <w:rsid w:val="00045A0A"/>
    <w:rsid w:val="0005181F"/>
    <w:rsid w:val="00057DBB"/>
    <w:rsid w:val="00060052"/>
    <w:rsid w:val="00066737"/>
    <w:rsid w:val="000735F1"/>
    <w:rsid w:val="0007608B"/>
    <w:rsid w:val="00076B67"/>
    <w:rsid w:val="00080678"/>
    <w:rsid w:val="0008177B"/>
    <w:rsid w:val="00082DAA"/>
    <w:rsid w:val="000833AF"/>
    <w:rsid w:val="00084783"/>
    <w:rsid w:val="00084972"/>
    <w:rsid w:val="0008514C"/>
    <w:rsid w:val="00085CC1"/>
    <w:rsid w:val="000876CB"/>
    <w:rsid w:val="0009126F"/>
    <w:rsid w:val="0009203F"/>
    <w:rsid w:val="000A0438"/>
    <w:rsid w:val="000A37F2"/>
    <w:rsid w:val="000A6DE7"/>
    <w:rsid w:val="000B0266"/>
    <w:rsid w:val="000B07CF"/>
    <w:rsid w:val="000B309A"/>
    <w:rsid w:val="000B6176"/>
    <w:rsid w:val="000C220D"/>
    <w:rsid w:val="000C2704"/>
    <w:rsid w:val="000C3B4C"/>
    <w:rsid w:val="000C45DD"/>
    <w:rsid w:val="000C7B66"/>
    <w:rsid w:val="000D2970"/>
    <w:rsid w:val="000E135E"/>
    <w:rsid w:val="000E1CFC"/>
    <w:rsid w:val="000E5AB1"/>
    <w:rsid w:val="000E5E49"/>
    <w:rsid w:val="000F4554"/>
    <w:rsid w:val="000F5529"/>
    <w:rsid w:val="000F70BB"/>
    <w:rsid w:val="000F7BB6"/>
    <w:rsid w:val="001012B6"/>
    <w:rsid w:val="00102F62"/>
    <w:rsid w:val="00120892"/>
    <w:rsid w:val="00121293"/>
    <w:rsid w:val="0012193D"/>
    <w:rsid w:val="0012424B"/>
    <w:rsid w:val="00124D1D"/>
    <w:rsid w:val="0013554A"/>
    <w:rsid w:val="00137015"/>
    <w:rsid w:val="00141746"/>
    <w:rsid w:val="00142694"/>
    <w:rsid w:val="001526A6"/>
    <w:rsid w:val="00155088"/>
    <w:rsid w:val="0015625B"/>
    <w:rsid w:val="00156D5F"/>
    <w:rsid w:val="00157E4C"/>
    <w:rsid w:val="001603AE"/>
    <w:rsid w:val="00160B26"/>
    <w:rsid w:val="00162B03"/>
    <w:rsid w:val="001659DD"/>
    <w:rsid w:val="00167308"/>
    <w:rsid w:val="00171E62"/>
    <w:rsid w:val="00174F1D"/>
    <w:rsid w:val="00175A76"/>
    <w:rsid w:val="001768F1"/>
    <w:rsid w:val="00180E47"/>
    <w:rsid w:val="001829CF"/>
    <w:rsid w:val="001858EB"/>
    <w:rsid w:val="00194E09"/>
    <w:rsid w:val="00195C79"/>
    <w:rsid w:val="001A00F0"/>
    <w:rsid w:val="001A1058"/>
    <w:rsid w:val="001A2A9F"/>
    <w:rsid w:val="001A45E7"/>
    <w:rsid w:val="001B3FD8"/>
    <w:rsid w:val="001B54A7"/>
    <w:rsid w:val="001B551F"/>
    <w:rsid w:val="001B5A48"/>
    <w:rsid w:val="001B62CD"/>
    <w:rsid w:val="001B71F8"/>
    <w:rsid w:val="001C0127"/>
    <w:rsid w:val="001C149F"/>
    <w:rsid w:val="001C60A4"/>
    <w:rsid w:val="001D0D88"/>
    <w:rsid w:val="001D1536"/>
    <w:rsid w:val="001D590D"/>
    <w:rsid w:val="001D5DF3"/>
    <w:rsid w:val="001E23F4"/>
    <w:rsid w:val="001E7C87"/>
    <w:rsid w:val="001F1140"/>
    <w:rsid w:val="001F4F0C"/>
    <w:rsid w:val="001F55B8"/>
    <w:rsid w:val="00200B82"/>
    <w:rsid w:val="00201171"/>
    <w:rsid w:val="0020297B"/>
    <w:rsid w:val="002063AE"/>
    <w:rsid w:val="002064AF"/>
    <w:rsid w:val="002077FD"/>
    <w:rsid w:val="0021084B"/>
    <w:rsid w:val="00210CF2"/>
    <w:rsid w:val="0021141B"/>
    <w:rsid w:val="00213108"/>
    <w:rsid w:val="0021395E"/>
    <w:rsid w:val="002141AA"/>
    <w:rsid w:val="002162D4"/>
    <w:rsid w:val="00220F85"/>
    <w:rsid w:val="0022209D"/>
    <w:rsid w:val="00224950"/>
    <w:rsid w:val="00225D2C"/>
    <w:rsid w:val="00225EFD"/>
    <w:rsid w:val="002265A5"/>
    <w:rsid w:val="002302F2"/>
    <w:rsid w:val="00240410"/>
    <w:rsid w:val="002459ED"/>
    <w:rsid w:val="00246564"/>
    <w:rsid w:val="0025242F"/>
    <w:rsid w:val="00257BE5"/>
    <w:rsid w:val="00272200"/>
    <w:rsid w:val="00276C64"/>
    <w:rsid w:val="00282136"/>
    <w:rsid w:val="0028224A"/>
    <w:rsid w:val="0028433A"/>
    <w:rsid w:val="00286CF2"/>
    <w:rsid w:val="0028735A"/>
    <w:rsid w:val="0029283C"/>
    <w:rsid w:val="00293D38"/>
    <w:rsid w:val="00295FB0"/>
    <w:rsid w:val="00297104"/>
    <w:rsid w:val="002B2C22"/>
    <w:rsid w:val="002B7995"/>
    <w:rsid w:val="002C5A50"/>
    <w:rsid w:val="002C6E70"/>
    <w:rsid w:val="002D0E5B"/>
    <w:rsid w:val="002D1952"/>
    <w:rsid w:val="002D2997"/>
    <w:rsid w:val="002D3609"/>
    <w:rsid w:val="002D3643"/>
    <w:rsid w:val="002D46DA"/>
    <w:rsid w:val="002E0886"/>
    <w:rsid w:val="002E2DAD"/>
    <w:rsid w:val="002E7122"/>
    <w:rsid w:val="002F111F"/>
    <w:rsid w:val="002F20F6"/>
    <w:rsid w:val="002F2791"/>
    <w:rsid w:val="002F5466"/>
    <w:rsid w:val="002F56B7"/>
    <w:rsid w:val="0030237B"/>
    <w:rsid w:val="003027B1"/>
    <w:rsid w:val="00311FD5"/>
    <w:rsid w:val="003155CF"/>
    <w:rsid w:val="003247A4"/>
    <w:rsid w:val="00330097"/>
    <w:rsid w:val="003366E7"/>
    <w:rsid w:val="0034288F"/>
    <w:rsid w:val="00343838"/>
    <w:rsid w:val="00347F87"/>
    <w:rsid w:val="00350594"/>
    <w:rsid w:val="003543C0"/>
    <w:rsid w:val="0035753E"/>
    <w:rsid w:val="00362751"/>
    <w:rsid w:val="0036504A"/>
    <w:rsid w:val="00371D8F"/>
    <w:rsid w:val="00372316"/>
    <w:rsid w:val="00372ABD"/>
    <w:rsid w:val="00374BAE"/>
    <w:rsid w:val="003764B8"/>
    <w:rsid w:val="003813C5"/>
    <w:rsid w:val="00384699"/>
    <w:rsid w:val="00385387"/>
    <w:rsid w:val="00385F6B"/>
    <w:rsid w:val="00386AF7"/>
    <w:rsid w:val="00386E0A"/>
    <w:rsid w:val="003A16E9"/>
    <w:rsid w:val="003A2F43"/>
    <w:rsid w:val="003A38D1"/>
    <w:rsid w:val="003B008E"/>
    <w:rsid w:val="003B09D0"/>
    <w:rsid w:val="003B1008"/>
    <w:rsid w:val="003B1A86"/>
    <w:rsid w:val="003B27DE"/>
    <w:rsid w:val="003B5AE4"/>
    <w:rsid w:val="003B5E86"/>
    <w:rsid w:val="003C0BDF"/>
    <w:rsid w:val="003C14E6"/>
    <w:rsid w:val="003C247A"/>
    <w:rsid w:val="003C2CFC"/>
    <w:rsid w:val="003C3449"/>
    <w:rsid w:val="003C3BA6"/>
    <w:rsid w:val="003C462A"/>
    <w:rsid w:val="003D0868"/>
    <w:rsid w:val="003D1485"/>
    <w:rsid w:val="003D1B7D"/>
    <w:rsid w:val="003D1CC2"/>
    <w:rsid w:val="003D30C6"/>
    <w:rsid w:val="003D684E"/>
    <w:rsid w:val="003E1A78"/>
    <w:rsid w:val="003E2FAF"/>
    <w:rsid w:val="003E3E52"/>
    <w:rsid w:val="003E40D9"/>
    <w:rsid w:val="003E46AA"/>
    <w:rsid w:val="003E497C"/>
    <w:rsid w:val="003E5612"/>
    <w:rsid w:val="003E5A51"/>
    <w:rsid w:val="003E6BE3"/>
    <w:rsid w:val="003F161B"/>
    <w:rsid w:val="003F3CB0"/>
    <w:rsid w:val="003F6E9D"/>
    <w:rsid w:val="00400432"/>
    <w:rsid w:val="00402254"/>
    <w:rsid w:val="00403C5B"/>
    <w:rsid w:val="0040506E"/>
    <w:rsid w:val="004064A8"/>
    <w:rsid w:val="00407533"/>
    <w:rsid w:val="00410615"/>
    <w:rsid w:val="004121D9"/>
    <w:rsid w:val="00414896"/>
    <w:rsid w:val="00417EC2"/>
    <w:rsid w:val="00421F0E"/>
    <w:rsid w:val="00423CB9"/>
    <w:rsid w:val="0042552D"/>
    <w:rsid w:val="004272DF"/>
    <w:rsid w:val="004276BA"/>
    <w:rsid w:val="004308C7"/>
    <w:rsid w:val="00433557"/>
    <w:rsid w:val="00433D4D"/>
    <w:rsid w:val="004372B6"/>
    <w:rsid w:val="0043752D"/>
    <w:rsid w:val="00437772"/>
    <w:rsid w:val="00445FBE"/>
    <w:rsid w:val="004462A6"/>
    <w:rsid w:val="00446747"/>
    <w:rsid w:val="00447370"/>
    <w:rsid w:val="00451364"/>
    <w:rsid w:val="00451C67"/>
    <w:rsid w:val="00452756"/>
    <w:rsid w:val="00452F29"/>
    <w:rsid w:val="00453019"/>
    <w:rsid w:val="00454D76"/>
    <w:rsid w:val="00457556"/>
    <w:rsid w:val="00465309"/>
    <w:rsid w:val="00465E6B"/>
    <w:rsid w:val="00472A7C"/>
    <w:rsid w:val="00476327"/>
    <w:rsid w:val="0048300B"/>
    <w:rsid w:val="0048774B"/>
    <w:rsid w:val="00490915"/>
    <w:rsid w:val="00493BC6"/>
    <w:rsid w:val="00494943"/>
    <w:rsid w:val="00495203"/>
    <w:rsid w:val="004964CA"/>
    <w:rsid w:val="004A0056"/>
    <w:rsid w:val="004A0C10"/>
    <w:rsid w:val="004A24AB"/>
    <w:rsid w:val="004A5354"/>
    <w:rsid w:val="004A743E"/>
    <w:rsid w:val="004B2D5D"/>
    <w:rsid w:val="004B336F"/>
    <w:rsid w:val="004B6E07"/>
    <w:rsid w:val="004C0FAF"/>
    <w:rsid w:val="004C1FDD"/>
    <w:rsid w:val="004C62D8"/>
    <w:rsid w:val="004D0B11"/>
    <w:rsid w:val="004D1C50"/>
    <w:rsid w:val="004D5D65"/>
    <w:rsid w:val="004E57B7"/>
    <w:rsid w:val="004E5ACC"/>
    <w:rsid w:val="004E60C0"/>
    <w:rsid w:val="004F2AE4"/>
    <w:rsid w:val="004F6111"/>
    <w:rsid w:val="004F7744"/>
    <w:rsid w:val="00503B22"/>
    <w:rsid w:val="005066A9"/>
    <w:rsid w:val="005165AD"/>
    <w:rsid w:val="00526956"/>
    <w:rsid w:val="00532B91"/>
    <w:rsid w:val="00534962"/>
    <w:rsid w:val="00536EB2"/>
    <w:rsid w:val="00544099"/>
    <w:rsid w:val="00546AF7"/>
    <w:rsid w:val="00555585"/>
    <w:rsid w:val="005612F3"/>
    <w:rsid w:val="005614DD"/>
    <w:rsid w:val="005635FA"/>
    <w:rsid w:val="00572FAE"/>
    <w:rsid w:val="00574B16"/>
    <w:rsid w:val="00576496"/>
    <w:rsid w:val="005769E8"/>
    <w:rsid w:val="00580A77"/>
    <w:rsid w:val="00585CEE"/>
    <w:rsid w:val="00591161"/>
    <w:rsid w:val="00596F73"/>
    <w:rsid w:val="005A6A23"/>
    <w:rsid w:val="005B1E20"/>
    <w:rsid w:val="005B27FB"/>
    <w:rsid w:val="005B3ED1"/>
    <w:rsid w:val="005B621F"/>
    <w:rsid w:val="005B7791"/>
    <w:rsid w:val="005C0E21"/>
    <w:rsid w:val="005C29ED"/>
    <w:rsid w:val="005C5BD8"/>
    <w:rsid w:val="005C6471"/>
    <w:rsid w:val="005C78C8"/>
    <w:rsid w:val="005D0524"/>
    <w:rsid w:val="005D169D"/>
    <w:rsid w:val="005D2CD6"/>
    <w:rsid w:val="005E1F2E"/>
    <w:rsid w:val="005E2832"/>
    <w:rsid w:val="005E2FF2"/>
    <w:rsid w:val="005E5BC4"/>
    <w:rsid w:val="005F12AF"/>
    <w:rsid w:val="005F217E"/>
    <w:rsid w:val="005F2187"/>
    <w:rsid w:val="005F2393"/>
    <w:rsid w:val="005F31A1"/>
    <w:rsid w:val="005F386D"/>
    <w:rsid w:val="005F4936"/>
    <w:rsid w:val="005F52F5"/>
    <w:rsid w:val="005F74FA"/>
    <w:rsid w:val="006023B5"/>
    <w:rsid w:val="00613440"/>
    <w:rsid w:val="00615D12"/>
    <w:rsid w:val="00617B7F"/>
    <w:rsid w:val="00621979"/>
    <w:rsid w:val="00622A3C"/>
    <w:rsid w:val="006242F0"/>
    <w:rsid w:val="006316B1"/>
    <w:rsid w:val="00632A37"/>
    <w:rsid w:val="00636173"/>
    <w:rsid w:val="00637198"/>
    <w:rsid w:val="00640445"/>
    <w:rsid w:val="0064278D"/>
    <w:rsid w:val="00645EB9"/>
    <w:rsid w:val="006465D2"/>
    <w:rsid w:val="0065616A"/>
    <w:rsid w:val="006562DE"/>
    <w:rsid w:val="00657005"/>
    <w:rsid w:val="0066244B"/>
    <w:rsid w:val="0066567C"/>
    <w:rsid w:val="0066658E"/>
    <w:rsid w:val="00667DB5"/>
    <w:rsid w:val="006701F0"/>
    <w:rsid w:val="00673F42"/>
    <w:rsid w:val="00680F51"/>
    <w:rsid w:val="00683A4B"/>
    <w:rsid w:val="00683F80"/>
    <w:rsid w:val="00691342"/>
    <w:rsid w:val="00696275"/>
    <w:rsid w:val="006A063F"/>
    <w:rsid w:val="006A37BA"/>
    <w:rsid w:val="006A6751"/>
    <w:rsid w:val="006B10E9"/>
    <w:rsid w:val="006B198C"/>
    <w:rsid w:val="006B27E0"/>
    <w:rsid w:val="006B53C2"/>
    <w:rsid w:val="006C004C"/>
    <w:rsid w:val="006C02BD"/>
    <w:rsid w:val="006C15DB"/>
    <w:rsid w:val="006C39C5"/>
    <w:rsid w:val="006C7602"/>
    <w:rsid w:val="006D1DD8"/>
    <w:rsid w:val="006D4741"/>
    <w:rsid w:val="006D6465"/>
    <w:rsid w:val="006E1B6F"/>
    <w:rsid w:val="006E214D"/>
    <w:rsid w:val="006E25F6"/>
    <w:rsid w:val="006E55C1"/>
    <w:rsid w:val="006F5550"/>
    <w:rsid w:val="006F6490"/>
    <w:rsid w:val="006F663A"/>
    <w:rsid w:val="0070079D"/>
    <w:rsid w:val="00703BE0"/>
    <w:rsid w:val="00705CF5"/>
    <w:rsid w:val="007061B3"/>
    <w:rsid w:val="007062A6"/>
    <w:rsid w:val="00713B94"/>
    <w:rsid w:val="00716CEC"/>
    <w:rsid w:val="00717537"/>
    <w:rsid w:val="007200CC"/>
    <w:rsid w:val="00723A7F"/>
    <w:rsid w:val="00724059"/>
    <w:rsid w:val="007246E1"/>
    <w:rsid w:val="00725DA6"/>
    <w:rsid w:val="00727F4E"/>
    <w:rsid w:val="00731F42"/>
    <w:rsid w:val="00732439"/>
    <w:rsid w:val="00733527"/>
    <w:rsid w:val="00734AF8"/>
    <w:rsid w:val="00743719"/>
    <w:rsid w:val="00745B89"/>
    <w:rsid w:val="00745F36"/>
    <w:rsid w:val="00752063"/>
    <w:rsid w:val="00755F22"/>
    <w:rsid w:val="0075633E"/>
    <w:rsid w:val="0075674E"/>
    <w:rsid w:val="00756E0D"/>
    <w:rsid w:val="00757472"/>
    <w:rsid w:val="00760514"/>
    <w:rsid w:val="00762C46"/>
    <w:rsid w:val="007638E4"/>
    <w:rsid w:val="00765B68"/>
    <w:rsid w:val="007679D8"/>
    <w:rsid w:val="00771F19"/>
    <w:rsid w:val="00773068"/>
    <w:rsid w:val="007830BE"/>
    <w:rsid w:val="00783C06"/>
    <w:rsid w:val="00785937"/>
    <w:rsid w:val="00790401"/>
    <w:rsid w:val="00790AD2"/>
    <w:rsid w:val="00790B58"/>
    <w:rsid w:val="0079264A"/>
    <w:rsid w:val="00796755"/>
    <w:rsid w:val="00796E71"/>
    <w:rsid w:val="007979A7"/>
    <w:rsid w:val="00797F75"/>
    <w:rsid w:val="007A1F12"/>
    <w:rsid w:val="007B1555"/>
    <w:rsid w:val="007C1354"/>
    <w:rsid w:val="007C43C1"/>
    <w:rsid w:val="007D5014"/>
    <w:rsid w:val="007E246D"/>
    <w:rsid w:val="007E2744"/>
    <w:rsid w:val="007E2967"/>
    <w:rsid w:val="007E4EC4"/>
    <w:rsid w:val="007E6E4B"/>
    <w:rsid w:val="007F3F24"/>
    <w:rsid w:val="007F4B75"/>
    <w:rsid w:val="007F4CF6"/>
    <w:rsid w:val="007F5A62"/>
    <w:rsid w:val="007F6498"/>
    <w:rsid w:val="007F686E"/>
    <w:rsid w:val="007F6B18"/>
    <w:rsid w:val="00804350"/>
    <w:rsid w:val="00806042"/>
    <w:rsid w:val="00806DA3"/>
    <w:rsid w:val="008122F2"/>
    <w:rsid w:val="008145A2"/>
    <w:rsid w:val="0081555F"/>
    <w:rsid w:val="0081639D"/>
    <w:rsid w:val="008174A6"/>
    <w:rsid w:val="00826F5D"/>
    <w:rsid w:val="008277B1"/>
    <w:rsid w:val="00831EE0"/>
    <w:rsid w:val="008342A5"/>
    <w:rsid w:val="0083798F"/>
    <w:rsid w:val="00841B8C"/>
    <w:rsid w:val="008422F2"/>
    <w:rsid w:val="00845EDF"/>
    <w:rsid w:val="008475B8"/>
    <w:rsid w:val="00851E44"/>
    <w:rsid w:val="00852E5A"/>
    <w:rsid w:val="00855FA9"/>
    <w:rsid w:val="00856DAD"/>
    <w:rsid w:val="008624E2"/>
    <w:rsid w:val="008640BB"/>
    <w:rsid w:val="008667A9"/>
    <w:rsid w:val="00873479"/>
    <w:rsid w:val="0087426B"/>
    <w:rsid w:val="008810D8"/>
    <w:rsid w:val="00882BEF"/>
    <w:rsid w:val="00884568"/>
    <w:rsid w:val="00885126"/>
    <w:rsid w:val="00886DE9"/>
    <w:rsid w:val="0088702F"/>
    <w:rsid w:val="008903EE"/>
    <w:rsid w:val="00890BB8"/>
    <w:rsid w:val="008911C0"/>
    <w:rsid w:val="00892CA9"/>
    <w:rsid w:val="00894644"/>
    <w:rsid w:val="008946A7"/>
    <w:rsid w:val="00894D7D"/>
    <w:rsid w:val="00897A5A"/>
    <w:rsid w:val="008A1C58"/>
    <w:rsid w:val="008A1E4C"/>
    <w:rsid w:val="008A25C5"/>
    <w:rsid w:val="008A5B1B"/>
    <w:rsid w:val="008A7042"/>
    <w:rsid w:val="008B05C2"/>
    <w:rsid w:val="008B2D44"/>
    <w:rsid w:val="008B39F2"/>
    <w:rsid w:val="008B50A1"/>
    <w:rsid w:val="008B6DC1"/>
    <w:rsid w:val="008B700B"/>
    <w:rsid w:val="008C091C"/>
    <w:rsid w:val="008C1870"/>
    <w:rsid w:val="008C30D2"/>
    <w:rsid w:val="008C53B9"/>
    <w:rsid w:val="008D4781"/>
    <w:rsid w:val="008D4C9E"/>
    <w:rsid w:val="008D5E69"/>
    <w:rsid w:val="008D60C8"/>
    <w:rsid w:val="008E3D37"/>
    <w:rsid w:val="008E3E7D"/>
    <w:rsid w:val="008E5039"/>
    <w:rsid w:val="008E61DF"/>
    <w:rsid w:val="008E7553"/>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2431"/>
    <w:rsid w:val="00913800"/>
    <w:rsid w:val="00914861"/>
    <w:rsid w:val="00914D5C"/>
    <w:rsid w:val="00916C88"/>
    <w:rsid w:val="00917106"/>
    <w:rsid w:val="00920F55"/>
    <w:rsid w:val="0092247E"/>
    <w:rsid w:val="009265DD"/>
    <w:rsid w:val="00930008"/>
    <w:rsid w:val="009319AE"/>
    <w:rsid w:val="009375BF"/>
    <w:rsid w:val="0094130E"/>
    <w:rsid w:val="00952E99"/>
    <w:rsid w:val="009617D1"/>
    <w:rsid w:val="00963E0B"/>
    <w:rsid w:val="009646F5"/>
    <w:rsid w:val="009706C7"/>
    <w:rsid w:val="00973BC6"/>
    <w:rsid w:val="00974DB7"/>
    <w:rsid w:val="009757DA"/>
    <w:rsid w:val="00975CD4"/>
    <w:rsid w:val="00981E60"/>
    <w:rsid w:val="009822CC"/>
    <w:rsid w:val="0098252E"/>
    <w:rsid w:val="00982820"/>
    <w:rsid w:val="009852F9"/>
    <w:rsid w:val="00985547"/>
    <w:rsid w:val="0099269F"/>
    <w:rsid w:val="00992B05"/>
    <w:rsid w:val="00994102"/>
    <w:rsid w:val="009942BE"/>
    <w:rsid w:val="009A34CB"/>
    <w:rsid w:val="009A5DA3"/>
    <w:rsid w:val="009B04F7"/>
    <w:rsid w:val="009B5565"/>
    <w:rsid w:val="009C3E78"/>
    <w:rsid w:val="009C7888"/>
    <w:rsid w:val="009D4BF5"/>
    <w:rsid w:val="009E0644"/>
    <w:rsid w:val="009E13FE"/>
    <w:rsid w:val="009E34CC"/>
    <w:rsid w:val="009E476E"/>
    <w:rsid w:val="009E5B3E"/>
    <w:rsid w:val="009F4755"/>
    <w:rsid w:val="009F5929"/>
    <w:rsid w:val="009F642E"/>
    <w:rsid w:val="00A00A07"/>
    <w:rsid w:val="00A02455"/>
    <w:rsid w:val="00A03E79"/>
    <w:rsid w:val="00A107B3"/>
    <w:rsid w:val="00A12B6D"/>
    <w:rsid w:val="00A14898"/>
    <w:rsid w:val="00A16913"/>
    <w:rsid w:val="00A17292"/>
    <w:rsid w:val="00A22547"/>
    <w:rsid w:val="00A27332"/>
    <w:rsid w:val="00A310F3"/>
    <w:rsid w:val="00A32644"/>
    <w:rsid w:val="00A3724D"/>
    <w:rsid w:val="00A37A9B"/>
    <w:rsid w:val="00A4008F"/>
    <w:rsid w:val="00A404D5"/>
    <w:rsid w:val="00A42FBD"/>
    <w:rsid w:val="00A5113C"/>
    <w:rsid w:val="00A525B9"/>
    <w:rsid w:val="00A575FC"/>
    <w:rsid w:val="00A66AC8"/>
    <w:rsid w:val="00A67863"/>
    <w:rsid w:val="00A70557"/>
    <w:rsid w:val="00A739EA"/>
    <w:rsid w:val="00A73FDA"/>
    <w:rsid w:val="00A77317"/>
    <w:rsid w:val="00A850D2"/>
    <w:rsid w:val="00A90826"/>
    <w:rsid w:val="00A93476"/>
    <w:rsid w:val="00A93808"/>
    <w:rsid w:val="00A95FB0"/>
    <w:rsid w:val="00AA316E"/>
    <w:rsid w:val="00AA3496"/>
    <w:rsid w:val="00AB3000"/>
    <w:rsid w:val="00AB6599"/>
    <w:rsid w:val="00AB7230"/>
    <w:rsid w:val="00AC1105"/>
    <w:rsid w:val="00AC3F17"/>
    <w:rsid w:val="00AC5774"/>
    <w:rsid w:val="00AE1221"/>
    <w:rsid w:val="00AE576D"/>
    <w:rsid w:val="00AF205E"/>
    <w:rsid w:val="00AF41B0"/>
    <w:rsid w:val="00AF59D8"/>
    <w:rsid w:val="00AF5A70"/>
    <w:rsid w:val="00AF7AF9"/>
    <w:rsid w:val="00B00A59"/>
    <w:rsid w:val="00B017A5"/>
    <w:rsid w:val="00B04D1F"/>
    <w:rsid w:val="00B04FB8"/>
    <w:rsid w:val="00B0622B"/>
    <w:rsid w:val="00B111AB"/>
    <w:rsid w:val="00B16E89"/>
    <w:rsid w:val="00B20994"/>
    <w:rsid w:val="00B26B7C"/>
    <w:rsid w:val="00B2713B"/>
    <w:rsid w:val="00B27290"/>
    <w:rsid w:val="00B2773F"/>
    <w:rsid w:val="00B30895"/>
    <w:rsid w:val="00B320EC"/>
    <w:rsid w:val="00B328C8"/>
    <w:rsid w:val="00B334A0"/>
    <w:rsid w:val="00B34AB1"/>
    <w:rsid w:val="00B34DB3"/>
    <w:rsid w:val="00B50669"/>
    <w:rsid w:val="00B509AD"/>
    <w:rsid w:val="00B51E2F"/>
    <w:rsid w:val="00B5283A"/>
    <w:rsid w:val="00B546CE"/>
    <w:rsid w:val="00B56A4E"/>
    <w:rsid w:val="00B56E30"/>
    <w:rsid w:val="00B5762E"/>
    <w:rsid w:val="00B7284B"/>
    <w:rsid w:val="00B73C52"/>
    <w:rsid w:val="00B80C9B"/>
    <w:rsid w:val="00B81AB7"/>
    <w:rsid w:val="00B8365D"/>
    <w:rsid w:val="00B839CE"/>
    <w:rsid w:val="00B906DF"/>
    <w:rsid w:val="00B91F92"/>
    <w:rsid w:val="00B922B8"/>
    <w:rsid w:val="00B946A3"/>
    <w:rsid w:val="00B951C6"/>
    <w:rsid w:val="00BA010D"/>
    <w:rsid w:val="00BA3E54"/>
    <w:rsid w:val="00BA46D9"/>
    <w:rsid w:val="00BA6492"/>
    <w:rsid w:val="00BA75AF"/>
    <w:rsid w:val="00BB3195"/>
    <w:rsid w:val="00BC6C91"/>
    <w:rsid w:val="00BD1EDB"/>
    <w:rsid w:val="00BE1FE1"/>
    <w:rsid w:val="00BE2981"/>
    <w:rsid w:val="00BE312C"/>
    <w:rsid w:val="00BF056F"/>
    <w:rsid w:val="00BF2BC5"/>
    <w:rsid w:val="00BF321E"/>
    <w:rsid w:val="00BF3BAC"/>
    <w:rsid w:val="00BF50D6"/>
    <w:rsid w:val="00C00032"/>
    <w:rsid w:val="00C129B9"/>
    <w:rsid w:val="00C12DE6"/>
    <w:rsid w:val="00C15B7B"/>
    <w:rsid w:val="00C23E57"/>
    <w:rsid w:val="00C260C9"/>
    <w:rsid w:val="00C26E3E"/>
    <w:rsid w:val="00C32699"/>
    <w:rsid w:val="00C35494"/>
    <w:rsid w:val="00C37018"/>
    <w:rsid w:val="00C42B54"/>
    <w:rsid w:val="00C43F22"/>
    <w:rsid w:val="00C4471E"/>
    <w:rsid w:val="00C44B4E"/>
    <w:rsid w:val="00C50737"/>
    <w:rsid w:val="00C50F62"/>
    <w:rsid w:val="00C54CD1"/>
    <w:rsid w:val="00C57507"/>
    <w:rsid w:val="00C57A84"/>
    <w:rsid w:val="00C6176E"/>
    <w:rsid w:val="00C61F00"/>
    <w:rsid w:val="00C6719E"/>
    <w:rsid w:val="00C70DBA"/>
    <w:rsid w:val="00C7169D"/>
    <w:rsid w:val="00C72E11"/>
    <w:rsid w:val="00C76E4E"/>
    <w:rsid w:val="00C80340"/>
    <w:rsid w:val="00C8418E"/>
    <w:rsid w:val="00C84CC1"/>
    <w:rsid w:val="00C91699"/>
    <w:rsid w:val="00C97CC2"/>
    <w:rsid w:val="00C97F2B"/>
    <w:rsid w:val="00CA080B"/>
    <w:rsid w:val="00CA25B2"/>
    <w:rsid w:val="00CA2A88"/>
    <w:rsid w:val="00CA43B5"/>
    <w:rsid w:val="00CA563E"/>
    <w:rsid w:val="00CB359C"/>
    <w:rsid w:val="00CC0085"/>
    <w:rsid w:val="00CC21C9"/>
    <w:rsid w:val="00CC51FF"/>
    <w:rsid w:val="00CD62FF"/>
    <w:rsid w:val="00CE2434"/>
    <w:rsid w:val="00CE4C99"/>
    <w:rsid w:val="00CE5EE2"/>
    <w:rsid w:val="00CE7358"/>
    <w:rsid w:val="00CF4A94"/>
    <w:rsid w:val="00D00048"/>
    <w:rsid w:val="00D0044E"/>
    <w:rsid w:val="00D07E76"/>
    <w:rsid w:val="00D10D3A"/>
    <w:rsid w:val="00D17983"/>
    <w:rsid w:val="00D2010B"/>
    <w:rsid w:val="00D20E23"/>
    <w:rsid w:val="00D21C2C"/>
    <w:rsid w:val="00D2517B"/>
    <w:rsid w:val="00D25F7E"/>
    <w:rsid w:val="00D27573"/>
    <w:rsid w:val="00D3030F"/>
    <w:rsid w:val="00D3273A"/>
    <w:rsid w:val="00D401C8"/>
    <w:rsid w:val="00D40E5E"/>
    <w:rsid w:val="00D416AD"/>
    <w:rsid w:val="00D42F12"/>
    <w:rsid w:val="00D433E8"/>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01D3"/>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ECB"/>
    <w:rsid w:val="00DC0F9E"/>
    <w:rsid w:val="00DC5B61"/>
    <w:rsid w:val="00DC6AE7"/>
    <w:rsid w:val="00DD00FD"/>
    <w:rsid w:val="00DD1BE1"/>
    <w:rsid w:val="00DD1F06"/>
    <w:rsid w:val="00DD276E"/>
    <w:rsid w:val="00DD35AB"/>
    <w:rsid w:val="00DD392B"/>
    <w:rsid w:val="00DD58E4"/>
    <w:rsid w:val="00DD6763"/>
    <w:rsid w:val="00DE21C3"/>
    <w:rsid w:val="00DE5974"/>
    <w:rsid w:val="00DE7BEF"/>
    <w:rsid w:val="00DF189F"/>
    <w:rsid w:val="00DF2553"/>
    <w:rsid w:val="00DF6946"/>
    <w:rsid w:val="00E03CCC"/>
    <w:rsid w:val="00E06001"/>
    <w:rsid w:val="00E061E1"/>
    <w:rsid w:val="00E07C76"/>
    <w:rsid w:val="00E10006"/>
    <w:rsid w:val="00E104D1"/>
    <w:rsid w:val="00E11F8B"/>
    <w:rsid w:val="00E1699D"/>
    <w:rsid w:val="00E25F9C"/>
    <w:rsid w:val="00E27807"/>
    <w:rsid w:val="00E30A37"/>
    <w:rsid w:val="00E31153"/>
    <w:rsid w:val="00E31E73"/>
    <w:rsid w:val="00E360E5"/>
    <w:rsid w:val="00E3647D"/>
    <w:rsid w:val="00E450CC"/>
    <w:rsid w:val="00E45568"/>
    <w:rsid w:val="00E46FDA"/>
    <w:rsid w:val="00E507FC"/>
    <w:rsid w:val="00E5342C"/>
    <w:rsid w:val="00E54EEF"/>
    <w:rsid w:val="00E5669C"/>
    <w:rsid w:val="00E61A8D"/>
    <w:rsid w:val="00E63058"/>
    <w:rsid w:val="00E638CC"/>
    <w:rsid w:val="00E63CEB"/>
    <w:rsid w:val="00E65E0F"/>
    <w:rsid w:val="00E6682C"/>
    <w:rsid w:val="00E66F5D"/>
    <w:rsid w:val="00E725B8"/>
    <w:rsid w:val="00E7266B"/>
    <w:rsid w:val="00E73450"/>
    <w:rsid w:val="00E73568"/>
    <w:rsid w:val="00E77A77"/>
    <w:rsid w:val="00E81AAE"/>
    <w:rsid w:val="00E81BF3"/>
    <w:rsid w:val="00E8348A"/>
    <w:rsid w:val="00E871F3"/>
    <w:rsid w:val="00E87412"/>
    <w:rsid w:val="00E90359"/>
    <w:rsid w:val="00E90510"/>
    <w:rsid w:val="00E94B75"/>
    <w:rsid w:val="00E94F29"/>
    <w:rsid w:val="00E955B8"/>
    <w:rsid w:val="00E96219"/>
    <w:rsid w:val="00EA449D"/>
    <w:rsid w:val="00EA6405"/>
    <w:rsid w:val="00EB0DC4"/>
    <w:rsid w:val="00EB0EDA"/>
    <w:rsid w:val="00EB4355"/>
    <w:rsid w:val="00EB4D22"/>
    <w:rsid w:val="00EB64CF"/>
    <w:rsid w:val="00EB6E48"/>
    <w:rsid w:val="00EB72F2"/>
    <w:rsid w:val="00EC2A84"/>
    <w:rsid w:val="00EC3758"/>
    <w:rsid w:val="00EC4B09"/>
    <w:rsid w:val="00EC5142"/>
    <w:rsid w:val="00EC5AB4"/>
    <w:rsid w:val="00EC5EF2"/>
    <w:rsid w:val="00EC6B13"/>
    <w:rsid w:val="00ED0A15"/>
    <w:rsid w:val="00ED3BA5"/>
    <w:rsid w:val="00ED6FD1"/>
    <w:rsid w:val="00ED7CEC"/>
    <w:rsid w:val="00EE0513"/>
    <w:rsid w:val="00EE278D"/>
    <w:rsid w:val="00EE5809"/>
    <w:rsid w:val="00EE5FED"/>
    <w:rsid w:val="00EF09B1"/>
    <w:rsid w:val="00EF33AC"/>
    <w:rsid w:val="00EF3FD3"/>
    <w:rsid w:val="00EF62CE"/>
    <w:rsid w:val="00F01773"/>
    <w:rsid w:val="00F052B9"/>
    <w:rsid w:val="00F056ED"/>
    <w:rsid w:val="00F1040F"/>
    <w:rsid w:val="00F1129E"/>
    <w:rsid w:val="00F165F6"/>
    <w:rsid w:val="00F20E70"/>
    <w:rsid w:val="00F2241A"/>
    <w:rsid w:val="00F23344"/>
    <w:rsid w:val="00F234D6"/>
    <w:rsid w:val="00F24468"/>
    <w:rsid w:val="00F266B7"/>
    <w:rsid w:val="00F27257"/>
    <w:rsid w:val="00F309D3"/>
    <w:rsid w:val="00F33BA6"/>
    <w:rsid w:val="00F345E3"/>
    <w:rsid w:val="00F3535F"/>
    <w:rsid w:val="00F35764"/>
    <w:rsid w:val="00F373D0"/>
    <w:rsid w:val="00F4453E"/>
    <w:rsid w:val="00F521D3"/>
    <w:rsid w:val="00F52217"/>
    <w:rsid w:val="00F56611"/>
    <w:rsid w:val="00F57347"/>
    <w:rsid w:val="00F670B0"/>
    <w:rsid w:val="00F67560"/>
    <w:rsid w:val="00F679B4"/>
    <w:rsid w:val="00F67BCC"/>
    <w:rsid w:val="00F71545"/>
    <w:rsid w:val="00F75C72"/>
    <w:rsid w:val="00F76054"/>
    <w:rsid w:val="00F76E31"/>
    <w:rsid w:val="00F77726"/>
    <w:rsid w:val="00F77DF3"/>
    <w:rsid w:val="00F83493"/>
    <w:rsid w:val="00F8382D"/>
    <w:rsid w:val="00F85D04"/>
    <w:rsid w:val="00F860CE"/>
    <w:rsid w:val="00F90A82"/>
    <w:rsid w:val="00F93A27"/>
    <w:rsid w:val="00F93B87"/>
    <w:rsid w:val="00F94A27"/>
    <w:rsid w:val="00F97820"/>
    <w:rsid w:val="00FA07A9"/>
    <w:rsid w:val="00FA66DB"/>
    <w:rsid w:val="00FA767B"/>
    <w:rsid w:val="00FA78CD"/>
    <w:rsid w:val="00FB16E2"/>
    <w:rsid w:val="00FB2EB2"/>
    <w:rsid w:val="00FB4478"/>
    <w:rsid w:val="00FB6DF4"/>
    <w:rsid w:val="00FB7A17"/>
    <w:rsid w:val="00FC0DF6"/>
    <w:rsid w:val="00FC2854"/>
    <w:rsid w:val="00FC2B73"/>
    <w:rsid w:val="00FC2C76"/>
    <w:rsid w:val="00FC3E97"/>
    <w:rsid w:val="00FC5F22"/>
    <w:rsid w:val="00FC6860"/>
    <w:rsid w:val="00FC6AE4"/>
    <w:rsid w:val="00FC6D69"/>
    <w:rsid w:val="00FC7462"/>
    <w:rsid w:val="00FD258F"/>
    <w:rsid w:val="00FD4279"/>
    <w:rsid w:val="00FD6DCF"/>
    <w:rsid w:val="00FE0A23"/>
    <w:rsid w:val="00FE2992"/>
    <w:rsid w:val="00FE40B6"/>
    <w:rsid w:val="00FE7FC9"/>
    <w:rsid w:val="00FF09BF"/>
    <w:rsid w:val="00FF2534"/>
    <w:rsid w:val="05C4E335"/>
    <w:rsid w:val="0D42C668"/>
    <w:rsid w:val="10548F0B"/>
    <w:rsid w:val="1992C158"/>
    <w:rsid w:val="19C2306D"/>
    <w:rsid w:val="1CC04985"/>
    <w:rsid w:val="1CD0A1E8"/>
    <w:rsid w:val="22A89246"/>
    <w:rsid w:val="2A710B16"/>
    <w:rsid w:val="2D5F9543"/>
    <w:rsid w:val="2F6A2320"/>
    <w:rsid w:val="33611A11"/>
    <w:rsid w:val="36224BEA"/>
    <w:rsid w:val="3814867E"/>
    <w:rsid w:val="3B2EAC1D"/>
    <w:rsid w:val="3BDF0851"/>
    <w:rsid w:val="3E452429"/>
    <w:rsid w:val="3FC9EEDB"/>
    <w:rsid w:val="49F518E0"/>
    <w:rsid w:val="4CC7374A"/>
    <w:rsid w:val="4E03BA8E"/>
    <w:rsid w:val="567EF6F8"/>
    <w:rsid w:val="585483FF"/>
    <w:rsid w:val="6E0CA6E2"/>
    <w:rsid w:val="6F209C80"/>
    <w:rsid w:val="74B3C0C4"/>
    <w:rsid w:val="77A3F6D2"/>
    <w:rsid w:val="79340F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D16FB973-BD07-4EC1-B89B-CF8037B5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0"/>
      </w:numPr>
      <w:pBdr>
        <w:bottom w:val="single" w:sz="24" w:space="6" w:color="253268" w:themeColor="text2"/>
      </w:pBdr>
      <w:tabs>
        <w:tab w:val="num" w:pos="0"/>
      </w:tabs>
      <w:spacing w:line="240" w:lineRule="auto"/>
      <w:ind w:hanging="369"/>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8"/>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3"/>
      </w:numPr>
    </w:pPr>
  </w:style>
  <w:style w:type="paragraph" w:customStyle="1" w:styleId="Numberedparagraphdouble">
    <w:name w:val="Numbered paragraph (double)"/>
    <w:aliases w:val="Numbered paragraph (single)"/>
    <w:basedOn w:val="Normal"/>
    <w:uiPriority w:val="8"/>
    <w:qFormat/>
    <w:rsid w:val="00534962"/>
    <w:pPr>
      <w:numPr>
        <w:ilvl w:val="1"/>
        <w:numId w:val="10"/>
      </w:numPr>
    </w:pPr>
  </w:style>
  <w:style w:type="paragraph" w:customStyle="1" w:styleId="Bulletround">
    <w:name w:val="Bullet (round)"/>
    <w:aliases w:val="Bullet (square)"/>
    <w:basedOn w:val="Normal"/>
    <w:uiPriority w:val="10"/>
    <w:qFormat/>
    <w:rsid w:val="00534962"/>
    <w:pPr>
      <w:numPr>
        <w:ilvl w:val="5"/>
        <w:numId w:val="10"/>
      </w:numPr>
      <w:ind w:left="2160" w:hanging="360"/>
    </w:pPr>
  </w:style>
  <w:style w:type="paragraph" w:customStyle="1" w:styleId="Bullet-">
    <w:name w:val="Bullet (-)"/>
    <w:basedOn w:val="Normal"/>
    <w:uiPriority w:val="11"/>
    <w:qFormat/>
    <w:rsid w:val="00534962"/>
    <w:pPr>
      <w:numPr>
        <w:ilvl w:val="6"/>
        <w:numId w:val="10"/>
      </w:numPr>
      <w:ind w:left="2520" w:hanging="360"/>
    </w:pPr>
  </w:style>
  <w:style w:type="paragraph" w:customStyle="1" w:styleId="Bulletalpha">
    <w:name w:val="Bullet (alpha)"/>
    <w:basedOn w:val="Normal"/>
    <w:uiPriority w:val="11"/>
    <w:qFormat/>
    <w:rsid w:val="00534962"/>
    <w:pPr>
      <w:numPr>
        <w:ilvl w:val="2"/>
        <w:numId w:val="10"/>
      </w:numPr>
      <w:tabs>
        <w:tab w:val="num" w:pos="0"/>
      </w:tabs>
      <w:ind w:left="0" w:hanging="369"/>
    </w:pPr>
  </w:style>
  <w:style w:type="paragraph" w:customStyle="1" w:styleId="Bulletroman">
    <w:name w:val="Bullet (roman)"/>
    <w:basedOn w:val="Normal"/>
    <w:uiPriority w:val="11"/>
    <w:qFormat/>
    <w:rsid w:val="00534962"/>
    <w:pPr>
      <w:numPr>
        <w:ilvl w:val="3"/>
        <w:numId w:val="10"/>
      </w:numPr>
      <w:ind w:left="1440" w:hanging="360"/>
    </w:pPr>
  </w:style>
  <w:style w:type="paragraph" w:customStyle="1" w:styleId="NormalBulletround">
    <w:name w:val="Normal Bullet (round)"/>
    <w:aliases w:val="Normal Bullet (square)"/>
    <w:basedOn w:val="Normal"/>
    <w:uiPriority w:val="4"/>
    <w:qFormat/>
    <w:rsid w:val="0021141B"/>
    <w:pPr>
      <w:tabs>
        <w:tab w:val="num" w:pos="1134"/>
      </w:tabs>
      <w:ind w:left="1134" w:hanging="567"/>
    </w:pPr>
  </w:style>
  <w:style w:type="paragraph" w:customStyle="1" w:styleId="NormalBullet-">
    <w:name w:val="Normal Bullet (-)"/>
    <w:basedOn w:val="Normal"/>
    <w:uiPriority w:val="5"/>
    <w:qFormat/>
    <w:rsid w:val="0021141B"/>
    <w:pPr>
      <w:tabs>
        <w:tab w:val="num" w:pos="1701"/>
      </w:tabs>
      <w:ind w:left="1701" w:hanging="567"/>
    </w:pPr>
  </w:style>
  <w:style w:type="paragraph" w:customStyle="1" w:styleId="NormalBulletalpha">
    <w:name w:val="Normal Bullet (alpha)"/>
    <w:basedOn w:val="Normal"/>
    <w:uiPriority w:val="5"/>
    <w:qFormat/>
    <w:rsid w:val="0021141B"/>
    <w:pPr>
      <w:tabs>
        <w:tab w:val="num" w:pos="1134"/>
      </w:tabs>
      <w:ind w:left="1134" w:hanging="567"/>
    </w:pPr>
  </w:style>
  <w:style w:type="paragraph" w:customStyle="1" w:styleId="NormalBulletroman">
    <w:name w:val="Normal Bullet (roman)"/>
    <w:basedOn w:val="Normal"/>
    <w:uiPriority w:val="5"/>
    <w:qFormat/>
    <w:rsid w:val="0021141B"/>
    <w:pPr>
      <w:tabs>
        <w:tab w:val="num" w:pos="1701"/>
      </w:tabs>
      <w:ind w:left="1701" w:hanging="567"/>
    </w:pPr>
  </w:style>
  <w:style w:type="paragraph" w:customStyle="1" w:styleId="NormalBulletnumber">
    <w:name w:val="Normal Bullet (number)"/>
    <w:basedOn w:val="NormalBulletroman"/>
    <w:uiPriority w:val="6"/>
    <w:qFormat/>
    <w:rsid w:val="00534962"/>
    <w:pPr>
      <w:tabs>
        <w:tab w:val="clear" w:pos="1701"/>
        <w:tab w:val="num" w:pos="2268"/>
      </w:tabs>
      <w:ind w:left="2268"/>
    </w:pPr>
  </w:style>
  <w:style w:type="numbering" w:customStyle="1" w:styleId="ORRNormalList">
    <w:name w:val="ORRNormalList"/>
    <w:uiPriority w:val="99"/>
    <w:rsid w:val="0021141B"/>
    <w:pPr>
      <w:numPr>
        <w:numId w:val="4"/>
      </w:numPr>
    </w:pPr>
  </w:style>
  <w:style w:type="paragraph" w:customStyle="1" w:styleId="Boxedparagraph">
    <w:name w:val="Boxed paragraph"/>
    <w:basedOn w:val="Normal"/>
    <w:uiPriority w:val="13"/>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tabs>
        <w:tab w:val="num" w:pos="567"/>
      </w:tabs>
      <w:ind w:left="567" w:hanging="567"/>
    </w:pPr>
  </w:style>
  <w:style w:type="numbering" w:customStyle="1" w:styleId="ORRBoxed">
    <w:name w:val="ORRBoxed"/>
    <w:uiPriority w:val="99"/>
    <w:rsid w:val="00534962"/>
    <w:pPr>
      <w:numPr>
        <w:numId w:val="5"/>
      </w:numPr>
    </w:pPr>
  </w:style>
  <w:style w:type="paragraph" w:customStyle="1" w:styleId="Bulletchecklist">
    <w:name w:val="Bullet (checklist)"/>
    <w:basedOn w:val="Normal"/>
    <w:uiPriority w:val="14"/>
    <w:qFormat/>
    <w:rsid w:val="00534962"/>
    <w:pPr>
      <w:numPr>
        <w:numId w:val="6"/>
      </w:numPr>
    </w:pPr>
  </w:style>
  <w:style w:type="numbering" w:customStyle="1" w:styleId="ORRChecklist">
    <w:name w:val="ORRChecklist"/>
    <w:uiPriority w:val="99"/>
    <w:rsid w:val="00534962"/>
    <w:pPr>
      <w:numPr>
        <w:numId w:val="6"/>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0"/>
      </w:numPr>
      <w:spacing w:before="120" w:after="120" w:line="240" w:lineRule="auto"/>
      <w:ind w:left="3240" w:hanging="360"/>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0"/>
      </w:numPr>
      <w:spacing w:before="120" w:after="120" w:line="240" w:lineRule="auto"/>
      <w:ind w:left="2880" w:hanging="360"/>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ind w:left="1800" w:hanging="360"/>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tabs>
        <w:tab w:val="num" w:pos="567"/>
      </w:tabs>
      <w:ind w:left="567" w:hanging="567"/>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tabs>
        <w:tab w:val="num" w:pos="1134"/>
      </w:tabs>
      <w:ind w:left="1134" w:hanging="1134"/>
    </w:pPr>
  </w:style>
  <w:style w:type="numbering" w:customStyle="1" w:styleId="ORRMain">
    <w:name w:val="ORRMain"/>
    <w:uiPriority w:val="99"/>
    <w:rsid w:val="00534962"/>
    <w:pPr>
      <w:numPr>
        <w:numId w:val="21"/>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7"/>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1"/>
      </w:numPr>
    </w:pPr>
  </w:style>
  <w:style w:type="paragraph" w:customStyle="1" w:styleId="HighlightPurpleWide">
    <w:name w:val="HighlightPurpleWide"/>
    <w:basedOn w:val="Normal"/>
    <w:uiPriority w:val="15"/>
    <w:qFormat/>
    <w:rsid w:val="00894D7D"/>
    <w:pPr>
      <w:numPr>
        <w:ilvl w:val="1"/>
        <w:numId w:val="17"/>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7"/>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0"/>
      </w:numPr>
      <w:tabs>
        <w:tab w:val="num" w:pos="851"/>
        <w:tab w:val="num" w:pos="2552"/>
      </w:tabs>
      <w:ind w:left="2552" w:hanging="2552"/>
    </w:pPr>
  </w:style>
  <w:style w:type="paragraph" w:customStyle="1" w:styleId="AnnexParagraph">
    <w:name w:val="Annex Paragraph"/>
    <w:basedOn w:val="Normal"/>
    <w:uiPriority w:val="22"/>
    <w:qFormat/>
    <w:rsid w:val="008A25C5"/>
    <w:pPr>
      <w:tabs>
        <w:tab w:val="num" w:pos="851"/>
      </w:tabs>
      <w:ind w:left="851" w:hanging="851"/>
    </w:pPr>
  </w:style>
  <w:style w:type="numbering" w:customStyle="1" w:styleId="ORRAnnex">
    <w:name w:val="ORRAnnex"/>
    <w:uiPriority w:val="99"/>
    <w:rsid w:val="008A25C5"/>
    <w:pPr>
      <w:numPr>
        <w:numId w:val="13"/>
      </w:numPr>
    </w:pPr>
  </w:style>
  <w:style w:type="paragraph" w:customStyle="1" w:styleId="AnnexBulletAlpha">
    <w:name w:val="Annex Bullet (Alpha)"/>
    <w:basedOn w:val="Normal"/>
    <w:uiPriority w:val="24"/>
    <w:qFormat/>
    <w:rsid w:val="008A25C5"/>
    <w:pPr>
      <w:tabs>
        <w:tab w:val="num" w:pos="0"/>
      </w:tabs>
      <w:ind w:hanging="369"/>
    </w:pPr>
  </w:style>
  <w:style w:type="paragraph" w:customStyle="1" w:styleId="AnnexBulletroman">
    <w:name w:val="Annex Bullet (roman)"/>
    <w:basedOn w:val="Normal"/>
    <w:uiPriority w:val="24"/>
    <w:qFormat/>
    <w:rsid w:val="008A25C5"/>
    <w:pPr>
      <w:ind w:left="1440" w:hanging="360"/>
    </w:pPr>
  </w:style>
  <w:style w:type="paragraph" w:customStyle="1" w:styleId="AnnexBulletnumber">
    <w:name w:val="Annex Bullet (number)"/>
    <w:basedOn w:val="Normal"/>
    <w:uiPriority w:val="25"/>
    <w:qFormat/>
    <w:rsid w:val="008A25C5"/>
    <w:pPr>
      <w:ind w:left="1800" w:hanging="360"/>
    </w:pPr>
  </w:style>
  <w:style w:type="paragraph" w:customStyle="1" w:styleId="AnnexBulletround">
    <w:name w:val="Annex Bullet (round)"/>
    <w:basedOn w:val="Normal"/>
    <w:uiPriority w:val="23"/>
    <w:qFormat/>
    <w:rsid w:val="008A25C5"/>
    <w:pPr>
      <w:ind w:left="2160" w:hanging="360"/>
    </w:pPr>
  </w:style>
  <w:style w:type="paragraph" w:customStyle="1" w:styleId="AnnexBullet-">
    <w:name w:val="Annex Bullet (-)"/>
    <w:basedOn w:val="Normal"/>
    <w:uiPriority w:val="24"/>
    <w:qFormat/>
    <w:rsid w:val="008A25C5"/>
    <w:pPr>
      <w:ind w:left="2520" w:hanging="360"/>
    </w:pPr>
  </w:style>
  <w:style w:type="paragraph" w:customStyle="1" w:styleId="AnnexTableTitle">
    <w:name w:val="Annex TableTitle"/>
    <w:basedOn w:val="Normal"/>
    <w:next w:val="AnnexParagraph"/>
    <w:uiPriority w:val="18"/>
    <w:qFormat/>
    <w:rsid w:val="008A25C5"/>
    <w:pPr>
      <w:spacing w:before="120" w:after="120"/>
      <w:ind w:left="2880" w:hanging="36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tabs>
        <w:tab w:val="num" w:pos="1134"/>
      </w:tabs>
      <w:ind w:left="1134" w:hanging="1134"/>
    </w:pPr>
    <w:rPr>
      <w:b/>
    </w:rPr>
  </w:style>
  <w:style w:type="paragraph" w:customStyle="1" w:styleId="NormalFigureTitle">
    <w:name w:val="Normal FigureTitle"/>
    <w:basedOn w:val="Normal"/>
    <w:next w:val="Normal"/>
    <w:uiPriority w:val="26"/>
    <w:qFormat/>
    <w:rsid w:val="0021141B"/>
    <w:pPr>
      <w:keepNext/>
      <w:keepLines/>
      <w:tabs>
        <w:tab w:val="num" w:pos="1134"/>
      </w:tabs>
      <w:ind w:left="1134" w:hanging="1134"/>
    </w:pPr>
    <w:rPr>
      <w:b/>
    </w:rPr>
  </w:style>
  <w:style w:type="paragraph" w:customStyle="1" w:styleId="AnnexFigureTitle">
    <w:name w:val="Annex FigureTitle"/>
    <w:basedOn w:val="Normal"/>
    <w:next w:val="Normal"/>
    <w:uiPriority w:val="26"/>
    <w:rsid w:val="008A25C5"/>
    <w:pPr>
      <w:keepNext/>
      <w:keepLines/>
      <w:tabs>
        <w:tab w:val="num" w:pos="360"/>
      </w:tabs>
      <w:ind w:hanging="360"/>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3"/>
      </w:numPr>
      <w:tabs>
        <w:tab w:val="num" w:pos="360"/>
      </w:tabs>
      <w:suppressAutoHyphens/>
      <w:spacing w:before="120" w:after="120" w:line="240" w:lineRule="auto"/>
      <w:ind w:left="0" w:firstLine="0"/>
    </w:pPr>
    <w:rPr>
      <w:rFonts w:eastAsia="Times New Roman" w:cs="Times New Roman"/>
      <w:szCs w:val="20"/>
    </w:rPr>
  </w:style>
  <w:style w:type="paragraph" w:styleId="ListNumber3">
    <w:name w:val="List Number 3"/>
    <w:basedOn w:val="Normal"/>
    <w:rsid w:val="00400432"/>
    <w:pPr>
      <w:numPr>
        <w:ilvl w:val="2"/>
        <w:numId w:val="33"/>
      </w:numPr>
      <w:tabs>
        <w:tab w:val="num" w:pos="360"/>
      </w:tabs>
      <w:suppressAutoHyphens/>
      <w:spacing w:before="120" w:after="120" w:line="240" w:lineRule="auto"/>
      <w:ind w:left="0" w:firstLine="0"/>
    </w:pPr>
    <w:rPr>
      <w:rFonts w:eastAsia="Times New Roman" w:cs="Times New Roman"/>
      <w:bCs/>
      <w:szCs w:val="20"/>
    </w:rPr>
  </w:style>
  <w:style w:type="paragraph" w:styleId="ListNumber">
    <w:name w:val="List Number"/>
    <w:rsid w:val="00400432"/>
    <w:pPr>
      <w:numPr>
        <w:numId w:val="33"/>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497184575">
      <w:bodyDiv w:val="1"/>
      <w:marLeft w:val="0"/>
      <w:marRight w:val="0"/>
      <w:marTop w:val="0"/>
      <w:marBottom w:val="0"/>
      <w:divBdr>
        <w:top w:val="none" w:sz="0" w:space="0" w:color="auto"/>
        <w:left w:val="none" w:sz="0" w:space="0" w:color="auto"/>
        <w:bottom w:val="none" w:sz="0" w:space="0" w:color="auto"/>
        <w:right w:val="none" w:sz="0" w:space="0" w:color="auto"/>
      </w:divBdr>
    </w:div>
    <w:div w:id="1780953713">
      <w:bodyDiv w:val="1"/>
      <w:marLeft w:val="0"/>
      <w:marRight w:val="0"/>
      <w:marTop w:val="0"/>
      <w:marBottom w:val="0"/>
      <w:divBdr>
        <w:top w:val="none" w:sz="0" w:space="0" w:color="auto"/>
        <w:left w:val="none" w:sz="0" w:space="0" w:color="auto"/>
        <w:bottom w:val="none" w:sz="0" w:space="0" w:color="auto"/>
        <w:right w:val="none" w:sz="0" w:space="0" w:color="auto"/>
      </w:divBdr>
      <w:divsChild>
        <w:div w:id="161504663">
          <w:marLeft w:val="0"/>
          <w:marRight w:val="0"/>
          <w:marTop w:val="0"/>
          <w:marBottom w:val="0"/>
          <w:divBdr>
            <w:top w:val="none" w:sz="0" w:space="0" w:color="auto"/>
            <w:left w:val="none" w:sz="0" w:space="0" w:color="auto"/>
            <w:bottom w:val="none" w:sz="0" w:space="0" w:color="auto"/>
            <w:right w:val="none" w:sz="0" w:space="0" w:color="auto"/>
          </w:divBdr>
        </w:div>
        <w:div w:id="242187119">
          <w:marLeft w:val="0"/>
          <w:marRight w:val="0"/>
          <w:marTop w:val="0"/>
          <w:marBottom w:val="0"/>
          <w:divBdr>
            <w:top w:val="none" w:sz="0" w:space="0" w:color="auto"/>
            <w:left w:val="none" w:sz="0" w:space="0" w:color="auto"/>
            <w:bottom w:val="none" w:sz="0" w:space="0" w:color="auto"/>
            <w:right w:val="none" w:sz="0" w:space="0" w:color="auto"/>
          </w:divBdr>
        </w:div>
        <w:div w:id="318728654">
          <w:marLeft w:val="0"/>
          <w:marRight w:val="0"/>
          <w:marTop w:val="0"/>
          <w:marBottom w:val="0"/>
          <w:divBdr>
            <w:top w:val="none" w:sz="0" w:space="0" w:color="auto"/>
            <w:left w:val="none" w:sz="0" w:space="0" w:color="auto"/>
            <w:bottom w:val="none" w:sz="0" w:space="0" w:color="auto"/>
            <w:right w:val="none" w:sz="0" w:space="0" w:color="auto"/>
          </w:divBdr>
        </w:div>
        <w:div w:id="511409833">
          <w:marLeft w:val="0"/>
          <w:marRight w:val="0"/>
          <w:marTop w:val="0"/>
          <w:marBottom w:val="0"/>
          <w:divBdr>
            <w:top w:val="none" w:sz="0" w:space="0" w:color="auto"/>
            <w:left w:val="none" w:sz="0" w:space="0" w:color="auto"/>
            <w:bottom w:val="none" w:sz="0" w:space="0" w:color="auto"/>
            <w:right w:val="none" w:sz="0" w:space="0" w:color="auto"/>
          </w:divBdr>
        </w:div>
        <w:div w:id="587270777">
          <w:marLeft w:val="0"/>
          <w:marRight w:val="0"/>
          <w:marTop w:val="0"/>
          <w:marBottom w:val="0"/>
          <w:divBdr>
            <w:top w:val="none" w:sz="0" w:space="0" w:color="auto"/>
            <w:left w:val="none" w:sz="0" w:space="0" w:color="auto"/>
            <w:bottom w:val="none" w:sz="0" w:space="0" w:color="auto"/>
            <w:right w:val="none" w:sz="0" w:space="0" w:color="auto"/>
          </w:divBdr>
        </w:div>
        <w:div w:id="707414004">
          <w:marLeft w:val="0"/>
          <w:marRight w:val="0"/>
          <w:marTop w:val="0"/>
          <w:marBottom w:val="0"/>
          <w:divBdr>
            <w:top w:val="none" w:sz="0" w:space="0" w:color="auto"/>
            <w:left w:val="none" w:sz="0" w:space="0" w:color="auto"/>
            <w:bottom w:val="none" w:sz="0" w:space="0" w:color="auto"/>
            <w:right w:val="none" w:sz="0" w:space="0" w:color="auto"/>
          </w:divBdr>
        </w:div>
        <w:div w:id="770517364">
          <w:marLeft w:val="0"/>
          <w:marRight w:val="0"/>
          <w:marTop w:val="0"/>
          <w:marBottom w:val="0"/>
          <w:divBdr>
            <w:top w:val="none" w:sz="0" w:space="0" w:color="auto"/>
            <w:left w:val="none" w:sz="0" w:space="0" w:color="auto"/>
            <w:bottom w:val="none" w:sz="0" w:space="0" w:color="auto"/>
            <w:right w:val="none" w:sz="0" w:space="0" w:color="auto"/>
          </w:divBdr>
        </w:div>
        <w:div w:id="879048977">
          <w:marLeft w:val="0"/>
          <w:marRight w:val="0"/>
          <w:marTop w:val="0"/>
          <w:marBottom w:val="0"/>
          <w:divBdr>
            <w:top w:val="none" w:sz="0" w:space="0" w:color="auto"/>
            <w:left w:val="none" w:sz="0" w:space="0" w:color="auto"/>
            <w:bottom w:val="none" w:sz="0" w:space="0" w:color="auto"/>
            <w:right w:val="none" w:sz="0" w:space="0" w:color="auto"/>
          </w:divBdr>
        </w:div>
        <w:div w:id="1010376194">
          <w:marLeft w:val="0"/>
          <w:marRight w:val="0"/>
          <w:marTop w:val="0"/>
          <w:marBottom w:val="0"/>
          <w:divBdr>
            <w:top w:val="none" w:sz="0" w:space="0" w:color="auto"/>
            <w:left w:val="none" w:sz="0" w:space="0" w:color="auto"/>
            <w:bottom w:val="none" w:sz="0" w:space="0" w:color="auto"/>
            <w:right w:val="none" w:sz="0" w:space="0" w:color="auto"/>
          </w:divBdr>
        </w:div>
        <w:div w:id="1080256089">
          <w:marLeft w:val="0"/>
          <w:marRight w:val="0"/>
          <w:marTop w:val="0"/>
          <w:marBottom w:val="0"/>
          <w:divBdr>
            <w:top w:val="none" w:sz="0" w:space="0" w:color="auto"/>
            <w:left w:val="none" w:sz="0" w:space="0" w:color="auto"/>
            <w:bottom w:val="none" w:sz="0" w:space="0" w:color="auto"/>
            <w:right w:val="none" w:sz="0" w:space="0" w:color="auto"/>
          </w:divBdr>
        </w:div>
        <w:div w:id="1176384166">
          <w:marLeft w:val="0"/>
          <w:marRight w:val="0"/>
          <w:marTop w:val="0"/>
          <w:marBottom w:val="0"/>
          <w:divBdr>
            <w:top w:val="none" w:sz="0" w:space="0" w:color="auto"/>
            <w:left w:val="none" w:sz="0" w:space="0" w:color="auto"/>
            <w:bottom w:val="none" w:sz="0" w:space="0" w:color="auto"/>
            <w:right w:val="none" w:sz="0" w:space="0" w:color="auto"/>
          </w:divBdr>
        </w:div>
        <w:div w:id="1256327540">
          <w:marLeft w:val="0"/>
          <w:marRight w:val="0"/>
          <w:marTop w:val="0"/>
          <w:marBottom w:val="0"/>
          <w:divBdr>
            <w:top w:val="none" w:sz="0" w:space="0" w:color="auto"/>
            <w:left w:val="none" w:sz="0" w:space="0" w:color="auto"/>
            <w:bottom w:val="none" w:sz="0" w:space="0" w:color="auto"/>
            <w:right w:val="none" w:sz="0" w:space="0" w:color="auto"/>
          </w:divBdr>
        </w:div>
        <w:div w:id="1303972222">
          <w:marLeft w:val="0"/>
          <w:marRight w:val="0"/>
          <w:marTop w:val="0"/>
          <w:marBottom w:val="0"/>
          <w:divBdr>
            <w:top w:val="none" w:sz="0" w:space="0" w:color="auto"/>
            <w:left w:val="none" w:sz="0" w:space="0" w:color="auto"/>
            <w:bottom w:val="none" w:sz="0" w:space="0" w:color="auto"/>
            <w:right w:val="none" w:sz="0" w:space="0" w:color="auto"/>
          </w:divBdr>
        </w:div>
        <w:div w:id="1308440135">
          <w:marLeft w:val="0"/>
          <w:marRight w:val="0"/>
          <w:marTop w:val="0"/>
          <w:marBottom w:val="0"/>
          <w:divBdr>
            <w:top w:val="none" w:sz="0" w:space="0" w:color="auto"/>
            <w:left w:val="none" w:sz="0" w:space="0" w:color="auto"/>
            <w:bottom w:val="none" w:sz="0" w:space="0" w:color="auto"/>
            <w:right w:val="none" w:sz="0" w:space="0" w:color="auto"/>
          </w:divBdr>
        </w:div>
        <w:div w:id="1377388506">
          <w:marLeft w:val="0"/>
          <w:marRight w:val="0"/>
          <w:marTop w:val="0"/>
          <w:marBottom w:val="0"/>
          <w:divBdr>
            <w:top w:val="none" w:sz="0" w:space="0" w:color="auto"/>
            <w:left w:val="none" w:sz="0" w:space="0" w:color="auto"/>
            <w:bottom w:val="none" w:sz="0" w:space="0" w:color="auto"/>
            <w:right w:val="none" w:sz="0" w:space="0" w:color="auto"/>
          </w:divBdr>
        </w:div>
        <w:div w:id="1486245118">
          <w:marLeft w:val="0"/>
          <w:marRight w:val="0"/>
          <w:marTop w:val="0"/>
          <w:marBottom w:val="0"/>
          <w:divBdr>
            <w:top w:val="none" w:sz="0" w:space="0" w:color="auto"/>
            <w:left w:val="none" w:sz="0" w:space="0" w:color="auto"/>
            <w:bottom w:val="none" w:sz="0" w:space="0" w:color="auto"/>
            <w:right w:val="none" w:sz="0" w:space="0" w:color="auto"/>
          </w:divBdr>
        </w:div>
        <w:div w:id="1539659487">
          <w:marLeft w:val="0"/>
          <w:marRight w:val="0"/>
          <w:marTop w:val="0"/>
          <w:marBottom w:val="0"/>
          <w:divBdr>
            <w:top w:val="none" w:sz="0" w:space="0" w:color="auto"/>
            <w:left w:val="none" w:sz="0" w:space="0" w:color="auto"/>
            <w:bottom w:val="none" w:sz="0" w:space="0" w:color="auto"/>
            <w:right w:val="none" w:sz="0" w:space="0" w:color="auto"/>
          </w:divBdr>
        </w:div>
        <w:div w:id="1658027450">
          <w:marLeft w:val="0"/>
          <w:marRight w:val="0"/>
          <w:marTop w:val="0"/>
          <w:marBottom w:val="0"/>
          <w:divBdr>
            <w:top w:val="none" w:sz="0" w:space="0" w:color="auto"/>
            <w:left w:val="none" w:sz="0" w:space="0" w:color="auto"/>
            <w:bottom w:val="none" w:sz="0" w:space="0" w:color="auto"/>
            <w:right w:val="none" w:sz="0" w:space="0" w:color="auto"/>
          </w:divBdr>
        </w:div>
        <w:div w:id="1914847496">
          <w:marLeft w:val="0"/>
          <w:marRight w:val="0"/>
          <w:marTop w:val="0"/>
          <w:marBottom w:val="0"/>
          <w:divBdr>
            <w:top w:val="none" w:sz="0" w:space="0" w:color="auto"/>
            <w:left w:val="none" w:sz="0" w:space="0" w:color="auto"/>
            <w:bottom w:val="none" w:sz="0" w:space="0" w:color="auto"/>
            <w:right w:val="none" w:sz="0" w:space="0" w:color="auto"/>
          </w:divBdr>
        </w:div>
        <w:div w:id="2058159290">
          <w:marLeft w:val="0"/>
          <w:marRight w:val="0"/>
          <w:marTop w:val="0"/>
          <w:marBottom w:val="0"/>
          <w:divBdr>
            <w:top w:val="none" w:sz="0" w:space="0" w:color="auto"/>
            <w:left w:val="none" w:sz="0" w:space="0" w:color="auto"/>
            <w:bottom w:val="none" w:sz="0" w:space="0" w:color="auto"/>
            <w:right w:val="none" w:sz="0" w:space="0" w:color="auto"/>
          </w:divBdr>
        </w:div>
        <w:div w:id="2110814658">
          <w:marLeft w:val="0"/>
          <w:marRight w:val="0"/>
          <w:marTop w:val="0"/>
          <w:marBottom w:val="0"/>
          <w:divBdr>
            <w:top w:val="none" w:sz="0" w:space="0" w:color="auto"/>
            <w:left w:val="none" w:sz="0" w:space="0" w:color="auto"/>
            <w:bottom w:val="none" w:sz="0" w:space="0" w:color="auto"/>
            <w:right w:val="none" w:sz="0" w:space="0" w:color="auto"/>
          </w:divBdr>
        </w:div>
        <w:div w:id="2140999389">
          <w:marLeft w:val="0"/>
          <w:marRight w:val="0"/>
          <w:marTop w:val="0"/>
          <w:marBottom w:val="0"/>
          <w:divBdr>
            <w:top w:val="none" w:sz="0" w:space="0" w:color="auto"/>
            <w:left w:val="none" w:sz="0" w:space="0" w:color="auto"/>
            <w:bottom w:val="none" w:sz="0" w:space="0" w:color="auto"/>
            <w:right w:val="none" w:sz="0" w:space="0" w:color="auto"/>
          </w:divBdr>
        </w:div>
      </w:divsChild>
    </w:div>
    <w:div w:id="186517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glossaryDocument" Target="glossary/document.xml"/><Relationship Id="rId21" Type="http://schemas.openxmlformats.org/officeDocument/2006/relationships/header" Target="header5.xm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orr.gov.uk/media/23638" TargetMode="Externa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nationalarchives.gov.uk/doc/open-government-licence/version/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rr.gov.uk/media/23638" TargetMode="External"/><Relationship Id="rId32" Type="http://schemas.openxmlformats.org/officeDocument/2006/relationships/header" Target="header8.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rr.gov.uk/" TargetMode="External"/><Relationship Id="rId28" Type="http://schemas.openxmlformats.org/officeDocument/2006/relationships/image" Target="media/image5.png"/><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mailto:procurementteam@orr.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yperlink" Target="https://www.find-tender.service.gov.uk/Search" TargetMode="External"/><Relationship Id="rId35" Type="http://schemas.openxmlformats.org/officeDocument/2006/relationships/footer" Target="footer7.xm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BaylissNeil\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
      <w:docPartPr>
        <w:name w:val="6AAE5BD536334CDFB0E24FD3254B79FA"/>
        <w:category>
          <w:name w:val="General"/>
          <w:gallery w:val="placeholder"/>
        </w:category>
        <w:types>
          <w:type w:val="bbPlcHdr"/>
        </w:types>
        <w:behaviors>
          <w:behavior w:val="content"/>
        </w:behaviors>
        <w:guid w:val="{AEC2553E-74AF-4281-9165-4D72CF2C06F6}"/>
      </w:docPartPr>
      <w:docPartBody>
        <w:p w:rsidR="00A27235" w:rsidRDefault="00A27235" w:rsidP="00A27235">
          <w:pPr>
            <w:pStyle w:val="6AAE5BD536334CDFB0E24FD3254B79FA"/>
          </w:pPr>
          <w:r w:rsidRPr="00F84A8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8177B"/>
    <w:rsid w:val="000B07CF"/>
    <w:rsid w:val="000B1AC2"/>
    <w:rsid w:val="00157E4C"/>
    <w:rsid w:val="001D34EA"/>
    <w:rsid w:val="00201171"/>
    <w:rsid w:val="00282136"/>
    <w:rsid w:val="002E0886"/>
    <w:rsid w:val="00396F0C"/>
    <w:rsid w:val="003D684E"/>
    <w:rsid w:val="00465309"/>
    <w:rsid w:val="004D27C7"/>
    <w:rsid w:val="005722FE"/>
    <w:rsid w:val="005769E8"/>
    <w:rsid w:val="005A6A23"/>
    <w:rsid w:val="005F52F5"/>
    <w:rsid w:val="0066244B"/>
    <w:rsid w:val="00696275"/>
    <w:rsid w:val="00726CC6"/>
    <w:rsid w:val="007479A0"/>
    <w:rsid w:val="00790B58"/>
    <w:rsid w:val="007C1354"/>
    <w:rsid w:val="007C3F77"/>
    <w:rsid w:val="00825438"/>
    <w:rsid w:val="008342A5"/>
    <w:rsid w:val="00843948"/>
    <w:rsid w:val="0084777F"/>
    <w:rsid w:val="00912431"/>
    <w:rsid w:val="00974DB7"/>
    <w:rsid w:val="00987D89"/>
    <w:rsid w:val="009E0644"/>
    <w:rsid w:val="00A16913"/>
    <w:rsid w:val="00A22547"/>
    <w:rsid w:val="00A235F4"/>
    <w:rsid w:val="00A257DF"/>
    <w:rsid w:val="00A27235"/>
    <w:rsid w:val="00A72823"/>
    <w:rsid w:val="00BB3195"/>
    <w:rsid w:val="00BF5479"/>
    <w:rsid w:val="00C016C2"/>
    <w:rsid w:val="00C0511F"/>
    <w:rsid w:val="00C37018"/>
    <w:rsid w:val="00D17983"/>
    <w:rsid w:val="00D750C2"/>
    <w:rsid w:val="00DC5B61"/>
    <w:rsid w:val="00DD58E4"/>
    <w:rsid w:val="00DE0FCF"/>
    <w:rsid w:val="00E27807"/>
    <w:rsid w:val="00E63CEB"/>
    <w:rsid w:val="00E81AAE"/>
    <w:rsid w:val="00E94B75"/>
    <w:rsid w:val="00EE54EB"/>
    <w:rsid w:val="00F06A05"/>
    <w:rsid w:val="00F1040F"/>
    <w:rsid w:val="00F52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235"/>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 w:type="paragraph" w:customStyle="1" w:styleId="6AAE5BD536334CDFB0E24FD3254B79FA">
    <w:name w:val="6AAE5BD536334CDFB0E24FD3254B79FA"/>
    <w:rsid w:val="00A272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2025-07-18T00:00:00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ddedtointranet xmlns="24d6d8e0-7f01-4a4d-a00c-b7e1c8b583a3">true</Addedtointranet>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82795B6AA8FEE438D5D9EE8FA4F5CC4" ma:contentTypeVersion="11" ma:contentTypeDescription="Create a new document." ma:contentTypeScope="" ma:versionID="e9f62989847043093c9f3321f21f1a9b">
  <xsd:schema xmlns:xsd="http://www.w3.org/2001/XMLSchema" xmlns:xs="http://www.w3.org/2001/XMLSchema" xmlns:p="http://schemas.microsoft.com/office/2006/metadata/properties" xmlns:ns2="24d6d8e0-7f01-4a4d-a00c-b7e1c8b583a3" xmlns:ns3="671dc83a-4d2b-4074-96cb-94c54810c83c" targetNamespace="http://schemas.microsoft.com/office/2006/metadata/properties" ma:root="true" ma:fieldsID="d248b33277fb0b5e257ed7258cc2fa94" ns2:_="" ns3:_="">
    <xsd:import namespace="24d6d8e0-7f01-4a4d-a00c-b7e1c8b583a3"/>
    <xsd:import namespace="671dc83a-4d2b-4074-96cb-94c54810c8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Addedtointranet" minOccurs="0"/>
                <xsd:element ref="ns3:_dlc_DocId" minOccurs="0"/>
                <xsd:element ref="ns3:_dlc_DocIdUrl" minOccurs="0"/>
                <xsd:element ref="ns3:_dlc_DocIdPersistId"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6d8e0-7f01-4a4d-a00c-b7e1c8b5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Addedtointranet" ma:index="13" nillable="true" ma:displayName="Added to intranet" ma:default="1" ma:format="Dropdown" ma:internalName="Addedtointranet">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dc83a-4d2b-4074-96cb-94c54810c83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DA9525-2FC6-48F2-8C14-DD69A8E1B6DC}">
  <ds:schemaRefs>
    <ds:schemaRef ds:uri="http://schemas.microsoft.com/sharepoint/v3/contenttype/forms"/>
  </ds:schemaRefs>
</ds:datastoreItem>
</file>

<file path=customXml/itemProps3.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4.xml><?xml version="1.0" encoding="utf-8"?>
<ds:datastoreItem xmlns:ds="http://schemas.openxmlformats.org/officeDocument/2006/customXml" ds:itemID="{8369F098-06E9-45AD-BA8E-B54AD9FD2F94}">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671dc83a-4d2b-4074-96cb-94c54810c83c"/>
    <ds:schemaRef ds:uri="http://purl.org/dc/dcmitype/"/>
    <ds:schemaRef ds:uri="http://schemas.openxmlformats.org/package/2006/metadata/core-properties"/>
    <ds:schemaRef ds:uri="24d6d8e0-7f01-4a4d-a00c-b7e1c8b583a3"/>
    <ds:schemaRef ds:uri="http://www.w3.org/XML/1998/namespace"/>
  </ds:schemaRefs>
</ds:datastoreItem>
</file>

<file path=customXml/itemProps5.xml><?xml version="1.0" encoding="utf-8"?>
<ds:datastoreItem xmlns:ds="http://schemas.openxmlformats.org/officeDocument/2006/customXml" ds:itemID="{0740225F-2AA3-4125-A8EB-AC650E0E834E}">
  <ds:schemaRefs>
    <ds:schemaRef ds:uri="http://schemas.microsoft.com/sharepoint/events"/>
  </ds:schemaRefs>
</ds:datastoreItem>
</file>

<file path=customXml/itemProps6.xml><?xml version="1.0" encoding="utf-8"?>
<ds:datastoreItem xmlns:ds="http://schemas.openxmlformats.org/officeDocument/2006/customXml" ds:itemID="{2F244F3E-FE78-4AFC-B18E-FC4798E5E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6d8e0-7f01-4a4d-a00c-b7e1c8b583a3"/>
    <ds:schemaRef ds:uri="671dc83a-4d2b-4074-96cb-94c54810c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Report</Template>
  <TotalTime>30</TotalTime>
  <Pages>25</Pages>
  <Words>5141</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34377</CharactersWithSpaces>
  <SharedDoc>false</SharedDoc>
  <HLinks>
    <vt:vector size="174" baseType="variant">
      <vt:variant>
        <vt:i4>852066</vt:i4>
      </vt:variant>
      <vt:variant>
        <vt:i4>156</vt:i4>
      </vt:variant>
      <vt:variant>
        <vt:i4>0</vt:i4>
      </vt:variant>
      <vt:variant>
        <vt:i4>5</vt:i4>
      </vt:variant>
      <vt:variant>
        <vt:lpwstr>mailto:procurementteam@orr.gov.uk</vt:lpwstr>
      </vt:variant>
      <vt:variant>
        <vt:lpwstr/>
      </vt:variant>
      <vt:variant>
        <vt:i4>1114183</vt:i4>
      </vt:variant>
      <vt:variant>
        <vt:i4>153</vt:i4>
      </vt:variant>
      <vt:variant>
        <vt:i4>0</vt:i4>
      </vt:variant>
      <vt:variant>
        <vt:i4>5</vt:i4>
      </vt:variant>
      <vt:variant>
        <vt:lpwstr>https://www.find-tender.service.gov.uk/Search</vt:lpwstr>
      </vt:variant>
      <vt:variant>
        <vt:lpwstr/>
      </vt:variant>
      <vt:variant>
        <vt:i4>5505035</vt:i4>
      </vt:variant>
      <vt:variant>
        <vt:i4>150</vt:i4>
      </vt:variant>
      <vt:variant>
        <vt:i4>0</vt:i4>
      </vt:variant>
      <vt:variant>
        <vt:i4>5</vt:i4>
      </vt:variant>
      <vt:variant>
        <vt:lpwstr>http://www.nationalarchives.gov.uk/doc/open-government-licence/version/3</vt:lpwstr>
      </vt:variant>
      <vt:variant>
        <vt:lpwstr/>
      </vt:variant>
      <vt:variant>
        <vt:i4>6946869</vt:i4>
      </vt:variant>
      <vt:variant>
        <vt:i4>147</vt:i4>
      </vt:variant>
      <vt:variant>
        <vt:i4>0</vt:i4>
      </vt:variant>
      <vt:variant>
        <vt:i4>5</vt:i4>
      </vt:variant>
      <vt:variant>
        <vt:lpwstr>https://www.orr.gov.uk/media/23638</vt:lpwstr>
      </vt:variant>
      <vt:variant>
        <vt:lpwstr/>
      </vt:variant>
      <vt:variant>
        <vt:i4>6946869</vt:i4>
      </vt:variant>
      <vt:variant>
        <vt:i4>144</vt:i4>
      </vt:variant>
      <vt:variant>
        <vt:i4>0</vt:i4>
      </vt:variant>
      <vt:variant>
        <vt:i4>5</vt:i4>
      </vt:variant>
      <vt:variant>
        <vt:lpwstr>https://www.orr.gov.uk/media/23638</vt:lpwstr>
      </vt:variant>
      <vt:variant>
        <vt:lpwstr/>
      </vt:variant>
      <vt:variant>
        <vt:i4>4063289</vt:i4>
      </vt:variant>
      <vt:variant>
        <vt:i4>141</vt:i4>
      </vt:variant>
      <vt:variant>
        <vt:i4>0</vt:i4>
      </vt:variant>
      <vt:variant>
        <vt:i4>5</vt:i4>
      </vt:variant>
      <vt:variant>
        <vt:lpwstr>https://www.orr.gov.uk/</vt:lpwstr>
      </vt:variant>
      <vt:variant>
        <vt:lpwstr/>
      </vt:variant>
      <vt:variant>
        <vt:i4>1114172</vt:i4>
      </vt:variant>
      <vt:variant>
        <vt:i4>134</vt:i4>
      </vt:variant>
      <vt:variant>
        <vt:i4>0</vt:i4>
      </vt:variant>
      <vt:variant>
        <vt:i4>5</vt:i4>
      </vt:variant>
      <vt:variant>
        <vt:lpwstr/>
      </vt:variant>
      <vt:variant>
        <vt:lpwstr>_Toc111551930</vt:lpwstr>
      </vt:variant>
      <vt:variant>
        <vt:i4>1048636</vt:i4>
      </vt:variant>
      <vt:variant>
        <vt:i4>128</vt:i4>
      </vt:variant>
      <vt:variant>
        <vt:i4>0</vt:i4>
      </vt:variant>
      <vt:variant>
        <vt:i4>5</vt:i4>
      </vt:variant>
      <vt:variant>
        <vt:lpwstr/>
      </vt:variant>
      <vt:variant>
        <vt:lpwstr>_Toc111551929</vt:lpwstr>
      </vt:variant>
      <vt:variant>
        <vt:i4>1048636</vt:i4>
      </vt:variant>
      <vt:variant>
        <vt:i4>122</vt:i4>
      </vt:variant>
      <vt:variant>
        <vt:i4>0</vt:i4>
      </vt:variant>
      <vt:variant>
        <vt:i4>5</vt:i4>
      </vt:variant>
      <vt:variant>
        <vt:lpwstr/>
      </vt:variant>
      <vt:variant>
        <vt:lpwstr>_Toc111551928</vt:lpwstr>
      </vt:variant>
      <vt:variant>
        <vt:i4>1048636</vt:i4>
      </vt:variant>
      <vt:variant>
        <vt:i4>116</vt:i4>
      </vt:variant>
      <vt:variant>
        <vt:i4>0</vt:i4>
      </vt:variant>
      <vt:variant>
        <vt:i4>5</vt:i4>
      </vt:variant>
      <vt:variant>
        <vt:lpwstr/>
      </vt:variant>
      <vt:variant>
        <vt:lpwstr>_Toc111551927</vt:lpwstr>
      </vt:variant>
      <vt:variant>
        <vt:i4>1048636</vt:i4>
      </vt:variant>
      <vt:variant>
        <vt:i4>110</vt:i4>
      </vt:variant>
      <vt:variant>
        <vt:i4>0</vt:i4>
      </vt:variant>
      <vt:variant>
        <vt:i4>5</vt:i4>
      </vt:variant>
      <vt:variant>
        <vt:lpwstr/>
      </vt:variant>
      <vt:variant>
        <vt:lpwstr>_Toc111551926</vt:lpwstr>
      </vt:variant>
      <vt:variant>
        <vt:i4>1048636</vt:i4>
      </vt:variant>
      <vt:variant>
        <vt:i4>104</vt:i4>
      </vt:variant>
      <vt:variant>
        <vt:i4>0</vt:i4>
      </vt:variant>
      <vt:variant>
        <vt:i4>5</vt:i4>
      </vt:variant>
      <vt:variant>
        <vt:lpwstr/>
      </vt:variant>
      <vt:variant>
        <vt:lpwstr>_Toc111551925</vt:lpwstr>
      </vt:variant>
      <vt:variant>
        <vt:i4>1048636</vt:i4>
      </vt:variant>
      <vt:variant>
        <vt:i4>98</vt:i4>
      </vt:variant>
      <vt:variant>
        <vt:i4>0</vt:i4>
      </vt:variant>
      <vt:variant>
        <vt:i4>5</vt:i4>
      </vt:variant>
      <vt:variant>
        <vt:lpwstr/>
      </vt:variant>
      <vt:variant>
        <vt:lpwstr>_Toc111551924</vt:lpwstr>
      </vt:variant>
      <vt:variant>
        <vt:i4>1048636</vt:i4>
      </vt:variant>
      <vt:variant>
        <vt:i4>92</vt:i4>
      </vt:variant>
      <vt:variant>
        <vt:i4>0</vt:i4>
      </vt:variant>
      <vt:variant>
        <vt:i4>5</vt:i4>
      </vt:variant>
      <vt:variant>
        <vt:lpwstr/>
      </vt:variant>
      <vt:variant>
        <vt:lpwstr>_Toc111551923</vt:lpwstr>
      </vt:variant>
      <vt:variant>
        <vt:i4>1048636</vt:i4>
      </vt:variant>
      <vt:variant>
        <vt:i4>86</vt:i4>
      </vt:variant>
      <vt:variant>
        <vt:i4>0</vt:i4>
      </vt:variant>
      <vt:variant>
        <vt:i4>5</vt:i4>
      </vt:variant>
      <vt:variant>
        <vt:lpwstr/>
      </vt:variant>
      <vt:variant>
        <vt:lpwstr>_Toc111551922</vt:lpwstr>
      </vt:variant>
      <vt:variant>
        <vt:i4>1048636</vt:i4>
      </vt:variant>
      <vt:variant>
        <vt:i4>80</vt:i4>
      </vt:variant>
      <vt:variant>
        <vt:i4>0</vt:i4>
      </vt:variant>
      <vt:variant>
        <vt:i4>5</vt:i4>
      </vt:variant>
      <vt:variant>
        <vt:lpwstr/>
      </vt:variant>
      <vt:variant>
        <vt:lpwstr>_Toc111551921</vt:lpwstr>
      </vt:variant>
      <vt:variant>
        <vt:i4>1048636</vt:i4>
      </vt:variant>
      <vt:variant>
        <vt:i4>74</vt:i4>
      </vt:variant>
      <vt:variant>
        <vt:i4>0</vt:i4>
      </vt:variant>
      <vt:variant>
        <vt:i4>5</vt:i4>
      </vt:variant>
      <vt:variant>
        <vt:lpwstr/>
      </vt:variant>
      <vt:variant>
        <vt:lpwstr>_Toc111551920</vt:lpwstr>
      </vt:variant>
      <vt:variant>
        <vt:i4>1245244</vt:i4>
      </vt:variant>
      <vt:variant>
        <vt:i4>68</vt:i4>
      </vt:variant>
      <vt:variant>
        <vt:i4>0</vt:i4>
      </vt:variant>
      <vt:variant>
        <vt:i4>5</vt:i4>
      </vt:variant>
      <vt:variant>
        <vt:lpwstr/>
      </vt:variant>
      <vt:variant>
        <vt:lpwstr>_Toc111551919</vt:lpwstr>
      </vt:variant>
      <vt:variant>
        <vt:i4>1245244</vt:i4>
      </vt:variant>
      <vt:variant>
        <vt:i4>62</vt:i4>
      </vt:variant>
      <vt:variant>
        <vt:i4>0</vt:i4>
      </vt:variant>
      <vt:variant>
        <vt:i4>5</vt:i4>
      </vt:variant>
      <vt:variant>
        <vt:lpwstr/>
      </vt:variant>
      <vt:variant>
        <vt:lpwstr>_Toc111551918</vt:lpwstr>
      </vt:variant>
      <vt:variant>
        <vt:i4>1245244</vt:i4>
      </vt:variant>
      <vt:variant>
        <vt:i4>56</vt:i4>
      </vt:variant>
      <vt:variant>
        <vt:i4>0</vt:i4>
      </vt:variant>
      <vt:variant>
        <vt:i4>5</vt:i4>
      </vt:variant>
      <vt:variant>
        <vt:lpwstr/>
      </vt:variant>
      <vt:variant>
        <vt:lpwstr>_Toc111551917</vt:lpwstr>
      </vt:variant>
      <vt:variant>
        <vt:i4>1245244</vt:i4>
      </vt:variant>
      <vt:variant>
        <vt:i4>50</vt:i4>
      </vt:variant>
      <vt:variant>
        <vt:i4>0</vt:i4>
      </vt:variant>
      <vt:variant>
        <vt:i4>5</vt:i4>
      </vt:variant>
      <vt:variant>
        <vt:lpwstr/>
      </vt:variant>
      <vt:variant>
        <vt:lpwstr>_Toc111551916</vt:lpwstr>
      </vt:variant>
      <vt:variant>
        <vt:i4>1245244</vt:i4>
      </vt:variant>
      <vt:variant>
        <vt:i4>44</vt:i4>
      </vt:variant>
      <vt:variant>
        <vt:i4>0</vt:i4>
      </vt:variant>
      <vt:variant>
        <vt:i4>5</vt:i4>
      </vt:variant>
      <vt:variant>
        <vt:lpwstr/>
      </vt:variant>
      <vt:variant>
        <vt:lpwstr>_Toc111551915</vt:lpwstr>
      </vt:variant>
      <vt:variant>
        <vt:i4>1245244</vt:i4>
      </vt:variant>
      <vt:variant>
        <vt:i4>38</vt:i4>
      </vt:variant>
      <vt:variant>
        <vt:i4>0</vt:i4>
      </vt:variant>
      <vt:variant>
        <vt:i4>5</vt:i4>
      </vt:variant>
      <vt:variant>
        <vt:lpwstr/>
      </vt:variant>
      <vt:variant>
        <vt:lpwstr>_Toc111551914</vt:lpwstr>
      </vt:variant>
      <vt:variant>
        <vt:i4>1245244</vt:i4>
      </vt:variant>
      <vt:variant>
        <vt:i4>32</vt:i4>
      </vt:variant>
      <vt:variant>
        <vt:i4>0</vt:i4>
      </vt:variant>
      <vt:variant>
        <vt:i4>5</vt:i4>
      </vt:variant>
      <vt:variant>
        <vt:lpwstr/>
      </vt:variant>
      <vt:variant>
        <vt:lpwstr>_Toc111551913</vt:lpwstr>
      </vt:variant>
      <vt:variant>
        <vt:i4>1245244</vt:i4>
      </vt:variant>
      <vt:variant>
        <vt:i4>26</vt:i4>
      </vt:variant>
      <vt:variant>
        <vt:i4>0</vt:i4>
      </vt:variant>
      <vt:variant>
        <vt:i4>5</vt:i4>
      </vt:variant>
      <vt:variant>
        <vt:lpwstr/>
      </vt:variant>
      <vt:variant>
        <vt:lpwstr>_Toc111551912</vt:lpwstr>
      </vt:variant>
      <vt:variant>
        <vt:i4>1245244</vt:i4>
      </vt:variant>
      <vt:variant>
        <vt:i4>20</vt:i4>
      </vt:variant>
      <vt:variant>
        <vt:i4>0</vt:i4>
      </vt:variant>
      <vt:variant>
        <vt:i4>5</vt:i4>
      </vt:variant>
      <vt:variant>
        <vt:lpwstr/>
      </vt:variant>
      <vt:variant>
        <vt:lpwstr>_Toc111551911</vt:lpwstr>
      </vt:variant>
      <vt:variant>
        <vt:i4>1245244</vt:i4>
      </vt:variant>
      <vt:variant>
        <vt:i4>14</vt:i4>
      </vt:variant>
      <vt:variant>
        <vt:i4>0</vt:i4>
      </vt:variant>
      <vt:variant>
        <vt:i4>5</vt:i4>
      </vt:variant>
      <vt:variant>
        <vt:lpwstr/>
      </vt:variant>
      <vt:variant>
        <vt:lpwstr>_Toc111551910</vt:lpwstr>
      </vt:variant>
      <vt:variant>
        <vt:i4>1179708</vt:i4>
      </vt:variant>
      <vt:variant>
        <vt:i4>8</vt:i4>
      </vt:variant>
      <vt:variant>
        <vt:i4>0</vt:i4>
      </vt:variant>
      <vt:variant>
        <vt:i4>5</vt:i4>
      </vt:variant>
      <vt:variant>
        <vt:lpwstr/>
      </vt:variant>
      <vt:variant>
        <vt:lpwstr>_Toc111551909</vt:lpwstr>
      </vt:variant>
      <vt:variant>
        <vt:i4>1179708</vt:i4>
      </vt:variant>
      <vt:variant>
        <vt:i4>2</vt:i4>
      </vt:variant>
      <vt:variant>
        <vt:i4>0</vt:i4>
      </vt:variant>
      <vt:variant>
        <vt:i4>5</vt:i4>
      </vt:variant>
      <vt:variant>
        <vt:lpwstr/>
      </vt:variant>
      <vt:variant>
        <vt:lpwstr>_Toc111551908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A review of how both National Highways (NH) and Network Rail (NR) manage large renewal projects</dc:subject>
  <dc:creator>Angeriz-Santos, Paula</dc:creator>
  <cp:keywords/>
  <dc:description/>
  <cp:lastModifiedBy>Bayliss, Neil</cp:lastModifiedBy>
  <cp:revision>11</cp:revision>
  <cp:lastPrinted>2025-07-17T14:21:00Z</cp:lastPrinted>
  <dcterms:created xsi:type="dcterms:W3CDTF">2025-07-17T13:10:00Z</dcterms:created>
  <dcterms:modified xsi:type="dcterms:W3CDTF">2025-07-17T14:22:00Z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0x010100F82795B6AA8FEE438D5D9EE8FA4F5CC4</vt:lpwstr>
  </property>
</Properties>
</file>