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11551908" w:displacedByCustomXml="next"/>
    <w:sdt>
      <w:sdtPr>
        <w:alias w:val="Title"/>
        <w:tag w:val=""/>
        <w:id w:val="-699473600"/>
        <w:placeholder>
          <w:docPart w:val="12C0536B80014D9AA739C5DFB06BBCC6"/>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52EDE676" w14:textId="7F294FD8" w:rsidR="003B17E6" w:rsidRPr="003D199F" w:rsidRDefault="00205D90" w:rsidP="00205D90">
          <w:pPr>
            <w:pStyle w:val="Heading1"/>
          </w:pPr>
          <w:r w:rsidRPr="003D199F">
            <w:t>Invitation to Tender (ITT) and Statement of Requirement</w:t>
          </w:r>
        </w:p>
      </w:sdtContent>
    </w:sdt>
    <w:p w14:paraId="58AE2B00" w14:textId="1591E46A" w:rsidR="005632DC" w:rsidRPr="003D199F" w:rsidRDefault="005632DC" w:rsidP="00EC4BDE">
      <w:pPr>
        <w:pStyle w:val="Heading1"/>
        <w:rPr>
          <w:rStyle w:val="chrSubTitle"/>
        </w:rPr>
      </w:pPr>
      <w:r w:rsidRPr="003D199F">
        <w:rPr>
          <w:rStyle w:val="chrSubTitle"/>
        </w:rPr>
        <w:t>Review of Approach to Inflation and Input Prices</w:t>
      </w:r>
      <w:r w:rsidR="00EC4BDE" w:rsidRPr="003D199F">
        <w:rPr>
          <w:rStyle w:val="chrSubTitle"/>
        </w:rPr>
        <w:t xml:space="preserve"> </w:t>
      </w:r>
      <w:r w:rsidRPr="003D199F">
        <w:rPr>
          <w:rStyle w:val="chrSubTitle"/>
        </w:rPr>
        <w:t>taken by Network Rail</w:t>
      </w:r>
    </w:p>
    <w:p w14:paraId="7BAD802B" w14:textId="347F8C08" w:rsidR="00E15361" w:rsidRPr="003D199F" w:rsidRDefault="00E15361" w:rsidP="006C494E">
      <w:pPr>
        <w:pStyle w:val="ListParagraph"/>
      </w:pPr>
    </w:p>
    <w:p w14:paraId="5A99064C" w14:textId="5002E8C4" w:rsidR="003B17E6" w:rsidRPr="003D199F" w:rsidRDefault="00FD5069" w:rsidP="005632DC">
      <w:pPr>
        <w:pStyle w:val="Date"/>
      </w:pPr>
      <w:sdt>
        <w:sdtPr>
          <w:alias w:val="Date"/>
          <w:tag w:val=""/>
          <w:id w:val="1579170274"/>
          <w:placeholder>
            <w:docPart w:val="1D3023A1A58648F4948E1B92777EB090"/>
          </w:placeholder>
          <w:dataBinding w:prefixMappings="xmlns:ns0='http://schemas.microsoft.com/office/2006/coverPageProps' " w:xpath="/ns0:CoverPageProperties[1]/ns0:PublishDate[1]" w:storeItemID="{55AF091B-3C7A-41E3-B477-F2FDAA23CFDA}"/>
          <w:date w:fullDate="2025-07-09T00:00:00Z">
            <w:dateFormat w:val="dd MMMM yyyy"/>
            <w:lid w:val="en-GB"/>
            <w:storeMappedDataAs w:val="dateTime"/>
            <w:calendar w:val="gregorian"/>
          </w:date>
        </w:sdtPr>
        <w:sdtEndPr/>
        <w:sdtContent>
          <w:r w:rsidR="00712AD7">
            <w:t>09 July 2025</w:t>
          </w:r>
        </w:sdtContent>
      </w:sdt>
    </w:p>
    <w:p w14:paraId="3B938B38" w14:textId="77777777" w:rsidR="003B17E6" w:rsidRPr="003D199F" w:rsidRDefault="003B17E6" w:rsidP="00C00576"/>
    <w:p w14:paraId="11A6F6FD" w14:textId="54DD60B8" w:rsidR="00845E86" w:rsidRPr="00845E86" w:rsidRDefault="00845E86" w:rsidP="00845E86">
      <w:pPr>
        <w:numPr>
          <w:ilvl w:val="0"/>
          <w:numId w:val="44"/>
        </w:numPr>
      </w:pPr>
      <w:r w:rsidRPr="00845E86">
        <w:rPr>
          <w:b/>
          <w:bCs/>
        </w:rPr>
        <w:t xml:space="preserve">CPV Code: </w:t>
      </w:r>
      <w:r w:rsidRPr="00712AD7">
        <w:rPr>
          <w:rFonts w:cs="Arial"/>
          <w:b/>
        </w:rPr>
        <w:t>66171000</w:t>
      </w:r>
    </w:p>
    <w:p w14:paraId="2650B59E" w14:textId="19C5E18B" w:rsidR="003B17E6" w:rsidRPr="003D199F" w:rsidRDefault="00845E86" w:rsidP="00712AD7">
      <w:pPr>
        <w:numPr>
          <w:ilvl w:val="0"/>
          <w:numId w:val="46"/>
        </w:numPr>
        <w:sectPr w:rsidR="003B17E6" w:rsidRPr="003D199F" w:rsidSect="003B17E6">
          <w:headerReference w:type="even" r:id="rId12"/>
          <w:headerReference w:type="default" r:id="rId13"/>
          <w:footerReference w:type="even" r:id="rId14"/>
          <w:footerReference w:type="default" r:id="rId15"/>
          <w:headerReference w:type="first" r:id="rId16"/>
          <w:footerReference w:type="first" r:id="rId17"/>
          <w:pgSz w:w="11906" w:h="16838" w:code="9"/>
          <w:pgMar w:top="5443" w:right="1134" w:bottom="1134" w:left="1134" w:header="709" w:footer="709" w:gutter="0"/>
          <w:pgNumType w:start="1"/>
          <w:cols w:space="708"/>
          <w:titlePg/>
          <w:docGrid w:linePitch="360"/>
        </w:sectPr>
      </w:pPr>
      <w:r w:rsidRPr="00845E86">
        <w:rPr>
          <w:b/>
          <w:bCs/>
        </w:rPr>
        <w:t xml:space="preserve">Tender Reference: </w:t>
      </w:r>
      <w:r>
        <w:rPr>
          <w:b/>
          <w:bCs/>
        </w:rPr>
        <w:t xml:space="preserve"> ORR/CT/25-31</w:t>
      </w:r>
    </w:p>
    <w:p w14:paraId="3FB2C7E6" w14:textId="77777777" w:rsidR="003B17E6" w:rsidRPr="003D199F" w:rsidRDefault="003B17E6" w:rsidP="00C00576">
      <w:pPr>
        <w:pStyle w:val="Heading2NoToc"/>
      </w:pPr>
      <w:r w:rsidRPr="003D199F">
        <w:lastRenderedPageBreak/>
        <w:t>Contents</w:t>
      </w:r>
    </w:p>
    <w:p w14:paraId="21FC2CFC" w14:textId="3B1F579C" w:rsidR="009F25D3" w:rsidRDefault="003B17E6">
      <w:pPr>
        <w:pStyle w:val="TOC1"/>
        <w:rPr>
          <w:rFonts w:asciiTheme="minorHAnsi" w:eastAsiaTheme="minorEastAsia" w:hAnsiTheme="minorHAnsi"/>
          <w:b w:val="0"/>
          <w:bCs w:val="0"/>
          <w:color w:val="auto"/>
          <w:kern w:val="2"/>
          <w:szCs w:val="24"/>
          <w:lang w:eastAsia="en-GB"/>
          <w14:ligatures w14:val="standardContextual"/>
        </w:rPr>
      </w:pPr>
      <w:r w:rsidRPr="003D199F">
        <w:rPr>
          <w:noProof w:val="0"/>
          <w:color w:val="731472"/>
        </w:rPr>
        <w:fldChar w:fldCharType="begin"/>
      </w:r>
      <w:r w:rsidRPr="003D199F">
        <w:rPr>
          <w:noProof w:val="0"/>
        </w:rPr>
        <w:instrText xml:space="preserve"> TOC \f \h \z \t "Heading 2,1,Heading 2NoNumb,1,Heading 2 (Single),1,Annex H2,5" </w:instrText>
      </w:r>
      <w:r w:rsidRPr="003D199F">
        <w:rPr>
          <w:noProof w:val="0"/>
          <w:color w:val="731472"/>
        </w:rPr>
        <w:fldChar w:fldCharType="separate"/>
      </w:r>
      <w:hyperlink w:anchor="_Toc200551375" w:history="1">
        <w:r w:rsidR="009F25D3" w:rsidRPr="00D2551E">
          <w:rPr>
            <w:rStyle w:val="Hyperlink"/>
          </w:rPr>
          <w:t>Purpose of this document</w:t>
        </w:r>
        <w:r w:rsidR="009F25D3">
          <w:rPr>
            <w:webHidden/>
          </w:rPr>
          <w:tab/>
        </w:r>
        <w:r w:rsidR="009F25D3">
          <w:rPr>
            <w:webHidden/>
          </w:rPr>
          <w:fldChar w:fldCharType="begin"/>
        </w:r>
        <w:r w:rsidR="009F25D3">
          <w:rPr>
            <w:webHidden/>
          </w:rPr>
          <w:instrText xml:space="preserve"> PAGEREF _Toc200551375 \h </w:instrText>
        </w:r>
        <w:r w:rsidR="009F25D3">
          <w:rPr>
            <w:webHidden/>
          </w:rPr>
        </w:r>
        <w:r w:rsidR="009F25D3">
          <w:rPr>
            <w:webHidden/>
          </w:rPr>
          <w:fldChar w:fldCharType="separate"/>
        </w:r>
        <w:r w:rsidR="009F25D3">
          <w:rPr>
            <w:webHidden/>
          </w:rPr>
          <w:t>3</w:t>
        </w:r>
        <w:r w:rsidR="009F25D3">
          <w:rPr>
            <w:webHidden/>
          </w:rPr>
          <w:fldChar w:fldCharType="end"/>
        </w:r>
      </w:hyperlink>
    </w:p>
    <w:p w14:paraId="62568467" w14:textId="0F260F45" w:rsidR="009F25D3" w:rsidRDefault="009F25D3">
      <w:pPr>
        <w:pStyle w:val="TOC1"/>
        <w:rPr>
          <w:rFonts w:asciiTheme="minorHAnsi" w:eastAsiaTheme="minorEastAsia" w:hAnsiTheme="minorHAnsi"/>
          <w:b w:val="0"/>
          <w:bCs w:val="0"/>
          <w:color w:val="auto"/>
          <w:kern w:val="2"/>
          <w:szCs w:val="24"/>
          <w:lang w:eastAsia="en-GB"/>
          <w14:ligatures w14:val="standardContextual"/>
        </w:rPr>
      </w:pPr>
      <w:hyperlink w:anchor="_Toc200551376" w:history="1">
        <w:r w:rsidRPr="00D2551E">
          <w:rPr>
            <w:rStyle w:val="Hyperlink"/>
          </w:rPr>
          <w:t>1.</w:t>
        </w:r>
        <w:r>
          <w:rPr>
            <w:rFonts w:asciiTheme="minorHAnsi" w:eastAsiaTheme="minorEastAsia" w:hAnsiTheme="minorHAnsi"/>
            <w:b w:val="0"/>
            <w:bCs w:val="0"/>
            <w:color w:val="auto"/>
            <w:kern w:val="2"/>
            <w:szCs w:val="24"/>
            <w:lang w:eastAsia="en-GB"/>
            <w14:ligatures w14:val="standardContextual"/>
          </w:rPr>
          <w:tab/>
        </w:r>
        <w:r w:rsidRPr="00D2551E">
          <w:rPr>
            <w:rStyle w:val="Hyperlink"/>
          </w:rPr>
          <w:t>Introduction to the Office of Rail and Road</w:t>
        </w:r>
        <w:r>
          <w:rPr>
            <w:webHidden/>
          </w:rPr>
          <w:tab/>
        </w:r>
        <w:r>
          <w:rPr>
            <w:webHidden/>
          </w:rPr>
          <w:fldChar w:fldCharType="begin"/>
        </w:r>
        <w:r>
          <w:rPr>
            <w:webHidden/>
          </w:rPr>
          <w:instrText xml:space="preserve"> PAGEREF _Toc200551376 \h </w:instrText>
        </w:r>
        <w:r>
          <w:rPr>
            <w:webHidden/>
          </w:rPr>
        </w:r>
        <w:r>
          <w:rPr>
            <w:webHidden/>
          </w:rPr>
          <w:fldChar w:fldCharType="separate"/>
        </w:r>
        <w:r>
          <w:rPr>
            <w:webHidden/>
          </w:rPr>
          <w:t>4</w:t>
        </w:r>
        <w:r>
          <w:rPr>
            <w:webHidden/>
          </w:rPr>
          <w:fldChar w:fldCharType="end"/>
        </w:r>
      </w:hyperlink>
    </w:p>
    <w:p w14:paraId="3DEA4138" w14:textId="1610E8C4" w:rsidR="009F25D3" w:rsidRDefault="009F25D3">
      <w:pPr>
        <w:pStyle w:val="TOC1"/>
        <w:rPr>
          <w:rFonts w:asciiTheme="minorHAnsi" w:eastAsiaTheme="minorEastAsia" w:hAnsiTheme="minorHAnsi"/>
          <w:b w:val="0"/>
          <w:bCs w:val="0"/>
          <w:color w:val="auto"/>
          <w:kern w:val="2"/>
          <w:szCs w:val="24"/>
          <w:lang w:eastAsia="en-GB"/>
          <w14:ligatures w14:val="standardContextual"/>
        </w:rPr>
      </w:pPr>
      <w:hyperlink w:anchor="_Toc200551378" w:history="1">
        <w:r w:rsidRPr="00D2551E">
          <w:rPr>
            <w:rStyle w:val="Hyperlink"/>
          </w:rPr>
          <w:t>2.</w:t>
        </w:r>
        <w:r>
          <w:rPr>
            <w:rFonts w:asciiTheme="minorHAnsi" w:eastAsiaTheme="minorEastAsia" w:hAnsiTheme="minorHAnsi"/>
            <w:b w:val="0"/>
            <w:bCs w:val="0"/>
            <w:color w:val="auto"/>
            <w:kern w:val="2"/>
            <w:szCs w:val="24"/>
            <w:lang w:eastAsia="en-GB"/>
            <w14:ligatures w14:val="standardContextual"/>
          </w:rPr>
          <w:tab/>
        </w:r>
        <w:r w:rsidRPr="00D2551E">
          <w:rPr>
            <w:rStyle w:val="Hyperlink"/>
          </w:rPr>
          <w:t>Statement of Requirement</w:t>
        </w:r>
        <w:r>
          <w:rPr>
            <w:webHidden/>
          </w:rPr>
          <w:tab/>
        </w:r>
        <w:r>
          <w:rPr>
            <w:webHidden/>
          </w:rPr>
          <w:fldChar w:fldCharType="begin"/>
        </w:r>
        <w:r>
          <w:rPr>
            <w:webHidden/>
          </w:rPr>
          <w:instrText xml:space="preserve"> PAGEREF _Toc200551378 \h </w:instrText>
        </w:r>
        <w:r>
          <w:rPr>
            <w:webHidden/>
          </w:rPr>
        </w:r>
        <w:r>
          <w:rPr>
            <w:webHidden/>
          </w:rPr>
          <w:fldChar w:fldCharType="separate"/>
        </w:r>
        <w:r>
          <w:rPr>
            <w:webHidden/>
          </w:rPr>
          <w:t>7</w:t>
        </w:r>
        <w:r>
          <w:rPr>
            <w:webHidden/>
          </w:rPr>
          <w:fldChar w:fldCharType="end"/>
        </w:r>
      </w:hyperlink>
    </w:p>
    <w:p w14:paraId="5ED4D9C2" w14:textId="100AEE75" w:rsidR="009F25D3" w:rsidRDefault="009F25D3">
      <w:pPr>
        <w:pStyle w:val="TOC1"/>
        <w:rPr>
          <w:rFonts w:asciiTheme="minorHAnsi" w:eastAsiaTheme="minorEastAsia" w:hAnsiTheme="minorHAnsi"/>
          <w:b w:val="0"/>
          <w:bCs w:val="0"/>
          <w:color w:val="auto"/>
          <w:kern w:val="2"/>
          <w:szCs w:val="24"/>
          <w:lang w:eastAsia="en-GB"/>
          <w14:ligatures w14:val="standardContextual"/>
        </w:rPr>
      </w:pPr>
      <w:hyperlink w:anchor="_Toc200551379" w:history="1">
        <w:r w:rsidRPr="00D2551E">
          <w:rPr>
            <w:rStyle w:val="Hyperlink"/>
          </w:rPr>
          <w:t>3.</w:t>
        </w:r>
        <w:r>
          <w:rPr>
            <w:rFonts w:asciiTheme="minorHAnsi" w:eastAsiaTheme="minorEastAsia" w:hAnsiTheme="minorHAnsi"/>
            <w:b w:val="0"/>
            <w:bCs w:val="0"/>
            <w:color w:val="auto"/>
            <w:kern w:val="2"/>
            <w:szCs w:val="24"/>
            <w:lang w:eastAsia="en-GB"/>
            <w14:ligatures w14:val="standardContextual"/>
          </w:rPr>
          <w:tab/>
        </w:r>
        <w:r w:rsidRPr="00D2551E">
          <w:rPr>
            <w:rStyle w:val="Hyperlink"/>
          </w:rPr>
          <w:t>Tender Response and Evaluation Criteria</w:t>
        </w:r>
        <w:r>
          <w:rPr>
            <w:webHidden/>
          </w:rPr>
          <w:tab/>
        </w:r>
        <w:r>
          <w:rPr>
            <w:webHidden/>
          </w:rPr>
          <w:fldChar w:fldCharType="begin"/>
        </w:r>
        <w:r>
          <w:rPr>
            <w:webHidden/>
          </w:rPr>
          <w:instrText xml:space="preserve"> PAGEREF _Toc200551379 \h </w:instrText>
        </w:r>
        <w:r>
          <w:rPr>
            <w:webHidden/>
          </w:rPr>
        </w:r>
        <w:r>
          <w:rPr>
            <w:webHidden/>
          </w:rPr>
          <w:fldChar w:fldCharType="separate"/>
        </w:r>
        <w:r>
          <w:rPr>
            <w:webHidden/>
          </w:rPr>
          <w:t>14</w:t>
        </w:r>
        <w:r>
          <w:rPr>
            <w:webHidden/>
          </w:rPr>
          <w:fldChar w:fldCharType="end"/>
        </w:r>
      </w:hyperlink>
    </w:p>
    <w:p w14:paraId="26B2CE35" w14:textId="78EB89AA" w:rsidR="009F25D3" w:rsidRDefault="009F25D3">
      <w:pPr>
        <w:pStyle w:val="TOC1"/>
        <w:rPr>
          <w:rFonts w:asciiTheme="minorHAnsi" w:eastAsiaTheme="minorEastAsia" w:hAnsiTheme="minorHAnsi"/>
          <w:b w:val="0"/>
          <w:bCs w:val="0"/>
          <w:color w:val="auto"/>
          <w:kern w:val="2"/>
          <w:szCs w:val="24"/>
          <w:lang w:eastAsia="en-GB"/>
          <w14:ligatures w14:val="standardContextual"/>
        </w:rPr>
      </w:pPr>
      <w:hyperlink w:anchor="_Toc200551380" w:history="1">
        <w:r w:rsidRPr="00D2551E">
          <w:rPr>
            <w:rStyle w:val="Hyperlink"/>
          </w:rPr>
          <w:t>4.</w:t>
        </w:r>
        <w:r>
          <w:rPr>
            <w:rFonts w:asciiTheme="minorHAnsi" w:eastAsiaTheme="minorEastAsia" w:hAnsiTheme="minorHAnsi"/>
            <w:b w:val="0"/>
            <w:bCs w:val="0"/>
            <w:color w:val="auto"/>
            <w:kern w:val="2"/>
            <w:szCs w:val="24"/>
            <w:lang w:eastAsia="en-GB"/>
            <w14:ligatures w14:val="standardContextual"/>
          </w:rPr>
          <w:tab/>
        </w:r>
        <w:r w:rsidRPr="00D2551E">
          <w:rPr>
            <w:rStyle w:val="Hyperlink"/>
          </w:rPr>
          <w:t>Procurement Procedures</w:t>
        </w:r>
        <w:r>
          <w:rPr>
            <w:webHidden/>
          </w:rPr>
          <w:tab/>
        </w:r>
        <w:r>
          <w:rPr>
            <w:webHidden/>
          </w:rPr>
          <w:fldChar w:fldCharType="begin"/>
        </w:r>
        <w:r>
          <w:rPr>
            <w:webHidden/>
          </w:rPr>
          <w:instrText xml:space="preserve"> PAGEREF _Toc200551380 \h </w:instrText>
        </w:r>
        <w:r>
          <w:rPr>
            <w:webHidden/>
          </w:rPr>
        </w:r>
        <w:r>
          <w:rPr>
            <w:webHidden/>
          </w:rPr>
          <w:fldChar w:fldCharType="separate"/>
        </w:r>
        <w:r>
          <w:rPr>
            <w:webHidden/>
          </w:rPr>
          <w:t>20</w:t>
        </w:r>
        <w:r>
          <w:rPr>
            <w:webHidden/>
          </w:rPr>
          <w:fldChar w:fldCharType="end"/>
        </w:r>
      </w:hyperlink>
    </w:p>
    <w:p w14:paraId="6057562F" w14:textId="349D7BDB" w:rsidR="003B17E6" w:rsidRPr="003D199F" w:rsidRDefault="003B17E6" w:rsidP="00C00576">
      <w:pPr>
        <w:sectPr w:rsidR="003B17E6" w:rsidRPr="003D199F" w:rsidSect="003B17E6">
          <w:headerReference w:type="even" r:id="rId18"/>
          <w:headerReference w:type="default" r:id="rId19"/>
          <w:footerReference w:type="even" r:id="rId20"/>
          <w:footerReference w:type="default" r:id="rId21"/>
          <w:headerReference w:type="first" r:id="rId22"/>
          <w:footerReference w:type="first" r:id="rId23"/>
          <w:pgSz w:w="11906" w:h="16838" w:code="9"/>
          <w:pgMar w:top="1418" w:right="1134" w:bottom="1134" w:left="1134" w:header="709" w:footer="709" w:gutter="0"/>
          <w:cols w:space="708"/>
          <w:docGrid w:linePitch="360"/>
        </w:sectPr>
      </w:pPr>
      <w:r w:rsidRPr="003D199F">
        <w:fldChar w:fldCharType="end"/>
      </w:r>
    </w:p>
    <w:p w14:paraId="63D90CF4" w14:textId="3BE815E3" w:rsidR="004276BA" w:rsidRPr="003D199F" w:rsidRDefault="008B79B6" w:rsidP="00FC6860">
      <w:pPr>
        <w:pStyle w:val="Heading2NoNumb"/>
      </w:pPr>
      <w:bookmarkStart w:id="5" w:name="_Toc200551375"/>
      <w:bookmarkEnd w:id="0"/>
      <w:r w:rsidRPr="003D199F">
        <w:lastRenderedPageBreak/>
        <w:t>Purpose of this document</w:t>
      </w:r>
      <w:bookmarkEnd w:id="5"/>
    </w:p>
    <w:p w14:paraId="11B76797" w14:textId="6E246193" w:rsidR="008B79B6" w:rsidRDefault="002506F0" w:rsidP="008B79B6">
      <w:r w:rsidRPr="003D199F">
        <w:t xml:space="preserve">The purpose of this document is to invite proposals for an </w:t>
      </w:r>
      <w:r w:rsidRPr="00712AD7">
        <w:rPr>
          <w:b/>
          <w:bCs/>
          <w:color w:val="000000" w:themeColor="text1"/>
        </w:rPr>
        <w:t xml:space="preserve">updated review of </w:t>
      </w:r>
      <w:r w:rsidR="00557549" w:rsidRPr="00712AD7">
        <w:rPr>
          <w:b/>
          <w:bCs/>
          <w:color w:val="000000" w:themeColor="text1"/>
        </w:rPr>
        <w:t>Network Rail’s a</w:t>
      </w:r>
      <w:r w:rsidRPr="00712AD7">
        <w:rPr>
          <w:b/>
          <w:bCs/>
          <w:color w:val="000000" w:themeColor="text1"/>
        </w:rPr>
        <w:t>pproach to Inflation and Input Prices.</w:t>
      </w:r>
    </w:p>
    <w:p w14:paraId="7F44F0AB" w14:textId="77777777" w:rsidR="00845E86" w:rsidRPr="00845E86" w:rsidRDefault="00845E86" w:rsidP="00845E86">
      <w:r w:rsidRPr="00845E86">
        <w:t>This document contains the following sections: </w:t>
      </w:r>
    </w:p>
    <w:p w14:paraId="12D1CC5B" w14:textId="77777777" w:rsidR="00845E86" w:rsidRPr="00845E86" w:rsidRDefault="00845E86" w:rsidP="00845E86">
      <w:pPr>
        <w:numPr>
          <w:ilvl w:val="0"/>
          <w:numId w:val="47"/>
        </w:numPr>
      </w:pPr>
      <w:r w:rsidRPr="00845E86">
        <w:t>Introduction to the Office of Rail and Road </w:t>
      </w:r>
    </w:p>
    <w:p w14:paraId="159978D5" w14:textId="77777777" w:rsidR="00845E86" w:rsidRPr="00845E86" w:rsidRDefault="00845E86" w:rsidP="00845E86">
      <w:pPr>
        <w:numPr>
          <w:ilvl w:val="0"/>
          <w:numId w:val="48"/>
        </w:numPr>
      </w:pPr>
      <w:r w:rsidRPr="00845E86">
        <w:t>Statement of Requirement </w:t>
      </w:r>
    </w:p>
    <w:p w14:paraId="3BBD3894" w14:textId="77777777" w:rsidR="00845E86" w:rsidRPr="00845E86" w:rsidRDefault="00845E86" w:rsidP="00845E86">
      <w:pPr>
        <w:numPr>
          <w:ilvl w:val="0"/>
          <w:numId w:val="49"/>
        </w:numPr>
      </w:pPr>
      <w:r w:rsidRPr="00845E86">
        <w:t>Tender Proposal &amp; Evaluation Criteria </w:t>
      </w:r>
    </w:p>
    <w:p w14:paraId="65305E41" w14:textId="77777777" w:rsidR="00845E86" w:rsidRPr="00845E86" w:rsidRDefault="00845E86" w:rsidP="00845E86">
      <w:pPr>
        <w:numPr>
          <w:ilvl w:val="0"/>
          <w:numId w:val="50"/>
        </w:numPr>
      </w:pPr>
      <w:r w:rsidRPr="00845E86">
        <w:t>Procurement Procedures </w:t>
      </w:r>
    </w:p>
    <w:p w14:paraId="723A1951" w14:textId="77777777" w:rsidR="00845E86" w:rsidRPr="003D199F" w:rsidRDefault="00845E86" w:rsidP="008B79B6"/>
    <w:p w14:paraId="253D5E63" w14:textId="052BB41B" w:rsidR="003E1A78" w:rsidRPr="003D199F" w:rsidRDefault="00490915" w:rsidP="00D776B6">
      <w:pPr>
        <w:pStyle w:val="Heading2"/>
      </w:pPr>
      <w:bookmarkStart w:id="6" w:name="_Toc111551914"/>
      <w:bookmarkStart w:id="7" w:name="_Toc200551376"/>
      <w:r w:rsidRPr="003D199F">
        <w:lastRenderedPageBreak/>
        <w:t>Introduction to the Office of Rail and Road</w:t>
      </w:r>
      <w:bookmarkEnd w:id="6"/>
      <w:bookmarkEnd w:id="7"/>
    </w:p>
    <w:p w14:paraId="0EC8CF73" w14:textId="1DBEBA46" w:rsidR="00490915" w:rsidRPr="003D199F" w:rsidRDefault="00490915" w:rsidP="00490915">
      <w:r w:rsidRPr="003D199F">
        <w:t xml:space="preserve">The Office of Rail and Road is the independent safety and economic regulator of Britain’s railways </w:t>
      </w:r>
      <w:r w:rsidR="004D28C2">
        <w:t>and</w:t>
      </w:r>
      <w:r w:rsidR="004D28C2" w:rsidRPr="003D199F">
        <w:t xml:space="preserve"> </w:t>
      </w:r>
      <w:r w:rsidRPr="003D199F">
        <w:t>also hold</w:t>
      </w:r>
      <w:r w:rsidR="004D28C2">
        <w:t>s</w:t>
      </w:r>
      <w:r w:rsidRPr="003D199F">
        <w:t xml:space="preserve"> National Highways to account. </w:t>
      </w:r>
    </w:p>
    <w:p w14:paraId="352A1B0F" w14:textId="77777777" w:rsidR="00490915" w:rsidRPr="003D199F" w:rsidRDefault="00490915" w:rsidP="00490915">
      <w:r w:rsidRPr="003D199F">
        <w:t>ORR currently employs approximately 360 personnel and operates from 6 locations nationwide. The majority of personnel are located at ORR’s headquarters, 25 Cabot Square, London.</w:t>
      </w:r>
    </w:p>
    <w:p w14:paraId="2745252D" w14:textId="77777777" w:rsidR="00490915" w:rsidRPr="003D199F" w:rsidRDefault="00490915" w:rsidP="00490915">
      <w:pPr>
        <w:pStyle w:val="Heading3"/>
      </w:pPr>
      <w:bookmarkStart w:id="8" w:name="_Toc111551915"/>
      <w:r w:rsidRPr="003D199F">
        <w:t>Our strategic objectives</w:t>
      </w:r>
      <w:bookmarkEnd w:id="8"/>
    </w:p>
    <w:p w14:paraId="53B126E3" w14:textId="77777777" w:rsidR="00490915" w:rsidRPr="003D199F" w:rsidRDefault="00490915" w:rsidP="00490915">
      <w:pPr>
        <w:pStyle w:val="Heading4"/>
      </w:pPr>
      <w:r w:rsidRPr="003D199F">
        <w:t>1. A safer railway:</w:t>
      </w:r>
    </w:p>
    <w:p w14:paraId="4E2DC195" w14:textId="77777777" w:rsidR="00490915" w:rsidRPr="003D199F" w:rsidRDefault="00490915" w:rsidP="00490915">
      <w:r w:rsidRPr="003D199F">
        <w:t>Enforce the law and ensure that the industry delivers continuous improvement in the health and safety of passengers, the workforce and public, by achieving excellence in health and safety culture, management and risk control.</w:t>
      </w:r>
    </w:p>
    <w:p w14:paraId="5A35E510" w14:textId="77777777" w:rsidR="00490915" w:rsidRPr="003D199F" w:rsidRDefault="00490915" w:rsidP="00490915">
      <w:pPr>
        <w:pStyle w:val="Heading4"/>
      </w:pPr>
      <w:r w:rsidRPr="003D199F">
        <w:t>2. Better rail customer service:</w:t>
      </w:r>
    </w:p>
    <w:p w14:paraId="60A182B5" w14:textId="77777777" w:rsidR="00490915" w:rsidRPr="003D199F" w:rsidRDefault="00490915" w:rsidP="00490915">
      <w:r w:rsidRPr="003D199F">
        <w:t>Improve the rail passenger experience in the consumer areas for which we have regulatory responsibility and take prompt and effective action to improve the service that passengers receive where it is required.</w:t>
      </w:r>
    </w:p>
    <w:p w14:paraId="04A3FAA6" w14:textId="77777777" w:rsidR="00490915" w:rsidRPr="003D199F" w:rsidRDefault="00490915" w:rsidP="00490915">
      <w:pPr>
        <w:pStyle w:val="Heading4"/>
      </w:pPr>
      <w:r w:rsidRPr="003D199F">
        <w:t>3. Value for money from the railway:</w:t>
      </w:r>
    </w:p>
    <w:p w14:paraId="21D367BB" w14:textId="77777777" w:rsidR="00490915" w:rsidRPr="003D199F" w:rsidRDefault="00490915" w:rsidP="00490915">
      <w:r w:rsidRPr="003D199F">
        <w:t xml:space="preserve">Support the delivery of an efficient, high-performing rail service that provides value for money for passengers, freight customers, governments, and taxpayers. </w:t>
      </w:r>
    </w:p>
    <w:p w14:paraId="0252E011" w14:textId="77777777" w:rsidR="00490915" w:rsidRPr="003D199F" w:rsidRDefault="00490915" w:rsidP="00490915">
      <w:pPr>
        <w:pStyle w:val="Heading4"/>
      </w:pPr>
      <w:r w:rsidRPr="003D199F">
        <w:t>4. Better Highways:</w:t>
      </w:r>
    </w:p>
    <w:p w14:paraId="406A9DC7" w14:textId="77777777" w:rsidR="00490915" w:rsidRPr="003D199F" w:rsidRDefault="00490915" w:rsidP="00490915">
      <w:r w:rsidRPr="003D199F">
        <w:t>National Highways operates the strategic road network, managing motorways and major roads in England. Our role is to monitor and hold it to account for its performance and delivery, so that its customers enjoy predictable journeys on England’s roads.</w:t>
      </w:r>
    </w:p>
    <w:p w14:paraId="3D22F1BB" w14:textId="77777777" w:rsidR="00490915" w:rsidRPr="003D199F" w:rsidRDefault="00490915" w:rsidP="00490915">
      <w:pPr>
        <w:pStyle w:val="Heading3"/>
      </w:pPr>
      <w:bookmarkStart w:id="9" w:name="_Toc111551916"/>
      <w:r w:rsidRPr="003D199F">
        <w:t>Supplying ORR</w:t>
      </w:r>
      <w:bookmarkEnd w:id="9"/>
    </w:p>
    <w:p w14:paraId="00A07518" w14:textId="77777777" w:rsidR="00490915" w:rsidRPr="003D199F" w:rsidRDefault="00490915" w:rsidP="00490915">
      <w:r w:rsidRPr="003D199F">
        <w:t>The ORR procurement unit is responsible for purchasing the goods and services necessary for ORR to achieve its role as the economic and health &amp; safety regulator of the rail industry.</w:t>
      </w:r>
    </w:p>
    <w:p w14:paraId="26B8CB40" w14:textId="77777777" w:rsidR="00490915" w:rsidRPr="003D199F" w:rsidRDefault="00490915" w:rsidP="00490915">
      <w:r w:rsidRPr="003D199F">
        <w:t>The ORR Procurement unit subscribes to the following values:</w:t>
      </w:r>
    </w:p>
    <w:p w14:paraId="1A5A0C34" w14:textId="7775920E" w:rsidR="00490915" w:rsidRPr="003D199F" w:rsidRDefault="00490915" w:rsidP="00490915">
      <w:pPr>
        <w:pStyle w:val="NormalBulletround"/>
      </w:pPr>
      <w:r w:rsidRPr="003D199F">
        <w:lastRenderedPageBreak/>
        <w:t xml:space="preserve">to provide a modern, efficient, transparent and responsible procurement service; </w:t>
      </w:r>
    </w:p>
    <w:p w14:paraId="0B92DD7B" w14:textId="74711B91" w:rsidR="00490915" w:rsidRPr="003D199F" w:rsidRDefault="00490915" w:rsidP="00490915">
      <w:pPr>
        <w:pStyle w:val="NormalBulletround"/>
      </w:pPr>
      <w:r w:rsidRPr="003D199F">
        <w:t xml:space="preserve">to achieve value for money by balancing quality and cost; </w:t>
      </w:r>
    </w:p>
    <w:p w14:paraId="1C476475" w14:textId="323B8CE0" w:rsidR="00490915" w:rsidRPr="003D199F" w:rsidRDefault="00490915" w:rsidP="00490915">
      <w:pPr>
        <w:pStyle w:val="NormalBulletround"/>
      </w:pPr>
      <w:r w:rsidRPr="003D199F">
        <w:t xml:space="preserve">to ensure contracts are managed effectively and outputs are delivered; </w:t>
      </w:r>
    </w:p>
    <w:p w14:paraId="79E59123" w14:textId="31984950" w:rsidR="00490915" w:rsidRPr="003D199F" w:rsidRDefault="00490915" w:rsidP="00490915">
      <w:pPr>
        <w:pStyle w:val="NormalBulletround"/>
      </w:pPr>
      <w:r w:rsidRPr="003D199F">
        <w:t xml:space="preserve">to ensure that processes have regard for equality and diversity; and </w:t>
      </w:r>
    </w:p>
    <w:p w14:paraId="76FDEFD9" w14:textId="3A415708" w:rsidR="00490915" w:rsidRPr="003D199F" w:rsidRDefault="00490915" w:rsidP="00490915">
      <w:pPr>
        <w:pStyle w:val="NormalBulletround"/>
      </w:pPr>
      <w:r w:rsidRPr="003D199F">
        <w:t>to ensure that procurement is undertaken with regard to Law and best practice.</w:t>
      </w:r>
    </w:p>
    <w:p w14:paraId="06E7514B" w14:textId="4F3AE6B9" w:rsidR="00490915" w:rsidRPr="003D199F" w:rsidRDefault="00490915" w:rsidP="00490915">
      <w:r w:rsidRPr="003D199F">
        <w:t xml:space="preserve">For further information on ORR please visit our website: </w:t>
      </w:r>
      <w:hyperlink r:id="rId24" w:history="1">
        <w:r w:rsidRPr="003D199F">
          <w:rPr>
            <w:rStyle w:val="Hyperlink"/>
          </w:rPr>
          <w:t>www.orr.gov.uk</w:t>
        </w:r>
      </w:hyperlink>
      <w:r w:rsidR="005F74FA" w:rsidRPr="003D199F">
        <w:t>.</w:t>
      </w:r>
    </w:p>
    <w:p w14:paraId="7270DCA3" w14:textId="77777777" w:rsidR="00FC6860" w:rsidRPr="003D199F" w:rsidRDefault="00FC6860" w:rsidP="00490915"/>
    <w:p w14:paraId="50805B32" w14:textId="77777777" w:rsidR="00D776B6" w:rsidRPr="003D199F" w:rsidRDefault="00D776B6" w:rsidP="00D776B6">
      <w:pPr>
        <w:pStyle w:val="Heading2NoNumb"/>
      </w:pPr>
      <w:bookmarkStart w:id="10" w:name="_Toc111551917"/>
      <w:bookmarkStart w:id="11" w:name="_Toc200551377"/>
      <w:r w:rsidRPr="003D199F">
        <w:lastRenderedPageBreak/>
        <w:t>Small and Medium Enterprises</w:t>
      </w:r>
      <w:bookmarkEnd w:id="10"/>
      <w:bookmarkEnd w:id="11"/>
    </w:p>
    <w:p w14:paraId="37ED9C1E" w14:textId="73536768" w:rsidR="00D776B6" w:rsidRPr="003D199F" w:rsidRDefault="00D776B6" w:rsidP="00D776B6">
      <w:pPr>
        <w:pStyle w:val="Boxedparagraph"/>
      </w:pPr>
      <w:r w:rsidRPr="003D199F">
        <w:t>ORR considers that this contract may be suitable for economic operators that are small or medium enterprises (SMEs) and voluntary organisations. However, any selection of tenderers will be based on the criteria set out for the procurement, and the contract will be awarded on the basis of the most advantageous tender.</w:t>
      </w:r>
    </w:p>
    <w:p w14:paraId="3C2E47BE" w14:textId="681692AD" w:rsidR="00DB54FF" w:rsidRPr="003D199F" w:rsidRDefault="00D776B6" w:rsidP="00D776B6">
      <w:r w:rsidRPr="003D199F">
        <w:t>Small and Medium Enterprises and Voluntary Organisations:</w:t>
      </w:r>
    </w:p>
    <w:tbl>
      <w:tblPr>
        <w:tblpPr w:leftFromText="180" w:rightFromText="180" w:vertAnchor="text" w:horzAnchor="margin" w:tblpY="139"/>
        <w:tblW w:w="9628" w:type="dxa"/>
        <w:tblLayout w:type="fixed"/>
        <w:tblCellMar>
          <w:left w:w="0" w:type="dxa"/>
        </w:tblCellMar>
        <w:tblLook w:val="0000" w:firstRow="0" w:lastRow="0" w:firstColumn="0" w:lastColumn="0" w:noHBand="0" w:noVBand="0"/>
      </w:tblPr>
      <w:tblGrid>
        <w:gridCol w:w="1718"/>
        <w:gridCol w:w="1730"/>
        <w:gridCol w:w="2316"/>
        <w:gridCol w:w="894"/>
        <w:gridCol w:w="2970"/>
      </w:tblGrid>
      <w:tr w:rsidR="00D6160E" w:rsidRPr="003D199F" w14:paraId="0E5FF6D8"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749F558D" w14:textId="77777777" w:rsidR="00D6160E" w:rsidRPr="003D199F" w:rsidRDefault="00D6160E" w:rsidP="003A16E9">
            <w:pPr>
              <w:pStyle w:val="TblHeading"/>
            </w:pPr>
            <w:r w:rsidRPr="003D199F">
              <w:t>Enterprise Category</w:t>
            </w:r>
          </w:p>
        </w:tc>
        <w:tc>
          <w:tcPr>
            <w:tcW w:w="1730" w:type="dxa"/>
            <w:tcBorders>
              <w:top w:val="single" w:sz="12" w:space="0" w:color="FFFFFF"/>
              <w:left w:val="single" w:sz="12" w:space="0" w:color="FFFFFF"/>
              <w:bottom w:val="single" w:sz="12" w:space="0" w:color="FFFFFF"/>
              <w:right w:val="single" w:sz="12" w:space="0" w:color="FFFFFF"/>
            </w:tcBorders>
            <w:shd w:val="solid" w:color="253268" w:themeColor="dark2" w:fill="253268" w:themeFill="dark2"/>
            <w:noWrap/>
            <w:vAlign w:val="center"/>
          </w:tcPr>
          <w:p w14:paraId="1FA1FCC0" w14:textId="77777777" w:rsidR="00D6160E" w:rsidRPr="003D199F" w:rsidRDefault="00D6160E" w:rsidP="003A16E9">
            <w:pPr>
              <w:pStyle w:val="TblHeading"/>
            </w:pPr>
            <w:r w:rsidRPr="003D199F">
              <w:t>Headcount</w:t>
            </w:r>
          </w:p>
        </w:tc>
        <w:tc>
          <w:tcPr>
            <w:tcW w:w="2316" w:type="dxa"/>
            <w:tcBorders>
              <w:top w:val="single" w:sz="12" w:space="0" w:color="FFFFFF"/>
              <w:left w:val="single" w:sz="12" w:space="0" w:color="FFFFFF"/>
              <w:bottom w:val="single" w:sz="12" w:space="0" w:color="FFFFFF"/>
            </w:tcBorders>
            <w:shd w:val="solid" w:color="253268" w:themeColor="dark2" w:fill="253268" w:themeFill="dark2"/>
            <w:noWrap/>
            <w:vAlign w:val="center"/>
          </w:tcPr>
          <w:p w14:paraId="246A2333" w14:textId="77777777" w:rsidR="00D6160E" w:rsidRPr="003D199F" w:rsidRDefault="00D6160E" w:rsidP="003A16E9">
            <w:pPr>
              <w:pStyle w:val="TblHeading"/>
            </w:pPr>
            <w:r w:rsidRPr="003D199F">
              <w:t xml:space="preserve">Turnover </w:t>
            </w:r>
          </w:p>
        </w:tc>
        <w:tc>
          <w:tcPr>
            <w:tcW w:w="894" w:type="dxa"/>
            <w:shd w:val="solid" w:color="253268" w:themeColor="dark2" w:fill="253268" w:themeFill="dark2"/>
            <w:vAlign w:val="center"/>
          </w:tcPr>
          <w:p w14:paraId="16D52004" w14:textId="77777777" w:rsidR="00D6160E" w:rsidRPr="003D199F" w:rsidRDefault="00D6160E" w:rsidP="003A16E9">
            <w:pPr>
              <w:pStyle w:val="TblHeading"/>
            </w:pPr>
            <w:r w:rsidRPr="003D199F">
              <w:t>Or</w:t>
            </w:r>
          </w:p>
        </w:tc>
        <w:tc>
          <w:tcPr>
            <w:tcW w:w="2970" w:type="dxa"/>
            <w:tcBorders>
              <w:top w:val="single" w:sz="12" w:space="0" w:color="FFFFFF"/>
              <w:left w:val="nil"/>
              <w:bottom w:val="single" w:sz="12" w:space="0" w:color="FFFFFF"/>
              <w:right w:val="single" w:sz="12" w:space="0" w:color="FFFFFF"/>
            </w:tcBorders>
            <w:shd w:val="solid" w:color="253268" w:themeColor="dark2" w:fill="253268" w:themeFill="dark2"/>
            <w:noWrap/>
            <w:vAlign w:val="center"/>
          </w:tcPr>
          <w:p w14:paraId="0939EDAF" w14:textId="77777777" w:rsidR="00D6160E" w:rsidRPr="003D199F" w:rsidRDefault="00D6160E" w:rsidP="003A16E9">
            <w:pPr>
              <w:pStyle w:val="TblHeading"/>
            </w:pPr>
            <w:r w:rsidRPr="003D199F">
              <w:t>Balance Sheet Total</w:t>
            </w:r>
          </w:p>
        </w:tc>
      </w:tr>
      <w:tr w:rsidR="00D6160E" w:rsidRPr="003D199F" w14:paraId="7F6AD028"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128D6CA7" w14:textId="77777777" w:rsidR="00D6160E" w:rsidRPr="003D199F" w:rsidRDefault="00D6160E" w:rsidP="003A16E9">
            <w:pPr>
              <w:pStyle w:val="TblText"/>
            </w:pPr>
            <w:r w:rsidRPr="003D199F">
              <w:t>Micro</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568DEE46" w14:textId="77777777" w:rsidR="00D6160E" w:rsidRPr="003D199F" w:rsidRDefault="00D6160E" w:rsidP="003A16E9">
            <w:pPr>
              <w:pStyle w:val="TblText"/>
            </w:pPr>
            <w:r w:rsidRPr="003D199F">
              <w:t>&lt;10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1DFAE8B2" w14:textId="77777777" w:rsidR="00D6160E" w:rsidRPr="003D199F" w:rsidRDefault="00D6160E" w:rsidP="003A16E9">
            <w:pPr>
              <w:pStyle w:val="TblText"/>
            </w:pPr>
            <w:r w:rsidRPr="003D199F">
              <w:t>≤ € 2 million</w:t>
            </w:r>
          </w:p>
        </w:tc>
        <w:tc>
          <w:tcPr>
            <w:tcW w:w="894" w:type="dxa"/>
            <w:shd w:val="solid" w:color="E4E7F5" w:themeColor="text2" w:themeTint="19" w:fill="E4E7F5" w:themeFill="text2" w:themeFillTint="19"/>
          </w:tcPr>
          <w:p w14:paraId="3DBDB268" w14:textId="77777777" w:rsidR="00D6160E" w:rsidRPr="003D199F"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31720D09" w14:textId="77777777" w:rsidR="00D6160E" w:rsidRPr="003D199F" w:rsidRDefault="00D6160E" w:rsidP="003A16E9">
            <w:pPr>
              <w:pStyle w:val="TblText"/>
            </w:pPr>
            <w:r w:rsidRPr="003D199F">
              <w:t>≤ € 2 million</w:t>
            </w:r>
          </w:p>
        </w:tc>
      </w:tr>
      <w:tr w:rsidR="00D6160E" w:rsidRPr="003D199F" w14:paraId="290E949C"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3FC09015" w14:textId="77777777" w:rsidR="00D6160E" w:rsidRPr="003D199F" w:rsidRDefault="00D6160E" w:rsidP="003A16E9">
            <w:pPr>
              <w:pStyle w:val="TblText"/>
            </w:pPr>
            <w:r w:rsidRPr="003D199F">
              <w:t>Small</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596451B7" w14:textId="77777777" w:rsidR="00D6160E" w:rsidRPr="003D199F" w:rsidRDefault="00D6160E" w:rsidP="003A16E9">
            <w:pPr>
              <w:pStyle w:val="TblText"/>
            </w:pPr>
            <w:r w:rsidRPr="003D199F">
              <w:t>&lt;50</w:t>
            </w:r>
          </w:p>
        </w:tc>
        <w:tc>
          <w:tcPr>
            <w:tcW w:w="2316" w:type="dxa"/>
            <w:tcBorders>
              <w:top w:val="single" w:sz="12" w:space="0" w:color="FFFFFF"/>
              <w:left w:val="single" w:sz="12" w:space="0" w:color="FFFFFF"/>
              <w:bottom w:val="single" w:sz="12" w:space="0" w:color="FFFFFF"/>
            </w:tcBorders>
            <w:noWrap/>
            <w:vAlign w:val="center"/>
          </w:tcPr>
          <w:p w14:paraId="789FBC62" w14:textId="77777777" w:rsidR="00D6160E" w:rsidRPr="003D199F" w:rsidRDefault="00D6160E" w:rsidP="003A16E9">
            <w:pPr>
              <w:pStyle w:val="TblText"/>
            </w:pPr>
            <w:r w:rsidRPr="003D199F">
              <w:t>≤ € 10 million</w:t>
            </w:r>
          </w:p>
        </w:tc>
        <w:tc>
          <w:tcPr>
            <w:tcW w:w="894" w:type="dxa"/>
          </w:tcPr>
          <w:p w14:paraId="230AF2D1" w14:textId="77777777" w:rsidR="00D6160E" w:rsidRPr="003D199F"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611EF19" w14:textId="77777777" w:rsidR="00D6160E" w:rsidRPr="003D199F" w:rsidRDefault="00D6160E" w:rsidP="003A16E9">
            <w:pPr>
              <w:pStyle w:val="TblText"/>
            </w:pPr>
            <w:r w:rsidRPr="003D199F">
              <w:t>≤ € 10 million</w:t>
            </w:r>
          </w:p>
        </w:tc>
      </w:tr>
      <w:tr w:rsidR="00D6160E" w:rsidRPr="003D199F" w14:paraId="29576BFA" w14:textId="77777777" w:rsidTr="00632A37">
        <w:trPr>
          <w:trHeight w:val="1152"/>
        </w:trPr>
        <w:tc>
          <w:tcPr>
            <w:tcW w:w="1718"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2F67E855" w14:textId="77777777" w:rsidR="00D6160E" w:rsidRPr="003D199F" w:rsidRDefault="00D6160E" w:rsidP="003A16E9">
            <w:pPr>
              <w:pStyle w:val="TblText"/>
            </w:pPr>
            <w:r w:rsidRPr="003D199F">
              <w:t>Medium</w:t>
            </w:r>
          </w:p>
        </w:tc>
        <w:tc>
          <w:tcPr>
            <w:tcW w:w="1730" w:type="dxa"/>
            <w:tcBorders>
              <w:top w:val="single" w:sz="12" w:space="0" w:color="FFFFFF"/>
              <w:left w:val="single" w:sz="12" w:space="0" w:color="FFFFFF"/>
              <w:bottom w:val="single" w:sz="12" w:space="0" w:color="FFFFFF"/>
              <w:right w:val="single" w:sz="12" w:space="0" w:color="FFFFFF"/>
            </w:tcBorders>
            <w:shd w:val="solid" w:color="E4E7F5" w:themeColor="text2" w:themeTint="19" w:fill="E4E7F5" w:themeFill="text2" w:themeFillTint="19"/>
            <w:noWrap/>
            <w:vAlign w:val="center"/>
          </w:tcPr>
          <w:p w14:paraId="4048DF8B" w14:textId="77777777" w:rsidR="00D6160E" w:rsidRPr="003D199F" w:rsidRDefault="00D6160E" w:rsidP="003A16E9">
            <w:pPr>
              <w:pStyle w:val="TblText"/>
            </w:pPr>
            <w:r w:rsidRPr="003D199F">
              <w:t>&lt;250</w:t>
            </w:r>
          </w:p>
        </w:tc>
        <w:tc>
          <w:tcPr>
            <w:tcW w:w="2316" w:type="dxa"/>
            <w:tcBorders>
              <w:top w:val="single" w:sz="12" w:space="0" w:color="FFFFFF"/>
              <w:left w:val="single" w:sz="12" w:space="0" w:color="FFFFFF"/>
              <w:bottom w:val="single" w:sz="12" w:space="0" w:color="FFFFFF"/>
            </w:tcBorders>
            <w:shd w:val="solid" w:color="E4E7F5" w:themeColor="text2" w:themeTint="19" w:fill="E4E7F5" w:themeFill="text2" w:themeFillTint="19"/>
            <w:noWrap/>
            <w:vAlign w:val="center"/>
          </w:tcPr>
          <w:p w14:paraId="46B4A918" w14:textId="77777777" w:rsidR="00D6160E" w:rsidRPr="003D199F" w:rsidRDefault="00D6160E" w:rsidP="003A16E9">
            <w:pPr>
              <w:pStyle w:val="TblText"/>
            </w:pPr>
            <w:r w:rsidRPr="003D199F">
              <w:t>≤ € 50 million</w:t>
            </w:r>
          </w:p>
        </w:tc>
        <w:tc>
          <w:tcPr>
            <w:tcW w:w="894" w:type="dxa"/>
            <w:shd w:val="solid" w:color="E4E7F5" w:themeColor="text2" w:themeTint="19" w:fill="E4E7F5" w:themeFill="text2" w:themeFillTint="19"/>
          </w:tcPr>
          <w:p w14:paraId="1BC7D024" w14:textId="77777777" w:rsidR="00D6160E" w:rsidRPr="003D199F" w:rsidRDefault="00D6160E" w:rsidP="003A16E9">
            <w:pPr>
              <w:pStyle w:val="TblText"/>
            </w:pPr>
          </w:p>
        </w:tc>
        <w:tc>
          <w:tcPr>
            <w:tcW w:w="2970" w:type="dxa"/>
            <w:tcBorders>
              <w:top w:val="single" w:sz="12" w:space="0" w:color="FFFFFF"/>
              <w:left w:val="nil"/>
              <w:bottom w:val="single" w:sz="12" w:space="0" w:color="FFFFFF"/>
              <w:right w:val="single" w:sz="12" w:space="0" w:color="FFFFFF"/>
            </w:tcBorders>
            <w:shd w:val="solid" w:color="E4E7F5" w:themeColor="text2" w:themeTint="19" w:fill="E4E7F5" w:themeFill="text2" w:themeFillTint="19"/>
            <w:noWrap/>
            <w:vAlign w:val="center"/>
          </w:tcPr>
          <w:p w14:paraId="5B88C76C" w14:textId="77777777" w:rsidR="00D6160E" w:rsidRPr="003D199F" w:rsidRDefault="00D6160E" w:rsidP="003A16E9">
            <w:pPr>
              <w:pStyle w:val="TblText"/>
            </w:pPr>
            <w:r w:rsidRPr="003D199F">
              <w:t>≤ € 43 million</w:t>
            </w:r>
          </w:p>
        </w:tc>
      </w:tr>
      <w:tr w:rsidR="00D6160E" w:rsidRPr="003D199F" w14:paraId="5A641F5F" w14:textId="77777777" w:rsidTr="00632A37">
        <w:trPr>
          <w:trHeight w:val="100"/>
        </w:trPr>
        <w:tc>
          <w:tcPr>
            <w:tcW w:w="1718" w:type="dxa"/>
            <w:tcBorders>
              <w:top w:val="single" w:sz="12" w:space="0" w:color="FFFFFF"/>
              <w:left w:val="single" w:sz="12" w:space="0" w:color="FFFFFF"/>
              <w:bottom w:val="single" w:sz="12" w:space="0" w:color="FFFFFF"/>
              <w:right w:val="single" w:sz="12" w:space="0" w:color="FFFFFF"/>
            </w:tcBorders>
            <w:noWrap/>
            <w:vAlign w:val="center"/>
          </w:tcPr>
          <w:p w14:paraId="19D62552" w14:textId="77777777" w:rsidR="00D6160E" w:rsidRPr="003D199F" w:rsidRDefault="00D6160E" w:rsidP="003A16E9">
            <w:pPr>
              <w:pStyle w:val="TblText"/>
            </w:pPr>
            <w:r w:rsidRPr="003D199F">
              <w:t>Large</w:t>
            </w:r>
          </w:p>
        </w:tc>
        <w:tc>
          <w:tcPr>
            <w:tcW w:w="1730" w:type="dxa"/>
            <w:tcBorders>
              <w:top w:val="single" w:sz="12" w:space="0" w:color="FFFFFF"/>
              <w:left w:val="single" w:sz="12" w:space="0" w:color="FFFFFF"/>
              <w:bottom w:val="single" w:sz="12" w:space="0" w:color="FFFFFF"/>
              <w:right w:val="single" w:sz="12" w:space="0" w:color="FFFFFF"/>
            </w:tcBorders>
            <w:noWrap/>
            <w:vAlign w:val="center"/>
          </w:tcPr>
          <w:p w14:paraId="476289EA" w14:textId="77777777" w:rsidR="00D6160E" w:rsidRPr="003D199F" w:rsidRDefault="00D6160E" w:rsidP="003A16E9">
            <w:pPr>
              <w:pStyle w:val="TblText"/>
            </w:pPr>
            <w:r w:rsidRPr="003D199F">
              <w:t>&gt;251</w:t>
            </w:r>
          </w:p>
        </w:tc>
        <w:tc>
          <w:tcPr>
            <w:tcW w:w="2316" w:type="dxa"/>
            <w:tcBorders>
              <w:top w:val="single" w:sz="12" w:space="0" w:color="FFFFFF"/>
              <w:left w:val="single" w:sz="12" w:space="0" w:color="FFFFFF"/>
              <w:bottom w:val="single" w:sz="12" w:space="0" w:color="FFFFFF"/>
            </w:tcBorders>
            <w:noWrap/>
            <w:vAlign w:val="center"/>
          </w:tcPr>
          <w:p w14:paraId="2A51A8A8" w14:textId="77777777" w:rsidR="00D6160E" w:rsidRPr="003D199F" w:rsidRDefault="00D6160E" w:rsidP="003A16E9">
            <w:pPr>
              <w:pStyle w:val="TblText"/>
            </w:pPr>
            <w:r w:rsidRPr="003D199F">
              <w:t>&gt; € 50 million</w:t>
            </w:r>
          </w:p>
        </w:tc>
        <w:tc>
          <w:tcPr>
            <w:tcW w:w="894" w:type="dxa"/>
          </w:tcPr>
          <w:p w14:paraId="19BFF5EC" w14:textId="77777777" w:rsidR="00D6160E" w:rsidRPr="003D199F" w:rsidRDefault="00D6160E" w:rsidP="003A16E9">
            <w:pPr>
              <w:pStyle w:val="TblText"/>
            </w:pPr>
          </w:p>
        </w:tc>
        <w:tc>
          <w:tcPr>
            <w:tcW w:w="2970" w:type="dxa"/>
            <w:tcBorders>
              <w:top w:val="single" w:sz="12" w:space="0" w:color="FFFFFF"/>
              <w:left w:val="nil"/>
              <w:bottom w:val="single" w:sz="12" w:space="0" w:color="FFFFFF"/>
              <w:right w:val="single" w:sz="12" w:space="0" w:color="FFFFFF"/>
            </w:tcBorders>
            <w:noWrap/>
            <w:vAlign w:val="center"/>
          </w:tcPr>
          <w:p w14:paraId="744A1DBF" w14:textId="77777777" w:rsidR="00D6160E" w:rsidRPr="003D199F" w:rsidRDefault="00D6160E" w:rsidP="003A16E9">
            <w:pPr>
              <w:pStyle w:val="TblText"/>
            </w:pPr>
            <w:r w:rsidRPr="003D199F">
              <w:t>&gt; € 43 million</w:t>
            </w:r>
          </w:p>
        </w:tc>
      </w:tr>
    </w:tbl>
    <w:p w14:paraId="16E292C2" w14:textId="3919207F" w:rsidR="00DB54FF" w:rsidRPr="003D199F" w:rsidRDefault="00F20E70" w:rsidP="00D776B6">
      <w:r w:rsidRPr="003D199F">
        <w:t>Please ensure that you indicate how your organisation is categorised on the Form of Tender document which should be submitted along with your proposal.</w:t>
      </w:r>
    </w:p>
    <w:p w14:paraId="14008B7F" w14:textId="21A330BD" w:rsidR="00F20E70" w:rsidRPr="003D199F" w:rsidRDefault="00F20E70" w:rsidP="00F20E70">
      <w:pPr>
        <w:pStyle w:val="Heading2"/>
      </w:pPr>
      <w:bookmarkStart w:id="12" w:name="_Toc111551918"/>
      <w:bookmarkStart w:id="13" w:name="_Toc200551378"/>
      <w:r w:rsidRPr="003D199F">
        <w:lastRenderedPageBreak/>
        <w:t>Statement of Requirement</w:t>
      </w:r>
      <w:bookmarkEnd w:id="12"/>
      <w:bookmarkEnd w:id="13"/>
    </w:p>
    <w:p w14:paraId="0C918979" w14:textId="4CE3B4F2" w:rsidR="00F20E70" w:rsidRPr="003D199F" w:rsidRDefault="00F20E70" w:rsidP="00F20E70">
      <w:pPr>
        <w:pStyle w:val="Heading3"/>
      </w:pPr>
      <w:bookmarkStart w:id="14" w:name="_Toc111551919"/>
      <w:r w:rsidRPr="003D199F">
        <w:t>2.1 Background of the project</w:t>
      </w:r>
      <w:bookmarkEnd w:id="14"/>
    </w:p>
    <w:p w14:paraId="66AA5832" w14:textId="141A0457" w:rsidR="0014093E" w:rsidRDefault="0014093E" w:rsidP="001E2367">
      <w:pPr>
        <w:pStyle w:val="ListNumber"/>
        <w:numPr>
          <w:ilvl w:val="0"/>
          <w:numId w:val="0"/>
        </w:numPr>
        <w:spacing w:after="240"/>
      </w:pPr>
      <w:bookmarkStart w:id="15" w:name="_Hlk200356633"/>
      <w:r>
        <w:t xml:space="preserve">The Office of Rail and Road (ORR), as the independent regulator of Britain’s railways, is reviewing Network Rail’s approach to forecasting and managing inflation and input costs. This work aims to assess risks to delivering commitments under Control Period 7 (CP7: </w:t>
      </w:r>
      <w:r w:rsidR="00C56FB1">
        <w:t xml:space="preserve">April </w:t>
      </w:r>
      <w:r>
        <w:t>2024</w:t>
      </w:r>
      <w:r w:rsidR="00C56FB1">
        <w:t xml:space="preserve"> to March </w:t>
      </w:r>
      <w:r>
        <w:t xml:space="preserve">2029) and to support early planning for Control Period 8 (CP8: </w:t>
      </w:r>
      <w:r w:rsidR="00C56FB1">
        <w:t xml:space="preserve">April </w:t>
      </w:r>
      <w:r>
        <w:t>2029</w:t>
      </w:r>
      <w:r w:rsidR="00C56FB1">
        <w:t xml:space="preserve"> to March </w:t>
      </w:r>
      <w:r>
        <w:t>2034).</w:t>
      </w:r>
    </w:p>
    <w:p w14:paraId="7DA5431E" w14:textId="73317A92" w:rsidR="0014093E" w:rsidRDefault="0014093E" w:rsidP="001E2367">
      <w:pPr>
        <w:pStyle w:val="ListNumber"/>
        <w:numPr>
          <w:ilvl w:val="0"/>
          <w:numId w:val="0"/>
        </w:numPr>
        <w:spacing w:after="240"/>
      </w:pPr>
      <w:r>
        <w:t>Network Rail’s latest forecasts suggest inflation</w:t>
      </w:r>
      <w:r w:rsidR="000B0933">
        <w:t xml:space="preserve"> costs</w:t>
      </w:r>
      <w:r>
        <w:t xml:space="preserve"> could</w:t>
      </w:r>
      <w:r w:rsidR="000B0933">
        <w:t xml:space="preserve"> be as high as</w:t>
      </w:r>
      <w:r>
        <w:t xml:space="preserve"> £4.5 billion </w:t>
      </w:r>
      <w:r w:rsidR="0037110F">
        <w:t>over CP7</w:t>
      </w:r>
      <w:r>
        <w:t>—around 9% of the total</w:t>
      </w:r>
      <w:r w:rsidR="0037110F">
        <w:t xml:space="preserve"> costs</w:t>
      </w:r>
      <w:r>
        <w:t>—driven by both general inflation (£3.1 billion) and Network Rail-specific input prices (£1.4 billion).</w:t>
      </w:r>
    </w:p>
    <w:p w14:paraId="2EF47B67" w14:textId="66B98C44" w:rsidR="0014093E" w:rsidRDefault="00025D23" w:rsidP="001E2367">
      <w:pPr>
        <w:pStyle w:val="ListNumber"/>
        <w:numPr>
          <w:ilvl w:val="0"/>
          <w:numId w:val="0"/>
        </w:numPr>
        <w:spacing w:after="240" w:line="288" w:lineRule="auto"/>
      </w:pPr>
      <w:r>
        <w:t>In March 2023</w:t>
      </w:r>
      <w:r w:rsidR="002D5EDF">
        <w:t xml:space="preserve"> (</w:t>
      </w:r>
      <w:r>
        <w:t>w</w:t>
      </w:r>
      <w:r w:rsidR="0037110F" w:rsidRPr="003D199F">
        <w:t xml:space="preserve">hile preparing for </w:t>
      </w:r>
      <w:r w:rsidR="0037110F">
        <w:t>CP7</w:t>
      </w:r>
      <w:r w:rsidR="002D5EDF">
        <w:t>)</w:t>
      </w:r>
      <w:r w:rsidR="00072560">
        <w:t>,</w:t>
      </w:r>
      <w:r w:rsidR="000F1270">
        <w:t xml:space="preserve"> </w:t>
      </w:r>
      <w:r w:rsidR="0014093E">
        <w:t>ORR commissioned Europe Economics to evaluate Network Rail’s inflation assumptions. The</w:t>
      </w:r>
      <w:r w:rsidR="00833B7F">
        <w:t>ir</w:t>
      </w:r>
      <w:r w:rsidR="0014093E">
        <w:t xml:space="preserve"> </w:t>
      </w:r>
      <w:hyperlink r:id="rId25" w:history="1">
        <w:r w:rsidR="0014093E" w:rsidRPr="004C44C0">
          <w:rPr>
            <w:rStyle w:val="Hyperlink"/>
          </w:rPr>
          <w:t>review</w:t>
        </w:r>
      </w:hyperlink>
      <w:r w:rsidR="0014093E">
        <w:t xml:space="preserve"> identified several concerns</w:t>
      </w:r>
      <w:r w:rsidR="00665D1C">
        <w:t xml:space="preserve"> and led</w:t>
      </w:r>
      <w:r w:rsidR="00C405FB">
        <w:t xml:space="preserve"> ORR to conclude that Network Rail’s input price assumptions were overstated.</w:t>
      </w:r>
    </w:p>
    <w:p w14:paraId="22577E7E" w14:textId="38FCBEA3" w:rsidR="0014093E" w:rsidRDefault="0014093E" w:rsidP="001E2367">
      <w:pPr>
        <w:pStyle w:val="ListNumber"/>
        <w:numPr>
          <w:ilvl w:val="0"/>
          <w:numId w:val="0"/>
        </w:numPr>
        <w:spacing w:after="240"/>
      </w:pPr>
      <w:r>
        <w:t xml:space="preserve">In response, Network Rail engaged KPMG and </w:t>
      </w:r>
      <w:proofErr w:type="spellStart"/>
      <w:r>
        <w:t>Oxera</w:t>
      </w:r>
      <w:proofErr w:type="spellEnd"/>
      <w:r>
        <w:t xml:space="preserve">, who broadly supported </w:t>
      </w:r>
      <w:r w:rsidR="00E55F7B">
        <w:t xml:space="preserve">Network Rail’s </w:t>
      </w:r>
      <w:r>
        <w:t>approach but recommended improvements such as updating baseline data, incorporating uncertainty modelling, and enhancing stakeholder engagement.</w:t>
      </w:r>
    </w:p>
    <w:p w14:paraId="1AFCB08A" w14:textId="532A3753" w:rsidR="0014093E" w:rsidRDefault="0014093E" w:rsidP="001E2367">
      <w:pPr>
        <w:pStyle w:val="ListNumber"/>
        <w:numPr>
          <w:ilvl w:val="0"/>
          <w:numId w:val="0"/>
        </w:numPr>
        <w:spacing w:after="240" w:line="288" w:lineRule="auto"/>
      </w:pPr>
      <w:r>
        <w:t>Given the economic volatility of recent years</w:t>
      </w:r>
      <w:r w:rsidR="00ED177D">
        <w:t xml:space="preserve">, </w:t>
      </w:r>
      <w:r>
        <w:t>ORR is seeking an updated assessment</w:t>
      </w:r>
      <w:r w:rsidR="00E4529E">
        <w:t xml:space="preserve"> of </w:t>
      </w:r>
      <w:r w:rsidR="00E4529E" w:rsidRPr="00E4529E">
        <w:t>Network Rail’s approach to forecasting and managing inflation and input costs</w:t>
      </w:r>
      <w:r>
        <w:t>. This will help ensure Network Rail can meet its current obligations and inform robust planning for the next funding cycle.</w:t>
      </w:r>
    </w:p>
    <w:p w14:paraId="74919ACA" w14:textId="21D53514" w:rsidR="00F20E70" w:rsidRPr="003D199F" w:rsidRDefault="00F20E70" w:rsidP="00F20E70">
      <w:pPr>
        <w:pStyle w:val="Heading3"/>
      </w:pPr>
      <w:bookmarkStart w:id="16" w:name="_Toc111551920"/>
      <w:bookmarkEnd w:id="15"/>
      <w:r w:rsidRPr="003D199F">
        <w:t>2.2 Project Objectives and Scope</w:t>
      </w:r>
      <w:bookmarkEnd w:id="16"/>
    </w:p>
    <w:p w14:paraId="0F6B60DA" w14:textId="31C732EA" w:rsidR="0048293D" w:rsidRPr="003D199F" w:rsidRDefault="0048293D" w:rsidP="001E2367">
      <w:pPr>
        <w:spacing w:after="0"/>
        <w:rPr>
          <w:rFonts w:cs="Arial"/>
          <w:b/>
          <w:bCs/>
          <w:szCs w:val="24"/>
        </w:rPr>
      </w:pPr>
      <w:r w:rsidRPr="003D199F">
        <w:rPr>
          <w:rFonts w:cs="Arial"/>
          <w:b/>
          <w:bCs/>
          <w:szCs w:val="24"/>
        </w:rPr>
        <w:t>Objectives</w:t>
      </w:r>
    </w:p>
    <w:p w14:paraId="403BAE79" w14:textId="77777777" w:rsidR="00690F37" w:rsidRPr="00845E86" w:rsidRDefault="00690F37" w:rsidP="001E2367">
      <w:pPr>
        <w:shd w:val="clear" w:color="auto" w:fill="FAFAFA"/>
        <w:spacing w:before="180" w:line="360" w:lineRule="atLeast"/>
        <w:outlineLvl w:val="3"/>
        <w:rPr>
          <w:rFonts w:eastAsia="Times New Roman" w:cs="Times New Roman"/>
          <w:szCs w:val="20"/>
        </w:rPr>
      </w:pPr>
      <w:bookmarkStart w:id="17" w:name="_Hlk200369832"/>
      <w:r w:rsidRPr="00845E86">
        <w:rPr>
          <w:rFonts w:eastAsia="Times New Roman" w:cs="Times New Roman"/>
          <w:szCs w:val="20"/>
        </w:rPr>
        <w:t xml:space="preserve">The primary objective of this project </w:t>
      </w:r>
      <w:bookmarkStart w:id="18" w:name="_Hlk200528590"/>
      <w:r w:rsidRPr="00845E86">
        <w:rPr>
          <w:rFonts w:eastAsia="Times New Roman" w:cs="Times New Roman"/>
          <w:szCs w:val="20"/>
        </w:rPr>
        <w:t xml:space="preserve">is to </w:t>
      </w:r>
      <w:bookmarkStart w:id="19" w:name="_Hlk200377081"/>
      <w:r w:rsidRPr="00845E86">
        <w:rPr>
          <w:rFonts w:eastAsia="Times New Roman" w:cs="Times New Roman"/>
          <w:szCs w:val="20"/>
        </w:rPr>
        <w:t xml:space="preserve">assess Network Rail’s approach to forecasting and managing inflation and input prices. </w:t>
      </w:r>
      <w:bookmarkEnd w:id="18"/>
      <w:r w:rsidRPr="00845E86">
        <w:rPr>
          <w:rFonts w:eastAsia="Times New Roman" w:cs="Times New Roman"/>
          <w:szCs w:val="20"/>
        </w:rPr>
        <w:t>To support this, we propose the following set of supporting objectives.</w:t>
      </w:r>
      <w:bookmarkEnd w:id="19"/>
    </w:p>
    <w:p w14:paraId="058961CC" w14:textId="55C7C82C" w:rsidR="006E032B" w:rsidRPr="001D605B" w:rsidRDefault="006E032B" w:rsidP="001D605B">
      <w:pPr>
        <w:pStyle w:val="Heading4"/>
      </w:pPr>
      <w:bookmarkStart w:id="20" w:name="_Hlk200377015"/>
      <w:r w:rsidRPr="001D605B">
        <w:t>1. Analyse Historical</w:t>
      </w:r>
      <w:r w:rsidR="00AB0E7E">
        <w:t xml:space="preserve">, Current and Future </w:t>
      </w:r>
      <w:r w:rsidR="00EA0D56">
        <w:t xml:space="preserve">Inflation </w:t>
      </w:r>
      <w:r w:rsidR="00AB0E7E">
        <w:t>Trends</w:t>
      </w:r>
    </w:p>
    <w:p w14:paraId="0F6EF5B8" w14:textId="77777777" w:rsidR="00AB0E7E" w:rsidRDefault="006E032B" w:rsidP="00C00576">
      <w:pPr>
        <w:numPr>
          <w:ilvl w:val="0"/>
          <w:numId w:val="36"/>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AB0E7E">
        <w:rPr>
          <w:rFonts w:eastAsia="Times New Roman" w:cs="Arial"/>
          <w:color w:val="424242"/>
          <w:szCs w:val="24"/>
          <w:lang w:eastAsia="en-GB"/>
        </w:rPr>
        <w:t>Examine historical trends in general inflation and Network Rail-specific input prices.</w:t>
      </w:r>
    </w:p>
    <w:p w14:paraId="4DDA6D2E" w14:textId="6980A190" w:rsidR="006E032B" w:rsidRPr="00E45843" w:rsidRDefault="0085056D" w:rsidP="00E45843">
      <w:pPr>
        <w:numPr>
          <w:ilvl w:val="0"/>
          <w:numId w:val="36"/>
        </w:numPr>
        <w:shd w:val="clear" w:color="auto" w:fill="FFFFFF" w:themeFill="background1"/>
        <w:spacing w:before="100" w:beforeAutospacing="1" w:after="100" w:afterAutospacing="1" w:line="240" w:lineRule="auto"/>
        <w:rPr>
          <w:rFonts w:eastAsia="Times New Roman" w:cs="Arial"/>
          <w:color w:val="424242"/>
          <w:szCs w:val="24"/>
          <w:lang w:eastAsia="en-GB"/>
        </w:rPr>
      </w:pPr>
      <w:r>
        <w:rPr>
          <w:rFonts w:eastAsia="Times New Roman" w:cs="Arial"/>
          <w:color w:val="424242"/>
          <w:szCs w:val="24"/>
          <w:lang w:eastAsia="en-GB"/>
        </w:rPr>
        <w:t>I</w:t>
      </w:r>
      <w:r w:rsidR="006E032B" w:rsidRPr="00E45843">
        <w:rPr>
          <w:rFonts w:eastAsia="Times New Roman" w:cs="Arial"/>
          <w:color w:val="424242"/>
          <w:szCs w:val="24"/>
          <w:lang w:eastAsia="en-GB"/>
        </w:rPr>
        <w:t>dentify likely future trends</w:t>
      </w:r>
      <w:r w:rsidR="005B2A43">
        <w:rPr>
          <w:rFonts w:eastAsia="Times New Roman" w:cs="Arial"/>
          <w:color w:val="424242"/>
          <w:szCs w:val="24"/>
          <w:lang w:eastAsia="en-GB"/>
        </w:rPr>
        <w:t>, risks and opportunities</w:t>
      </w:r>
      <w:r w:rsidR="006E032B" w:rsidRPr="00E45843">
        <w:rPr>
          <w:rFonts w:eastAsia="Times New Roman" w:cs="Arial"/>
          <w:color w:val="424242"/>
          <w:szCs w:val="24"/>
          <w:lang w:eastAsia="en-GB"/>
        </w:rPr>
        <w:t>.</w:t>
      </w:r>
    </w:p>
    <w:p w14:paraId="31E09A7F" w14:textId="06C30109" w:rsidR="00093E75" w:rsidRDefault="00093E75" w:rsidP="00C00576">
      <w:pPr>
        <w:pStyle w:val="ListParagraph"/>
        <w:numPr>
          <w:ilvl w:val="0"/>
          <w:numId w:val="36"/>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093E75">
        <w:rPr>
          <w:rFonts w:eastAsia="Times New Roman" w:cs="Arial"/>
          <w:color w:val="424242"/>
          <w:szCs w:val="24"/>
          <w:lang w:eastAsia="en-GB"/>
        </w:rPr>
        <w:t>Evaluate potential regional variations, with particular attention to Scotland</w:t>
      </w:r>
      <w:r>
        <w:rPr>
          <w:rFonts w:eastAsia="Times New Roman" w:cs="Arial"/>
          <w:color w:val="424242"/>
          <w:szCs w:val="24"/>
          <w:lang w:eastAsia="en-GB"/>
        </w:rPr>
        <w:t>.</w:t>
      </w:r>
    </w:p>
    <w:p w14:paraId="4F9B608A" w14:textId="7A799B5B" w:rsidR="006E032B" w:rsidRPr="005B2A43" w:rsidRDefault="00ED741C" w:rsidP="005B2A43">
      <w:pPr>
        <w:pStyle w:val="ListParagraph"/>
        <w:numPr>
          <w:ilvl w:val="0"/>
          <w:numId w:val="36"/>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5B2A43">
        <w:rPr>
          <w:rFonts w:eastAsia="Times New Roman" w:cs="Arial"/>
          <w:color w:val="424242"/>
          <w:szCs w:val="24"/>
          <w:lang w:eastAsia="en-GB"/>
        </w:rPr>
        <w:t>E</w:t>
      </w:r>
      <w:r w:rsidR="00AB0E7E" w:rsidRPr="005B2A43">
        <w:rPr>
          <w:rFonts w:eastAsia="Times New Roman" w:cs="Arial"/>
          <w:color w:val="424242"/>
          <w:szCs w:val="24"/>
          <w:lang w:eastAsia="en-GB"/>
        </w:rPr>
        <w:t xml:space="preserve">stimate likely </w:t>
      </w:r>
      <w:r w:rsidRPr="005B2A43">
        <w:rPr>
          <w:rFonts w:eastAsia="Times New Roman" w:cs="Arial"/>
          <w:color w:val="424242"/>
          <w:szCs w:val="24"/>
          <w:lang w:eastAsia="en-GB"/>
        </w:rPr>
        <w:t>YoY</w:t>
      </w:r>
      <w:r w:rsidR="00AB0E7E" w:rsidRPr="005B2A43">
        <w:rPr>
          <w:rFonts w:eastAsia="Times New Roman" w:cs="Arial"/>
          <w:color w:val="424242"/>
          <w:szCs w:val="24"/>
          <w:lang w:eastAsia="en-GB"/>
        </w:rPr>
        <w:t xml:space="preserve"> </w:t>
      </w:r>
      <w:r w:rsidRPr="005B2A43">
        <w:rPr>
          <w:rFonts w:eastAsia="Times New Roman" w:cs="Arial"/>
          <w:color w:val="424242"/>
          <w:szCs w:val="24"/>
          <w:lang w:eastAsia="en-GB"/>
        </w:rPr>
        <w:t>%</w:t>
      </w:r>
      <w:r w:rsidR="00AB0E7E" w:rsidRPr="005B2A43">
        <w:rPr>
          <w:rFonts w:eastAsia="Times New Roman" w:cs="Arial"/>
          <w:color w:val="424242"/>
          <w:szCs w:val="24"/>
          <w:lang w:eastAsia="en-GB"/>
        </w:rPr>
        <w:t xml:space="preserve"> change</w:t>
      </w:r>
      <w:r w:rsidR="006A7DEA" w:rsidRPr="005B2A43">
        <w:rPr>
          <w:rFonts w:eastAsia="Times New Roman" w:cs="Arial"/>
          <w:color w:val="424242"/>
          <w:szCs w:val="24"/>
          <w:lang w:eastAsia="en-GB"/>
        </w:rPr>
        <w:t xml:space="preserve">s </w:t>
      </w:r>
      <w:r w:rsidR="00AB0E7E" w:rsidRPr="005B2A43">
        <w:rPr>
          <w:rFonts w:eastAsia="Times New Roman" w:cs="Arial"/>
          <w:color w:val="424242"/>
          <w:szCs w:val="24"/>
          <w:lang w:eastAsia="en-GB"/>
        </w:rPr>
        <w:t>for general inflation and input prices (</w:t>
      </w:r>
      <w:r w:rsidR="006A7DEA" w:rsidRPr="005B2A43">
        <w:rPr>
          <w:rFonts w:eastAsia="Times New Roman" w:cs="Arial"/>
          <w:color w:val="424242"/>
          <w:szCs w:val="24"/>
          <w:lang w:eastAsia="en-GB"/>
        </w:rPr>
        <w:t xml:space="preserve">e.g. </w:t>
      </w:r>
      <w:r w:rsidR="00AB0E7E" w:rsidRPr="005B2A43">
        <w:rPr>
          <w:rFonts w:eastAsia="Times New Roman" w:cs="Arial"/>
          <w:color w:val="424242"/>
          <w:szCs w:val="24"/>
          <w:lang w:eastAsia="en-GB"/>
        </w:rPr>
        <w:t>CPI + x%)</w:t>
      </w:r>
    </w:p>
    <w:p w14:paraId="16D37E61" w14:textId="0878BB8F" w:rsidR="006E032B" w:rsidRPr="001D605B" w:rsidRDefault="00AB0E7E" w:rsidP="001D605B">
      <w:pPr>
        <w:pStyle w:val="Heading4"/>
      </w:pPr>
      <w:r>
        <w:lastRenderedPageBreak/>
        <w:t>2</w:t>
      </w:r>
      <w:r w:rsidR="006E032B" w:rsidRPr="001D605B">
        <w:t>. Evaluate Network Rail’s Current Methodology</w:t>
      </w:r>
    </w:p>
    <w:p w14:paraId="4AA40676" w14:textId="3CF926D7" w:rsidR="006E032B" w:rsidRPr="001D605B" w:rsidRDefault="006E032B" w:rsidP="001D605B">
      <w:pPr>
        <w:numPr>
          <w:ilvl w:val="0"/>
          <w:numId w:val="37"/>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1D605B">
        <w:rPr>
          <w:rFonts w:eastAsia="Times New Roman" w:cs="Arial"/>
          <w:color w:val="424242"/>
          <w:szCs w:val="24"/>
          <w:lang w:eastAsia="en-GB"/>
        </w:rPr>
        <w:t>Assess the robustness</w:t>
      </w:r>
      <w:r w:rsidR="000D109C">
        <w:rPr>
          <w:rFonts w:eastAsia="Times New Roman" w:cs="Arial"/>
          <w:color w:val="424242"/>
          <w:szCs w:val="24"/>
          <w:lang w:eastAsia="en-GB"/>
        </w:rPr>
        <w:t xml:space="preserve"> </w:t>
      </w:r>
      <w:r w:rsidRPr="001D605B">
        <w:rPr>
          <w:rFonts w:eastAsia="Times New Roman" w:cs="Arial"/>
          <w:color w:val="424242"/>
          <w:szCs w:val="24"/>
          <w:lang w:eastAsia="en-GB"/>
        </w:rPr>
        <w:t xml:space="preserve">of Network Rail’s inflation </w:t>
      </w:r>
      <w:r w:rsidR="00D435CF">
        <w:rPr>
          <w:rFonts w:eastAsia="Times New Roman" w:cs="Arial"/>
          <w:color w:val="424242"/>
          <w:szCs w:val="24"/>
          <w:lang w:eastAsia="en-GB"/>
        </w:rPr>
        <w:t>forecast, highlighting any risks</w:t>
      </w:r>
      <w:r w:rsidRPr="001D605B">
        <w:rPr>
          <w:rFonts w:eastAsia="Times New Roman" w:cs="Arial"/>
          <w:color w:val="424242"/>
          <w:szCs w:val="24"/>
          <w:lang w:eastAsia="en-GB"/>
        </w:rPr>
        <w:t>.</w:t>
      </w:r>
    </w:p>
    <w:p w14:paraId="69CAA592" w14:textId="5FB78414" w:rsidR="006E032B" w:rsidRPr="001D605B" w:rsidRDefault="00AB0E7E" w:rsidP="001D605B">
      <w:pPr>
        <w:pStyle w:val="Heading4"/>
      </w:pPr>
      <w:r>
        <w:t>3</w:t>
      </w:r>
      <w:r w:rsidR="006E032B" w:rsidRPr="001D605B">
        <w:t xml:space="preserve">. </w:t>
      </w:r>
      <w:r>
        <w:t>Review</w:t>
      </w:r>
      <w:r w:rsidR="006E032B" w:rsidRPr="001D605B">
        <w:t xml:space="preserve"> Best Practice</w:t>
      </w:r>
    </w:p>
    <w:p w14:paraId="1E3EC38F" w14:textId="77777777" w:rsidR="006E032B" w:rsidRPr="006E032B" w:rsidRDefault="006E032B" w:rsidP="001D605B">
      <w:pPr>
        <w:numPr>
          <w:ilvl w:val="0"/>
          <w:numId w:val="38"/>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6E032B">
        <w:rPr>
          <w:rFonts w:eastAsia="Times New Roman" w:cs="Arial"/>
          <w:color w:val="424242"/>
          <w:szCs w:val="24"/>
          <w:lang w:eastAsia="en-GB"/>
        </w:rPr>
        <w:t>Compare Network Rail’s approach with that of other infrastructure organisations and regulators (e.g. OFCOM, OFWAT, OFGEM, CAA).</w:t>
      </w:r>
    </w:p>
    <w:p w14:paraId="4953691F" w14:textId="044D3E42" w:rsidR="008D5A99" w:rsidRDefault="008D5A99">
      <w:pPr>
        <w:pStyle w:val="ListParagraph"/>
        <w:numPr>
          <w:ilvl w:val="0"/>
          <w:numId w:val="38"/>
        </w:numPr>
        <w:shd w:val="clear" w:color="auto" w:fill="FFFFFF" w:themeFill="background2"/>
        <w:spacing w:before="100" w:beforeAutospacing="1" w:after="100" w:afterAutospacing="1" w:line="240" w:lineRule="auto"/>
        <w:rPr>
          <w:rFonts w:eastAsia="Times New Roman" w:cs="Arial"/>
          <w:color w:val="424242"/>
          <w:lang w:eastAsia="en-GB"/>
        </w:rPr>
      </w:pPr>
      <w:r w:rsidRPr="008D5A99">
        <w:rPr>
          <w:rFonts w:eastAsia="Times New Roman" w:cs="Arial"/>
          <w:color w:val="424242"/>
          <w:lang w:eastAsia="en-GB"/>
        </w:rPr>
        <w:t>Evaluate the use</w:t>
      </w:r>
      <w:r w:rsidR="00AD631C">
        <w:rPr>
          <w:rFonts w:eastAsia="Times New Roman" w:cs="Arial"/>
          <w:color w:val="424242"/>
          <w:lang w:eastAsia="en-GB"/>
        </w:rPr>
        <w:t>, historical accuracy</w:t>
      </w:r>
      <w:r w:rsidRPr="008D5A99">
        <w:rPr>
          <w:rFonts w:eastAsia="Times New Roman" w:cs="Arial"/>
          <w:color w:val="424242"/>
          <w:lang w:eastAsia="en-GB"/>
        </w:rPr>
        <w:t xml:space="preserve"> and limitations of various inflation indices (e.g. BCIS, BoE, OBR).</w:t>
      </w:r>
    </w:p>
    <w:p w14:paraId="68E0FF8A" w14:textId="6C5721B1" w:rsidR="006E032B" w:rsidRPr="008D5A99" w:rsidRDefault="006E032B" w:rsidP="001E2367">
      <w:pPr>
        <w:pStyle w:val="ListParagraph"/>
        <w:numPr>
          <w:ilvl w:val="0"/>
          <w:numId w:val="38"/>
        </w:numPr>
        <w:shd w:val="clear" w:color="auto" w:fill="FFFFFF" w:themeFill="background2"/>
        <w:spacing w:before="100" w:beforeAutospacing="1" w:after="100" w:afterAutospacing="1" w:line="240" w:lineRule="auto"/>
        <w:rPr>
          <w:rFonts w:eastAsia="Times New Roman" w:cs="Arial"/>
          <w:color w:val="424242"/>
          <w:lang w:eastAsia="en-GB"/>
        </w:rPr>
      </w:pPr>
      <w:r w:rsidRPr="008D5A99">
        <w:rPr>
          <w:rFonts w:eastAsia="Times New Roman" w:cs="Arial"/>
          <w:color w:val="424242"/>
          <w:lang w:eastAsia="en-GB"/>
        </w:rPr>
        <w:t>Identify best practices in inflation modelling.</w:t>
      </w:r>
    </w:p>
    <w:p w14:paraId="1AB852FC" w14:textId="551A4CAC" w:rsidR="006E032B" w:rsidRDefault="006E032B" w:rsidP="001D605B">
      <w:pPr>
        <w:numPr>
          <w:ilvl w:val="0"/>
          <w:numId w:val="38"/>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6E032B">
        <w:rPr>
          <w:rFonts w:eastAsia="Times New Roman" w:cs="Arial"/>
          <w:color w:val="424242"/>
          <w:szCs w:val="24"/>
          <w:lang w:eastAsia="en-GB"/>
        </w:rPr>
        <w:t xml:space="preserve">Explore how other organisations </w:t>
      </w:r>
      <w:r w:rsidR="000D2707">
        <w:rPr>
          <w:rFonts w:eastAsia="Times New Roman" w:cs="Arial"/>
          <w:color w:val="424242"/>
          <w:szCs w:val="24"/>
          <w:lang w:eastAsia="en-GB"/>
        </w:rPr>
        <w:t>a</w:t>
      </w:r>
      <w:r w:rsidR="00487A18">
        <w:rPr>
          <w:rFonts w:eastAsia="Times New Roman" w:cs="Arial"/>
          <w:color w:val="424242"/>
          <w:szCs w:val="24"/>
          <w:lang w:eastAsia="en-GB"/>
        </w:rPr>
        <w:t>d</w:t>
      </w:r>
      <w:r w:rsidR="000D2707">
        <w:rPr>
          <w:rFonts w:eastAsia="Times New Roman" w:cs="Arial"/>
          <w:color w:val="424242"/>
          <w:szCs w:val="24"/>
          <w:lang w:eastAsia="en-GB"/>
        </w:rPr>
        <w:t>dress</w:t>
      </w:r>
      <w:r w:rsidRPr="006E032B">
        <w:rPr>
          <w:rFonts w:eastAsia="Times New Roman" w:cs="Arial"/>
          <w:color w:val="424242"/>
          <w:szCs w:val="24"/>
          <w:lang w:eastAsia="en-GB"/>
        </w:rPr>
        <w:t xml:space="preserve"> </w:t>
      </w:r>
      <w:r w:rsidR="00ED177D">
        <w:rPr>
          <w:rFonts w:eastAsia="Times New Roman" w:cs="Arial"/>
          <w:color w:val="424242"/>
          <w:szCs w:val="24"/>
          <w:lang w:eastAsia="en-GB"/>
        </w:rPr>
        <w:t xml:space="preserve">inflation forecasting </w:t>
      </w:r>
      <w:r w:rsidRPr="006E032B">
        <w:rPr>
          <w:rFonts w:eastAsia="Times New Roman" w:cs="Arial"/>
          <w:color w:val="424242"/>
          <w:szCs w:val="24"/>
          <w:lang w:eastAsia="en-GB"/>
        </w:rPr>
        <w:t xml:space="preserve">uncertainty </w:t>
      </w:r>
      <w:r w:rsidR="000D2707">
        <w:rPr>
          <w:rFonts w:eastAsia="Times New Roman" w:cs="Arial"/>
          <w:color w:val="424242"/>
          <w:szCs w:val="24"/>
          <w:lang w:eastAsia="en-GB"/>
        </w:rPr>
        <w:t xml:space="preserve">in </w:t>
      </w:r>
      <w:r w:rsidR="00487A18">
        <w:rPr>
          <w:rFonts w:eastAsia="Times New Roman" w:cs="Arial"/>
          <w:color w:val="424242"/>
          <w:szCs w:val="24"/>
          <w:lang w:eastAsia="en-GB"/>
        </w:rPr>
        <w:t xml:space="preserve">their </w:t>
      </w:r>
      <w:r w:rsidR="008D5A99">
        <w:rPr>
          <w:rFonts w:eastAsia="Times New Roman" w:cs="Arial"/>
          <w:color w:val="424242"/>
          <w:szCs w:val="24"/>
          <w:lang w:eastAsia="en-GB"/>
        </w:rPr>
        <w:t>modelling</w:t>
      </w:r>
      <w:r w:rsidRPr="006E032B">
        <w:rPr>
          <w:rFonts w:eastAsia="Times New Roman" w:cs="Arial"/>
          <w:color w:val="424242"/>
          <w:szCs w:val="24"/>
          <w:lang w:eastAsia="en-GB"/>
        </w:rPr>
        <w:t>.</w:t>
      </w:r>
    </w:p>
    <w:p w14:paraId="111AD208" w14:textId="65B46335" w:rsidR="006E032B" w:rsidRPr="001D605B" w:rsidRDefault="00755729" w:rsidP="001D605B">
      <w:pPr>
        <w:pStyle w:val="Heading4"/>
      </w:pPr>
      <w:r>
        <w:t>4</w:t>
      </w:r>
      <w:r w:rsidR="006E032B" w:rsidRPr="001D605B">
        <w:t>. Conduct Independent Forecasting for CP7</w:t>
      </w:r>
    </w:p>
    <w:p w14:paraId="4CF82990" w14:textId="43AF2D04" w:rsidR="006E032B" w:rsidRPr="006E032B" w:rsidRDefault="006E032B" w:rsidP="001D605B">
      <w:pPr>
        <w:numPr>
          <w:ilvl w:val="0"/>
          <w:numId w:val="40"/>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6E032B">
        <w:rPr>
          <w:rFonts w:eastAsia="Times New Roman" w:cs="Arial"/>
          <w:color w:val="424242"/>
          <w:szCs w:val="24"/>
          <w:lang w:eastAsia="en-GB"/>
        </w:rPr>
        <w:t xml:space="preserve">Develop an independent forecast of </w:t>
      </w:r>
      <w:r w:rsidR="00D31311">
        <w:rPr>
          <w:rFonts w:eastAsia="Times New Roman" w:cs="Arial"/>
          <w:color w:val="424242"/>
          <w:szCs w:val="24"/>
          <w:lang w:eastAsia="en-GB"/>
        </w:rPr>
        <w:t xml:space="preserve">Network Rail’s </w:t>
      </w:r>
      <w:r w:rsidRPr="006E032B">
        <w:rPr>
          <w:rFonts w:eastAsia="Times New Roman" w:cs="Arial"/>
          <w:color w:val="424242"/>
          <w:szCs w:val="24"/>
          <w:lang w:eastAsia="en-GB"/>
        </w:rPr>
        <w:t>CP7 inflation and input prices</w:t>
      </w:r>
      <w:r w:rsidR="00C445E0">
        <w:rPr>
          <w:rFonts w:eastAsia="Times New Roman" w:cs="Arial"/>
          <w:color w:val="424242"/>
          <w:szCs w:val="24"/>
          <w:lang w:eastAsia="en-GB"/>
        </w:rPr>
        <w:t xml:space="preserve"> </w:t>
      </w:r>
      <w:r w:rsidR="00C445E0" w:rsidRPr="005B2A43">
        <w:rPr>
          <w:rFonts w:eastAsia="Times New Roman" w:cs="Arial"/>
          <w:color w:val="424242"/>
          <w:szCs w:val="24"/>
          <w:lang w:eastAsia="en-GB"/>
        </w:rPr>
        <w:t>(e.g. CPI + x%)</w:t>
      </w:r>
      <w:r w:rsidRPr="006E032B">
        <w:rPr>
          <w:rFonts w:eastAsia="Times New Roman" w:cs="Arial"/>
          <w:color w:val="424242"/>
          <w:szCs w:val="24"/>
          <w:lang w:eastAsia="en-GB"/>
        </w:rPr>
        <w:t>.</w:t>
      </w:r>
    </w:p>
    <w:p w14:paraId="6EB2E01D" w14:textId="77777777" w:rsidR="00AB2750" w:rsidRPr="003D199F" w:rsidRDefault="006E032B" w:rsidP="001D605B">
      <w:pPr>
        <w:numPr>
          <w:ilvl w:val="0"/>
          <w:numId w:val="40"/>
        </w:numPr>
        <w:shd w:val="clear" w:color="auto" w:fill="FFFFFF" w:themeFill="background1"/>
        <w:spacing w:before="100" w:beforeAutospacing="1" w:after="100" w:afterAutospacing="1" w:line="240" w:lineRule="auto"/>
        <w:rPr>
          <w:rFonts w:eastAsia="Times New Roman" w:cs="Arial"/>
          <w:color w:val="424242"/>
          <w:szCs w:val="24"/>
          <w:lang w:eastAsia="en-GB"/>
        </w:rPr>
      </w:pPr>
      <w:r w:rsidRPr="006E032B">
        <w:rPr>
          <w:rFonts w:eastAsia="Times New Roman" w:cs="Arial"/>
          <w:color w:val="424242"/>
          <w:szCs w:val="24"/>
          <w:lang w:eastAsia="en-GB"/>
        </w:rPr>
        <w:t>Identify key risks and sensitivities in the forecast.</w:t>
      </w:r>
    </w:p>
    <w:p w14:paraId="791D6F9F" w14:textId="76E30327" w:rsidR="00AB2750" w:rsidRPr="003D199F" w:rsidRDefault="006E032B" w:rsidP="65FD16B4">
      <w:pPr>
        <w:numPr>
          <w:ilvl w:val="0"/>
          <w:numId w:val="40"/>
        </w:numPr>
        <w:shd w:val="clear" w:color="auto" w:fill="FFFFFF" w:themeFill="background2"/>
        <w:spacing w:before="100" w:beforeAutospacing="1" w:after="100" w:afterAutospacing="1" w:line="240" w:lineRule="auto"/>
        <w:rPr>
          <w:rFonts w:eastAsia="Times New Roman" w:cs="Arial"/>
          <w:color w:val="424242"/>
          <w:lang w:eastAsia="en-GB"/>
        </w:rPr>
      </w:pPr>
      <w:r w:rsidRPr="65FD16B4">
        <w:rPr>
          <w:rFonts w:eastAsia="Times New Roman" w:cs="Arial"/>
          <w:color w:val="424242"/>
          <w:lang w:eastAsia="en-GB"/>
        </w:rPr>
        <w:t xml:space="preserve">Compare the independent forecast with Network Rail’s </w:t>
      </w:r>
      <w:r w:rsidR="005875A7">
        <w:rPr>
          <w:rFonts w:eastAsia="Times New Roman" w:cs="Arial"/>
          <w:color w:val="424242"/>
          <w:lang w:eastAsia="en-GB"/>
        </w:rPr>
        <w:t>current forecast</w:t>
      </w:r>
      <w:r w:rsidRPr="65FD16B4">
        <w:rPr>
          <w:rFonts w:eastAsia="Times New Roman" w:cs="Arial"/>
          <w:color w:val="424242"/>
          <w:lang w:eastAsia="en-GB"/>
        </w:rPr>
        <w:t>.</w:t>
      </w:r>
      <w:r w:rsidR="00620284" w:rsidRPr="65FD16B4">
        <w:rPr>
          <w:rFonts w:eastAsia="Times New Roman" w:cs="Arial"/>
          <w:b/>
          <w:bCs/>
          <w:color w:val="424242"/>
          <w:lang w:eastAsia="en-GB"/>
        </w:rPr>
        <w:t xml:space="preserve"> </w:t>
      </w:r>
    </w:p>
    <w:bookmarkEnd w:id="17"/>
    <w:bookmarkEnd w:id="20"/>
    <w:p w14:paraId="6B374082" w14:textId="35E997C6" w:rsidR="0048293D" w:rsidRPr="003D199F" w:rsidRDefault="0048293D" w:rsidP="00763DEC">
      <w:pPr>
        <w:rPr>
          <w:b/>
          <w:bCs/>
          <w:szCs w:val="24"/>
        </w:rPr>
      </w:pPr>
      <w:r w:rsidRPr="003D199F">
        <w:rPr>
          <w:b/>
          <w:bCs/>
          <w:szCs w:val="24"/>
        </w:rPr>
        <w:t>Scope of work</w:t>
      </w:r>
    </w:p>
    <w:p w14:paraId="090CB62C" w14:textId="19A8972A" w:rsidR="007E7456" w:rsidRDefault="007E7456" w:rsidP="00763DEC">
      <w:pPr>
        <w:rPr>
          <w:color w:val="000000"/>
          <w:szCs w:val="24"/>
        </w:rPr>
      </w:pPr>
      <w:r>
        <w:rPr>
          <w:color w:val="000000"/>
          <w:szCs w:val="24"/>
        </w:rPr>
        <w:t>The scope of this report is on Network Rail</w:t>
      </w:r>
      <w:r w:rsidR="007A050D">
        <w:rPr>
          <w:color w:val="000000"/>
          <w:szCs w:val="24"/>
        </w:rPr>
        <w:t>’s operat</w:t>
      </w:r>
      <w:r w:rsidR="00216709">
        <w:rPr>
          <w:color w:val="000000"/>
          <w:szCs w:val="24"/>
        </w:rPr>
        <w:t>ions</w:t>
      </w:r>
      <w:r w:rsidR="007A050D">
        <w:rPr>
          <w:color w:val="000000"/>
          <w:szCs w:val="24"/>
        </w:rPr>
        <w:t>, suppor</w:t>
      </w:r>
      <w:r w:rsidR="00216709">
        <w:rPr>
          <w:color w:val="000000"/>
          <w:szCs w:val="24"/>
        </w:rPr>
        <w:t>t, maintenance and renewals costs</w:t>
      </w:r>
      <w:r>
        <w:rPr>
          <w:color w:val="000000"/>
          <w:szCs w:val="24"/>
        </w:rPr>
        <w:t>.</w:t>
      </w:r>
      <w:r w:rsidR="00216709">
        <w:rPr>
          <w:color w:val="000000"/>
          <w:szCs w:val="24"/>
        </w:rPr>
        <w:t xml:space="preserve"> Network Rail enhancements fall outside the scope of this work.</w:t>
      </w:r>
    </w:p>
    <w:p w14:paraId="2DBD4249" w14:textId="499F8DB8" w:rsidR="00763DEC" w:rsidRPr="003D199F" w:rsidRDefault="004025C0" w:rsidP="00763DEC">
      <w:pPr>
        <w:rPr>
          <w:color w:val="000000"/>
          <w:szCs w:val="24"/>
        </w:rPr>
      </w:pPr>
      <w:r w:rsidRPr="003D199F">
        <w:rPr>
          <w:color w:val="000000"/>
          <w:szCs w:val="24"/>
        </w:rPr>
        <w:t>We will make available to the selected contractor any relevant Network Rail data that we hold, but we expect the contractor</w:t>
      </w:r>
      <w:r w:rsidR="002670A5" w:rsidRPr="003D199F">
        <w:rPr>
          <w:color w:val="000000"/>
          <w:szCs w:val="24"/>
        </w:rPr>
        <w:t xml:space="preserve"> </w:t>
      </w:r>
      <w:r w:rsidR="00763DEC" w:rsidRPr="003D199F">
        <w:rPr>
          <w:color w:val="000000"/>
          <w:szCs w:val="24"/>
        </w:rPr>
        <w:t>to:</w:t>
      </w:r>
    </w:p>
    <w:p w14:paraId="021ACD92" w14:textId="2FD1B3AE" w:rsidR="00056B83" w:rsidRPr="003D199F" w:rsidRDefault="00E93D30" w:rsidP="00B726DA">
      <w:pPr>
        <w:numPr>
          <w:ilvl w:val="0"/>
          <w:numId w:val="20"/>
        </w:numPr>
        <w:spacing w:line="240" w:lineRule="auto"/>
        <w:rPr>
          <w:color w:val="000000"/>
          <w:szCs w:val="24"/>
        </w:rPr>
      </w:pPr>
      <w:r w:rsidRPr="003D199F">
        <w:rPr>
          <w:color w:val="000000"/>
          <w:szCs w:val="24"/>
        </w:rPr>
        <w:t xml:space="preserve">make </w:t>
      </w:r>
      <w:r w:rsidR="00056B83" w:rsidRPr="003D199F">
        <w:rPr>
          <w:color w:val="000000"/>
          <w:szCs w:val="24"/>
        </w:rPr>
        <w:t xml:space="preserve">use </w:t>
      </w:r>
      <w:r w:rsidRPr="003D199F">
        <w:rPr>
          <w:color w:val="000000"/>
          <w:szCs w:val="24"/>
        </w:rPr>
        <w:t xml:space="preserve">of the extensive </w:t>
      </w:r>
      <w:r w:rsidR="00056B83" w:rsidRPr="003D199F">
        <w:rPr>
          <w:color w:val="000000"/>
          <w:szCs w:val="24"/>
        </w:rPr>
        <w:t xml:space="preserve">publicly available information for Network Rail, </w:t>
      </w:r>
      <w:r w:rsidRPr="003D199F">
        <w:rPr>
          <w:color w:val="000000"/>
          <w:szCs w:val="24"/>
        </w:rPr>
        <w:t>including</w:t>
      </w:r>
      <w:r w:rsidR="00056B83" w:rsidRPr="003D199F">
        <w:rPr>
          <w:color w:val="000000"/>
          <w:szCs w:val="24"/>
        </w:rPr>
        <w:t xml:space="preserve"> its </w:t>
      </w:r>
      <w:hyperlink r:id="rId26" w:history="1">
        <w:r w:rsidR="00056B83" w:rsidRPr="003D199F">
          <w:rPr>
            <w:rStyle w:val="Hyperlink"/>
            <w:szCs w:val="24"/>
          </w:rPr>
          <w:t>Regulatory Financial Statements</w:t>
        </w:r>
      </w:hyperlink>
      <w:r w:rsidR="00056B83" w:rsidRPr="003D199F">
        <w:rPr>
          <w:color w:val="000000"/>
          <w:szCs w:val="24"/>
        </w:rPr>
        <w:t>. Whilst we encourage collaborative engagement with Network Rail as part of this work, we do not expect the study to require significant input by Network Rail to support data gathering and analysis.</w:t>
      </w:r>
    </w:p>
    <w:p w14:paraId="6669A925" w14:textId="5A91981C" w:rsidR="00404252" w:rsidRPr="003D199F" w:rsidRDefault="00404252" w:rsidP="00404252">
      <w:pPr>
        <w:numPr>
          <w:ilvl w:val="0"/>
          <w:numId w:val="20"/>
        </w:numPr>
        <w:spacing w:line="240" w:lineRule="auto"/>
        <w:rPr>
          <w:color w:val="000000"/>
          <w:szCs w:val="24"/>
        </w:rPr>
      </w:pPr>
      <w:r w:rsidRPr="003D199F">
        <w:rPr>
          <w:szCs w:val="24"/>
        </w:rPr>
        <w:t xml:space="preserve">do their own research in respect of widely used indices and forecasts (BoE, OBR, BCIS indices </w:t>
      </w:r>
      <w:r w:rsidR="0046195C" w:rsidRPr="003D199F">
        <w:rPr>
          <w:szCs w:val="24"/>
        </w:rPr>
        <w:t>etc)</w:t>
      </w:r>
      <w:r w:rsidRPr="003D199F">
        <w:rPr>
          <w:szCs w:val="24"/>
        </w:rPr>
        <w:t xml:space="preserve"> that could be applied to Network Rail.</w:t>
      </w:r>
    </w:p>
    <w:p w14:paraId="546AC245" w14:textId="1653A4CC" w:rsidR="00763DEC" w:rsidRPr="003D199F" w:rsidRDefault="00485F4A" w:rsidP="00B726DA">
      <w:pPr>
        <w:numPr>
          <w:ilvl w:val="0"/>
          <w:numId w:val="20"/>
        </w:numPr>
        <w:spacing w:line="240" w:lineRule="auto"/>
        <w:rPr>
          <w:color w:val="000000"/>
        </w:rPr>
      </w:pPr>
      <w:r w:rsidRPr="003D199F">
        <w:rPr>
          <w:color w:val="000000" w:themeColor="text1"/>
        </w:rPr>
        <w:t>i</w:t>
      </w:r>
      <w:r w:rsidR="00763DEC" w:rsidRPr="003D199F">
        <w:rPr>
          <w:color w:val="000000" w:themeColor="text1"/>
        </w:rPr>
        <w:t xml:space="preserve">deally use </w:t>
      </w:r>
      <w:r w:rsidR="00BC1DAE" w:rsidRPr="003D199F">
        <w:rPr>
          <w:color w:val="000000" w:themeColor="text1"/>
        </w:rPr>
        <w:t>many</w:t>
      </w:r>
      <w:r w:rsidR="00763DEC" w:rsidRPr="003D199F">
        <w:rPr>
          <w:color w:val="000000" w:themeColor="text1"/>
        </w:rPr>
        <w:t xml:space="preserve"> years of historical data. The tender should make it clear what the contractor believes is feasible and the approach it will take regarding this.</w:t>
      </w:r>
    </w:p>
    <w:p w14:paraId="1EABA79C" w14:textId="04C0EE3B" w:rsidR="00763DEC" w:rsidRPr="003D199F" w:rsidRDefault="00485F4A" w:rsidP="00B726DA">
      <w:pPr>
        <w:numPr>
          <w:ilvl w:val="0"/>
          <w:numId w:val="20"/>
        </w:numPr>
        <w:spacing w:line="240" w:lineRule="auto"/>
        <w:rPr>
          <w:color w:val="000000"/>
          <w:szCs w:val="24"/>
        </w:rPr>
      </w:pPr>
      <w:r w:rsidRPr="003D199F">
        <w:rPr>
          <w:color w:val="000000"/>
          <w:szCs w:val="24"/>
        </w:rPr>
        <w:t>e</w:t>
      </w:r>
      <w:r w:rsidR="00763DEC" w:rsidRPr="003D199F">
        <w:rPr>
          <w:color w:val="000000"/>
          <w:szCs w:val="24"/>
        </w:rPr>
        <w:t xml:space="preserve">nsure that </w:t>
      </w:r>
      <w:r w:rsidR="00690983" w:rsidRPr="003D199F">
        <w:rPr>
          <w:color w:val="000000"/>
          <w:szCs w:val="24"/>
        </w:rPr>
        <w:t>analysis is separated for general inflation and Network Rail input prices</w:t>
      </w:r>
      <w:r w:rsidR="0003200D" w:rsidRPr="003D199F">
        <w:rPr>
          <w:color w:val="000000"/>
          <w:szCs w:val="24"/>
        </w:rPr>
        <w:t>,</w:t>
      </w:r>
    </w:p>
    <w:p w14:paraId="0E9FCC68" w14:textId="77777777" w:rsidR="00763DEC" w:rsidRPr="003D199F" w:rsidRDefault="00763DEC" w:rsidP="003F3CB0">
      <w:pPr>
        <w:rPr>
          <w:b/>
          <w:bCs/>
          <w:color w:val="B1173B"/>
        </w:rPr>
      </w:pPr>
    </w:p>
    <w:p w14:paraId="69A75C90" w14:textId="4E7D31A8" w:rsidR="003F3CB0" w:rsidRPr="003D199F" w:rsidRDefault="003F3CB0" w:rsidP="003F3CB0">
      <w:pPr>
        <w:pStyle w:val="Heading3"/>
      </w:pPr>
      <w:bookmarkStart w:id="21" w:name="_Toc111551921"/>
      <w:r w:rsidRPr="003D199F">
        <w:lastRenderedPageBreak/>
        <w:t>2.3 Project Outputs, Deliverables and Contract Management</w:t>
      </w:r>
      <w:bookmarkEnd w:id="21"/>
    </w:p>
    <w:p w14:paraId="480D8983" w14:textId="77777777" w:rsidR="00DB02EF" w:rsidRPr="003D199F" w:rsidRDefault="00DB02EF" w:rsidP="00DB02EF">
      <w:pPr>
        <w:pStyle w:val="Heading4"/>
      </w:pPr>
      <w:r w:rsidRPr="003D199F">
        <w:t>Outputs and Deliverables</w:t>
      </w:r>
    </w:p>
    <w:p w14:paraId="7746E1CF" w14:textId="77777777" w:rsidR="00DB02EF" w:rsidRPr="003D199F" w:rsidRDefault="00DB02EF" w:rsidP="00DB02EF">
      <w:bookmarkStart w:id="22" w:name="_Hlk200377312"/>
      <w:r w:rsidRPr="003D199F">
        <w:t>The consultant is to deliver:</w:t>
      </w:r>
    </w:p>
    <w:p w14:paraId="7551CC97" w14:textId="5D87F14D" w:rsidR="00DB02EF" w:rsidRPr="003D199F" w:rsidRDefault="00DB02EF" w:rsidP="00DB02EF">
      <w:pPr>
        <w:pStyle w:val="NormalBulletround"/>
      </w:pPr>
      <w:r w:rsidRPr="003D199F">
        <w:rPr>
          <w:b/>
          <w:bCs/>
        </w:rPr>
        <w:t>Interim presentation</w:t>
      </w:r>
      <w:r w:rsidRPr="003D199F">
        <w:t xml:space="preserve"> of emerging findings</w:t>
      </w:r>
      <w:r w:rsidR="004C5DBF" w:rsidRPr="003D199F">
        <w:t xml:space="preserve"> to ORR </w:t>
      </w:r>
    </w:p>
    <w:p w14:paraId="5E22A993" w14:textId="1D979CDC" w:rsidR="00DB02EF" w:rsidRPr="003D199F" w:rsidRDefault="00DB02EF" w:rsidP="00DB02EF">
      <w:pPr>
        <w:pStyle w:val="NormalBulletround"/>
      </w:pPr>
      <w:r w:rsidRPr="003D199F">
        <w:rPr>
          <w:b/>
          <w:bCs/>
        </w:rPr>
        <w:t>Draft report</w:t>
      </w:r>
      <w:r w:rsidRPr="003D199F">
        <w:t xml:space="preserve"> for comment </w:t>
      </w:r>
      <w:r w:rsidR="004C5DBF" w:rsidRPr="003D199F">
        <w:t>to ORR</w:t>
      </w:r>
      <w:r w:rsidR="00EF2A64" w:rsidRPr="003D199F">
        <w:t>,</w:t>
      </w:r>
      <w:r w:rsidR="004C5DBF" w:rsidRPr="003D199F">
        <w:t xml:space="preserve"> </w:t>
      </w:r>
      <w:r w:rsidRPr="003D199F">
        <w:t>which details the findings, conclusions and recommendations</w:t>
      </w:r>
      <w:r w:rsidR="00695202" w:rsidRPr="003D199F">
        <w:t xml:space="preserve"> and limitations of the analysis</w:t>
      </w:r>
      <w:r w:rsidRPr="003D199F">
        <w:t xml:space="preserve">  </w:t>
      </w:r>
    </w:p>
    <w:p w14:paraId="69A7E7CC" w14:textId="6A79A402" w:rsidR="00F16236" w:rsidRPr="003D199F" w:rsidRDefault="00DB02EF" w:rsidP="00695202">
      <w:pPr>
        <w:pStyle w:val="NormalBulletround"/>
      </w:pPr>
      <w:r w:rsidRPr="003D199F">
        <w:rPr>
          <w:b/>
          <w:bCs/>
        </w:rPr>
        <w:t>Final report</w:t>
      </w:r>
      <w:r w:rsidRPr="003D199F">
        <w:t xml:space="preserve"> which incorporates the amendments from ORR</w:t>
      </w:r>
      <w:r w:rsidR="0071361F" w:rsidRPr="003D199F">
        <w:t>. This may be published on the ORR website.</w:t>
      </w:r>
    </w:p>
    <w:p w14:paraId="3A579893" w14:textId="548664F8" w:rsidR="002D14BC" w:rsidRPr="003D199F" w:rsidRDefault="002D14BC" w:rsidP="00695202">
      <w:pPr>
        <w:pStyle w:val="NormalBulletround"/>
      </w:pPr>
      <w:r w:rsidRPr="003D199F">
        <w:rPr>
          <w:b/>
          <w:bCs/>
        </w:rPr>
        <w:t xml:space="preserve">Final presentation </w:t>
      </w:r>
      <w:r w:rsidRPr="003D199F">
        <w:t>of findings with ORR</w:t>
      </w:r>
    </w:p>
    <w:p w14:paraId="31C3CD05" w14:textId="42DC6ABD" w:rsidR="00695202" w:rsidRPr="003D199F" w:rsidRDefault="00F16236" w:rsidP="00695202">
      <w:pPr>
        <w:pStyle w:val="NormalBulletround"/>
      </w:pPr>
      <w:r w:rsidRPr="003D199F">
        <w:rPr>
          <w:b/>
          <w:bCs/>
          <w:szCs w:val="24"/>
        </w:rPr>
        <w:t>S</w:t>
      </w:r>
      <w:r w:rsidR="00695202" w:rsidRPr="003D199F">
        <w:rPr>
          <w:b/>
          <w:bCs/>
          <w:szCs w:val="24"/>
        </w:rPr>
        <w:t>preadsheets</w:t>
      </w:r>
      <w:r w:rsidR="00695202" w:rsidRPr="003D199F">
        <w:rPr>
          <w:szCs w:val="24"/>
        </w:rPr>
        <w:t xml:space="preserve"> used in the above analysis in a format that is easy to understand so in future years there would be potential to update the analysis.</w:t>
      </w:r>
    </w:p>
    <w:p w14:paraId="56237481" w14:textId="2152BE30" w:rsidR="009A34CB" w:rsidRPr="003D199F" w:rsidRDefault="00F16236" w:rsidP="00FA601B">
      <w:pPr>
        <w:pStyle w:val="NormalBulletround"/>
      </w:pPr>
      <w:r w:rsidRPr="003D199F">
        <w:rPr>
          <w:b/>
          <w:bCs/>
        </w:rPr>
        <w:t>A</w:t>
      </w:r>
      <w:r w:rsidR="009A34CB" w:rsidRPr="003D199F">
        <w:rPr>
          <w:b/>
          <w:bCs/>
        </w:rPr>
        <w:t>nalytical assurance statement</w:t>
      </w:r>
      <w:r w:rsidRPr="003D199F">
        <w:rPr>
          <w:b/>
          <w:bCs/>
        </w:rPr>
        <w:t>s</w:t>
      </w:r>
      <w:r w:rsidR="009A34CB" w:rsidRPr="003D199F">
        <w:t xml:space="preserve"> submitted to summarise the assurance that has been carried out</w:t>
      </w:r>
      <w:r w:rsidR="001F79F5" w:rsidRPr="003D199F">
        <w:t>.</w:t>
      </w:r>
      <w:r w:rsidR="009A34CB" w:rsidRPr="003D199F">
        <w:t xml:space="preserve"> </w:t>
      </w:r>
    </w:p>
    <w:bookmarkEnd w:id="22"/>
    <w:p w14:paraId="766C38E6" w14:textId="77777777" w:rsidR="00836F30" w:rsidRPr="003D199F" w:rsidRDefault="00836F30" w:rsidP="00836F30">
      <w:pPr>
        <w:pStyle w:val="Boxedparagraph"/>
      </w:pPr>
      <w:r w:rsidRPr="003D199F">
        <w:t xml:space="preserve">As a public body we are legally required to comply with accessibility guidelines. Please ensure any commissioned report is in a format that meets web accessibility regulations: </w:t>
      </w:r>
      <w:hyperlink r:id="rId27" w:history="1">
        <w:r w:rsidRPr="003D199F">
          <w:rPr>
            <w:rStyle w:val="Hyperlink"/>
          </w:rPr>
          <w:t>Guidelines for writing accessible reports for ORR - Guidance for external suppliers | Office of Rail and Road</w:t>
        </w:r>
        <w:bookmarkStart w:id="23" w:name="_Hlk77260858"/>
        <w:bookmarkStart w:id="24" w:name="_Hlk88644044"/>
      </w:hyperlink>
      <w:r w:rsidRPr="003D199F">
        <w:t>.</w:t>
      </w:r>
    </w:p>
    <w:bookmarkEnd w:id="23"/>
    <w:bookmarkEnd w:id="24"/>
    <w:p w14:paraId="09F72C7B" w14:textId="77777777" w:rsidR="00836F30" w:rsidRPr="003D199F" w:rsidRDefault="00836F30" w:rsidP="00836F30">
      <w:pPr>
        <w:pStyle w:val="NormalBulletround"/>
        <w:tabs>
          <w:tab w:val="clear" w:pos="1134"/>
        </w:tabs>
        <w:ind w:left="567" w:firstLine="0"/>
      </w:pPr>
    </w:p>
    <w:p w14:paraId="30DFB785" w14:textId="439A37DA" w:rsidR="00DB02EF" w:rsidRPr="003D199F" w:rsidRDefault="00DB02EF" w:rsidP="00DB02EF">
      <w:pPr>
        <w:pStyle w:val="Heading4"/>
      </w:pPr>
      <w:r w:rsidRPr="003D199F">
        <w:t>Contract Management Requirements</w:t>
      </w:r>
    </w:p>
    <w:p w14:paraId="2BD0DA80" w14:textId="77777777" w:rsidR="00B3599E" w:rsidRPr="00712AD7" w:rsidRDefault="00B3599E" w:rsidP="00B3599E">
      <w:pPr>
        <w:numPr>
          <w:ilvl w:val="0"/>
          <w:numId w:val="41"/>
        </w:numPr>
        <w:shd w:val="clear" w:color="auto" w:fill="FAFAFA"/>
        <w:spacing w:after="120" w:line="240" w:lineRule="auto"/>
      </w:pPr>
      <w:r w:rsidRPr="00712AD7">
        <w:t>Response Time</w:t>
      </w:r>
    </w:p>
    <w:p w14:paraId="065B3A58" w14:textId="3BBD05FF" w:rsidR="00B3599E" w:rsidRPr="00712AD7" w:rsidRDefault="00B3599E" w:rsidP="00B3599E">
      <w:pPr>
        <w:numPr>
          <w:ilvl w:val="1"/>
          <w:numId w:val="41"/>
        </w:numPr>
        <w:shd w:val="clear" w:color="auto" w:fill="FAFAFA"/>
        <w:spacing w:before="100" w:beforeAutospacing="1" w:after="100" w:afterAutospacing="1" w:line="240" w:lineRule="auto"/>
      </w:pPr>
      <w:r w:rsidRPr="00712AD7">
        <w:t xml:space="preserve">Consultant must </w:t>
      </w:r>
      <w:r w:rsidR="00234B06" w:rsidRPr="00712AD7">
        <w:t xml:space="preserve">acknowledge and </w:t>
      </w:r>
      <w:r w:rsidRPr="00712AD7">
        <w:t xml:space="preserve">respond to emails or queries within </w:t>
      </w:r>
      <w:r w:rsidR="00CD1681" w:rsidRPr="00712AD7">
        <w:t xml:space="preserve">3 </w:t>
      </w:r>
      <w:r w:rsidRPr="00712AD7">
        <w:t>business day</w:t>
      </w:r>
      <w:r w:rsidR="008A0744" w:rsidRPr="00712AD7">
        <w:t>s</w:t>
      </w:r>
      <w:r w:rsidRPr="00712AD7">
        <w:t>.</w:t>
      </w:r>
    </w:p>
    <w:p w14:paraId="653E575F" w14:textId="77777777" w:rsidR="00B3599E" w:rsidRPr="00712AD7" w:rsidRDefault="00B3599E" w:rsidP="00B3599E">
      <w:pPr>
        <w:numPr>
          <w:ilvl w:val="0"/>
          <w:numId w:val="41"/>
        </w:numPr>
        <w:shd w:val="clear" w:color="auto" w:fill="FAFAFA"/>
        <w:spacing w:after="120" w:line="240" w:lineRule="auto"/>
      </w:pPr>
      <w:r w:rsidRPr="00712AD7">
        <w:t>Reporting</w:t>
      </w:r>
    </w:p>
    <w:p w14:paraId="23AAD099" w14:textId="3D428365" w:rsidR="00B3599E" w:rsidRPr="00712AD7" w:rsidRDefault="00B3599E" w:rsidP="00B3599E">
      <w:pPr>
        <w:numPr>
          <w:ilvl w:val="1"/>
          <w:numId w:val="41"/>
        </w:numPr>
        <w:shd w:val="clear" w:color="auto" w:fill="FAFAFA"/>
        <w:spacing w:before="100" w:beforeAutospacing="1" w:after="100" w:afterAutospacing="1" w:line="240" w:lineRule="auto"/>
      </w:pPr>
      <w:r w:rsidRPr="00712AD7">
        <w:t>Consultant must provide a progress report</w:t>
      </w:r>
      <w:r w:rsidR="00BF088A" w:rsidRPr="00712AD7">
        <w:t xml:space="preserve"> and call</w:t>
      </w:r>
      <w:r w:rsidRPr="00712AD7">
        <w:t xml:space="preserve"> every two weeks, including risks, issues, and next steps.</w:t>
      </w:r>
    </w:p>
    <w:p w14:paraId="278DA710" w14:textId="77777777" w:rsidR="00B3599E" w:rsidRPr="00712AD7" w:rsidRDefault="00B3599E" w:rsidP="00B3599E">
      <w:pPr>
        <w:numPr>
          <w:ilvl w:val="0"/>
          <w:numId w:val="41"/>
        </w:numPr>
        <w:shd w:val="clear" w:color="auto" w:fill="FAFAFA"/>
        <w:spacing w:after="120" w:line="240" w:lineRule="auto"/>
      </w:pPr>
      <w:r w:rsidRPr="00712AD7">
        <w:t>Confidentiality and Data Handling</w:t>
      </w:r>
    </w:p>
    <w:p w14:paraId="004EDFCB" w14:textId="77777777" w:rsidR="00B3599E" w:rsidRPr="00712AD7" w:rsidRDefault="00B3599E" w:rsidP="00B3599E">
      <w:pPr>
        <w:numPr>
          <w:ilvl w:val="1"/>
          <w:numId w:val="41"/>
        </w:numPr>
        <w:shd w:val="clear" w:color="auto" w:fill="FAFAFA"/>
        <w:spacing w:before="100" w:beforeAutospacing="1" w:after="100" w:afterAutospacing="1" w:line="240" w:lineRule="auto"/>
      </w:pPr>
      <w:r w:rsidRPr="00712AD7">
        <w:t>Consultant must adhere to all data protection and confidentiality agreements as per contract.</w:t>
      </w:r>
    </w:p>
    <w:p w14:paraId="6CEC0D17" w14:textId="77777777" w:rsidR="00B3599E" w:rsidRPr="00712AD7" w:rsidRDefault="00B3599E" w:rsidP="00B3599E">
      <w:pPr>
        <w:numPr>
          <w:ilvl w:val="0"/>
          <w:numId w:val="41"/>
        </w:numPr>
        <w:shd w:val="clear" w:color="auto" w:fill="FAFAFA"/>
        <w:spacing w:after="120" w:line="240" w:lineRule="auto"/>
      </w:pPr>
      <w:r w:rsidRPr="00712AD7">
        <w:t>Issue Resolution</w:t>
      </w:r>
    </w:p>
    <w:p w14:paraId="36BF1ADA" w14:textId="7B6ECB5D" w:rsidR="00B3599E" w:rsidRPr="00712AD7" w:rsidRDefault="00B3599E" w:rsidP="00B3599E">
      <w:pPr>
        <w:numPr>
          <w:ilvl w:val="1"/>
          <w:numId w:val="41"/>
        </w:numPr>
        <w:shd w:val="clear" w:color="auto" w:fill="FAFAFA"/>
        <w:spacing w:before="100" w:beforeAutospacing="1" w:after="100" w:afterAutospacing="1" w:line="240" w:lineRule="auto"/>
      </w:pPr>
      <w:r w:rsidRPr="00712AD7">
        <w:lastRenderedPageBreak/>
        <w:t>Consultant must address any performance or quality issues within 5 working days of notification.</w:t>
      </w:r>
    </w:p>
    <w:p w14:paraId="04B87418" w14:textId="77777777" w:rsidR="008A0744" w:rsidRPr="00712AD7" w:rsidRDefault="008A0744" w:rsidP="008A0744">
      <w:pPr>
        <w:numPr>
          <w:ilvl w:val="0"/>
          <w:numId w:val="41"/>
        </w:numPr>
        <w:shd w:val="clear" w:color="auto" w:fill="FAFAFA"/>
        <w:spacing w:after="120" w:line="240" w:lineRule="auto"/>
      </w:pPr>
      <w:r w:rsidRPr="00712AD7">
        <w:t>Timeliness of Deliverables</w:t>
      </w:r>
    </w:p>
    <w:p w14:paraId="19EDBDA9" w14:textId="21F771BF" w:rsidR="005B3F20" w:rsidRPr="00712AD7" w:rsidRDefault="005B3F20" w:rsidP="008A0744">
      <w:pPr>
        <w:numPr>
          <w:ilvl w:val="1"/>
          <w:numId w:val="41"/>
        </w:numPr>
        <w:shd w:val="clear" w:color="auto" w:fill="FAFAFA"/>
        <w:spacing w:before="100" w:beforeAutospacing="1" w:after="100" w:afterAutospacing="1" w:line="240" w:lineRule="auto"/>
      </w:pPr>
      <w:r w:rsidRPr="00712AD7">
        <w:t xml:space="preserve">Any extensions to </w:t>
      </w:r>
      <w:r w:rsidR="008E369F" w:rsidRPr="00712AD7">
        <w:t xml:space="preserve">final reporting </w:t>
      </w:r>
      <w:r w:rsidRPr="00712AD7">
        <w:t xml:space="preserve">deadlines must be </w:t>
      </w:r>
      <w:r w:rsidR="008E369F" w:rsidRPr="00712AD7">
        <w:t xml:space="preserve">discussed and </w:t>
      </w:r>
      <w:r w:rsidRPr="00712AD7">
        <w:t>agreed with ORR</w:t>
      </w:r>
    </w:p>
    <w:p w14:paraId="31EC30ED" w14:textId="77777777" w:rsidR="008A0744" w:rsidRPr="00712AD7" w:rsidRDefault="008A0744" w:rsidP="008A0744">
      <w:pPr>
        <w:numPr>
          <w:ilvl w:val="0"/>
          <w:numId w:val="41"/>
        </w:numPr>
        <w:shd w:val="clear" w:color="auto" w:fill="FAFAFA"/>
        <w:spacing w:after="120" w:line="240" w:lineRule="auto"/>
      </w:pPr>
      <w:r w:rsidRPr="00712AD7">
        <w:t>Budget Adherence</w:t>
      </w:r>
    </w:p>
    <w:p w14:paraId="4D1DD342" w14:textId="0F350A83" w:rsidR="008A0744" w:rsidRDefault="004B481F" w:rsidP="008A0744">
      <w:pPr>
        <w:numPr>
          <w:ilvl w:val="1"/>
          <w:numId w:val="41"/>
        </w:numPr>
        <w:shd w:val="clear" w:color="auto" w:fill="FAFAFA"/>
        <w:spacing w:before="100" w:beforeAutospacing="1" w:after="100" w:afterAutospacing="1" w:line="240" w:lineRule="auto"/>
      </w:pPr>
      <w:r w:rsidRPr="00712AD7">
        <w:t>Must keep to agreed budget</w:t>
      </w:r>
    </w:p>
    <w:p w14:paraId="172F640C" w14:textId="79F32311" w:rsidR="00712AD7" w:rsidRPr="00712AD7" w:rsidRDefault="00712AD7" w:rsidP="00712AD7">
      <w:pPr>
        <w:numPr>
          <w:ilvl w:val="0"/>
          <w:numId w:val="41"/>
        </w:numPr>
        <w:shd w:val="clear" w:color="auto" w:fill="FAFAFA"/>
        <w:spacing w:before="100" w:beforeAutospacing="1" w:after="100" w:afterAutospacing="1" w:line="240" w:lineRule="auto"/>
      </w:pPr>
      <w:r w:rsidRPr="00712AD7">
        <w:t>Fortnightly teams call with ORR to assess progress in terms of quantity, quality and timings. An opportunity to discuss any arising issues </w:t>
      </w:r>
    </w:p>
    <w:p w14:paraId="503FFFC9" w14:textId="77777777" w:rsidR="008A0744" w:rsidRPr="00B3599E" w:rsidRDefault="008A0744" w:rsidP="008A0744">
      <w:pPr>
        <w:shd w:val="clear" w:color="auto" w:fill="FAFAFA"/>
        <w:spacing w:before="100" w:beforeAutospacing="1" w:after="100" w:afterAutospacing="1" w:line="240" w:lineRule="auto"/>
        <w:rPr>
          <w:rFonts w:ascii="Segoe UI" w:eastAsia="Times New Roman" w:hAnsi="Segoe UI" w:cs="Segoe UI"/>
          <w:color w:val="424242"/>
          <w:szCs w:val="24"/>
          <w:lang w:eastAsia="en-GB"/>
        </w:rPr>
      </w:pPr>
    </w:p>
    <w:p w14:paraId="75F8969E" w14:textId="18013AB0" w:rsidR="00D6160E" w:rsidRPr="003D199F" w:rsidRDefault="00AF7AF9" w:rsidP="00AF7AF9">
      <w:pPr>
        <w:pStyle w:val="Heading3"/>
      </w:pPr>
      <w:bookmarkStart w:id="25" w:name="_Toc111551922"/>
      <w:r w:rsidRPr="003D199F">
        <w:t>2.4 Project Timescales</w:t>
      </w:r>
      <w:bookmarkEnd w:id="25"/>
    </w:p>
    <w:p w14:paraId="232D4288" w14:textId="242DE961" w:rsidR="00AF7AF9" w:rsidRPr="003D199F" w:rsidRDefault="00AF7AF9" w:rsidP="00AF7AF9">
      <w:bookmarkStart w:id="26" w:name="_Hlk200374562"/>
      <w:r w:rsidRPr="003D199F">
        <w:t>The provisional project timetable is as follows:</w:t>
      </w:r>
    </w:p>
    <w:p w14:paraId="1A5E1720" w14:textId="55D60986" w:rsidR="00AF7AF9" w:rsidRPr="003D199F" w:rsidRDefault="0046195C" w:rsidP="00AF7AF9">
      <w:pPr>
        <w:pStyle w:val="NormalBulletround"/>
      </w:pPr>
      <w:r w:rsidRPr="003D199F">
        <w:t>Start-up</w:t>
      </w:r>
      <w:r w:rsidR="00AF7AF9" w:rsidRPr="003D199F">
        <w:t xml:space="preserve"> meeting and commencement w/c </w:t>
      </w:r>
      <w:r w:rsidR="00EB65F8">
        <w:t>25</w:t>
      </w:r>
      <w:r w:rsidR="00712AD7">
        <w:t xml:space="preserve"> </w:t>
      </w:r>
      <w:r w:rsidR="00EB65F8">
        <w:t>August</w:t>
      </w:r>
    </w:p>
    <w:p w14:paraId="26A9F78D" w14:textId="519C441A" w:rsidR="00AF7AF9" w:rsidRPr="003D199F" w:rsidRDefault="004E67B1" w:rsidP="00AF7AF9">
      <w:pPr>
        <w:pStyle w:val="NormalBulletround"/>
      </w:pPr>
      <w:r w:rsidRPr="003D199F">
        <w:t>F</w:t>
      </w:r>
      <w:r w:rsidR="008C4C5F" w:rsidRPr="003D199F">
        <w:t>ortnightly</w:t>
      </w:r>
      <w:r w:rsidR="00AF7AF9" w:rsidRPr="003D199F">
        <w:t xml:space="preserve"> updates on progress and any issues</w:t>
      </w:r>
    </w:p>
    <w:p w14:paraId="618A964A" w14:textId="0F3848A7" w:rsidR="00AF7AF9" w:rsidRPr="003D199F" w:rsidRDefault="00AF7AF9" w:rsidP="00AF7AF9">
      <w:pPr>
        <w:pStyle w:val="NormalBulletround"/>
      </w:pPr>
      <w:r w:rsidRPr="003D199F">
        <w:t xml:space="preserve">Presentation of interim findings </w:t>
      </w:r>
      <w:r w:rsidR="001F79F5" w:rsidRPr="003D199F">
        <w:t xml:space="preserve">in </w:t>
      </w:r>
      <w:r w:rsidR="00C26928">
        <w:t>w/c 3</w:t>
      </w:r>
      <w:r w:rsidR="00B643DB">
        <w:t xml:space="preserve"> November</w:t>
      </w:r>
      <w:r w:rsidR="008C4C5F" w:rsidRPr="003D199F">
        <w:t xml:space="preserve"> </w:t>
      </w:r>
      <w:r w:rsidRPr="003D199F">
        <w:t>(or as agreed)</w:t>
      </w:r>
    </w:p>
    <w:p w14:paraId="1CB48C52" w14:textId="5F357E74" w:rsidR="00AF7AF9" w:rsidRPr="003D199F" w:rsidRDefault="00AF7AF9" w:rsidP="00AF7AF9">
      <w:pPr>
        <w:pStyle w:val="NormalBulletround"/>
      </w:pPr>
      <w:r w:rsidRPr="003D199F">
        <w:t xml:space="preserve">Draft report by </w:t>
      </w:r>
      <w:r w:rsidR="00C26928">
        <w:t xml:space="preserve">w/c 17 </w:t>
      </w:r>
      <w:r w:rsidR="00B643DB">
        <w:t>November</w:t>
      </w:r>
    </w:p>
    <w:p w14:paraId="5577EDCB" w14:textId="328B70A4" w:rsidR="00AF7AF9" w:rsidRPr="003D199F" w:rsidRDefault="00AF7AF9" w:rsidP="00AF7AF9">
      <w:pPr>
        <w:pStyle w:val="NormalBulletround"/>
      </w:pPr>
      <w:r w:rsidRPr="003D199F">
        <w:t>Final report</w:t>
      </w:r>
      <w:r w:rsidR="00347259" w:rsidRPr="003D199F">
        <w:t>, spreadsheets, assurance statement</w:t>
      </w:r>
      <w:r w:rsidRPr="003D199F">
        <w:t xml:space="preserve"> by </w:t>
      </w:r>
      <w:r w:rsidR="00C26928">
        <w:t xml:space="preserve">w/c 8 </w:t>
      </w:r>
      <w:r w:rsidR="00B643DB">
        <w:t>December</w:t>
      </w:r>
    </w:p>
    <w:p w14:paraId="16A9932F" w14:textId="0ED3C8F7" w:rsidR="00347259" w:rsidRPr="003D199F" w:rsidRDefault="00347259" w:rsidP="00AF7AF9">
      <w:pPr>
        <w:pStyle w:val="NormalBulletround"/>
      </w:pPr>
      <w:r w:rsidRPr="003D199F">
        <w:t xml:space="preserve">Final presentation </w:t>
      </w:r>
      <w:r w:rsidR="004640CF" w:rsidRPr="003D199F">
        <w:t xml:space="preserve">in </w:t>
      </w:r>
      <w:r w:rsidR="00C26928">
        <w:t>w/c 8</w:t>
      </w:r>
      <w:r w:rsidR="00712AD7">
        <w:t xml:space="preserve"> </w:t>
      </w:r>
      <w:r w:rsidR="00B643DB">
        <w:t>December</w:t>
      </w:r>
    </w:p>
    <w:p w14:paraId="76E3EE61" w14:textId="26084B24" w:rsidR="00AF7AF9" w:rsidRPr="003D199F" w:rsidRDefault="00AF7AF9" w:rsidP="00AF7AF9">
      <w:pPr>
        <w:pStyle w:val="Heading3"/>
      </w:pPr>
      <w:bookmarkStart w:id="27" w:name="_Toc111551923"/>
      <w:bookmarkEnd w:id="26"/>
      <w:r w:rsidRPr="003D199F">
        <w:t>2.5 Budget and Payment Schedule</w:t>
      </w:r>
      <w:bookmarkEnd w:id="27"/>
    </w:p>
    <w:p w14:paraId="7D86A410" w14:textId="238D48D2" w:rsidR="00D401C8" w:rsidRPr="003D199F" w:rsidRDefault="00D401C8" w:rsidP="00D401C8">
      <w:r w:rsidRPr="003D199F">
        <w:t xml:space="preserve">The maximum budget for this piece of work </w:t>
      </w:r>
      <w:r w:rsidRPr="001E72BB">
        <w:t xml:space="preserve">is </w:t>
      </w:r>
      <w:r w:rsidRPr="00BB0C99">
        <w:t>£</w:t>
      </w:r>
      <w:r w:rsidR="0012295F">
        <w:t>8</w:t>
      </w:r>
      <w:r w:rsidR="000870A2" w:rsidRPr="00BB0C99">
        <w:t>0</w:t>
      </w:r>
      <w:r w:rsidR="00763DEC" w:rsidRPr="00BB0C99">
        <w:t>,000</w:t>
      </w:r>
      <w:r w:rsidR="00AB52F9" w:rsidRPr="003D199F">
        <w:rPr>
          <w:color w:val="C00000"/>
        </w:rPr>
        <w:t xml:space="preserve"> </w:t>
      </w:r>
      <w:r w:rsidRPr="003D199F">
        <w:rPr>
          <w:color w:val="C00000"/>
        </w:rPr>
        <w:t xml:space="preserve"> </w:t>
      </w:r>
      <w:r w:rsidRPr="003D199F">
        <w:t>(inc. of expenses, exc. of VAT).</w:t>
      </w:r>
    </w:p>
    <w:p w14:paraId="0FB80C9E" w14:textId="77777777" w:rsidR="00D401C8" w:rsidRPr="003D199F" w:rsidRDefault="00D401C8" w:rsidP="00D401C8">
      <w:r w:rsidRPr="003D199F">
        <w:t>Payment of the total fee will be on the delivery and acceptance by ORR of all required outputs and/or deliverables.</w:t>
      </w:r>
    </w:p>
    <w:p w14:paraId="3BB5AE4A" w14:textId="4C2DE6EF" w:rsidR="00AF7AF9" w:rsidRPr="003D199F" w:rsidRDefault="00AF7AF9" w:rsidP="00AF7AF9">
      <w:pPr>
        <w:pStyle w:val="Heading3"/>
      </w:pPr>
      <w:bookmarkStart w:id="28" w:name="_Toc111551924"/>
      <w:r w:rsidRPr="003D199F">
        <w:t>2.6 Further project related information for bidders</w:t>
      </w:r>
      <w:bookmarkEnd w:id="28"/>
    </w:p>
    <w:p w14:paraId="75CB7E4B" w14:textId="77777777" w:rsidR="00C26E3E" w:rsidRPr="003D199F" w:rsidRDefault="00C26E3E" w:rsidP="008640BB">
      <w:pPr>
        <w:pStyle w:val="Heading4"/>
      </w:pPr>
      <w:r w:rsidRPr="003D199F">
        <w:t>Intellectual Property Rights</w:t>
      </w:r>
    </w:p>
    <w:p w14:paraId="4595723C" w14:textId="77777777" w:rsidR="00C26E3E" w:rsidRPr="003D199F" w:rsidRDefault="00C26E3E" w:rsidP="00C26E3E">
      <w:r w:rsidRPr="003D199F">
        <w:t xml:space="preserve">ORR will own the Intellectual Property Rights for all project related documentation and artefacts. </w:t>
      </w:r>
    </w:p>
    <w:p w14:paraId="32F2593F" w14:textId="77777777" w:rsidR="00C26E3E" w:rsidRPr="003D199F" w:rsidRDefault="00C26E3E" w:rsidP="008640BB">
      <w:pPr>
        <w:pStyle w:val="Heading4"/>
      </w:pPr>
      <w:r w:rsidRPr="003D199F">
        <w:lastRenderedPageBreak/>
        <w:t>Transparency requirements</w:t>
      </w:r>
    </w:p>
    <w:p w14:paraId="165687AD" w14:textId="6C16972D" w:rsidR="00C26E3E" w:rsidRPr="003D199F" w:rsidRDefault="00C26E3E" w:rsidP="00C26E3E">
      <w:r w:rsidRPr="003D199F">
        <w:t>Please note ORR is required to ensure that any new procurement opportunity above £</w:t>
      </w:r>
      <w:r w:rsidR="3814867E" w:rsidRPr="003D199F">
        <w:t>25</w:t>
      </w:r>
      <w:r w:rsidRPr="003D199F">
        <w:t>,000 (excluding VAT) is published on C</w:t>
      </w:r>
      <w:r w:rsidR="79340FDD" w:rsidRPr="003D199F">
        <w:t>entral Digital Platform</w:t>
      </w:r>
      <w:r w:rsidRPr="003D199F">
        <w:t xml:space="preserve">, unless the ORR is satisfied it is lawful not to. Once a contract has been awarded as a result of a procurement process, ORR is required to publish details of who won the contract, the contract value and indicate whether the winning supplier is a SME or voluntary sector organisation. </w:t>
      </w:r>
    </w:p>
    <w:p w14:paraId="109FBDC2" w14:textId="77777777" w:rsidR="00C26E3E" w:rsidRPr="003D199F" w:rsidRDefault="00C26E3E" w:rsidP="008640BB">
      <w:pPr>
        <w:pStyle w:val="Heading4"/>
      </w:pPr>
      <w:r w:rsidRPr="003D199F">
        <w:t>Confidentiality</w:t>
      </w:r>
    </w:p>
    <w:p w14:paraId="2E451925" w14:textId="4D8FF7C9" w:rsidR="00C26E3E" w:rsidRPr="003D199F" w:rsidRDefault="00C26E3E" w:rsidP="00C26E3E">
      <w:r w:rsidRPr="003D199F">
        <w:t xml:space="preserve">All consultants working on the project may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external stakeholders. </w:t>
      </w:r>
    </w:p>
    <w:p w14:paraId="21235E0B" w14:textId="77777777" w:rsidR="00C26E3E" w:rsidRPr="003D199F" w:rsidRDefault="00C26E3E" w:rsidP="001E2367">
      <w:pPr>
        <w:pStyle w:val="Heading4"/>
      </w:pPr>
      <w:r w:rsidRPr="003D199F">
        <w:t>Sub-Contractors</w:t>
      </w:r>
    </w:p>
    <w:p w14:paraId="53ECB42C" w14:textId="4F6F3098" w:rsidR="00C26E3E" w:rsidRPr="003D199F" w:rsidRDefault="00C26E3E" w:rsidP="008640BB">
      <w:pPr>
        <w:keepNext/>
      </w:pPr>
      <w:r w:rsidRPr="003D199F">
        <w:t>Contractors may use sub-contractors subject to the following:</w:t>
      </w:r>
    </w:p>
    <w:p w14:paraId="3AC8D3CD" w14:textId="744B49B1" w:rsidR="00C26E3E" w:rsidRPr="003D199F" w:rsidRDefault="00C26E3E" w:rsidP="008640BB">
      <w:pPr>
        <w:pStyle w:val="NormalBulletround"/>
      </w:pPr>
      <w:r w:rsidRPr="003D199F">
        <w:t>That the Contractor assumes unconditional responsibility for the overall work and its quality;</w:t>
      </w:r>
    </w:p>
    <w:p w14:paraId="457234D1" w14:textId="075706A3" w:rsidR="00C26E3E" w:rsidRPr="003D199F" w:rsidRDefault="00C26E3E" w:rsidP="008640BB">
      <w:pPr>
        <w:pStyle w:val="NormalBulletround"/>
      </w:pPr>
      <w:r w:rsidRPr="003D199F">
        <w:t xml:space="preserve">That individual sub-contractors are clearly identified, with fee rates and grades made explicit to the same level of detail as for the members of the lead consulting team. </w:t>
      </w:r>
    </w:p>
    <w:p w14:paraId="49610B7E" w14:textId="0C904E9F" w:rsidR="00C26E3E" w:rsidRPr="003D199F" w:rsidRDefault="00C26E3E" w:rsidP="00C26E3E">
      <w:r w:rsidRPr="003D199F">
        <w:t>Internal relationships between the Contractor and its sub-contractors shall be the entire responsibility of the Contractor. Failure to meet deadlines or to deliver work packages by a subcontractor will be attributed by ORR entirely to the Contractor.</w:t>
      </w:r>
    </w:p>
    <w:p w14:paraId="253C0E00" w14:textId="77777777" w:rsidR="00C26E3E" w:rsidRPr="003D199F" w:rsidRDefault="00C26E3E" w:rsidP="005F217E">
      <w:pPr>
        <w:pStyle w:val="Heading4"/>
      </w:pPr>
      <w:r w:rsidRPr="003D199F">
        <w:t>Conflict of Interest</w:t>
      </w:r>
    </w:p>
    <w:p w14:paraId="569A15AE" w14:textId="77777777" w:rsidR="00C26E3E" w:rsidRPr="003D199F" w:rsidRDefault="00C26E3E" w:rsidP="00C26E3E">
      <w:r w:rsidRPr="003D199F">
        <w:t xml:space="preserve">At the date of submitting the tender and prior to entering into any contract, the tenderer warrants that no conflict of interest exists or is likely to arise in the performance of its obligations under this contract; or </w:t>
      </w:r>
    </w:p>
    <w:p w14:paraId="2C520995" w14:textId="77777777" w:rsidR="00C26E3E" w:rsidRPr="003D199F" w:rsidRDefault="00C26E3E" w:rsidP="00C26E3E">
      <w:r w:rsidRPr="003D199F">
        <w:t>Where any potential, actual or perceived conflicts of interest in respect of this contract exist, tenderers need to outline what mitigation/safeguards would be put in place to mitigate the risk of actual or perceived conflicts arising during the delivery of these services.</w:t>
      </w:r>
    </w:p>
    <w:p w14:paraId="55A7981A" w14:textId="43D7E437" w:rsidR="00AF7AF9" w:rsidRPr="003D199F" w:rsidRDefault="00C26E3E" w:rsidP="00C26E3E">
      <w:r w:rsidRPr="003D199F">
        <w:t>The ORR will review the mitigation/safeguards in line with the perceived conflict of interest, to determine what level of risk this poses to them. Therefore, if tenderers cannot or are unwilling to suitably demonstrate that they have suitable safeguards to mitigate any risk then their tender will be deemed non-compliant and may be rejected.</w:t>
      </w:r>
    </w:p>
    <w:p w14:paraId="62F0CBBD" w14:textId="688FB854" w:rsidR="00C26E3E" w:rsidRPr="003D199F" w:rsidRDefault="001768F1" w:rsidP="001768F1">
      <w:pPr>
        <w:pStyle w:val="Heading2"/>
      </w:pPr>
      <w:bookmarkStart w:id="29" w:name="_Toc111551925"/>
      <w:bookmarkStart w:id="30" w:name="_Toc200551379"/>
      <w:r w:rsidRPr="003D199F">
        <w:lastRenderedPageBreak/>
        <w:t>Tender Response and Evaluation Criteria</w:t>
      </w:r>
      <w:bookmarkEnd w:id="29"/>
      <w:bookmarkEnd w:id="30"/>
    </w:p>
    <w:p w14:paraId="6C9F4B20" w14:textId="5CFF035D" w:rsidR="001768F1" w:rsidRPr="003D199F" w:rsidRDefault="001768F1" w:rsidP="001768F1">
      <w:pPr>
        <w:pStyle w:val="Heading3"/>
      </w:pPr>
      <w:bookmarkStart w:id="31" w:name="_Toc111551926"/>
      <w:r w:rsidRPr="003D199F">
        <w:t>3.1 The Tender Response</w:t>
      </w:r>
      <w:bookmarkEnd w:id="31"/>
    </w:p>
    <w:p w14:paraId="724E459E" w14:textId="270AE424" w:rsidR="00A11E3E" w:rsidRPr="003D199F" w:rsidRDefault="00E051F9" w:rsidP="001768F1">
      <w:r w:rsidRPr="00E051F9">
        <w:t>Proposals should outline how bidders will meet the requirements set out in section (</w:t>
      </w:r>
      <w:r w:rsidR="00A11E3E">
        <w:t>2</w:t>
      </w:r>
      <w:r w:rsidRPr="00E051F9">
        <w:t xml:space="preserve">) ‘Statement of Requirement’. This information must be included in </w:t>
      </w:r>
      <w:r w:rsidR="00CA0D49">
        <w:t xml:space="preserve">a </w:t>
      </w:r>
      <w:r w:rsidRPr="00E051F9">
        <w:t>written tender response</w:t>
      </w:r>
      <w:r w:rsidR="003C603E">
        <w:t xml:space="preserve"> </w:t>
      </w:r>
      <w:r w:rsidRPr="00E051F9">
        <w:t>covering the points below.</w:t>
      </w:r>
    </w:p>
    <w:p w14:paraId="0696CABC" w14:textId="13E563FF" w:rsidR="001768F1" w:rsidRPr="003D199F" w:rsidRDefault="001768F1" w:rsidP="00B726DA">
      <w:pPr>
        <w:pStyle w:val="NormalBulletalpha"/>
        <w:numPr>
          <w:ilvl w:val="1"/>
          <w:numId w:val="14"/>
        </w:numPr>
        <w:rPr>
          <w:b/>
          <w:bCs/>
        </w:rPr>
      </w:pPr>
      <w:r w:rsidRPr="003D199F">
        <w:rPr>
          <w:b/>
          <w:bCs/>
        </w:rPr>
        <w:t xml:space="preserve">Understanding of customer's requirements </w:t>
      </w:r>
    </w:p>
    <w:p w14:paraId="40A10F39" w14:textId="09F16AAB" w:rsidR="001768F1" w:rsidRPr="003D199F" w:rsidRDefault="001768F1" w:rsidP="00D07E76">
      <w:pPr>
        <w:pStyle w:val="NormalBullet-"/>
      </w:pPr>
      <w:r w:rsidRPr="003D199F">
        <w:t xml:space="preserve">Demonstrate an understanding of the requirement and overall aims of the project. </w:t>
      </w:r>
    </w:p>
    <w:p w14:paraId="13B6B3D2" w14:textId="096D1CBC" w:rsidR="001768F1" w:rsidRPr="003D199F" w:rsidRDefault="001768F1" w:rsidP="00491004">
      <w:pPr>
        <w:pStyle w:val="NormalBulletalpha"/>
        <w:rPr>
          <w:b/>
          <w:bCs/>
        </w:rPr>
      </w:pPr>
      <w:r w:rsidRPr="003D199F">
        <w:rPr>
          <w:b/>
          <w:bCs/>
        </w:rPr>
        <w:t>Approach to customer's requirements</w:t>
      </w:r>
    </w:p>
    <w:p w14:paraId="631D4126" w14:textId="33CB741D" w:rsidR="001768F1" w:rsidRPr="003D199F" w:rsidRDefault="001768F1" w:rsidP="001E7C87">
      <w:pPr>
        <w:pStyle w:val="NormalBullet-"/>
      </w:pPr>
      <w:r w:rsidRPr="003D199F">
        <w:t>Provide an explanation of the proposed approach and any methodologies bidders will work to;</w:t>
      </w:r>
    </w:p>
    <w:p w14:paraId="5DBC036E" w14:textId="7A92DA9B" w:rsidR="001768F1" w:rsidRPr="003D199F" w:rsidRDefault="001768F1" w:rsidP="001E7C87">
      <w:pPr>
        <w:pStyle w:val="NormalBullet-"/>
      </w:pPr>
      <w:r w:rsidRPr="003D199F">
        <w:t>A project plan to show how outputs and deliverables will be produced within the required timescales, detailing the resources that will be allocated;</w:t>
      </w:r>
    </w:p>
    <w:p w14:paraId="10DC7C63" w14:textId="6ED9544E" w:rsidR="001768F1" w:rsidRPr="003D199F" w:rsidRDefault="001768F1" w:rsidP="001E7C87">
      <w:pPr>
        <w:pStyle w:val="NormalBullet-"/>
      </w:pPr>
      <w:r w:rsidRPr="003D199F">
        <w:t>An understanding of the risks, and explain how they would be mitigated to ensure delivery</w:t>
      </w:r>
    </w:p>
    <w:p w14:paraId="5673ADDA" w14:textId="47E56089" w:rsidR="001768F1" w:rsidRPr="003D199F" w:rsidRDefault="001768F1" w:rsidP="00D07E76">
      <w:pPr>
        <w:pStyle w:val="NormalBulletalpha"/>
        <w:rPr>
          <w:b/>
          <w:bCs/>
        </w:rPr>
      </w:pPr>
      <w:r w:rsidRPr="003D199F">
        <w:rPr>
          <w:b/>
          <w:bCs/>
        </w:rPr>
        <w:t>Proposed delivery team</w:t>
      </w:r>
    </w:p>
    <w:p w14:paraId="4AB840ED" w14:textId="14C1BBD7" w:rsidR="00491004" w:rsidRPr="003D199F" w:rsidRDefault="001768F1" w:rsidP="00491004">
      <w:pPr>
        <w:pStyle w:val="NormalBullet-"/>
      </w:pPr>
      <w:r w:rsidRPr="003D199F">
        <w:t xml:space="preserve">Key personnel including details of how their key skills, experience and qualifications align to the delivery of the project; </w:t>
      </w:r>
    </w:p>
    <w:p w14:paraId="199F97DF" w14:textId="674FE96A" w:rsidR="00491004" w:rsidRPr="003D199F" w:rsidRDefault="00491004" w:rsidP="00491004">
      <w:pPr>
        <w:pStyle w:val="NormalBullet-"/>
      </w:pPr>
      <w:r w:rsidRPr="003D199F">
        <w:t>Some relevant examples of previous work that bidders have carried out;</w:t>
      </w:r>
    </w:p>
    <w:p w14:paraId="3E9E2235" w14:textId="775C5327" w:rsidR="001768F1" w:rsidRPr="003D199F" w:rsidRDefault="001768F1" w:rsidP="001E7C87">
      <w:pPr>
        <w:pStyle w:val="NormalBullet-"/>
      </w:pPr>
      <w:r w:rsidRPr="003D199F">
        <w:t>Project roles and responsibilities</w:t>
      </w:r>
      <w:r w:rsidR="00491004" w:rsidRPr="003D199F">
        <w:t>; and</w:t>
      </w:r>
    </w:p>
    <w:p w14:paraId="5F3C04C1" w14:textId="2BEEF03C" w:rsidR="001768F1" w:rsidRPr="003D199F" w:rsidRDefault="001768F1" w:rsidP="00491004">
      <w:pPr>
        <w:pStyle w:val="NormalBullet-"/>
      </w:pPr>
      <w:r w:rsidRPr="003D199F">
        <w:t>Confirmation that you have carried out the necessary employment checks (e.g. right to work in the UK)</w:t>
      </w:r>
      <w:r w:rsidR="00491004" w:rsidRPr="003D199F">
        <w:t>.</w:t>
      </w:r>
    </w:p>
    <w:p w14:paraId="1C8F4186" w14:textId="6CC05A44" w:rsidR="001768F1" w:rsidRPr="003D199F" w:rsidRDefault="001768F1" w:rsidP="00FF14A3">
      <w:pPr>
        <w:pStyle w:val="NormalBulletalpha"/>
        <w:keepNext/>
        <w:rPr>
          <w:b/>
          <w:bCs/>
        </w:rPr>
      </w:pPr>
      <w:r w:rsidRPr="003D199F">
        <w:rPr>
          <w:b/>
          <w:bCs/>
        </w:rPr>
        <w:t>Pricing</w:t>
      </w:r>
    </w:p>
    <w:p w14:paraId="02E5F86A" w14:textId="038D9412" w:rsidR="001768F1" w:rsidRPr="003D199F" w:rsidRDefault="001768F1" w:rsidP="001768F1">
      <w:r w:rsidRPr="003D199F">
        <w:t>A fixed fee for the project inclusive of all expense. This should include</w:t>
      </w:r>
      <w:r w:rsidR="007062A6" w:rsidRPr="003D199F">
        <w:t xml:space="preserve"> </w:t>
      </w:r>
      <w:r w:rsidRPr="003D199F">
        <w:t>a breakdown of the personnel who will be involved with the project, along with associated charge rates and anticipated time inputs that can be reconciled to the fixed fee.</w:t>
      </w:r>
    </w:p>
    <w:p w14:paraId="4788C32C" w14:textId="1ADCEF14" w:rsidR="001768F1" w:rsidRPr="003D199F" w:rsidRDefault="001768F1" w:rsidP="007062A6">
      <w:pPr>
        <w:pStyle w:val="NormalBulletalpha"/>
        <w:rPr>
          <w:b/>
          <w:bCs/>
        </w:rPr>
      </w:pPr>
      <w:r w:rsidRPr="003D199F">
        <w:rPr>
          <w:b/>
          <w:bCs/>
        </w:rPr>
        <w:lastRenderedPageBreak/>
        <w:t>Conflicts of Interest</w:t>
      </w:r>
    </w:p>
    <w:p w14:paraId="3E30F142" w14:textId="734C38F8" w:rsidR="001768F1" w:rsidRDefault="001768F1" w:rsidP="001768F1">
      <w:r w:rsidRPr="003D199F">
        <w:t>Confirm whether you have any potential, actual or perceived conflicts of interest that may by relevant to this requirement and outline what safeguards would be put in place to mitigate the risk of actual or perceived conflicts arising during the delivery of these services.</w:t>
      </w:r>
    </w:p>
    <w:p w14:paraId="022EF7CA" w14:textId="0AF93EBE" w:rsidR="00C26E3E" w:rsidRPr="003D199F" w:rsidRDefault="00716CEC" w:rsidP="00716CEC">
      <w:pPr>
        <w:pStyle w:val="Heading3"/>
      </w:pPr>
      <w:bookmarkStart w:id="32" w:name="_Toc111551927"/>
      <w:r w:rsidRPr="003D199F">
        <w:t>3.2 Evaluation Criteria</w:t>
      </w:r>
      <w:bookmarkEnd w:id="32"/>
    </w:p>
    <w:p w14:paraId="6EEA6FCE" w14:textId="77777777" w:rsidR="005C29ED" w:rsidRPr="003D199F" w:rsidRDefault="005C29ED" w:rsidP="005C29ED">
      <w:r w:rsidRPr="003D199F">
        <w:t>Tenders will be assessed for compliance with procurement and contractual requirements which will include:</w:t>
      </w:r>
    </w:p>
    <w:p w14:paraId="7787021A" w14:textId="3DADD21B" w:rsidR="005C29ED" w:rsidRPr="00EA0494" w:rsidRDefault="005C29ED" w:rsidP="005C29ED">
      <w:pPr>
        <w:pStyle w:val="NormalBulletround"/>
      </w:pPr>
      <w:r w:rsidRPr="00EA0494">
        <w:t>Completeness of the tender information</w:t>
      </w:r>
    </w:p>
    <w:p w14:paraId="11689649" w14:textId="50622408" w:rsidR="005C29ED" w:rsidRPr="001E2367" w:rsidRDefault="005C29ED" w:rsidP="005C29ED">
      <w:pPr>
        <w:pStyle w:val="NormalBulletround"/>
      </w:pPr>
      <w:r w:rsidRPr="00EA0494">
        <w:t xml:space="preserve">Completed </w:t>
      </w:r>
      <w:r w:rsidRPr="001E2367">
        <w:t>Declaration Form of Tender and Disclaimer</w:t>
      </w:r>
    </w:p>
    <w:p w14:paraId="745A254A" w14:textId="600D3905" w:rsidR="005C29ED" w:rsidRPr="00EA0494" w:rsidRDefault="005C29ED" w:rsidP="005C29ED">
      <w:pPr>
        <w:pStyle w:val="NormalBulletround"/>
      </w:pPr>
      <w:r w:rsidRPr="00EA0494">
        <w:t>Tender submitted in accordance with the conditions and instructions for tendering</w:t>
      </w:r>
    </w:p>
    <w:p w14:paraId="41557F9E" w14:textId="76516727" w:rsidR="005C29ED" w:rsidRPr="00EA0494" w:rsidRDefault="005C29ED" w:rsidP="005C29ED">
      <w:pPr>
        <w:pStyle w:val="NormalBulletround"/>
      </w:pPr>
      <w:r w:rsidRPr="00EA0494">
        <w:t>Tender submitted by the closing date and time</w:t>
      </w:r>
    </w:p>
    <w:p w14:paraId="080DB46E" w14:textId="1F325002" w:rsidR="005C29ED" w:rsidRPr="00EA0494" w:rsidRDefault="005C29ED" w:rsidP="005C29ED">
      <w:pPr>
        <w:pStyle w:val="NormalBulletround"/>
      </w:pPr>
      <w:r w:rsidRPr="00EA0494">
        <w:t>Compliance with contractual arrangements</w:t>
      </w:r>
    </w:p>
    <w:p w14:paraId="7BE3F130" w14:textId="77E76613" w:rsidR="001F4F0C" w:rsidRPr="001E2367" w:rsidRDefault="00621979" w:rsidP="003A16E9">
      <w:pPr>
        <w:pStyle w:val="NormalBulletround"/>
        <w:rPr>
          <w:b/>
          <w:bCs/>
        </w:rPr>
      </w:pPr>
      <w:bookmarkStart w:id="33" w:name="_Hlk174010684"/>
      <w:r w:rsidRPr="00EA0494">
        <w:t>Submission</w:t>
      </w:r>
      <w:r w:rsidR="001F4F0C" w:rsidRPr="00EA0494">
        <w:t xml:space="preserve"> </w:t>
      </w:r>
      <w:r w:rsidRPr="00EA0494">
        <w:t xml:space="preserve">of </w:t>
      </w:r>
      <w:r w:rsidR="001F4F0C" w:rsidRPr="001E2367">
        <w:t xml:space="preserve">Cyber Essentials </w:t>
      </w:r>
    </w:p>
    <w:bookmarkEnd w:id="33"/>
    <w:p w14:paraId="092980E7" w14:textId="06595FAF" w:rsidR="005C29ED" w:rsidRPr="003D199F" w:rsidRDefault="005C29ED" w:rsidP="001F4F0C">
      <w:pPr>
        <w:pStyle w:val="NormalBulletround"/>
        <w:tabs>
          <w:tab w:val="clear" w:pos="1134"/>
        </w:tabs>
        <w:ind w:left="567" w:firstLine="0"/>
      </w:pPr>
      <w:r w:rsidRPr="003D199F">
        <w:t>Tenders that are not compliant may be disqualified from the process</w:t>
      </w:r>
      <w:r w:rsidR="00AC255A" w:rsidRPr="003D199F">
        <w:t xml:space="preserve">. </w:t>
      </w:r>
      <w:r w:rsidRPr="003D199F">
        <w:t xml:space="preserve">We reserve the right to clarify any issues regarding a Bidder’s compliance. It will be at ORR's sole discretion whether to include the relevant Bidder’s response in the next stage of the process. </w:t>
      </w:r>
    </w:p>
    <w:p w14:paraId="1842D25F" w14:textId="63442613" w:rsidR="005C29ED" w:rsidRPr="003D199F" w:rsidRDefault="005C29ED" w:rsidP="005C29ED">
      <w:r w:rsidRPr="003D199F">
        <w:t xml:space="preserve">The contract will be awarded to the Bidder(s) submitting the </w:t>
      </w:r>
      <w:r w:rsidRPr="003D199F">
        <w:rPr>
          <w:b/>
          <w:bCs/>
        </w:rPr>
        <w:t>‘most advantageous tender’</w:t>
      </w:r>
      <w:r w:rsidRPr="003D199F">
        <w:t xml:space="preserve">. Tenders will be evaluated according to weighted criteria as follows: </w:t>
      </w:r>
    </w:p>
    <w:p w14:paraId="03D0E6C2" w14:textId="7E2F6E36" w:rsidR="005C29ED" w:rsidRPr="003D199F" w:rsidRDefault="005C29ED" w:rsidP="00D61976">
      <w:pPr>
        <w:pStyle w:val="Heading4"/>
      </w:pPr>
      <w:r w:rsidRPr="003D199F">
        <w:t>Methodology (</w:t>
      </w:r>
      <w:r w:rsidR="00531395">
        <w:t>3</w:t>
      </w:r>
      <w:r w:rsidR="00763DEC" w:rsidRPr="003D199F">
        <w:t>0</w:t>
      </w:r>
      <w:r w:rsidRPr="003D199F">
        <w:t>%)</w:t>
      </w:r>
    </w:p>
    <w:p w14:paraId="00314D37" w14:textId="609654F6" w:rsidR="005C29ED" w:rsidRPr="003D199F" w:rsidRDefault="005C29ED" w:rsidP="005C29ED">
      <w:r w:rsidRPr="003D199F">
        <w:t>The proposal should set out the methodology by which the project requirement will be initiated, delivered and concluded. In particular, it must:</w:t>
      </w:r>
    </w:p>
    <w:p w14:paraId="7E6BD4F3" w14:textId="46E34B33" w:rsidR="005C29ED" w:rsidRPr="003D199F" w:rsidRDefault="005C29ED" w:rsidP="00B726DA">
      <w:pPr>
        <w:pStyle w:val="NormalBulletalpha"/>
        <w:numPr>
          <w:ilvl w:val="1"/>
          <w:numId w:val="15"/>
        </w:numPr>
      </w:pPr>
      <w:r w:rsidRPr="003D199F">
        <w:t>Explain the methodology and delivery mechanisms to ensure that the requirements of this specification are met in terms of quality;</w:t>
      </w:r>
    </w:p>
    <w:p w14:paraId="09D5614C" w14:textId="6DA75135" w:rsidR="005C29ED" w:rsidRPr="003D199F" w:rsidRDefault="005C29ED" w:rsidP="00B726DA">
      <w:pPr>
        <w:pStyle w:val="NormalBulletalpha"/>
        <w:numPr>
          <w:ilvl w:val="1"/>
          <w:numId w:val="15"/>
        </w:numPr>
      </w:pPr>
      <w:r w:rsidRPr="003D199F">
        <w:t>Explain how your organisation will work in partnership with ORR’s project manager to ensure that the requirement is met</w:t>
      </w:r>
    </w:p>
    <w:p w14:paraId="278014BC" w14:textId="01DD342F" w:rsidR="005C29ED" w:rsidRPr="003D199F" w:rsidRDefault="005C29ED" w:rsidP="00411315">
      <w:pPr>
        <w:pStyle w:val="NormalBulletalpha"/>
        <w:numPr>
          <w:ilvl w:val="1"/>
          <w:numId w:val="15"/>
        </w:numPr>
      </w:pPr>
      <w:r w:rsidRPr="003D199F">
        <w:lastRenderedPageBreak/>
        <w:t>Explain how your organisation will engage with external stakeholders</w:t>
      </w:r>
      <w:r w:rsidR="00765F30">
        <w:t xml:space="preserve"> and regu</w:t>
      </w:r>
      <w:r w:rsidR="004E3BAF">
        <w:t>l</w:t>
      </w:r>
      <w:r w:rsidR="00765F30">
        <w:t>ators</w:t>
      </w:r>
      <w:r w:rsidRPr="003D199F">
        <w:t>;</w:t>
      </w:r>
    </w:p>
    <w:p w14:paraId="09DB644F" w14:textId="7CA40A38" w:rsidR="005C29ED" w:rsidRPr="003D199F" w:rsidRDefault="005C29ED" w:rsidP="00350594">
      <w:pPr>
        <w:pStyle w:val="Heading4"/>
      </w:pPr>
      <w:r w:rsidRPr="003D199F">
        <w:t>Delivery (</w:t>
      </w:r>
      <w:r w:rsidR="00531395">
        <w:t>2</w:t>
      </w:r>
      <w:r w:rsidR="00763DEC" w:rsidRPr="003D199F">
        <w:t>0</w:t>
      </w:r>
      <w:r w:rsidRPr="003D199F">
        <w:t>%)</w:t>
      </w:r>
    </w:p>
    <w:p w14:paraId="40A3EF8F" w14:textId="7226664C" w:rsidR="005C29ED" w:rsidRPr="003D199F" w:rsidRDefault="005C29ED" w:rsidP="005C29ED">
      <w:r w:rsidRPr="003D199F">
        <w:t>The proposal should set out how and when the project requirement will be delivered</w:t>
      </w:r>
      <w:r w:rsidR="00AC255A" w:rsidRPr="003D199F">
        <w:t xml:space="preserve">. </w:t>
      </w:r>
      <w:r w:rsidRPr="003D199F">
        <w:t>In particular, it must:</w:t>
      </w:r>
    </w:p>
    <w:p w14:paraId="6C2A1803" w14:textId="4B0ADE80" w:rsidR="005C29ED" w:rsidRPr="003D199F" w:rsidRDefault="005C29ED" w:rsidP="00B726DA">
      <w:pPr>
        <w:pStyle w:val="NormalBulletalpha"/>
        <w:numPr>
          <w:ilvl w:val="1"/>
          <w:numId w:val="16"/>
        </w:numPr>
      </w:pPr>
      <w:r w:rsidRPr="003D199F">
        <w:t xml:space="preserve">Explain how this work will be delivered to timescale and how milestones will be met, detailing the resources that will be allocated to each stage; </w:t>
      </w:r>
    </w:p>
    <w:p w14:paraId="25E82DD7" w14:textId="7B06BE38" w:rsidR="005C29ED" w:rsidRPr="003D199F" w:rsidRDefault="005C29ED" w:rsidP="008667A9">
      <w:pPr>
        <w:pStyle w:val="NormalBulletalpha"/>
      </w:pPr>
      <w:r w:rsidRPr="003D199F">
        <w:t xml:space="preserve">Demonstrate an understanding of the risks, and project dependencies and explain how they would be mitigated to ensure project delivery; </w:t>
      </w:r>
    </w:p>
    <w:p w14:paraId="57336998" w14:textId="4CBC75DC" w:rsidR="005C29ED" w:rsidRPr="003D199F" w:rsidRDefault="005C29ED" w:rsidP="008667A9">
      <w:pPr>
        <w:pStyle w:val="NormalBulletalpha"/>
      </w:pPr>
      <w:r w:rsidRPr="003D199F">
        <w:t>Explain the resources that will be allocated to delivering the required outcomes/output, and what other resources can be called upon if required.</w:t>
      </w:r>
    </w:p>
    <w:p w14:paraId="6A66D9E9" w14:textId="462F7602" w:rsidR="005C29ED" w:rsidRPr="003D199F" w:rsidRDefault="005C29ED" w:rsidP="00350594">
      <w:pPr>
        <w:pStyle w:val="Heading4"/>
      </w:pPr>
      <w:r w:rsidRPr="003D199F">
        <w:t>Experience (</w:t>
      </w:r>
      <w:r w:rsidR="000A0167">
        <w:t>3</w:t>
      </w:r>
      <w:r w:rsidR="00763DEC" w:rsidRPr="003D199F">
        <w:t>0</w:t>
      </w:r>
      <w:r w:rsidRPr="003D199F">
        <w:t>%)</w:t>
      </w:r>
    </w:p>
    <w:p w14:paraId="06C2BCDB" w14:textId="25CF0312" w:rsidR="005C29ED" w:rsidRPr="003D199F" w:rsidRDefault="005C29ED" w:rsidP="005C29ED">
      <w:r w:rsidRPr="003D199F">
        <w:t>The proposal should set out any experience relevant to the project requirement</w:t>
      </w:r>
      <w:r w:rsidR="00AC255A" w:rsidRPr="003D199F">
        <w:t xml:space="preserve">. </w:t>
      </w:r>
      <w:r w:rsidRPr="003D199F">
        <w:t>In particular, it must:</w:t>
      </w:r>
    </w:p>
    <w:p w14:paraId="77D3BEAC" w14:textId="52FFA8B9" w:rsidR="005C29ED" w:rsidRPr="003D199F" w:rsidRDefault="005C29ED" w:rsidP="00B726DA">
      <w:pPr>
        <w:pStyle w:val="NormalBulletalpha"/>
      </w:pPr>
      <w:r w:rsidRPr="003D199F">
        <w:t xml:space="preserve">Provide CVs of the consultants who will be delivering the project; </w:t>
      </w:r>
    </w:p>
    <w:p w14:paraId="1146D7A1" w14:textId="34F8B340" w:rsidR="005C29ED" w:rsidRPr="003D199F" w:rsidRDefault="005C29ED" w:rsidP="00B726DA">
      <w:pPr>
        <w:pStyle w:val="NormalBulletalpha"/>
      </w:pPr>
      <w:r w:rsidRPr="003D199F">
        <w:t>Highlight the organisation’s relevant experience for this project, submitting examples of similar projects.</w:t>
      </w:r>
    </w:p>
    <w:p w14:paraId="370476F8" w14:textId="19398A6E" w:rsidR="005C29ED" w:rsidRPr="003D199F" w:rsidRDefault="005C29ED" w:rsidP="00FF14A3">
      <w:pPr>
        <w:pStyle w:val="Heading4"/>
      </w:pPr>
      <w:r w:rsidRPr="003D199F">
        <w:t>Cost / Value for money (</w:t>
      </w:r>
      <w:r w:rsidR="001F79F5" w:rsidRPr="003D199F">
        <w:t>2</w:t>
      </w:r>
      <w:r w:rsidR="00763DEC" w:rsidRPr="003D199F">
        <w:t>0</w:t>
      </w:r>
      <w:r w:rsidRPr="003D199F">
        <w:t>%)</w:t>
      </w:r>
    </w:p>
    <w:p w14:paraId="717E7AA1" w14:textId="11B582F0" w:rsidR="00716CEC" w:rsidRPr="003D199F" w:rsidRDefault="005C29ED" w:rsidP="00FF14A3">
      <w:pPr>
        <w:keepNext/>
        <w:keepLines/>
      </w:pPr>
      <w:r w:rsidRPr="003D199F">
        <w:t xml:space="preserve">A </w:t>
      </w:r>
      <w:r w:rsidRPr="003D199F">
        <w:rPr>
          <w:b/>
          <w:bCs/>
        </w:rPr>
        <w:t>fixed fee</w:t>
      </w:r>
      <w:r w:rsidRPr="003D199F">
        <w:t xml:space="preserve"> for delivery of the project requirement (inclusive of all expenses), including a </w:t>
      </w:r>
      <w:r w:rsidRPr="003D199F">
        <w:rPr>
          <w:b/>
          <w:bCs/>
        </w:rPr>
        <w:t>full price breakdown for each stage of the project</w:t>
      </w:r>
      <w:r w:rsidRPr="003D199F">
        <w:t xml:space="preserve"> and details of the </w:t>
      </w:r>
      <w:r w:rsidRPr="003D199F">
        <w:rPr>
          <w:b/>
          <w:bCs/>
        </w:rPr>
        <w:t>day rates</w:t>
      </w:r>
      <w:r w:rsidRPr="003D199F">
        <w:t xml:space="preserve"> that will apply for the lifetime of this project</w:t>
      </w:r>
      <w:r w:rsidR="00AC255A" w:rsidRPr="003D199F">
        <w:t xml:space="preserve">. </w:t>
      </w:r>
    </w:p>
    <w:tbl>
      <w:tblPr>
        <w:tblW w:w="9636"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right w:w="113" w:type="dxa"/>
        </w:tblCellMar>
        <w:tblLook w:val="0000" w:firstRow="0" w:lastRow="0" w:firstColumn="0" w:lastColumn="0" w:noHBand="0" w:noVBand="0"/>
        <w:tblCaption w:val="BrochetTable"/>
        <w:tblDescription w:val="FullWidth|Even|Alternative|NoTotal"/>
      </w:tblPr>
      <w:tblGrid>
        <w:gridCol w:w="1606"/>
        <w:gridCol w:w="1606"/>
        <w:gridCol w:w="1606"/>
        <w:gridCol w:w="1606"/>
        <w:gridCol w:w="1606"/>
        <w:gridCol w:w="1606"/>
      </w:tblGrid>
      <w:tr w:rsidR="0020297B" w:rsidRPr="003D199F" w14:paraId="04F6334E" w14:textId="77777777" w:rsidTr="0020297B">
        <w:trPr>
          <w:cantSplit/>
          <w:tblHeader/>
        </w:trPr>
        <w:tc>
          <w:tcPr>
            <w:tcW w:w="1606" w:type="dxa"/>
            <w:tcBorders>
              <w:bottom w:val="single" w:sz="12" w:space="0" w:color="FFFFFF"/>
            </w:tcBorders>
            <w:shd w:val="solid" w:color="253268" w:themeColor="dark2" w:fill="253268" w:themeFill="dark2"/>
          </w:tcPr>
          <w:p w14:paraId="12B15454" w14:textId="77777777" w:rsidR="0020297B" w:rsidRPr="003D199F" w:rsidRDefault="0020297B" w:rsidP="00FF14A3">
            <w:pPr>
              <w:pStyle w:val="TblHeading"/>
              <w:keepNext/>
              <w:keepLines/>
            </w:pPr>
            <w:r w:rsidRPr="003D199F">
              <w:t>Name of consultant</w:t>
            </w:r>
          </w:p>
        </w:tc>
        <w:tc>
          <w:tcPr>
            <w:tcW w:w="1606" w:type="dxa"/>
            <w:tcBorders>
              <w:bottom w:val="single" w:sz="12" w:space="0" w:color="FFFFFF"/>
            </w:tcBorders>
            <w:shd w:val="solid" w:color="253268" w:themeColor="dark2" w:fill="253268" w:themeFill="dark2"/>
          </w:tcPr>
          <w:p w14:paraId="37FCE37F" w14:textId="77777777" w:rsidR="0020297B" w:rsidRPr="003D199F" w:rsidRDefault="0020297B" w:rsidP="00FF14A3">
            <w:pPr>
              <w:pStyle w:val="TblHeading"/>
              <w:keepNext/>
              <w:keepLines/>
            </w:pPr>
            <w:r w:rsidRPr="003D199F">
              <w:t>Grade</w:t>
            </w:r>
          </w:p>
        </w:tc>
        <w:tc>
          <w:tcPr>
            <w:tcW w:w="1606" w:type="dxa"/>
            <w:tcBorders>
              <w:bottom w:val="single" w:sz="12" w:space="0" w:color="FFFFFF"/>
            </w:tcBorders>
            <w:shd w:val="solid" w:color="253268" w:themeColor="dark2" w:fill="253268" w:themeFill="dark2"/>
          </w:tcPr>
          <w:p w14:paraId="7BB055D3" w14:textId="77777777" w:rsidR="0020297B" w:rsidRPr="003D199F" w:rsidRDefault="0020297B" w:rsidP="00FF14A3">
            <w:pPr>
              <w:pStyle w:val="TblHeading"/>
              <w:keepNext/>
              <w:keepLines/>
            </w:pPr>
            <w:r w:rsidRPr="003D199F">
              <w:t xml:space="preserve">Role </w:t>
            </w:r>
          </w:p>
        </w:tc>
        <w:tc>
          <w:tcPr>
            <w:tcW w:w="1606" w:type="dxa"/>
            <w:tcBorders>
              <w:bottom w:val="single" w:sz="12" w:space="0" w:color="FFFFFF"/>
            </w:tcBorders>
            <w:shd w:val="solid" w:color="253268" w:themeColor="dark2" w:fill="253268" w:themeFill="dark2"/>
          </w:tcPr>
          <w:p w14:paraId="36D985ED" w14:textId="77777777" w:rsidR="0020297B" w:rsidRPr="003D199F" w:rsidRDefault="0020297B" w:rsidP="00FF14A3">
            <w:pPr>
              <w:pStyle w:val="TblHeading"/>
              <w:keepNext/>
              <w:keepLines/>
            </w:pPr>
            <w:r w:rsidRPr="003D199F">
              <w:t>Day rate</w:t>
            </w:r>
          </w:p>
        </w:tc>
        <w:tc>
          <w:tcPr>
            <w:tcW w:w="1606" w:type="dxa"/>
            <w:tcBorders>
              <w:bottom w:val="single" w:sz="12" w:space="0" w:color="FFFFFF"/>
            </w:tcBorders>
            <w:shd w:val="solid" w:color="253268" w:themeColor="dark2" w:fill="253268" w:themeFill="dark2"/>
          </w:tcPr>
          <w:p w14:paraId="51F39BC1" w14:textId="77777777" w:rsidR="0020297B" w:rsidRPr="003D199F" w:rsidRDefault="0020297B" w:rsidP="00FF14A3">
            <w:pPr>
              <w:pStyle w:val="TblHeading"/>
              <w:keepNext/>
              <w:keepLines/>
            </w:pPr>
            <w:r w:rsidRPr="003D199F">
              <w:t>Number of days</w:t>
            </w:r>
          </w:p>
        </w:tc>
        <w:tc>
          <w:tcPr>
            <w:tcW w:w="1606" w:type="dxa"/>
            <w:tcBorders>
              <w:bottom w:val="single" w:sz="12" w:space="0" w:color="FFFFFF"/>
            </w:tcBorders>
            <w:shd w:val="solid" w:color="253268" w:themeColor="dark2" w:fill="253268" w:themeFill="dark2"/>
          </w:tcPr>
          <w:p w14:paraId="09AB1FF8" w14:textId="77777777" w:rsidR="0020297B" w:rsidRPr="003D199F" w:rsidRDefault="0020297B" w:rsidP="00FF14A3">
            <w:pPr>
              <w:pStyle w:val="TblHeading"/>
              <w:keepNext/>
              <w:keepLines/>
            </w:pPr>
            <w:r w:rsidRPr="003D199F">
              <w:t>Total cost (ex VAT)</w:t>
            </w:r>
          </w:p>
        </w:tc>
      </w:tr>
      <w:tr w:rsidR="0020297B" w:rsidRPr="003D199F" w14:paraId="351D9D87" w14:textId="77777777" w:rsidTr="0020297B">
        <w:trPr>
          <w:cantSplit/>
        </w:trPr>
        <w:tc>
          <w:tcPr>
            <w:tcW w:w="1606" w:type="dxa"/>
            <w:tcBorders>
              <w:bottom w:val="single" w:sz="12" w:space="0" w:color="FFFFFF"/>
            </w:tcBorders>
            <w:shd w:val="solid" w:color="FFFFFF" w:fill="FFFFFF"/>
          </w:tcPr>
          <w:p w14:paraId="741AF260" w14:textId="77777777" w:rsidR="0020297B" w:rsidRPr="003D199F" w:rsidRDefault="0020297B" w:rsidP="00FF14A3">
            <w:pPr>
              <w:pStyle w:val="TblText"/>
              <w:keepNext/>
              <w:keepLines/>
            </w:pPr>
          </w:p>
        </w:tc>
        <w:tc>
          <w:tcPr>
            <w:tcW w:w="1606" w:type="dxa"/>
            <w:tcBorders>
              <w:bottom w:val="single" w:sz="12" w:space="0" w:color="FFFFFF"/>
            </w:tcBorders>
            <w:shd w:val="solid" w:color="FFFFFF" w:fill="FFFFFF"/>
          </w:tcPr>
          <w:p w14:paraId="48D1522C" w14:textId="77777777" w:rsidR="0020297B" w:rsidRPr="003D199F" w:rsidRDefault="0020297B" w:rsidP="00FF14A3">
            <w:pPr>
              <w:pStyle w:val="TblText"/>
              <w:keepNext/>
              <w:keepLines/>
            </w:pPr>
          </w:p>
        </w:tc>
        <w:tc>
          <w:tcPr>
            <w:tcW w:w="1606" w:type="dxa"/>
            <w:tcBorders>
              <w:bottom w:val="single" w:sz="12" w:space="0" w:color="FFFFFF"/>
            </w:tcBorders>
            <w:shd w:val="solid" w:color="FFFFFF" w:fill="FFFFFF"/>
          </w:tcPr>
          <w:p w14:paraId="214A4138" w14:textId="77777777" w:rsidR="0020297B" w:rsidRPr="003D199F" w:rsidRDefault="0020297B" w:rsidP="00FF14A3">
            <w:pPr>
              <w:pStyle w:val="TblText"/>
              <w:keepNext/>
              <w:keepLines/>
            </w:pPr>
          </w:p>
        </w:tc>
        <w:tc>
          <w:tcPr>
            <w:tcW w:w="1606" w:type="dxa"/>
            <w:tcBorders>
              <w:bottom w:val="single" w:sz="12" w:space="0" w:color="FFFFFF"/>
            </w:tcBorders>
            <w:shd w:val="solid" w:color="FFFFFF" w:fill="FFFFFF"/>
          </w:tcPr>
          <w:p w14:paraId="38B4D603" w14:textId="77777777" w:rsidR="0020297B" w:rsidRPr="003D199F" w:rsidRDefault="0020297B" w:rsidP="00FF14A3">
            <w:pPr>
              <w:pStyle w:val="TblText"/>
              <w:keepNext/>
              <w:keepLines/>
            </w:pPr>
          </w:p>
        </w:tc>
        <w:tc>
          <w:tcPr>
            <w:tcW w:w="1606" w:type="dxa"/>
            <w:tcBorders>
              <w:bottom w:val="single" w:sz="12" w:space="0" w:color="FFFFFF"/>
            </w:tcBorders>
            <w:shd w:val="solid" w:color="FFFFFF" w:fill="FFFFFF"/>
          </w:tcPr>
          <w:p w14:paraId="0C8314AC" w14:textId="77777777" w:rsidR="0020297B" w:rsidRPr="003D199F" w:rsidRDefault="0020297B" w:rsidP="00FF14A3">
            <w:pPr>
              <w:pStyle w:val="TblText"/>
              <w:keepNext/>
              <w:keepLines/>
            </w:pPr>
          </w:p>
        </w:tc>
        <w:tc>
          <w:tcPr>
            <w:tcW w:w="1606" w:type="dxa"/>
            <w:tcBorders>
              <w:bottom w:val="single" w:sz="12" w:space="0" w:color="FFFFFF"/>
            </w:tcBorders>
            <w:shd w:val="solid" w:color="FFFFFF" w:fill="FFFFFF"/>
          </w:tcPr>
          <w:p w14:paraId="1BBCCD53" w14:textId="77777777" w:rsidR="0020297B" w:rsidRPr="003D199F" w:rsidRDefault="0020297B" w:rsidP="00FF14A3">
            <w:pPr>
              <w:pStyle w:val="TblText"/>
              <w:keepNext/>
              <w:keepLines/>
            </w:pPr>
          </w:p>
        </w:tc>
      </w:tr>
      <w:tr w:rsidR="0020297B" w:rsidRPr="003D199F" w14:paraId="76EFD0B0" w14:textId="77777777" w:rsidTr="0020297B">
        <w:trPr>
          <w:cantSplit/>
        </w:trPr>
        <w:tc>
          <w:tcPr>
            <w:tcW w:w="1606" w:type="dxa"/>
            <w:tcBorders>
              <w:bottom w:val="single" w:sz="12" w:space="0" w:color="FFFFFF"/>
            </w:tcBorders>
            <w:shd w:val="solid" w:color="E4E7F5" w:themeColor="text2" w:themeTint="19" w:fill="E4E7F5" w:themeFill="text2" w:themeFillTint="19"/>
          </w:tcPr>
          <w:p w14:paraId="4C311C9C" w14:textId="77777777" w:rsidR="0020297B" w:rsidRPr="003D199F" w:rsidRDefault="0020297B" w:rsidP="00FF14A3">
            <w:pPr>
              <w:pStyle w:val="TblText"/>
              <w:keepNext/>
              <w:keepLines/>
            </w:pPr>
          </w:p>
        </w:tc>
        <w:tc>
          <w:tcPr>
            <w:tcW w:w="1606" w:type="dxa"/>
            <w:tcBorders>
              <w:bottom w:val="single" w:sz="12" w:space="0" w:color="FFFFFF"/>
            </w:tcBorders>
            <w:shd w:val="solid" w:color="E4E7F5" w:themeColor="text2" w:themeTint="19" w:fill="E4E7F5" w:themeFill="text2" w:themeFillTint="19"/>
          </w:tcPr>
          <w:p w14:paraId="13235AFA" w14:textId="77777777" w:rsidR="0020297B" w:rsidRPr="003D199F" w:rsidRDefault="0020297B" w:rsidP="00FF14A3">
            <w:pPr>
              <w:pStyle w:val="TblText"/>
              <w:keepNext/>
              <w:keepLines/>
            </w:pPr>
          </w:p>
        </w:tc>
        <w:tc>
          <w:tcPr>
            <w:tcW w:w="1606" w:type="dxa"/>
            <w:tcBorders>
              <w:bottom w:val="single" w:sz="12" w:space="0" w:color="FFFFFF"/>
            </w:tcBorders>
            <w:shd w:val="solid" w:color="E4E7F5" w:themeColor="text2" w:themeTint="19" w:fill="E4E7F5" w:themeFill="text2" w:themeFillTint="19"/>
          </w:tcPr>
          <w:p w14:paraId="4E65D52D" w14:textId="77777777" w:rsidR="0020297B" w:rsidRPr="003D199F" w:rsidRDefault="0020297B" w:rsidP="00FF14A3">
            <w:pPr>
              <w:pStyle w:val="TblText"/>
              <w:keepNext/>
              <w:keepLines/>
            </w:pPr>
          </w:p>
        </w:tc>
        <w:tc>
          <w:tcPr>
            <w:tcW w:w="1606" w:type="dxa"/>
            <w:tcBorders>
              <w:bottom w:val="single" w:sz="12" w:space="0" w:color="FFFFFF"/>
            </w:tcBorders>
            <w:shd w:val="solid" w:color="E4E7F5" w:themeColor="text2" w:themeTint="19" w:fill="E4E7F5" w:themeFill="text2" w:themeFillTint="19"/>
          </w:tcPr>
          <w:p w14:paraId="33B00D91" w14:textId="77777777" w:rsidR="0020297B" w:rsidRPr="003D199F" w:rsidRDefault="0020297B" w:rsidP="00FF14A3">
            <w:pPr>
              <w:pStyle w:val="TblText"/>
              <w:keepNext/>
              <w:keepLines/>
            </w:pPr>
          </w:p>
        </w:tc>
        <w:tc>
          <w:tcPr>
            <w:tcW w:w="1606" w:type="dxa"/>
            <w:tcBorders>
              <w:bottom w:val="single" w:sz="12" w:space="0" w:color="FFFFFF"/>
            </w:tcBorders>
            <w:shd w:val="solid" w:color="E4E7F5" w:themeColor="text2" w:themeTint="19" w:fill="E4E7F5" w:themeFill="text2" w:themeFillTint="19"/>
          </w:tcPr>
          <w:p w14:paraId="040554F0" w14:textId="77777777" w:rsidR="0020297B" w:rsidRPr="003D199F" w:rsidRDefault="0020297B" w:rsidP="00FF14A3">
            <w:pPr>
              <w:pStyle w:val="TblText"/>
              <w:keepNext/>
              <w:keepLines/>
            </w:pPr>
          </w:p>
        </w:tc>
        <w:tc>
          <w:tcPr>
            <w:tcW w:w="1606" w:type="dxa"/>
            <w:tcBorders>
              <w:bottom w:val="single" w:sz="12" w:space="0" w:color="FFFFFF"/>
            </w:tcBorders>
            <w:shd w:val="solid" w:color="E4E7F5" w:themeColor="text2" w:themeTint="19" w:fill="E4E7F5" w:themeFill="text2" w:themeFillTint="19"/>
          </w:tcPr>
          <w:p w14:paraId="5B9825D2" w14:textId="77777777" w:rsidR="0020297B" w:rsidRPr="003D199F" w:rsidRDefault="0020297B" w:rsidP="00FF14A3">
            <w:pPr>
              <w:pStyle w:val="TblText"/>
              <w:keepNext/>
              <w:keepLines/>
            </w:pPr>
          </w:p>
        </w:tc>
      </w:tr>
      <w:tr w:rsidR="0020297B" w:rsidRPr="003D199F" w14:paraId="53668481" w14:textId="77777777" w:rsidTr="0020297B">
        <w:trPr>
          <w:cantSplit/>
        </w:trPr>
        <w:tc>
          <w:tcPr>
            <w:tcW w:w="1606" w:type="dxa"/>
            <w:shd w:val="solid" w:color="FFFFFF" w:fill="FFFFFF"/>
          </w:tcPr>
          <w:p w14:paraId="6925E340" w14:textId="77777777" w:rsidR="0020297B" w:rsidRPr="003D199F" w:rsidRDefault="0020297B" w:rsidP="00FF14A3">
            <w:pPr>
              <w:pStyle w:val="TblText"/>
              <w:keepNext/>
              <w:keepLines/>
            </w:pPr>
          </w:p>
        </w:tc>
        <w:tc>
          <w:tcPr>
            <w:tcW w:w="1606" w:type="dxa"/>
            <w:shd w:val="solid" w:color="FFFFFF" w:fill="FFFFFF"/>
          </w:tcPr>
          <w:p w14:paraId="6D8BFD11" w14:textId="77777777" w:rsidR="0020297B" w:rsidRPr="003D199F" w:rsidRDefault="0020297B" w:rsidP="00FF14A3">
            <w:pPr>
              <w:pStyle w:val="TblText"/>
              <w:keepNext/>
              <w:keepLines/>
            </w:pPr>
          </w:p>
        </w:tc>
        <w:tc>
          <w:tcPr>
            <w:tcW w:w="1606" w:type="dxa"/>
            <w:shd w:val="solid" w:color="FFFFFF" w:fill="FFFFFF"/>
          </w:tcPr>
          <w:p w14:paraId="2E7867D1" w14:textId="77777777" w:rsidR="0020297B" w:rsidRPr="003D199F" w:rsidRDefault="0020297B" w:rsidP="00FF14A3">
            <w:pPr>
              <w:pStyle w:val="TblText"/>
              <w:keepNext/>
              <w:keepLines/>
            </w:pPr>
          </w:p>
        </w:tc>
        <w:tc>
          <w:tcPr>
            <w:tcW w:w="1606" w:type="dxa"/>
            <w:shd w:val="solid" w:color="FFFFFF" w:fill="FFFFFF"/>
          </w:tcPr>
          <w:p w14:paraId="5C339377" w14:textId="77777777" w:rsidR="0020297B" w:rsidRPr="003D199F" w:rsidRDefault="0020297B" w:rsidP="00FF14A3">
            <w:pPr>
              <w:pStyle w:val="TblText"/>
              <w:keepNext/>
              <w:keepLines/>
            </w:pPr>
          </w:p>
        </w:tc>
        <w:tc>
          <w:tcPr>
            <w:tcW w:w="1606" w:type="dxa"/>
            <w:shd w:val="solid" w:color="FFFFFF" w:fill="FFFFFF"/>
          </w:tcPr>
          <w:p w14:paraId="41AD3491" w14:textId="77777777" w:rsidR="0020297B" w:rsidRPr="003D199F" w:rsidRDefault="0020297B" w:rsidP="00FF14A3">
            <w:pPr>
              <w:pStyle w:val="TblText"/>
              <w:keepNext/>
              <w:keepLines/>
            </w:pPr>
          </w:p>
        </w:tc>
        <w:tc>
          <w:tcPr>
            <w:tcW w:w="1606" w:type="dxa"/>
            <w:shd w:val="solid" w:color="FFFFFF" w:fill="FFFFFF"/>
          </w:tcPr>
          <w:p w14:paraId="2CC66D94" w14:textId="77777777" w:rsidR="0020297B" w:rsidRPr="003D199F" w:rsidRDefault="0020297B" w:rsidP="00FF14A3">
            <w:pPr>
              <w:pStyle w:val="TblText"/>
              <w:keepNext/>
              <w:keepLines/>
            </w:pPr>
          </w:p>
        </w:tc>
      </w:tr>
    </w:tbl>
    <w:p w14:paraId="7B8D5003" w14:textId="2274F1EA" w:rsidR="00716CEC" w:rsidRPr="003D199F" w:rsidRDefault="00C15B7B" w:rsidP="003F3CB0">
      <w:r w:rsidRPr="003D199F">
        <w:t>Please note that consultancy grades should align with the following definitions:</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634"/>
        <w:gridCol w:w="8004"/>
      </w:tblGrid>
      <w:tr w:rsidR="003E3E52" w:rsidRPr="003D199F" w14:paraId="7878AB44" w14:textId="77777777" w:rsidTr="003E3E52">
        <w:trPr>
          <w:trHeight w:val="223"/>
          <w:tblHeader/>
        </w:trPr>
        <w:tc>
          <w:tcPr>
            <w:tcW w:w="1380" w:type="dxa"/>
            <w:tcBorders>
              <w:bottom w:val="single" w:sz="12" w:space="0" w:color="FFFFFF"/>
            </w:tcBorders>
            <w:shd w:val="solid" w:color="253268" w:themeColor="dark2" w:fill="253268" w:themeFill="dark2"/>
            <w:vAlign w:val="center"/>
          </w:tcPr>
          <w:p w14:paraId="21D8E330" w14:textId="77777777" w:rsidR="00C15B7B" w:rsidRPr="003D199F" w:rsidRDefault="00C15B7B" w:rsidP="003E3E52">
            <w:pPr>
              <w:pStyle w:val="TblHeading"/>
            </w:pPr>
            <w:r w:rsidRPr="003D199F">
              <w:lastRenderedPageBreak/>
              <w:t>Grade</w:t>
            </w:r>
          </w:p>
        </w:tc>
        <w:tc>
          <w:tcPr>
            <w:tcW w:w="6758" w:type="dxa"/>
            <w:tcBorders>
              <w:bottom w:val="single" w:sz="12" w:space="0" w:color="FFFFFF"/>
            </w:tcBorders>
            <w:shd w:val="solid" w:color="253268" w:themeColor="dark2" w:fill="253268" w:themeFill="dark2"/>
            <w:vAlign w:val="bottom"/>
          </w:tcPr>
          <w:p w14:paraId="1890722B" w14:textId="77777777" w:rsidR="00C15B7B" w:rsidRPr="003D199F" w:rsidRDefault="00C15B7B" w:rsidP="003E3E52">
            <w:pPr>
              <w:pStyle w:val="TblHeading"/>
            </w:pPr>
            <w:r w:rsidRPr="003D199F">
              <w:t>Requirement</w:t>
            </w:r>
          </w:p>
        </w:tc>
      </w:tr>
      <w:tr w:rsidR="003E3E52" w:rsidRPr="003D199F" w14:paraId="560A1B12" w14:textId="77777777" w:rsidTr="00AB3000">
        <w:trPr>
          <w:trHeight w:hRule="exact" w:val="990"/>
        </w:trPr>
        <w:tc>
          <w:tcPr>
            <w:tcW w:w="1380" w:type="dxa"/>
            <w:tcBorders>
              <w:bottom w:val="single" w:sz="12" w:space="0" w:color="FFFFFF"/>
            </w:tcBorders>
            <w:shd w:val="solid" w:color="FFFFFF" w:fill="FFFFFF"/>
          </w:tcPr>
          <w:p w14:paraId="484F5321" w14:textId="77777777" w:rsidR="00C15B7B" w:rsidRPr="003D199F" w:rsidRDefault="00C15B7B" w:rsidP="003E3E52">
            <w:pPr>
              <w:pStyle w:val="TblText"/>
            </w:pPr>
            <w:r w:rsidRPr="003D199F">
              <w:t>Junior consultant</w:t>
            </w:r>
          </w:p>
        </w:tc>
        <w:tc>
          <w:tcPr>
            <w:tcW w:w="6758" w:type="dxa"/>
            <w:tcBorders>
              <w:bottom w:val="single" w:sz="12" w:space="0" w:color="FFFFFF"/>
            </w:tcBorders>
            <w:shd w:val="solid" w:color="FFFFFF" w:fill="FFFFFF"/>
          </w:tcPr>
          <w:p w14:paraId="2634E38B" w14:textId="77777777" w:rsidR="00C15B7B" w:rsidRPr="003D199F" w:rsidRDefault="00C15B7B" w:rsidP="003E3E52">
            <w:pPr>
              <w:pStyle w:val="TblText"/>
            </w:pPr>
            <w:r w:rsidRPr="003D199F">
              <w:t>Demonstrable experience in a wide range of projects in their specialist field. Evidence of client facing experience and support services to wider consultancy projects.</w:t>
            </w:r>
          </w:p>
        </w:tc>
      </w:tr>
      <w:tr w:rsidR="003E3E52" w:rsidRPr="003D199F" w14:paraId="7B963A7F" w14:textId="77777777" w:rsidTr="00AB3000">
        <w:trPr>
          <w:trHeight w:hRule="exact" w:val="990"/>
        </w:trPr>
        <w:tc>
          <w:tcPr>
            <w:tcW w:w="1380" w:type="dxa"/>
            <w:tcBorders>
              <w:bottom w:val="single" w:sz="12" w:space="0" w:color="FFFFFF"/>
            </w:tcBorders>
            <w:shd w:val="solid" w:color="E4E7F5" w:themeColor="text2" w:themeTint="19" w:fill="E4E7F5" w:themeFill="text2" w:themeFillTint="19"/>
          </w:tcPr>
          <w:p w14:paraId="5CBD57A1" w14:textId="77777777" w:rsidR="00C15B7B" w:rsidRPr="003D199F" w:rsidRDefault="00C15B7B" w:rsidP="003E3E52">
            <w:pPr>
              <w:pStyle w:val="TblText"/>
            </w:pPr>
            <w:r w:rsidRPr="003D199F">
              <w:t>Consultant</w:t>
            </w:r>
          </w:p>
        </w:tc>
        <w:tc>
          <w:tcPr>
            <w:tcW w:w="6758" w:type="dxa"/>
            <w:tcBorders>
              <w:bottom w:val="single" w:sz="12" w:space="0" w:color="FFFFFF"/>
            </w:tcBorders>
            <w:shd w:val="solid" w:color="E4E7F5" w:themeColor="text2" w:themeTint="19" w:fill="E4E7F5" w:themeFill="text2" w:themeFillTint="19"/>
          </w:tcPr>
          <w:p w14:paraId="66D7B060" w14:textId="77777777" w:rsidR="00C15B7B" w:rsidRPr="003D199F" w:rsidRDefault="00C15B7B" w:rsidP="003E3E52">
            <w:pPr>
              <w:pStyle w:val="TblText"/>
            </w:pPr>
            <w:r w:rsidRPr="003D199F">
              <w:t>Notable experience and in-depth knowledge of their specialist field. Evidence of a wide range of consultancy projects and client facing experience. Support work in process and organisational design and leading workshops and events.</w:t>
            </w:r>
          </w:p>
        </w:tc>
      </w:tr>
      <w:tr w:rsidR="003E3E52" w:rsidRPr="003D199F" w14:paraId="60BF7839" w14:textId="77777777" w:rsidTr="00AB3000">
        <w:trPr>
          <w:trHeight w:hRule="exact" w:val="1262"/>
        </w:trPr>
        <w:tc>
          <w:tcPr>
            <w:tcW w:w="1380" w:type="dxa"/>
            <w:tcBorders>
              <w:bottom w:val="single" w:sz="12" w:space="0" w:color="FFFFFF"/>
            </w:tcBorders>
            <w:shd w:val="solid" w:color="FFFFFF" w:fill="FFFFFF"/>
          </w:tcPr>
          <w:p w14:paraId="4D4F225B" w14:textId="77777777" w:rsidR="00C15B7B" w:rsidRPr="003D199F" w:rsidRDefault="00C15B7B" w:rsidP="003E3E52">
            <w:pPr>
              <w:pStyle w:val="TblText"/>
            </w:pPr>
            <w:r w:rsidRPr="003D199F">
              <w:t>Senior Consultant</w:t>
            </w:r>
          </w:p>
        </w:tc>
        <w:tc>
          <w:tcPr>
            <w:tcW w:w="6758" w:type="dxa"/>
            <w:tcBorders>
              <w:bottom w:val="single" w:sz="12" w:space="0" w:color="FFFFFF"/>
            </w:tcBorders>
            <w:shd w:val="solid" w:color="FFFFFF" w:fill="FFFFFF"/>
          </w:tcPr>
          <w:p w14:paraId="6FE5DF96" w14:textId="77777777" w:rsidR="00C15B7B" w:rsidRPr="003D199F" w:rsidRDefault="00C15B7B" w:rsidP="003E3E52">
            <w:pPr>
              <w:pStyle w:val="TblText"/>
            </w:pPr>
            <w:r w:rsidRPr="003D199F">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3E3E52" w:rsidRPr="003D199F" w14:paraId="1809853C" w14:textId="77777777" w:rsidTr="003E3E52">
        <w:trPr>
          <w:trHeight w:hRule="exact" w:val="1416"/>
        </w:trPr>
        <w:tc>
          <w:tcPr>
            <w:tcW w:w="1380" w:type="dxa"/>
            <w:tcBorders>
              <w:bottom w:val="single" w:sz="12" w:space="0" w:color="FFFFFF"/>
            </w:tcBorders>
            <w:shd w:val="solid" w:color="E4E7F5" w:themeColor="text2" w:themeTint="19" w:fill="E4E7F5" w:themeFill="text2" w:themeFillTint="19"/>
          </w:tcPr>
          <w:p w14:paraId="2C7410EE" w14:textId="77777777" w:rsidR="00C15B7B" w:rsidRPr="003D199F" w:rsidRDefault="00C15B7B" w:rsidP="003E3E52">
            <w:pPr>
              <w:pStyle w:val="TblText"/>
            </w:pPr>
            <w:r w:rsidRPr="003D199F">
              <w:t>Principal Consultant</w:t>
            </w:r>
          </w:p>
        </w:tc>
        <w:tc>
          <w:tcPr>
            <w:tcW w:w="6758" w:type="dxa"/>
            <w:tcBorders>
              <w:bottom w:val="single" w:sz="12" w:space="0" w:color="FFFFFF"/>
            </w:tcBorders>
            <w:shd w:val="solid" w:color="E4E7F5" w:themeColor="text2" w:themeTint="19" w:fill="E4E7F5" w:themeFill="text2" w:themeFillTint="19"/>
          </w:tcPr>
          <w:p w14:paraId="7BBA355A" w14:textId="77777777" w:rsidR="00C15B7B" w:rsidRPr="003D199F" w:rsidRDefault="00C15B7B" w:rsidP="003E3E52">
            <w:pPr>
              <w:pStyle w:val="TblText"/>
            </w:pPr>
            <w:r w:rsidRPr="003D199F">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p w14:paraId="319DB50F" w14:textId="77777777" w:rsidR="00C15B7B" w:rsidRPr="003D199F" w:rsidRDefault="00C15B7B" w:rsidP="003E3E52">
            <w:pPr>
              <w:pStyle w:val="TblText"/>
            </w:pPr>
          </w:p>
          <w:p w14:paraId="0A37C191" w14:textId="77777777" w:rsidR="00C15B7B" w:rsidRPr="003D199F" w:rsidRDefault="00C15B7B" w:rsidP="003E3E52">
            <w:pPr>
              <w:pStyle w:val="TblText"/>
            </w:pPr>
          </w:p>
        </w:tc>
      </w:tr>
      <w:tr w:rsidR="003E3E52" w:rsidRPr="003D199F" w14:paraId="43ABAB58" w14:textId="77777777" w:rsidTr="00AB3000">
        <w:trPr>
          <w:trHeight w:hRule="exact" w:val="1411"/>
        </w:trPr>
        <w:tc>
          <w:tcPr>
            <w:tcW w:w="1380" w:type="dxa"/>
            <w:tcBorders>
              <w:bottom w:val="single" w:sz="12" w:space="0" w:color="FFFFFF"/>
            </w:tcBorders>
            <w:shd w:val="solid" w:color="FFFFFF" w:fill="FFFFFF"/>
          </w:tcPr>
          <w:p w14:paraId="4049130F" w14:textId="77777777" w:rsidR="00C15B7B" w:rsidRPr="003D199F" w:rsidRDefault="00C15B7B" w:rsidP="003E3E52">
            <w:pPr>
              <w:pStyle w:val="TblText"/>
            </w:pPr>
            <w:r w:rsidRPr="003D199F">
              <w:t>Managing Consultant</w:t>
            </w:r>
          </w:p>
        </w:tc>
        <w:tc>
          <w:tcPr>
            <w:tcW w:w="6758" w:type="dxa"/>
            <w:tcBorders>
              <w:bottom w:val="single" w:sz="12" w:space="0" w:color="FFFFFF"/>
            </w:tcBorders>
            <w:shd w:val="solid" w:color="FFFFFF" w:fill="FFFFFF"/>
          </w:tcPr>
          <w:p w14:paraId="4E6CEC22" w14:textId="77777777" w:rsidR="00C15B7B" w:rsidRPr="003D199F" w:rsidRDefault="00C15B7B" w:rsidP="003E3E52">
            <w:pPr>
              <w:pStyle w:val="TblText"/>
            </w:pPr>
            <w:r w:rsidRPr="003D199F">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3E3E52" w:rsidRPr="003D199F" w14:paraId="6D5343AD" w14:textId="77777777" w:rsidTr="00AB3000">
        <w:trPr>
          <w:trHeight w:hRule="exact" w:val="1419"/>
        </w:trPr>
        <w:tc>
          <w:tcPr>
            <w:tcW w:w="1380" w:type="dxa"/>
            <w:shd w:val="solid" w:color="E4E7F5" w:themeColor="text2" w:themeTint="19" w:fill="E4E7F5" w:themeFill="text2" w:themeFillTint="19"/>
          </w:tcPr>
          <w:p w14:paraId="2BD92463" w14:textId="77777777" w:rsidR="00C15B7B" w:rsidRPr="003D199F" w:rsidRDefault="00C15B7B" w:rsidP="003E3E52">
            <w:pPr>
              <w:pStyle w:val="TblText"/>
            </w:pPr>
            <w:r w:rsidRPr="003D199F">
              <w:t>Director / Partner</w:t>
            </w:r>
          </w:p>
          <w:p w14:paraId="4455C680" w14:textId="77777777" w:rsidR="00C15B7B" w:rsidRPr="003D199F" w:rsidRDefault="00C15B7B" w:rsidP="003E3E52">
            <w:pPr>
              <w:pStyle w:val="TblText"/>
            </w:pPr>
          </w:p>
        </w:tc>
        <w:tc>
          <w:tcPr>
            <w:tcW w:w="6758" w:type="dxa"/>
            <w:shd w:val="solid" w:color="E4E7F5" w:themeColor="text2" w:themeTint="19" w:fill="E4E7F5" w:themeFill="text2" w:themeFillTint="19"/>
          </w:tcPr>
          <w:p w14:paraId="29AD02DB" w14:textId="77777777" w:rsidR="00C15B7B" w:rsidRPr="003D199F" w:rsidRDefault="00C15B7B" w:rsidP="003E3E52">
            <w:pPr>
              <w:pStyle w:val="TblText"/>
            </w:pPr>
            <w:r w:rsidRPr="003D199F">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7B7151E4" w14:textId="455FA302" w:rsidR="00C15B7B" w:rsidRPr="003D199F" w:rsidRDefault="00C15B7B" w:rsidP="003F3CB0"/>
    <w:p w14:paraId="00FD59AC" w14:textId="304D3E3F" w:rsidR="00C15B7B" w:rsidRPr="003D199F" w:rsidRDefault="00C15B7B" w:rsidP="00C15B7B">
      <w:pPr>
        <w:pStyle w:val="Heading4"/>
      </w:pPr>
      <w:r w:rsidRPr="003D199F">
        <w:t>Marking scheme</w:t>
      </w:r>
    </w:p>
    <w:p w14:paraId="22907B9A" w14:textId="71B2F2B8" w:rsidR="00CA25B2" w:rsidRPr="003D199F" w:rsidRDefault="00C15B7B" w:rsidP="00CA25B2">
      <w:r w:rsidRPr="003D199F">
        <w:t>For the Methodology, Delivery and Experience shall be scored using the following:</w:t>
      </w:r>
    </w:p>
    <w:tbl>
      <w:tblPr>
        <w:tblW w:w="5000" w:type="pct"/>
        <w:tblLook w:val="0000" w:firstRow="0" w:lastRow="0" w:firstColumn="0" w:lastColumn="0" w:noHBand="0" w:noVBand="0"/>
      </w:tblPr>
      <w:tblGrid>
        <w:gridCol w:w="1228"/>
        <w:gridCol w:w="2978"/>
        <w:gridCol w:w="5432"/>
      </w:tblGrid>
      <w:tr w:rsidR="00757472" w:rsidRPr="003D199F" w14:paraId="6F42267E" w14:textId="77777777" w:rsidTr="00886DE9">
        <w:trPr>
          <w:trHeight w:val="300"/>
        </w:trPr>
        <w:tc>
          <w:tcPr>
            <w:tcW w:w="5000" w:type="pct"/>
            <w:gridSpan w:val="3"/>
            <w:shd w:val="clear" w:color="auto" w:fill="253268"/>
            <w:noWrap/>
            <w:vAlign w:val="center"/>
            <w:hideMark/>
          </w:tcPr>
          <w:p w14:paraId="1010E97C" w14:textId="77777777" w:rsidR="00757472" w:rsidRPr="003D199F" w:rsidRDefault="00757472" w:rsidP="00757472">
            <w:pPr>
              <w:widowControl w:val="0"/>
              <w:spacing w:after="0" w:line="276" w:lineRule="auto"/>
              <w:jc w:val="center"/>
              <w:rPr>
                <w:rFonts w:eastAsia="Calibri" w:cs="Arial"/>
                <w:b/>
                <w:bCs/>
                <w:color w:val="FFFFFF"/>
                <w:sz w:val="22"/>
                <w:lang w:eastAsia="en-GB"/>
              </w:rPr>
            </w:pPr>
            <w:r w:rsidRPr="003D199F">
              <w:rPr>
                <w:rFonts w:eastAsia="Calibri" w:cs="Arial"/>
                <w:b/>
                <w:bCs/>
                <w:color w:val="FFFFFF"/>
                <w:sz w:val="22"/>
                <w:lang w:eastAsia="en-GB"/>
              </w:rPr>
              <w:t>Table of Evaluation Methodology and Marking Scheme for Quality Criteria</w:t>
            </w:r>
          </w:p>
          <w:p w14:paraId="73D9FBAE" w14:textId="77777777" w:rsidR="00757472" w:rsidRPr="003D199F" w:rsidRDefault="00757472" w:rsidP="00757472">
            <w:pPr>
              <w:widowControl w:val="0"/>
              <w:spacing w:after="0" w:line="276" w:lineRule="auto"/>
              <w:jc w:val="center"/>
              <w:rPr>
                <w:rFonts w:eastAsia="Calibri" w:cs="Arial"/>
                <w:b/>
                <w:bCs/>
                <w:color w:val="FFFFFF"/>
                <w:sz w:val="22"/>
                <w:lang w:eastAsia="en-GB"/>
              </w:rPr>
            </w:pPr>
          </w:p>
          <w:p w14:paraId="0C9946EA" w14:textId="77777777" w:rsidR="00757472" w:rsidRPr="003D199F" w:rsidRDefault="00757472" w:rsidP="00757472">
            <w:pPr>
              <w:widowControl w:val="0"/>
              <w:spacing w:after="0" w:line="276" w:lineRule="auto"/>
              <w:jc w:val="center"/>
              <w:rPr>
                <w:rFonts w:eastAsia="Calibri" w:cs="Arial"/>
                <w:b/>
                <w:bCs/>
                <w:color w:val="FFFFFF"/>
                <w:sz w:val="22"/>
                <w:lang w:eastAsia="en-GB"/>
              </w:rPr>
            </w:pPr>
          </w:p>
        </w:tc>
      </w:tr>
      <w:tr w:rsidR="00757472" w:rsidRPr="003D199F" w14:paraId="7D35A2AC" w14:textId="77777777" w:rsidTr="00886DE9">
        <w:trPr>
          <w:trHeight w:val="600"/>
        </w:trPr>
        <w:tc>
          <w:tcPr>
            <w:tcW w:w="637" w:type="pct"/>
            <w:tcBorders>
              <w:top w:val="nil"/>
              <w:right w:val="single" w:sz="4" w:space="0" w:color="FFFFFF"/>
            </w:tcBorders>
            <w:shd w:val="clear" w:color="auto" w:fill="E4E7F5"/>
            <w:noWrap/>
            <w:vAlign w:val="center"/>
            <w:hideMark/>
          </w:tcPr>
          <w:p w14:paraId="57CBA569" w14:textId="77777777" w:rsidR="00757472" w:rsidRPr="003D199F" w:rsidRDefault="00757472" w:rsidP="00757472">
            <w:pPr>
              <w:widowControl w:val="0"/>
              <w:spacing w:after="0" w:line="276" w:lineRule="auto"/>
              <w:jc w:val="center"/>
              <w:rPr>
                <w:rFonts w:eastAsia="Calibri" w:cs="Arial"/>
                <w:b/>
                <w:bCs/>
                <w:color w:val="000000"/>
                <w:sz w:val="22"/>
                <w:lang w:eastAsia="en-GB"/>
              </w:rPr>
            </w:pPr>
            <w:r w:rsidRPr="003D199F">
              <w:rPr>
                <w:rFonts w:eastAsia="Calibri" w:cs="Arial"/>
                <w:b/>
                <w:bCs/>
                <w:color w:val="000000"/>
                <w:sz w:val="22"/>
                <w:lang w:eastAsia="en-GB"/>
              </w:rPr>
              <w:t>Score</w:t>
            </w:r>
          </w:p>
        </w:tc>
        <w:tc>
          <w:tcPr>
            <w:tcW w:w="1545" w:type="pct"/>
            <w:tcBorders>
              <w:top w:val="nil"/>
              <w:left w:val="single" w:sz="4" w:space="0" w:color="FFFFFF"/>
              <w:right w:val="single" w:sz="4" w:space="0" w:color="FFFFFF"/>
            </w:tcBorders>
            <w:shd w:val="clear" w:color="auto" w:fill="E4E7F5"/>
            <w:noWrap/>
            <w:vAlign w:val="center"/>
            <w:hideMark/>
          </w:tcPr>
          <w:p w14:paraId="3A958DE1" w14:textId="77777777" w:rsidR="00757472" w:rsidRPr="003D199F" w:rsidRDefault="00757472" w:rsidP="00757472">
            <w:pPr>
              <w:widowControl w:val="0"/>
              <w:spacing w:after="0" w:line="276" w:lineRule="auto"/>
              <w:rPr>
                <w:rFonts w:eastAsia="Calibri" w:cs="Arial"/>
                <w:b/>
                <w:bCs/>
                <w:color w:val="000000"/>
                <w:sz w:val="22"/>
                <w:lang w:eastAsia="en-GB"/>
              </w:rPr>
            </w:pPr>
            <w:r w:rsidRPr="003D199F">
              <w:rPr>
                <w:rFonts w:eastAsia="Calibri" w:cs="Arial"/>
                <w:b/>
                <w:bCs/>
                <w:color w:val="000000"/>
                <w:sz w:val="22"/>
                <w:lang w:eastAsia="en-GB"/>
              </w:rPr>
              <w:t>Category</w:t>
            </w:r>
          </w:p>
        </w:tc>
        <w:tc>
          <w:tcPr>
            <w:tcW w:w="2818" w:type="pct"/>
            <w:tcBorders>
              <w:top w:val="nil"/>
              <w:left w:val="single" w:sz="4" w:space="0" w:color="FFFFFF"/>
            </w:tcBorders>
            <w:shd w:val="clear" w:color="auto" w:fill="E4E7F5"/>
            <w:noWrap/>
            <w:vAlign w:val="center"/>
            <w:hideMark/>
          </w:tcPr>
          <w:p w14:paraId="1670B753" w14:textId="77777777" w:rsidR="00757472" w:rsidRPr="003D199F" w:rsidRDefault="00757472" w:rsidP="00757472">
            <w:pPr>
              <w:widowControl w:val="0"/>
              <w:spacing w:after="0" w:line="276" w:lineRule="auto"/>
              <w:rPr>
                <w:rFonts w:eastAsia="Calibri" w:cs="Arial"/>
                <w:b/>
                <w:bCs/>
                <w:color w:val="000000"/>
                <w:sz w:val="22"/>
                <w:lang w:eastAsia="en-GB"/>
              </w:rPr>
            </w:pPr>
            <w:r w:rsidRPr="003D199F">
              <w:rPr>
                <w:rFonts w:eastAsia="Calibri" w:cs="Arial"/>
                <w:b/>
                <w:bCs/>
                <w:color w:val="000000"/>
                <w:sz w:val="22"/>
                <w:lang w:eastAsia="en-GB"/>
              </w:rPr>
              <w:t xml:space="preserve">Definition (Explanation) </w:t>
            </w:r>
          </w:p>
        </w:tc>
      </w:tr>
      <w:tr w:rsidR="00757472" w:rsidRPr="003D199F" w14:paraId="2083E8BF" w14:textId="77777777" w:rsidTr="00886DE9">
        <w:trPr>
          <w:trHeight w:val="570"/>
        </w:trPr>
        <w:tc>
          <w:tcPr>
            <w:tcW w:w="637" w:type="pct"/>
            <w:tcBorders>
              <w:top w:val="nil"/>
            </w:tcBorders>
            <w:vAlign w:val="center"/>
            <w:hideMark/>
          </w:tcPr>
          <w:p w14:paraId="0DAE912E"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t>0</w:t>
            </w:r>
          </w:p>
        </w:tc>
        <w:tc>
          <w:tcPr>
            <w:tcW w:w="1545" w:type="pct"/>
            <w:tcBorders>
              <w:top w:val="nil"/>
            </w:tcBorders>
            <w:vAlign w:val="center"/>
            <w:hideMark/>
          </w:tcPr>
          <w:p w14:paraId="7D044C60"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Unacceptable</w:t>
            </w:r>
          </w:p>
        </w:tc>
        <w:tc>
          <w:tcPr>
            <w:tcW w:w="2818" w:type="pct"/>
            <w:tcBorders>
              <w:top w:val="nil"/>
            </w:tcBorders>
            <w:vAlign w:val="center"/>
            <w:hideMark/>
          </w:tcPr>
          <w:p w14:paraId="28F307B2" w14:textId="7B6CE9E8" w:rsidR="00757472" w:rsidRPr="003D199F" w:rsidRDefault="00757472" w:rsidP="00757472">
            <w:pPr>
              <w:widowControl w:val="0"/>
              <w:spacing w:after="0" w:line="240" w:lineRule="auto"/>
              <w:rPr>
                <w:rFonts w:eastAsia="Calibri" w:cs="Arial"/>
                <w:sz w:val="22"/>
                <w:lang w:eastAsia="en-GB"/>
              </w:rPr>
            </w:pPr>
            <w:r w:rsidRPr="003D199F">
              <w:rPr>
                <w:rFonts w:eastAsia="Calibri" w:cs="Arial"/>
                <w:sz w:val="22"/>
                <w:shd w:val="clear" w:color="auto" w:fill="FFFFFF"/>
              </w:rPr>
              <w:t xml:space="preserve">Unanswered or </w:t>
            </w:r>
            <w:r w:rsidR="00AC255A" w:rsidRPr="003D199F">
              <w:rPr>
                <w:rFonts w:eastAsia="Calibri" w:cs="Arial"/>
                <w:sz w:val="22"/>
                <w:shd w:val="clear" w:color="auto" w:fill="FFFFFF"/>
              </w:rPr>
              <w:t>inadequate</w:t>
            </w:r>
            <w:r w:rsidRPr="003D199F">
              <w:rPr>
                <w:rFonts w:eastAsia="Calibri" w:cs="Arial"/>
                <w:sz w:val="22"/>
                <w:shd w:val="clear" w:color="auto" w:fill="FFFFFF"/>
              </w:rPr>
              <w:t xml:space="preserve"> response to the requirement. Complete failure to understand/reflect the core issues. </w:t>
            </w:r>
            <w:r w:rsidRPr="003D199F">
              <w:rPr>
                <w:rFonts w:eastAsia="Calibri" w:cs="Arial"/>
                <w:sz w:val="22"/>
                <w:lang w:eastAsia="en-GB"/>
              </w:rPr>
              <w:t>Fails to demonstrate an ability to meet the requirement.</w:t>
            </w:r>
          </w:p>
          <w:p w14:paraId="0E7B0538" w14:textId="77777777" w:rsidR="00757472" w:rsidRPr="003D199F" w:rsidRDefault="00757472" w:rsidP="00757472">
            <w:pPr>
              <w:widowControl w:val="0"/>
              <w:spacing w:after="0" w:line="240" w:lineRule="auto"/>
              <w:rPr>
                <w:rFonts w:eastAsia="Calibri" w:cs="Arial"/>
                <w:sz w:val="22"/>
                <w:lang w:eastAsia="en-GB"/>
              </w:rPr>
            </w:pPr>
          </w:p>
        </w:tc>
      </w:tr>
      <w:tr w:rsidR="00757472" w:rsidRPr="003D199F" w14:paraId="1ECA7484" w14:textId="77777777" w:rsidTr="00886DE9">
        <w:trPr>
          <w:trHeight w:val="1425"/>
        </w:trPr>
        <w:tc>
          <w:tcPr>
            <w:tcW w:w="637" w:type="pct"/>
            <w:tcBorders>
              <w:right w:val="single" w:sz="4" w:space="0" w:color="FFFFFF"/>
            </w:tcBorders>
            <w:shd w:val="clear" w:color="auto" w:fill="E4E7F5"/>
            <w:vAlign w:val="center"/>
            <w:hideMark/>
          </w:tcPr>
          <w:p w14:paraId="7F84B216"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t>1</w:t>
            </w:r>
          </w:p>
        </w:tc>
        <w:tc>
          <w:tcPr>
            <w:tcW w:w="1545" w:type="pct"/>
            <w:tcBorders>
              <w:left w:val="single" w:sz="4" w:space="0" w:color="FFFFFF"/>
              <w:right w:val="single" w:sz="4" w:space="0" w:color="FFFFFF"/>
            </w:tcBorders>
            <w:shd w:val="clear" w:color="auto" w:fill="E4E7F5"/>
            <w:vAlign w:val="center"/>
            <w:hideMark/>
          </w:tcPr>
          <w:p w14:paraId="20B0F9DE"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Poor</w:t>
            </w:r>
          </w:p>
        </w:tc>
        <w:tc>
          <w:tcPr>
            <w:tcW w:w="2818" w:type="pct"/>
            <w:tcBorders>
              <w:left w:val="single" w:sz="4" w:space="0" w:color="FFFFFF"/>
            </w:tcBorders>
            <w:shd w:val="clear" w:color="auto" w:fill="E4E7F5"/>
            <w:vAlign w:val="center"/>
            <w:hideMark/>
          </w:tcPr>
          <w:p w14:paraId="6B726F20" w14:textId="77777777" w:rsidR="00437772" w:rsidRPr="003D199F" w:rsidRDefault="00437772" w:rsidP="00437772">
            <w:pPr>
              <w:widowControl w:val="0"/>
              <w:shd w:val="clear" w:color="auto" w:fill="E4E7F5"/>
              <w:spacing w:after="0" w:line="240" w:lineRule="auto"/>
              <w:rPr>
                <w:rFonts w:eastAsia="Calibri" w:cs="Arial"/>
                <w:sz w:val="22"/>
                <w:lang w:eastAsia="en-GB"/>
              </w:rPr>
            </w:pPr>
            <w:r w:rsidRPr="003D199F">
              <w:rPr>
                <w:rFonts w:eastAsia="Calibri" w:cs="Arial"/>
                <w:sz w:val="22"/>
                <w:lang w:eastAsia="en-GB"/>
              </w:rPr>
              <w:t>Minimal or poor response to meeting the requirement, with little or no relevance. Limited understanding misses some aspects.</w:t>
            </w:r>
          </w:p>
          <w:p w14:paraId="6D21CC90" w14:textId="6C9E0E0A" w:rsidR="00437772" w:rsidRPr="003D199F" w:rsidRDefault="00437772" w:rsidP="00437772">
            <w:pPr>
              <w:widowControl w:val="0"/>
              <w:shd w:val="clear" w:color="auto" w:fill="E4E7F5"/>
              <w:spacing w:after="0" w:line="240" w:lineRule="auto"/>
              <w:rPr>
                <w:rFonts w:eastAsia="Calibri" w:cs="Arial"/>
                <w:sz w:val="22"/>
                <w:shd w:val="clear" w:color="auto" w:fill="FFFFFF"/>
              </w:rPr>
            </w:pPr>
          </w:p>
          <w:p w14:paraId="6B5108C6" w14:textId="201E19F6" w:rsidR="00437772" w:rsidRPr="003D199F" w:rsidRDefault="00757472" w:rsidP="00437772">
            <w:pPr>
              <w:widowControl w:val="0"/>
              <w:shd w:val="clear" w:color="auto" w:fill="E4E7F5"/>
              <w:spacing w:after="0" w:line="240" w:lineRule="auto"/>
              <w:rPr>
                <w:rFonts w:eastAsia="Calibri" w:cs="Arial"/>
                <w:sz w:val="22"/>
                <w:lang w:eastAsia="en-GB"/>
              </w:rPr>
            </w:pPr>
            <w:r w:rsidRPr="003D199F">
              <w:rPr>
                <w:rFonts w:eastAsia="Calibri" w:cs="Arial"/>
                <w:sz w:val="22"/>
                <w:lang w:eastAsia="en-GB"/>
              </w:rPr>
              <w:t xml:space="preserve">The response addresses few elements of the </w:t>
            </w:r>
            <w:r w:rsidRPr="003D199F">
              <w:rPr>
                <w:rFonts w:eastAsia="Calibri" w:cs="Arial"/>
                <w:sz w:val="22"/>
                <w:lang w:eastAsia="en-GB"/>
              </w:rPr>
              <w:lastRenderedPageBreak/>
              <w:t>requirement and contains insufficient/limited detail or explanation to demonstrate how the requirement will be fulfilled.</w:t>
            </w:r>
          </w:p>
        </w:tc>
      </w:tr>
      <w:tr w:rsidR="00757472" w:rsidRPr="003D199F" w14:paraId="20BA3705" w14:textId="77777777" w:rsidTr="00886DE9">
        <w:trPr>
          <w:trHeight w:val="1425"/>
        </w:trPr>
        <w:tc>
          <w:tcPr>
            <w:tcW w:w="637" w:type="pct"/>
            <w:tcBorders>
              <w:top w:val="nil"/>
            </w:tcBorders>
            <w:vAlign w:val="center"/>
            <w:hideMark/>
          </w:tcPr>
          <w:p w14:paraId="57E4A4AC"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lastRenderedPageBreak/>
              <w:t>2</w:t>
            </w:r>
          </w:p>
        </w:tc>
        <w:tc>
          <w:tcPr>
            <w:tcW w:w="1545" w:type="pct"/>
            <w:tcBorders>
              <w:top w:val="nil"/>
            </w:tcBorders>
            <w:vAlign w:val="center"/>
            <w:hideMark/>
          </w:tcPr>
          <w:p w14:paraId="798E4794"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Fair</w:t>
            </w:r>
          </w:p>
        </w:tc>
        <w:tc>
          <w:tcPr>
            <w:tcW w:w="2818" w:type="pct"/>
            <w:tcBorders>
              <w:top w:val="nil"/>
            </w:tcBorders>
            <w:vAlign w:val="center"/>
            <w:hideMark/>
          </w:tcPr>
          <w:p w14:paraId="625CE496" w14:textId="1C565661" w:rsidR="00757472" w:rsidRPr="003D199F" w:rsidRDefault="00757472" w:rsidP="00757472">
            <w:pPr>
              <w:widowControl w:val="0"/>
              <w:spacing w:after="0" w:line="240" w:lineRule="auto"/>
              <w:rPr>
                <w:rFonts w:eastAsia="Calibri" w:cs="Arial"/>
                <w:sz w:val="22"/>
                <w:lang w:eastAsia="en-GB"/>
              </w:rPr>
            </w:pPr>
            <w:r w:rsidRPr="003D199F">
              <w:rPr>
                <w:rFonts w:eastAsia="Calibri" w:cs="Arial"/>
                <w:sz w:val="22"/>
                <w:lang w:eastAsia="en-GB"/>
              </w:rPr>
              <w:t>Response is mostly relevant, but elements of the response are poor</w:t>
            </w:r>
            <w:r w:rsidR="00AC255A" w:rsidRPr="003D199F">
              <w:rPr>
                <w:rFonts w:eastAsia="Calibri" w:cs="Arial"/>
                <w:sz w:val="22"/>
                <w:lang w:eastAsia="en-GB"/>
              </w:rPr>
              <w:t xml:space="preserve">. </w:t>
            </w:r>
            <w:r w:rsidRPr="003D199F">
              <w:rPr>
                <w:rFonts w:eastAsia="Calibri" w:cs="Arial"/>
                <w:sz w:val="22"/>
                <w:lang w:eastAsia="en-GB"/>
              </w:rPr>
              <w:t>The response addresses most elements of the requirement but contains limited detail or explanation to demonstrate how some of the requirement will be fulfilled.</w:t>
            </w:r>
          </w:p>
        </w:tc>
      </w:tr>
      <w:tr w:rsidR="00757472" w:rsidRPr="003D199F" w14:paraId="7ECE5369" w14:textId="77777777" w:rsidTr="00886DE9">
        <w:trPr>
          <w:trHeight w:val="1140"/>
        </w:trPr>
        <w:tc>
          <w:tcPr>
            <w:tcW w:w="637" w:type="pct"/>
            <w:tcBorders>
              <w:right w:val="single" w:sz="4" w:space="0" w:color="FFFFFF"/>
            </w:tcBorders>
            <w:shd w:val="clear" w:color="auto" w:fill="E4E7F5"/>
            <w:vAlign w:val="center"/>
            <w:hideMark/>
          </w:tcPr>
          <w:p w14:paraId="22DD7D34"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t>3</w:t>
            </w:r>
          </w:p>
        </w:tc>
        <w:tc>
          <w:tcPr>
            <w:tcW w:w="1545" w:type="pct"/>
            <w:tcBorders>
              <w:left w:val="single" w:sz="4" w:space="0" w:color="FFFFFF"/>
            </w:tcBorders>
            <w:shd w:val="clear" w:color="auto" w:fill="E4E7F5"/>
            <w:vAlign w:val="center"/>
            <w:hideMark/>
          </w:tcPr>
          <w:p w14:paraId="26190B2F"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Acceptable</w:t>
            </w:r>
          </w:p>
        </w:tc>
        <w:tc>
          <w:tcPr>
            <w:tcW w:w="2818" w:type="pct"/>
            <w:shd w:val="clear" w:color="auto" w:fill="E4E7F5"/>
            <w:vAlign w:val="center"/>
            <w:hideMark/>
          </w:tcPr>
          <w:p w14:paraId="29CED501" w14:textId="77777777" w:rsidR="00757472" w:rsidRPr="003D199F" w:rsidRDefault="00757472" w:rsidP="00757472">
            <w:pPr>
              <w:widowControl w:val="0"/>
              <w:spacing w:after="0" w:line="240" w:lineRule="auto"/>
              <w:rPr>
                <w:rFonts w:eastAsia="Calibri" w:cs="Arial"/>
                <w:sz w:val="22"/>
                <w:lang w:eastAsia="en-GB"/>
              </w:rPr>
            </w:pPr>
            <w:r w:rsidRPr="003D199F">
              <w:rPr>
                <w:rFonts w:eastAsia="Calibri" w:cs="Arial"/>
                <w:sz w:val="22"/>
                <w:lang w:eastAsia="en-GB"/>
              </w:rPr>
              <w:t>Response is relevant and acceptable. The response addresses a broad understanding of the requirement but lacks details on how the requirement will be fulfilled in certain areas.</w:t>
            </w:r>
          </w:p>
        </w:tc>
      </w:tr>
      <w:tr w:rsidR="00757472" w:rsidRPr="003D199F" w14:paraId="695F9E09" w14:textId="77777777" w:rsidTr="00886DE9">
        <w:trPr>
          <w:trHeight w:val="1140"/>
        </w:trPr>
        <w:tc>
          <w:tcPr>
            <w:tcW w:w="637" w:type="pct"/>
            <w:tcBorders>
              <w:top w:val="nil"/>
            </w:tcBorders>
            <w:vAlign w:val="center"/>
            <w:hideMark/>
          </w:tcPr>
          <w:p w14:paraId="4C62F15C"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t>4</w:t>
            </w:r>
          </w:p>
        </w:tc>
        <w:tc>
          <w:tcPr>
            <w:tcW w:w="1545" w:type="pct"/>
            <w:tcBorders>
              <w:top w:val="nil"/>
            </w:tcBorders>
            <w:vAlign w:val="center"/>
            <w:hideMark/>
          </w:tcPr>
          <w:p w14:paraId="0AD226F9"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Good</w:t>
            </w:r>
          </w:p>
        </w:tc>
        <w:tc>
          <w:tcPr>
            <w:tcW w:w="2818" w:type="pct"/>
            <w:tcBorders>
              <w:top w:val="nil"/>
            </w:tcBorders>
            <w:vAlign w:val="center"/>
            <w:hideMark/>
          </w:tcPr>
          <w:p w14:paraId="3B2DDC0C" w14:textId="77777777" w:rsidR="00757472" w:rsidRPr="003D199F" w:rsidRDefault="00757472" w:rsidP="00757472">
            <w:pPr>
              <w:widowControl w:val="0"/>
              <w:spacing w:after="0" w:line="240" w:lineRule="auto"/>
              <w:rPr>
                <w:rFonts w:eastAsia="Calibri" w:cs="Arial"/>
                <w:sz w:val="22"/>
                <w:lang w:eastAsia="en-GB"/>
              </w:rPr>
            </w:pPr>
            <w:r w:rsidRPr="003D199F">
              <w:rPr>
                <w:rFonts w:eastAsia="Calibri" w:cs="Arial"/>
                <w:sz w:val="22"/>
                <w:lang w:eastAsia="en-GB"/>
              </w:rPr>
              <w:t>Response is relevant and good. The response is sufficiently comprehensive to assure and demonstrate a good understanding, also providing much detail on how the requirements will be fulfilled.</w:t>
            </w:r>
          </w:p>
        </w:tc>
      </w:tr>
      <w:tr w:rsidR="00757472" w:rsidRPr="003D199F" w14:paraId="1AFB0D84" w14:textId="77777777" w:rsidTr="00886DE9">
        <w:trPr>
          <w:trHeight w:val="1425"/>
        </w:trPr>
        <w:tc>
          <w:tcPr>
            <w:tcW w:w="637" w:type="pct"/>
            <w:tcBorders>
              <w:top w:val="nil"/>
              <w:right w:val="single" w:sz="4" w:space="0" w:color="FFFFFF"/>
            </w:tcBorders>
            <w:shd w:val="clear" w:color="auto" w:fill="E4E7F5"/>
            <w:vAlign w:val="center"/>
            <w:hideMark/>
          </w:tcPr>
          <w:p w14:paraId="143EABC5" w14:textId="77777777" w:rsidR="00757472" w:rsidRPr="003D199F" w:rsidRDefault="00757472" w:rsidP="00757472">
            <w:pPr>
              <w:widowControl w:val="0"/>
              <w:spacing w:after="0" w:line="276" w:lineRule="auto"/>
              <w:jc w:val="center"/>
              <w:rPr>
                <w:rFonts w:eastAsia="Calibri" w:cs="Arial"/>
                <w:color w:val="000000"/>
                <w:sz w:val="22"/>
                <w:lang w:eastAsia="en-GB"/>
              </w:rPr>
            </w:pPr>
            <w:r w:rsidRPr="003D199F">
              <w:rPr>
                <w:rFonts w:eastAsia="Calibri" w:cs="Arial"/>
                <w:color w:val="000000"/>
                <w:sz w:val="22"/>
                <w:lang w:eastAsia="en-GB"/>
              </w:rPr>
              <w:t>5</w:t>
            </w:r>
          </w:p>
        </w:tc>
        <w:tc>
          <w:tcPr>
            <w:tcW w:w="1545" w:type="pct"/>
            <w:tcBorders>
              <w:top w:val="nil"/>
              <w:left w:val="single" w:sz="4" w:space="0" w:color="FFFFFF"/>
            </w:tcBorders>
            <w:shd w:val="clear" w:color="auto" w:fill="E4E7F5"/>
            <w:vAlign w:val="center"/>
            <w:hideMark/>
          </w:tcPr>
          <w:p w14:paraId="435058A4" w14:textId="77777777" w:rsidR="00757472" w:rsidRPr="003D199F" w:rsidRDefault="00757472" w:rsidP="00757472">
            <w:pPr>
              <w:widowControl w:val="0"/>
              <w:spacing w:after="0" w:line="276" w:lineRule="auto"/>
              <w:rPr>
                <w:rFonts w:eastAsia="Calibri" w:cs="Arial"/>
                <w:color w:val="000000"/>
                <w:sz w:val="22"/>
                <w:lang w:eastAsia="en-GB"/>
              </w:rPr>
            </w:pPr>
            <w:r w:rsidRPr="003D199F">
              <w:rPr>
                <w:rFonts w:eastAsia="Calibri" w:cs="Arial"/>
                <w:color w:val="000000"/>
                <w:sz w:val="22"/>
                <w:lang w:eastAsia="en-GB"/>
              </w:rPr>
              <w:t>Excellent</w:t>
            </w:r>
          </w:p>
        </w:tc>
        <w:tc>
          <w:tcPr>
            <w:tcW w:w="2818" w:type="pct"/>
            <w:tcBorders>
              <w:top w:val="nil"/>
            </w:tcBorders>
            <w:shd w:val="clear" w:color="auto" w:fill="E4E7F5"/>
            <w:vAlign w:val="center"/>
            <w:hideMark/>
          </w:tcPr>
          <w:p w14:paraId="7C656EA1" w14:textId="77777777" w:rsidR="00757472" w:rsidRPr="003D199F" w:rsidRDefault="00757472" w:rsidP="00437772">
            <w:pPr>
              <w:widowControl w:val="0"/>
              <w:shd w:val="clear" w:color="auto" w:fill="E4E7F5"/>
              <w:spacing w:after="0" w:line="240" w:lineRule="auto"/>
              <w:rPr>
                <w:rFonts w:eastAsia="Calibri" w:cs="Arial"/>
                <w:sz w:val="22"/>
                <w:lang w:eastAsia="en-GB"/>
              </w:rPr>
            </w:pPr>
            <w:r w:rsidRPr="003D199F">
              <w:rPr>
                <w:rFonts w:eastAsia="Calibri" w:cs="Arial"/>
                <w:sz w:val="22"/>
                <w:lang w:eastAsia="en-GB"/>
              </w:rPr>
              <w:t>Excellent response fully addressing the requirement and providing significant additional evidence of how the criterion has been met and how value would be added</w:t>
            </w:r>
          </w:p>
          <w:p w14:paraId="5A521BA2" w14:textId="77777777" w:rsidR="00757472" w:rsidRPr="003D199F" w:rsidRDefault="00757472" w:rsidP="00437772">
            <w:pPr>
              <w:widowControl w:val="0"/>
              <w:shd w:val="clear" w:color="auto" w:fill="E4E7F5"/>
              <w:spacing w:after="0" w:line="240" w:lineRule="auto"/>
              <w:rPr>
                <w:rFonts w:eastAsia="Calibri" w:cs="Arial"/>
                <w:sz w:val="22"/>
                <w:lang w:eastAsia="en-GB"/>
              </w:rPr>
            </w:pPr>
            <w:r w:rsidRPr="003D199F">
              <w:rPr>
                <w:rFonts w:eastAsia="Calibri" w:cs="Arial"/>
                <w:sz w:val="22"/>
                <w:lang w:eastAsia="en-GB"/>
              </w:rPr>
              <w:t>The response is comprehensive, unambiguous and demonstrates a thorough understanding of the requirement and provides details of how the requirement will be met in full.</w:t>
            </w:r>
          </w:p>
        </w:tc>
      </w:tr>
    </w:tbl>
    <w:p w14:paraId="0246D3AF" w14:textId="77777777" w:rsidR="00757472" w:rsidRPr="003D199F" w:rsidRDefault="00757472" w:rsidP="00CA25B2"/>
    <w:p w14:paraId="6EE71E11" w14:textId="44AC56F3" w:rsidR="00CA25B2" w:rsidRPr="003D199F" w:rsidRDefault="00CA25B2" w:rsidP="00FF14A3">
      <w:pPr>
        <w:keepNext/>
        <w:keepLines/>
      </w:pPr>
      <w:r w:rsidRPr="003D199F">
        <w:t>For the Price evaluation the following shall apply:</w:t>
      </w:r>
    </w:p>
    <w:p w14:paraId="337955E8" w14:textId="77777777" w:rsidR="00CA25B2" w:rsidRPr="003D199F" w:rsidRDefault="00CA25B2" w:rsidP="00FF14A3">
      <w:pPr>
        <w:pStyle w:val="NormalBulletround"/>
        <w:keepNext/>
        <w:keepLines/>
      </w:pPr>
      <w:r w:rsidRPr="003D199F">
        <w:t>Fixed fee</w:t>
      </w:r>
    </w:p>
    <w:p w14:paraId="50E17621" w14:textId="77777777" w:rsidR="00CA25B2" w:rsidRPr="003D199F" w:rsidRDefault="00CA25B2" w:rsidP="00FF14A3">
      <w:pPr>
        <w:pStyle w:val="NormalBulletround"/>
        <w:keepNext/>
        <w:keepLines/>
      </w:pPr>
      <w:r w:rsidRPr="003D199F">
        <w:t>The lowest fixed fee will be awarded the maximum price score of 100.</w:t>
      </w:r>
    </w:p>
    <w:p w14:paraId="747DA973" w14:textId="77777777" w:rsidR="00CA25B2" w:rsidRPr="003D199F" w:rsidRDefault="00CA25B2" w:rsidP="00FF14A3">
      <w:pPr>
        <w:pStyle w:val="NormalBulletround"/>
        <w:keepNext/>
        <w:keepLines/>
      </w:pPr>
      <w:r w:rsidRPr="003D199F">
        <w:t>All other bidders will get a price score relative to the lowest fee tendered.</w:t>
      </w:r>
    </w:p>
    <w:p w14:paraId="72C05532" w14:textId="13DA9C56" w:rsidR="00716CEC" w:rsidRPr="003D199F" w:rsidRDefault="00CA25B2" w:rsidP="00FF14A3">
      <w:pPr>
        <w:pStyle w:val="NormalBulletround"/>
        <w:keepNext/>
        <w:keepLines/>
        <w:spacing w:after="0"/>
      </w:pPr>
      <w:r w:rsidRPr="003D199F">
        <w:t>The calculation we will use to calculate your score is as follows:</w:t>
      </w:r>
    </w:p>
    <w:p w14:paraId="520842E7" w14:textId="4EF1FF81" w:rsidR="00CA25B2" w:rsidRPr="003D199F" w:rsidRDefault="00CA25B2" w:rsidP="00FF14A3">
      <w:pPr>
        <w:keepNext/>
        <w:keepLines/>
        <w:spacing w:after="0"/>
        <w:ind w:left="1134"/>
      </w:pPr>
      <w:r w:rsidRPr="003D199F">
        <w:t xml:space="preserve">Price Score = </w:t>
      </w:r>
      <w:r w:rsidRPr="003D199F">
        <w:rPr>
          <w:u w:val="single"/>
        </w:rPr>
        <w:t>Lowest Total Fee</w:t>
      </w:r>
      <w:r w:rsidRPr="003D199F">
        <w:t xml:space="preserve">       x 100</w:t>
      </w:r>
    </w:p>
    <w:p w14:paraId="21FB78F4" w14:textId="1BBA452D" w:rsidR="00CA25B2" w:rsidRPr="003D199F" w:rsidRDefault="00CA25B2" w:rsidP="00FF14A3">
      <w:pPr>
        <w:keepNext/>
        <w:keepLines/>
        <w:ind w:left="2574"/>
      </w:pPr>
      <w:r w:rsidRPr="003D199F">
        <w:t xml:space="preserve"> Bidder’s Total Fee</w:t>
      </w:r>
    </w:p>
    <w:p w14:paraId="62217456" w14:textId="475BE4BC" w:rsidR="00C15B7B" w:rsidRPr="003D199F" w:rsidRDefault="00CA25B2" w:rsidP="00CA25B2">
      <w:r w:rsidRPr="003D199F">
        <w:t>Your score will then be multiplied by the weighting we have applied to this aspect of the price evaluation to provide a weighted score for the fee.</w:t>
      </w:r>
    </w:p>
    <w:p w14:paraId="13900F93" w14:textId="0C742FE6" w:rsidR="00C15B7B" w:rsidRPr="003D199F" w:rsidRDefault="002D3643" w:rsidP="002D3643">
      <w:pPr>
        <w:pStyle w:val="Heading2"/>
      </w:pPr>
      <w:bookmarkStart w:id="34" w:name="_Toc111551928"/>
      <w:bookmarkStart w:id="35" w:name="_Toc200551380"/>
      <w:r w:rsidRPr="003D199F">
        <w:lastRenderedPageBreak/>
        <w:t>Procurement Procedures</w:t>
      </w:r>
      <w:bookmarkEnd w:id="34"/>
      <w:bookmarkEnd w:id="35"/>
      <w:r w:rsidRPr="003D199F">
        <w:t xml:space="preserve"> </w:t>
      </w:r>
    </w:p>
    <w:p w14:paraId="038D890E" w14:textId="77777777" w:rsidR="00400432" w:rsidRPr="003D199F" w:rsidRDefault="00400432" w:rsidP="00400432">
      <w:pPr>
        <w:pStyle w:val="Heading3"/>
      </w:pPr>
      <w:bookmarkStart w:id="36" w:name="_Toc111551929"/>
      <w:r w:rsidRPr="003D199F">
        <w:t>Tendering Timetable</w:t>
      </w:r>
      <w:bookmarkEnd w:id="36"/>
    </w:p>
    <w:p w14:paraId="04007131" w14:textId="213E10EB" w:rsidR="00C26E3E" w:rsidRPr="003D199F" w:rsidRDefault="00400432" w:rsidP="00400432">
      <w:r w:rsidRPr="003D199F">
        <w:t>The timescales for the procurement process are as follows:</w:t>
      </w:r>
    </w:p>
    <w:tbl>
      <w:tblPr>
        <w:tblW w:w="9638" w:type="dxa"/>
        <w:tblBorders>
          <w:top w:val="single" w:sz="12" w:space="0" w:color="FFFFFF" w:themeColor="background2"/>
          <w:left w:val="single" w:sz="12" w:space="0" w:color="FFFFFF" w:themeColor="background2"/>
          <w:bottom w:val="single" w:sz="12" w:space="0" w:color="FFFFFF" w:themeColor="background2"/>
          <w:right w:val="single" w:sz="12" w:space="0" w:color="FFFFFF" w:themeColor="background2"/>
          <w:insideH w:val="single" w:sz="12" w:space="0" w:color="FFFFFF" w:themeColor="background2"/>
          <w:insideV w:val="single" w:sz="12" w:space="0" w:color="FFFFFF" w:themeColor="background2"/>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5372"/>
        <w:gridCol w:w="4266"/>
      </w:tblGrid>
      <w:tr w:rsidR="00400432" w:rsidRPr="003D199F" w14:paraId="197182DC" w14:textId="77777777" w:rsidTr="003A214A">
        <w:trPr>
          <w:tblHeader/>
        </w:trPr>
        <w:tc>
          <w:tcPr>
            <w:tcW w:w="5372" w:type="dxa"/>
            <w:tcBorders>
              <w:bottom w:val="single" w:sz="12" w:space="0" w:color="FFFFFF" w:themeColor="background2"/>
            </w:tcBorders>
            <w:shd w:val="clear" w:color="auto" w:fill="253268" w:themeFill="text2"/>
          </w:tcPr>
          <w:p w14:paraId="0D9AD0CD" w14:textId="77777777" w:rsidR="00400432" w:rsidRPr="003D199F" w:rsidRDefault="00400432" w:rsidP="00400432">
            <w:pPr>
              <w:pStyle w:val="TblHeading"/>
            </w:pPr>
            <w:r w:rsidRPr="003D199F">
              <w:t>Element</w:t>
            </w:r>
          </w:p>
        </w:tc>
        <w:tc>
          <w:tcPr>
            <w:tcW w:w="4266" w:type="dxa"/>
            <w:tcBorders>
              <w:bottom w:val="single" w:sz="12" w:space="0" w:color="FFFFFF" w:themeColor="background2"/>
            </w:tcBorders>
            <w:shd w:val="clear" w:color="auto" w:fill="253268" w:themeFill="text2"/>
          </w:tcPr>
          <w:p w14:paraId="0749132E" w14:textId="77777777" w:rsidR="00400432" w:rsidRPr="003D199F" w:rsidRDefault="00400432" w:rsidP="00400432">
            <w:pPr>
              <w:pStyle w:val="TblHeading"/>
            </w:pPr>
            <w:r w:rsidRPr="003D199F">
              <w:t>Timescale</w:t>
            </w:r>
          </w:p>
        </w:tc>
      </w:tr>
      <w:tr w:rsidR="00400432" w:rsidRPr="003D199F" w14:paraId="36ED9179" w14:textId="77777777" w:rsidTr="003A214A">
        <w:tc>
          <w:tcPr>
            <w:tcW w:w="5372" w:type="dxa"/>
            <w:tcBorders>
              <w:bottom w:val="single" w:sz="12" w:space="0" w:color="FFFFFF" w:themeColor="background2"/>
            </w:tcBorders>
            <w:shd w:val="clear" w:color="auto" w:fill="FFFFFF" w:themeFill="background2"/>
          </w:tcPr>
          <w:p w14:paraId="32B5FFC6" w14:textId="77777777" w:rsidR="00400432" w:rsidRPr="003D199F" w:rsidRDefault="00400432" w:rsidP="00400432">
            <w:pPr>
              <w:pStyle w:val="TblText"/>
            </w:pPr>
            <w:bookmarkStart w:id="37" w:name="_Hlk200377396"/>
            <w:r w:rsidRPr="003D199F">
              <w:t>Invitation to tender issued</w:t>
            </w:r>
          </w:p>
        </w:tc>
        <w:tc>
          <w:tcPr>
            <w:tcW w:w="4266" w:type="dxa"/>
            <w:tcBorders>
              <w:bottom w:val="single" w:sz="12" w:space="0" w:color="FFFFFF" w:themeColor="background2"/>
            </w:tcBorders>
            <w:shd w:val="clear" w:color="auto" w:fill="FFFFFF" w:themeFill="background2"/>
          </w:tcPr>
          <w:p w14:paraId="0B221E35" w14:textId="0EE69F71" w:rsidR="00400432" w:rsidRPr="003D199F" w:rsidRDefault="00FD5069" w:rsidP="00400432">
            <w:pPr>
              <w:pStyle w:val="TblText"/>
            </w:pPr>
            <w:r>
              <w:t xml:space="preserve">09 </w:t>
            </w:r>
            <w:r w:rsidR="00856C23">
              <w:t>July 2025</w:t>
            </w:r>
          </w:p>
        </w:tc>
      </w:tr>
      <w:tr w:rsidR="00400432" w:rsidRPr="003D199F" w14:paraId="42283B80" w14:textId="77777777" w:rsidTr="003A214A">
        <w:tc>
          <w:tcPr>
            <w:tcW w:w="5372" w:type="dxa"/>
            <w:tcBorders>
              <w:bottom w:val="single" w:sz="12" w:space="0" w:color="FFFFFF" w:themeColor="background2"/>
            </w:tcBorders>
            <w:shd w:val="clear" w:color="auto" w:fill="E4E7F5"/>
          </w:tcPr>
          <w:p w14:paraId="52F2ADF7" w14:textId="77777777" w:rsidR="00400432" w:rsidRPr="003D199F" w:rsidRDefault="00400432" w:rsidP="00400432">
            <w:pPr>
              <w:pStyle w:val="TblText"/>
            </w:pPr>
            <w:r w:rsidRPr="003D199F">
              <w:t>Deadline for the submission of clarification questions</w:t>
            </w:r>
          </w:p>
        </w:tc>
        <w:tc>
          <w:tcPr>
            <w:tcW w:w="4266" w:type="dxa"/>
            <w:tcBorders>
              <w:bottom w:val="single" w:sz="12" w:space="0" w:color="FFFFFF" w:themeColor="background2"/>
            </w:tcBorders>
            <w:shd w:val="clear" w:color="auto" w:fill="E4E7F5"/>
          </w:tcPr>
          <w:p w14:paraId="4308C2DC" w14:textId="7BEF3B2D" w:rsidR="00400432" w:rsidRPr="003D199F" w:rsidRDefault="00CC15CA" w:rsidP="00400432">
            <w:pPr>
              <w:pStyle w:val="TblText"/>
            </w:pPr>
            <w:r w:rsidRPr="003D199F">
              <w:t>2</w:t>
            </w:r>
            <w:r w:rsidR="004D2BE4">
              <w:t>5</w:t>
            </w:r>
            <w:r w:rsidRPr="003D199F">
              <w:t xml:space="preserve"> Ju</w:t>
            </w:r>
            <w:r w:rsidR="004D2BE4">
              <w:t>ly</w:t>
            </w:r>
            <w:r w:rsidRPr="003D199F">
              <w:t xml:space="preserve"> 2025</w:t>
            </w:r>
            <w:r w:rsidR="00C50D57" w:rsidRPr="003D199F">
              <w:t xml:space="preserve"> midday</w:t>
            </w:r>
          </w:p>
        </w:tc>
      </w:tr>
      <w:tr w:rsidR="00400432" w:rsidRPr="003D199F" w14:paraId="66301268" w14:textId="77777777" w:rsidTr="003A214A">
        <w:tc>
          <w:tcPr>
            <w:tcW w:w="5372" w:type="dxa"/>
            <w:tcBorders>
              <w:bottom w:val="single" w:sz="12" w:space="0" w:color="FFFFFF" w:themeColor="background2"/>
            </w:tcBorders>
            <w:shd w:val="clear" w:color="auto" w:fill="FFFFFF" w:themeFill="background2"/>
          </w:tcPr>
          <w:p w14:paraId="1C7F8594" w14:textId="77777777" w:rsidR="00400432" w:rsidRPr="003D199F" w:rsidRDefault="00400432" w:rsidP="00400432">
            <w:pPr>
              <w:pStyle w:val="TblText"/>
            </w:pPr>
            <w:r w:rsidRPr="003D199F">
              <w:t>Deadline for submission of proposals</w:t>
            </w:r>
          </w:p>
        </w:tc>
        <w:tc>
          <w:tcPr>
            <w:tcW w:w="4266" w:type="dxa"/>
            <w:tcBorders>
              <w:bottom w:val="single" w:sz="12" w:space="0" w:color="FFFFFF" w:themeColor="background2"/>
            </w:tcBorders>
            <w:shd w:val="clear" w:color="auto" w:fill="FFFFFF" w:themeFill="background2"/>
          </w:tcPr>
          <w:p w14:paraId="63343DB4" w14:textId="6D4BF0C6" w:rsidR="00400432" w:rsidRPr="003D199F" w:rsidRDefault="00856C23" w:rsidP="00400432">
            <w:pPr>
              <w:pStyle w:val="TblText"/>
            </w:pPr>
            <w:r>
              <w:t>0</w:t>
            </w:r>
            <w:r w:rsidR="000507F0">
              <w:t>8</w:t>
            </w:r>
            <w:r w:rsidR="00CB5BE6">
              <w:t xml:space="preserve"> </w:t>
            </w:r>
            <w:r w:rsidR="00D2598C">
              <w:t>August</w:t>
            </w:r>
            <w:r w:rsidR="00C50D57" w:rsidRPr="003D199F">
              <w:t xml:space="preserve"> </w:t>
            </w:r>
            <w:r>
              <w:t xml:space="preserve">2025 </w:t>
            </w:r>
            <w:r w:rsidR="00C50D57" w:rsidRPr="003D199F">
              <w:t>midday</w:t>
            </w:r>
          </w:p>
        </w:tc>
      </w:tr>
      <w:tr w:rsidR="00400432" w:rsidRPr="003D199F" w14:paraId="2D3D0936" w14:textId="77777777" w:rsidTr="00A66ABE">
        <w:tc>
          <w:tcPr>
            <w:tcW w:w="5372" w:type="dxa"/>
            <w:tcBorders>
              <w:bottom w:val="single" w:sz="12" w:space="0" w:color="FFFFFF" w:themeColor="background2"/>
            </w:tcBorders>
            <w:shd w:val="clear" w:color="auto" w:fill="E4E7F5"/>
          </w:tcPr>
          <w:p w14:paraId="6556047B" w14:textId="77777777" w:rsidR="00400432" w:rsidRPr="003D199F" w:rsidRDefault="00400432" w:rsidP="00400432">
            <w:pPr>
              <w:pStyle w:val="TblText"/>
            </w:pPr>
            <w:r w:rsidRPr="003D199F">
              <w:t>Award contract</w:t>
            </w:r>
          </w:p>
        </w:tc>
        <w:tc>
          <w:tcPr>
            <w:tcW w:w="4266" w:type="dxa"/>
            <w:tcBorders>
              <w:bottom w:val="single" w:sz="12" w:space="0" w:color="FFFFFF" w:themeColor="background2"/>
            </w:tcBorders>
            <w:shd w:val="clear" w:color="auto" w:fill="E4E7F5"/>
          </w:tcPr>
          <w:p w14:paraId="2FF6E1B1" w14:textId="1560BA91" w:rsidR="00400432" w:rsidRPr="003D199F" w:rsidRDefault="0011187D" w:rsidP="00400432">
            <w:pPr>
              <w:pStyle w:val="TblText"/>
            </w:pPr>
            <w:r>
              <w:t>2</w:t>
            </w:r>
            <w:r w:rsidR="00750300">
              <w:t>2</w:t>
            </w:r>
            <w:r>
              <w:t xml:space="preserve"> </w:t>
            </w:r>
            <w:r w:rsidR="00D335C2" w:rsidRPr="003D199F">
              <w:t>August</w:t>
            </w:r>
            <w:r w:rsidR="00C50D57" w:rsidRPr="003D199F">
              <w:t xml:space="preserve"> 2025 </w:t>
            </w:r>
          </w:p>
        </w:tc>
      </w:tr>
      <w:tr w:rsidR="00400432" w:rsidRPr="003D199F" w14:paraId="3E83975E" w14:textId="77777777" w:rsidTr="00A66ABE">
        <w:tc>
          <w:tcPr>
            <w:tcW w:w="5372" w:type="dxa"/>
            <w:shd w:val="clear" w:color="auto" w:fill="FFFFFF" w:themeFill="background1"/>
          </w:tcPr>
          <w:p w14:paraId="19972227" w14:textId="77777777" w:rsidR="00400432" w:rsidRPr="003D199F" w:rsidRDefault="00400432" w:rsidP="00400432">
            <w:pPr>
              <w:pStyle w:val="TblText"/>
            </w:pPr>
            <w:r w:rsidRPr="003D199F">
              <w:t>Project Inception Meeting</w:t>
            </w:r>
          </w:p>
        </w:tc>
        <w:tc>
          <w:tcPr>
            <w:tcW w:w="4266" w:type="dxa"/>
            <w:shd w:val="clear" w:color="auto" w:fill="FFFFFF" w:themeFill="background1"/>
          </w:tcPr>
          <w:p w14:paraId="5605FB39" w14:textId="3AE21009" w:rsidR="00400432" w:rsidRPr="003D199F" w:rsidRDefault="00F05832" w:rsidP="00400432">
            <w:pPr>
              <w:pStyle w:val="TblText"/>
            </w:pPr>
            <w:r>
              <w:t xml:space="preserve">Week commencing </w:t>
            </w:r>
            <w:r w:rsidR="006A4B85">
              <w:t>25 August</w:t>
            </w:r>
            <w:r w:rsidR="00CC15CA" w:rsidRPr="003D199F">
              <w:t xml:space="preserve"> 2025</w:t>
            </w:r>
          </w:p>
        </w:tc>
      </w:tr>
    </w:tbl>
    <w:p w14:paraId="3DFADB3D" w14:textId="77777777" w:rsidR="00433557" w:rsidRPr="003D199F" w:rsidRDefault="00433557" w:rsidP="000A0438">
      <w:pPr>
        <w:pStyle w:val="Heading3"/>
      </w:pPr>
      <w:bookmarkStart w:id="38" w:name="_Toc111551930"/>
      <w:bookmarkEnd w:id="37"/>
      <w:r w:rsidRPr="003D199F">
        <w:t>Tendering Instructions and Guidance</w:t>
      </w:r>
      <w:bookmarkEnd w:id="38"/>
    </w:p>
    <w:p w14:paraId="5BB9953D" w14:textId="77777777" w:rsidR="00433557" w:rsidRPr="003D199F" w:rsidRDefault="00433557" w:rsidP="000A0438">
      <w:pPr>
        <w:pStyle w:val="Heading4"/>
      </w:pPr>
      <w:r w:rsidRPr="003D199F">
        <w:t>Amendments to ITT document</w:t>
      </w:r>
    </w:p>
    <w:p w14:paraId="799F3C71" w14:textId="77777777" w:rsidR="00433557" w:rsidRPr="003D199F" w:rsidRDefault="00433557" w:rsidP="00433557">
      <w:r w:rsidRPr="003D199F">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in order to comply with this requirement. </w:t>
      </w:r>
    </w:p>
    <w:p w14:paraId="6CDEC1D8" w14:textId="77777777" w:rsidR="00433557" w:rsidRPr="003D199F" w:rsidRDefault="00433557" w:rsidP="000A0438">
      <w:pPr>
        <w:pStyle w:val="Heading4"/>
      </w:pPr>
      <w:r w:rsidRPr="003D199F">
        <w:t>Clarifications &amp; Queries</w:t>
      </w:r>
    </w:p>
    <w:p w14:paraId="38BF72FB" w14:textId="77777777" w:rsidR="00433557" w:rsidRPr="003D199F" w:rsidRDefault="00433557" w:rsidP="00433557">
      <w:r w:rsidRPr="003D199F">
        <w:t xml:space="preserve">Please note that, for audit purposes, any query in connection with the tender should be submitted via the ORR </w:t>
      </w:r>
      <w:proofErr w:type="spellStart"/>
      <w:r w:rsidRPr="003D199F">
        <w:t>eTendering</w:t>
      </w:r>
      <w:proofErr w:type="spellEnd"/>
      <w:r w:rsidRPr="003D199F">
        <w:t xml:space="preserve"> portal. The response, as well as the nature of the query, will be notified to all suppliers without disclosing the name of the Supplier who initiated the query. </w:t>
      </w:r>
    </w:p>
    <w:p w14:paraId="23AAD63C" w14:textId="77777777" w:rsidR="00433557" w:rsidRPr="003D199F" w:rsidRDefault="00433557" w:rsidP="000A0438">
      <w:pPr>
        <w:pStyle w:val="Heading4"/>
      </w:pPr>
      <w:bookmarkStart w:id="39" w:name="_Hlk187308838"/>
      <w:r w:rsidRPr="003D199F">
        <w:t>Submission Process</w:t>
      </w:r>
    </w:p>
    <w:bookmarkEnd w:id="39"/>
    <w:p w14:paraId="6BE98779" w14:textId="77777777" w:rsidR="00433557" w:rsidRPr="003D199F" w:rsidRDefault="00433557" w:rsidP="00433557">
      <w:r w:rsidRPr="003D199F">
        <w:t xml:space="preserve">Tenders must be uploaded to the ORR </w:t>
      </w:r>
      <w:proofErr w:type="spellStart"/>
      <w:r w:rsidRPr="003D199F">
        <w:t>eTendering</w:t>
      </w:r>
      <w:proofErr w:type="spellEnd"/>
      <w:r w:rsidRPr="003D199F">
        <w:t xml:space="preserve"> portal no later than the submission date and time shown above. Tenders uploaded after the closing date and time may not be accepted. Bidders have the facility to upload later versions of tenders until the closing date/time. </w:t>
      </w:r>
    </w:p>
    <w:p w14:paraId="6288F035" w14:textId="77777777" w:rsidR="00000449" w:rsidRPr="003D199F" w:rsidRDefault="00000449" w:rsidP="00433557"/>
    <w:p w14:paraId="18CAF52C" w14:textId="57464203" w:rsidR="567EF6F8" w:rsidRPr="003D199F" w:rsidRDefault="567EF6F8" w:rsidP="36224BEA">
      <w:pPr>
        <w:ind w:left="-20" w:right="-20"/>
      </w:pPr>
      <w:r w:rsidRPr="003D199F">
        <w:rPr>
          <w:rFonts w:eastAsia="Arial" w:cs="Arial"/>
          <w:szCs w:val="24"/>
        </w:rPr>
        <w:lastRenderedPageBreak/>
        <w:t>The tender shall consist of two envelopes and bidders must submit the correct documents to the correct envelope as set out below:</w:t>
      </w:r>
    </w:p>
    <w:p w14:paraId="09F59168" w14:textId="3BE9FF7C" w:rsidR="567EF6F8" w:rsidRPr="003D199F" w:rsidRDefault="567EF6F8" w:rsidP="36224BEA">
      <w:pPr>
        <w:pStyle w:val="ListParagraph"/>
        <w:numPr>
          <w:ilvl w:val="0"/>
          <w:numId w:val="1"/>
        </w:numPr>
        <w:ind w:right="-20"/>
        <w:rPr>
          <w:rFonts w:eastAsia="Arial" w:cs="Arial"/>
          <w:szCs w:val="24"/>
        </w:rPr>
      </w:pPr>
      <w:r w:rsidRPr="003D199F">
        <w:rPr>
          <w:rFonts w:eastAsia="Arial" w:cs="Arial"/>
          <w:b/>
          <w:bCs/>
          <w:szCs w:val="24"/>
        </w:rPr>
        <w:t>Technical Envelope</w:t>
      </w:r>
      <w:r w:rsidRPr="003D199F">
        <w:rPr>
          <w:rFonts w:eastAsia="Arial" w:cs="Arial"/>
          <w:szCs w:val="24"/>
        </w:rPr>
        <w:t>: Quality response (Methodology, Delivery, Experience</w:t>
      </w:r>
      <w:r w:rsidR="77A3F6D2" w:rsidRPr="003D199F">
        <w:rPr>
          <w:rFonts w:eastAsia="Arial" w:cs="Arial"/>
          <w:szCs w:val="24"/>
        </w:rPr>
        <w:t>), Disclaimer and Cyber Essentials or ISO27000 certification (or equivalent)</w:t>
      </w:r>
    </w:p>
    <w:p w14:paraId="54C291B4" w14:textId="6BFAECC1" w:rsidR="36224BEA" w:rsidRPr="003D199F" w:rsidRDefault="36224BEA" w:rsidP="36224BEA">
      <w:pPr>
        <w:pStyle w:val="ListParagraph"/>
        <w:ind w:right="-20"/>
        <w:rPr>
          <w:rFonts w:eastAsia="Arial" w:cs="Arial"/>
          <w:szCs w:val="24"/>
        </w:rPr>
      </w:pPr>
    </w:p>
    <w:p w14:paraId="6EEBA4B6" w14:textId="71699396" w:rsidR="77A3F6D2" w:rsidRPr="003D199F" w:rsidRDefault="77A3F6D2" w:rsidP="36224BEA">
      <w:pPr>
        <w:pStyle w:val="ListParagraph"/>
        <w:numPr>
          <w:ilvl w:val="0"/>
          <w:numId w:val="1"/>
        </w:numPr>
        <w:ind w:right="-20"/>
        <w:rPr>
          <w:rFonts w:eastAsia="Arial" w:cs="Arial"/>
          <w:szCs w:val="24"/>
        </w:rPr>
      </w:pPr>
      <w:r w:rsidRPr="003D199F">
        <w:rPr>
          <w:rFonts w:eastAsia="Arial" w:cs="Arial"/>
          <w:b/>
          <w:bCs/>
          <w:szCs w:val="24"/>
        </w:rPr>
        <w:t>Commercial Envelope:</w:t>
      </w:r>
      <w:r w:rsidRPr="003D199F">
        <w:rPr>
          <w:rFonts w:eastAsia="Arial" w:cs="Arial"/>
          <w:szCs w:val="24"/>
        </w:rPr>
        <w:t xml:space="preserve"> Price and Form of Tender</w:t>
      </w:r>
    </w:p>
    <w:p w14:paraId="78FF1853" w14:textId="29F59A80" w:rsidR="00433557" w:rsidRPr="003D199F" w:rsidRDefault="00433557" w:rsidP="00433557">
      <w:r w:rsidRPr="003D199F">
        <w:t xml:space="preserve">If you are already registered on our </w:t>
      </w:r>
      <w:proofErr w:type="spellStart"/>
      <w:r w:rsidRPr="003D199F">
        <w:t>eTendering</w:t>
      </w:r>
      <w:proofErr w:type="spellEnd"/>
      <w:r w:rsidRPr="003D199F">
        <w:t xml:space="preserve"> portal but have forgotten your login details, please contact the portal administrator.</w:t>
      </w:r>
    </w:p>
    <w:p w14:paraId="6D553397" w14:textId="17C55AFB" w:rsidR="00433557" w:rsidRPr="003D199F" w:rsidRDefault="00433557" w:rsidP="00433557">
      <w:r w:rsidRPr="003D199F">
        <w:t xml:space="preserve">An evaluation team will evaluate all tenders correctly submitted against the stated evaluation criteria. </w:t>
      </w:r>
    </w:p>
    <w:p w14:paraId="78A92967" w14:textId="4774D253" w:rsidR="00433557" w:rsidRPr="003D199F" w:rsidRDefault="00433557" w:rsidP="00433557">
      <w:r w:rsidRPr="003D199F">
        <w:t>By issuing this Invitation to Tender</w:t>
      </w:r>
      <w:r w:rsidR="00CF2FAA">
        <w:t>,</w:t>
      </w:r>
      <w:r w:rsidRPr="003D199F">
        <w:t xml:space="preserve"> ORR does not undertake to accept the lowest tender, or part or all of any tender. No part of the tender submitted will be returned to the supplier </w:t>
      </w:r>
    </w:p>
    <w:p w14:paraId="43433BBE" w14:textId="77777777" w:rsidR="00445FBE" w:rsidRPr="003D199F" w:rsidRDefault="00445FBE" w:rsidP="00445FBE">
      <w:pPr>
        <w:pStyle w:val="Heading4"/>
      </w:pPr>
      <w:r w:rsidRPr="003D199F">
        <w:t>Debrief</w:t>
      </w:r>
    </w:p>
    <w:p w14:paraId="6DC89684" w14:textId="1B25BD11" w:rsidR="00445FBE" w:rsidRPr="003D199F" w:rsidRDefault="00445FBE" w:rsidP="00445FBE">
      <w:pPr>
        <w:pStyle w:val="Numberedparagraphdouble"/>
        <w:numPr>
          <w:ilvl w:val="0"/>
          <w:numId w:val="0"/>
        </w:numPr>
      </w:pPr>
      <w:r w:rsidRPr="003D199F">
        <w:t>The debrief material shall contain comments and scores relevant to your tender. Bidders may seek clarification of the content, however no additional debriefs shall be offered. We shall not disclose comments and scores relevant to other tenders other than the total score of the winning bidder.</w:t>
      </w:r>
    </w:p>
    <w:p w14:paraId="645F65A0" w14:textId="77777777" w:rsidR="00433557" w:rsidRPr="003D199F" w:rsidRDefault="00433557" w:rsidP="000A0438">
      <w:pPr>
        <w:pStyle w:val="Heading4"/>
      </w:pPr>
      <w:r w:rsidRPr="003D199F">
        <w:t>Cost &amp; Pricing Information</w:t>
      </w:r>
    </w:p>
    <w:p w14:paraId="3ACAA94E" w14:textId="77777777" w:rsidR="00433557" w:rsidRPr="003D199F" w:rsidRDefault="00433557" w:rsidP="00433557">
      <w:r w:rsidRPr="003D199F">
        <w:t>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the tender closing date.</w:t>
      </w:r>
    </w:p>
    <w:p w14:paraId="0BCDEAAF" w14:textId="77777777" w:rsidR="00433557" w:rsidRPr="003D199F" w:rsidRDefault="00433557" w:rsidP="00433557">
      <w:r w:rsidRPr="003D199F">
        <w:t>Tender prices must be in Sterling.</w:t>
      </w:r>
    </w:p>
    <w:p w14:paraId="75B0EAC7" w14:textId="77777777" w:rsidR="00433557" w:rsidRPr="003D199F" w:rsidRDefault="00433557" w:rsidP="00433557">
      <w:r w:rsidRPr="003D199F">
        <w:t>Once the contract has been awarded, any additional costs incurred which are not reflected in the tender submission will not be accepted for payment.</w:t>
      </w:r>
    </w:p>
    <w:p w14:paraId="6C424363" w14:textId="77777777" w:rsidR="00433557" w:rsidRPr="003D199F" w:rsidRDefault="00433557" w:rsidP="000A0438">
      <w:pPr>
        <w:pStyle w:val="Heading4"/>
      </w:pPr>
      <w:r w:rsidRPr="003D199F">
        <w:t>References</w:t>
      </w:r>
    </w:p>
    <w:p w14:paraId="4520132B" w14:textId="77777777" w:rsidR="00433557" w:rsidRPr="003D199F" w:rsidRDefault="00433557" w:rsidP="00433557">
      <w:r w:rsidRPr="003D199F">
        <w:t>References provided as part of the tender may be approached during the tender stage</w:t>
      </w:r>
    </w:p>
    <w:p w14:paraId="6E143A93" w14:textId="77777777" w:rsidR="00433557" w:rsidRPr="003D199F" w:rsidRDefault="00433557" w:rsidP="000A0438">
      <w:pPr>
        <w:pStyle w:val="Heading4"/>
      </w:pPr>
      <w:r w:rsidRPr="003D199F">
        <w:t>Accessibility Guidelines</w:t>
      </w:r>
    </w:p>
    <w:p w14:paraId="1917FF3C" w14:textId="7A4746A2" w:rsidR="00433557" w:rsidRPr="003D199F" w:rsidRDefault="00433557" w:rsidP="00433557">
      <w:r w:rsidRPr="003D199F">
        <w:t>As a public body we are legally required to comply with accessibility guidelines. Please ensure any commissioned report is in a format that meets web accessibility regulations</w:t>
      </w:r>
      <w:r w:rsidR="0042552D" w:rsidRPr="003D199F">
        <w:t>:</w:t>
      </w:r>
      <w:r w:rsidRPr="003D199F">
        <w:t xml:space="preserve"> </w:t>
      </w:r>
      <w:hyperlink r:id="rId28" w:history="1">
        <w:r w:rsidRPr="003D199F">
          <w:rPr>
            <w:rStyle w:val="Hyperlink"/>
          </w:rPr>
          <w:t>Guidelines for writing accessible reports for ORR - Guidance for external suppliers | Office of Rail and Road</w:t>
        </w:r>
        <w:r w:rsidR="0042552D" w:rsidRPr="003D199F">
          <w:rPr>
            <w:rStyle w:val="Hyperlink"/>
          </w:rPr>
          <w:t>.</w:t>
        </w:r>
      </w:hyperlink>
    </w:p>
    <w:p w14:paraId="557E5CEE" w14:textId="77777777" w:rsidR="00433557" w:rsidRPr="003D199F" w:rsidRDefault="00433557" w:rsidP="0042552D">
      <w:pPr>
        <w:pStyle w:val="Heading4"/>
      </w:pPr>
      <w:r w:rsidRPr="003D199F">
        <w:t>Contractual Information</w:t>
      </w:r>
    </w:p>
    <w:p w14:paraId="6BBFF624" w14:textId="77777777" w:rsidR="00433557" w:rsidRPr="003D199F" w:rsidRDefault="00433557" w:rsidP="00433557">
      <w:r w:rsidRPr="003D199F">
        <w:t xml:space="preserve">Following the evaluation of submitted tenders, in accordance with the evaluation criteria stated in this document, a contractor may be selected to perform the services and subsequently issued with an order. </w:t>
      </w:r>
    </w:p>
    <w:p w14:paraId="07D855CE" w14:textId="77777777" w:rsidR="00433557" w:rsidRPr="003D199F" w:rsidRDefault="00433557" w:rsidP="00433557">
      <w:r w:rsidRPr="003D199F">
        <w:t xml:space="preserve">Any contract awarded, as a result of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responsibilities and proposed management arrangements. </w:t>
      </w:r>
    </w:p>
    <w:p w14:paraId="3ED81758" w14:textId="77777777" w:rsidR="00433557" w:rsidRPr="003D199F" w:rsidRDefault="00433557" w:rsidP="00433557">
      <w:r w:rsidRPr="003D199F">
        <w:t xml:space="preserve">The proposal should be submitted in the form of an unconditional offer that is capable of being accepted by the ORR without the need for further negotiation. Any contract arising from this procurement will be based upon ORR’s standard Terms &amp; </w:t>
      </w:r>
      <w:r w:rsidRPr="00EA0494">
        <w:t xml:space="preserve">Conditions (see </w:t>
      </w:r>
      <w:r w:rsidRPr="001E2367">
        <w:t>Form of Agreement attached</w:t>
      </w:r>
      <w:r w:rsidRPr="00EA0494">
        <w:t>). You should state in your proposal that you are willing t</w:t>
      </w:r>
      <w:r w:rsidRPr="003D199F">
        <w:t xml:space="preserve">o accept these Terms &amp; Conditions. </w:t>
      </w:r>
    </w:p>
    <w:p w14:paraId="59239BD0" w14:textId="58FDE7B3" w:rsidR="00433557" w:rsidRPr="003D199F" w:rsidRDefault="00433557" w:rsidP="00433557">
      <w:r w:rsidRPr="003D199F">
        <w:t>ORR does not expect to negotiate individual terms and expects to contract on the basis of those terms alone. If you do not agree to the Conditions of Contract then your tender may be deselected on that basis alone and not considered further.</w:t>
      </w:r>
    </w:p>
    <w:p w14:paraId="3CB3164A" w14:textId="7C262964" w:rsidR="002D3643" w:rsidRPr="003D199F" w:rsidRDefault="00433557" w:rsidP="00433557">
      <w:pPr>
        <w:rPr>
          <w:b/>
          <w:bCs/>
        </w:rPr>
      </w:pPr>
      <w:r w:rsidRPr="003D199F">
        <w:rPr>
          <w:b/>
          <w:bCs/>
        </w:rPr>
        <w:t>ORR may be prepared to consider non-fundamental changes to the standard terms and conditions in exceptional circumstances</w:t>
      </w:r>
      <w:r w:rsidR="00AC255A" w:rsidRPr="003D199F">
        <w:rPr>
          <w:b/>
          <w:bCs/>
        </w:rPr>
        <w:t xml:space="preserve">. </w:t>
      </w:r>
      <w:r w:rsidRPr="003D199F">
        <w:rPr>
          <w:b/>
          <w:bCs/>
        </w:rPr>
        <w:t>If there are any areas where you feel you are not able to comply with the standard ORR terms and conditions, then details should be submitted as a separate annex to the proposal using the following format:</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2409"/>
        <w:gridCol w:w="2409"/>
        <w:gridCol w:w="2410"/>
        <w:gridCol w:w="2410"/>
      </w:tblGrid>
      <w:tr w:rsidR="00D2517B" w:rsidRPr="003D199F" w14:paraId="3A6CE52C" w14:textId="77777777" w:rsidTr="00D2517B">
        <w:trPr>
          <w:tblHeader/>
        </w:trPr>
        <w:tc>
          <w:tcPr>
            <w:tcW w:w="2132" w:type="dxa"/>
            <w:tcBorders>
              <w:bottom w:val="single" w:sz="12" w:space="0" w:color="FFFFFF"/>
            </w:tcBorders>
            <w:shd w:val="solid" w:color="253268" w:themeColor="dark2" w:fill="253268" w:themeFill="dark2"/>
          </w:tcPr>
          <w:p w14:paraId="4FFB9355" w14:textId="77777777" w:rsidR="00D2517B" w:rsidRPr="003D199F" w:rsidRDefault="00D2517B" w:rsidP="00D2517B">
            <w:pPr>
              <w:pStyle w:val="TblHeading"/>
            </w:pPr>
            <w:r w:rsidRPr="003D199F">
              <w:t>Clause Number</w:t>
            </w:r>
          </w:p>
        </w:tc>
        <w:tc>
          <w:tcPr>
            <w:tcW w:w="2132" w:type="dxa"/>
            <w:tcBorders>
              <w:bottom w:val="single" w:sz="12" w:space="0" w:color="FFFFFF"/>
            </w:tcBorders>
            <w:shd w:val="solid" w:color="253268" w:themeColor="dark2" w:fill="253268" w:themeFill="dark2"/>
          </w:tcPr>
          <w:p w14:paraId="01500D02" w14:textId="44556B17" w:rsidR="00D2517B" w:rsidRPr="003D199F" w:rsidRDefault="00D2517B" w:rsidP="00D2517B">
            <w:pPr>
              <w:pStyle w:val="TblHeading"/>
            </w:pPr>
            <w:r w:rsidRPr="003D199F">
              <w:t>Existing Wording</w:t>
            </w:r>
          </w:p>
        </w:tc>
        <w:tc>
          <w:tcPr>
            <w:tcW w:w="2132" w:type="dxa"/>
            <w:tcBorders>
              <w:bottom w:val="single" w:sz="12" w:space="0" w:color="FFFFFF"/>
            </w:tcBorders>
            <w:shd w:val="solid" w:color="253268" w:themeColor="dark2" w:fill="253268" w:themeFill="dark2"/>
          </w:tcPr>
          <w:p w14:paraId="770FB321" w14:textId="77777777" w:rsidR="00D2517B" w:rsidRPr="003D199F" w:rsidRDefault="00D2517B" w:rsidP="00D2517B">
            <w:pPr>
              <w:pStyle w:val="TblHeading"/>
            </w:pPr>
            <w:r w:rsidRPr="003D199F">
              <w:t>Proposed Wording</w:t>
            </w:r>
          </w:p>
        </w:tc>
        <w:tc>
          <w:tcPr>
            <w:tcW w:w="2132" w:type="dxa"/>
            <w:tcBorders>
              <w:bottom w:val="single" w:sz="12" w:space="0" w:color="FFFFFF"/>
            </w:tcBorders>
            <w:shd w:val="solid" w:color="253268" w:themeColor="dark2" w:fill="253268" w:themeFill="dark2"/>
          </w:tcPr>
          <w:p w14:paraId="3057FC0A" w14:textId="77777777" w:rsidR="00D2517B" w:rsidRPr="003D199F" w:rsidRDefault="00D2517B" w:rsidP="00D2517B">
            <w:pPr>
              <w:pStyle w:val="TblHeading"/>
            </w:pPr>
            <w:r w:rsidRPr="003D199F">
              <w:t>Rational for amendment</w:t>
            </w:r>
          </w:p>
        </w:tc>
      </w:tr>
      <w:tr w:rsidR="00D2517B" w:rsidRPr="003D199F" w14:paraId="6A9F8028" w14:textId="77777777" w:rsidTr="00D2517B">
        <w:tc>
          <w:tcPr>
            <w:tcW w:w="2132" w:type="dxa"/>
            <w:tcBorders>
              <w:bottom w:val="single" w:sz="12" w:space="0" w:color="FFFFFF"/>
            </w:tcBorders>
            <w:shd w:val="solid" w:color="FFFFFF" w:fill="FFFFFF"/>
          </w:tcPr>
          <w:p w14:paraId="7EA0A525" w14:textId="77777777" w:rsidR="00D2517B" w:rsidRPr="003D199F" w:rsidRDefault="00D2517B" w:rsidP="00D2517B">
            <w:pPr>
              <w:pStyle w:val="TblText"/>
            </w:pPr>
          </w:p>
        </w:tc>
        <w:tc>
          <w:tcPr>
            <w:tcW w:w="2132" w:type="dxa"/>
            <w:tcBorders>
              <w:bottom w:val="single" w:sz="12" w:space="0" w:color="FFFFFF"/>
            </w:tcBorders>
            <w:shd w:val="solid" w:color="FFFFFF" w:fill="FFFFFF"/>
          </w:tcPr>
          <w:p w14:paraId="73EC6650" w14:textId="77777777" w:rsidR="00D2517B" w:rsidRPr="003D199F" w:rsidRDefault="00D2517B" w:rsidP="00D2517B">
            <w:pPr>
              <w:pStyle w:val="TblText"/>
            </w:pPr>
          </w:p>
        </w:tc>
        <w:tc>
          <w:tcPr>
            <w:tcW w:w="2132" w:type="dxa"/>
            <w:tcBorders>
              <w:bottom w:val="single" w:sz="12" w:space="0" w:color="FFFFFF"/>
            </w:tcBorders>
            <w:shd w:val="solid" w:color="FFFFFF" w:fill="FFFFFF"/>
          </w:tcPr>
          <w:p w14:paraId="4F1DFE3A" w14:textId="77777777" w:rsidR="00D2517B" w:rsidRPr="003D199F" w:rsidRDefault="00D2517B" w:rsidP="00D2517B">
            <w:pPr>
              <w:pStyle w:val="TblText"/>
            </w:pPr>
          </w:p>
        </w:tc>
        <w:tc>
          <w:tcPr>
            <w:tcW w:w="2132" w:type="dxa"/>
            <w:tcBorders>
              <w:bottom w:val="single" w:sz="12" w:space="0" w:color="FFFFFF"/>
            </w:tcBorders>
            <w:shd w:val="solid" w:color="FFFFFF" w:fill="FFFFFF"/>
          </w:tcPr>
          <w:p w14:paraId="4CAED7F4" w14:textId="77777777" w:rsidR="00D2517B" w:rsidRPr="003D199F" w:rsidRDefault="00D2517B" w:rsidP="00D2517B">
            <w:pPr>
              <w:pStyle w:val="TblText"/>
            </w:pPr>
          </w:p>
        </w:tc>
      </w:tr>
      <w:tr w:rsidR="00D2517B" w:rsidRPr="003D199F" w14:paraId="194E4D85" w14:textId="77777777" w:rsidTr="00D2517B">
        <w:tc>
          <w:tcPr>
            <w:tcW w:w="2132" w:type="dxa"/>
            <w:shd w:val="solid" w:color="E4E7F5" w:themeColor="text2" w:themeTint="19" w:fill="E4E7F5" w:themeFill="text2" w:themeFillTint="19"/>
          </w:tcPr>
          <w:p w14:paraId="04047A8B" w14:textId="77777777" w:rsidR="00D2517B" w:rsidRPr="003D199F" w:rsidRDefault="00D2517B" w:rsidP="00D2517B">
            <w:pPr>
              <w:pStyle w:val="TblText"/>
            </w:pPr>
          </w:p>
        </w:tc>
        <w:tc>
          <w:tcPr>
            <w:tcW w:w="2132" w:type="dxa"/>
            <w:shd w:val="solid" w:color="E4E7F5" w:themeColor="text2" w:themeTint="19" w:fill="E4E7F5" w:themeFill="text2" w:themeFillTint="19"/>
          </w:tcPr>
          <w:p w14:paraId="3ADDCB36" w14:textId="77777777" w:rsidR="00D2517B" w:rsidRPr="003D199F" w:rsidRDefault="00D2517B" w:rsidP="00D2517B">
            <w:pPr>
              <w:pStyle w:val="TblText"/>
            </w:pPr>
          </w:p>
        </w:tc>
        <w:tc>
          <w:tcPr>
            <w:tcW w:w="2132" w:type="dxa"/>
            <w:shd w:val="solid" w:color="E4E7F5" w:themeColor="text2" w:themeTint="19" w:fill="E4E7F5" w:themeFill="text2" w:themeFillTint="19"/>
          </w:tcPr>
          <w:p w14:paraId="69C9B09B" w14:textId="77777777" w:rsidR="00D2517B" w:rsidRPr="003D199F" w:rsidRDefault="00D2517B" w:rsidP="00D2517B">
            <w:pPr>
              <w:pStyle w:val="TblText"/>
            </w:pPr>
          </w:p>
        </w:tc>
        <w:tc>
          <w:tcPr>
            <w:tcW w:w="2132" w:type="dxa"/>
            <w:shd w:val="solid" w:color="E4E7F5" w:themeColor="text2" w:themeTint="19" w:fill="E4E7F5" w:themeFill="text2" w:themeFillTint="19"/>
          </w:tcPr>
          <w:p w14:paraId="798909EA" w14:textId="77777777" w:rsidR="00D2517B" w:rsidRPr="003D199F" w:rsidRDefault="00D2517B" w:rsidP="00D2517B">
            <w:pPr>
              <w:pStyle w:val="TblText"/>
            </w:pPr>
          </w:p>
        </w:tc>
      </w:tr>
    </w:tbl>
    <w:p w14:paraId="7962CF1C" w14:textId="7BA97342" w:rsidR="00400432" w:rsidRPr="003D199F" w:rsidRDefault="00400432" w:rsidP="003F3CB0"/>
    <w:p w14:paraId="3B352DAB" w14:textId="77777777" w:rsidR="00D2517B" w:rsidRPr="003D199F" w:rsidRDefault="00D2517B" w:rsidP="00D2517B">
      <w:r w:rsidRPr="003D199F">
        <w:t xml:space="preserve">Any services arising from this ITT will be carried out pursuant to the contract which comprises of: </w:t>
      </w:r>
    </w:p>
    <w:p w14:paraId="00B6320F" w14:textId="2ECA75C5" w:rsidR="00D2517B" w:rsidRPr="003D199F" w:rsidRDefault="00D2517B" w:rsidP="003D0868">
      <w:pPr>
        <w:pStyle w:val="NormalBulletround"/>
      </w:pPr>
      <w:r w:rsidRPr="003D199F">
        <w:t xml:space="preserve">ORR Terms &amp; Conditions; </w:t>
      </w:r>
    </w:p>
    <w:p w14:paraId="08958C5B" w14:textId="2814C608" w:rsidR="00D2517B" w:rsidRPr="003D199F" w:rsidRDefault="00D2517B" w:rsidP="003D0868">
      <w:pPr>
        <w:pStyle w:val="NormalBulletround"/>
      </w:pPr>
      <w:r w:rsidRPr="003D199F">
        <w:lastRenderedPageBreak/>
        <w:t>Service Schedules;</w:t>
      </w:r>
    </w:p>
    <w:p w14:paraId="75E74751" w14:textId="3FFDF4FA" w:rsidR="00D2517B" w:rsidRPr="003D199F" w:rsidRDefault="00D2517B" w:rsidP="003D0868">
      <w:pPr>
        <w:pStyle w:val="NormalBulletround"/>
      </w:pPr>
      <w:r w:rsidRPr="003D199F">
        <w:t xml:space="preserve">this Invite to Tender &amp; Statement of Requirement document; and </w:t>
      </w:r>
    </w:p>
    <w:p w14:paraId="7AB0DA44" w14:textId="0CABED05" w:rsidR="00D2517B" w:rsidRPr="003D199F" w:rsidRDefault="00D2517B" w:rsidP="003D0868">
      <w:pPr>
        <w:pStyle w:val="NormalBulletround"/>
      </w:pPr>
      <w:r w:rsidRPr="003D199F">
        <w:t>the chosen supplier’s successful tender.</w:t>
      </w:r>
    </w:p>
    <w:p w14:paraId="6D0DECAE" w14:textId="77777777" w:rsidR="00D2517B" w:rsidRPr="003D199F" w:rsidRDefault="00D2517B" w:rsidP="00D2517B">
      <w:r w:rsidRPr="003D199F">
        <w:t>ORR’s Transparency Obligations and the Freedom of Information Act 2000 (the Act)</w:t>
      </w:r>
    </w:p>
    <w:p w14:paraId="4A3DD302" w14:textId="5F0EED38" w:rsidR="00D2517B" w:rsidRPr="003D199F" w:rsidRDefault="00D2517B" w:rsidP="00D2517B">
      <w:r w:rsidRPr="003D199F">
        <w:t>The ORR is a central Government department and as such complies with the Government’s transparency agenda</w:t>
      </w:r>
      <w:r w:rsidR="00AC255A" w:rsidRPr="003D199F">
        <w:t xml:space="preserve">. </w:t>
      </w:r>
      <w:r w:rsidRPr="003D199F">
        <w:t>As a result, there is a presumption that contract documentation will be made available to the public via electronic means.</w:t>
      </w:r>
      <w:r w:rsidR="006E205F">
        <w:t xml:space="preserve"> </w:t>
      </w:r>
      <w:r w:rsidRPr="003D199F">
        <w:t xml:space="preserve">The ORR will work with the chosen supplier to establish if any information within the contract should be withheld and the reasons for withholding it from publication. </w:t>
      </w:r>
    </w:p>
    <w:p w14:paraId="40D4E10C" w14:textId="61A9CBCF" w:rsidR="00D2517B" w:rsidRPr="003D199F" w:rsidRDefault="00D2517B" w:rsidP="00D2517B">
      <w:r w:rsidRPr="003D199F">
        <w:t>Typically</w:t>
      </w:r>
      <w:r w:rsidR="0084643A">
        <w:t>,</w:t>
      </w:r>
      <w:r w:rsidRPr="003D199F">
        <w:t xml:space="preserve"> the following information will be published:</w:t>
      </w:r>
    </w:p>
    <w:p w14:paraId="41CA63B9" w14:textId="71CC801C" w:rsidR="00D2517B" w:rsidRPr="003D199F" w:rsidRDefault="00D2517B" w:rsidP="00585CEE">
      <w:pPr>
        <w:pStyle w:val="NormalBulletround"/>
      </w:pPr>
      <w:r w:rsidRPr="003D199F">
        <w:t>contract price and any incentivisation mechanisms</w:t>
      </w:r>
    </w:p>
    <w:p w14:paraId="0C608C4C" w14:textId="4D5BAB55" w:rsidR="00D2517B" w:rsidRPr="003D199F" w:rsidRDefault="00D2517B" w:rsidP="00585CEE">
      <w:pPr>
        <w:pStyle w:val="NormalBulletround"/>
      </w:pPr>
      <w:r w:rsidRPr="003D199F">
        <w:t>performance metrics and management of them</w:t>
      </w:r>
    </w:p>
    <w:p w14:paraId="6EF2FC26" w14:textId="50C8AAC7" w:rsidR="00D2517B" w:rsidRPr="003D199F" w:rsidRDefault="00D2517B" w:rsidP="00585CEE">
      <w:pPr>
        <w:pStyle w:val="NormalBulletround"/>
      </w:pPr>
      <w:r w:rsidRPr="003D199F">
        <w:t>plans for management of underperformance and its financial impact</w:t>
      </w:r>
    </w:p>
    <w:p w14:paraId="7AC03503" w14:textId="3D4C7866" w:rsidR="00D2517B" w:rsidRPr="003D199F" w:rsidRDefault="00D2517B" w:rsidP="00585CEE">
      <w:pPr>
        <w:pStyle w:val="NormalBulletround"/>
      </w:pPr>
      <w:r w:rsidRPr="003D199F">
        <w:t>governance arrangements including through supply chains where significant contract value rests with subcontractors</w:t>
      </w:r>
    </w:p>
    <w:p w14:paraId="3ABEB3FE" w14:textId="39B3AE4E" w:rsidR="00D2517B" w:rsidRPr="003D199F" w:rsidRDefault="00D2517B" w:rsidP="00585CEE">
      <w:pPr>
        <w:pStyle w:val="NormalBulletround"/>
      </w:pPr>
      <w:r w:rsidRPr="003D199F">
        <w:t>resource plans</w:t>
      </w:r>
    </w:p>
    <w:p w14:paraId="410BF383" w14:textId="3D32CA97" w:rsidR="00D2517B" w:rsidRPr="003D199F" w:rsidRDefault="00D2517B" w:rsidP="00585CEE">
      <w:pPr>
        <w:pStyle w:val="NormalBulletround"/>
      </w:pPr>
      <w:r w:rsidRPr="003D199F">
        <w:t>service improvement plans</w:t>
      </w:r>
    </w:p>
    <w:p w14:paraId="0289B313" w14:textId="77777777" w:rsidR="00D2517B" w:rsidRPr="003D199F" w:rsidRDefault="00D2517B" w:rsidP="00D2517B">
      <w:r w:rsidRPr="003D199F">
        <w:t xml:space="preserve">Where appropriate to do so information will be updated as required during the life of the contract so it remains current; </w:t>
      </w:r>
    </w:p>
    <w:p w14:paraId="70389FA8" w14:textId="14686F79" w:rsidR="00D2517B" w:rsidRPr="003D199F" w:rsidRDefault="00D2517B" w:rsidP="00D2517B">
      <w:r w:rsidRPr="003D199F">
        <w:t>In addition, as a public authority, ORR is subject to the provisions of the Freedom of Information Act 2000</w:t>
      </w:r>
      <w:r w:rsidR="00AC255A" w:rsidRPr="003D199F">
        <w:t xml:space="preserve">. </w:t>
      </w:r>
      <w:r w:rsidRPr="003D199F">
        <w:t>All information submitted to a public authority may need to be disclosed by the public authority in response to a request under the Act.</w:t>
      </w:r>
      <w:r w:rsidR="00A847AB">
        <w:t xml:space="preserve"> </w:t>
      </w:r>
      <w:r w:rsidRPr="003D199F">
        <w:t>ORR may also decide to include certain information in the publication scheme which it maintains under the Act. If a bidder considers that any of the information included in its proposal is commercially sensitive, it should identify it and explain (in broad terms) what harm may result from disclosure if a request is received and the time period applicable to that sensitivity. Bidders should be aware that even where they have indicated that information is commercially sensitive ORR may be required to disclose it under the Act if a request is received</w:t>
      </w:r>
      <w:r w:rsidR="00AC255A" w:rsidRPr="003D199F">
        <w:t xml:space="preserve">. </w:t>
      </w:r>
      <w:r w:rsidRPr="003D199F">
        <w:t xml:space="preserve">Bidders should also note that the receipt of any material marked “confidential” or equivalent by the public authority should not be taken to mean that the public authority </w:t>
      </w:r>
      <w:r w:rsidRPr="003D199F">
        <w:lastRenderedPageBreak/>
        <w:t>accepts any duty of confidence by virtue of that marking.</w:t>
      </w:r>
      <w:r w:rsidR="004A7E8D">
        <w:t xml:space="preserve"> </w:t>
      </w:r>
      <w:r w:rsidRPr="003D199F">
        <w:t>If a request is received ORR may also be required to disclose details of unsuccessful bids</w:t>
      </w:r>
    </w:p>
    <w:p w14:paraId="2EB7A5C9" w14:textId="4751D542" w:rsidR="00D2517B" w:rsidRPr="003D199F" w:rsidRDefault="00D2517B" w:rsidP="009757DA">
      <w:pPr>
        <w:keepNext/>
      </w:pPr>
      <w:r w:rsidRPr="003D199F">
        <w:t>Please use the following matrix: to list such information:</w:t>
      </w:r>
    </w:p>
    <w:tbl>
      <w:tblPr>
        <w:tblW w:w="9638"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shd w:val="solid" w:color="FFFFFF" w:fill="FFFFFF"/>
        <w:tblLayout w:type="fixed"/>
        <w:tblCellMar>
          <w:left w:w="0" w:type="dxa"/>
        </w:tblCellMar>
        <w:tblLook w:val="0160" w:firstRow="1" w:lastRow="1" w:firstColumn="0" w:lastColumn="1" w:noHBand="0" w:noVBand="0"/>
        <w:tblCaption w:val="BrochetTable"/>
        <w:tblDescription w:val="FullWidth|Even|Alternative|NoTotal"/>
      </w:tblPr>
      <w:tblGrid>
        <w:gridCol w:w="1546"/>
        <w:gridCol w:w="4069"/>
        <w:gridCol w:w="4023"/>
      </w:tblGrid>
      <w:tr w:rsidR="009757DA" w:rsidRPr="003D199F" w14:paraId="7E61A305" w14:textId="77777777" w:rsidTr="009757DA">
        <w:trPr>
          <w:tblHeader/>
        </w:trPr>
        <w:tc>
          <w:tcPr>
            <w:tcW w:w="1368" w:type="dxa"/>
            <w:tcBorders>
              <w:bottom w:val="single" w:sz="12" w:space="0" w:color="FFFFFF"/>
            </w:tcBorders>
            <w:shd w:val="solid" w:color="253268" w:themeColor="dark2" w:fill="253268" w:themeFill="dark2"/>
          </w:tcPr>
          <w:p w14:paraId="41CB7D4C" w14:textId="77777777" w:rsidR="009757DA" w:rsidRPr="003D199F" w:rsidRDefault="009757DA" w:rsidP="009757DA">
            <w:pPr>
              <w:pStyle w:val="TblHeading"/>
            </w:pPr>
            <w:smartTag w:uri="urn:schemas-microsoft-com:office:smarttags" w:element="place">
              <w:r w:rsidRPr="003D199F">
                <w:t>Para</w:t>
              </w:r>
            </w:smartTag>
            <w:r w:rsidRPr="003D199F">
              <w:t>. No.</w:t>
            </w:r>
          </w:p>
        </w:tc>
        <w:tc>
          <w:tcPr>
            <w:tcW w:w="3600" w:type="dxa"/>
            <w:tcBorders>
              <w:bottom w:val="single" w:sz="12" w:space="0" w:color="FFFFFF"/>
            </w:tcBorders>
            <w:shd w:val="solid" w:color="253268" w:themeColor="dark2" w:fill="253268" w:themeFill="dark2"/>
          </w:tcPr>
          <w:p w14:paraId="3692A061" w14:textId="77777777" w:rsidR="009757DA" w:rsidRPr="003D199F" w:rsidRDefault="009757DA" w:rsidP="009757DA">
            <w:pPr>
              <w:pStyle w:val="TblHeading"/>
            </w:pPr>
            <w:r w:rsidRPr="003D199F">
              <w:t>Description</w:t>
            </w:r>
          </w:p>
        </w:tc>
        <w:tc>
          <w:tcPr>
            <w:tcW w:w="3560" w:type="dxa"/>
            <w:tcBorders>
              <w:bottom w:val="single" w:sz="12" w:space="0" w:color="FFFFFF"/>
            </w:tcBorders>
            <w:shd w:val="solid" w:color="253268" w:themeColor="dark2" w:fill="253268" w:themeFill="dark2"/>
          </w:tcPr>
          <w:p w14:paraId="321F85ED" w14:textId="77777777" w:rsidR="009757DA" w:rsidRPr="003D199F" w:rsidRDefault="009757DA" w:rsidP="009757DA">
            <w:pPr>
              <w:pStyle w:val="TblHeading"/>
            </w:pPr>
            <w:r w:rsidRPr="003D199F">
              <w:t>Applicable exemption under FOIA 2000</w:t>
            </w:r>
          </w:p>
        </w:tc>
      </w:tr>
      <w:tr w:rsidR="009757DA" w:rsidRPr="003D199F" w14:paraId="41D76DDC" w14:textId="77777777" w:rsidTr="009757DA">
        <w:tc>
          <w:tcPr>
            <w:tcW w:w="1368" w:type="dxa"/>
            <w:tcBorders>
              <w:bottom w:val="single" w:sz="12" w:space="0" w:color="FFFFFF"/>
            </w:tcBorders>
            <w:shd w:val="solid" w:color="FFFFFF" w:fill="FFFFFF"/>
          </w:tcPr>
          <w:p w14:paraId="02B7F36D" w14:textId="77777777" w:rsidR="009757DA" w:rsidRPr="003D199F" w:rsidRDefault="009757DA" w:rsidP="009757DA">
            <w:pPr>
              <w:pStyle w:val="TblText"/>
            </w:pPr>
          </w:p>
        </w:tc>
        <w:tc>
          <w:tcPr>
            <w:tcW w:w="3600" w:type="dxa"/>
            <w:tcBorders>
              <w:bottom w:val="single" w:sz="12" w:space="0" w:color="FFFFFF"/>
            </w:tcBorders>
            <w:shd w:val="solid" w:color="FFFFFF" w:fill="FFFFFF"/>
          </w:tcPr>
          <w:p w14:paraId="660252C5" w14:textId="77777777" w:rsidR="009757DA" w:rsidRPr="003D199F" w:rsidRDefault="009757DA" w:rsidP="009757DA">
            <w:pPr>
              <w:pStyle w:val="TblText"/>
            </w:pPr>
          </w:p>
        </w:tc>
        <w:tc>
          <w:tcPr>
            <w:tcW w:w="3560" w:type="dxa"/>
            <w:tcBorders>
              <w:bottom w:val="single" w:sz="12" w:space="0" w:color="FFFFFF"/>
            </w:tcBorders>
            <w:shd w:val="solid" w:color="FFFFFF" w:fill="FFFFFF"/>
          </w:tcPr>
          <w:p w14:paraId="022E35ED" w14:textId="77777777" w:rsidR="009757DA" w:rsidRPr="003D199F" w:rsidRDefault="009757DA" w:rsidP="009757DA">
            <w:pPr>
              <w:pStyle w:val="TblText"/>
            </w:pPr>
          </w:p>
        </w:tc>
      </w:tr>
      <w:tr w:rsidR="009757DA" w:rsidRPr="003D199F" w14:paraId="41399DD7" w14:textId="77777777" w:rsidTr="009757DA">
        <w:tc>
          <w:tcPr>
            <w:tcW w:w="1368" w:type="dxa"/>
            <w:tcBorders>
              <w:bottom w:val="single" w:sz="12" w:space="0" w:color="FFFFFF"/>
            </w:tcBorders>
            <w:shd w:val="solid" w:color="E4E7F5" w:themeColor="text2" w:themeTint="19" w:fill="E4E7F5" w:themeFill="text2" w:themeFillTint="19"/>
          </w:tcPr>
          <w:p w14:paraId="009E6393" w14:textId="77777777" w:rsidR="009757DA" w:rsidRPr="003D199F" w:rsidRDefault="009757DA" w:rsidP="009757DA">
            <w:pPr>
              <w:pStyle w:val="TblText"/>
            </w:pPr>
          </w:p>
        </w:tc>
        <w:tc>
          <w:tcPr>
            <w:tcW w:w="3600" w:type="dxa"/>
            <w:tcBorders>
              <w:bottom w:val="single" w:sz="12" w:space="0" w:color="FFFFFF"/>
            </w:tcBorders>
            <w:shd w:val="solid" w:color="E4E7F5" w:themeColor="text2" w:themeTint="19" w:fill="E4E7F5" w:themeFill="text2" w:themeFillTint="19"/>
          </w:tcPr>
          <w:p w14:paraId="575EAFEE" w14:textId="77777777" w:rsidR="009757DA" w:rsidRPr="003D199F" w:rsidRDefault="009757DA" w:rsidP="009757DA">
            <w:pPr>
              <w:pStyle w:val="TblText"/>
            </w:pPr>
          </w:p>
        </w:tc>
        <w:tc>
          <w:tcPr>
            <w:tcW w:w="3560" w:type="dxa"/>
            <w:tcBorders>
              <w:bottom w:val="single" w:sz="12" w:space="0" w:color="FFFFFF"/>
            </w:tcBorders>
            <w:shd w:val="solid" w:color="E4E7F5" w:themeColor="text2" w:themeTint="19" w:fill="E4E7F5" w:themeFill="text2" w:themeFillTint="19"/>
          </w:tcPr>
          <w:p w14:paraId="669019C6" w14:textId="77777777" w:rsidR="009757DA" w:rsidRPr="003D199F" w:rsidRDefault="009757DA" w:rsidP="009757DA">
            <w:pPr>
              <w:pStyle w:val="TblText"/>
            </w:pPr>
          </w:p>
        </w:tc>
      </w:tr>
      <w:tr w:rsidR="009757DA" w:rsidRPr="003D199F" w14:paraId="50836AA8" w14:textId="77777777" w:rsidTr="009757DA">
        <w:tc>
          <w:tcPr>
            <w:tcW w:w="1368" w:type="dxa"/>
            <w:shd w:val="solid" w:color="FFFFFF" w:fill="FFFFFF"/>
          </w:tcPr>
          <w:p w14:paraId="5A6923EF" w14:textId="77777777" w:rsidR="009757DA" w:rsidRPr="003D199F" w:rsidRDefault="009757DA" w:rsidP="009757DA">
            <w:pPr>
              <w:pStyle w:val="TblText"/>
            </w:pPr>
          </w:p>
        </w:tc>
        <w:tc>
          <w:tcPr>
            <w:tcW w:w="3600" w:type="dxa"/>
            <w:shd w:val="solid" w:color="FFFFFF" w:fill="FFFFFF"/>
          </w:tcPr>
          <w:p w14:paraId="0E947812" w14:textId="77777777" w:rsidR="009757DA" w:rsidRPr="003D199F" w:rsidRDefault="009757DA" w:rsidP="009757DA">
            <w:pPr>
              <w:pStyle w:val="TblText"/>
            </w:pPr>
          </w:p>
        </w:tc>
        <w:tc>
          <w:tcPr>
            <w:tcW w:w="3560" w:type="dxa"/>
            <w:shd w:val="solid" w:color="FFFFFF" w:fill="FFFFFF"/>
          </w:tcPr>
          <w:p w14:paraId="70CF01C2" w14:textId="77777777" w:rsidR="009757DA" w:rsidRPr="003D199F" w:rsidRDefault="009757DA" w:rsidP="009757DA">
            <w:pPr>
              <w:pStyle w:val="TblText"/>
            </w:pPr>
          </w:p>
        </w:tc>
      </w:tr>
    </w:tbl>
    <w:p w14:paraId="1CF64EE4" w14:textId="1BC3238A" w:rsidR="00D2517B" w:rsidRPr="003D199F" w:rsidRDefault="00D2517B" w:rsidP="003F3CB0"/>
    <w:p w14:paraId="2837238D" w14:textId="665B9776" w:rsidR="003D0868" w:rsidRPr="003D199F" w:rsidRDefault="003D0868" w:rsidP="003F3CB0"/>
    <w:p w14:paraId="62CE6F65" w14:textId="24945441" w:rsidR="003D0868" w:rsidRPr="003D199F" w:rsidRDefault="003D0868" w:rsidP="003F3CB0"/>
    <w:p w14:paraId="6970FDEE" w14:textId="77777777" w:rsidR="003D0868" w:rsidRPr="003D199F" w:rsidRDefault="003D0868" w:rsidP="003F3CB0"/>
    <w:p w14:paraId="0F295614" w14:textId="77777777" w:rsidR="003B17E6" w:rsidRPr="003D199F" w:rsidRDefault="003B17E6" w:rsidP="00C00576">
      <w:pPr>
        <w:sectPr w:rsidR="003B17E6" w:rsidRPr="003D199F" w:rsidSect="003B17E6">
          <w:headerReference w:type="even" r:id="rId29"/>
          <w:headerReference w:type="default" r:id="rId30"/>
          <w:pgSz w:w="11906" w:h="16838" w:code="9"/>
          <w:pgMar w:top="1418" w:right="1134" w:bottom="1134" w:left="1134" w:header="709" w:footer="709" w:gutter="0"/>
          <w:cols w:space="708"/>
          <w:docGrid w:linePitch="360"/>
        </w:sectPr>
      </w:pPr>
    </w:p>
    <w:p w14:paraId="3FD80486" w14:textId="56BEDAEA" w:rsidR="003B17E6" w:rsidRPr="003D199F" w:rsidRDefault="003B17E6" w:rsidP="003B17E6">
      <w:pPr>
        <w:pStyle w:val="Copyrighttext"/>
      </w:pPr>
      <w:r w:rsidRPr="003D199F">
        <w:rPr>
          <w:noProof/>
          <w:sz w:val="22"/>
          <w:lang w:eastAsia="en-GB"/>
        </w:rPr>
        <w:lastRenderedPageBreak/>
        <w:drawing>
          <wp:inline distT="0" distB="0" distL="0" distR="0" wp14:anchorId="72E11BF2" wp14:editId="7121AB12">
            <wp:extent cx="792294" cy="320633"/>
            <wp:effectExtent l="0" t="0" r="8255" b="3810"/>
            <wp:docPr id="23" name="OGLLogo" descr="Logo: Open Government Licen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taff\rwdd\OGL_Logo.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98670" cy="323213"/>
                    </a:xfrm>
                    <a:prstGeom prst="rect">
                      <a:avLst/>
                    </a:prstGeom>
                    <a:noFill/>
                    <a:ln>
                      <a:noFill/>
                    </a:ln>
                  </pic:spPr>
                </pic:pic>
              </a:graphicData>
            </a:graphic>
          </wp:inline>
        </w:drawing>
      </w:r>
    </w:p>
    <w:p w14:paraId="5F3E836D" w14:textId="77777777" w:rsidR="003B17E6" w:rsidRPr="003D199F" w:rsidRDefault="003B17E6" w:rsidP="003B17E6">
      <w:pPr>
        <w:pStyle w:val="Copyrighttext"/>
      </w:pPr>
      <w:r w:rsidRPr="003D199F">
        <w:t>© Crown copyright 2025</w:t>
      </w:r>
    </w:p>
    <w:p w14:paraId="252FA78D" w14:textId="77777777" w:rsidR="003B17E6" w:rsidRPr="003D199F" w:rsidRDefault="003B17E6" w:rsidP="003B17E6">
      <w:pPr>
        <w:pStyle w:val="Copyrighttext"/>
      </w:pPr>
      <w:r w:rsidRPr="003D199F">
        <w:t xml:space="preserve">This publication is licensed under the terms of the Open Government Licence v3.0 except where otherwise stated. To view this licence, visit </w:t>
      </w:r>
      <w:hyperlink r:id="rId32" w:history="1">
        <w:r w:rsidRPr="003D199F">
          <w:rPr>
            <w:rStyle w:val="Hyperlink"/>
          </w:rPr>
          <w:t>nationalarchives.gov.uk/doc/open-government-licence/version/3</w:t>
        </w:r>
      </w:hyperlink>
    </w:p>
    <w:p w14:paraId="76E0B936" w14:textId="77777777" w:rsidR="003B17E6" w:rsidRPr="003D199F" w:rsidRDefault="003B17E6" w:rsidP="003B17E6">
      <w:pPr>
        <w:pStyle w:val="Copyrighttext"/>
      </w:pPr>
      <w:r w:rsidRPr="003D199F">
        <w:t>Where we have identified any third party copyright information you will need to obtain permission from the copyright holders concerned.</w:t>
      </w:r>
    </w:p>
    <w:p w14:paraId="1C4EECA7" w14:textId="77777777" w:rsidR="003B17E6" w:rsidRPr="003D199F" w:rsidRDefault="003B17E6" w:rsidP="003B17E6">
      <w:pPr>
        <w:pStyle w:val="Copyrighttext"/>
      </w:pPr>
      <w:r w:rsidRPr="003D199F">
        <w:t xml:space="preserve">This publication is available at </w:t>
      </w:r>
      <w:hyperlink r:id="rId33" w:history="1">
        <w:r w:rsidRPr="003D199F">
          <w:rPr>
            <w:rStyle w:val="Hyperlink"/>
          </w:rPr>
          <w:t>orr.gov.uk</w:t>
        </w:r>
      </w:hyperlink>
    </w:p>
    <w:p w14:paraId="3E695126" w14:textId="0A8710B1" w:rsidR="003B17E6" w:rsidRPr="003B17E6" w:rsidRDefault="003B17E6" w:rsidP="003B17E6">
      <w:pPr>
        <w:pStyle w:val="Copyrighttext"/>
      </w:pPr>
      <w:r w:rsidRPr="003D199F">
        <w:t xml:space="preserve">Any enquiries regarding this publication should be sent to us at </w:t>
      </w:r>
      <w:hyperlink r:id="rId34" w:history="1">
        <w:r w:rsidRPr="003D199F">
          <w:rPr>
            <w:rStyle w:val="Hyperlink"/>
          </w:rPr>
          <w:t>orr.gov.uk/contact-us</w:t>
        </w:r>
      </w:hyperlink>
    </w:p>
    <w:sectPr w:rsidR="003B17E6" w:rsidRPr="003B17E6" w:rsidSect="003B17E6">
      <w:headerReference w:type="even" r:id="rId35"/>
      <w:headerReference w:type="default" r:id="rId36"/>
      <w:footerReference w:type="even" r:id="rId37"/>
      <w:footerReference w:type="default" r:id="rId38"/>
      <w:headerReference w:type="first" r:id="rId39"/>
      <w:footerReference w:type="first" r:id="rId40"/>
      <w:pgSz w:w="11906" w:h="16838" w:code="9"/>
      <w:pgMar w:top="1417" w:right="1134" w:bottom="1134" w:left="1134" w:header="709" w:footer="709" w:gutter="0"/>
      <w:cols w:space="708"/>
      <w:vAlign w:val="bottom"/>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07D9E" w14:textId="77777777" w:rsidR="00EA671C" w:rsidRPr="003D199F" w:rsidRDefault="00EA671C" w:rsidP="00555585">
      <w:pPr>
        <w:spacing w:after="0" w:line="240" w:lineRule="auto"/>
      </w:pPr>
      <w:r w:rsidRPr="003D199F">
        <w:separator/>
      </w:r>
    </w:p>
  </w:endnote>
  <w:endnote w:type="continuationSeparator" w:id="0">
    <w:p w14:paraId="57443A86" w14:textId="77777777" w:rsidR="00EA671C" w:rsidRPr="003D199F" w:rsidRDefault="00EA671C" w:rsidP="00555585">
      <w:pPr>
        <w:spacing w:after="0" w:line="240" w:lineRule="auto"/>
      </w:pPr>
      <w:r w:rsidRPr="003D199F">
        <w:continuationSeparator/>
      </w:r>
    </w:p>
  </w:endnote>
  <w:endnote w:type="continuationNotice" w:id="1">
    <w:p w14:paraId="03D73418" w14:textId="77777777" w:rsidR="00EA671C" w:rsidRPr="003D199F" w:rsidRDefault="00EA67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7C535" w14:textId="77777777" w:rsidR="003B17E6" w:rsidRPr="003D199F" w:rsidRDefault="003B1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32D0" w14:textId="77777777" w:rsidR="003B17E6" w:rsidRPr="003D199F" w:rsidRDefault="003B17E6" w:rsidP="00C00576">
    <w:pPr>
      <w:pStyle w:val="Footer"/>
    </w:pPr>
    <w:bookmarkStart w:id="2" w:name="_Hlk65150515"/>
    <w:bookmarkStart w:id="3" w:name="_Hlk65150516"/>
    <w:r w:rsidRPr="003D199F">
      <w:rPr>
        <w:noProof/>
        <w:lang w:eastAsia="en-GB"/>
      </w:rPr>
      <w:drawing>
        <wp:anchor distT="0" distB="0" distL="114300" distR="114300" simplePos="0" relativeHeight="251658241" behindDoc="1" locked="0" layoutInCell="1" allowOverlap="1" wp14:anchorId="7E2F0109" wp14:editId="6C47BE4D">
          <wp:simplePos x="0" y="0"/>
          <wp:positionH relativeFrom="page">
            <wp:posOffset>0</wp:posOffset>
          </wp:positionH>
          <wp:positionV relativeFrom="page">
            <wp:posOffset>8641080</wp:posOffset>
          </wp:positionV>
          <wp:extent cx="7567200" cy="2095200"/>
          <wp:effectExtent l="0" t="0" r="0" b="0"/>
          <wp:wrapNone/>
          <wp:docPr id="12"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9CAA3" w14:textId="77777777" w:rsidR="003B17E6" w:rsidRPr="003D199F" w:rsidRDefault="003B17E6" w:rsidP="00C00576">
    <w:pPr>
      <w:pStyle w:val="Footer"/>
    </w:pPr>
    <w:r w:rsidRPr="003D199F">
      <w:rPr>
        <w:noProof/>
        <w:lang w:eastAsia="en-GB"/>
      </w:rPr>
      <w:drawing>
        <wp:anchor distT="0" distB="0" distL="114300" distR="114300" simplePos="0" relativeHeight="251658242" behindDoc="1" locked="0" layoutInCell="1" allowOverlap="1" wp14:anchorId="647835C7" wp14:editId="72B40302">
          <wp:simplePos x="0" y="0"/>
          <wp:positionH relativeFrom="page">
            <wp:posOffset>0</wp:posOffset>
          </wp:positionH>
          <wp:positionV relativeFrom="page">
            <wp:posOffset>8641080</wp:posOffset>
          </wp:positionV>
          <wp:extent cx="7567200" cy="2095200"/>
          <wp:effectExtent l="0" t="0" r="0" b="0"/>
          <wp:wrapNone/>
          <wp:docPr id="20"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B47F" w14:textId="77777777" w:rsidR="003B17E6" w:rsidRPr="003D199F" w:rsidRDefault="003B17E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8EA6A" w14:textId="77777777" w:rsidR="003B17E6" w:rsidRPr="003D199F" w:rsidRDefault="003B17E6" w:rsidP="00C00576">
    <w:pPr>
      <w:pStyle w:val="Footer"/>
    </w:pPr>
  </w:p>
  <w:p w14:paraId="4C05B91A" w14:textId="77777777" w:rsidR="003B17E6" w:rsidRPr="003D199F" w:rsidRDefault="003B17E6" w:rsidP="00C00576">
    <w:pPr>
      <w:pStyle w:val="Footer"/>
    </w:pPr>
  </w:p>
  <w:p w14:paraId="129AF70F" w14:textId="77777777" w:rsidR="003B17E6" w:rsidRPr="003D199F" w:rsidRDefault="003B17E6" w:rsidP="00C00576">
    <w:pPr>
      <w:pStyle w:val="Footer"/>
    </w:pPr>
  </w:p>
  <w:p w14:paraId="5E04C168" w14:textId="77777777" w:rsidR="003B17E6" w:rsidRPr="003D199F" w:rsidRDefault="003B17E6" w:rsidP="00C00576">
    <w:pPr>
      <w:pStyle w:val="Footer"/>
    </w:pPr>
  </w:p>
  <w:p w14:paraId="777C8D24" w14:textId="77777777" w:rsidR="003B17E6" w:rsidRPr="003D199F" w:rsidRDefault="003B17E6" w:rsidP="00C00576">
    <w:pPr>
      <w:pStyle w:val="Footer"/>
    </w:pPr>
  </w:p>
  <w:p w14:paraId="003FA088" w14:textId="77777777" w:rsidR="003B17E6" w:rsidRPr="003D199F" w:rsidRDefault="003B17E6" w:rsidP="00C00576">
    <w:pPr>
      <w:pStyle w:val="Footer"/>
      <w:rPr>
        <w:sz w:val="24"/>
        <w:szCs w:val="24"/>
      </w:rPr>
    </w:pPr>
    <w:r w:rsidRPr="003D199F">
      <w:rPr>
        <w:sz w:val="24"/>
        <w:szCs w:val="24"/>
      </w:rPr>
      <w:fldChar w:fldCharType="begin"/>
    </w:r>
    <w:r w:rsidRPr="003D199F">
      <w:rPr>
        <w:sz w:val="24"/>
        <w:szCs w:val="24"/>
      </w:rPr>
      <w:instrText xml:space="preserve"> PAGE   \* MERGEFORMAT </w:instrText>
    </w:r>
    <w:r w:rsidRPr="003D199F">
      <w:rPr>
        <w:sz w:val="24"/>
        <w:szCs w:val="24"/>
      </w:rPr>
      <w:fldChar w:fldCharType="separate"/>
    </w:r>
    <w:r w:rsidRPr="003D199F">
      <w:rPr>
        <w:sz w:val="24"/>
        <w:szCs w:val="24"/>
      </w:rPr>
      <w:t>1</w:t>
    </w:r>
    <w:r w:rsidRPr="003D199F">
      <w:rPr>
        <w:sz w:val="24"/>
        <w:szCs w:val="24"/>
      </w:rPr>
      <w:fldChar w:fldCharType="end"/>
    </w:r>
    <w:r w:rsidRPr="003D199F">
      <w:rPr>
        <w:noProof/>
        <w:sz w:val="24"/>
        <w:szCs w:val="24"/>
        <w:lang w:eastAsia="en-GB"/>
      </w:rPr>
      <w:drawing>
        <wp:anchor distT="0" distB="0" distL="114300" distR="114300" simplePos="0" relativeHeight="251658245" behindDoc="1" locked="1" layoutInCell="1" allowOverlap="1" wp14:anchorId="23FE3E06" wp14:editId="6B9E43FF">
          <wp:simplePos x="0" y="0"/>
          <wp:positionH relativeFrom="page">
            <wp:posOffset>0</wp:posOffset>
          </wp:positionH>
          <wp:positionV relativeFrom="paragraph">
            <wp:posOffset>-951865</wp:posOffset>
          </wp:positionV>
          <wp:extent cx="7560000" cy="1530000"/>
          <wp:effectExtent l="0" t="0" r="3175" b="0"/>
          <wp:wrapNone/>
          <wp:docPr id="22"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andard footer.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53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A4861" w14:textId="77777777" w:rsidR="003B17E6" w:rsidRPr="003D199F" w:rsidRDefault="003B17E6" w:rsidP="00C00576">
    <w:pPr>
      <w:pStyle w:val="Footer"/>
    </w:pPr>
    <w:r w:rsidRPr="003D199F">
      <w:rPr>
        <w:noProof/>
        <w:lang w:eastAsia="en-GB"/>
      </w:rPr>
      <w:drawing>
        <wp:anchor distT="0" distB="0" distL="114300" distR="114300" simplePos="0" relativeHeight="251658243" behindDoc="1" locked="0" layoutInCell="1" allowOverlap="1" wp14:anchorId="1EE77833" wp14:editId="30FAF087">
          <wp:simplePos x="0" y="0"/>
          <wp:positionH relativeFrom="page">
            <wp:posOffset>0</wp:posOffset>
          </wp:positionH>
          <wp:positionV relativeFrom="page">
            <wp:posOffset>8641080</wp:posOffset>
          </wp:positionV>
          <wp:extent cx="7567200" cy="2095200"/>
          <wp:effectExtent l="0" t="0" r="0" b="0"/>
          <wp:wrapNone/>
          <wp:docPr id="2146767333" name="Picture 22"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1A51" w14:textId="77777777" w:rsidR="003B17E6" w:rsidRPr="003D199F" w:rsidRDefault="003B17E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F8334" w14:textId="77777777" w:rsidR="003B17E6" w:rsidRPr="003D199F" w:rsidRDefault="003B17E6" w:rsidP="00C00576">
    <w:pPr>
      <w:pStyle w:val="Footer"/>
    </w:pPr>
    <w:r w:rsidRPr="003D199F">
      <w:rPr>
        <w:noProof/>
        <w:lang w:eastAsia="en-GB"/>
      </w:rPr>
      <w:drawing>
        <wp:anchor distT="0" distB="0" distL="114300" distR="114300" simplePos="0" relativeHeight="251658244" behindDoc="1" locked="1" layoutInCell="1" allowOverlap="1" wp14:anchorId="375533D0" wp14:editId="5AB18C40">
          <wp:simplePos x="0" y="0"/>
          <wp:positionH relativeFrom="page">
            <wp:posOffset>0</wp:posOffset>
          </wp:positionH>
          <wp:positionV relativeFrom="page">
            <wp:posOffset>8637270</wp:posOffset>
          </wp:positionV>
          <wp:extent cx="7567200" cy="2095200"/>
          <wp:effectExtent l="0" t="0" r="0" b="0"/>
          <wp:wrapNone/>
          <wp:docPr id="24" name="Picture 19"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p w14:paraId="51091404" w14:textId="77777777" w:rsidR="003B17E6" w:rsidRPr="003D199F" w:rsidRDefault="003B17E6" w:rsidP="00C00576">
    <w:pPr>
      <w:pStyle w:val="Footer"/>
    </w:pPr>
  </w:p>
  <w:p w14:paraId="6451CB26" w14:textId="77777777" w:rsidR="003B17E6" w:rsidRPr="003D199F" w:rsidRDefault="003B17E6" w:rsidP="00C00576">
    <w:pPr>
      <w:pStyle w:val="Footer"/>
    </w:pPr>
  </w:p>
  <w:p w14:paraId="30EB531D" w14:textId="77777777" w:rsidR="003B17E6" w:rsidRPr="003D199F" w:rsidRDefault="003B17E6" w:rsidP="00C00576">
    <w:pPr>
      <w:pStyle w:val="Footer"/>
    </w:pPr>
  </w:p>
  <w:p w14:paraId="4EE03F00" w14:textId="77777777" w:rsidR="003B17E6" w:rsidRPr="003D199F" w:rsidRDefault="003B17E6" w:rsidP="00C00576">
    <w:pPr>
      <w:pStyle w:val="Footer"/>
    </w:pPr>
  </w:p>
  <w:p w14:paraId="0BDDB713" w14:textId="77777777" w:rsidR="003B17E6" w:rsidRPr="003D199F" w:rsidRDefault="003B17E6" w:rsidP="00C00576">
    <w:pPr>
      <w:pStyle w:val="Footer"/>
    </w:pPr>
  </w:p>
  <w:p w14:paraId="53C4FFBC" w14:textId="77777777" w:rsidR="003B17E6" w:rsidRPr="003D199F" w:rsidRDefault="003B17E6" w:rsidP="00C00576">
    <w:pPr>
      <w:pStyle w:val="Footer"/>
    </w:pPr>
  </w:p>
  <w:p w14:paraId="4793B31A" w14:textId="77777777" w:rsidR="003B17E6" w:rsidRPr="003D199F" w:rsidRDefault="003B17E6" w:rsidP="00C00576">
    <w:pPr>
      <w:pStyle w:val="Footer"/>
    </w:pPr>
  </w:p>
  <w:p w14:paraId="084AC431" w14:textId="77777777" w:rsidR="003B17E6" w:rsidRPr="003D199F" w:rsidRDefault="003B17E6" w:rsidP="00C00576">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99E8" w14:textId="77777777" w:rsidR="003B17E6" w:rsidRPr="003D199F" w:rsidRDefault="003B17E6" w:rsidP="003A16E9">
    <w:pPr>
      <w:pStyle w:val="Footer"/>
    </w:pPr>
    <w:r w:rsidRPr="003D199F">
      <w:rPr>
        <w:noProof/>
        <w:lang w:eastAsia="en-GB"/>
      </w:rPr>
      <w:drawing>
        <wp:anchor distT="0" distB="0" distL="114300" distR="114300" simplePos="0" relativeHeight="251658240" behindDoc="1" locked="0" layoutInCell="1" allowOverlap="1" wp14:anchorId="37234567" wp14:editId="5F2A5E74">
          <wp:simplePos x="0" y="0"/>
          <wp:positionH relativeFrom="page">
            <wp:posOffset>0</wp:posOffset>
          </wp:positionH>
          <wp:positionV relativeFrom="page">
            <wp:posOffset>8641080</wp:posOffset>
          </wp:positionV>
          <wp:extent cx="7567200" cy="2095200"/>
          <wp:effectExtent l="0" t="0" r="0" b="0"/>
          <wp:wrapNone/>
          <wp:docPr id="1072428013" name="Picture 1072428013" descr="Decorative imag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itle page footer.png"/>
                  <pic:cNvPicPr/>
                </pic:nvPicPr>
                <pic:blipFill>
                  <a:blip r:embed="rId1">
                    <a:extLst>
                      <a:ext uri="{28A0092B-C50C-407E-A947-70E740481C1C}">
                        <a14:useLocalDpi xmlns:a14="http://schemas.microsoft.com/office/drawing/2010/main" val="0"/>
                      </a:ext>
                    </a:extLst>
                  </a:blip>
                  <a:stretch>
                    <a:fillRect/>
                  </a:stretch>
                </pic:blipFill>
                <pic:spPr>
                  <a:xfrm>
                    <a:off x="0" y="0"/>
                    <a:ext cx="7567200" cy="2095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1E2E8" w14:textId="77777777" w:rsidR="00EA671C" w:rsidRPr="003D199F" w:rsidRDefault="00EA671C" w:rsidP="00555585">
      <w:pPr>
        <w:spacing w:after="0" w:line="240" w:lineRule="auto"/>
      </w:pPr>
      <w:r w:rsidRPr="003D199F">
        <w:separator/>
      </w:r>
    </w:p>
  </w:footnote>
  <w:footnote w:type="continuationSeparator" w:id="0">
    <w:p w14:paraId="4819FC20" w14:textId="77777777" w:rsidR="00EA671C" w:rsidRPr="003D199F" w:rsidRDefault="00EA671C" w:rsidP="00555585">
      <w:pPr>
        <w:spacing w:after="0" w:line="240" w:lineRule="auto"/>
      </w:pPr>
      <w:r w:rsidRPr="003D199F">
        <w:continuationSeparator/>
      </w:r>
    </w:p>
  </w:footnote>
  <w:footnote w:type="continuationNotice" w:id="1">
    <w:p w14:paraId="61471392" w14:textId="77777777" w:rsidR="00EA671C" w:rsidRPr="003D199F" w:rsidRDefault="00EA67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7D15" w14:textId="77777777" w:rsidR="003B17E6" w:rsidRPr="003D199F" w:rsidRDefault="003B17E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DA72" w14:textId="16197EA8" w:rsidR="003B17E6" w:rsidRPr="003D199F" w:rsidRDefault="003B17E6" w:rsidP="003B17E6">
    <w:pPr>
      <w:pStyle w:val="Header"/>
    </w:pPr>
    <w:bookmarkStart w:id="40" w:name="bmkBackPage"/>
    <w:bookmarkEnd w:id="40"/>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D240F" w14:textId="77777777" w:rsidR="003B17E6" w:rsidRPr="003D199F" w:rsidRDefault="003B17E6" w:rsidP="003A16E9">
    <w:pPr>
      <w:pStyle w:val="Header"/>
      <w:spacing w:before="720"/>
    </w:pPr>
    <w:r w:rsidRPr="003D199F">
      <w:rPr>
        <w:noProof/>
        <w:lang w:eastAsia="en-GB"/>
      </w:rPr>
      <w:drawing>
        <wp:inline distT="0" distB="0" distL="0" distR="0" wp14:anchorId="162D2CC4" wp14:editId="5E1B2275">
          <wp:extent cx="1616149" cy="1233038"/>
          <wp:effectExtent l="0" t="0" r="3175" b="0"/>
          <wp:docPr id="58702352" name="Picture 58702352" descr="Logo: Office of Rail and 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R_Main_logo_colour.png"/>
                  <pic:cNvPicPr/>
                </pic:nvPicPr>
                <pic:blipFill rotWithShape="1">
                  <a:blip r:embed="rId1" cstate="print">
                    <a:extLst>
                      <a:ext uri="{28A0092B-C50C-407E-A947-70E740481C1C}">
                        <a14:useLocalDpi xmlns:a14="http://schemas.microsoft.com/office/drawing/2010/main" val="0"/>
                      </a:ext>
                    </a:extLst>
                  </a:blip>
                  <a:srcRect l="21658" t="23622" r="20581" b="23678"/>
                  <a:stretch/>
                </pic:blipFill>
                <pic:spPr bwMode="auto">
                  <a:xfrm>
                    <a:off x="0" y="0"/>
                    <a:ext cx="1616767" cy="1233509"/>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15C8" w14:textId="77777777" w:rsidR="003B17E6" w:rsidRPr="003D199F" w:rsidRDefault="003B17E6">
    <w:pPr>
      <w:pStyle w:val="Header"/>
    </w:pPr>
    <w:bookmarkStart w:id="1" w:name="bmkTitlePage"/>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C7428" w14:textId="77777777" w:rsidR="003B17E6" w:rsidRPr="003D199F" w:rsidRDefault="003B17E6" w:rsidP="00C00576">
    <w:pPr>
      <w:pStyle w:val="Header"/>
      <w:spacing w:before="720"/>
    </w:pPr>
    <w:r w:rsidRPr="003D199F">
      <w:rPr>
        <w:noProof/>
        <w:lang w:eastAsia="en-GB"/>
      </w:rPr>
      <w:drawing>
        <wp:inline distT="0" distB="0" distL="0" distR="0" wp14:anchorId="5BAA25F8" wp14:editId="297F7289">
          <wp:extent cx="1616149" cy="1233038"/>
          <wp:effectExtent l="0" t="0" r="3175" b="5715"/>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F31D" w14:textId="77777777" w:rsidR="003B17E6" w:rsidRPr="003D199F" w:rsidRDefault="003B17E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bmkContents"/>
  <w:bookmarkEnd w:id="4"/>
  <w:p w14:paraId="7A97FD69" w14:textId="745B07C3" w:rsidR="003B17E6" w:rsidRPr="003D199F" w:rsidRDefault="003B17E6" w:rsidP="00C00576">
    <w:pPr>
      <w:pStyle w:val="HeaderTitle"/>
    </w:pPr>
    <w:r w:rsidRPr="003D199F">
      <w:fldChar w:fldCharType="begin"/>
    </w:r>
    <w:r w:rsidRPr="003D199F">
      <w:instrText xml:space="preserve"> IF </w:instrText>
    </w:r>
    <w:fldSimple w:instr="DOCVARIABLE  zOrrHeaderName  \* MERGEFORMAT">
      <w:r w:rsidRPr="003D199F">
        <w:rPr>
          <w:b w:val="0"/>
          <w:bCs/>
        </w:rPr>
        <w:instrText>Office of Rail and Road</w:instrText>
      </w:r>
    </w:fldSimple>
    <w:r w:rsidRPr="003D199F">
      <w:instrText xml:space="preserve"> = "Error! No document variable supplied." "" </w:instrText>
    </w:r>
    <w:fldSimple w:instr="DOCVARIABLE  zOrrHeaderName \* MERGEFORMAT">
      <w:r w:rsidRPr="003D199F">
        <w:instrText>Office of Rail and Road</w:instrText>
      </w:r>
    </w:fldSimple>
    <w:r w:rsidRPr="003D199F">
      <w:instrText xml:space="preserve"> \* MERGEFORMAT </w:instrText>
    </w:r>
    <w:r w:rsidRPr="003D199F">
      <w:fldChar w:fldCharType="separate"/>
    </w:r>
    <w:r w:rsidRPr="003D199F">
      <w:t>Office of Rail and Road</w:t>
    </w:r>
    <w:r w:rsidRPr="003D199F">
      <w:fldChar w:fldCharType="end"/>
    </w:r>
    <w:r w:rsidRPr="003D199F">
      <w:t xml:space="preserve"> | </w:t>
    </w:r>
    <w:r w:rsidRPr="003D199F">
      <w:fldChar w:fldCharType="begin"/>
    </w:r>
    <w:r w:rsidRPr="003D199F">
      <w:instrText xml:space="preserve"> IF </w:instrText>
    </w:r>
    <w:fldSimple w:instr="DOCVARIABLE  txtHdr  \* MERGEFORMAT">
      <w:r w:rsidRPr="003D199F">
        <w:rPr>
          <w:b w:val="0"/>
          <w:bCs/>
        </w:rPr>
        <w:instrText>Invitation</w:instrText>
      </w:r>
      <w:r w:rsidRPr="003D199F">
        <w:instrText xml:space="preserve"> to Tender (ITT) and Statement of Requirement</w:instrText>
      </w:r>
    </w:fldSimple>
    <w:r w:rsidRPr="003D199F">
      <w:instrText xml:space="preserve"> = "Error! No document variable supplied." " " </w:instrText>
    </w:r>
    <w:fldSimple w:instr="DOCVARIABLE  txtHdr \* MERGEFORMAT">
      <w:r w:rsidRPr="003D199F">
        <w:instrText>Invitation to Tender (ITT) and Statement of Requirement</w:instrText>
      </w:r>
    </w:fldSimple>
    <w:r w:rsidRPr="003D199F">
      <w:instrText xml:space="preserve"> \* MERGEFORMAT </w:instrText>
    </w:r>
    <w:r w:rsidRPr="003D199F">
      <w:fldChar w:fldCharType="separate"/>
    </w:r>
    <w:r w:rsidRPr="003D199F">
      <w:t>Invitation to Tender (ITT) and Statement of Requirement</w:t>
    </w:r>
    <w:r w:rsidRPr="003D199F">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041E" w14:textId="77777777" w:rsidR="003B17E6" w:rsidRPr="003D199F" w:rsidRDefault="003B17E6" w:rsidP="00C00576">
    <w:pPr>
      <w:pStyle w:val="Header"/>
      <w:spacing w:before="720"/>
    </w:pPr>
    <w:r w:rsidRPr="003D199F">
      <w:rPr>
        <w:noProof/>
        <w:lang w:eastAsia="en-GB"/>
      </w:rPr>
      <w:drawing>
        <wp:inline distT="0" distB="0" distL="0" distR="0" wp14:anchorId="1F15C758" wp14:editId="218D49A5">
          <wp:extent cx="1616149" cy="1233038"/>
          <wp:effectExtent l="0" t="0" r="3175" b="5715"/>
          <wp:docPr id="139908871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
                  <pic:cNvPicPr/>
                </pic:nvPicPr>
                <pic:blipFill>
                  <a:blip r:embed="rId1">
                    <a:extLst>
                      <a:ext uri="{28A0092B-C50C-407E-A947-70E740481C1C}">
                        <a14:useLocalDpi xmlns:a14="http://schemas.microsoft.com/office/drawing/2010/main" val="0"/>
                      </a:ext>
                    </a:extLst>
                  </a:blip>
                  <a:srcRect l="2137" r="2137"/>
                  <a:stretch>
                    <a:fillRect/>
                  </a:stretch>
                </pic:blipFill>
                <pic:spPr bwMode="auto">
                  <a:xfrm>
                    <a:off x="0" y="0"/>
                    <a:ext cx="1616149" cy="1233038"/>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AE92D" w14:textId="77777777" w:rsidR="003B17E6" w:rsidRPr="003D199F" w:rsidRDefault="003B17E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9095" w14:textId="53C64213" w:rsidR="003B17E6" w:rsidRPr="003D199F" w:rsidRDefault="003B17E6" w:rsidP="00C00576">
    <w:pPr>
      <w:pStyle w:val="HeaderTitle"/>
    </w:pPr>
    <w:r w:rsidRPr="003D199F">
      <w:fldChar w:fldCharType="begin"/>
    </w:r>
    <w:r w:rsidRPr="003D199F">
      <w:instrText xml:space="preserve"> IF </w:instrText>
    </w:r>
    <w:fldSimple w:instr="DOCVARIABLE  zOrrHeaderName  \* MERGEFORMAT">
      <w:r w:rsidRPr="003D199F">
        <w:rPr>
          <w:b w:val="0"/>
          <w:bCs/>
        </w:rPr>
        <w:instrText>Office of Rail and Road</w:instrText>
      </w:r>
    </w:fldSimple>
    <w:r w:rsidRPr="003D199F">
      <w:instrText xml:space="preserve"> = "Error! No document variable supplied." "" </w:instrText>
    </w:r>
    <w:fldSimple w:instr="DOCVARIABLE  zOrrHeaderName \* MERGEFORMAT">
      <w:r w:rsidRPr="003D199F">
        <w:instrText>Office of Rail and Road</w:instrText>
      </w:r>
    </w:fldSimple>
    <w:r w:rsidRPr="003D199F">
      <w:instrText xml:space="preserve"> \* MERGEFORMAT </w:instrText>
    </w:r>
    <w:r w:rsidRPr="003D199F">
      <w:fldChar w:fldCharType="separate"/>
    </w:r>
    <w:r w:rsidRPr="003D199F">
      <w:t>Office of Rail and Road</w:t>
    </w:r>
    <w:r w:rsidRPr="003D199F">
      <w:fldChar w:fldCharType="end"/>
    </w:r>
    <w:r w:rsidRPr="003D199F">
      <w:t xml:space="preserve"> | </w:t>
    </w:r>
    <w:r w:rsidRPr="003D199F">
      <w:fldChar w:fldCharType="begin"/>
    </w:r>
    <w:r w:rsidRPr="003D199F">
      <w:instrText xml:space="preserve"> IF </w:instrText>
    </w:r>
    <w:fldSimple w:instr="DOCVARIABLE  txtHdr  \* MERGEFORMAT">
      <w:r w:rsidRPr="003D199F">
        <w:rPr>
          <w:b w:val="0"/>
          <w:bCs/>
        </w:rPr>
        <w:instrText>Invitation</w:instrText>
      </w:r>
      <w:r w:rsidRPr="003D199F">
        <w:instrText xml:space="preserve"> to Tender (ITT) and Statement of Requirement</w:instrText>
      </w:r>
    </w:fldSimple>
    <w:r w:rsidRPr="003D199F">
      <w:instrText xml:space="preserve"> = "Error! No document variable supplied." " " </w:instrText>
    </w:r>
    <w:fldSimple w:instr="DOCVARIABLE  txtHdr \* MERGEFORMAT">
      <w:r w:rsidRPr="003D199F">
        <w:instrText>Invitation to Tender (ITT) and Statement of Requirement</w:instrText>
      </w:r>
    </w:fldSimple>
    <w:r w:rsidRPr="003D199F">
      <w:instrText xml:space="preserve"> \* MERGEFORMAT </w:instrText>
    </w:r>
    <w:r w:rsidRPr="003D199F">
      <w:fldChar w:fldCharType="separate"/>
    </w:r>
    <w:r w:rsidRPr="003D199F">
      <w:t>Invitation to Tender (ITT) and Statement of Requirement</w:t>
    </w:r>
    <w:r w:rsidRPr="003D199F">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CF14" w14:textId="77777777" w:rsidR="003B17E6" w:rsidRPr="003D199F" w:rsidRDefault="003B1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94E3F"/>
    <w:multiLevelType w:val="hybridMultilevel"/>
    <w:tmpl w:val="18864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353B"/>
    <w:multiLevelType w:val="multilevel"/>
    <w:tmpl w:val="EAD453D0"/>
    <w:styleLink w:val="NumbListHighlight"/>
    <w:lvl w:ilvl="0">
      <w:start w:val="1"/>
      <w:numFmt w:val="none"/>
      <w:pStyle w:val="HighLightBlueWide"/>
      <w:lvlText w:val=""/>
      <w:lvlJc w:val="left"/>
      <w:pPr>
        <w:tabs>
          <w:tab w:val="num" w:pos="0"/>
        </w:tabs>
        <w:ind w:left="0" w:hanging="369"/>
      </w:pPr>
      <w:rPr>
        <w:rFonts w:hint="default"/>
      </w:rPr>
    </w:lvl>
    <w:lvl w:ilvl="1">
      <w:start w:val="1"/>
      <w:numFmt w:val="none"/>
      <w:pStyle w:val="HighlightPurpleWide"/>
      <w:lvlText w:val=""/>
      <w:lvlJc w:val="left"/>
      <w:pPr>
        <w:tabs>
          <w:tab w:val="num" w:pos="0"/>
        </w:tabs>
        <w:ind w:left="0" w:hanging="369"/>
      </w:pPr>
      <w:rPr>
        <w:rFonts w:hint="default"/>
      </w:rPr>
    </w:lvl>
    <w:lvl w:ilvl="2">
      <w:start w:val="1"/>
      <w:numFmt w:val="none"/>
      <w:pStyle w:val="HighlightLilacWide"/>
      <w:lvlText w:val=""/>
      <w:lvlJc w:val="left"/>
      <w:pPr>
        <w:tabs>
          <w:tab w:val="num" w:pos="0"/>
        </w:tabs>
        <w:ind w:left="0" w:hanging="36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7B42F23"/>
    <w:multiLevelType w:val="multilevel"/>
    <w:tmpl w:val="431E4A4C"/>
    <w:numStyleLink w:val="ORRSummary"/>
  </w:abstractNum>
  <w:abstractNum w:abstractNumId="3" w15:restartNumberingAfterBreak="0">
    <w:nsid w:val="094F4042"/>
    <w:multiLevelType w:val="hybridMultilevel"/>
    <w:tmpl w:val="CD5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4621B"/>
    <w:multiLevelType w:val="multilevel"/>
    <w:tmpl w:val="7C4A99DC"/>
    <w:numStyleLink w:val="ORRBoxed"/>
  </w:abstractNum>
  <w:abstractNum w:abstractNumId="5" w15:restartNumberingAfterBreak="0">
    <w:nsid w:val="0F834E6D"/>
    <w:multiLevelType w:val="multilevel"/>
    <w:tmpl w:val="E69A6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07687E"/>
    <w:multiLevelType w:val="multilevel"/>
    <w:tmpl w:val="E7C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2F7196"/>
    <w:multiLevelType w:val="multilevel"/>
    <w:tmpl w:val="59F6C112"/>
    <w:styleLink w:val="ORRMain"/>
    <w:lvl w:ilvl="0">
      <w:start w:val="1"/>
      <w:numFmt w:val="decimal"/>
      <w:pStyle w:val="Heading2"/>
      <w:lvlText w:val="%1."/>
      <w:lvlJc w:val="left"/>
      <w:pPr>
        <w:tabs>
          <w:tab w:val="num" w:pos="851"/>
        </w:tabs>
        <w:ind w:left="851" w:hanging="851"/>
      </w:pPr>
      <w:rPr>
        <w:rFonts w:hint="default"/>
      </w:rPr>
    </w:lvl>
    <w:lvl w:ilvl="1">
      <w:start w:val="1"/>
      <w:numFmt w:val="decimal"/>
      <w:pStyle w:val="Numberedparagraphdouble"/>
      <w:lvlText w:val="%1.%2"/>
      <w:lvlJc w:val="left"/>
      <w:pPr>
        <w:tabs>
          <w:tab w:val="num" w:pos="851"/>
        </w:tabs>
        <w:ind w:left="851" w:hanging="851"/>
      </w:pPr>
      <w:rPr>
        <w:rFonts w:hint="default"/>
      </w:rPr>
    </w:lvl>
    <w:lvl w:ilvl="2">
      <w:start w:val="1"/>
      <w:numFmt w:val="lowerLetter"/>
      <w:pStyle w:val="Bulletalpha"/>
      <w:lvlText w:val="(%3)"/>
      <w:lvlJc w:val="left"/>
      <w:pPr>
        <w:tabs>
          <w:tab w:val="num" w:pos="1418"/>
        </w:tabs>
        <w:ind w:left="1418" w:hanging="567"/>
      </w:pPr>
      <w:rPr>
        <w:rFonts w:hint="default"/>
        <w:color w:val="auto"/>
        <w:szCs w:val="28"/>
      </w:rPr>
    </w:lvl>
    <w:lvl w:ilvl="3">
      <w:start w:val="1"/>
      <w:numFmt w:val="lowerRoman"/>
      <w:pStyle w:val="Bulletroman"/>
      <w:lvlText w:val="(%4)"/>
      <w:lvlJc w:val="left"/>
      <w:pPr>
        <w:tabs>
          <w:tab w:val="num" w:pos="1985"/>
        </w:tabs>
        <w:ind w:left="1985" w:hanging="567"/>
      </w:pPr>
      <w:rPr>
        <w:rFonts w:hint="default"/>
        <w:color w:val="auto"/>
      </w:rPr>
    </w:lvl>
    <w:lvl w:ilvl="4">
      <w:start w:val="1"/>
      <w:numFmt w:val="decimal"/>
      <w:pStyle w:val="Bulletnumber"/>
      <w:lvlText w:val="(%5)"/>
      <w:lvlJc w:val="left"/>
      <w:pPr>
        <w:tabs>
          <w:tab w:val="num" w:pos="2552"/>
        </w:tabs>
        <w:ind w:left="2552" w:hanging="567"/>
      </w:pPr>
      <w:rPr>
        <w:rFonts w:hint="default"/>
        <w:color w:val="auto"/>
      </w:rPr>
    </w:lvl>
    <w:lvl w:ilvl="5">
      <w:start w:val="1"/>
      <w:numFmt w:val="bullet"/>
      <w:pStyle w:val="Bulletround"/>
      <w:lvlText w:val="●"/>
      <w:lvlJc w:val="left"/>
      <w:pPr>
        <w:tabs>
          <w:tab w:val="num" w:pos="1418"/>
        </w:tabs>
        <w:ind w:left="1418" w:hanging="567"/>
      </w:pPr>
      <w:rPr>
        <w:rFonts w:ascii="Arial" w:hAnsi="Arial" w:hint="default"/>
        <w:color w:val="253268" w:themeColor="text2"/>
      </w:rPr>
    </w:lvl>
    <w:lvl w:ilvl="6">
      <w:start w:val="1"/>
      <w:numFmt w:val="bullet"/>
      <w:pStyle w:val="Bullet-"/>
      <w:lvlText w:val="–"/>
      <w:lvlJc w:val="left"/>
      <w:pPr>
        <w:tabs>
          <w:tab w:val="num" w:pos="1985"/>
        </w:tabs>
        <w:ind w:left="1985" w:hanging="567"/>
      </w:pPr>
      <w:rPr>
        <w:rFonts w:ascii="Arial" w:hAnsi="Arial" w:hint="default"/>
        <w:color w:val="253268" w:themeColor="text2"/>
      </w:rPr>
    </w:lvl>
    <w:lvl w:ilvl="7">
      <w:start w:val="1"/>
      <w:numFmt w:val="decimal"/>
      <w:lvlRestart w:val="1"/>
      <w:pStyle w:val="TableTitlesingle"/>
      <w:lvlText w:val="Table %1.%8"/>
      <w:lvlJc w:val="left"/>
      <w:pPr>
        <w:tabs>
          <w:tab w:val="num" w:pos="1418"/>
        </w:tabs>
        <w:ind w:left="1418" w:hanging="1418"/>
      </w:pPr>
      <w:rPr>
        <w:rFonts w:hint="default"/>
      </w:rPr>
    </w:lvl>
    <w:lvl w:ilvl="8">
      <w:start w:val="1"/>
      <w:numFmt w:val="decimal"/>
      <w:lvlRestart w:val="1"/>
      <w:pStyle w:val="FigureTitlesingle"/>
      <w:lvlText w:val="Figure %1.%9"/>
      <w:lvlJc w:val="left"/>
      <w:pPr>
        <w:tabs>
          <w:tab w:val="num" w:pos="1418"/>
        </w:tabs>
        <w:ind w:left="1418" w:hanging="1418"/>
      </w:pPr>
      <w:rPr>
        <w:rFonts w:hint="default"/>
      </w:rPr>
    </w:lvl>
  </w:abstractNum>
  <w:abstractNum w:abstractNumId="8" w15:restartNumberingAfterBreak="0">
    <w:nsid w:val="138756B1"/>
    <w:multiLevelType w:val="multilevel"/>
    <w:tmpl w:val="D79C245A"/>
    <w:numStyleLink w:val="ORRNormalList"/>
  </w:abstractNum>
  <w:abstractNum w:abstractNumId="9" w15:restartNumberingAfterBreak="0">
    <w:nsid w:val="17710115"/>
    <w:multiLevelType w:val="multilevel"/>
    <w:tmpl w:val="478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253268" w:themeColor="text2"/>
      </w:rPr>
    </w:lvl>
    <w:lvl w:ilvl="5">
      <w:start w:val="1"/>
      <w:numFmt w:val="bullet"/>
      <w:lvlText w:val="–"/>
      <w:lvlJc w:val="left"/>
      <w:pPr>
        <w:tabs>
          <w:tab w:val="num" w:pos="1701"/>
        </w:tabs>
        <w:ind w:left="1701" w:hanging="567"/>
      </w:pPr>
      <w:rPr>
        <w:rFonts w:ascii="Arial" w:hAnsi="Arial" w:hint="default"/>
        <w:color w:val="253268"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C2863F3"/>
    <w:multiLevelType w:val="multilevel"/>
    <w:tmpl w:val="3760C196"/>
    <w:styleLink w:val="ORRChecklist"/>
    <w:lvl w:ilvl="0">
      <w:start w:val="1"/>
      <w:numFmt w:val="bullet"/>
      <w:pStyle w:val="Bulletchecklist"/>
      <w:lvlText w:val=""/>
      <w:lvlJc w:val="left"/>
      <w:pPr>
        <w:tabs>
          <w:tab w:val="num" w:pos="567"/>
        </w:tabs>
        <w:ind w:left="567" w:hanging="567"/>
      </w:pPr>
      <w:rPr>
        <w:rFonts w:ascii="Wingdings" w:hAnsi="Wingdings" w:cs="Times New Roman" w:hint="default"/>
        <w:color w:val="B1173B" w:themeColor="accent1"/>
        <w:szCs w:val="28"/>
      </w:rPr>
    </w:lvl>
    <w:lvl w:ilvl="1">
      <w:start w:val="1"/>
      <w:numFmt w:val="none"/>
      <w:suff w:val="nothing"/>
      <w:lvlText w:val="%2"/>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12" w15:restartNumberingAfterBreak="0">
    <w:nsid w:val="1FC32918"/>
    <w:multiLevelType w:val="hybridMultilevel"/>
    <w:tmpl w:val="62D4C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E428BA"/>
    <w:multiLevelType w:val="multilevel"/>
    <w:tmpl w:val="20D627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8296852"/>
    <w:multiLevelType w:val="multilevel"/>
    <w:tmpl w:val="D79C245A"/>
    <w:numStyleLink w:val="ORRNormalList"/>
  </w:abstractNum>
  <w:abstractNum w:abstractNumId="15" w15:restartNumberingAfterBreak="0">
    <w:nsid w:val="290A2D50"/>
    <w:multiLevelType w:val="multilevel"/>
    <w:tmpl w:val="4342A7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1CE6FA9"/>
    <w:multiLevelType w:val="hybridMultilevel"/>
    <w:tmpl w:val="E88033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8112C1E"/>
    <w:multiLevelType w:val="multilevel"/>
    <w:tmpl w:val="61709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FA088D"/>
    <w:multiLevelType w:val="multilevel"/>
    <w:tmpl w:val="9462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E1D1647"/>
    <w:multiLevelType w:val="multilevel"/>
    <w:tmpl w:val="A5E01C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E9D48F1"/>
    <w:multiLevelType w:val="hybridMultilevel"/>
    <w:tmpl w:val="B8CE27AE"/>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E95C29"/>
    <w:multiLevelType w:val="hybridMultilevel"/>
    <w:tmpl w:val="C3342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9EC3511"/>
    <w:multiLevelType w:val="multilevel"/>
    <w:tmpl w:val="088ADA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BDE5721"/>
    <w:multiLevelType w:val="multilevel"/>
    <w:tmpl w:val="98403F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2609DC"/>
    <w:multiLevelType w:val="hybridMultilevel"/>
    <w:tmpl w:val="FA8673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AF5B3B"/>
    <w:multiLevelType w:val="multilevel"/>
    <w:tmpl w:val="67AA8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5A02B49"/>
    <w:multiLevelType w:val="multilevel"/>
    <w:tmpl w:val="7DA8F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8E1138"/>
    <w:multiLevelType w:val="multilevel"/>
    <w:tmpl w:val="92BE1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8BF5CC2"/>
    <w:multiLevelType w:val="multilevel"/>
    <w:tmpl w:val="86701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D50A57"/>
    <w:multiLevelType w:val="multilevel"/>
    <w:tmpl w:val="AF48CBF0"/>
    <w:styleLink w:val="ORRCaseStudyLilacNumList"/>
    <w:lvl w:ilvl="0">
      <w:start w:val="1"/>
      <w:numFmt w:val="none"/>
      <w:pStyle w:val="CaseStudyLilacparagraph"/>
      <w:suff w:val="nothing"/>
      <w:lvlText w:val=""/>
      <w:lvlJc w:val="left"/>
      <w:pPr>
        <w:ind w:left="0" w:firstLine="0"/>
      </w:pPr>
      <w:rPr>
        <w:rFonts w:hint="default"/>
      </w:rPr>
    </w:lvl>
    <w:lvl w:ilvl="1">
      <w:start w:val="1"/>
      <w:numFmt w:val="bullet"/>
      <w:pStyle w:val="CaseStudyLilacbullet"/>
      <w:lvlText w:val="●"/>
      <w:lvlJc w:val="left"/>
      <w:pPr>
        <w:tabs>
          <w:tab w:val="num" w:pos="567"/>
        </w:tabs>
        <w:ind w:left="567" w:hanging="567"/>
      </w:pPr>
      <w:rPr>
        <w:rFonts w:ascii="Arial" w:hAnsi="Arial" w:hint="default"/>
        <w:color w:val="auto"/>
      </w:rPr>
    </w:lvl>
    <w:lvl w:ilvl="2">
      <w:start w:val="1"/>
      <w:numFmt w:val="none"/>
      <w:lvlRestart w:val="1"/>
      <w:pStyle w:val="CaseStudyLilacbullet-"/>
      <w:lvlText w:val="         –"/>
      <w:lvlJc w:val="left"/>
      <w:pPr>
        <w:tabs>
          <w:tab w:val="num" w:pos="1134"/>
        </w:tabs>
        <w:ind w:left="1134" w:hanging="1134"/>
      </w:pPr>
      <w:rPr>
        <w:rFonts w:hint="default"/>
      </w:rPr>
    </w:lvl>
    <w:lvl w:ilvl="3">
      <w:start w:val="1"/>
      <w:numFmt w:val="lowerLetter"/>
      <w:lvlRestart w:val="1"/>
      <w:pStyle w:val="CaseStudyLilacbulletalpha"/>
      <w:lvlText w:val="(%4)"/>
      <w:lvlJc w:val="left"/>
      <w:pPr>
        <w:tabs>
          <w:tab w:val="num" w:pos="567"/>
        </w:tabs>
        <w:ind w:left="567" w:hanging="567"/>
      </w:pPr>
      <w:rPr>
        <w:rFonts w:hint="default"/>
      </w:rPr>
    </w:lvl>
    <w:lvl w:ilvl="4">
      <w:start w:val="1"/>
      <w:numFmt w:val="lowerRoman"/>
      <w:lvlRestart w:val="1"/>
      <w:pStyle w:val="CaseStudyLilacbulletroman"/>
      <w:lvlText w:val="        (%5)"/>
      <w:lvlJc w:val="left"/>
      <w:pPr>
        <w:tabs>
          <w:tab w:val="num" w:pos="1134"/>
        </w:tabs>
        <w:ind w:left="1134" w:hanging="1134"/>
      </w:pPr>
      <w:rPr>
        <w:rFonts w:hint="default"/>
      </w:rPr>
    </w:lvl>
    <w:lvl w:ilvl="5">
      <w:start w:val="1"/>
      <w:numFmt w:val="decimal"/>
      <w:lvlRestart w:val="1"/>
      <w:pStyle w:val="CaseStudyLilac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253268" w:themeColor="text2"/>
        <w:szCs w:val="28"/>
      </w:rPr>
    </w:lvl>
    <w:lvl w:ilvl="1">
      <w:start w:val="1"/>
      <w:numFmt w:val="bullet"/>
      <w:pStyle w:val="Boxedbullet"/>
      <w:lvlText w:val="●"/>
      <w:lvlJc w:val="left"/>
      <w:pPr>
        <w:tabs>
          <w:tab w:val="num" w:pos="567"/>
        </w:tabs>
        <w:ind w:left="567" w:hanging="567"/>
      </w:pPr>
      <w:rPr>
        <w:rFonts w:ascii="Arial" w:hAnsi="Arial" w:hint="default"/>
        <w:color w:val="253268" w:themeColor="text2"/>
      </w:rPr>
    </w:lvl>
    <w:lvl w:ilvl="2">
      <w:start w:val="1"/>
      <w:numFmt w:val="none"/>
      <w:lvlRestart w:val="1"/>
      <w:pStyle w:val="Boxedbullet-"/>
      <w:lvlText w:val="         –"/>
      <w:lvlJc w:val="left"/>
      <w:pPr>
        <w:tabs>
          <w:tab w:val="num" w:pos="1134"/>
        </w:tabs>
        <w:ind w:left="1134" w:hanging="1134"/>
      </w:pPr>
      <w:rPr>
        <w:rFonts w:hint="default"/>
        <w:color w:val="253268"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2"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33" w15:restartNumberingAfterBreak="0">
    <w:nsid w:val="611B1B20"/>
    <w:multiLevelType w:val="multilevel"/>
    <w:tmpl w:val="92949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16C2B85"/>
    <w:multiLevelType w:val="hybridMultilevel"/>
    <w:tmpl w:val="825A4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D317BC"/>
    <w:multiLevelType w:val="multilevel"/>
    <w:tmpl w:val="266EC588"/>
    <w:styleLink w:val="ORRAnnex"/>
    <w:lvl w:ilvl="0">
      <w:start w:val="1"/>
      <w:numFmt w:val="upperLetter"/>
      <w:pStyle w:val="AnnexH2"/>
      <w:lvlText w:val="Annex %1:"/>
      <w:lvlJc w:val="left"/>
      <w:pPr>
        <w:tabs>
          <w:tab w:val="num" w:pos="2552"/>
        </w:tabs>
        <w:ind w:left="2552" w:hanging="2552"/>
      </w:pPr>
      <w:rPr>
        <w:rFonts w:hint="default"/>
      </w:rPr>
    </w:lvl>
    <w:lvl w:ilvl="1">
      <w:start w:val="1"/>
      <w:numFmt w:val="decimal"/>
      <w:pStyle w:val="AnnexParagraph"/>
      <w:lvlText w:val="%1.%2"/>
      <w:lvlJc w:val="left"/>
      <w:pPr>
        <w:tabs>
          <w:tab w:val="num" w:pos="851"/>
        </w:tabs>
        <w:ind w:left="851" w:hanging="851"/>
      </w:pPr>
      <w:rPr>
        <w:rFonts w:hint="default"/>
      </w:rPr>
    </w:lvl>
    <w:lvl w:ilvl="2">
      <w:start w:val="1"/>
      <w:numFmt w:val="lowerLetter"/>
      <w:pStyle w:val="AnnexBulletAlpha"/>
      <w:lvlText w:val="(%3)"/>
      <w:lvlJc w:val="left"/>
      <w:pPr>
        <w:tabs>
          <w:tab w:val="num" w:pos="1418"/>
        </w:tabs>
        <w:ind w:left="1418" w:hanging="567"/>
      </w:pPr>
      <w:rPr>
        <w:rFonts w:hint="default"/>
      </w:rPr>
    </w:lvl>
    <w:lvl w:ilvl="3">
      <w:start w:val="1"/>
      <w:numFmt w:val="lowerRoman"/>
      <w:pStyle w:val="AnnexBulletroman"/>
      <w:lvlText w:val="(%4)"/>
      <w:lvlJc w:val="left"/>
      <w:pPr>
        <w:tabs>
          <w:tab w:val="num" w:pos="1985"/>
        </w:tabs>
        <w:ind w:left="1985" w:hanging="567"/>
      </w:pPr>
      <w:rPr>
        <w:rFonts w:hint="default"/>
      </w:rPr>
    </w:lvl>
    <w:lvl w:ilvl="4">
      <w:start w:val="1"/>
      <w:numFmt w:val="decimal"/>
      <w:pStyle w:val="AnnexBulletnumber"/>
      <w:lvlText w:val="(%5)"/>
      <w:lvlJc w:val="left"/>
      <w:pPr>
        <w:tabs>
          <w:tab w:val="num" w:pos="2552"/>
        </w:tabs>
        <w:ind w:left="2552" w:hanging="567"/>
      </w:pPr>
      <w:rPr>
        <w:rFonts w:hint="default"/>
      </w:rPr>
    </w:lvl>
    <w:lvl w:ilvl="5">
      <w:start w:val="1"/>
      <w:numFmt w:val="bullet"/>
      <w:pStyle w:val="AnnexBulletround"/>
      <w:lvlText w:val="●"/>
      <w:lvlJc w:val="left"/>
      <w:pPr>
        <w:tabs>
          <w:tab w:val="num" w:pos="1418"/>
        </w:tabs>
        <w:ind w:left="1418" w:hanging="567"/>
      </w:pPr>
      <w:rPr>
        <w:rFonts w:ascii="Arial" w:hAnsi="Arial" w:hint="default"/>
        <w:color w:val="253268" w:themeColor="text2"/>
      </w:rPr>
    </w:lvl>
    <w:lvl w:ilvl="6">
      <w:start w:val="1"/>
      <w:numFmt w:val="bullet"/>
      <w:pStyle w:val="AnnexBullet-"/>
      <w:lvlText w:val="–"/>
      <w:lvlJc w:val="left"/>
      <w:pPr>
        <w:tabs>
          <w:tab w:val="num" w:pos="1985"/>
        </w:tabs>
        <w:ind w:left="1985" w:hanging="567"/>
      </w:pPr>
      <w:rPr>
        <w:rFonts w:ascii="Calibri" w:hAnsi="Calibri" w:hint="default"/>
        <w:color w:val="253268" w:themeColor="text2"/>
      </w:rPr>
    </w:lvl>
    <w:lvl w:ilvl="7">
      <w:start w:val="1"/>
      <w:numFmt w:val="decimal"/>
      <w:lvlRestart w:val="1"/>
      <w:pStyle w:val="AnnexTableTitle"/>
      <w:lvlText w:val="Table %1.%8"/>
      <w:lvlJc w:val="left"/>
      <w:pPr>
        <w:tabs>
          <w:tab w:val="num" w:pos="1418"/>
        </w:tabs>
        <w:ind w:left="1418" w:hanging="1418"/>
      </w:pPr>
      <w:rPr>
        <w:rFonts w:hint="default"/>
      </w:rPr>
    </w:lvl>
    <w:lvl w:ilvl="8">
      <w:start w:val="1"/>
      <w:numFmt w:val="decimal"/>
      <w:lvlRestart w:val="1"/>
      <w:pStyle w:val="AnnexFigureTitle"/>
      <w:lvlText w:val="Figure %1.%9"/>
      <w:lvlJc w:val="left"/>
      <w:pPr>
        <w:tabs>
          <w:tab w:val="num" w:pos="1418"/>
        </w:tabs>
        <w:ind w:left="1418" w:hanging="1418"/>
      </w:pPr>
      <w:rPr>
        <w:rFonts w:hint="default"/>
      </w:rPr>
    </w:lvl>
  </w:abstractNum>
  <w:abstractNum w:abstractNumId="36" w15:restartNumberingAfterBreak="0">
    <w:nsid w:val="67F457D7"/>
    <w:multiLevelType w:val="multilevel"/>
    <w:tmpl w:val="544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BD5682"/>
    <w:multiLevelType w:val="multilevel"/>
    <w:tmpl w:val="EAD453D0"/>
    <w:numStyleLink w:val="NumbListHighlight"/>
  </w:abstractNum>
  <w:abstractNum w:abstractNumId="38" w15:restartNumberingAfterBreak="0">
    <w:nsid w:val="69982920"/>
    <w:multiLevelType w:val="hybridMultilevel"/>
    <w:tmpl w:val="B0ECC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702472" w:themeColor="accent3"/>
      </w:rPr>
    </w:lvl>
    <w:lvl w:ilvl="2">
      <w:start w:val="1"/>
      <w:numFmt w:val="none"/>
      <w:lvlRestart w:val="1"/>
      <w:pStyle w:val="Summarybullet-"/>
      <w:lvlText w:val="         –"/>
      <w:lvlJc w:val="left"/>
      <w:pPr>
        <w:tabs>
          <w:tab w:val="num" w:pos="1134"/>
        </w:tabs>
        <w:ind w:left="1134" w:hanging="1134"/>
      </w:pPr>
      <w:rPr>
        <w:rFonts w:hint="default"/>
        <w:color w:val="702472" w:themeColor="accent3"/>
      </w:rPr>
    </w:lvl>
    <w:lvl w:ilvl="3">
      <w:start w:val="1"/>
      <w:numFmt w:val="lowerLetter"/>
      <w:lvlRestart w:val="1"/>
      <w:pStyle w:val="Summarybulletalpha"/>
      <w:lvlText w:val="(%4)"/>
      <w:lvlJc w:val="left"/>
      <w:pPr>
        <w:tabs>
          <w:tab w:val="num" w:pos="567"/>
        </w:tabs>
        <w:ind w:left="567" w:hanging="567"/>
      </w:pPr>
      <w:rPr>
        <w:rFonts w:hint="default"/>
        <w:color w:val="702472" w:themeColor="accent3"/>
      </w:rPr>
    </w:lvl>
    <w:lvl w:ilvl="4">
      <w:start w:val="1"/>
      <w:numFmt w:val="lowerRoman"/>
      <w:lvlRestart w:val="1"/>
      <w:pStyle w:val="Summarybulletroman"/>
      <w:lvlText w:val="         (%5)"/>
      <w:lvlJc w:val="left"/>
      <w:pPr>
        <w:tabs>
          <w:tab w:val="num" w:pos="1134"/>
        </w:tabs>
        <w:ind w:left="1134" w:hanging="1134"/>
      </w:pPr>
      <w:rPr>
        <w:rFonts w:hint="default"/>
        <w:color w:val="702472" w:themeColor="accent3"/>
      </w:rPr>
    </w:lvl>
    <w:lvl w:ilvl="5">
      <w:start w:val="1"/>
      <w:numFmt w:val="decimal"/>
      <w:lvlRestart w:val="1"/>
      <w:pStyle w:val="Summarybulletnumber"/>
      <w:lvlText w:val="(%6)"/>
      <w:lvlJc w:val="left"/>
      <w:pPr>
        <w:tabs>
          <w:tab w:val="num" w:pos="567"/>
        </w:tabs>
        <w:ind w:left="567" w:hanging="567"/>
      </w:pPr>
      <w:rPr>
        <w:rFonts w:hint="default"/>
        <w:color w:val="702472"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40" w15:restartNumberingAfterBreak="0">
    <w:nsid w:val="72044E25"/>
    <w:multiLevelType w:val="multilevel"/>
    <w:tmpl w:val="52F60B8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E73E1C"/>
    <w:multiLevelType w:val="multilevel"/>
    <w:tmpl w:val="F6B8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9405C29"/>
    <w:multiLevelType w:val="multilevel"/>
    <w:tmpl w:val="A9EAE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606F93"/>
    <w:multiLevelType w:val="multilevel"/>
    <w:tmpl w:val="4DA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DDA5CB4"/>
    <w:multiLevelType w:val="multilevel"/>
    <w:tmpl w:val="266EC588"/>
    <w:numStyleLink w:val="ORRAnnex"/>
  </w:abstractNum>
  <w:num w:numId="1" w16cid:durableId="1643778289">
    <w:abstractNumId w:val="32"/>
  </w:num>
  <w:num w:numId="2" w16cid:durableId="170343250">
    <w:abstractNumId w:val="39"/>
  </w:num>
  <w:num w:numId="3" w16cid:durableId="615990203">
    <w:abstractNumId w:val="10"/>
  </w:num>
  <w:num w:numId="4" w16cid:durableId="1539008159">
    <w:abstractNumId w:val="31"/>
  </w:num>
  <w:num w:numId="5" w16cid:durableId="1334801291">
    <w:abstractNumId w:val="11"/>
  </w:num>
  <w:num w:numId="6" w16cid:durableId="35012236">
    <w:abstractNumId w:val="7"/>
  </w:num>
  <w:num w:numId="7" w16cid:durableId="711077664">
    <w:abstractNumId w:val="1"/>
  </w:num>
  <w:num w:numId="8" w16cid:durableId="1604993918">
    <w:abstractNumId w:val="37"/>
  </w:num>
  <w:num w:numId="9" w16cid:durableId="435447028">
    <w:abstractNumId w:val="35"/>
  </w:num>
  <w:num w:numId="10" w16cid:durableId="558327301">
    <w:abstractNumId w:val="44"/>
  </w:num>
  <w:num w:numId="11" w16cid:durableId="1527019102">
    <w:abstractNumId w:val="4"/>
  </w:num>
  <w:num w:numId="12" w16cid:durableId="1615861438">
    <w:abstractNumId w:val="14"/>
  </w:num>
  <w:num w:numId="13" w16cid:durableId="4214169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852640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35217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681274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4356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68570">
    <w:abstractNumId w:val="28"/>
  </w:num>
  <w:num w:numId="19" w16cid:durableId="1150167912">
    <w:abstractNumId w:val="20"/>
  </w:num>
  <w:num w:numId="20" w16cid:durableId="1005085200">
    <w:abstractNumId w:val="34"/>
  </w:num>
  <w:num w:numId="21" w16cid:durableId="1354921112">
    <w:abstractNumId w:val="24"/>
  </w:num>
  <w:num w:numId="22" w16cid:durableId="145637004">
    <w:abstractNumId w:val="16"/>
  </w:num>
  <w:num w:numId="23" w16cid:durableId="187303815">
    <w:abstractNumId w:val="30"/>
  </w:num>
  <w:num w:numId="24" w16cid:durableId="1742362382">
    <w:abstractNumId w:val="2"/>
  </w:num>
  <w:num w:numId="25" w16cid:durableId="1494100934">
    <w:abstractNumId w:val="3"/>
  </w:num>
  <w:num w:numId="26" w16cid:durableId="856650958">
    <w:abstractNumId w:val="21"/>
  </w:num>
  <w:num w:numId="27" w16cid:durableId="1667324337">
    <w:abstractNumId w:val="12"/>
  </w:num>
  <w:num w:numId="28" w16cid:durableId="855267686">
    <w:abstractNumId w:val="38"/>
  </w:num>
  <w:num w:numId="29" w16cid:durableId="1303268969">
    <w:abstractNumId w:val="17"/>
  </w:num>
  <w:num w:numId="30" w16cid:durableId="421948844">
    <w:abstractNumId w:val="29"/>
  </w:num>
  <w:num w:numId="31" w16cid:durableId="1604801160">
    <w:abstractNumId w:val="18"/>
  </w:num>
  <w:num w:numId="32" w16cid:durableId="344065005">
    <w:abstractNumId w:val="33"/>
  </w:num>
  <w:num w:numId="33" w16cid:durableId="935864885">
    <w:abstractNumId w:val="26"/>
  </w:num>
  <w:num w:numId="34" w16cid:durableId="1796557051">
    <w:abstractNumId w:val="0"/>
  </w:num>
  <w:num w:numId="35" w16cid:durableId="1434471478">
    <w:abstractNumId w:val="41"/>
  </w:num>
  <w:num w:numId="36" w16cid:durableId="693503495">
    <w:abstractNumId w:val="36"/>
  </w:num>
  <w:num w:numId="37" w16cid:durableId="394862600">
    <w:abstractNumId w:val="43"/>
  </w:num>
  <w:num w:numId="38" w16cid:durableId="398134240">
    <w:abstractNumId w:val="9"/>
  </w:num>
  <w:num w:numId="39" w16cid:durableId="837308821">
    <w:abstractNumId w:val="25"/>
  </w:num>
  <w:num w:numId="40" w16cid:durableId="363292395">
    <w:abstractNumId w:val="6"/>
  </w:num>
  <w:num w:numId="41" w16cid:durableId="376054766">
    <w:abstractNumId w:val="23"/>
  </w:num>
  <w:num w:numId="42" w16cid:durableId="1213537003">
    <w:abstractNumId w:val="19"/>
  </w:num>
  <w:num w:numId="43" w16cid:durableId="1795632271">
    <w:abstractNumId w:val="14"/>
  </w:num>
  <w:num w:numId="44" w16cid:durableId="2060669290">
    <w:abstractNumId w:val="22"/>
  </w:num>
  <w:num w:numId="45" w16cid:durableId="1422797213">
    <w:abstractNumId w:val="15"/>
  </w:num>
  <w:num w:numId="46" w16cid:durableId="770324247">
    <w:abstractNumId w:val="13"/>
  </w:num>
  <w:num w:numId="47" w16cid:durableId="574054906">
    <w:abstractNumId w:val="5"/>
  </w:num>
  <w:num w:numId="48" w16cid:durableId="1840270437">
    <w:abstractNumId w:val="27"/>
  </w:num>
  <w:num w:numId="49" w16cid:durableId="1504737119">
    <w:abstractNumId w:val="42"/>
  </w:num>
  <w:num w:numId="50" w16cid:durableId="359821">
    <w:abstractNumId w:val="4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xHeaderWithImage" w:val="False"/>
    <w:docVar w:name="cbxIncludeDividers" w:val="False"/>
    <w:docVar w:name="cmbTypeOfDoc.Column(1)" w:val="B"/>
    <w:docVar w:name="CurrentTemplateDate" w:val="2 July 2020"/>
    <w:docVar w:name="CurrentTemplateName" w:val="Long Report.dotm"/>
    <w:docVar w:name="CurrentTemplateVersion" w:val="2.00"/>
    <w:docVar w:name="DocTemplateName" w:val="Long Report.dotm"/>
    <w:docVar w:name="InitialTemplateName" w:val="Long Report.dotm"/>
    <w:docVar w:name="InitialTemplateVersion" w:val="2.07"/>
    <w:docVar w:name="NewDoc" w:val="False"/>
    <w:docVar w:name="txtDate.Tag" w:val="45806|d mmmm yyyy"/>
    <w:docVar w:name="txtHdr" w:val="Invitation to Tender (ITT) and Statement of Requirement"/>
    <w:docVar w:name="zOrrHeaderName" w:val="Office of Rail and Road"/>
    <w:docVar w:name="zOrrHeaderNameWelsh" w:val="Swyddfa Rheilffyrdd a Ffyrdd"/>
    <w:docVar w:name="zTocLevel" w:val="1"/>
  </w:docVars>
  <w:rsids>
    <w:rsidRoot w:val="00FC6860"/>
    <w:rsid w:val="00000449"/>
    <w:rsid w:val="00000EFE"/>
    <w:rsid w:val="000016D5"/>
    <w:rsid w:val="00002819"/>
    <w:rsid w:val="000028B7"/>
    <w:rsid w:val="000032A5"/>
    <w:rsid w:val="00004793"/>
    <w:rsid w:val="00010F36"/>
    <w:rsid w:val="0001128F"/>
    <w:rsid w:val="000114E9"/>
    <w:rsid w:val="000134D7"/>
    <w:rsid w:val="000202DB"/>
    <w:rsid w:val="0002210B"/>
    <w:rsid w:val="00025C01"/>
    <w:rsid w:val="00025D23"/>
    <w:rsid w:val="00030387"/>
    <w:rsid w:val="0003200D"/>
    <w:rsid w:val="0003350C"/>
    <w:rsid w:val="00033AF3"/>
    <w:rsid w:val="00034AD4"/>
    <w:rsid w:val="000369D7"/>
    <w:rsid w:val="00036DEB"/>
    <w:rsid w:val="00037BD2"/>
    <w:rsid w:val="00041F81"/>
    <w:rsid w:val="00042B65"/>
    <w:rsid w:val="00042F3A"/>
    <w:rsid w:val="00043DA2"/>
    <w:rsid w:val="0004428A"/>
    <w:rsid w:val="00044FE1"/>
    <w:rsid w:val="00045A0A"/>
    <w:rsid w:val="000507F0"/>
    <w:rsid w:val="00050CEB"/>
    <w:rsid w:val="0005181F"/>
    <w:rsid w:val="000518E7"/>
    <w:rsid w:val="000542B4"/>
    <w:rsid w:val="00056B83"/>
    <w:rsid w:val="00060052"/>
    <w:rsid w:val="000607DD"/>
    <w:rsid w:val="0006401E"/>
    <w:rsid w:val="00066737"/>
    <w:rsid w:val="00072560"/>
    <w:rsid w:val="000735F1"/>
    <w:rsid w:val="00074D50"/>
    <w:rsid w:val="00076B67"/>
    <w:rsid w:val="000820E0"/>
    <w:rsid w:val="00082DAA"/>
    <w:rsid w:val="00083123"/>
    <w:rsid w:val="000833AF"/>
    <w:rsid w:val="00084783"/>
    <w:rsid w:val="000847EB"/>
    <w:rsid w:val="00084972"/>
    <w:rsid w:val="0008514C"/>
    <w:rsid w:val="000870A2"/>
    <w:rsid w:val="000876CB"/>
    <w:rsid w:val="00087BD7"/>
    <w:rsid w:val="0009126F"/>
    <w:rsid w:val="0009203F"/>
    <w:rsid w:val="00093E75"/>
    <w:rsid w:val="0009517E"/>
    <w:rsid w:val="000955E6"/>
    <w:rsid w:val="00096B04"/>
    <w:rsid w:val="000973FE"/>
    <w:rsid w:val="000A0167"/>
    <w:rsid w:val="000A0438"/>
    <w:rsid w:val="000A1526"/>
    <w:rsid w:val="000A4B6C"/>
    <w:rsid w:val="000A6DE7"/>
    <w:rsid w:val="000B0266"/>
    <w:rsid w:val="000B066E"/>
    <w:rsid w:val="000B0933"/>
    <w:rsid w:val="000B309A"/>
    <w:rsid w:val="000B3A05"/>
    <w:rsid w:val="000B3C77"/>
    <w:rsid w:val="000B4FC0"/>
    <w:rsid w:val="000B515A"/>
    <w:rsid w:val="000B5591"/>
    <w:rsid w:val="000B6176"/>
    <w:rsid w:val="000C2704"/>
    <w:rsid w:val="000C4996"/>
    <w:rsid w:val="000C7AFE"/>
    <w:rsid w:val="000C7B66"/>
    <w:rsid w:val="000D109C"/>
    <w:rsid w:val="000D2707"/>
    <w:rsid w:val="000D2970"/>
    <w:rsid w:val="000D3C5D"/>
    <w:rsid w:val="000D4151"/>
    <w:rsid w:val="000D4C4A"/>
    <w:rsid w:val="000D7F83"/>
    <w:rsid w:val="000E02C4"/>
    <w:rsid w:val="000E1031"/>
    <w:rsid w:val="000E135E"/>
    <w:rsid w:val="000E1CFC"/>
    <w:rsid w:val="000E5AB1"/>
    <w:rsid w:val="000E5E49"/>
    <w:rsid w:val="000F1270"/>
    <w:rsid w:val="000F2305"/>
    <w:rsid w:val="000F4554"/>
    <w:rsid w:val="000F5529"/>
    <w:rsid w:val="000F70BB"/>
    <w:rsid w:val="000F7141"/>
    <w:rsid w:val="000F7BB6"/>
    <w:rsid w:val="001012B6"/>
    <w:rsid w:val="00101562"/>
    <w:rsid w:val="00102223"/>
    <w:rsid w:val="00102F62"/>
    <w:rsid w:val="00106DA4"/>
    <w:rsid w:val="0011106B"/>
    <w:rsid w:val="0011187D"/>
    <w:rsid w:val="00116B9A"/>
    <w:rsid w:val="0012081C"/>
    <w:rsid w:val="00120892"/>
    <w:rsid w:val="001213FD"/>
    <w:rsid w:val="0012193D"/>
    <w:rsid w:val="0012295F"/>
    <w:rsid w:val="0012424B"/>
    <w:rsid w:val="00124287"/>
    <w:rsid w:val="00124D1D"/>
    <w:rsid w:val="00131BE3"/>
    <w:rsid w:val="0013405A"/>
    <w:rsid w:val="00134A58"/>
    <w:rsid w:val="001367B6"/>
    <w:rsid w:val="00137015"/>
    <w:rsid w:val="0014093E"/>
    <w:rsid w:val="00140AB2"/>
    <w:rsid w:val="00141746"/>
    <w:rsid w:val="00142694"/>
    <w:rsid w:val="0014715B"/>
    <w:rsid w:val="001526A6"/>
    <w:rsid w:val="00153776"/>
    <w:rsid w:val="001540A8"/>
    <w:rsid w:val="00155088"/>
    <w:rsid w:val="0015625B"/>
    <w:rsid w:val="00156D5F"/>
    <w:rsid w:val="00157E4C"/>
    <w:rsid w:val="00160B26"/>
    <w:rsid w:val="0016181F"/>
    <w:rsid w:val="001626CB"/>
    <w:rsid w:val="00162B03"/>
    <w:rsid w:val="001659DD"/>
    <w:rsid w:val="0016661E"/>
    <w:rsid w:val="00166736"/>
    <w:rsid w:val="00167308"/>
    <w:rsid w:val="0017030F"/>
    <w:rsid w:val="0017178C"/>
    <w:rsid w:val="00171E62"/>
    <w:rsid w:val="00175A76"/>
    <w:rsid w:val="001768F1"/>
    <w:rsid w:val="00176D13"/>
    <w:rsid w:val="00180E47"/>
    <w:rsid w:val="001858EB"/>
    <w:rsid w:val="001867F4"/>
    <w:rsid w:val="00187696"/>
    <w:rsid w:val="00194E09"/>
    <w:rsid w:val="00195911"/>
    <w:rsid w:val="00195C79"/>
    <w:rsid w:val="00196B0B"/>
    <w:rsid w:val="0019759E"/>
    <w:rsid w:val="001A00F0"/>
    <w:rsid w:val="001A1058"/>
    <w:rsid w:val="001A1921"/>
    <w:rsid w:val="001A2954"/>
    <w:rsid w:val="001A4139"/>
    <w:rsid w:val="001A45E7"/>
    <w:rsid w:val="001A5A22"/>
    <w:rsid w:val="001A69BD"/>
    <w:rsid w:val="001B0BFB"/>
    <w:rsid w:val="001B3284"/>
    <w:rsid w:val="001B3FD8"/>
    <w:rsid w:val="001B54A7"/>
    <w:rsid w:val="001B551F"/>
    <w:rsid w:val="001B5A48"/>
    <w:rsid w:val="001B62CD"/>
    <w:rsid w:val="001B6E51"/>
    <w:rsid w:val="001B71F8"/>
    <w:rsid w:val="001C149F"/>
    <w:rsid w:val="001C60A4"/>
    <w:rsid w:val="001D028A"/>
    <w:rsid w:val="001D0D33"/>
    <w:rsid w:val="001D1536"/>
    <w:rsid w:val="001D590D"/>
    <w:rsid w:val="001D5DF3"/>
    <w:rsid w:val="001D605B"/>
    <w:rsid w:val="001E2367"/>
    <w:rsid w:val="001E23F4"/>
    <w:rsid w:val="001E72BB"/>
    <w:rsid w:val="001E7C87"/>
    <w:rsid w:val="001F1140"/>
    <w:rsid w:val="001F2F5C"/>
    <w:rsid w:val="001F376D"/>
    <w:rsid w:val="001F4F0C"/>
    <w:rsid w:val="001F55B8"/>
    <w:rsid w:val="001F79F5"/>
    <w:rsid w:val="00201078"/>
    <w:rsid w:val="00201A5F"/>
    <w:rsid w:val="0020297B"/>
    <w:rsid w:val="00205D90"/>
    <w:rsid w:val="00205EB3"/>
    <w:rsid w:val="00205EC7"/>
    <w:rsid w:val="002063AE"/>
    <w:rsid w:val="002064AF"/>
    <w:rsid w:val="00206FF1"/>
    <w:rsid w:val="002077FD"/>
    <w:rsid w:val="0021014C"/>
    <w:rsid w:val="0021084B"/>
    <w:rsid w:val="0021141B"/>
    <w:rsid w:val="00211B64"/>
    <w:rsid w:val="0021395E"/>
    <w:rsid w:val="00214896"/>
    <w:rsid w:val="00214E42"/>
    <w:rsid w:val="002162D4"/>
    <w:rsid w:val="00216709"/>
    <w:rsid w:val="00220F85"/>
    <w:rsid w:val="00221B82"/>
    <w:rsid w:val="0022209D"/>
    <w:rsid w:val="00222657"/>
    <w:rsid w:val="00224950"/>
    <w:rsid w:val="00225D2C"/>
    <w:rsid w:val="00225EFD"/>
    <w:rsid w:val="00233485"/>
    <w:rsid w:val="00233A0A"/>
    <w:rsid w:val="00234B06"/>
    <w:rsid w:val="002365EF"/>
    <w:rsid w:val="00240410"/>
    <w:rsid w:val="00243F2B"/>
    <w:rsid w:val="002459ED"/>
    <w:rsid w:val="00245ED5"/>
    <w:rsid w:val="00247285"/>
    <w:rsid w:val="002506F0"/>
    <w:rsid w:val="002513ED"/>
    <w:rsid w:val="00251FEB"/>
    <w:rsid w:val="0025242F"/>
    <w:rsid w:val="0025771F"/>
    <w:rsid w:val="00257BE5"/>
    <w:rsid w:val="00262715"/>
    <w:rsid w:val="00263315"/>
    <w:rsid w:val="002670A5"/>
    <w:rsid w:val="00272200"/>
    <w:rsid w:val="00272A62"/>
    <w:rsid w:val="0027578C"/>
    <w:rsid w:val="002758B6"/>
    <w:rsid w:val="00276A80"/>
    <w:rsid w:val="00276C64"/>
    <w:rsid w:val="00280B21"/>
    <w:rsid w:val="00282136"/>
    <w:rsid w:val="002824A5"/>
    <w:rsid w:val="0028433A"/>
    <w:rsid w:val="0028445E"/>
    <w:rsid w:val="00286CF2"/>
    <w:rsid w:val="0028735A"/>
    <w:rsid w:val="00287B37"/>
    <w:rsid w:val="00290A71"/>
    <w:rsid w:val="0029283C"/>
    <w:rsid w:val="00293D38"/>
    <w:rsid w:val="00294DAA"/>
    <w:rsid w:val="00297104"/>
    <w:rsid w:val="002A36EA"/>
    <w:rsid w:val="002A4015"/>
    <w:rsid w:val="002A64F9"/>
    <w:rsid w:val="002A6812"/>
    <w:rsid w:val="002B0F0F"/>
    <w:rsid w:val="002B3462"/>
    <w:rsid w:val="002B6FE1"/>
    <w:rsid w:val="002B7995"/>
    <w:rsid w:val="002C10BB"/>
    <w:rsid w:val="002C470E"/>
    <w:rsid w:val="002C5A50"/>
    <w:rsid w:val="002C6E70"/>
    <w:rsid w:val="002D0E5B"/>
    <w:rsid w:val="002D14BC"/>
    <w:rsid w:val="002D1E2E"/>
    <w:rsid w:val="002D2997"/>
    <w:rsid w:val="002D33A1"/>
    <w:rsid w:val="002D3609"/>
    <w:rsid w:val="002D3643"/>
    <w:rsid w:val="002D46DA"/>
    <w:rsid w:val="002D5EDF"/>
    <w:rsid w:val="002D6663"/>
    <w:rsid w:val="002E2DAD"/>
    <w:rsid w:val="002E4800"/>
    <w:rsid w:val="002E60F8"/>
    <w:rsid w:val="002E7122"/>
    <w:rsid w:val="002F111F"/>
    <w:rsid w:val="002F1135"/>
    <w:rsid w:val="002F2791"/>
    <w:rsid w:val="002F5466"/>
    <w:rsid w:val="002F56B7"/>
    <w:rsid w:val="002F7393"/>
    <w:rsid w:val="0030237B"/>
    <w:rsid w:val="003027B1"/>
    <w:rsid w:val="003048A3"/>
    <w:rsid w:val="00311FD5"/>
    <w:rsid w:val="00314959"/>
    <w:rsid w:val="00316347"/>
    <w:rsid w:val="00317E79"/>
    <w:rsid w:val="00320C90"/>
    <w:rsid w:val="003247A4"/>
    <w:rsid w:val="003251A9"/>
    <w:rsid w:val="00326919"/>
    <w:rsid w:val="00336670"/>
    <w:rsid w:val="003366E7"/>
    <w:rsid w:val="00337204"/>
    <w:rsid w:val="00341CD0"/>
    <w:rsid w:val="0034288F"/>
    <w:rsid w:val="003434F0"/>
    <w:rsid w:val="00343838"/>
    <w:rsid w:val="00345FBC"/>
    <w:rsid w:val="00347259"/>
    <w:rsid w:val="00347F87"/>
    <w:rsid w:val="00350594"/>
    <w:rsid w:val="003543C0"/>
    <w:rsid w:val="00355BAC"/>
    <w:rsid w:val="0035753E"/>
    <w:rsid w:val="0036155F"/>
    <w:rsid w:val="0036504A"/>
    <w:rsid w:val="003672B2"/>
    <w:rsid w:val="00370CA1"/>
    <w:rsid w:val="0037110F"/>
    <w:rsid w:val="00372316"/>
    <w:rsid w:val="00372ABD"/>
    <w:rsid w:val="00374BAE"/>
    <w:rsid w:val="003764B8"/>
    <w:rsid w:val="003813C5"/>
    <w:rsid w:val="00382469"/>
    <w:rsid w:val="00383664"/>
    <w:rsid w:val="00384699"/>
    <w:rsid w:val="00385387"/>
    <w:rsid w:val="00385F6B"/>
    <w:rsid w:val="00386812"/>
    <w:rsid w:val="00386AF7"/>
    <w:rsid w:val="00386E0A"/>
    <w:rsid w:val="00390C0D"/>
    <w:rsid w:val="00392404"/>
    <w:rsid w:val="00395CFE"/>
    <w:rsid w:val="003962CF"/>
    <w:rsid w:val="003A16E9"/>
    <w:rsid w:val="003A1D04"/>
    <w:rsid w:val="003A214A"/>
    <w:rsid w:val="003A5CB8"/>
    <w:rsid w:val="003A6A27"/>
    <w:rsid w:val="003A72F8"/>
    <w:rsid w:val="003B008E"/>
    <w:rsid w:val="003B09D0"/>
    <w:rsid w:val="003B1008"/>
    <w:rsid w:val="003B13D5"/>
    <w:rsid w:val="003B17E6"/>
    <w:rsid w:val="003B1A86"/>
    <w:rsid w:val="003B27DE"/>
    <w:rsid w:val="003C0BDF"/>
    <w:rsid w:val="003C0D57"/>
    <w:rsid w:val="003C247A"/>
    <w:rsid w:val="003C2CFC"/>
    <w:rsid w:val="003C3449"/>
    <w:rsid w:val="003C3BA6"/>
    <w:rsid w:val="003C462A"/>
    <w:rsid w:val="003C5BA6"/>
    <w:rsid w:val="003C603E"/>
    <w:rsid w:val="003C61F0"/>
    <w:rsid w:val="003D0868"/>
    <w:rsid w:val="003D0C86"/>
    <w:rsid w:val="003D1485"/>
    <w:rsid w:val="003D199F"/>
    <w:rsid w:val="003D1B7D"/>
    <w:rsid w:val="003D1CC2"/>
    <w:rsid w:val="003D30C6"/>
    <w:rsid w:val="003D684E"/>
    <w:rsid w:val="003E13A6"/>
    <w:rsid w:val="003E1A78"/>
    <w:rsid w:val="003E2786"/>
    <w:rsid w:val="003E28BE"/>
    <w:rsid w:val="003E2FAF"/>
    <w:rsid w:val="003E3CAC"/>
    <w:rsid w:val="003E3E52"/>
    <w:rsid w:val="003E40D9"/>
    <w:rsid w:val="003E497C"/>
    <w:rsid w:val="003E5290"/>
    <w:rsid w:val="003E5612"/>
    <w:rsid w:val="003E5A51"/>
    <w:rsid w:val="003E6BE3"/>
    <w:rsid w:val="003F161B"/>
    <w:rsid w:val="003F3CB0"/>
    <w:rsid w:val="003F4AE3"/>
    <w:rsid w:val="003F62CC"/>
    <w:rsid w:val="003F6E9D"/>
    <w:rsid w:val="00400432"/>
    <w:rsid w:val="004023B1"/>
    <w:rsid w:val="004025C0"/>
    <w:rsid w:val="0040280A"/>
    <w:rsid w:val="00402863"/>
    <w:rsid w:val="00403C5B"/>
    <w:rsid w:val="00403EC7"/>
    <w:rsid w:val="00404252"/>
    <w:rsid w:val="0040587D"/>
    <w:rsid w:val="00407533"/>
    <w:rsid w:val="00410615"/>
    <w:rsid w:val="00411315"/>
    <w:rsid w:val="004121D9"/>
    <w:rsid w:val="00412E90"/>
    <w:rsid w:val="00414896"/>
    <w:rsid w:val="0042181C"/>
    <w:rsid w:val="00422B1B"/>
    <w:rsid w:val="0042552D"/>
    <w:rsid w:val="004276BA"/>
    <w:rsid w:val="004308C7"/>
    <w:rsid w:val="004325E6"/>
    <w:rsid w:val="004329DD"/>
    <w:rsid w:val="00433557"/>
    <w:rsid w:val="00433D4D"/>
    <w:rsid w:val="00435062"/>
    <w:rsid w:val="00436B8A"/>
    <w:rsid w:val="004372B6"/>
    <w:rsid w:val="0043752D"/>
    <w:rsid w:val="00437772"/>
    <w:rsid w:val="0044577C"/>
    <w:rsid w:val="0044587A"/>
    <w:rsid w:val="00445FBE"/>
    <w:rsid w:val="004462A6"/>
    <w:rsid w:val="00446747"/>
    <w:rsid w:val="00451C67"/>
    <w:rsid w:val="00452F29"/>
    <w:rsid w:val="00453019"/>
    <w:rsid w:val="00454D76"/>
    <w:rsid w:val="00457556"/>
    <w:rsid w:val="0046195C"/>
    <w:rsid w:val="004640CF"/>
    <w:rsid w:val="00465309"/>
    <w:rsid w:val="00465E6B"/>
    <w:rsid w:val="00470E89"/>
    <w:rsid w:val="00471D64"/>
    <w:rsid w:val="00472A7C"/>
    <w:rsid w:val="00474092"/>
    <w:rsid w:val="00474DD0"/>
    <w:rsid w:val="00475726"/>
    <w:rsid w:val="00476327"/>
    <w:rsid w:val="00480854"/>
    <w:rsid w:val="0048293D"/>
    <w:rsid w:val="0048300B"/>
    <w:rsid w:val="00483892"/>
    <w:rsid w:val="00484DFE"/>
    <w:rsid w:val="00485F4A"/>
    <w:rsid w:val="0048675D"/>
    <w:rsid w:val="00486CBD"/>
    <w:rsid w:val="0048774B"/>
    <w:rsid w:val="00487A18"/>
    <w:rsid w:val="00487E58"/>
    <w:rsid w:val="00490915"/>
    <w:rsid w:val="00491004"/>
    <w:rsid w:val="00491907"/>
    <w:rsid w:val="00493BC6"/>
    <w:rsid w:val="00494943"/>
    <w:rsid w:val="00495203"/>
    <w:rsid w:val="00495EEB"/>
    <w:rsid w:val="004964CA"/>
    <w:rsid w:val="004977C3"/>
    <w:rsid w:val="004A0056"/>
    <w:rsid w:val="004A0478"/>
    <w:rsid w:val="004A0AF9"/>
    <w:rsid w:val="004A0C10"/>
    <w:rsid w:val="004A19EE"/>
    <w:rsid w:val="004A24AB"/>
    <w:rsid w:val="004A743E"/>
    <w:rsid w:val="004A7E8D"/>
    <w:rsid w:val="004A7FC6"/>
    <w:rsid w:val="004B18FE"/>
    <w:rsid w:val="004B2D5D"/>
    <w:rsid w:val="004B336F"/>
    <w:rsid w:val="004B481F"/>
    <w:rsid w:val="004B5E8C"/>
    <w:rsid w:val="004B6EF3"/>
    <w:rsid w:val="004C0FAF"/>
    <w:rsid w:val="004C1FDD"/>
    <w:rsid w:val="004C44C0"/>
    <w:rsid w:val="004C5DBF"/>
    <w:rsid w:val="004D04A3"/>
    <w:rsid w:val="004D1C50"/>
    <w:rsid w:val="004D28C2"/>
    <w:rsid w:val="004D2BE4"/>
    <w:rsid w:val="004D4D88"/>
    <w:rsid w:val="004D52B0"/>
    <w:rsid w:val="004D5D65"/>
    <w:rsid w:val="004D5FA3"/>
    <w:rsid w:val="004D689D"/>
    <w:rsid w:val="004D78A8"/>
    <w:rsid w:val="004D7CA6"/>
    <w:rsid w:val="004E234B"/>
    <w:rsid w:val="004E2646"/>
    <w:rsid w:val="004E3BAF"/>
    <w:rsid w:val="004E52F8"/>
    <w:rsid w:val="004E57B7"/>
    <w:rsid w:val="004E5ACC"/>
    <w:rsid w:val="004E60C0"/>
    <w:rsid w:val="004E67B1"/>
    <w:rsid w:val="004F15FE"/>
    <w:rsid w:val="004F24B0"/>
    <w:rsid w:val="004F2AE4"/>
    <w:rsid w:val="004F38A9"/>
    <w:rsid w:val="004F6111"/>
    <w:rsid w:val="004F7360"/>
    <w:rsid w:val="005007C8"/>
    <w:rsid w:val="00502824"/>
    <w:rsid w:val="005048CF"/>
    <w:rsid w:val="005066A9"/>
    <w:rsid w:val="00510420"/>
    <w:rsid w:val="00513145"/>
    <w:rsid w:val="00515B10"/>
    <w:rsid w:val="005165AD"/>
    <w:rsid w:val="00517625"/>
    <w:rsid w:val="00520556"/>
    <w:rsid w:val="0052134A"/>
    <w:rsid w:val="00526956"/>
    <w:rsid w:val="00531395"/>
    <w:rsid w:val="00532B91"/>
    <w:rsid w:val="00534962"/>
    <w:rsid w:val="00536E8D"/>
    <w:rsid w:val="00536EB2"/>
    <w:rsid w:val="005409E6"/>
    <w:rsid w:val="00541ACB"/>
    <w:rsid w:val="005421F6"/>
    <w:rsid w:val="00544099"/>
    <w:rsid w:val="005468FF"/>
    <w:rsid w:val="00546AF7"/>
    <w:rsid w:val="005470DB"/>
    <w:rsid w:val="00547C63"/>
    <w:rsid w:val="00550456"/>
    <w:rsid w:val="00550E09"/>
    <w:rsid w:val="00553812"/>
    <w:rsid w:val="00554F02"/>
    <w:rsid w:val="00555585"/>
    <w:rsid w:val="00557549"/>
    <w:rsid w:val="005612F3"/>
    <w:rsid w:val="00561837"/>
    <w:rsid w:val="00562084"/>
    <w:rsid w:val="005632DC"/>
    <w:rsid w:val="005635FA"/>
    <w:rsid w:val="00563D23"/>
    <w:rsid w:val="00567CB0"/>
    <w:rsid w:val="00570714"/>
    <w:rsid w:val="00574B16"/>
    <w:rsid w:val="005763BE"/>
    <w:rsid w:val="00580A77"/>
    <w:rsid w:val="00581EF2"/>
    <w:rsid w:val="00585CEE"/>
    <w:rsid w:val="005875A7"/>
    <w:rsid w:val="00590209"/>
    <w:rsid w:val="00591161"/>
    <w:rsid w:val="005962A5"/>
    <w:rsid w:val="00596F73"/>
    <w:rsid w:val="005A1534"/>
    <w:rsid w:val="005A6A23"/>
    <w:rsid w:val="005B1E20"/>
    <w:rsid w:val="005B27FB"/>
    <w:rsid w:val="005B2A43"/>
    <w:rsid w:val="005B3ED1"/>
    <w:rsid w:val="005B3F20"/>
    <w:rsid w:val="005B621F"/>
    <w:rsid w:val="005B7791"/>
    <w:rsid w:val="005C0E21"/>
    <w:rsid w:val="005C29ED"/>
    <w:rsid w:val="005C5BD8"/>
    <w:rsid w:val="005C6471"/>
    <w:rsid w:val="005C671A"/>
    <w:rsid w:val="005C78C8"/>
    <w:rsid w:val="005D0524"/>
    <w:rsid w:val="005D169D"/>
    <w:rsid w:val="005E1F2E"/>
    <w:rsid w:val="005E2832"/>
    <w:rsid w:val="005E2D91"/>
    <w:rsid w:val="005E2FF2"/>
    <w:rsid w:val="005E4DB4"/>
    <w:rsid w:val="005E5B5F"/>
    <w:rsid w:val="005E6964"/>
    <w:rsid w:val="005E6B88"/>
    <w:rsid w:val="005F12AF"/>
    <w:rsid w:val="005F217E"/>
    <w:rsid w:val="005F2187"/>
    <w:rsid w:val="005F2393"/>
    <w:rsid w:val="005F31A1"/>
    <w:rsid w:val="005F386D"/>
    <w:rsid w:val="005F4467"/>
    <w:rsid w:val="005F4936"/>
    <w:rsid w:val="005F5149"/>
    <w:rsid w:val="005F52F5"/>
    <w:rsid w:val="005F74FA"/>
    <w:rsid w:val="00600D3A"/>
    <w:rsid w:val="006023B5"/>
    <w:rsid w:val="00603D08"/>
    <w:rsid w:val="0060538B"/>
    <w:rsid w:val="00607686"/>
    <w:rsid w:val="00612A6B"/>
    <w:rsid w:val="00613440"/>
    <w:rsid w:val="00615D12"/>
    <w:rsid w:val="00617B7F"/>
    <w:rsid w:val="00620284"/>
    <w:rsid w:val="00621979"/>
    <w:rsid w:val="0062292F"/>
    <w:rsid w:val="006242F0"/>
    <w:rsid w:val="00627A15"/>
    <w:rsid w:val="006316B1"/>
    <w:rsid w:val="00632A37"/>
    <w:rsid w:val="00633EAC"/>
    <w:rsid w:val="00634342"/>
    <w:rsid w:val="00636173"/>
    <w:rsid w:val="00637198"/>
    <w:rsid w:val="00640445"/>
    <w:rsid w:val="00645EB9"/>
    <w:rsid w:val="006465D2"/>
    <w:rsid w:val="006466BF"/>
    <w:rsid w:val="0064686A"/>
    <w:rsid w:val="006474BC"/>
    <w:rsid w:val="0065616A"/>
    <w:rsid w:val="006562DE"/>
    <w:rsid w:val="0066124A"/>
    <w:rsid w:val="0066373C"/>
    <w:rsid w:val="0066567C"/>
    <w:rsid w:val="006656C4"/>
    <w:rsid w:val="00665D1C"/>
    <w:rsid w:val="006665B4"/>
    <w:rsid w:val="0066704F"/>
    <w:rsid w:val="006701F0"/>
    <w:rsid w:val="00673F42"/>
    <w:rsid w:val="006751AE"/>
    <w:rsid w:val="006758F9"/>
    <w:rsid w:val="0067690F"/>
    <w:rsid w:val="00676F98"/>
    <w:rsid w:val="00680F51"/>
    <w:rsid w:val="006823B5"/>
    <w:rsid w:val="006824F8"/>
    <w:rsid w:val="00683A4B"/>
    <w:rsid w:val="00683F80"/>
    <w:rsid w:val="006859D4"/>
    <w:rsid w:val="0068692E"/>
    <w:rsid w:val="00687193"/>
    <w:rsid w:val="00687E24"/>
    <w:rsid w:val="00690983"/>
    <w:rsid w:val="00690F37"/>
    <w:rsid w:val="00691342"/>
    <w:rsid w:val="00695202"/>
    <w:rsid w:val="00695C67"/>
    <w:rsid w:val="00696041"/>
    <w:rsid w:val="00696275"/>
    <w:rsid w:val="0069642C"/>
    <w:rsid w:val="006A063F"/>
    <w:rsid w:val="006A4B85"/>
    <w:rsid w:val="006A6751"/>
    <w:rsid w:val="006A7DEA"/>
    <w:rsid w:val="006B06DB"/>
    <w:rsid w:val="006B086B"/>
    <w:rsid w:val="006B10E9"/>
    <w:rsid w:val="006B198C"/>
    <w:rsid w:val="006B27E0"/>
    <w:rsid w:val="006B36A9"/>
    <w:rsid w:val="006B3CE4"/>
    <w:rsid w:val="006B4D6E"/>
    <w:rsid w:val="006B6F03"/>
    <w:rsid w:val="006C004C"/>
    <w:rsid w:val="006C02BD"/>
    <w:rsid w:val="006C15DB"/>
    <w:rsid w:val="006C16DB"/>
    <w:rsid w:val="006C39C5"/>
    <w:rsid w:val="006C494E"/>
    <w:rsid w:val="006C5BA7"/>
    <w:rsid w:val="006C7602"/>
    <w:rsid w:val="006D1DD8"/>
    <w:rsid w:val="006D4741"/>
    <w:rsid w:val="006D590A"/>
    <w:rsid w:val="006D6465"/>
    <w:rsid w:val="006E032B"/>
    <w:rsid w:val="006E1B6F"/>
    <w:rsid w:val="006E205F"/>
    <w:rsid w:val="006E214D"/>
    <w:rsid w:val="006E25F6"/>
    <w:rsid w:val="006E3201"/>
    <w:rsid w:val="006E55C1"/>
    <w:rsid w:val="006E56B0"/>
    <w:rsid w:val="006E6C3F"/>
    <w:rsid w:val="006F6490"/>
    <w:rsid w:val="006F663A"/>
    <w:rsid w:val="006F6E46"/>
    <w:rsid w:val="00700F8B"/>
    <w:rsid w:val="0070192E"/>
    <w:rsid w:val="007020E9"/>
    <w:rsid w:val="00703BE0"/>
    <w:rsid w:val="00705CF5"/>
    <w:rsid w:val="00705D71"/>
    <w:rsid w:val="007061B3"/>
    <w:rsid w:val="007062A6"/>
    <w:rsid w:val="00711BF6"/>
    <w:rsid w:val="007127AB"/>
    <w:rsid w:val="00712AD7"/>
    <w:rsid w:val="0071361F"/>
    <w:rsid w:val="00713B94"/>
    <w:rsid w:val="00715280"/>
    <w:rsid w:val="00716CEC"/>
    <w:rsid w:val="00717537"/>
    <w:rsid w:val="007200CC"/>
    <w:rsid w:val="00720F02"/>
    <w:rsid w:val="00723A2D"/>
    <w:rsid w:val="00723A7F"/>
    <w:rsid w:val="00724059"/>
    <w:rsid w:val="007246E1"/>
    <w:rsid w:val="00725DA6"/>
    <w:rsid w:val="007301DB"/>
    <w:rsid w:val="0073071A"/>
    <w:rsid w:val="007311BD"/>
    <w:rsid w:val="007315E8"/>
    <w:rsid w:val="00731E7B"/>
    <w:rsid w:val="00731F42"/>
    <w:rsid w:val="00732439"/>
    <w:rsid w:val="00732AC5"/>
    <w:rsid w:val="00733DE8"/>
    <w:rsid w:val="007340D3"/>
    <w:rsid w:val="00734AF8"/>
    <w:rsid w:val="007406C9"/>
    <w:rsid w:val="00741D57"/>
    <w:rsid w:val="00742DFE"/>
    <w:rsid w:val="00744E91"/>
    <w:rsid w:val="00745B89"/>
    <w:rsid w:val="00745F36"/>
    <w:rsid w:val="00747A38"/>
    <w:rsid w:val="00747FAB"/>
    <w:rsid w:val="00750300"/>
    <w:rsid w:val="007515F0"/>
    <w:rsid w:val="00752063"/>
    <w:rsid w:val="00754E10"/>
    <w:rsid w:val="0075568C"/>
    <w:rsid w:val="00755729"/>
    <w:rsid w:val="00755F22"/>
    <w:rsid w:val="0075633E"/>
    <w:rsid w:val="0075674E"/>
    <w:rsid w:val="00756E0D"/>
    <w:rsid w:val="00757405"/>
    <w:rsid w:val="00757472"/>
    <w:rsid w:val="00760514"/>
    <w:rsid w:val="007623D8"/>
    <w:rsid w:val="007623EE"/>
    <w:rsid w:val="00762C46"/>
    <w:rsid w:val="00763DEC"/>
    <w:rsid w:val="00765B68"/>
    <w:rsid w:val="00765E71"/>
    <w:rsid w:val="00765F30"/>
    <w:rsid w:val="0076780C"/>
    <w:rsid w:val="007679D8"/>
    <w:rsid w:val="00773068"/>
    <w:rsid w:val="00776F35"/>
    <w:rsid w:val="0078105D"/>
    <w:rsid w:val="007830BE"/>
    <w:rsid w:val="00783D9C"/>
    <w:rsid w:val="00785937"/>
    <w:rsid w:val="00790401"/>
    <w:rsid w:val="00790AD2"/>
    <w:rsid w:val="0079264A"/>
    <w:rsid w:val="00796755"/>
    <w:rsid w:val="00796A79"/>
    <w:rsid w:val="00796E71"/>
    <w:rsid w:val="007979A7"/>
    <w:rsid w:val="00797F75"/>
    <w:rsid w:val="00797FA9"/>
    <w:rsid w:val="007A050D"/>
    <w:rsid w:val="007A1B80"/>
    <w:rsid w:val="007A1F12"/>
    <w:rsid w:val="007A554A"/>
    <w:rsid w:val="007B1555"/>
    <w:rsid w:val="007B5DBC"/>
    <w:rsid w:val="007B6E75"/>
    <w:rsid w:val="007B7E3E"/>
    <w:rsid w:val="007C1FE8"/>
    <w:rsid w:val="007C37FB"/>
    <w:rsid w:val="007C43C1"/>
    <w:rsid w:val="007C5246"/>
    <w:rsid w:val="007C72DC"/>
    <w:rsid w:val="007D0408"/>
    <w:rsid w:val="007D0452"/>
    <w:rsid w:val="007D3622"/>
    <w:rsid w:val="007D5014"/>
    <w:rsid w:val="007D5968"/>
    <w:rsid w:val="007E246D"/>
    <w:rsid w:val="007E2744"/>
    <w:rsid w:val="007E2967"/>
    <w:rsid w:val="007E49A4"/>
    <w:rsid w:val="007E4EC4"/>
    <w:rsid w:val="007E54B3"/>
    <w:rsid w:val="007E6B79"/>
    <w:rsid w:val="007E6E4B"/>
    <w:rsid w:val="007E6FBE"/>
    <w:rsid w:val="007E7456"/>
    <w:rsid w:val="007F3AC5"/>
    <w:rsid w:val="007F3F24"/>
    <w:rsid w:val="007F4A11"/>
    <w:rsid w:val="007F4B75"/>
    <w:rsid w:val="007F5C89"/>
    <w:rsid w:val="007F6498"/>
    <w:rsid w:val="007F6B18"/>
    <w:rsid w:val="007F7981"/>
    <w:rsid w:val="0080173A"/>
    <w:rsid w:val="00804126"/>
    <w:rsid w:val="00804350"/>
    <w:rsid w:val="00804C00"/>
    <w:rsid w:val="00806042"/>
    <w:rsid w:val="00811F37"/>
    <w:rsid w:val="008122F2"/>
    <w:rsid w:val="00812674"/>
    <w:rsid w:val="008145A2"/>
    <w:rsid w:val="0081555F"/>
    <w:rsid w:val="0081639D"/>
    <w:rsid w:val="00816BF7"/>
    <w:rsid w:val="00816EAD"/>
    <w:rsid w:val="0081723A"/>
    <w:rsid w:val="008174A6"/>
    <w:rsid w:val="00821C1C"/>
    <w:rsid w:val="00826F5D"/>
    <w:rsid w:val="00827283"/>
    <w:rsid w:val="008277B1"/>
    <w:rsid w:val="00827BF7"/>
    <w:rsid w:val="00827C76"/>
    <w:rsid w:val="00831EE0"/>
    <w:rsid w:val="00831FD2"/>
    <w:rsid w:val="00833B7F"/>
    <w:rsid w:val="008342A5"/>
    <w:rsid w:val="00835923"/>
    <w:rsid w:val="00836F30"/>
    <w:rsid w:val="0083798F"/>
    <w:rsid w:val="00841B8C"/>
    <w:rsid w:val="008422F2"/>
    <w:rsid w:val="008424C9"/>
    <w:rsid w:val="00843ADB"/>
    <w:rsid w:val="00843CA5"/>
    <w:rsid w:val="008454EE"/>
    <w:rsid w:val="00845E86"/>
    <w:rsid w:val="00845EDF"/>
    <w:rsid w:val="0084643A"/>
    <w:rsid w:val="00846886"/>
    <w:rsid w:val="008475B8"/>
    <w:rsid w:val="0085056D"/>
    <w:rsid w:val="00850659"/>
    <w:rsid w:val="00851E44"/>
    <w:rsid w:val="00851FA5"/>
    <w:rsid w:val="00852599"/>
    <w:rsid w:val="00852E5A"/>
    <w:rsid w:val="00855FA9"/>
    <w:rsid w:val="00856C23"/>
    <w:rsid w:val="00856DAD"/>
    <w:rsid w:val="008624E2"/>
    <w:rsid w:val="008629CA"/>
    <w:rsid w:val="00862D9D"/>
    <w:rsid w:val="008640BB"/>
    <w:rsid w:val="008643E1"/>
    <w:rsid w:val="00865231"/>
    <w:rsid w:val="00865314"/>
    <w:rsid w:val="008667A9"/>
    <w:rsid w:val="00867A72"/>
    <w:rsid w:val="008716EE"/>
    <w:rsid w:val="00873479"/>
    <w:rsid w:val="0087426B"/>
    <w:rsid w:val="008769E8"/>
    <w:rsid w:val="00877CB8"/>
    <w:rsid w:val="00882BEF"/>
    <w:rsid w:val="0088364F"/>
    <w:rsid w:val="008843A3"/>
    <w:rsid w:val="00884568"/>
    <w:rsid w:val="00884718"/>
    <w:rsid w:val="00885126"/>
    <w:rsid w:val="008860C7"/>
    <w:rsid w:val="00886DE9"/>
    <w:rsid w:val="008903EE"/>
    <w:rsid w:val="008905FE"/>
    <w:rsid w:val="00890BB8"/>
    <w:rsid w:val="00890C7F"/>
    <w:rsid w:val="008911C0"/>
    <w:rsid w:val="00892CA9"/>
    <w:rsid w:val="00894644"/>
    <w:rsid w:val="008946A7"/>
    <w:rsid w:val="00894D7D"/>
    <w:rsid w:val="0089721E"/>
    <w:rsid w:val="00897A5A"/>
    <w:rsid w:val="008A0744"/>
    <w:rsid w:val="008A1C58"/>
    <w:rsid w:val="008A1E4C"/>
    <w:rsid w:val="008A22EC"/>
    <w:rsid w:val="008A25C5"/>
    <w:rsid w:val="008A43AD"/>
    <w:rsid w:val="008A4DA6"/>
    <w:rsid w:val="008A59B7"/>
    <w:rsid w:val="008A7042"/>
    <w:rsid w:val="008A70A2"/>
    <w:rsid w:val="008B0C60"/>
    <w:rsid w:val="008B13A2"/>
    <w:rsid w:val="008B37F8"/>
    <w:rsid w:val="008B39F2"/>
    <w:rsid w:val="008B4A7B"/>
    <w:rsid w:val="008B50A1"/>
    <w:rsid w:val="008B5A62"/>
    <w:rsid w:val="008B6DC1"/>
    <w:rsid w:val="008B79B6"/>
    <w:rsid w:val="008C091C"/>
    <w:rsid w:val="008C1870"/>
    <w:rsid w:val="008C2633"/>
    <w:rsid w:val="008C30D2"/>
    <w:rsid w:val="008C457C"/>
    <w:rsid w:val="008C4C5F"/>
    <w:rsid w:val="008C621D"/>
    <w:rsid w:val="008C6FC4"/>
    <w:rsid w:val="008D3494"/>
    <w:rsid w:val="008D3AE4"/>
    <w:rsid w:val="008D4781"/>
    <w:rsid w:val="008D5A99"/>
    <w:rsid w:val="008D5E69"/>
    <w:rsid w:val="008D60C8"/>
    <w:rsid w:val="008E1ABB"/>
    <w:rsid w:val="008E227E"/>
    <w:rsid w:val="008E369F"/>
    <w:rsid w:val="008E3D37"/>
    <w:rsid w:val="008E3E7D"/>
    <w:rsid w:val="008E5039"/>
    <w:rsid w:val="008E61DF"/>
    <w:rsid w:val="008F04E0"/>
    <w:rsid w:val="008F0849"/>
    <w:rsid w:val="008F092B"/>
    <w:rsid w:val="008F0B87"/>
    <w:rsid w:val="008F152F"/>
    <w:rsid w:val="008F17F5"/>
    <w:rsid w:val="008F18B3"/>
    <w:rsid w:val="008F1A0A"/>
    <w:rsid w:val="008F2D76"/>
    <w:rsid w:val="008F3234"/>
    <w:rsid w:val="008F4B2A"/>
    <w:rsid w:val="008F676D"/>
    <w:rsid w:val="0090088F"/>
    <w:rsid w:val="00900C5B"/>
    <w:rsid w:val="00901C9A"/>
    <w:rsid w:val="0090243F"/>
    <w:rsid w:val="00903EB2"/>
    <w:rsid w:val="00904857"/>
    <w:rsid w:val="0090622E"/>
    <w:rsid w:val="0090639C"/>
    <w:rsid w:val="00907F32"/>
    <w:rsid w:val="009102F8"/>
    <w:rsid w:val="00910556"/>
    <w:rsid w:val="00910A38"/>
    <w:rsid w:val="00910E4A"/>
    <w:rsid w:val="00911018"/>
    <w:rsid w:val="009111CF"/>
    <w:rsid w:val="00912431"/>
    <w:rsid w:val="00913800"/>
    <w:rsid w:val="00914861"/>
    <w:rsid w:val="00914D5C"/>
    <w:rsid w:val="0091660A"/>
    <w:rsid w:val="00916C88"/>
    <w:rsid w:val="0091702C"/>
    <w:rsid w:val="00917106"/>
    <w:rsid w:val="00920F55"/>
    <w:rsid w:val="009265DD"/>
    <w:rsid w:val="009273E0"/>
    <w:rsid w:val="009319AE"/>
    <w:rsid w:val="00933349"/>
    <w:rsid w:val="009334D0"/>
    <w:rsid w:val="0093389F"/>
    <w:rsid w:val="0093681C"/>
    <w:rsid w:val="009368B3"/>
    <w:rsid w:val="009375BF"/>
    <w:rsid w:val="0094130E"/>
    <w:rsid w:val="00946BBD"/>
    <w:rsid w:val="00950EC4"/>
    <w:rsid w:val="00951299"/>
    <w:rsid w:val="00952E99"/>
    <w:rsid w:val="00954E34"/>
    <w:rsid w:val="00957064"/>
    <w:rsid w:val="009617D1"/>
    <w:rsid w:val="00962274"/>
    <w:rsid w:val="00963E0B"/>
    <w:rsid w:val="009646F5"/>
    <w:rsid w:val="00964B41"/>
    <w:rsid w:val="00965312"/>
    <w:rsid w:val="0096719B"/>
    <w:rsid w:val="00967D95"/>
    <w:rsid w:val="00970202"/>
    <w:rsid w:val="00973BC6"/>
    <w:rsid w:val="00973BF0"/>
    <w:rsid w:val="0097438D"/>
    <w:rsid w:val="00974DB7"/>
    <w:rsid w:val="009757DA"/>
    <w:rsid w:val="00976301"/>
    <w:rsid w:val="00981E60"/>
    <w:rsid w:val="009822CC"/>
    <w:rsid w:val="00982820"/>
    <w:rsid w:val="00982847"/>
    <w:rsid w:val="009852F9"/>
    <w:rsid w:val="00985547"/>
    <w:rsid w:val="0098657D"/>
    <w:rsid w:val="00987130"/>
    <w:rsid w:val="0099269F"/>
    <w:rsid w:val="00992736"/>
    <w:rsid w:val="00992B05"/>
    <w:rsid w:val="00994102"/>
    <w:rsid w:val="009942BE"/>
    <w:rsid w:val="009A0F00"/>
    <w:rsid w:val="009A2902"/>
    <w:rsid w:val="009A34CB"/>
    <w:rsid w:val="009A598E"/>
    <w:rsid w:val="009A5DA3"/>
    <w:rsid w:val="009B04F7"/>
    <w:rsid w:val="009B1DBE"/>
    <w:rsid w:val="009B523E"/>
    <w:rsid w:val="009B5565"/>
    <w:rsid w:val="009B70D9"/>
    <w:rsid w:val="009C0A08"/>
    <w:rsid w:val="009C0A8C"/>
    <w:rsid w:val="009C3E78"/>
    <w:rsid w:val="009C4462"/>
    <w:rsid w:val="009C486D"/>
    <w:rsid w:val="009C7888"/>
    <w:rsid w:val="009C7A8D"/>
    <w:rsid w:val="009D4176"/>
    <w:rsid w:val="009D4BF5"/>
    <w:rsid w:val="009D61BA"/>
    <w:rsid w:val="009D7895"/>
    <w:rsid w:val="009E0644"/>
    <w:rsid w:val="009E13FE"/>
    <w:rsid w:val="009E2221"/>
    <w:rsid w:val="009E2D91"/>
    <w:rsid w:val="009E334B"/>
    <w:rsid w:val="009E34CC"/>
    <w:rsid w:val="009E476E"/>
    <w:rsid w:val="009E5BAF"/>
    <w:rsid w:val="009E6916"/>
    <w:rsid w:val="009F25D3"/>
    <w:rsid w:val="009F436F"/>
    <w:rsid w:val="009F4755"/>
    <w:rsid w:val="009F5929"/>
    <w:rsid w:val="009F5F7C"/>
    <w:rsid w:val="009F642E"/>
    <w:rsid w:val="009F6CC1"/>
    <w:rsid w:val="009F6F63"/>
    <w:rsid w:val="00A00A07"/>
    <w:rsid w:val="00A00C0A"/>
    <w:rsid w:val="00A0111D"/>
    <w:rsid w:val="00A01376"/>
    <w:rsid w:val="00A02455"/>
    <w:rsid w:val="00A02706"/>
    <w:rsid w:val="00A032BF"/>
    <w:rsid w:val="00A03720"/>
    <w:rsid w:val="00A03E79"/>
    <w:rsid w:val="00A041F0"/>
    <w:rsid w:val="00A04B58"/>
    <w:rsid w:val="00A0629D"/>
    <w:rsid w:val="00A107B3"/>
    <w:rsid w:val="00A11E3E"/>
    <w:rsid w:val="00A12B6D"/>
    <w:rsid w:val="00A12D1B"/>
    <w:rsid w:val="00A14898"/>
    <w:rsid w:val="00A17292"/>
    <w:rsid w:val="00A20FD3"/>
    <w:rsid w:val="00A26055"/>
    <w:rsid w:val="00A26776"/>
    <w:rsid w:val="00A27332"/>
    <w:rsid w:val="00A310F3"/>
    <w:rsid w:val="00A32644"/>
    <w:rsid w:val="00A369DA"/>
    <w:rsid w:val="00A3724D"/>
    <w:rsid w:val="00A37A9B"/>
    <w:rsid w:val="00A4008F"/>
    <w:rsid w:val="00A400B1"/>
    <w:rsid w:val="00A404D5"/>
    <w:rsid w:val="00A42FBD"/>
    <w:rsid w:val="00A44130"/>
    <w:rsid w:val="00A5113C"/>
    <w:rsid w:val="00A51C18"/>
    <w:rsid w:val="00A525B9"/>
    <w:rsid w:val="00A575FC"/>
    <w:rsid w:val="00A6092F"/>
    <w:rsid w:val="00A63A23"/>
    <w:rsid w:val="00A6597D"/>
    <w:rsid w:val="00A66ABE"/>
    <w:rsid w:val="00A66AC8"/>
    <w:rsid w:val="00A67863"/>
    <w:rsid w:val="00A70557"/>
    <w:rsid w:val="00A72F4D"/>
    <w:rsid w:val="00A739EA"/>
    <w:rsid w:val="00A73FDA"/>
    <w:rsid w:val="00A77317"/>
    <w:rsid w:val="00A81468"/>
    <w:rsid w:val="00A81CA4"/>
    <w:rsid w:val="00A847AB"/>
    <w:rsid w:val="00A90826"/>
    <w:rsid w:val="00A91269"/>
    <w:rsid w:val="00A93476"/>
    <w:rsid w:val="00A93EAA"/>
    <w:rsid w:val="00A94F66"/>
    <w:rsid w:val="00A9568A"/>
    <w:rsid w:val="00A95FB0"/>
    <w:rsid w:val="00AA231F"/>
    <w:rsid w:val="00AA243E"/>
    <w:rsid w:val="00AA629A"/>
    <w:rsid w:val="00AA7127"/>
    <w:rsid w:val="00AB0E7E"/>
    <w:rsid w:val="00AB1B38"/>
    <w:rsid w:val="00AB2750"/>
    <w:rsid w:val="00AB3000"/>
    <w:rsid w:val="00AB52F9"/>
    <w:rsid w:val="00AB6599"/>
    <w:rsid w:val="00AB7230"/>
    <w:rsid w:val="00AB7AAD"/>
    <w:rsid w:val="00AC255A"/>
    <w:rsid w:val="00AC3F17"/>
    <w:rsid w:val="00AC5340"/>
    <w:rsid w:val="00AC6A92"/>
    <w:rsid w:val="00AD04E5"/>
    <w:rsid w:val="00AD631C"/>
    <w:rsid w:val="00AD7C61"/>
    <w:rsid w:val="00AE0041"/>
    <w:rsid w:val="00AE1221"/>
    <w:rsid w:val="00AE1375"/>
    <w:rsid w:val="00AE2469"/>
    <w:rsid w:val="00AE248D"/>
    <w:rsid w:val="00AE2EA2"/>
    <w:rsid w:val="00AE5738"/>
    <w:rsid w:val="00AF058D"/>
    <w:rsid w:val="00AF198C"/>
    <w:rsid w:val="00AF205E"/>
    <w:rsid w:val="00AF41B0"/>
    <w:rsid w:val="00AF59D8"/>
    <w:rsid w:val="00AF5A70"/>
    <w:rsid w:val="00AF7AF9"/>
    <w:rsid w:val="00B0031A"/>
    <w:rsid w:val="00B01341"/>
    <w:rsid w:val="00B017A5"/>
    <w:rsid w:val="00B02BE0"/>
    <w:rsid w:val="00B04D1F"/>
    <w:rsid w:val="00B04FB8"/>
    <w:rsid w:val="00B0622B"/>
    <w:rsid w:val="00B111AB"/>
    <w:rsid w:val="00B11DAE"/>
    <w:rsid w:val="00B17C15"/>
    <w:rsid w:val="00B20994"/>
    <w:rsid w:val="00B21159"/>
    <w:rsid w:val="00B2141B"/>
    <w:rsid w:val="00B22F44"/>
    <w:rsid w:val="00B25EF1"/>
    <w:rsid w:val="00B264E1"/>
    <w:rsid w:val="00B26B7C"/>
    <w:rsid w:val="00B2713B"/>
    <w:rsid w:val="00B2773F"/>
    <w:rsid w:val="00B27E9C"/>
    <w:rsid w:val="00B30895"/>
    <w:rsid w:val="00B328C8"/>
    <w:rsid w:val="00B33177"/>
    <w:rsid w:val="00B334A0"/>
    <w:rsid w:val="00B34AB1"/>
    <w:rsid w:val="00B34DB3"/>
    <w:rsid w:val="00B3599E"/>
    <w:rsid w:val="00B37ACF"/>
    <w:rsid w:val="00B4049D"/>
    <w:rsid w:val="00B40C66"/>
    <w:rsid w:val="00B4435E"/>
    <w:rsid w:val="00B45467"/>
    <w:rsid w:val="00B461BC"/>
    <w:rsid w:val="00B46F80"/>
    <w:rsid w:val="00B50669"/>
    <w:rsid w:val="00B509AD"/>
    <w:rsid w:val="00B511CD"/>
    <w:rsid w:val="00B51487"/>
    <w:rsid w:val="00B5283A"/>
    <w:rsid w:val="00B546CE"/>
    <w:rsid w:val="00B56A4E"/>
    <w:rsid w:val="00B56E30"/>
    <w:rsid w:val="00B57613"/>
    <w:rsid w:val="00B5762E"/>
    <w:rsid w:val="00B643DB"/>
    <w:rsid w:val="00B700DC"/>
    <w:rsid w:val="00B726DA"/>
    <w:rsid w:val="00B7284B"/>
    <w:rsid w:val="00B732C6"/>
    <w:rsid w:val="00B73C52"/>
    <w:rsid w:val="00B75467"/>
    <w:rsid w:val="00B804F3"/>
    <w:rsid w:val="00B80C9B"/>
    <w:rsid w:val="00B81AB7"/>
    <w:rsid w:val="00B82899"/>
    <w:rsid w:val="00B8365D"/>
    <w:rsid w:val="00B86799"/>
    <w:rsid w:val="00B906DF"/>
    <w:rsid w:val="00B91D5B"/>
    <w:rsid w:val="00B91F92"/>
    <w:rsid w:val="00B922B8"/>
    <w:rsid w:val="00B946A3"/>
    <w:rsid w:val="00B94DCD"/>
    <w:rsid w:val="00B955CE"/>
    <w:rsid w:val="00B95E8F"/>
    <w:rsid w:val="00B95ED5"/>
    <w:rsid w:val="00B97406"/>
    <w:rsid w:val="00BA010D"/>
    <w:rsid w:val="00BA3E54"/>
    <w:rsid w:val="00BA65C4"/>
    <w:rsid w:val="00BA75AF"/>
    <w:rsid w:val="00BA7877"/>
    <w:rsid w:val="00BB0C99"/>
    <w:rsid w:val="00BB3195"/>
    <w:rsid w:val="00BB5842"/>
    <w:rsid w:val="00BB641D"/>
    <w:rsid w:val="00BC00F3"/>
    <w:rsid w:val="00BC1DAE"/>
    <w:rsid w:val="00BC45F4"/>
    <w:rsid w:val="00BD1EDB"/>
    <w:rsid w:val="00BD2E9C"/>
    <w:rsid w:val="00BD3E95"/>
    <w:rsid w:val="00BD4CA9"/>
    <w:rsid w:val="00BD6D7D"/>
    <w:rsid w:val="00BE0382"/>
    <w:rsid w:val="00BE1FE1"/>
    <w:rsid w:val="00BE2981"/>
    <w:rsid w:val="00BF0041"/>
    <w:rsid w:val="00BF056F"/>
    <w:rsid w:val="00BF088A"/>
    <w:rsid w:val="00BF2BC5"/>
    <w:rsid w:val="00BF321E"/>
    <w:rsid w:val="00BF3BAC"/>
    <w:rsid w:val="00BF50D6"/>
    <w:rsid w:val="00BF6A60"/>
    <w:rsid w:val="00C00032"/>
    <w:rsid w:val="00C00576"/>
    <w:rsid w:val="00C01ED9"/>
    <w:rsid w:val="00C03A17"/>
    <w:rsid w:val="00C0641A"/>
    <w:rsid w:val="00C10522"/>
    <w:rsid w:val="00C129B9"/>
    <w:rsid w:val="00C12DE6"/>
    <w:rsid w:val="00C15B07"/>
    <w:rsid w:val="00C15B7B"/>
    <w:rsid w:val="00C23E57"/>
    <w:rsid w:val="00C24E1A"/>
    <w:rsid w:val="00C258B9"/>
    <w:rsid w:val="00C260C9"/>
    <w:rsid w:val="00C261C7"/>
    <w:rsid w:val="00C26928"/>
    <w:rsid w:val="00C26E3E"/>
    <w:rsid w:val="00C26E62"/>
    <w:rsid w:val="00C27708"/>
    <w:rsid w:val="00C3068F"/>
    <w:rsid w:val="00C32699"/>
    <w:rsid w:val="00C35494"/>
    <w:rsid w:val="00C35B36"/>
    <w:rsid w:val="00C37018"/>
    <w:rsid w:val="00C405FB"/>
    <w:rsid w:val="00C42B54"/>
    <w:rsid w:val="00C43F22"/>
    <w:rsid w:val="00C445E0"/>
    <w:rsid w:val="00C446E9"/>
    <w:rsid w:val="00C4471E"/>
    <w:rsid w:val="00C44B4E"/>
    <w:rsid w:val="00C466CC"/>
    <w:rsid w:val="00C46FDB"/>
    <w:rsid w:val="00C470E4"/>
    <w:rsid w:val="00C50737"/>
    <w:rsid w:val="00C50D57"/>
    <w:rsid w:val="00C50F62"/>
    <w:rsid w:val="00C51B03"/>
    <w:rsid w:val="00C5311E"/>
    <w:rsid w:val="00C53780"/>
    <w:rsid w:val="00C54CD1"/>
    <w:rsid w:val="00C56A3C"/>
    <w:rsid w:val="00C56FB1"/>
    <w:rsid w:val="00C57A84"/>
    <w:rsid w:val="00C6176E"/>
    <w:rsid w:val="00C61893"/>
    <w:rsid w:val="00C61F00"/>
    <w:rsid w:val="00C62A1D"/>
    <w:rsid w:val="00C644E3"/>
    <w:rsid w:val="00C6719E"/>
    <w:rsid w:val="00C7169D"/>
    <w:rsid w:val="00C76255"/>
    <w:rsid w:val="00C762CB"/>
    <w:rsid w:val="00C76E4E"/>
    <w:rsid w:val="00C8418E"/>
    <w:rsid w:val="00C8466F"/>
    <w:rsid w:val="00C84CC1"/>
    <w:rsid w:val="00C84D4A"/>
    <w:rsid w:val="00C86E47"/>
    <w:rsid w:val="00C91699"/>
    <w:rsid w:val="00C948D6"/>
    <w:rsid w:val="00C97CC2"/>
    <w:rsid w:val="00C97F2B"/>
    <w:rsid w:val="00CA080B"/>
    <w:rsid w:val="00CA0D49"/>
    <w:rsid w:val="00CA25B2"/>
    <w:rsid w:val="00CA2A88"/>
    <w:rsid w:val="00CA7439"/>
    <w:rsid w:val="00CB25C4"/>
    <w:rsid w:val="00CB359C"/>
    <w:rsid w:val="00CB5BE6"/>
    <w:rsid w:val="00CC0085"/>
    <w:rsid w:val="00CC15CA"/>
    <w:rsid w:val="00CC21C9"/>
    <w:rsid w:val="00CC3BA4"/>
    <w:rsid w:val="00CC51FF"/>
    <w:rsid w:val="00CD1681"/>
    <w:rsid w:val="00CD2299"/>
    <w:rsid w:val="00CD3470"/>
    <w:rsid w:val="00CD464F"/>
    <w:rsid w:val="00CD59DD"/>
    <w:rsid w:val="00CD62FF"/>
    <w:rsid w:val="00CE2434"/>
    <w:rsid w:val="00CE4C99"/>
    <w:rsid w:val="00CE5EE2"/>
    <w:rsid w:val="00CE6083"/>
    <w:rsid w:val="00CE6D46"/>
    <w:rsid w:val="00CE7358"/>
    <w:rsid w:val="00CF1EBB"/>
    <w:rsid w:val="00CF2FAA"/>
    <w:rsid w:val="00CF5693"/>
    <w:rsid w:val="00CF5EA2"/>
    <w:rsid w:val="00CF6D30"/>
    <w:rsid w:val="00CF71F5"/>
    <w:rsid w:val="00CF7B66"/>
    <w:rsid w:val="00D00048"/>
    <w:rsid w:val="00D0044E"/>
    <w:rsid w:val="00D0166D"/>
    <w:rsid w:val="00D05C7B"/>
    <w:rsid w:val="00D07E76"/>
    <w:rsid w:val="00D107AA"/>
    <w:rsid w:val="00D10D3A"/>
    <w:rsid w:val="00D11088"/>
    <w:rsid w:val="00D2010B"/>
    <w:rsid w:val="00D20E23"/>
    <w:rsid w:val="00D21C2C"/>
    <w:rsid w:val="00D22364"/>
    <w:rsid w:val="00D24B97"/>
    <w:rsid w:val="00D2517B"/>
    <w:rsid w:val="00D2598C"/>
    <w:rsid w:val="00D25F7E"/>
    <w:rsid w:val="00D27573"/>
    <w:rsid w:val="00D27C39"/>
    <w:rsid w:val="00D27E68"/>
    <w:rsid w:val="00D3030F"/>
    <w:rsid w:val="00D31311"/>
    <w:rsid w:val="00D3273A"/>
    <w:rsid w:val="00D335C2"/>
    <w:rsid w:val="00D33D55"/>
    <w:rsid w:val="00D401C8"/>
    <w:rsid w:val="00D40E5E"/>
    <w:rsid w:val="00D416AD"/>
    <w:rsid w:val="00D41C56"/>
    <w:rsid w:val="00D41D8C"/>
    <w:rsid w:val="00D42F12"/>
    <w:rsid w:val="00D435CF"/>
    <w:rsid w:val="00D435F4"/>
    <w:rsid w:val="00D45B13"/>
    <w:rsid w:val="00D477C4"/>
    <w:rsid w:val="00D47F50"/>
    <w:rsid w:val="00D512FF"/>
    <w:rsid w:val="00D5186B"/>
    <w:rsid w:val="00D53D7E"/>
    <w:rsid w:val="00D55AD3"/>
    <w:rsid w:val="00D55BB5"/>
    <w:rsid w:val="00D6141A"/>
    <w:rsid w:val="00D6160E"/>
    <w:rsid w:val="00D61976"/>
    <w:rsid w:val="00D61ECE"/>
    <w:rsid w:val="00D643F1"/>
    <w:rsid w:val="00D67668"/>
    <w:rsid w:val="00D7043B"/>
    <w:rsid w:val="00D7062B"/>
    <w:rsid w:val="00D70ECD"/>
    <w:rsid w:val="00D735B7"/>
    <w:rsid w:val="00D74333"/>
    <w:rsid w:val="00D749D4"/>
    <w:rsid w:val="00D74EC6"/>
    <w:rsid w:val="00D751C3"/>
    <w:rsid w:val="00D761C1"/>
    <w:rsid w:val="00D776B6"/>
    <w:rsid w:val="00D81BDF"/>
    <w:rsid w:val="00D82D3C"/>
    <w:rsid w:val="00D838B0"/>
    <w:rsid w:val="00D84D20"/>
    <w:rsid w:val="00D8563F"/>
    <w:rsid w:val="00D87956"/>
    <w:rsid w:val="00D87F08"/>
    <w:rsid w:val="00D9154E"/>
    <w:rsid w:val="00D91C18"/>
    <w:rsid w:val="00D92143"/>
    <w:rsid w:val="00D973E5"/>
    <w:rsid w:val="00D97BF7"/>
    <w:rsid w:val="00DA0028"/>
    <w:rsid w:val="00DA02F0"/>
    <w:rsid w:val="00DA0C09"/>
    <w:rsid w:val="00DA0DA7"/>
    <w:rsid w:val="00DA1112"/>
    <w:rsid w:val="00DA1456"/>
    <w:rsid w:val="00DA19CC"/>
    <w:rsid w:val="00DA39EF"/>
    <w:rsid w:val="00DA5AE6"/>
    <w:rsid w:val="00DB0136"/>
    <w:rsid w:val="00DB02EF"/>
    <w:rsid w:val="00DB053A"/>
    <w:rsid w:val="00DB54FF"/>
    <w:rsid w:val="00DB7BCE"/>
    <w:rsid w:val="00DC0207"/>
    <w:rsid w:val="00DC0F9E"/>
    <w:rsid w:val="00DC1E34"/>
    <w:rsid w:val="00DC3EB9"/>
    <w:rsid w:val="00DC618E"/>
    <w:rsid w:val="00DC6AE7"/>
    <w:rsid w:val="00DD1BE1"/>
    <w:rsid w:val="00DD1F06"/>
    <w:rsid w:val="00DD276E"/>
    <w:rsid w:val="00DD35AB"/>
    <w:rsid w:val="00DD35F8"/>
    <w:rsid w:val="00DD58E4"/>
    <w:rsid w:val="00DD6763"/>
    <w:rsid w:val="00DD72DB"/>
    <w:rsid w:val="00DE21C3"/>
    <w:rsid w:val="00DE5974"/>
    <w:rsid w:val="00DF0FAA"/>
    <w:rsid w:val="00DF189F"/>
    <w:rsid w:val="00DF2553"/>
    <w:rsid w:val="00DF3408"/>
    <w:rsid w:val="00DF3A22"/>
    <w:rsid w:val="00DF65FC"/>
    <w:rsid w:val="00DF6946"/>
    <w:rsid w:val="00DF6D41"/>
    <w:rsid w:val="00E03CCC"/>
    <w:rsid w:val="00E03E62"/>
    <w:rsid w:val="00E051F9"/>
    <w:rsid w:val="00E0561E"/>
    <w:rsid w:val="00E061E1"/>
    <w:rsid w:val="00E07584"/>
    <w:rsid w:val="00E07C76"/>
    <w:rsid w:val="00E07E7C"/>
    <w:rsid w:val="00E10006"/>
    <w:rsid w:val="00E104D1"/>
    <w:rsid w:val="00E11F8B"/>
    <w:rsid w:val="00E12749"/>
    <w:rsid w:val="00E14B67"/>
    <w:rsid w:val="00E15361"/>
    <w:rsid w:val="00E1699D"/>
    <w:rsid w:val="00E20603"/>
    <w:rsid w:val="00E241F3"/>
    <w:rsid w:val="00E248C0"/>
    <w:rsid w:val="00E25F9C"/>
    <w:rsid w:val="00E26FA3"/>
    <w:rsid w:val="00E27807"/>
    <w:rsid w:val="00E27E7D"/>
    <w:rsid w:val="00E31153"/>
    <w:rsid w:val="00E360E5"/>
    <w:rsid w:val="00E3647D"/>
    <w:rsid w:val="00E41092"/>
    <w:rsid w:val="00E41CAB"/>
    <w:rsid w:val="00E450CC"/>
    <w:rsid w:val="00E4529E"/>
    <w:rsid w:val="00E45843"/>
    <w:rsid w:val="00E46FDA"/>
    <w:rsid w:val="00E507FC"/>
    <w:rsid w:val="00E53401"/>
    <w:rsid w:val="00E54EEF"/>
    <w:rsid w:val="00E55F7B"/>
    <w:rsid w:val="00E5669C"/>
    <w:rsid w:val="00E5712A"/>
    <w:rsid w:val="00E57327"/>
    <w:rsid w:val="00E6103B"/>
    <w:rsid w:val="00E61A8D"/>
    <w:rsid w:val="00E62F30"/>
    <w:rsid w:val="00E63058"/>
    <w:rsid w:val="00E638CC"/>
    <w:rsid w:val="00E63CEB"/>
    <w:rsid w:val="00E662DC"/>
    <w:rsid w:val="00E673D5"/>
    <w:rsid w:val="00E67ADB"/>
    <w:rsid w:val="00E71960"/>
    <w:rsid w:val="00E7266B"/>
    <w:rsid w:val="00E73450"/>
    <w:rsid w:val="00E73568"/>
    <w:rsid w:val="00E75035"/>
    <w:rsid w:val="00E76376"/>
    <w:rsid w:val="00E81AAE"/>
    <w:rsid w:val="00E826F3"/>
    <w:rsid w:val="00E8348A"/>
    <w:rsid w:val="00E85A0D"/>
    <w:rsid w:val="00E871F3"/>
    <w:rsid w:val="00E87263"/>
    <w:rsid w:val="00E90359"/>
    <w:rsid w:val="00E90510"/>
    <w:rsid w:val="00E93A86"/>
    <w:rsid w:val="00E93D30"/>
    <w:rsid w:val="00E943B8"/>
    <w:rsid w:val="00E94B75"/>
    <w:rsid w:val="00E94F29"/>
    <w:rsid w:val="00E955B8"/>
    <w:rsid w:val="00E96219"/>
    <w:rsid w:val="00E976FD"/>
    <w:rsid w:val="00EA0494"/>
    <w:rsid w:val="00EA0D56"/>
    <w:rsid w:val="00EA25C5"/>
    <w:rsid w:val="00EA2FB4"/>
    <w:rsid w:val="00EA424E"/>
    <w:rsid w:val="00EA449D"/>
    <w:rsid w:val="00EA6405"/>
    <w:rsid w:val="00EA671C"/>
    <w:rsid w:val="00EB0DC4"/>
    <w:rsid w:val="00EB0EDA"/>
    <w:rsid w:val="00EB4D22"/>
    <w:rsid w:val="00EB64CF"/>
    <w:rsid w:val="00EB65F8"/>
    <w:rsid w:val="00EB6E48"/>
    <w:rsid w:val="00EB72F2"/>
    <w:rsid w:val="00EC1ABC"/>
    <w:rsid w:val="00EC2A84"/>
    <w:rsid w:val="00EC3758"/>
    <w:rsid w:val="00EC4B09"/>
    <w:rsid w:val="00EC4BDE"/>
    <w:rsid w:val="00EC5142"/>
    <w:rsid w:val="00EC6B13"/>
    <w:rsid w:val="00ED0A15"/>
    <w:rsid w:val="00ED1000"/>
    <w:rsid w:val="00ED177D"/>
    <w:rsid w:val="00ED3BA5"/>
    <w:rsid w:val="00ED4E1F"/>
    <w:rsid w:val="00ED6EBA"/>
    <w:rsid w:val="00ED6FD1"/>
    <w:rsid w:val="00ED741C"/>
    <w:rsid w:val="00EE0513"/>
    <w:rsid w:val="00EE1179"/>
    <w:rsid w:val="00EE278D"/>
    <w:rsid w:val="00EE4509"/>
    <w:rsid w:val="00EE5809"/>
    <w:rsid w:val="00EE5FED"/>
    <w:rsid w:val="00EF09B1"/>
    <w:rsid w:val="00EF2A64"/>
    <w:rsid w:val="00EF33AC"/>
    <w:rsid w:val="00EF3FD3"/>
    <w:rsid w:val="00EF62CE"/>
    <w:rsid w:val="00F01773"/>
    <w:rsid w:val="00F02331"/>
    <w:rsid w:val="00F0335D"/>
    <w:rsid w:val="00F052B9"/>
    <w:rsid w:val="00F056ED"/>
    <w:rsid w:val="00F05832"/>
    <w:rsid w:val="00F058E3"/>
    <w:rsid w:val="00F05D48"/>
    <w:rsid w:val="00F1040F"/>
    <w:rsid w:val="00F10838"/>
    <w:rsid w:val="00F10DAB"/>
    <w:rsid w:val="00F1129E"/>
    <w:rsid w:val="00F1484B"/>
    <w:rsid w:val="00F16236"/>
    <w:rsid w:val="00F165F6"/>
    <w:rsid w:val="00F16F61"/>
    <w:rsid w:val="00F20E70"/>
    <w:rsid w:val="00F2236D"/>
    <w:rsid w:val="00F2241A"/>
    <w:rsid w:val="00F23344"/>
    <w:rsid w:val="00F24468"/>
    <w:rsid w:val="00F24E52"/>
    <w:rsid w:val="00F266B7"/>
    <w:rsid w:val="00F2709D"/>
    <w:rsid w:val="00F271B9"/>
    <w:rsid w:val="00F27257"/>
    <w:rsid w:val="00F309D3"/>
    <w:rsid w:val="00F31389"/>
    <w:rsid w:val="00F333A7"/>
    <w:rsid w:val="00F33BA6"/>
    <w:rsid w:val="00F345E3"/>
    <w:rsid w:val="00F3535F"/>
    <w:rsid w:val="00F35764"/>
    <w:rsid w:val="00F373D0"/>
    <w:rsid w:val="00F41DC3"/>
    <w:rsid w:val="00F41DFD"/>
    <w:rsid w:val="00F4453E"/>
    <w:rsid w:val="00F521D3"/>
    <w:rsid w:val="00F52217"/>
    <w:rsid w:val="00F54CB6"/>
    <w:rsid w:val="00F57347"/>
    <w:rsid w:val="00F645A2"/>
    <w:rsid w:val="00F66DD1"/>
    <w:rsid w:val="00F670B0"/>
    <w:rsid w:val="00F679B4"/>
    <w:rsid w:val="00F72FCF"/>
    <w:rsid w:val="00F75C72"/>
    <w:rsid w:val="00F76054"/>
    <w:rsid w:val="00F76E31"/>
    <w:rsid w:val="00F77726"/>
    <w:rsid w:val="00F77DF3"/>
    <w:rsid w:val="00F80A22"/>
    <w:rsid w:val="00F81D2D"/>
    <w:rsid w:val="00F83493"/>
    <w:rsid w:val="00F843C2"/>
    <w:rsid w:val="00F85D04"/>
    <w:rsid w:val="00F860CE"/>
    <w:rsid w:val="00F90A82"/>
    <w:rsid w:val="00F91EA4"/>
    <w:rsid w:val="00F93A27"/>
    <w:rsid w:val="00F93B17"/>
    <w:rsid w:val="00F93B87"/>
    <w:rsid w:val="00F942B9"/>
    <w:rsid w:val="00F94A27"/>
    <w:rsid w:val="00F97820"/>
    <w:rsid w:val="00FA00F3"/>
    <w:rsid w:val="00FA07A9"/>
    <w:rsid w:val="00FA331D"/>
    <w:rsid w:val="00FA38EA"/>
    <w:rsid w:val="00FA601B"/>
    <w:rsid w:val="00FA6C57"/>
    <w:rsid w:val="00FA6FAA"/>
    <w:rsid w:val="00FA767B"/>
    <w:rsid w:val="00FB0A6C"/>
    <w:rsid w:val="00FB16E2"/>
    <w:rsid w:val="00FB2EB2"/>
    <w:rsid w:val="00FB321A"/>
    <w:rsid w:val="00FB3774"/>
    <w:rsid w:val="00FB4478"/>
    <w:rsid w:val="00FB6DF4"/>
    <w:rsid w:val="00FB7A17"/>
    <w:rsid w:val="00FC0DF6"/>
    <w:rsid w:val="00FC2B73"/>
    <w:rsid w:val="00FC2C76"/>
    <w:rsid w:val="00FC38FE"/>
    <w:rsid w:val="00FC3E97"/>
    <w:rsid w:val="00FC3FC4"/>
    <w:rsid w:val="00FC5F22"/>
    <w:rsid w:val="00FC6860"/>
    <w:rsid w:val="00FC6AE4"/>
    <w:rsid w:val="00FC6D69"/>
    <w:rsid w:val="00FC745A"/>
    <w:rsid w:val="00FC7462"/>
    <w:rsid w:val="00FD0659"/>
    <w:rsid w:val="00FD1B22"/>
    <w:rsid w:val="00FD258F"/>
    <w:rsid w:val="00FD3378"/>
    <w:rsid w:val="00FD4279"/>
    <w:rsid w:val="00FD5069"/>
    <w:rsid w:val="00FD6DCF"/>
    <w:rsid w:val="00FD716C"/>
    <w:rsid w:val="00FE0ED2"/>
    <w:rsid w:val="00FE249B"/>
    <w:rsid w:val="00FE2992"/>
    <w:rsid w:val="00FE40B6"/>
    <w:rsid w:val="00FE6928"/>
    <w:rsid w:val="00FE6E07"/>
    <w:rsid w:val="00FE77B5"/>
    <w:rsid w:val="00FF09BF"/>
    <w:rsid w:val="00FF14A3"/>
    <w:rsid w:val="00FF237D"/>
    <w:rsid w:val="00FF2534"/>
    <w:rsid w:val="00FF3674"/>
    <w:rsid w:val="00FF74A5"/>
    <w:rsid w:val="00FF77E6"/>
    <w:rsid w:val="05C4E335"/>
    <w:rsid w:val="0D42C668"/>
    <w:rsid w:val="10548F0B"/>
    <w:rsid w:val="1992C158"/>
    <w:rsid w:val="19C2306D"/>
    <w:rsid w:val="1CC04985"/>
    <w:rsid w:val="1CD0A1E8"/>
    <w:rsid w:val="22A89246"/>
    <w:rsid w:val="2A710B16"/>
    <w:rsid w:val="2D5F9543"/>
    <w:rsid w:val="2F6A2320"/>
    <w:rsid w:val="33611A11"/>
    <w:rsid w:val="36224BEA"/>
    <w:rsid w:val="3814867E"/>
    <w:rsid w:val="3B2EAC1D"/>
    <w:rsid w:val="3BDF0851"/>
    <w:rsid w:val="3E10C217"/>
    <w:rsid w:val="3E452429"/>
    <w:rsid w:val="4CC7374A"/>
    <w:rsid w:val="4E03BA8E"/>
    <w:rsid w:val="567EF6F8"/>
    <w:rsid w:val="585483FF"/>
    <w:rsid w:val="58BD2BFF"/>
    <w:rsid w:val="65FD16B4"/>
    <w:rsid w:val="6E314A08"/>
    <w:rsid w:val="6F1F45CF"/>
    <w:rsid w:val="6F209C80"/>
    <w:rsid w:val="77A3F6D2"/>
    <w:rsid w:val="79340FDD"/>
    <w:rsid w:val="798793A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654F7D72"/>
  <w15:chartTrackingRefBased/>
  <w15:docId w15:val="{02D17F12-6BC4-46A9-A0B3-0FEF725A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3" w:qFormat="1"/>
    <w:lsdException w:name="heading 1" w:uiPriority="39"/>
    <w:lsdException w:name="heading 2" w:semiHidden="1" w:uiPriority="7" w:unhideWhenUsed="1" w:qFormat="1"/>
    <w:lsdException w:name="heading 3" w:semiHidden="1" w:uiPriority="8" w:unhideWhenUsed="1" w:qFormat="1"/>
    <w:lsdException w:name="heading 4" w:uiPriority="25" w:qFormat="1"/>
    <w:lsdException w:name="heading 5" w:uiPriority="25" w:qFormat="1"/>
    <w:lsdException w:name="heading 6" w:semiHidden="1" w:uiPriority="25" w:unhideWhenUsed="1" w:qFormat="1"/>
    <w:lsdException w:name="heading 7" w:semiHidden="1" w:uiPriority="25" w:unhideWhenUsed="1" w:qFormat="1"/>
    <w:lsdException w:name="heading 8" w:semiHidden="1" w:uiPriority="25" w:unhideWhenUsed="1" w:qFormat="1"/>
    <w:lsdException w:name="heading 9" w:semiHidden="1" w:uiPriority="2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semiHidden="1"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9" w:qFormat="1"/>
    <w:lsdException w:name="Quote" w:uiPriority="17" w:qFormat="1"/>
    <w:lsdException w:name="Intense Quote" w:semiHidden="1"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9" w:qFormat="1"/>
    <w:lsdException w:name="Intense Emphasis" w:semiHidden="1"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qFormat/>
    <w:rsid w:val="008B79B6"/>
    <w:pPr>
      <w:spacing w:after="240" w:line="288" w:lineRule="auto"/>
    </w:pPr>
    <w:rPr>
      <w:rFonts w:ascii="Arial" w:hAnsi="Arial"/>
      <w:sz w:val="24"/>
    </w:rPr>
  </w:style>
  <w:style w:type="paragraph" w:styleId="Heading1">
    <w:name w:val="heading 1"/>
    <w:aliases w:val="DocTitle"/>
    <w:basedOn w:val="Normal"/>
    <w:next w:val="Normal"/>
    <w:link w:val="Heading1Char"/>
    <w:uiPriority w:val="39"/>
    <w:rsid w:val="003B17E6"/>
    <w:pPr>
      <w:widowControl w:val="0"/>
      <w:outlineLvl w:val="0"/>
    </w:pPr>
    <w:rPr>
      <w:rFonts w:ascii="Arial Bold" w:eastAsiaTheme="majorEastAsia" w:hAnsi="Arial Bold" w:cstheme="majorBidi"/>
      <w:b/>
      <w:color w:val="253268" w:themeColor="text2"/>
      <w:sz w:val="60"/>
      <w:szCs w:val="32"/>
    </w:rPr>
  </w:style>
  <w:style w:type="paragraph" w:styleId="Heading2">
    <w:name w:val="heading 2"/>
    <w:aliases w:val="Heading 2 (double)"/>
    <w:basedOn w:val="Normal"/>
    <w:next w:val="Numberedparagraphdouble"/>
    <w:link w:val="Heading2Char"/>
    <w:uiPriority w:val="7"/>
    <w:qFormat/>
    <w:rsid w:val="003B17E6"/>
    <w:pPr>
      <w:keepNext/>
      <w:keepLines/>
      <w:pageBreakBefore/>
      <w:numPr>
        <w:numId w:val="6"/>
      </w:numPr>
      <w:pBdr>
        <w:bottom w:val="single" w:sz="24" w:space="6" w:color="253268" w:themeColor="text2"/>
      </w:pBdr>
      <w:spacing w:line="240" w:lineRule="auto"/>
      <w:outlineLvl w:val="1"/>
    </w:pPr>
    <w:rPr>
      <w:rFonts w:eastAsiaTheme="majorEastAsia" w:cstheme="majorBidi"/>
      <w:b/>
      <w:color w:val="253268" w:themeColor="text2"/>
      <w:sz w:val="52"/>
      <w:szCs w:val="26"/>
    </w:rPr>
  </w:style>
  <w:style w:type="paragraph" w:styleId="Heading3">
    <w:name w:val="heading 3"/>
    <w:aliases w:val="Heading 3 (double)"/>
    <w:basedOn w:val="Normal"/>
    <w:next w:val="Numberedparagraphdouble"/>
    <w:link w:val="Heading3Char"/>
    <w:uiPriority w:val="8"/>
    <w:qFormat/>
    <w:rsid w:val="003B17E6"/>
    <w:pPr>
      <w:keepNext/>
      <w:keepLines/>
      <w:spacing w:before="240" w:line="240" w:lineRule="auto"/>
      <w:outlineLvl w:val="2"/>
    </w:pPr>
    <w:rPr>
      <w:rFonts w:eastAsiaTheme="majorEastAsia" w:cstheme="majorBidi"/>
      <w:b/>
      <w:color w:val="253268" w:themeColor="text2"/>
      <w:sz w:val="36"/>
      <w:szCs w:val="24"/>
    </w:rPr>
  </w:style>
  <w:style w:type="paragraph" w:styleId="Heading4">
    <w:name w:val="heading 4"/>
    <w:aliases w:val="Heading 4 (double)"/>
    <w:basedOn w:val="Normal"/>
    <w:next w:val="Numberedparagraphdouble"/>
    <w:link w:val="Heading4Char"/>
    <w:uiPriority w:val="27"/>
    <w:qFormat/>
    <w:rsid w:val="003B17E6"/>
    <w:pPr>
      <w:keepNext/>
      <w:keepLines/>
      <w:spacing w:before="120" w:after="120" w:line="240" w:lineRule="auto"/>
      <w:outlineLvl w:val="3"/>
    </w:pPr>
    <w:rPr>
      <w:rFonts w:eastAsiaTheme="majorEastAsia" w:cstheme="majorBidi"/>
      <w:b/>
      <w:iCs/>
      <w:color w:val="253268" w:themeColor="text2"/>
      <w:sz w:val="28"/>
    </w:rPr>
  </w:style>
  <w:style w:type="paragraph" w:styleId="Heading5">
    <w:name w:val="heading 5"/>
    <w:aliases w:val="Heading 5 (double)"/>
    <w:basedOn w:val="Normal"/>
    <w:next w:val="Numberedparagraphdouble"/>
    <w:link w:val="Heading5Char"/>
    <w:uiPriority w:val="27"/>
    <w:qFormat/>
    <w:rsid w:val="003B17E6"/>
    <w:pPr>
      <w:keepNext/>
      <w:keepLines/>
      <w:spacing w:before="120" w:after="120" w:line="240" w:lineRule="auto"/>
      <w:outlineLvl w:val="4"/>
    </w:pPr>
    <w:rPr>
      <w:rFonts w:eastAsiaTheme="majorEastAsia" w:cstheme="majorBidi"/>
      <w:b/>
    </w:rPr>
  </w:style>
  <w:style w:type="paragraph" w:styleId="Heading6">
    <w:name w:val="heading 6"/>
    <w:aliases w:val="Heading 6 (double)"/>
    <w:basedOn w:val="Normal"/>
    <w:next w:val="Numberedparagraphdouble"/>
    <w:link w:val="Heading6Char"/>
    <w:uiPriority w:val="27"/>
    <w:qFormat/>
    <w:rsid w:val="003B17E6"/>
    <w:pPr>
      <w:keepNext/>
      <w:keepLines/>
      <w:spacing w:before="120" w:after="120" w:line="240" w:lineRule="auto"/>
      <w:outlineLvl w:val="5"/>
    </w:pPr>
    <w:rPr>
      <w:rFonts w:eastAsiaTheme="majorEastAsia" w:cstheme="majorBidi"/>
      <w:i/>
    </w:rPr>
  </w:style>
  <w:style w:type="paragraph" w:styleId="Heading7">
    <w:name w:val="heading 7"/>
    <w:aliases w:val="Heading 7 (double) (tables/figures),Tbl Title"/>
    <w:basedOn w:val="Normal"/>
    <w:next w:val="Numberedparagraphdouble"/>
    <w:link w:val="Heading7Char"/>
    <w:uiPriority w:val="27"/>
    <w:qFormat/>
    <w:rsid w:val="003B17E6"/>
    <w:pPr>
      <w:keepNext/>
      <w:keepLines/>
      <w:spacing w:before="120" w:after="120" w:line="240" w:lineRule="auto"/>
      <w:outlineLvl w:val="6"/>
    </w:pPr>
    <w:rPr>
      <w:rFonts w:eastAsiaTheme="majorEastAsia" w:cstheme="majorBidi"/>
      <w:b/>
      <w:iCs/>
    </w:rPr>
  </w:style>
  <w:style w:type="paragraph" w:styleId="Heading8">
    <w:name w:val="heading 8"/>
    <w:aliases w:val="Heading 8 (double)"/>
    <w:basedOn w:val="Normal"/>
    <w:next w:val="Numberedparagraphdouble"/>
    <w:link w:val="Heading8Char"/>
    <w:uiPriority w:val="27"/>
    <w:qFormat/>
    <w:rsid w:val="003B17E6"/>
    <w:pPr>
      <w:keepNext/>
      <w:keepLines/>
      <w:spacing w:before="120" w:after="120" w:line="240" w:lineRule="auto"/>
      <w:outlineLvl w:val="7"/>
    </w:pPr>
    <w:rPr>
      <w:rFonts w:eastAsiaTheme="majorEastAsia" w:cstheme="majorBidi"/>
      <w:b/>
      <w:i/>
      <w:color w:val="00476B"/>
      <w:szCs w:val="21"/>
    </w:rPr>
  </w:style>
  <w:style w:type="paragraph" w:styleId="Heading9">
    <w:name w:val="heading 9"/>
    <w:aliases w:val="Heading 9 (double)"/>
    <w:basedOn w:val="Normal"/>
    <w:next w:val="Numberedparagraphdouble"/>
    <w:link w:val="Heading9Char"/>
    <w:uiPriority w:val="27"/>
    <w:qFormat/>
    <w:rsid w:val="003B17E6"/>
    <w:pPr>
      <w:keepNext/>
      <w:keepLines/>
      <w:spacing w:before="120" w:after="120" w:line="240" w:lineRule="auto"/>
      <w:outlineLvl w:val="8"/>
    </w:pPr>
    <w:rPr>
      <w:rFonts w:eastAsiaTheme="majorEastAsia" w:cstheme="majorBidi"/>
      <w:i/>
      <w:iCs/>
      <w:color w:val="00476B"/>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B17E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B17E6"/>
    <w:rPr>
      <w:rFonts w:ascii="Arial" w:hAnsi="Arial"/>
      <w:sz w:val="24"/>
    </w:rPr>
  </w:style>
  <w:style w:type="paragraph" w:styleId="Footer">
    <w:name w:val="footer"/>
    <w:basedOn w:val="Normal"/>
    <w:link w:val="FooterChar"/>
    <w:uiPriority w:val="99"/>
    <w:semiHidden/>
    <w:rsid w:val="003B17E6"/>
    <w:pPr>
      <w:tabs>
        <w:tab w:val="right" w:pos="9639"/>
      </w:tabs>
      <w:spacing w:after="0" w:line="240" w:lineRule="auto"/>
    </w:pPr>
    <w:rPr>
      <w:color w:val="000000" w:themeColor="text1"/>
      <w:sz w:val="20"/>
    </w:rPr>
  </w:style>
  <w:style w:type="character" w:customStyle="1" w:styleId="FooterChar">
    <w:name w:val="Footer Char"/>
    <w:basedOn w:val="DefaultParagraphFont"/>
    <w:link w:val="Footer"/>
    <w:uiPriority w:val="99"/>
    <w:semiHidden/>
    <w:rsid w:val="003B17E6"/>
    <w:rPr>
      <w:rFonts w:ascii="Arial" w:hAnsi="Arial"/>
      <w:color w:val="000000" w:themeColor="text1"/>
      <w:sz w:val="20"/>
    </w:rPr>
  </w:style>
  <w:style w:type="character" w:styleId="PlaceholderText">
    <w:name w:val="Placeholder Text"/>
    <w:basedOn w:val="DefaultParagraphFont"/>
    <w:uiPriority w:val="99"/>
    <w:semiHidden/>
    <w:rsid w:val="003B17E6"/>
    <w:rPr>
      <w:color w:val="808080"/>
    </w:rPr>
  </w:style>
  <w:style w:type="character" w:customStyle="1" w:styleId="Heading1Char">
    <w:name w:val="Heading 1 Char"/>
    <w:aliases w:val="DocTitle Char"/>
    <w:basedOn w:val="DefaultParagraphFont"/>
    <w:link w:val="Heading1"/>
    <w:uiPriority w:val="39"/>
    <w:rsid w:val="003B17E6"/>
    <w:rPr>
      <w:rFonts w:ascii="Arial Bold" w:eastAsiaTheme="majorEastAsia" w:hAnsi="Arial Bold" w:cstheme="majorBidi"/>
      <w:b/>
      <w:color w:val="253268" w:themeColor="text2"/>
      <w:sz w:val="60"/>
      <w:szCs w:val="32"/>
    </w:rPr>
  </w:style>
  <w:style w:type="character" w:customStyle="1" w:styleId="Heading2Char">
    <w:name w:val="Heading 2 Char"/>
    <w:aliases w:val="Heading 2 (double) Char"/>
    <w:basedOn w:val="DefaultParagraphFont"/>
    <w:link w:val="Heading2"/>
    <w:uiPriority w:val="7"/>
    <w:rsid w:val="003B17E6"/>
    <w:rPr>
      <w:rFonts w:ascii="Arial" w:eastAsiaTheme="majorEastAsia" w:hAnsi="Arial" w:cstheme="majorBidi"/>
      <w:b/>
      <w:color w:val="253268" w:themeColor="text2"/>
      <w:sz w:val="52"/>
      <w:szCs w:val="26"/>
    </w:rPr>
  </w:style>
  <w:style w:type="paragraph" w:customStyle="1" w:styleId="Summaryparagraph">
    <w:name w:val="Summary paragraph"/>
    <w:basedOn w:val="Normal"/>
    <w:uiPriority w:val="1"/>
    <w:qFormat/>
    <w:rsid w:val="003B17E6"/>
    <w:pPr>
      <w:numPr>
        <w:numId w:val="24"/>
      </w:numPr>
      <w:pBdr>
        <w:bottom w:val="single" w:sz="24" w:space="4" w:color="ECC8ED" w:themeColor="accent3" w:themeTint="33"/>
      </w:pBdr>
    </w:pPr>
  </w:style>
  <w:style w:type="paragraph" w:customStyle="1" w:styleId="Summarybullet">
    <w:name w:val="Summary bullet"/>
    <w:basedOn w:val="Summaryparagraph"/>
    <w:uiPriority w:val="1"/>
    <w:qFormat/>
    <w:rsid w:val="003B17E6"/>
    <w:pPr>
      <w:numPr>
        <w:ilvl w:val="1"/>
      </w:numPr>
    </w:pPr>
  </w:style>
  <w:style w:type="paragraph" w:customStyle="1" w:styleId="Summaryheading">
    <w:name w:val="Summary heading"/>
    <w:basedOn w:val="Heading3"/>
    <w:next w:val="Summaryparagraph"/>
    <w:qFormat/>
    <w:rsid w:val="003B17E6"/>
    <w:rPr>
      <w:color w:val="702472" w:themeColor="accent3"/>
    </w:rPr>
  </w:style>
  <w:style w:type="character" w:customStyle="1" w:styleId="Heading3Char">
    <w:name w:val="Heading 3 Char"/>
    <w:aliases w:val="Heading 3 (double) Char"/>
    <w:basedOn w:val="DefaultParagraphFont"/>
    <w:link w:val="Heading3"/>
    <w:uiPriority w:val="8"/>
    <w:rsid w:val="003B17E6"/>
    <w:rPr>
      <w:rFonts w:ascii="Arial" w:eastAsiaTheme="majorEastAsia" w:hAnsi="Arial" w:cstheme="majorBidi"/>
      <w:b/>
      <w:color w:val="253268" w:themeColor="text2"/>
      <w:sz w:val="36"/>
      <w:szCs w:val="24"/>
    </w:rPr>
  </w:style>
  <w:style w:type="numbering" w:customStyle="1" w:styleId="ORRSummary">
    <w:name w:val="ORRSummary"/>
    <w:uiPriority w:val="99"/>
    <w:rsid w:val="003B17E6"/>
    <w:pPr>
      <w:numPr>
        <w:numId w:val="2"/>
      </w:numPr>
    </w:pPr>
  </w:style>
  <w:style w:type="paragraph" w:customStyle="1" w:styleId="Numberedparagraphdouble">
    <w:name w:val="Numbered paragraph (double)"/>
    <w:aliases w:val="Numbered paragraph (single)"/>
    <w:basedOn w:val="Normal"/>
    <w:uiPriority w:val="8"/>
    <w:qFormat/>
    <w:rsid w:val="003B17E6"/>
    <w:pPr>
      <w:numPr>
        <w:ilvl w:val="1"/>
        <w:numId w:val="6"/>
      </w:numPr>
    </w:pPr>
  </w:style>
  <w:style w:type="paragraph" w:customStyle="1" w:styleId="Bulletround">
    <w:name w:val="Bullet (round)"/>
    <w:aliases w:val="Bullet (square)"/>
    <w:basedOn w:val="Normal"/>
    <w:uiPriority w:val="9"/>
    <w:qFormat/>
    <w:rsid w:val="003B17E6"/>
    <w:pPr>
      <w:numPr>
        <w:ilvl w:val="5"/>
        <w:numId w:val="6"/>
      </w:numPr>
    </w:pPr>
  </w:style>
  <w:style w:type="paragraph" w:customStyle="1" w:styleId="Bullet-">
    <w:name w:val="Bullet (-)"/>
    <w:basedOn w:val="Normal"/>
    <w:uiPriority w:val="11"/>
    <w:qFormat/>
    <w:rsid w:val="003B17E6"/>
    <w:pPr>
      <w:numPr>
        <w:ilvl w:val="6"/>
        <w:numId w:val="6"/>
      </w:numPr>
    </w:pPr>
  </w:style>
  <w:style w:type="paragraph" w:customStyle="1" w:styleId="Bulletalpha">
    <w:name w:val="Bullet (alpha)"/>
    <w:basedOn w:val="Normal"/>
    <w:uiPriority w:val="11"/>
    <w:qFormat/>
    <w:rsid w:val="003B17E6"/>
    <w:pPr>
      <w:numPr>
        <w:ilvl w:val="2"/>
        <w:numId w:val="6"/>
      </w:numPr>
    </w:pPr>
  </w:style>
  <w:style w:type="paragraph" w:customStyle="1" w:styleId="Bulletroman">
    <w:name w:val="Bullet (roman)"/>
    <w:basedOn w:val="Normal"/>
    <w:uiPriority w:val="11"/>
    <w:qFormat/>
    <w:rsid w:val="003B17E6"/>
    <w:pPr>
      <w:numPr>
        <w:ilvl w:val="3"/>
        <w:numId w:val="6"/>
      </w:numPr>
    </w:pPr>
  </w:style>
  <w:style w:type="paragraph" w:customStyle="1" w:styleId="NormalBulletround">
    <w:name w:val="Normal Bullet (round)"/>
    <w:aliases w:val="Normal Bullet (square)"/>
    <w:basedOn w:val="Normal"/>
    <w:uiPriority w:val="4"/>
    <w:qFormat/>
    <w:rsid w:val="003B17E6"/>
    <w:pPr>
      <w:tabs>
        <w:tab w:val="num" w:pos="1134"/>
      </w:tabs>
      <w:ind w:left="1134" w:hanging="567"/>
    </w:pPr>
  </w:style>
  <w:style w:type="paragraph" w:customStyle="1" w:styleId="NormalBullet-">
    <w:name w:val="Normal Bullet (-)"/>
    <w:basedOn w:val="Normal"/>
    <w:uiPriority w:val="5"/>
    <w:qFormat/>
    <w:rsid w:val="003B17E6"/>
    <w:pPr>
      <w:tabs>
        <w:tab w:val="num" w:pos="1701"/>
      </w:tabs>
      <w:ind w:left="1701" w:hanging="567"/>
    </w:pPr>
  </w:style>
  <w:style w:type="paragraph" w:customStyle="1" w:styleId="NormalBulletalpha">
    <w:name w:val="Normal Bullet (alpha)"/>
    <w:basedOn w:val="Normal"/>
    <w:uiPriority w:val="5"/>
    <w:qFormat/>
    <w:rsid w:val="003B17E6"/>
    <w:pPr>
      <w:tabs>
        <w:tab w:val="num" w:pos="1134"/>
      </w:tabs>
      <w:ind w:left="1134" w:hanging="567"/>
    </w:pPr>
  </w:style>
  <w:style w:type="paragraph" w:customStyle="1" w:styleId="NormalBulletroman">
    <w:name w:val="Normal Bullet (roman)"/>
    <w:basedOn w:val="Normal"/>
    <w:uiPriority w:val="5"/>
    <w:qFormat/>
    <w:rsid w:val="003B17E6"/>
    <w:pPr>
      <w:tabs>
        <w:tab w:val="num" w:pos="1701"/>
      </w:tabs>
      <w:ind w:left="1701" w:hanging="567"/>
    </w:pPr>
  </w:style>
  <w:style w:type="paragraph" w:customStyle="1" w:styleId="NormalBulletnumber">
    <w:name w:val="Normal Bullet (number)"/>
    <w:basedOn w:val="NormalBulletroman"/>
    <w:uiPriority w:val="6"/>
    <w:qFormat/>
    <w:rsid w:val="003B17E6"/>
    <w:pPr>
      <w:tabs>
        <w:tab w:val="clear" w:pos="1701"/>
        <w:tab w:val="num" w:pos="2268"/>
      </w:tabs>
      <w:ind w:left="2268"/>
    </w:pPr>
  </w:style>
  <w:style w:type="numbering" w:customStyle="1" w:styleId="ORRNormalList">
    <w:name w:val="ORRNormalList"/>
    <w:uiPriority w:val="99"/>
    <w:rsid w:val="003B17E6"/>
    <w:pPr>
      <w:numPr>
        <w:numId w:val="3"/>
      </w:numPr>
    </w:pPr>
  </w:style>
  <w:style w:type="paragraph" w:customStyle="1" w:styleId="Boxedparagraph">
    <w:name w:val="Boxed paragraph"/>
    <w:basedOn w:val="Normal"/>
    <w:uiPriority w:val="13"/>
    <w:qFormat/>
    <w:rsid w:val="003B17E6"/>
    <w:pPr>
      <w:numPr>
        <w:numId w:val="11"/>
      </w:numPr>
      <w:pBdr>
        <w:top w:val="single" w:sz="24" w:space="10" w:color="253268" w:themeColor="text2"/>
        <w:left w:val="single" w:sz="24" w:space="15" w:color="253268" w:themeColor="text2"/>
        <w:bottom w:val="single" w:sz="24" w:space="10" w:color="253268" w:themeColor="text2"/>
        <w:right w:val="single" w:sz="24" w:space="15" w:color="253268" w:themeColor="text2"/>
      </w:pBdr>
      <w:spacing w:before="240"/>
    </w:pPr>
  </w:style>
  <w:style w:type="paragraph" w:customStyle="1" w:styleId="Boxedheading">
    <w:name w:val="Boxed heading"/>
    <w:basedOn w:val="Boxedparagraph"/>
    <w:next w:val="Boxedparagraph"/>
    <w:uiPriority w:val="13"/>
    <w:qFormat/>
    <w:rsid w:val="003B17E6"/>
    <w:pPr>
      <w:keepNext/>
      <w:numPr>
        <w:numId w:val="0"/>
      </w:numPr>
      <w:outlineLvl w:val="2"/>
    </w:pPr>
    <w:rPr>
      <w:rFonts w:ascii="Arial Bold" w:hAnsi="Arial Bold"/>
      <w:b/>
      <w:color w:val="253268" w:themeColor="text2"/>
      <w:sz w:val="28"/>
    </w:rPr>
  </w:style>
  <w:style w:type="paragraph" w:customStyle="1" w:styleId="Boxedbullet">
    <w:name w:val="Boxed bullet"/>
    <w:basedOn w:val="Boxedparagraph"/>
    <w:uiPriority w:val="14"/>
    <w:qFormat/>
    <w:rsid w:val="003B17E6"/>
    <w:pPr>
      <w:numPr>
        <w:ilvl w:val="1"/>
      </w:numPr>
    </w:pPr>
  </w:style>
  <w:style w:type="numbering" w:customStyle="1" w:styleId="ORRBoxed">
    <w:name w:val="ORRBoxed"/>
    <w:uiPriority w:val="99"/>
    <w:rsid w:val="003B17E6"/>
    <w:pPr>
      <w:numPr>
        <w:numId w:val="4"/>
      </w:numPr>
    </w:pPr>
  </w:style>
  <w:style w:type="paragraph" w:customStyle="1" w:styleId="Bulletchecklist">
    <w:name w:val="Bullet (checklist)"/>
    <w:basedOn w:val="Normal"/>
    <w:uiPriority w:val="9"/>
    <w:qFormat/>
    <w:rsid w:val="003B17E6"/>
    <w:pPr>
      <w:numPr>
        <w:numId w:val="5"/>
      </w:numPr>
    </w:pPr>
  </w:style>
  <w:style w:type="numbering" w:customStyle="1" w:styleId="ORRChecklist">
    <w:name w:val="ORRChecklist"/>
    <w:uiPriority w:val="99"/>
    <w:rsid w:val="003B17E6"/>
    <w:pPr>
      <w:numPr>
        <w:numId w:val="5"/>
      </w:numPr>
    </w:pPr>
  </w:style>
  <w:style w:type="character" w:customStyle="1" w:styleId="Heading4Char">
    <w:name w:val="Heading 4 Char"/>
    <w:aliases w:val="Heading 4 (double) Char"/>
    <w:basedOn w:val="DefaultParagraphFont"/>
    <w:link w:val="Heading4"/>
    <w:uiPriority w:val="27"/>
    <w:rsid w:val="003B17E6"/>
    <w:rPr>
      <w:rFonts w:ascii="Arial" w:eastAsiaTheme="majorEastAsia" w:hAnsi="Arial" w:cstheme="majorBidi"/>
      <w:b/>
      <w:iCs/>
      <w:color w:val="253268" w:themeColor="text2"/>
      <w:sz w:val="28"/>
    </w:rPr>
  </w:style>
  <w:style w:type="character" w:customStyle="1" w:styleId="Heading5Char">
    <w:name w:val="Heading 5 Char"/>
    <w:aliases w:val="Heading 5 (double) Char"/>
    <w:basedOn w:val="DefaultParagraphFont"/>
    <w:link w:val="Heading5"/>
    <w:uiPriority w:val="27"/>
    <w:rsid w:val="003B17E6"/>
    <w:rPr>
      <w:rFonts w:ascii="Arial" w:eastAsiaTheme="majorEastAsia" w:hAnsi="Arial" w:cstheme="majorBidi"/>
      <w:b/>
      <w:sz w:val="24"/>
    </w:rPr>
  </w:style>
  <w:style w:type="character" w:customStyle="1" w:styleId="Heading6Char">
    <w:name w:val="Heading 6 Char"/>
    <w:aliases w:val="Heading 6 (double) Char"/>
    <w:basedOn w:val="DefaultParagraphFont"/>
    <w:link w:val="Heading6"/>
    <w:uiPriority w:val="27"/>
    <w:rsid w:val="003B17E6"/>
    <w:rPr>
      <w:rFonts w:ascii="Arial" w:eastAsiaTheme="majorEastAsia" w:hAnsi="Arial" w:cstheme="majorBidi"/>
      <w:i/>
      <w:sz w:val="24"/>
    </w:rPr>
  </w:style>
  <w:style w:type="character" w:customStyle="1" w:styleId="Heading7Char">
    <w:name w:val="Heading 7 Char"/>
    <w:aliases w:val="Heading 7 (double) (tables/figures) Char,Tbl Title Char"/>
    <w:basedOn w:val="DefaultParagraphFont"/>
    <w:link w:val="Heading7"/>
    <w:uiPriority w:val="27"/>
    <w:rsid w:val="003B17E6"/>
    <w:rPr>
      <w:rFonts w:ascii="Arial" w:eastAsiaTheme="majorEastAsia" w:hAnsi="Arial" w:cstheme="majorBidi"/>
      <w:b/>
      <w:iCs/>
      <w:sz w:val="24"/>
    </w:rPr>
  </w:style>
  <w:style w:type="character" w:customStyle="1" w:styleId="Heading8Char">
    <w:name w:val="Heading 8 Char"/>
    <w:aliases w:val="Heading 8 (double) Char"/>
    <w:basedOn w:val="DefaultParagraphFont"/>
    <w:link w:val="Heading8"/>
    <w:uiPriority w:val="27"/>
    <w:rsid w:val="003B17E6"/>
    <w:rPr>
      <w:rFonts w:ascii="Arial" w:eastAsiaTheme="majorEastAsia" w:hAnsi="Arial" w:cstheme="majorBidi"/>
      <w:b/>
      <w:i/>
      <w:color w:val="00476B"/>
      <w:sz w:val="24"/>
      <w:szCs w:val="21"/>
    </w:rPr>
  </w:style>
  <w:style w:type="character" w:customStyle="1" w:styleId="Heading9Char">
    <w:name w:val="Heading 9 Char"/>
    <w:aliases w:val="Heading 9 (double) Char"/>
    <w:basedOn w:val="DefaultParagraphFont"/>
    <w:link w:val="Heading9"/>
    <w:uiPriority w:val="27"/>
    <w:rsid w:val="003B17E6"/>
    <w:rPr>
      <w:rFonts w:ascii="Arial" w:eastAsiaTheme="majorEastAsia" w:hAnsi="Arial" w:cstheme="majorBidi"/>
      <w:i/>
      <w:iCs/>
      <w:color w:val="00476B"/>
      <w:sz w:val="24"/>
      <w:szCs w:val="21"/>
    </w:rPr>
  </w:style>
  <w:style w:type="paragraph" w:styleId="Quote">
    <w:name w:val="Quote"/>
    <w:basedOn w:val="Normal"/>
    <w:link w:val="QuoteChar"/>
    <w:uiPriority w:val="17"/>
    <w:qFormat/>
    <w:rsid w:val="003B17E6"/>
    <w:pPr>
      <w:pBdr>
        <w:top w:val="single" w:sz="36" w:space="6" w:color="FFFFFF" w:themeColor="background1"/>
        <w:left w:val="single" w:sz="36" w:space="5" w:color="037D84" w:themeColor="accent2"/>
        <w:bottom w:val="single" w:sz="36" w:space="6" w:color="FFFFFF" w:themeColor="background1"/>
        <w:right w:val="single" w:sz="36" w:space="4" w:color="FFFFFF" w:themeColor="background1"/>
      </w:pBdr>
      <w:spacing w:before="240"/>
      <w:ind w:left="1077"/>
    </w:pPr>
    <w:rPr>
      <w:b/>
      <w:iCs/>
      <w:color w:val="000000" w:themeColor="text1"/>
      <w:sz w:val="32"/>
    </w:rPr>
  </w:style>
  <w:style w:type="character" w:customStyle="1" w:styleId="QuoteChar">
    <w:name w:val="Quote Char"/>
    <w:basedOn w:val="DefaultParagraphFont"/>
    <w:link w:val="Quote"/>
    <w:uiPriority w:val="17"/>
    <w:rsid w:val="003B17E6"/>
    <w:rPr>
      <w:rFonts w:ascii="Arial" w:hAnsi="Arial"/>
      <w:b/>
      <w:iCs/>
      <w:color w:val="000000" w:themeColor="text1"/>
      <w:sz w:val="32"/>
    </w:rPr>
  </w:style>
  <w:style w:type="paragraph" w:customStyle="1" w:styleId="DoNotDelete">
    <w:name w:val="DoNotDelete"/>
    <w:basedOn w:val="Normal"/>
    <w:uiPriority w:val="49"/>
    <w:semiHidden/>
    <w:qFormat/>
    <w:rsid w:val="003B17E6"/>
    <w:pPr>
      <w:spacing w:after="0" w:line="240" w:lineRule="auto"/>
    </w:pPr>
    <w:rPr>
      <w:vanish/>
      <w:color w:val="FF0000"/>
    </w:rPr>
  </w:style>
  <w:style w:type="paragraph" w:customStyle="1" w:styleId="NormalNoSpace">
    <w:name w:val="NormalNoSpace"/>
    <w:basedOn w:val="Normal"/>
    <w:next w:val="Normal"/>
    <w:uiPriority w:val="3"/>
    <w:qFormat/>
    <w:rsid w:val="003B17E6"/>
    <w:pPr>
      <w:spacing w:after="0"/>
    </w:pPr>
  </w:style>
  <w:style w:type="paragraph" w:customStyle="1" w:styleId="Heading2NoToc">
    <w:name w:val="Heading 2NoToc"/>
    <w:basedOn w:val="Heading2NoNumb"/>
    <w:next w:val="NoSpacing"/>
    <w:uiPriority w:val="19"/>
    <w:qFormat/>
    <w:rsid w:val="003B17E6"/>
  </w:style>
  <w:style w:type="paragraph" w:styleId="TOC1">
    <w:name w:val="toc 1"/>
    <w:basedOn w:val="Normal"/>
    <w:next w:val="Normal"/>
    <w:autoRedefine/>
    <w:uiPriority w:val="39"/>
    <w:rsid w:val="003B17E6"/>
    <w:pPr>
      <w:pBdr>
        <w:top w:val="dotted" w:sz="18" w:space="6" w:color="253268" w:themeColor="text2"/>
        <w:between w:val="dotted" w:sz="18" w:space="6" w:color="253268" w:themeColor="text2"/>
      </w:pBdr>
      <w:tabs>
        <w:tab w:val="left" w:pos="567"/>
        <w:tab w:val="right" w:pos="9628"/>
      </w:tabs>
      <w:spacing w:after="120"/>
      <w:ind w:left="425" w:hanging="425"/>
    </w:pPr>
    <w:rPr>
      <w:b/>
      <w:bCs/>
      <w:noProof/>
      <w:color w:val="000000" w:themeColor="text1"/>
    </w:rPr>
  </w:style>
  <w:style w:type="paragraph" w:styleId="TOC2">
    <w:name w:val="toc 2"/>
    <w:basedOn w:val="Normal"/>
    <w:next w:val="Normal"/>
    <w:autoRedefine/>
    <w:uiPriority w:val="39"/>
    <w:rsid w:val="003B17E6"/>
    <w:pPr>
      <w:spacing w:after="100"/>
      <w:ind w:left="425" w:right="425"/>
    </w:pPr>
  </w:style>
  <w:style w:type="paragraph" w:styleId="TOC3">
    <w:name w:val="toc 3"/>
    <w:basedOn w:val="Normal"/>
    <w:next w:val="Normal"/>
    <w:autoRedefine/>
    <w:uiPriority w:val="39"/>
    <w:semiHidden/>
    <w:rsid w:val="003B17E6"/>
    <w:pPr>
      <w:tabs>
        <w:tab w:val="right" w:leader="dot" w:pos="9628"/>
      </w:tabs>
      <w:spacing w:after="100"/>
      <w:ind w:left="567"/>
    </w:pPr>
  </w:style>
  <w:style w:type="character" w:styleId="Hyperlink">
    <w:name w:val="Hyperlink"/>
    <w:basedOn w:val="DefaultParagraphFont"/>
    <w:uiPriority w:val="99"/>
    <w:unhideWhenUsed/>
    <w:rsid w:val="003B17E6"/>
    <w:rPr>
      <w:color w:val="0563C1" w:themeColor="hyperlink"/>
      <w:u w:val="single"/>
    </w:rPr>
  </w:style>
  <w:style w:type="paragraph" w:styleId="Date">
    <w:name w:val="Date"/>
    <w:basedOn w:val="Normal"/>
    <w:next w:val="Normal"/>
    <w:link w:val="DateChar"/>
    <w:uiPriority w:val="99"/>
    <w:semiHidden/>
    <w:rsid w:val="003B17E6"/>
    <w:rPr>
      <w:b/>
      <w:color w:val="253268" w:themeColor="text2"/>
    </w:rPr>
  </w:style>
  <w:style w:type="character" w:customStyle="1" w:styleId="DateChar">
    <w:name w:val="Date Char"/>
    <w:basedOn w:val="DefaultParagraphFont"/>
    <w:link w:val="Date"/>
    <w:uiPriority w:val="99"/>
    <w:semiHidden/>
    <w:rsid w:val="003B17E6"/>
    <w:rPr>
      <w:rFonts w:ascii="Arial" w:hAnsi="Arial"/>
      <w:b/>
      <w:color w:val="253268" w:themeColor="text2"/>
      <w:sz w:val="24"/>
    </w:rPr>
  </w:style>
  <w:style w:type="paragraph" w:styleId="Subtitle">
    <w:name w:val="Subtitle"/>
    <w:basedOn w:val="Normal"/>
    <w:next w:val="Normal"/>
    <w:link w:val="SubtitleChar"/>
    <w:uiPriority w:val="39"/>
    <w:semiHidden/>
    <w:qFormat/>
    <w:rsid w:val="003B17E6"/>
    <w:p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39"/>
    <w:semiHidden/>
    <w:rsid w:val="003B17E6"/>
    <w:rPr>
      <w:rFonts w:eastAsiaTheme="minorEastAsia"/>
      <w:color w:val="5A5A5A" w:themeColor="text1" w:themeTint="A5"/>
      <w:spacing w:val="15"/>
    </w:rPr>
  </w:style>
  <w:style w:type="paragraph" w:styleId="NoteHeading">
    <w:name w:val="Note Heading"/>
    <w:basedOn w:val="Normal"/>
    <w:next w:val="Normal"/>
    <w:link w:val="NoteHeadingChar"/>
    <w:uiPriority w:val="99"/>
    <w:semiHidden/>
    <w:rsid w:val="003B17E6"/>
    <w:pPr>
      <w:spacing w:after="0" w:line="240" w:lineRule="auto"/>
    </w:pPr>
  </w:style>
  <w:style w:type="character" w:customStyle="1" w:styleId="NoteHeadingChar">
    <w:name w:val="Note Heading Char"/>
    <w:basedOn w:val="DefaultParagraphFont"/>
    <w:link w:val="NoteHeading"/>
    <w:uiPriority w:val="99"/>
    <w:semiHidden/>
    <w:rsid w:val="003B17E6"/>
    <w:rPr>
      <w:rFonts w:ascii="Arial" w:hAnsi="Arial"/>
      <w:sz w:val="24"/>
    </w:rPr>
  </w:style>
  <w:style w:type="paragraph" w:styleId="BalloonText">
    <w:name w:val="Balloon Text"/>
    <w:basedOn w:val="Normal"/>
    <w:link w:val="BalloonTextChar"/>
    <w:uiPriority w:val="99"/>
    <w:semiHidden/>
    <w:unhideWhenUsed/>
    <w:rsid w:val="003B17E6"/>
    <w:pPr>
      <w:spacing w:after="0" w:line="240" w:lineRule="auto"/>
    </w:pPr>
    <w:rPr>
      <w:rFonts w:ascii="Segoe UI" w:hAnsi="Segoe UI" w:cs="Segoe UI"/>
      <w:sz w:val="18"/>
      <w:szCs w:val="18"/>
    </w:rPr>
  </w:style>
  <w:style w:type="table" w:styleId="TableGrid">
    <w:name w:val="Table Grid"/>
    <w:basedOn w:val="TableNormal"/>
    <w:uiPriority w:val="39"/>
    <w:rsid w:val="003B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pyrighttext">
    <w:name w:val="Copyright text"/>
    <w:basedOn w:val="Normal"/>
    <w:uiPriority w:val="37"/>
    <w:semiHidden/>
    <w:qFormat/>
    <w:rsid w:val="003B17E6"/>
    <w:pPr>
      <w:spacing w:after="120" w:line="240" w:lineRule="auto"/>
    </w:pPr>
    <w:rPr>
      <w:sz w:val="20"/>
    </w:rPr>
  </w:style>
  <w:style w:type="paragraph" w:styleId="FootnoteText">
    <w:name w:val="footnote text"/>
    <w:basedOn w:val="Normal"/>
    <w:link w:val="FootnoteTextChar"/>
    <w:uiPriority w:val="99"/>
    <w:semiHidden/>
    <w:unhideWhenUsed/>
    <w:rsid w:val="003B17E6"/>
    <w:pPr>
      <w:spacing w:after="80" w:line="240" w:lineRule="auto"/>
    </w:pPr>
    <w:rPr>
      <w:sz w:val="20"/>
      <w:szCs w:val="20"/>
    </w:rPr>
  </w:style>
  <w:style w:type="character" w:customStyle="1" w:styleId="FootnoteTextChar">
    <w:name w:val="Footnote Text Char"/>
    <w:basedOn w:val="DefaultParagraphFont"/>
    <w:link w:val="FootnoteText"/>
    <w:uiPriority w:val="99"/>
    <w:semiHidden/>
    <w:rsid w:val="003B17E6"/>
    <w:rPr>
      <w:rFonts w:ascii="Arial" w:hAnsi="Arial"/>
      <w:sz w:val="20"/>
      <w:szCs w:val="20"/>
    </w:rPr>
  </w:style>
  <w:style w:type="character" w:styleId="FootnoteReference">
    <w:name w:val="footnote reference"/>
    <w:basedOn w:val="DefaultParagraphFont"/>
    <w:uiPriority w:val="99"/>
    <w:semiHidden/>
    <w:unhideWhenUsed/>
    <w:rsid w:val="003B17E6"/>
    <w:rPr>
      <w:vertAlign w:val="superscript"/>
    </w:rPr>
  </w:style>
  <w:style w:type="paragraph" w:customStyle="1" w:styleId="Heading2NoNumb">
    <w:name w:val="Heading 2NoNumb"/>
    <w:basedOn w:val="Normal"/>
    <w:next w:val="Normal"/>
    <w:uiPriority w:val="3"/>
    <w:qFormat/>
    <w:rsid w:val="003B17E6"/>
    <w:pPr>
      <w:keepNext/>
      <w:keepLines/>
      <w:pageBreakBefore/>
      <w:pBdr>
        <w:bottom w:val="single" w:sz="24" w:space="6" w:color="253268" w:themeColor="text2"/>
      </w:pBdr>
      <w:spacing w:line="240" w:lineRule="auto"/>
      <w:outlineLvl w:val="1"/>
    </w:pPr>
    <w:rPr>
      <w:b/>
      <w:color w:val="253268" w:themeColor="text2"/>
      <w:sz w:val="52"/>
    </w:rPr>
  </w:style>
  <w:style w:type="paragraph" w:customStyle="1" w:styleId="FigureTitlesingle">
    <w:name w:val="FigureTitle (single)"/>
    <w:basedOn w:val="Normal"/>
    <w:next w:val="Normal"/>
    <w:uiPriority w:val="27"/>
    <w:qFormat/>
    <w:rsid w:val="003B17E6"/>
    <w:pPr>
      <w:keepNext/>
      <w:keepLines/>
      <w:numPr>
        <w:ilvl w:val="8"/>
        <w:numId w:val="6"/>
      </w:numPr>
      <w:spacing w:before="120" w:after="120" w:line="240" w:lineRule="auto"/>
    </w:pPr>
    <w:rPr>
      <w:b/>
    </w:rPr>
  </w:style>
  <w:style w:type="paragraph" w:styleId="NoSpacing">
    <w:name w:val="No Spacing"/>
    <w:uiPriority w:val="39"/>
    <w:semiHidden/>
    <w:qFormat/>
    <w:rsid w:val="003B17E6"/>
    <w:pPr>
      <w:spacing w:after="0" w:line="240" w:lineRule="auto"/>
    </w:pPr>
    <w:rPr>
      <w:rFonts w:ascii="Arial" w:hAnsi="Arial"/>
      <w:sz w:val="24"/>
    </w:rPr>
  </w:style>
  <w:style w:type="paragraph" w:customStyle="1" w:styleId="TableTitlesingle">
    <w:name w:val="TableTitle (single)"/>
    <w:basedOn w:val="Normal"/>
    <w:next w:val="Normal"/>
    <w:uiPriority w:val="17"/>
    <w:qFormat/>
    <w:rsid w:val="003B17E6"/>
    <w:pPr>
      <w:keepNext/>
      <w:keepLines/>
      <w:numPr>
        <w:ilvl w:val="7"/>
        <w:numId w:val="6"/>
      </w:numPr>
      <w:spacing w:before="120" w:after="120" w:line="240" w:lineRule="auto"/>
    </w:pPr>
    <w:rPr>
      <w:b/>
    </w:rPr>
  </w:style>
  <w:style w:type="paragraph" w:customStyle="1" w:styleId="TblHeading">
    <w:name w:val="Tbl Heading"/>
    <w:basedOn w:val="Normal"/>
    <w:uiPriority w:val="19"/>
    <w:qFormat/>
    <w:rsid w:val="003B17E6"/>
    <w:pPr>
      <w:spacing w:before="120" w:after="120" w:line="240" w:lineRule="auto"/>
      <w:ind w:left="113"/>
      <w:outlineLvl w:val="3"/>
    </w:pPr>
    <w:rPr>
      <w:b/>
      <w:color w:val="FFFFFF"/>
      <w:sz w:val="22"/>
    </w:rPr>
  </w:style>
  <w:style w:type="paragraph" w:customStyle="1" w:styleId="TblHeadingCol1">
    <w:name w:val="Tbl Heading Col 1"/>
    <w:basedOn w:val="TblHeading"/>
    <w:uiPriority w:val="19"/>
    <w:qFormat/>
    <w:rsid w:val="003B17E6"/>
    <w:rPr>
      <w:color w:val="auto"/>
    </w:rPr>
  </w:style>
  <w:style w:type="paragraph" w:customStyle="1" w:styleId="TblHeadingCtr">
    <w:name w:val="Tbl Heading Ctr"/>
    <w:basedOn w:val="TblHeading"/>
    <w:uiPriority w:val="19"/>
    <w:qFormat/>
    <w:rsid w:val="003B17E6"/>
    <w:pPr>
      <w:jc w:val="center"/>
    </w:pPr>
  </w:style>
  <w:style w:type="paragraph" w:customStyle="1" w:styleId="TblHeadingFin">
    <w:name w:val="Tbl Heading Fin"/>
    <w:basedOn w:val="TblHeading"/>
    <w:uiPriority w:val="19"/>
    <w:qFormat/>
    <w:rsid w:val="003B17E6"/>
    <w:pPr>
      <w:jc w:val="center"/>
    </w:pPr>
  </w:style>
  <w:style w:type="paragraph" w:customStyle="1" w:styleId="TblText">
    <w:name w:val="Tbl Text"/>
    <w:basedOn w:val="Normal"/>
    <w:uiPriority w:val="19"/>
    <w:qFormat/>
    <w:rsid w:val="003B17E6"/>
    <w:pPr>
      <w:spacing w:before="120" w:after="120" w:line="240" w:lineRule="auto"/>
      <w:ind w:left="113"/>
    </w:pPr>
    <w:rPr>
      <w:sz w:val="22"/>
    </w:rPr>
  </w:style>
  <w:style w:type="paragraph" w:customStyle="1" w:styleId="TblTextCtr">
    <w:name w:val="Tbl Text Ctr"/>
    <w:basedOn w:val="TblText"/>
    <w:uiPriority w:val="19"/>
    <w:qFormat/>
    <w:rsid w:val="003B17E6"/>
    <w:pPr>
      <w:jc w:val="center"/>
    </w:pPr>
  </w:style>
  <w:style w:type="paragraph" w:customStyle="1" w:styleId="TblTextFin">
    <w:name w:val="Tbl Text Fin"/>
    <w:basedOn w:val="TblTextCtr"/>
    <w:uiPriority w:val="19"/>
    <w:qFormat/>
    <w:rsid w:val="003B17E6"/>
    <w:pPr>
      <w:jc w:val="right"/>
    </w:pPr>
  </w:style>
  <w:style w:type="paragraph" w:customStyle="1" w:styleId="TblTextFinTotal">
    <w:name w:val="Tbl Text Fin Total"/>
    <w:basedOn w:val="TblTextFin"/>
    <w:uiPriority w:val="19"/>
    <w:qFormat/>
    <w:rsid w:val="003B17E6"/>
    <w:rPr>
      <w:b/>
    </w:rPr>
  </w:style>
  <w:style w:type="paragraph" w:customStyle="1" w:styleId="TblTextTotal">
    <w:name w:val="Tbl Text Total"/>
    <w:basedOn w:val="TblText"/>
    <w:uiPriority w:val="19"/>
    <w:qFormat/>
    <w:rsid w:val="003B17E6"/>
    <w:rPr>
      <w:b/>
    </w:rPr>
  </w:style>
  <w:style w:type="paragraph" w:customStyle="1" w:styleId="Bulletnumber">
    <w:name w:val="Bullet (number)"/>
    <w:basedOn w:val="Bulletroman"/>
    <w:uiPriority w:val="12"/>
    <w:qFormat/>
    <w:rsid w:val="003B17E6"/>
    <w:pPr>
      <w:numPr>
        <w:ilvl w:val="4"/>
      </w:numPr>
    </w:pPr>
  </w:style>
  <w:style w:type="paragraph" w:customStyle="1" w:styleId="BodyText1">
    <w:name w:val="Body Text 1"/>
    <w:basedOn w:val="Normal"/>
    <w:uiPriority w:val="9"/>
    <w:qFormat/>
    <w:rsid w:val="003B17E6"/>
    <w:pPr>
      <w:ind w:left="851"/>
    </w:pPr>
  </w:style>
  <w:style w:type="paragraph" w:customStyle="1" w:styleId="ImageMsg">
    <w:name w:val="ImageMsg"/>
    <w:basedOn w:val="Normal"/>
    <w:uiPriority w:val="49"/>
    <w:semiHidden/>
    <w:rsid w:val="003B17E6"/>
    <w:rPr>
      <w:b/>
      <w:vanish/>
    </w:rPr>
  </w:style>
  <w:style w:type="paragraph" w:customStyle="1" w:styleId="TblSource">
    <w:name w:val="Tbl Source"/>
    <w:basedOn w:val="Normal"/>
    <w:next w:val="Normal"/>
    <w:uiPriority w:val="20"/>
    <w:qFormat/>
    <w:rsid w:val="003B17E6"/>
    <w:rPr>
      <w:i/>
      <w:sz w:val="22"/>
    </w:rPr>
  </w:style>
  <w:style w:type="paragraph" w:customStyle="1" w:styleId="Date2">
    <w:name w:val="Date2"/>
    <w:basedOn w:val="Normal"/>
    <w:next w:val="Normal"/>
    <w:uiPriority w:val="29"/>
    <w:semiHidden/>
    <w:qFormat/>
    <w:rsid w:val="003B17E6"/>
    <w:rPr>
      <w:color w:val="FFFFFF"/>
      <w:sz w:val="23"/>
    </w:rPr>
  </w:style>
  <w:style w:type="paragraph" w:customStyle="1" w:styleId="FooterHalf">
    <w:name w:val="FooterHalf"/>
    <w:basedOn w:val="Footer"/>
    <w:uiPriority w:val="49"/>
    <w:semiHidden/>
    <w:qFormat/>
    <w:rsid w:val="003B17E6"/>
    <w:rPr>
      <w:sz w:val="10"/>
    </w:rPr>
  </w:style>
  <w:style w:type="paragraph" w:customStyle="1" w:styleId="FooterTop">
    <w:name w:val="FooterTop"/>
    <w:basedOn w:val="Footer"/>
    <w:uiPriority w:val="49"/>
    <w:semiHidden/>
    <w:qFormat/>
    <w:rsid w:val="003B17E6"/>
    <w:pPr>
      <w:tabs>
        <w:tab w:val="clear" w:pos="9639"/>
        <w:tab w:val="right" w:pos="340"/>
      </w:tabs>
      <w:spacing w:after="120"/>
    </w:pPr>
  </w:style>
  <w:style w:type="paragraph" w:customStyle="1" w:styleId="SingleNum">
    <w:name w:val="SingleNum"/>
    <w:basedOn w:val="Normal"/>
    <w:uiPriority w:val="3"/>
    <w:qFormat/>
    <w:rsid w:val="003B17E6"/>
    <w:pPr>
      <w:tabs>
        <w:tab w:val="num" w:pos="567"/>
      </w:tabs>
      <w:ind w:left="567" w:hanging="567"/>
    </w:pPr>
  </w:style>
  <w:style w:type="paragraph" w:customStyle="1" w:styleId="Summarybullet-">
    <w:name w:val="Summary bullet (-)"/>
    <w:basedOn w:val="Summaryparagraph"/>
    <w:uiPriority w:val="1"/>
    <w:qFormat/>
    <w:rsid w:val="003B17E6"/>
    <w:pPr>
      <w:numPr>
        <w:ilvl w:val="2"/>
      </w:numPr>
    </w:pPr>
  </w:style>
  <w:style w:type="paragraph" w:customStyle="1" w:styleId="Boxedbullet-">
    <w:name w:val="Boxed bullet (-)"/>
    <w:basedOn w:val="Boxedparagraph"/>
    <w:uiPriority w:val="14"/>
    <w:qFormat/>
    <w:rsid w:val="003B17E6"/>
    <w:pPr>
      <w:numPr>
        <w:ilvl w:val="2"/>
      </w:numPr>
    </w:pPr>
  </w:style>
  <w:style w:type="numbering" w:customStyle="1" w:styleId="ORRMain">
    <w:name w:val="ORRMain"/>
    <w:uiPriority w:val="99"/>
    <w:rsid w:val="003B17E6"/>
    <w:pPr>
      <w:numPr>
        <w:numId w:val="6"/>
      </w:numPr>
    </w:pPr>
  </w:style>
  <w:style w:type="paragraph" w:customStyle="1" w:styleId="NormalWhite">
    <w:name w:val="NormalWhite"/>
    <w:basedOn w:val="Normal"/>
    <w:uiPriority w:val="49"/>
    <w:semiHidden/>
    <w:qFormat/>
    <w:rsid w:val="003B17E6"/>
    <w:pPr>
      <w:spacing w:after="0" w:line="240" w:lineRule="auto"/>
    </w:pPr>
    <w:rPr>
      <w:color w:val="FFFFFF" w:themeColor="background2"/>
    </w:rPr>
  </w:style>
  <w:style w:type="paragraph" w:customStyle="1" w:styleId="DocLogo">
    <w:name w:val="DocLogo"/>
    <w:basedOn w:val="Normal"/>
    <w:uiPriority w:val="49"/>
    <w:semiHidden/>
    <w:qFormat/>
    <w:rsid w:val="003B17E6"/>
    <w:pPr>
      <w:spacing w:after="2000"/>
    </w:pPr>
  </w:style>
  <w:style w:type="character" w:customStyle="1" w:styleId="BalloonTextChar">
    <w:name w:val="Balloon Text Char"/>
    <w:basedOn w:val="DefaultParagraphFont"/>
    <w:link w:val="BalloonText"/>
    <w:uiPriority w:val="99"/>
    <w:semiHidden/>
    <w:rsid w:val="003B17E6"/>
    <w:rPr>
      <w:rFonts w:ascii="Segoe UI" w:hAnsi="Segoe UI" w:cs="Segoe UI"/>
      <w:sz w:val="18"/>
      <w:szCs w:val="18"/>
    </w:rPr>
  </w:style>
  <w:style w:type="paragraph" w:styleId="ListParagraph">
    <w:name w:val="List Paragraph"/>
    <w:basedOn w:val="Normal"/>
    <w:uiPriority w:val="39"/>
    <w:qFormat/>
    <w:rsid w:val="003B17E6"/>
    <w:pPr>
      <w:ind w:left="720"/>
      <w:contextualSpacing/>
    </w:pPr>
  </w:style>
  <w:style w:type="paragraph" w:customStyle="1" w:styleId="HighlightPurple">
    <w:name w:val="HighlightPurple"/>
    <w:basedOn w:val="Normal"/>
    <w:uiPriority w:val="17"/>
    <w:qFormat/>
    <w:rsid w:val="003B17E6"/>
    <w:pPr>
      <w:pBdr>
        <w:top w:val="single" w:sz="24" w:space="10" w:color="702472" w:themeColor="accent3"/>
        <w:left w:val="single" w:sz="24" w:space="15" w:color="702472" w:themeColor="accent3"/>
        <w:bottom w:val="single" w:sz="24" w:space="10" w:color="702472" w:themeColor="accent3"/>
        <w:right w:val="single" w:sz="24" w:space="15" w:color="702472" w:themeColor="accent3"/>
      </w:pBdr>
      <w:shd w:val="clear" w:color="auto" w:fill="702472" w:themeFill="accent3"/>
      <w:spacing w:before="240"/>
    </w:pPr>
    <w:rPr>
      <w:color w:val="FFFFFF" w:themeColor="background2"/>
    </w:rPr>
  </w:style>
  <w:style w:type="paragraph" w:customStyle="1" w:styleId="HighlightBlue">
    <w:name w:val="HighlightBlue"/>
    <w:basedOn w:val="Normal"/>
    <w:uiPriority w:val="17"/>
    <w:qFormat/>
    <w:rsid w:val="003B17E6"/>
    <w:pPr>
      <w:pBdr>
        <w:top w:val="single" w:sz="24" w:space="10" w:color="253268" w:themeColor="text2"/>
        <w:left w:val="single" w:sz="24" w:space="15" w:color="253268" w:themeColor="text2"/>
        <w:bottom w:val="single" w:sz="24" w:space="10" w:color="253268" w:themeColor="text2"/>
        <w:right w:val="single" w:sz="24" w:space="15" w:color="253268" w:themeColor="text2"/>
      </w:pBdr>
      <w:shd w:val="clear" w:color="auto" w:fill="253268" w:themeFill="text2"/>
      <w:spacing w:before="240"/>
    </w:pPr>
    <w:rPr>
      <w:color w:val="FFFFFF" w:themeColor="background2"/>
    </w:rPr>
  </w:style>
  <w:style w:type="character" w:styleId="CommentReference">
    <w:name w:val="annotation reference"/>
    <w:basedOn w:val="DefaultParagraphFont"/>
    <w:uiPriority w:val="99"/>
    <w:semiHidden/>
    <w:unhideWhenUsed/>
    <w:rsid w:val="003B17E6"/>
    <w:rPr>
      <w:sz w:val="16"/>
      <w:szCs w:val="16"/>
    </w:rPr>
  </w:style>
  <w:style w:type="paragraph" w:styleId="CommentText">
    <w:name w:val="annotation text"/>
    <w:basedOn w:val="Normal"/>
    <w:link w:val="CommentTextChar"/>
    <w:uiPriority w:val="99"/>
    <w:unhideWhenUsed/>
    <w:rsid w:val="003B17E6"/>
    <w:pPr>
      <w:spacing w:line="240" w:lineRule="auto"/>
    </w:pPr>
  </w:style>
  <w:style w:type="character" w:customStyle="1" w:styleId="CommentTextChar">
    <w:name w:val="Comment Text Char"/>
    <w:basedOn w:val="DefaultParagraphFont"/>
    <w:link w:val="CommentText"/>
    <w:uiPriority w:val="99"/>
    <w:rsid w:val="003B17E6"/>
    <w:rPr>
      <w:rFonts w:ascii="Arial" w:hAnsi="Arial"/>
      <w:sz w:val="24"/>
    </w:rPr>
  </w:style>
  <w:style w:type="paragraph" w:styleId="CommentSubject">
    <w:name w:val="annotation subject"/>
    <w:basedOn w:val="CommentText"/>
    <w:next w:val="CommentText"/>
    <w:link w:val="CommentSubjectChar"/>
    <w:uiPriority w:val="99"/>
    <w:semiHidden/>
    <w:unhideWhenUsed/>
    <w:rsid w:val="003B17E6"/>
    <w:rPr>
      <w:b/>
      <w:bCs/>
    </w:rPr>
  </w:style>
  <w:style w:type="character" w:customStyle="1" w:styleId="CommentSubjectChar">
    <w:name w:val="Comment Subject Char"/>
    <w:basedOn w:val="CommentTextChar"/>
    <w:link w:val="CommentSubject"/>
    <w:uiPriority w:val="99"/>
    <w:semiHidden/>
    <w:rsid w:val="003B17E6"/>
    <w:rPr>
      <w:rFonts w:ascii="Arial" w:hAnsi="Arial"/>
      <w:b/>
      <w:bCs/>
      <w:sz w:val="24"/>
    </w:rPr>
  </w:style>
  <w:style w:type="character" w:customStyle="1" w:styleId="UnresolvedMention1">
    <w:name w:val="Unresolved Mention1"/>
    <w:basedOn w:val="DefaultParagraphFont"/>
    <w:uiPriority w:val="99"/>
    <w:semiHidden/>
    <w:unhideWhenUsed/>
    <w:rsid w:val="003B17E6"/>
    <w:rPr>
      <w:color w:val="605E5C"/>
      <w:shd w:val="clear" w:color="auto" w:fill="E1DFDD"/>
    </w:rPr>
  </w:style>
  <w:style w:type="paragraph" w:customStyle="1" w:styleId="KeyMessage">
    <w:name w:val="KeyMessage"/>
    <w:basedOn w:val="Normal"/>
    <w:next w:val="Numberedparagraphdouble"/>
    <w:uiPriority w:val="2"/>
    <w:qFormat/>
    <w:rsid w:val="003B17E6"/>
    <w:rPr>
      <w:b/>
      <w:color w:val="514F86"/>
      <w:sz w:val="26"/>
    </w:rPr>
  </w:style>
  <w:style w:type="paragraph" w:customStyle="1" w:styleId="RagLetter">
    <w:name w:val="RagLetter"/>
    <w:basedOn w:val="Normal"/>
    <w:uiPriority w:val="49"/>
    <w:semiHidden/>
    <w:qFormat/>
    <w:rsid w:val="003B17E6"/>
    <w:pPr>
      <w:spacing w:after="0" w:line="240" w:lineRule="auto"/>
      <w:jc w:val="center"/>
    </w:pPr>
    <w:rPr>
      <w:rFonts w:ascii="Arial Bold" w:hAnsi="Arial Bold" w:cs="Arial"/>
      <w:b/>
      <w:bCs/>
      <w:color w:val="000000" w:themeColor="text1"/>
      <w:szCs w:val="24"/>
    </w:rPr>
  </w:style>
  <w:style w:type="paragraph" w:customStyle="1" w:styleId="RagLetterSquare">
    <w:name w:val="RagLetterSquare"/>
    <w:basedOn w:val="Normal"/>
    <w:uiPriority w:val="49"/>
    <w:semiHidden/>
    <w:qFormat/>
    <w:rsid w:val="003B17E6"/>
    <w:pPr>
      <w:spacing w:before="40" w:after="0" w:line="360" w:lineRule="auto"/>
      <w:jc w:val="center"/>
    </w:pPr>
    <w:rPr>
      <w:rFonts w:ascii="Arial Bold" w:hAnsi="Arial Bold" w:cs="Arial"/>
      <w:b/>
      <w:bCs/>
      <w:color w:val="000000" w:themeColor="text1"/>
      <w:szCs w:val="24"/>
    </w:rPr>
  </w:style>
  <w:style w:type="paragraph" w:customStyle="1" w:styleId="RagLetterCircle">
    <w:name w:val="RagLetterCircle"/>
    <w:basedOn w:val="RagLetterSquare"/>
    <w:uiPriority w:val="49"/>
    <w:semiHidden/>
    <w:qFormat/>
    <w:rsid w:val="003B17E6"/>
    <w:pPr>
      <w:spacing w:before="0"/>
    </w:pPr>
  </w:style>
  <w:style w:type="character" w:customStyle="1" w:styleId="chrRagIcon">
    <w:name w:val="chrRagIcon"/>
    <w:basedOn w:val="DefaultParagraphFont"/>
    <w:uiPriority w:val="49"/>
    <w:semiHidden/>
    <w:qFormat/>
    <w:rsid w:val="003B17E6"/>
    <w:rPr>
      <w:position w:val="-4"/>
    </w:rPr>
  </w:style>
  <w:style w:type="character" w:customStyle="1" w:styleId="chrSubTitle">
    <w:name w:val="chrSubTitle"/>
    <w:basedOn w:val="DefaultParagraphFont"/>
    <w:uiPriority w:val="1"/>
    <w:qFormat/>
    <w:rsid w:val="003B17E6"/>
    <w:rPr>
      <w:rFonts w:ascii="Arial" w:hAnsi="Arial"/>
      <w:bCs/>
      <w:sz w:val="40"/>
    </w:rPr>
  </w:style>
  <w:style w:type="paragraph" w:customStyle="1" w:styleId="HighlightLilac">
    <w:name w:val="HighlightLilac"/>
    <w:basedOn w:val="Normal"/>
    <w:uiPriority w:val="17"/>
    <w:qFormat/>
    <w:rsid w:val="003B17E6"/>
    <w:pPr>
      <w:pBdr>
        <w:top w:val="single" w:sz="24" w:space="10" w:color="D2D7E9"/>
        <w:left w:val="single" w:sz="24" w:space="15" w:color="D2D7E9"/>
        <w:bottom w:val="single" w:sz="24" w:space="10" w:color="D2D7E9"/>
        <w:right w:val="single" w:sz="24" w:space="15" w:color="D2D7E9"/>
      </w:pBdr>
      <w:shd w:val="clear" w:color="auto" w:fill="D2D7E9"/>
      <w:spacing w:before="240"/>
    </w:pPr>
  </w:style>
  <w:style w:type="paragraph" w:customStyle="1" w:styleId="HighLightBlueWide">
    <w:name w:val="HighLightBlueWide"/>
    <w:basedOn w:val="Normal"/>
    <w:uiPriority w:val="17"/>
    <w:qFormat/>
    <w:rsid w:val="003B17E6"/>
    <w:pPr>
      <w:numPr>
        <w:numId w:val="8"/>
      </w:numPr>
      <w:pBdr>
        <w:top w:val="single" w:sz="48" w:space="10" w:color="253268" w:themeColor="text2"/>
        <w:left w:val="single" w:sz="48" w:space="31" w:color="253268" w:themeColor="text2"/>
        <w:bottom w:val="single" w:sz="48" w:space="10" w:color="253268" w:themeColor="text2"/>
        <w:right w:val="single" w:sz="48" w:space="31" w:color="253268" w:themeColor="text2"/>
      </w:pBdr>
      <w:shd w:val="clear" w:color="auto" w:fill="253268" w:themeFill="text2"/>
      <w:ind w:right="-369"/>
    </w:pPr>
  </w:style>
  <w:style w:type="numbering" w:customStyle="1" w:styleId="NumbListHighlight">
    <w:name w:val="NumbListHighlight"/>
    <w:uiPriority w:val="99"/>
    <w:rsid w:val="003B17E6"/>
    <w:pPr>
      <w:numPr>
        <w:numId w:val="7"/>
      </w:numPr>
    </w:pPr>
  </w:style>
  <w:style w:type="paragraph" w:customStyle="1" w:styleId="HighlightPurpleWide">
    <w:name w:val="HighlightPurpleWide"/>
    <w:basedOn w:val="Normal"/>
    <w:uiPriority w:val="17"/>
    <w:qFormat/>
    <w:rsid w:val="003B17E6"/>
    <w:pPr>
      <w:numPr>
        <w:ilvl w:val="1"/>
        <w:numId w:val="8"/>
      </w:numPr>
      <w:pBdr>
        <w:top w:val="single" w:sz="48" w:space="8" w:color="702472" w:themeColor="accent3"/>
        <w:left w:val="single" w:sz="48" w:space="31" w:color="702472" w:themeColor="accent3"/>
        <w:bottom w:val="single" w:sz="48" w:space="8" w:color="702472" w:themeColor="accent3"/>
        <w:right w:val="single" w:sz="48" w:space="31" w:color="702472" w:themeColor="accent3"/>
      </w:pBdr>
      <w:shd w:val="clear" w:color="auto" w:fill="702472" w:themeFill="accent3"/>
      <w:ind w:right="-369"/>
    </w:pPr>
    <w:rPr>
      <w:color w:val="FFFFFF" w:themeColor="background1"/>
    </w:rPr>
  </w:style>
  <w:style w:type="paragraph" w:customStyle="1" w:styleId="HighlightLilacWide">
    <w:name w:val="HighlightLilacWide"/>
    <w:basedOn w:val="Normal"/>
    <w:uiPriority w:val="17"/>
    <w:qFormat/>
    <w:rsid w:val="003B17E6"/>
    <w:pPr>
      <w:numPr>
        <w:ilvl w:val="2"/>
        <w:numId w:val="8"/>
      </w:numPr>
      <w:pBdr>
        <w:top w:val="single" w:sz="48" w:space="8" w:color="D2D7E9"/>
        <w:left w:val="single" w:sz="48" w:space="31" w:color="D2D7E9"/>
        <w:bottom w:val="single" w:sz="48" w:space="8" w:color="D2D7E9"/>
        <w:right w:val="single" w:sz="48" w:space="31" w:color="D2D7E9"/>
      </w:pBdr>
      <w:shd w:val="clear" w:color="auto" w:fill="D2D7E9"/>
      <w:spacing w:before="240"/>
      <w:ind w:right="-369"/>
    </w:pPr>
  </w:style>
  <w:style w:type="paragraph" w:customStyle="1" w:styleId="Default">
    <w:name w:val="Default"/>
    <w:uiPriority w:val="49"/>
    <w:semiHidden/>
    <w:rsid w:val="003B17E6"/>
    <w:pPr>
      <w:autoSpaceDE w:val="0"/>
      <w:autoSpaceDN w:val="0"/>
      <w:adjustRightInd w:val="0"/>
      <w:spacing w:after="0" w:line="240" w:lineRule="auto"/>
    </w:pPr>
    <w:rPr>
      <w:rFonts w:ascii="Arial" w:hAnsi="Arial" w:cs="Arial"/>
      <w:color w:val="000000"/>
      <w:sz w:val="24"/>
      <w:szCs w:val="24"/>
    </w:rPr>
  </w:style>
  <w:style w:type="character" w:customStyle="1" w:styleId="chrWhite">
    <w:name w:val="chrWhite"/>
    <w:basedOn w:val="DefaultParagraphFont"/>
    <w:uiPriority w:val="49"/>
    <w:semiHidden/>
    <w:qFormat/>
    <w:rsid w:val="003B17E6"/>
    <w:rPr>
      <w:color w:val="FFFFFF" w:themeColor="background1"/>
    </w:rPr>
  </w:style>
  <w:style w:type="paragraph" w:customStyle="1" w:styleId="HeaderTitle">
    <w:name w:val="HeaderTitle"/>
    <w:basedOn w:val="Header"/>
    <w:uiPriority w:val="3"/>
    <w:qFormat/>
    <w:rsid w:val="003B17E6"/>
    <w:pPr>
      <w:spacing w:after="360"/>
    </w:pPr>
    <w:rPr>
      <w:b/>
      <w:color w:val="253268" w:themeColor="text2"/>
    </w:rPr>
  </w:style>
  <w:style w:type="paragraph" w:customStyle="1" w:styleId="TblHeadingKeyPerformance">
    <w:name w:val="TblHeadingKeyPerformance"/>
    <w:basedOn w:val="TblHeading"/>
    <w:uiPriority w:val="49"/>
    <w:semiHidden/>
    <w:qFormat/>
    <w:rsid w:val="003B17E6"/>
    <w:pPr>
      <w:keepNext/>
      <w:keepLines/>
      <w:spacing w:before="160" w:after="160"/>
      <w:jc w:val="center"/>
    </w:pPr>
  </w:style>
  <w:style w:type="paragraph" w:customStyle="1" w:styleId="DividerTitle">
    <w:name w:val="Divider Title"/>
    <w:basedOn w:val="Normal"/>
    <w:uiPriority w:val="39"/>
    <w:qFormat/>
    <w:rsid w:val="003B17E6"/>
    <w:pPr>
      <w:keepNext/>
      <w:keepLines/>
      <w:spacing w:before="720"/>
    </w:pPr>
    <w:rPr>
      <w:b/>
      <w:color w:val="253268" w:themeColor="text2"/>
      <w:sz w:val="60"/>
    </w:rPr>
  </w:style>
  <w:style w:type="paragraph" w:customStyle="1" w:styleId="DividerTitleSpace">
    <w:name w:val="Divider TitleSpace"/>
    <w:basedOn w:val="DividerTitle"/>
    <w:uiPriority w:val="39"/>
    <w:qFormat/>
    <w:rsid w:val="003B17E6"/>
    <w:pPr>
      <w:pageBreakBefore/>
      <w:spacing w:before="0"/>
    </w:pPr>
  </w:style>
  <w:style w:type="paragraph" w:customStyle="1" w:styleId="DividerSubTitle">
    <w:name w:val="Divider SubTitle"/>
    <w:basedOn w:val="DividerTitle"/>
    <w:next w:val="Numberedparagraphdouble"/>
    <w:uiPriority w:val="39"/>
    <w:qFormat/>
    <w:rsid w:val="003B17E6"/>
    <w:pPr>
      <w:spacing w:before="240" w:after="10000"/>
    </w:pPr>
    <w:rPr>
      <w:sz w:val="48"/>
    </w:rPr>
  </w:style>
  <w:style w:type="paragraph" w:styleId="TOC4">
    <w:name w:val="toc 4"/>
    <w:basedOn w:val="Normal"/>
    <w:next w:val="Normal"/>
    <w:autoRedefine/>
    <w:uiPriority w:val="39"/>
    <w:rsid w:val="003B17E6"/>
    <w:pPr>
      <w:keepNext/>
      <w:tabs>
        <w:tab w:val="right" w:pos="9628"/>
      </w:tabs>
      <w:spacing w:before="240" w:after="60"/>
    </w:pPr>
    <w:rPr>
      <w:b/>
      <w:color w:val="B1173B" w:themeColor="accent1"/>
      <w:sz w:val="28"/>
    </w:rPr>
  </w:style>
  <w:style w:type="paragraph" w:customStyle="1" w:styleId="SpacerI">
    <w:name w:val="SpacerI"/>
    <w:basedOn w:val="Header"/>
    <w:uiPriority w:val="49"/>
    <w:semiHidden/>
    <w:rsid w:val="003B17E6"/>
    <w:pPr>
      <w:spacing w:before="720"/>
    </w:pPr>
  </w:style>
  <w:style w:type="paragraph" w:styleId="Bibliography">
    <w:name w:val="Bibliography"/>
    <w:basedOn w:val="Normal"/>
    <w:next w:val="Normal"/>
    <w:uiPriority w:val="37"/>
    <w:unhideWhenUsed/>
    <w:rsid w:val="003B17E6"/>
    <w:pPr>
      <w:spacing w:after="160" w:line="259" w:lineRule="auto"/>
    </w:pPr>
    <w:rPr>
      <w:rFonts w:asciiTheme="minorHAnsi" w:hAnsiTheme="minorHAnsi"/>
      <w:sz w:val="22"/>
    </w:rPr>
  </w:style>
  <w:style w:type="paragraph" w:customStyle="1" w:styleId="AnnexH2">
    <w:name w:val="Annex H2"/>
    <w:basedOn w:val="Heading2"/>
    <w:next w:val="AnnexParagraph"/>
    <w:uiPriority w:val="21"/>
    <w:qFormat/>
    <w:rsid w:val="003B17E6"/>
    <w:pPr>
      <w:numPr>
        <w:numId w:val="10"/>
      </w:numPr>
    </w:pPr>
  </w:style>
  <w:style w:type="paragraph" w:customStyle="1" w:styleId="AnnexParagraph">
    <w:name w:val="Annex Paragraph"/>
    <w:basedOn w:val="Normal"/>
    <w:uiPriority w:val="22"/>
    <w:qFormat/>
    <w:rsid w:val="003B17E6"/>
    <w:pPr>
      <w:numPr>
        <w:ilvl w:val="1"/>
        <w:numId w:val="10"/>
      </w:numPr>
    </w:pPr>
  </w:style>
  <w:style w:type="numbering" w:customStyle="1" w:styleId="ORRAnnex">
    <w:name w:val="ORRAnnex"/>
    <w:uiPriority w:val="99"/>
    <w:rsid w:val="003B17E6"/>
    <w:pPr>
      <w:numPr>
        <w:numId w:val="9"/>
      </w:numPr>
    </w:pPr>
  </w:style>
  <w:style w:type="paragraph" w:customStyle="1" w:styleId="AnnexBulletAlpha">
    <w:name w:val="Annex Bullet (Alpha)"/>
    <w:basedOn w:val="Normal"/>
    <w:uiPriority w:val="24"/>
    <w:qFormat/>
    <w:rsid w:val="003B17E6"/>
    <w:pPr>
      <w:numPr>
        <w:ilvl w:val="2"/>
        <w:numId w:val="10"/>
      </w:numPr>
    </w:pPr>
  </w:style>
  <w:style w:type="paragraph" w:customStyle="1" w:styleId="AnnexBulletroman">
    <w:name w:val="Annex Bullet (roman)"/>
    <w:basedOn w:val="Normal"/>
    <w:uiPriority w:val="24"/>
    <w:qFormat/>
    <w:rsid w:val="003B17E6"/>
    <w:pPr>
      <w:numPr>
        <w:ilvl w:val="3"/>
        <w:numId w:val="10"/>
      </w:numPr>
    </w:pPr>
  </w:style>
  <w:style w:type="paragraph" w:customStyle="1" w:styleId="AnnexBulletnumber">
    <w:name w:val="Annex Bullet (number)"/>
    <w:basedOn w:val="Normal"/>
    <w:uiPriority w:val="25"/>
    <w:qFormat/>
    <w:rsid w:val="003B17E6"/>
    <w:pPr>
      <w:numPr>
        <w:ilvl w:val="4"/>
        <w:numId w:val="10"/>
      </w:numPr>
    </w:pPr>
  </w:style>
  <w:style w:type="paragraph" w:customStyle="1" w:styleId="AnnexBulletround">
    <w:name w:val="Annex Bullet (round)"/>
    <w:basedOn w:val="Normal"/>
    <w:uiPriority w:val="23"/>
    <w:qFormat/>
    <w:rsid w:val="003B17E6"/>
    <w:pPr>
      <w:numPr>
        <w:ilvl w:val="5"/>
        <w:numId w:val="10"/>
      </w:numPr>
    </w:pPr>
  </w:style>
  <w:style w:type="paragraph" w:customStyle="1" w:styleId="AnnexBullet-">
    <w:name w:val="Annex Bullet (-)"/>
    <w:basedOn w:val="Normal"/>
    <w:uiPriority w:val="24"/>
    <w:qFormat/>
    <w:rsid w:val="003B17E6"/>
    <w:pPr>
      <w:numPr>
        <w:ilvl w:val="6"/>
        <w:numId w:val="10"/>
      </w:numPr>
    </w:pPr>
  </w:style>
  <w:style w:type="paragraph" w:customStyle="1" w:styleId="AnnexTableTitle">
    <w:name w:val="Annex TableTitle"/>
    <w:basedOn w:val="Normal"/>
    <w:next w:val="AnnexParagraph"/>
    <w:uiPriority w:val="18"/>
    <w:qFormat/>
    <w:rsid w:val="003B17E6"/>
    <w:pPr>
      <w:numPr>
        <w:ilvl w:val="7"/>
        <w:numId w:val="10"/>
      </w:numPr>
      <w:spacing w:before="120" w:after="120"/>
    </w:pPr>
    <w:rPr>
      <w:b/>
    </w:rPr>
  </w:style>
  <w:style w:type="paragraph" w:customStyle="1" w:styleId="AnnexH3">
    <w:name w:val="Annex H3"/>
    <w:basedOn w:val="Heading3"/>
    <w:next w:val="AnnexParagraph"/>
    <w:uiPriority w:val="21"/>
    <w:qFormat/>
    <w:rsid w:val="003B17E6"/>
  </w:style>
  <w:style w:type="paragraph" w:customStyle="1" w:styleId="NormalTableTitle">
    <w:name w:val="Normal TableTitle"/>
    <w:basedOn w:val="Normal"/>
    <w:next w:val="Normal"/>
    <w:uiPriority w:val="17"/>
    <w:qFormat/>
    <w:rsid w:val="003B17E6"/>
    <w:pPr>
      <w:keepNext/>
      <w:keepLines/>
      <w:tabs>
        <w:tab w:val="num" w:pos="1134"/>
      </w:tabs>
      <w:ind w:left="1134" w:hanging="1134"/>
    </w:pPr>
    <w:rPr>
      <w:b/>
    </w:rPr>
  </w:style>
  <w:style w:type="paragraph" w:customStyle="1" w:styleId="NormalFigureTitle">
    <w:name w:val="Normal FigureTitle"/>
    <w:basedOn w:val="Normal"/>
    <w:next w:val="Normal"/>
    <w:uiPriority w:val="26"/>
    <w:qFormat/>
    <w:rsid w:val="003B17E6"/>
    <w:pPr>
      <w:keepNext/>
      <w:keepLines/>
      <w:tabs>
        <w:tab w:val="num" w:pos="1134"/>
      </w:tabs>
      <w:ind w:left="1134" w:hanging="1134"/>
    </w:pPr>
    <w:rPr>
      <w:b/>
    </w:rPr>
  </w:style>
  <w:style w:type="paragraph" w:customStyle="1" w:styleId="AnnexFigureTitle">
    <w:name w:val="Annex FigureTitle"/>
    <w:basedOn w:val="Normal"/>
    <w:next w:val="Normal"/>
    <w:uiPriority w:val="26"/>
    <w:rsid w:val="003B17E6"/>
    <w:pPr>
      <w:keepNext/>
      <w:keepLines/>
      <w:numPr>
        <w:ilvl w:val="8"/>
        <w:numId w:val="10"/>
      </w:numPr>
    </w:pPr>
    <w:rPr>
      <w:b/>
    </w:rPr>
  </w:style>
  <w:style w:type="character" w:styleId="UnresolvedMention">
    <w:name w:val="Unresolved Mention"/>
    <w:basedOn w:val="DefaultParagraphFont"/>
    <w:uiPriority w:val="99"/>
    <w:semiHidden/>
    <w:unhideWhenUsed/>
    <w:rsid w:val="00FC6860"/>
    <w:rPr>
      <w:color w:val="605E5C"/>
      <w:shd w:val="clear" w:color="auto" w:fill="E1DFDD"/>
    </w:rPr>
  </w:style>
  <w:style w:type="character" w:styleId="FollowedHyperlink">
    <w:name w:val="FollowedHyperlink"/>
    <w:basedOn w:val="DefaultParagraphFont"/>
    <w:uiPriority w:val="99"/>
    <w:semiHidden/>
    <w:unhideWhenUsed/>
    <w:rsid w:val="00C23E57"/>
    <w:rPr>
      <w:color w:val="954F72" w:themeColor="followedHyperlink"/>
      <w:u w:val="single"/>
    </w:rPr>
  </w:style>
  <w:style w:type="paragraph" w:styleId="ListNumber2">
    <w:name w:val="List Number 2"/>
    <w:aliases w:val="test,PR08"/>
    <w:basedOn w:val="Normal"/>
    <w:rsid w:val="00400432"/>
    <w:pPr>
      <w:numPr>
        <w:ilvl w:val="1"/>
        <w:numId w:val="18"/>
      </w:numPr>
      <w:suppressAutoHyphens/>
      <w:spacing w:before="120" w:after="120" w:line="240" w:lineRule="auto"/>
    </w:pPr>
    <w:rPr>
      <w:rFonts w:eastAsia="Times New Roman" w:cs="Times New Roman"/>
      <w:szCs w:val="20"/>
    </w:rPr>
  </w:style>
  <w:style w:type="paragraph" w:styleId="ListNumber3">
    <w:name w:val="List Number 3"/>
    <w:basedOn w:val="Normal"/>
    <w:rsid w:val="00400432"/>
    <w:pPr>
      <w:numPr>
        <w:ilvl w:val="2"/>
        <w:numId w:val="18"/>
      </w:numPr>
      <w:suppressAutoHyphens/>
      <w:spacing w:before="120" w:after="120" w:line="240" w:lineRule="auto"/>
    </w:pPr>
    <w:rPr>
      <w:rFonts w:eastAsia="Times New Roman" w:cs="Times New Roman"/>
      <w:bCs/>
      <w:szCs w:val="20"/>
    </w:rPr>
  </w:style>
  <w:style w:type="paragraph" w:styleId="ListNumber">
    <w:name w:val="List Number"/>
    <w:rsid w:val="00400432"/>
    <w:pPr>
      <w:numPr>
        <w:numId w:val="18"/>
      </w:numPr>
      <w:tabs>
        <w:tab w:val="left" w:pos="720"/>
      </w:tabs>
      <w:spacing w:before="120" w:after="120" w:line="240" w:lineRule="auto"/>
    </w:pPr>
    <w:rPr>
      <w:rFonts w:ascii="Arial" w:eastAsia="Times New Roman" w:hAnsi="Arial" w:cs="Times New Roman"/>
      <w:sz w:val="24"/>
      <w:szCs w:val="20"/>
    </w:rPr>
  </w:style>
  <w:style w:type="paragraph" w:styleId="Revision">
    <w:name w:val="Revision"/>
    <w:hidden/>
    <w:uiPriority w:val="99"/>
    <w:semiHidden/>
    <w:rsid w:val="004F6111"/>
    <w:pPr>
      <w:spacing w:after="0" w:line="240" w:lineRule="auto"/>
    </w:pPr>
    <w:rPr>
      <w:rFonts w:ascii="Arial" w:hAnsi="Arial"/>
      <w:sz w:val="24"/>
    </w:rPr>
  </w:style>
  <w:style w:type="paragraph" w:styleId="TOC5">
    <w:name w:val="toc 5"/>
    <w:basedOn w:val="TOC1"/>
    <w:next w:val="Normal"/>
    <w:uiPriority w:val="39"/>
    <w:semiHidden/>
    <w:rsid w:val="003B17E6"/>
    <w:pPr>
      <w:tabs>
        <w:tab w:val="left" w:pos="1440"/>
      </w:tabs>
      <w:spacing w:after="100"/>
      <w:ind w:left="0" w:firstLine="0"/>
    </w:pPr>
  </w:style>
  <w:style w:type="numbering" w:customStyle="1" w:styleId="ORRCaseStudyLilacNumList">
    <w:name w:val="ORRCaseStudyLilacNumList"/>
    <w:uiPriority w:val="99"/>
    <w:rsid w:val="003B17E6"/>
    <w:pPr>
      <w:numPr>
        <w:numId w:val="23"/>
      </w:numPr>
    </w:pPr>
  </w:style>
  <w:style w:type="paragraph" w:customStyle="1" w:styleId="CaseStudyLilacheading">
    <w:name w:val="CaseStudyLilac heading"/>
    <w:basedOn w:val="HighlightLilac"/>
    <w:next w:val="CaseStudyLilacparagraph"/>
    <w:uiPriority w:val="15"/>
    <w:qFormat/>
    <w:rsid w:val="003B17E6"/>
    <w:pPr>
      <w:outlineLvl w:val="2"/>
    </w:pPr>
    <w:rPr>
      <w:b/>
      <w:sz w:val="28"/>
    </w:rPr>
  </w:style>
  <w:style w:type="paragraph" w:customStyle="1" w:styleId="CaseStudyLilacparagraph">
    <w:name w:val="CaseStudyLilac paragraph"/>
    <w:basedOn w:val="HighlightLilac"/>
    <w:uiPriority w:val="15"/>
    <w:qFormat/>
    <w:rsid w:val="003B17E6"/>
    <w:pPr>
      <w:numPr>
        <w:numId w:val="23"/>
      </w:numPr>
    </w:pPr>
  </w:style>
  <w:style w:type="paragraph" w:customStyle="1" w:styleId="CaseStudyLilacbullet">
    <w:name w:val="CaseStudyLilac bullet"/>
    <w:basedOn w:val="CaseStudyLilacparagraph"/>
    <w:uiPriority w:val="16"/>
    <w:qFormat/>
    <w:rsid w:val="003B17E6"/>
    <w:pPr>
      <w:numPr>
        <w:ilvl w:val="1"/>
      </w:numPr>
    </w:pPr>
  </w:style>
  <w:style w:type="paragraph" w:customStyle="1" w:styleId="CaseStudyLilacbullet-">
    <w:name w:val="CaseStudyLilac bullet (-)"/>
    <w:basedOn w:val="CaseStudyLilacbullet"/>
    <w:uiPriority w:val="16"/>
    <w:qFormat/>
    <w:rsid w:val="003B17E6"/>
    <w:pPr>
      <w:numPr>
        <w:ilvl w:val="2"/>
      </w:numPr>
    </w:pPr>
  </w:style>
  <w:style w:type="paragraph" w:customStyle="1" w:styleId="CaseStudyLilacbulletalpha">
    <w:name w:val="CaseStudyLilac bullet (alpha)"/>
    <w:basedOn w:val="CaseStudyLilacbullet-"/>
    <w:uiPriority w:val="16"/>
    <w:qFormat/>
    <w:rsid w:val="003B17E6"/>
    <w:pPr>
      <w:numPr>
        <w:ilvl w:val="3"/>
      </w:numPr>
    </w:pPr>
  </w:style>
  <w:style w:type="paragraph" w:customStyle="1" w:styleId="CaseStudyLilacbulletroman">
    <w:name w:val="CaseStudyLilac bullet (roman)"/>
    <w:basedOn w:val="CaseStudyLilacbulletalpha"/>
    <w:uiPriority w:val="16"/>
    <w:qFormat/>
    <w:rsid w:val="003B17E6"/>
    <w:pPr>
      <w:numPr>
        <w:ilvl w:val="4"/>
      </w:numPr>
    </w:pPr>
  </w:style>
  <w:style w:type="paragraph" w:customStyle="1" w:styleId="CaseStudyLilacbulletnumber">
    <w:name w:val="CaseStudyLilac bullet (number)"/>
    <w:basedOn w:val="CaseStudyLilacbulletroman"/>
    <w:uiPriority w:val="17"/>
    <w:qFormat/>
    <w:rsid w:val="003B17E6"/>
    <w:pPr>
      <w:numPr>
        <w:ilvl w:val="5"/>
      </w:numPr>
    </w:pPr>
  </w:style>
  <w:style w:type="paragraph" w:customStyle="1" w:styleId="Boxedbulletalpha">
    <w:name w:val="Boxed bullet (alpha)"/>
    <w:basedOn w:val="Bulletalpha"/>
    <w:uiPriority w:val="14"/>
    <w:qFormat/>
    <w:rsid w:val="003B17E6"/>
    <w:pPr>
      <w:numPr>
        <w:ilvl w:val="3"/>
        <w:numId w:val="11"/>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roman">
    <w:name w:val="Boxed bullet (roman)"/>
    <w:basedOn w:val="Bulletroman"/>
    <w:uiPriority w:val="14"/>
    <w:qFormat/>
    <w:rsid w:val="003B17E6"/>
    <w:pPr>
      <w:numPr>
        <w:ilvl w:val="4"/>
        <w:numId w:val="11"/>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Boxedbulletnumber">
    <w:name w:val="Boxed bullet (number)"/>
    <w:basedOn w:val="Bulletnumber"/>
    <w:uiPriority w:val="15"/>
    <w:qFormat/>
    <w:rsid w:val="003B17E6"/>
    <w:pPr>
      <w:numPr>
        <w:ilvl w:val="5"/>
        <w:numId w:val="11"/>
      </w:numPr>
      <w:pBdr>
        <w:top w:val="single" w:sz="24" w:space="10" w:color="253268" w:themeColor="text2"/>
        <w:left w:val="single" w:sz="24" w:space="15" w:color="253268" w:themeColor="text2"/>
        <w:bottom w:val="single" w:sz="24" w:space="10" w:color="253268" w:themeColor="text2"/>
        <w:right w:val="single" w:sz="24" w:space="15" w:color="253268" w:themeColor="text2"/>
      </w:pBdr>
    </w:pPr>
  </w:style>
  <w:style w:type="paragraph" w:customStyle="1" w:styleId="Summarybulletalpha">
    <w:name w:val="Summary bullet (alpha)"/>
    <w:basedOn w:val="Bulletalpha"/>
    <w:uiPriority w:val="3"/>
    <w:qFormat/>
    <w:rsid w:val="003B17E6"/>
    <w:pPr>
      <w:numPr>
        <w:ilvl w:val="3"/>
        <w:numId w:val="24"/>
      </w:numPr>
      <w:pBdr>
        <w:bottom w:val="single" w:sz="24" w:space="4" w:color="ECC8ED" w:themeColor="accent3" w:themeTint="33"/>
      </w:pBdr>
    </w:pPr>
  </w:style>
  <w:style w:type="paragraph" w:customStyle="1" w:styleId="Summarybulletroman">
    <w:name w:val="Summary bullet (roman)"/>
    <w:basedOn w:val="Bulletroman"/>
    <w:uiPriority w:val="3"/>
    <w:qFormat/>
    <w:rsid w:val="003B17E6"/>
    <w:pPr>
      <w:numPr>
        <w:ilvl w:val="4"/>
        <w:numId w:val="24"/>
      </w:numPr>
      <w:pBdr>
        <w:bottom w:val="single" w:sz="24" w:space="4" w:color="ECC8ED" w:themeColor="accent3" w:themeTint="33"/>
      </w:pBdr>
    </w:pPr>
  </w:style>
  <w:style w:type="paragraph" w:customStyle="1" w:styleId="Summarybulletnumber">
    <w:name w:val="Summary bullet (number)"/>
    <w:basedOn w:val="Bulletnumber"/>
    <w:uiPriority w:val="3"/>
    <w:qFormat/>
    <w:rsid w:val="003B17E6"/>
    <w:pPr>
      <w:numPr>
        <w:ilvl w:val="5"/>
        <w:numId w:val="24"/>
      </w:numPr>
      <w:pBdr>
        <w:bottom w:val="single" w:sz="24" w:space="4" w:color="ECC8ED" w:themeColor="accent3" w:themeTint="33"/>
      </w:pBdr>
    </w:pPr>
  </w:style>
  <w:style w:type="character" w:styleId="Mention">
    <w:name w:val="Mention"/>
    <w:basedOn w:val="DefaultParagraphFont"/>
    <w:uiPriority w:val="99"/>
    <w:unhideWhenUsed/>
    <w:rsid w:val="0096719B"/>
    <w:rPr>
      <w:color w:val="2B579A"/>
      <w:shd w:val="clear" w:color="auto" w:fill="E1DFDD"/>
    </w:rPr>
  </w:style>
  <w:style w:type="paragraph" w:styleId="NormalWeb">
    <w:name w:val="Normal (Web)"/>
    <w:basedOn w:val="Normal"/>
    <w:uiPriority w:val="99"/>
    <w:semiHidden/>
    <w:unhideWhenUsed/>
    <w:rsid w:val="008A0744"/>
    <w:pPr>
      <w:spacing w:before="100" w:beforeAutospacing="1" w:after="100" w:afterAutospacing="1" w:line="240" w:lineRule="auto"/>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8A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5078">
      <w:bodyDiv w:val="1"/>
      <w:marLeft w:val="0"/>
      <w:marRight w:val="0"/>
      <w:marTop w:val="0"/>
      <w:marBottom w:val="0"/>
      <w:divBdr>
        <w:top w:val="none" w:sz="0" w:space="0" w:color="auto"/>
        <w:left w:val="none" w:sz="0" w:space="0" w:color="auto"/>
        <w:bottom w:val="none" w:sz="0" w:space="0" w:color="auto"/>
        <w:right w:val="none" w:sz="0" w:space="0" w:color="auto"/>
      </w:divBdr>
      <w:divsChild>
        <w:div w:id="1256403174">
          <w:marLeft w:val="0"/>
          <w:marRight w:val="0"/>
          <w:marTop w:val="0"/>
          <w:marBottom w:val="0"/>
          <w:divBdr>
            <w:top w:val="none" w:sz="0" w:space="0" w:color="auto"/>
            <w:left w:val="none" w:sz="0" w:space="0" w:color="auto"/>
            <w:bottom w:val="none" w:sz="0" w:space="0" w:color="auto"/>
            <w:right w:val="none" w:sz="0" w:space="0" w:color="auto"/>
          </w:divBdr>
        </w:div>
        <w:div w:id="1973944806">
          <w:marLeft w:val="0"/>
          <w:marRight w:val="0"/>
          <w:marTop w:val="0"/>
          <w:marBottom w:val="0"/>
          <w:divBdr>
            <w:top w:val="none" w:sz="0" w:space="0" w:color="auto"/>
            <w:left w:val="none" w:sz="0" w:space="0" w:color="auto"/>
            <w:bottom w:val="none" w:sz="0" w:space="0" w:color="auto"/>
            <w:right w:val="none" w:sz="0" w:space="0" w:color="auto"/>
          </w:divBdr>
        </w:div>
        <w:div w:id="28722574">
          <w:marLeft w:val="0"/>
          <w:marRight w:val="0"/>
          <w:marTop w:val="0"/>
          <w:marBottom w:val="0"/>
          <w:divBdr>
            <w:top w:val="none" w:sz="0" w:space="0" w:color="auto"/>
            <w:left w:val="none" w:sz="0" w:space="0" w:color="auto"/>
            <w:bottom w:val="none" w:sz="0" w:space="0" w:color="auto"/>
            <w:right w:val="none" w:sz="0" w:space="0" w:color="auto"/>
          </w:divBdr>
        </w:div>
        <w:div w:id="984629179">
          <w:marLeft w:val="0"/>
          <w:marRight w:val="0"/>
          <w:marTop w:val="0"/>
          <w:marBottom w:val="0"/>
          <w:divBdr>
            <w:top w:val="none" w:sz="0" w:space="0" w:color="auto"/>
            <w:left w:val="none" w:sz="0" w:space="0" w:color="auto"/>
            <w:bottom w:val="none" w:sz="0" w:space="0" w:color="auto"/>
            <w:right w:val="none" w:sz="0" w:space="0" w:color="auto"/>
          </w:divBdr>
        </w:div>
        <w:div w:id="1411779335">
          <w:marLeft w:val="0"/>
          <w:marRight w:val="0"/>
          <w:marTop w:val="0"/>
          <w:marBottom w:val="0"/>
          <w:divBdr>
            <w:top w:val="none" w:sz="0" w:space="0" w:color="auto"/>
            <w:left w:val="none" w:sz="0" w:space="0" w:color="auto"/>
            <w:bottom w:val="none" w:sz="0" w:space="0" w:color="auto"/>
            <w:right w:val="none" w:sz="0" w:space="0" w:color="auto"/>
          </w:divBdr>
        </w:div>
      </w:divsChild>
    </w:div>
    <w:div w:id="298267706">
      <w:bodyDiv w:val="1"/>
      <w:marLeft w:val="0"/>
      <w:marRight w:val="0"/>
      <w:marTop w:val="0"/>
      <w:marBottom w:val="0"/>
      <w:divBdr>
        <w:top w:val="none" w:sz="0" w:space="0" w:color="auto"/>
        <w:left w:val="none" w:sz="0" w:space="0" w:color="auto"/>
        <w:bottom w:val="none" w:sz="0" w:space="0" w:color="auto"/>
        <w:right w:val="none" w:sz="0" w:space="0" w:color="auto"/>
      </w:divBdr>
      <w:divsChild>
        <w:div w:id="140538358">
          <w:marLeft w:val="0"/>
          <w:marRight w:val="0"/>
          <w:marTop w:val="0"/>
          <w:marBottom w:val="0"/>
          <w:divBdr>
            <w:top w:val="none" w:sz="0" w:space="0" w:color="auto"/>
            <w:left w:val="none" w:sz="0" w:space="0" w:color="auto"/>
            <w:bottom w:val="none" w:sz="0" w:space="0" w:color="auto"/>
            <w:right w:val="none" w:sz="0" w:space="0" w:color="auto"/>
          </w:divBdr>
        </w:div>
        <w:div w:id="691371898">
          <w:marLeft w:val="0"/>
          <w:marRight w:val="0"/>
          <w:marTop w:val="0"/>
          <w:marBottom w:val="0"/>
          <w:divBdr>
            <w:top w:val="none" w:sz="0" w:space="0" w:color="auto"/>
            <w:left w:val="none" w:sz="0" w:space="0" w:color="auto"/>
            <w:bottom w:val="none" w:sz="0" w:space="0" w:color="auto"/>
            <w:right w:val="none" w:sz="0" w:space="0" w:color="auto"/>
          </w:divBdr>
        </w:div>
        <w:div w:id="231700957">
          <w:marLeft w:val="0"/>
          <w:marRight w:val="0"/>
          <w:marTop w:val="0"/>
          <w:marBottom w:val="0"/>
          <w:divBdr>
            <w:top w:val="none" w:sz="0" w:space="0" w:color="auto"/>
            <w:left w:val="none" w:sz="0" w:space="0" w:color="auto"/>
            <w:bottom w:val="none" w:sz="0" w:space="0" w:color="auto"/>
            <w:right w:val="none" w:sz="0" w:space="0" w:color="auto"/>
          </w:divBdr>
        </w:div>
        <w:div w:id="1434284175">
          <w:marLeft w:val="0"/>
          <w:marRight w:val="0"/>
          <w:marTop w:val="0"/>
          <w:marBottom w:val="0"/>
          <w:divBdr>
            <w:top w:val="none" w:sz="0" w:space="0" w:color="auto"/>
            <w:left w:val="none" w:sz="0" w:space="0" w:color="auto"/>
            <w:bottom w:val="none" w:sz="0" w:space="0" w:color="auto"/>
            <w:right w:val="none" w:sz="0" w:space="0" w:color="auto"/>
          </w:divBdr>
        </w:div>
        <w:div w:id="58476713">
          <w:marLeft w:val="0"/>
          <w:marRight w:val="0"/>
          <w:marTop w:val="0"/>
          <w:marBottom w:val="0"/>
          <w:divBdr>
            <w:top w:val="none" w:sz="0" w:space="0" w:color="auto"/>
            <w:left w:val="none" w:sz="0" w:space="0" w:color="auto"/>
            <w:bottom w:val="none" w:sz="0" w:space="0" w:color="auto"/>
            <w:right w:val="none" w:sz="0" w:space="0" w:color="auto"/>
          </w:divBdr>
        </w:div>
      </w:divsChild>
    </w:div>
    <w:div w:id="365955739">
      <w:bodyDiv w:val="1"/>
      <w:marLeft w:val="0"/>
      <w:marRight w:val="0"/>
      <w:marTop w:val="0"/>
      <w:marBottom w:val="0"/>
      <w:divBdr>
        <w:top w:val="none" w:sz="0" w:space="0" w:color="auto"/>
        <w:left w:val="none" w:sz="0" w:space="0" w:color="auto"/>
        <w:bottom w:val="none" w:sz="0" w:space="0" w:color="auto"/>
        <w:right w:val="none" w:sz="0" w:space="0" w:color="auto"/>
      </w:divBdr>
    </w:div>
    <w:div w:id="488402530">
      <w:bodyDiv w:val="1"/>
      <w:marLeft w:val="0"/>
      <w:marRight w:val="0"/>
      <w:marTop w:val="0"/>
      <w:marBottom w:val="0"/>
      <w:divBdr>
        <w:top w:val="none" w:sz="0" w:space="0" w:color="auto"/>
        <w:left w:val="none" w:sz="0" w:space="0" w:color="auto"/>
        <w:bottom w:val="none" w:sz="0" w:space="0" w:color="auto"/>
        <w:right w:val="none" w:sz="0" w:space="0" w:color="auto"/>
      </w:divBdr>
    </w:div>
    <w:div w:id="537860910">
      <w:bodyDiv w:val="1"/>
      <w:marLeft w:val="0"/>
      <w:marRight w:val="0"/>
      <w:marTop w:val="0"/>
      <w:marBottom w:val="0"/>
      <w:divBdr>
        <w:top w:val="none" w:sz="0" w:space="0" w:color="auto"/>
        <w:left w:val="none" w:sz="0" w:space="0" w:color="auto"/>
        <w:bottom w:val="none" w:sz="0" w:space="0" w:color="auto"/>
        <w:right w:val="none" w:sz="0" w:space="0" w:color="auto"/>
      </w:divBdr>
    </w:div>
    <w:div w:id="903226199">
      <w:bodyDiv w:val="1"/>
      <w:marLeft w:val="0"/>
      <w:marRight w:val="0"/>
      <w:marTop w:val="0"/>
      <w:marBottom w:val="0"/>
      <w:divBdr>
        <w:top w:val="none" w:sz="0" w:space="0" w:color="auto"/>
        <w:left w:val="none" w:sz="0" w:space="0" w:color="auto"/>
        <w:bottom w:val="none" w:sz="0" w:space="0" w:color="auto"/>
        <w:right w:val="none" w:sz="0" w:space="0" w:color="auto"/>
      </w:divBdr>
    </w:div>
    <w:div w:id="1246458180">
      <w:bodyDiv w:val="1"/>
      <w:marLeft w:val="0"/>
      <w:marRight w:val="0"/>
      <w:marTop w:val="0"/>
      <w:marBottom w:val="0"/>
      <w:divBdr>
        <w:top w:val="none" w:sz="0" w:space="0" w:color="auto"/>
        <w:left w:val="none" w:sz="0" w:space="0" w:color="auto"/>
        <w:bottom w:val="none" w:sz="0" w:space="0" w:color="auto"/>
        <w:right w:val="none" w:sz="0" w:space="0" w:color="auto"/>
      </w:divBdr>
    </w:div>
    <w:div w:id="1255364369">
      <w:bodyDiv w:val="1"/>
      <w:marLeft w:val="0"/>
      <w:marRight w:val="0"/>
      <w:marTop w:val="0"/>
      <w:marBottom w:val="0"/>
      <w:divBdr>
        <w:top w:val="none" w:sz="0" w:space="0" w:color="auto"/>
        <w:left w:val="none" w:sz="0" w:space="0" w:color="auto"/>
        <w:bottom w:val="none" w:sz="0" w:space="0" w:color="auto"/>
        <w:right w:val="none" w:sz="0" w:space="0" w:color="auto"/>
      </w:divBdr>
    </w:div>
    <w:div w:id="1637102384">
      <w:bodyDiv w:val="1"/>
      <w:marLeft w:val="0"/>
      <w:marRight w:val="0"/>
      <w:marTop w:val="0"/>
      <w:marBottom w:val="0"/>
      <w:divBdr>
        <w:top w:val="none" w:sz="0" w:space="0" w:color="auto"/>
        <w:left w:val="none" w:sz="0" w:space="0" w:color="auto"/>
        <w:bottom w:val="none" w:sz="0" w:space="0" w:color="auto"/>
        <w:right w:val="none" w:sz="0" w:space="0" w:color="auto"/>
      </w:divBdr>
    </w:div>
    <w:div w:id="1921328073">
      <w:bodyDiv w:val="1"/>
      <w:marLeft w:val="0"/>
      <w:marRight w:val="0"/>
      <w:marTop w:val="0"/>
      <w:marBottom w:val="0"/>
      <w:divBdr>
        <w:top w:val="none" w:sz="0" w:space="0" w:color="auto"/>
        <w:left w:val="none" w:sz="0" w:space="0" w:color="auto"/>
        <w:bottom w:val="none" w:sz="0" w:space="0" w:color="auto"/>
        <w:right w:val="none" w:sz="0" w:space="0" w:color="auto"/>
      </w:divBdr>
    </w:div>
    <w:div w:id="204008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networkrail.co.uk/who-we-are/publications-and-resources/financial/" TargetMode="External"/><Relationship Id="rId39" Type="http://schemas.openxmlformats.org/officeDocument/2006/relationships/header" Target="header11.xml"/><Relationship Id="rId21" Type="http://schemas.openxmlformats.org/officeDocument/2006/relationships/footer" Target="footer5.xml"/><Relationship Id="rId34" Type="http://schemas.openxmlformats.org/officeDocument/2006/relationships/hyperlink" Target="http:\\www.orr.gov.uk/contact-us" TargetMode="External"/><Relationship Id="rId42"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r.gov.uk/" TargetMode="External"/><Relationship Id="rId32" Type="http://schemas.openxmlformats.org/officeDocument/2006/relationships/hyperlink" Target="http:\\www.nationalarchives.gov.uk/doc/open-government-licence/version/3" TargetMode="External"/><Relationship Id="rId37" Type="http://schemas.openxmlformats.org/officeDocument/2006/relationships/footer" Target="footer7.xml"/><Relationship Id="rId40"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https://www.orr.gov.uk/media/23638" TargetMode="External"/><Relationship Id="rId36"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https://www.orr.gov.uk/media/23638" TargetMode="External"/><Relationship Id="rId30" Type="http://schemas.openxmlformats.org/officeDocument/2006/relationships/header" Target="header8.xml"/><Relationship Id="rId35" Type="http://schemas.openxmlformats.org/officeDocument/2006/relationships/header" Target="header9.xml"/><Relationship Id="rId43"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orr.gov.uk/sites/default/files/2023-06/48-europe-economics-inflation-and-input-price-review-report.pdf" TargetMode="External"/><Relationship Id="rId33" Type="http://schemas.openxmlformats.org/officeDocument/2006/relationships/hyperlink" Target="http:\\www.orr.gov.uk" TargetMode="External"/><Relationship Id="rId38"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ORR%20Templates\Long%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0536B80014D9AA739C5DFB06BBCC6"/>
        <w:category>
          <w:name w:val="General"/>
          <w:gallery w:val="placeholder"/>
        </w:category>
        <w:types>
          <w:type w:val="bbPlcHdr"/>
        </w:types>
        <w:behaviors>
          <w:behavior w:val="content"/>
        </w:behaviors>
        <w:guid w:val="{67853094-CCCF-41D8-A2CE-2C32DECC096B}"/>
      </w:docPartPr>
      <w:docPartBody>
        <w:p w:rsidR="00BD6D7D" w:rsidRDefault="00BD6D7D" w:rsidP="00BD6D7D">
          <w:pPr>
            <w:pStyle w:val="12C0536B80014D9AA739C5DFB06BBCC6"/>
          </w:pPr>
          <w:r w:rsidRPr="00F84A8A">
            <w:rPr>
              <w:rStyle w:val="PlaceholderText"/>
            </w:rPr>
            <w:t>[Title]</w:t>
          </w:r>
        </w:p>
      </w:docPartBody>
    </w:docPart>
    <w:docPart>
      <w:docPartPr>
        <w:name w:val="1D3023A1A58648F4948E1B92777EB090"/>
        <w:category>
          <w:name w:val="General"/>
          <w:gallery w:val="placeholder"/>
        </w:category>
        <w:types>
          <w:type w:val="bbPlcHdr"/>
        </w:types>
        <w:behaviors>
          <w:behavior w:val="content"/>
        </w:behaviors>
        <w:guid w:val="{3CDF0288-F2BB-4E70-A756-60FADEA1EAAB}"/>
      </w:docPartPr>
      <w:docPartBody>
        <w:p w:rsidR="00BD6D7D" w:rsidRDefault="00BD6D7D" w:rsidP="00BD6D7D">
          <w:pPr>
            <w:pStyle w:val="1D3023A1A58648F4948E1B92777EB090"/>
          </w:pPr>
          <w:r w:rsidRPr="002B27BD">
            <w:rPr>
              <w:rStyle w:val="PlaceholderText"/>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44"/>
    <w:rsid w:val="00094C03"/>
    <w:rsid w:val="000B1984"/>
    <w:rsid w:val="000B1AC2"/>
    <w:rsid w:val="00104DF5"/>
    <w:rsid w:val="00157E4C"/>
    <w:rsid w:val="001D34EA"/>
    <w:rsid w:val="001F2F5C"/>
    <w:rsid w:val="002532A6"/>
    <w:rsid w:val="00282136"/>
    <w:rsid w:val="002C1CF5"/>
    <w:rsid w:val="00310803"/>
    <w:rsid w:val="00332E7C"/>
    <w:rsid w:val="003D684E"/>
    <w:rsid w:val="0044206A"/>
    <w:rsid w:val="00465309"/>
    <w:rsid w:val="004C0093"/>
    <w:rsid w:val="004D689D"/>
    <w:rsid w:val="005722FE"/>
    <w:rsid w:val="005A6A23"/>
    <w:rsid w:val="005F45CB"/>
    <w:rsid w:val="005F52F5"/>
    <w:rsid w:val="00696275"/>
    <w:rsid w:val="006B3CE4"/>
    <w:rsid w:val="006E6C3F"/>
    <w:rsid w:val="007479A0"/>
    <w:rsid w:val="00781E9C"/>
    <w:rsid w:val="007B7E3E"/>
    <w:rsid w:val="007C3F77"/>
    <w:rsid w:val="007C5246"/>
    <w:rsid w:val="007F5D5F"/>
    <w:rsid w:val="00804126"/>
    <w:rsid w:val="008342A5"/>
    <w:rsid w:val="00843948"/>
    <w:rsid w:val="0084777F"/>
    <w:rsid w:val="008C6981"/>
    <w:rsid w:val="00912431"/>
    <w:rsid w:val="0097438D"/>
    <w:rsid w:val="00974DB7"/>
    <w:rsid w:val="009D5775"/>
    <w:rsid w:val="009E0644"/>
    <w:rsid w:val="00A041F0"/>
    <w:rsid w:val="00A04B58"/>
    <w:rsid w:val="00A0629D"/>
    <w:rsid w:val="00A235F4"/>
    <w:rsid w:val="00A23EDD"/>
    <w:rsid w:val="00A257DF"/>
    <w:rsid w:val="00A72823"/>
    <w:rsid w:val="00AF058D"/>
    <w:rsid w:val="00B31093"/>
    <w:rsid w:val="00B4435E"/>
    <w:rsid w:val="00BB3195"/>
    <w:rsid w:val="00BD6D7D"/>
    <w:rsid w:val="00BF5479"/>
    <w:rsid w:val="00C016C2"/>
    <w:rsid w:val="00C37018"/>
    <w:rsid w:val="00D750C2"/>
    <w:rsid w:val="00DD58E4"/>
    <w:rsid w:val="00DE0FCF"/>
    <w:rsid w:val="00E27807"/>
    <w:rsid w:val="00E63CEB"/>
    <w:rsid w:val="00E81AAE"/>
    <w:rsid w:val="00E94B75"/>
    <w:rsid w:val="00F06A05"/>
    <w:rsid w:val="00F1040F"/>
    <w:rsid w:val="00F1484B"/>
    <w:rsid w:val="00F15676"/>
    <w:rsid w:val="00F52B05"/>
    <w:rsid w:val="00FA38EA"/>
    <w:rsid w:val="00FB3774"/>
    <w:rsid w:val="00FD57A3"/>
    <w:rsid w:val="00FE0ED2"/>
    <w:rsid w:val="00FE69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6D7D"/>
    <w:rPr>
      <w:color w:val="808080"/>
    </w:rPr>
  </w:style>
  <w:style w:type="paragraph" w:customStyle="1" w:styleId="12C0536B80014D9AA739C5DFB06BBCC6">
    <w:name w:val="12C0536B80014D9AA739C5DFB06BBCC6"/>
    <w:rsid w:val="00BD6D7D"/>
    <w:pPr>
      <w:spacing w:line="278" w:lineRule="auto"/>
    </w:pPr>
    <w:rPr>
      <w:kern w:val="2"/>
      <w:sz w:val="24"/>
      <w:szCs w:val="24"/>
      <w14:ligatures w14:val="standardContextual"/>
    </w:rPr>
  </w:style>
  <w:style w:type="paragraph" w:customStyle="1" w:styleId="1D3023A1A58648F4948E1B92777EB090">
    <w:name w:val="1D3023A1A58648F4948E1B92777EB090"/>
    <w:rsid w:val="00BD6D7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RR - new colours">
      <a:dk1>
        <a:sysClr val="windowText" lastClr="000000"/>
      </a:dk1>
      <a:lt1>
        <a:sysClr val="window" lastClr="FFFFFF"/>
      </a:lt1>
      <a:dk2>
        <a:srgbClr val="253268"/>
      </a:dk2>
      <a:lt2>
        <a:srgbClr val="FFFFFF"/>
      </a:lt2>
      <a:accent1>
        <a:srgbClr val="B1173B"/>
      </a:accent1>
      <a:accent2>
        <a:srgbClr val="037D84"/>
      </a:accent2>
      <a:accent3>
        <a:srgbClr val="702472"/>
      </a:accent3>
      <a:accent4>
        <a:srgbClr val="A5AFD3"/>
      </a:accent4>
      <a:accent5>
        <a:srgbClr val="F2901E"/>
      </a:accent5>
      <a:accent6>
        <a:srgbClr val="514F86"/>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RAG Red">
      <a:srgbClr val="B1173B"/>
    </a:custClr>
    <a:custClr name="RAG Amber">
      <a:srgbClr val="D8730F"/>
    </a:custClr>
    <a:custClr name="RAG Green">
      <a:srgbClr val="28994B"/>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Very Good">
      <a:srgbClr val="026060"/>
    </a:custClr>
    <a:custClr name="Good">
      <a:srgbClr val="2FA2A2"/>
    </a:custClr>
    <a:custClr name="Neither">
      <a:srgbClr val="919191"/>
    </a:custClr>
    <a:custClr name="Poor">
      <a:srgbClr val="EB678E"/>
    </a:custClr>
    <a:custClr name="Very Poor">
      <a:srgbClr val="911432"/>
    </a:custClr>
    <a:custClr name="blank">
      <a:srgbClr val="FFFFFF"/>
    </a:custClr>
    <a:custClr name="blank">
      <a:srgbClr val="FFFFFF"/>
    </a:custClr>
    <a:custClr name="blank">
      <a:srgbClr val="FFFFFF"/>
    </a:custClr>
    <a:custClr name="blank">
      <a:srgbClr val="FFFFFF"/>
    </a:custClr>
    <a:custClr name="blank">
      <a:srgbClr val="FFFFFF"/>
    </a:custClr>
    <a:custClr name="Scotland - Blue">
      <a:srgbClr val="00476B"/>
    </a:custClr>
    <a:custClr name="Wales and Western - Pink">
      <a:srgbClr val="B30838"/>
    </a:custClr>
    <a:custClr name="N West and Central - Green">
      <a:srgbClr val="008000"/>
    </a:custClr>
    <a:custClr name="Eastern - Orange">
      <a:srgbClr val="D9531E"/>
    </a:custClr>
    <a:custClr name="Southern - Teal">
      <a:srgbClr val="007B85"/>
    </a:custClr>
    <a:custClr name="blank">
      <a:srgbClr val="FFFFFF"/>
    </a:custClr>
    <a:custClr name="blank">
      <a:srgbClr val="FFFFFF"/>
    </a:custClr>
    <a:custClr name="blank">
      <a:srgbClr val="FFFFFF"/>
    </a:custClr>
    <a:custClr name="blank">
      <a:srgbClr val="FFFFFF"/>
    </a:custClr>
    <a:custClr name="South West - Cerise">
      <a:srgbClr val="9C46A3"/>
    </a:custClr>
    <a:custClr name="Scotland - Blue">
      <a:srgbClr val="253268"/>
    </a:custClr>
    <a:custClr name="North East - Teal">
      <a:srgbClr val="037D84"/>
    </a:custClr>
    <a:custClr name="Yorkshire and the Humber - Pink">
      <a:srgbClr val="EB6768"/>
    </a:custClr>
    <a:custClr name="North West - Lilac">
      <a:srgbClr val="8787C9"/>
    </a:custClr>
    <a:custClr name="East Midlands - Purple">
      <a:srgbClr val="702472"/>
    </a:custClr>
    <a:custClr name="West Midlands - Orange">
      <a:srgbClr val="D8730F"/>
    </a:custClr>
    <a:custClr name="Wales - Red">
      <a:srgbClr val="B1173B"/>
    </a:custClr>
    <a:custClr name="East - Turquoise">
      <a:srgbClr val="1D9CD3"/>
    </a:custClr>
    <a:custClr name="London - Light Purple">
      <a:srgbClr val="514E87"/>
    </a:custClr>
    <a:custClr name="South East - Green">
      <a:srgbClr val="72A22F"/>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2025-07-09T00:00:00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E4DBE566564342B140283BBD30A367" ma:contentTypeVersion="18" ma:contentTypeDescription="Create a new document." ma:contentTypeScope="" ma:versionID="353754e0f2c05e98bf5d4c2c27b06410">
  <xsd:schema xmlns:xsd="http://www.w3.org/2001/XMLSchema" xmlns:xs="http://www.w3.org/2001/XMLSchema" xmlns:p="http://schemas.microsoft.com/office/2006/metadata/properties" xmlns:ns3="f033c3b4-e48e-45ea-86de-3b8617b5ee12" xmlns:ns4="94877521-a153-4012-a2bb-5f9897f6cda4" targetNamespace="http://schemas.microsoft.com/office/2006/metadata/properties" ma:root="true" ma:fieldsID="6d18b29eb60bb1fecb2cf729b814ee6c" ns3:_="" ns4:_="">
    <xsd:import namespace="f033c3b4-e48e-45ea-86de-3b8617b5ee12"/>
    <xsd:import namespace="94877521-a153-4012-a2bb-5f9897f6cda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SearchProperties" minOccurs="0"/>
                <xsd:element ref="ns3:_activity" minOccurs="0"/>
                <xsd:element ref="ns3:MediaLengthInSeconds" minOccurs="0"/>
                <xsd:element ref="ns3:MediaServiceLocation"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33c3b4-e48e-45ea-86de-3b8617b5e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77521-a153-4012-a2bb-5f9897f6cda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f033c3b4-e48e-45ea-86de-3b8617b5ee1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8DA9525-2FC6-48F2-8C14-DD69A8E1B6DC}">
  <ds:schemaRefs>
    <ds:schemaRef ds:uri="http://schemas.microsoft.com/sharepoint/v3/contenttype/forms"/>
  </ds:schemaRefs>
</ds:datastoreItem>
</file>

<file path=customXml/itemProps3.xml><?xml version="1.0" encoding="utf-8"?>
<ds:datastoreItem xmlns:ds="http://schemas.openxmlformats.org/officeDocument/2006/customXml" ds:itemID="{11816A7D-115B-4F85-978A-428B52A53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33c3b4-e48e-45ea-86de-3b8617b5ee12"/>
    <ds:schemaRef ds:uri="94877521-a153-4012-a2bb-5f9897f6c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5CF2F4-60C1-4DBC-A325-2353FBE661DF}">
  <ds:schemaRefs>
    <ds:schemaRef ds:uri="http://schemas.openxmlformats.org/officeDocument/2006/bibliography"/>
  </ds:schemaRefs>
</ds:datastoreItem>
</file>

<file path=customXml/itemProps5.xml><?xml version="1.0" encoding="utf-8"?>
<ds:datastoreItem xmlns:ds="http://schemas.openxmlformats.org/officeDocument/2006/customXml" ds:itemID="{8369F098-06E9-45AD-BA8E-B54AD9FD2F94}">
  <ds:schemaRefs>
    <ds:schemaRef ds:uri="http://schemas.microsoft.com/office/2006/documentManagement/types"/>
    <ds:schemaRef ds:uri="http://www.w3.org/XML/1998/namespace"/>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elements/1.1/"/>
    <ds:schemaRef ds:uri="http://purl.org/dc/dcmitype/"/>
    <ds:schemaRef ds:uri="94877521-a153-4012-a2bb-5f9897f6cda4"/>
    <ds:schemaRef ds:uri="f033c3b4-e48e-45ea-86de-3b8617b5ee12"/>
  </ds:schemaRefs>
</ds:datastoreItem>
</file>

<file path=docProps/app.xml><?xml version="1.0" encoding="utf-8"?>
<Properties xmlns="http://schemas.openxmlformats.org/officeDocument/2006/extended-properties" xmlns:vt="http://schemas.openxmlformats.org/officeDocument/2006/docPropsVTypes">
  <Template>Long Report</Template>
  <TotalTime>1</TotalTime>
  <Pages>22</Pages>
  <Words>4729</Words>
  <Characters>24734</Characters>
  <Application>Microsoft Office Word</Application>
  <DocSecurity>0</DocSecurity>
  <Lines>537</Lines>
  <Paragraphs>316</Paragraphs>
  <ScaleCrop>false</ScaleCrop>
  <HeadingPairs>
    <vt:vector size="2" baseType="variant">
      <vt:variant>
        <vt:lpstr>Title</vt:lpstr>
      </vt:variant>
      <vt:variant>
        <vt:i4>1</vt:i4>
      </vt:variant>
    </vt:vector>
  </HeadingPairs>
  <TitlesOfParts>
    <vt:vector size="1" baseType="lpstr">
      <vt:lpstr>Invitation to Tender (ITT) and Statement of Requirement</vt:lpstr>
    </vt:vector>
  </TitlesOfParts>
  <Company>Office of Rail and Road</Company>
  <LinksUpToDate>false</LinksUpToDate>
  <CharactersWithSpaces>29147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 (ITT) and Statement of Requirement</dc:title>
  <dc:subject>Benchmarking of international railway infrastructure managers’ expenditure (covering operations, support, maintenance and renewals activities)</dc:subject>
  <dc:creator>Office of Rail and Road</dc:creator>
  <cp:keywords/>
  <dc:description/>
  <cp:lastModifiedBy>Dinkele, Harriet</cp:lastModifiedBy>
  <cp:revision>3</cp:revision>
  <cp:lastPrinted>2021-02-24T15:29:00Z</cp:lastPrinted>
  <dcterms:created xsi:type="dcterms:W3CDTF">2025-07-09T13:21:00Z</dcterms:created>
  <dcterms:modified xsi:type="dcterms:W3CDTF">2025-07-09T13:21:00Z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0x010100A6E4DBE566564342B140283BBD30A367</vt:lpwstr>
  </property>
</Properties>
</file>