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168"/>
        <w:gridCol w:w="2992"/>
      </w:tblGrid>
      <w:tr w:rsidR="00CA4BA2" w:rsidRPr="00961A47" w14:paraId="73D24E97" w14:textId="77777777" w:rsidTr="1B49986C">
        <w:trPr>
          <w:trHeight w:val="341"/>
        </w:trPr>
        <w:tc>
          <w:tcPr>
            <w:tcW w:w="1065"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1CD33E66" w:rsidR="00CA4BA2" w:rsidRPr="00EA529F" w:rsidRDefault="00CD1766">
            <w:pPr>
              <w:tabs>
                <w:tab w:val="left" w:pos="709"/>
              </w:tabs>
              <w:rPr>
                <w:rFonts w:ascii="Arial" w:hAnsi="Arial" w:cs="Arial"/>
                <w:iCs/>
                <w:sz w:val="18"/>
                <w:szCs w:val="18"/>
                <w:highlight w:val="yellow"/>
              </w:rPr>
            </w:pPr>
            <w:r w:rsidRPr="00CD1766">
              <w:rPr>
                <w:rFonts w:ascii="Arial" w:hAnsi="Arial" w:cs="Arial"/>
                <w:iCs/>
                <w:sz w:val="18"/>
                <w:szCs w:val="18"/>
              </w:rPr>
              <w:t>TBC</w:t>
            </w:r>
          </w:p>
        </w:tc>
      </w:tr>
      <w:tr w:rsidR="00CA4BA2" w:rsidRPr="00961A47" w14:paraId="360FADB6" w14:textId="77777777" w:rsidTr="1B49986C">
        <w:trPr>
          <w:trHeight w:val="611"/>
        </w:trPr>
        <w:tc>
          <w:tcPr>
            <w:tcW w:w="1065"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7E0E9B6C" w:rsidR="00CA4BA2" w:rsidRPr="00CD1766" w:rsidRDefault="00CD1766">
            <w:pPr>
              <w:tabs>
                <w:tab w:val="left" w:pos="709"/>
              </w:tabs>
              <w:rPr>
                <w:rFonts w:ascii="Arial" w:hAnsi="Arial" w:cs="Arial"/>
                <w:iCs/>
                <w:sz w:val="18"/>
                <w:szCs w:val="18"/>
              </w:rPr>
            </w:pPr>
            <w:r w:rsidRPr="00CD1766">
              <w:rPr>
                <w:rFonts w:ascii="Arial" w:hAnsi="Arial" w:cs="Arial"/>
                <w:iCs/>
                <w:sz w:val="18"/>
                <w:szCs w:val="18"/>
              </w:rPr>
              <w:t xml:space="preserve">Natural England </w:t>
            </w:r>
          </w:p>
        </w:tc>
      </w:tr>
      <w:tr w:rsidR="00CA4BA2" w:rsidRPr="00961A47" w14:paraId="3C3EA26A" w14:textId="77777777" w:rsidTr="001F624C">
        <w:trPr>
          <w:trHeight w:val="504"/>
        </w:trPr>
        <w:tc>
          <w:tcPr>
            <w:tcW w:w="1065"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1B49986C">
        <w:trPr>
          <w:trHeight w:val="197"/>
        </w:trPr>
        <w:tc>
          <w:tcPr>
            <w:tcW w:w="1065"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0EBA64D" w14:textId="67279C06" w:rsidR="007E7D58" w:rsidRPr="001F5C68" w:rsidRDefault="001F5C68" w:rsidP="007E7D58">
            <w:pPr>
              <w:tabs>
                <w:tab w:val="left" w:pos="709"/>
              </w:tabs>
              <w:rPr>
                <w:rFonts w:ascii="Arial" w:hAnsi="Arial" w:cs="Arial"/>
                <w:iCs/>
                <w:sz w:val="18"/>
                <w:szCs w:val="18"/>
              </w:rPr>
            </w:pPr>
            <w:r w:rsidRPr="001F5C68">
              <w:rPr>
                <w:rFonts w:ascii="Arial" w:hAnsi="Arial" w:cs="Arial"/>
                <w:iCs/>
                <w:sz w:val="18"/>
                <w:szCs w:val="18"/>
              </w:rPr>
              <w:t>Natural England</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1B49986C">
        <w:trPr>
          <w:trHeight w:val="197"/>
        </w:trPr>
        <w:tc>
          <w:tcPr>
            <w:tcW w:w="1065"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54315922" w14:textId="007E5A88"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1C40B2" w:rsidRPr="00961A47" w14:paraId="76874DB5" w14:textId="77777777" w:rsidTr="1B49986C">
        <w:trPr>
          <w:trHeight w:val="966"/>
        </w:trPr>
        <w:tc>
          <w:tcPr>
            <w:tcW w:w="1065"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3F48ABB0"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877E60">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877E60">
                  <w:rPr>
                    <w:rFonts w:ascii="MS Gothic" w:eastAsia="MS Gothic" w:hAnsi="MS Gothic" w:cs="Arial" w:hint="eastAsia"/>
                    <w:sz w:val="18"/>
                    <w:szCs w:val="18"/>
                  </w:rPr>
                  <w:t>☐</w:t>
                </w:r>
              </w:sdtContent>
            </w:sdt>
          </w:p>
        </w:tc>
      </w:tr>
      <w:tr w:rsidR="001C40B2" w:rsidRPr="00961A47" w14:paraId="4ED88D31" w14:textId="77777777" w:rsidTr="00877E60">
        <w:trPr>
          <w:trHeight w:val="504"/>
        </w:trPr>
        <w:tc>
          <w:tcPr>
            <w:tcW w:w="1065"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shd w:val="clear" w:color="auto" w:fill="auto"/>
          </w:tcPr>
          <w:p w14:paraId="6A40B123" w14:textId="3BD72133" w:rsidR="007E7D58" w:rsidRPr="00877E60" w:rsidRDefault="00877E60" w:rsidP="00877E60">
            <w:pPr>
              <w:pStyle w:val="pf0"/>
              <w:rPr>
                <w:rFonts w:ascii="Arial" w:hAnsi="Arial" w:cs="Arial"/>
                <w:sz w:val="20"/>
                <w:szCs w:val="20"/>
              </w:rPr>
            </w:pPr>
            <w:r w:rsidRPr="00877E60">
              <w:rPr>
                <w:rStyle w:val="cf21"/>
              </w:rPr>
              <w:t>N</w:t>
            </w:r>
            <w:r w:rsidR="005B1BD6" w:rsidRPr="00877E60">
              <w:rPr>
                <w:rStyle w:val="cf21"/>
                <w:rFonts w:ascii="Arial" w:eastAsia="STZhongsong" w:hAnsi="Arial" w:cs="Arial"/>
              </w:rPr>
              <w:t>one</w:t>
            </w:r>
            <w:r w:rsidR="005B1BD6" w:rsidRPr="00877E60">
              <w:rPr>
                <w:rStyle w:val="cf31"/>
                <w:rFonts w:ascii="Arial" w:eastAsia="STZhongsong" w:hAnsi="Arial" w:cs="Arial"/>
              </w:rPr>
              <w:t>.</w:t>
            </w:r>
            <w:r w:rsidR="005B1BD6" w:rsidRPr="007A1EC5">
              <w:rPr>
                <w:rStyle w:val="cf41"/>
                <w:rFonts w:ascii="Arial" w:eastAsia="STZhongsong" w:hAnsi="Arial" w:cs="Arial"/>
              </w:rPr>
              <w:t xml:space="preserve"> </w:t>
            </w:r>
          </w:p>
        </w:tc>
      </w:tr>
      <w:tr w:rsidR="001C40B2" w:rsidRPr="00961A47" w14:paraId="682172EF" w14:textId="77777777" w:rsidTr="1B49986C">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shd w:val="clear" w:color="auto" w:fill="auto"/>
          </w:tcPr>
          <w:p w14:paraId="6065CEB6" w14:textId="39308172" w:rsidR="007E7D58" w:rsidRDefault="004D0D26" w:rsidP="007E7D58">
            <w:pPr>
              <w:tabs>
                <w:tab w:val="left" w:pos="709"/>
              </w:tabs>
              <w:rPr>
                <w:rFonts w:ascii="Arial" w:eastAsia="Arial" w:hAnsi="Arial" w:cs="Arial"/>
                <w:sz w:val="18"/>
                <w:szCs w:val="18"/>
              </w:rPr>
            </w:pPr>
            <w:bookmarkStart w:id="0" w:name="_DV_C144"/>
            <w:bookmarkStart w:id="1" w:name="_Ref377110627"/>
            <w:r w:rsidRPr="00FB1103">
              <w:rPr>
                <w:rFonts w:ascii="Arial" w:eastAsia="Arial" w:hAnsi="Arial" w:cs="Arial"/>
                <w:sz w:val="18"/>
                <w:szCs w:val="18"/>
              </w:rPr>
              <w:t xml:space="preserve">Establish a pipe route to extend current water supply from the existing water tanks (on Bow Hill) to the Western extent of Kingley Vale </w:t>
            </w:r>
          </w:p>
          <w:p w14:paraId="229CBE13" w14:textId="77777777" w:rsidR="00FB1103" w:rsidRPr="00FB1103" w:rsidRDefault="00FB1103" w:rsidP="007E7D58">
            <w:pPr>
              <w:tabs>
                <w:tab w:val="left" w:pos="709"/>
              </w:tabs>
              <w:rPr>
                <w:rFonts w:ascii="Arial" w:eastAsia="Arial" w:hAnsi="Arial" w:cs="Arial"/>
                <w:sz w:val="18"/>
                <w:szCs w:val="18"/>
              </w:rPr>
            </w:pPr>
          </w:p>
          <w:p w14:paraId="3CB7F8A7" w14:textId="4593413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bookmarkEnd w:id="0"/>
            <w:bookmarkEnd w:id="1"/>
            <w:r w:rsidR="00B95668">
              <w:rPr>
                <w:rFonts w:ascii="Arial" w:hAnsi="Arial" w:cs="Arial"/>
                <w:b/>
                <w:i/>
                <w:sz w:val="18"/>
                <w:szCs w:val="18"/>
              </w:rPr>
              <w:t>Kingley Vale National Nature Reserve (within an area of the reserve owned and managed by Natural England)</w:t>
            </w:r>
          </w:p>
          <w:p w14:paraId="78CB0504" w14:textId="77777777" w:rsidR="007E7D58" w:rsidRPr="00B46D37" w:rsidRDefault="007E7D58" w:rsidP="007E7D58">
            <w:pPr>
              <w:tabs>
                <w:tab w:val="left" w:pos="709"/>
              </w:tabs>
              <w:rPr>
                <w:rFonts w:ascii="Arial" w:hAnsi="Arial" w:cs="Arial"/>
                <w:i/>
                <w:sz w:val="18"/>
                <w:szCs w:val="18"/>
              </w:rPr>
            </w:pPr>
          </w:p>
          <w:p w14:paraId="1F8C6F4E" w14:textId="576232A2"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E865B9">
              <w:rPr>
                <w:rFonts w:ascii="Arial" w:hAnsi="Arial" w:cs="Arial"/>
                <w:sz w:val="18"/>
                <w:szCs w:val="18"/>
              </w:rPr>
              <w:t>between 04/08/2025 – 28/02/2026</w:t>
            </w:r>
          </w:p>
          <w:p w14:paraId="6996B8C2" w14:textId="77777777" w:rsidR="007E7D58" w:rsidRPr="00B46D37" w:rsidRDefault="007E7D58" w:rsidP="007E7D58">
            <w:pPr>
              <w:tabs>
                <w:tab w:val="left" w:pos="709"/>
              </w:tabs>
              <w:rPr>
                <w:rFonts w:ascii="Arial" w:hAnsi="Arial" w:cs="Arial"/>
                <w:sz w:val="18"/>
                <w:szCs w:val="18"/>
                <w:highlight w:val="yellow"/>
              </w:rPr>
            </w:pPr>
          </w:p>
          <w:p w14:paraId="563AD7DF" w14:textId="6FEF1C97" w:rsidR="007E7D58" w:rsidRPr="005A2B76" w:rsidRDefault="007E7D58" w:rsidP="007E7D58">
            <w:pPr>
              <w:tabs>
                <w:tab w:val="left" w:pos="709"/>
              </w:tabs>
              <w:rPr>
                <w:rFonts w:ascii="Arial" w:hAnsi="Arial" w:cs="Arial"/>
                <w:sz w:val="18"/>
                <w:szCs w:val="18"/>
              </w:rPr>
            </w:pPr>
            <w:r w:rsidRPr="005A2B76">
              <w:rPr>
                <w:rFonts w:ascii="Arial" w:hAnsi="Arial" w:cs="Arial"/>
                <w:sz w:val="18"/>
                <w:szCs w:val="18"/>
              </w:rPr>
              <w:t xml:space="preserve">To be performed on </w:t>
            </w:r>
            <w:r w:rsidR="00EE13E2" w:rsidRPr="005A2B76">
              <w:rPr>
                <w:rFonts w:ascii="Arial" w:hAnsi="Arial" w:cs="Arial"/>
                <w:sz w:val="18"/>
                <w:szCs w:val="18"/>
              </w:rPr>
              <w:t>Weekday</w:t>
            </w:r>
            <w:r w:rsidR="005A2B76">
              <w:rPr>
                <w:rFonts w:ascii="Arial" w:hAnsi="Arial" w:cs="Arial"/>
                <w:sz w:val="18"/>
                <w:szCs w:val="18"/>
              </w:rPr>
              <w:t>s</w:t>
            </w:r>
            <w:r w:rsidR="005A2B76" w:rsidRPr="005A2B76">
              <w:rPr>
                <w:rFonts w:ascii="Arial" w:hAnsi="Arial" w:cs="Arial"/>
                <w:sz w:val="18"/>
                <w:szCs w:val="18"/>
              </w:rPr>
              <w:t>(Mon – Fri</w:t>
            </w:r>
            <w:r w:rsidR="005A2B76">
              <w:rPr>
                <w:rFonts w:ascii="Arial" w:hAnsi="Arial" w:cs="Arial"/>
                <w:sz w:val="18"/>
                <w:szCs w:val="18"/>
              </w:rPr>
              <w:t>)</w:t>
            </w:r>
            <w:r w:rsidR="00EE13E2" w:rsidRPr="005A2B76">
              <w:rPr>
                <w:rFonts w:ascii="Arial" w:hAnsi="Arial" w:cs="Arial"/>
                <w:sz w:val="18"/>
                <w:szCs w:val="18"/>
              </w:rPr>
              <w:t xml:space="preserve"> </w:t>
            </w:r>
            <w:r w:rsidR="005A2B76">
              <w:rPr>
                <w:rFonts w:ascii="Arial" w:hAnsi="Arial" w:cs="Arial"/>
                <w:sz w:val="18"/>
                <w:szCs w:val="18"/>
              </w:rPr>
              <w:t xml:space="preserve">&amp; </w:t>
            </w:r>
            <w:r w:rsidR="00EE13E2" w:rsidRPr="005A2B76">
              <w:rPr>
                <w:rFonts w:ascii="Arial" w:hAnsi="Arial" w:cs="Arial"/>
                <w:sz w:val="18"/>
                <w:szCs w:val="18"/>
              </w:rPr>
              <w:t xml:space="preserve">during office hours </w:t>
            </w:r>
            <w:r w:rsidR="005A2B76">
              <w:rPr>
                <w:rFonts w:ascii="Arial" w:hAnsi="Arial" w:cs="Arial"/>
                <w:sz w:val="18"/>
                <w:szCs w:val="18"/>
              </w:rPr>
              <w:t>(</w:t>
            </w:r>
            <w:r w:rsidR="00EE13E2" w:rsidRPr="005A2B76">
              <w:rPr>
                <w:rFonts w:ascii="Arial" w:hAnsi="Arial" w:cs="Arial"/>
                <w:sz w:val="18"/>
                <w:szCs w:val="18"/>
              </w:rPr>
              <w:t xml:space="preserve">08:00 – 17:00) </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1B49986C">
        <w:trPr>
          <w:trHeight w:val="698"/>
        </w:trPr>
        <w:tc>
          <w:tcPr>
            <w:tcW w:w="1065"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7276" w:type="dxa"/>
            <w:gridSpan w:val="2"/>
            <w:shd w:val="clear" w:color="auto" w:fill="auto"/>
          </w:tcPr>
          <w:p w14:paraId="37E6BF23" w14:textId="649A5698" w:rsidR="007E7D58" w:rsidRPr="00B46D37" w:rsidRDefault="00E865B9" w:rsidP="007E7D58">
            <w:pPr>
              <w:spacing w:before="120" w:after="120"/>
              <w:ind w:right="936"/>
              <w:rPr>
                <w:rFonts w:ascii="Arial" w:eastAsia="Arial" w:hAnsi="Arial" w:cs="Arial"/>
                <w:i/>
                <w:sz w:val="18"/>
                <w:szCs w:val="18"/>
              </w:rPr>
            </w:pPr>
            <w:r>
              <w:rPr>
                <w:rFonts w:ascii="Arial" w:hAnsi="Arial" w:cs="Arial"/>
                <w:sz w:val="18"/>
                <w:szCs w:val="18"/>
              </w:rPr>
              <w:t xml:space="preserve">04/08/2025 </w:t>
            </w:r>
          </w:p>
        </w:tc>
      </w:tr>
      <w:tr w:rsidR="007E7D58" w:rsidRPr="00961A47" w14:paraId="71B2C04E" w14:textId="77777777" w:rsidTr="1B49986C">
        <w:trPr>
          <w:trHeight w:val="383"/>
        </w:trPr>
        <w:tc>
          <w:tcPr>
            <w:tcW w:w="1065"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0EC08B9F" w:rsidR="007E7D58" w:rsidRPr="00B46D37" w:rsidRDefault="00E865B9" w:rsidP="007E7D58">
            <w:pPr>
              <w:spacing w:before="120" w:after="120"/>
              <w:ind w:right="936"/>
              <w:rPr>
                <w:rFonts w:ascii="Arial" w:eastAsia="Arial" w:hAnsi="Arial" w:cs="Arial"/>
                <w:i/>
                <w:sz w:val="18"/>
                <w:szCs w:val="18"/>
              </w:rPr>
            </w:pPr>
            <w:r>
              <w:rPr>
                <w:rFonts w:ascii="Arial" w:hAnsi="Arial" w:cs="Arial"/>
                <w:sz w:val="18"/>
                <w:szCs w:val="18"/>
              </w:rPr>
              <w:t>28/02/2026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1B49986C">
        <w:trPr>
          <w:trHeight w:val="383"/>
        </w:trPr>
        <w:tc>
          <w:tcPr>
            <w:tcW w:w="1065"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7276" w:type="dxa"/>
            <w:gridSpan w:val="2"/>
            <w:shd w:val="clear" w:color="auto" w:fill="auto"/>
          </w:tcPr>
          <w:p w14:paraId="1A7D4E04" w14:textId="70487F5E"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w:t>
            </w:r>
            <w:r w:rsidRPr="00262F77">
              <w:rPr>
                <w:rFonts w:ascii="Arial" w:hAnsi="Arial" w:cs="Arial"/>
                <w:sz w:val="18"/>
                <w:szCs w:val="18"/>
              </w:rPr>
              <w:t>all be as set out in Appendix 3 – Charges.</w:t>
            </w:r>
            <w:bookmarkEnd w:id="5"/>
            <w:r w:rsidRPr="00262F77">
              <w:rPr>
                <w:rFonts w:ascii="Arial" w:hAnsi="Arial" w:cs="Arial"/>
                <w:sz w:val="18"/>
                <w:szCs w:val="18"/>
              </w:rPr>
              <w:t xml:space="preserve"> </w:t>
            </w:r>
            <w:r w:rsidR="00F34637" w:rsidRPr="00262F77">
              <w:rPr>
                <w:rFonts w:ascii="Arial" w:hAnsi="Arial" w:cs="Arial"/>
                <w:sz w:val="18"/>
                <w:szCs w:val="18"/>
              </w:rPr>
              <w:t>The</w:t>
            </w:r>
            <w:r w:rsidR="00F34637">
              <w:rPr>
                <w:rFonts w:ascii="Arial" w:hAnsi="Arial" w:cs="Arial"/>
                <w:sz w:val="18"/>
                <w:szCs w:val="18"/>
              </w:rPr>
              <w:t xml:space="preserv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1B49986C">
        <w:trPr>
          <w:trHeight w:val="383"/>
        </w:trPr>
        <w:tc>
          <w:tcPr>
            <w:tcW w:w="1065"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7276" w:type="dxa"/>
            <w:gridSpan w:val="2"/>
            <w:shd w:val="clear" w:color="auto" w:fill="auto"/>
          </w:tcPr>
          <w:p w14:paraId="35E51F28" w14:textId="10FF7DB4" w:rsidR="007E7D58" w:rsidRPr="00AC09C3"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AC09C3">
              <w:rPr>
                <w:rFonts w:ascii="Arial" w:hAnsi="Arial" w:cs="Arial"/>
                <w:sz w:val="18"/>
                <w:szCs w:val="18"/>
              </w:rPr>
              <w:t>P</w:t>
            </w:r>
            <w:r w:rsidR="00AC09C3" w:rsidRPr="00AC09C3">
              <w:rPr>
                <w:rFonts w:ascii="Arial" w:hAnsi="Arial" w:cs="Arial"/>
                <w:sz w:val="18"/>
                <w:szCs w:val="18"/>
              </w:rPr>
              <w:t>ayments will be made in pounds by BACS transfer using the details provided by the supplier on submission of a compliant invoice</w:t>
            </w:r>
          </w:p>
          <w:p w14:paraId="5AEFA517" w14:textId="77777777" w:rsidR="007E7D58" w:rsidRPr="00B46D37" w:rsidRDefault="007E7D58" w:rsidP="00AC09C3">
            <w:pPr>
              <w:pStyle w:val="Header"/>
              <w:tabs>
                <w:tab w:val="left" w:pos="709"/>
              </w:tabs>
              <w:rPr>
                <w:rFonts w:ascii="Arial" w:hAnsi="Arial" w:cs="Arial"/>
                <w:sz w:val="18"/>
                <w:szCs w:val="18"/>
              </w:rPr>
            </w:pPr>
          </w:p>
        </w:tc>
      </w:tr>
      <w:tr w:rsidR="00DD176F" w:rsidRPr="00961A47" w14:paraId="62E0B503" w14:textId="77777777" w:rsidTr="1B49986C">
        <w:trPr>
          <w:trHeight w:val="383"/>
        </w:trPr>
        <w:tc>
          <w:tcPr>
            <w:tcW w:w="1065"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3A3C494C" w:rsidR="009179C1" w:rsidRDefault="009179C1" w:rsidP="009179C1">
            <w:pPr>
              <w:pStyle w:val="Header"/>
              <w:tabs>
                <w:tab w:val="left" w:pos="709"/>
              </w:tabs>
              <w:rPr>
                <w:rFonts w:ascii="Arial" w:hAnsi="Arial" w:cs="Arial"/>
                <w:sz w:val="18"/>
                <w:szCs w:val="18"/>
              </w:rPr>
            </w:pPr>
            <w:r w:rsidRPr="00151A86">
              <w:rPr>
                <w:rFonts w:ascii="Arial" w:hAnsi="Arial" w:cs="Arial"/>
                <w:sz w:val="18"/>
                <w:szCs w:val="18"/>
              </w:rPr>
              <w:t>A sum equal to £5,000,000</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1B49986C">
        <w:trPr>
          <w:trHeight w:val="383"/>
        </w:trPr>
        <w:tc>
          <w:tcPr>
            <w:tcW w:w="1065"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57C9B5D1" w:rsidR="007E7D58" w:rsidRPr="00B46D37" w:rsidRDefault="00151A86" w:rsidP="001E02EB">
            <w:pPr>
              <w:pStyle w:val="BodyText3"/>
              <w:keepNext/>
              <w:tabs>
                <w:tab w:val="left" w:pos="709"/>
              </w:tabs>
              <w:spacing w:after="0" w:line="240" w:lineRule="auto"/>
              <w:jc w:val="left"/>
              <w:rPr>
                <w:rFonts w:ascii="Arial" w:hAnsi="Arial" w:cs="Arial"/>
                <w:sz w:val="18"/>
                <w:szCs w:val="18"/>
              </w:rPr>
            </w:pPr>
            <w:r>
              <w:rPr>
                <w:rFonts w:ascii="Arial" w:hAnsi="Arial" w:cs="Arial"/>
                <w:sz w:val="18"/>
                <w:szCs w:val="18"/>
              </w:rPr>
              <w:t xml:space="preserve">Graham Johnstone </w:t>
            </w:r>
            <w:r w:rsidR="00F465C6">
              <w:rPr>
                <w:rFonts w:ascii="Arial" w:hAnsi="Arial" w:cs="Arial"/>
                <w:sz w:val="18"/>
                <w:szCs w:val="18"/>
              </w:rPr>
              <w:t>(07826</w:t>
            </w:r>
            <w:r w:rsidR="001E02EB">
              <w:rPr>
                <w:rFonts w:ascii="Arial" w:hAnsi="Arial" w:cs="Arial"/>
                <w:sz w:val="18"/>
                <w:szCs w:val="18"/>
              </w:rPr>
              <w:t>919201) graham.johnstone@naturalengland.org.uk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58AD647" w:rsidR="007E7D58" w:rsidRDefault="001E02EB"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Rose Morgan </w:t>
            </w:r>
            <w:r w:rsidR="007E4676">
              <w:rPr>
                <w:rFonts w:ascii="Arial" w:hAnsi="Arial" w:cs="Arial"/>
                <w:sz w:val="18"/>
                <w:szCs w:val="18"/>
              </w:rPr>
              <w:t>(0</w:t>
            </w:r>
            <w:r w:rsidR="007E4676" w:rsidRPr="007E4676">
              <w:rPr>
                <w:rFonts w:ascii="Arial" w:hAnsi="Arial" w:cs="Arial"/>
                <w:sz w:val="18"/>
                <w:szCs w:val="18"/>
              </w:rPr>
              <w:t>2080266010</w:t>
            </w:r>
            <w:r w:rsidR="007E4676">
              <w:rPr>
                <w:rFonts w:ascii="Arial" w:hAnsi="Arial" w:cs="Arial"/>
                <w:sz w:val="18"/>
                <w:szCs w:val="18"/>
              </w:rPr>
              <w:t>)</w:t>
            </w:r>
          </w:p>
          <w:p w14:paraId="07CD230E" w14:textId="4F9E5079" w:rsidR="006F0CBA" w:rsidRDefault="006F0CBA" w:rsidP="007E7D58">
            <w:pPr>
              <w:pStyle w:val="BodyText3"/>
              <w:keepNext/>
              <w:tabs>
                <w:tab w:val="left" w:pos="709"/>
              </w:tabs>
              <w:spacing w:after="0" w:line="240" w:lineRule="auto"/>
              <w:rPr>
                <w:rFonts w:ascii="Arial" w:hAnsi="Arial" w:cs="Arial"/>
                <w:sz w:val="18"/>
                <w:szCs w:val="18"/>
              </w:rPr>
            </w:pPr>
            <w:r w:rsidRPr="006F0CBA">
              <w:rPr>
                <w:rFonts w:ascii="Arial" w:hAnsi="Arial" w:cs="Arial"/>
                <w:sz w:val="18"/>
                <w:szCs w:val="18"/>
              </w:rPr>
              <w:t>rosemary.morgan@naturalengland.org.uk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1B49986C">
        <w:trPr>
          <w:trHeight w:val="383"/>
        </w:trPr>
        <w:tc>
          <w:tcPr>
            <w:tcW w:w="1065"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77777777" w:rsidR="007E7D58" w:rsidRPr="00B46D37" w:rsidRDefault="007E7D58" w:rsidP="001C40B2">
            <w:pPr>
              <w:pStyle w:val="BodyText3"/>
              <w:keepNext/>
              <w:tabs>
                <w:tab w:val="left" w:pos="709"/>
              </w:tabs>
              <w:spacing w:after="0" w:line="240" w:lineRule="auto"/>
              <w:rPr>
                <w:rFonts w:ascii="Arial" w:hAnsi="Arial" w:cs="Arial"/>
                <w:sz w:val="18"/>
                <w:szCs w:val="18"/>
              </w:rPr>
            </w:pPr>
          </w:p>
        </w:tc>
      </w:tr>
      <w:tr w:rsidR="007E7D58" w:rsidRPr="00961A47" w14:paraId="3B6DEDD3" w14:textId="77777777" w:rsidTr="1B49986C">
        <w:trPr>
          <w:trHeight w:val="383"/>
        </w:trPr>
        <w:tc>
          <w:tcPr>
            <w:tcW w:w="1065"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7276" w:type="dxa"/>
            <w:gridSpan w:val="2"/>
            <w:shd w:val="clear" w:color="auto" w:fill="auto"/>
          </w:tcPr>
          <w:p w14:paraId="1CDDAEEC" w14:textId="66B9A9F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454E9E">
              <w:rPr>
                <w:rFonts w:ascii="Arial" w:hAnsi="Arial" w:cs="Arial"/>
                <w:bCs/>
                <w:iCs/>
                <w:sz w:val="18"/>
                <w:szCs w:val="18"/>
              </w:rPr>
              <w:t>B</w:t>
            </w:r>
            <w:r w:rsidR="00454E9E">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14:paraId="699605EB" w14:textId="262FA51D"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1B49986C">
        <w:trPr>
          <w:trHeight w:val="383"/>
        </w:trPr>
        <w:tc>
          <w:tcPr>
            <w:tcW w:w="1065"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7276" w:type="dxa"/>
            <w:gridSpan w:val="2"/>
            <w:shd w:val="clear" w:color="auto" w:fill="auto"/>
          </w:tcPr>
          <w:p w14:paraId="503033FB" w14:textId="750F0D6F" w:rsidR="001C40B2" w:rsidRPr="001C40B2" w:rsidRDefault="007E7D58" w:rsidP="001C40B2">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4AC4472A" w14:textId="1D4AF44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1B49986C">
        <w:trPr>
          <w:trHeight w:val="383"/>
        </w:trPr>
        <w:tc>
          <w:tcPr>
            <w:tcW w:w="1065"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3584"/>
              <w:gridCol w:w="2360"/>
            </w:tblGrid>
            <w:tr w:rsidR="007E7D58" w14:paraId="430CB4B5" w14:textId="77777777" w:rsidTr="001C40B2">
              <w:tc>
                <w:tcPr>
                  <w:tcW w:w="2950"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99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1C40B2">
              <w:tc>
                <w:tcPr>
                  <w:tcW w:w="2950" w:type="dxa"/>
                </w:tcPr>
                <w:p w14:paraId="597D4E15" w14:textId="1419C4C4" w:rsidR="007E7D58" w:rsidRDefault="001C40B2" w:rsidP="007E7D58">
                  <w:pPr>
                    <w:pStyle w:val="Header"/>
                    <w:tabs>
                      <w:tab w:val="left" w:pos="709"/>
                    </w:tabs>
                    <w:ind w:right="3"/>
                    <w:rPr>
                      <w:rFonts w:ascii="Arial" w:hAnsi="Arial" w:cs="Arial"/>
                      <w:sz w:val="18"/>
                      <w:szCs w:val="18"/>
                    </w:rPr>
                  </w:pPr>
                  <w:r>
                    <w:rPr>
                      <w:rFonts w:ascii="Arial" w:hAnsi="Arial" w:cs="Arial"/>
                      <w:sz w:val="18"/>
                      <w:szCs w:val="18"/>
                    </w:rPr>
                    <w:t>Kingley Vale NNR</w:t>
                  </w:r>
                </w:p>
                <w:p w14:paraId="4118DDBF" w14:textId="3EAC3E75" w:rsidR="001C40B2" w:rsidRDefault="001C40B2" w:rsidP="007E7D58">
                  <w:pPr>
                    <w:pStyle w:val="Header"/>
                    <w:tabs>
                      <w:tab w:val="left" w:pos="709"/>
                    </w:tabs>
                    <w:ind w:right="3"/>
                    <w:rPr>
                      <w:rFonts w:ascii="Arial" w:hAnsi="Arial" w:cs="Arial"/>
                      <w:sz w:val="18"/>
                      <w:szCs w:val="18"/>
                    </w:rPr>
                  </w:pPr>
                  <w:r>
                    <w:rPr>
                      <w:rFonts w:ascii="Arial" w:hAnsi="Arial" w:cs="Arial"/>
                      <w:sz w:val="18"/>
                      <w:szCs w:val="18"/>
                    </w:rPr>
                    <w:t>Keepers Cottage</w:t>
                  </w:r>
                </w:p>
                <w:p w14:paraId="18BBDE0F" w14:textId="77777777" w:rsidR="001C40B2" w:rsidRDefault="001C40B2" w:rsidP="007E7D58">
                  <w:pPr>
                    <w:pStyle w:val="Header"/>
                    <w:tabs>
                      <w:tab w:val="left" w:pos="709"/>
                    </w:tabs>
                    <w:ind w:right="3"/>
                    <w:rPr>
                      <w:rFonts w:ascii="Arial" w:hAnsi="Arial" w:cs="Arial"/>
                      <w:sz w:val="18"/>
                      <w:szCs w:val="18"/>
                    </w:rPr>
                  </w:pPr>
                  <w:r>
                    <w:rPr>
                      <w:rFonts w:ascii="Arial" w:hAnsi="Arial" w:cs="Arial"/>
                      <w:sz w:val="18"/>
                      <w:szCs w:val="18"/>
                    </w:rPr>
                    <w:t xml:space="preserve">West Dean </w:t>
                  </w:r>
                </w:p>
                <w:p w14:paraId="1AA67324" w14:textId="23694655" w:rsidR="001C40B2" w:rsidRDefault="001C40B2" w:rsidP="007E7D58">
                  <w:pPr>
                    <w:pStyle w:val="Header"/>
                    <w:tabs>
                      <w:tab w:val="left" w:pos="709"/>
                    </w:tabs>
                    <w:ind w:right="3"/>
                    <w:rPr>
                      <w:rFonts w:ascii="Arial" w:hAnsi="Arial" w:cs="Arial"/>
                      <w:sz w:val="18"/>
                      <w:szCs w:val="18"/>
                    </w:rPr>
                  </w:pPr>
                  <w:r>
                    <w:rPr>
                      <w:rFonts w:ascii="Arial" w:hAnsi="Arial" w:cs="Arial"/>
                      <w:sz w:val="18"/>
                      <w:szCs w:val="18"/>
                    </w:rPr>
                    <w:t>Chichester</w:t>
                  </w:r>
                </w:p>
                <w:p w14:paraId="74029DB6" w14:textId="39640F5F" w:rsidR="001C40B2" w:rsidRPr="00CA4BA2" w:rsidRDefault="001C40B2" w:rsidP="007E7D58">
                  <w:pPr>
                    <w:pStyle w:val="Header"/>
                    <w:tabs>
                      <w:tab w:val="left" w:pos="709"/>
                    </w:tabs>
                    <w:ind w:right="3"/>
                    <w:rPr>
                      <w:rFonts w:ascii="Arial" w:hAnsi="Arial" w:cs="Arial"/>
                      <w:sz w:val="18"/>
                      <w:szCs w:val="18"/>
                    </w:rPr>
                  </w:pPr>
                  <w:r>
                    <w:rPr>
                      <w:rFonts w:ascii="Arial" w:hAnsi="Arial" w:cs="Arial"/>
                      <w:sz w:val="18"/>
                      <w:szCs w:val="18"/>
                    </w:rPr>
                    <w:t>PO18 0RU</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304D07E6"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1C40B2">
                    <w:rPr>
                      <w:rFonts w:ascii="Arial" w:hAnsi="Arial" w:cs="Arial"/>
                      <w:sz w:val="18"/>
                      <w:szCs w:val="18"/>
                    </w:rPr>
                    <w:t>Graham Johnstone</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3C26BF81"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1C40B2">
                    <w:rPr>
                      <w:rFonts w:ascii="Arial" w:hAnsi="Arial" w:cs="Arial"/>
                      <w:sz w:val="18"/>
                      <w:szCs w:val="18"/>
                    </w:rPr>
                    <w:t>graham.johnstone@naturalengland.org.uk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99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1C40B2">
              <w:trPr>
                <w:gridAfter w:val="1"/>
                <w:wAfter w:w="2994" w:type="dxa"/>
              </w:trPr>
              <w:tc>
                <w:tcPr>
                  <w:tcW w:w="2950" w:type="dxa"/>
                </w:tcPr>
                <w:p w14:paraId="16DE294F" w14:textId="358D802C"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1B49986C">
        <w:trPr>
          <w:trHeight w:val="1750"/>
        </w:trPr>
        <w:tc>
          <w:tcPr>
            <w:tcW w:w="1065"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rsidTr="00916655">
              <w:tc>
                <w:tcPr>
                  <w:tcW w:w="2073"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1868"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003"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916655">
              <w:tc>
                <w:tcPr>
                  <w:tcW w:w="2073"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1868"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03"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00916655">
              <w:tc>
                <w:tcPr>
                  <w:tcW w:w="2073"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1868"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03"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1B49986C">
        <w:tc>
          <w:tcPr>
            <w:tcW w:w="1065"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7276" w:type="dxa"/>
            <w:gridSpan w:val="2"/>
            <w:shd w:val="clear" w:color="auto" w:fill="auto"/>
          </w:tcPr>
          <w:p w14:paraId="3A56E4DF" w14:textId="40E26171" w:rsidR="007E7D58" w:rsidRPr="00060369" w:rsidRDefault="007E7D58" w:rsidP="00B82024">
            <w:pPr>
              <w:tabs>
                <w:tab w:val="left" w:pos="709"/>
              </w:tabs>
              <w:rPr>
                <w:rFonts w:ascii="Arial" w:hAnsi="Arial" w:cs="Arial"/>
                <w:sz w:val="18"/>
                <w:szCs w:val="18"/>
              </w:rPr>
            </w:pPr>
            <w:r w:rsidRPr="00060369">
              <w:rPr>
                <w:rFonts w:ascii="Arial" w:hAnsi="Arial" w:cs="Arial"/>
                <w:sz w:val="18"/>
                <w:szCs w:val="18"/>
              </w:rPr>
              <w:t xml:space="preserve">For the purposes of the Agreement: </w:t>
            </w:r>
          </w:p>
          <w:p w14:paraId="7092F3F4" w14:textId="77777777" w:rsidR="007E7D58" w:rsidRPr="00060369" w:rsidRDefault="007E7D58" w:rsidP="007E7D58">
            <w:pPr>
              <w:tabs>
                <w:tab w:val="left" w:pos="709"/>
              </w:tabs>
              <w:rPr>
                <w:rFonts w:ascii="Arial" w:hAnsi="Arial" w:cs="Arial"/>
                <w:sz w:val="18"/>
                <w:szCs w:val="18"/>
              </w:rPr>
            </w:pPr>
          </w:p>
          <w:p w14:paraId="50A5B873" w14:textId="0AFA457D"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health and safety </w:t>
            </w:r>
            <w:r w:rsidR="004C2B43">
              <w:rPr>
                <w:rFonts w:ascii="Arial" w:hAnsi="Arial" w:cs="Arial"/>
                <w:sz w:val="18"/>
                <w:szCs w:val="18"/>
              </w:rPr>
              <w:t xml:space="preserve">site </w:t>
            </w:r>
            <w:r w:rsidRPr="00060369">
              <w:rPr>
                <w:rFonts w:ascii="Arial" w:hAnsi="Arial" w:cs="Arial"/>
                <w:sz w:val="18"/>
                <w:szCs w:val="18"/>
              </w:rPr>
              <w:t>policy</w:t>
            </w:r>
            <w:r w:rsidR="004C2B43">
              <w:rPr>
                <w:rFonts w:ascii="Arial" w:hAnsi="Arial" w:cs="Arial"/>
                <w:sz w:val="18"/>
                <w:szCs w:val="18"/>
              </w:rPr>
              <w:t>/procedure</w:t>
            </w:r>
            <w:r w:rsidRPr="00060369">
              <w:rPr>
                <w:rFonts w:ascii="Arial" w:hAnsi="Arial" w:cs="Arial"/>
                <w:sz w:val="18"/>
                <w:szCs w:val="18"/>
              </w:rPr>
              <w:t xml:space="preserve"> </w:t>
            </w:r>
            <w:r w:rsidR="001977E8">
              <w:rPr>
                <w:rFonts w:ascii="Arial" w:hAnsi="Arial" w:cs="Arial"/>
                <w:sz w:val="18"/>
                <w:szCs w:val="18"/>
              </w:rPr>
              <w:t xml:space="preserve">will be </w:t>
            </w:r>
            <w:r w:rsidR="004C2B43">
              <w:rPr>
                <w:rFonts w:ascii="Arial" w:hAnsi="Arial" w:cs="Arial"/>
                <w:sz w:val="18"/>
                <w:szCs w:val="18"/>
              </w:rPr>
              <w:t>covered</w:t>
            </w:r>
            <w:r w:rsidR="001977E8">
              <w:rPr>
                <w:rFonts w:ascii="Arial" w:hAnsi="Arial" w:cs="Arial"/>
                <w:sz w:val="18"/>
                <w:szCs w:val="18"/>
              </w:rPr>
              <w:t xml:space="preserve"> during site induction (specific </w:t>
            </w:r>
            <w:r w:rsidR="001552BD">
              <w:rPr>
                <w:rFonts w:ascii="Arial" w:hAnsi="Arial" w:cs="Arial"/>
                <w:sz w:val="18"/>
                <w:szCs w:val="18"/>
              </w:rPr>
              <w:t xml:space="preserve">site hazard and risks are highlighted on </w:t>
            </w:r>
            <w:r w:rsidR="004C2B43">
              <w:rPr>
                <w:rFonts w:ascii="Arial" w:hAnsi="Arial" w:cs="Arial"/>
                <w:sz w:val="18"/>
                <w:szCs w:val="18"/>
              </w:rPr>
              <w:t>Site Hazard Map)</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1B49986C">
        <w:tc>
          <w:tcPr>
            <w:tcW w:w="1065"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7276" w:type="dxa"/>
            <w:gridSpan w:val="2"/>
            <w:shd w:val="clear" w:color="auto" w:fill="auto"/>
          </w:tcPr>
          <w:p w14:paraId="471A725E" w14:textId="625B178B" w:rsidR="007E7D58" w:rsidRPr="00E567F8" w:rsidRDefault="00B82024"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1B49986C">
        <w:tc>
          <w:tcPr>
            <w:tcW w:w="1065"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453F6CBA" w:rsidR="007E7D58" w:rsidRPr="00060369" w:rsidRDefault="00B82024"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1B49986C">
        <w:tc>
          <w:tcPr>
            <w:tcW w:w="1065"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1B01E748" w:rsidR="007E7D58" w:rsidRPr="005A2B76" w:rsidRDefault="007E7D58" w:rsidP="005A2B76">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8F3164">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33126C01"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Default="0028704B" w:rsidP="00964799">
      <w:pPr>
        <w:jc w:val="center"/>
        <w:rPr>
          <w:b/>
          <w:bCs/>
        </w:rPr>
      </w:pPr>
    </w:p>
    <w:p w14:paraId="08C94E3A" w14:textId="77777777" w:rsidR="00DB5E40" w:rsidRDefault="00DB5E40" w:rsidP="00DB5E40">
      <w:pPr>
        <w:rPr>
          <w:rFonts w:ascii="Arial" w:hAnsi="Arial" w:cs="Arial"/>
          <w:b/>
          <w:bCs/>
          <w:sz w:val="18"/>
          <w:szCs w:val="18"/>
          <w:u w:val="single"/>
        </w:rPr>
      </w:pPr>
      <w:r w:rsidRPr="001F624C">
        <w:rPr>
          <w:rFonts w:ascii="Arial" w:hAnsi="Arial" w:cs="Arial"/>
          <w:b/>
          <w:bCs/>
          <w:sz w:val="18"/>
          <w:szCs w:val="18"/>
          <w:u w:val="single"/>
        </w:rPr>
        <w:t xml:space="preserve">Kingley Vale NNR – Western Water Supply Extension </w:t>
      </w:r>
    </w:p>
    <w:p w14:paraId="44D7CE5E" w14:textId="77777777" w:rsidR="00EC766E" w:rsidRPr="001F624C" w:rsidRDefault="00EC766E" w:rsidP="00DB5E40">
      <w:pPr>
        <w:rPr>
          <w:rFonts w:ascii="Arial" w:hAnsi="Arial" w:cs="Arial"/>
          <w:b/>
          <w:bCs/>
          <w:sz w:val="18"/>
          <w:szCs w:val="18"/>
        </w:rPr>
      </w:pPr>
    </w:p>
    <w:p w14:paraId="2DCAB800" w14:textId="77777777" w:rsidR="00DB5E40" w:rsidRPr="001F624C" w:rsidRDefault="00DB5E40" w:rsidP="00DB5E40">
      <w:pPr>
        <w:rPr>
          <w:rFonts w:ascii="Arial" w:hAnsi="Arial" w:cs="Arial"/>
          <w:b/>
          <w:bCs/>
          <w:sz w:val="18"/>
          <w:szCs w:val="18"/>
        </w:rPr>
      </w:pPr>
      <w:r w:rsidRPr="001F624C">
        <w:rPr>
          <w:rFonts w:ascii="Arial" w:hAnsi="Arial" w:cs="Arial"/>
          <w:b/>
          <w:bCs/>
          <w:sz w:val="18"/>
          <w:szCs w:val="18"/>
        </w:rPr>
        <w:t xml:space="preserve">Background to the specific work area relevant to this purchase </w:t>
      </w:r>
    </w:p>
    <w:p w14:paraId="5501A2ED" w14:textId="77777777" w:rsidR="00DB5E40" w:rsidRPr="001F624C" w:rsidRDefault="00DB5E40" w:rsidP="00DB5E40">
      <w:pPr>
        <w:rPr>
          <w:rFonts w:ascii="Arial" w:hAnsi="Arial" w:cs="Arial"/>
          <w:sz w:val="18"/>
          <w:szCs w:val="18"/>
        </w:rPr>
      </w:pPr>
      <w:r w:rsidRPr="001F624C">
        <w:rPr>
          <w:rFonts w:ascii="Arial" w:hAnsi="Arial" w:cs="Arial"/>
          <w:sz w:val="18"/>
          <w:szCs w:val="18"/>
        </w:rPr>
        <w:t xml:space="preserve">Kingley Vale National Nature Reserve (NNR) is a woodland and grassland reserve in West Sussex, managed by Natural England. Much of the management is undertaken through grazing the site, this is done currently with both cattle and sheep. The site is designated as SSSI, SAC and NNR and has multiple archaeological features of importance (Scheduled Ancient Monuments). </w:t>
      </w:r>
    </w:p>
    <w:p w14:paraId="06C86367" w14:textId="77777777" w:rsidR="00EC766E" w:rsidRDefault="00EC766E" w:rsidP="00DB5E40">
      <w:pPr>
        <w:rPr>
          <w:rFonts w:ascii="Arial" w:hAnsi="Arial" w:cs="Arial"/>
          <w:sz w:val="18"/>
          <w:szCs w:val="18"/>
        </w:rPr>
      </w:pPr>
    </w:p>
    <w:p w14:paraId="3AD45084" w14:textId="77777777" w:rsidR="00DB5E40" w:rsidRPr="001F624C" w:rsidRDefault="00DB5E40" w:rsidP="00DB5E40">
      <w:pPr>
        <w:rPr>
          <w:rFonts w:ascii="Arial" w:hAnsi="Arial" w:cs="Arial"/>
          <w:sz w:val="18"/>
          <w:szCs w:val="18"/>
        </w:rPr>
      </w:pPr>
      <w:r w:rsidRPr="001F624C">
        <w:rPr>
          <w:rFonts w:ascii="Arial" w:hAnsi="Arial" w:cs="Arial"/>
          <w:sz w:val="18"/>
          <w:szCs w:val="18"/>
        </w:rPr>
        <w:t>A borehole and water supply were installed at Kingley Vale NNR in 2017. The borehole, locate don Bow hill, is fitted with a PV powered pump and petrol backup generator, supplying 3x 10,000ltr holding tanks. The 25mm MDPE pipe network is gravity fed from these tanks and is dug to approx. 600m, suppling a network of standard livestock water troughs with various stopcock controls. A plan of current water supply set-up and pipe network is provided/attached.</w:t>
      </w:r>
    </w:p>
    <w:p w14:paraId="44F3FFF0" w14:textId="77777777" w:rsidR="00EC766E" w:rsidRDefault="00EC766E" w:rsidP="00DB5E40">
      <w:pPr>
        <w:rPr>
          <w:rFonts w:ascii="Arial" w:hAnsi="Arial" w:cs="Arial"/>
          <w:b/>
          <w:bCs/>
          <w:sz w:val="18"/>
          <w:szCs w:val="18"/>
        </w:rPr>
      </w:pPr>
    </w:p>
    <w:p w14:paraId="7E219970" w14:textId="77777777" w:rsidR="00DB5E40" w:rsidRPr="001F624C" w:rsidRDefault="00DB5E40" w:rsidP="00DB5E40">
      <w:pPr>
        <w:rPr>
          <w:rFonts w:ascii="Arial" w:hAnsi="Arial" w:cs="Arial"/>
          <w:b/>
          <w:bCs/>
          <w:sz w:val="18"/>
          <w:szCs w:val="18"/>
        </w:rPr>
      </w:pPr>
      <w:r w:rsidRPr="001F624C">
        <w:rPr>
          <w:rFonts w:ascii="Arial" w:hAnsi="Arial" w:cs="Arial"/>
          <w:b/>
          <w:bCs/>
          <w:sz w:val="18"/>
          <w:szCs w:val="18"/>
        </w:rPr>
        <w:t>Requirement</w:t>
      </w:r>
    </w:p>
    <w:p w14:paraId="6A085472" w14:textId="77777777" w:rsidR="00DB5E40" w:rsidRPr="001F624C" w:rsidRDefault="00DB5E40" w:rsidP="00DB5E40">
      <w:pPr>
        <w:rPr>
          <w:rFonts w:ascii="Arial" w:hAnsi="Arial" w:cs="Arial"/>
          <w:sz w:val="18"/>
          <w:szCs w:val="18"/>
        </w:rPr>
      </w:pPr>
      <w:r w:rsidRPr="001F624C">
        <w:rPr>
          <w:rFonts w:ascii="Arial" w:hAnsi="Arial" w:cs="Arial"/>
          <w:sz w:val="18"/>
          <w:szCs w:val="18"/>
        </w:rPr>
        <w:t xml:space="preserve">Establish a pipe route to extend current water supply from the existing water tanks (on Bow Hill) to the Western extent of Kingley Vale (approx. location marked on attached maps - exact location tbc as part of contract). This is likely best achieved through a connection into the existing pipe network from within the ‘burial mounds’ area of the reserve. </w:t>
      </w:r>
    </w:p>
    <w:p w14:paraId="434F9A96" w14:textId="77777777" w:rsidR="00EC766E" w:rsidRDefault="00EC766E" w:rsidP="00DB5E40">
      <w:pPr>
        <w:pStyle w:val="ListParagraph"/>
        <w:ind w:left="0"/>
        <w:rPr>
          <w:rFonts w:ascii="Arial" w:hAnsi="Arial" w:cs="Arial"/>
          <w:sz w:val="18"/>
          <w:szCs w:val="18"/>
          <w:u w:val="single"/>
        </w:rPr>
      </w:pPr>
    </w:p>
    <w:p w14:paraId="5C9C95DE" w14:textId="77777777" w:rsidR="00DB5E40" w:rsidRPr="001F624C" w:rsidRDefault="00DB5E40" w:rsidP="00DB5E40">
      <w:pPr>
        <w:pStyle w:val="ListParagraph"/>
        <w:ind w:left="0"/>
        <w:rPr>
          <w:rFonts w:ascii="Arial" w:hAnsi="Arial" w:cs="Arial"/>
          <w:sz w:val="18"/>
          <w:szCs w:val="18"/>
          <w:u w:val="single"/>
        </w:rPr>
      </w:pPr>
      <w:r w:rsidRPr="001F624C">
        <w:rPr>
          <w:rFonts w:ascii="Arial" w:hAnsi="Arial" w:cs="Arial"/>
          <w:sz w:val="18"/>
          <w:szCs w:val="18"/>
          <w:u w:val="single"/>
        </w:rPr>
        <w:t xml:space="preserve">Pipe design/specification requirements </w:t>
      </w:r>
    </w:p>
    <w:p w14:paraId="7E2E5A88"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 xml:space="preserve">The pipework and supply must be compatible with current 25mm MDPE network </w:t>
      </w:r>
    </w:p>
    <w:p w14:paraId="53542165"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Design of route and pipework to enable water supply sufficient to fill standard livestock trough throughout the year (incorporate a booster pump if required)</w:t>
      </w:r>
    </w:p>
    <w:p w14:paraId="5D92019F"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The new water supply must be able to be able to be easily isolated from the existing pipe network without interfering with water supply to remainder of network.</w:t>
      </w:r>
    </w:p>
    <w:p w14:paraId="45551A1C"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 xml:space="preserve">Pipework and connections should be of a type/specification appropriate for the site and of a type that minimises risks of bursts/leaks. </w:t>
      </w:r>
    </w:p>
    <w:p w14:paraId="6CD78CD8"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Water trough and internal trough fittings to be supplied by Natural England</w:t>
      </w:r>
    </w:p>
    <w:p w14:paraId="24433128" w14:textId="77777777" w:rsidR="00DB5E40" w:rsidRPr="001F624C" w:rsidRDefault="00DB5E40" w:rsidP="00DB5E40">
      <w:pPr>
        <w:pStyle w:val="ListParagraph"/>
        <w:rPr>
          <w:rFonts w:ascii="Arial" w:hAnsi="Arial" w:cs="Arial"/>
          <w:sz w:val="18"/>
          <w:szCs w:val="18"/>
        </w:rPr>
      </w:pPr>
    </w:p>
    <w:p w14:paraId="40C19A95" w14:textId="77777777" w:rsidR="00DB5E40" w:rsidRPr="001F624C" w:rsidRDefault="00DB5E40" w:rsidP="00DB5E40">
      <w:pPr>
        <w:pStyle w:val="ListParagraph"/>
        <w:ind w:left="0"/>
        <w:rPr>
          <w:rFonts w:ascii="Arial" w:hAnsi="Arial" w:cs="Arial"/>
          <w:sz w:val="18"/>
          <w:szCs w:val="18"/>
          <w:u w:val="single"/>
        </w:rPr>
      </w:pPr>
      <w:r w:rsidRPr="001F624C">
        <w:rPr>
          <w:rFonts w:ascii="Arial" w:hAnsi="Arial" w:cs="Arial"/>
          <w:sz w:val="18"/>
          <w:szCs w:val="18"/>
          <w:u w:val="single"/>
        </w:rPr>
        <w:t xml:space="preserve">Site requirements </w:t>
      </w:r>
    </w:p>
    <w:p w14:paraId="5E5411CE"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The pipe route must avoid designated habitats (grassland, woodland and archaeological features) where possible, by utilising track and path network and where/if necessary being laid over ground (in protective sleeve).</w:t>
      </w:r>
    </w:p>
    <w:p w14:paraId="5A3BF735"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All works will take place within an 'open access' reserve with no restrictions on visitor access.</w:t>
      </w:r>
    </w:p>
    <w:p w14:paraId="49879142"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Vehicle access to site may be seasonally restricted or impacted by ground conditions</w:t>
      </w:r>
    </w:p>
    <w:p w14:paraId="70DC651E" w14:textId="77777777" w:rsidR="00DB5E40" w:rsidRPr="001F624C" w:rsidRDefault="00DB5E40" w:rsidP="00DB5E40">
      <w:pPr>
        <w:pStyle w:val="ListParagraph"/>
        <w:numPr>
          <w:ilvl w:val="0"/>
          <w:numId w:val="13"/>
        </w:numPr>
        <w:spacing w:after="160" w:line="259" w:lineRule="auto"/>
        <w:rPr>
          <w:rFonts w:ascii="Arial" w:hAnsi="Arial" w:cs="Arial"/>
          <w:sz w:val="18"/>
          <w:szCs w:val="18"/>
        </w:rPr>
      </w:pPr>
      <w:r w:rsidRPr="001F624C">
        <w:rPr>
          <w:rFonts w:ascii="Arial" w:hAnsi="Arial" w:cs="Arial"/>
          <w:sz w:val="18"/>
          <w:szCs w:val="18"/>
        </w:rPr>
        <w:t>The contractor must provide welfare facilities (to be located off site, ideally within the car park) &amp; work on site must take place Monday-Friday 08:00-17:00</w:t>
      </w:r>
    </w:p>
    <w:p w14:paraId="0F0B716A" w14:textId="77777777" w:rsidR="00DB5E40" w:rsidRDefault="00DB5E40" w:rsidP="00DB5E40">
      <w:pPr>
        <w:rPr>
          <w:rFonts w:ascii="Arial" w:hAnsi="Arial" w:cs="Arial"/>
          <w:b/>
          <w:bCs/>
          <w:sz w:val="18"/>
          <w:szCs w:val="18"/>
        </w:rPr>
      </w:pPr>
    </w:p>
    <w:p w14:paraId="06F661C4" w14:textId="77777777" w:rsidR="00262F77" w:rsidRDefault="00262F77" w:rsidP="00DB5E40">
      <w:pPr>
        <w:rPr>
          <w:rFonts w:ascii="Arial" w:hAnsi="Arial" w:cs="Arial"/>
          <w:b/>
          <w:bCs/>
          <w:sz w:val="18"/>
          <w:szCs w:val="18"/>
        </w:rPr>
      </w:pPr>
    </w:p>
    <w:p w14:paraId="7718D620" w14:textId="77777777" w:rsidR="00262F77" w:rsidRDefault="00262F77" w:rsidP="00DB5E40">
      <w:pPr>
        <w:rPr>
          <w:rFonts w:ascii="Arial" w:hAnsi="Arial" w:cs="Arial"/>
          <w:b/>
          <w:bCs/>
          <w:sz w:val="18"/>
          <w:szCs w:val="18"/>
        </w:rPr>
      </w:pPr>
    </w:p>
    <w:p w14:paraId="16FB7F13" w14:textId="77777777" w:rsidR="00262F77" w:rsidRDefault="00262F77" w:rsidP="00DB5E40">
      <w:pPr>
        <w:rPr>
          <w:rFonts w:ascii="Arial" w:hAnsi="Arial" w:cs="Arial"/>
          <w:b/>
          <w:bCs/>
          <w:sz w:val="18"/>
          <w:szCs w:val="18"/>
        </w:rPr>
      </w:pPr>
    </w:p>
    <w:p w14:paraId="37F98B74" w14:textId="77777777" w:rsidR="00262F77" w:rsidRDefault="00262F77" w:rsidP="00DB5E40">
      <w:pPr>
        <w:rPr>
          <w:rFonts w:ascii="Arial" w:hAnsi="Arial" w:cs="Arial"/>
          <w:b/>
          <w:bCs/>
          <w:sz w:val="18"/>
          <w:szCs w:val="18"/>
        </w:rPr>
      </w:pPr>
    </w:p>
    <w:p w14:paraId="552F6459" w14:textId="77777777" w:rsidR="00262F77" w:rsidRDefault="00262F77" w:rsidP="00DB5E40">
      <w:pPr>
        <w:rPr>
          <w:rFonts w:ascii="Arial" w:hAnsi="Arial" w:cs="Arial"/>
          <w:b/>
          <w:bCs/>
          <w:sz w:val="18"/>
          <w:szCs w:val="18"/>
        </w:rPr>
      </w:pPr>
    </w:p>
    <w:p w14:paraId="511F64E6" w14:textId="77777777" w:rsidR="00262F77" w:rsidRDefault="00262F77" w:rsidP="00DB5E40">
      <w:pPr>
        <w:rPr>
          <w:rFonts w:ascii="Arial" w:hAnsi="Arial" w:cs="Arial"/>
          <w:b/>
          <w:bCs/>
          <w:sz w:val="18"/>
          <w:szCs w:val="18"/>
        </w:rPr>
      </w:pPr>
    </w:p>
    <w:p w14:paraId="7BD1A51A" w14:textId="77777777" w:rsidR="00262F77" w:rsidRDefault="00262F77" w:rsidP="00DB5E40">
      <w:pPr>
        <w:rPr>
          <w:rFonts w:ascii="Arial" w:hAnsi="Arial" w:cs="Arial"/>
          <w:b/>
          <w:bCs/>
          <w:sz w:val="18"/>
          <w:szCs w:val="18"/>
        </w:rPr>
      </w:pPr>
    </w:p>
    <w:p w14:paraId="0A64FF0F" w14:textId="77777777" w:rsidR="00262F77" w:rsidRDefault="00262F77" w:rsidP="00DB5E40">
      <w:pPr>
        <w:rPr>
          <w:rFonts w:ascii="Arial" w:hAnsi="Arial" w:cs="Arial"/>
          <w:b/>
          <w:bCs/>
          <w:sz w:val="18"/>
          <w:szCs w:val="18"/>
        </w:rPr>
      </w:pPr>
    </w:p>
    <w:p w14:paraId="1FFA2F37" w14:textId="77777777" w:rsidR="00262F77" w:rsidRDefault="00262F77" w:rsidP="00DB5E40">
      <w:pPr>
        <w:rPr>
          <w:rFonts w:ascii="Arial" w:hAnsi="Arial" w:cs="Arial"/>
          <w:b/>
          <w:bCs/>
          <w:sz w:val="18"/>
          <w:szCs w:val="18"/>
        </w:rPr>
      </w:pPr>
    </w:p>
    <w:p w14:paraId="704E1AE7" w14:textId="77777777" w:rsidR="00262F77" w:rsidRDefault="00262F77" w:rsidP="00DB5E40">
      <w:pPr>
        <w:rPr>
          <w:rFonts w:ascii="Arial" w:hAnsi="Arial" w:cs="Arial"/>
          <w:b/>
          <w:bCs/>
          <w:sz w:val="18"/>
          <w:szCs w:val="18"/>
        </w:rPr>
      </w:pPr>
    </w:p>
    <w:p w14:paraId="493C683F" w14:textId="77777777" w:rsidR="00262F77" w:rsidRDefault="00262F77" w:rsidP="00DB5E40">
      <w:pPr>
        <w:rPr>
          <w:rFonts w:ascii="Arial" w:hAnsi="Arial" w:cs="Arial"/>
          <w:b/>
          <w:bCs/>
          <w:sz w:val="18"/>
          <w:szCs w:val="18"/>
        </w:rPr>
      </w:pPr>
    </w:p>
    <w:p w14:paraId="744AA608" w14:textId="77777777" w:rsidR="00262F77" w:rsidRDefault="00262F77" w:rsidP="00DB5E40">
      <w:pPr>
        <w:rPr>
          <w:rFonts w:ascii="Arial" w:hAnsi="Arial" w:cs="Arial"/>
          <w:b/>
          <w:bCs/>
          <w:sz w:val="18"/>
          <w:szCs w:val="18"/>
        </w:rPr>
      </w:pPr>
    </w:p>
    <w:p w14:paraId="4C584A90" w14:textId="77777777" w:rsidR="00262F77" w:rsidRDefault="00262F77" w:rsidP="00DB5E40">
      <w:pPr>
        <w:rPr>
          <w:rFonts w:ascii="Arial" w:hAnsi="Arial" w:cs="Arial"/>
          <w:b/>
          <w:bCs/>
          <w:sz w:val="18"/>
          <w:szCs w:val="18"/>
        </w:rPr>
      </w:pPr>
    </w:p>
    <w:p w14:paraId="677E099E" w14:textId="77777777" w:rsidR="00262F77" w:rsidRDefault="00262F77" w:rsidP="00DB5E40">
      <w:pPr>
        <w:rPr>
          <w:rFonts w:ascii="Arial" w:hAnsi="Arial" w:cs="Arial"/>
          <w:b/>
          <w:bCs/>
          <w:sz w:val="18"/>
          <w:szCs w:val="18"/>
        </w:rPr>
      </w:pPr>
    </w:p>
    <w:p w14:paraId="69890B9F" w14:textId="77777777" w:rsidR="00262F77" w:rsidRDefault="00262F77" w:rsidP="00DB5E40">
      <w:pPr>
        <w:rPr>
          <w:rFonts w:ascii="Arial" w:hAnsi="Arial" w:cs="Arial"/>
          <w:b/>
          <w:bCs/>
          <w:sz w:val="18"/>
          <w:szCs w:val="18"/>
        </w:rPr>
      </w:pPr>
    </w:p>
    <w:p w14:paraId="2CA5EA87" w14:textId="77777777" w:rsidR="00262F77" w:rsidRDefault="00262F77" w:rsidP="00DB5E40">
      <w:pPr>
        <w:rPr>
          <w:rFonts w:ascii="Arial" w:hAnsi="Arial" w:cs="Arial"/>
          <w:b/>
          <w:bCs/>
          <w:sz w:val="18"/>
          <w:szCs w:val="18"/>
        </w:rPr>
      </w:pPr>
    </w:p>
    <w:p w14:paraId="7CBF60FC" w14:textId="77777777" w:rsidR="00262F77" w:rsidRDefault="00262F77" w:rsidP="00DB5E40">
      <w:pPr>
        <w:rPr>
          <w:rFonts w:ascii="Arial" w:hAnsi="Arial" w:cs="Arial"/>
          <w:b/>
          <w:bCs/>
          <w:sz w:val="18"/>
          <w:szCs w:val="18"/>
        </w:rPr>
      </w:pPr>
    </w:p>
    <w:p w14:paraId="5EFCED89" w14:textId="77777777" w:rsidR="00262F77" w:rsidRDefault="00262F77" w:rsidP="00DB5E40">
      <w:pPr>
        <w:rPr>
          <w:rFonts w:ascii="Arial" w:hAnsi="Arial" w:cs="Arial"/>
          <w:b/>
          <w:bCs/>
          <w:sz w:val="18"/>
          <w:szCs w:val="18"/>
        </w:rPr>
      </w:pPr>
    </w:p>
    <w:p w14:paraId="0CF1A795" w14:textId="77777777" w:rsidR="00262F77" w:rsidRDefault="00262F77" w:rsidP="00DB5E40">
      <w:pPr>
        <w:rPr>
          <w:rFonts w:ascii="Arial" w:hAnsi="Arial" w:cs="Arial"/>
          <w:b/>
          <w:bCs/>
          <w:sz w:val="18"/>
          <w:szCs w:val="18"/>
        </w:rPr>
      </w:pPr>
    </w:p>
    <w:p w14:paraId="530EAB94" w14:textId="77777777" w:rsidR="00262F77" w:rsidRDefault="00262F77" w:rsidP="00DB5E40">
      <w:pPr>
        <w:rPr>
          <w:rFonts w:ascii="Arial" w:hAnsi="Arial" w:cs="Arial"/>
          <w:b/>
          <w:bCs/>
          <w:sz w:val="18"/>
          <w:szCs w:val="18"/>
        </w:rPr>
      </w:pPr>
    </w:p>
    <w:p w14:paraId="49407EC4" w14:textId="77777777" w:rsidR="00262F77" w:rsidRDefault="00262F77" w:rsidP="00DB5E40">
      <w:pPr>
        <w:rPr>
          <w:rFonts w:ascii="Arial" w:hAnsi="Arial" w:cs="Arial"/>
          <w:b/>
          <w:bCs/>
          <w:sz w:val="18"/>
          <w:szCs w:val="18"/>
        </w:rPr>
      </w:pPr>
    </w:p>
    <w:p w14:paraId="60505CFF" w14:textId="77777777" w:rsidR="00262F77" w:rsidRDefault="00262F77" w:rsidP="00DB5E40">
      <w:pPr>
        <w:rPr>
          <w:rFonts w:ascii="Arial" w:hAnsi="Arial" w:cs="Arial"/>
          <w:b/>
          <w:bCs/>
          <w:sz w:val="18"/>
          <w:szCs w:val="18"/>
        </w:rPr>
      </w:pPr>
    </w:p>
    <w:p w14:paraId="279D2B2B" w14:textId="77777777" w:rsidR="00262F77" w:rsidRDefault="00262F77" w:rsidP="00DB5E40">
      <w:pPr>
        <w:rPr>
          <w:rFonts w:ascii="Arial" w:hAnsi="Arial" w:cs="Arial"/>
          <w:b/>
          <w:bCs/>
          <w:sz w:val="18"/>
          <w:szCs w:val="18"/>
        </w:rPr>
      </w:pPr>
    </w:p>
    <w:p w14:paraId="024C71E0" w14:textId="77777777" w:rsidR="00262F77" w:rsidRDefault="00262F77" w:rsidP="00DB5E40">
      <w:pPr>
        <w:rPr>
          <w:rFonts w:ascii="Arial" w:hAnsi="Arial" w:cs="Arial"/>
          <w:b/>
          <w:bCs/>
          <w:sz w:val="18"/>
          <w:szCs w:val="18"/>
        </w:rPr>
      </w:pPr>
    </w:p>
    <w:p w14:paraId="674655B1" w14:textId="77777777" w:rsidR="00262F77" w:rsidRDefault="00262F77" w:rsidP="00DB5E40">
      <w:pPr>
        <w:rPr>
          <w:rFonts w:ascii="Arial" w:hAnsi="Arial" w:cs="Arial"/>
          <w:b/>
          <w:bCs/>
          <w:sz w:val="18"/>
          <w:szCs w:val="18"/>
        </w:rPr>
      </w:pPr>
    </w:p>
    <w:p w14:paraId="435F7CC9" w14:textId="77777777" w:rsidR="00262F77" w:rsidRDefault="00262F77" w:rsidP="00DB5E40">
      <w:pPr>
        <w:rPr>
          <w:rFonts w:ascii="Arial" w:hAnsi="Arial" w:cs="Arial"/>
          <w:b/>
          <w:bCs/>
          <w:sz w:val="18"/>
          <w:szCs w:val="18"/>
        </w:rPr>
      </w:pPr>
    </w:p>
    <w:p w14:paraId="4509C77B" w14:textId="77777777" w:rsidR="00262F77" w:rsidRDefault="00262F77" w:rsidP="00DB5E40">
      <w:pPr>
        <w:rPr>
          <w:rFonts w:ascii="Arial" w:hAnsi="Arial" w:cs="Arial"/>
          <w:b/>
          <w:bCs/>
          <w:sz w:val="18"/>
          <w:szCs w:val="18"/>
        </w:rPr>
      </w:pPr>
    </w:p>
    <w:p w14:paraId="05CFB5D5" w14:textId="77777777" w:rsidR="00262F77" w:rsidRDefault="00262F77" w:rsidP="00DB5E40">
      <w:pPr>
        <w:rPr>
          <w:rFonts w:ascii="Arial" w:hAnsi="Arial" w:cs="Arial"/>
          <w:b/>
          <w:bCs/>
          <w:sz w:val="18"/>
          <w:szCs w:val="18"/>
        </w:rPr>
      </w:pPr>
    </w:p>
    <w:p w14:paraId="318DE856" w14:textId="77777777" w:rsidR="00262F77" w:rsidRDefault="00262F77" w:rsidP="00DB5E40">
      <w:pPr>
        <w:rPr>
          <w:b/>
          <w:bCs/>
        </w:rPr>
      </w:pPr>
    </w:p>
    <w:p w14:paraId="4F15FD70" w14:textId="29095A85" w:rsidR="00C110C4" w:rsidRDefault="00964799" w:rsidP="00916655">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5"/>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F0AB" w14:textId="77777777" w:rsidR="00B66A26" w:rsidRDefault="00B66A26" w:rsidP="006D4D44">
      <w:r>
        <w:separator/>
      </w:r>
    </w:p>
  </w:endnote>
  <w:endnote w:type="continuationSeparator" w:id="0">
    <w:p w14:paraId="5814CC7B" w14:textId="77777777" w:rsidR="00B66A26" w:rsidRDefault="00B66A26" w:rsidP="006D4D44">
      <w:r>
        <w:continuationSeparator/>
      </w:r>
    </w:p>
  </w:endnote>
  <w:endnote w:type="continuationNotice" w:id="1">
    <w:p w14:paraId="52CA8715" w14:textId="77777777" w:rsidR="00B66A26" w:rsidRDefault="00B66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1CFF" w14:textId="77777777" w:rsidR="00B66A26" w:rsidRDefault="00B66A26" w:rsidP="006D4D44">
      <w:r>
        <w:separator/>
      </w:r>
    </w:p>
  </w:footnote>
  <w:footnote w:type="continuationSeparator" w:id="0">
    <w:p w14:paraId="634671D5" w14:textId="77777777" w:rsidR="00B66A26" w:rsidRDefault="00B66A26" w:rsidP="006D4D44">
      <w:r>
        <w:continuationSeparator/>
      </w:r>
    </w:p>
  </w:footnote>
  <w:footnote w:type="continuationNotice" w:id="1">
    <w:p w14:paraId="64A5853E" w14:textId="77777777" w:rsidR="00B66A26" w:rsidRDefault="00B66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12D22CB"/>
    <w:multiLevelType w:val="hybridMultilevel"/>
    <w:tmpl w:val="E684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E1510"/>
    <w:multiLevelType w:val="hybridMultilevel"/>
    <w:tmpl w:val="784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CC04BAB"/>
    <w:multiLevelType w:val="hybridMultilevel"/>
    <w:tmpl w:val="AF280E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0"/>
  </w:num>
  <w:num w:numId="2" w16cid:durableId="48959668">
    <w:abstractNumId w:val="6"/>
  </w:num>
  <w:num w:numId="3" w16cid:durableId="1865634184">
    <w:abstractNumId w:val="3"/>
  </w:num>
  <w:num w:numId="4" w16cid:durableId="1817600806">
    <w:abstractNumId w:val="9"/>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4"/>
  </w:num>
  <w:num w:numId="11" w16cid:durableId="2083286213">
    <w:abstractNumId w:val="4"/>
  </w:num>
  <w:num w:numId="12" w16cid:durableId="241069624">
    <w:abstractNumId w:val="7"/>
  </w:num>
  <w:num w:numId="13" w16cid:durableId="297607453">
    <w:abstractNumId w:val="1"/>
  </w:num>
  <w:num w:numId="14" w16cid:durableId="46534757">
    <w:abstractNumId w:val="5"/>
  </w:num>
  <w:num w:numId="15" w16cid:durableId="664355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1A86"/>
    <w:rsid w:val="00152BE0"/>
    <w:rsid w:val="001552BD"/>
    <w:rsid w:val="0018116A"/>
    <w:rsid w:val="00184C46"/>
    <w:rsid w:val="001977E8"/>
    <w:rsid w:val="001A5EE7"/>
    <w:rsid w:val="001A7EE6"/>
    <w:rsid w:val="001B4F0A"/>
    <w:rsid w:val="001C40B2"/>
    <w:rsid w:val="001D50F4"/>
    <w:rsid w:val="001E02EB"/>
    <w:rsid w:val="001E3F05"/>
    <w:rsid w:val="001E591E"/>
    <w:rsid w:val="001E7197"/>
    <w:rsid w:val="001E7201"/>
    <w:rsid w:val="001E774C"/>
    <w:rsid w:val="001F3739"/>
    <w:rsid w:val="001F43D2"/>
    <w:rsid w:val="001F56D9"/>
    <w:rsid w:val="001F5C68"/>
    <w:rsid w:val="001F624C"/>
    <w:rsid w:val="001F7295"/>
    <w:rsid w:val="001F7939"/>
    <w:rsid w:val="002040E4"/>
    <w:rsid w:val="0020641D"/>
    <w:rsid w:val="002312B7"/>
    <w:rsid w:val="002316D2"/>
    <w:rsid w:val="00245322"/>
    <w:rsid w:val="002538DB"/>
    <w:rsid w:val="00260BC4"/>
    <w:rsid w:val="00261E81"/>
    <w:rsid w:val="00262F77"/>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D6DE0"/>
    <w:rsid w:val="003E02E2"/>
    <w:rsid w:val="003E0478"/>
    <w:rsid w:val="003E1946"/>
    <w:rsid w:val="003E3F57"/>
    <w:rsid w:val="003F2057"/>
    <w:rsid w:val="003F40DF"/>
    <w:rsid w:val="004028F1"/>
    <w:rsid w:val="00402BB9"/>
    <w:rsid w:val="00417BD4"/>
    <w:rsid w:val="0042045B"/>
    <w:rsid w:val="00420833"/>
    <w:rsid w:val="00425D5F"/>
    <w:rsid w:val="00431E7C"/>
    <w:rsid w:val="00447F3F"/>
    <w:rsid w:val="00454E9E"/>
    <w:rsid w:val="00460766"/>
    <w:rsid w:val="00466581"/>
    <w:rsid w:val="0047390D"/>
    <w:rsid w:val="00480CA5"/>
    <w:rsid w:val="00495AF2"/>
    <w:rsid w:val="004A3885"/>
    <w:rsid w:val="004A78E6"/>
    <w:rsid w:val="004B3F43"/>
    <w:rsid w:val="004C2B43"/>
    <w:rsid w:val="004C735C"/>
    <w:rsid w:val="004D0D26"/>
    <w:rsid w:val="004D6A40"/>
    <w:rsid w:val="004E3F6D"/>
    <w:rsid w:val="004E401D"/>
    <w:rsid w:val="00502C2A"/>
    <w:rsid w:val="005270DD"/>
    <w:rsid w:val="005331C6"/>
    <w:rsid w:val="00560301"/>
    <w:rsid w:val="00561D0A"/>
    <w:rsid w:val="0056575C"/>
    <w:rsid w:val="0056680F"/>
    <w:rsid w:val="00592833"/>
    <w:rsid w:val="005954B9"/>
    <w:rsid w:val="005A2B76"/>
    <w:rsid w:val="005A6439"/>
    <w:rsid w:val="005B1BD6"/>
    <w:rsid w:val="005B7BA0"/>
    <w:rsid w:val="005D137A"/>
    <w:rsid w:val="005D7E88"/>
    <w:rsid w:val="005E3AB1"/>
    <w:rsid w:val="005F21B0"/>
    <w:rsid w:val="00607C0A"/>
    <w:rsid w:val="00622BBD"/>
    <w:rsid w:val="0062693F"/>
    <w:rsid w:val="006418F8"/>
    <w:rsid w:val="00643F0F"/>
    <w:rsid w:val="00650E75"/>
    <w:rsid w:val="00661567"/>
    <w:rsid w:val="006712F8"/>
    <w:rsid w:val="00671CDA"/>
    <w:rsid w:val="00675C3D"/>
    <w:rsid w:val="0069576E"/>
    <w:rsid w:val="006B1941"/>
    <w:rsid w:val="006C1774"/>
    <w:rsid w:val="006C2154"/>
    <w:rsid w:val="006C4019"/>
    <w:rsid w:val="006C46CB"/>
    <w:rsid w:val="006D3AB7"/>
    <w:rsid w:val="006D4D44"/>
    <w:rsid w:val="006F0CBA"/>
    <w:rsid w:val="006F3AA3"/>
    <w:rsid w:val="00714685"/>
    <w:rsid w:val="00720A44"/>
    <w:rsid w:val="00731F21"/>
    <w:rsid w:val="007368D0"/>
    <w:rsid w:val="00755B7F"/>
    <w:rsid w:val="00775FBA"/>
    <w:rsid w:val="00782853"/>
    <w:rsid w:val="00782BF3"/>
    <w:rsid w:val="00786A8B"/>
    <w:rsid w:val="007940DD"/>
    <w:rsid w:val="00795DE6"/>
    <w:rsid w:val="007A1EC5"/>
    <w:rsid w:val="007A7B89"/>
    <w:rsid w:val="007B4A50"/>
    <w:rsid w:val="007C2C25"/>
    <w:rsid w:val="007C3600"/>
    <w:rsid w:val="007C4512"/>
    <w:rsid w:val="007C701F"/>
    <w:rsid w:val="007D1C0C"/>
    <w:rsid w:val="007D770C"/>
    <w:rsid w:val="007E13D8"/>
    <w:rsid w:val="007E3C94"/>
    <w:rsid w:val="007E4676"/>
    <w:rsid w:val="007E4FEE"/>
    <w:rsid w:val="007E7D58"/>
    <w:rsid w:val="007F72FF"/>
    <w:rsid w:val="00800BFA"/>
    <w:rsid w:val="0081473B"/>
    <w:rsid w:val="008162B1"/>
    <w:rsid w:val="0081639D"/>
    <w:rsid w:val="0082099A"/>
    <w:rsid w:val="00824FEA"/>
    <w:rsid w:val="00836AF8"/>
    <w:rsid w:val="008373F3"/>
    <w:rsid w:val="00841C2B"/>
    <w:rsid w:val="00852203"/>
    <w:rsid w:val="008736A8"/>
    <w:rsid w:val="00876766"/>
    <w:rsid w:val="00877E60"/>
    <w:rsid w:val="00880830"/>
    <w:rsid w:val="0089641B"/>
    <w:rsid w:val="00897DEE"/>
    <w:rsid w:val="008A6193"/>
    <w:rsid w:val="008B397E"/>
    <w:rsid w:val="008C06F3"/>
    <w:rsid w:val="008C0AAD"/>
    <w:rsid w:val="008C6DE8"/>
    <w:rsid w:val="008F21B2"/>
    <w:rsid w:val="008F26D3"/>
    <w:rsid w:val="008F3164"/>
    <w:rsid w:val="008F6523"/>
    <w:rsid w:val="00902AD3"/>
    <w:rsid w:val="0090448C"/>
    <w:rsid w:val="00904553"/>
    <w:rsid w:val="00916655"/>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121D"/>
    <w:rsid w:val="00A242C1"/>
    <w:rsid w:val="00A276E2"/>
    <w:rsid w:val="00A348D3"/>
    <w:rsid w:val="00A44982"/>
    <w:rsid w:val="00A81221"/>
    <w:rsid w:val="00A81E57"/>
    <w:rsid w:val="00A82FE8"/>
    <w:rsid w:val="00A96855"/>
    <w:rsid w:val="00A96A21"/>
    <w:rsid w:val="00AC09C3"/>
    <w:rsid w:val="00AD73E4"/>
    <w:rsid w:val="00AE364D"/>
    <w:rsid w:val="00AE4917"/>
    <w:rsid w:val="00AE4BE3"/>
    <w:rsid w:val="00B16F5C"/>
    <w:rsid w:val="00B23851"/>
    <w:rsid w:val="00B45454"/>
    <w:rsid w:val="00B45D84"/>
    <w:rsid w:val="00B462BF"/>
    <w:rsid w:val="00B46D37"/>
    <w:rsid w:val="00B632B0"/>
    <w:rsid w:val="00B66A26"/>
    <w:rsid w:val="00B76B73"/>
    <w:rsid w:val="00B82024"/>
    <w:rsid w:val="00B95668"/>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B0EA7"/>
    <w:rsid w:val="00CD0BC1"/>
    <w:rsid w:val="00CD1766"/>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B5E40"/>
    <w:rsid w:val="00DC3186"/>
    <w:rsid w:val="00DD176F"/>
    <w:rsid w:val="00DD5B37"/>
    <w:rsid w:val="00DE4F91"/>
    <w:rsid w:val="00DF1F5A"/>
    <w:rsid w:val="00DF7B9A"/>
    <w:rsid w:val="00E02BF7"/>
    <w:rsid w:val="00E16FA0"/>
    <w:rsid w:val="00E25618"/>
    <w:rsid w:val="00E3048C"/>
    <w:rsid w:val="00E31A41"/>
    <w:rsid w:val="00E42D4F"/>
    <w:rsid w:val="00E4362A"/>
    <w:rsid w:val="00E567F8"/>
    <w:rsid w:val="00E71E78"/>
    <w:rsid w:val="00E72C17"/>
    <w:rsid w:val="00E747E2"/>
    <w:rsid w:val="00E767AE"/>
    <w:rsid w:val="00E76D6F"/>
    <w:rsid w:val="00E82DFB"/>
    <w:rsid w:val="00E82F01"/>
    <w:rsid w:val="00E865B9"/>
    <w:rsid w:val="00E96B1C"/>
    <w:rsid w:val="00EA529F"/>
    <w:rsid w:val="00EB5236"/>
    <w:rsid w:val="00EC766E"/>
    <w:rsid w:val="00ED37D5"/>
    <w:rsid w:val="00ED3EB7"/>
    <w:rsid w:val="00ED7D8D"/>
    <w:rsid w:val="00EE13E2"/>
    <w:rsid w:val="00EE40F2"/>
    <w:rsid w:val="00EF562A"/>
    <w:rsid w:val="00F0235A"/>
    <w:rsid w:val="00F060B0"/>
    <w:rsid w:val="00F250A6"/>
    <w:rsid w:val="00F315B1"/>
    <w:rsid w:val="00F34637"/>
    <w:rsid w:val="00F360EF"/>
    <w:rsid w:val="00F41BF3"/>
    <w:rsid w:val="00F465C6"/>
    <w:rsid w:val="00F476E9"/>
    <w:rsid w:val="00F5113F"/>
    <w:rsid w:val="00F52B8D"/>
    <w:rsid w:val="00F55C82"/>
    <w:rsid w:val="00F60A5A"/>
    <w:rsid w:val="00F622CE"/>
    <w:rsid w:val="00F703C7"/>
    <w:rsid w:val="00F76444"/>
    <w:rsid w:val="00F77094"/>
    <w:rsid w:val="00F81522"/>
    <w:rsid w:val="00F8531F"/>
    <w:rsid w:val="00F8541A"/>
    <w:rsid w:val="00F86373"/>
    <w:rsid w:val="00FA2C69"/>
    <w:rsid w:val="00FA703D"/>
    <w:rsid w:val="00FB1103"/>
    <w:rsid w:val="00FD57F2"/>
    <w:rsid w:val="00FD7AA5"/>
    <w:rsid w:val="00FF5115"/>
    <w:rsid w:val="1A600E96"/>
    <w:rsid w:val="1B49986C"/>
    <w:rsid w:val="34B6AD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552B238C-D6D6-413B-B0A1-908F6FC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Links>
    <vt:vector size="6" baseType="variant">
      <vt:variant>
        <vt:i4>8323186</vt:i4>
      </vt:variant>
      <vt:variant>
        <vt:i4>0</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Jessica Hughes</cp:lastModifiedBy>
  <cp:revision>38</cp:revision>
  <dcterms:created xsi:type="dcterms:W3CDTF">2025-06-20T22:35:00Z</dcterms:created>
  <dcterms:modified xsi:type="dcterms:W3CDTF">2025-07-02T14:40:00Z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