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B7E5" w14:textId="4A485CB1" w:rsidR="00652A16" w:rsidRDefault="00652A16" w:rsidP="00B77814">
      <w:pPr>
        <w:pStyle w:val="KHTitle"/>
        <w:rPr>
          <w:rFonts w:asciiTheme="minorHAnsi" w:hAnsiTheme="minorHAnsi" w:cstheme="minorHAnsi"/>
          <w:color w:val="auto"/>
          <w:sz w:val="20"/>
          <w:szCs w:val="20"/>
        </w:rPr>
      </w:pPr>
    </w:p>
    <w:p w14:paraId="5518D5BB" w14:textId="6F44EF40" w:rsidR="00652A16" w:rsidRDefault="00652A16" w:rsidP="00B77814">
      <w:pPr>
        <w:pStyle w:val="KHTitle"/>
        <w:rPr>
          <w:rFonts w:asciiTheme="minorHAnsi" w:hAnsiTheme="minorHAnsi" w:cstheme="minorHAnsi"/>
          <w:color w:val="auto"/>
          <w:sz w:val="20"/>
          <w:szCs w:val="20"/>
        </w:rPr>
      </w:pPr>
    </w:p>
    <w:p w14:paraId="429B6881" w14:textId="77777777" w:rsidR="00652A16" w:rsidRPr="00B77814" w:rsidRDefault="00652A16" w:rsidP="00B77814">
      <w:pPr>
        <w:pStyle w:val="KHTitle"/>
        <w:rPr>
          <w:rFonts w:asciiTheme="minorHAnsi" w:hAnsiTheme="minorHAnsi" w:cstheme="minorHAnsi"/>
          <w:color w:val="auto"/>
          <w:sz w:val="20"/>
          <w:szCs w:val="20"/>
        </w:rPr>
      </w:pPr>
    </w:p>
    <w:p w14:paraId="56C06185" w14:textId="3CF624E8" w:rsidR="798ECFF1" w:rsidRPr="00B77814" w:rsidRDefault="798ECFF1" w:rsidP="00B77814">
      <w:pPr>
        <w:pStyle w:val="KHTitle"/>
        <w:rPr>
          <w:rFonts w:asciiTheme="minorHAnsi" w:hAnsiTheme="minorHAnsi" w:cstheme="minorHAnsi"/>
          <w:color w:val="auto"/>
          <w:sz w:val="20"/>
          <w:szCs w:val="20"/>
        </w:rPr>
      </w:pPr>
    </w:p>
    <w:p w14:paraId="57EF46A9" w14:textId="013B2C62" w:rsidR="798ECFF1" w:rsidRPr="00B77814" w:rsidRDefault="798ECFF1" w:rsidP="00B77814">
      <w:pPr>
        <w:pStyle w:val="KHTitle"/>
        <w:rPr>
          <w:rFonts w:asciiTheme="minorHAnsi" w:hAnsiTheme="minorHAnsi" w:cstheme="minorHAnsi"/>
          <w:color w:val="auto"/>
          <w:sz w:val="20"/>
          <w:szCs w:val="20"/>
        </w:rPr>
      </w:pPr>
    </w:p>
    <w:tbl>
      <w:tblPr>
        <w:tblStyle w:val="AshurstPlainGrid"/>
        <w:tblW w:w="0" w:type="auto"/>
        <w:tblLook w:val="04A0" w:firstRow="1" w:lastRow="0" w:firstColumn="1" w:lastColumn="0" w:noHBand="0" w:noVBand="1"/>
      </w:tblPr>
      <w:tblGrid>
        <w:gridCol w:w="9027"/>
      </w:tblGrid>
      <w:tr w:rsidR="007F1680" w14:paraId="4B8D0745" w14:textId="77777777" w:rsidTr="3D836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7" w:type="dxa"/>
          </w:tcPr>
          <w:p w14:paraId="45F5938D" w14:textId="77777777" w:rsidR="00252540" w:rsidRDefault="00252540" w:rsidP="13194169">
            <w:pPr>
              <w:pStyle w:val="KHTitle"/>
              <w:jc w:val="center"/>
              <w:rPr>
                <w:rFonts w:asciiTheme="minorHAnsi" w:hAnsiTheme="minorHAnsi"/>
                <w:color w:val="auto"/>
                <w:sz w:val="44"/>
                <w:szCs w:val="44"/>
              </w:rPr>
            </w:pPr>
          </w:p>
          <w:p w14:paraId="687FA2D0" w14:textId="77777777" w:rsidR="00252540" w:rsidRDefault="00252540" w:rsidP="13194169">
            <w:pPr>
              <w:pStyle w:val="KHTitle"/>
              <w:jc w:val="center"/>
              <w:rPr>
                <w:rFonts w:asciiTheme="minorHAnsi" w:hAnsiTheme="minorHAnsi"/>
                <w:color w:val="auto"/>
                <w:sz w:val="44"/>
                <w:szCs w:val="44"/>
              </w:rPr>
            </w:pPr>
          </w:p>
          <w:p w14:paraId="1FB26959" w14:textId="6922F5B1" w:rsidR="00252540" w:rsidRDefault="00F26284" w:rsidP="3D83606E">
            <w:pPr>
              <w:pStyle w:val="KHTitle"/>
              <w:jc w:val="center"/>
              <w:rPr>
                <w:rFonts w:asciiTheme="minorHAnsi" w:hAnsiTheme="minorHAnsi"/>
                <w:color w:val="auto"/>
                <w:sz w:val="44"/>
                <w:szCs w:val="44"/>
              </w:rPr>
            </w:pPr>
            <w:r w:rsidRPr="3D83606E">
              <w:rPr>
                <w:rFonts w:asciiTheme="minorHAnsi" w:hAnsiTheme="minorHAnsi"/>
                <w:color w:val="auto"/>
                <w:sz w:val="44"/>
                <w:szCs w:val="44"/>
              </w:rPr>
              <w:t xml:space="preserve">Great British </w:t>
            </w:r>
            <w:r w:rsidR="0053020C" w:rsidRPr="3D83606E">
              <w:rPr>
                <w:rFonts w:asciiTheme="minorHAnsi" w:hAnsiTheme="minorHAnsi"/>
                <w:color w:val="auto"/>
                <w:sz w:val="44"/>
                <w:szCs w:val="44"/>
              </w:rPr>
              <w:t xml:space="preserve">Energy - </w:t>
            </w:r>
            <w:r w:rsidRPr="3D83606E">
              <w:rPr>
                <w:rFonts w:asciiTheme="minorHAnsi" w:hAnsiTheme="minorHAnsi"/>
                <w:color w:val="auto"/>
                <w:sz w:val="44"/>
                <w:szCs w:val="44"/>
              </w:rPr>
              <w:t>Nuclear</w:t>
            </w:r>
          </w:p>
          <w:p w14:paraId="2218131C" w14:textId="54D30EFB" w:rsidR="00B77814" w:rsidRPr="008959CF" w:rsidRDefault="00F26284" w:rsidP="00252540">
            <w:pPr>
              <w:pStyle w:val="KHTitle"/>
              <w:jc w:val="center"/>
              <w:rPr>
                <w:rFonts w:asciiTheme="minorHAnsi" w:hAnsiTheme="minorHAnsi"/>
                <w:color w:val="auto"/>
                <w:sz w:val="44"/>
                <w:szCs w:val="44"/>
              </w:rPr>
            </w:pPr>
            <w:r w:rsidRPr="008959CF">
              <w:rPr>
                <w:rFonts w:asciiTheme="minorHAnsi" w:hAnsiTheme="minorHAnsi"/>
                <w:color w:val="auto"/>
                <w:sz w:val="44"/>
                <w:szCs w:val="44"/>
              </w:rPr>
              <w:t xml:space="preserve">Procurement for </w:t>
            </w:r>
            <w:r w:rsidR="008959CF">
              <w:rPr>
                <w:rFonts w:asciiTheme="minorHAnsi" w:hAnsiTheme="minorHAnsi"/>
                <w:color w:val="auto"/>
                <w:sz w:val="44"/>
                <w:szCs w:val="44"/>
              </w:rPr>
              <w:t>Owner's Engineer</w:t>
            </w:r>
          </w:p>
          <w:p w14:paraId="5BCCBB42" w14:textId="69E3EFA7" w:rsidR="00B77814" w:rsidRPr="007B0573" w:rsidRDefault="00F26284" w:rsidP="00252540">
            <w:pPr>
              <w:pStyle w:val="KHTitle"/>
              <w:jc w:val="center"/>
              <w:rPr>
                <w:rFonts w:asciiTheme="minorHAnsi" w:hAnsiTheme="minorHAnsi"/>
                <w:color w:val="auto"/>
                <w:sz w:val="44"/>
                <w:szCs w:val="44"/>
              </w:rPr>
            </w:pPr>
            <w:r w:rsidRPr="007B0573">
              <w:rPr>
                <w:rFonts w:asciiTheme="minorHAnsi" w:hAnsiTheme="minorHAnsi"/>
                <w:color w:val="auto"/>
                <w:sz w:val="44"/>
                <w:szCs w:val="44"/>
              </w:rPr>
              <w:t>Procurement Specific Questionnaire</w:t>
            </w:r>
            <w:r w:rsidR="00252540" w:rsidRPr="007B0573">
              <w:rPr>
                <w:rFonts w:asciiTheme="minorHAnsi" w:hAnsiTheme="minorHAnsi"/>
                <w:color w:val="auto"/>
                <w:sz w:val="44"/>
                <w:szCs w:val="44"/>
              </w:rPr>
              <w:t xml:space="preserve"> </w:t>
            </w:r>
            <w:r w:rsidRPr="007B0573">
              <w:rPr>
                <w:rFonts w:asciiTheme="minorHAnsi" w:hAnsiTheme="minorHAnsi"/>
                <w:color w:val="auto"/>
                <w:sz w:val="44"/>
                <w:szCs w:val="44"/>
              </w:rPr>
              <w:t>Instructions</w:t>
            </w:r>
          </w:p>
          <w:p w14:paraId="2112066B" w14:textId="77777777" w:rsidR="00B77814" w:rsidRPr="008959CF" w:rsidRDefault="00B77814" w:rsidP="00B77814">
            <w:pPr>
              <w:pStyle w:val="KHTitle"/>
              <w:rPr>
                <w:rFonts w:asciiTheme="minorHAnsi" w:hAnsiTheme="minorHAnsi" w:cstheme="minorHAnsi"/>
                <w:color w:val="auto"/>
                <w:sz w:val="20"/>
                <w:szCs w:val="20"/>
                <w:lang w:val="fr-FR"/>
              </w:rPr>
            </w:pPr>
          </w:p>
        </w:tc>
      </w:tr>
    </w:tbl>
    <w:p w14:paraId="2C55FE29" w14:textId="1C2EA201" w:rsidR="798ECFF1" w:rsidRPr="008959CF" w:rsidRDefault="798ECFF1" w:rsidP="00B77814">
      <w:pPr>
        <w:pStyle w:val="KHTitle"/>
        <w:rPr>
          <w:rFonts w:asciiTheme="minorHAnsi" w:hAnsiTheme="minorHAnsi" w:cstheme="minorHAnsi"/>
          <w:color w:val="auto"/>
          <w:sz w:val="20"/>
          <w:szCs w:val="20"/>
          <w:lang w:val="fr-FR"/>
        </w:rPr>
      </w:pPr>
    </w:p>
    <w:p w14:paraId="7364FB5F" w14:textId="77777777" w:rsidR="000146F0" w:rsidRPr="008959CF" w:rsidRDefault="000146F0" w:rsidP="007F664D">
      <w:pPr>
        <w:pStyle w:val="KHTitle"/>
        <w:jc w:val="center"/>
        <w:rPr>
          <w:rFonts w:asciiTheme="minorHAnsi" w:hAnsiTheme="minorHAnsi" w:cstheme="minorHAnsi"/>
          <w:color w:val="auto"/>
          <w:sz w:val="20"/>
          <w:szCs w:val="20"/>
          <w:lang w:val="fr-FR"/>
        </w:rPr>
      </w:pPr>
    </w:p>
    <w:p w14:paraId="5CC2981C" w14:textId="77777777" w:rsidR="004F2E24" w:rsidRPr="008959CF" w:rsidRDefault="004F2E24" w:rsidP="007F664D">
      <w:pPr>
        <w:pStyle w:val="KHTitle"/>
        <w:jc w:val="center"/>
        <w:rPr>
          <w:rFonts w:asciiTheme="minorHAnsi" w:hAnsiTheme="minorHAnsi" w:cstheme="minorHAnsi"/>
          <w:color w:val="auto"/>
          <w:sz w:val="20"/>
          <w:szCs w:val="20"/>
          <w:lang w:val="fr-FR"/>
        </w:rPr>
      </w:pPr>
    </w:p>
    <w:p w14:paraId="712C5F23" w14:textId="19EFC329" w:rsidR="004F2E24" w:rsidRPr="008959CF" w:rsidRDefault="004F2E24" w:rsidP="00915B3D">
      <w:pPr>
        <w:pStyle w:val="KHTitle"/>
        <w:jc w:val="center"/>
        <w:rPr>
          <w:rFonts w:asciiTheme="minorHAnsi" w:hAnsiTheme="minorHAnsi" w:cstheme="minorHAnsi"/>
          <w:color w:val="auto"/>
          <w:sz w:val="20"/>
          <w:szCs w:val="20"/>
          <w:lang w:val="fr-FR"/>
        </w:rPr>
      </w:pPr>
    </w:p>
    <w:p w14:paraId="24FE261F" w14:textId="05631EC2" w:rsidR="00915B3D" w:rsidRPr="008959CF" w:rsidRDefault="00F26284">
      <w:pPr>
        <w:rPr>
          <w:rFonts w:cstheme="minorHAnsi"/>
          <w:szCs w:val="20"/>
          <w:lang w:val="fr-FR"/>
        </w:rPr>
      </w:pPr>
      <w:r w:rsidRPr="008959CF">
        <w:rPr>
          <w:rFonts w:cstheme="minorHAnsi"/>
          <w:szCs w:val="20"/>
          <w:lang w:val="fr-FR"/>
        </w:rPr>
        <w:br w:type="page"/>
      </w:r>
    </w:p>
    <w:p w14:paraId="5FEEB239" w14:textId="3F970B79" w:rsidR="00B34E77" w:rsidRDefault="00F26284" w:rsidP="002D1EEB">
      <w:pPr>
        <w:pStyle w:val="TOCSubHeadingAshurst"/>
        <w:rPr>
          <w:rFonts w:cstheme="minorHAnsi"/>
          <w:sz w:val="24"/>
        </w:rPr>
      </w:pPr>
      <w:bookmarkStart w:id="0" w:name="_Ref140607608"/>
      <w:bookmarkStart w:id="1" w:name="_Toc185412131"/>
      <w:bookmarkStart w:id="2" w:name="_Toc190707073"/>
      <w:bookmarkStart w:id="3" w:name="_Toc190707082"/>
      <w:bookmarkStart w:id="4" w:name="_Toc190707132"/>
      <w:r>
        <w:rPr>
          <w:rFonts w:cstheme="minorHAnsi"/>
          <w:sz w:val="24"/>
        </w:rPr>
        <w:lastRenderedPageBreak/>
        <w:t xml:space="preserve">A. </w:t>
      </w:r>
      <w:r w:rsidR="007A2735" w:rsidRPr="00B34E77">
        <w:rPr>
          <w:rFonts w:cstheme="minorHAnsi"/>
          <w:sz w:val="24"/>
        </w:rPr>
        <w:t>Introduction</w:t>
      </w:r>
      <w:bookmarkEnd w:id="0"/>
      <w:bookmarkEnd w:id="1"/>
      <w:bookmarkEnd w:id="2"/>
      <w:bookmarkEnd w:id="3"/>
      <w:bookmarkEnd w:id="4"/>
    </w:p>
    <w:p w14:paraId="53FF473D" w14:textId="77777777" w:rsidR="00A56362" w:rsidRPr="0008642B" w:rsidRDefault="00F26284" w:rsidP="00A56362">
      <w:pPr>
        <w:pStyle w:val="NormalAshurst"/>
        <w:jc w:val="center"/>
        <w:rPr>
          <w:b/>
          <w:bCs/>
        </w:rPr>
      </w:pPr>
      <w:r w:rsidRPr="0008642B">
        <w:rPr>
          <w:b/>
          <w:bCs/>
        </w:rPr>
        <w:t>IMPORTANT NOTICE</w:t>
      </w:r>
    </w:p>
    <w:p w14:paraId="1C667658" w14:textId="77777777" w:rsidR="00A56362" w:rsidRPr="00A56362" w:rsidRDefault="00F26284" w:rsidP="00A56362">
      <w:pPr>
        <w:pStyle w:val="NormalAshurst"/>
        <w:rPr>
          <w:b/>
          <w:bCs/>
          <w:sz w:val="20"/>
          <w:szCs w:val="20"/>
        </w:rPr>
      </w:pPr>
      <w:r w:rsidRPr="00A56362">
        <w:rPr>
          <w:b/>
          <w:bCs/>
          <w:sz w:val="20"/>
          <w:szCs w:val="20"/>
        </w:rPr>
        <w:t>Confidentiality and publicity</w:t>
      </w:r>
    </w:p>
    <w:p w14:paraId="21D6C68B" w14:textId="43CA0290" w:rsidR="00A56362" w:rsidRPr="00A56362" w:rsidRDefault="00F26284" w:rsidP="00A56362">
      <w:pPr>
        <w:pStyle w:val="NormalAshurst"/>
        <w:rPr>
          <w:sz w:val="20"/>
          <w:szCs w:val="20"/>
        </w:rPr>
      </w:pPr>
      <w:r w:rsidRPr="3D83606E">
        <w:rPr>
          <w:sz w:val="20"/>
          <w:szCs w:val="20"/>
        </w:rPr>
        <w:t xml:space="preserve">This document, the information herein and any attachments (including any email that accompanies it), any oral briefing in connection with it, any question-and-answer session that may follow that briefing and any further additional materials distributed in connection with it (either through the Jaggaer portal or otherwise) is strictly confidential and has been prepared by </w:t>
      </w:r>
      <w:r w:rsidR="0053020C" w:rsidRPr="3D83606E">
        <w:rPr>
          <w:sz w:val="20"/>
          <w:szCs w:val="20"/>
        </w:rPr>
        <w:t>GBE-N</w:t>
      </w:r>
      <w:r w:rsidRPr="3D83606E">
        <w:rPr>
          <w:sz w:val="20"/>
          <w:szCs w:val="20"/>
        </w:rPr>
        <w:t xml:space="preserve">, and is being provided to those parties </w:t>
      </w:r>
      <w:r w:rsidR="00AD377E" w:rsidRPr="3D83606E">
        <w:rPr>
          <w:sz w:val="20"/>
          <w:szCs w:val="20"/>
        </w:rPr>
        <w:t xml:space="preserve">which are interested in </w:t>
      </w:r>
      <w:r w:rsidRPr="3D83606E">
        <w:rPr>
          <w:sz w:val="20"/>
          <w:szCs w:val="20"/>
        </w:rPr>
        <w:t>submit</w:t>
      </w:r>
      <w:r w:rsidR="00AD377E" w:rsidRPr="3D83606E">
        <w:rPr>
          <w:sz w:val="20"/>
          <w:szCs w:val="20"/>
        </w:rPr>
        <w:t xml:space="preserve">ting </w:t>
      </w:r>
      <w:r w:rsidRPr="3D83606E">
        <w:rPr>
          <w:sz w:val="20"/>
          <w:szCs w:val="20"/>
        </w:rPr>
        <w:t xml:space="preserve">a </w:t>
      </w:r>
      <w:r w:rsidR="00CA14C9" w:rsidRPr="3D83606E">
        <w:rPr>
          <w:sz w:val="20"/>
          <w:szCs w:val="20"/>
        </w:rPr>
        <w:t>PSQ</w:t>
      </w:r>
      <w:r w:rsidRPr="3D83606E">
        <w:rPr>
          <w:sz w:val="20"/>
          <w:szCs w:val="20"/>
        </w:rPr>
        <w:t xml:space="preserve"> for the Project and their advisers (each a </w:t>
      </w:r>
      <w:r w:rsidRPr="3D83606E">
        <w:rPr>
          <w:b/>
          <w:bCs/>
          <w:sz w:val="20"/>
          <w:szCs w:val="20"/>
        </w:rPr>
        <w:t>relevant person</w:t>
      </w:r>
      <w:r w:rsidRPr="3D83606E">
        <w:rPr>
          <w:sz w:val="20"/>
          <w:szCs w:val="20"/>
        </w:rPr>
        <w:t xml:space="preserve">).  Such information may not be divulged to any other person or entity or disclosed, disseminated or reproduced in any form or further distributed, directly or indirectly, or published in whole or in part, for any purpose, except as required for the purposes of evaluating the transaction to officers, directors, employees and agents of a relevant person, which shall be informed of the confidential status of such information and be bound by the same confidentiality requirement and as required by applicable law or regulation, as requested by regulatory authorities, or with the written consent of </w:t>
      </w:r>
      <w:r w:rsidR="0053020C" w:rsidRPr="3D83606E">
        <w:rPr>
          <w:sz w:val="20"/>
          <w:szCs w:val="20"/>
        </w:rPr>
        <w:t>GBE-N</w:t>
      </w:r>
      <w:r w:rsidRPr="3D83606E">
        <w:rPr>
          <w:sz w:val="20"/>
          <w:szCs w:val="20"/>
        </w:rPr>
        <w:t xml:space="preserve"> or its affiliated entities or its affiliates' respective shareholders, subsidiaries, directors, advisers, representatives, agents, or employees (</w:t>
      </w:r>
      <w:bookmarkStart w:id="5" w:name="_9kR3WTr266457I4gkrsiuzz"/>
      <w:r w:rsidRPr="3D83606E">
        <w:rPr>
          <w:b/>
          <w:bCs/>
          <w:sz w:val="20"/>
          <w:szCs w:val="20"/>
        </w:rPr>
        <w:t>Affiliates</w:t>
      </w:r>
      <w:bookmarkEnd w:id="5"/>
      <w:r w:rsidRPr="3D83606E">
        <w:rPr>
          <w:sz w:val="20"/>
          <w:szCs w:val="20"/>
        </w:rPr>
        <w:t xml:space="preserve">). Any failure to comply with this restriction may constitute a violation of any applicable laws or regulations. Any person shall treat and safeguard, as strictly private and confidential, the contents of this </w:t>
      </w:r>
      <w:r w:rsidR="00CA14C9" w:rsidRPr="3D83606E">
        <w:rPr>
          <w:sz w:val="20"/>
          <w:szCs w:val="20"/>
        </w:rPr>
        <w:t>PSQ</w:t>
      </w:r>
      <w:r w:rsidRPr="3D83606E">
        <w:rPr>
          <w:sz w:val="20"/>
          <w:szCs w:val="20"/>
        </w:rPr>
        <w:t xml:space="preserve"> and take all reasonable steps to preserve such confidentiality.</w:t>
      </w:r>
    </w:p>
    <w:p w14:paraId="478B7B4B" w14:textId="0AC79E38" w:rsidR="00A56362" w:rsidRPr="00A56362" w:rsidRDefault="00F26284" w:rsidP="00A56362">
      <w:pPr>
        <w:pStyle w:val="NormalAshurst"/>
        <w:rPr>
          <w:sz w:val="20"/>
          <w:szCs w:val="20"/>
        </w:rPr>
      </w:pPr>
      <w:r w:rsidRPr="3D83606E">
        <w:rPr>
          <w:sz w:val="20"/>
          <w:szCs w:val="20"/>
        </w:rPr>
        <w:t xml:space="preserve">This </w:t>
      </w:r>
      <w:r w:rsidR="00CA14C9" w:rsidRPr="3D83606E">
        <w:rPr>
          <w:sz w:val="20"/>
          <w:szCs w:val="20"/>
        </w:rPr>
        <w:t>PSQ</w:t>
      </w:r>
      <w:r w:rsidRPr="3D83606E">
        <w:rPr>
          <w:sz w:val="20"/>
          <w:szCs w:val="20"/>
        </w:rPr>
        <w:t xml:space="preserve"> is directed only at relevant persons. This </w:t>
      </w:r>
      <w:r w:rsidR="00CA14C9" w:rsidRPr="3D83606E">
        <w:rPr>
          <w:sz w:val="20"/>
          <w:szCs w:val="20"/>
        </w:rPr>
        <w:t>PSQ</w:t>
      </w:r>
      <w:r w:rsidRPr="3D83606E">
        <w:rPr>
          <w:sz w:val="20"/>
          <w:szCs w:val="20"/>
        </w:rPr>
        <w:t xml:space="preserve"> must not be acted on, nor relied upon, by persons who are not relevant persons. If a recipient of this </w:t>
      </w:r>
      <w:r w:rsidR="00CA14C9" w:rsidRPr="3D83606E">
        <w:rPr>
          <w:sz w:val="20"/>
          <w:szCs w:val="20"/>
        </w:rPr>
        <w:t>PSQ</w:t>
      </w:r>
      <w:r w:rsidRPr="3D83606E">
        <w:rPr>
          <w:sz w:val="20"/>
          <w:szCs w:val="20"/>
        </w:rPr>
        <w:t xml:space="preserve"> is in doubt as to the matters contained in this </w:t>
      </w:r>
      <w:r w:rsidR="00CA14C9" w:rsidRPr="3D83606E">
        <w:rPr>
          <w:sz w:val="20"/>
          <w:szCs w:val="20"/>
        </w:rPr>
        <w:t>PSQ</w:t>
      </w:r>
      <w:r w:rsidRPr="3D83606E">
        <w:rPr>
          <w:sz w:val="20"/>
          <w:szCs w:val="20"/>
        </w:rPr>
        <w:t xml:space="preserve">, including whether such recipient falls within the definition of relevant person, an authorised person specialising in advising on transactions of the kind contained in this </w:t>
      </w:r>
      <w:r w:rsidR="00CA14C9" w:rsidRPr="3D83606E">
        <w:rPr>
          <w:sz w:val="20"/>
          <w:szCs w:val="20"/>
        </w:rPr>
        <w:t>PSQ</w:t>
      </w:r>
      <w:r w:rsidRPr="3D83606E">
        <w:rPr>
          <w:sz w:val="20"/>
          <w:szCs w:val="20"/>
        </w:rPr>
        <w:t xml:space="preserve"> should be consulted. Solicitations resulting from this </w:t>
      </w:r>
      <w:r w:rsidR="00CA14C9" w:rsidRPr="3D83606E">
        <w:rPr>
          <w:sz w:val="20"/>
          <w:szCs w:val="20"/>
        </w:rPr>
        <w:t>PSQ</w:t>
      </w:r>
      <w:r w:rsidRPr="3D83606E">
        <w:rPr>
          <w:sz w:val="20"/>
          <w:szCs w:val="20"/>
        </w:rPr>
        <w:t xml:space="preserve"> will be responded to only if the person concerned is a relevant person. Any person who is not a relevant person who has received this </w:t>
      </w:r>
      <w:r w:rsidR="00CA14C9" w:rsidRPr="3D83606E">
        <w:rPr>
          <w:sz w:val="20"/>
          <w:szCs w:val="20"/>
        </w:rPr>
        <w:t>PSQ</w:t>
      </w:r>
      <w:r w:rsidRPr="3D83606E">
        <w:rPr>
          <w:sz w:val="20"/>
          <w:szCs w:val="20"/>
        </w:rPr>
        <w:t xml:space="preserve"> must return it to </w:t>
      </w:r>
      <w:r w:rsidR="0053020C" w:rsidRPr="3D83606E">
        <w:rPr>
          <w:sz w:val="20"/>
          <w:szCs w:val="20"/>
        </w:rPr>
        <w:t>GBE-N</w:t>
      </w:r>
      <w:r w:rsidRPr="3D83606E">
        <w:rPr>
          <w:sz w:val="20"/>
          <w:szCs w:val="20"/>
        </w:rPr>
        <w:t xml:space="preserve"> immediately.</w:t>
      </w:r>
    </w:p>
    <w:p w14:paraId="4D05B9F2" w14:textId="2C355009" w:rsidR="00A56362" w:rsidRPr="00A56362" w:rsidRDefault="00F26284" w:rsidP="00A56362">
      <w:pPr>
        <w:pStyle w:val="NormalAshurst"/>
        <w:rPr>
          <w:sz w:val="20"/>
          <w:szCs w:val="20"/>
        </w:rPr>
      </w:pPr>
      <w:r w:rsidRPr="3D83606E">
        <w:rPr>
          <w:sz w:val="20"/>
          <w:szCs w:val="20"/>
        </w:rPr>
        <w:t xml:space="preserve">By receiving this </w:t>
      </w:r>
      <w:r w:rsidR="00CA14C9" w:rsidRPr="3D83606E">
        <w:rPr>
          <w:sz w:val="20"/>
          <w:szCs w:val="20"/>
        </w:rPr>
        <w:t>PSQ</w:t>
      </w:r>
      <w:r w:rsidRPr="3D83606E">
        <w:rPr>
          <w:sz w:val="20"/>
          <w:szCs w:val="20"/>
        </w:rPr>
        <w:t xml:space="preserve">, any person will be deemed to have represented, warranted and undertaken to </w:t>
      </w:r>
      <w:r w:rsidR="0053020C" w:rsidRPr="3D83606E">
        <w:rPr>
          <w:sz w:val="20"/>
          <w:szCs w:val="20"/>
        </w:rPr>
        <w:t>GBE-N</w:t>
      </w:r>
      <w:r w:rsidRPr="3D83606E">
        <w:rPr>
          <w:sz w:val="20"/>
          <w:szCs w:val="20"/>
        </w:rPr>
        <w:t xml:space="preserve"> and its </w:t>
      </w:r>
      <w:bookmarkStart w:id="6" w:name="_9kMHG5YVt488679K6imtukw11"/>
      <w:r w:rsidRPr="3D83606E">
        <w:rPr>
          <w:sz w:val="20"/>
          <w:szCs w:val="20"/>
        </w:rPr>
        <w:t>Affiliates</w:t>
      </w:r>
      <w:bookmarkEnd w:id="6"/>
      <w:r w:rsidRPr="3D83606E">
        <w:rPr>
          <w:sz w:val="20"/>
          <w:szCs w:val="20"/>
        </w:rPr>
        <w:t xml:space="preserve"> that such person: (i) is a relevant person; (ii) has read and agrees to comply with, and be bound by, the restrictions and undertakings set out in this disclaimer; (iii) understands the legal and regulatory sanctions attached to the misuse, disclosure or improper circulation of the </w:t>
      </w:r>
      <w:r w:rsidR="00CA14C9" w:rsidRPr="3D83606E">
        <w:rPr>
          <w:sz w:val="20"/>
          <w:szCs w:val="20"/>
        </w:rPr>
        <w:t>PSQ</w:t>
      </w:r>
      <w:r w:rsidRPr="3D83606E">
        <w:rPr>
          <w:sz w:val="20"/>
          <w:szCs w:val="20"/>
        </w:rPr>
        <w:t xml:space="preserve">; and (iv) will use the information in the </w:t>
      </w:r>
      <w:r w:rsidR="00CA14C9" w:rsidRPr="3D83606E">
        <w:rPr>
          <w:sz w:val="20"/>
          <w:szCs w:val="20"/>
        </w:rPr>
        <w:t>PSQ</w:t>
      </w:r>
      <w:r w:rsidRPr="3D83606E">
        <w:rPr>
          <w:sz w:val="20"/>
          <w:szCs w:val="20"/>
        </w:rPr>
        <w:t xml:space="preserve"> solely for evaluating that person's possible interest in the Procurement and not for any other purpose. </w:t>
      </w:r>
    </w:p>
    <w:p w14:paraId="0FE28943" w14:textId="766006C8" w:rsidR="00A56362" w:rsidRPr="00A56362" w:rsidRDefault="00F26284" w:rsidP="00A56362">
      <w:pPr>
        <w:pStyle w:val="NormalAshurst"/>
        <w:rPr>
          <w:sz w:val="20"/>
          <w:szCs w:val="20"/>
        </w:rPr>
      </w:pPr>
      <w:r w:rsidRPr="3D83606E">
        <w:rPr>
          <w:sz w:val="20"/>
          <w:szCs w:val="20"/>
        </w:rPr>
        <w:t xml:space="preserve">Applicants shall not undertake (or permit to be undertaken) at any time, whether at this stage, any subsequent stage in this Procurement or after any contract award related to this Procurement, any publicity activity with any section of the media in relation to this Procurement or the information contained in this PSQ other than with the prior written agreement of </w:t>
      </w:r>
      <w:r w:rsidR="0053020C" w:rsidRPr="3D83606E">
        <w:rPr>
          <w:sz w:val="20"/>
          <w:szCs w:val="20"/>
        </w:rPr>
        <w:t>GBE-N</w:t>
      </w:r>
      <w:r w:rsidRPr="3D83606E">
        <w:rPr>
          <w:sz w:val="20"/>
          <w:szCs w:val="20"/>
        </w:rPr>
        <w:t xml:space="preserve">, including in respect of the content of any publicity. </w:t>
      </w:r>
    </w:p>
    <w:p w14:paraId="00B876C2" w14:textId="77777777" w:rsidR="00A56362" w:rsidRPr="00A56362" w:rsidRDefault="00F26284" w:rsidP="00A56362">
      <w:pPr>
        <w:pStyle w:val="NormalAshurst"/>
        <w:rPr>
          <w:b/>
          <w:bCs/>
          <w:sz w:val="20"/>
          <w:szCs w:val="20"/>
        </w:rPr>
      </w:pPr>
      <w:r w:rsidRPr="00A56362">
        <w:rPr>
          <w:b/>
          <w:bCs/>
          <w:sz w:val="20"/>
          <w:szCs w:val="20"/>
        </w:rPr>
        <w:t>Disclaimer</w:t>
      </w:r>
    </w:p>
    <w:p w14:paraId="3FB0A96C" w14:textId="1840B960" w:rsidR="00A56362" w:rsidRPr="00A56362" w:rsidRDefault="00F26284" w:rsidP="00A56362">
      <w:pPr>
        <w:pStyle w:val="AltH3Ashurst"/>
        <w:tabs>
          <w:tab w:val="num" w:pos="567"/>
        </w:tabs>
        <w:spacing w:line="260" w:lineRule="atLeast"/>
        <w:ind w:left="567" w:hanging="567"/>
      </w:pPr>
      <w:r>
        <w:t xml:space="preserve">Any disclaimers or limitations in this </w:t>
      </w:r>
      <w:r w:rsidR="00CA14C9">
        <w:t>PSQ</w:t>
      </w:r>
      <w:r>
        <w:t xml:space="preserve"> (whether appearing under the heading of disclaimer or otherwise) shall apply to and be for the benefit of </w:t>
      </w:r>
      <w:r w:rsidR="0053020C">
        <w:t>GBE-N</w:t>
      </w:r>
      <w:r w:rsidR="00F826B5">
        <w:t xml:space="preserve"> </w:t>
      </w:r>
      <w:r>
        <w:t xml:space="preserve">and any advisers and representatives acting on behalf of </w:t>
      </w:r>
      <w:r w:rsidR="0053020C">
        <w:t>GBE-</w:t>
      </w:r>
      <w:proofErr w:type="gramStart"/>
      <w:r w:rsidR="0053020C">
        <w:t>N</w:t>
      </w:r>
      <w:r w:rsidR="00F826B5">
        <w:t>,</w:t>
      </w:r>
      <w:r>
        <w:t xml:space="preserve"> and</w:t>
      </w:r>
      <w:proofErr w:type="gramEnd"/>
      <w:r>
        <w:t xml:space="preserve"> shall continue to apply and to be enforceable by </w:t>
      </w:r>
      <w:r w:rsidR="0053020C">
        <w:t>GBE-N</w:t>
      </w:r>
      <w:r>
        <w:t xml:space="preserve"> or any of the foregoing.</w:t>
      </w:r>
    </w:p>
    <w:p w14:paraId="77606FDF" w14:textId="0968C1B3" w:rsidR="00A56362" w:rsidRPr="00A56362" w:rsidRDefault="00F26284" w:rsidP="3D83606E">
      <w:pPr>
        <w:pStyle w:val="AltH3Ashurst"/>
        <w:tabs>
          <w:tab w:val="num" w:pos="567"/>
        </w:tabs>
        <w:spacing w:line="260" w:lineRule="atLeast"/>
        <w:ind w:left="567" w:hanging="567"/>
      </w:pPr>
      <w:r>
        <w:lastRenderedPageBreak/>
        <w:t xml:space="preserve">The information in this </w:t>
      </w:r>
      <w:r w:rsidR="00CA14C9">
        <w:t>PSQ</w:t>
      </w:r>
      <w:r>
        <w:t xml:space="preserve"> has been prepared by </w:t>
      </w:r>
      <w:r w:rsidR="0053020C">
        <w:t>GBE-N</w:t>
      </w:r>
      <w:r>
        <w:t xml:space="preserve"> in good faith but does not purport either to be accurate, comprehensive, complete or exhaustive or to have been independently verified.  Additionally, this </w:t>
      </w:r>
      <w:r w:rsidR="00CA14C9">
        <w:t>PSQ</w:t>
      </w:r>
      <w:r>
        <w:t xml:space="preserve"> does not purport to contain all the information that a</w:t>
      </w:r>
      <w:r w:rsidR="00AA4787">
        <w:t>n</w:t>
      </w:r>
      <w:r>
        <w:t xml:space="preserve"> </w:t>
      </w:r>
      <w:r w:rsidR="00CA14C9">
        <w:t>Applicant</w:t>
      </w:r>
      <w:r>
        <w:t xml:space="preserve"> may require to submit a </w:t>
      </w:r>
      <w:r w:rsidR="00CA14C9">
        <w:t>PSQ</w:t>
      </w:r>
      <w:r>
        <w:t xml:space="preserve">. </w:t>
      </w:r>
      <w:r w:rsidR="00CA14C9">
        <w:t>Applicant</w:t>
      </w:r>
      <w:r>
        <w:t xml:space="preserve">s are fully responsible for their own interpretation of the information contained in this </w:t>
      </w:r>
      <w:r w:rsidR="00CA14C9">
        <w:t>PSQ</w:t>
      </w:r>
      <w:r>
        <w:t xml:space="preserve">, and they are to use it as they consider appropriate, subject to the rules and constraints set out in this </w:t>
      </w:r>
      <w:r w:rsidR="00CA14C9">
        <w:t>PSQ</w:t>
      </w:r>
      <w:r>
        <w:t xml:space="preserve">, and at their own risk.  </w:t>
      </w:r>
    </w:p>
    <w:p w14:paraId="49B0A8EF" w14:textId="3A36FF01" w:rsidR="00A56362" w:rsidRPr="00A56362" w:rsidRDefault="00F26284" w:rsidP="00A56362">
      <w:pPr>
        <w:pStyle w:val="AltH3Ashurst"/>
        <w:tabs>
          <w:tab w:val="num" w:pos="567"/>
        </w:tabs>
        <w:spacing w:line="260" w:lineRule="atLeast"/>
        <w:ind w:left="567" w:hanging="567"/>
      </w:pPr>
      <w:r>
        <w:t xml:space="preserve">No reliance may be placed on any prospective dates or events referred to in this </w:t>
      </w:r>
      <w:r w:rsidR="00CA14C9">
        <w:t>PSQ</w:t>
      </w:r>
      <w:r>
        <w:t xml:space="preserve">. These are provided for illustrative purposes only, and such dates are subject to change and such events may or may not occur as indicated in this </w:t>
      </w:r>
      <w:r w:rsidR="00CA14C9">
        <w:t>PSQ</w:t>
      </w:r>
      <w:r>
        <w:t xml:space="preserve">. Certain prospective events described or referred to herein are outside </w:t>
      </w:r>
      <w:r w:rsidR="0053020C">
        <w:t>GBE-N</w:t>
      </w:r>
      <w:r>
        <w:t xml:space="preserve">'s control and may or may not occur. In addition, no representation or warranty is given as to the achievement or reasonableness of, and no reliance should be placed on, any projections, targets, estimates, or forecasts contained in this </w:t>
      </w:r>
      <w:r w:rsidR="00CA14C9">
        <w:t>PSQ</w:t>
      </w:r>
      <w:r>
        <w:t xml:space="preserve"> and nothing in this </w:t>
      </w:r>
      <w:r w:rsidR="00CA14C9">
        <w:t>PSQ</w:t>
      </w:r>
      <w:r>
        <w:t xml:space="preserve"> is or should be relied on as a promise or representation as to the future. No person, other than </w:t>
      </w:r>
      <w:r w:rsidR="0053020C">
        <w:t>GBE-N</w:t>
      </w:r>
      <w:r>
        <w:t xml:space="preserve">'s procurement department/representative, has been authorised by </w:t>
      </w:r>
      <w:r w:rsidR="0053020C">
        <w:t>GBE-N</w:t>
      </w:r>
      <w:r>
        <w:t xml:space="preserve"> to give any information or to make any representation on behalf of </w:t>
      </w:r>
      <w:r w:rsidR="0053020C">
        <w:t>GBE-N</w:t>
      </w:r>
      <w:r>
        <w:t xml:space="preserve"> and, if any information or representation shall have been given or made, any such information or representation shall not be relied upon as having been so authorised.</w:t>
      </w:r>
    </w:p>
    <w:p w14:paraId="194DBA75" w14:textId="54DC0821" w:rsidR="00A56362" w:rsidRPr="00A56362" w:rsidRDefault="00F26284" w:rsidP="00A56362">
      <w:pPr>
        <w:pStyle w:val="AltH3Ashurst"/>
        <w:tabs>
          <w:tab w:val="num" w:pos="567"/>
        </w:tabs>
        <w:spacing w:line="260" w:lineRule="atLeast"/>
        <w:ind w:left="567" w:hanging="567"/>
        <w:rPr>
          <w:szCs w:val="20"/>
        </w:rPr>
      </w:pPr>
      <w:r w:rsidRPr="00A56362">
        <w:rPr>
          <w:szCs w:val="20"/>
        </w:rPr>
        <w:t xml:space="preserve">The information contained in this </w:t>
      </w:r>
      <w:r w:rsidR="00CA14C9">
        <w:rPr>
          <w:szCs w:val="20"/>
        </w:rPr>
        <w:t>PSQ</w:t>
      </w:r>
      <w:r w:rsidRPr="00A56362">
        <w:rPr>
          <w:szCs w:val="20"/>
        </w:rPr>
        <w:t xml:space="preserve"> does not include all the legislation that is applicable in relation to this </w:t>
      </w:r>
      <w:r w:rsidR="00CA14C9">
        <w:rPr>
          <w:szCs w:val="20"/>
        </w:rPr>
        <w:t>PSQ</w:t>
      </w:r>
      <w:r w:rsidRPr="00A56362">
        <w:rPr>
          <w:szCs w:val="20"/>
        </w:rPr>
        <w:t xml:space="preserve">, this Procurement and/or the </w:t>
      </w:r>
      <w:r w:rsidR="000D2871">
        <w:rPr>
          <w:szCs w:val="20"/>
        </w:rPr>
        <w:t>OE contract</w:t>
      </w:r>
      <w:r w:rsidRPr="00A56362">
        <w:rPr>
          <w:szCs w:val="20"/>
        </w:rPr>
        <w:t xml:space="preserve">. In producing their </w:t>
      </w:r>
      <w:r w:rsidR="00CA14C9">
        <w:rPr>
          <w:szCs w:val="20"/>
        </w:rPr>
        <w:t>PSQ</w:t>
      </w:r>
      <w:r w:rsidRPr="00A56362">
        <w:rPr>
          <w:szCs w:val="20"/>
        </w:rPr>
        <w:t xml:space="preserve"> Submissions, </w:t>
      </w:r>
      <w:r w:rsidR="00CA14C9">
        <w:rPr>
          <w:szCs w:val="20"/>
        </w:rPr>
        <w:t>Applicant</w:t>
      </w:r>
      <w:r w:rsidRPr="00A56362">
        <w:rPr>
          <w:szCs w:val="20"/>
        </w:rPr>
        <w:t>s shall satisfy themselves as to the requirements of any applicable legislation.</w:t>
      </w:r>
    </w:p>
    <w:p w14:paraId="55F6E7FB" w14:textId="6679CB03" w:rsidR="00A56362" w:rsidRPr="00A56362" w:rsidRDefault="0053020C" w:rsidP="00A56362">
      <w:pPr>
        <w:pStyle w:val="AltH3Ashurst"/>
        <w:tabs>
          <w:tab w:val="num" w:pos="567"/>
        </w:tabs>
        <w:spacing w:line="260" w:lineRule="atLeast"/>
        <w:ind w:left="567" w:hanging="567"/>
      </w:pPr>
      <w:r>
        <w:t>GBE-N</w:t>
      </w:r>
      <w:r w:rsidR="00F26284">
        <w:t xml:space="preserve"> </w:t>
      </w:r>
      <w:r w:rsidR="00F826B5">
        <w:t xml:space="preserve">does not </w:t>
      </w:r>
      <w:r w:rsidR="00F26284">
        <w:t xml:space="preserve">owe any duty of care to any recipient either in relation to the information contained in this </w:t>
      </w:r>
      <w:r w:rsidR="00CA14C9">
        <w:t>PSQ</w:t>
      </w:r>
      <w:r w:rsidR="00F26284">
        <w:t xml:space="preserve"> or any other information that a potential contractual party is provided with at any time, other than as may arise out of a written agreement between the relevant parties at some future date. </w:t>
      </w:r>
      <w:r w:rsidR="00CA14C9">
        <w:t>Applicant</w:t>
      </w:r>
      <w:r w:rsidR="00F26284">
        <w:t xml:space="preserve">s must undertake such research, investigations and due diligence as they see fit before entering into any contract and raise queries with </w:t>
      </w:r>
      <w:r>
        <w:t>GBE-N</w:t>
      </w:r>
      <w:r w:rsidR="00F26284">
        <w:t xml:space="preserve"> as needed.  </w:t>
      </w:r>
      <w:r w:rsidR="00CA14C9">
        <w:t>Applicant</w:t>
      </w:r>
      <w:r w:rsidR="00F26284">
        <w:t xml:space="preserve">s must satisfy themselves as to the nature, extent, volume and character of the requirements of the </w:t>
      </w:r>
      <w:r w:rsidR="000D2871">
        <w:t>OE contract</w:t>
      </w:r>
      <w:r w:rsidR="00F26284">
        <w:t xml:space="preserve">, their obligations described in this </w:t>
      </w:r>
      <w:r w:rsidR="00CA14C9">
        <w:t>PSQ</w:t>
      </w:r>
      <w:r w:rsidR="00F26284">
        <w:t xml:space="preserve">, the extent of the personnel, equipment, assets, plant and machinery which may be required and any other matter which may affect their </w:t>
      </w:r>
      <w:r w:rsidR="00CA14C9">
        <w:t>PSQ</w:t>
      </w:r>
      <w:r w:rsidR="00F26284">
        <w:t xml:space="preserve"> Submissions, pricing, projections or financial modelling.  </w:t>
      </w:r>
    </w:p>
    <w:p w14:paraId="7C2E5AFA" w14:textId="0EBC9BEB" w:rsidR="00A56362" w:rsidRPr="00A56362" w:rsidRDefault="0053020C" w:rsidP="00A56362">
      <w:pPr>
        <w:pStyle w:val="AltH3Ashurst"/>
        <w:tabs>
          <w:tab w:val="num" w:pos="567"/>
        </w:tabs>
        <w:spacing w:line="260" w:lineRule="atLeast"/>
        <w:ind w:left="567" w:hanging="567"/>
      </w:pPr>
      <w:r>
        <w:t>GBE-N</w:t>
      </w:r>
      <w:r w:rsidR="00F26284">
        <w:t xml:space="preserve"> and its advisers, representatives or agents acting on </w:t>
      </w:r>
      <w:r>
        <w:t>GBE-N</w:t>
      </w:r>
      <w:r w:rsidR="00F26284">
        <w:t xml:space="preserve">’s behalf accept no liability (directly or indirectly) to the extent permitted by law, to any </w:t>
      </w:r>
      <w:r w:rsidR="00CA14C9">
        <w:t>Applicant</w:t>
      </w:r>
      <w:r w:rsidR="00F26284">
        <w:t xml:space="preserve"> arising out of or in connection with this </w:t>
      </w:r>
      <w:r w:rsidR="00CA14C9">
        <w:t>PSQ</w:t>
      </w:r>
      <w:r w:rsidR="00F26284">
        <w:t xml:space="preserve">, including without limitation, for any error or misstatement in, or omission from, this </w:t>
      </w:r>
      <w:r w:rsidR="00CA14C9">
        <w:t>PSQ</w:t>
      </w:r>
      <w:r w:rsidR="00F26284">
        <w:t xml:space="preserve"> or for any negligence or misrepresentation or for disclosure of information originating from </w:t>
      </w:r>
      <w:proofErr w:type="spellStart"/>
      <w:r w:rsidR="00F26284">
        <w:t>a</w:t>
      </w:r>
      <w:proofErr w:type="spellEnd"/>
      <w:r w:rsidR="00F26284">
        <w:t xml:space="preserve"> </w:t>
      </w:r>
      <w:r w:rsidR="00CA14C9">
        <w:t>Applicant</w:t>
      </w:r>
      <w:r w:rsidR="00F26284">
        <w:t>.</w:t>
      </w:r>
    </w:p>
    <w:p w14:paraId="19651E03" w14:textId="068BA10F" w:rsidR="00A56362" w:rsidRPr="00A56362" w:rsidRDefault="00F26284" w:rsidP="00A56362">
      <w:pPr>
        <w:pStyle w:val="AltH3Ashurst"/>
        <w:tabs>
          <w:tab w:val="num" w:pos="567"/>
        </w:tabs>
        <w:spacing w:line="260" w:lineRule="atLeast"/>
        <w:ind w:left="567" w:hanging="567"/>
      </w:pPr>
      <w:r>
        <w:t xml:space="preserve">Neither </w:t>
      </w:r>
      <w:r w:rsidR="0053020C">
        <w:t>GBE-N</w:t>
      </w:r>
      <w:r w:rsidR="00F826B5">
        <w:t xml:space="preserve"> </w:t>
      </w:r>
      <w:r>
        <w:t xml:space="preserve">nor </w:t>
      </w:r>
      <w:r w:rsidR="00F826B5">
        <w:t>its</w:t>
      </w:r>
      <w:r>
        <w:t xml:space="preserve"> advisers, representatives or agents acting on </w:t>
      </w:r>
      <w:r w:rsidR="00F826B5">
        <w:t>its</w:t>
      </w:r>
      <w:r>
        <w:t xml:space="preserve"> behalf make any express or implied representation or warranty with respect to this </w:t>
      </w:r>
      <w:r w:rsidR="00CA14C9">
        <w:t>PSQ</w:t>
      </w:r>
      <w:r>
        <w:t xml:space="preserve"> and no responsibility or liability (except in the case of fraud) is accepted by any of them with respect to the adequacy, accuracy, reasonableness or completeness of the contents of the information or of any other document or information (written or oral) supplied at any time in connection with this Procurement. </w:t>
      </w:r>
    </w:p>
    <w:p w14:paraId="573D0FDD" w14:textId="622B0B27" w:rsidR="00A56362" w:rsidRPr="00A56362" w:rsidRDefault="00F26284" w:rsidP="00A56362">
      <w:pPr>
        <w:pStyle w:val="AltH3Ashurst"/>
        <w:tabs>
          <w:tab w:val="num" w:pos="567"/>
        </w:tabs>
        <w:spacing w:line="260" w:lineRule="atLeast"/>
        <w:ind w:left="567" w:hanging="567"/>
        <w:rPr>
          <w:szCs w:val="20"/>
        </w:rPr>
      </w:pPr>
      <w:r w:rsidRPr="00A56362">
        <w:rPr>
          <w:szCs w:val="20"/>
        </w:rPr>
        <w:t xml:space="preserve">Any summaries or descriptions of documents or contractual arrangements contained in any part of this </w:t>
      </w:r>
      <w:r w:rsidR="00CA14C9">
        <w:rPr>
          <w:szCs w:val="20"/>
        </w:rPr>
        <w:t>PSQ</w:t>
      </w:r>
      <w:r w:rsidRPr="00A56362">
        <w:rPr>
          <w:szCs w:val="20"/>
        </w:rPr>
        <w:t xml:space="preserve"> cannot be and are not intended to be comprehensive, nor any substitute, for the underlying documentation (whether existing or to be concluded in the future) and are in all respects qualified in their entirety by reference to them.  If there is any inconsistency between a summary of any document contained within this </w:t>
      </w:r>
      <w:r w:rsidR="00CA14C9">
        <w:rPr>
          <w:szCs w:val="20"/>
        </w:rPr>
        <w:t>PSQ</w:t>
      </w:r>
      <w:r w:rsidRPr="00A56362">
        <w:rPr>
          <w:szCs w:val="20"/>
        </w:rPr>
        <w:t xml:space="preserve"> and the document itself, the terms of the document itself are to prevail. </w:t>
      </w:r>
    </w:p>
    <w:p w14:paraId="5C9662A8" w14:textId="488E4970" w:rsidR="00A56362" w:rsidRPr="00A56362" w:rsidRDefault="00F26284" w:rsidP="00A56362">
      <w:pPr>
        <w:pStyle w:val="AltH3Ashurst"/>
        <w:tabs>
          <w:tab w:val="num" w:pos="567"/>
        </w:tabs>
        <w:spacing w:line="260" w:lineRule="atLeast"/>
        <w:ind w:left="567" w:hanging="567"/>
      </w:pPr>
      <w:r>
        <w:t xml:space="preserve">Where this </w:t>
      </w:r>
      <w:r w:rsidR="00CA14C9">
        <w:t>PSQ</w:t>
      </w:r>
      <w:r>
        <w:t xml:space="preserve"> states that </w:t>
      </w:r>
      <w:r w:rsidR="0053020C">
        <w:t>GBE-N</w:t>
      </w:r>
      <w:r>
        <w:t xml:space="preserve"> "may" take a particular action, </w:t>
      </w:r>
      <w:r w:rsidR="0053020C">
        <w:t>GBE-N</w:t>
      </w:r>
      <w:r>
        <w:t xml:space="preserve"> "reserves its rights" in relation to a particular action or the giving of consent, </w:t>
      </w:r>
      <w:r w:rsidR="0053020C">
        <w:t>GBE-N</w:t>
      </w:r>
      <w:r>
        <w:t xml:space="preserve"> may take the relevant action, exercise the relevant right or give the relevant consent (or not, as the case may be) in its absolute discretion (to the extent permitted by law) and </w:t>
      </w:r>
      <w:r w:rsidR="0053020C">
        <w:t>GBE-N</w:t>
      </w:r>
      <w:r>
        <w:t xml:space="preserve"> is under no obligation to do anything. </w:t>
      </w:r>
    </w:p>
    <w:p w14:paraId="1053AAEA" w14:textId="136E202A" w:rsidR="00A56362" w:rsidRPr="00A56362" w:rsidRDefault="00F26284" w:rsidP="00A56362">
      <w:pPr>
        <w:pStyle w:val="AltH3Ashurst"/>
        <w:tabs>
          <w:tab w:val="num" w:pos="567"/>
        </w:tabs>
        <w:spacing w:line="260" w:lineRule="atLeast"/>
        <w:ind w:left="567" w:hanging="567"/>
      </w:pPr>
      <w:r>
        <w:t xml:space="preserve">None of the information in this </w:t>
      </w:r>
      <w:r w:rsidR="00CA14C9">
        <w:t>PSQ</w:t>
      </w:r>
      <w:r>
        <w:t xml:space="preserve"> can constitute a contract or part of a contract, nor does it constitute an invitation or offer to enter into any contract. Only the express terms of any written contract with </w:t>
      </w:r>
      <w:r w:rsidR="00D44615">
        <w:t xml:space="preserve">the </w:t>
      </w:r>
      <w:r>
        <w:t>selected Preferred Bidder, as and when it is executed, shall have any contractual effect in connection with the matter to which the information relates.</w:t>
      </w:r>
    </w:p>
    <w:p w14:paraId="74D08B5A" w14:textId="38381D9A" w:rsidR="00A56362" w:rsidRPr="00A56362" w:rsidRDefault="00F26284" w:rsidP="00A56362">
      <w:pPr>
        <w:pStyle w:val="AltH3Ashurst"/>
        <w:tabs>
          <w:tab w:val="num" w:pos="567"/>
        </w:tabs>
        <w:spacing w:line="260" w:lineRule="atLeast"/>
        <w:ind w:left="567" w:hanging="567"/>
      </w:pPr>
      <w:r>
        <w:t xml:space="preserve">Applicants shall be responsible for and shall bear all their own costs, charges and expenses relating to any preparation and submission of expressions of interest, any subsequent negotiations, PSQs and contractual arrangements (if any) in connection with this Procurement. Save as expressly set out in the </w:t>
      </w:r>
      <w:r w:rsidR="000D2871">
        <w:t>OE contract</w:t>
      </w:r>
      <w:r>
        <w:t xml:space="preserve">, in no circumstances will </w:t>
      </w:r>
      <w:r w:rsidR="0053020C">
        <w:t>GBE-N</w:t>
      </w:r>
      <w:r>
        <w:t xml:space="preserve"> be liable for any such costs incurred by Applicants, irrespective of the outcome of the competition, nor if the competition is cancelled, altered or postponed.</w:t>
      </w:r>
    </w:p>
    <w:p w14:paraId="7F7EEC4F" w14:textId="44ADE102" w:rsidR="00A56362" w:rsidRPr="00A56362" w:rsidRDefault="0053020C" w:rsidP="00A56362">
      <w:pPr>
        <w:pStyle w:val="AltH3Ashurst"/>
        <w:tabs>
          <w:tab w:val="num" w:pos="567"/>
        </w:tabs>
        <w:spacing w:line="260" w:lineRule="atLeast"/>
        <w:ind w:left="567" w:hanging="567"/>
      </w:pPr>
      <w:r>
        <w:t>GBE-N</w:t>
      </w:r>
      <w:r w:rsidR="00F26284">
        <w:t xml:space="preserve"> expressly reserves the right: </w:t>
      </w:r>
    </w:p>
    <w:p w14:paraId="433C9334" w14:textId="77777777" w:rsidR="00A56362" w:rsidRPr="00A56362" w:rsidRDefault="00F26284" w:rsidP="00A56362">
      <w:pPr>
        <w:pStyle w:val="AltH4Ashurst"/>
        <w:tabs>
          <w:tab w:val="num" w:pos="1134"/>
        </w:tabs>
        <w:spacing w:line="260" w:lineRule="atLeast"/>
        <w:ind w:left="1134" w:hanging="567"/>
        <w:rPr>
          <w:sz w:val="20"/>
          <w:szCs w:val="20"/>
        </w:rPr>
      </w:pPr>
      <w:r w:rsidRPr="00A56362">
        <w:rPr>
          <w:sz w:val="20"/>
          <w:szCs w:val="20"/>
        </w:rPr>
        <w:t xml:space="preserve">to terminate this Procurement at any </w:t>
      </w:r>
      <w:proofErr w:type="gramStart"/>
      <w:r w:rsidRPr="00A56362">
        <w:rPr>
          <w:sz w:val="20"/>
          <w:szCs w:val="20"/>
        </w:rPr>
        <w:t>time;</w:t>
      </w:r>
      <w:proofErr w:type="gramEnd"/>
      <w:r w:rsidRPr="00A56362">
        <w:rPr>
          <w:sz w:val="20"/>
          <w:szCs w:val="20"/>
        </w:rPr>
        <w:t xml:space="preserve"> </w:t>
      </w:r>
    </w:p>
    <w:p w14:paraId="05E7F927" w14:textId="77777777" w:rsidR="00A56362" w:rsidRPr="00A56362" w:rsidRDefault="00F26284" w:rsidP="00A56362">
      <w:pPr>
        <w:pStyle w:val="AltH4Ashurst"/>
        <w:tabs>
          <w:tab w:val="num" w:pos="1134"/>
        </w:tabs>
        <w:spacing w:line="260" w:lineRule="atLeast"/>
        <w:ind w:left="1134" w:hanging="567"/>
        <w:rPr>
          <w:sz w:val="20"/>
          <w:szCs w:val="20"/>
        </w:rPr>
      </w:pPr>
      <w:r w:rsidRPr="00A56362">
        <w:rPr>
          <w:sz w:val="20"/>
          <w:szCs w:val="20"/>
        </w:rPr>
        <w:t xml:space="preserve">to negotiate with one or more parties at any </w:t>
      </w:r>
      <w:proofErr w:type="gramStart"/>
      <w:r w:rsidRPr="00A56362">
        <w:rPr>
          <w:sz w:val="20"/>
          <w:szCs w:val="20"/>
        </w:rPr>
        <w:t>time;</w:t>
      </w:r>
      <w:proofErr w:type="gramEnd"/>
      <w:r w:rsidRPr="00A56362">
        <w:rPr>
          <w:sz w:val="20"/>
          <w:szCs w:val="20"/>
        </w:rPr>
        <w:t xml:space="preserve"> </w:t>
      </w:r>
    </w:p>
    <w:p w14:paraId="5CFD3CD0" w14:textId="19E9E278" w:rsidR="00A56362" w:rsidRPr="00F826B5" w:rsidRDefault="00F26284" w:rsidP="00F826B5">
      <w:pPr>
        <w:pStyle w:val="AltH4Ashurst"/>
        <w:tabs>
          <w:tab w:val="num" w:pos="1134"/>
        </w:tabs>
        <w:spacing w:line="260" w:lineRule="atLeast"/>
        <w:ind w:left="1134" w:hanging="567"/>
        <w:rPr>
          <w:sz w:val="20"/>
          <w:szCs w:val="20"/>
        </w:rPr>
      </w:pPr>
      <w:r w:rsidRPr="00A56362">
        <w:rPr>
          <w:sz w:val="20"/>
          <w:szCs w:val="20"/>
        </w:rPr>
        <w:t xml:space="preserve">without prior discussion with any </w:t>
      </w:r>
      <w:r w:rsidR="00CA14C9">
        <w:rPr>
          <w:sz w:val="20"/>
          <w:szCs w:val="20"/>
        </w:rPr>
        <w:t>Applicant</w:t>
      </w:r>
      <w:r w:rsidRPr="00A56362">
        <w:rPr>
          <w:sz w:val="20"/>
          <w:szCs w:val="20"/>
        </w:rPr>
        <w:t xml:space="preserve">, to modify the rules, evaluation and award timetable, programme and procedures set out in this </w:t>
      </w:r>
      <w:r w:rsidR="00CA14C9">
        <w:rPr>
          <w:sz w:val="20"/>
          <w:szCs w:val="20"/>
        </w:rPr>
        <w:t>PSQ</w:t>
      </w:r>
      <w:r w:rsidRPr="00A56362">
        <w:rPr>
          <w:sz w:val="20"/>
          <w:szCs w:val="20"/>
        </w:rPr>
        <w:t xml:space="preserve"> or any other procedures relating to this Procurement provided that such modifications will be notified to </w:t>
      </w:r>
      <w:r w:rsidR="00CA14C9">
        <w:rPr>
          <w:sz w:val="20"/>
          <w:szCs w:val="20"/>
        </w:rPr>
        <w:t>Applicant</w:t>
      </w:r>
      <w:r w:rsidRPr="00A56362">
        <w:rPr>
          <w:sz w:val="20"/>
          <w:szCs w:val="20"/>
        </w:rPr>
        <w:t>s;</w:t>
      </w:r>
      <w:r w:rsidR="00F826B5">
        <w:rPr>
          <w:sz w:val="20"/>
          <w:szCs w:val="20"/>
        </w:rPr>
        <w:t xml:space="preserve"> </w:t>
      </w:r>
      <w:r w:rsidRPr="00F826B5">
        <w:rPr>
          <w:sz w:val="20"/>
          <w:szCs w:val="20"/>
        </w:rPr>
        <w:t xml:space="preserve">and </w:t>
      </w:r>
    </w:p>
    <w:p w14:paraId="7A12DBF7" w14:textId="06DC1095" w:rsidR="00A56362" w:rsidRPr="00A56362" w:rsidRDefault="00F26284" w:rsidP="00A56362">
      <w:pPr>
        <w:pStyle w:val="AltH4Ashurst"/>
        <w:tabs>
          <w:tab w:val="num" w:pos="1134"/>
        </w:tabs>
        <w:spacing w:line="260" w:lineRule="atLeast"/>
        <w:ind w:left="1134" w:hanging="567"/>
        <w:rPr>
          <w:sz w:val="20"/>
          <w:szCs w:val="20"/>
        </w:rPr>
      </w:pPr>
      <w:r w:rsidRPr="00A56362">
        <w:rPr>
          <w:sz w:val="20"/>
          <w:szCs w:val="20"/>
        </w:rPr>
        <w:t xml:space="preserve">to amend the proposed scope/nature of this Procurement in any way from that described in this </w:t>
      </w:r>
      <w:r w:rsidR="00CA14C9">
        <w:rPr>
          <w:sz w:val="20"/>
          <w:szCs w:val="20"/>
        </w:rPr>
        <w:t>PSQ</w:t>
      </w:r>
      <w:r w:rsidRPr="00A56362">
        <w:rPr>
          <w:sz w:val="20"/>
          <w:szCs w:val="20"/>
        </w:rPr>
        <w:t>.</w:t>
      </w:r>
    </w:p>
    <w:p w14:paraId="408D7BDB" w14:textId="0BF31E30" w:rsidR="00A56362" w:rsidRPr="00A56362" w:rsidRDefault="00F26284" w:rsidP="00A56362">
      <w:pPr>
        <w:pStyle w:val="AltH3Ashurst"/>
        <w:tabs>
          <w:tab w:val="num" w:pos="567"/>
        </w:tabs>
        <w:spacing w:line="260" w:lineRule="atLeast"/>
        <w:ind w:left="567" w:hanging="567"/>
      </w:pPr>
      <w:r>
        <w:t xml:space="preserve">In no instance will </w:t>
      </w:r>
      <w:r w:rsidR="0053020C">
        <w:t>GBE-N</w:t>
      </w:r>
      <w:r>
        <w:t xml:space="preserve"> be required to give any reason for such termination or alteration of the process. </w:t>
      </w:r>
      <w:r w:rsidR="00CA14C9">
        <w:t>Applicant</w:t>
      </w:r>
      <w:r>
        <w:t xml:space="preserve">s will not be reimbursed for any costs, expense or loss suffered or incurred as a result of or otherwise in connection with this </w:t>
      </w:r>
      <w:r w:rsidR="00CA14C9">
        <w:t>PSQ</w:t>
      </w:r>
      <w:r>
        <w:t xml:space="preserve"> or any other subsequent part of this Procurement, including any bid costs.</w:t>
      </w:r>
    </w:p>
    <w:p w14:paraId="0ED55468" w14:textId="57E00C5B" w:rsidR="00A56362" w:rsidRPr="00A56362" w:rsidRDefault="00F26284" w:rsidP="00A56362">
      <w:pPr>
        <w:pStyle w:val="AltH3Ashurst"/>
        <w:tabs>
          <w:tab w:val="num" w:pos="567"/>
        </w:tabs>
        <w:spacing w:line="260" w:lineRule="atLeast"/>
        <w:ind w:left="567" w:hanging="567"/>
      </w:pPr>
      <w:r>
        <w:t xml:space="preserve">Neither the issue of this </w:t>
      </w:r>
      <w:r w:rsidR="00CA14C9">
        <w:t>PSQ</w:t>
      </w:r>
      <w:r>
        <w:t xml:space="preserve"> nor any related procurement process commits </w:t>
      </w:r>
      <w:r w:rsidR="0053020C">
        <w:t>GBE-N</w:t>
      </w:r>
      <w:r>
        <w:t xml:space="preserve"> to award the whole or part of the </w:t>
      </w:r>
      <w:r w:rsidR="000D2871">
        <w:t>OE contract</w:t>
      </w:r>
      <w:r>
        <w:t xml:space="preserve"> to any party or any person.</w:t>
      </w:r>
    </w:p>
    <w:p w14:paraId="2913D713" w14:textId="4C1F4FB3" w:rsidR="00A56362" w:rsidRPr="00A56362" w:rsidRDefault="0053020C" w:rsidP="00A56362">
      <w:pPr>
        <w:pStyle w:val="AltH3Ashurst"/>
        <w:tabs>
          <w:tab w:val="num" w:pos="567"/>
        </w:tabs>
        <w:spacing w:line="260" w:lineRule="atLeast"/>
        <w:ind w:left="567" w:hanging="567"/>
      </w:pPr>
      <w:r>
        <w:t>GBE-N</w:t>
      </w:r>
      <w:r w:rsidR="00F26284">
        <w:t xml:space="preserve">'s decision as to whether or not a </w:t>
      </w:r>
      <w:r w:rsidR="00CA14C9">
        <w:t>PSQ</w:t>
      </w:r>
      <w:r w:rsidR="00F26284">
        <w:t xml:space="preserve"> Submission complies with this </w:t>
      </w:r>
      <w:r w:rsidR="00CA14C9">
        <w:t>PSQ</w:t>
      </w:r>
      <w:r w:rsidR="00F26284">
        <w:t xml:space="preserve"> shall be final.</w:t>
      </w:r>
    </w:p>
    <w:p w14:paraId="792EBDB4" w14:textId="2BD123D5" w:rsidR="00A56362" w:rsidRPr="00A56362" w:rsidRDefault="0053020C" w:rsidP="00A56362">
      <w:pPr>
        <w:pStyle w:val="AltH3Ashurst"/>
        <w:tabs>
          <w:tab w:val="num" w:pos="567"/>
        </w:tabs>
        <w:spacing w:line="260" w:lineRule="atLeast"/>
        <w:ind w:left="567" w:hanging="567"/>
      </w:pPr>
      <w:r>
        <w:t>GBE-N</w:t>
      </w:r>
      <w:r w:rsidR="00F26284">
        <w:t xml:space="preserve"> shall not be bound to accept any </w:t>
      </w:r>
      <w:r w:rsidR="00CA14C9">
        <w:t>PSQ</w:t>
      </w:r>
      <w:r w:rsidR="00F26284">
        <w:t>.</w:t>
      </w:r>
    </w:p>
    <w:p w14:paraId="11309F60" w14:textId="12D18C36" w:rsidR="00A56362" w:rsidRPr="00A56362" w:rsidRDefault="00F26284" w:rsidP="00A56362">
      <w:pPr>
        <w:pStyle w:val="AltH3Ashurst"/>
        <w:tabs>
          <w:tab w:val="num" w:pos="567"/>
        </w:tabs>
        <w:spacing w:line="260" w:lineRule="atLeast"/>
        <w:ind w:left="567" w:hanging="567"/>
      </w:pPr>
      <w:r>
        <w:t xml:space="preserve">Although the scope defined provides a good indication of the subject-matter of the Procurement, </w:t>
      </w:r>
      <w:r w:rsidR="0053020C">
        <w:t>GBE-N</w:t>
      </w:r>
      <w:r>
        <w:t xml:space="preserve">’s needs and the characteristics required of the supplies, works and services to be procured, </w:t>
      </w:r>
      <w:r w:rsidR="0053020C">
        <w:t>GBE-N</w:t>
      </w:r>
      <w:r>
        <w:t xml:space="preserve"> reserves the right to add detail and make amendments at a later stage</w:t>
      </w:r>
      <w:r w:rsidR="00C15A8C">
        <w:t>.</w:t>
      </w:r>
    </w:p>
    <w:p w14:paraId="115ED874" w14:textId="540F3D08" w:rsidR="00A56362" w:rsidRPr="00A56362" w:rsidRDefault="00F26284" w:rsidP="00A56362">
      <w:pPr>
        <w:pStyle w:val="AltH3Ashurst"/>
        <w:tabs>
          <w:tab w:val="num" w:pos="567"/>
        </w:tabs>
        <w:spacing w:line="260" w:lineRule="atLeast"/>
        <w:ind w:left="567" w:hanging="567"/>
      </w:pPr>
      <w:r>
        <w:t xml:space="preserve">Nothing in this </w:t>
      </w:r>
      <w:r w:rsidR="00CA14C9">
        <w:t>PSQ</w:t>
      </w:r>
      <w:r>
        <w:t xml:space="preserve"> shall be construed as legal, financial or tax advice to any </w:t>
      </w:r>
      <w:r w:rsidR="00CA14C9">
        <w:t>Applicant</w:t>
      </w:r>
      <w:r>
        <w:t xml:space="preserve">. The information is not intended to provide the basis of any decision (including any investment decision) and should not be considered as a recommendation made by </w:t>
      </w:r>
      <w:r w:rsidR="0053020C">
        <w:t>GBE-N</w:t>
      </w:r>
      <w:r>
        <w:t xml:space="preserve"> or </w:t>
      </w:r>
      <w:r w:rsidR="00F826B5">
        <w:t>its</w:t>
      </w:r>
      <w:r>
        <w:t xml:space="preserve"> representatives. Each person to whom the information contained in this </w:t>
      </w:r>
      <w:r w:rsidR="00CA14C9">
        <w:t>PSQ</w:t>
      </w:r>
      <w:r>
        <w:t xml:space="preserve"> is made available must make their own independent assessment of the opportunities described in the information contained in this </w:t>
      </w:r>
      <w:r w:rsidR="00CA14C9">
        <w:t>PSQ</w:t>
      </w:r>
      <w:r>
        <w:t xml:space="preserve"> after making such investigation and taking such professional advice as they deem necessary.</w:t>
      </w:r>
    </w:p>
    <w:p w14:paraId="7EA2A4EA" w14:textId="4E62E49F" w:rsidR="00A56362" w:rsidRPr="00A56362" w:rsidRDefault="00F26284" w:rsidP="00A56362">
      <w:pPr>
        <w:pStyle w:val="AltH3Ashurst"/>
        <w:tabs>
          <w:tab w:val="num" w:pos="567"/>
        </w:tabs>
        <w:spacing w:line="260" w:lineRule="atLeast"/>
        <w:ind w:left="567" w:hanging="567"/>
      </w:pPr>
      <w:r>
        <w:t xml:space="preserve">The </w:t>
      </w:r>
      <w:r w:rsidR="000D2871">
        <w:t>OE contract</w:t>
      </w:r>
      <w:r w:rsidR="0053020C">
        <w:t xml:space="preserve"> is </w:t>
      </w:r>
      <w:r>
        <w:t>being procured in accordance with the Procurement Act 2023 (</w:t>
      </w:r>
      <w:r w:rsidRPr="3D83606E">
        <w:rPr>
          <w:b/>
          <w:bCs/>
        </w:rPr>
        <w:t>PA 23</w:t>
      </w:r>
      <w:r>
        <w:t xml:space="preserve">). </w:t>
      </w:r>
      <w:r w:rsidR="00CA14C9">
        <w:t>Applicant</w:t>
      </w:r>
      <w:r>
        <w:t>s must ensure they understand the processes that must be followed to comply with the PA 23.</w:t>
      </w:r>
    </w:p>
    <w:p w14:paraId="409DAFDA" w14:textId="5832AD27" w:rsidR="00A56362" w:rsidRDefault="00F26284" w:rsidP="00A56362">
      <w:pPr>
        <w:pStyle w:val="AltH3Ashurst"/>
        <w:tabs>
          <w:tab w:val="num" w:pos="567"/>
        </w:tabs>
        <w:spacing w:line="260" w:lineRule="atLeast"/>
        <w:ind w:left="567" w:hanging="567"/>
      </w:pPr>
      <w:r w:rsidRPr="00A56362">
        <w:rPr>
          <w:szCs w:val="20"/>
        </w:rPr>
        <w:t xml:space="preserve">By accepting this </w:t>
      </w:r>
      <w:r w:rsidR="00CA14C9">
        <w:rPr>
          <w:szCs w:val="20"/>
        </w:rPr>
        <w:t>PSQ</w:t>
      </w:r>
      <w:r w:rsidRPr="00A56362">
        <w:rPr>
          <w:szCs w:val="20"/>
        </w:rPr>
        <w:t>, each relevant person agrees to be bound by the limitations and restrictions set out above.</w:t>
      </w:r>
    </w:p>
    <w:p w14:paraId="2005F02A" w14:textId="14E970D8" w:rsidR="00A56362" w:rsidRPr="00A56362" w:rsidRDefault="00F26284" w:rsidP="00A56362">
      <w:pPr>
        <w:rPr>
          <w:rFonts w:ascii="Times New Roman" w:hAnsi="Times New Roman"/>
          <w:sz w:val="22"/>
          <w:lang w:eastAsia="zh-TW"/>
        </w:rPr>
      </w:pPr>
      <w:r>
        <w:br w:type="page"/>
      </w:r>
    </w:p>
    <w:p w14:paraId="1E70988F" w14:textId="5814E6B7" w:rsidR="00B34E77" w:rsidRPr="00B34E77" w:rsidRDefault="00F26284" w:rsidP="00B34E77">
      <w:pPr>
        <w:pStyle w:val="H1Ashurst"/>
        <w:rPr>
          <w:sz w:val="20"/>
          <w:szCs w:val="20"/>
        </w:rPr>
      </w:pPr>
      <w:bookmarkStart w:id="7" w:name="_Toc190707074"/>
      <w:bookmarkStart w:id="8" w:name="_Toc190707083"/>
      <w:bookmarkStart w:id="9" w:name="_Toc190707133"/>
      <w:r w:rsidRPr="00B34E77">
        <w:rPr>
          <w:sz w:val="20"/>
          <w:szCs w:val="20"/>
        </w:rPr>
        <w:t>Background</w:t>
      </w:r>
      <w:bookmarkEnd w:id="7"/>
      <w:bookmarkEnd w:id="8"/>
      <w:bookmarkEnd w:id="9"/>
    </w:p>
    <w:p w14:paraId="2F5A554B" w14:textId="45E4E922" w:rsidR="0007732F" w:rsidRPr="00022E67" w:rsidRDefault="00F26284" w:rsidP="3D83606E">
      <w:pPr>
        <w:pStyle w:val="H2Ashurst"/>
        <w:rPr>
          <w:sz w:val="20"/>
          <w:szCs w:val="20"/>
        </w:rPr>
      </w:pPr>
      <w:r w:rsidRPr="3D83606E">
        <w:rPr>
          <w:sz w:val="20"/>
          <w:szCs w:val="20"/>
        </w:rPr>
        <w:t xml:space="preserve">Great British </w:t>
      </w:r>
      <w:r w:rsidR="0053020C" w:rsidRPr="3D83606E">
        <w:rPr>
          <w:sz w:val="20"/>
          <w:szCs w:val="20"/>
        </w:rPr>
        <w:t>Energy</w:t>
      </w:r>
      <w:r w:rsidR="00D44615" w:rsidRPr="3D83606E">
        <w:rPr>
          <w:sz w:val="20"/>
          <w:szCs w:val="20"/>
        </w:rPr>
        <w:t xml:space="preserve"> -</w:t>
      </w:r>
      <w:r w:rsidR="0053020C" w:rsidRPr="3D83606E">
        <w:rPr>
          <w:sz w:val="20"/>
          <w:szCs w:val="20"/>
        </w:rPr>
        <w:t xml:space="preserve"> </w:t>
      </w:r>
      <w:r w:rsidRPr="3D83606E">
        <w:rPr>
          <w:sz w:val="20"/>
          <w:szCs w:val="20"/>
        </w:rPr>
        <w:t>Nuclear ("</w:t>
      </w:r>
      <w:r w:rsidR="0053020C" w:rsidRPr="3D83606E">
        <w:rPr>
          <w:sz w:val="20"/>
          <w:szCs w:val="20"/>
        </w:rPr>
        <w:t>GBE-N</w:t>
      </w:r>
      <w:r w:rsidRPr="3D83606E">
        <w:rPr>
          <w:sz w:val="20"/>
          <w:szCs w:val="20"/>
        </w:rPr>
        <w:t xml:space="preserve">") is seeking expressions of interest from suitably experienced organisations, with the capability </w:t>
      </w:r>
      <w:r w:rsidR="79F06004" w:rsidRPr="3D83606E">
        <w:rPr>
          <w:sz w:val="20"/>
          <w:szCs w:val="20"/>
        </w:rPr>
        <w:t xml:space="preserve">to </w:t>
      </w:r>
      <w:r w:rsidR="00022E67" w:rsidRPr="3D83606E">
        <w:rPr>
          <w:sz w:val="20"/>
          <w:szCs w:val="20"/>
        </w:rPr>
        <w:t xml:space="preserve">provide </w:t>
      </w:r>
      <w:r w:rsidR="005843AB" w:rsidRPr="3D83606E">
        <w:rPr>
          <w:sz w:val="20"/>
          <w:szCs w:val="20"/>
        </w:rPr>
        <w:t>essential independent assurance and specific task deliverables with extensive technical and programmatic subject matter expertise.</w:t>
      </w:r>
    </w:p>
    <w:p w14:paraId="34127A73" w14:textId="444E5DD0" w:rsidR="00F06283" w:rsidRPr="00611FB2" w:rsidRDefault="00F26284" w:rsidP="6D2FF7B8">
      <w:pPr>
        <w:pStyle w:val="H2Ashurst"/>
        <w:rPr>
          <w:sz w:val="20"/>
          <w:szCs w:val="20"/>
        </w:rPr>
      </w:pPr>
      <w:r w:rsidRPr="3D83606E">
        <w:rPr>
          <w:sz w:val="20"/>
          <w:szCs w:val="20"/>
        </w:rPr>
        <w:t xml:space="preserve">This </w:t>
      </w:r>
      <w:r w:rsidR="1961F775" w:rsidRPr="3D83606E">
        <w:rPr>
          <w:sz w:val="20"/>
          <w:szCs w:val="20"/>
        </w:rPr>
        <w:t xml:space="preserve">Procurement Specific Questionnaire </w:t>
      </w:r>
      <w:r w:rsidRPr="3D83606E">
        <w:rPr>
          <w:sz w:val="20"/>
          <w:szCs w:val="20"/>
        </w:rPr>
        <w:t>Instructions</w:t>
      </w:r>
      <w:r w:rsidR="008DA5C8" w:rsidRPr="3D83606E">
        <w:rPr>
          <w:sz w:val="20"/>
          <w:szCs w:val="20"/>
        </w:rPr>
        <w:t xml:space="preserve"> </w:t>
      </w:r>
      <w:r w:rsidR="567BB168" w:rsidRPr="3D83606E">
        <w:rPr>
          <w:sz w:val="20"/>
          <w:szCs w:val="20"/>
        </w:rPr>
        <w:t>("</w:t>
      </w:r>
      <w:r w:rsidR="68059E48" w:rsidRPr="3D83606E">
        <w:rPr>
          <w:sz w:val="20"/>
          <w:szCs w:val="20"/>
        </w:rPr>
        <w:t>PSQ</w:t>
      </w:r>
      <w:r w:rsidR="567BB168" w:rsidRPr="3D83606E">
        <w:rPr>
          <w:sz w:val="20"/>
          <w:szCs w:val="20"/>
        </w:rPr>
        <w:t xml:space="preserve"> Instructions") </w:t>
      </w:r>
      <w:r w:rsidR="008DA5C8" w:rsidRPr="3D83606E">
        <w:rPr>
          <w:sz w:val="20"/>
          <w:szCs w:val="20"/>
        </w:rPr>
        <w:t>document</w:t>
      </w:r>
      <w:r w:rsidRPr="3D83606E">
        <w:rPr>
          <w:sz w:val="20"/>
          <w:szCs w:val="20"/>
        </w:rPr>
        <w:t xml:space="preserve"> and accompanying</w:t>
      </w:r>
      <w:r w:rsidR="489C9732" w:rsidRPr="3D83606E">
        <w:rPr>
          <w:sz w:val="20"/>
          <w:szCs w:val="20"/>
        </w:rPr>
        <w:t xml:space="preserve"> form of PSQ</w:t>
      </w:r>
      <w:r w:rsidRPr="3D83606E">
        <w:rPr>
          <w:sz w:val="20"/>
          <w:szCs w:val="20"/>
        </w:rPr>
        <w:t xml:space="preserve"> </w:t>
      </w:r>
      <w:r w:rsidR="489C9732" w:rsidRPr="3D83606E">
        <w:rPr>
          <w:sz w:val="20"/>
          <w:szCs w:val="20"/>
        </w:rPr>
        <w:t xml:space="preserve">("PSQ") </w:t>
      </w:r>
      <w:r w:rsidRPr="3D83606E">
        <w:rPr>
          <w:sz w:val="20"/>
          <w:szCs w:val="20"/>
        </w:rPr>
        <w:t xml:space="preserve">are made available to </w:t>
      </w:r>
      <w:r w:rsidR="36EDC059" w:rsidRPr="3D83606E">
        <w:rPr>
          <w:sz w:val="20"/>
          <w:szCs w:val="20"/>
        </w:rPr>
        <w:t>suppliers</w:t>
      </w:r>
      <w:r w:rsidRPr="3D83606E">
        <w:rPr>
          <w:sz w:val="20"/>
          <w:szCs w:val="20"/>
        </w:rPr>
        <w:t xml:space="preserve"> who are considering expressing interest in the </w:t>
      </w:r>
      <w:r w:rsidR="008DA5C8" w:rsidRPr="3D83606E">
        <w:rPr>
          <w:sz w:val="20"/>
          <w:szCs w:val="20"/>
        </w:rPr>
        <w:t>opportunity</w:t>
      </w:r>
      <w:r w:rsidR="0742B477" w:rsidRPr="3D83606E">
        <w:rPr>
          <w:sz w:val="20"/>
          <w:szCs w:val="20"/>
        </w:rPr>
        <w:t xml:space="preserve"> ("Applicants</w:t>
      </w:r>
      <w:r w:rsidR="7ED6A12E" w:rsidRPr="3D83606E">
        <w:rPr>
          <w:sz w:val="20"/>
          <w:szCs w:val="20"/>
        </w:rPr>
        <w:t>")</w:t>
      </w:r>
      <w:r w:rsidR="341B18CA" w:rsidRPr="3D83606E">
        <w:rPr>
          <w:sz w:val="20"/>
          <w:szCs w:val="20"/>
        </w:rPr>
        <w:t>.</w:t>
      </w:r>
      <w:r w:rsidR="45AB0A04" w:rsidRPr="3D83606E">
        <w:rPr>
          <w:sz w:val="20"/>
          <w:szCs w:val="20"/>
        </w:rPr>
        <w:t xml:space="preserve">  </w:t>
      </w:r>
      <w:proofErr w:type="gramStart"/>
      <w:r w:rsidRPr="3D83606E">
        <w:rPr>
          <w:sz w:val="20"/>
          <w:szCs w:val="20"/>
        </w:rPr>
        <w:t xml:space="preserve">The </w:t>
      </w:r>
      <w:r w:rsidR="0053020C" w:rsidRPr="3D83606E">
        <w:rPr>
          <w:sz w:val="20"/>
          <w:szCs w:val="20"/>
        </w:rPr>
        <w:t xml:space="preserve"> Contract</w:t>
      </w:r>
      <w:proofErr w:type="gramEnd"/>
      <w:r w:rsidR="0053020C" w:rsidRPr="3D83606E">
        <w:rPr>
          <w:sz w:val="20"/>
          <w:szCs w:val="20"/>
        </w:rPr>
        <w:t xml:space="preserve"> has</w:t>
      </w:r>
      <w:r w:rsidRPr="3D83606E">
        <w:rPr>
          <w:sz w:val="20"/>
          <w:szCs w:val="20"/>
        </w:rPr>
        <w:t xml:space="preserve"> been advertised by </w:t>
      </w:r>
      <w:r w:rsidR="0053020C" w:rsidRPr="3D83606E">
        <w:rPr>
          <w:sz w:val="20"/>
          <w:szCs w:val="20"/>
        </w:rPr>
        <w:t>GBE-N</w:t>
      </w:r>
      <w:r w:rsidR="2522649D" w:rsidRPr="3D83606E">
        <w:rPr>
          <w:sz w:val="20"/>
          <w:szCs w:val="20"/>
        </w:rPr>
        <w:t xml:space="preserve"> in</w:t>
      </w:r>
      <w:r w:rsidRPr="3D83606E">
        <w:rPr>
          <w:sz w:val="20"/>
          <w:szCs w:val="20"/>
        </w:rPr>
        <w:t xml:space="preserve"> the </w:t>
      </w:r>
      <w:r w:rsidR="041EE911" w:rsidRPr="3D83606E">
        <w:rPr>
          <w:sz w:val="20"/>
          <w:szCs w:val="20"/>
        </w:rPr>
        <w:t xml:space="preserve">Tender </w:t>
      </w:r>
      <w:r w:rsidRPr="3D83606E">
        <w:rPr>
          <w:sz w:val="20"/>
          <w:szCs w:val="20"/>
        </w:rPr>
        <w:t xml:space="preserve">Notice dispatched on </w:t>
      </w:r>
      <w:r w:rsidR="00C13649" w:rsidRPr="3D83606E">
        <w:rPr>
          <w:sz w:val="20"/>
          <w:szCs w:val="20"/>
        </w:rPr>
        <w:t>0</w:t>
      </w:r>
      <w:r w:rsidR="00AC673E" w:rsidRPr="3D83606E">
        <w:rPr>
          <w:sz w:val="20"/>
          <w:szCs w:val="20"/>
        </w:rPr>
        <w:t>3</w:t>
      </w:r>
      <w:r w:rsidR="00C13649" w:rsidRPr="3D83606E">
        <w:rPr>
          <w:sz w:val="20"/>
          <w:szCs w:val="20"/>
        </w:rPr>
        <w:t>/06/25</w:t>
      </w:r>
      <w:r w:rsidR="19FACD6D" w:rsidRPr="3D83606E">
        <w:rPr>
          <w:sz w:val="20"/>
          <w:szCs w:val="20"/>
        </w:rPr>
        <w:t xml:space="preserve">, </w:t>
      </w:r>
      <w:r w:rsidR="00C13649" w:rsidRPr="3D83606E">
        <w:rPr>
          <w:sz w:val="20"/>
          <w:szCs w:val="20"/>
        </w:rPr>
        <w:t>reference number 2025-00002</w:t>
      </w:r>
      <w:r w:rsidR="317BB499" w:rsidRPr="3D83606E">
        <w:rPr>
          <w:sz w:val="20"/>
          <w:szCs w:val="20"/>
        </w:rPr>
        <w:t>7</w:t>
      </w:r>
      <w:r w:rsidRPr="3D83606E">
        <w:rPr>
          <w:sz w:val="20"/>
          <w:szCs w:val="20"/>
        </w:rPr>
        <w:t xml:space="preserve">. </w:t>
      </w:r>
      <w:r w:rsidR="454229D2" w:rsidRPr="3D83606E">
        <w:rPr>
          <w:sz w:val="20"/>
          <w:szCs w:val="20"/>
        </w:rPr>
        <w:t xml:space="preserve">The </w:t>
      </w:r>
      <w:r w:rsidR="00843B2D" w:rsidRPr="3D83606E">
        <w:rPr>
          <w:sz w:val="20"/>
          <w:szCs w:val="20"/>
        </w:rPr>
        <w:t>interim statement of requirement</w:t>
      </w:r>
      <w:r w:rsidR="00AC673E" w:rsidRPr="3D83606E">
        <w:rPr>
          <w:sz w:val="20"/>
          <w:szCs w:val="20"/>
        </w:rPr>
        <w:t>s</w:t>
      </w:r>
      <w:r w:rsidR="454229D2" w:rsidRPr="3D83606E">
        <w:rPr>
          <w:sz w:val="20"/>
          <w:szCs w:val="20"/>
        </w:rPr>
        <w:t xml:space="preserve"> is appended at Appendix </w:t>
      </w:r>
      <w:r w:rsidR="00AB1E44" w:rsidRPr="3D83606E">
        <w:rPr>
          <w:sz w:val="20"/>
          <w:szCs w:val="20"/>
        </w:rPr>
        <w:t>F</w:t>
      </w:r>
      <w:r w:rsidR="454229D2" w:rsidRPr="3D83606E">
        <w:rPr>
          <w:sz w:val="20"/>
          <w:szCs w:val="20"/>
        </w:rPr>
        <w:t xml:space="preserve"> and t</w:t>
      </w:r>
      <w:r w:rsidR="7B342DFD" w:rsidRPr="3D83606E">
        <w:rPr>
          <w:sz w:val="20"/>
          <w:szCs w:val="20"/>
        </w:rPr>
        <w:t xml:space="preserve">he draft </w:t>
      </w:r>
      <w:r w:rsidR="454229D2" w:rsidRPr="3D83606E">
        <w:rPr>
          <w:sz w:val="20"/>
          <w:szCs w:val="20"/>
        </w:rPr>
        <w:t xml:space="preserve">Contract </w:t>
      </w:r>
      <w:r w:rsidR="7B342DFD" w:rsidRPr="3D83606E">
        <w:rPr>
          <w:sz w:val="20"/>
          <w:szCs w:val="20"/>
        </w:rPr>
        <w:t xml:space="preserve">for the </w:t>
      </w:r>
      <w:r w:rsidR="2C15240F" w:rsidRPr="3D83606E">
        <w:rPr>
          <w:sz w:val="20"/>
          <w:szCs w:val="20"/>
        </w:rPr>
        <w:t>procurement</w:t>
      </w:r>
      <w:r w:rsidR="7B342DFD" w:rsidRPr="3D83606E">
        <w:rPr>
          <w:sz w:val="20"/>
          <w:szCs w:val="20"/>
        </w:rPr>
        <w:t xml:space="preserve"> </w:t>
      </w:r>
      <w:r w:rsidR="454229D2" w:rsidRPr="3D83606E">
        <w:rPr>
          <w:sz w:val="20"/>
          <w:szCs w:val="20"/>
        </w:rPr>
        <w:t xml:space="preserve">is </w:t>
      </w:r>
      <w:r w:rsidR="7B342DFD" w:rsidRPr="3D83606E">
        <w:rPr>
          <w:sz w:val="20"/>
          <w:szCs w:val="20"/>
        </w:rPr>
        <w:t xml:space="preserve">appended at </w:t>
      </w:r>
      <w:r w:rsidR="2C15240F" w:rsidRPr="3D83606E">
        <w:rPr>
          <w:sz w:val="20"/>
          <w:szCs w:val="20"/>
        </w:rPr>
        <w:t>Appendix</w:t>
      </w:r>
      <w:r w:rsidR="7B342DFD" w:rsidRPr="3D83606E">
        <w:rPr>
          <w:sz w:val="20"/>
          <w:szCs w:val="20"/>
        </w:rPr>
        <w:t xml:space="preserve"> </w:t>
      </w:r>
      <w:r w:rsidR="00AB1E44" w:rsidRPr="3D83606E">
        <w:rPr>
          <w:sz w:val="20"/>
          <w:szCs w:val="20"/>
        </w:rPr>
        <w:t>E</w:t>
      </w:r>
      <w:r w:rsidR="2C15240F" w:rsidRPr="3D83606E">
        <w:rPr>
          <w:sz w:val="20"/>
          <w:szCs w:val="20"/>
        </w:rPr>
        <w:t>.</w:t>
      </w:r>
      <w:r w:rsidR="454229D2" w:rsidRPr="3D83606E">
        <w:rPr>
          <w:sz w:val="20"/>
          <w:szCs w:val="20"/>
        </w:rPr>
        <w:t xml:space="preserve"> The draft Contract is being provided to Suppliers for two reasons. First, the draft Contract is being provided to Suppliers so that they can understand the nature and scope of the opportunity to assist Suppliers in reaching an informed decision on whether to respond to this PSQ.  Second, due to the accelerated timescales for the procurement, </w:t>
      </w:r>
      <w:r w:rsidR="0053020C" w:rsidRPr="3D83606E">
        <w:rPr>
          <w:sz w:val="20"/>
          <w:szCs w:val="20"/>
        </w:rPr>
        <w:t>GBE-N</w:t>
      </w:r>
      <w:r w:rsidR="454229D2" w:rsidRPr="3D83606E">
        <w:rPr>
          <w:sz w:val="20"/>
          <w:szCs w:val="20"/>
        </w:rPr>
        <w:t xml:space="preserve"> is providing Suppliers with early sight of the draft Contract as </w:t>
      </w:r>
      <w:r w:rsidR="7BB0B895" w:rsidRPr="3D83606E">
        <w:rPr>
          <w:sz w:val="20"/>
          <w:szCs w:val="20"/>
        </w:rPr>
        <w:t xml:space="preserve">Suppliers may </w:t>
      </w:r>
      <w:r w:rsidR="4337541C" w:rsidRPr="3D83606E">
        <w:rPr>
          <w:sz w:val="20"/>
          <w:szCs w:val="20"/>
        </w:rPr>
        <w:t>submit comments relating to</w:t>
      </w:r>
      <w:r w:rsidR="7BB0B895" w:rsidRPr="3D83606E">
        <w:rPr>
          <w:sz w:val="20"/>
          <w:szCs w:val="20"/>
        </w:rPr>
        <w:t xml:space="preserve"> material issues with the draft Contract</w:t>
      </w:r>
      <w:r w:rsidR="11AA8ED8" w:rsidRPr="3D83606E">
        <w:rPr>
          <w:sz w:val="20"/>
          <w:szCs w:val="20"/>
        </w:rPr>
        <w:t>. Further details can be found at paragraph 20 of Section G</w:t>
      </w:r>
      <w:r w:rsidR="087DCA92" w:rsidRPr="3D83606E">
        <w:rPr>
          <w:sz w:val="20"/>
          <w:szCs w:val="20"/>
        </w:rPr>
        <w:t>.</w:t>
      </w:r>
      <w:r w:rsidR="00F61BFE" w:rsidRPr="3D83606E">
        <w:rPr>
          <w:sz w:val="20"/>
          <w:szCs w:val="20"/>
        </w:rPr>
        <w:t xml:space="preserve"> </w:t>
      </w:r>
      <w:r w:rsidR="0053020C" w:rsidRPr="3D83606E">
        <w:rPr>
          <w:sz w:val="20"/>
          <w:szCs w:val="20"/>
        </w:rPr>
        <w:t>GBE-N</w:t>
      </w:r>
      <w:r w:rsidR="454229D2" w:rsidRPr="3D83606E">
        <w:rPr>
          <w:sz w:val="20"/>
          <w:szCs w:val="20"/>
        </w:rPr>
        <w:t xml:space="preserve"> </w:t>
      </w:r>
      <w:r w:rsidR="74FF21A2" w:rsidRPr="3D83606E">
        <w:rPr>
          <w:sz w:val="20"/>
          <w:szCs w:val="20"/>
        </w:rPr>
        <w:t>requests</w:t>
      </w:r>
      <w:r w:rsidR="2F48590F" w:rsidRPr="3D83606E">
        <w:rPr>
          <w:sz w:val="20"/>
          <w:szCs w:val="20"/>
        </w:rPr>
        <w:t xml:space="preserve"> </w:t>
      </w:r>
      <w:r w:rsidRPr="3D83606E">
        <w:rPr>
          <w:sz w:val="20"/>
          <w:szCs w:val="20"/>
        </w:rPr>
        <w:t>t</w:t>
      </w:r>
      <w:r w:rsidR="454229D2" w:rsidRPr="3D83606E">
        <w:rPr>
          <w:sz w:val="20"/>
          <w:szCs w:val="20"/>
        </w:rPr>
        <w:t xml:space="preserve">hat Suppliers </w:t>
      </w:r>
      <w:r w:rsidR="03E1D3DF" w:rsidRPr="3D83606E">
        <w:rPr>
          <w:sz w:val="20"/>
          <w:szCs w:val="20"/>
        </w:rPr>
        <w:t xml:space="preserve">submit any comments on the draft Contract </w:t>
      </w:r>
      <w:r w:rsidR="40C2AECE" w:rsidRPr="3D83606E">
        <w:rPr>
          <w:sz w:val="20"/>
          <w:szCs w:val="20"/>
        </w:rPr>
        <w:t>as soon as possible.</w:t>
      </w:r>
      <w:r w:rsidR="00FC25AB" w:rsidRPr="3D83606E">
        <w:rPr>
          <w:sz w:val="20"/>
          <w:szCs w:val="20"/>
        </w:rPr>
        <w:t xml:space="preserve"> </w:t>
      </w:r>
      <w:r w:rsidR="0053020C" w:rsidRPr="3D83606E">
        <w:rPr>
          <w:sz w:val="20"/>
          <w:szCs w:val="20"/>
        </w:rPr>
        <w:t>GBE-N</w:t>
      </w:r>
      <w:r w:rsidRPr="3D83606E">
        <w:rPr>
          <w:sz w:val="20"/>
          <w:szCs w:val="20"/>
        </w:rPr>
        <w:t xml:space="preserve"> intends to award </w:t>
      </w:r>
      <w:r w:rsidR="00BA1274" w:rsidRPr="3D83606E">
        <w:rPr>
          <w:sz w:val="20"/>
          <w:szCs w:val="20"/>
        </w:rPr>
        <w:t xml:space="preserve">the </w:t>
      </w:r>
      <w:r w:rsidR="000476CD" w:rsidRPr="3D83606E">
        <w:rPr>
          <w:sz w:val="20"/>
          <w:szCs w:val="20"/>
        </w:rPr>
        <w:t>Contract</w:t>
      </w:r>
      <w:r w:rsidRPr="3D83606E">
        <w:rPr>
          <w:sz w:val="20"/>
          <w:szCs w:val="20"/>
        </w:rPr>
        <w:t xml:space="preserve"> in accordance with the </w:t>
      </w:r>
      <w:r w:rsidR="00C42E08" w:rsidRPr="3D83606E">
        <w:rPr>
          <w:sz w:val="20"/>
          <w:szCs w:val="20"/>
        </w:rPr>
        <w:t>Procurement Act 2023</w:t>
      </w:r>
      <w:r w:rsidR="00461F4E" w:rsidRPr="3D83606E">
        <w:rPr>
          <w:sz w:val="20"/>
          <w:szCs w:val="20"/>
        </w:rPr>
        <w:t xml:space="preserve"> </w:t>
      </w:r>
      <w:r w:rsidR="007A2735" w:rsidRPr="3D83606E">
        <w:rPr>
          <w:sz w:val="20"/>
          <w:szCs w:val="20"/>
        </w:rPr>
        <w:t>using the</w:t>
      </w:r>
      <w:r w:rsidR="00772A6F" w:rsidRPr="3D83606E">
        <w:rPr>
          <w:sz w:val="20"/>
          <w:szCs w:val="20"/>
        </w:rPr>
        <w:t xml:space="preserve"> Competitive </w:t>
      </w:r>
      <w:r w:rsidR="008959CF" w:rsidRPr="3D83606E">
        <w:rPr>
          <w:sz w:val="20"/>
          <w:szCs w:val="20"/>
        </w:rPr>
        <w:t>Flexible Procedure</w:t>
      </w:r>
      <w:r w:rsidR="00DD0A20" w:rsidRPr="3D83606E">
        <w:rPr>
          <w:sz w:val="20"/>
          <w:szCs w:val="20"/>
        </w:rPr>
        <w:t>.</w:t>
      </w:r>
    </w:p>
    <w:p w14:paraId="0901736B" w14:textId="17E3CA8B" w:rsidR="39E23412" w:rsidRPr="00585A3E" w:rsidRDefault="00F26284" w:rsidP="00D03386">
      <w:pPr>
        <w:pStyle w:val="H1Ashurst"/>
        <w:rPr>
          <w:rFonts w:cstheme="minorHAnsi"/>
          <w:sz w:val="20"/>
          <w:szCs w:val="20"/>
        </w:rPr>
      </w:pPr>
      <w:bookmarkStart w:id="10" w:name="_Toc185412134"/>
      <w:bookmarkStart w:id="11" w:name="_Toc190707075"/>
      <w:bookmarkStart w:id="12" w:name="_Toc190707084"/>
      <w:bookmarkStart w:id="13" w:name="_Toc190707134"/>
      <w:r w:rsidRPr="00585A3E">
        <w:rPr>
          <w:rFonts w:cstheme="minorHAnsi"/>
          <w:sz w:val="20"/>
          <w:szCs w:val="20"/>
        </w:rPr>
        <w:t>General</w:t>
      </w:r>
      <w:bookmarkEnd w:id="10"/>
      <w:bookmarkEnd w:id="11"/>
      <w:bookmarkEnd w:id="12"/>
      <w:bookmarkEnd w:id="13"/>
    </w:p>
    <w:p w14:paraId="0AAE676D" w14:textId="32841251" w:rsidR="001F085E" w:rsidRPr="00EC46AC" w:rsidRDefault="00F26284" w:rsidP="00EC46AC">
      <w:pPr>
        <w:pStyle w:val="H1Ashurst"/>
        <w:numPr>
          <w:ilvl w:val="0"/>
          <w:numId w:val="0"/>
        </w:numPr>
        <w:ind w:left="782"/>
        <w:rPr>
          <w:rFonts w:cstheme="minorHAnsi"/>
          <w:sz w:val="20"/>
          <w:szCs w:val="20"/>
        </w:rPr>
      </w:pPr>
      <w:bookmarkStart w:id="14" w:name="_Toc190707076"/>
      <w:bookmarkStart w:id="15" w:name="_Toc190707085"/>
      <w:bookmarkStart w:id="16" w:name="_Toc190707135"/>
      <w:bookmarkStart w:id="17" w:name="_Toc185412135"/>
      <w:r w:rsidRPr="00585A3E">
        <w:rPr>
          <w:rFonts w:cstheme="minorHAnsi"/>
          <w:sz w:val="20"/>
          <w:szCs w:val="20"/>
        </w:rPr>
        <w:t xml:space="preserve">The </w:t>
      </w:r>
      <w:r w:rsidR="00CF7853">
        <w:rPr>
          <w:rFonts w:cstheme="minorHAnsi"/>
          <w:sz w:val="20"/>
          <w:szCs w:val="20"/>
        </w:rPr>
        <w:t>PSQ</w:t>
      </w:r>
      <w:bookmarkEnd w:id="14"/>
      <w:bookmarkEnd w:id="15"/>
      <w:bookmarkEnd w:id="16"/>
      <w:r w:rsidRPr="00585A3E">
        <w:rPr>
          <w:rFonts w:cstheme="minorHAnsi"/>
          <w:sz w:val="20"/>
          <w:szCs w:val="20"/>
        </w:rPr>
        <w:t xml:space="preserve"> </w:t>
      </w:r>
      <w:bookmarkEnd w:id="17"/>
    </w:p>
    <w:p w14:paraId="6F7F88C2" w14:textId="43E17184" w:rsidR="001F085E" w:rsidRPr="001F085E" w:rsidRDefault="00F26284" w:rsidP="001F085E">
      <w:pPr>
        <w:pStyle w:val="H2Ashurst"/>
        <w:rPr>
          <w:sz w:val="20"/>
          <w:szCs w:val="20"/>
        </w:rPr>
      </w:pPr>
      <w:r w:rsidRPr="6BDEFB39">
        <w:rPr>
          <w:sz w:val="20"/>
          <w:szCs w:val="20"/>
        </w:rPr>
        <w:t>To be considered for participation</w:t>
      </w:r>
      <w:r w:rsidR="017C22F8" w:rsidRPr="6BDEFB39">
        <w:rPr>
          <w:sz w:val="20"/>
          <w:szCs w:val="20"/>
        </w:rPr>
        <w:t xml:space="preserve"> in this public procurement process</w:t>
      </w:r>
      <w:r w:rsidRPr="6BDEFB39">
        <w:rPr>
          <w:sz w:val="20"/>
          <w:szCs w:val="20"/>
        </w:rPr>
        <w:t xml:space="preserve">, Applicants must submit a PSQ response before the PSQ response deadline on </w:t>
      </w:r>
      <w:r w:rsidR="00D82A03" w:rsidRPr="6BDEFB39">
        <w:rPr>
          <w:sz w:val="20"/>
          <w:szCs w:val="20"/>
        </w:rPr>
        <w:t>0</w:t>
      </w:r>
      <w:r w:rsidR="58EA8B4B" w:rsidRPr="6BDEFB39">
        <w:rPr>
          <w:sz w:val="20"/>
          <w:szCs w:val="20"/>
        </w:rPr>
        <w:t>9</w:t>
      </w:r>
      <w:r w:rsidR="00D82A03" w:rsidRPr="6BDEFB39">
        <w:rPr>
          <w:sz w:val="20"/>
          <w:szCs w:val="20"/>
        </w:rPr>
        <w:t>/07/25 at 17:00 BST</w:t>
      </w:r>
      <w:r w:rsidRPr="6BDEFB39">
        <w:rPr>
          <w:sz w:val="20"/>
          <w:szCs w:val="20"/>
        </w:rPr>
        <w:t xml:space="preserve"> which is compliant in all respects with the requirements and instructions set out in these PSQ Instructions.</w:t>
      </w:r>
      <w:bookmarkStart w:id="18" w:name="_DV_M14"/>
      <w:bookmarkStart w:id="19" w:name="_Toc185412133"/>
      <w:bookmarkEnd w:id="18"/>
      <w:bookmarkEnd w:id="19"/>
    </w:p>
    <w:p w14:paraId="36E82D97" w14:textId="3FEFD9B3" w:rsidR="0041524F" w:rsidRPr="00585A3E" w:rsidRDefault="00F26284" w:rsidP="00D03386">
      <w:pPr>
        <w:pStyle w:val="H2Ashurst"/>
        <w:rPr>
          <w:rFonts w:cstheme="minorHAnsi"/>
          <w:sz w:val="20"/>
          <w:szCs w:val="20"/>
        </w:rPr>
      </w:pPr>
      <w:r w:rsidRPr="00585A3E">
        <w:rPr>
          <w:rFonts w:cstheme="minorHAnsi"/>
          <w:sz w:val="20"/>
          <w:szCs w:val="20"/>
        </w:rPr>
        <w:t xml:space="preserve">This </w:t>
      </w:r>
      <w:r w:rsidR="00CF7853">
        <w:rPr>
          <w:rFonts w:cstheme="minorHAnsi"/>
          <w:sz w:val="20"/>
          <w:szCs w:val="20"/>
        </w:rPr>
        <w:t>PSQ</w:t>
      </w:r>
      <w:r w:rsidRPr="00585A3E">
        <w:rPr>
          <w:rFonts w:cstheme="minorHAnsi"/>
          <w:sz w:val="20"/>
          <w:szCs w:val="20"/>
        </w:rPr>
        <w:t xml:space="preserve"> </w:t>
      </w:r>
      <w:r w:rsidR="00657FE1" w:rsidRPr="00585A3E">
        <w:rPr>
          <w:rFonts w:cstheme="minorHAnsi"/>
          <w:sz w:val="20"/>
          <w:szCs w:val="20"/>
        </w:rPr>
        <w:t xml:space="preserve">Instructions Document and accompanying </w:t>
      </w:r>
      <w:r w:rsidR="00611FB2">
        <w:rPr>
          <w:rFonts w:cstheme="minorHAnsi"/>
          <w:sz w:val="20"/>
          <w:szCs w:val="20"/>
        </w:rPr>
        <w:t>PSQ</w:t>
      </w:r>
      <w:r w:rsidR="00657FE1" w:rsidRPr="00585A3E">
        <w:rPr>
          <w:rFonts w:cstheme="minorHAnsi"/>
          <w:sz w:val="20"/>
          <w:szCs w:val="20"/>
        </w:rPr>
        <w:t xml:space="preserve"> </w:t>
      </w:r>
      <w:r w:rsidRPr="00585A3E">
        <w:rPr>
          <w:rFonts w:cstheme="minorHAnsi"/>
          <w:sz w:val="20"/>
          <w:szCs w:val="20"/>
        </w:rPr>
        <w:t xml:space="preserve">set out </w:t>
      </w:r>
      <w:r w:rsidR="6946CDA7" w:rsidRPr="00585A3E">
        <w:rPr>
          <w:rFonts w:cstheme="minorHAnsi"/>
          <w:sz w:val="20"/>
          <w:szCs w:val="20"/>
        </w:rPr>
        <w:t xml:space="preserve">instructions in relation to: </w:t>
      </w:r>
    </w:p>
    <w:p w14:paraId="68F978A4" w14:textId="286B8CA1" w:rsidR="0041524F" w:rsidRPr="00585A3E" w:rsidRDefault="00F26284" w:rsidP="00D03386">
      <w:pPr>
        <w:pStyle w:val="H3Ashurst"/>
        <w:ind w:left="1701" w:hanging="919"/>
        <w:rPr>
          <w:rFonts w:cstheme="minorHAnsi"/>
          <w:sz w:val="20"/>
          <w:szCs w:val="20"/>
        </w:rPr>
      </w:pPr>
      <w:r>
        <w:rPr>
          <w:rFonts w:cstheme="minorHAnsi"/>
          <w:sz w:val="20"/>
          <w:szCs w:val="20"/>
        </w:rPr>
        <w:t>T</w:t>
      </w:r>
      <w:r w:rsidR="5CF3AC05" w:rsidRPr="00585A3E">
        <w:rPr>
          <w:rFonts w:cstheme="minorHAnsi"/>
          <w:sz w:val="20"/>
          <w:szCs w:val="20"/>
        </w:rPr>
        <w:t xml:space="preserve">he information Applicants </w:t>
      </w:r>
      <w:r w:rsidR="38C54904" w:rsidRPr="00585A3E">
        <w:rPr>
          <w:rFonts w:cstheme="minorHAnsi"/>
          <w:sz w:val="20"/>
          <w:szCs w:val="20"/>
        </w:rPr>
        <w:t>must provide as part of a</w:t>
      </w:r>
      <w:r w:rsidR="00B34E77">
        <w:rPr>
          <w:rFonts w:cstheme="minorHAnsi"/>
          <w:sz w:val="20"/>
          <w:szCs w:val="20"/>
        </w:rPr>
        <w:t xml:space="preserve"> </w:t>
      </w:r>
      <w:r w:rsidR="00CF7853">
        <w:rPr>
          <w:rFonts w:cstheme="minorHAnsi"/>
          <w:sz w:val="20"/>
          <w:szCs w:val="20"/>
        </w:rPr>
        <w:t>PSQ</w:t>
      </w:r>
      <w:r w:rsidR="38C54904" w:rsidRPr="00585A3E">
        <w:rPr>
          <w:rFonts w:cstheme="minorHAnsi"/>
          <w:sz w:val="20"/>
          <w:szCs w:val="20"/>
        </w:rPr>
        <w:t xml:space="preserve"> response</w:t>
      </w:r>
      <w:r w:rsidR="412613BF" w:rsidRPr="00585A3E">
        <w:rPr>
          <w:rFonts w:cstheme="minorHAnsi"/>
          <w:sz w:val="20"/>
          <w:szCs w:val="20"/>
        </w:rPr>
        <w:t>;</w:t>
      </w:r>
      <w:r w:rsidR="5CF3AC05" w:rsidRPr="00585A3E">
        <w:rPr>
          <w:rFonts w:cstheme="minorHAnsi"/>
          <w:sz w:val="20"/>
          <w:szCs w:val="20"/>
        </w:rPr>
        <w:t xml:space="preserve"> and</w:t>
      </w:r>
    </w:p>
    <w:p w14:paraId="6C0362A1" w14:textId="09EFF785" w:rsidR="0041524F" w:rsidRPr="00585A3E" w:rsidRDefault="00F26284" w:rsidP="00D03386">
      <w:pPr>
        <w:pStyle w:val="H3Ashurst"/>
        <w:ind w:left="1701" w:hanging="919"/>
        <w:rPr>
          <w:rFonts w:cstheme="minorHAnsi"/>
          <w:sz w:val="20"/>
          <w:szCs w:val="20"/>
        </w:rPr>
      </w:pPr>
      <w:r w:rsidRPr="00585A3E">
        <w:rPr>
          <w:rFonts w:cstheme="minorHAnsi"/>
          <w:sz w:val="20"/>
          <w:szCs w:val="20"/>
        </w:rPr>
        <w:t>The</w:t>
      </w:r>
      <w:r w:rsidR="38C54904" w:rsidRPr="00585A3E">
        <w:rPr>
          <w:rFonts w:cstheme="minorHAnsi"/>
          <w:sz w:val="20"/>
          <w:szCs w:val="20"/>
        </w:rPr>
        <w:t xml:space="preserve"> preparation of a</w:t>
      </w:r>
      <w:r w:rsidR="5CF3AC05" w:rsidRPr="00585A3E">
        <w:rPr>
          <w:rFonts w:cstheme="minorHAnsi"/>
          <w:sz w:val="20"/>
          <w:szCs w:val="20"/>
        </w:rPr>
        <w:t xml:space="preserve"> compliant</w:t>
      </w:r>
      <w:r w:rsidR="38C54904" w:rsidRPr="00585A3E">
        <w:rPr>
          <w:rFonts w:cstheme="minorHAnsi"/>
          <w:sz w:val="20"/>
          <w:szCs w:val="20"/>
        </w:rPr>
        <w:t xml:space="preserve"> </w:t>
      </w:r>
      <w:r w:rsidR="00CF7853">
        <w:rPr>
          <w:rFonts w:cstheme="minorHAnsi"/>
          <w:sz w:val="20"/>
          <w:szCs w:val="20"/>
        </w:rPr>
        <w:t>PSQ</w:t>
      </w:r>
      <w:r w:rsidR="38C54904" w:rsidRPr="00585A3E">
        <w:rPr>
          <w:rFonts w:cstheme="minorHAnsi"/>
          <w:sz w:val="20"/>
          <w:szCs w:val="20"/>
        </w:rPr>
        <w:t xml:space="preserve"> response</w:t>
      </w:r>
      <w:r w:rsidR="5CF3AC05" w:rsidRPr="00585A3E">
        <w:rPr>
          <w:rFonts w:cstheme="minorHAnsi"/>
          <w:sz w:val="20"/>
          <w:szCs w:val="20"/>
        </w:rPr>
        <w:t xml:space="preserve">. </w:t>
      </w:r>
    </w:p>
    <w:p w14:paraId="1A86CDD1" w14:textId="35770E71" w:rsidR="00F06283" w:rsidRPr="00585A3E" w:rsidRDefault="00F26284" w:rsidP="00D03386">
      <w:pPr>
        <w:pStyle w:val="H2Ashurst"/>
        <w:rPr>
          <w:rFonts w:cstheme="minorHAnsi"/>
          <w:sz w:val="20"/>
          <w:szCs w:val="20"/>
        </w:rPr>
      </w:pPr>
      <w:r w:rsidRPr="00585A3E">
        <w:rPr>
          <w:rFonts w:cstheme="minorHAnsi"/>
          <w:sz w:val="20"/>
          <w:szCs w:val="20"/>
        </w:rPr>
        <w:t>Th</w:t>
      </w:r>
      <w:r w:rsidR="00D9509C">
        <w:rPr>
          <w:rFonts w:cstheme="minorHAnsi"/>
          <w:sz w:val="20"/>
          <w:szCs w:val="20"/>
        </w:rPr>
        <w:t>is</w:t>
      </w:r>
      <w:r w:rsidRPr="00585A3E">
        <w:rPr>
          <w:rFonts w:cstheme="minorHAnsi"/>
          <w:sz w:val="20"/>
          <w:szCs w:val="20"/>
        </w:rPr>
        <w:t xml:space="preserve"> </w:t>
      </w:r>
      <w:r w:rsidR="00CF7853">
        <w:rPr>
          <w:rFonts w:cstheme="minorHAnsi"/>
          <w:sz w:val="20"/>
          <w:szCs w:val="20"/>
        </w:rPr>
        <w:t>PSQ</w:t>
      </w:r>
      <w:r w:rsidRPr="00585A3E">
        <w:rPr>
          <w:rFonts w:cstheme="minorHAnsi"/>
          <w:sz w:val="20"/>
          <w:szCs w:val="20"/>
        </w:rPr>
        <w:t xml:space="preserve"> </w:t>
      </w:r>
      <w:r w:rsidR="00611FB2">
        <w:rPr>
          <w:rFonts w:cstheme="minorHAnsi"/>
          <w:sz w:val="20"/>
          <w:szCs w:val="20"/>
        </w:rPr>
        <w:t>Instructions</w:t>
      </w:r>
      <w:r w:rsidR="00D9509C">
        <w:rPr>
          <w:rFonts w:cstheme="minorHAnsi"/>
          <w:sz w:val="20"/>
          <w:szCs w:val="20"/>
        </w:rPr>
        <w:t xml:space="preserve"> Document</w:t>
      </w:r>
      <w:r w:rsidR="00611FB2">
        <w:rPr>
          <w:rFonts w:cstheme="minorHAnsi"/>
          <w:sz w:val="20"/>
          <w:szCs w:val="20"/>
        </w:rPr>
        <w:t xml:space="preserve"> </w:t>
      </w:r>
      <w:r w:rsidR="38C54904" w:rsidRPr="00585A3E">
        <w:rPr>
          <w:rFonts w:cstheme="minorHAnsi"/>
          <w:sz w:val="20"/>
          <w:szCs w:val="20"/>
        </w:rPr>
        <w:t xml:space="preserve">also </w:t>
      </w:r>
      <w:r w:rsidRPr="00585A3E">
        <w:rPr>
          <w:rFonts w:cstheme="minorHAnsi"/>
          <w:sz w:val="20"/>
          <w:szCs w:val="20"/>
        </w:rPr>
        <w:t xml:space="preserve">provides Applicants </w:t>
      </w:r>
      <w:r w:rsidR="00D9509C">
        <w:rPr>
          <w:rFonts w:cstheme="minorHAnsi"/>
          <w:sz w:val="20"/>
          <w:szCs w:val="20"/>
        </w:rPr>
        <w:t xml:space="preserve">with </w:t>
      </w:r>
      <w:r w:rsidRPr="00585A3E">
        <w:rPr>
          <w:rFonts w:cstheme="minorHAnsi"/>
          <w:sz w:val="20"/>
          <w:szCs w:val="20"/>
        </w:rPr>
        <w:t>information about</w:t>
      </w:r>
      <w:r w:rsidR="267BBE2E" w:rsidRPr="00585A3E">
        <w:rPr>
          <w:rFonts w:cstheme="minorHAnsi"/>
          <w:sz w:val="20"/>
          <w:szCs w:val="20"/>
        </w:rPr>
        <w:t>:</w:t>
      </w:r>
    </w:p>
    <w:p w14:paraId="5615F10F" w14:textId="40EAD1EC" w:rsidR="00F06283" w:rsidRPr="00585A3E" w:rsidRDefault="0053020C" w:rsidP="3D83606E">
      <w:pPr>
        <w:pStyle w:val="H3Ashurst"/>
        <w:ind w:left="1701" w:hanging="919"/>
        <w:rPr>
          <w:sz w:val="20"/>
          <w:szCs w:val="20"/>
        </w:rPr>
      </w:pPr>
      <w:r w:rsidRPr="3D83606E">
        <w:rPr>
          <w:sz w:val="20"/>
          <w:szCs w:val="20"/>
        </w:rPr>
        <w:t>GBE-</w:t>
      </w:r>
      <w:proofErr w:type="gramStart"/>
      <w:r w:rsidRPr="3D83606E">
        <w:rPr>
          <w:sz w:val="20"/>
          <w:szCs w:val="20"/>
        </w:rPr>
        <w:t>N</w:t>
      </w:r>
      <w:r w:rsidR="24BF3E2B" w:rsidRPr="3D83606E">
        <w:rPr>
          <w:sz w:val="20"/>
          <w:szCs w:val="20"/>
        </w:rPr>
        <w:t>;</w:t>
      </w:r>
      <w:proofErr w:type="gramEnd"/>
      <w:r w:rsidR="00F26284" w:rsidRPr="3D83606E">
        <w:rPr>
          <w:sz w:val="20"/>
          <w:szCs w:val="20"/>
        </w:rPr>
        <w:t xml:space="preserve"> </w:t>
      </w:r>
    </w:p>
    <w:p w14:paraId="51FAC81B" w14:textId="3BD507B9" w:rsidR="00F06283" w:rsidRPr="00585A3E" w:rsidRDefault="00F26284" w:rsidP="00D03386">
      <w:pPr>
        <w:pStyle w:val="H3Ashurst"/>
        <w:ind w:left="1701" w:hanging="919"/>
        <w:rPr>
          <w:rFonts w:cstheme="minorHAnsi"/>
          <w:sz w:val="20"/>
          <w:szCs w:val="20"/>
        </w:rPr>
      </w:pPr>
      <w:r>
        <w:rPr>
          <w:rFonts w:cstheme="minorHAnsi"/>
          <w:sz w:val="20"/>
          <w:szCs w:val="20"/>
        </w:rPr>
        <w:t>T</w:t>
      </w:r>
      <w:r w:rsidR="5CF3AC05" w:rsidRPr="00585A3E">
        <w:rPr>
          <w:rFonts w:cstheme="minorHAnsi"/>
          <w:sz w:val="20"/>
          <w:szCs w:val="20"/>
        </w:rPr>
        <w:t xml:space="preserve">he </w:t>
      </w:r>
      <w:proofErr w:type="gramStart"/>
      <w:r w:rsidR="5CF3AC05" w:rsidRPr="00585A3E">
        <w:rPr>
          <w:rFonts w:cstheme="minorHAnsi"/>
          <w:sz w:val="20"/>
          <w:szCs w:val="20"/>
        </w:rPr>
        <w:t>Contract</w:t>
      </w:r>
      <w:r w:rsidR="46AECD8E" w:rsidRPr="00585A3E">
        <w:rPr>
          <w:rFonts w:cstheme="minorHAnsi"/>
          <w:sz w:val="20"/>
          <w:szCs w:val="20"/>
        </w:rPr>
        <w:t>;</w:t>
      </w:r>
      <w:proofErr w:type="gramEnd"/>
    </w:p>
    <w:p w14:paraId="70016E10" w14:textId="4BC8691F" w:rsidR="00F06283" w:rsidRPr="00585A3E" w:rsidRDefault="00F26284" w:rsidP="00D03386">
      <w:pPr>
        <w:pStyle w:val="H3Ashurst"/>
        <w:ind w:left="1701" w:hanging="919"/>
        <w:rPr>
          <w:rFonts w:cstheme="minorHAnsi"/>
          <w:sz w:val="20"/>
          <w:szCs w:val="20"/>
        </w:rPr>
      </w:pPr>
      <w:r>
        <w:rPr>
          <w:rFonts w:cstheme="minorHAnsi"/>
          <w:sz w:val="20"/>
          <w:szCs w:val="20"/>
        </w:rPr>
        <w:t>T</w:t>
      </w:r>
      <w:r w:rsidR="5CF3AC05" w:rsidRPr="00585A3E">
        <w:rPr>
          <w:rFonts w:cstheme="minorHAnsi"/>
          <w:sz w:val="20"/>
          <w:szCs w:val="20"/>
        </w:rPr>
        <w:t xml:space="preserve">he procurement </w:t>
      </w:r>
      <w:proofErr w:type="gramStart"/>
      <w:r w:rsidR="5CF3AC05" w:rsidRPr="00585A3E">
        <w:rPr>
          <w:rFonts w:cstheme="minorHAnsi"/>
          <w:sz w:val="20"/>
          <w:szCs w:val="20"/>
        </w:rPr>
        <w:t>timetable</w:t>
      </w:r>
      <w:r w:rsidR="77C8B61D" w:rsidRPr="00585A3E">
        <w:rPr>
          <w:rFonts w:cstheme="minorHAnsi"/>
          <w:sz w:val="20"/>
          <w:szCs w:val="20"/>
        </w:rPr>
        <w:t>;</w:t>
      </w:r>
      <w:proofErr w:type="gramEnd"/>
      <w:r w:rsidR="77C8B61D" w:rsidRPr="00585A3E">
        <w:rPr>
          <w:rFonts w:cstheme="minorHAnsi"/>
          <w:sz w:val="20"/>
          <w:szCs w:val="20"/>
        </w:rPr>
        <w:t xml:space="preserve"> </w:t>
      </w:r>
    </w:p>
    <w:p w14:paraId="3AF44EE0" w14:textId="4A3F0B4F" w:rsidR="00F06283" w:rsidRPr="00585A3E" w:rsidRDefault="00F26284" w:rsidP="00D03386">
      <w:pPr>
        <w:pStyle w:val="H3Ashurst"/>
        <w:ind w:left="1701" w:hanging="919"/>
        <w:rPr>
          <w:rFonts w:cstheme="minorHAnsi"/>
          <w:sz w:val="20"/>
          <w:szCs w:val="20"/>
        </w:rPr>
      </w:pPr>
      <w:r>
        <w:rPr>
          <w:rFonts w:cstheme="minorHAnsi"/>
          <w:sz w:val="20"/>
          <w:szCs w:val="20"/>
        </w:rPr>
        <w:t>H</w:t>
      </w:r>
      <w:r w:rsidR="77C8B61D" w:rsidRPr="00585A3E">
        <w:rPr>
          <w:rFonts w:cstheme="minorHAnsi"/>
          <w:sz w:val="20"/>
          <w:szCs w:val="20"/>
        </w:rPr>
        <w:t>ow</w:t>
      </w:r>
      <w:r w:rsidR="5CF3AC05" w:rsidRPr="00585A3E">
        <w:rPr>
          <w:rFonts w:cstheme="minorHAnsi"/>
          <w:sz w:val="20"/>
          <w:szCs w:val="20"/>
        </w:rPr>
        <w:t xml:space="preserve"> </w:t>
      </w:r>
      <w:r w:rsidR="00CF7853">
        <w:rPr>
          <w:rFonts w:cstheme="minorHAnsi"/>
          <w:sz w:val="20"/>
          <w:szCs w:val="20"/>
        </w:rPr>
        <w:t>PSQ</w:t>
      </w:r>
      <w:r w:rsidR="55E1264C" w:rsidRPr="00585A3E">
        <w:rPr>
          <w:rFonts w:cstheme="minorHAnsi"/>
          <w:sz w:val="20"/>
          <w:szCs w:val="20"/>
        </w:rPr>
        <w:t xml:space="preserve"> responses</w:t>
      </w:r>
      <w:r w:rsidR="5CF3AC05" w:rsidRPr="00585A3E">
        <w:rPr>
          <w:rFonts w:cstheme="minorHAnsi"/>
          <w:sz w:val="20"/>
          <w:szCs w:val="20"/>
        </w:rPr>
        <w:t xml:space="preserve"> will be assessed</w:t>
      </w:r>
      <w:r w:rsidR="2B949D39" w:rsidRPr="00585A3E">
        <w:rPr>
          <w:rFonts w:cstheme="minorHAnsi"/>
          <w:sz w:val="20"/>
          <w:szCs w:val="20"/>
        </w:rPr>
        <w:t>;</w:t>
      </w:r>
      <w:r w:rsidR="5CF3AC05" w:rsidRPr="00585A3E">
        <w:rPr>
          <w:rFonts w:cstheme="minorHAnsi"/>
          <w:sz w:val="20"/>
          <w:szCs w:val="20"/>
        </w:rPr>
        <w:t xml:space="preserve"> and </w:t>
      </w:r>
    </w:p>
    <w:p w14:paraId="75FA3094" w14:textId="2CF2B7AC" w:rsidR="00F06283" w:rsidRPr="00585A3E" w:rsidRDefault="00F26284" w:rsidP="3D83606E">
      <w:pPr>
        <w:pStyle w:val="H3Ashurst"/>
        <w:ind w:left="1418" w:hanging="636"/>
        <w:rPr>
          <w:sz w:val="20"/>
          <w:szCs w:val="20"/>
        </w:rPr>
      </w:pPr>
      <w:r w:rsidRPr="3D83606E">
        <w:rPr>
          <w:sz w:val="20"/>
          <w:szCs w:val="20"/>
        </w:rPr>
        <w:t>T</w:t>
      </w:r>
      <w:r w:rsidR="38C54904" w:rsidRPr="3D83606E">
        <w:rPr>
          <w:sz w:val="20"/>
          <w:szCs w:val="20"/>
        </w:rPr>
        <w:t xml:space="preserve">he process that </w:t>
      </w:r>
      <w:r w:rsidR="0053020C" w:rsidRPr="3D83606E">
        <w:rPr>
          <w:sz w:val="20"/>
          <w:szCs w:val="20"/>
        </w:rPr>
        <w:t>GBE-N</w:t>
      </w:r>
      <w:r w:rsidR="38C54904" w:rsidRPr="3D83606E">
        <w:rPr>
          <w:sz w:val="20"/>
          <w:szCs w:val="20"/>
        </w:rPr>
        <w:t xml:space="preserve"> intends to follow to select Applicants</w:t>
      </w:r>
      <w:r w:rsidR="5CF3AC05" w:rsidRPr="3D83606E">
        <w:rPr>
          <w:sz w:val="20"/>
          <w:szCs w:val="20"/>
        </w:rPr>
        <w:t xml:space="preserve"> to be invited to </w:t>
      </w:r>
      <w:r w:rsidR="00B91141" w:rsidRPr="3D83606E">
        <w:rPr>
          <w:sz w:val="20"/>
          <w:szCs w:val="20"/>
        </w:rPr>
        <w:t>the tender stage</w:t>
      </w:r>
      <w:r w:rsidR="5CF3AC05" w:rsidRPr="3D83606E">
        <w:rPr>
          <w:sz w:val="20"/>
          <w:szCs w:val="20"/>
        </w:rPr>
        <w:t xml:space="preserve">. </w:t>
      </w:r>
    </w:p>
    <w:p w14:paraId="576FDA4A" w14:textId="7F357061" w:rsidR="00F06283" w:rsidRPr="00611FB2" w:rsidRDefault="00F26284" w:rsidP="00D03386">
      <w:pPr>
        <w:pStyle w:val="H2Ashurst"/>
        <w:rPr>
          <w:rFonts w:cstheme="minorHAnsi"/>
          <w:color w:val="CC3300"/>
          <w:sz w:val="20"/>
          <w:szCs w:val="20"/>
        </w:rPr>
      </w:pPr>
      <w:r w:rsidRPr="00611FB2">
        <w:rPr>
          <w:rFonts w:cstheme="minorHAnsi"/>
          <w:sz w:val="20"/>
          <w:szCs w:val="20"/>
        </w:rPr>
        <w:t xml:space="preserve">The </w:t>
      </w:r>
      <w:r w:rsidR="00CF7853" w:rsidRPr="00611FB2">
        <w:rPr>
          <w:rFonts w:cstheme="minorHAnsi"/>
          <w:sz w:val="20"/>
          <w:szCs w:val="20"/>
        </w:rPr>
        <w:t>PSQ</w:t>
      </w:r>
      <w:r w:rsidRPr="00611FB2">
        <w:rPr>
          <w:rFonts w:cstheme="minorHAnsi"/>
          <w:sz w:val="20"/>
          <w:szCs w:val="20"/>
        </w:rPr>
        <w:t xml:space="preserve"> contains and includes </w:t>
      </w:r>
      <w:r w:rsidR="63BD4082" w:rsidRPr="00611FB2">
        <w:rPr>
          <w:rFonts w:cstheme="minorHAnsi"/>
          <w:sz w:val="20"/>
          <w:szCs w:val="20"/>
        </w:rPr>
        <w:t xml:space="preserve">the </w:t>
      </w:r>
      <w:r w:rsidRPr="00611FB2">
        <w:rPr>
          <w:rFonts w:cstheme="minorHAnsi"/>
          <w:sz w:val="20"/>
          <w:szCs w:val="20"/>
        </w:rPr>
        <w:t xml:space="preserve">appendices and supporting documents </w:t>
      </w:r>
      <w:r w:rsidR="63BD4082" w:rsidRPr="00611FB2">
        <w:rPr>
          <w:rFonts w:cstheme="minorHAnsi"/>
          <w:sz w:val="20"/>
          <w:szCs w:val="20"/>
        </w:rPr>
        <w:t xml:space="preserve">referred to in this </w:t>
      </w:r>
      <w:r w:rsidR="00CF7853" w:rsidRPr="00611FB2">
        <w:rPr>
          <w:rFonts w:cstheme="minorHAnsi"/>
          <w:sz w:val="20"/>
          <w:szCs w:val="20"/>
        </w:rPr>
        <w:t>PSQ</w:t>
      </w:r>
      <w:r w:rsidR="63BD4082" w:rsidRPr="00611FB2">
        <w:rPr>
          <w:rFonts w:cstheme="minorHAnsi"/>
          <w:sz w:val="20"/>
          <w:szCs w:val="20"/>
        </w:rPr>
        <w:t xml:space="preserve"> Instructions</w:t>
      </w:r>
      <w:r w:rsidR="2B6CEA80" w:rsidRPr="00611FB2">
        <w:rPr>
          <w:rFonts w:cstheme="minorHAnsi"/>
          <w:sz w:val="20"/>
          <w:szCs w:val="20"/>
        </w:rPr>
        <w:t xml:space="preserve"> document</w:t>
      </w:r>
      <w:r w:rsidR="76EA2931" w:rsidRPr="00611FB2">
        <w:rPr>
          <w:rFonts w:cstheme="minorHAnsi"/>
          <w:sz w:val="20"/>
          <w:szCs w:val="20"/>
        </w:rPr>
        <w:t xml:space="preserve">. </w:t>
      </w:r>
      <w:r w:rsidR="76EA2931" w:rsidRPr="00C616EF">
        <w:rPr>
          <w:rFonts w:cstheme="minorHAnsi"/>
          <w:sz w:val="20"/>
          <w:szCs w:val="20"/>
        </w:rPr>
        <w:t xml:space="preserve">These documents </w:t>
      </w:r>
      <w:r w:rsidR="003A6A5D" w:rsidRPr="00C616EF">
        <w:rPr>
          <w:rFonts w:cstheme="minorHAnsi"/>
          <w:sz w:val="20"/>
          <w:szCs w:val="20"/>
        </w:rPr>
        <w:t>hav</w:t>
      </w:r>
      <w:r w:rsidR="76EA2931" w:rsidRPr="00C616EF">
        <w:rPr>
          <w:rFonts w:cstheme="minorHAnsi"/>
          <w:sz w:val="20"/>
          <w:szCs w:val="20"/>
        </w:rPr>
        <w:t>e been</w:t>
      </w:r>
      <w:r w:rsidR="2B6CEA80" w:rsidRPr="00C616EF">
        <w:rPr>
          <w:rFonts w:cstheme="minorHAnsi"/>
          <w:sz w:val="20"/>
          <w:szCs w:val="20"/>
        </w:rPr>
        <w:t xml:space="preserve"> </w:t>
      </w:r>
      <w:r w:rsidRPr="00C616EF">
        <w:rPr>
          <w:rFonts w:cstheme="minorHAnsi"/>
          <w:sz w:val="20"/>
          <w:szCs w:val="20"/>
        </w:rPr>
        <w:t xml:space="preserve">made available on the </w:t>
      </w:r>
      <w:r w:rsidR="5391AC0D" w:rsidRPr="00C616EF">
        <w:rPr>
          <w:rFonts w:cstheme="minorHAnsi"/>
          <w:sz w:val="20"/>
          <w:szCs w:val="20"/>
        </w:rPr>
        <w:t>JAGGAER</w:t>
      </w:r>
      <w:r w:rsidRPr="00C616EF">
        <w:rPr>
          <w:rFonts w:cstheme="minorHAnsi"/>
          <w:sz w:val="20"/>
          <w:szCs w:val="20"/>
        </w:rPr>
        <w:t xml:space="preserve"> </w:t>
      </w:r>
      <w:proofErr w:type="spellStart"/>
      <w:r w:rsidRPr="00C616EF">
        <w:rPr>
          <w:rFonts w:cstheme="minorHAnsi"/>
          <w:sz w:val="20"/>
          <w:szCs w:val="20"/>
        </w:rPr>
        <w:t>eSourcing</w:t>
      </w:r>
      <w:proofErr w:type="spellEnd"/>
      <w:r w:rsidRPr="00C616EF">
        <w:rPr>
          <w:rFonts w:cstheme="minorHAnsi"/>
          <w:sz w:val="20"/>
          <w:szCs w:val="20"/>
        </w:rPr>
        <w:t xml:space="preserve"> Portal</w:t>
      </w:r>
      <w:r w:rsidR="557DB409" w:rsidRPr="00C616EF">
        <w:rPr>
          <w:rFonts w:cstheme="minorHAnsi"/>
          <w:sz w:val="20"/>
          <w:szCs w:val="20"/>
        </w:rPr>
        <w:t xml:space="preserve"> </w:t>
      </w:r>
      <w:r w:rsidR="00847B0E" w:rsidRPr="00C616EF">
        <w:rPr>
          <w:rFonts w:cstheme="minorHAnsi"/>
          <w:sz w:val="20"/>
          <w:szCs w:val="20"/>
        </w:rPr>
        <w:t>which may be accessed at</w:t>
      </w:r>
      <w:r w:rsidR="00915B3D" w:rsidRPr="00611FB2">
        <w:rPr>
          <w:rFonts w:cstheme="minorHAnsi"/>
          <w:sz w:val="20"/>
          <w:szCs w:val="20"/>
        </w:rPr>
        <w:t xml:space="preserve"> </w:t>
      </w:r>
      <w:hyperlink r:id="rId13">
        <w:r w:rsidR="76F38C6E" w:rsidRPr="00611FB2">
          <w:rPr>
            <w:rStyle w:val="Hyperlink"/>
            <w:rFonts w:cstheme="minorHAnsi"/>
            <w:sz w:val="20"/>
            <w:szCs w:val="20"/>
          </w:rPr>
          <w:t>https://beisgroup.ukp.app.jaggaer.com/</w:t>
        </w:r>
      </w:hyperlink>
      <w:r w:rsidR="00611FB2" w:rsidRPr="00611FB2">
        <w:rPr>
          <w:rStyle w:val="Hyperlink"/>
          <w:rFonts w:cstheme="minorHAnsi"/>
          <w:sz w:val="20"/>
          <w:szCs w:val="20"/>
        </w:rPr>
        <w:t>'</w:t>
      </w:r>
    </w:p>
    <w:p w14:paraId="62E571DE" w14:textId="37F2F33E" w:rsidR="00F06283" w:rsidRPr="00611FB2" w:rsidRDefault="00F26284" w:rsidP="00D03386">
      <w:pPr>
        <w:pStyle w:val="H2Ashurst"/>
        <w:rPr>
          <w:rFonts w:cstheme="minorHAnsi"/>
          <w:sz w:val="20"/>
          <w:szCs w:val="20"/>
        </w:rPr>
      </w:pPr>
      <w:r w:rsidRPr="00611FB2">
        <w:rPr>
          <w:rFonts w:cstheme="minorHAnsi"/>
          <w:sz w:val="20"/>
          <w:szCs w:val="20"/>
        </w:rPr>
        <w:t xml:space="preserve">The </w:t>
      </w:r>
      <w:r w:rsidR="00CF7853" w:rsidRPr="00611FB2">
        <w:rPr>
          <w:rFonts w:cstheme="minorHAnsi"/>
          <w:sz w:val="20"/>
          <w:szCs w:val="20"/>
        </w:rPr>
        <w:t>PSQ</w:t>
      </w:r>
      <w:r w:rsidRPr="00611FB2">
        <w:rPr>
          <w:rFonts w:cstheme="minorHAnsi"/>
          <w:sz w:val="20"/>
          <w:szCs w:val="20"/>
        </w:rPr>
        <w:t xml:space="preserve"> also includes electronic forms and templates </w:t>
      </w:r>
      <w:r w:rsidR="00EC46AC">
        <w:rPr>
          <w:rFonts w:cstheme="minorHAnsi"/>
          <w:sz w:val="20"/>
          <w:szCs w:val="20"/>
        </w:rPr>
        <w:t>which must be</w:t>
      </w:r>
      <w:r w:rsidRPr="00611FB2">
        <w:rPr>
          <w:rFonts w:cstheme="minorHAnsi"/>
          <w:sz w:val="20"/>
          <w:szCs w:val="20"/>
        </w:rPr>
        <w:t xml:space="preserve"> complet</w:t>
      </w:r>
      <w:r w:rsidR="00EC46AC">
        <w:rPr>
          <w:rFonts w:cstheme="minorHAnsi"/>
          <w:sz w:val="20"/>
          <w:szCs w:val="20"/>
        </w:rPr>
        <w:t>ed</w:t>
      </w:r>
      <w:r w:rsidRPr="00611FB2">
        <w:rPr>
          <w:rFonts w:cstheme="minorHAnsi"/>
          <w:sz w:val="20"/>
          <w:szCs w:val="20"/>
        </w:rPr>
        <w:t xml:space="preserve"> and return</w:t>
      </w:r>
      <w:r w:rsidR="00EC46AC">
        <w:rPr>
          <w:rFonts w:cstheme="minorHAnsi"/>
          <w:sz w:val="20"/>
          <w:szCs w:val="20"/>
        </w:rPr>
        <w:t>ed</w:t>
      </w:r>
      <w:r w:rsidRPr="00611FB2">
        <w:rPr>
          <w:rFonts w:cstheme="minorHAnsi"/>
          <w:sz w:val="20"/>
          <w:szCs w:val="20"/>
        </w:rPr>
        <w:t xml:space="preserve"> as part of the </w:t>
      </w:r>
      <w:r w:rsidR="00CF7853" w:rsidRPr="00611FB2">
        <w:rPr>
          <w:rFonts w:cstheme="minorHAnsi"/>
          <w:sz w:val="20"/>
          <w:szCs w:val="20"/>
        </w:rPr>
        <w:t>PSQ</w:t>
      </w:r>
      <w:r w:rsidR="6F5DB33F" w:rsidRPr="00611FB2">
        <w:rPr>
          <w:rFonts w:cstheme="minorHAnsi"/>
          <w:sz w:val="20"/>
          <w:szCs w:val="20"/>
        </w:rPr>
        <w:t xml:space="preserve"> response</w:t>
      </w:r>
      <w:r w:rsidR="00EC46AC">
        <w:rPr>
          <w:rFonts w:cstheme="minorHAnsi"/>
          <w:sz w:val="20"/>
          <w:szCs w:val="20"/>
        </w:rPr>
        <w:t>.</w:t>
      </w:r>
    </w:p>
    <w:p w14:paraId="011F031E" w14:textId="3BCFFE3E" w:rsidR="00C53546" w:rsidRPr="00585A3E" w:rsidRDefault="00F26284" w:rsidP="00D03386">
      <w:pPr>
        <w:pStyle w:val="H2Ashurst"/>
        <w:rPr>
          <w:rFonts w:cstheme="minorHAnsi"/>
          <w:sz w:val="20"/>
          <w:szCs w:val="20"/>
        </w:rPr>
      </w:pPr>
      <w:r w:rsidRPr="00585A3E">
        <w:rPr>
          <w:rFonts w:cstheme="minorHAnsi"/>
          <w:sz w:val="20"/>
          <w:szCs w:val="20"/>
        </w:rPr>
        <w:t xml:space="preserve">Applicants must provide all the information requested in the formats specified and comply with </w:t>
      </w:r>
      <w:r w:rsidR="15259D8F" w:rsidRPr="00585A3E">
        <w:rPr>
          <w:rFonts w:cstheme="minorHAnsi"/>
          <w:sz w:val="20"/>
          <w:szCs w:val="20"/>
        </w:rPr>
        <w:t xml:space="preserve">any </w:t>
      </w:r>
      <w:r w:rsidR="00EF1F49" w:rsidRPr="00585A3E">
        <w:rPr>
          <w:rFonts w:cstheme="minorHAnsi"/>
          <w:sz w:val="20"/>
          <w:szCs w:val="20"/>
        </w:rPr>
        <w:t>stated</w:t>
      </w:r>
      <w:r w:rsidR="6F301C3E" w:rsidRPr="00585A3E">
        <w:rPr>
          <w:rFonts w:cstheme="minorHAnsi"/>
          <w:sz w:val="20"/>
          <w:szCs w:val="20"/>
        </w:rPr>
        <w:t xml:space="preserve"> word or page count requirements</w:t>
      </w:r>
      <w:r w:rsidR="00EF1F49" w:rsidRPr="00585A3E">
        <w:rPr>
          <w:rFonts w:cstheme="minorHAnsi"/>
          <w:sz w:val="20"/>
          <w:szCs w:val="20"/>
        </w:rPr>
        <w:t xml:space="preserve">. </w:t>
      </w:r>
    </w:p>
    <w:p w14:paraId="2E0C5EE4" w14:textId="03561AE8" w:rsidR="00F06283" w:rsidRPr="00585A3E" w:rsidRDefault="00F26284" w:rsidP="00D03386">
      <w:pPr>
        <w:pStyle w:val="H2Ashurst"/>
        <w:rPr>
          <w:rFonts w:cstheme="minorHAnsi"/>
          <w:sz w:val="20"/>
          <w:szCs w:val="20"/>
        </w:rPr>
      </w:pPr>
      <w:r w:rsidRPr="00585A3E">
        <w:rPr>
          <w:rFonts w:cstheme="minorHAnsi"/>
          <w:sz w:val="20"/>
          <w:szCs w:val="20"/>
        </w:rPr>
        <w:t xml:space="preserve">Applicants must ensure that they </w:t>
      </w:r>
      <w:r w:rsidR="6C72B643" w:rsidRPr="00585A3E">
        <w:rPr>
          <w:rFonts w:cstheme="minorHAnsi"/>
          <w:sz w:val="20"/>
          <w:szCs w:val="20"/>
        </w:rPr>
        <w:t>have</w:t>
      </w:r>
      <w:r w:rsidRPr="00585A3E">
        <w:rPr>
          <w:rFonts w:cstheme="minorHAnsi"/>
          <w:sz w:val="20"/>
          <w:szCs w:val="20"/>
        </w:rPr>
        <w:t xml:space="preserve"> read all parts of the </w:t>
      </w:r>
      <w:r w:rsidR="00CF7853">
        <w:rPr>
          <w:rFonts w:cstheme="minorHAnsi"/>
          <w:sz w:val="20"/>
          <w:szCs w:val="20"/>
        </w:rPr>
        <w:t>PSQ</w:t>
      </w:r>
      <w:r w:rsidRPr="00585A3E">
        <w:rPr>
          <w:rFonts w:cstheme="minorHAnsi"/>
          <w:sz w:val="20"/>
          <w:szCs w:val="20"/>
        </w:rPr>
        <w:t>.</w:t>
      </w:r>
    </w:p>
    <w:p w14:paraId="61C8B7B6" w14:textId="3F3C6E30" w:rsidR="00F06283" w:rsidRPr="008959CF" w:rsidRDefault="00F26284" w:rsidP="3D83606E">
      <w:pPr>
        <w:pStyle w:val="H2Ashurst"/>
        <w:rPr>
          <w:sz w:val="20"/>
          <w:szCs w:val="20"/>
        </w:rPr>
      </w:pPr>
      <w:r w:rsidRPr="3D83606E">
        <w:rPr>
          <w:sz w:val="20"/>
          <w:szCs w:val="20"/>
        </w:rPr>
        <w:t xml:space="preserve">Further Procurement Documents </w:t>
      </w:r>
      <w:r w:rsidR="5DAA90ED" w:rsidRPr="3D83606E">
        <w:rPr>
          <w:sz w:val="20"/>
          <w:szCs w:val="20"/>
        </w:rPr>
        <w:t>will</w:t>
      </w:r>
      <w:r w:rsidRPr="3D83606E">
        <w:rPr>
          <w:sz w:val="20"/>
          <w:szCs w:val="20"/>
        </w:rPr>
        <w:t xml:space="preserve"> be produced by </w:t>
      </w:r>
      <w:r w:rsidR="0053020C" w:rsidRPr="3D83606E">
        <w:rPr>
          <w:sz w:val="20"/>
          <w:szCs w:val="20"/>
        </w:rPr>
        <w:t>GBE-N</w:t>
      </w:r>
      <w:r w:rsidRPr="3D83606E">
        <w:rPr>
          <w:sz w:val="20"/>
          <w:szCs w:val="20"/>
        </w:rPr>
        <w:t xml:space="preserve"> and made available to Applicants at the appropriate stage </w:t>
      </w:r>
      <w:r w:rsidR="63BD4082" w:rsidRPr="3D83606E">
        <w:rPr>
          <w:sz w:val="20"/>
          <w:szCs w:val="20"/>
        </w:rPr>
        <w:t xml:space="preserve">of </w:t>
      </w:r>
      <w:r w:rsidRPr="3D83606E">
        <w:rPr>
          <w:sz w:val="20"/>
          <w:szCs w:val="20"/>
        </w:rPr>
        <w:t xml:space="preserve">the procurement through the </w:t>
      </w:r>
      <w:r w:rsidR="6B9490B3" w:rsidRPr="3D83606E">
        <w:rPr>
          <w:sz w:val="20"/>
          <w:szCs w:val="20"/>
        </w:rPr>
        <w:t>J</w:t>
      </w:r>
      <w:r w:rsidR="00B91141" w:rsidRPr="3D83606E">
        <w:rPr>
          <w:sz w:val="20"/>
          <w:szCs w:val="20"/>
        </w:rPr>
        <w:t>aggaer</w:t>
      </w:r>
      <w:r w:rsidRPr="3D83606E">
        <w:rPr>
          <w:sz w:val="20"/>
          <w:szCs w:val="20"/>
        </w:rPr>
        <w:t xml:space="preserve"> </w:t>
      </w:r>
      <w:proofErr w:type="spellStart"/>
      <w:r w:rsidRPr="3D83606E">
        <w:rPr>
          <w:sz w:val="20"/>
          <w:szCs w:val="20"/>
        </w:rPr>
        <w:t>eSourcing</w:t>
      </w:r>
      <w:proofErr w:type="spellEnd"/>
      <w:r w:rsidRPr="3D83606E">
        <w:rPr>
          <w:sz w:val="20"/>
          <w:szCs w:val="20"/>
        </w:rPr>
        <w:t xml:space="preserve"> Portal.</w:t>
      </w:r>
      <w:r w:rsidR="009F0713" w:rsidRPr="3D83606E">
        <w:rPr>
          <w:sz w:val="20"/>
          <w:szCs w:val="20"/>
        </w:rPr>
        <w:t xml:space="preserve"> </w:t>
      </w:r>
    </w:p>
    <w:p w14:paraId="6EBD9BE5" w14:textId="77777777" w:rsidR="00F06283" w:rsidRPr="00585A3E" w:rsidRDefault="00F26284" w:rsidP="00D03386">
      <w:pPr>
        <w:pStyle w:val="H1Ashurst"/>
        <w:rPr>
          <w:rFonts w:cstheme="minorHAnsi"/>
          <w:sz w:val="20"/>
          <w:szCs w:val="20"/>
        </w:rPr>
      </w:pPr>
      <w:bookmarkStart w:id="20" w:name="_Toc185412136"/>
      <w:bookmarkStart w:id="21" w:name="_Toc190707077"/>
      <w:bookmarkStart w:id="22" w:name="_Toc190707086"/>
      <w:bookmarkStart w:id="23" w:name="_Toc190707136"/>
      <w:r w:rsidRPr="00585A3E">
        <w:rPr>
          <w:rFonts w:cstheme="minorHAnsi"/>
          <w:sz w:val="20"/>
          <w:szCs w:val="20"/>
        </w:rPr>
        <w:t>Procurement stages and indicative timetable</w:t>
      </w:r>
      <w:bookmarkEnd w:id="20"/>
      <w:bookmarkEnd w:id="21"/>
      <w:bookmarkEnd w:id="22"/>
      <w:bookmarkEnd w:id="23"/>
    </w:p>
    <w:p w14:paraId="507351D3" w14:textId="0928507C" w:rsidR="000B51B2" w:rsidRPr="000B51B2" w:rsidRDefault="0053020C" w:rsidP="000B51B2">
      <w:pPr>
        <w:pStyle w:val="H2Ashurst"/>
        <w:rPr>
          <w:sz w:val="20"/>
          <w:szCs w:val="20"/>
        </w:rPr>
      </w:pPr>
      <w:r w:rsidRPr="3D83606E">
        <w:rPr>
          <w:sz w:val="20"/>
          <w:szCs w:val="20"/>
        </w:rPr>
        <w:t>GBE-N</w:t>
      </w:r>
      <w:r w:rsidR="7B71131D" w:rsidRPr="3D83606E">
        <w:rPr>
          <w:sz w:val="20"/>
          <w:szCs w:val="20"/>
        </w:rPr>
        <w:t xml:space="preserve"> has conducted an early market engagement exercise in relation to its proposed approach to procuring </w:t>
      </w:r>
      <w:r w:rsidR="00DD208B" w:rsidRPr="3D83606E">
        <w:rPr>
          <w:sz w:val="20"/>
          <w:szCs w:val="20"/>
        </w:rPr>
        <w:t>one</w:t>
      </w:r>
      <w:r w:rsidR="7B71131D" w:rsidRPr="3D83606E">
        <w:rPr>
          <w:sz w:val="20"/>
          <w:szCs w:val="20"/>
        </w:rPr>
        <w:t xml:space="preserve"> Owner's Engineer</w:t>
      </w:r>
      <w:r w:rsidR="00DD208B" w:rsidRPr="3D83606E">
        <w:rPr>
          <w:sz w:val="20"/>
          <w:szCs w:val="20"/>
        </w:rPr>
        <w:t xml:space="preserve"> Contract</w:t>
      </w:r>
      <w:r w:rsidR="7B71131D" w:rsidRPr="3D83606E">
        <w:rPr>
          <w:sz w:val="20"/>
          <w:szCs w:val="20"/>
        </w:rPr>
        <w:t xml:space="preserve">. The questions circulated to the market are appended to this PSQ Instructions document at Appendix </w:t>
      </w:r>
      <w:r w:rsidR="00AB1E44" w:rsidRPr="3D83606E">
        <w:rPr>
          <w:sz w:val="20"/>
          <w:szCs w:val="20"/>
        </w:rPr>
        <w:t>C</w:t>
      </w:r>
      <w:r w:rsidR="7B71131D" w:rsidRPr="3D83606E">
        <w:rPr>
          <w:sz w:val="20"/>
          <w:szCs w:val="20"/>
        </w:rPr>
        <w:t xml:space="preserve">. </w:t>
      </w:r>
    </w:p>
    <w:p w14:paraId="114D3AB9" w14:textId="634AC4D4" w:rsidR="00F06283" w:rsidRPr="00585A3E" w:rsidRDefault="0053020C" w:rsidP="2C559D62">
      <w:pPr>
        <w:pStyle w:val="H2Ashurst"/>
        <w:rPr>
          <w:sz w:val="20"/>
          <w:szCs w:val="20"/>
        </w:rPr>
      </w:pPr>
      <w:r w:rsidRPr="3D83606E">
        <w:rPr>
          <w:sz w:val="20"/>
          <w:szCs w:val="20"/>
        </w:rPr>
        <w:t>GBE-N</w:t>
      </w:r>
      <w:r w:rsidR="00F26284" w:rsidRPr="3D83606E">
        <w:rPr>
          <w:sz w:val="20"/>
          <w:szCs w:val="20"/>
        </w:rPr>
        <w:t xml:space="preserve"> intends to undertake this procurement in accordance with the</w:t>
      </w:r>
      <w:r w:rsidR="75E08D8B" w:rsidRPr="3D83606E">
        <w:rPr>
          <w:sz w:val="20"/>
          <w:szCs w:val="20"/>
        </w:rPr>
        <w:t xml:space="preserve"> indicative</w:t>
      </w:r>
      <w:r w:rsidR="00F26284" w:rsidRPr="3D83606E">
        <w:rPr>
          <w:sz w:val="20"/>
          <w:szCs w:val="20"/>
        </w:rPr>
        <w:t xml:space="preserve"> timetable described </w:t>
      </w:r>
      <w:r w:rsidR="1E343F7F" w:rsidRPr="3D83606E">
        <w:rPr>
          <w:sz w:val="20"/>
          <w:szCs w:val="20"/>
        </w:rPr>
        <w:t xml:space="preserve">within the Briefing Document at Appendix </w:t>
      </w:r>
      <w:r w:rsidR="0084151D" w:rsidRPr="3D83606E">
        <w:rPr>
          <w:sz w:val="20"/>
          <w:szCs w:val="20"/>
        </w:rPr>
        <w:t>B</w:t>
      </w:r>
      <w:r w:rsidR="00F26284" w:rsidRPr="3D83606E">
        <w:rPr>
          <w:sz w:val="20"/>
          <w:szCs w:val="20"/>
        </w:rPr>
        <w:t>.</w:t>
      </w:r>
    </w:p>
    <w:p w14:paraId="5824D350" w14:textId="5985BCC1" w:rsidR="00F06283" w:rsidRPr="00585A3E" w:rsidRDefault="0053020C" w:rsidP="3D83606E">
      <w:pPr>
        <w:pStyle w:val="H2Ashurst"/>
        <w:rPr>
          <w:sz w:val="20"/>
          <w:szCs w:val="20"/>
        </w:rPr>
      </w:pPr>
      <w:r w:rsidRPr="3D83606E">
        <w:rPr>
          <w:sz w:val="20"/>
          <w:szCs w:val="20"/>
        </w:rPr>
        <w:t>GBE-N</w:t>
      </w:r>
      <w:r w:rsidR="00F26284" w:rsidRPr="3D83606E">
        <w:rPr>
          <w:sz w:val="20"/>
          <w:szCs w:val="20"/>
        </w:rPr>
        <w:t xml:space="preserve"> reserves the right to make changes</w:t>
      </w:r>
      <w:r w:rsidR="647AC6D9" w:rsidRPr="3D83606E">
        <w:rPr>
          <w:sz w:val="20"/>
          <w:szCs w:val="20"/>
        </w:rPr>
        <w:t xml:space="preserve"> to the procurement stages and indicative timetable.</w:t>
      </w:r>
      <w:r w:rsidR="00F26284" w:rsidRPr="3D83606E">
        <w:rPr>
          <w:sz w:val="20"/>
          <w:szCs w:val="20"/>
        </w:rPr>
        <w:t xml:space="preserve"> </w:t>
      </w:r>
      <w:r w:rsidR="647AC6D9" w:rsidRPr="3D83606E">
        <w:rPr>
          <w:sz w:val="20"/>
          <w:szCs w:val="20"/>
        </w:rPr>
        <w:t xml:space="preserve"> </w:t>
      </w:r>
      <w:r w:rsidRPr="3D83606E">
        <w:rPr>
          <w:sz w:val="20"/>
          <w:szCs w:val="20"/>
        </w:rPr>
        <w:t>GBE-N</w:t>
      </w:r>
      <w:r w:rsidR="647AC6D9" w:rsidRPr="3D83606E">
        <w:rPr>
          <w:sz w:val="20"/>
          <w:szCs w:val="20"/>
        </w:rPr>
        <w:t xml:space="preserve"> </w:t>
      </w:r>
      <w:r w:rsidR="00F26284" w:rsidRPr="3D83606E">
        <w:rPr>
          <w:sz w:val="20"/>
          <w:szCs w:val="20"/>
        </w:rPr>
        <w:t>will inform Applicants of any changes.</w:t>
      </w:r>
    </w:p>
    <w:p w14:paraId="78BA69C5" w14:textId="0CD41449" w:rsidR="00F06283" w:rsidRPr="00585A3E" w:rsidRDefault="00F26284" w:rsidP="00D03386">
      <w:pPr>
        <w:pStyle w:val="H2Ashurst"/>
        <w:rPr>
          <w:rFonts w:cstheme="minorHAnsi"/>
          <w:sz w:val="20"/>
          <w:szCs w:val="20"/>
        </w:rPr>
      </w:pPr>
      <w:r w:rsidRPr="00585A3E">
        <w:rPr>
          <w:rFonts w:cstheme="minorHAnsi"/>
          <w:sz w:val="20"/>
          <w:szCs w:val="20"/>
        </w:rPr>
        <w:t xml:space="preserve">Dates and times for </w:t>
      </w:r>
      <w:r w:rsidR="647AC6D9" w:rsidRPr="00585A3E">
        <w:rPr>
          <w:rFonts w:cstheme="minorHAnsi"/>
          <w:sz w:val="20"/>
          <w:szCs w:val="20"/>
        </w:rPr>
        <w:t xml:space="preserve">key activities at the </w:t>
      </w:r>
      <w:r w:rsidR="00CA14C9">
        <w:rPr>
          <w:rFonts w:cstheme="minorHAnsi"/>
          <w:sz w:val="20"/>
          <w:szCs w:val="20"/>
        </w:rPr>
        <w:t>PSQ</w:t>
      </w:r>
      <w:r w:rsidR="0F324764" w:rsidRPr="00585A3E">
        <w:rPr>
          <w:rFonts w:cstheme="minorHAnsi"/>
          <w:sz w:val="20"/>
          <w:szCs w:val="20"/>
        </w:rPr>
        <w:t xml:space="preserve"> </w:t>
      </w:r>
      <w:r w:rsidRPr="00585A3E">
        <w:rPr>
          <w:rFonts w:cstheme="minorHAnsi"/>
          <w:sz w:val="20"/>
          <w:szCs w:val="20"/>
        </w:rPr>
        <w:t xml:space="preserve">stage will be confirmed in the </w:t>
      </w:r>
      <w:r w:rsidR="00CA14C9">
        <w:rPr>
          <w:rFonts w:cstheme="minorHAnsi"/>
          <w:sz w:val="20"/>
          <w:szCs w:val="20"/>
        </w:rPr>
        <w:t>PSQ</w:t>
      </w:r>
      <w:r w:rsidR="005B663F" w:rsidRPr="00585A3E">
        <w:rPr>
          <w:rFonts w:cstheme="minorHAnsi"/>
          <w:sz w:val="20"/>
          <w:szCs w:val="20"/>
        </w:rPr>
        <w:t xml:space="preserve"> documents</w:t>
      </w:r>
      <w:r w:rsidRPr="00585A3E">
        <w:rPr>
          <w:rFonts w:cstheme="minorHAnsi"/>
          <w:sz w:val="20"/>
          <w:szCs w:val="20"/>
        </w:rPr>
        <w:t>.</w:t>
      </w:r>
    </w:p>
    <w:p w14:paraId="10499C43" w14:textId="1746CB0F" w:rsidR="00F06283" w:rsidRPr="00585A3E" w:rsidRDefault="00F26284" w:rsidP="00D03386">
      <w:pPr>
        <w:pStyle w:val="H1Ashurst"/>
        <w:rPr>
          <w:rFonts w:cstheme="minorHAnsi"/>
          <w:sz w:val="20"/>
          <w:szCs w:val="20"/>
        </w:rPr>
      </w:pPr>
      <w:bookmarkStart w:id="24" w:name="_Toc185412137"/>
      <w:bookmarkStart w:id="25" w:name="_Toc190707078"/>
      <w:bookmarkStart w:id="26" w:name="_Toc190707087"/>
      <w:bookmarkStart w:id="27" w:name="_Toc190707137"/>
      <w:r>
        <w:rPr>
          <w:rFonts w:cstheme="minorHAnsi"/>
          <w:sz w:val="20"/>
          <w:szCs w:val="20"/>
        </w:rPr>
        <w:t>PSQ</w:t>
      </w:r>
      <w:r w:rsidR="447AB8A5" w:rsidRPr="00585A3E">
        <w:rPr>
          <w:rFonts w:cstheme="minorHAnsi"/>
          <w:sz w:val="20"/>
          <w:szCs w:val="20"/>
        </w:rPr>
        <w:t xml:space="preserve"> Overview</w:t>
      </w:r>
      <w:bookmarkEnd w:id="24"/>
      <w:bookmarkEnd w:id="25"/>
      <w:bookmarkEnd w:id="26"/>
      <w:bookmarkEnd w:id="27"/>
    </w:p>
    <w:p w14:paraId="537516F4" w14:textId="26AE66A2" w:rsidR="00666F0B" w:rsidRPr="00585A3E" w:rsidRDefault="00F26284" w:rsidP="1EA3A368">
      <w:pPr>
        <w:pStyle w:val="H2Ashurst"/>
        <w:rPr>
          <w:sz w:val="20"/>
          <w:szCs w:val="20"/>
        </w:rPr>
      </w:pPr>
      <w:r w:rsidRPr="1EA3A368">
        <w:rPr>
          <w:sz w:val="20"/>
          <w:szCs w:val="20"/>
        </w:rPr>
        <w:t xml:space="preserve">The </w:t>
      </w:r>
      <w:r w:rsidR="00B34E77" w:rsidRPr="1EA3A368">
        <w:rPr>
          <w:sz w:val="20"/>
          <w:szCs w:val="20"/>
        </w:rPr>
        <w:t>PSQ</w:t>
      </w:r>
      <w:r w:rsidR="04122DB7" w:rsidRPr="1EA3A368">
        <w:rPr>
          <w:sz w:val="20"/>
          <w:szCs w:val="20"/>
        </w:rPr>
        <w:t xml:space="preserve"> </w:t>
      </w:r>
      <w:r w:rsidRPr="1EA3A368">
        <w:rPr>
          <w:sz w:val="20"/>
          <w:szCs w:val="20"/>
        </w:rPr>
        <w:t>is available</w:t>
      </w:r>
      <w:r w:rsidR="00073198" w:rsidRPr="1EA3A368">
        <w:rPr>
          <w:sz w:val="20"/>
          <w:szCs w:val="20"/>
        </w:rPr>
        <w:t xml:space="preserve"> to complete</w:t>
      </w:r>
      <w:r w:rsidRPr="1EA3A368">
        <w:rPr>
          <w:sz w:val="20"/>
          <w:szCs w:val="20"/>
        </w:rPr>
        <w:t xml:space="preserve"> on the </w:t>
      </w:r>
      <w:r w:rsidR="4F1A65AD" w:rsidRPr="1EA3A368">
        <w:rPr>
          <w:sz w:val="20"/>
          <w:szCs w:val="20"/>
        </w:rPr>
        <w:t>JAGGAER</w:t>
      </w:r>
      <w:r w:rsidRPr="1EA3A368">
        <w:rPr>
          <w:sz w:val="20"/>
          <w:szCs w:val="20"/>
        </w:rPr>
        <w:t xml:space="preserve"> </w:t>
      </w:r>
      <w:proofErr w:type="spellStart"/>
      <w:r w:rsidRPr="1EA3A368">
        <w:rPr>
          <w:sz w:val="20"/>
          <w:szCs w:val="20"/>
        </w:rPr>
        <w:t>eSourcing</w:t>
      </w:r>
      <w:proofErr w:type="spellEnd"/>
      <w:r w:rsidRPr="1EA3A368">
        <w:rPr>
          <w:sz w:val="20"/>
          <w:szCs w:val="20"/>
        </w:rPr>
        <w:t xml:space="preserve"> Portal.</w:t>
      </w:r>
      <w:r w:rsidR="003A6A5D" w:rsidRPr="1EA3A368">
        <w:rPr>
          <w:sz w:val="20"/>
          <w:szCs w:val="20"/>
        </w:rPr>
        <w:t xml:space="preserve"> </w:t>
      </w:r>
      <w:r w:rsidR="648A71B6" w:rsidRPr="1EA3A368">
        <w:rPr>
          <w:sz w:val="20"/>
          <w:szCs w:val="20"/>
        </w:rPr>
        <w:t>T</w:t>
      </w:r>
      <w:r w:rsidRPr="1EA3A368">
        <w:rPr>
          <w:sz w:val="20"/>
          <w:szCs w:val="20"/>
        </w:rPr>
        <w:t xml:space="preserve">he </w:t>
      </w:r>
      <w:r w:rsidR="00B34E77" w:rsidRPr="1EA3A368">
        <w:rPr>
          <w:sz w:val="20"/>
          <w:szCs w:val="20"/>
        </w:rPr>
        <w:t>PSQ</w:t>
      </w:r>
      <w:r w:rsidRPr="1EA3A368">
        <w:rPr>
          <w:sz w:val="20"/>
          <w:szCs w:val="20"/>
        </w:rPr>
        <w:t xml:space="preserve"> Questions</w:t>
      </w:r>
      <w:r w:rsidR="648A71B6" w:rsidRPr="1EA3A368">
        <w:rPr>
          <w:sz w:val="20"/>
          <w:szCs w:val="20"/>
        </w:rPr>
        <w:t xml:space="preserve"> are reproduced </w:t>
      </w:r>
      <w:r w:rsidR="008959CF" w:rsidRPr="1EA3A368">
        <w:rPr>
          <w:sz w:val="20"/>
          <w:szCs w:val="20"/>
        </w:rPr>
        <w:t>in the PSQ form</w:t>
      </w:r>
      <w:r w:rsidR="00C1733A" w:rsidRPr="1EA3A368">
        <w:rPr>
          <w:sz w:val="20"/>
          <w:szCs w:val="20"/>
        </w:rPr>
        <w:t xml:space="preserve"> at Appendix </w:t>
      </w:r>
      <w:r w:rsidR="00C22FB0">
        <w:rPr>
          <w:sz w:val="20"/>
          <w:szCs w:val="20"/>
        </w:rPr>
        <w:t>D</w:t>
      </w:r>
      <w:r w:rsidRPr="1EA3A368">
        <w:rPr>
          <w:sz w:val="20"/>
          <w:szCs w:val="20"/>
        </w:rPr>
        <w:t xml:space="preserve"> </w:t>
      </w:r>
      <w:r w:rsidR="008959CF" w:rsidRPr="1EA3A368">
        <w:rPr>
          <w:sz w:val="20"/>
          <w:szCs w:val="20"/>
        </w:rPr>
        <w:t xml:space="preserve">and this PSQ Questionnaire includes </w:t>
      </w:r>
      <w:r w:rsidRPr="1EA3A368">
        <w:rPr>
          <w:sz w:val="20"/>
          <w:szCs w:val="20"/>
        </w:rPr>
        <w:t>guidance on how</w:t>
      </w:r>
      <w:r w:rsidR="648A71B6" w:rsidRPr="1EA3A368">
        <w:rPr>
          <w:sz w:val="20"/>
          <w:szCs w:val="20"/>
        </w:rPr>
        <w:t xml:space="preserve"> to respond to the questions.  </w:t>
      </w:r>
    </w:p>
    <w:p w14:paraId="5799D26D" w14:textId="6DF013F3" w:rsidR="00F06283" w:rsidRPr="00585A3E" w:rsidRDefault="00F26284" w:rsidP="00D03386">
      <w:pPr>
        <w:pStyle w:val="H2Ashurst"/>
        <w:rPr>
          <w:sz w:val="20"/>
          <w:szCs w:val="20"/>
        </w:rPr>
      </w:pPr>
      <w:r w:rsidRPr="05ADFC43">
        <w:rPr>
          <w:sz w:val="20"/>
          <w:szCs w:val="20"/>
        </w:rPr>
        <w:t xml:space="preserve">The </w:t>
      </w:r>
      <w:r w:rsidR="00B34E77" w:rsidRPr="05ADFC43">
        <w:rPr>
          <w:sz w:val="20"/>
          <w:szCs w:val="20"/>
        </w:rPr>
        <w:t>PSQ</w:t>
      </w:r>
      <w:r w:rsidRPr="05ADFC43">
        <w:rPr>
          <w:sz w:val="20"/>
          <w:szCs w:val="20"/>
        </w:rPr>
        <w:t xml:space="preserve"> Questions have been designed to </w:t>
      </w:r>
      <w:r w:rsidR="33FD748B" w:rsidRPr="05ADFC43">
        <w:rPr>
          <w:sz w:val="20"/>
          <w:szCs w:val="20"/>
        </w:rPr>
        <w:t xml:space="preserve">assess Applicants on a pass/fail basis to determine which Applicants will be invited to proceed to the </w:t>
      </w:r>
      <w:r w:rsidR="7440F445" w:rsidRPr="05ADFC43">
        <w:rPr>
          <w:sz w:val="20"/>
          <w:szCs w:val="20"/>
        </w:rPr>
        <w:t>ITT</w:t>
      </w:r>
      <w:r w:rsidR="33FD748B" w:rsidRPr="05ADFC43">
        <w:rPr>
          <w:sz w:val="20"/>
          <w:szCs w:val="20"/>
        </w:rPr>
        <w:t xml:space="preserve"> stage</w:t>
      </w:r>
      <w:r w:rsidRPr="05ADFC43">
        <w:rPr>
          <w:sz w:val="20"/>
          <w:szCs w:val="20"/>
        </w:rPr>
        <w:t>.</w:t>
      </w:r>
    </w:p>
    <w:p w14:paraId="50678503" w14:textId="725CB2D4" w:rsidR="00F06283" w:rsidRPr="00585A3E" w:rsidRDefault="00F26284" w:rsidP="3D83606E">
      <w:pPr>
        <w:pStyle w:val="H2Ashurst"/>
        <w:rPr>
          <w:sz w:val="20"/>
          <w:szCs w:val="20"/>
        </w:rPr>
      </w:pPr>
      <w:r w:rsidRPr="3D83606E">
        <w:rPr>
          <w:sz w:val="20"/>
          <w:szCs w:val="20"/>
        </w:rPr>
        <w:t xml:space="preserve">The </w:t>
      </w:r>
      <w:r w:rsidR="00B34E77" w:rsidRPr="3D83606E">
        <w:rPr>
          <w:sz w:val="20"/>
          <w:szCs w:val="20"/>
        </w:rPr>
        <w:t>PSQ</w:t>
      </w:r>
      <w:r w:rsidRPr="3D83606E">
        <w:rPr>
          <w:sz w:val="20"/>
          <w:szCs w:val="20"/>
        </w:rPr>
        <w:t xml:space="preserve"> is divided into a number of sections</w:t>
      </w:r>
      <w:r w:rsidR="0F8F1E09" w:rsidRPr="3D83606E">
        <w:rPr>
          <w:sz w:val="20"/>
          <w:szCs w:val="20"/>
        </w:rPr>
        <w:t xml:space="preserve">. </w:t>
      </w:r>
      <w:r w:rsidRPr="3D83606E">
        <w:rPr>
          <w:sz w:val="20"/>
          <w:szCs w:val="20"/>
        </w:rPr>
        <w:t>Applicant</w:t>
      </w:r>
      <w:r w:rsidR="0F8F1E09" w:rsidRPr="3D83606E">
        <w:rPr>
          <w:sz w:val="20"/>
          <w:szCs w:val="20"/>
        </w:rPr>
        <w:t>s must</w:t>
      </w:r>
      <w:r w:rsidRPr="3D83606E">
        <w:rPr>
          <w:sz w:val="20"/>
          <w:szCs w:val="20"/>
        </w:rPr>
        <w:t xml:space="preserve"> respond </w:t>
      </w:r>
      <w:r w:rsidR="0F8F1E09" w:rsidRPr="3D83606E">
        <w:rPr>
          <w:sz w:val="20"/>
          <w:szCs w:val="20"/>
        </w:rPr>
        <w:t xml:space="preserve">to each section of the </w:t>
      </w:r>
      <w:r w:rsidR="00B34E77" w:rsidRPr="3D83606E">
        <w:rPr>
          <w:sz w:val="20"/>
          <w:szCs w:val="20"/>
        </w:rPr>
        <w:t>PSQ</w:t>
      </w:r>
      <w:r w:rsidR="0F8F1E09" w:rsidRPr="3D83606E">
        <w:rPr>
          <w:sz w:val="20"/>
          <w:szCs w:val="20"/>
        </w:rPr>
        <w:t xml:space="preserve">. </w:t>
      </w:r>
      <w:r w:rsidR="00B34E77" w:rsidRPr="3D83606E">
        <w:rPr>
          <w:sz w:val="20"/>
          <w:szCs w:val="20"/>
        </w:rPr>
        <w:t>R</w:t>
      </w:r>
      <w:r w:rsidR="0F8F1E09" w:rsidRPr="3D83606E">
        <w:rPr>
          <w:sz w:val="20"/>
          <w:szCs w:val="20"/>
        </w:rPr>
        <w:t xml:space="preserve">esponses </w:t>
      </w:r>
      <w:r w:rsidRPr="3D83606E">
        <w:rPr>
          <w:sz w:val="20"/>
          <w:szCs w:val="20"/>
        </w:rPr>
        <w:t xml:space="preserve">will be assessed by </w:t>
      </w:r>
      <w:r w:rsidR="0053020C" w:rsidRPr="3D83606E">
        <w:rPr>
          <w:sz w:val="20"/>
          <w:szCs w:val="20"/>
        </w:rPr>
        <w:t>GBE-N</w:t>
      </w:r>
      <w:r w:rsidRPr="3D83606E">
        <w:rPr>
          <w:sz w:val="20"/>
          <w:szCs w:val="20"/>
        </w:rPr>
        <w:t xml:space="preserve"> </w:t>
      </w:r>
      <w:r w:rsidR="003A6A5D" w:rsidRPr="3D83606E">
        <w:rPr>
          <w:sz w:val="20"/>
          <w:szCs w:val="20"/>
        </w:rPr>
        <w:t xml:space="preserve">in accordance with </w:t>
      </w:r>
      <w:r w:rsidR="0060229A" w:rsidRPr="3D83606E">
        <w:rPr>
          <w:sz w:val="20"/>
          <w:szCs w:val="20"/>
        </w:rPr>
        <w:t>sections</w:t>
      </w:r>
      <w:r w:rsidR="001F2F85" w:rsidRPr="3D83606E">
        <w:rPr>
          <w:sz w:val="20"/>
          <w:szCs w:val="20"/>
        </w:rPr>
        <w:t xml:space="preserve"> </w:t>
      </w:r>
      <w:r w:rsidR="000A17D2" w:rsidRPr="3D83606E">
        <w:rPr>
          <w:sz w:val="20"/>
          <w:szCs w:val="20"/>
        </w:rPr>
        <w:t>C-F</w:t>
      </w:r>
      <w:r w:rsidRPr="3D83606E">
        <w:rPr>
          <w:sz w:val="20"/>
          <w:szCs w:val="20"/>
        </w:rPr>
        <w:t>.</w:t>
      </w:r>
    </w:p>
    <w:p w14:paraId="5175577C" w14:textId="4D59D78D" w:rsidR="00DD0A20" w:rsidRPr="00585A3E" w:rsidRDefault="00F26284" w:rsidP="00D03386">
      <w:pPr>
        <w:pStyle w:val="H1Ashurst"/>
        <w:rPr>
          <w:rFonts w:cstheme="minorHAnsi"/>
          <w:sz w:val="20"/>
          <w:szCs w:val="20"/>
        </w:rPr>
      </w:pPr>
      <w:bookmarkStart w:id="28" w:name="_Toc185412138"/>
      <w:bookmarkStart w:id="29" w:name="_Toc190707079"/>
      <w:bookmarkStart w:id="30" w:name="_Toc190707088"/>
      <w:bookmarkStart w:id="31" w:name="_Toc190707138"/>
      <w:r>
        <w:rPr>
          <w:rFonts w:cstheme="minorHAnsi"/>
          <w:sz w:val="20"/>
          <w:szCs w:val="20"/>
        </w:rPr>
        <w:t>PSQ</w:t>
      </w:r>
      <w:r w:rsidRPr="00585A3E">
        <w:rPr>
          <w:rFonts w:cstheme="minorHAnsi"/>
          <w:sz w:val="20"/>
          <w:szCs w:val="20"/>
        </w:rPr>
        <w:t xml:space="preserve"> - Evaluation Approach</w:t>
      </w:r>
      <w:bookmarkEnd w:id="28"/>
      <w:bookmarkEnd w:id="29"/>
      <w:bookmarkEnd w:id="30"/>
      <w:bookmarkEnd w:id="31"/>
    </w:p>
    <w:p w14:paraId="1DAA173A" w14:textId="2B204B42" w:rsidR="00DD0A20" w:rsidRPr="00585A3E" w:rsidRDefault="0053020C" w:rsidP="3D83606E">
      <w:pPr>
        <w:pStyle w:val="H2Ashurst"/>
        <w:rPr>
          <w:sz w:val="20"/>
          <w:szCs w:val="20"/>
        </w:rPr>
      </w:pPr>
      <w:bookmarkStart w:id="32" w:name="_DV_M64"/>
      <w:bookmarkEnd w:id="32"/>
      <w:r w:rsidRPr="3D83606E">
        <w:rPr>
          <w:sz w:val="20"/>
          <w:szCs w:val="20"/>
        </w:rPr>
        <w:t>GBE-N</w:t>
      </w:r>
      <w:r w:rsidR="00F26284" w:rsidRPr="3D83606E">
        <w:rPr>
          <w:sz w:val="20"/>
          <w:szCs w:val="20"/>
        </w:rPr>
        <w:t xml:space="preserve"> will assess </w:t>
      </w:r>
      <w:r w:rsidR="00B34E77" w:rsidRPr="3D83606E">
        <w:rPr>
          <w:sz w:val="20"/>
          <w:szCs w:val="20"/>
        </w:rPr>
        <w:t>PSQ</w:t>
      </w:r>
      <w:r w:rsidR="00F26284" w:rsidRPr="3D83606E">
        <w:rPr>
          <w:sz w:val="20"/>
          <w:szCs w:val="20"/>
        </w:rPr>
        <w:t xml:space="preserve"> responses in two stages: </w:t>
      </w:r>
      <w:bookmarkStart w:id="33" w:name="_DV_M65"/>
      <w:bookmarkEnd w:id="33"/>
    </w:p>
    <w:p w14:paraId="2149C41E" w14:textId="191C19EC" w:rsidR="00DD0A20" w:rsidRPr="00585A3E" w:rsidRDefault="00F26284" w:rsidP="00D03386">
      <w:pPr>
        <w:pStyle w:val="H3Ashurst"/>
        <w:ind w:left="1701" w:hanging="919"/>
        <w:rPr>
          <w:rFonts w:cstheme="minorHAnsi"/>
          <w:sz w:val="20"/>
          <w:szCs w:val="20"/>
        </w:rPr>
      </w:pPr>
      <w:r w:rsidRPr="00585A3E">
        <w:rPr>
          <w:rFonts w:cstheme="minorHAnsi"/>
          <w:b/>
          <w:sz w:val="20"/>
          <w:szCs w:val="20"/>
        </w:rPr>
        <w:t xml:space="preserve">Stage 1: </w:t>
      </w:r>
      <w:r w:rsidRPr="00585A3E">
        <w:rPr>
          <w:rFonts w:cstheme="minorHAnsi"/>
          <w:sz w:val="20"/>
          <w:szCs w:val="20"/>
        </w:rPr>
        <w:t xml:space="preserve">A compliance and eligibility check will be undertaken to ensure that </w:t>
      </w:r>
      <w:r w:rsidR="00B34E77">
        <w:rPr>
          <w:rFonts w:cstheme="minorHAnsi"/>
          <w:sz w:val="20"/>
          <w:szCs w:val="20"/>
        </w:rPr>
        <w:t>PSQ</w:t>
      </w:r>
      <w:r w:rsidRPr="00585A3E">
        <w:rPr>
          <w:rFonts w:cstheme="minorHAnsi"/>
          <w:sz w:val="20"/>
          <w:szCs w:val="20"/>
        </w:rPr>
        <w:t xml:space="preserve"> responses are complete and have been completed and submitted in accordance with the instructions in the </w:t>
      </w:r>
      <w:r w:rsidR="00B34E77">
        <w:rPr>
          <w:rFonts w:cstheme="minorHAnsi"/>
          <w:sz w:val="20"/>
          <w:szCs w:val="20"/>
        </w:rPr>
        <w:t>PSQ</w:t>
      </w:r>
      <w:r w:rsidRPr="00585A3E">
        <w:rPr>
          <w:rFonts w:cstheme="minorHAnsi"/>
          <w:sz w:val="20"/>
          <w:szCs w:val="20"/>
        </w:rPr>
        <w:t xml:space="preserve"> Instructions document. </w:t>
      </w:r>
      <w:bookmarkStart w:id="34" w:name="_DV_M66"/>
      <w:bookmarkEnd w:id="34"/>
      <w:r w:rsidRPr="00585A3E">
        <w:rPr>
          <w:rFonts w:cstheme="minorHAnsi"/>
          <w:sz w:val="20"/>
          <w:szCs w:val="20"/>
        </w:rPr>
        <w:t xml:space="preserve"> </w:t>
      </w:r>
      <w:r w:rsidR="003A6A5D">
        <w:rPr>
          <w:rFonts w:cstheme="minorHAnsi"/>
          <w:sz w:val="20"/>
          <w:szCs w:val="20"/>
        </w:rPr>
        <w:t xml:space="preserve">Part 2 will consist of </w:t>
      </w:r>
      <w:r w:rsidR="003A6A5D">
        <w:rPr>
          <w:rFonts w:eastAsia="DengXian" w:cstheme="minorHAnsi"/>
          <w:sz w:val="20"/>
          <w:szCs w:val="20"/>
        </w:rPr>
        <w:t>a</w:t>
      </w:r>
      <w:r w:rsidRPr="00585A3E">
        <w:rPr>
          <w:rFonts w:eastAsia="DengXian" w:cstheme="minorHAnsi"/>
          <w:sz w:val="20"/>
          <w:szCs w:val="20"/>
        </w:rPr>
        <w:t xml:space="preserve">n evaluation assessment against the mandatory and discretionary grounds for exclusion and any other standardised questions included in Part 2. </w:t>
      </w:r>
    </w:p>
    <w:p w14:paraId="25F587A5" w14:textId="77777777" w:rsidR="00DD0A20" w:rsidRPr="00585A3E" w:rsidRDefault="00F26284" w:rsidP="00D03386">
      <w:pPr>
        <w:pStyle w:val="H3Ashurst"/>
        <w:ind w:left="1701" w:hanging="919"/>
        <w:rPr>
          <w:rFonts w:cstheme="minorHAnsi"/>
          <w:sz w:val="20"/>
          <w:szCs w:val="20"/>
        </w:rPr>
      </w:pPr>
      <w:bookmarkStart w:id="35" w:name="_DV_M67"/>
      <w:bookmarkStart w:id="36" w:name="_DV_M68"/>
      <w:bookmarkEnd w:id="35"/>
      <w:bookmarkEnd w:id="36"/>
      <w:r w:rsidRPr="00585A3E">
        <w:rPr>
          <w:rFonts w:cstheme="minorHAnsi"/>
          <w:sz w:val="20"/>
          <w:szCs w:val="20"/>
        </w:rPr>
        <w:t>Applicants may be rejected at this stage if</w:t>
      </w:r>
      <w:bookmarkStart w:id="37" w:name="_DV_M69"/>
      <w:bookmarkEnd w:id="37"/>
      <w:r w:rsidRPr="00585A3E">
        <w:rPr>
          <w:rFonts w:cstheme="minorHAnsi"/>
          <w:sz w:val="20"/>
          <w:szCs w:val="20"/>
        </w:rPr>
        <w:t>:</w:t>
      </w:r>
    </w:p>
    <w:p w14:paraId="57618920" w14:textId="3EAC0837" w:rsidR="00DD0A20" w:rsidRPr="003A6A5D" w:rsidRDefault="00F26284" w:rsidP="00D03386">
      <w:pPr>
        <w:pStyle w:val="H4Ashurst"/>
        <w:tabs>
          <w:tab w:val="clear" w:pos="2030"/>
          <w:tab w:val="num" w:pos="2325"/>
        </w:tabs>
        <w:ind w:left="2325"/>
        <w:rPr>
          <w:sz w:val="20"/>
          <w:szCs w:val="21"/>
        </w:rPr>
      </w:pPr>
      <w:r w:rsidRPr="003A6A5D">
        <w:rPr>
          <w:sz w:val="20"/>
          <w:szCs w:val="21"/>
        </w:rPr>
        <w:t xml:space="preserve">The </w:t>
      </w:r>
      <w:r w:rsidR="00B34E77">
        <w:rPr>
          <w:sz w:val="20"/>
          <w:szCs w:val="21"/>
        </w:rPr>
        <w:t>PSQ</w:t>
      </w:r>
      <w:r w:rsidRPr="003A6A5D">
        <w:rPr>
          <w:sz w:val="20"/>
          <w:szCs w:val="21"/>
        </w:rPr>
        <w:t xml:space="preserve"> response is not compliant; and/or </w:t>
      </w:r>
    </w:p>
    <w:p w14:paraId="53D675B4" w14:textId="03913FF5" w:rsidR="00DD0A20" w:rsidRPr="003A6A5D" w:rsidRDefault="00F26284" w:rsidP="00D03386">
      <w:pPr>
        <w:pStyle w:val="H4Ashurst"/>
        <w:tabs>
          <w:tab w:val="clear" w:pos="2030"/>
          <w:tab w:val="num" w:pos="2325"/>
        </w:tabs>
        <w:ind w:left="2835" w:hanging="1134"/>
        <w:rPr>
          <w:sz w:val="20"/>
          <w:szCs w:val="21"/>
        </w:rPr>
      </w:pPr>
      <w:r w:rsidRPr="003A6A5D">
        <w:rPr>
          <w:sz w:val="20"/>
          <w:szCs w:val="21"/>
        </w:rPr>
        <w:t>They fail to meet the minimum standards and pass/fail requirements in Part 2 (including the questions on mandatory and discretionary grounds for exclusion).</w:t>
      </w:r>
    </w:p>
    <w:p w14:paraId="2672B8D9" w14:textId="41933476" w:rsidR="003A6A5D" w:rsidRPr="003A6A5D" w:rsidRDefault="00F26284" w:rsidP="00D03386">
      <w:pPr>
        <w:pStyle w:val="H3Ashurst"/>
        <w:ind w:left="1701" w:hanging="919"/>
        <w:rPr>
          <w:rFonts w:cstheme="minorHAnsi"/>
          <w:b/>
          <w:sz w:val="20"/>
          <w:szCs w:val="20"/>
        </w:rPr>
      </w:pPr>
      <w:bookmarkStart w:id="38" w:name="_DV_M70"/>
      <w:bookmarkStart w:id="39" w:name="_DV_M71"/>
      <w:bookmarkEnd w:id="38"/>
      <w:bookmarkEnd w:id="39"/>
      <w:r w:rsidRPr="00585A3E">
        <w:rPr>
          <w:rFonts w:cstheme="minorHAnsi"/>
          <w:b/>
          <w:sz w:val="20"/>
          <w:szCs w:val="20"/>
        </w:rPr>
        <w:t xml:space="preserve">Stage 2: </w:t>
      </w:r>
      <w:r w:rsidRPr="00585A3E">
        <w:rPr>
          <w:rFonts w:cstheme="minorHAnsi"/>
          <w:sz w:val="20"/>
          <w:szCs w:val="20"/>
        </w:rPr>
        <w:t xml:space="preserve">Compliant </w:t>
      </w:r>
      <w:r w:rsidR="00B34E77">
        <w:rPr>
          <w:rFonts w:cstheme="minorHAnsi"/>
          <w:sz w:val="20"/>
          <w:szCs w:val="20"/>
        </w:rPr>
        <w:t>PSQ</w:t>
      </w:r>
      <w:r w:rsidRPr="00585A3E">
        <w:rPr>
          <w:rFonts w:cstheme="minorHAnsi"/>
          <w:sz w:val="20"/>
          <w:szCs w:val="20"/>
        </w:rPr>
        <w:t xml:space="preserve"> </w:t>
      </w:r>
      <w:r w:rsidRPr="00A527B7">
        <w:rPr>
          <w:rFonts w:eastAsia="DengXian" w:cstheme="minorHAnsi"/>
          <w:sz w:val="20"/>
          <w:szCs w:val="20"/>
        </w:rPr>
        <w:t>responses</w:t>
      </w:r>
      <w:r w:rsidRPr="00585A3E">
        <w:rPr>
          <w:rFonts w:cstheme="minorHAnsi"/>
          <w:sz w:val="20"/>
          <w:szCs w:val="20"/>
        </w:rPr>
        <w:t xml:space="preserve"> will be assessed on a Pass/Fail basis against:</w:t>
      </w:r>
    </w:p>
    <w:p w14:paraId="60DEBB53" w14:textId="2630FFD2" w:rsidR="003A6A5D" w:rsidRPr="003A6A5D" w:rsidRDefault="00F26284" w:rsidP="00D03386">
      <w:pPr>
        <w:pStyle w:val="H4Ashurst"/>
      </w:pPr>
      <w:r w:rsidRPr="003A6A5D">
        <w:rPr>
          <w:rFonts w:cstheme="minorHAnsi"/>
          <w:sz w:val="20"/>
          <w:szCs w:val="20"/>
        </w:rPr>
        <w:t>The econ</w:t>
      </w:r>
      <w:r w:rsidRPr="003A6A5D">
        <w:rPr>
          <w:sz w:val="20"/>
          <w:szCs w:val="20"/>
        </w:rPr>
        <w:t>omic and financial standing (EFS) criteria; and</w:t>
      </w:r>
    </w:p>
    <w:p w14:paraId="40D2EFF5" w14:textId="26832AE7" w:rsidR="003A6A5D" w:rsidRPr="003A6A5D" w:rsidRDefault="00F26284" w:rsidP="00D03386">
      <w:pPr>
        <w:pStyle w:val="H4Ashurst"/>
      </w:pPr>
      <w:r w:rsidRPr="3D83606E">
        <w:rPr>
          <w:sz w:val="20"/>
          <w:szCs w:val="20"/>
        </w:rPr>
        <w:t>The additional project</w:t>
      </w:r>
      <w:r w:rsidR="00E538BE" w:rsidRPr="3D83606E">
        <w:rPr>
          <w:sz w:val="20"/>
          <w:szCs w:val="20"/>
        </w:rPr>
        <w:t>-</w:t>
      </w:r>
      <w:r w:rsidRPr="3D83606E">
        <w:rPr>
          <w:sz w:val="20"/>
          <w:szCs w:val="20"/>
        </w:rPr>
        <w:t>specific technical and professional ability questions</w:t>
      </w:r>
    </w:p>
    <w:p w14:paraId="58FD6EF3" w14:textId="4C4F88CF" w:rsidR="009D43A9" w:rsidRDefault="00F26284" w:rsidP="3D83606E">
      <w:pPr>
        <w:pStyle w:val="H3Ashurst"/>
      </w:pPr>
      <w:r w:rsidRPr="3D83606E">
        <w:rPr>
          <w:sz w:val="20"/>
          <w:szCs w:val="20"/>
        </w:rPr>
        <w:t xml:space="preserve">These sections will be evaluated on a Pass/Fail basis and all </w:t>
      </w:r>
      <w:r w:rsidR="00B34E77" w:rsidRPr="3D83606E">
        <w:rPr>
          <w:sz w:val="20"/>
          <w:szCs w:val="20"/>
        </w:rPr>
        <w:t>PSQ</w:t>
      </w:r>
      <w:r w:rsidRPr="3D83606E">
        <w:rPr>
          <w:sz w:val="20"/>
          <w:szCs w:val="20"/>
        </w:rPr>
        <w:t xml:space="preserve"> applicants that pass will be taken through to the next stage of the procurement. </w:t>
      </w:r>
      <w:r w:rsidR="0053020C" w:rsidRPr="3D83606E">
        <w:rPr>
          <w:sz w:val="20"/>
          <w:szCs w:val="20"/>
        </w:rPr>
        <w:t>GBE-N</w:t>
      </w:r>
      <w:r w:rsidRPr="3D83606E">
        <w:rPr>
          <w:sz w:val="20"/>
          <w:szCs w:val="20"/>
        </w:rPr>
        <w:t xml:space="preserve"> reserves the right to reject a </w:t>
      </w:r>
      <w:r w:rsidR="00B34E77" w:rsidRPr="3D83606E">
        <w:rPr>
          <w:sz w:val="20"/>
          <w:szCs w:val="20"/>
        </w:rPr>
        <w:t>PSQ</w:t>
      </w:r>
      <w:r w:rsidRPr="3D83606E">
        <w:rPr>
          <w:sz w:val="20"/>
          <w:szCs w:val="20"/>
        </w:rPr>
        <w:t xml:space="preserve"> response in its entirety if the applicant is assessed to have failed one or more questions in this </w:t>
      </w:r>
      <w:r w:rsidR="00B34E77" w:rsidRPr="3D83606E">
        <w:rPr>
          <w:sz w:val="20"/>
          <w:szCs w:val="20"/>
        </w:rPr>
        <w:t>PSQ</w:t>
      </w:r>
      <w:r w:rsidRPr="3D83606E">
        <w:rPr>
          <w:sz w:val="20"/>
          <w:szCs w:val="20"/>
        </w:rPr>
        <w:t>.</w:t>
      </w:r>
      <w:bookmarkStart w:id="40" w:name="_DV_M75"/>
      <w:bookmarkStart w:id="41" w:name="_DV_M76"/>
      <w:bookmarkEnd w:id="40"/>
      <w:bookmarkEnd w:id="41"/>
    </w:p>
    <w:p w14:paraId="76CEC842" w14:textId="4D626FEA" w:rsidR="00CF7853" w:rsidRPr="003A6A5D" w:rsidRDefault="00CF7853" w:rsidP="2C38A639">
      <w:pPr>
        <w:pStyle w:val="H3Ashurst"/>
        <w:numPr>
          <w:ilvl w:val="0"/>
          <w:numId w:val="0"/>
        </w:numPr>
        <w:ind w:left="1134"/>
        <w:sectPr w:rsidR="00CF7853" w:rsidRPr="003A6A5D" w:rsidSect="007A5500">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510" w:footer="340" w:gutter="0"/>
          <w:cols w:space="720"/>
          <w:docGrid w:linePitch="272"/>
        </w:sectPr>
      </w:pPr>
    </w:p>
    <w:p w14:paraId="5A8118CE" w14:textId="69A0CB16" w:rsidR="4D4FAB8D" w:rsidRDefault="00F26284" w:rsidP="00CF7853">
      <w:pPr>
        <w:pStyle w:val="AppendixSubAshurst"/>
        <w:rPr>
          <w:rFonts w:cstheme="minorHAnsi"/>
        </w:rPr>
      </w:pPr>
      <w:bookmarkStart w:id="42" w:name="_Toc140605757"/>
      <w:r w:rsidRPr="00CF7853">
        <w:rPr>
          <w:rStyle w:val="AshurstNote"/>
          <w:b/>
          <w:bCs w:val="0"/>
          <w:color w:val="auto"/>
          <w:sz w:val="22"/>
          <w:szCs w:val="22"/>
        </w:rPr>
        <w:t>B</w:t>
      </w:r>
      <w:r w:rsidRPr="00E74825">
        <w:rPr>
          <w:rFonts w:cstheme="minorHAnsi"/>
        </w:rPr>
        <w:t xml:space="preserve">. Definitions applying to the </w:t>
      </w:r>
      <w:r w:rsidR="00B34E77" w:rsidRPr="00E74825">
        <w:rPr>
          <w:rFonts w:cstheme="minorHAnsi"/>
        </w:rPr>
        <w:t>PSQ</w:t>
      </w:r>
      <w:r w:rsidRPr="00E74825">
        <w:rPr>
          <w:rFonts w:cstheme="minorHAnsi"/>
        </w:rPr>
        <w:t xml:space="preserve"> Instructions document</w:t>
      </w:r>
      <w:bookmarkEnd w:id="42"/>
    </w:p>
    <w:p w14:paraId="752652E7" w14:textId="5EA2266B" w:rsidR="4D4FAB8D" w:rsidRPr="00585A3E" w:rsidRDefault="00F26284" w:rsidP="00D03386">
      <w:pPr>
        <w:pStyle w:val="AltH1Ashurst"/>
      </w:pPr>
      <w:bookmarkStart w:id="43" w:name="_Toc190707089"/>
      <w:bookmarkStart w:id="44" w:name="_Toc190707139"/>
      <w:r w:rsidRPr="00585A3E">
        <w:t xml:space="preserve">In these </w:t>
      </w:r>
      <w:r w:rsidR="00B34E77">
        <w:t>PSQ</w:t>
      </w:r>
      <w:r w:rsidRPr="00585A3E">
        <w:t xml:space="preserve"> Instructions, the following terms shall have the following meanings, unless the context otherwise requires:</w:t>
      </w:r>
      <w:bookmarkEnd w:id="43"/>
      <w:bookmarkEnd w:id="44"/>
      <w:r w:rsidRPr="00585A3E">
        <w:t xml:space="preserve"> </w:t>
      </w:r>
    </w:p>
    <w:p w14:paraId="3CA935E9" w14:textId="1DE02D26" w:rsidR="4D4FAB8D" w:rsidRPr="00585A3E" w:rsidRDefault="00F26284" w:rsidP="4D4FAB8D">
      <w:pPr>
        <w:pStyle w:val="H2Ashurst"/>
        <w:numPr>
          <w:ilvl w:val="1"/>
          <w:numId w:val="0"/>
        </w:numPr>
        <w:ind w:left="782"/>
        <w:rPr>
          <w:rFonts w:cstheme="minorHAnsi"/>
          <w:sz w:val="20"/>
          <w:szCs w:val="20"/>
        </w:rPr>
      </w:pPr>
      <w:r w:rsidRPr="00585A3E">
        <w:rPr>
          <w:rFonts w:cstheme="minorHAnsi"/>
          <w:b/>
          <w:bCs/>
          <w:sz w:val="20"/>
          <w:szCs w:val="20"/>
        </w:rPr>
        <w:t xml:space="preserve">"Applicants": </w:t>
      </w:r>
      <w:r w:rsidRPr="00585A3E">
        <w:rPr>
          <w:rFonts w:cstheme="minorHAnsi"/>
          <w:sz w:val="20"/>
          <w:szCs w:val="20"/>
        </w:rPr>
        <w:t xml:space="preserve">economic operators, including a group of economic operators or a Consortium, who submit a </w:t>
      </w:r>
      <w:proofErr w:type="gramStart"/>
      <w:r w:rsidR="00B34E77">
        <w:rPr>
          <w:rFonts w:cstheme="minorHAnsi"/>
          <w:sz w:val="20"/>
          <w:szCs w:val="20"/>
        </w:rPr>
        <w:t>PSQ</w:t>
      </w:r>
      <w:r w:rsidR="00CB21B7">
        <w:rPr>
          <w:rFonts w:cstheme="minorHAnsi"/>
          <w:sz w:val="20"/>
          <w:szCs w:val="20"/>
        </w:rPr>
        <w:t>;</w:t>
      </w:r>
      <w:proofErr w:type="gramEnd"/>
    </w:p>
    <w:p w14:paraId="42B17436" w14:textId="10E17EA0" w:rsidR="4D4FAB8D" w:rsidRPr="00585A3E" w:rsidRDefault="00F26284" w:rsidP="4D4FAB8D">
      <w:pPr>
        <w:pStyle w:val="H2Ashurst"/>
        <w:numPr>
          <w:ilvl w:val="1"/>
          <w:numId w:val="0"/>
        </w:numPr>
        <w:ind w:left="782"/>
        <w:rPr>
          <w:rFonts w:cstheme="minorHAnsi"/>
          <w:b/>
          <w:bCs/>
          <w:sz w:val="20"/>
          <w:szCs w:val="20"/>
        </w:rPr>
      </w:pPr>
      <w:r w:rsidRPr="00585A3E">
        <w:rPr>
          <w:rFonts w:cstheme="minorHAnsi"/>
          <w:b/>
          <w:bCs/>
          <w:sz w:val="20"/>
          <w:szCs w:val="20"/>
        </w:rPr>
        <w:t xml:space="preserve">"Associated </w:t>
      </w:r>
      <w:r w:rsidR="00BE3B25">
        <w:rPr>
          <w:rFonts w:cstheme="minorHAnsi"/>
          <w:b/>
          <w:bCs/>
          <w:sz w:val="20"/>
          <w:szCs w:val="20"/>
        </w:rPr>
        <w:t>Person</w:t>
      </w:r>
      <w:r w:rsidRPr="00585A3E">
        <w:rPr>
          <w:rFonts w:cstheme="minorHAnsi"/>
          <w:b/>
          <w:bCs/>
          <w:sz w:val="20"/>
          <w:szCs w:val="20"/>
        </w:rPr>
        <w:t xml:space="preserve">": </w:t>
      </w:r>
      <w:r w:rsidR="0060229A">
        <w:rPr>
          <w:rFonts w:cstheme="minorHAnsi"/>
          <w:sz w:val="20"/>
          <w:szCs w:val="20"/>
        </w:rPr>
        <w:t>pe</w:t>
      </w:r>
      <w:r w:rsidRPr="00585A3E">
        <w:rPr>
          <w:rFonts w:cstheme="minorHAnsi"/>
          <w:sz w:val="20"/>
          <w:szCs w:val="20"/>
        </w:rPr>
        <w:t>r</w:t>
      </w:r>
      <w:r w:rsidR="0060229A">
        <w:rPr>
          <w:rFonts w:cstheme="minorHAnsi"/>
          <w:sz w:val="20"/>
          <w:szCs w:val="20"/>
        </w:rPr>
        <w:t>sons</w:t>
      </w:r>
      <w:r w:rsidRPr="00585A3E">
        <w:rPr>
          <w:rFonts w:cstheme="minorHAnsi"/>
          <w:sz w:val="20"/>
          <w:szCs w:val="20"/>
        </w:rPr>
        <w:t xml:space="preserve"> connected with the Applicant, for example a sub-</w:t>
      </w:r>
      <w:proofErr w:type="gramStart"/>
      <w:r w:rsidRPr="00585A3E">
        <w:rPr>
          <w:rFonts w:cstheme="minorHAnsi"/>
          <w:sz w:val="20"/>
          <w:szCs w:val="20"/>
        </w:rPr>
        <w:t>contractor</w:t>
      </w:r>
      <w:r w:rsidR="00BA6A86" w:rsidRPr="00C42E08">
        <w:rPr>
          <w:rFonts w:cstheme="minorHAnsi"/>
          <w:szCs w:val="20"/>
        </w:rPr>
        <w:t>;</w:t>
      </w:r>
      <w:proofErr w:type="gramEnd"/>
    </w:p>
    <w:p w14:paraId="64D18775" w14:textId="35C36EBB" w:rsidR="4D4FAB8D" w:rsidRPr="00585A3E" w:rsidRDefault="00F26284" w:rsidP="4D4FAB8D">
      <w:pPr>
        <w:pStyle w:val="H2Ashurst"/>
        <w:numPr>
          <w:ilvl w:val="1"/>
          <w:numId w:val="0"/>
        </w:numPr>
        <w:ind w:left="782"/>
        <w:rPr>
          <w:rFonts w:cstheme="minorHAnsi"/>
          <w:sz w:val="20"/>
          <w:szCs w:val="20"/>
        </w:rPr>
      </w:pPr>
      <w:r w:rsidRPr="00585A3E">
        <w:rPr>
          <w:rFonts w:cstheme="minorHAnsi"/>
          <w:b/>
          <w:bCs/>
          <w:sz w:val="20"/>
          <w:szCs w:val="20"/>
        </w:rPr>
        <w:t>"Consortium"</w:t>
      </w:r>
      <w:r w:rsidRPr="00585A3E">
        <w:rPr>
          <w:rFonts w:cstheme="minorHAnsi"/>
          <w:sz w:val="20"/>
          <w:szCs w:val="20"/>
        </w:rPr>
        <w:t xml:space="preserve">: a group of </w:t>
      </w:r>
      <w:proofErr w:type="gramStart"/>
      <w:r w:rsidR="0060229A">
        <w:rPr>
          <w:rFonts w:cstheme="minorHAnsi"/>
          <w:sz w:val="20"/>
          <w:szCs w:val="20"/>
        </w:rPr>
        <w:t>supplier</w:t>
      </w:r>
      <w:r w:rsidRPr="00585A3E">
        <w:rPr>
          <w:rFonts w:cstheme="minorHAnsi"/>
          <w:sz w:val="20"/>
          <w:szCs w:val="20"/>
        </w:rPr>
        <w:t>s;</w:t>
      </w:r>
      <w:proofErr w:type="gramEnd"/>
    </w:p>
    <w:p w14:paraId="07B43745" w14:textId="257BD506" w:rsidR="4D4FAB8D" w:rsidRPr="00585A3E" w:rsidRDefault="00F26284" w:rsidP="4D4FAB8D">
      <w:pPr>
        <w:pStyle w:val="H2Ashurst"/>
        <w:numPr>
          <w:ilvl w:val="1"/>
          <w:numId w:val="0"/>
        </w:numPr>
        <w:ind w:left="782"/>
        <w:rPr>
          <w:rFonts w:cstheme="minorHAnsi"/>
          <w:sz w:val="20"/>
          <w:szCs w:val="20"/>
        </w:rPr>
      </w:pPr>
      <w:r w:rsidRPr="00585A3E">
        <w:rPr>
          <w:rFonts w:cstheme="minorHAnsi"/>
          <w:b/>
          <w:bCs/>
          <w:sz w:val="20"/>
          <w:szCs w:val="20"/>
        </w:rPr>
        <w:t>"Consortium Member"</w:t>
      </w:r>
      <w:r w:rsidRPr="00585A3E">
        <w:rPr>
          <w:rFonts w:cstheme="minorHAnsi"/>
          <w:sz w:val="20"/>
          <w:szCs w:val="20"/>
        </w:rPr>
        <w:t xml:space="preserve">: an individual </w:t>
      </w:r>
      <w:r w:rsidR="0060229A">
        <w:rPr>
          <w:rFonts w:cstheme="minorHAnsi"/>
          <w:sz w:val="20"/>
          <w:szCs w:val="20"/>
        </w:rPr>
        <w:t>supplier</w:t>
      </w:r>
      <w:r w:rsidRPr="00585A3E">
        <w:rPr>
          <w:rFonts w:cstheme="minorHAnsi"/>
          <w:sz w:val="20"/>
          <w:szCs w:val="20"/>
        </w:rPr>
        <w:t xml:space="preserve"> within a </w:t>
      </w:r>
      <w:proofErr w:type="gramStart"/>
      <w:r w:rsidRPr="00585A3E">
        <w:rPr>
          <w:rFonts w:cstheme="minorHAnsi"/>
          <w:sz w:val="20"/>
          <w:szCs w:val="20"/>
        </w:rPr>
        <w:t>Consortium;</w:t>
      </w:r>
      <w:proofErr w:type="gramEnd"/>
    </w:p>
    <w:p w14:paraId="491C5F87" w14:textId="1B16DAAE" w:rsidR="4D4FAB8D" w:rsidRPr="00585A3E" w:rsidRDefault="00F26284" w:rsidP="3D83606E">
      <w:pPr>
        <w:pStyle w:val="H2Ashurst"/>
        <w:numPr>
          <w:ilvl w:val="0"/>
          <w:numId w:val="0"/>
        </w:numPr>
        <w:ind w:left="782"/>
        <w:rPr>
          <w:b/>
          <w:bCs/>
          <w:sz w:val="20"/>
          <w:szCs w:val="20"/>
        </w:rPr>
      </w:pPr>
      <w:r w:rsidRPr="3D83606E">
        <w:rPr>
          <w:b/>
          <w:bCs/>
          <w:sz w:val="20"/>
          <w:szCs w:val="20"/>
        </w:rPr>
        <w:t>"Contracting Authority"</w:t>
      </w:r>
      <w:r w:rsidRPr="3D83606E">
        <w:rPr>
          <w:sz w:val="20"/>
          <w:szCs w:val="20"/>
        </w:rPr>
        <w:t xml:space="preserve">: </w:t>
      </w:r>
      <w:r w:rsidR="0060229A" w:rsidRPr="3D83606E">
        <w:rPr>
          <w:sz w:val="20"/>
          <w:szCs w:val="20"/>
        </w:rPr>
        <w:t xml:space="preserve">Great British </w:t>
      </w:r>
      <w:r w:rsidR="0053020C" w:rsidRPr="3D83606E">
        <w:rPr>
          <w:sz w:val="20"/>
          <w:szCs w:val="20"/>
        </w:rPr>
        <w:t xml:space="preserve">Energy - </w:t>
      </w:r>
      <w:r w:rsidR="0060229A" w:rsidRPr="3D83606E">
        <w:rPr>
          <w:sz w:val="20"/>
          <w:szCs w:val="20"/>
        </w:rPr>
        <w:t>Nuclear</w:t>
      </w:r>
      <w:r w:rsidRPr="3D83606E">
        <w:rPr>
          <w:sz w:val="20"/>
          <w:szCs w:val="20"/>
        </w:rPr>
        <w:t xml:space="preserve"> (05027024</w:t>
      </w:r>
      <w:proofErr w:type="gramStart"/>
      <w:r w:rsidRPr="3D83606E">
        <w:rPr>
          <w:sz w:val="20"/>
          <w:szCs w:val="20"/>
        </w:rPr>
        <w:t>);</w:t>
      </w:r>
      <w:proofErr w:type="gramEnd"/>
      <w:r w:rsidRPr="3D83606E">
        <w:rPr>
          <w:b/>
          <w:bCs/>
          <w:sz w:val="20"/>
          <w:szCs w:val="20"/>
        </w:rPr>
        <w:t xml:space="preserve"> </w:t>
      </w:r>
    </w:p>
    <w:p w14:paraId="54AFB440" w14:textId="292A8BB8" w:rsidR="4D4FAB8D" w:rsidRDefault="00F26284" w:rsidP="14C273CF">
      <w:pPr>
        <w:pStyle w:val="H2Ashurst"/>
        <w:numPr>
          <w:ilvl w:val="1"/>
          <w:numId w:val="0"/>
        </w:numPr>
        <w:ind w:left="782"/>
        <w:rPr>
          <w:sz w:val="20"/>
          <w:szCs w:val="20"/>
        </w:rPr>
      </w:pPr>
      <w:r w:rsidRPr="14C273CF">
        <w:rPr>
          <w:b/>
          <w:bCs/>
          <w:sz w:val="20"/>
          <w:szCs w:val="20"/>
        </w:rPr>
        <w:t>"Contract"</w:t>
      </w:r>
      <w:r w:rsidRPr="14C273CF">
        <w:rPr>
          <w:sz w:val="20"/>
          <w:szCs w:val="20"/>
        </w:rPr>
        <w:t xml:space="preserve">: </w:t>
      </w:r>
      <w:r w:rsidR="00834031">
        <w:rPr>
          <w:sz w:val="20"/>
          <w:szCs w:val="20"/>
        </w:rPr>
        <w:t xml:space="preserve">The Owner's Engineer </w:t>
      </w:r>
      <w:proofErr w:type="gramStart"/>
      <w:r w:rsidR="00834031">
        <w:rPr>
          <w:sz w:val="20"/>
          <w:szCs w:val="20"/>
        </w:rPr>
        <w:t>Contract</w:t>
      </w:r>
      <w:r w:rsidR="00CB21B7">
        <w:rPr>
          <w:sz w:val="20"/>
          <w:szCs w:val="20"/>
        </w:rPr>
        <w:t>;</w:t>
      </w:r>
      <w:proofErr w:type="gramEnd"/>
      <w:r w:rsidR="58DDBC5E" w:rsidRPr="14C273CF">
        <w:rPr>
          <w:sz w:val="20"/>
          <w:szCs w:val="20"/>
        </w:rPr>
        <w:t xml:space="preserve"> </w:t>
      </w:r>
    </w:p>
    <w:p w14:paraId="65E466DC" w14:textId="7A7C0D8F" w:rsidR="00530CCE" w:rsidRDefault="00720B63" w:rsidP="00530CCE">
      <w:pPr>
        <w:pStyle w:val="H2Ashurst"/>
        <w:numPr>
          <w:ilvl w:val="1"/>
          <w:numId w:val="0"/>
        </w:numPr>
        <w:ind w:left="782"/>
        <w:rPr>
          <w:rFonts w:eastAsia="Times New Roman" w:cstheme="minorHAnsi"/>
          <w:sz w:val="20"/>
          <w:szCs w:val="20"/>
          <w:lang w:eastAsia="en-GB"/>
        </w:rPr>
      </w:pPr>
      <w:r w:rsidRPr="00720B63">
        <w:rPr>
          <w:sz w:val="20"/>
          <w:szCs w:val="20"/>
        </w:rPr>
        <w:t>"</w:t>
      </w:r>
      <w:r w:rsidRPr="00720B63">
        <w:rPr>
          <w:rFonts w:eastAsia="Times New Roman" w:cstheme="minorHAnsi"/>
          <w:b/>
          <w:bCs/>
          <w:sz w:val="20"/>
          <w:szCs w:val="20"/>
          <w:lang w:eastAsia="en-GB"/>
        </w:rPr>
        <w:t>Invitation to Tender Response Deadline</w:t>
      </w:r>
      <w:r w:rsidRPr="00720B63">
        <w:rPr>
          <w:rFonts w:eastAsia="Times New Roman" w:cstheme="minorHAnsi"/>
          <w:sz w:val="20"/>
          <w:szCs w:val="20"/>
          <w:lang w:eastAsia="en-GB"/>
        </w:rPr>
        <w:t>": [</w:t>
      </w:r>
      <w:r w:rsidR="002D1EEB">
        <w:rPr>
          <w:rFonts w:eastAsia="Times New Roman" w:cstheme="minorHAnsi"/>
          <w:sz w:val="20"/>
          <w:szCs w:val="20"/>
          <w:lang w:eastAsia="en-GB"/>
        </w:rPr>
        <w:t>the date and time will be released with the Invitation to Tender (Stage 2 of this procurement process)</w:t>
      </w:r>
      <w:r w:rsidRPr="00720B63">
        <w:rPr>
          <w:rFonts w:eastAsia="Times New Roman" w:cstheme="minorHAnsi"/>
          <w:sz w:val="20"/>
          <w:szCs w:val="20"/>
          <w:lang w:eastAsia="en-GB"/>
        </w:rPr>
        <w:t>]</w:t>
      </w:r>
    </w:p>
    <w:p w14:paraId="05E81F09" w14:textId="77777777" w:rsidR="006F2A89" w:rsidRDefault="00530CCE" w:rsidP="006F2A89">
      <w:pPr>
        <w:pStyle w:val="H2Ashurst"/>
        <w:numPr>
          <w:ilvl w:val="1"/>
          <w:numId w:val="0"/>
        </w:numPr>
        <w:ind w:left="782"/>
        <w:rPr>
          <w:rFonts w:eastAsia="Times New Roman" w:cstheme="minorHAnsi"/>
          <w:sz w:val="20"/>
          <w:szCs w:val="20"/>
          <w:lang w:eastAsia="en-GB"/>
        </w:rPr>
      </w:pPr>
      <w:r w:rsidRPr="00720B63">
        <w:rPr>
          <w:sz w:val="20"/>
          <w:szCs w:val="20"/>
        </w:rPr>
        <w:t>"</w:t>
      </w:r>
      <w:r>
        <w:rPr>
          <w:rFonts w:eastAsia="Times New Roman" w:cstheme="minorHAnsi"/>
          <w:b/>
          <w:bCs/>
          <w:sz w:val="20"/>
          <w:szCs w:val="20"/>
          <w:lang w:eastAsia="en-GB"/>
        </w:rPr>
        <w:t>Key Subcontractor”</w:t>
      </w:r>
      <w:r>
        <w:rPr>
          <w:rFonts w:eastAsia="Times New Roman" w:cstheme="minorHAnsi"/>
          <w:sz w:val="20"/>
          <w:szCs w:val="20"/>
          <w:lang w:eastAsia="en-GB"/>
        </w:rPr>
        <w:t xml:space="preserve">: </w:t>
      </w:r>
      <w:r w:rsidR="00DA4732" w:rsidRPr="004E2903">
        <w:rPr>
          <w:rFonts w:eastAsia="Times New Roman" w:cstheme="minorHAnsi"/>
          <w:sz w:val="20"/>
          <w:szCs w:val="20"/>
          <w:lang w:eastAsia="en-GB"/>
        </w:rPr>
        <w:t>Key Subcontractor</w:t>
      </w:r>
      <w:r w:rsidR="00DA4732" w:rsidRPr="00DA4732">
        <w:rPr>
          <w:rFonts w:eastAsia="Times New Roman" w:cstheme="minorHAnsi"/>
          <w:sz w:val="20"/>
          <w:szCs w:val="20"/>
          <w:lang w:eastAsia="en-GB"/>
        </w:rPr>
        <w:t xml:space="preserve"> means a Subcontractor that is to be appointed under a Key Subcontract.</w:t>
      </w:r>
    </w:p>
    <w:p w14:paraId="2D3C762E" w14:textId="536ACB24" w:rsidR="00DA4732" w:rsidRPr="00DA4732" w:rsidRDefault="006F2A89" w:rsidP="006F2A89">
      <w:pPr>
        <w:pStyle w:val="H2Ashurst"/>
        <w:numPr>
          <w:ilvl w:val="1"/>
          <w:numId w:val="0"/>
        </w:numPr>
        <w:ind w:left="782"/>
        <w:rPr>
          <w:rFonts w:eastAsia="Times New Roman" w:cstheme="minorHAnsi"/>
          <w:sz w:val="18"/>
          <w:szCs w:val="18"/>
          <w:lang w:eastAsia="en-GB"/>
        </w:rPr>
      </w:pPr>
      <w:r w:rsidRPr="006F2A89">
        <w:rPr>
          <w:rFonts w:eastAsia="Times New Roman" w:cstheme="minorHAnsi"/>
          <w:b/>
          <w:bCs/>
          <w:sz w:val="20"/>
          <w:szCs w:val="20"/>
          <w:lang w:eastAsia="en-GB"/>
        </w:rPr>
        <w:t xml:space="preserve">“Key </w:t>
      </w:r>
      <w:r>
        <w:rPr>
          <w:rFonts w:eastAsia="Times New Roman" w:cstheme="minorHAnsi"/>
          <w:b/>
          <w:bCs/>
          <w:sz w:val="20"/>
          <w:szCs w:val="20"/>
          <w:lang w:eastAsia="en-GB"/>
        </w:rPr>
        <w:t>Subcontracts”</w:t>
      </w:r>
      <w:r w:rsidR="00DA4732" w:rsidRPr="00DA4732">
        <w:rPr>
          <w:rFonts w:eastAsia="Times New Roman" w:cstheme="minorHAnsi"/>
          <w:szCs w:val="20"/>
          <w:lang w:eastAsia="en-GB"/>
        </w:rPr>
        <w:t xml:space="preserve"> </w:t>
      </w:r>
      <w:r w:rsidR="00DA4732" w:rsidRPr="00DA4732">
        <w:rPr>
          <w:rFonts w:eastAsia="Times New Roman" w:cstheme="minorHAnsi"/>
          <w:sz w:val="20"/>
          <w:szCs w:val="18"/>
          <w:lang w:eastAsia="en-GB"/>
        </w:rPr>
        <w:t xml:space="preserve">means those Subcontracts which: </w:t>
      </w:r>
    </w:p>
    <w:p w14:paraId="1410CC2F" w14:textId="145C6181" w:rsidR="006F2A89" w:rsidRDefault="00DA4732" w:rsidP="006F2A89">
      <w:pPr>
        <w:pStyle w:val="H2Ashurst"/>
        <w:numPr>
          <w:ilvl w:val="1"/>
          <w:numId w:val="70"/>
        </w:numPr>
        <w:rPr>
          <w:rFonts w:eastAsia="Times New Roman" w:cstheme="minorHAnsi"/>
          <w:sz w:val="20"/>
          <w:szCs w:val="18"/>
          <w:lang w:eastAsia="en-GB"/>
        </w:rPr>
      </w:pPr>
      <w:r w:rsidRPr="00DA4732">
        <w:rPr>
          <w:rFonts w:eastAsia="Times New Roman" w:cstheme="minorHAnsi"/>
          <w:sz w:val="20"/>
          <w:szCs w:val="18"/>
          <w:lang w:eastAsia="en-GB"/>
        </w:rPr>
        <w:t xml:space="preserve">are </w:t>
      </w:r>
      <w:r w:rsidR="002D7028">
        <w:rPr>
          <w:rFonts w:eastAsia="Times New Roman" w:cstheme="minorHAnsi"/>
          <w:sz w:val="20"/>
          <w:szCs w:val="18"/>
          <w:lang w:eastAsia="en-GB"/>
        </w:rPr>
        <w:t>s</w:t>
      </w:r>
      <w:r w:rsidRPr="00DA4732">
        <w:rPr>
          <w:rFonts w:eastAsia="Times New Roman" w:cstheme="minorHAnsi"/>
          <w:sz w:val="20"/>
          <w:szCs w:val="18"/>
          <w:lang w:eastAsia="en-GB"/>
        </w:rPr>
        <w:t>ingle</w:t>
      </w:r>
      <w:r w:rsidR="009A74FA">
        <w:rPr>
          <w:rFonts w:eastAsia="Times New Roman" w:cstheme="minorHAnsi"/>
          <w:sz w:val="20"/>
          <w:szCs w:val="18"/>
          <w:lang w:eastAsia="en-GB"/>
        </w:rPr>
        <w:t>/sole</w:t>
      </w:r>
      <w:r w:rsidRPr="00DA4732">
        <w:rPr>
          <w:rFonts w:eastAsia="Times New Roman" w:cstheme="minorHAnsi"/>
          <w:sz w:val="20"/>
          <w:szCs w:val="18"/>
          <w:lang w:eastAsia="en-GB"/>
        </w:rPr>
        <w:t xml:space="preserve"> </w:t>
      </w:r>
      <w:r w:rsidR="002D7028">
        <w:rPr>
          <w:rFonts w:eastAsia="Times New Roman" w:cstheme="minorHAnsi"/>
          <w:sz w:val="20"/>
          <w:szCs w:val="18"/>
          <w:lang w:eastAsia="en-GB"/>
        </w:rPr>
        <w:t>s</w:t>
      </w:r>
      <w:r w:rsidRPr="00DA4732">
        <w:rPr>
          <w:rFonts w:eastAsia="Times New Roman" w:cstheme="minorHAnsi"/>
          <w:sz w:val="20"/>
          <w:szCs w:val="18"/>
          <w:lang w:eastAsia="en-GB"/>
        </w:rPr>
        <w:t xml:space="preserve">ource </w:t>
      </w:r>
      <w:r w:rsidR="002D7028">
        <w:rPr>
          <w:rFonts w:eastAsia="Times New Roman" w:cstheme="minorHAnsi"/>
          <w:sz w:val="20"/>
          <w:szCs w:val="18"/>
          <w:lang w:eastAsia="en-GB"/>
        </w:rPr>
        <w:t>c</w:t>
      </w:r>
      <w:r w:rsidRPr="00DA4732">
        <w:rPr>
          <w:rFonts w:eastAsia="Times New Roman" w:cstheme="minorHAnsi"/>
          <w:sz w:val="20"/>
          <w:szCs w:val="18"/>
          <w:lang w:eastAsia="en-GB"/>
        </w:rPr>
        <w:t>ontracts; or</w:t>
      </w:r>
    </w:p>
    <w:p w14:paraId="06EF1A9E" w14:textId="352DF24E" w:rsidR="00530CCE" w:rsidRPr="006F2A89" w:rsidRDefault="00DA4732" w:rsidP="006F2A89">
      <w:pPr>
        <w:pStyle w:val="H2Ashurst"/>
        <w:numPr>
          <w:ilvl w:val="1"/>
          <w:numId w:val="70"/>
        </w:numPr>
        <w:rPr>
          <w:rFonts w:eastAsia="Times New Roman" w:cstheme="minorHAnsi"/>
          <w:sz w:val="20"/>
          <w:szCs w:val="18"/>
          <w:lang w:eastAsia="en-GB"/>
        </w:rPr>
      </w:pPr>
      <w:r w:rsidRPr="00DA4732">
        <w:rPr>
          <w:rFonts w:eastAsia="Times New Roman" w:cstheme="minorHAnsi"/>
          <w:sz w:val="20"/>
          <w:szCs w:val="18"/>
          <w:lang w:eastAsia="en-GB"/>
        </w:rPr>
        <w:t xml:space="preserve">have a value exceeding £5,000,000 when considered in the aggregate with all </w:t>
      </w:r>
      <w:r w:rsidR="009A13FE">
        <w:rPr>
          <w:rFonts w:eastAsia="Times New Roman" w:cstheme="minorHAnsi"/>
          <w:sz w:val="20"/>
          <w:szCs w:val="18"/>
          <w:lang w:eastAsia="en-GB"/>
        </w:rPr>
        <w:t>s</w:t>
      </w:r>
      <w:r w:rsidRPr="00DA4732">
        <w:rPr>
          <w:rFonts w:eastAsia="Times New Roman" w:cstheme="minorHAnsi"/>
          <w:sz w:val="20"/>
          <w:szCs w:val="18"/>
          <w:lang w:eastAsia="en-GB"/>
        </w:rPr>
        <w:t xml:space="preserve">ubcontracts entered into or to be entered into between the </w:t>
      </w:r>
      <w:r w:rsidR="002D7028">
        <w:rPr>
          <w:rFonts w:eastAsia="Times New Roman" w:cstheme="minorHAnsi"/>
          <w:sz w:val="20"/>
          <w:szCs w:val="18"/>
          <w:lang w:eastAsia="en-GB"/>
        </w:rPr>
        <w:t>OE Consultant</w:t>
      </w:r>
      <w:r w:rsidRPr="00DA4732">
        <w:rPr>
          <w:rFonts w:eastAsia="Times New Roman" w:cstheme="minorHAnsi"/>
          <w:sz w:val="20"/>
          <w:szCs w:val="18"/>
          <w:lang w:eastAsia="en-GB"/>
        </w:rPr>
        <w:t xml:space="preserve"> and the relevant </w:t>
      </w:r>
      <w:r w:rsidR="009A13FE">
        <w:rPr>
          <w:rFonts w:eastAsia="Times New Roman" w:cstheme="minorHAnsi"/>
          <w:sz w:val="20"/>
          <w:szCs w:val="18"/>
          <w:lang w:eastAsia="en-GB"/>
        </w:rPr>
        <w:t>s</w:t>
      </w:r>
      <w:r w:rsidRPr="00DA4732">
        <w:rPr>
          <w:rFonts w:eastAsia="Times New Roman" w:cstheme="minorHAnsi"/>
          <w:sz w:val="20"/>
          <w:szCs w:val="18"/>
          <w:lang w:eastAsia="en-GB"/>
        </w:rPr>
        <w:t>ubcon</w:t>
      </w:r>
      <w:r w:rsidR="009A13FE">
        <w:rPr>
          <w:rFonts w:eastAsia="Times New Roman" w:cstheme="minorHAnsi"/>
          <w:sz w:val="20"/>
          <w:szCs w:val="18"/>
          <w:lang w:eastAsia="en-GB"/>
        </w:rPr>
        <w:t>sultant</w:t>
      </w:r>
      <w:r w:rsidRPr="00DA4732">
        <w:rPr>
          <w:rFonts w:eastAsia="Times New Roman" w:cstheme="minorHAnsi"/>
          <w:sz w:val="20"/>
          <w:szCs w:val="18"/>
          <w:lang w:eastAsia="en-GB"/>
        </w:rPr>
        <w:t xml:space="preserve"> in respect of the</w:t>
      </w:r>
      <w:r w:rsidR="009A13FE">
        <w:rPr>
          <w:rFonts w:eastAsia="Times New Roman" w:cstheme="minorHAnsi"/>
          <w:sz w:val="20"/>
          <w:szCs w:val="18"/>
          <w:lang w:eastAsia="en-GB"/>
        </w:rPr>
        <w:t>ir</w:t>
      </w:r>
      <w:r w:rsidRPr="00DA4732">
        <w:rPr>
          <w:rFonts w:eastAsia="Times New Roman" w:cstheme="minorHAnsi"/>
          <w:sz w:val="20"/>
          <w:szCs w:val="18"/>
          <w:lang w:eastAsia="en-GB"/>
        </w:rPr>
        <w:t xml:space="preserve"> </w:t>
      </w:r>
      <w:r w:rsidRPr="009A13FE">
        <w:rPr>
          <w:rFonts w:eastAsia="Times New Roman" w:cstheme="minorHAnsi"/>
          <w:sz w:val="20"/>
          <w:szCs w:val="18"/>
          <w:lang w:eastAsia="en-GB"/>
        </w:rPr>
        <w:t>works</w:t>
      </w:r>
      <w:r w:rsidRPr="00DA4732">
        <w:rPr>
          <w:rFonts w:eastAsia="Times New Roman" w:cstheme="minorHAnsi"/>
          <w:sz w:val="20"/>
          <w:szCs w:val="18"/>
          <w:lang w:eastAsia="en-GB"/>
        </w:rPr>
        <w:t>.</w:t>
      </w:r>
    </w:p>
    <w:p w14:paraId="6AAC591C" w14:textId="5831A8E4" w:rsidR="4D4FAB8D" w:rsidRPr="00585A3E" w:rsidRDefault="00F26284" w:rsidP="4D4FAB8D">
      <w:pPr>
        <w:pStyle w:val="H2Ashurst"/>
        <w:numPr>
          <w:ilvl w:val="1"/>
          <w:numId w:val="0"/>
        </w:numPr>
        <w:ind w:left="782"/>
        <w:rPr>
          <w:rFonts w:cstheme="minorHAnsi"/>
          <w:sz w:val="20"/>
          <w:szCs w:val="20"/>
        </w:rPr>
      </w:pPr>
      <w:r w:rsidRPr="00585A3E">
        <w:rPr>
          <w:rFonts w:cstheme="minorHAnsi"/>
          <w:b/>
          <w:bCs/>
          <w:sz w:val="20"/>
          <w:szCs w:val="20"/>
        </w:rPr>
        <w:t>"</w:t>
      </w:r>
      <w:r w:rsidR="0060229A">
        <w:rPr>
          <w:rFonts w:cstheme="minorHAnsi"/>
          <w:b/>
          <w:bCs/>
          <w:sz w:val="20"/>
          <w:szCs w:val="20"/>
        </w:rPr>
        <w:t>Owner's Engineer</w:t>
      </w:r>
      <w:r w:rsidRPr="00585A3E">
        <w:rPr>
          <w:rFonts w:cstheme="minorHAnsi"/>
          <w:b/>
          <w:bCs/>
          <w:sz w:val="20"/>
          <w:szCs w:val="20"/>
        </w:rPr>
        <w:t xml:space="preserve">" </w:t>
      </w:r>
      <w:r w:rsidRPr="00585A3E">
        <w:rPr>
          <w:rFonts w:cstheme="minorHAnsi"/>
          <w:sz w:val="20"/>
          <w:szCs w:val="20"/>
        </w:rPr>
        <w:t xml:space="preserve">means the role of </w:t>
      </w:r>
      <w:r w:rsidR="0060229A">
        <w:rPr>
          <w:rFonts w:cstheme="minorHAnsi"/>
          <w:sz w:val="20"/>
          <w:szCs w:val="20"/>
        </w:rPr>
        <w:t>[</w:t>
      </w:r>
      <w:r w:rsidR="00834031">
        <w:rPr>
          <w:rFonts w:cstheme="minorHAnsi"/>
          <w:sz w:val="20"/>
          <w:szCs w:val="20"/>
        </w:rPr>
        <w:t>the Contractor</w:t>
      </w:r>
      <w:r w:rsidR="0060229A">
        <w:rPr>
          <w:rFonts w:cstheme="minorHAnsi"/>
          <w:sz w:val="20"/>
          <w:szCs w:val="20"/>
        </w:rPr>
        <w:t xml:space="preserve">] </w:t>
      </w:r>
      <w:r w:rsidRPr="00585A3E">
        <w:rPr>
          <w:rFonts w:cstheme="minorHAnsi"/>
          <w:sz w:val="20"/>
          <w:szCs w:val="20"/>
        </w:rPr>
        <w:t xml:space="preserve">per the terms of the </w:t>
      </w:r>
      <w:proofErr w:type="gramStart"/>
      <w:r w:rsidRPr="00585A3E">
        <w:rPr>
          <w:rFonts w:cstheme="minorHAnsi"/>
          <w:sz w:val="20"/>
          <w:szCs w:val="20"/>
        </w:rPr>
        <w:t>Contract;</w:t>
      </w:r>
      <w:proofErr w:type="gramEnd"/>
    </w:p>
    <w:p w14:paraId="0283BBAC" w14:textId="2249D15E" w:rsidR="4D4FAB8D" w:rsidRPr="00585A3E" w:rsidRDefault="00F26284" w:rsidP="4D4FAB8D">
      <w:pPr>
        <w:pStyle w:val="H2Ashurst"/>
        <w:numPr>
          <w:ilvl w:val="1"/>
          <w:numId w:val="0"/>
        </w:numPr>
        <w:ind w:left="782"/>
        <w:rPr>
          <w:rFonts w:cstheme="minorHAnsi"/>
          <w:sz w:val="20"/>
          <w:szCs w:val="20"/>
        </w:rPr>
      </w:pPr>
      <w:r w:rsidRPr="00585A3E">
        <w:rPr>
          <w:rFonts w:cstheme="minorHAnsi"/>
          <w:b/>
          <w:bCs/>
          <w:sz w:val="20"/>
          <w:szCs w:val="20"/>
        </w:rPr>
        <w:t>"Lead Applicant"</w:t>
      </w:r>
      <w:r w:rsidRPr="00585A3E">
        <w:rPr>
          <w:rFonts w:cstheme="minorHAnsi"/>
          <w:sz w:val="20"/>
          <w:szCs w:val="20"/>
        </w:rPr>
        <w:t xml:space="preserve">: the Consortium Member responsible for leading the consortium for the purposes of the procurement </w:t>
      </w:r>
      <w:proofErr w:type="gramStart"/>
      <w:r w:rsidRPr="00585A3E">
        <w:rPr>
          <w:rFonts w:cstheme="minorHAnsi"/>
          <w:sz w:val="20"/>
          <w:szCs w:val="20"/>
        </w:rPr>
        <w:t>process;</w:t>
      </w:r>
      <w:proofErr w:type="gramEnd"/>
      <w:r w:rsidRPr="00585A3E">
        <w:rPr>
          <w:rFonts w:cstheme="minorHAnsi"/>
          <w:sz w:val="20"/>
          <w:szCs w:val="20"/>
        </w:rPr>
        <w:t xml:space="preserve"> </w:t>
      </w:r>
    </w:p>
    <w:p w14:paraId="40C2088E" w14:textId="017616FC" w:rsidR="008C5640" w:rsidRDefault="00F26284" w:rsidP="1DC730FD">
      <w:pPr>
        <w:pStyle w:val="H2Ashurst"/>
        <w:numPr>
          <w:ilvl w:val="0"/>
          <w:numId w:val="0"/>
        </w:numPr>
        <w:ind w:left="782"/>
        <w:rPr>
          <w:sz w:val="20"/>
          <w:szCs w:val="20"/>
        </w:rPr>
      </w:pPr>
      <w:r w:rsidRPr="2C38A639">
        <w:rPr>
          <w:b/>
          <w:bCs/>
          <w:sz w:val="20"/>
          <w:szCs w:val="20"/>
        </w:rPr>
        <w:t>"</w:t>
      </w:r>
      <w:r w:rsidR="00B34E77" w:rsidRPr="2C38A639">
        <w:rPr>
          <w:b/>
          <w:bCs/>
          <w:sz w:val="20"/>
          <w:szCs w:val="20"/>
        </w:rPr>
        <w:t>PSQ</w:t>
      </w:r>
      <w:r w:rsidRPr="2C38A639">
        <w:rPr>
          <w:b/>
          <w:bCs/>
          <w:sz w:val="20"/>
          <w:szCs w:val="20"/>
        </w:rPr>
        <w:t xml:space="preserve">": </w:t>
      </w:r>
      <w:r w:rsidRPr="2C38A639">
        <w:rPr>
          <w:sz w:val="20"/>
          <w:szCs w:val="20"/>
        </w:rPr>
        <w:t xml:space="preserve">this </w:t>
      </w:r>
      <w:r w:rsidR="00B34E77" w:rsidRPr="2C38A639">
        <w:rPr>
          <w:sz w:val="20"/>
          <w:szCs w:val="20"/>
        </w:rPr>
        <w:t>PSQ</w:t>
      </w:r>
      <w:r w:rsidRPr="2C38A639">
        <w:rPr>
          <w:sz w:val="20"/>
          <w:szCs w:val="20"/>
        </w:rPr>
        <w:t xml:space="preserve"> and any appendices or annexes</w:t>
      </w:r>
      <w:r w:rsidR="00CB21B7" w:rsidRPr="2C38A639">
        <w:rPr>
          <w:sz w:val="20"/>
          <w:szCs w:val="20"/>
        </w:rPr>
        <w:t>.</w:t>
      </w:r>
    </w:p>
    <w:p w14:paraId="38F4CFC8" w14:textId="7B556D6F" w:rsidR="008A4D44" w:rsidRPr="00E74825" w:rsidRDefault="1DC730FD" w:rsidP="008B56D1">
      <w:pPr>
        <w:rPr>
          <w:b/>
          <w:sz w:val="24"/>
        </w:rPr>
      </w:pPr>
      <w:r>
        <w:br w:type="page"/>
      </w:r>
      <w:r w:rsidR="00F26284" w:rsidRPr="00E74825">
        <w:rPr>
          <w:rFonts w:cstheme="minorHAnsi"/>
          <w:b/>
          <w:sz w:val="24"/>
        </w:rPr>
        <w:t xml:space="preserve">C. Summary Table of Evaluation Approaches for all </w:t>
      </w:r>
      <w:r w:rsidR="00B34E77" w:rsidRPr="00E74825">
        <w:rPr>
          <w:rFonts w:cstheme="minorHAnsi"/>
          <w:b/>
          <w:sz w:val="24"/>
        </w:rPr>
        <w:t>PSQ</w:t>
      </w:r>
      <w:r w:rsidR="00F26284" w:rsidRPr="00E74825">
        <w:rPr>
          <w:rFonts w:cstheme="minorHAnsi"/>
          <w:b/>
          <w:sz w:val="24"/>
        </w:rPr>
        <w:t xml:space="preserve"> questions</w:t>
      </w:r>
    </w:p>
    <w:p w14:paraId="28563AB9" w14:textId="0FBC21D9" w:rsidR="00EF0206" w:rsidRPr="00E35635" w:rsidRDefault="00F26284" w:rsidP="00585A3E">
      <w:pPr>
        <w:pStyle w:val="BaseH3AgtAdvCoral"/>
        <w:rPr>
          <w:rFonts w:cstheme="minorHAnsi"/>
          <w:color w:val="auto"/>
          <w:sz w:val="20"/>
          <w:szCs w:val="20"/>
        </w:rPr>
      </w:pPr>
      <w:r w:rsidRPr="00E35635">
        <w:rPr>
          <w:rFonts w:cstheme="minorHAnsi"/>
          <w:color w:val="auto"/>
          <w:sz w:val="20"/>
          <w:szCs w:val="20"/>
        </w:rPr>
        <w:t xml:space="preserve">EVALUATION METHODOLOGY </w:t>
      </w:r>
      <w:r w:rsidR="3656E2ED" w:rsidRPr="00E35635">
        <w:rPr>
          <w:rFonts w:cstheme="minorHAnsi"/>
          <w:color w:val="auto"/>
          <w:sz w:val="20"/>
          <w:szCs w:val="20"/>
        </w:rPr>
        <w:t>–</w:t>
      </w:r>
      <w:r w:rsidRPr="00E35635">
        <w:rPr>
          <w:rFonts w:cstheme="minorHAnsi"/>
          <w:color w:val="auto"/>
          <w:sz w:val="20"/>
          <w:szCs w:val="20"/>
        </w:rPr>
        <w:t xml:space="preserve"> OVERVIEW</w:t>
      </w:r>
    </w:p>
    <w:p w14:paraId="51C9275E" w14:textId="589C0C79" w:rsidR="1565EE8D" w:rsidRPr="00E35635" w:rsidRDefault="00F26284" w:rsidP="00585A3E">
      <w:pPr>
        <w:rPr>
          <w:rFonts w:eastAsia="Arial" w:cstheme="minorHAnsi"/>
          <w:szCs w:val="20"/>
        </w:rPr>
      </w:pPr>
      <w:r w:rsidRPr="00E35635">
        <w:rPr>
          <w:rFonts w:eastAsia="Arial" w:cstheme="minorHAnsi"/>
          <w:szCs w:val="20"/>
        </w:rPr>
        <w:t xml:space="preserve">Please note that if any </w:t>
      </w:r>
      <w:r w:rsidR="00B34E77">
        <w:rPr>
          <w:rFonts w:eastAsia="Arial" w:cstheme="minorHAnsi"/>
          <w:szCs w:val="20"/>
        </w:rPr>
        <w:t>PSQ</w:t>
      </w:r>
      <w:r w:rsidRPr="00E35635">
        <w:rPr>
          <w:rFonts w:eastAsia="Arial" w:cstheme="minorHAnsi"/>
          <w:szCs w:val="20"/>
        </w:rPr>
        <w:t xml:space="preserve"> question is evaluated as a '</w:t>
      </w:r>
      <w:proofErr w:type="gramStart"/>
      <w:r w:rsidRPr="00E35635">
        <w:rPr>
          <w:rFonts w:eastAsia="Arial" w:cstheme="minorHAnsi"/>
          <w:szCs w:val="20"/>
        </w:rPr>
        <w:t>fail</w:t>
      </w:r>
      <w:proofErr w:type="gramEnd"/>
      <w:r w:rsidRPr="00E35635">
        <w:rPr>
          <w:rFonts w:eastAsia="Arial" w:cstheme="minorHAnsi"/>
          <w:szCs w:val="20"/>
        </w:rPr>
        <w:t>', the Applicant may be excluded from the procurement process.</w:t>
      </w:r>
    </w:p>
    <w:tbl>
      <w:tblPr>
        <w:tblStyle w:val="AshurstPlainGrid"/>
        <w:tblW w:w="90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2410"/>
        <w:gridCol w:w="945"/>
        <w:gridCol w:w="3879"/>
      </w:tblGrid>
      <w:tr w:rsidR="007F1680" w14:paraId="29129AF8" w14:textId="5FD57C81" w:rsidTr="000B1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top w:val="single" w:sz="4" w:space="0" w:color="auto"/>
              <w:left w:val="single" w:sz="4" w:space="0" w:color="auto"/>
              <w:bottom w:val="single" w:sz="4" w:space="0" w:color="auto"/>
              <w:right w:val="single" w:sz="4" w:space="0" w:color="auto"/>
            </w:tcBorders>
            <w:shd w:val="clear" w:color="auto" w:fill="D8DBDB" w:themeFill="background2" w:themeFillShade="E6"/>
          </w:tcPr>
          <w:p w14:paraId="0F178953" w14:textId="4D65B85F" w:rsidR="00EF0206" w:rsidRPr="00FE6A51" w:rsidRDefault="00F26284" w:rsidP="00585A3E">
            <w:pPr>
              <w:pStyle w:val="TableAshurst"/>
              <w:rPr>
                <w:rFonts w:cstheme="minorHAnsi"/>
                <w:b/>
                <w:bCs/>
                <w:sz w:val="20"/>
                <w:szCs w:val="20"/>
              </w:rPr>
            </w:pPr>
            <w:r>
              <w:rPr>
                <w:rFonts w:cstheme="minorHAnsi"/>
                <w:b/>
                <w:bCs/>
                <w:sz w:val="20"/>
                <w:szCs w:val="20"/>
              </w:rPr>
              <w:t>PSQ</w:t>
            </w:r>
            <w:r w:rsidRPr="00FE6A51">
              <w:rPr>
                <w:rFonts w:cstheme="minorHAnsi"/>
                <w:b/>
                <w:bCs/>
                <w:sz w:val="20"/>
                <w:szCs w:val="20"/>
              </w:rPr>
              <w:t xml:space="preserve"> Section</w:t>
            </w:r>
          </w:p>
        </w:tc>
        <w:tc>
          <w:tcPr>
            <w:tcW w:w="2410" w:type="dxa"/>
            <w:tcBorders>
              <w:top w:val="single" w:sz="4" w:space="0" w:color="auto"/>
              <w:left w:val="single" w:sz="4" w:space="0" w:color="auto"/>
              <w:bottom w:val="single" w:sz="4" w:space="0" w:color="auto"/>
              <w:right w:val="single" w:sz="4" w:space="0" w:color="auto"/>
            </w:tcBorders>
            <w:shd w:val="clear" w:color="auto" w:fill="D8DBDB" w:themeFill="background2" w:themeFillShade="E6"/>
          </w:tcPr>
          <w:p w14:paraId="14FBFEE2" w14:textId="30A22502" w:rsidR="00EF0206" w:rsidRPr="00FE6A51" w:rsidRDefault="00F26284" w:rsidP="00585A3E">
            <w:pPr>
              <w:pStyle w:val="TableAshurst"/>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Pr>
                <w:rFonts w:cstheme="minorHAnsi"/>
                <w:b/>
                <w:bCs/>
                <w:sz w:val="20"/>
                <w:szCs w:val="20"/>
              </w:rPr>
              <w:t>Questions</w:t>
            </w:r>
          </w:p>
        </w:tc>
        <w:tc>
          <w:tcPr>
            <w:tcW w:w="945" w:type="dxa"/>
            <w:tcBorders>
              <w:top w:val="single" w:sz="4" w:space="0" w:color="auto"/>
              <w:left w:val="single" w:sz="4" w:space="0" w:color="auto"/>
              <w:bottom w:val="single" w:sz="4" w:space="0" w:color="auto"/>
              <w:right w:val="single" w:sz="4" w:space="0" w:color="auto"/>
            </w:tcBorders>
            <w:shd w:val="clear" w:color="auto" w:fill="D8DBDB" w:themeFill="background2" w:themeFillShade="E6"/>
          </w:tcPr>
          <w:p w14:paraId="226DF3C1" w14:textId="67AAD2EE" w:rsidR="00EF0206" w:rsidRPr="00FE6A51" w:rsidRDefault="00F26284" w:rsidP="00585A3E">
            <w:pPr>
              <w:pStyle w:val="TableAshurst"/>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FE6A51">
              <w:rPr>
                <w:rFonts w:cstheme="minorHAnsi"/>
                <w:b/>
                <w:bCs/>
                <w:sz w:val="20"/>
                <w:szCs w:val="20"/>
              </w:rPr>
              <w:t>Score</w:t>
            </w:r>
          </w:p>
        </w:tc>
        <w:tc>
          <w:tcPr>
            <w:tcW w:w="3879" w:type="dxa"/>
            <w:tcBorders>
              <w:top w:val="single" w:sz="4" w:space="0" w:color="auto"/>
              <w:left w:val="single" w:sz="4" w:space="0" w:color="auto"/>
              <w:bottom w:val="single" w:sz="4" w:space="0" w:color="auto"/>
              <w:right w:val="single" w:sz="4" w:space="0" w:color="auto"/>
            </w:tcBorders>
            <w:shd w:val="clear" w:color="auto" w:fill="D8DBDB" w:themeFill="background2" w:themeFillShade="E6"/>
          </w:tcPr>
          <w:p w14:paraId="6F2CE9CF" w14:textId="60D4D3FD" w:rsidR="00EF0206" w:rsidRPr="00FE6A51" w:rsidRDefault="00F26284" w:rsidP="00585A3E">
            <w:pPr>
              <w:pStyle w:val="TableAshurst"/>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FE6A51">
              <w:rPr>
                <w:rFonts w:cstheme="minorHAnsi"/>
                <w:b/>
                <w:bCs/>
                <w:sz w:val="20"/>
                <w:szCs w:val="20"/>
              </w:rPr>
              <w:t xml:space="preserve">Assessment Methodology </w:t>
            </w:r>
          </w:p>
        </w:tc>
      </w:tr>
      <w:tr w:rsidR="007F1680" w14:paraId="56205B00" w14:textId="4971C119" w:rsidTr="000B1E98">
        <w:tc>
          <w:tcPr>
            <w:cnfStyle w:val="001000000000" w:firstRow="0" w:lastRow="0" w:firstColumn="1" w:lastColumn="0" w:oddVBand="0" w:evenVBand="0" w:oddHBand="0" w:evenHBand="0" w:firstRowFirstColumn="0" w:firstRowLastColumn="0" w:lastRowFirstColumn="0" w:lastRowLastColumn="0"/>
            <w:tcW w:w="1773" w:type="dxa"/>
            <w:tcBorders>
              <w:top w:val="single" w:sz="4" w:space="0" w:color="auto"/>
            </w:tcBorders>
          </w:tcPr>
          <w:p w14:paraId="49CFDDCE" w14:textId="6C5AFEFA" w:rsidR="002C4D5C" w:rsidRPr="00585A3E" w:rsidRDefault="00F26284" w:rsidP="002C4D5C">
            <w:pPr>
              <w:pStyle w:val="TableAshurst"/>
              <w:rPr>
                <w:rFonts w:cstheme="minorHAnsi"/>
                <w:sz w:val="20"/>
                <w:szCs w:val="20"/>
              </w:rPr>
            </w:pPr>
            <w:r>
              <w:rPr>
                <w:rFonts w:cstheme="minorHAnsi"/>
                <w:sz w:val="20"/>
                <w:szCs w:val="20"/>
              </w:rPr>
              <w:t>Preliminary Information</w:t>
            </w:r>
          </w:p>
        </w:tc>
        <w:tc>
          <w:tcPr>
            <w:tcW w:w="2410" w:type="dxa"/>
            <w:tcBorders>
              <w:top w:val="single" w:sz="4" w:space="0" w:color="auto"/>
            </w:tcBorders>
          </w:tcPr>
          <w:p w14:paraId="467D0D24" w14:textId="6CBF50CC" w:rsidR="002C4D5C" w:rsidRPr="00585A3E" w:rsidRDefault="00F26284"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w:t>
            </w:r>
            <w:r w:rsidR="003F3D9F">
              <w:rPr>
                <w:rFonts w:cstheme="minorHAnsi"/>
                <w:sz w:val="20"/>
                <w:szCs w:val="20"/>
              </w:rPr>
              <w:t>3</w:t>
            </w:r>
          </w:p>
        </w:tc>
        <w:tc>
          <w:tcPr>
            <w:tcW w:w="945" w:type="dxa"/>
            <w:tcBorders>
              <w:top w:val="single" w:sz="4" w:space="0" w:color="auto"/>
            </w:tcBorders>
          </w:tcPr>
          <w:p w14:paraId="466DE7BC" w14:textId="565C599A" w:rsidR="002C4D5C" w:rsidRPr="00585A3E" w:rsidRDefault="00F26284"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N/A</w:t>
            </w:r>
          </w:p>
        </w:tc>
        <w:tc>
          <w:tcPr>
            <w:tcW w:w="3879" w:type="dxa"/>
            <w:tcBorders>
              <w:top w:val="single" w:sz="4" w:space="0" w:color="auto"/>
            </w:tcBorders>
          </w:tcPr>
          <w:p w14:paraId="015FDFFB" w14:textId="3D19C2B0" w:rsidR="002C4D5C" w:rsidRPr="00585A3E" w:rsidRDefault="00F26284"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Information only</w:t>
            </w:r>
            <w:r>
              <w:rPr>
                <w:rFonts w:cstheme="minorHAnsi"/>
                <w:sz w:val="20"/>
                <w:szCs w:val="20"/>
              </w:rPr>
              <w:t xml:space="preserve"> </w:t>
            </w:r>
          </w:p>
        </w:tc>
      </w:tr>
      <w:tr w:rsidR="007F1680" w14:paraId="6ECAC09D" w14:textId="77777777" w:rsidTr="000B1E98">
        <w:trPr>
          <w:trHeight w:val="515"/>
        </w:trPr>
        <w:tc>
          <w:tcPr>
            <w:cnfStyle w:val="001000000000" w:firstRow="0" w:lastRow="0" w:firstColumn="1" w:lastColumn="0" w:oddVBand="0" w:evenVBand="0" w:oddHBand="0" w:evenHBand="0" w:firstRowFirstColumn="0" w:firstRowLastColumn="0" w:lastRowFirstColumn="0" w:lastRowLastColumn="0"/>
            <w:tcW w:w="1773" w:type="dxa"/>
            <w:vMerge w:val="restart"/>
            <w:tcBorders>
              <w:top w:val="single" w:sz="4" w:space="0" w:color="auto"/>
            </w:tcBorders>
          </w:tcPr>
          <w:p w14:paraId="64CEDA41" w14:textId="0363A40F" w:rsidR="00F80F10" w:rsidRPr="00585A3E" w:rsidRDefault="00F26284" w:rsidP="00F80F10">
            <w:pPr>
              <w:pStyle w:val="TableAshurst"/>
              <w:rPr>
                <w:rFonts w:cstheme="minorHAnsi"/>
                <w:sz w:val="20"/>
                <w:szCs w:val="20"/>
              </w:rPr>
            </w:pPr>
            <w:r>
              <w:rPr>
                <w:rFonts w:cstheme="minorHAnsi"/>
                <w:sz w:val="20"/>
                <w:szCs w:val="20"/>
              </w:rPr>
              <w:t xml:space="preserve">Preliminary Information </w:t>
            </w:r>
          </w:p>
        </w:tc>
        <w:tc>
          <w:tcPr>
            <w:tcW w:w="2410" w:type="dxa"/>
            <w:vMerge w:val="restart"/>
            <w:tcBorders>
              <w:top w:val="single" w:sz="4" w:space="0" w:color="auto"/>
            </w:tcBorders>
          </w:tcPr>
          <w:p w14:paraId="6E97CB9F" w14:textId="028BA04B" w:rsidR="00F80F10" w:rsidRDefault="003F3D9F"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r w:rsidR="00F26284">
              <w:rPr>
                <w:rFonts w:cstheme="minorHAnsi"/>
                <w:sz w:val="20"/>
                <w:szCs w:val="20"/>
              </w:rPr>
              <w:t xml:space="preserve"> (Debarment – Supplier)</w:t>
            </w:r>
          </w:p>
        </w:tc>
        <w:tc>
          <w:tcPr>
            <w:tcW w:w="945" w:type="dxa"/>
            <w:tcBorders>
              <w:top w:val="single" w:sz="4" w:space="0" w:color="auto"/>
            </w:tcBorders>
          </w:tcPr>
          <w:p w14:paraId="506B9510" w14:textId="23BCBB8D" w:rsidR="00F80F10" w:rsidRPr="00585A3E" w:rsidRDefault="00F26284"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Pass</w:t>
            </w:r>
          </w:p>
        </w:tc>
        <w:tc>
          <w:tcPr>
            <w:tcW w:w="3879" w:type="dxa"/>
            <w:tcBorders>
              <w:top w:val="single" w:sz="4" w:space="0" w:color="auto"/>
            </w:tcBorders>
          </w:tcPr>
          <w:p w14:paraId="4A425BDB" w14:textId="1A73E0A0" w:rsidR="00F80F10" w:rsidRPr="0002467A" w:rsidRDefault="00F26284"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2467A">
              <w:rPr>
                <w:rFonts w:eastAsia="Arial" w:cstheme="minorHAnsi"/>
                <w:color w:val="000000" w:themeColor="text1"/>
                <w:sz w:val="20"/>
                <w:szCs w:val="20"/>
              </w:rPr>
              <w:t>The Applicant (or if applicable, Lead Applicant) answers No.</w:t>
            </w:r>
          </w:p>
        </w:tc>
      </w:tr>
      <w:tr w:rsidR="007F1680" w14:paraId="76D351F4" w14:textId="77777777" w:rsidTr="000B1E98">
        <w:trPr>
          <w:trHeight w:val="514"/>
        </w:trPr>
        <w:tc>
          <w:tcPr>
            <w:cnfStyle w:val="001000000000" w:firstRow="0" w:lastRow="0" w:firstColumn="1" w:lastColumn="0" w:oddVBand="0" w:evenVBand="0" w:oddHBand="0" w:evenHBand="0" w:firstRowFirstColumn="0" w:firstRowLastColumn="0" w:lastRowFirstColumn="0" w:lastRowLastColumn="0"/>
            <w:tcW w:w="1773" w:type="dxa"/>
            <w:vMerge/>
          </w:tcPr>
          <w:p w14:paraId="7F1A77AD" w14:textId="77777777" w:rsidR="00F80F10" w:rsidRDefault="00F80F10" w:rsidP="00F80F10">
            <w:pPr>
              <w:pStyle w:val="TableAshurst"/>
              <w:rPr>
                <w:rFonts w:cstheme="minorHAnsi"/>
                <w:color w:val="000000"/>
                <w:sz w:val="20"/>
                <w:szCs w:val="20"/>
              </w:rPr>
            </w:pPr>
          </w:p>
        </w:tc>
        <w:tc>
          <w:tcPr>
            <w:tcW w:w="2410" w:type="dxa"/>
            <w:vMerge/>
          </w:tcPr>
          <w:p w14:paraId="356E3038" w14:textId="77777777" w:rsidR="00F80F10" w:rsidRDefault="00F80F10"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945" w:type="dxa"/>
          </w:tcPr>
          <w:p w14:paraId="5F3C9E4C" w14:textId="12D893FA" w:rsidR="00F80F10" w:rsidRPr="00585A3E" w:rsidRDefault="00F26284" w:rsidP="00F80F10">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Fail</w:t>
            </w:r>
          </w:p>
        </w:tc>
        <w:tc>
          <w:tcPr>
            <w:tcW w:w="3879" w:type="dxa"/>
            <w:tcBorders>
              <w:top w:val="single" w:sz="4" w:space="0" w:color="auto"/>
            </w:tcBorders>
          </w:tcPr>
          <w:p w14:paraId="3391AE2A" w14:textId="188B1B14" w:rsidR="00F80F10" w:rsidRPr="0002467A" w:rsidRDefault="00F26284" w:rsidP="00F80F10">
            <w:pPr>
              <w:pStyle w:val="TableAshurst"/>
              <w:cnfStyle w:val="000000000000" w:firstRow="0" w:lastRow="0" w:firstColumn="0" w:lastColumn="0" w:oddVBand="0" w:evenVBand="0" w:oddHBand="0" w:evenHBand="0" w:firstRowFirstColumn="0" w:firstRowLastColumn="0" w:lastRowFirstColumn="0" w:lastRowLastColumn="0"/>
              <w:rPr>
                <w:rFonts w:eastAsia="Arial" w:cstheme="minorHAnsi"/>
                <w:sz w:val="20"/>
                <w:szCs w:val="20"/>
              </w:rPr>
            </w:pPr>
            <w:r w:rsidRPr="0002467A">
              <w:rPr>
                <w:rFonts w:eastAsia="Arial" w:cstheme="minorHAnsi"/>
                <w:sz w:val="20"/>
                <w:szCs w:val="20"/>
              </w:rPr>
              <w:t>The Applicant (or if applicable, Lead Applicant) answers Yes.</w:t>
            </w:r>
          </w:p>
        </w:tc>
      </w:tr>
      <w:tr w:rsidR="007F1680" w14:paraId="4C591077" w14:textId="594291C8" w:rsidTr="000B1E98">
        <w:trPr>
          <w:trHeight w:val="610"/>
        </w:trPr>
        <w:tc>
          <w:tcPr>
            <w:cnfStyle w:val="001000000000" w:firstRow="0" w:lastRow="0" w:firstColumn="1" w:lastColumn="0" w:oddVBand="0" w:evenVBand="0" w:oddHBand="0" w:evenHBand="0" w:firstRowFirstColumn="0" w:firstRowLastColumn="0" w:lastRowFirstColumn="0" w:lastRowLastColumn="0"/>
            <w:tcW w:w="1773" w:type="dxa"/>
          </w:tcPr>
          <w:p w14:paraId="324FFF65" w14:textId="43313E73" w:rsidR="00F80F10" w:rsidRPr="00585A3E" w:rsidRDefault="00F26284" w:rsidP="002C4D5C">
            <w:pPr>
              <w:pStyle w:val="TableAshurst"/>
              <w:rPr>
                <w:rFonts w:cstheme="minorHAnsi"/>
                <w:sz w:val="20"/>
                <w:szCs w:val="20"/>
              </w:rPr>
            </w:pPr>
            <w:r>
              <w:rPr>
                <w:rFonts w:cstheme="minorHAnsi"/>
                <w:sz w:val="20"/>
                <w:szCs w:val="20"/>
              </w:rPr>
              <w:t>Part 1</w:t>
            </w:r>
          </w:p>
        </w:tc>
        <w:tc>
          <w:tcPr>
            <w:tcW w:w="2410" w:type="dxa"/>
          </w:tcPr>
          <w:p w14:paraId="42059650" w14:textId="41910C3A" w:rsidR="00F80F10" w:rsidRPr="00585A3E" w:rsidRDefault="003F3D9F"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w:t>
            </w:r>
            <w:r w:rsidR="00F26284">
              <w:rPr>
                <w:rFonts w:cstheme="minorHAnsi"/>
                <w:sz w:val="20"/>
                <w:szCs w:val="20"/>
              </w:rPr>
              <w:t>a-c</w:t>
            </w:r>
          </w:p>
        </w:tc>
        <w:tc>
          <w:tcPr>
            <w:tcW w:w="945" w:type="dxa"/>
          </w:tcPr>
          <w:p w14:paraId="6B6465FC" w14:textId="44229A03" w:rsidR="00F80F10" w:rsidRPr="00585A3E" w:rsidRDefault="00F26284"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N/A</w:t>
            </w:r>
          </w:p>
        </w:tc>
        <w:tc>
          <w:tcPr>
            <w:tcW w:w="3879" w:type="dxa"/>
          </w:tcPr>
          <w:p w14:paraId="05972446" w14:textId="0663F554" w:rsidR="00F80F10" w:rsidRPr="00585A3E" w:rsidRDefault="00F26284" w:rsidP="002C4D5C">
            <w:pPr>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szCs w:val="20"/>
              </w:rPr>
            </w:pPr>
            <w:r w:rsidRPr="00585A3E">
              <w:rPr>
                <w:rFonts w:cstheme="minorHAnsi"/>
                <w:szCs w:val="20"/>
              </w:rPr>
              <w:t>Information only</w:t>
            </w:r>
          </w:p>
        </w:tc>
      </w:tr>
      <w:tr w:rsidR="007F1680" w14:paraId="6E8CCA8D" w14:textId="5588B79F" w:rsidTr="000B1E98">
        <w:trPr>
          <w:trHeight w:val="1252"/>
        </w:trPr>
        <w:tc>
          <w:tcPr>
            <w:cnfStyle w:val="001000000000" w:firstRow="0" w:lastRow="0" w:firstColumn="1" w:lastColumn="0" w:oddVBand="0" w:evenVBand="0" w:oddHBand="0" w:evenHBand="0" w:firstRowFirstColumn="0" w:firstRowLastColumn="0" w:lastRowFirstColumn="0" w:lastRowLastColumn="0"/>
            <w:tcW w:w="1773" w:type="dxa"/>
            <w:vMerge w:val="restart"/>
          </w:tcPr>
          <w:p w14:paraId="45FC3BEA" w14:textId="47042998" w:rsidR="001F2F85" w:rsidRPr="00585A3E" w:rsidRDefault="00F26284" w:rsidP="001F2F85">
            <w:pPr>
              <w:pStyle w:val="TableAshurst"/>
              <w:rPr>
                <w:rFonts w:cstheme="minorHAnsi"/>
                <w:sz w:val="20"/>
                <w:szCs w:val="20"/>
              </w:rPr>
            </w:pPr>
            <w:r>
              <w:rPr>
                <w:rFonts w:cstheme="minorHAnsi"/>
                <w:sz w:val="20"/>
                <w:szCs w:val="20"/>
              </w:rPr>
              <w:t>Part 1</w:t>
            </w:r>
          </w:p>
        </w:tc>
        <w:tc>
          <w:tcPr>
            <w:tcW w:w="2410" w:type="dxa"/>
            <w:vMerge w:val="restart"/>
          </w:tcPr>
          <w:p w14:paraId="789367C8" w14:textId="748EE2A3" w:rsidR="001F2F85" w:rsidRPr="00585A3E" w:rsidRDefault="003F3D9F" w:rsidP="001F2F85">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w:t>
            </w:r>
            <w:r w:rsidR="00F26284">
              <w:rPr>
                <w:rFonts w:cstheme="minorHAnsi"/>
                <w:sz w:val="20"/>
                <w:szCs w:val="20"/>
              </w:rPr>
              <w:t>d (Exclusion information – Supplier)</w:t>
            </w:r>
          </w:p>
        </w:tc>
        <w:tc>
          <w:tcPr>
            <w:tcW w:w="945" w:type="dxa"/>
          </w:tcPr>
          <w:p w14:paraId="4A015373" w14:textId="608CCF99" w:rsidR="001F2F85" w:rsidRPr="00585A3E" w:rsidRDefault="00F26284" w:rsidP="001F2F85">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Pass</w:t>
            </w:r>
          </w:p>
        </w:tc>
        <w:tc>
          <w:tcPr>
            <w:tcW w:w="3879" w:type="dxa"/>
          </w:tcPr>
          <w:p w14:paraId="1B47E816" w14:textId="7FDBDB4B" w:rsidR="001F2F85" w:rsidRPr="00585A3E" w:rsidRDefault="00F26284" w:rsidP="001F2F85">
            <w:pPr>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585A3E">
              <w:rPr>
                <w:rFonts w:eastAsia="Arial" w:cstheme="minorHAnsi"/>
                <w:color w:val="000000" w:themeColor="text1"/>
                <w:szCs w:val="20"/>
              </w:rPr>
              <w:t>The Applicant (or if applicable, Lead Applicant) answers No.</w:t>
            </w:r>
          </w:p>
        </w:tc>
      </w:tr>
      <w:tr w:rsidR="007F1680" w14:paraId="07F34389" w14:textId="77777777" w:rsidTr="000B1E98">
        <w:trPr>
          <w:trHeight w:val="1252"/>
        </w:trPr>
        <w:tc>
          <w:tcPr>
            <w:cnfStyle w:val="001000000000" w:firstRow="0" w:lastRow="0" w:firstColumn="1" w:lastColumn="0" w:oddVBand="0" w:evenVBand="0" w:oddHBand="0" w:evenHBand="0" w:firstRowFirstColumn="0" w:firstRowLastColumn="0" w:lastRowFirstColumn="0" w:lastRowLastColumn="0"/>
            <w:tcW w:w="1773" w:type="dxa"/>
            <w:vMerge/>
          </w:tcPr>
          <w:p w14:paraId="68CB73D0" w14:textId="77777777" w:rsidR="001F2F85" w:rsidRDefault="001F2F85" w:rsidP="001F2F85">
            <w:pPr>
              <w:pStyle w:val="TableAshurst"/>
              <w:rPr>
                <w:rFonts w:cstheme="minorHAnsi"/>
                <w:color w:val="000000"/>
                <w:sz w:val="20"/>
                <w:szCs w:val="20"/>
              </w:rPr>
            </w:pPr>
          </w:p>
        </w:tc>
        <w:tc>
          <w:tcPr>
            <w:tcW w:w="2410" w:type="dxa"/>
            <w:vMerge/>
          </w:tcPr>
          <w:p w14:paraId="6026EAAC" w14:textId="77777777" w:rsidR="001F2F85" w:rsidRDefault="001F2F85" w:rsidP="001F2F85">
            <w:pPr>
              <w:pStyle w:val="TableAshurs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945" w:type="dxa"/>
          </w:tcPr>
          <w:p w14:paraId="5005A8D7" w14:textId="3078C4A8" w:rsidR="001F2F85" w:rsidRDefault="00F26284" w:rsidP="001F2F85">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Fail</w:t>
            </w:r>
          </w:p>
        </w:tc>
        <w:tc>
          <w:tcPr>
            <w:tcW w:w="3879" w:type="dxa"/>
          </w:tcPr>
          <w:p w14:paraId="042B3094" w14:textId="241D36FA" w:rsidR="001F2F85" w:rsidRDefault="00F26284" w:rsidP="001F2F85">
            <w:pPr>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szCs w:val="20"/>
              </w:rPr>
            </w:pPr>
            <w:r w:rsidRPr="00585A3E">
              <w:rPr>
                <w:rFonts w:eastAsia="Arial" w:cstheme="minorHAnsi"/>
                <w:szCs w:val="20"/>
              </w:rPr>
              <w:t>The Applicant (or if applicable, Lead Applicant) answers Yes.</w:t>
            </w:r>
          </w:p>
        </w:tc>
      </w:tr>
      <w:tr w:rsidR="007F1680" w14:paraId="5B427499" w14:textId="77777777" w:rsidTr="000B1E98">
        <w:trPr>
          <w:trHeight w:val="656"/>
        </w:trPr>
        <w:tc>
          <w:tcPr>
            <w:cnfStyle w:val="001000000000" w:firstRow="0" w:lastRow="0" w:firstColumn="1" w:lastColumn="0" w:oddVBand="0" w:evenVBand="0" w:oddHBand="0" w:evenHBand="0" w:firstRowFirstColumn="0" w:firstRowLastColumn="0" w:lastRowFirstColumn="0" w:lastRowLastColumn="0"/>
            <w:tcW w:w="1773" w:type="dxa"/>
          </w:tcPr>
          <w:p w14:paraId="2770B948" w14:textId="6D3C6A70" w:rsidR="003B7CD7" w:rsidRDefault="00F26284" w:rsidP="003B7CD7">
            <w:pPr>
              <w:pStyle w:val="TableAshurst"/>
              <w:rPr>
                <w:rFonts w:cstheme="minorHAnsi"/>
                <w:sz w:val="20"/>
                <w:szCs w:val="20"/>
              </w:rPr>
            </w:pPr>
            <w:r>
              <w:rPr>
                <w:rFonts w:cstheme="minorHAnsi"/>
                <w:sz w:val="20"/>
                <w:szCs w:val="20"/>
              </w:rPr>
              <w:t>Part 2A</w:t>
            </w:r>
          </w:p>
        </w:tc>
        <w:tc>
          <w:tcPr>
            <w:tcW w:w="2410" w:type="dxa"/>
          </w:tcPr>
          <w:p w14:paraId="2A80CEA8" w14:textId="251DC359" w:rsidR="003B7CD7" w:rsidRDefault="003F3D9F" w:rsidP="003B7CD7">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w:t>
            </w:r>
            <w:r w:rsidR="00F26284">
              <w:rPr>
                <w:rFonts w:cstheme="minorHAnsi"/>
                <w:sz w:val="20"/>
                <w:szCs w:val="20"/>
              </w:rPr>
              <w:t>-</w:t>
            </w:r>
            <w:r>
              <w:rPr>
                <w:rFonts w:cstheme="minorHAnsi"/>
                <w:sz w:val="20"/>
                <w:szCs w:val="20"/>
              </w:rPr>
              <w:t>8c</w:t>
            </w:r>
          </w:p>
        </w:tc>
        <w:tc>
          <w:tcPr>
            <w:tcW w:w="945" w:type="dxa"/>
          </w:tcPr>
          <w:p w14:paraId="2A84D228" w14:textId="37C0904E" w:rsidR="003B7CD7" w:rsidRDefault="00F26284" w:rsidP="003B7CD7">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N/A</w:t>
            </w:r>
          </w:p>
        </w:tc>
        <w:tc>
          <w:tcPr>
            <w:tcW w:w="3879" w:type="dxa"/>
          </w:tcPr>
          <w:p w14:paraId="447F1B2D" w14:textId="716CD6CD" w:rsidR="003B7CD7" w:rsidRDefault="00F26284" w:rsidP="003B7CD7">
            <w:pPr>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szCs w:val="20"/>
              </w:rPr>
            </w:pPr>
            <w:r w:rsidRPr="00585A3E">
              <w:rPr>
                <w:rFonts w:cstheme="minorHAnsi"/>
                <w:szCs w:val="20"/>
              </w:rPr>
              <w:t>Information only</w:t>
            </w:r>
            <w:r>
              <w:rPr>
                <w:rFonts w:cstheme="minorHAnsi"/>
                <w:szCs w:val="20"/>
              </w:rPr>
              <w:t xml:space="preserve"> </w:t>
            </w:r>
          </w:p>
        </w:tc>
      </w:tr>
      <w:tr w:rsidR="007F1680" w14:paraId="53E27B20" w14:textId="0A5514E0" w:rsidTr="000B1E98">
        <w:tc>
          <w:tcPr>
            <w:cnfStyle w:val="001000000000" w:firstRow="0" w:lastRow="0" w:firstColumn="1" w:lastColumn="0" w:oddVBand="0" w:evenVBand="0" w:oddHBand="0" w:evenHBand="0" w:firstRowFirstColumn="0" w:firstRowLastColumn="0" w:lastRowFirstColumn="0" w:lastRowLastColumn="0"/>
            <w:tcW w:w="1773" w:type="dxa"/>
            <w:vMerge w:val="restart"/>
          </w:tcPr>
          <w:p w14:paraId="2FD0736E" w14:textId="777967D6" w:rsidR="002C4D5C" w:rsidRPr="00585A3E" w:rsidRDefault="00F26284" w:rsidP="002C4D5C">
            <w:pPr>
              <w:pStyle w:val="TableAshurst"/>
              <w:rPr>
                <w:rFonts w:cstheme="minorHAnsi"/>
                <w:sz w:val="20"/>
                <w:szCs w:val="20"/>
              </w:rPr>
            </w:pPr>
            <w:r>
              <w:rPr>
                <w:rFonts w:cstheme="minorHAnsi"/>
                <w:sz w:val="20"/>
                <w:szCs w:val="20"/>
              </w:rPr>
              <w:t>Part 2</w:t>
            </w:r>
            <w:r w:rsidR="003B7CD7">
              <w:rPr>
                <w:rFonts w:cstheme="minorHAnsi"/>
                <w:sz w:val="20"/>
                <w:szCs w:val="20"/>
              </w:rPr>
              <w:t>A</w:t>
            </w:r>
          </w:p>
        </w:tc>
        <w:tc>
          <w:tcPr>
            <w:tcW w:w="2410" w:type="dxa"/>
            <w:vMerge w:val="restart"/>
          </w:tcPr>
          <w:p w14:paraId="6AE90DE3" w14:textId="6C3ACC22" w:rsidR="002C4D5C" w:rsidRPr="00585A3E" w:rsidRDefault="003F3D9F"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8d</w:t>
            </w:r>
            <w:r w:rsidR="00F26284">
              <w:rPr>
                <w:rFonts w:cstheme="minorHAnsi"/>
                <w:sz w:val="20"/>
                <w:szCs w:val="20"/>
              </w:rPr>
              <w:t>-</w:t>
            </w:r>
            <w:r w:rsidR="00446160">
              <w:rPr>
                <w:rFonts w:cstheme="minorHAnsi"/>
                <w:sz w:val="20"/>
                <w:szCs w:val="20"/>
              </w:rPr>
              <w:t>9</w:t>
            </w:r>
          </w:p>
        </w:tc>
        <w:tc>
          <w:tcPr>
            <w:tcW w:w="945" w:type="dxa"/>
          </w:tcPr>
          <w:p w14:paraId="09C6AFE2" w14:textId="541D2D35" w:rsidR="002C4D5C" w:rsidRPr="00585A3E" w:rsidRDefault="00F26284" w:rsidP="002C4D5C">
            <w:pPr>
              <w:pStyle w:val="TableAshurs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85A3E">
              <w:rPr>
                <w:rFonts w:cstheme="minorHAnsi"/>
                <w:sz w:val="20"/>
                <w:szCs w:val="20"/>
              </w:rPr>
              <w:t>Pass</w:t>
            </w:r>
          </w:p>
        </w:tc>
        <w:tc>
          <w:tcPr>
            <w:tcW w:w="3879" w:type="dxa"/>
          </w:tcPr>
          <w:p w14:paraId="4CFCCA91" w14:textId="3099761D" w:rsidR="002C4D5C" w:rsidRPr="00585A3E" w:rsidRDefault="00F26284" w:rsidP="002C4D5C">
            <w:pPr>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szCs w:val="20"/>
              </w:rPr>
            </w:pPr>
            <w:r w:rsidRPr="00585A3E">
              <w:rPr>
                <w:rFonts w:eastAsia="Arial" w:cstheme="minorHAnsi"/>
                <w:szCs w:val="20"/>
              </w:rPr>
              <w:t>The Applicant (or if applicable, Lead Applicant) answers No.</w:t>
            </w:r>
          </w:p>
        </w:tc>
      </w:tr>
      <w:tr w:rsidR="007F1680" w14:paraId="3C15F7BD" w14:textId="02E72F94" w:rsidTr="000B1E98">
        <w:tc>
          <w:tcPr>
            <w:cnfStyle w:val="001000000000" w:firstRow="0" w:lastRow="0" w:firstColumn="1" w:lastColumn="0" w:oddVBand="0" w:evenVBand="0" w:oddHBand="0" w:evenHBand="0" w:firstRowFirstColumn="0" w:firstRowLastColumn="0" w:lastRowFirstColumn="0" w:lastRowLastColumn="0"/>
            <w:tcW w:w="1773" w:type="dxa"/>
            <w:vMerge/>
          </w:tcPr>
          <w:p w14:paraId="329A4C86" w14:textId="7D0E7CC9" w:rsidR="002C4D5C" w:rsidRPr="00585A3E" w:rsidRDefault="002C4D5C" w:rsidP="002C4D5C">
            <w:pPr>
              <w:pStyle w:val="B12Ashurst"/>
              <w:tabs>
                <w:tab w:val="clear" w:pos="1406"/>
                <w:tab w:val="clear" w:pos="2030"/>
                <w:tab w:val="clear" w:pos="2654"/>
                <w:tab w:val="clear" w:pos="3277"/>
                <w:tab w:val="clear" w:pos="3901"/>
              </w:tabs>
              <w:spacing w:before="100" w:after="100"/>
              <w:ind w:left="0"/>
              <w:rPr>
                <w:rFonts w:cstheme="minorHAnsi"/>
                <w:szCs w:val="20"/>
              </w:rPr>
            </w:pPr>
          </w:p>
        </w:tc>
        <w:tc>
          <w:tcPr>
            <w:tcW w:w="2410" w:type="dxa"/>
            <w:vMerge/>
          </w:tcPr>
          <w:p w14:paraId="6476789C" w14:textId="2FD619B1" w:rsidR="002C4D5C" w:rsidRPr="00585A3E" w:rsidRDefault="002C4D5C"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945" w:type="dxa"/>
          </w:tcPr>
          <w:p w14:paraId="2FFDE0E6" w14:textId="1312A716" w:rsidR="002C4D5C" w:rsidRPr="00585A3E" w:rsidRDefault="00F26284"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cstheme="minorHAnsi"/>
                <w:szCs w:val="20"/>
              </w:rPr>
              <w:t>Fail</w:t>
            </w:r>
          </w:p>
        </w:tc>
        <w:tc>
          <w:tcPr>
            <w:tcW w:w="3879" w:type="dxa"/>
          </w:tcPr>
          <w:p w14:paraId="0AADB9BE" w14:textId="2145840A" w:rsidR="002C4D5C" w:rsidRPr="00585A3E" w:rsidRDefault="00F26284" w:rsidP="002C4D5C">
            <w:pPr>
              <w:tabs>
                <w:tab w:val="left" w:pos="720"/>
              </w:tabs>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szCs w:val="20"/>
              </w:rPr>
            </w:pPr>
            <w:r w:rsidRPr="00585A3E">
              <w:rPr>
                <w:rFonts w:eastAsia="Arial" w:cstheme="minorHAnsi"/>
                <w:szCs w:val="20"/>
              </w:rPr>
              <w:t>The Applicant (or if applicable, Lead Applicant) answers Yes.</w:t>
            </w:r>
          </w:p>
        </w:tc>
      </w:tr>
      <w:tr w:rsidR="007F1680" w14:paraId="25FA9064" w14:textId="5D6B1459" w:rsidTr="000B1E98">
        <w:tc>
          <w:tcPr>
            <w:cnfStyle w:val="001000000000" w:firstRow="0" w:lastRow="0" w:firstColumn="1" w:lastColumn="0" w:oddVBand="0" w:evenVBand="0" w:oddHBand="0" w:evenHBand="0" w:firstRowFirstColumn="0" w:firstRowLastColumn="0" w:lastRowFirstColumn="0" w:lastRowLastColumn="0"/>
            <w:tcW w:w="1773" w:type="dxa"/>
          </w:tcPr>
          <w:p w14:paraId="31CDD717" w14:textId="0090B016" w:rsidR="002C4D5C" w:rsidRPr="00585A3E" w:rsidRDefault="00F26284" w:rsidP="002C4D5C">
            <w:pPr>
              <w:pStyle w:val="B12Ashurst"/>
              <w:tabs>
                <w:tab w:val="clear" w:pos="1406"/>
                <w:tab w:val="clear" w:pos="2030"/>
                <w:tab w:val="clear" w:pos="2654"/>
                <w:tab w:val="clear" w:pos="3277"/>
                <w:tab w:val="clear" w:pos="3901"/>
              </w:tabs>
              <w:spacing w:before="100" w:after="100"/>
              <w:ind w:left="0"/>
              <w:rPr>
                <w:rFonts w:cstheme="minorHAnsi"/>
                <w:szCs w:val="20"/>
              </w:rPr>
            </w:pPr>
            <w:r>
              <w:rPr>
                <w:rFonts w:cstheme="minorHAnsi"/>
                <w:szCs w:val="20"/>
              </w:rPr>
              <w:t>Part 2B</w:t>
            </w:r>
          </w:p>
        </w:tc>
        <w:tc>
          <w:tcPr>
            <w:tcW w:w="2410" w:type="dxa"/>
          </w:tcPr>
          <w:p w14:paraId="40C1677F" w14:textId="26B63755" w:rsidR="002C4D5C" w:rsidRPr="00585A3E" w:rsidRDefault="00F26284"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1</w:t>
            </w:r>
            <w:r w:rsidR="00446160">
              <w:rPr>
                <w:rFonts w:cstheme="minorHAnsi"/>
                <w:szCs w:val="20"/>
              </w:rPr>
              <w:t>0</w:t>
            </w:r>
          </w:p>
        </w:tc>
        <w:tc>
          <w:tcPr>
            <w:tcW w:w="945" w:type="dxa"/>
          </w:tcPr>
          <w:p w14:paraId="56AC3A51" w14:textId="11668FAC" w:rsidR="002C4D5C" w:rsidRPr="00585A3E" w:rsidRDefault="00F26284"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cstheme="minorHAnsi"/>
                <w:szCs w:val="20"/>
              </w:rPr>
              <w:t>N/A</w:t>
            </w:r>
          </w:p>
        </w:tc>
        <w:tc>
          <w:tcPr>
            <w:tcW w:w="3879" w:type="dxa"/>
          </w:tcPr>
          <w:p w14:paraId="284624B2" w14:textId="0B558087" w:rsidR="002C4D5C" w:rsidRPr="00585A3E" w:rsidRDefault="00F26284"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Information only</w:t>
            </w:r>
          </w:p>
        </w:tc>
      </w:tr>
      <w:tr w:rsidR="007F1680" w14:paraId="73EB3CF5" w14:textId="1A0F6DAF" w:rsidTr="000B1E98">
        <w:trPr>
          <w:trHeight w:val="322"/>
        </w:trPr>
        <w:tc>
          <w:tcPr>
            <w:cnfStyle w:val="001000000000" w:firstRow="0" w:lastRow="0" w:firstColumn="1" w:lastColumn="0" w:oddVBand="0" w:evenVBand="0" w:oddHBand="0" w:evenHBand="0" w:firstRowFirstColumn="0" w:firstRowLastColumn="0" w:lastRowFirstColumn="0" w:lastRowLastColumn="0"/>
            <w:tcW w:w="1773" w:type="dxa"/>
            <w:vMerge w:val="restart"/>
          </w:tcPr>
          <w:p w14:paraId="1D8F6FCA" w14:textId="72A3D9BB" w:rsidR="003B7CD7" w:rsidRPr="00585A3E" w:rsidRDefault="00F26284" w:rsidP="003B7CD7">
            <w:pPr>
              <w:pStyle w:val="B12Ashurst"/>
              <w:tabs>
                <w:tab w:val="clear" w:pos="1406"/>
                <w:tab w:val="clear" w:pos="2030"/>
                <w:tab w:val="clear" w:pos="2654"/>
                <w:tab w:val="clear" w:pos="3277"/>
                <w:tab w:val="clear" w:pos="3901"/>
              </w:tabs>
              <w:spacing w:before="100" w:after="100"/>
              <w:ind w:left="0"/>
              <w:rPr>
                <w:rFonts w:cstheme="minorHAnsi"/>
                <w:szCs w:val="20"/>
              </w:rPr>
            </w:pPr>
            <w:r>
              <w:rPr>
                <w:rFonts w:cstheme="minorHAnsi"/>
                <w:szCs w:val="20"/>
              </w:rPr>
              <w:t>Part 2B</w:t>
            </w:r>
          </w:p>
        </w:tc>
        <w:tc>
          <w:tcPr>
            <w:tcW w:w="2410" w:type="dxa"/>
            <w:vMerge w:val="restart"/>
          </w:tcPr>
          <w:p w14:paraId="22C04830" w14:textId="37756F8D" w:rsidR="003B7CD7" w:rsidRPr="00585A3E"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1</w:t>
            </w:r>
            <w:r w:rsidR="00446160">
              <w:rPr>
                <w:rFonts w:cstheme="minorHAnsi"/>
                <w:szCs w:val="20"/>
              </w:rPr>
              <w:t>1</w:t>
            </w:r>
          </w:p>
        </w:tc>
        <w:tc>
          <w:tcPr>
            <w:tcW w:w="945" w:type="dxa"/>
          </w:tcPr>
          <w:p w14:paraId="459E2EEE" w14:textId="2EEF8E9E" w:rsidR="003B7CD7" w:rsidRPr="00585A3E"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cstheme="minorHAnsi"/>
                <w:szCs w:val="20"/>
              </w:rPr>
              <w:t>Pass</w:t>
            </w:r>
          </w:p>
        </w:tc>
        <w:tc>
          <w:tcPr>
            <w:tcW w:w="3879" w:type="dxa"/>
          </w:tcPr>
          <w:p w14:paraId="607B43F7" w14:textId="076EEB95" w:rsidR="003B7CD7" w:rsidRPr="00585A3E"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eastAsia="Arial" w:cstheme="minorHAnsi"/>
                <w:szCs w:val="20"/>
              </w:rPr>
              <w:t>The Applicant (or if applicable, Lead Applicant) answers No.</w:t>
            </w:r>
          </w:p>
        </w:tc>
      </w:tr>
      <w:tr w:rsidR="007F1680" w14:paraId="5FD6A4A2" w14:textId="77777777" w:rsidTr="000B1E98">
        <w:trPr>
          <w:trHeight w:val="321"/>
        </w:trPr>
        <w:tc>
          <w:tcPr>
            <w:cnfStyle w:val="001000000000" w:firstRow="0" w:lastRow="0" w:firstColumn="1" w:lastColumn="0" w:oddVBand="0" w:evenVBand="0" w:oddHBand="0" w:evenHBand="0" w:firstRowFirstColumn="0" w:firstRowLastColumn="0" w:lastRowFirstColumn="0" w:lastRowLastColumn="0"/>
            <w:tcW w:w="1773" w:type="dxa"/>
            <w:vMerge/>
          </w:tcPr>
          <w:p w14:paraId="3F1BE7A0" w14:textId="77777777" w:rsidR="003B7CD7" w:rsidRDefault="003B7CD7" w:rsidP="003B7CD7">
            <w:pPr>
              <w:pStyle w:val="B12Ashurst"/>
              <w:tabs>
                <w:tab w:val="clear" w:pos="1406"/>
                <w:tab w:val="clear" w:pos="2030"/>
                <w:tab w:val="clear" w:pos="2654"/>
                <w:tab w:val="clear" w:pos="3277"/>
                <w:tab w:val="clear" w:pos="3901"/>
              </w:tabs>
              <w:spacing w:before="100" w:after="100"/>
              <w:ind w:left="0"/>
              <w:rPr>
                <w:rFonts w:cstheme="minorHAnsi"/>
                <w:szCs w:val="20"/>
              </w:rPr>
            </w:pPr>
          </w:p>
        </w:tc>
        <w:tc>
          <w:tcPr>
            <w:tcW w:w="2410" w:type="dxa"/>
            <w:vMerge/>
          </w:tcPr>
          <w:p w14:paraId="2C91A99C" w14:textId="77777777" w:rsidR="003B7CD7" w:rsidRDefault="003B7CD7"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945" w:type="dxa"/>
          </w:tcPr>
          <w:p w14:paraId="6B24A042" w14:textId="45506C99" w:rsidR="003B7CD7" w:rsidRPr="00585A3E"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cstheme="minorHAnsi"/>
                <w:szCs w:val="20"/>
              </w:rPr>
              <w:t>Fail</w:t>
            </w:r>
          </w:p>
        </w:tc>
        <w:tc>
          <w:tcPr>
            <w:tcW w:w="3879" w:type="dxa"/>
          </w:tcPr>
          <w:p w14:paraId="7724F4F7" w14:textId="39630FA3" w:rsidR="003B7CD7" w:rsidRPr="00585A3E"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585A3E">
              <w:rPr>
                <w:rFonts w:eastAsia="Arial" w:cstheme="minorHAnsi"/>
                <w:szCs w:val="20"/>
              </w:rPr>
              <w:t>The Applicant (or if applicable, Lead Applicant) answers Yes.</w:t>
            </w:r>
          </w:p>
        </w:tc>
      </w:tr>
      <w:tr w:rsidR="007F1680" w14:paraId="4EC5082C" w14:textId="77777777" w:rsidTr="000B1E98">
        <w:tc>
          <w:tcPr>
            <w:cnfStyle w:val="001000000000" w:firstRow="0" w:lastRow="0" w:firstColumn="1" w:lastColumn="0" w:oddVBand="0" w:evenVBand="0" w:oddHBand="0" w:evenHBand="0" w:firstRowFirstColumn="0" w:firstRowLastColumn="0" w:lastRowFirstColumn="0" w:lastRowLastColumn="0"/>
            <w:tcW w:w="1773" w:type="dxa"/>
          </w:tcPr>
          <w:p w14:paraId="1B9DC554" w14:textId="54886A1E" w:rsidR="003B7CD7" w:rsidRPr="00F7241E" w:rsidRDefault="00F26284" w:rsidP="003B7CD7">
            <w:pPr>
              <w:pStyle w:val="B12Ashurst"/>
              <w:tabs>
                <w:tab w:val="clear" w:pos="1406"/>
                <w:tab w:val="clear" w:pos="2030"/>
                <w:tab w:val="clear" w:pos="2654"/>
                <w:tab w:val="clear" w:pos="3277"/>
                <w:tab w:val="clear" w:pos="3901"/>
              </w:tabs>
              <w:spacing w:before="100" w:after="100"/>
              <w:ind w:left="0"/>
              <w:rPr>
                <w:rFonts w:cstheme="minorHAnsi"/>
                <w:szCs w:val="20"/>
              </w:rPr>
            </w:pPr>
            <w:r>
              <w:rPr>
                <w:rFonts w:cstheme="minorHAnsi"/>
                <w:szCs w:val="20"/>
              </w:rPr>
              <w:t>Part 3</w:t>
            </w:r>
            <w:r w:rsidR="00DC307A">
              <w:rPr>
                <w:rFonts w:cstheme="minorHAnsi"/>
                <w:szCs w:val="20"/>
              </w:rPr>
              <w:t>A</w:t>
            </w:r>
          </w:p>
          <w:p w14:paraId="1C8B7C00" w14:textId="77777777" w:rsidR="003B7CD7" w:rsidRDefault="003B7CD7" w:rsidP="002C4D5C">
            <w:pPr>
              <w:pStyle w:val="B12Ashurst"/>
              <w:tabs>
                <w:tab w:val="clear" w:pos="1406"/>
                <w:tab w:val="clear" w:pos="2030"/>
                <w:tab w:val="clear" w:pos="2654"/>
                <w:tab w:val="clear" w:pos="3277"/>
                <w:tab w:val="clear" w:pos="3901"/>
              </w:tabs>
              <w:spacing w:before="100" w:after="100"/>
              <w:ind w:left="0"/>
              <w:rPr>
                <w:rFonts w:cstheme="minorHAnsi"/>
                <w:szCs w:val="20"/>
              </w:rPr>
            </w:pPr>
          </w:p>
        </w:tc>
        <w:tc>
          <w:tcPr>
            <w:tcW w:w="2410" w:type="dxa"/>
          </w:tcPr>
          <w:p w14:paraId="2E20BF2D" w14:textId="2009F7BC" w:rsidR="003B7CD7" w:rsidRDefault="00F26284"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1</w:t>
            </w:r>
            <w:r w:rsidR="00446160">
              <w:rPr>
                <w:rFonts w:cstheme="minorHAnsi"/>
                <w:szCs w:val="20"/>
              </w:rPr>
              <w:t>2</w:t>
            </w:r>
            <w:r>
              <w:rPr>
                <w:rFonts w:cstheme="minorHAnsi"/>
                <w:szCs w:val="20"/>
              </w:rPr>
              <w:t>-</w:t>
            </w:r>
            <w:r w:rsidR="00446160">
              <w:rPr>
                <w:rFonts w:cstheme="minorHAnsi"/>
                <w:szCs w:val="20"/>
              </w:rPr>
              <w:t>2</w:t>
            </w:r>
            <w:r w:rsidR="00744D06">
              <w:rPr>
                <w:rFonts w:cstheme="minorHAnsi"/>
                <w:szCs w:val="20"/>
              </w:rPr>
              <w:t>2</w:t>
            </w:r>
          </w:p>
        </w:tc>
        <w:tc>
          <w:tcPr>
            <w:tcW w:w="945" w:type="dxa"/>
          </w:tcPr>
          <w:p w14:paraId="3952FD83" w14:textId="77777777" w:rsidR="003B7CD7" w:rsidRPr="00585A3E" w:rsidRDefault="003B7CD7"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9" w:type="dxa"/>
          </w:tcPr>
          <w:p w14:paraId="3FD44E1A" w14:textId="40F481ED" w:rsidR="00B36158" w:rsidRPr="00016EA2" w:rsidRDefault="00F26284"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0"/>
              </w:rPr>
            </w:pPr>
            <w:r w:rsidRPr="00585A3E">
              <w:rPr>
                <w:rFonts w:cstheme="minorHAnsi"/>
                <w:color w:val="000000" w:themeColor="text1"/>
                <w:szCs w:val="20"/>
              </w:rPr>
              <w:t>Please see</w:t>
            </w:r>
            <w:r>
              <w:rPr>
                <w:rFonts w:cstheme="minorHAnsi"/>
                <w:color w:val="000000" w:themeColor="text1"/>
                <w:szCs w:val="20"/>
              </w:rPr>
              <w:t xml:space="preserve"> </w:t>
            </w:r>
            <w:r w:rsidR="001F2F85">
              <w:rPr>
                <w:i/>
                <w:iCs/>
              </w:rPr>
              <w:t>Section [</w:t>
            </w:r>
            <w:r w:rsidR="009A1930">
              <w:rPr>
                <w:i/>
                <w:iCs/>
              </w:rPr>
              <w:t>D</w:t>
            </w:r>
            <w:r w:rsidR="001F2F85">
              <w:rPr>
                <w:i/>
                <w:iCs/>
              </w:rPr>
              <w:t>] – Economic and Financial Standing Detailed Evaluation Methodology for Part 3</w:t>
            </w:r>
            <w:r w:rsidR="00651CF2">
              <w:rPr>
                <w:i/>
                <w:iCs/>
              </w:rPr>
              <w:t>A</w:t>
            </w:r>
            <w:r w:rsidR="00744D06">
              <w:rPr>
                <w:i/>
                <w:iCs/>
              </w:rPr>
              <w:t xml:space="preserve"> (Questions 12-2</w:t>
            </w:r>
            <w:r w:rsidR="00B77AA1">
              <w:rPr>
                <w:i/>
                <w:iCs/>
              </w:rPr>
              <w:t>2</w:t>
            </w:r>
            <w:r w:rsidR="00744D06">
              <w:rPr>
                <w:i/>
                <w:iCs/>
              </w:rPr>
              <w:t>)</w:t>
            </w:r>
            <w:r w:rsidR="00865620">
              <w:rPr>
                <w:i/>
                <w:iCs/>
              </w:rPr>
              <w:t xml:space="preserve"> </w:t>
            </w:r>
          </w:p>
        </w:tc>
      </w:tr>
      <w:tr w:rsidR="000B1E98" w14:paraId="4E4D8630" w14:textId="77777777" w:rsidTr="000B1E98">
        <w:tc>
          <w:tcPr>
            <w:cnfStyle w:val="001000000000" w:firstRow="0" w:lastRow="0" w:firstColumn="1" w:lastColumn="0" w:oddVBand="0" w:evenVBand="0" w:oddHBand="0" w:evenHBand="0" w:firstRowFirstColumn="0" w:firstRowLastColumn="0" w:lastRowFirstColumn="0" w:lastRowLastColumn="0"/>
            <w:tcW w:w="1773" w:type="dxa"/>
          </w:tcPr>
          <w:p w14:paraId="0AC67AAC" w14:textId="306D6A11" w:rsidR="000B1E98" w:rsidRDefault="000B1E98" w:rsidP="003B7CD7">
            <w:pPr>
              <w:pStyle w:val="B12Ashurst"/>
              <w:tabs>
                <w:tab w:val="clear" w:pos="1406"/>
                <w:tab w:val="clear" w:pos="2030"/>
                <w:tab w:val="clear" w:pos="2654"/>
                <w:tab w:val="clear" w:pos="3277"/>
                <w:tab w:val="clear" w:pos="3901"/>
              </w:tabs>
              <w:spacing w:before="100" w:after="100"/>
              <w:ind w:left="0"/>
              <w:rPr>
                <w:rFonts w:cstheme="minorHAnsi"/>
                <w:szCs w:val="20"/>
              </w:rPr>
            </w:pPr>
            <w:r>
              <w:rPr>
                <w:rFonts w:cstheme="minorHAnsi"/>
                <w:szCs w:val="20"/>
              </w:rPr>
              <w:t>Part 3</w:t>
            </w:r>
            <w:r w:rsidR="00DC307A">
              <w:rPr>
                <w:rFonts w:cstheme="minorHAnsi"/>
                <w:szCs w:val="20"/>
              </w:rPr>
              <w:t>A</w:t>
            </w:r>
          </w:p>
        </w:tc>
        <w:tc>
          <w:tcPr>
            <w:tcW w:w="2410" w:type="dxa"/>
          </w:tcPr>
          <w:p w14:paraId="7B5CCB82" w14:textId="6EF72C81" w:rsidR="000B1E98" w:rsidRDefault="000B1E98"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23-2</w:t>
            </w:r>
            <w:r w:rsidR="005D235A">
              <w:rPr>
                <w:rFonts w:cstheme="minorHAnsi"/>
                <w:szCs w:val="20"/>
              </w:rPr>
              <w:t>8</w:t>
            </w:r>
          </w:p>
        </w:tc>
        <w:tc>
          <w:tcPr>
            <w:tcW w:w="945" w:type="dxa"/>
          </w:tcPr>
          <w:p w14:paraId="31F82ED1" w14:textId="77777777" w:rsidR="000B1E98" w:rsidRPr="00585A3E" w:rsidRDefault="000B1E98" w:rsidP="002C4D5C">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3879" w:type="dxa"/>
          </w:tcPr>
          <w:p w14:paraId="1928D3AE" w14:textId="7394B0AF" w:rsidR="000B1E98" w:rsidRPr="00585A3E" w:rsidRDefault="000B1E98" w:rsidP="003B7CD7">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0"/>
              </w:rPr>
            </w:pPr>
            <w:r>
              <w:rPr>
                <w:rFonts w:cstheme="minorHAnsi"/>
                <w:color w:val="000000" w:themeColor="text1"/>
                <w:szCs w:val="20"/>
              </w:rPr>
              <w:t>Please see Section [E] -</w:t>
            </w:r>
            <w:r>
              <w:t xml:space="preserve"> </w:t>
            </w:r>
            <w:r w:rsidRPr="000B1E98">
              <w:rPr>
                <w:rFonts w:cstheme="minorHAnsi"/>
                <w:color w:val="000000" w:themeColor="text1"/>
                <w:szCs w:val="20"/>
              </w:rPr>
              <w:t>Detailed Evaluation Methodology for Part 3</w:t>
            </w:r>
            <w:proofErr w:type="gramStart"/>
            <w:r w:rsidR="005D235A">
              <w:rPr>
                <w:rFonts w:cstheme="minorHAnsi"/>
                <w:color w:val="000000" w:themeColor="text1"/>
                <w:szCs w:val="20"/>
              </w:rPr>
              <w:t>A</w:t>
            </w:r>
            <w:r w:rsidRPr="000B1E98">
              <w:rPr>
                <w:rFonts w:cstheme="minorHAnsi"/>
                <w:color w:val="000000" w:themeColor="text1"/>
                <w:szCs w:val="20"/>
              </w:rPr>
              <w:t>(</w:t>
            </w:r>
            <w:proofErr w:type="gramEnd"/>
            <w:r w:rsidRPr="000B1E98">
              <w:rPr>
                <w:rFonts w:cstheme="minorHAnsi"/>
                <w:color w:val="000000" w:themeColor="text1"/>
                <w:szCs w:val="20"/>
              </w:rPr>
              <w:t>Questions 23</w:t>
            </w:r>
            <w:r>
              <w:rPr>
                <w:rFonts w:cstheme="minorHAnsi"/>
                <w:color w:val="000000" w:themeColor="text1"/>
                <w:szCs w:val="20"/>
              </w:rPr>
              <w:t>-2</w:t>
            </w:r>
            <w:r w:rsidR="005D235A">
              <w:rPr>
                <w:rFonts w:cstheme="minorHAnsi"/>
                <w:color w:val="000000" w:themeColor="text1"/>
                <w:szCs w:val="20"/>
              </w:rPr>
              <w:t>8</w:t>
            </w:r>
            <w:r w:rsidRPr="000B1E98">
              <w:rPr>
                <w:rFonts w:cstheme="minorHAnsi"/>
                <w:color w:val="000000" w:themeColor="text1"/>
                <w:szCs w:val="20"/>
              </w:rPr>
              <w:t>)</w:t>
            </w:r>
          </w:p>
        </w:tc>
      </w:tr>
      <w:tr w:rsidR="00D77EDC" w14:paraId="5DB93755" w14:textId="77777777" w:rsidTr="00C03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773" w:type="dxa"/>
          </w:tcPr>
          <w:p w14:paraId="099E4375" w14:textId="4BDBBF29" w:rsidR="00D77EDC" w:rsidRDefault="00D77EDC" w:rsidP="00C037D5">
            <w:pPr>
              <w:pStyle w:val="B12Ashurst"/>
              <w:tabs>
                <w:tab w:val="clear" w:pos="1406"/>
                <w:tab w:val="clear" w:pos="2030"/>
                <w:tab w:val="clear" w:pos="2654"/>
                <w:tab w:val="clear" w:pos="3277"/>
                <w:tab w:val="clear" w:pos="3901"/>
              </w:tabs>
              <w:spacing w:before="100" w:after="100"/>
              <w:ind w:left="0"/>
              <w:rPr>
                <w:rFonts w:cstheme="minorHAnsi"/>
                <w:szCs w:val="20"/>
              </w:rPr>
            </w:pPr>
            <w:r>
              <w:rPr>
                <w:rFonts w:cstheme="minorHAnsi"/>
                <w:szCs w:val="20"/>
              </w:rPr>
              <w:t xml:space="preserve">Part </w:t>
            </w:r>
            <w:r w:rsidR="00DC307A">
              <w:rPr>
                <w:rFonts w:cstheme="minorHAnsi"/>
                <w:szCs w:val="20"/>
              </w:rPr>
              <w:t>3B</w:t>
            </w:r>
          </w:p>
        </w:tc>
        <w:tc>
          <w:tcPr>
            <w:tcW w:w="2410" w:type="dxa"/>
          </w:tcPr>
          <w:p w14:paraId="178E88F1" w14:textId="77777777" w:rsidR="00D77EDC" w:rsidRPr="00D77EDC" w:rsidRDefault="00D77EDC" w:rsidP="00C037D5">
            <w:pPr>
              <w:pStyle w:val="B12Ashurst"/>
              <w:tabs>
                <w:tab w:val="clear" w:pos="1406"/>
                <w:tab w:val="clear" w:pos="2030"/>
                <w:tab w:val="clear" w:pos="2654"/>
                <w:tab w:val="clear" w:pos="3277"/>
                <w:tab w:val="clear" w:pos="3901"/>
              </w:tabs>
              <w:spacing w:before="100" w:after="100"/>
              <w:ind w:left="0"/>
              <w:cnfStyle w:val="000000000000" w:firstRow="0" w:lastRow="0" w:firstColumn="0" w:lastColumn="0" w:oddVBand="0" w:evenVBand="0" w:oddHBand="0" w:evenHBand="0" w:firstRowFirstColumn="0" w:firstRowLastColumn="0" w:lastRowFirstColumn="0" w:lastRowLastColumn="0"/>
              <w:rPr>
                <w:rFonts w:cstheme="minorHAnsi"/>
                <w:szCs w:val="20"/>
              </w:rPr>
            </w:pPr>
            <w:r w:rsidRPr="00D77EDC">
              <w:rPr>
                <w:rFonts w:cstheme="minorHAnsi"/>
                <w:szCs w:val="20"/>
              </w:rPr>
              <w:t>R</w:t>
            </w:r>
            <w:r w:rsidRPr="00D77EDC">
              <w:rPr>
                <w:rFonts w:asciiTheme="minorBidi" w:eastAsia="Helvetica Neue Light" w:hAnsiTheme="minorBidi"/>
                <w:color w:val="000000"/>
                <w:szCs w:val="20"/>
                <w:lang w:eastAsia="en-GB"/>
              </w:rPr>
              <w:t>equirements for central government departments, their executive agencies and non-departmental public bodies</w:t>
            </w:r>
          </w:p>
        </w:tc>
        <w:tc>
          <w:tcPr>
            <w:tcW w:w="4824" w:type="dxa"/>
            <w:gridSpan w:val="2"/>
          </w:tcPr>
          <w:p w14:paraId="6EB2D599" w14:textId="67000F0C" w:rsidR="00D77EDC" w:rsidRPr="00585A3E" w:rsidRDefault="005D235A" w:rsidP="00C037D5">
            <w:pPr>
              <w:tabs>
                <w:tab w:val="left" w:pos="720"/>
              </w:tabs>
              <w:spacing w:before="100" w:after="100"/>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szCs w:val="20"/>
              </w:rPr>
            </w:pPr>
            <w:r>
              <w:rPr>
                <w:rFonts w:eastAsia="Arial" w:cstheme="minorHAnsi"/>
                <w:color w:val="000000" w:themeColor="text1"/>
                <w:szCs w:val="20"/>
              </w:rPr>
              <w:t>Please see section F</w:t>
            </w:r>
          </w:p>
        </w:tc>
      </w:tr>
    </w:tbl>
    <w:p w14:paraId="71CCF230" w14:textId="69F9BB3A" w:rsidR="0051373E" w:rsidRPr="00E74825" w:rsidRDefault="0051373E" w:rsidP="00E545F8">
      <w:pPr>
        <w:rPr>
          <w:rFonts w:cstheme="minorHAnsi"/>
          <w:b/>
          <w:sz w:val="24"/>
        </w:rPr>
      </w:pPr>
      <w:bookmarkStart w:id="45" w:name="_Toc140605759"/>
      <w:bookmarkStart w:id="46" w:name="_Toc140605760"/>
      <w:r w:rsidRPr="00E74825">
        <w:rPr>
          <w:rFonts w:cstheme="minorHAnsi"/>
          <w:b/>
          <w:sz w:val="24"/>
        </w:rPr>
        <w:t xml:space="preserve">D. Economic and Financial Standing Detailed Evaluation Methodology for </w:t>
      </w:r>
      <w:bookmarkEnd w:id="45"/>
      <w:r w:rsidRPr="00E74825">
        <w:rPr>
          <w:rFonts w:cstheme="minorHAnsi"/>
          <w:b/>
          <w:sz w:val="24"/>
        </w:rPr>
        <w:t>Part</w:t>
      </w:r>
      <w:r w:rsidR="00A60467" w:rsidRPr="00E74825">
        <w:rPr>
          <w:rFonts w:cstheme="minorHAnsi"/>
          <w:b/>
          <w:sz w:val="24"/>
        </w:rPr>
        <w:t xml:space="preserve"> </w:t>
      </w:r>
      <w:r w:rsidR="00090658" w:rsidRPr="00E74825">
        <w:rPr>
          <w:rFonts w:cstheme="minorHAnsi"/>
          <w:b/>
          <w:sz w:val="24"/>
        </w:rPr>
        <w:t>3</w:t>
      </w:r>
      <w:r w:rsidR="00B77AA1">
        <w:rPr>
          <w:rFonts w:cstheme="minorHAnsi"/>
          <w:b/>
          <w:sz w:val="24"/>
        </w:rPr>
        <w:t>A</w:t>
      </w:r>
      <w:r w:rsidRPr="00E74825">
        <w:rPr>
          <w:rFonts w:cstheme="minorHAnsi"/>
          <w:b/>
          <w:sz w:val="24"/>
        </w:rPr>
        <w:t xml:space="preserve"> (Questions </w:t>
      </w:r>
      <w:r w:rsidR="00090658" w:rsidRPr="00E74825">
        <w:rPr>
          <w:rFonts w:cstheme="minorHAnsi"/>
          <w:b/>
          <w:sz w:val="24"/>
        </w:rPr>
        <w:t>1</w:t>
      </w:r>
      <w:r w:rsidR="00A60467" w:rsidRPr="00E74825">
        <w:rPr>
          <w:rFonts w:cstheme="minorHAnsi"/>
          <w:b/>
          <w:sz w:val="24"/>
        </w:rPr>
        <w:t>2</w:t>
      </w:r>
      <w:r w:rsidR="00720B63">
        <w:rPr>
          <w:rFonts w:cstheme="minorHAnsi"/>
          <w:b/>
          <w:sz w:val="24"/>
        </w:rPr>
        <w:t>-</w:t>
      </w:r>
      <w:r w:rsidR="00A60467" w:rsidRPr="00E74825">
        <w:rPr>
          <w:rFonts w:cstheme="minorHAnsi"/>
          <w:b/>
          <w:sz w:val="24"/>
        </w:rPr>
        <w:t>22</w:t>
      </w:r>
      <w:r w:rsidRPr="00E74825">
        <w:rPr>
          <w:rFonts w:cstheme="minorHAnsi"/>
          <w:b/>
          <w:sz w:val="24"/>
        </w:rPr>
        <w:t>)</w:t>
      </w:r>
    </w:p>
    <w:p w14:paraId="5E741A11" w14:textId="77777777" w:rsidR="0051373E" w:rsidRPr="007B071F" w:rsidRDefault="0051373E" w:rsidP="00F17F6E">
      <w:pPr>
        <w:pStyle w:val="Heading1"/>
        <w:keepNext/>
        <w:rPr>
          <w:rFonts w:cstheme="minorHAnsi"/>
          <w:b/>
          <w:sz w:val="20"/>
          <w:szCs w:val="20"/>
        </w:rPr>
      </w:pPr>
      <w:bookmarkStart w:id="47" w:name="_Toc190707090"/>
      <w:bookmarkStart w:id="48" w:name="_Toc190707140"/>
      <w:r w:rsidRPr="007B071F">
        <w:rPr>
          <w:rFonts w:cstheme="minorHAnsi"/>
          <w:b/>
          <w:sz w:val="20"/>
          <w:szCs w:val="20"/>
        </w:rPr>
        <w:t>Economic and Financial Standing evaluation approach</w:t>
      </w:r>
      <w:bookmarkEnd w:id="47"/>
      <w:bookmarkEnd w:id="48"/>
    </w:p>
    <w:p w14:paraId="2718D71E" w14:textId="0764F3FF" w:rsidR="0051373E" w:rsidRPr="00052786" w:rsidRDefault="0051373E" w:rsidP="0051373E">
      <w:pPr>
        <w:pStyle w:val="Heading2"/>
        <w:rPr>
          <w:rFonts w:eastAsia="Calibri"/>
          <w:b w:val="0"/>
          <w:bCs w:val="0"/>
          <w:sz w:val="20"/>
          <w:szCs w:val="20"/>
        </w:rPr>
      </w:pPr>
      <w:r w:rsidRPr="3D83606E">
        <w:rPr>
          <w:b w:val="0"/>
          <w:bCs w:val="0"/>
          <w:sz w:val="20"/>
          <w:szCs w:val="20"/>
        </w:rPr>
        <w:t xml:space="preserve">Economic and Financial Standing will be assessed on a Pass/Fail basis. </w:t>
      </w:r>
      <w:r w:rsidR="0053020C" w:rsidRPr="3D83606E">
        <w:rPr>
          <w:b w:val="0"/>
          <w:bCs w:val="0"/>
          <w:sz w:val="20"/>
          <w:szCs w:val="20"/>
        </w:rPr>
        <w:t>GBE-N</w:t>
      </w:r>
      <w:r w:rsidRPr="3D83606E">
        <w:rPr>
          <w:b w:val="0"/>
          <w:bCs w:val="0"/>
          <w:sz w:val="20"/>
          <w:szCs w:val="20"/>
        </w:rPr>
        <w:t xml:space="preserve"> </w:t>
      </w:r>
      <w:r w:rsidRPr="3D83606E">
        <w:rPr>
          <w:rFonts w:eastAsia="Calibri"/>
          <w:b w:val="0"/>
          <w:bCs w:val="0"/>
          <w:sz w:val="20"/>
          <w:szCs w:val="20"/>
        </w:rPr>
        <w:t>will first assess the risk level of Applicants for each economic and financial standing (EFS) criterion in Part</w:t>
      </w:r>
      <w:r w:rsidR="004B06B6" w:rsidRPr="3D83606E">
        <w:rPr>
          <w:rFonts w:eastAsia="Calibri"/>
          <w:b w:val="0"/>
          <w:bCs w:val="0"/>
          <w:sz w:val="20"/>
          <w:szCs w:val="20"/>
        </w:rPr>
        <w:t xml:space="preserve"> </w:t>
      </w:r>
      <w:r w:rsidR="00A31CB7" w:rsidRPr="3D83606E">
        <w:rPr>
          <w:rFonts w:eastAsia="Calibri"/>
          <w:b w:val="0"/>
          <w:bCs w:val="0"/>
          <w:sz w:val="20"/>
          <w:szCs w:val="20"/>
        </w:rPr>
        <w:t>3A</w:t>
      </w:r>
      <w:r w:rsidRPr="3D83606E">
        <w:rPr>
          <w:rFonts w:eastAsia="Calibri"/>
          <w:b w:val="0"/>
          <w:bCs w:val="0"/>
          <w:sz w:val="20"/>
          <w:szCs w:val="20"/>
        </w:rPr>
        <w:t xml:space="preserve"> (Questions </w:t>
      </w:r>
      <w:r w:rsidR="00A31CB7" w:rsidRPr="3D83606E">
        <w:rPr>
          <w:rFonts w:eastAsia="Calibri"/>
          <w:b w:val="0"/>
          <w:bCs w:val="0"/>
          <w:sz w:val="20"/>
          <w:szCs w:val="20"/>
        </w:rPr>
        <w:t>12-22</w:t>
      </w:r>
      <w:r w:rsidR="576A63D2" w:rsidRPr="3D83606E">
        <w:rPr>
          <w:rFonts w:eastAsia="Calibri"/>
          <w:b w:val="0"/>
          <w:bCs w:val="0"/>
          <w:sz w:val="20"/>
          <w:szCs w:val="20"/>
        </w:rPr>
        <w:t>)</w:t>
      </w:r>
      <w:r w:rsidRPr="3D83606E">
        <w:rPr>
          <w:rFonts w:eastAsia="Calibri"/>
          <w:b w:val="0"/>
          <w:bCs w:val="0"/>
          <w:sz w:val="20"/>
          <w:szCs w:val="20"/>
        </w:rPr>
        <w:t xml:space="preserve"> of the PSQ. </w:t>
      </w:r>
    </w:p>
    <w:p w14:paraId="7F0164AC" w14:textId="1FD9FB6E" w:rsidR="0051373E" w:rsidRPr="00052786" w:rsidRDefault="0051373E" w:rsidP="0051373E">
      <w:pPr>
        <w:pStyle w:val="Heading2"/>
        <w:rPr>
          <w:rFonts w:eastAsia="Calibri"/>
          <w:b w:val="0"/>
          <w:bCs w:val="0"/>
          <w:sz w:val="20"/>
          <w:szCs w:val="20"/>
        </w:rPr>
      </w:pPr>
      <w:r w:rsidRPr="3D83606E">
        <w:rPr>
          <w:b w:val="0"/>
          <w:bCs w:val="0"/>
          <w:sz w:val="20"/>
          <w:szCs w:val="20"/>
        </w:rPr>
        <w:t xml:space="preserve">In relation to each EFS criterion, </w:t>
      </w:r>
      <w:r w:rsidR="0053020C" w:rsidRPr="3D83606E">
        <w:rPr>
          <w:b w:val="0"/>
          <w:bCs w:val="0"/>
          <w:sz w:val="20"/>
          <w:szCs w:val="20"/>
        </w:rPr>
        <w:t>GBE-N</w:t>
      </w:r>
      <w:r w:rsidRPr="3D83606E">
        <w:rPr>
          <w:b w:val="0"/>
          <w:bCs w:val="0"/>
          <w:sz w:val="20"/>
          <w:szCs w:val="20"/>
        </w:rPr>
        <w:t xml:space="preserve"> has </w:t>
      </w:r>
      <w:r w:rsidRPr="3D83606E">
        <w:rPr>
          <w:rFonts w:eastAsia="Calibri"/>
          <w:b w:val="0"/>
          <w:bCs w:val="0"/>
          <w:sz w:val="20"/>
          <w:szCs w:val="20"/>
        </w:rPr>
        <w:t xml:space="preserve">identified examples of “high risk” indicators. If any </w:t>
      </w:r>
      <w:proofErr w:type="gramStart"/>
      <w:r w:rsidRPr="3D83606E">
        <w:rPr>
          <w:rFonts w:eastAsia="Calibri"/>
          <w:b w:val="0"/>
          <w:bCs w:val="0"/>
          <w:sz w:val="20"/>
          <w:szCs w:val="20"/>
        </w:rPr>
        <w:t>high risk</w:t>
      </w:r>
      <w:proofErr w:type="gramEnd"/>
      <w:r w:rsidRPr="3D83606E">
        <w:rPr>
          <w:rFonts w:eastAsia="Calibri"/>
          <w:b w:val="0"/>
          <w:bCs w:val="0"/>
          <w:sz w:val="20"/>
          <w:szCs w:val="20"/>
        </w:rPr>
        <w:t xml:space="preserve"> indicators have been identified, a list of potential mitigating information that an Applicant may choose to submit as additional assurance and evidence of mitigations to risk factors are indicated in table 2. If the Applicant has not provided an acceptable rationale or adequate risk mitigation evidence in relation to those indicators, the Applicant may Fail the EFS assessment and be disqualified from the competition. Where any </w:t>
      </w:r>
      <w:proofErr w:type="gramStart"/>
      <w:r w:rsidRPr="3D83606E">
        <w:rPr>
          <w:rFonts w:eastAsia="Calibri"/>
          <w:b w:val="0"/>
          <w:bCs w:val="0"/>
          <w:sz w:val="20"/>
          <w:szCs w:val="20"/>
        </w:rPr>
        <w:t>high risk</w:t>
      </w:r>
      <w:proofErr w:type="gramEnd"/>
      <w:r w:rsidRPr="3D83606E">
        <w:rPr>
          <w:rFonts w:eastAsia="Calibri"/>
          <w:b w:val="0"/>
          <w:bCs w:val="0"/>
          <w:sz w:val="20"/>
          <w:szCs w:val="20"/>
        </w:rPr>
        <w:t xml:space="preserve"> indicators have been identified, Applicants maybe given an opportunity, at </w:t>
      </w:r>
      <w:r w:rsidR="0053020C" w:rsidRPr="3D83606E">
        <w:rPr>
          <w:rFonts w:eastAsia="Calibri"/>
          <w:b w:val="0"/>
          <w:bCs w:val="0"/>
          <w:sz w:val="20"/>
          <w:szCs w:val="20"/>
        </w:rPr>
        <w:t>GBE-N</w:t>
      </w:r>
      <w:r w:rsidRPr="3D83606E">
        <w:rPr>
          <w:rFonts w:eastAsia="Calibri"/>
          <w:b w:val="0"/>
          <w:bCs w:val="0"/>
          <w:sz w:val="20"/>
          <w:szCs w:val="20"/>
        </w:rPr>
        <w:t>’s complete discretion, to provide further clarifications and explanations before any decision is taken to disqualify the Applicant from the competition.</w:t>
      </w:r>
    </w:p>
    <w:p w14:paraId="73802553" w14:textId="77777777" w:rsidR="0051373E" w:rsidRPr="00585A3E" w:rsidRDefault="0051373E" w:rsidP="00F17F6E">
      <w:pPr>
        <w:pStyle w:val="Heading1"/>
        <w:keepNext/>
        <w:rPr>
          <w:rFonts w:cstheme="minorHAnsi"/>
          <w:b/>
          <w:sz w:val="20"/>
          <w:szCs w:val="20"/>
        </w:rPr>
      </w:pPr>
      <w:bookmarkStart w:id="49" w:name="_Toc190707091"/>
      <w:bookmarkStart w:id="50" w:name="_Toc190707141"/>
      <w:r w:rsidRPr="00585A3E">
        <w:rPr>
          <w:rFonts w:cstheme="minorHAnsi"/>
          <w:b/>
          <w:sz w:val="20"/>
          <w:szCs w:val="20"/>
        </w:rPr>
        <w:t>Instructions on how to respond to the EFS questions</w:t>
      </w:r>
      <w:bookmarkEnd w:id="49"/>
      <w:bookmarkEnd w:id="50"/>
    </w:p>
    <w:p w14:paraId="1624D153" w14:textId="77777777" w:rsidR="0051373E" w:rsidRPr="00585A3E" w:rsidRDefault="0051373E" w:rsidP="0051373E">
      <w:pPr>
        <w:pStyle w:val="Heading2"/>
        <w:rPr>
          <w:rFonts w:cstheme="minorHAnsi"/>
          <w:b w:val="0"/>
          <w:sz w:val="20"/>
          <w:szCs w:val="20"/>
        </w:rPr>
      </w:pPr>
      <w:r w:rsidRPr="00585A3E">
        <w:rPr>
          <w:rFonts w:cstheme="minorHAnsi"/>
          <w:b w:val="0"/>
          <w:sz w:val="20"/>
          <w:szCs w:val="20"/>
        </w:rPr>
        <w:t>Applicants are required to provide both historical and current performance and financial data to support the EFS assessment.</w:t>
      </w:r>
    </w:p>
    <w:p w14:paraId="1D7F0D7C" w14:textId="0D28BA96" w:rsidR="0051373E" w:rsidRPr="00F56C2A" w:rsidRDefault="0051373E" w:rsidP="0051373E">
      <w:pPr>
        <w:pStyle w:val="Heading2"/>
        <w:rPr>
          <w:b w:val="0"/>
          <w:bCs w:val="0"/>
          <w:sz w:val="20"/>
          <w:szCs w:val="20"/>
        </w:rPr>
      </w:pPr>
      <w:r w:rsidRPr="00F56C2A">
        <w:rPr>
          <w:b w:val="0"/>
          <w:sz w:val="20"/>
          <w:szCs w:val="20"/>
        </w:rPr>
        <w:t xml:space="preserve">Applicants are asked to complete the Cabinet Office’s Financial Viability Risk Assessment </w:t>
      </w:r>
      <w:r w:rsidRPr="00F56C2A">
        <w:rPr>
          <w:b w:val="0"/>
          <w:bCs w:val="0"/>
          <w:sz w:val="20"/>
          <w:szCs w:val="20"/>
        </w:rPr>
        <w:t xml:space="preserve">(FVRA) </w:t>
      </w:r>
      <w:r w:rsidRPr="00F56C2A">
        <w:rPr>
          <w:b w:val="0"/>
          <w:sz w:val="20"/>
          <w:szCs w:val="20"/>
        </w:rPr>
        <w:t>Template</w:t>
      </w:r>
      <w:r w:rsidRPr="00F56C2A">
        <w:rPr>
          <w:b w:val="0"/>
          <w:bCs w:val="0"/>
          <w:sz w:val="20"/>
          <w:szCs w:val="20"/>
        </w:rPr>
        <w:t xml:space="preserve">. </w:t>
      </w:r>
    </w:p>
    <w:p w14:paraId="2E350798" w14:textId="77777777" w:rsidR="0051373E" w:rsidRPr="00F56C2A" w:rsidRDefault="0051373E" w:rsidP="0051373E">
      <w:pPr>
        <w:pStyle w:val="Heading2"/>
        <w:rPr>
          <w:b w:val="0"/>
          <w:bCs w:val="0"/>
          <w:sz w:val="20"/>
          <w:szCs w:val="20"/>
        </w:rPr>
      </w:pPr>
      <w:r w:rsidRPr="00F56C2A">
        <w:rPr>
          <w:b w:val="0"/>
          <w:sz w:val="20"/>
          <w:szCs w:val="20"/>
        </w:rPr>
        <w:t xml:space="preserve">The </w:t>
      </w:r>
      <w:r w:rsidRPr="00F56C2A">
        <w:rPr>
          <w:b w:val="0"/>
          <w:bCs w:val="0"/>
          <w:sz w:val="20"/>
          <w:szCs w:val="20"/>
        </w:rPr>
        <w:t xml:space="preserve">FVRA Template allows for amounts to be entered in £000s within the Template. If the Applicant’s reporting currency is not GBP, values must be entered in the reporting currency. The Applicant must then input what currency has been used and input the exchange rate with GBP as the quote currency. The exchange rates used must align to the following principles: </w:t>
      </w:r>
    </w:p>
    <w:p w14:paraId="437118E0" w14:textId="77777777" w:rsidR="0051373E" w:rsidRPr="00F17F6E" w:rsidRDefault="0051373E" w:rsidP="000B51B2">
      <w:pPr>
        <w:numPr>
          <w:ilvl w:val="4"/>
          <w:numId w:val="50"/>
        </w:numPr>
        <w:spacing w:line="259" w:lineRule="auto"/>
        <w:rPr>
          <w:rFonts w:cstheme="minorHAnsi"/>
          <w:szCs w:val="20"/>
        </w:rPr>
      </w:pPr>
      <w:bookmarkStart w:id="51" w:name="_Hlk141085331"/>
      <w:r w:rsidRPr="00F17F6E">
        <w:rPr>
          <w:rFonts w:cstheme="minorHAnsi"/>
          <w:szCs w:val="20"/>
        </w:rPr>
        <w:t xml:space="preserve">For Profit &amp; Loss and Cashflow items exchange rate must be based on average over the applicable reporting period. </w:t>
      </w:r>
    </w:p>
    <w:p w14:paraId="64D42E3A" w14:textId="77777777" w:rsidR="0051373E" w:rsidRPr="00F17F6E" w:rsidRDefault="0051373E" w:rsidP="000B51B2">
      <w:pPr>
        <w:numPr>
          <w:ilvl w:val="4"/>
          <w:numId w:val="50"/>
        </w:numPr>
        <w:spacing w:line="259" w:lineRule="auto"/>
        <w:rPr>
          <w:rFonts w:cstheme="minorHAnsi"/>
          <w:szCs w:val="20"/>
        </w:rPr>
      </w:pPr>
      <w:r w:rsidRPr="00F17F6E">
        <w:rPr>
          <w:rFonts w:cstheme="minorHAnsi"/>
          <w:szCs w:val="20"/>
        </w:rPr>
        <w:t>For Balance Sheet items exchange rate must be the rate at date of applicable balance sheet.</w:t>
      </w:r>
    </w:p>
    <w:p w14:paraId="3AFE53A4" w14:textId="77777777" w:rsidR="0051373E" w:rsidRPr="00F17F6E" w:rsidRDefault="0051373E" w:rsidP="000B51B2">
      <w:pPr>
        <w:numPr>
          <w:ilvl w:val="4"/>
          <w:numId w:val="50"/>
        </w:numPr>
        <w:spacing w:line="259" w:lineRule="auto"/>
        <w:rPr>
          <w:rFonts w:cstheme="minorHAnsi"/>
          <w:szCs w:val="20"/>
        </w:rPr>
      </w:pPr>
      <w:bookmarkStart w:id="52" w:name="_Hlk141086110"/>
      <w:bookmarkEnd w:id="51"/>
      <w:r w:rsidRPr="00F17F6E">
        <w:rPr>
          <w:rFonts w:cstheme="minorHAnsi"/>
          <w:szCs w:val="20"/>
        </w:rPr>
        <w:t xml:space="preserve">Please specify the reporting currency and exchange rate in the cells specified within the FVRA Template. Please include the source of all exchange rates applied in the ‘Bidder Clarification’ columns of Tab 4.1a Lead. </w:t>
      </w:r>
    </w:p>
    <w:p w14:paraId="49DB9BFC" w14:textId="175ABA5C" w:rsidR="0051373E" w:rsidRPr="009F102E" w:rsidRDefault="0053020C" w:rsidP="0051373E">
      <w:pPr>
        <w:pStyle w:val="Heading2"/>
        <w:rPr>
          <w:b w:val="0"/>
          <w:bCs w:val="0"/>
          <w:sz w:val="20"/>
          <w:szCs w:val="20"/>
        </w:rPr>
      </w:pPr>
      <w:r w:rsidRPr="3D83606E">
        <w:rPr>
          <w:b w:val="0"/>
          <w:bCs w:val="0"/>
          <w:sz w:val="20"/>
          <w:szCs w:val="20"/>
        </w:rPr>
        <w:t>GBE-N</w:t>
      </w:r>
      <w:r w:rsidR="0051373E" w:rsidRPr="3D83606E">
        <w:rPr>
          <w:b w:val="0"/>
          <w:bCs w:val="0"/>
          <w:sz w:val="20"/>
          <w:szCs w:val="20"/>
        </w:rPr>
        <w:t xml:space="preserve"> reserves the right to review and recalculate currency conversion in line with the principles specified. </w:t>
      </w:r>
      <w:bookmarkEnd w:id="52"/>
    </w:p>
    <w:p w14:paraId="362E7218" w14:textId="77777777" w:rsidR="009F102E" w:rsidRDefault="0051373E" w:rsidP="009F102E">
      <w:pPr>
        <w:pStyle w:val="Heading2"/>
        <w:rPr>
          <w:b w:val="0"/>
          <w:sz w:val="20"/>
          <w:szCs w:val="20"/>
        </w:rPr>
      </w:pPr>
      <w:r w:rsidRPr="009F102E">
        <w:rPr>
          <w:b w:val="0"/>
          <w:bCs w:val="0"/>
          <w:sz w:val="20"/>
          <w:szCs w:val="20"/>
        </w:rPr>
        <w:t>The FVRA</w:t>
      </w:r>
      <w:r w:rsidRPr="009F102E">
        <w:rPr>
          <w:b w:val="0"/>
          <w:sz w:val="20"/>
          <w:szCs w:val="20"/>
        </w:rPr>
        <w:t xml:space="preserve"> Template calculates ratios and provides a Red, Amber, Green risk rating for each ratio. </w:t>
      </w:r>
    </w:p>
    <w:p w14:paraId="446BDAD8" w14:textId="1592A772" w:rsidR="0051373E" w:rsidRPr="009F102E" w:rsidRDefault="0051373E" w:rsidP="009F102E">
      <w:pPr>
        <w:pStyle w:val="Heading2"/>
        <w:rPr>
          <w:b w:val="0"/>
          <w:sz w:val="20"/>
          <w:szCs w:val="20"/>
        </w:rPr>
      </w:pPr>
      <w:r w:rsidRPr="009F102E">
        <w:rPr>
          <w:b w:val="0"/>
          <w:sz w:val="20"/>
          <w:szCs w:val="20"/>
        </w:rPr>
        <w:t>The FVRA Template risk ratings are determined by thresholds that have been proposed by the Cabin</w:t>
      </w:r>
      <w:r w:rsidRPr="003F3D9F">
        <w:rPr>
          <w:b w:val="0"/>
          <w:sz w:val="20"/>
          <w:szCs w:val="20"/>
        </w:rPr>
        <w:t xml:space="preserve">et Office for Gold (critical) procurements in all sectors. </w:t>
      </w:r>
    </w:p>
    <w:p w14:paraId="78B75E2B" w14:textId="77777777" w:rsidR="0051373E" w:rsidRPr="00F56C2A" w:rsidRDefault="0051373E" w:rsidP="0051373E">
      <w:pPr>
        <w:pStyle w:val="Heading2"/>
        <w:rPr>
          <w:rFonts w:cstheme="minorHAnsi"/>
          <w:b w:val="0"/>
          <w:bCs w:val="0"/>
          <w:sz w:val="20"/>
          <w:szCs w:val="20"/>
        </w:rPr>
      </w:pPr>
      <w:r w:rsidRPr="00F56C2A">
        <w:rPr>
          <w:b w:val="0"/>
          <w:sz w:val="20"/>
          <w:szCs w:val="20"/>
        </w:rPr>
        <w:t>If the FVRA Template gives a Red or Amber risk rating for any of the ratios, the Applicant must p</w:t>
      </w:r>
      <w:r w:rsidRPr="00F56C2A">
        <w:rPr>
          <w:rFonts w:cstheme="minorHAnsi"/>
          <w:b w:val="0"/>
          <w:bCs w:val="0"/>
          <w:sz w:val="20"/>
          <w:szCs w:val="20"/>
        </w:rPr>
        <w:t xml:space="preserve">rovide commentary including: </w:t>
      </w:r>
    </w:p>
    <w:p w14:paraId="2DA47F53" w14:textId="77777777" w:rsidR="0051373E" w:rsidRPr="00F56C2A" w:rsidRDefault="0051373E" w:rsidP="000B51B2">
      <w:pPr>
        <w:numPr>
          <w:ilvl w:val="4"/>
          <w:numId w:val="50"/>
        </w:numPr>
        <w:spacing w:line="259" w:lineRule="auto"/>
        <w:rPr>
          <w:rFonts w:cstheme="minorHAnsi"/>
          <w:szCs w:val="20"/>
        </w:rPr>
      </w:pPr>
      <w:r w:rsidRPr="00F56C2A">
        <w:rPr>
          <w:rFonts w:cstheme="minorHAnsi"/>
          <w:szCs w:val="20"/>
        </w:rPr>
        <w:t xml:space="preserve">Reasons for the Red or Amber rating, </w:t>
      </w:r>
    </w:p>
    <w:p w14:paraId="1AB5559E" w14:textId="77777777" w:rsidR="0051373E" w:rsidRPr="00F56C2A" w:rsidRDefault="0051373E" w:rsidP="000B51B2">
      <w:pPr>
        <w:numPr>
          <w:ilvl w:val="4"/>
          <w:numId w:val="50"/>
        </w:numPr>
        <w:spacing w:line="259" w:lineRule="auto"/>
        <w:rPr>
          <w:rFonts w:cstheme="minorHAnsi"/>
          <w:szCs w:val="20"/>
        </w:rPr>
      </w:pPr>
      <w:r w:rsidRPr="00F56C2A">
        <w:rPr>
          <w:rFonts w:cstheme="minorHAnsi"/>
          <w:szCs w:val="20"/>
        </w:rPr>
        <w:t>Mitigating activity that the organisation has undertaken / will undertake to manage this risk; and,</w:t>
      </w:r>
    </w:p>
    <w:p w14:paraId="39A2464C" w14:textId="77777777" w:rsidR="0051373E" w:rsidRPr="00F56C2A" w:rsidRDefault="0051373E" w:rsidP="000B51B2">
      <w:pPr>
        <w:numPr>
          <w:ilvl w:val="4"/>
          <w:numId w:val="50"/>
        </w:numPr>
        <w:spacing w:line="259" w:lineRule="auto"/>
        <w:rPr>
          <w:rFonts w:cstheme="minorHAnsi"/>
          <w:szCs w:val="20"/>
        </w:rPr>
      </w:pPr>
      <w:r w:rsidRPr="00F56C2A">
        <w:rPr>
          <w:rFonts w:cstheme="minorHAnsi"/>
          <w:szCs w:val="20"/>
        </w:rPr>
        <w:t>An update on current position (reflecting that Accounts data is historical)</w:t>
      </w:r>
    </w:p>
    <w:p w14:paraId="216F986B" w14:textId="49B99077" w:rsidR="0051373E" w:rsidRPr="00F56C2A" w:rsidRDefault="0051373E" w:rsidP="0051373E">
      <w:pPr>
        <w:pStyle w:val="Heading2"/>
        <w:rPr>
          <w:sz w:val="20"/>
          <w:szCs w:val="20"/>
        </w:rPr>
      </w:pPr>
      <w:r w:rsidRPr="00F56C2A">
        <w:rPr>
          <w:b w:val="0"/>
          <w:sz w:val="20"/>
          <w:szCs w:val="20"/>
        </w:rPr>
        <w:t xml:space="preserve">Applicants do not need to submit the same information multiple times and may refer to information submitted in response to other parts of </w:t>
      </w:r>
      <w:r w:rsidRPr="00F56C2A">
        <w:rPr>
          <w:rFonts w:eastAsia="Calibri"/>
          <w:b w:val="0"/>
          <w:sz w:val="20"/>
          <w:szCs w:val="20"/>
        </w:rPr>
        <w:t>Part 3</w:t>
      </w:r>
      <w:r w:rsidR="00B77AA1">
        <w:rPr>
          <w:rFonts w:eastAsia="Calibri"/>
          <w:b w:val="0"/>
          <w:sz w:val="20"/>
          <w:szCs w:val="20"/>
        </w:rPr>
        <w:t>A</w:t>
      </w:r>
      <w:r w:rsidRPr="00F56C2A">
        <w:rPr>
          <w:rFonts w:eastAsia="Calibri"/>
          <w:b w:val="0"/>
          <w:sz w:val="20"/>
          <w:szCs w:val="20"/>
        </w:rPr>
        <w:t xml:space="preserve"> (Questions 1</w:t>
      </w:r>
      <w:r w:rsidR="00A31CB7">
        <w:rPr>
          <w:rFonts w:eastAsia="Calibri"/>
          <w:b w:val="0"/>
          <w:sz w:val="20"/>
          <w:szCs w:val="20"/>
        </w:rPr>
        <w:t>2-22</w:t>
      </w:r>
      <w:r w:rsidRPr="00F56C2A">
        <w:rPr>
          <w:rFonts w:eastAsia="Calibri"/>
          <w:b w:val="0"/>
          <w:sz w:val="20"/>
          <w:szCs w:val="20"/>
        </w:rPr>
        <w:t xml:space="preserve">) </w:t>
      </w:r>
      <w:r w:rsidRPr="00F56C2A">
        <w:rPr>
          <w:b w:val="0"/>
          <w:sz w:val="20"/>
          <w:szCs w:val="20"/>
        </w:rPr>
        <w:t>of the PSQ as part of this commentary. Further guidance can be found in the FVRA Template and the criteria set out below.</w:t>
      </w:r>
      <w:r w:rsidR="00907D12" w:rsidRPr="00F56C2A">
        <w:rPr>
          <w:sz w:val="20"/>
          <w:szCs w:val="20"/>
        </w:rPr>
        <w:t xml:space="preserve"> </w:t>
      </w:r>
    </w:p>
    <w:p w14:paraId="51370D4C" w14:textId="6EC1EBC9" w:rsidR="0051373E" w:rsidRDefault="0051373E" w:rsidP="0051373E">
      <w:pPr>
        <w:pStyle w:val="Heading2"/>
        <w:rPr>
          <w:b w:val="0"/>
          <w:bCs w:val="0"/>
          <w:sz w:val="20"/>
          <w:szCs w:val="20"/>
        </w:rPr>
      </w:pPr>
      <w:r w:rsidRPr="3D83606E">
        <w:rPr>
          <w:b w:val="0"/>
          <w:bCs w:val="0"/>
          <w:sz w:val="20"/>
          <w:szCs w:val="20"/>
        </w:rPr>
        <w:t xml:space="preserve">Where forecast financial information is provided, please detail any inflation assumptions that have been used. </w:t>
      </w:r>
      <w:r w:rsidR="0053020C" w:rsidRPr="3D83606E">
        <w:rPr>
          <w:b w:val="0"/>
          <w:bCs w:val="0"/>
          <w:sz w:val="20"/>
          <w:szCs w:val="20"/>
        </w:rPr>
        <w:t>GBE-N</w:t>
      </w:r>
      <w:r w:rsidRPr="3D83606E">
        <w:rPr>
          <w:b w:val="0"/>
          <w:bCs w:val="0"/>
          <w:sz w:val="20"/>
          <w:szCs w:val="20"/>
        </w:rPr>
        <w:t xml:space="preserve"> may ask for more explanation and justification for assumptions used if it is considered that these will have an impact on the assessment of the EFS criteria. </w:t>
      </w:r>
    </w:p>
    <w:p w14:paraId="480600F0" w14:textId="77777777" w:rsidR="0051373E" w:rsidRPr="00585A3E" w:rsidRDefault="0051373E" w:rsidP="0051373E">
      <w:pPr>
        <w:pStyle w:val="Heading2"/>
        <w:rPr>
          <w:rFonts w:cstheme="minorHAnsi"/>
          <w:b w:val="0"/>
          <w:sz w:val="20"/>
          <w:szCs w:val="20"/>
        </w:rPr>
      </w:pPr>
      <w:r w:rsidRPr="33DF772F">
        <w:rPr>
          <w:b w:val="0"/>
          <w:sz w:val="20"/>
          <w:szCs w:val="20"/>
        </w:rPr>
        <w:t>Applicants must confirm that there are no material post balance sheet events, contingent liabilities and losses, credit/risk ratings or other business issues arising since the date of the last audited financial statements that materially impact the Economic and Financial Standing of the economic operator. Where there are, the Applicant must provide an explanation for these and explain what mitigations are in place.</w:t>
      </w:r>
    </w:p>
    <w:p w14:paraId="295ED958" w14:textId="34A17BA9" w:rsidR="0051373E" w:rsidRPr="00585A3E" w:rsidRDefault="0051373E" w:rsidP="3D83606E">
      <w:pPr>
        <w:pStyle w:val="Heading2"/>
        <w:rPr>
          <w:b w:val="0"/>
          <w:bCs w:val="0"/>
          <w:sz w:val="20"/>
          <w:szCs w:val="20"/>
        </w:rPr>
      </w:pPr>
      <w:r w:rsidRPr="3D83606E">
        <w:rPr>
          <w:b w:val="0"/>
          <w:bCs w:val="0"/>
          <w:sz w:val="20"/>
          <w:szCs w:val="20"/>
        </w:rPr>
        <w:t xml:space="preserve">Applicants may be required to provide additional information on request to evidence that they meet the EFS criteria. Where Applicants have relied upon a future event to evidence the EFS criteria, </w:t>
      </w:r>
      <w:r w:rsidR="0053020C" w:rsidRPr="3D83606E">
        <w:rPr>
          <w:b w:val="0"/>
          <w:bCs w:val="0"/>
          <w:sz w:val="20"/>
          <w:szCs w:val="20"/>
        </w:rPr>
        <w:t>GBE-N</w:t>
      </w:r>
      <w:r w:rsidRPr="3D83606E">
        <w:rPr>
          <w:b w:val="0"/>
          <w:bCs w:val="0"/>
          <w:sz w:val="20"/>
          <w:szCs w:val="20"/>
        </w:rPr>
        <w:t xml:space="preserve"> reserves the right to Pass an Applicant conditionally between the PSQ stage and Contract Award until the event has taken place. </w:t>
      </w:r>
    </w:p>
    <w:p w14:paraId="36C4DCDC" w14:textId="2CF2B57A" w:rsidR="0051373E" w:rsidRDefault="0051373E" w:rsidP="0051373E">
      <w:pPr>
        <w:pStyle w:val="Heading2"/>
        <w:rPr>
          <w:b w:val="0"/>
          <w:bCs w:val="0"/>
          <w:sz w:val="20"/>
          <w:szCs w:val="20"/>
        </w:rPr>
      </w:pPr>
      <w:r w:rsidRPr="3D83606E">
        <w:rPr>
          <w:b w:val="0"/>
          <w:bCs w:val="0"/>
          <w:sz w:val="20"/>
          <w:szCs w:val="20"/>
        </w:rPr>
        <w:t xml:space="preserve">Applicants are permitted to rely on the financial standing of a group or parent company or fellow consortium member to evidence the EFS criteria, if that other entity is willing to provide appropriate security or support in the form of a parent company guarantee, continued funding commitment from investors or equivalent. Guarantees or equivalent will need to be provided to </w:t>
      </w:r>
      <w:r w:rsidR="0053020C" w:rsidRPr="3D83606E">
        <w:rPr>
          <w:b w:val="0"/>
          <w:bCs w:val="0"/>
          <w:sz w:val="20"/>
          <w:szCs w:val="20"/>
        </w:rPr>
        <w:t>GBE-N</w:t>
      </w:r>
      <w:r w:rsidRPr="3D83606E">
        <w:rPr>
          <w:b w:val="0"/>
          <w:bCs w:val="0"/>
          <w:sz w:val="20"/>
          <w:szCs w:val="20"/>
        </w:rPr>
        <w:t xml:space="preserve">, but an Applicant will be able to commit to providing a guarantee following notification that they have been successful at the PSQ stage of the competition and within 2 months of receiving the Invitation to Tender (ITT). </w:t>
      </w:r>
    </w:p>
    <w:p w14:paraId="3959C03C" w14:textId="77777777" w:rsidR="0051373E" w:rsidRPr="00585A3E" w:rsidRDefault="0051373E" w:rsidP="00F17F6E">
      <w:pPr>
        <w:pStyle w:val="Heading1"/>
        <w:keepNext/>
        <w:rPr>
          <w:rFonts w:cstheme="minorHAnsi"/>
          <w:b/>
          <w:bCs w:val="0"/>
          <w:sz w:val="20"/>
          <w:szCs w:val="20"/>
        </w:rPr>
      </w:pPr>
      <w:bookmarkStart w:id="53" w:name="_Toc190707092"/>
      <w:bookmarkStart w:id="54" w:name="_Toc190707142"/>
      <w:r w:rsidRPr="00585A3E">
        <w:rPr>
          <w:rFonts w:cstheme="minorHAnsi"/>
          <w:b/>
          <w:sz w:val="20"/>
          <w:szCs w:val="20"/>
        </w:rPr>
        <w:t>Application to Consortia, Joint Ventures and SPVs</w:t>
      </w:r>
      <w:bookmarkEnd w:id="53"/>
      <w:bookmarkEnd w:id="54"/>
    </w:p>
    <w:p w14:paraId="43308F3E" w14:textId="3409D473" w:rsidR="0051373E" w:rsidRPr="00585A3E" w:rsidRDefault="0051373E" w:rsidP="0051373E">
      <w:pPr>
        <w:pStyle w:val="Heading2"/>
        <w:rPr>
          <w:rFonts w:cstheme="minorHAnsi"/>
          <w:b w:val="0"/>
          <w:sz w:val="20"/>
          <w:szCs w:val="20"/>
        </w:rPr>
      </w:pPr>
      <w:r w:rsidRPr="00585A3E">
        <w:rPr>
          <w:rFonts w:cstheme="minorHAnsi"/>
          <w:b w:val="0"/>
          <w:sz w:val="20"/>
          <w:szCs w:val="20"/>
        </w:rPr>
        <w:t>Applicants should note that where a consortium or joint venture is proposed and the members are sharing financial risk or financial commitment, then Part 3</w:t>
      </w:r>
      <w:r>
        <w:rPr>
          <w:rFonts w:cstheme="minorHAnsi"/>
          <w:b w:val="0"/>
          <w:sz w:val="20"/>
          <w:szCs w:val="20"/>
        </w:rPr>
        <w:t xml:space="preserve">A Questions </w:t>
      </w:r>
      <w:r w:rsidR="00A31CB7">
        <w:rPr>
          <w:rFonts w:cstheme="minorHAnsi"/>
          <w:b w:val="0"/>
          <w:sz w:val="20"/>
          <w:szCs w:val="20"/>
        </w:rPr>
        <w:t>12-</w:t>
      </w:r>
      <w:r w:rsidR="000353EC">
        <w:rPr>
          <w:rFonts w:cstheme="minorHAnsi"/>
          <w:b w:val="0"/>
          <w:sz w:val="20"/>
          <w:szCs w:val="20"/>
        </w:rPr>
        <w:t>22</w:t>
      </w:r>
      <w:r w:rsidRPr="00585A3E">
        <w:rPr>
          <w:rFonts w:cstheme="minorHAnsi"/>
          <w:b w:val="0"/>
          <w:sz w:val="20"/>
          <w:szCs w:val="20"/>
        </w:rPr>
        <w:t>, including providing a completed FVRA tool, must be completed by all members of the consortium</w:t>
      </w:r>
      <w:r>
        <w:rPr>
          <w:rFonts w:cstheme="minorHAnsi"/>
          <w:b w:val="0"/>
          <w:sz w:val="20"/>
          <w:szCs w:val="20"/>
        </w:rPr>
        <w:t>/JV</w:t>
      </w:r>
      <w:r w:rsidRPr="00585A3E">
        <w:rPr>
          <w:rFonts w:cstheme="minorHAnsi"/>
          <w:b w:val="0"/>
          <w:sz w:val="20"/>
          <w:szCs w:val="20"/>
        </w:rPr>
        <w:t>. In this situation, each member must complete the FVRA template. The evaluation may be undertaken for each member of the consortium which completes the FVRA template, especially if there is legal liability and responsibility towards them.</w:t>
      </w:r>
    </w:p>
    <w:p w14:paraId="38F4285F" w14:textId="77777777" w:rsidR="0051373E" w:rsidRDefault="0051373E" w:rsidP="0051373E">
      <w:pPr>
        <w:pStyle w:val="Heading2"/>
        <w:rPr>
          <w:rFonts w:cstheme="minorHAnsi"/>
          <w:b w:val="0"/>
          <w:sz w:val="20"/>
          <w:szCs w:val="20"/>
        </w:rPr>
      </w:pPr>
      <w:r w:rsidRPr="00585A3E">
        <w:rPr>
          <w:rFonts w:cstheme="minorHAnsi"/>
          <w:b w:val="0"/>
          <w:sz w:val="20"/>
          <w:szCs w:val="20"/>
        </w:rPr>
        <w:t>Where the group is proposing to create a separate legal entity, such as a Special Purpose Vehicle (SPV), they should provide details of the actual or proposed percentage shareholding of the constituent members within the new legal entity. They should also provide the name for the new entity and details of its legal and operational structure.</w:t>
      </w:r>
    </w:p>
    <w:p w14:paraId="09BD9F1B" w14:textId="77777777" w:rsidR="0051373E" w:rsidRPr="00F56C2A" w:rsidRDefault="0051373E" w:rsidP="0051373E">
      <w:pPr>
        <w:pStyle w:val="Heading2"/>
        <w:rPr>
          <w:b w:val="0"/>
          <w:sz w:val="20"/>
          <w:szCs w:val="20"/>
        </w:rPr>
      </w:pPr>
      <w:r w:rsidRPr="68F8EE02">
        <w:rPr>
          <w:b w:val="0"/>
          <w:sz w:val="20"/>
          <w:szCs w:val="20"/>
        </w:rPr>
        <w:t>The assessment of different bid structures will be based on the information provided in Table 1. Table 1 provides further detail of how each metric will be assessed for each bid structure. </w:t>
      </w:r>
    </w:p>
    <w:tbl>
      <w:tblPr>
        <w:tblStyle w:val="GridTable1Light"/>
        <w:tblW w:w="8820" w:type="dxa"/>
        <w:tblLook w:val="04A0" w:firstRow="1" w:lastRow="0" w:firstColumn="1" w:lastColumn="0" w:noHBand="0" w:noVBand="1"/>
      </w:tblPr>
      <w:tblGrid>
        <w:gridCol w:w="3615"/>
        <w:gridCol w:w="2640"/>
        <w:gridCol w:w="2565"/>
      </w:tblGrid>
      <w:tr w:rsidR="0051373E" w:rsidRPr="00F56C2A" w14:paraId="2F847672" w14:textId="77777777" w:rsidTr="000B303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0" w:type="dxa"/>
            <w:gridSpan w:val="3"/>
            <w:hideMark/>
          </w:tcPr>
          <w:p w14:paraId="4A8D7313" w14:textId="77777777" w:rsidR="0051373E" w:rsidRPr="006F2ED4" w:rsidRDefault="0051373E" w:rsidP="000B3037">
            <w:pPr>
              <w:jc w:val="center"/>
              <w:textAlignment w:val="baseline"/>
              <w:rPr>
                <w:rFonts w:ascii="Times New Roman" w:hAnsi="Times New Roman"/>
                <w:bCs w:val="0"/>
                <w:sz w:val="24"/>
              </w:rPr>
            </w:pPr>
            <w:r w:rsidRPr="006F2ED4">
              <w:rPr>
                <w:rFonts w:ascii="Arial" w:hAnsi="Arial" w:cs="Arial"/>
                <w:bCs w:val="0"/>
              </w:rPr>
              <w:t>Table 1 – Summary of Bid Structure</w:t>
            </w:r>
          </w:p>
        </w:tc>
      </w:tr>
      <w:tr w:rsidR="0051373E" w:rsidRPr="00F56C2A" w14:paraId="7B922093"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07C0C564"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Member</w:t>
            </w:r>
          </w:p>
        </w:tc>
        <w:tc>
          <w:tcPr>
            <w:tcW w:w="2640" w:type="dxa"/>
            <w:hideMark/>
          </w:tcPr>
          <w:p w14:paraId="096135DE"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Role</w:t>
            </w:r>
          </w:p>
        </w:tc>
        <w:tc>
          <w:tcPr>
            <w:tcW w:w="2565" w:type="dxa"/>
            <w:hideMark/>
          </w:tcPr>
          <w:p w14:paraId="715C4363"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Estimated percentage (%) of the Applicant’s Total Contract Value to be delivered by the Member</w:t>
            </w:r>
          </w:p>
        </w:tc>
      </w:tr>
      <w:tr w:rsidR="0051373E" w:rsidRPr="00F56C2A" w14:paraId="2DBCE00F"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2FF8B219"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w:t>
            </w:r>
          </w:p>
        </w:tc>
        <w:tc>
          <w:tcPr>
            <w:tcW w:w="2640" w:type="dxa"/>
            <w:hideMark/>
          </w:tcPr>
          <w:p w14:paraId="72D524F2"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c>
          <w:tcPr>
            <w:tcW w:w="2565" w:type="dxa"/>
            <w:hideMark/>
          </w:tcPr>
          <w:p w14:paraId="75F75D22"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r>
      <w:tr w:rsidR="0051373E" w:rsidRPr="00F56C2A" w14:paraId="3DC41273"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41EC58EB"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w:t>
            </w:r>
          </w:p>
        </w:tc>
        <w:tc>
          <w:tcPr>
            <w:tcW w:w="2640" w:type="dxa"/>
            <w:hideMark/>
          </w:tcPr>
          <w:p w14:paraId="231C156D"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c>
          <w:tcPr>
            <w:tcW w:w="2565" w:type="dxa"/>
            <w:hideMark/>
          </w:tcPr>
          <w:p w14:paraId="076EB936"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r>
      <w:tr w:rsidR="0051373E" w:rsidRPr="00F56C2A" w14:paraId="105027B3"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2604AAB5"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w:t>
            </w:r>
          </w:p>
        </w:tc>
        <w:tc>
          <w:tcPr>
            <w:tcW w:w="2640" w:type="dxa"/>
            <w:hideMark/>
          </w:tcPr>
          <w:p w14:paraId="1C15AEEF"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c>
          <w:tcPr>
            <w:tcW w:w="2565" w:type="dxa"/>
            <w:hideMark/>
          </w:tcPr>
          <w:p w14:paraId="06E4BDC0"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r>
      <w:tr w:rsidR="0051373E" w:rsidRPr="00F56C2A" w14:paraId="67A8BFCD"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6E0FB34D"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w:t>
            </w:r>
          </w:p>
        </w:tc>
        <w:tc>
          <w:tcPr>
            <w:tcW w:w="2640" w:type="dxa"/>
            <w:hideMark/>
          </w:tcPr>
          <w:p w14:paraId="6B5E706E"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c>
          <w:tcPr>
            <w:tcW w:w="2565" w:type="dxa"/>
            <w:hideMark/>
          </w:tcPr>
          <w:p w14:paraId="210C15B0"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r>
      <w:tr w:rsidR="0051373E" w:rsidRPr="00D70AED" w14:paraId="43661F53" w14:textId="77777777" w:rsidTr="000B3037">
        <w:trPr>
          <w:trHeight w:val="300"/>
        </w:trPr>
        <w:tc>
          <w:tcPr>
            <w:cnfStyle w:val="001000000000" w:firstRow="0" w:lastRow="0" w:firstColumn="1" w:lastColumn="0" w:oddVBand="0" w:evenVBand="0" w:oddHBand="0" w:evenHBand="0" w:firstRowFirstColumn="0" w:firstRowLastColumn="0" w:lastRowFirstColumn="0" w:lastRowLastColumn="0"/>
            <w:tcW w:w="3615" w:type="dxa"/>
            <w:hideMark/>
          </w:tcPr>
          <w:p w14:paraId="4FD30485" w14:textId="77777777" w:rsidR="0051373E" w:rsidRPr="006338B2" w:rsidRDefault="0051373E" w:rsidP="000B3037">
            <w:pPr>
              <w:jc w:val="center"/>
              <w:textAlignment w:val="baseline"/>
              <w:rPr>
                <w:rFonts w:ascii="Times New Roman" w:hAnsi="Times New Roman"/>
                <w:b w:val="0"/>
                <w:bCs w:val="0"/>
                <w:sz w:val="24"/>
              </w:rPr>
            </w:pPr>
            <w:r w:rsidRPr="006338B2">
              <w:rPr>
                <w:rFonts w:ascii="Arial" w:hAnsi="Arial" w:cs="Arial"/>
                <w:b w:val="0"/>
                <w:bCs w:val="0"/>
              </w:rPr>
              <w:t>[•]</w:t>
            </w:r>
          </w:p>
        </w:tc>
        <w:tc>
          <w:tcPr>
            <w:tcW w:w="2640" w:type="dxa"/>
            <w:hideMark/>
          </w:tcPr>
          <w:p w14:paraId="6D61557B"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c>
          <w:tcPr>
            <w:tcW w:w="2565" w:type="dxa"/>
            <w:hideMark/>
          </w:tcPr>
          <w:p w14:paraId="4A19307E" w14:textId="77777777" w:rsidR="0051373E" w:rsidRPr="006338B2" w:rsidRDefault="0051373E" w:rsidP="000B303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338B2">
              <w:rPr>
                <w:rFonts w:ascii="Arial" w:hAnsi="Arial" w:cs="Arial"/>
              </w:rPr>
              <w:t>[•]</w:t>
            </w:r>
          </w:p>
        </w:tc>
      </w:tr>
    </w:tbl>
    <w:p w14:paraId="3FCC8CEB" w14:textId="77777777" w:rsidR="0051373E" w:rsidRPr="00585A3E" w:rsidRDefault="0051373E" w:rsidP="0051373E">
      <w:pPr>
        <w:pStyle w:val="Heading2"/>
        <w:numPr>
          <w:ilvl w:val="0"/>
          <w:numId w:val="0"/>
        </w:numPr>
        <w:rPr>
          <w:b w:val="0"/>
          <w:sz w:val="20"/>
          <w:szCs w:val="20"/>
        </w:rPr>
      </w:pPr>
    </w:p>
    <w:p w14:paraId="2546DE14" w14:textId="61E3298C" w:rsidR="0051373E" w:rsidRPr="00F56C2A" w:rsidRDefault="0051373E" w:rsidP="0051373E">
      <w:pPr>
        <w:pStyle w:val="Heading2"/>
        <w:rPr>
          <w:b w:val="0"/>
          <w:sz w:val="20"/>
          <w:szCs w:val="20"/>
        </w:rPr>
      </w:pPr>
      <w:r w:rsidRPr="68F8EE02">
        <w:rPr>
          <w:b w:val="0"/>
          <w:sz w:val="20"/>
          <w:szCs w:val="20"/>
        </w:rPr>
        <w:t xml:space="preserve">Where the metric is proportionate (i.e. Turnover Ratio) the percentage of the contract that each party will be delivering will be used to calculate the metric. </w:t>
      </w:r>
      <w:r w:rsidR="00BD2B67">
        <w:rPr>
          <w:b w:val="0"/>
          <w:sz w:val="20"/>
          <w:szCs w:val="20"/>
        </w:rPr>
        <w:t>The contract va</w:t>
      </w:r>
      <w:r w:rsidR="00442F4A">
        <w:rPr>
          <w:b w:val="0"/>
          <w:sz w:val="20"/>
          <w:szCs w:val="20"/>
        </w:rPr>
        <w:t xml:space="preserve">lue for the purpose of this </w:t>
      </w:r>
      <w:r w:rsidR="00D9634E">
        <w:rPr>
          <w:b w:val="0"/>
          <w:sz w:val="20"/>
          <w:szCs w:val="20"/>
        </w:rPr>
        <w:t xml:space="preserve">assessment is filled in the FVRA sheet to calculate the </w:t>
      </w:r>
      <w:r w:rsidR="0094688F">
        <w:rPr>
          <w:b w:val="0"/>
          <w:sz w:val="20"/>
          <w:szCs w:val="20"/>
        </w:rPr>
        <w:t>relevant metric.</w:t>
      </w:r>
      <w:r w:rsidRPr="68F8EE02">
        <w:rPr>
          <w:b w:val="0"/>
          <w:sz w:val="20"/>
          <w:szCs w:val="20"/>
        </w:rPr>
        <w:t xml:space="preserve"> Below is a worked example: </w:t>
      </w:r>
    </w:p>
    <w:p w14:paraId="70F4655B" w14:textId="6AE15951" w:rsidR="00BE5BB4" w:rsidRPr="006F2ED4" w:rsidRDefault="00BE5BB4" w:rsidP="00BE5BB4">
      <w:pPr>
        <w:pStyle w:val="Heading2"/>
        <w:numPr>
          <w:ilvl w:val="0"/>
          <w:numId w:val="0"/>
        </w:numPr>
        <w:rPr>
          <w:bCs w:val="0"/>
          <w:sz w:val="20"/>
          <w:szCs w:val="20"/>
        </w:rPr>
      </w:pPr>
      <w:r w:rsidRPr="006F2ED4">
        <w:rPr>
          <w:bCs w:val="0"/>
          <w:sz w:val="20"/>
          <w:szCs w:val="20"/>
        </w:rPr>
        <w:t>Table 2 – Example of metric calculation based on proportionate test</w:t>
      </w:r>
    </w:p>
    <w:tbl>
      <w:tblPr>
        <w:tblStyle w:val="GridTable1Light"/>
        <w:tblW w:w="9065" w:type="dxa"/>
        <w:tblLook w:val="04A0" w:firstRow="1" w:lastRow="0" w:firstColumn="1" w:lastColumn="0" w:noHBand="0" w:noVBand="1"/>
      </w:tblPr>
      <w:tblGrid>
        <w:gridCol w:w="2764"/>
        <w:gridCol w:w="2831"/>
        <w:gridCol w:w="3470"/>
      </w:tblGrid>
      <w:tr w:rsidR="0051373E" w:rsidRPr="00F56C2A" w14:paraId="4775E4AA" w14:textId="77777777" w:rsidTr="006F2ED4">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764" w:type="dxa"/>
            <w:vAlign w:val="center"/>
          </w:tcPr>
          <w:p w14:paraId="6B2CC4B2" w14:textId="77777777" w:rsidR="0051373E" w:rsidRPr="00F56C2A" w:rsidRDefault="0051373E" w:rsidP="006F2ED4">
            <w:pPr>
              <w:rPr>
                <w:b w:val="0"/>
              </w:rPr>
            </w:pPr>
            <w:r>
              <w:t>Consortia member</w:t>
            </w:r>
          </w:p>
        </w:tc>
        <w:tc>
          <w:tcPr>
            <w:tcW w:w="2831" w:type="dxa"/>
            <w:vAlign w:val="center"/>
          </w:tcPr>
          <w:p w14:paraId="2F82C166" w14:textId="77777777" w:rsidR="0051373E" w:rsidRPr="00F56C2A" w:rsidRDefault="0051373E" w:rsidP="006F2ED4">
            <w:pPr>
              <w:cnfStyle w:val="100000000000" w:firstRow="1" w:lastRow="0" w:firstColumn="0" w:lastColumn="0" w:oddVBand="0" w:evenVBand="0" w:oddHBand="0" w:evenHBand="0" w:firstRowFirstColumn="0" w:firstRowLastColumn="0" w:lastRowFirstColumn="0" w:lastRowLastColumn="0"/>
              <w:rPr>
                <w:b w:val="0"/>
              </w:rPr>
            </w:pPr>
            <w:r w:rsidRPr="68F8EE02">
              <w:t>Percentage of contract that will deliver</w:t>
            </w:r>
          </w:p>
        </w:tc>
        <w:tc>
          <w:tcPr>
            <w:tcW w:w="3470" w:type="dxa"/>
            <w:vAlign w:val="center"/>
          </w:tcPr>
          <w:p w14:paraId="46422CB6" w14:textId="77777777" w:rsidR="0051373E" w:rsidRPr="00F56C2A" w:rsidRDefault="0051373E" w:rsidP="006F2ED4">
            <w:pPr>
              <w:cnfStyle w:val="100000000000" w:firstRow="1" w:lastRow="0" w:firstColumn="0" w:lastColumn="0" w:oddVBand="0" w:evenVBand="0" w:oddHBand="0" w:evenHBand="0" w:firstRowFirstColumn="0" w:firstRowLastColumn="0" w:lastRowFirstColumn="0" w:lastRowLastColumn="0"/>
              <w:rPr>
                <w:b w:val="0"/>
              </w:rPr>
            </w:pPr>
            <w:r w:rsidRPr="68F8EE02">
              <w:t>Metric (a) Calculation</w:t>
            </w:r>
          </w:p>
        </w:tc>
      </w:tr>
      <w:tr w:rsidR="0051373E" w14:paraId="258B013F" w14:textId="77777777" w:rsidTr="006F2ED4">
        <w:trPr>
          <w:trHeight w:val="316"/>
        </w:trPr>
        <w:tc>
          <w:tcPr>
            <w:cnfStyle w:val="001000000000" w:firstRow="0" w:lastRow="0" w:firstColumn="1" w:lastColumn="0" w:oddVBand="0" w:evenVBand="0" w:oddHBand="0" w:evenHBand="0" w:firstRowFirstColumn="0" w:firstRowLastColumn="0" w:lastRowFirstColumn="0" w:lastRowLastColumn="0"/>
            <w:tcW w:w="2764" w:type="dxa"/>
            <w:vAlign w:val="center"/>
          </w:tcPr>
          <w:p w14:paraId="10D22F3E" w14:textId="77777777" w:rsidR="0051373E" w:rsidRPr="00F56C2A" w:rsidRDefault="0051373E" w:rsidP="006F2ED4">
            <w:r>
              <w:t>Consortia member 1</w:t>
            </w:r>
          </w:p>
        </w:tc>
        <w:tc>
          <w:tcPr>
            <w:tcW w:w="2831" w:type="dxa"/>
            <w:vAlign w:val="center"/>
          </w:tcPr>
          <w:p w14:paraId="6A6B1D0F" w14:textId="77777777" w:rsidR="0051373E" w:rsidRPr="00F56C2A" w:rsidRDefault="0051373E" w:rsidP="006F2ED4">
            <w:pPr>
              <w:cnfStyle w:val="000000000000" w:firstRow="0" w:lastRow="0" w:firstColumn="0" w:lastColumn="0" w:oddVBand="0" w:evenVBand="0" w:oddHBand="0" w:evenHBand="0" w:firstRowFirstColumn="0" w:firstRowLastColumn="0" w:lastRowFirstColumn="0" w:lastRowLastColumn="0"/>
            </w:pPr>
            <w:r>
              <w:t>40%</w:t>
            </w:r>
          </w:p>
        </w:tc>
        <w:tc>
          <w:tcPr>
            <w:tcW w:w="3470" w:type="dxa"/>
            <w:vAlign w:val="center"/>
          </w:tcPr>
          <w:p w14:paraId="2A46C9DA" w14:textId="619BD9C7" w:rsidR="0051373E" w:rsidRPr="00F56C2A" w:rsidRDefault="0051373E" w:rsidP="006F2ED4">
            <w:pPr>
              <w:cnfStyle w:val="000000000000" w:firstRow="0" w:lastRow="0" w:firstColumn="0" w:lastColumn="0" w:oddVBand="0" w:evenVBand="0" w:oddHBand="0" w:evenHBand="0" w:firstRowFirstColumn="0" w:firstRowLastColumn="0" w:lastRowFirstColumn="0" w:lastRowLastColumn="0"/>
            </w:pPr>
            <w:r>
              <w:t xml:space="preserve">(Annual Turnover / </w:t>
            </w:r>
            <w:r w:rsidR="0094688F">
              <w:t xml:space="preserve">Annual </w:t>
            </w:r>
            <w:r>
              <w:t>Contract Value) * 40%</w:t>
            </w:r>
          </w:p>
        </w:tc>
      </w:tr>
    </w:tbl>
    <w:p w14:paraId="60BBA22E" w14:textId="77777777" w:rsidR="0051373E" w:rsidRDefault="0051373E" w:rsidP="0051373E">
      <w:pPr>
        <w:pStyle w:val="Heading2"/>
        <w:numPr>
          <w:ilvl w:val="0"/>
          <w:numId w:val="0"/>
        </w:numPr>
        <w:ind w:left="782" w:hanging="782"/>
        <w:rPr>
          <w:rFonts w:cstheme="minorHAnsi"/>
          <w:b w:val="0"/>
          <w:sz w:val="20"/>
          <w:szCs w:val="20"/>
        </w:rPr>
      </w:pPr>
    </w:p>
    <w:p w14:paraId="1949A5D1" w14:textId="77777777" w:rsidR="0051373E" w:rsidRDefault="0051373E" w:rsidP="0051373E">
      <w:pPr>
        <w:pStyle w:val="Heading2"/>
        <w:rPr>
          <w:b w:val="0"/>
          <w:sz w:val="20"/>
          <w:szCs w:val="20"/>
        </w:rPr>
      </w:pPr>
      <w:r w:rsidRPr="68F8EE02">
        <w:rPr>
          <w:b w:val="0"/>
          <w:sz w:val="20"/>
          <w:szCs w:val="20"/>
        </w:rPr>
        <w:t>Any updates to the consortium, joint venture, SPV arrangements or any other bidding model must be provided during the procurement process.</w:t>
      </w:r>
    </w:p>
    <w:p w14:paraId="396AF401" w14:textId="5F23A82D" w:rsidR="0051373E" w:rsidRPr="00F56C2A" w:rsidRDefault="0051373E" w:rsidP="0051373E">
      <w:pPr>
        <w:pStyle w:val="Heading2"/>
        <w:rPr>
          <w:b w:val="0"/>
          <w:bCs w:val="0"/>
          <w:sz w:val="20"/>
          <w:szCs w:val="20"/>
        </w:rPr>
      </w:pPr>
      <w:r w:rsidRPr="3D83606E">
        <w:rPr>
          <w:b w:val="0"/>
          <w:bCs w:val="0"/>
          <w:sz w:val="20"/>
          <w:szCs w:val="20"/>
        </w:rPr>
        <w:t xml:space="preserve">If bidders may not be able to demonstrate capacity through EFS assessment on a standalone basis, </w:t>
      </w:r>
      <w:r w:rsidR="0053020C" w:rsidRPr="3D83606E">
        <w:rPr>
          <w:b w:val="0"/>
          <w:bCs w:val="0"/>
          <w:sz w:val="20"/>
          <w:szCs w:val="20"/>
        </w:rPr>
        <w:t>GBE-N</w:t>
      </w:r>
      <w:r w:rsidRPr="3D83606E">
        <w:rPr>
          <w:b w:val="0"/>
          <w:bCs w:val="0"/>
          <w:sz w:val="20"/>
          <w:szCs w:val="20"/>
        </w:rPr>
        <w:t xml:space="preserve"> will seek ‘joint and several’ guarantees from the major shareholders (i.e. not ‘proportionate’) or consortia members to mitigate the risk. A written commitment to provide such guarantees will be sufficient at selection stage.</w:t>
      </w:r>
    </w:p>
    <w:p w14:paraId="571FA33A" w14:textId="77777777" w:rsidR="0051373E" w:rsidRPr="00585A3E" w:rsidRDefault="0051373E" w:rsidP="00F17F6E">
      <w:pPr>
        <w:pStyle w:val="Heading1"/>
        <w:keepNext/>
        <w:rPr>
          <w:rFonts w:cstheme="minorHAnsi"/>
          <w:b/>
          <w:bCs w:val="0"/>
          <w:sz w:val="20"/>
          <w:szCs w:val="20"/>
        </w:rPr>
      </w:pPr>
      <w:bookmarkStart w:id="55" w:name="_Toc190707093"/>
      <w:bookmarkStart w:id="56" w:name="_Toc190707143"/>
      <w:r w:rsidRPr="00585A3E">
        <w:rPr>
          <w:rFonts w:cstheme="minorHAnsi"/>
          <w:b/>
          <w:sz w:val="20"/>
          <w:szCs w:val="20"/>
        </w:rPr>
        <w:t>Subcontractors</w:t>
      </w:r>
      <w:bookmarkEnd w:id="55"/>
      <w:bookmarkEnd w:id="56"/>
    </w:p>
    <w:p w14:paraId="73C5D23E" w14:textId="351AF850" w:rsidR="0051373E" w:rsidRPr="00585A3E" w:rsidRDefault="0051373E" w:rsidP="0051373E">
      <w:pPr>
        <w:pStyle w:val="Heading2"/>
        <w:numPr>
          <w:ilvl w:val="0"/>
          <w:numId w:val="0"/>
        </w:numPr>
        <w:ind w:left="782"/>
        <w:rPr>
          <w:rFonts w:cstheme="minorHAnsi"/>
          <w:sz w:val="20"/>
          <w:szCs w:val="20"/>
        </w:rPr>
      </w:pPr>
      <w:r w:rsidRPr="00585A3E">
        <w:rPr>
          <w:rFonts w:cstheme="minorHAnsi"/>
          <w:b w:val="0"/>
          <w:sz w:val="20"/>
          <w:szCs w:val="20"/>
        </w:rPr>
        <w:t xml:space="preserve">For prime and sub-contractor arrangements, financial information required in </w:t>
      </w:r>
      <w:r>
        <w:rPr>
          <w:rFonts w:cstheme="minorHAnsi"/>
          <w:b w:val="0"/>
          <w:sz w:val="20"/>
          <w:szCs w:val="20"/>
        </w:rPr>
        <w:t>PSQ</w:t>
      </w:r>
      <w:r w:rsidRPr="00585A3E">
        <w:rPr>
          <w:rFonts w:cstheme="minorHAnsi"/>
          <w:b w:val="0"/>
          <w:sz w:val="20"/>
          <w:szCs w:val="20"/>
        </w:rPr>
        <w:t xml:space="preserve"> </w:t>
      </w:r>
      <w:r w:rsidR="0006401A">
        <w:rPr>
          <w:rFonts w:cstheme="minorHAnsi"/>
          <w:b w:val="0"/>
          <w:sz w:val="20"/>
          <w:szCs w:val="20"/>
        </w:rPr>
        <w:t>[</w:t>
      </w:r>
      <w:r w:rsidRPr="00585A3E">
        <w:rPr>
          <w:rFonts w:cstheme="minorHAnsi"/>
          <w:b w:val="0"/>
          <w:sz w:val="20"/>
          <w:szCs w:val="20"/>
        </w:rPr>
        <w:t>Part 3</w:t>
      </w:r>
      <w:r w:rsidR="00B77AA1">
        <w:rPr>
          <w:rFonts w:cstheme="minorHAnsi"/>
          <w:b w:val="0"/>
          <w:sz w:val="20"/>
          <w:szCs w:val="20"/>
        </w:rPr>
        <w:t>A</w:t>
      </w:r>
      <w:r>
        <w:rPr>
          <w:rFonts w:cstheme="minorHAnsi"/>
          <w:b w:val="0"/>
          <w:sz w:val="20"/>
          <w:szCs w:val="20"/>
        </w:rPr>
        <w:t xml:space="preserve"> Questions 1</w:t>
      </w:r>
      <w:r w:rsidR="00A31CB7">
        <w:rPr>
          <w:rFonts w:cstheme="minorHAnsi"/>
          <w:b w:val="0"/>
          <w:sz w:val="20"/>
          <w:szCs w:val="20"/>
        </w:rPr>
        <w:t>2</w:t>
      </w:r>
      <w:r>
        <w:rPr>
          <w:rFonts w:cstheme="minorHAnsi"/>
          <w:b w:val="0"/>
          <w:sz w:val="20"/>
          <w:szCs w:val="20"/>
        </w:rPr>
        <w:t>-1</w:t>
      </w:r>
      <w:r w:rsidR="0006401A">
        <w:rPr>
          <w:rFonts w:cstheme="minorHAnsi"/>
          <w:b w:val="0"/>
          <w:sz w:val="20"/>
          <w:szCs w:val="20"/>
        </w:rPr>
        <w:t>6]</w:t>
      </w:r>
      <w:r w:rsidRPr="00585A3E">
        <w:rPr>
          <w:rFonts w:cstheme="minorHAnsi"/>
          <w:b w:val="0"/>
          <w:sz w:val="20"/>
          <w:szCs w:val="20"/>
        </w:rPr>
        <w:t xml:space="preserve"> should be provided for all sub-contractors which the Applicant is relying upon to meet the selection criteria (i.e. any company in the supply chain which is being relied upon to demonstrate any aspect of the required experience or capability), and any other proposed entity upon which the Applicant wishes to rely (e.g. where an Applicant  is relying on the financial resources of a parent or group company or another entity such as a key stakeholder or subcontractor).</w:t>
      </w:r>
    </w:p>
    <w:p w14:paraId="071F7D21" w14:textId="77777777" w:rsidR="0051373E" w:rsidRPr="00585A3E" w:rsidRDefault="0051373E" w:rsidP="00F17F6E">
      <w:pPr>
        <w:pStyle w:val="Heading1"/>
        <w:keepNext/>
        <w:rPr>
          <w:rFonts w:cstheme="minorHAnsi"/>
          <w:b/>
          <w:bCs w:val="0"/>
          <w:color w:val="000000"/>
          <w:sz w:val="20"/>
          <w:szCs w:val="20"/>
        </w:rPr>
      </w:pPr>
      <w:bookmarkStart w:id="57" w:name="_Toc190707094"/>
      <w:bookmarkStart w:id="58" w:name="_Toc190707144"/>
      <w:r w:rsidRPr="00585A3E">
        <w:rPr>
          <w:rFonts w:cstheme="minorHAnsi"/>
          <w:b/>
          <w:sz w:val="20"/>
          <w:szCs w:val="20"/>
        </w:rPr>
        <w:t>Publicly available in</w:t>
      </w:r>
      <w:r w:rsidRPr="00585A3E">
        <w:rPr>
          <w:rFonts w:cstheme="minorHAnsi"/>
          <w:b/>
          <w:bCs w:val="0"/>
          <w:color w:val="000000"/>
          <w:sz w:val="20"/>
          <w:szCs w:val="20"/>
        </w:rPr>
        <w:t>formation</w:t>
      </w:r>
      <w:bookmarkEnd w:id="57"/>
      <w:bookmarkEnd w:id="58"/>
    </w:p>
    <w:p w14:paraId="5E0FFDFA" w14:textId="12AADBEC" w:rsidR="0051373E" w:rsidRPr="00585A3E" w:rsidRDefault="0053020C" w:rsidP="3D83606E">
      <w:pPr>
        <w:pStyle w:val="Heading2"/>
        <w:rPr>
          <w:b w:val="0"/>
          <w:bCs w:val="0"/>
          <w:color w:val="000000"/>
          <w:sz w:val="20"/>
          <w:szCs w:val="20"/>
        </w:rPr>
      </w:pPr>
      <w:r w:rsidRPr="3D83606E">
        <w:rPr>
          <w:b w:val="0"/>
          <w:bCs w:val="0"/>
          <w:sz w:val="20"/>
          <w:szCs w:val="20"/>
        </w:rPr>
        <w:t>GBE-N</w:t>
      </w:r>
      <w:r w:rsidR="0051373E" w:rsidRPr="3D83606E">
        <w:rPr>
          <w:b w:val="0"/>
          <w:bCs w:val="0"/>
          <w:color w:val="000000" w:themeColor="text1"/>
          <w:sz w:val="20"/>
          <w:szCs w:val="20"/>
        </w:rPr>
        <w:t xml:space="preserve"> reserves the right to seek further financial information from Applicants and other relevant companies if required and to carry out its own review of publicly available information. </w:t>
      </w:r>
    </w:p>
    <w:p w14:paraId="268F595B" w14:textId="6082EE13" w:rsidR="0051373E" w:rsidRPr="00585A3E" w:rsidRDefault="0051373E" w:rsidP="3D83606E">
      <w:pPr>
        <w:pStyle w:val="Heading2"/>
        <w:rPr>
          <w:b w:val="0"/>
          <w:bCs w:val="0"/>
          <w:sz w:val="20"/>
          <w:szCs w:val="20"/>
        </w:rPr>
      </w:pPr>
      <w:r w:rsidRPr="3D83606E">
        <w:rPr>
          <w:b w:val="0"/>
          <w:bCs w:val="0"/>
          <w:sz w:val="20"/>
          <w:szCs w:val="20"/>
        </w:rPr>
        <w:t xml:space="preserve">It is for the </w:t>
      </w:r>
      <w:r w:rsidRPr="3D83606E">
        <w:rPr>
          <w:b w:val="0"/>
          <w:bCs w:val="0"/>
          <w:color w:val="000000" w:themeColor="text1"/>
          <w:sz w:val="20"/>
          <w:szCs w:val="20"/>
        </w:rPr>
        <w:t xml:space="preserve">Applicant to ensure that the information about it published by the public sources publicly available financial information is correct and </w:t>
      </w:r>
      <w:r w:rsidR="0053020C" w:rsidRPr="3D83606E">
        <w:rPr>
          <w:b w:val="0"/>
          <w:bCs w:val="0"/>
          <w:color w:val="000000" w:themeColor="text1"/>
          <w:sz w:val="20"/>
          <w:szCs w:val="20"/>
        </w:rPr>
        <w:t>GBE-N</w:t>
      </w:r>
      <w:r w:rsidRPr="3D83606E">
        <w:rPr>
          <w:b w:val="0"/>
          <w:bCs w:val="0"/>
          <w:color w:val="000000" w:themeColor="text1"/>
          <w:sz w:val="20"/>
          <w:szCs w:val="20"/>
        </w:rPr>
        <w:t xml:space="preserve"> accepts no liability if it relies upon information from the same that is incorrect. Should public information be used in the assessment, the Applicant will be given an opportunity to provide clarification should there be concerns with how that </w:t>
      </w:r>
      <w:r w:rsidRPr="3D83606E">
        <w:rPr>
          <w:b w:val="0"/>
          <w:bCs w:val="0"/>
          <w:sz w:val="20"/>
          <w:szCs w:val="20"/>
        </w:rPr>
        <w:t>information</w:t>
      </w:r>
      <w:r w:rsidRPr="3D83606E">
        <w:rPr>
          <w:b w:val="0"/>
          <w:bCs w:val="0"/>
          <w:color w:val="000000" w:themeColor="text1"/>
          <w:sz w:val="20"/>
          <w:szCs w:val="20"/>
        </w:rPr>
        <w:t xml:space="preserve"> impacts upon the financial assessment</w:t>
      </w:r>
      <w:r w:rsidRPr="3D83606E">
        <w:rPr>
          <w:b w:val="0"/>
          <w:bCs w:val="0"/>
          <w:sz w:val="20"/>
          <w:szCs w:val="20"/>
        </w:rPr>
        <w:t xml:space="preserve">. </w:t>
      </w:r>
    </w:p>
    <w:p w14:paraId="6463C35C" w14:textId="77777777" w:rsidR="0051373E" w:rsidRPr="00585A3E" w:rsidRDefault="0051373E" w:rsidP="00F17F6E">
      <w:pPr>
        <w:pStyle w:val="Heading1"/>
        <w:keepNext/>
        <w:rPr>
          <w:rFonts w:cstheme="minorHAnsi"/>
          <w:b/>
          <w:bCs w:val="0"/>
          <w:sz w:val="20"/>
          <w:szCs w:val="20"/>
        </w:rPr>
      </w:pPr>
      <w:bookmarkStart w:id="59" w:name="_Toc190707095"/>
      <w:bookmarkStart w:id="60" w:name="_Toc190707145"/>
      <w:r w:rsidRPr="00585A3E">
        <w:rPr>
          <w:rFonts w:cstheme="minorHAnsi"/>
          <w:b/>
          <w:sz w:val="20"/>
          <w:szCs w:val="20"/>
        </w:rPr>
        <w:t>Ongoing EFS Monitoring</w:t>
      </w:r>
      <w:bookmarkEnd w:id="59"/>
      <w:bookmarkEnd w:id="60"/>
    </w:p>
    <w:p w14:paraId="624A8F50" w14:textId="5D1B511F" w:rsidR="0051373E" w:rsidRPr="00585A3E" w:rsidRDefault="0051373E" w:rsidP="3D83606E">
      <w:pPr>
        <w:pStyle w:val="Heading2"/>
        <w:rPr>
          <w:b w:val="0"/>
          <w:bCs w:val="0"/>
          <w:sz w:val="20"/>
          <w:szCs w:val="20"/>
        </w:rPr>
      </w:pPr>
      <w:r w:rsidRPr="3D83606E">
        <w:rPr>
          <w:b w:val="0"/>
          <w:bCs w:val="0"/>
          <w:sz w:val="20"/>
          <w:szCs w:val="20"/>
        </w:rPr>
        <w:t xml:space="preserve">If the Applicant is successful at this PSQ stage, </w:t>
      </w:r>
      <w:r w:rsidR="0053020C" w:rsidRPr="3D83606E">
        <w:rPr>
          <w:b w:val="0"/>
          <w:bCs w:val="0"/>
          <w:sz w:val="20"/>
          <w:szCs w:val="20"/>
        </w:rPr>
        <w:t>GBE-N</w:t>
      </w:r>
      <w:r w:rsidRPr="3D83606E">
        <w:rPr>
          <w:b w:val="0"/>
          <w:bCs w:val="0"/>
          <w:sz w:val="20"/>
          <w:szCs w:val="20"/>
        </w:rPr>
        <w:t xml:space="preserve"> reserves all rights to monitor the Economic and Financial Standing of the Applicant throughout the procurement and also during the performance of the contract if the Applicant is successful in this procurement, in particular additional EFS assessments may be conducted in advance of providing funding (if applicable) and the Applicant may be required to provide additional information programme, including pre-Award of this contract. At a minimum, additional assessments against the criteria will be conducted between tranches of funding and the Applicant may be required to provide additional information.</w:t>
      </w:r>
    </w:p>
    <w:p w14:paraId="6168E9AB" w14:textId="77777777" w:rsidR="0051373E" w:rsidRPr="00585A3E" w:rsidRDefault="0051373E" w:rsidP="0051373E">
      <w:pPr>
        <w:pStyle w:val="Heading2"/>
        <w:rPr>
          <w:rFonts w:cstheme="minorHAnsi"/>
          <w:b w:val="0"/>
          <w:sz w:val="20"/>
          <w:szCs w:val="20"/>
        </w:rPr>
      </w:pPr>
      <w:r w:rsidRPr="00585A3E">
        <w:rPr>
          <w:rFonts w:cstheme="minorHAnsi"/>
          <w:b w:val="0"/>
          <w:sz w:val="20"/>
          <w:szCs w:val="20"/>
        </w:rPr>
        <w:t>The successful Applicant will be responsible for reporting changes to its organisational structure, including the use of subcontractors and contractual Financial Distress Events.</w:t>
      </w:r>
    </w:p>
    <w:p w14:paraId="10D93DC2" w14:textId="77777777" w:rsidR="0051373E" w:rsidRPr="00585A3E" w:rsidRDefault="0051373E" w:rsidP="00F17F6E">
      <w:pPr>
        <w:pStyle w:val="Heading1"/>
        <w:keepNext/>
        <w:rPr>
          <w:rFonts w:cstheme="minorHAnsi"/>
          <w:b/>
          <w:sz w:val="20"/>
          <w:szCs w:val="20"/>
        </w:rPr>
      </w:pPr>
      <w:bookmarkStart w:id="61" w:name="_Toc190707096"/>
      <w:bookmarkStart w:id="62" w:name="_Toc190707146"/>
      <w:r w:rsidRPr="00585A3E">
        <w:rPr>
          <w:rFonts w:cstheme="minorHAnsi"/>
          <w:b/>
          <w:sz w:val="20"/>
          <w:szCs w:val="20"/>
        </w:rPr>
        <w:t xml:space="preserve">Economic and Financial Standing </w:t>
      </w:r>
      <w:r>
        <w:rPr>
          <w:rFonts w:cstheme="minorHAnsi"/>
          <w:b/>
          <w:sz w:val="20"/>
          <w:szCs w:val="20"/>
        </w:rPr>
        <w:t>E</w:t>
      </w:r>
      <w:r w:rsidRPr="00585A3E">
        <w:rPr>
          <w:rFonts w:cstheme="minorHAnsi"/>
          <w:b/>
          <w:sz w:val="20"/>
          <w:szCs w:val="20"/>
        </w:rPr>
        <w:t>valuation Criteria</w:t>
      </w:r>
      <w:bookmarkEnd w:id="61"/>
      <w:bookmarkEnd w:id="62"/>
    </w:p>
    <w:p w14:paraId="7922FFE2" w14:textId="77777777" w:rsidR="0051373E" w:rsidRDefault="0051373E" w:rsidP="0051373E">
      <w:pPr>
        <w:pStyle w:val="Heading2"/>
        <w:rPr>
          <w:rFonts w:eastAsia="Calibri"/>
          <w:b w:val="0"/>
          <w:sz w:val="20"/>
          <w:szCs w:val="20"/>
        </w:rPr>
      </w:pPr>
      <w:r w:rsidRPr="004F57BD">
        <w:rPr>
          <w:rFonts w:cstheme="minorHAnsi"/>
          <w:b w:val="0"/>
          <w:sz w:val="20"/>
          <w:szCs w:val="20"/>
        </w:rPr>
        <w:t>Further</w:t>
      </w:r>
      <w:r w:rsidRPr="01DE23B2">
        <w:rPr>
          <w:rFonts w:eastAsia="Calibri"/>
          <w:b w:val="0"/>
          <w:sz w:val="20"/>
          <w:szCs w:val="20"/>
        </w:rPr>
        <w:t xml:space="preserve"> information in relation to the evaluation criteria, methodology, evidence required and examples of what determines a high-risk assessment, are set out below:</w:t>
      </w:r>
    </w:p>
    <w:p w14:paraId="22E1C9BE" w14:textId="01E1DDEA" w:rsidR="0051373E" w:rsidRDefault="0053020C" w:rsidP="3D83606E">
      <w:pPr>
        <w:pStyle w:val="Heading2"/>
      </w:pPr>
      <w:r w:rsidRPr="3D83606E">
        <w:t>GBE-N</w:t>
      </w:r>
      <w:r w:rsidR="0051373E" w:rsidRPr="3D83606E">
        <w:t xml:space="preserve"> will have the discretion to ask for additional information or clarifications, which may include forward looking information, as necessary to complete the assessment. </w:t>
      </w:r>
    </w:p>
    <w:tbl>
      <w:tblPr>
        <w:tblStyle w:val="TableGridLight"/>
        <w:tblW w:w="5000" w:type="pct"/>
        <w:tblLook w:val="0420" w:firstRow="1" w:lastRow="0" w:firstColumn="0" w:lastColumn="0" w:noHBand="0" w:noVBand="1"/>
      </w:tblPr>
      <w:tblGrid>
        <w:gridCol w:w="561"/>
        <w:gridCol w:w="3404"/>
        <w:gridCol w:w="2977"/>
        <w:gridCol w:w="3543"/>
        <w:gridCol w:w="3465"/>
      </w:tblGrid>
      <w:tr w:rsidR="0051373E" w:rsidRPr="007A74BB" w14:paraId="267BB14C" w14:textId="77777777" w:rsidTr="000B3037">
        <w:trPr>
          <w:trHeight w:val="316"/>
          <w:tblHeader/>
        </w:trPr>
        <w:tc>
          <w:tcPr>
            <w:tcW w:w="5000" w:type="pct"/>
            <w:gridSpan w:val="5"/>
          </w:tcPr>
          <w:p w14:paraId="4B055431" w14:textId="77777777" w:rsidR="0051373E" w:rsidRPr="007A74BB" w:rsidRDefault="0051373E" w:rsidP="000B3037">
            <w:pPr>
              <w:pStyle w:val="NormalAshurst"/>
              <w:spacing w:before="120" w:after="120"/>
              <w:rPr>
                <w:b/>
                <w:bCs/>
                <w:sz w:val="20"/>
                <w:szCs w:val="22"/>
              </w:rPr>
            </w:pPr>
            <w:r w:rsidRPr="007A74BB">
              <w:rPr>
                <w:b/>
                <w:bCs/>
                <w:sz w:val="20"/>
                <w:szCs w:val="22"/>
              </w:rPr>
              <w:t>Table 3 – EFS Evaluation Criterion</w:t>
            </w:r>
          </w:p>
        </w:tc>
      </w:tr>
      <w:tr w:rsidR="0051373E" w:rsidRPr="007A74BB" w14:paraId="2049CC82" w14:textId="77777777" w:rsidTr="000B3037">
        <w:trPr>
          <w:trHeight w:val="316"/>
          <w:tblHeader/>
        </w:trPr>
        <w:tc>
          <w:tcPr>
            <w:tcW w:w="201" w:type="pct"/>
          </w:tcPr>
          <w:p w14:paraId="724D6DC0" w14:textId="77777777" w:rsidR="0051373E" w:rsidRPr="00C828BB" w:rsidRDefault="0051373E" w:rsidP="000B3037">
            <w:pPr>
              <w:pStyle w:val="NormalAshurst"/>
              <w:spacing w:before="120" w:after="120"/>
              <w:rPr>
                <w:b/>
                <w:bCs/>
                <w:sz w:val="20"/>
                <w:szCs w:val="22"/>
              </w:rPr>
            </w:pPr>
          </w:p>
        </w:tc>
        <w:tc>
          <w:tcPr>
            <w:tcW w:w="1220" w:type="pct"/>
            <w:hideMark/>
          </w:tcPr>
          <w:p w14:paraId="1F7840FC" w14:textId="77777777" w:rsidR="0051373E" w:rsidRPr="00C828BB" w:rsidRDefault="0051373E" w:rsidP="000B3037">
            <w:pPr>
              <w:pStyle w:val="NormalAshurst"/>
              <w:spacing w:before="120" w:after="120"/>
              <w:rPr>
                <w:b/>
                <w:bCs/>
                <w:sz w:val="20"/>
                <w:szCs w:val="22"/>
              </w:rPr>
            </w:pPr>
            <w:r w:rsidRPr="00C828BB">
              <w:rPr>
                <w:b/>
                <w:bCs/>
                <w:sz w:val="20"/>
                <w:szCs w:val="22"/>
              </w:rPr>
              <w:t>Criteria</w:t>
            </w:r>
          </w:p>
        </w:tc>
        <w:tc>
          <w:tcPr>
            <w:tcW w:w="1067" w:type="pct"/>
            <w:hideMark/>
          </w:tcPr>
          <w:p w14:paraId="6361BC1E" w14:textId="77777777" w:rsidR="0051373E" w:rsidRPr="00C828BB" w:rsidRDefault="0051373E" w:rsidP="000B3037">
            <w:pPr>
              <w:pStyle w:val="NormalAshurst"/>
              <w:spacing w:before="120" w:after="120" w:line="300" w:lineRule="atLeast"/>
              <w:rPr>
                <w:b/>
                <w:bCs/>
                <w:sz w:val="20"/>
                <w:szCs w:val="22"/>
              </w:rPr>
            </w:pPr>
            <w:r w:rsidRPr="00C828BB">
              <w:rPr>
                <w:b/>
                <w:bCs/>
                <w:sz w:val="20"/>
                <w:szCs w:val="22"/>
              </w:rPr>
              <w:t>Assessment Methodology</w:t>
            </w:r>
          </w:p>
        </w:tc>
        <w:tc>
          <w:tcPr>
            <w:tcW w:w="1270" w:type="pct"/>
            <w:hideMark/>
          </w:tcPr>
          <w:p w14:paraId="377AAA0F" w14:textId="77777777" w:rsidR="0051373E" w:rsidRPr="00C828BB" w:rsidRDefault="0051373E" w:rsidP="000B3037">
            <w:pPr>
              <w:pStyle w:val="NormalAshurst"/>
              <w:spacing w:before="120" w:after="120" w:line="300" w:lineRule="atLeast"/>
              <w:rPr>
                <w:b/>
                <w:bCs/>
                <w:sz w:val="20"/>
                <w:szCs w:val="22"/>
              </w:rPr>
            </w:pPr>
            <w:r w:rsidRPr="00C828BB">
              <w:rPr>
                <w:b/>
                <w:bCs/>
                <w:sz w:val="20"/>
                <w:szCs w:val="22"/>
              </w:rPr>
              <w:t>Evidence Required</w:t>
            </w:r>
          </w:p>
        </w:tc>
        <w:tc>
          <w:tcPr>
            <w:tcW w:w="1242" w:type="pct"/>
            <w:hideMark/>
          </w:tcPr>
          <w:p w14:paraId="77DACF26" w14:textId="77777777" w:rsidR="0051373E" w:rsidRPr="00C828BB" w:rsidRDefault="0051373E" w:rsidP="000B3037">
            <w:pPr>
              <w:pStyle w:val="NormalAshurst"/>
              <w:spacing w:before="120" w:after="120" w:line="300" w:lineRule="atLeast"/>
              <w:rPr>
                <w:b/>
                <w:bCs/>
                <w:sz w:val="20"/>
                <w:szCs w:val="22"/>
              </w:rPr>
            </w:pPr>
            <w:r w:rsidRPr="00C828BB">
              <w:rPr>
                <w:b/>
                <w:bCs/>
                <w:sz w:val="20"/>
                <w:szCs w:val="22"/>
              </w:rPr>
              <w:t>Examples of what determine high risk assessment</w:t>
            </w:r>
          </w:p>
        </w:tc>
      </w:tr>
      <w:tr w:rsidR="0051373E" w:rsidRPr="007A74BB" w14:paraId="09E42A23" w14:textId="77777777" w:rsidTr="0039564A">
        <w:trPr>
          <w:trHeight w:val="505"/>
        </w:trPr>
        <w:tc>
          <w:tcPr>
            <w:tcW w:w="201" w:type="pct"/>
          </w:tcPr>
          <w:p w14:paraId="4A3759B0" w14:textId="77777777" w:rsidR="0051373E" w:rsidRPr="00C828BB" w:rsidRDefault="0051373E" w:rsidP="000B3037">
            <w:pPr>
              <w:pStyle w:val="NormalAshurst"/>
              <w:spacing w:before="120" w:after="120"/>
              <w:rPr>
                <w:sz w:val="20"/>
                <w:szCs w:val="22"/>
              </w:rPr>
            </w:pPr>
            <w:r>
              <w:rPr>
                <w:sz w:val="20"/>
                <w:szCs w:val="22"/>
              </w:rPr>
              <w:t>1.</w:t>
            </w:r>
          </w:p>
        </w:tc>
        <w:tc>
          <w:tcPr>
            <w:tcW w:w="1220" w:type="pct"/>
            <w:hideMark/>
          </w:tcPr>
          <w:p w14:paraId="48789332" w14:textId="77777777" w:rsidR="0051373E" w:rsidRPr="007A74BB" w:rsidRDefault="0051373E" w:rsidP="000B3037">
            <w:pPr>
              <w:pStyle w:val="NormalAshurst"/>
              <w:spacing w:before="120" w:after="120" w:line="300" w:lineRule="atLeast"/>
              <w:rPr>
                <w:sz w:val="20"/>
                <w:szCs w:val="22"/>
              </w:rPr>
            </w:pPr>
            <w:r w:rsidRPr="00C828BB">
              <w:rPr>
                <w:sz w:val="20"/>
                <w:szCs w:val="22"/>
              </w:rPr>
              <w:t xml:space="preserve">The </w:t>
            </w:r>
            <w:r w:rsidRPr="00C828BB">
              <w:rPr>
                <w:sz w:val="20"/>
                <w:szCs w:val="22"/>
                <w:u w:val="single"/>
              </w:rPr>
              <w:t xml:space="preserve">Applicant is not in any financial difficulty </w:t>
            </w:r>
            <w:r w:rsidRPr="00C828BB">
              <w:rPr>
                <w:sz w:val="20"/>
                <w:szCs w:val="22"/>
              </w:rPr>
              <w:t xml:space="preserve">or subject to any financial or corporate governance issues that would inform the EFS assessment. </w:t>
            </w:r>
          </w:p>
          <w:p w14:paraId="54B3D255" w14:textId="737756CA" w:rsidR="0051373E" w:rsidRPr="00C828BB" w:rsidRDefault="0051373E" w:rsidP="000B3037">
            <w:pPr>
              <w:pStyle w:val="NormalAshurst"/>
              <w:spacing w:before="120" w:after="120" w:line="300" w:lineRule="atLeast"/>
              <w:rPr>
                <w:sz w:val="20"/>
                <w:szCs w:val="22"/>
              </w:rPr>
            </w:pPr>
            <w:r w:rsidRPr="00C828BB">
              <w:rPr>
                <w:i/>
                <w:iCs/>
                <w:sz w:val="20"/>
                <w:szCs w:val="22"/>
              </w:rPr>
              <w:t xml:space="preserve">Corresponds to </w:t>
            </w:r>
            <w:r w:rsidR="0006401A">
              <w:rPr>
                <w:i/>
                <w:iCs/>
                <w:sz w:val="20"/>
                <w:szCs w:val="22"/>
              </w:rPr>
              <w:t>P</w:t>
            </w:r>
            <w:r w:rsidRPr="00C828BB">
              <w:rPr>
                <w:i/>
                <w:iCs/>
                <w:sz w:val="20"/>
                <w:szCs w:val="22"/>
              </w:rPr>
              <w:t>SQ Questions 1</w:t>
            </w:r>
            <w:r w:rsidR="00A31CB7">
              <w:rPr>
                <w:i/>
                <w:iCs/>
                <w:sz w:val="20"/>
                <w:szCs w:val="22"/>
              </w:rPr>
              <w:t>2</w:t>
            </w:r>
            <w:r w:rsidRPr="00C828BB">
              <w:rPr>
                <w:i/>
                <w:iCs/>
                <w:sz w:val="20"/>
                <w:szCs w:val="22"/>
              </w:rPr>
              <w:t>-</w:t>
            </w:r>
            <w:r w:rsidR="00A31CB7">
              <w:rPr>
                <w:i/>
                <w:iCs/>
                <w:sz w:val="20"/>
                <w:szCs w:val="22"/>
              </w:rPr>
              <w:t>16</w:t>
            </w:r>
            <w:r w:rsidRPr="00C828BB">
              <w:rPr>
                <w:i/>
                <w:iCs/>
                <w:sz w:val="20"/>
                <w:szCs w:val="22"/>
              </w:rPr>
              <w:t xml:space="preserve">. Information provided in response to any </w:t>
            </w:r>
            <w:r w:rsidR="00744D06">
              <w:rPr>
                <w:i/>
                <w:iCs/>
                <w:sz w:val="20"/>
                <w:szCs w:val="22"/>
              </w:rPr>
              <w:t>Part 3A (Questions 12-22)</w:t>
            </w:r>
            <w:r w:rsidR="00744D06" w:rsidRPr="00C828BB">
              <w:rPr>
                <w:i/>
                <w:iCs/>
                <w:sz w:val="20"/>
                <w:szCs w:val="22"/>
              </w:rPr>
              <w:t xml:space="preserve"> </w:t>
            </w:r>
            <w:r w:rsidRPr="00C828BB">
              <w:rPr>
                <w:i/>
                <w:iCs/>
                <w:sz w:val="20"/>
                <w:szCs w:val="22"/>
              </w:rPr>
              <w:t xml:space="preserve">question may be used in the assessment of this criteria. </w:t>
            </w:r>
          </w:p>
        </w:tc>
        <w:tc>
          <w:tcPr>
            <w:tcW w:w="1067" w:type="pct"/>
            <w:hideMark/>
          </w:tcPr>
          <w:p w14:paraId="1198F9AC"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Financial Viability Risk Assessment (FVRA) template outcome.</w:t>
            </w:r>
          </w:p>
          <w:p w14:paraId="34AEF973"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Review of press releases and public media statements. </w:t>
            </w:r>
          </w:p>
          <w:p w14:paraId="37A492EF"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Review of share price trend, if applicable. </w:t>
            </w:r>
          </w:p>
          <w:p w14:paraId="3FA5B2B7"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Trend analysis of financials to see growth over time. </w:t>
            </w:r>
          </w:p>
          <w:p w14:paraId="52C5F2CB"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Review of credit score, if applicable. </w:t>
            </w:r>
          </w:p>
          <w:p w14:paraId="0F002732"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Review of Auditor Report, if applicable. </w:t>
            </w:r>
          </w:p>
        </w:tc>
        <w:tc>
          <w:tcPr>
            <w:tcW w:w="1270" w:type="pct"/>
            <w:hideMark/>
          </w:tcPr>
          <w:p w14:paraId="13EC6DA7" w14:textId="77777777" w:rsidR="0051373E" w:rsidRPr="00C828BB" w:rsidRDefault="0051373E" w:rsidP="000B51B2">
            <w:pPr>
              <w:pStyle w:val="NormalAshurst"/>
              <w:numPr>
                <w:ilvl w:val="0"/>
                <w:numId w:val="52"/>
              </w:numPr>
              <w:spacing w:line="300" w:lineRule="atLeast"/>
              <w:rPr>
                <w:sz w:val="20"/>
                <w:szCs w:val="22"/>
              </w:rPr>
            </w:pPr>
            <w:proofErr w:type="gramStart"/>
            <w:r w:rsidRPr="00C828BB">
              <w:rPr>
                <w:sz w:val="20"/>
                <w:szCs w:val="22"/>
              </w:rPr>
              <w:t>Applicant’s</w:t>
            </w:r>
            <w:proofErr w:type="gramEnd"/>
            <w:r w:rsidRPr="00C828BB">
              <w:rPr>
                <w:sz w:val="20"/>
                <w:szCs w:val="22"/>
              </w:rPr>
              <w:t xml:space="preserve"> completed FVRA template.</w:t>
            </w:r>
          </w:p>
          <w:p w14:paraId="703753E4" w14:textId="44498ADA"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Two years of audited accounts for the Applicant and any other entity that has submitted an FVRA tool, or other financial information as detailed in question </w:t>
            </w:r>
            <w:r w:rsidR="00A31CB7">
              <w:rPr>
                <w:sz w:val="20"/>
                <w:szCs w:val="22"/>
              </w:rPr>
              <w:t>1</w:t>
            </w:r>
            <w:r w:rsidR="00FD4E43">
              <w:rPr>
                <w:sz w:val="20"/>
                <w:szCs w:val="22"/>
              </w:rPr>
              <w:t>6</w:t>
            </w:r>
            <w:r w:rsidRPr="00C828BB">
              <w:rPr>
                <w:sz w:val="20"/>
                <w:szCs w:val="22"/>
              </w:rPr>
              <w:t xml:space="preserve">. </w:t>
            </w:r>
          </w:p>
          <w:p w14:paraId="159A42D3" w14:textId="1D4ABB0B" w:rsidR="0051373E" w:rsidRPr="00C828BB" w:rsidRDefault="0051373E" w:rsidP="000B51B2">
            <w:pPr>
              <w:pStyle w:val="NormalAshurst"/>
              <w:numPr>
                <w:ilvl w:val="0"/>
                <w:numId w:val="52"/>
              </w:numPr>
              <w:spacing w:line="300" w:lineRule="atLeast"/>
              <w:rPr>
                <w:sz w:val="20"/>
                <w:szCs w:val="22"/>
              </w:rPr>
            </w:pPr>
            <w:r w:rsidRPr="00C828BB">
              <w:rPr>
                <w:sz w:val="20"/>
                <w:szCs w:val="22"/>
              </w:rPr>
              <w:t>Confirmation / explanation of any post-balance sheet events, additional information in question</w:t>
            </w:r>
            <w:r w:rsidR="00FD4E43">
              <w:rPr>
                <w:sz w:val="20"/>
                <w:szCs w:val="22"/>
              </w:rPr>
              <w:t>s</w:t>
            </w:r>
            <w:r w:rsidRPr="00C828BB">
              <w:rPr>
                <w:sz w:val="20"/>
                <w:szCs w:val="22"/>
              </w:rPr>
              <w:t xml:space="preserve"> </w:t>
            </w:r>
            <w:r w:rsidR="00FD4E43">
              <w:rPr>
                <w:sz w:val="20"/>
                <w:szCs w:val="22"/>
              </w:rPr>
              <w:t>17-21</w:t>
            </w:r>
          </w:p>
          <w:p w14:paraId="5A0248D4" w14:textId="77777777" w:rsidR="0051373E" w:rsidRPr="00C828BB" w:rsidRDefault="0051373E" w:rsidP="000B3037">
            <w:pPr>
              <w:pStyle w:val="NormalAshurst"/>
              <w:spacing w:before="120" w:after="120" w:line="300" w:lineRule="atLeast"/>
              <w:rPr>
                <w:sz w:val="20"/>
                <w:szCs w:val="22"/>
              </w:rPr>
            </w:pPr>
            <w:r w:rsidRPr="00C828BB">
              <w:rPr>
                <w:sz w:val="20"/>
                <w:szCs w:val="22"/>
              </w:rPr>
              <w:t xml:space="preserve">If high risk: </w:t>
            </w:r>
          </w:p>
          <w:p w14:paraId="24B0E55A"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Evidence of additional committed support e.g., Parent Company Guarantee, Funding Guarantee, Indemnity </w:t>
            </w:r>
          </w:p>
          <w:p w14:paraId="315B7C99"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Additional assurances listed for each financial metric.</w:t>
            </w:r>
          </w:p>
        </w:tc>
        <w:tc>
          <w:tcPr>
            <w:tcW w:w="1242" w:type="pct"/>
            <w:hideMark/>
          </w:tcPr>
          <w:p w14:paraId="1DC7B753"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Poor performance track record at company or parent level assessed based on ratio tests in FVRA (any metric falls under high risk)</w:t>
            </w:r>
          </w:p>
          <w:p w14:paraId="11D0B868"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Negative press releases and reputational concerns</w:t>
            </w:r>
          </w:p>
          <w:p w14:paraId="0F3F2BAD"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An unexplained sudden or prolonged share price drop</w:t>
            </w:r>
          </w:p>
          <w:p w14:paraId="057B40AD" w14:textId="15C5A789" w:rsidR="0051373E" w:rsidRPr="00C828BB" w:rsidRDefault="0051373E" w:rsidP="000B51B2">
            <w:pPr>
              <w:pStyle w:val="NormalAshurst"/>
              <w:numPr>
                <w:ilvl w:val="0"/>
                <w:numId w:val="52"/>
              </w:numPr>
              <w:spacing w:line="300" w:lineRule="atLeast"/>
              <w:rPr>
                <w:sz w:val="20"/>
                <w:szCs w:val="22"/>
              </w:rPr>
            </w:pPr>
            <w:r w:rsidRPr="00C828BB">
              <w:rPr>
                <w:sz w:val="20"/>
                <w:szCs w:val="22"/>
              </w:rPr>
              <w:t>Decreasing N</w:t>
            </w:r>
            <w:r w:rsidR="0039564A">
              <w:rPr>
                <w:sz w:val="20"/>
                <w:szCs w:val="22"/>
              </w:rPr>
              <w:t xml:space="preserve">et </w:t>
            </w:r>
            <w:r w:rsidRPr="00C828BB">
              <w:rPr>
                <w:sz w:val="20"/>
                <w:szCs w:val="22"/>
              </w:rPr>
              <w:t>A</w:t>
            </w:r>
            <w:r w:rsidR="0039564A">
              <w:rPr>
                <w:sz w:val="20"/>
                <w:szCs w:val="22"/>
              </w:rPr>
              <w:t xml:space="preserve">sset </w:t>
            </w:r>
            <w:r w:rsidRPr="00C828BB">
              <w:rPr>
                <w:sz w:val="20"/>
                <w:szCs w:val="22"/>
              </w:rPr>
              <w:t>V</w:t>
            </w:r>
            <w:r w:rsidR="0039564A">
              <w:rPr>
                <w:sz w:val="20"/>
                <w:szCs w:val="22"/>
              </w:rPr>
              <w:t>alue (NAV)</w:t>
            </w:r>
            <w:r w:rsidRPr="00C828BB">
              <w:rPr>
                <w:sz w:val="20"/>
                <w:szCs w:val="22"/>
              </w:rPr>
              <w:t xml:space="preserve"> year on year, if history is available. </w:t>
            </w:r>
          </w:p>
          <w:p w14:paraId="646CE27F"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Low or negative NAV </w:t>
            </w:r>
          </w:p>
          <w:p w14:paraId="4039FE13"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A ‘poor’ lending score </w:t>
            </w:r>
          </w:p>
          <w:p w14:paraId="0BD4F3E0"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A qualified auditor </w:t>
            </w:r>
            <w:proofErr w:type="gramStart"/>
            <w:r w:rsidRPr="00C828BB">
              <w:rPr>
                <w:sz w:val="20"/>
                <w:szCs w:val="22"/>
              </w:rPr>
              <w:t>report</w:t>
            </w:r>
            <w:proofErr w:type="gramEnd"/>
            <w:r w:rsidRPr="00C828BB">
              <w:rPr>
                <w:sz w:val="20"/>
                <w:szCs w:val="22"/>
              </w:rPr>
              <w:t xml:space="preserve"> </w:t>
            </w:r>
          </w:p>
          <w:p w14:paraId="039C8B1B" w14:textId="77777777" w:rsidR="0051373E" w:rsidRPr="007A74BB" w:rsidRDefault="0051373E" w:rsidP="000B51B2">
            <w:pPr>
              <w:pStyle w:val="NormalAshurst"/>
              <w:numPr>
                <w:ilvl w:val="0"/>
                <w:numId w:val="52"/>
              </w:numPr>
              <w:spacing w:line="300" w:lineRule="atLeast"/>
              <w:rPr>
                <w:sz w:val="20"/>
                <w:szCs w:val="22"/>
              </w:rPr>
            </w:pPr>
            <w:r w:rsidRPr="00C828BB">
              <w:rPr>
                <w:sz w:val="20"/>
                <w:szCs w:val="22"/>
              </w:rPr>
              <w:t xml:space="preserve">Material issues with risks/controls/processes/ misstatements per the (audited) financial statements. Indication of Applicant being in insolvency/ restructuring/ wind up process </w:t>
            </w:r>
          </w:p>
          <w:p w14:paraId="27913D2A"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Significant balances owed, legal claims or undelivered work. </w:t>
            </w:r>
          </w:p>
        </w:tc>
      </w:tr>
      <w:tr w:rsidR="0051373E" w:rsidRPr="007A74BB" w14:paraId="7CBB4260" w14:textId="77777777" w:rsidTr="00D1538A">
        <w:trPr>
          <w:trHeight w:val="1072"/>
        </w:trPr>
        <w:tc>
          <w:tcPr>
            <w:tcW w:w="201" w:type="pct"/>
          </w:tcPr>
          <w:p w14:paraId="113124D5" w14:textId="77777777" w:rsidR="0051373E" w:rsidRPr="00C828BB" w:rsidRDefault="0051373E" w:rsidP="000B3037">
            <w:pPr>
              <w:pStyle w:val="NormalAshurst"/>
              <w:spacing w:before="120" w:after="120"/>
              <w:rPr>
                <w:sz w:val="20"/>
                <w:szCs w:val="22"/>
              </w:rPr>
            </w:pPr>
            <w:r>
              <w:rPr>
                <w:sz w:val="20"/>
                <w:szCs w:val="22"/>
              </w:rPr>
              <w:t>2.</w:t>
            </w:r>
          </w:p>
        </w:tc>
        <w:tc>
          <w:tcPr>
            <w:tcW w:w="1220" w:type="pct"/>
            <w:hideMark/>
          </w:tcPr>
          <w:p w14:paraId="255EC7FD" w14:textId="6FF2514E" w:rsidR="0051373E" w:rsidRPr="00C828BB" w:rsidRDefault="0051373E" w:rsidP="000B3037">
            <w:pPr>
              <w:pStyle w:val="NormalAshurst"/>
              <w:spacing w:before="120" w:after="120" w:line="300" w:lineRule="atLeast"/>
              <w:rPr>
                <w:sz w:val="20"/>
                <w:szCs w:val="22"/>
              </w:rPr>
            </w:pPr>
            <w:r w:rsidRPr="00C828BB">
              <w:rPr>
                <w:sz w:val="20"/>
                <w:szCs w:val="22"/>
              </w:rPr>
              <w:t xml:space="preserve">The Applicant </w:t>
            </w:r>
            <w:r w:rsidRPr="00C828BB">
              <w:rPr>
                <w:sz w:val="20"/>
                <w:szCs w:val="22"/>
                <w:u w:val="single"/>
              </w:rPr>
              <w:t xml:space="preserve">can meet all its current financial obligations for a minimum of 12 months </w:t>
            </w:r>
            <w:r w:rsidRPr="00C828BB">
              <w:rPr>
                <w:sz w:val="20"/>
                <w:szCs w:val="22"/>
              </w:rPr>
              <w:t xml:space="preserve">from the point of the </w:t>
            </w:r>
            <w:r w:rsidR="001E296E">
              <w:rPr>
                <w:sz w:val="20"/>
                <w:szCs w:val="22"/>
              </w:rPr>
              <w:t>P</w:t>
            </w:r>
            <w:r w:rsidRPr="00C828BB">
              <w:rPr>
                <w:sz w:val="20"/>
                <w:szCs w:val="22"/>
              </w:rPr>
              <w:t>SQ submission date, as listed in the procurement timetable.</w:t>
            </w:r>
          </w:p>
          <w:p w14:paraId="402AE8C3" w14:textId="44FBB0F4" w:rsidR="0051373E" w:rsidRPr="00C828BB" w:rsidRDefault="0051373E" w:rsidP="000B3037">
            <w:pPr>
              <w:pStyle w:val="NormalAshurst"/>
              <w:spacing w:before="120" w:after="120" w:line="300" w:lineRule="atLeast"/>
              <w:rPr>
                <w:sz w:val="20"/>
                <w:szCs w:val="22"/>
              </w:rPr>
            </w:pPr>
            <w:r w:rsidRPr="00C828BB">
              <w:rPr>
                <w:i/>
                <w:iCs/>
                <w:sz w:val="20"/>
                <w:szCs w:val="22"/>
              </w:rPr>
              <w:t xml:space="preserve">Corresponds to </w:t>
            </w:r>
            <w:r w:rsidR="001E296E">
              <w:rPr>
                <w:i/>
                <w:iCs/>
                <w:sz w:val="20"/>
                <w:szCs w:val="22"/>
              </w:rPr>
              <w:t>P</w:t>
            </w:r>
            <w:r w:rsidRPr="00C828BB">
              <w:rPr>
                <w:i/>
                <w:iCs/>
                <w:sz w:val="20"/>
                <w:szCs w:val="22"/>
              </w:rPr>
              <w:t xml:space="preserve">SQ Question </w:t>
            </w:r>
            <w:r w:rsidR="00FD4E43">
              <w:rPr>
                <w:i/>
                <w:iCs/>
                <w:sz w:val="20"/>
                <w:szCs w:val="22"/>
              </w:rPr>
              <w:t>22</w:t>
            </w:r>
            <w:r w:rsidRPr="00C828BB">
              <w:rPr>
                <w:i/>
                <w:iCs/>
                <w:sz w:val="20"/>
                <w:szCs w:val="22"/>
              </w:rPr>
              <w:t xml:space="preserve"> Information provided in response to any question may be used in the assessment of this criteria</w:t>
            </w:r>
          </w:p>
        </w:tc>
        <w:tc>
          <w:tcPr>
            <w:tcW w:w="1067" w:type="pct"/>
            <w:hideMark/>
          </w:tcPr>
          <w:p w14:paraId="49304EFD"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Assessment of current net cashflow (positive/negative) </w:t>
            </w:r>
          </w:p>
          <w:p w14:paraId="5D532B0E"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Assessment of next 12 month forecast cash flow against current forecast obligations (current liabilities and operating costs</w:t>
            </w:r>
          </w:p>
        </w:tc>
        <w:tc>
          <w:tcPr>
            <w:tcW w:w="1270" w:type="pct"/>
            <w:hideMark/>
          </w:tcPr>
          <w:p w14:paraId="5AA7AE8C" w14:textId="77777777" w:rsidR="0051373E" w:rsidRPr="00C828BB" w:rsidRDefault="0051373E" w:rsidP="000B3037">
            <w:pPr>
              <w:pStyle w:val="NormalAshurst"/>
              <w:spacing w:before="120" w:after="120" w:line="300" w:lineRule="atLeast"/>
              <w:rPr>
                <w:sz w:val="20"/>
                <w:szCs w:val="22"/>
              </w:rPr>
            </w:pPr>
            <w:r w:rsidRPr="00C828BB">
              <w:rPr>
                <w:sz w:val="20"/>
                <w:szCs w:val="22"/>
              </w:rPr>
              <w:t xml:space="preserve">To be evidenced by: </w:t>
            </w:r>
          </w:p>
          <w:p w14:paraId="6DE0115D"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Current cash flow </w:t>
            </w:r>
          </w:p>
          <w:p w14:paraId="48071B30" w14:textId="3E260C88"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Forecast cash flow for 12 months from the point of the </w:t>
            </w:r>
            <w:r w:rsidR="001E296E">
              <w:rPr>
                <w:sz w:val="20"/>
                <w:szCs w:val="22"/>
              </w:rPr>
              <w:t>P</w:t>
            </w:r>
            <w:r w:rsidRPr="00C828BB">
              <w:rPr>
                <w:sz w:val="20"/>
                <w:szCs w:val="22"/>
              </w:rPr>
              <w:t xml:space="preserve">SQ submission date </w:t>
            </w:r>
          </w:p>
          <w:p w14:paraId="53AAEAC3" w14:textId="77777777" w:rsidR="0051373E" w:rsidRPr="00C828BB" w:rsidRDefault="0051373E" w:rsidP="000B3037">
            <w:pPr>
              <w:pStyle w:val="NormalAshurst"/>
              <w:spacing w:before="120" w:after="120" w:line="300" w:lineRule="atLeast"/>
              <w:rPr>
                <w:sz w:val="20"/>
                <w:szCs w:val="22"/>
              </w:rPr>
            </w:pPr>
            <w:r w:rsidRPr="00C828BB">
              <w:rPr>
                <w:sz w:val="20"/>
                <w:szCs w:val="22"/>
              </w:rPr>
              <w:t xml:space="preserve">If high risk: </w:t>
            </w:r>
          </w:p>
          <w:p w14:paraId="5EFD0B03"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If current or forecast cashflow is negative, supplementary evidence is proof of access to funds (committed fund injections, credit facilities) to cover the 12 months of financial obligations expected.</w:t>
            </w:r>
          </w:p>
          <w:p w14:paraId="2C9C5991"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Evidence of additional committed support e.g., Parent Company Guarantee, Funding Guarantee, Indemnity </w:t>
            </w:r>
          </w:p>
          <w:p w14:paraId="0524E399"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 xml:space="preserve">Plan details of future fund </w:t>
            </w:r>
            <w:proofErr w:type="gramStart"/>
            <w:r w:rsidRPr="00C828BB">
              <w:rPr>
                <w:sz w:val="20"/>
                <w:szCs w:val="22"/>
              </w:rPr>
              <w:t>raises</w:t>
            </w:r>
            <w:proofErr w:type="gramEnd"/>
            <w:r w:rsidRPr="00C828BB">
              <w:rPr>
                <w:sz w:val="20"/>
                <w:szCs w:val="22"/>
              </w:rPr>
              <w:t xml:space="preserve"> within the next 12 months.</w:t>
            </w:r>
          </w:p>
          <w:p w14:paraId="733C28D7" w14:textId="43DB23CD" w:rsidR="0051373E" w:rsidRPr="00C828BB" w:rsidRDefault="0051373E" w:rsidP="000B51B2">
            <w:pPr>
              <w:pStyle w:val="NormalAshurst"/>
              <w:numPr>
                <w:ilvl w:val="0"/>
                <w:numId w:val="52"/>
              </w:numPr>
              <w:spacing w:line="300" w:lineRule="atLeast"/>
              <w:rPr>
                <w:sz w:val="20"/>
                <w:szCs w:val="22"/>
              </w:rPr>
            </w:pPr>
            <w:r w:rsidRPr="00C828BB">
              <w:rPr>
                <w:sz w:val="20"/>
                <w:szCs w:val="22"/>
              </w:rPr>
              <w:t>Forecasts of additional future revenue streams and costs (signed by F</w:t>
            </w:r>
            <w:r w:rsidR="006A6EAC">
              <w:rPr>
                <w:sz w:val="20"/>
                <w:szCs w:val="22"/>
              </w:rPr>
              <w:t xml:space="preserve">inancial </w:t>
            </w:r>
            <w:r w:rsidRPr="00C828BB">
              <w:rPr>
                <w:sz w:val="20"/>
                <w:szCs w:val="22"/>
              </w:rPr>
              <w:t>D</w:t>
            </w:r>
            <w:r w:rsidR="006A6EAC">
              <w:rPr>
                <w:sz w:val="20"/>
                <w:szCs w:val="22"/>
              </w:rPr>
              <w:t>irector</w:t>
            </w:r>
            <w:r w:rsidRPr="00C828BB">
              <w:rPr>
                <w:sz w:val="20"/>
                <w:szCs w:val="22"/>
              </w:rPr>
              <w:t xml:space="preserve">) </w:t>
            </w:r>
          </w:p>
        </w:tc>
        <w:tc>
          <w:tcPr>
            <w:tcW w:w="1242" w:type="pct"/>
            <w:hideMark/>
          </w:tcPr>
          <w:p w14:paraId="65F7AC26"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Net Cash flow is negative</w:t>
            </w:r>
          </w:p>
          <w:p w14:paraId="69942B4F"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Cash and Cash Equivalents do not cover 12 months of obligations (current liabilities and operating costs): (Current Assets-Current Liabilities)/Operating costs</w:t>
            </w:r>
          </w:p>
          <w:p w14:paraId="744E590D" w14:textId="77777777" w:rsidR="0051373E" w:rsidRPr="00C828BB" w:rsidRDefault="0051373E" w:rsidP="000B51B2">
            <w:pPr>
              <w:pStyle w:val="NormalAshurst"/>
              <w:numPr>
                <w:ilvl w:val="0"/>
                <w:numId w:val="52"/>
              </w:numPr>
              <w:spacing w:line="300" w:lineRule="atLeast"/>
              <w:rPr>
                <w:sz w:val="20"/>
                <w:szCs w:val="22"/>
              </w:rPr>
            </w:pPr>
            <w:r w:rsidRPr="00C828BB">
              <w:rPr>
                <w:sz w:val="20"/>
                <w:szCs w:val="22"/>
              </w:rPr>
              <w:t>Next 12 months of operating costs and current liabilities are not covered by current balance sheet’s NAV, i.e., multiple of NAV/operating costs &lt;1</w:t>
            </w:r>
          </w:p>
        </w:tc>
      </w:tr>
    </w:tbl>
    <w:p w14:paraId="36EE6A6A" w14:textId="77777777" w:rsidR="0051373E" w:rsidRDefault="0051373E" w:rsidP="0051373E">
      <w:pPr>
        <w:pStyle w:val="NormalAshurst"/>
        <w:spacing w:before="120" w:after="120"/>
        <w:rPr>
          <w:b/>
          <w:bCs/>
          <w:sz w:val="20"/>
        </w:rPr>
      </w:pPr>
    </w:p>
    <w:p w14:paraId="737542FD" w14:textId="77777777" w:rsidR="0051373E" w:rsidRPr="008B20A4" w:rsidRDefault="0051373E" w:rsidP="0051373E">
      <w:pPr>
        <w:pStyle w:val="Heading2"/>
        <w:rPr>
          <w:b w:val="0"/>
          <w:bCs w:val="0"/>
        </w:rPr>
      </w:pPr>
      <w:r w:rsidRPr="00B35DFB">
        <w:t>Table 4 – Financial Robustness</w:t>
      </w:r>
      <w:r w:rsidRPr="008B20A4">
        <w:t xml:space="preserve"> Metric and associated thresholds</w:t>
      </w:r>
    </w:p>
    <w:p w14:paraId="7497E5FC" w14:textId="19B590E1" w:rsidR="0051373E" w:rsidRPr="006A19EF" w:rsidRDefault="0051373E" w:rsidP="0051373E">
      <w:pPr>
        <w:spacing w:after="240"/>
      </w:pPr>
      <w:r>
        <w:t xml:space="preserve">The information provided in response to the questions in </w:t>
      </w:r>
      <w:r w:rsidR="00651CF2">
        <w:t>Part 3A (Questions 12-22)</w:t>
      </w:r>
      <w:r>
        <w:t xml:space="preserve"> of the PSQ (Economic and Financial Standing) will be assessed as described in Section </w:t>
      </w:r>
      <w:r w:rsidR="00CB3647">
        <w:t>D</w:t>
      </w:r>
      <w:r>
        <w:t xml:space="preserve"> of the PSQ.</w:t>
      </w:r>
    </w:p>
    <w:p w14:paraId="025EDAFA" w14:textId="42738118" w:rsidR="0051373E" w:rsidRDefault="0051373E" w:rsidP="0051373E">
      <w:pPr>
        <w:spacing w:after="240"/>
      </w:pPr>
      <w:r>
        <w:t xml:space="preserve">Table 4 explains what the Pass/Fail section assesses, the basis of calculation and the threshold for a Pass or Fail. Applicants should read this in conjunction with Section </w:t>
      </w:r>
      <w:r w:rsidR="00090658">
        <w:t>D</w:t>
      </w:r>
      <w:r>
        <w:t xml:space="preserve"> of the </w:t>
      </w:r>
      <w:r w:rsidR="00903BA1">
        <w:t>P</w:t>
      </w:r>
      <w:r>
        <w:t>SQ.</w:t>
      </w:r>
    </w:p>
    <w:tbl>
      <w:tblPr>
        <w:tblW w:w="0" w:type="auto"/>
        <w:tblCellMar>
          <w:left w:w="0" w:type="dxa"/>
          <w:right w:w="0" w:type="dxa"/>
        </w:tblCellMar>
        <w:tblLook w:val="04A0" w:firstRow="1" w:lastRow="0" w:firstColumn="1" w:lastColumn="0" w:noHBand="0" w:noVBand="1"/>
      </w:tblPr>
      <w:tblGrid>
        <w:gridCol w:w="846"/>
        <w:gridCol w:w="2126"/>
        <w:gridCol w:w="4971"/>
        <w:gridCol w:w="1839"/>
        <w:gridCol w:w="2271"/>
        <w:gridCol w:w="1854"/>
      </w:tblGrid>
      <w:tr w:rsidR="00F66CD1" w14:paraId="0016E600" w14:textId="77777777" w:rsidTr="00F66CD1">
        <w:trPr>
          <w:trHeight w:val="382"/>
        </w:trPr>
        <w:tc>
          <w:tcPr>
            <w:tcW w:w="84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3AC96B68" w14:textId="77777777" w:rsidR="00F66CD1" w:rsidRDefault="00F66CD1">
            <w:pPr>
              <w:spacing w:after="0" w:line="240" w:lineRule="auto"/>
              <w:rPr>
                <w:lang w:eastAsia="zh-TW"/>
              </w:rPr>
            </w:pPr>
            <w:r>
              <w:rPr>
                <w:rFonts w:ascii="Calibri" w:hAnsi="Calibri" w:cs="Calibri"/>
                <w:b/>
                <w:bCs/>
                <w:color w:val="000000"/>
              </w:rPr>
              <w:t> </w:t>
            </w:r>
          </w:p>
        </w:tc>
        <w:tc>
          <w:tcPr>
            <w:tcW w:w="2126"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5C2A463A" w14:textId="77777777" w:rsidR="00F66CD1" w:rsidRDefault="00F66CD1">
            <w:pPr>
              <w:spacing w:after="0" w:line="240" w:lineRule="auto"/>
            </w:pPr>
            <w:r>
              <w:rPr>
                <w:b/>
                <w:bCs/>
                <w:color w:val="000000"/>
              </w:rPr>
              <w:t>Metrics</w:t>
            </w:r>
          </w:p>
        </w:tc>
        <w:tc>
          <w:tcPr>
            <w:tcW w:w="4971"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5CD509EB" w14:textId="77777777" w:rsidR="00F66CD1" w:rsidRDefault="00F66CD1">
            <w:pPr>
              <w:spacing w:after="0" w:line="240" w:lineRule="auto"/>
            </w:pPr>
            <w:r>
              <w:rPr>
                <w:b/>
                <w:bCs/>
                <w:color w:val="000000"/>
              </w:rPr>
              <w:t xml:space="preserve">Calculation </w:t>
            </w:r>
          </w:p>
        </w:tc>
        <w:tc>
          <w:tcPr>
            <w:tcW w:w="5964" w:type="dxa"/>
            <w:gridSpan w:val="3"/>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3EA56F5" w14:textId="77777777" w:rsidR="00F66CD1" w:rsidRDefault="00F66CD1">
            <w:pPr>
              <w:spacing w:after="0" w:line="240" w:lineRule="auto"/>
              <w:jc w:val="center"/>
            </w:pPr>
            <w:r>
              <w:rPr>
                <w:b/>
                <w:bCs/>
                <w:color w:val="000000"/>
              </w:rPr>
              <w:t>Threshold</w:t>
            </w:r>
          </w:p>
        </w:tc>
      </w:tr>
      <w:tr w:rsidR="00F66CD1" w14:paraId="5ABDC550" w14:textId="77777777" w:rsidTr="00F66CD1">
        <w:trPr>
          <w:trHeight w:val="382"/>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9823E2F" w14:textId="77777777" w:rsidR="00F66CD1" w:rsidRDefault="00F66CD1">
            <w:pPr>
              <w:spacing w:after="0" w:line="240" w:lineRule="auto"/>
            </w:pPr>
            <w:r>
              <w:rPr>
                <w:color w:val="000000"/>
              </w:rPr>
              <w:t> </w:t>
            </w:r>
          </w:p>
        </w:tc>
        <w:tc>
          <w:tcPr>
            <w:tcW w:w="2126" w:type="dxa"/>
            <w:tcBorders>
              <w:top w:val="nil"/>
              <w:left w:val="nil"/>
              <w:bottom w:val="single" w:sz="8" w:space="0" w:color="999999"/>
              <w:right w:val="single" w:sz="8" w:space="0" w:color="999999"/>
            </w:tcBorders>
            <w:tcMar>
              <w:top w:w="0" w:type="dxa"/>
              <w:left w:w="108" w:type="dxa"/>
              <w:bottom w:w="0" w:type="dxa"/>
              <w:right w:w="108" w:type="dxa"/>
            </w:tcMar>
            <w:hideMark/>
          </w:tcPr>
          <w:p w14:paraId="64983CAF" w14:textId="77777777" w:rsidR="00F66CD1" w:rsidRDefault="00F66CD1">
            <w:pPr>
              <w:spacing w:after="0" w:line="240" w:lineRule="auto"/>
            </w:pPr>
            <w:r>
              <w:rPr>
                <w:b/>
                <w:bCs/>
                <w:color w:val="000000"/>
              </w:rPr>
              <w:t> </w:t>
            </w:r>
          </w:p>
        </w:tc>
        <w:tc>
          <w:tcPr>
            <w:tcW w:w="4971" w:type="dxa"/>
            <w:tcBorders>
              <w:top w:val="nil"/>
              <w:left w:val="nil"/>
              <w:bottom w:val="single" w:sz="8" w:space="0" w:color="999999"/>
              <w:right w:val="single" w:sz="8" w:space="0" w:color="999999"/>
            </w:tcBorders>
            <w:tcMar>
              <w:top w:w="0" w:type="dxa"/>
              <w:left w:w="108" w:type="dxa"/>
              <w:bottom w:w="0" w:type="dxa"/>
              <w:right w:w="108" w:type="dxa"/>
            </w:tcMar>
            <w:hideMark/>
          </w:tcPr>
          <w:p w14:paraId="3F5CE221" w14:textId="77777777" w:rsidR="00F66CD1" w:rsidRDefault="00F66CD1">
            <w:pPr>
              <w:spacing w:after="0" w:line="240" w:lineRule="auto"/>
            </w:pPr>
            <w:r>
              <w:rPr>
                <w:b/>
                <w:bCs/>
                <w:color w:val="000000"/>
              </w:rPr>
              <w:t> </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95BEA78" w14:textId="77777777" w:rsidR="00F66CD1" w:rsidRDefault="00F66CD1">
            <w:pPr>
              <w:spacing w:after="0" w:line="240" w:lineRule="auto"/>
              <w:jc w:val="center"/>
            </w:pPr>
            <w:r>
              <w:rPr>
                <w:b/>
                <w:bCs/>
                <w:color w:val="000000"/>
              </w:rPr>
              <w:t>Low Risk</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63EFFAC" w14:textId="77777777" w:rsidR="00F66CD1" w:rsidRDefault="00F66CD1">
            <w:pPr>
              <w:spacing w:after="0" w:line="240" w:lineRule="auto"/>
              <w:jc w:val="center"/>
            </w:pPr>
            <w:r>
              <w:rPr>
                <w:b/>
                <w:bCs/>
                <w:color w:val="000000"/>
              </w:rPr>
              <w:t>Medium Risk</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9E3298C" w14:textId="77777777" w:rsidR="00F66CD1" w:rsidRDefault="00F66CD1">
            <w:pPr>
              <w:spacing w:after="0" w:line="240" w:lineRule="auto"/>
              <w:jc w:val="center"/>
            </w:pPr>
            <w:r>
              <w:rPr>
                <w:b/>
                <w:bCs/>
                <w:color w:val="000000"/>
              </w:rPr>
              <w:t>High Risk</w:t>
            </w:r>
          </w:p>
        </w:tc>
      </w:tr>
      <w:tr w:rsidR="00F66CD1" w14:paraId="5218A95F" w14:textId="77777777" w:rsidTr="00F66CD1">
        <w:trPr>
          <w:trHeight w:val="569"/>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D4765A7" w14:textId="77777777" w:rsidR="00F66CD1" w:rsidRDefault="00F66CD1">
            <w:pPr>
              <w:spacing w:after="0" w:line="240" w:lineRule="auto"/>
              <w:jc w:val="center"/>
            </w:pPr>
            <w:r>
              <w:rPr>
                <w:b/>
                <w:bCs/>
                <w:color w:val="000000"/>
              </w:rPr>
              <w:t>1</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7139E77" w14:textId="77777777" w:rsidR="00F66CD1" w:rsidRDefault="00F66CD1">
            <w:pPr>
              <w:spacing w:after="0" w:line="240" w:lineRule="auto"/>
            </w:pPr>
            <w:r>
              <w:rPr>
                <w:color w:val="000000"/>
              </w:rPr>
              <w:t>Turnover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6B34386" w14:textId="77777777" w:rsidR="00F66CD1" w:rsidRDefault="00F66CD1">
            <w:pPr>
              <w:spacing w:after="0" w:line="240" w:lineRule="auto"/>
            </w:pPr>
            <w:r>
              <w:rPr>
                <w:color w:val="000000"/>
              </w:rPr>
              <w:t>Annual Turnover/Expected Annual Contract Value</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632551A" w14:textId="77777777" w:rsidR="00F66CD1" w:rsidRDefault="00F66CD1">
            <w:pPr>
              <w:spacing w:after="0" w:line="240" w:lineRule="auto"/>
              <w:jc w:val="center"/>
            </w:pPr>
            <w:r>
              <w:rPr>
                <w:b/>
                <w:bCs/>
                <w:color w:val="000000"/>
              </w:rPr>
              <w:t>&gt; 2.0x</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3F7B617" w14:textId="77777777" w:rsidR="00F66CD1" w:rsidRDefault="00F66CD1">
            <w:pPr>
              <w:spacing w:after="0" w:line="240" w:lineRule="auto"/>
              <w:jc w:val="center"/>
            </w:pPr>
            <w:r>
              <w:rPr>
                <w:b/>
                <w:bCs/>
                <w:color w:val="000000"/>
              </w:rPr>
              <w:t>1.5 – 2.0x</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1115C8F" w14:textId="77777777" w:rsidR="00F66CD1" w:rsidRDefault="00F66CD1">
            <w:pPr>
              <w:spacing w:after="0" w:line="240" w:lineRule="auto"/>
              <w:jc w:val="center"/>
            </w:pPr>
            <w:r>
              <w:rPr>
                <w:b/>
                <w:bCs/>
                <w:color w:val="000000"/>
              </w:rPr>
              <w:t>&lt; 1.5x</w:t>
            </w:r>
          </w:p>
        </w:tc>
      </w:tr>
      <w:tr w:rsidR="00F66CD1" w14:paraId="32EF5EAA" w14:textId="77777777" w:rsidTr="00F66CD1">
        <w:trPr>
          <w:trHeight w:val="372"/>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17269009" w14:textId="77777777" w:rsidR="00F66CD1" w:rsidRDefault="00F66CD1">
            <w:pPr>
              <w:spacing w:after="0" w:line="240" w:lineRule="auto"/>
              <w:jc w:val="center"/>
            </w:pPr>
            <w:r>
              <w:rPr>
                <w:b/>
                <w:bCs/>
                <w:color w:val="000000"/>
              </w:rPr>
              <w:t>2</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D7059AC" w14:textId="77777777" w:rsidR="00F66CD1" w:rsidRDefault="00F66CD1">
            <w:pPr>
              <w:spacing w:after="0" w:line="240" w:lineRule="auto"/>
            </w:pPr>
            <w:r>
              <w:rPr>
                <w:color w:val="000000"/>
              </w:rPr>
              <w:t>Operating Profit Margin</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A2D025D" w14:textId="77777777" w:rsidR="00F66CD1" w:rsidRDefault="00F66CD1">
            <w:pPr>
              <w:spacing w:after="0" w:line="240" w:lineRule="auto"/>
            </w:pPr>
            <w:r>
              <w:rPr>
                <w:color w:val="000000"/>
              </w:rPr>
              <w:t>Operating Profit/ Annual Turnover</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BC06C52" w14:textId="77777777" w:rsidR="00F66CD1" w:rsidRDefault="00F66CD1">
            <w:pPr>
              <w:spacing w:after="0" w:line="240" w:lineRule="auto"/>
              <w:jc w:val="center"/>
            </w:pPr>
            <w:r>
              <w:rPr>
                <w:b/>
                <w:bCs/>
                <w:color w:val="000000"/>
              </w:rPr>
              <w:t>&gt;10.0%</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0086B05" w14:textId="77777777" w:rsidR="00F66CD1" w:rsidRDefault="00F66CD1">
            <w:pPr>
              <w:spacing w:after="0" w:line="240" w:lineRule="auto"/>
              <w:jc w:val="center"/>
            </w:pPr>
            <w:r>
              <w:rPr>
                <w:b/>
                <w:bCs/>
                <w:color w:val="000000"/>
              </w:rPr>
              <w:t>5.0 – 10.0%</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DFE6181" w14:textId="77777777" w:rsidR="00F66CD1" w:rsidRDefault="00F66CD1">
            <w:pPr>
              <w:spacing w:after="0" w:line="240" w:lineRule="auto"/>
              <w:jc w:val="center"/>
            </w:pPr>
            <w:r>
              <w:rPr>
                <w:b/>
                <w:bCs/>
                <w:color w:val="000000"/>
              </w:rPr>
              <w:t>&lt; 5.0%</w:t>
            </w:r>
          </w:p>
        </w:tc>
      </w:tr>
      <w:tr w:rsidR="00F66CD1" w14:paraId="519A02FC" w14:textId="77777777" w:rsidTr="00F66CD1">
        <w:trPr>
          <w:trHeight w:val="569"/>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240F8091" w14:textId="77777777" w:rsidR="00F66CD1" w:rsidRDefault="00F66CD1">
            <w:pPr>
              <w:spacing w:after="0" w:line="240" w:lineRule="auto"/>
              <w:jc w:val="center"/>
            </w:pPr>
            <w:r>
              <w:rPr>
                <w:b/>
                <w:bCs/>
                <w:color w:val="000000"/>
              </w:rPr>
              <w:t>3</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1C4083B" w14:textId="77777777" w:rsidR="00F66CD1" w:rsidRDefault="00F66CD1">
            <w:pPr>
              <w:spacing w:after="0" w:line="240" w:lineRule="auto"/>
            </w:pPr>
            <w:r>
              <w:rPr>
                <w:color w:val="000000"/>
              </w:rPr>
              <w:t>Net Debt to EBITDA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87C72D5" w14:textId="77777777" w:rsidR="00F66CD1" w:rsidRDefault="00F66CD1">
            <w:pPr>
              <w:spacing w:after="0" w:line="240" w:lineRule="auto"/>
            </w:pPr>
            <w:r>
              <w:rPr>
                <w:color w:val="000000"/>
              </w:rPr>
              <w:t>Net Debt / EBITDA</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94E4673" w14:textId="77777777" w:rsidR="00F66CD1" w:rsidRDefault="00F66CD1">
            <w:pPr>
              <w:spacing w:after="0" w:line="240" w:lineRule="auto"/>
              <w:jc w:val="center"/>
            </w:pPr>
            <w:r>
              <w:rPr>
                <w:b/>
                <w:bCs/>
                <w:color w:val="000000"/>
              </w:rPr>
              <w:t>&lt; 2.5x</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AF177EE" w14:textId="77777777" w:rsidR="00F66CD1" w:rsidRDefault="00F66CD1">
            <w:pPr>
              <w:spacing w:after="0" w:line="240" w:lineRule="auto"/>
              <w:jc w:val="center"/>
            </w:pPr>
            <w:r>
              <w:rPr>
                <w:b/>
                <w:bCs/>
                <w:color w:val="000000"/>
              </w:rPr>
              <w:t>2.5 – 3.5x</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C92AA3E" w14:textId="77777777" w:rsidR="00F66CD1" w:rsidRDefault="00F66CD1">
            <w:pPr>
              <w:spacing w:after="0" w:line="240" w:lineRule="auto"/>
              <w:jc w:val="center"/>
            </w:pPr>
            <w:r>
              <w:rPr>
                <w:b/>
                <w:bCs/>
                <w:color w:val="000000"/>
              </w:rPr>
              <w:t>&gt; 3.5x</w:t>
            </w:r>
          </w:p>
        </w:tc>
      </w:tr>
      <w:tr w:rsidR="00F66CD1" w14:paraId="199F8ED1" w14:textId="77777777" w:rsidTr="00F66CD1">
        <w:trPr>
          <w:trHeight w:val="952"/>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1C715E22" w14:textId="77777777" w:rsidR="00F66CD1" w:rsidRDefault="00F66CD1">
            <w:pPr>
              <w:spacing w:after="0" w:line="240" w:lineRule="auto"/>
              <w:jc w:val="center"/>
            </w:pPr>
            <w:r>
              <w:rPr>
                <w:b/>
                <w:bCs/>
                <w:color w:val="000000"/>
              </w:rPr>
              <w:t>4</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434F6FF" w14:textId="77777777" w:rsidR="00F66CD1" w:rsidRDefault="00F66CD1">
            <w:pPr>
              <w:spacing w:after="0" w:line="240" w:lineRule="auto"/>
            </w:pPr>
            <w:r>
              <w:rPr>
                <w:color w:val="000000"/>
              </w:rPr>
              <w:t>Net Debt and Net Pension Deficit to EBITDA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EF47AC4" w14:textId="77777777" w:rsidR="00F66CD1" w:rsidRDefault="00F66CD1">
            <w:pPr>
              <w:spacing w:after="0" w:line="240" w:lineRule="auto"/>
            </w:pPr>
            <w:r>
              <w:rPr>
                <w:color w:val="000000"/>
              </w:rPr>
              <w:t>(Net Debt + Net Pension Deficit) / EBITDA</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4167AC8" w14:textId="77777777" w:rsidR="00F66CD1" w:rsidRDefault="00F66CD1">
            <w:pPr>
              <w:spacing w:after="0" w:line="240" w:lineRule="auto"/>
              <w:jc w:val="center"/>
            </w:pPr>
            <w:r>
              <w:rPr>
                <w:b/>
                <w:bCs/>
                <w:color w:val="000000"/>
              </w:rPr>
              <w:t>&lt; 4.0x</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D7132BC" w14:textId="77777777" w:rsidR="00F66CD1" w:rsidRDefault="00F66CD1">
            <w:pPr>
              <w:spacing w:after="0" w:line="240" w:lineRule="auto"/>
              <w:jc w:val="center"/>
            </w:pPr>
            <w:r>
              <w:rPr>
                <w:b/>
                <w:bCs/>
                <w:color w:val="000000"/>
              </w:rPr>
              <w:t>4.0 – 5.0x</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AB4153C" w14:textId="77777777" w:rsidR="00F66CD1" w:rsidRDefault="00F66CD1">
            <w:pPr>
              <w:spacing w:after="0" w:line="240" w:lineRule="auto"/>
              <w:jc w:val="center"/>
            </w:pPr>
            <w:r>
              <w:rPr>
                <w:b/>
                <w:bCs/>
                <w:color w:val="000000"/>
              </w:rPr>
              <w:t>&gt; 5.0x</w:t>
            </w:r>
          </w:p>
        </w:tc>
      </w:tr>
      <w:tr w:rsidR="00F66CD1" w14:paraId="60DF5104" w14:textId="77777777" w:rsidTr="00F66CD1">
        <w:trPr>
          <w:trHeight w:val="569"/>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1936B09C" w14:textId="77777777" w:rsidR="00F66CD1" w:rsidRDefault="00F66CD1">
            <w:pPr>
              <w:spacing w:after="0" w:line="240" w:lineRule="auto"/>
              <w:jc w:val="center"/>
            </w:pPr>
            <w:r>
              <w:rPr>
                <w:b/>
                <w:bCs/>
                <w:color w:val="000000"/>
              </w:rPr>
              <w:t>5</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2220B7D" w14:textId="77777777" w:rsidR="00F66CD1" w:rsidRDefault="00F66CD1">
            <w:pPr>
              <w:spacing w:after="0" w:line="240" w:lineRule="auto"/>
            </w:pPr>
            <w:r>
              <w:rPr>
                <w:color w:val="000000"/>
              </w:rPr>
              <w:t>Net Interest Paid Cover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F1FAACD" w14:textId="77777777" w:rsidR="00F66CD1" w:rsidRDefault="00F66CD1">
            <w:pPr>
              <w:spacing w:after="0" w:line="240" w:lineRule="auto"/>
            </w:pPr>
            <w:r>
              <w:rPr>
                <w:color w:val="000000"/>
              </w:rPr>
              <w:t xml:space="preserve">Earnings Before Interest and Tax / Net Interest Paid </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CE86600" w14:textId="77777777" w:rsidR="00F66CD1" w:rsidRDefault="00F66CD1">
            <w:pPr>
              <w:spacing w:after="0" w:line="240" w:lineRule="auto"/>
              <w:jc w:val="center"/>
            </w:pPr>
            <w:r>
              <w:rPr>
                <w:b/>
                <w:bCs/>
                <w:color w:val="000000"/>
              </w:rPr>
              <w:t>&gt; 4.5x</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A9DB437" w14:textId="77777777" w:rsidR="00F66CD1" w:rsidRDefault="00F66CD1">
            <w:pPr>
              <w:spacing w:after="0" w:line="240" w:lineRule="auto"/>
              <w:jc w:val="center"/>
            </w:pPr>
            <w:r>
              <w:rPr>
                <w:b/>
                <w:bCs/>
                <w:color w:val="000000"/>
              </w:rPr>
              <w:t>3.0 – 4.5x</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F176DE3" w14:textId="77777777" w:rsidR="00F66CD1" w:rsidRDefault="00F66CD1">
            <w:pPr>
              <w:spacing w:after="0" w:line="240" w:lineRule="auto"/>
              <w:jc w:val="center"/>
            </w:pPr>
            <w:r>
              <w:rPr>
                <w:b/>
                <w:bCs/>
                <w:color w:val="000000"/>
              </w:rPr>
              <w:t>&lt; 3.0x</w:t>
            </w:r>
          </w:p>
        </w:tc>
      </w:tr>
      <w:tr w:rsidR="00F66CD1" w14:paraId="200D8BD7" w14:textId="77777777" w:rsidTr="00F66CD1">
        <w:trPr>
          <w:trHeight w:val="569"/>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233DF17" w14:textId="77777777" w:rsidR="00F66CD1" w:rsidRDefault="00F66CD1">
            <w:pPr>
              <w:spacing w:after="0" w:line="240" w:lineRule="auto"/>
              <w:jc w:val="center"/>
            </w:pPr>
            <w:r>
              <w:rPr>
                <w:b/>
                <w:bCs/>
                <w:color w:val="000000"/>
              </w:rPr>
              <w:t>6</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B0270FD" w14:textId="77777777" w:rsidR="00F66CD1" w:rsidRDefault="00F66CD1">
            <w:pPr>
              <w:spacing w:after="0" w:line="240" w:lineRule="auto"/>
            </w:pPr>
            <w:r>
              <w:rPr>
                <w:color w:val="000000"/>
              </w:rPr>
              <w:t>Acid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7B568A9" w14:textId="77777777" w:rsidR="00F66CD1" w:rsidRPr="00F66CD1" w:rsidRDefault="00F66CD1">
            <w:pPr>
              <w:spacing w:after="0" w:line="240" w:lineRule="auto"/>
              <w:rPr>
                <w:lang w:val="fr-FR"/>
              </w:rPr>
            </w:pPr>
            <w:r w:rsidRPr="00F66CD1">
              <w:rPr>
                <w:color w:val="000000"/>
                <w:lang w:val="fr-FR"/>
              </w:rPr>
              <w:t>(Current Assets – Inventories) / Current Liabilities</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57CF190" w14:textId="77777777" w:rsidR="00F66CD1" w:rsidRDefault="00F66CD1">
            <w:pPr>
              <w:spacing w:after="0" w:line="240" w:lineRule="auto"/>
              <w:jc w:val="center"/>
            </w:pPr>
            <w:r>
              <w:rPr>
                <w:b/>
                <w:bCs/>
                <w:color w:val="000000"/>
              </w:rPr>
              <w:t>&gt; 1.0x</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54BF6CE" w14:textId="77777777" w:rsidR="00F66CD1" w:rsidRDefault="00F66CD1">
            <w:pPr>
              <w:spacing w:after="0" w:line="240" w:lineRule="auto"/>
              <w:jc w:val="center"/>
            </w:pPr>
            <w:r>
              <w:rPr>
                <w:b/>
                <w:bCs/>
                <w:color w:val="000000"/>
              </w:rPr>
              <w:t>0.8 – 1.0x</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E482058" w14:textId="77777777" w:rsidR="00F66CD1" w:rsidRDefault="00F66CD1">
            <w:pPr>
              <w:spacing w:after="0" w:line="240" w:lineRule="auto"/>
              <w:jc w:val="center"/>
            </w:pPr>
            <w:r>
              <w:rPr>
                <w:b/>
                <w:bCs/>
                <w:color w:val="000000"/>
              </w:rPr>
              <w:t>&lt; 0.8x</w:t>
            </w:r>
          </w:p>
        </w:tc>
      </w:tr>
      <w:tr w:rsidR="00F66CD1" w14:paraId="787D8AF5" w14:textId="77777777" w:rsidTr="00F66CD1">
        <w:trPr>
          <w:trHeight w:val="372"/>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42BA6F9A" w14:textId="77777777" w:rsidR="00F66CD1" w:rsidRDefault="00F66CD1">
            <w:pPr>
              <w:spacing w:after="0" w:line="240" w:lineRule="auto"/>
              <w:jc w:val="center"/>
            </w:pPr>
            <w:r>
              <w:rPr>
                <w:b/>
                <w:bCs/>
                <w:color w:val="000000"/>
              </w:rPr>
              <w:t>7</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5583F24" w14:textId="77777777" w:rsidR="00F66CD1" w:rsidRDefault="00F66CD1">
            <w:pPr>
              <w:spacing w:after="0" w:line="240" w:lineRule="auto"/>
            </w:pPr>
            <w:r>
              <w:rPr>
                <w:color w:val="000000"/>
              </w:rPr>
              <w:t>Net Assets Balance</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57AF38A" w14:textId="77777777" w:rsidR="00F66CD1" w:rsidRDefault="00F66CD1">
            <w:pPr>
              <w:spacing w:after="0" w:line="240" w:lineRule="auto"/>
            </w:pPr>
            <w:r>
              <w:rPr>
                <w:color w:val="000000"/>
              </w:rPr>
              <w:t>Total Assets – Total Liabilities</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8DDB618" w14:textId="77777777" w:rsidR="00F66CD1" w:rsidRDefault="00F66CD1">
            <w:pPr>
              <w:spacing w:after="0" w:line="240" w:lineRule="auto"/>
              <w:jc w:val="center"/>
            </w:pPr>
            <w:r>
              <w:rPr>
                <w:b/>
                <w:bCs/>
                <w:color w:val="000000"/>
              </w:rPr>
              <w:t>&gt; Nil</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C9FA310" w14:textId="77777777" w:rsidR="00F66CD1" w:rsidRDefault="00F66CD1">
            <w:pPr>
              <w:spacing w:after="0" w:line="240" w:lineRule="auto"/>
              <w:jc w:val="center"/>
            </w:pPr>
            <w:r>
              <w:rPr>
                <w:b/>
                <w:bCs/>
                <w:color w:val="000000"/>
              </w:rPr>
              <w:t>&gt; Nil</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33F8FD4" w14:textId="77777777" w:rsidR="00F66CD1" w:rsidRDefault="00F66CD1">
            <w:pPr>
              <w:spacing w:after="0" w:line="240" w:lineRule="auto"/>
              <w:jc w:val="center"/>
            </w:pPr>
            <w:r>
              <w:rPr>
                <w:b/>
                <w:bCs/>
                <w:color w:val="000000"/>
              </w:rPr>
              <w:t>&lt; Nil</w:t>
            </w:r>
          </w:p>
        </w:tc>
      </w:tr>
      <w:tr w:rsidR="00F66CD1" w14:paraId="086E4883" w14:textId="77777777" w:rsidTr="00F66CD1">
        <w:trPr>
          <w:trHeight w:val="569"/>
        </w:trPr>
        <w:tc>
          <w:tcPr>
            <w:tcW w:w="846"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348DC22" w14:textId="77777777" w:rsidR="00F66CD1" w:rsidRDefault="00F66CD1">
            <w:pPr>
              <w:spacing w:after="0" w:line="240" w:lineRule="auto"/>
              <w:jc w:val="center"/>
            </w:pPr>
            <w:r>
              <w:rPr>
                <w:b/>
                <w:bCs/>
                <w:color w:val="000000"/>
              </w:rPr>
              <w:t>8</w:t>
            </w:r>
          </w:p>
        </w:tc>
        <w:tc>
          <w:tcPr>
            <w:tcW w:w="2126"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D31B309" w14:textId="77777777" w:rsidR="00F66CD1" w:rsidRDefault="00F66CD1">
            <w:pPr>
              <w:spacing w:after="0" w:line="240" w:lineRule="auto"/>
            </w:pPr>
            <w:r>
              <w:rPr>
                <w:color w:val="000000"/>
              </w:rPr>
              <w:t>Group Exposure Ratio</w:t>
            </w:r>
          </w:p>
        </w:tc>
        <w:tc>
          <w:tcPr>
            <w:tcW w:w="49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6AE19F8" w14:textId="77777777" w:rsidR="00F66CD1" w:rsidRDefault="00F66CD1">
            <w:pPr>
              <w:spacing w:after="0" w:line="240" w:lineRule="auto"/>
            </w:pPr>
            <w:r>
              <w:rPr>
                <w:color w:val="000000"/>
              </w:rPr>
              <w:t>Group Exposure / Gross Assets</w:t>
            </w:r>
          </w:p>
        </w:tc>
        <w:tc>
          <w:tcPr>
            <w:tcW w:w="1839"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0270454" w14:textId="77777777" w:rsidR="00F66CD1" w:rsidRDefault="00F66CD1">
            <w:pPr>
              <w:spacing w:after="0" w:line="240" w:lineRule="auto"/>
              <w:jc w:val="center"/>
            </w:pPr>
            <w:r>
              <w:rPr>
                <w:b/>
                <w:bCs/>
                <w:color w:val="000000"/>
              </w:rPr>
              <w:t>&lt; 25%</w:t>
            </w:r>
          </w:p>
        </w:tc>
        <w:tc>
          <w:tcPr>
            <w:tcW w:w="2271"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3DDDE0F" w14:textId="77777777" w:rsidR="00F66CD1" w:rsidRDefault="00F66CD1">
            <w:pPr>
              <w:spacing w:after="0" w:line="240" w:lineRule="auto"/>
              <w:jc w:val="center"/>
            </w:pPr>
            <w:r>
              <w:rPr>
                <w:b/>
                <w:bCs/>
                <w:color w:val="000000"/>
              </w:rPr>
              <w:t>25 – 50%</w:t>
            </w:r>
          </w:p>
        </w:tc>
        <w:tc>
          <w:tcPr>
            <w:tcW w:w="1854"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19CD398" w14:textId="77777777" w:rsidR="00F66CD1" w:rsidRDefault="00F66CD1">
            <w:pPr>
              <w:spacing w:after="0" w:line="240" w:lineRule="auto"/>
              <w:jc w:val="center"/>
            </w:pPr>
            <w:r>
              <w:rPr>
                <w:b/>
                <w:bCs/>
                <w:color w:val="000000"/>
              </w:rPr>
              <w:t>&gt; 50%</w:t>
            </w:r>
          </w:p>
        </w:tc>
      </w:tr>
    </w:tbl>
    <w:p w14:paraId="69CE2E1F" w14:textId="77777777" w:rsidR="0051373E" w:rsidRDefault="0051373E" w:rsidP="0051373E">
      <w:pPr>
        <w:pStyle w:val="NormalAshurst"/>
        <w:spacing w:before="120" w:after="120"/>
        <w:rPr>
          <w:b/>
          <w:bCs/>
          <w:sz w:val="20"/>
        </w:rPr>
      </w:pPr>
    </w:p>
    <w:p w14:paraId="25CC3B79" w14:textId="77777777" w:rsidR="0051373E" w:rsidRDefault="0051373E" w:rsidP="0051373E">
      <w:pPr>
        <w:rPr>
          <w:rFonts w:ascii="Arial" w:hAnsi="Arial" w:cs="Arial"/>
          <w:b/>
          <w:bCs/>
          <w:szCs w:val="22"/>
        </w:rPr>
      </w:pPr>
      <w:r>
        <w:rPr>
          <w:rFonts w:ascii="Arial" w:hAnsi="Arial" w:cs="Arial"/>
          <w:b/>
          <w:bCs/>
          <w:szCs w:val="22"/>
        </w:rPr>
        <w:br w:type="page"/>
      </w:r>
    </w:p>
    <w:p w14:paraId="27124D20" w14:textId="77777777" w:rsidR="0051373E" w:rsidRPr="006A19EF" w:rsidRDefault="0051373E" w:rsidP="0051373E">
      <w:pPr>
        <w:pStyle w:val="Heading2"/>
      </w:pPr>
      <w:r>
        <w:t>Table 5 Additional assurance required in the case of meeting the medium risk or high-risk threshold criteria:  </w:t>
      </w:r>
    </w:p>
    <w:p w14:paraId="04259900" w14:textId="77777777" w:rsidR="0051373E" w:rsidRPr="006A19EF" w:rsidRDefault="0051373E" w:rsidP="0051373E">
      <w:r w:rsidRPr="33D2A292">
        <w:t>The table below outlines the list of potential mitigating information that an Applicant may choose to submit as additional assurance and evidence of mitigations to risk factors indicated within the EFS tool submission. Where metrics obtain other than a “Low” risk outcome, the Authority permits adjustment for non-underlying items or exceptional items, given that they are considered material and out of the ordinary course of business, on the basis that this is likely to provide a better representation of underlying performance. </w:t>
      </w:r>
    </w:p>
    <w:p w14:paraId="316B3658" w14:textId="77777777" w:rsidR="0051373E" w:rsidRDefault="0051373E" w:rsidP="0051373E">
      <w:r w:rsidRPr="33D2A292">
        <w:t>For each metric, the additional assurance/mitigation steps are shaded in grey. These are aligned with Cabinet Office Guidance (</w:t>
      </w:r>
      <w:hyperlink r:id="rId20">
        <w:r w:rsidRPr="33D2A292">
          <w:t>EFS_Guidance_Note.pdf (publishing.service.gov.uk)</w:t>
        </w:r>
      </w:hyperlink>
      <w:r w:rsidRPr="33D2A292">
        <w:t>.</w:t>
      </w:r>
    </w:p>
    <w:tbl>
      <w:tblPr>
        <w:tblW w:w="13946" w:type="dxa"/>
        <w:tblCellMar>
          <w:left w:w="0" w:type="dxa"/>
          <w:right w:w="0" w:type="dxa"/>
        </w:tblCellMar>
        <w:tblLook w:val="04A0" w:firstRow="1" w:lastRow="0" w:firstColumn="1" w:lastColumn="0" w:noHBand="0" w:noVBand="1"/>
      </w:tblPr>
      <w:tblGrid>
        <w:gridCol w:w="7082"/>
        <w:gridCol w:w="858"/>
        <w:gridCol w:w="858"/>
        <w:gridCol w:w="858"/>
        <w:gridCol w:w="858"/>
        <w:gridCol w:w="858"/>
        <w:gridCol w:w="858"/>
        <w:gridCol w:w="858"/>
        <w:gridCol w:w="858"/>
      </w:tblGrid>
      <w:tr w:rsidR="00B42339" w:rsidRPr="003C3658" w14:paraId="27D5AF16" w14:textId="77777777" w:rsidTr="00AE7355">
        <w:trPr>
          <w:trHeight w:val="314"/>
          <w:tblHeader/>
        </w:trPr>
        <w:tc>
          <w:tcPr>
            <w:tcW w:w="7082"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4F3D4273" w14:textId="77777777" w:rsidR="00B42339" w:rsidRPr="00B42339" w:rsidRDefault="00B42339" w:rsidP="007E4A20">
            <w:pPr>
              <w:pStyle w:val="NormalAshurst"/>
              <w:spacing w:after="0" w:line="240" w:lineRule="auto"/>
              <w:rPr>
                <w:rFonts w:cstheme="minorHAnsi"/>
                <w:b/>
                <w:sz w:val="20"/>
                <w:szCs w:val="20"/>
              </w:rPr>
            </w:pPr>
            <w:r w:rsidRPr="00B42339">
              <w:rPr>
                <w:rFonts w:cstheme="minorHAnsi"/>
                <w:b/>
                <w:sz w:val="20"/>
                <w:szCs w:val="20"/>
              </w:rPr>
              <w:t>Additional Assurance</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7C2B11C9"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Ratio1</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1B564E53"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Ratio2</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590774D5"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Ratio3</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0E19EF71"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Ratio4</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14037049"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Ratio5</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62F756C4"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Ratio6</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45C88A86"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Ratio7</w:t>
            </w:r>
          </w:p>
        </w:tc>
        <w:tc>
          <w:tcPr>
            <w:tcW w:w="858" w:type="dxa"/>
            <w:tcBorders>
              <w:top w:val="single" w:sz="8" w:space="0" w:color="FFFFFF"/>
              <w:left w:val="single" w:sz="8" w:space="0" w:color="FFFFFF"/>
              <w:bottom w:val="single" w:sz="8" w:space="0" w:color="A6A6A6"/>
              <w:right w:val="single" w:sz="8" w:space="0" w:color="FFFFFF"/>
            </w:tcBorders>
            <w:shd w:val="clear" w:color="auto" w:fill="7C878E"/>
            <w:tcMar>
              <w:top w:w="44" w:type="dxa"/>
              <w:left w:w="88" w:type="dxa"/>
              <w:bottom w:w="44" w:type="dxa"/>
              <w:right w:w="88" w:type="dxa"/>
            </w:tcMar>
            <w:vAlign w:val="center"/>
            <w:hideMark/>
          </w:tcPr>
          <w:p w14:paraId="3977110B" w14:textId="77777777" w:rsidR="00B42339" w:rsidRPr="00B42339" w:rsidRDefault="00B42339" w:rsidP="00AE7355">
            <w:pPr>
              <w:pStyle w:val="NormalAshurst"/>
              <w:spacing w:after="0" w:line="240" w:lineRule="auto"/>
              <w:jc w:val="center"/>
              <w:rPr>
                <w:rFonts w:cstheme="minorHAnsi"/>
                <w:b/>
                <w:sz w:val="20"/>
                <w:szCs w:val="20"/>
              </w:rPr>
            </w:pPr>
            <w:r w:rsidRPr="00B42339">
              <w:rPr>
                <w:rFonts w:cstheme="minorHAnsi"/>
                <w:b/>
                <w:sz w:val="20"/>
                <w:szCs w:val="20"/>
              </w:rPr>
              <w:t>Ratio8</w:t>
            </w:r>
          </w:p>
        </w:tc>
      </w:tr>
      <w:tr w:rsidR="00B42339" w:rsidRPr="003C3658" w14:paraId="771AC842" w14:textId="77777777" w:rsidTr="007E4A20">
        <w:trPr>
          <w:trHeight w:val="790"/>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BAA9B89"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Provision of a Parent Company Guarantee</w:t>
            </w:r>
          </w:p>
          <w:p w14:paraId="6B1DA79D"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Note that for Joint Ventures and Consortia, joint and several guarantees from the major shareholders (i.e. not proportionate) or consortia members is required.</w:t>
            </w: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6BB431D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7AE9C0A0"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748FB62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84B018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008592E6"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F613DA6"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7086D6B4"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7FE7B514"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302FD2C0" w14:textId="77777777" w:rsidTr="00C07978">
        <w:trPr>
          <w:trHeight w:val="1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59817FE4"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new contracts won since the publication of its financial results or the full impact of which is not fully reflected in the accounts used for the assessment.</w:t>
            </w: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581427AA"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18429CC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4E85F123"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38099F2"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79E7E4D"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1660425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5DCD819"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45AF32E"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7DBFDD8C" w14:textId="77777777" w:rsidTr="00C07978">
        <w:trPr>
          <w:trHeight w:val="1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35B4DB94"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profitable new business won or loss-making business closed since the publication of its financial results, the full impact of which is not fully reflected in the financial statements used for the assessment.</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6588FB5"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3E8E15E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6BEA2DC8"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11EB31B8"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6DF0E3A"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36318B42"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25B821B2"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23F15E6A"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707155CA" w14:textId="77777777" w:rsidTr="00C07978">
        <w:trPr>
          <w:trHeight w:val="1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44A34A48"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one-off costs or expenses that unduly affected the Operating Margin and/or EBIT for the period(s) under consideration and are unlikely to be repeated to the same extent in future years.</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476580E6"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1C0EE21B"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204E487"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10BFC3C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27C717CB"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1BE89772"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4506BBF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2E64E9FD"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6E3370D4" w14:textId="77777777" w:rsidTr="007E4A20">
        <w:trPr>
          <w:trHeight w:val="46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6F52024"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ability or plans to repay debt from sources other than the generation of free cash flow from operations.</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4DEE55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3611E3E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6761A4FB"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28031FA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AE1334A"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C796284"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67C54A7A"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6C71313"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0A08DE6B" w14:textId="77777777" w:rsidTr="007E4A20">
        <w:trPr>
          <w:trHeight w:val="693"/>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67C664F"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elements of debt, deferred consideration or pension deficit which are only due for repayment in the long-term or debt which is held with other companies in the same group which is not likely to be required to be repaid.</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2D6DB0C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64229D99"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1F04ED59"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B121EFD"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213B9778"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062E9BFB"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522A74D"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5D791AE0"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3F8FC7ED" w14:textId="77777777" w:rsidTr="00C07978">
        <w:trPr>
          <w:trHeight w:val="28"/>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1495696"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 xml:space="preserve">Information regarding the bidder’s access to further liquidity, for example, level of undrawn facilities available; access to financial markets and/or new equity through equity markets. If the bidder plans to repay existing debt with new debt, clarification as to why this would be sustainable should be provided. </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58B764F"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124688E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36FF7F8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02CB536E"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4D4C5516"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04691AB2"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12" w:type="dxa"/>
              <w:left w:w="88" w:type="dxa"/>
              <w:bottom w:w="0" w:type="dxa"/>
              <w:right w:w="88" w:type="dxa"/>
            </w:tcMar>
            <w:vAlign w:val="center"/>
            <w:hideMark/>
          </w:tcPr>
          <w:p w14:paraId="4F31BFC8"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12" w:type="dxa"/>
              <w:left w:w="88" w:type="dxa"/>
              <w:bottom w:w="0" w:type="dxa"/>
              <w:right w:w="88" w:type="dxa"/>
            </w:tcMar>
            <w:vAlign w:val="center"/>
            <w:hideMark/>
          </w:tcPr>
          <w:p w14:paraId="4297406F"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2E41C366" w14:textId="77777777" w:rsidTr="00C07978">
        <w:trPr>
          <w:trHeight w:val="1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9F5B4A1"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the value of any intangible assets such as goodwill which have not been included in the balance sheet (although the value of purchased goodwill is included in balance sheets, the value of self-generated goodwill is not) and/or any other assets which may have been included at an undervalue.</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321F3CB0"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367E84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445E7EB"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38DF0833"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5F4A60A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436B7FA6"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0E0CE2FE"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1F6CDC07" w14:textId="77777777" w:rsidR="00B42339" w:rsidRPr="00B42339" w:rsidRDefault="00B42339" w:rsidP="007E4A20">
            <w:pPr>
              <w:pStyle w:val="NormalAshurst"/>
              <w:spacing w:after="0" w:line="240" w:lineRule="auto"/>
              <w:rPr>
                <w:rFonts w:cstheme="minorHAnsi"/>
                <w:b/>
                <w:sz w:val="20"/>
                <w:szCs w:val="20"/>
              </w:rPr>
            </w:pPr>
          </w:p>
        </w:tc>
      </w:tr>
      <w:tr w:rsidR="00B42339" w:rsidRPr="003C3658" w14:paraId="286811CE" w14:textId="77777777" w:rsidTr="00C07978">
        <w:trPr>
          <w:trHeight w:val="16"/>
        </w:trPr>
        <w:tc>
          <w:tcPr>
            <w:tcW w:w="7082"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2BF1E524" w14:textId="77777777" w:rsidR="00B42339" w:rsidRPr="007E4A20" w:rsidRDefault="00B42339" w:rsidP="007E4A20">
            <w:pPr>
              <w:pStyle w:val="NormalAshurst"/>
              <w:spacing w:after="0" w:line="240" w:lineRule="auto"/>
              <w:rPr>
                <w:rFonts w:cstheme="minorHAnsi"/>
                <w:sz w:val="20"/>
                <w:szCs w:val="20"/>
              </w:rPr>
            </w:pPr>
            <w:r w:rsidRPr="007E4A20">
              <w:rPr>
                <w:rFonts w:cstheme="minorHAnsi"/>
                <w:sz w:val="20"/>
                <w:szCs w:val="20"/>
              </w:rPr>
              <w:t>Information regarding the nature of the short-term liabilities which may include creditors and accruals not immediately due for settlement.</w:t>
            </w: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9F05BAF"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14FA3EF7"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5F4E3CE8"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57836C71"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67E414EC"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340394D3"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B2B7B7" w:themeFill="background2" w:themeFillShade="BF"/>
            <w:tcMar>
              <w:top w:w="44" w:type="dxa"/>
              <w:left w:w="88" w:type="dxa"/>
              <w:bottom w:w="44" w:type="dxa"/>
              <w:right w:w="88" w:type="dxa"/>
            </w:tcMar>
            <w:vAlign w:val="center"/>
            <w:hideMark/>
          </w:tcPr>
          <w:p w14:paraId="08713C7F" w14:textId="77777777" w:rsidR="00B42339" w:rsidRPr="00B42339" w:rsidRDefault="00B42339" w:rsidP="007E4A20">
            <w:pPr>
              <w:pStyle w:val="NormalAshurst"/>
              <w:spacing w:after="0" w:line="240" w:lineRule="auto"/>
              <w:rPr>
                <w:rFonts w:cstheme="minorHAnsi"/>
                <w:b/>
                <w:sz w:val="20"/>
                <w:szCs w:val="20"/>
              </w:rPr>
            </w:pPr>
          </w:p>
        </w:tc>
        <w:tc>
          <w:tcPr>
            <w:tcW w:w="858" w:type="dxa"/>
            <w:tcBorders>
              <w:top w:val="single" w:sz="8" w:space="0" w:color="A6A6A6"/>
              <w:left w:val="single" w:sz="8" w:space="0" w:color="A6A6A6"/>
              <w:bottom w:val="single" w:sz="8" w:space="0" w:color="A6A6A6"/>
              <w:right w:val="single" w:sz="8" w:space="0" w:color="A6A6A6"/>
            </w:tcBorders>
            <w:shd w:val="clear" w:color="auto" w:fill="auto"/>
            <w:tcMar>
              <w:top w:w="44" w:type="dxa"/>
              <w:left w:w="88" w:type="dxa"/>
              <w:bottom w:w="44" w:type="dxa"/>
              <w:right w:w="88" w:type="dxa"/>
            </w:tcMar>
            <w:vAlign w:val="center"/>
            <w:hideMark/>
          </w:tcPr>
          <w:p w14:paraId="7B2A7F71" w14:textId="77777777" w:rsidR="00B42339" w:rsidRPr="00B42339" w:rsidRDefault="00B42339" w:rsidP="007E4A20">
            <w:pPr>
              <w:pStyle w:val="NormalAshurst"/>
              <w:spacing w:after="0" w:line="240" w:lineRule="auto"/>
              <w:rPr>
                <w:rFonts w:cstheme="minorHAnsi"/>
                <w:b/>
                <w:sz w:val="20"/>
                <w:szCs w:val="20"/>
              </w:rPr>
            </w:pPr>
          </w:p>
        </w:tc>
      </w:tr>
    </w:tbl>
    <w:p w14:paraId="10152A18" w14:textId="77777777" w:rsidR="00B42339" w:rsidRDefault="00B42339" w:rsidP="0051373E">
      <w:pPr>
        <w:pStyle w:val="NormalAshurst"/>
        <w:spacing w:before="120" w:after="120"/>
        <w:rPr>
          <w:b/>
        </w:rPr>
      </w:pPr>
    </w:p>
    <w:p w14:paraId="2EF6AD29" w14:textId="77777777" w:rsidR="0051373E" w:rsidRPr="006A19EF" w:rsidRDefault="0051373E" w:rsidP="0051373E">
      <w:pPr>
        <w:pStyle w:val="Heading2"/>
        <w:rPr>
          <w:b w:val="0"/>
        </w:rPr>
      </w:pPr>
      <w:r>
        <w:t xml:space="preserve">Definitions </w:t>
      </w:r>
    </w:p>
    <w:p w14:paraId="485DC839" w14:textId="77777777" w:rsidR="0051373E" w:rsidRDefault="0051373E" w:rsidP="0051373E">
      <w:pPr>
        <w:pStyle w:val="Body"/>
        <w:rPr>
          <w:b/>
          <w:bCs/>
        </w:rPr>
      </w:pPr>
      <w:r w:rsidRPr="33D2A292">
        <w:rPr>
          <w:b/>
        </w:rPr>
        <w:t>Table 6 – Description of metric calculations</w:t>
      </w:r>
    </w:p>
    <w:tbl>
      <w:tblPr>
        <w:tblStyle w:val="GridTable1Light"/>
        <w:tblW w:w="13940" w:type="dxa"/>
        <w:tblLook w:val="0600" w:firstRow="0" w:lastRow="0" w:firstColumn="0" w:lastColumn="0" w:noHBand="1" w:noVBand="1"/>
      </w:tblPr>
      <w:tblGrid>
        <w:gridCol w:w="1184"/>
        <w:gridCol w:w="2353"/>
        <w:gridCol w:w="2592"/>
        <w:gridCol w:w="7811"/>
      </w:tblGrid>
      <w:tr w:rsidR="0051373E" w:rsidRPr="003D5AF5" w14:paraId="19C2A46C" w14:textId="77777777" w:rsidTr="000B3037">
        <w:trPr>
          <w:trHeight w:val="694"/>
        </w:trPr>
        <w:tc>
          <w:tcPr>
            <w:tcW w:w="1129" w:type="dxa"/>
          </w:tcPr>
          <w:p w14:paraId="50D713BD" w14:textId="77777777" w:rsidR="0051373E" w:rsidRPr="003D5AF5" w:rsidRDefault="0051373E" w:rsidP="000B3037">
            <w:pPr>
              <w:pStyle w:val="Body"/>
              <w:rPr>
                <w:rFonts w:asciiTheme="minorHAnsi" w:hAnsiTheme="minorHAnsi" w:cstheme="minorHAnsi"/>
                <w:b/>
                <w:bCs/>
              </w:rPr>
            </w:pPr>
            <w:r w:rsidRPr="003D5AF5">
              <w:rPr>
                <w:rFonts w:asciiTheme="minorHAnsi" w:hAnsiTheme="minorHAnsi" w:cstheme="minorHAnsi"/>
                <w:b/>
                <w:bCs/>
              </w:rPr>
              <w:t>Reference</w:t>
            </w:r>
          </w:p>
        </w:tc>
        <w:tc>
          <w:tcPr>
            <w:tcW w:w="2362" w:type="dxa"/>
            <w:hideMark/>
          </w:tcPr>
          <w:p w14:paraId="661D1C1D" w14:textId="77777777" w:rsidR="0051373E" w:rsidRPr="003D5AF5" w:rsidRDefault="0051373E" w:rsidP="000B3037">
            <w:pPr>
              <w:pStyle w:val="Body"/>
              <w:rPr>
                <w:rFonts w:asciiTheme="minorHAnsi" w:hAnsiTheme="minorHAnsi" w:cstheme="minorHAnsi"/>
                <w:b/>
                <w:bCs/>
              </w:rPr>
            </w:pPr>
            <w:r w:rsidRPr="003D5AF5">
              <w:rPr>
                <w:rFonts w:asciiTheme="minorHAnsi" w:hAnsiTheme="minorHAnsi" w:cstheme="minorHAnsi"/>
                <w:b/>
                <w:bCs/>
              </w:rPr>
              <w:t>Metric</w:t>
            </w:r>
          </w:p>
        </w:tc>
        <w:tc>
          <w:tcPr>
            <w:tcW w:w="2600" w:type="dxa"/>
            <w:hideMark/>
          </w:tcPr>
          <w:p w14:paraId="05CC784E" w14:textId="77777777" w:rsidR="0051373E" w:rsidRPr="003D5AF5" w:rsidRDefault="0051373E" w:rsidP="000B3037">
            <w:pPr>
              <w:pStyle w:val="Body"/>
              <w:rPr>
                <w:rFonts w:asciiTheme="minorHAnsi" w:hAnsiTheme="minorHAnsi" w:cstheme="minorHAnsi"/>
                <w:b/>
                <w:bCs/>
              </w:rPr>
            </w:pPr>
            <w:r w:rsidRPr="003D5AF5">
              <w:rPr>
                <w:rFonts w:asciiTheme="minorHAnsi" w:hAnsiTheme="minorHAnsi" w:cstheme="minorHAnsi"/>
                <w:b/>
                <w:bCs/>
              </w:rPr>
              <w:t>Means of Assessment</w:t>
            </w:r>
          </w:p>
        </w:tc>
        <w:tc>
          <w:tcPr>
            <w:tcW w:w="7849" w:type="dxa"/>
            <w:hideMark/>
          </w:tcPr>
          <w:p w14:paraId="102FEDCE" w14:textId="77777777" w:rsidR="0051373E" w:rsidRPr="003D5AF5" w:rsidRDefault="0051373E" w:rsidP="000B3037">
            <w:pPr>
              <w:pStyle w:val="Body"/>
              <w:rPr>
                <w:rFonts w:asciiTheme="minorHAnsi" w:hAnsiTheme="minorHAnsi" w:cstheme="minorHAnsi"/>
                <w:b/>
                <w:bCs/>
              </w:rPr>
            </w:pPr>
            <w:r w:rsidRPr="003D5AF5">
              <w:rPr>
                <w:rFonts w:asciiTheme="minorHAnsi" w:hAnsiTheme="minorHAnsi" w:cstheme="minorHAnsi"/>
                <w:b/>
                <w:bCs/>
              </w:rPr>
              <w:t>Description</w:t>
            </w:r>
          </w:p>
        </w:tc>
      </w:tr>
      <w:tr w:rsidR="0051373E" w:rsidRPr="003D5AF5" w14:paraId="1D55FF01" w14:textId="77777777" w:rsidTr="000B3037">
        <w:trPr>
          <w:trHeight w:val="588"/>
        </w:trPr>
        <w:tc>
          <w:tcPr>
            <w:tcW w:w="1129" w:type="dxa"/>
          </w:tcPr>
          <w:p w14:paraId="5B2A79A2" w14:textId="6F70EF4E" w:rsidR="0051373E" w:rsidRPr="003D5AF5" w:rsidRDefault="00E139EB" w:rsidP="000B3037">
            <w:pPr>
              <w:pStyle w:val="Body"/>
              <w:jc w:val="left"/>
              <w:rPr>
                <w:rFonts w:asciiTheme="minorHAnsi" w:hAnsiTheme="minorHAnsi" w:cstheme="minorHAnsi"/>
              </w:rPr>
            </w:pPr>
            <w:r>
              <w:rPr>
                <w:rFonts w:asciiTheme="minorHAnsi" w:hAnsiTheme="minorHAnsi" w:cstheme="minorHAnsi"/>
              </w:rPr>
              <w:t>1</w:t>
            </w:r>
          </w:p>
        </w:tc>
        <w:tc>
          <w:tcPr>
            <w:tcW w:w="2362" w:type="dxa"/>
            <w:hideMark/>
          </w:tcPr>
          <w:p w14:paraId="078910C0" w14:textId="6A2C0E90" w:rsidR="0051373E" w:rsidRPr="003D5AF5" w:rsidRDefault="00E139EB" w:rsidP="000B3037">
            <w:pPr>
              <w:pStyle w:val="Body"/>
              <w:jc w:val="left"/>
              <w:rPr>
                <w:rFonts w:asciiTheme="minorHAnsi" w:hAnsiTheme="minorHAnsi" w:cstheme="minorHAnsi"/>
              </w:rPr>
            </w:pPr>
            <w:r w:rsidRPr="00E139EB">
              <w:rPr>
                <w:rFonts w:asciiTheme="minorHAnsi" w:hAnsiTheme="minorHAnsi" w:cstheme="minorHAnsi"/>
              </w:rPr>
              <w:t>Turnover Ratio</w:t>
            </w:r>
          </w:p>
        </w:tc>
        <w:tc>
          <w:tcPr>
            <w:tcW w:w="2600" w:type="dxa"/>
            <w:hideMark/>
          </w:tcPr>
          <w:p w14:paraId="30544182"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Bidder Annual Turnover / Expected Annual Contract Value</w:t>
            </w:r>
          </w:p>
        </w:tc>
        <w:tc>
          <w:tcPr>
            <w:tcW w:w="7849" w:type="dxa"/>
            <w:hideMark/>
          </w:tcPr>
          <w:p w14:paraId="2B61F510" w14:textId="77777777" w:rsidR="0051373E" w:rsidRPr="003D5AF5" w:rsidRDefault="0051373E" w:rsidP="000B3037">
            <w:pPr>
              <w:pStyle w:val="Body"/>
              <w:rPr>
                <w:rFonts w:asciiTheme="minorHAnsi" w:hAnsiTheme="minorHAnsi" w:cstheme="minorHAnsi"/>
              </w:rPr>
            </w:pPr>
            <w:r w:rsidRPr="003D5AF5">
              <w:rPr>
                <w:rFonts w:asciiTheme="minorHAnsi" w:hAnsiTheme="minorHAnsi" w:cstheme="minorHAnsi"/>
              </w:rPr>
              <w:t xml:space="preserve">Bidder Annual Turnover </w:t>
            </w:r>
          </w:p>
          <w:p w14:paraId="680342AC" w14:textId="77777777" w:rsidR="0051373E" w:rsidRPr="003D5AF5" w:rsidRDefault="0051373E" w:rsidP="000B51B2">
            <w:pPr>
              <w:pStyle w:val="Body"/>
              <w:numPr>
                <w:ilvl w:val="0"/>
                <w:numId w:val="53"/>
              </w:numPr>
              <w:rPr>
                <w:rFonts w:asciiTheme="minorHAnsi" w:hAnsiTheme="minorHAnsi" w:cstheme="minorHAnsi"/>
              </w:rPr>
            </w:pPr>
            <w:r w:rsidRPr="003D5AF5">
              <w:rPr>
                <w:rFonts w:asciiTheme="minorHAnsi" w:hAnsiTheme="minorHAnsi" w:cstheme="minorHAnsi"/>
              </w:rPr>
              <w:t>Revenue calculated in accordance with IFRS15.</w:t>
            </w:r>
          </w:p>
          <w:p w14:paraId="6021B4D9" w14:textId="77777777" w:rsidR="0051373E" w:rsidRPr="003D5AF5" w:rsidRDefault="0051373E" w:rsidP="000B51B2">
            <w:pPr>
              <w:pStyle w:val="Body"/>
              <w:numPr>
                <w:ilvl w:val="0"/>
                <w:numId w:val="53"/>
              </w:numPr>
              <w:rPr>
                <w:rFonts w:asciiTheme="minorHAnsi" w:hAnsiTheme="minorHAnsi" w:cstheme="minorHAnsi"/>
              </w:rPr>
            </w:pPr>
            <w:r w:rsidRPr="003D5AF5">
              <w:rPr>
                <w:rFonts w:asciiTheme="minorHAnsi" w:hAnsiTheme="minorHAnsi" w:cstheme="minorHAnsi"/>
              </w:rPr>
              <w:t>Only includes revenue generated by an entity in the course of its daily core business operations. Excludes reimbursements, other income, other operating income, the entity’s share of the revenue of associates, joint ventures and any other group entities which are not fully consolidated.</w:t>
            </w:r>
          </w:p>
          <w:p w14:paraId="0823C60C" w14:textId="77777777" w:rsidR="0051373E" w:rsidRPr="003D5AF5" w:rsidRDefault="0051373E" w:rsidP="000B3037">
            <w:pPr>
              <w:pStyle w:val="Body"/>
              <w:rPr>
                <w:rFonts w:asciiTheme="minorHAnsi" w:hAnsiTheme="minorHAnsi" w:cstheme="minorHAnsi"/>
              </w:rPr>
            </w:pPr>
            <w:r w:rsidRPr="003D5AF5">
              <w:rPr>
                <w:rFonts w:asciiTheme="minorHAnsi" w:hAnsiTheme="minorHAnsi" w:cstheme="minorHAnsi"/>
              </w:rPr>
              <w:t>Expected annual contract value</w:t>
            </w:r>
          </w:p>
          <w:p w14:paraId="5F716C56" w14:textId="59DE2C47" w:rsidR="0051373E" w:rsidRPr="003D5AF5" w:rsidRDefault="0051373E" w:rsidP="000B51B2">
            <w:pPr>
              <w:pStyle w:val="Body"/>
              <w:numPr>
                <w:ilvl w:val="0"/>
                <w:numId w:val="54"/>
              </w:numPr>
              <w:rPr>
                <w:rFonts w:asciiTheme="minorHAnsi" w:hAnsiTheme="minorHAnsi" w:cstheme="minorHAnsi"/>
              </w:rPr>
            </w:pPr>
            <w:r w:rsidRPr="003D5AF5">
              <w:rPr>
                <w:rFonts w:asciiTheme="minorHAnsi" w:hAnsiTheme="minorHAnsi" w:cstheme="minorHAnsi"/>
              </w:rPr>
              <w:t>£</w:t>
            </w:r>
            <w:r w:rsidR="0094688F">
              <w:rPr>
                <w:rFonts w:asciiTheme="minorHAnsi" w:hAnsiTheme="minorHAnsi" w:cstheme="minorHAnsi"/>
              </w:rPr>
              <w:t>21.4million</w:t>
            </w:r>
          </w:p>
        </w:tc>
      </w:tr>
      <w:tr w:rsidR="0051373E" w:rsidRPr="003D5AF5" w14:paraId="0418533C" w14:textId="77777777" w:rsidTr="000B3037">
        <w:trPr>
          <w:trHeight w:val="588"/>
        </w:trPr>
        <w:tc>
          <w:tcPr>
            <w:tcW w:w="1129" w:type="dxa"/>
          </w:tcPr>
          <w:p w14:paraId="07248216" w14:textId="242FB7FD" w:rsidR="0051373E" w:rsidRPr="003D5AF5" w:rsidRDefault="0035332B" w:rsidP="000B3037">
            <w:pPr>
              <w:pStyle w:val="Body"/>
              <w:jc w:val="left"/>
              <w:rPr>
                <w:rFonts w:asciiTheme="minorHAnsi" w:hAnsiTheme="minorHAnsi" w:cstheme="minorHAnsi"/>
              </w:rPr>
            </w:pPr>
            <w:r>
              <w:rPr>
                <w:rFonts w:asciiTheme="minorHAnsi" w:hAnsiTheme="minorHAnsi" w:cstheme="minorHAnsi"/>
              </w:rPr>
              <w:t>2</w:t>
            </w:r>
          </w:p>
        </w:tc>
        <w:tc>
          <w:tcPr>
            <w:tcW w:w="2362" w:type="dxa"/>
            <w:hideMark/>
          </w:tcPr>
          <w:p w14:paraId="1E9F4CBA" w14:textId="486D8E01" w:rsidR="0051373E" w:rsidRPr="003D5AF5" w:rsidRDefault="00B57CC7" w:rsidP="000B3037">
            <w:pPr>
              <w:pStyle w:val="Body"/>
              <w:jc w:val="left"/>
              <w:rPr>
                <w:rFonts w:asciiTheme="minorHAnsi" w:hAnsiTheme="minorHAnsi" w:cstheme="minorHAnsi"/>
              </w:rPr>
            </w:pPr>
            <w:r w:rsidRPr="00B57CC7">
              <w:rPr>
                <w:rFonts w:asciiTheme="minorHAnsi" w:hAnsiTheme="minorHAnsi" w:cstheme="minorHAnsi"/>
              </w:rPr>
              <w:t>Operating Margin</w:t>
            </w:r>
          </w:p>
        </w:tc>
        <w:tc>
          <w:tcPr>
            <w:tcW w:w="2600" w:type="dxa"/>
            <w:hideMark/>
          </w:tcPr>
          <w:p w14:paraId="604F4107" w14:textId="11AF0DEA"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Operating Profit / Revenue</w:t>
            </w:r>
          </w:p>
        </w:tc>
        <w:tc>
          <w:tcPr>
            <w:tcW w:w="7849" w:type="dxa"/>
            <w:hideMark/>
          </w:tcPr>
          <w:p w14:paraId="5B7E91FE" w14:textId="77777777" w:rsidR="0051373E" w:rsidRPr="003D5AF5" w:rsidRDefault="0051373E" w:rsidP="000B3037">
            <w:pPr>
              <w:pStyle w:val="Body"/>
              <w:rPr>
                <w:rFonts w:asciiTheme="minorHAnsi" w:hAnsiTheme="minorHAnsi" w:cstheme="minorHAnsi"/>
              </w:rPr>
            </w:pPr>
            <w:r w:rsidRPr="003D5AF5">
              <w:rPr>
                <w:rFonts w:asciiTheme="minorHAnsi" w:hAnsiTheme="minorHAnsi" w:cstheme="minorHAnsi"/>
              </w:rPr>
              <w:t>Operating Profit</w:t>
            </w:r>
          </w:p>
          <w:p w14:paraId="21B39F0F" w14:textId="77777777" w:rsidR="0051373E" w:rsidRPr="003D5AF5" w:rsidRDefault="0051373E" w:rsidP="000B51B2">
            <w:pPr>
              <w:pStyle w:val="Body"/>
              <w:numPr>
                <w:ilvl w:val="0"/>
                <w:numId w:val="55"/>
              </w:numPr>
              <w:rPr>
                <w:rFonts w:asciiTheme="minorHAnsi" w:hAnsiTheme="minorHAnsi" w:cstheme="minorHAnsi"/>
              </w:rPr>
            </w:pPr>
            <w:r w:rsidRPr="003D5AF5">
              <w:rPr>
                <w:rFonts w:asciiTheme="minorHAnsi" w:hAnsiTheme="minorHAnsi" w:cstheme="minorHAnsi"/>
              </w:rPr>
              <w:t>Annual turnover (as defined in a) less cost of sales and operating expenses incurred in the course of daily core business operations.</w:t>
            </w:r>
          </w:p>
          <w:p w14:paraId="02E9B781" w14:textId="77777777" w:rsidR="0051373E" w:rsidRPr="003D5AF5" w:rsidRDefault="0051373E" w:rsidP="000B51B2">
            <w:pPr>
              <w:pStyle w:val="Body"/>
              <w:numPr>
                <w:ilvl w:val="0"/>
                <w:numId w:val="55"/>
              </w:numPr>
              <w:rPr>
                <w:rFonts w:asciiTheme="minorHAnsi" w:hAnsiTheme="minorHAnsi" w:cstheme="minorHAnsi"/>
              </w:rPr>
            </w:pPr>
            <w:r w:rsidRPr="003D5AF5">
              <w:rPr>
                <w:rFonts w:asciiTheme="minorHAnsi" w:hAnsiTheme="minorHAnsi" w:cstheme="minorHAnsi"/>
              </w:rPr>
              <w:t>Excludes interest, tax, the entity’s share of the results of associates, joint ventures and any other group entities which are not fully consolidated.</w:t>
            </w:r>
          </w:p>
          <w:p w14:paraId="5B31740D" w14:textId="77777777" w:rsidR="0051373E" w:rsidRPr="003D5AF5" w:rsidRDefault="0051373E" w:rsidP="000B3037">
            <w:pPr>
              <w:pStyle w:val="Body"/>
              <w:rPr>
                <w:rFonts w:asciiTheme="minorHAnsi" w:hAnsiTheme="minorHAnsi" w:cstheme="minorHAnsi"/>
              </w:rPr>
            </w:pPr>
            <w:r w:rsidRPr="003D5AF5">
              <w:rPr>
                <w:rFonts w:asciiTheme="minorHAnsi" w:hAnsiTheme="minorHAnsi" w:cstheme="minorHAnsi"/>
              </w:rPr>
              <w:t xml:space="preserve">Bidder Annual Turnover </w:t>
            </w:r>
          </w:p>
          <w:p w14:paraId="133E0CAA" w14:textId="3DED2AD8" w:rsidR="0051373E" w:rsidRPr="003D5AF5" w:rsidRDefault="0051373E" w:rsidP="000B51B2">
            <w:pPr>
              <w:pStyle w:val="Body"/>
              <w:numPr>
                <w:ilvl w:val="0"/>
                <w:numId w:val="56"/>
              </w:numPr>
              <w:rPr>
                <w:rFonts w:asciiTheme="minorHAnsi" w:hAnsiTheme="minorHAnsi" w:cstheme="minorHAnsi"/>
              </w:rPr>
            </w:pPr>
            <w:r w:rsidRPr="003D5AF5">
              <w:rPr>
                <w:rFonts w:asciiTheme="minorHAnsi" w:hAnsiTheme="minorHAnsi" w:cstheme="minorHAnsi"/>
              </w:rPr>
              <w:t xml:space="preserve">As defined in </w:t>
            </w:r>
            <w:r w:rsidR="00B57CC7">
              <w:rPr>
                <w:rFonts w:asciiTheme="minorHAnsi" w:hAnsiTheme="minorHAnsi" w:cstheme="minorHAnsi"/>
              </w:rPr>
              <w:t>1</w:t>
            </w:r>
            <w:r w:rsidR="00484967">
              <w:rPr>
                <w:rFonts w:asciiTheme="minorHAnsi" w:hAnsiTheme="minorHAnsi" w:cstheme="minorHAnsi"/>
              </w:rPr>
              <w:t>.</w:t>
            </w:r>
          </w:p>
          <w:p w14:paraId="4E789C7D" w14:textId="264385CC" w:rsidR="0051373E" w:rsidRPr="003D5AF5" w:rsidRDefault="00484967" w:rsidP="000B51B2">
            <w:pPr>
              <w:pStyle w:val="Body"/>
              <w:numPr>
                <w:ilvl w:val="0"/>
                <w:numId w:val="56"/>
              </w:numPr>
              <w:rPr>
                <w:rFonts w:asciiTheme="minorHAnsi" w:hAnsiTheme="minorHAnsi" w:cstheme="minorHAnsi"/>
              </w:rPr>
            </w:pPr>
            <w:r w:rsidRPr="00484967">
              <w:rPr>
                <w:rFonts w:asciiTheme="minorHAnsi" w:hAnsiTheme="minorHAnsi" w:cstheme="minorHAnsi"/>
              </w:rPr>
              <w:t>Where an entity has an operating loss (i.e. where the operating profit is negative), Operating Profit should generally be taken to be zero</w:t>
            </w:r>
            <w:r w:rsidR="0051373E" w:rsidRPr="003D5AF5">
              <w:rPr>
                <w:rFonts w:asciiTheme="minorHAnsi" w:hAnsiTheme="minorHAnsi" w:cstheme="minorHAnsi"/>
              </w:rPr>
              <w:t>.</w:t>
            </w:r>
          </w:p>
        </w:tc>
      </w:tr>
      <w:tr w:rsidR="0051373E" w:rsidRPr="003D5AF5" w14:paraId="711A16CC" w14:textId="77777777" w:rsidTr="000B3037">
        <w:trPr>
          <w:trHeight w:val="588"/>
        </w:trPr>
        <w:tc>
          <w:tcPr>
            <w:tcW w:w="1129" w:type="dxa"/>
          </w:tcPr>
          <w:p w14:paraId="343DE6E2" w14:textId="2AFA68EB" w:rsidR="0051373E" w:rsidRPr="003D5AF5" w:rsidRDefault="0035332B" w:rsidP="000B3037">
            <w:pPr>
              <w:pStyle w:val="Body"/>
              <w:jc w:val="left"/>
              <w:rPr>
                <w:rFonts w:asciiTheme="minorHAnsi" w:hAnsiTheme="minorHAnsi" w:cstheme="minorHAnsi"/>
              </w:rPr>
            </w:pPr>
            <w:r>
              <w:rPr>
                <w:rFonts w:asciiTheme="minorHAnsi" w:hAnsiTheme="minorHAnsi" w:cstheme="minorHAnsi"/>
              </w:rPr>
              <w:t>3</w:t>
            </w:r>
          </w:p>
        </w:tc>
        <w:tc>
          <w:tcPr>
            <w:tcW w:w="2362" w:type="dxa"/>
          </w:tcPr>
          <w:p w14:paraId="45CF4DE2"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 xml:space="preserve">Net Debt </w:t>
            </w:r>
            <w:proofErr w:type="gramStart"/>
            <w:r w:rsidRPr="003D5AF5">
              <w:rPr>
                <w:rFonts w:asciiTheme="minorHAnsi" w:hAnsiTheme="minorHAnsi" w:cstheme="minorHAnsi"/>
              </w:rPr>
              <w:t>To</w:t>
            </w:r>
            <w:proofErr w:type="gramEnd"/>
            <w:r w:rsidRPr="003D5AF5">
              <w:rPr>
                <w:rFonts w:asciiTheme="minorHAnsi" w:hAnsiTheme="minorHAnsi" w:cstheme="minorHAnsi"/>
              </w:rPr>
              <w:t xml:space="preserve"> EBITDA Ratio</w:t>
            </w:r>
          </w:p>
        </w:tc>
        <w:tc>
          <w:tcPr>
            <w:tcW w:w="2600" w:type="dxa"/>
          </w:tcPr>
          <w:p w14:paraId="3CEBB284" w14:textId="46190E6A" w:rsidR="0051373E" w:rsidRPr="003D5AF5" w:rsidRDefault="00F72595" w:rsidP="000B3037">
            <w:pPr>
              <w:pStyle w:val="Body"/>
              <w:jc w:val="left"/>
              <w:rPr>
                <w:rFonts w:asciiTheme="minorHAnsi" w:hAnsiTheme="minorHAnsi" w:cstheme="minorHAnsi"/>
              </w:rPr>
            </w:pPr>
            <w:r w:rsidRPr="00F72595">
              <w:rPr>
                <w:rFonts w:asciiTheme="minorHAnsi" w:hAnsiTheme="minorHAnsi" w:cstheme="minorHAnsi"/>
              </w:rPr>
              <w:t>Net Debt / EBITDA</w:t>
            </w:r>
          </w:p>
        </w:tc>
        <w:tc>
          <w:tcPr>
            <w:tcW w:w="7849" w:type="dxa"/>
          </w:tcPr>
          <w:p w14:paraId="4A53CCFE" w14:textId="3487D295" w:rsidR="0051373E" w:rsidRDefault="00540F63" w:rsidP="000B3037">
            <w:pPr>
              <w:pStyle w:val="NormalWeb"/>
              <w:spacing w:after="220"/>
              <w:textAlignment w:val="baseline"/>
              <w:rPr>
                <w:rFonts w:cstheme="minorHAnsi"/>
                <w:sz w:val="20"/>
                <w:szCs w:val="20"/>
              </w:rPr>
            </w:pPr>
            <w:r w:rsidRPr="00540F63">
              <w:rPr>
                <w:rFonts w:cstheme="minorHAnsi"/>
                <w:sz w:val="20"/>
                <w:szCs w:val="20"/>
              </w:rPr>
              <w:t>Net Debt = Bank overdrafts + Loans and borrowings, including balances owed to other group members + Finance leases + Deferred consideration payable – Cash and cash equivalents, including short-term financial investments</w:t>
            </w:r>
            <w:r w:rsidR="00954452">
              <w:rPr>
                <w:rFonts w:cstheme="minorHAnsi"/>
                <w:sz w:val="20"/>
                <w:szCs w:val="20"/>
              </w:rPr>
              <w:t>.</w:t>
            </w:r>
          </w:p>
          <w:p w14:paraId="62217917" w14:textId="10CCC73D" w:rsidR="00954452" w:rsidRDefault="00954452" w:rsidP="000B51B2">
            <w:pPr>
              <w:pStyle w:val="Body"/>
              <w:numPr>
                <w:ilvl w:val="0"/>
                <w:numId w:val="56"/>
              </w:numPr>
              <w:rPr>
                <w:rFonts w:asciiTheme="minorHAnsi" w:hAnsiTheme="minorHAnsi" w:cstheme="minorHAnsi"/>
              </w:rPr>
            </w:pPr>
            <w:r w:rsidRPr="00954452">
              <w:rPr>
                <w:rFonts w:asciiTheme="minorHAnsi" w:hAnsiTheme="minorHAnsi" w:cstheme="minorHAnsi"/>
              </w:rPr>
              <w:t xml:space="preserve">All </w:t>
            </w:r>
            <w:r w:rsidR="00FF5A3E" w:rsidRPr="00954452">
              <w:rPr>
                <w:rFonts w:asciiTheme="minorHAnsi" w:hAnsiTheme="minorHAnsi" w:cstheme="minorHAnsi"/>
              </w:rPr>
              <w:t>interest-bearing</w:t>
            </w:r>
            <w:r w:rsidRPr="00954452">
              <w:rPr>
                <w:rFonts w:asciiTheme="minorHAnsi" w:hAnsiTheme="minorHAnsi" w:cstheme="minorHAnsi"/>
              </w:rPr>
              <w:t xml:space="preserve"> liabilities (other than retirement benefit obligations) should be included as borrowings as should, where disclosed, any liabilities (less any assets) in respect of any hedges designated as linked to borrowings (but not non- designated hedges). Borrowings should also include balances owed to other group members</w:t>
            </w:r>
            <w:r>
              <w:rPr>
                <w:rFonts w:asciiTheme="minorHAnsi" w:hAnsiTheme="minorHAnsi" w:cstheme="minorHAnsi"/>
              </w:rPr>
              <w:t>.</w:t>
            </w:r>
          </w:p>
          <w:p w14:paraId="7AD627C5" w14:textId="77E77A2E" w:rsidR="00FF5A3E" w:rsidRDefault="00FF5A3E" w:rsidP="000B51B2">
            <w:pPr>
              <w:pStyle w:val="Body"/>
              <w:numPr>
                <w:ilvl w:val="0"/>
                <w:numId w:val="56"/>
              </w:numPr>
              <w:rPr>
                <w:rFonts w:asciiTheme="minorHAnsi" w:hAnsiTheme="minorHAnsi" w:cstheme="minorHAnsi"/>
              </w:rPr>
            </w:pPr>
            <w:r w:rsidRPr="00FF5A3E">
              <w:rPr>
                <w:rFonts w:asciiTheme="minorHAnsi" w:hAnsiTheme="minorHAnsi" w:cstheme="minorHAnsi"/>
              </w:rPr>
              <w:t>Deferred consideration payable should be included in Net Debt despite typically being non-interest bearing.</w:t>
            </w:r>
          </w:p>
          <w:p w14:paraId="1D272F5B" w14:textId="5FDDA800" w:rsidR="00954452" w:rsidRPr="00954452" w:rsidRDefault="00954452" w:rsidP="000B51B2">
            <w:pPr>
              <w:pStyle w:val="Body"/>
              <w:numPr>
                <w:ilvl w:val="0"/>
                <w:numId w:val="56"/>
              </w:numPr>
              <w:rPr>
                <w:rFonts w:asciiTheme="minorHAnsi" w:hAnsiTheme="minorHAnsi" w:cstheme="minorHAnsi"/>
              </w:rPr>
            </w:pPr>
            <w:r w:rsidRPr="00954452">
              <w:rPr>
                <w:rFonts w:asciiTheme="minorHAnsi" w:hAnsiTheme="minorHAnsi" w:cstheme="minorHAnsi"/>
              </w:rPr>
              <w:t>Cash and cash equivalents should include short-term financial investments shown in current assets</w:t>
            </w:r>
            <w:r>
              <w:rPr>
                <w:rFonts w:asciiTheme="minorHAnsi" w:hAnsiTheme="minorHAnsi" w:cstheme="minorHAnsi"/>
              </w:rPr>
              <w:t>.</w:t>
            </w:r>
          </w:p>
          <w:p w14:paraId="392C3C82" w14:textId="2BA488DA" w:rsidR="00540F63" w:rsidRPr="003D5AF5" w:rsidRDefault="00540F63" w:rsidP="000B3037">
            <w:pPr>
              <w:pStyle w:val="NormalWeb"/>
              <w:spacing w:after="220"/>
              <w:textAlignment w:val="baseline"/>
              <w:rPr>
                <w:rFonts w:cstheme="minorHAnsi"/>
                <w:sz w:val="20"/>
                <w:szCs w:val="20"/>
              </w:rPr>
            </w:pPr>
            <w:r w:rsidRPr="00540F63">
              <w:rPr>
                <w:rFonts w:cstheme="minorHAnsi"/>
                <w:sz w:val="20"/>
                <w:szCs w:val="20"/>
              </w:rPr>
              <w:t>EBITDA = Operating profit + Depreciation charge + Amortisation charge</w:t>
            </w:r>
          </w:p>
        </w:tc>
      </w:tr>
      <w:tr w:rsidR="0051373E" w:rsidRPr="003D5AF5" w14:paraId="74B841C3" w14:textId="77777777" w:rsidTr="000B3037">
        <w:trPr>
          <w:trHeight w:val="588"/>
        </w:trPr>
        <w:tc>
          <w:tcPr>
            <w:tcW w:w="1129" w:type="dxa"/>
          </w:tcPr>
          <w:p w14:paraId="10E98C92" w14:textId="7600D5B4" w:rsidR="0051373E" w:rsidRPr="003D5AF5" w:rsidRDefault="0035332B" w:rsidP="000B3037">
            <w:pPr>
              <w:pStyle w:val="Body"/>
              <w:jc w:val="left"/>
              <w:rPr>
                <w:rFonts w:asciiTheme="minorHAnsi" w:hAnsiTheme="minorHAnsi" w:cstheme="minorHAnsi"/>
              </w:rPr>
            </w:pPr>
            <w:r>
              <w:rPr>
                <w:rFonts w:asciiTheme="minorHAnsi" w:hAnsiTheme="minorHAnsi" w:cstheme="minorHAnsi"/>
              </w:rPr>
              <w:t>4</w:t>
            </w:r>
          </w:p>
        </w:tc>
        <w:tc>
          <w:tcPr>
            <w:tcW w:w="2362" w:type="dxa"/>
          </w:tcPr>
          <w:p w14:paraId="6AC26546"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Net Debt and Net Pension Deficit to EBITDA Ratio</w:t>
            </w:r>
          </w:p>
        </w:tc>
        <w:tc>
          <w:tcPr>
            <w:tcW w:w="2600" w:type="dxa"/>
          </w:tcPr>
          <w:p w14:paraId="3EB41D06"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(Net Debt + Net Pension Deficit) / EBITDA</w:t>
            </w:r>
          </w:p>
        </w:tc>
        <w:tc>
          <w:tcPr>
            <w:tcW w:w="7849" w:type="dxa"/>
          </w:tcPr>
          <w:p w14:paraId="1ECA4CEB"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Net Debt</w:t>
            </w:r>
          </w:p>
          <w:p w14:paraId="51F58FC3" w14:textId="715F3EC4" w:rsidR="0051373E" w:rsidRPr="003D5AF5" w:rsidRDefault="0051373E" w:rsidP="000B51B2">
            <w:pPr>
              <w:pStyle w:val="ListParagraph"/>
              <w:numPr>
                <w:ilvl w:val="0"/>
                <w:numId w:val="57"/>
              </w:numPr>
              <w:spacing w:after="220"/>
              <w:textAlignment w:val="baseline"/>
              <w:rPr>
                <w:rFonts w:cstheme="minorHAnsi"/>
                <w:szCs w:val="20"/>
              </w:rPr>
            </w:pPr>
            <w:r w:rsidRPr="003D5AF5">
              <w:rPr>
                <w:rFonts w:cstheme="minorHAnsi"/>
                <w:szCs w:val="20"/>
              </w:rPr>
              <w:t xml:space="preserve">As defined in </w:t>
            </w:r>
            <w:r w:rsidR="00540F63">
              <w:rPr>
                <w:rFonts w:cstheme="minorHAnsi"/>
                <w:szCs w:val="20"/>
              </w:rPr>
              <w:t>3</w:t>
            </w:r>
          </w:p>
          <w:p w14:paraId="5499151D"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Net Pension Deficit</w:t>
            </w:r>
          </w:p>
          <w:p w14:paraId="0FCBDB3F" w14:textId="77777777" w:rsidR="0051373E" w:rsidRPr="003D5AF5" w:rsidRDefault="0051373E" w:rsidP="000B51B2">
            <w:pPr>
              <w:pStyle w:val="ListParagraph"/>
              <w:numPr>
                <w:ilvl w:val="0"/>
                <w:numId w:val="58"/>
              </w:numPr>
              <w:spacing w:after="220"/>
              <w:textAlignment w:val="baseline"/>
              <w:rPr>
                <w:rFonts w:cstheme="minorHAnsi"/>
                <w:szCs w:val="20"/>
              </w:rPr>
            </w:pPr>
            <w:r w:rsidRPr="003D5AF5">
              <w:rPr>
                <w:rFonts w:cstheme="minorHAnsi"/>
                <w:szCs w:val="20"/>
              </w:rPr>
              <w:t xml:space="preserve">The difference between Retirement Benet Obligations and Retirement Benefit Assets. </w:t>
            </w:r>
          </w:p>
          <w:p w14:paraId="1AA6ADF8"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EBITDA</w:t>
            </w:r>
          </w:p>
          <w:p w14:paraId="076CD1C6" w14:textId="77BF63C8" w:rsidR="0051373E" w:rsidRPr="003D5AF5" w:rsidRDefault="0051373E" w:rsidP="000B51B2">
            <w:pPr>
              <w:pStyle w:val="ListParagraph"/>
              <w:numPr>
                <w:ilvl w:val="0"/>
                <w:numId w:val="58"/>
              </w:numPr>
              <w:spacing w:after="220"/>
              <w:ind w:left="994"/>
              <w:textAlignment w:val="baseline"/>
              <w:rPr>
                <w:rFonts w:cstheme="minorHAnsi"/>
                <w:szCs w:val="20"/>
              </w:rPr>
            </w:pPr>
            <w:r w:rsidRPr="003D5AF5">
              <w:rPr>
                <w:rFonts w:cstheme="minorHAnsi"/>
                <w:szCs w:val="20"/>
              </w:rPr>
              <w:t xml:space="preserve">As defined in </w:t>
            </w:r>
            <w:r w:rsidR="006E1180">
              <w:rPr>
                <w:rFonts w:cstheme="minorHAnsi"/>
                <w:szCs w:val="20"/>
              </w:rPr>
              <w:t>3</w:t>
            </w:r>
          </w:p>
        </w:tc>
      </w:tr>
      <w:tr w:rsidR="0051373E" w:rsidRPr="003D5AF5" w14:paraId="7B0DFA68" w14:textId="77777777" w:rsidTr="000B3037">
        <w:trPr>
          <w:trHeight w:val="588"/>
        </w:trPr>
        <w:tc>
          <w:tcPr>
            <w:tcW w:w="1129" w:type="dxa"/>
          </w:tcPr>
          <w:p w14:paraId="5BBFD5D1" w14:textId="3242BA11" w:rsidR="0051373E" w:rsidRPr="003D5AF5" w:rsidRDefault="0035332B" w:rsidP="000B3037">
            <w:pPr>
              <w:pStyle w:val="Body"/>
              <w:jc w:val="left"/>
              <w:rPr>
                <w:rFonts w:asciiTheme="minorHAnsi" w:hAnsiTheme="minorHAnsi" w:cstheme="minorHAnsi"/>
              </w:rPr>
            </w:pPr>
            <w:r>
              <w:rPr>
                <w:rFonts w:asciiTheme="minorHAnsi" w:hAnsiTheme="minorHAnsi" w:cstheme="minorHAnsi"/>
              </w:rPr>
              <w:t>5</w:t>
            </w:r>
          </w:p>
        </w:tc>
        <w:tc>
          <w:tcPr>
            <w:tcW w:w="2362" w:type="dxa"/>
          </w:tcPr>
          <w:p w14:paraId="697A960E"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Net Interest Paid Cover Ratio</w:t>
            </w:r>
          </w:p>
        </w:tc>
        <w:tc>
          <w:tcPr>
            <w:tcW w:w="2600" w:type="dxa"/>
          </w:tcPr>
          <w:p w14:paraId="1EDB7CD7" w14:textId="43643942" w:rsidR="0051373E" w:rsidRPr="003D5AF5" w:rsidRDefault="003104B5" w:rsidP="000B3037">
            <w:pPr>
              <w:pStyle w:val="Body"/>
              <w:jc w:val="left"/>
              <w:rPr>
                <w:rFonts w:asciiTheme="minorHAnsi" w:hAnsiTheme="minorHAnsi" w:cstheme="minorHAnsi"/>
              </w:rPr>
            </w:pPr>
            <w:r w:rsidRPr="003104B5">
              <w:rPr>
                <w:rFonts w:asciiTheme="minorHAnsi" w:hAnsiTheme="minorHAnsi" w:cstheme="minorHAnsi"/>
              </w:rPr>
              <w:t>Earnings Before Interest and Tax / Net Interest Paid</w:t>
            </w:r>
          </w:p>
        </w:tc>
        <w:tc>
          <w:tcPr>
            <w:tcW w:w="7849" w:type="dxa"/>
          </w:tcPr>
          <w:p w14:paraId="5C2765E2" w14:textId="13DE3919" w:rsidR="0008356B" w:rsidRPr="0008356B" w:rsidRDefault="0008356B" w:rsidP="0008356B">
            <w:pPr>
              <w:pStyle w:val="NormalWeb"/>
              <w:spacing w:after="220"/>
              <w:textAlignment w:val="baseline"/>
              <w:rPr>
                <w:rFonts w:cstheme="minorHAnsi"/>
                <w:sz w:val="20"/>
                <w:szCs w:val="20"/>
              </w:rPr>
            </w:pPr>
            <w:r w:rsidRPr="0008356B">
              <w:rPr>
                <w:rFonts w:cstheme="minorHAnsi"/>
                <w:sz w:val="20"/>
                <w:szCs w:val="20"/>
              </w:rPr>
              <w:t>Earnings Before Interest and Tax = Operating profit</w:t>
            </w:r>
          </w:p>
          <w:p w14:paraId="43424D95" w14:textId="77777777" w:rsidR="0051373E" w:rsidRDefault="0008356B" w:rsidP="0008356B">
            <w:pPr>
              <w:pStyle w:val="NormalWeb"/>
              <w:spacing w:after="220"/>
              <w:textAlignment w:val="baseline"/>
              <w:rPr>
                <w:rFonts w:cstheme="minorHAnsi"/>
                <w:sz w:val="20"/>
                <w:szCs w:val="20"/>
              </w:rPr>
            </w:pPr>
            <w:r w:rsidRPr="0008356B">
              <w:rPr>
                <w:rFonts w:cstheme="minorHAnsi"/>
                <w:sz w:val="20"/>
                <w:szCs w:val="20"/>
              </w:rPr>
              <w:t>Net Interest Paid = Interest paid – Interest received</w:t>
            </w:r>
            <w:r w:rsidRPr="003D5AF5">
              <w:rPr>
                <w:rFonts w:cstheme="minorHAnsi"/>
                <w:sz w:val="20"/>
                <w:szCs w:val="20"/>
              </w:rPr>
              <w:t xml:space="preserve"> </w:t>
            </w:r>
          </w:p>
          <w:p w14:paraId="05F09EEF" w14:textId="6549213C" w:rsidR="003104B5" w:rsidRPr="0008356B" w:rsidRDefault="003104B5" w:rsidP="0008356B">
            <w:pPr>
              <w:pStyle w:val="NormalWeb"/>
              <w:spacing w:after="220"/>
              <w:textAlignment w:val="baseline"/>
              <w:rPr>
                <w:rFonts w:cstheme="minorHAnsi"/>
                <w:sz w:val="20"/>
                <w:szCs w:val="20"/>
              </w:rPr>
            </w:pPr>
            <w:r w:rsidRPr="003104B5">
              <w:rPr>
                <w:rFonts w:cstheme="minorHAnsi"/>
                <w:sz w:val="20"/>
                <w:szCs w:val="20"/>
              </w:rPr>
              <w:t xml:space="preserve">Where Net interest paid is negative (i.e. the entity has net interest received), the outcome of the test </w:t>
            </w:r>
            <w:r>
              <w:rPr>
                <w:rFonts w:cstheme="minorHAnsi"/>
                <w:sz w:val="20"/>
                <w:szCs w:val="20"/>
              </w:rPr>
              <w:t>will</w:t>
            </w:r>
            <w:r w:rsidRPr="003104B5">
              <w:rPr>
                <w:rFonts w:cstheme="minorHAnsi"/>
                <w:sz w:val="20"/>
                <w:szCs w:val="20"/>
              </w:rPr>
              <w:t xml:space="preserve"> be regarded as ‘low risk’</w:t>
            </w:r>
            <w:r>
              <w:rPr>
                <w:rFonts w:cstheme="minorHAnsi"/>
                <w:sz w:val="20"/>
                <w:szCs w:val="20"/>
              </w:rPr>
              <w:t>.</w:t>
            </w:r>
          </w:p>
        </w:tc>
      </w:tr>
      <w:tr w:rsidR="0051373E" w:rsidRPr="003D5AF5" w14:paraId="485AD58A" w14:textId="77777777" w:rsidTr="000B3037">
        <w:trPr>
          <w:trHeight w:val="588"/>
        </w:trPr>
        <w:tc>
          <w:tcPr>
            <w:tcW w:w="1129" w:type="dxa"/>
          </w:tcPr>
          <w:p w14:paraId="624C61D6" w14:textId="197FFDD1" w:rsidR="0051373E" w:rsidRPr="003D5AF5" w:rsidRDefault="00277BCB" w:rsidP="000B3037">
            <w:pPr>
              <w:pStyle w:val="Body"/>
              <w:jc w:val="left"/>
              <w:rPr>
                <w:rFonts w:asciiTheme="minorHAnsi" w:hAnsiTheme="minorHAnsi" w:cstheme="minorHAnsi"/>
              </w:rPr>
            </w:pPr>
            <w:r>
              <w:rPr>
                <w:rFonts w:asciiTheme="minorHAnsi" w:hAnsiTheme="minorHAnsi" w:cstheme="minorHAnsi"/>
              </w:rPr>
              <w:t>6</w:t>
            </w:r>
          </w:p>
        </w:tc>
        <w:tc>
          <w:tcPr>
            <w:tcW w:w="2362" w:type="dxa"/>
          </w:tcPr>
          <w:p w14:paraId="27524AE6"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Acid Ratio</w:t>
            </w:r>
          </w:p>
        </w:tc>
        <w:tc>
          <w:tcPr>
            <w:tcW w:w="2600" w:type="dxa"/>
          </w:tcPr>
          <w:p w14:paraId="1B103292" w14:textId="49CBBBEE" w:rsidR="0051373E" w:rsidRPr="00052786" w:rsidRDefault="00304FD7" w:rsidP="000B3037">
            <w:pPr>
              <w:pStyle w:val="Body"/>
              <w:jc w:val="left"/>
              <w:rPr>
                <w:rFonts w:asciiTheme="minorHAnsi" w:hAnsiTheme="minorHAnsi" w:cstheme="minorHAnsi"/>
                <w:lang w:val="fr-FR"/>
              </w:rPr>
            </w:pPr>
            <w:r w:rsidRPr="00052786">
              <w:rPr>
                <w:rFonts w:asciiTheme="minorHAnsi" w:hAnsiTheme="minorHAnsi" w:cstheme="minorHAnsi"/>
                <w:lang w:val="fr-FR"/>
              </w:rPr>
              <w:t>(Current Assets – Inventories)/ Current Liabilities</w:t>
            </w:r>
          </w:p>
        </w:tc>
        <w:tc>
          <w:tcPr>
            <w:tcW w:w="7849" w:type="dxa"/>
          </w:tcPr>
          <w:p w14:paraId="5770DCC9"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Current assets</w:t>
            </w:r>
          </w:p>
          <w:p w14:paraId="1FD2EB61" w14:textId="77777777" w:rsidR="0051373E" w:rsidRPr="003D5AF5" w:rsidRDefault="0051373E" w:rsidP="000B51B2">
            <w:pPr>
              <w:pStyle w:val="ListParagraph"/>
              <w:numPr>
                <w:ilvl w:val="0"/>
                <w:numId w:val="59"/>
              </w:numPr>
              <w:spacing w:after="220"/>
              <w:textAlignment w:val="baseline"/>
              <w:rPr>
                <w:rFonts w:cstheme="minorHAnsi"/>
                <w:szCs w:val="20"/>
              </w:rPr>
            </w:pPr>
            <w:r w:rsidRPr="003D5AF5">
              <w:rPr>
                <w:rFonts w:cstheme="minorHAnsi"/>
                <w:szCs w:val="20"/>
              </w:rPr>
              <w:t>Total current assets as shown on the face of the Statement of Financial Position in a standard set of financial statements.</w:t>
            </w:r>
          </w:p>
          <w:p w14:paraId="799CB257"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Current liabilities</w:t>
            </w:r>
          </w:p>
          <w:p w14:paraId="0B72A619" w14:textId="77777777" w:rsidR="0051373E" w:rsidRPr="003D5AF5" w:rsidRDefault="0051373E" w:rsidP="000B51B2">
            <w:pPr>
              <w:pStyle w:val="ListParagraph"/>
              <w:numPr>
                <w:ilvl w:val="0"/>
                <w:numId w:val="58"/>
              </w:numPr>
              <w:spacing w:after="220"/>
              <w:ind w:left="994"/>
              <w:textAlignment w:val="baseline"/>
              <w:rPr>
                <w:rFonts w:cstheme="minorHAnsi"/>
                <w:szCs w:val="20"/>
              </w:rPr>
            </w:pPr>
            <w:r w:rsidRPr="003D5AF5">
              <w:rPr>
                <w:rFonts w:cstheme="minorHAnsi"/>
                <w:szCs w:val="20"/>
              </w:rPr>
              <w:t>Total current liabilities as shown on the face of the Statement of Financial Position in a standard set of financial statements.</w:t>
            </w:r>
          </w:p>
        </w:tc>
      </w:tr>
      <w:tr w:rsidR="0051373E" w:rsidRPr="003D5AF5" w14:paraId="69E8DDBF" w14:textId="77777777" w:rsidTr="000B3037">
        <w:trPr>
          <w:trHeight w:val="588"/>
        </w:trPr>
        <w:tc>
          <w:tcPr>
            <w:tcW w:w="1129" w:type="dxa"/>
          </w:tcPr>
          <w:p w14:paraId="5FBEDB69" w14:textId="4A946647" w:rsidR="0051373E" w:rsidRPr="003D5AF5" w:rsidRDefault="00277BCB" w:rsidP="000B3037">
            <w:pPr>
              <w:pStyle w:val="Body"/>
              <w:jc w:val="left"/>
              <w:rPr>
                <w:rFonts w:asciiTheme="minorHAnsi" w:hAnsiTheme="minorHAnsi" w:cstheme="minorHAnsi"/>
              </w:rPr>
            </w:pPr>
            <w:r>
              <w:rPr>
                <w:rFonts w:asciiTheme="minorHAnsi" w:hAnsiTheme="minorHAnsi" w:cstheme="minorHAnsi"/>
              </w:rPr>
              <w:t>7</w:t>
            </w:r>
          </w:p>
        </w:tc>
        <w:tc>
          <w:tcPr>
            <w:tcW w:w="2362" w:type="dxa"/>
          </w:tcPr>
          <w:p w14:paraId="37F4218A"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Net Assets Value</w:t>
            </w:r>
          </w:p>
        </w:tc>
        <w:tc>
          <w:tcPr>
            <w:tcW w:w="2600" w:type="dxa"/>
          </w:tcPr>
          <w:p w14:paraId="2BB76F2B"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Total Assets – Total Liabilities</w:t>
            </w:r>
          </w:p>
        </w:tc>
        <w:tc>
          <w:tcPr>
            <w:tcW w:w="7849" w:type="dxa"/>
          </w:tcPr>
          <w:p w14:paraId="37309BC3"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 xml:space="preserve">Total Assets </w:t>
            </w:r>
          </w:p>
          <w:p w14:paraId="5ED46B31" w14:textId="77777777" w:rsidR="0051373E" w:rsidRPr="003D5AF5" w:rsidRDefault="0051373E" w:rsidP="000B51B2">
            <w:pPr>
              <w:pStyle w:val="ListParagraph"/>
              <w:numPr>
                <w:ilvl w:val="0"/>
                <w:numId w:val="60"/>
              </w:numPr>
              <w:spacing w:after="220"/>
              <w:textAlignment w:val="baseline"/>
              <w:rPr>
                <w:rFonts w:cstheme="minorHAnsi"/>
                <w:szCs w:val="20"/>
              </w:rPr>
            </w:pPr>
            <w:r w:rsidRPr="003D5AF5">
              <w:rPr>
                <w:rFonts w:cstheme="minorHAnsi"/>
                <w:szCs w:val="20"/>
              </w:rPr>
              <w:t>As shown on the face of the Statement of Financial Position of a standard set of financial statements.</w:t>
            </w:r>
          </w:p>
          <w:p w14:paraId="16213176"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Total liabilities</w:t>
            </w:r>
          </w:p>
          <w:p w14:paraId="12733C9C" w14:textId="77777777" w:rsidR="0051373E" w:rsidRPr="003D5AF5" w:rsidRDefault="0051373E" w:rsidP="000B51B2">
            <w:pPr>
              <w:pStyle w:val="ListParagraph"/>
              <w:numPr>
                <w:ilvl w:val="0"/>
                <w:numId w:val="60"/>
              </w:numPr>
              <w:spacing w:after="220"/>
              <w:textAlignment w:val="baseline"/>
              <w:rPr>
                <w:rFonts w:cstheme="minorHAnsi"/>
                <w:szCs w:val="20"/>
              </w:rPr>
            </w:pPr>
            <w:r w:rsidRPr="003D5AF5">
              <w:rPr>
                <w:rFonts w:cstheme="minorHAnsi"/>
                <w:szCs w:val="20"/>
              </w:rPr>
              <w:t>As shown on the face of the Statement of Financial Position of a standard set of financial statements.</w:t>
            </w:r>
          </w:p>
        </w:tc>
      </w:tr>
      <w:tr w:rsidR="0051373E" w:rsidRPr="003D5AF5" w14:paraId="7C766F21" w14:textId="77777777" w:rsidTr="000B3037">
        <w:trPr>
          <w:trHeight w:val="588"/>
        </w:trPr>
        <w:tc>
          <w:tcPr>
            <w:tcW w:w="1129" w:type="dxa"/>
          </w:tcPr>
          <w:p w14:paraId="258FE79E" w14:textId="273015F9" w:rsidR="0051373E" w:rsidRPr="003D5AF5" w:rsidRDefault="00277BCB" w:rsidP="000B3037">
            <w:pPr>
              <w:pStyle w:val="Body"/>
              <w:jc w:val="left"/>
              <w:rPr>
                <w:rFonts w:asciiTheme="minorHAnsi" w:hAnsiTheme="minorHAnsi" w:cstheme="minorHAnsi"/>
              </w:rPr>
            </w:pPr>
            <w:r>
              <w:rPr>
                <w:rFonts w:asciiTheme="minorHAnsi" w:hAnsiTheme="minorHAnsi" w:cstheme="minorHAnsi"/>
              </w:rPr>
              <w:t>8</w:t>
            </w:r>
          </w:p>
        </w:tc>
        <w:tc>
          <w:tcPr>
            <w:tcW w:w="2362" w:type="dxa"/>
          </w:tcPr>
          <w:p w14:paraId="1CB55C36"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Group Exposure Ratio</w:t>
            </w:r>
          </w:p>
        </w:tc>
        <w:tc>
          <w:tcPr>
            <w:tcW w:w="2600" w:type="dxa"/>
          </w:tcPr>
          <w:p w14:paraId="749F45DA" w14:textId="77777777" w:rsidR="0051373E" w:rsidRPr="003D5AF5" w:rsidRDefault="0051373E" w:rsidP="000B3037">
            <w:pPr>
              <w:pStyle w:val="Body"/>
              <w:jc w:val="left"/>
              <w:rPr>
                <w:rFonts w:asciiTheme="minorHAnsi" w:hAnsiTheme="minorHAnsi" w:cstheme="minorHAnsi"/>
              </w:rPr>
            </w:pPr>
            <w:r w:rsidRPr="003D5AF5">
              <w:rPr>
                <w:rFonts w:asciiTheme="minorHAnsi" w:hAnsiTheme="minorHAnsi" w:cstheme="minorHAnsi"/>
              </w:rPr>
              <w:t>Group Exposure / Gross Assets</w:t>
            </w:r>
          </w:p>
        </w:tc>
        <w:tc>
          <w:tcPr>
            <w:tcW w:w="7849" w:type="dxa"/>
          </w:tcPr>
          <w:p w14:paraId="1D47ABEA"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 xml:space="preserve">Group Exposure </w:t>
            </w:r>
          </w:p>
          <w:p w14:paraId="619B0340" w14:textId="77777777" w:rsidR="0051373E" w:rsidRPr="003D5AF5" w:rsidRDefault="0051373E" w:rsidP="000B51B2">
            <w:pPr>
              <w:pStyle w:val="ListParagraph"/>
              <w:numPr>
                <w:ilvl w:val="0"/>
                <w:numId w:val="61"/>
              </w:numPr>
              <w:spacing w:after="220"/>
              <w:textAlignment w:val="baseline"/>
              <w:rPr>
                <w:rFonts w:cstheme="minorHAnsi"/>
                <w:szCs w:val="20"/>
              </w:rPr>
            </w:pPr>
            <w:r w:rsidRPr="003D5AF5">
              <w:rPr>
                <w:rFonts w:cstheme="minorHAnsi"/>
                <w:szCs w:val="20"/>
              </w:rPr>
              <w:t>The sum of balances owed by Group Undertakings and Contingent liabilities assumed in support of Group Undertakings</w:t>
            </w:r>
          </w:p>
          <w:p w14:paraId="12D8A6E3" w14:textId="77777777" w:rsidR="0051373E" w:rsidRPr="003D5AF5" w:rsidRDefault="0051373E" w:rsidP="000B51B2">
            <w:pPr>
              <w:pStyle w:val="ListParagraph"/>
              <w:numPr>
                <w:ilvl w:val="0"/>
                <w:numId w:val="61"/>
              </w:numPr>
              <w:spacing w:after="220"/>
              <w:textAlignment w:val="baseline"/>
              <w:rPr>
                <w:rFonts w:cstheme="minorHAnsi"/>
                <w:szCs w:val="20"/>
              </w:rPr>
            </w:pPr>
            <w:r w:rsidRPr="003D5AF5">
              <w:rPr>
                <w:rFonts w:cstheme="minorHAnsi"/>
                <w:szCs w:val="20"/>
              </w:rPr>
              <w:t>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1C8716E0" w14:textId="77777777" w:rsidR="0051373E" w:rsidRPr="003D5AF5" w:rsidRDefault="0051373E" w:rsidP="000B51B2">
            <w:pPr>
              <w:pStyle w:val="ListParagraph"/>
              <w:numPr>
                <w:ilvl w:val="0"/>
                <w:numId w:val="61"/>
              </w:numPr>
              <w:spacing w:after="220"/>
              <w:textAlignment w:val="baseline"/>
              <w:rPr>
                <w:rFonts w:cstheme="minorHAnsi"/>
                <w:szCs w:val="20"/>
              </w:rPr>
            </w:pPr>
            <w:r w:rsidRPr="003D5AF5">
              <w:rPr>
                <w:rFonts w:cstheme="minorHAnsi"/>
                <w:szCs w:val="20"/>
              </w:rPr>
              <w:t xml:space="preserve">Contingent liabilities assumed in support of Group Undertakings are shown in the Contingent Liabilities note in a standard set of financial statements. They include the value of guarantees and security given in support of the borrowings of other group companies, often as part of group borrowing arrangements. Where the contingent liabilities are capped, the capped figure should be taken as their value. Where no cap or maximum is specified, the outcome of the test should automatically be regarded as </w:t>
            </w:r>
            <w:proofErr w:type="gramStart"/>
            <w:r w:rsidRPr="003D5AF5">
              <w:rPr>
                <w:rFonts w:cstheme="minorHAnsi"/>
                <w:szCs w:val="20"/>
              </w:rPr>
              <w:t>‘ High</w:t>
            </w:r>
            <w:proofErr w:type="gramEnd"/>
            <w:r w:rsidRPr="003D5AF5">
              <w:rPr>
                <w:rFonts w:cstheme="minorHAnsi"/>
                <w:szCs w:val="20"/>
              </w:rPr>
              <w:t xml:space="preserve"> </w:t>
            </w:r>
            <w:proofErr w:type="gramStart"/>
            <w:r w:rsidRPr="003D5AF5">
              <w:rPr>
                <w:rFonts w:cstheme="minorHAnsi"/>
                <w:szCs w:val="20"/>
              </w:rPr>
              <w:t>risk ’</w:t>
            </w:r>
            <w:proofErr w:type="gramEnd"/>
            <w:r w:rsidRPr="003D5AF5">
              <w:rPr>
                <w:rFonts w:cstheme="minorHAnsi"/>
                <w:szCs w:val="20"/>
              </w:rPr>
              <w:t xml:space="preserve">.  </w:t>
            </w:r>
          </w:p>
          <w:p w14:paraId="05856300" w14:textId="77777777" w:rsidR="0051373E" w:rsidRPr="003D5AF5" w:rsidRDefault="0051373E" w:rsidP="000B3037">
            <w:pPr>
              <w:pStyle w:val="NormalWeb"/>
              <w:spacing w:after="220"/>
              <w:textAlignment w:val="baseline"/>
              <w:rPr>
                <w:rFonts w:cstheme="minorHAnsi"/>
                <w:sz w:val="20"/>
                <w:szCs w:val="20"/>
              </w:rPr>
            </w:pPr>
            <w:r w:rsidRPr="003D5AF5">
              <w:rPr>
                <w:rFonts w:cstheme="minorHAnsi"/>
                <w:sz w:val="20"/>
                <w:szCs w:val="20"/>
              </w:rPr>
              <w:t>Gross Assets</w:t>
            </w:r>
          </w:p>
          <w:p w14:paraId="69339F62" w14:textId="2E3097D0" w:rsidR="0051373E" w:rsidRPr="003D5AF5" w:rsidRDefault="0051373E" w:rsidP="000B51B2">
            <w:pPr>
              <w:pStyle w:val="ListParagraph"/>
              <w:numPr>
                <w:ilvl w:val="0"/>
                <w:numId w:val="60"/>
              </w:numPr>
              <w:spacing w:after="220"/>
              <w:textAlignment w:val="baseline"/>
              <w:rPr>
                <w:rFonts w:cstheme="minorHAnsi"/>
                <w:szCs w:val="20"/>
              </w:rPr>
            </w:pPr>
            <w:r w:rsidRPr="003D5AF5">
              <w:rPr>
                <w:rFonts w:cstheme="minorHAnsi"/>
                <w:szCs w:val="20"/>
              </w:rPr>
              <w:t>The sum of Fixed Assets and Current Assets as shown on the face of the Balance Sheet.</w:t>
            </w:r>
          </w:p>
        </w:tc>
      </w:tr>
    </w:tbl>
    <w:p w14:paraId="669240D8" w14:textId="77777777" w:rsidR="0051373E" w:rsidRDefault="0051373E" w:rsidP="0051373E">
      <w:pPr>
        <w:pStyle w:val="NormalAshurst"/>
        <w:spacing w:before="120" w:after="120"/>
        <w:rPr>
          <w:b/>
          <w:bCs/>
          <w:szCs w:val="22"/>
        </w:rPr>
        <w:sectPr w:rsidR="0051373E" w:rsidSect="0051373E">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440" w:right="1440" w:bottom="1440" w:left="1440" w:header="510" w:footer="340" w:gutter="0"/>
          <w:cols w:space="720"/>
          <w:docGrid w:linePitch="272"/>
        </w:sectPr>
      </w:pPr>
    </w:p>
    <w:p w14:paraId="56A2D49C" w14:textId="005F1F09" w:rsidR="00A5438D" w:rsidRPr="00E74825" w:rsidRDefault="00F26284" w:rsidP="00E74825">
      <w:pPr>
        <w:pStyle w:val="NormalAshurst"/>
        <w:rPr>
          <w:rFonts w:cstheme="minorHAnsi"/>
          <w:b/>
          <w:sz w:val="24"/>
        </w:rPr>
      </w:pPr>
      <w:r w:rsidRPr="00E74825">
        <w:rPr>
          <w:rFonts w:cstheme="minorHAnsi"/>
          <w:b/>
          <w:sz w:val="24"/>
        </w:rPr>
        <w:t>E.</w:t>
      </w:r>
      <w:r w:rsidR="00D77EDC">
        <w:rPr>
          <w:rFonts w:cstheme="minorHAnsi"/>
          <w:b/>
          <w:sz w:val="24"/>
        </w:rPr>
        <w:t xml:space="preserve"> </w:t>
      </w:r>
      <w:r w:rsidR="00844249" w:rsidRPr="00E74825">
        <w:rPr>
          <w:rFonts w:cstheme="minorHAnsi"/>
          <w:b/>
          <w:sz w:val="24"/>
        </w:rPr>
        <w:t xml:space="preserve">Detailed Evaluation Methodology for </w:t>
      </w:r>
      <w:bookmarkEnd w:id="46"/>
      <w:r w:rsidR="008440C0" w:rsidRPr="00E74825">
        <w:rPr>
          <w:rFonts w:cstheme="minorHAnsi"/>
          <w:b/>
          <w:sz w:val="24"/>
        </w:rPr>
        <w:t>Part 3</w:t>
      </w:r>
      <w:r w:rsidR="00DC307A">
        <w:rPr>
          <w:rFonts w:cstheme="minorHAnsi"/>
          <w:b/>
          <w:sz w:val="24"/>
        </w:rPr>
        <w:t>A</w:t>
      </w:r>
      <w:r w:rsidR="008440C0" w:rsidRPr="00E74825">
        <w:rPr>
          <w:rFonts w:cstheme="minorHAnsi"/>
          <w:b/>
          <w:sz w:val="24"/>
        </w:rPr>
        <w:t xml:space="preserve"> (Questions </w:t>
      </w:r>
      <w:r w:rsidR="009A1930" w:rsidRPr="00E74825">
        <w:rPr>
          <w:rFonts w:cstheme="minorHAnsi"/>
          <w:b/>
          <w:sz w:val="24"/>
        </w:rPr>
        <w:t>2</w:t>
      </w:r>
      <w:r w:rsidR="00A60467" w:rsidRPr="00E74825">
        <w:rPr>
          <w:rFonts w:cstheme="minorHAnsi"/>
          <w:b/>
          <w:sz w:val="24"/>
        </w:rPr>
        <w:t>3-</w:t>
      </w:r>
      <w:r w:rsidR="00DC307A">
        <w:rPr>
          <w:rFonts w:cstheme="minorHAnsi"/>
          <w:b/>
          <w:sz w:val="24"/>
        </w:rPr>
        <w:t>28</w:t>
      </w:r>
      <w:r w:rsidR="00EB1737">
        <w:rPr>
          <w:rFonts w:cstheme="minorHAnsi"/>
          <w:b/>
          <w:sz w:val="24"/>
        </w:rPr>
        <w:t>)</w:t>
      </w:r>
    </w:p>
    <w:p w14:paraId="2A242D70" w14:textId="77777777" w:rsidR="003E7602" w:rsidRPr="00585A3E" w:rsidRDefault="003E7602" w:rsidP="003E7602">
      <w:pPr>
        <w:spacing w:after="0"/>
        <w:textAlignment w:val="baseline"/>
        <w:rPr>
          <w:rFonts w:eastAsia="Times New Roman" w:cstheme="minorHAnsi"/>
          <w:szCs w:val="20"/>
          <w:lang w:eastAsia="en-GB"/>
        </w:rPr>
      </w:pPr>
    </w:p>
    <w:tbl>
      <w:tblPr>
        <w:tblW w:w="137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
        <w:gridCol w:w="6407"/>
        <w:gridCol w:w="791"/>
        <w:gridCol w:w="5500"/>
      </w:tblGrid>
      <w:tr w:rsidR="007F1680" w14:paraId="04424C88" w14:textId="77777777" w:rsidTr="3D83606E">
        <w:trPr>
          <w:trHeight w:val="300"/>
          <w:tblHeader/>
        </w:trPr>
        <w:tc>
          <w:tcPr>
            <w:tcW w:w="0" w:type="auto"/>
            <w:tcBorders>
              <w:top w:val="single" w:sz="6" w:space="0" w:color="auto"/>
              <w:left w:val="single" w:sz="6" w:space="0" w:color="auto"/>
              <w:bottom w:val="single" w:sz="4" w:space="0" w:color="auto"/>
              <w:right w:val="single" w:sz="6" w:space="0" w:color="auto"/>
            </w:tcBorders>
            <w:shd w:val="clear" w:color="auto" w:fill="D9D9D9" w:themeFill="background1" w:themeFillShade="D9"/>
            <w:hideMark/>
          </w:tcPr>
          <w:p w14:paraId="386C08E8" w14:textId="59FEF046" w:rsidR="003E7602" w:rsidRPr="003C5C78" w:rsidRDefault="00F26284" w:rsidP="00E35635">
            <w:pPr>
              <w:spacing w:before="100" w:after="100"/>
              <w:ind w:left="57"/>
              <w:textAlignment w:val="baseline"/>
              <w:rPr>
                <w:rFonts w:eastAsia="Times New Roman" w:cstheme="minorHAnsi"/>
                <w:b/>
                <w:bCs/>
                <w:szCs w:val="20"/>
                <w:lang w:eastAsia="en-GB"/>
              </w:rPr>
            </w:pPr>
            <w:r>
              <w:rPr>
                <w:rFonts w:eastAsia="Times New Roman" w:cstheme="minorHAnsi"/>
                <w:b/>
                <w:bCs/>
                <w:szCs w:val="20"/>
                <w:lang w:eastAsia="en-GB"/>
              </w:rPr>
              <w:t>PSQ</w:t>
            </w:r>
            <w:r w:rsidRPr="003C5C78">
              <w:rPr>
                <w:rFonts w:eastAsia="Times New Roman" w:cstheme="minorHAnsi"/>
                <w:b/>
                <w:bCs/>
                <w:szCs w:val="20"/>
                <w:lang w:eastAsia="en-GB"/>
              </w:rPr>
              <w:t xml:space="preserve"> Section</w:t>
            </w:r>
          </w:p>
        </w:tc>
        <w:tc>
          <w:tcPr>
            <w:tcW w:w="6407" w:type="dxa"/>
            <w:tcBorders>
              <w:top w:val="single" w:sz="6" w:space="0" w:color="auto"/>
              <w:left w:val="single" w:sz="6" w:space="0" w:color="auto"/>
              <w:bottom w:val="single" w:sz="4" w:space="0" w:color="auto"/>
              <w:right w:val="single" w:sz="6" w:space="0" w:color="auto"/>
            </w:tcBorders>
            <w:shd w:val="clear" w:color="auto" w:fill="D9D9D9" w:themeFill="background1" w:themeFillShade="D9"/>
            <w:hideMark/>
          </w:tcPr>
          <w:p w14:paraId="239E8406" w14:textId="77777777" w:rsidR="003E7602" w:rsidRPr="003C5C78" w:rsidRDefault="00F26284" w:rsidP="00E35635">
            <w:pPr>
              <w:spacing w:before="100" w:after="100"/>
              <w:ind w:left="57"/>
              <w:textAlignment w:val="baseline"/>
              <w:rPr>
                <w:rFonts w:eastAsia="Times New Roman" w:cstheme="minorHAnsi"/>
                <w:b/>
                <w:bCs/>
                <w:szCs w:val="20"/>
                <w:lang w:eastAsia="en-GB"/>
              </w:rPr>
            </w:pPr>
            <w:r w:rsidRPr="003C5C78">
              <w:rPr>
                <w:rFonts w:eastAsia="Times New Roman" w:cstheme="minorHAnsi"/>
                <w:b/>
                <w:bCs/>
                <w:szCs w:val="20"/>
                <w:lang w:eastAsia="en-GB"/>
              </w:rPr>
              <w:t>Section name  </w:t>
            </w:r>
          </w:p>
        </w:tc>
        <w:tc>
          <w:tcPr>
            <w:tcW w:w="7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3BA88F" w14:textId="77777777" w:rsidR="003E7602" w:rsidRPr="003C5C78" w:rsidRDefault="00F26284" w:rsidP="00E35635">
            <w:pPr>
              <w:spacing w:before="100" w:after="100"/>
              <w:ind w:left="57"/>
              <w:textAlignment w:val="baseline"/>
              <w:rPr>
                <w:rFonts w:eastAsia="Times New Roman" w:cstheme="minorHAnsi"/>
                <w:b/>
                <w:bCs/>
                <w:szCs w:val="20"/>
                <w:lang w:eastAsia="en-GB"/>
              </w:rPr>
            </w:pPr>
            <w:r w:rsidRPr="003C5C78">
              <w:rPr>
                <w:rFonts w:eastAsia="Times New Roman" w:cstheme="minorHAnsi"/>
                <w:b/>
                <w:bCs/>
                <w:szCs w:val="20"/>
                <w:lang w:eastAsia="en-GB"/>
              </w:rPr>
              <w:t>Score</w:t>
            </w:r>
          </w:p>
        </w:tc>
        <w:tc>
          <w:tcPr>
            <w:tcW w:w="5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BE2946" w14:textId="625BA15D" w:rsidR="003E7602" w:rsidRPr="003C5C78" w:rsidRDefault="00F26284" w:rsidP="195203CC">
            <w:pPr>
              <w:spacing w:before="100" w:after="100"/>
              <w:ind w:left="57"/>
              <w:textAlignment w:val="baseline"/>
              <w:rPr>
                <w:rFonts w:eastAsia="Times New Roman" w:cstheme="minorHAnsi"/>
                <w:b/>
                <w:bCs/>
                <w:szCs w:val="20"/>
                <w:lang w:eastAsia="en-GB"/>
              </w:rPr>
            </w:pPr>
            <w:r w:rsidRPr="003C5C78">
              <w:rPr>
                <w:rFonts w:eastAsia="Times New Roman" w:cstheme="minorHAnsi"/>
                <w:b/>
                <w:bCs/>
                <w:szCs w:val="20"/>
                <w:lang w:eastAsia="en-GB"/>
              </w:rPr>
              <w:t xml:space="preserve">Assessment Methodology </w:t>
            </w:r>
          </w:p>
        </w:tc>
      </w:tr>
      <w:tr w:rsidR="007F1680" w14:paraId="7D1CDDE6" w14:textId="77777777" w:rsidTr="3D83606E">
        <w:trPr>
          <w:trHeight w:val="518"/>
        </w:trPr>
        <w:tc>
          <w:tcPr>
            <w:tcW w:w="0" w:type="auto"/>
            <w:vMerge w:val="restart"/>
            <w:tcBorders>
              <w:top w:val="single" w:sz="4" w:space="0" w:color="auto"/>
              <w:left w:val="single" w:sz="4" w:space="0" w:color="auto"/>
              <w:right w:val="single" w:sz="4" w:space="0" w:color="auto"/>
            </w:tcBorders>
            <w:shd w:val="clear" w:color="auto" w:fill="auto"/>
          </w:tcPr>
          <w:p w14:paraId="08D79CC6" w14:textId="2BD9D863" w:rsidR="003D0958" w:rsidRDefault="00F26284" w:rsidP="003D0958">
            <w:pPr>
              <w:spacing w:before="100" w:after="100"/>
              <w:ind w:left="57"/>
              <w:rPr>
                <w:rFonts w:eastAsia="Times New Roman" w:cstheme="minorHAnsi"/>
                <w:szCs w:val="20"/>
                <w:lang w:eastAsia="en-GB"/>
              </w:rPr>
            </w:pPr>
            <w:r>
              <w:rPr>
                <w:rFonts w:eastAsia="Times New Roman" w:cstheme="minorHAnsi"/>
                <w:szCs w:val="20"/>
                <w:lang w:eastAsia="en-GB"/>
              </w:rPr>
              <w:t>2</w:t>
            </w:r>
            <w:r w:rsidR="00D77EDC">
              <w:rPr>
                <w:rFonts w:eastAsia="Times New Roman" w:cstheme="minorHAnsi"/>
                <w:szCs w:val="20"/>
                <w:lang w:eastAsia="en-GB"/>
              </w:rPr>
              <w:t>3</w:t>
            </w:r>
          </w:p>
        </w:tc>
        <w:tc>
          <w:tcPr>
            <w:tcW w:w="6407" w:type="dxa"/>
            <w:vMerge w:val="restart"/>
            <w:tcBorders>
              <w:top w:val="single" w:sz="4" w:space="0" w:color="auto"/>
              <w:left w:val="single" w:sz="4" w:space="0" w:color="auto"/>
              <w:right w:val="single" w:sz="4" w:space="0" w:color="auto"/>
            </w:tcBorders>
            <w:shd w:val="clear" w:color="auto" w:fill="auto"/>
          </w:tcPr>
          <w:p w14:paraId="52A5FD18" w14:textId="5557810F" w:rsidR="003D0958" w:rsidRDefault="00F26284" w:rsidP="003D0958">
            <w:pPr>
              <w:widowControl w:val="0"/>
              <w:spacing w:after="120" w:line="240" w:lineRule="auto"/>
              <w:rPr>
                <w:rFonts w:asciiTheme="minorBidi" w:eastAsia="Helvetica Neue Light" w:hAnsiTheme="minorBidi"/>
                <w:b/>
                <w:bCs/>
                <w:szCs w:val="20"/>
                <w:lang w:eastAsia="en-GB"/>
              </w:rPr>
            </w:pPr>
            <w:r>
              <w:rPr>
                <w:rFonts w:asciiTheme="minorBidi" w:eastAsia="Helvetica Neue Light" w:hAnsiTheme="minorBidi"/>
                <w:b/>
                <w:bCs/>
                <w:szCs w:val="20"/>
                <w:lang w:eastAsia="en-GB"/>
              </w:rPr>
              <w:t>Insurance</w:t>
            </w:r>
          </w:p>
        </w:tc>
        <w:tc>
          <w:tcPr>
            <w:tcW w:w="791" w:type="dxa"/>
            <w:tcBorders>
              <w:top w:val="single" w:sz="4" w:space="0" w:color="auto"/>
              <w:left w:val="single" w:sz="4" w:space="0" w:color="auto"/>
              <w:right w:val="single" w:sz="4" w:space="0" w:color="auto"/>
            </w:tcBorders>
            <w:shd w:val="clear" w:color="auto" w:fill="auto"/>
          </w:tcPr>
          <w:p w14:paraId="44EB5F28" w14:textId="250F0112" w:rsidR="003D0958" w:rsidRDefault="00F26284" w:rsidP="003D0958">
            <w:pPr>
              <w:spacing w:before="100" w:after="100"/>
              <w:ind w:left="57"/>
              <w:textAlignment w:val="baseline"/>
              <w:rPr>
                <w:rFonts w:eastAsia="Times New Roman" w:cstheme="minorHAnsi"/>
                <w:szCs w:val="20"/>
                <w:lang w:eastAsia="en-GB"/>
              </w:rPr>
            </w:pPr>
            <w:r>
              <w:rPr>
                <w:rFonts w:eastAsia="Times New Roman" w:cstheme="minorHAnsi"/>
                <w:szCs w:val="20"/>
                <w:lang w:eastAsia="en-GB"/>
              </w:rPr>
              <w:t>Pass</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14AE486B" w14:textId="24C9DC91" w:rsidR="003D0958" w:rsidRPr="00585A3E" w:rsidRDefault="00F26284" w:rsidP="003D0958">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Applicant responds “Yes”.</w:t>
            </w:r>
          </w:p>
        </w:tc>
      </w:tr>
      <w:tr w:rsidR="007F1680" w14:paraId="2C9CC955" w14:textId="77777777" w:rsidTr="3D83606E">
        <w:trPr>
          <w:trHeight w:val="465"/>
        </w:trPr>
        <w:tc>
          <w:tcPr>
            <w:tcW w:w="0" w:type="auto"/>
            <w:vMerge/>
          </w:tcPr>
          <w:p w14:paraId="02B05EE8" w14:textId="77777777" w:rsidR="003D0958" w:rsidRDefault="003D0958" w:rsidP="003D0958">
            <w:pPr>
              <w:spacing w:before="100" w:after="100"/>
              <w:ind w:left="57"/>
              <w:rPr>
                <w:rFonts w:eastAsia="Times New Roman" w:cstheme="minorHAnsi"/>
                <w:szCs w:val="20"/>
                <w:lang w:eastAsia="en-GB"/>
              </w:rPr>
            </w:pPr>
          </w:p>
        </w:tc>
        <w:tc>
          <w:tcPr>
            <w:tcW w:w="6407" w:type="dxa"/>
            <w:vMerge/>
          </w:tcPr>
          <w:p w14:paraId="43359225" w14:textId="77777777" w:rsidR="003D0958" w:rsidRDefault="003D0958" w:rsidP="003D0958">
            <w:pPr>
              <w:widowControl w:val="0"/>
              <w:spacing w:after="120" w:line="240" w:lineRule="auto"/>
              <w:rPr>
                <w:rFonts w:asciiTheme="minorBidi" w:eastAsia="Helvetica Neue Light" w:hAnsiTheme="minorBidi"/>
                <w:b/>
                <w:bCs/>
                <w:szCs w:val="20"/>
                <w:lang w:eastAsia="en-GB"/>
              </w:rPr>
            </w:pPr>
          </w:p>
        </w:tc>
        <w:tc>
          <w:tcPr>
            <w:tcW w:w="791" w:type="dxa"/>
            <w:tcBorders>
              <w:left w:val="single" w:sz="4" w:space="0" w:color="auto"/>
              <w:right w:val="single" w:sz="4" w:space="0" w:color="auto"/>
            </w:tcBorders>
            <w:shd w:val="clear" w:color="auto" w:fill="auto"/>
          </w:tcPr>
          <w:p w14:paraId="79346131" w14:textId="6F1F684F" w:rsidR="003D0958" w:rsidRDefault="00F26284" w:rsidP="003D0958">
            <w:pPr>
              <w:spacing w:before="100" w:after="100"/>
              <w:ind w:left="57"/>
              <w:textAlignment w:val="baseline"/>
              <w:rPr>
                <w:rFonts w:eastAsia="Times New Roman" w:cstheme="minorHAnsi"/>
                <w:szCs w:val="20"/>
                <w:lang w:eastAsia="en-GB"/>
              </w:rPr>
            </w:pPr>
            <w:r>
              <w:rPr>
                <w:rFonts w:eastAsia="Times New Roman" w:cstheme="minorHAnsi"/>
                <w:szCs w:val="20"/>
                <w:lang w:eastAsia="en-GB"/>
              </w:rPr>
              <w:t>Fail</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69819E24" w14:textId="22F1A366" w:rsidR="003D0958" w:rsidRPr="00F8643B" w:rsidRDefault="00F26284" w:rsidP="003D0958">
            <w:pPr>
              <w:pStyle w:val="Level3"/>
              <w:numPr>
                <w:ilvl w:val="0"/>
                <w:numId w:val="0"/>
              </w:numPr>
              <w:spacing w:before="100" w:after="100"/>
              <w:jc w:val="left"/>
              <w:rPr>
                <w:rFonts w:asciiTheme="minorHAnsi" w:hAnsiTheme="minorHAnsi" w:cstheme="minorHAnsi"/>
                <w:b/>
              </w:rPr>
            </w:pPr>
            <w:r w:rsidRPr="00585A3E">
              <w:rPr>
                <w:rFonts w:cstheme="minorHAnsi"/>
              </w:rPr>
              <w:t>Applicant responds “No”.</w:t>
            </w:r>
          </w:p>
        </w:tc>
      </w:tr>
      <w:tr w:rsidR="007F1680" w14:paraId="615DB52A" w14:textId="77777777" w:rsidTr="3D83606E">
        <w:trPr>
          <w:trHeight w:val="523"/>
        </w:trPr>
        <w:tc>
          <w:tcPr>
            <w:tcW w:w="0" w:type="auto"/>
            <w:vMerge w:val="restart"/>
            <w:tcBorders>
              <w:top w:val="single" w:sz="4" w:space="0" w:color="auto"/>
              <w:left w:val="single" w:sz="4" w:space="0" w:color="auto"/>
              <w:right w:val="single" w:sz="4" w:space="0" w:color="auto"/>
            </w:tcBorders>
            <w:shd w:val="clear" w:color="auto" w:fill="auto"/>
          </w:tcPr>
          <w:p w14:paraId="659E8E55" w14:textId="5F4F1B37" w:rsidR="005D2E24" w:rsidRDefault="00D77EDC" w:rsidP="005D2E24">
            <w:pPr>
              <w:spacing w:before="100" w:after="100"/>
              <w:ind w:left="57"/>
              <w:rPr>
                <w:rFonts w:eastAsia="Times New Roman" w:cstheme="minorHAnsi"/>
                <w:szCs w:val="20"/>
                <w:lang w:eastAsia="en-GB"/>
              </w:rPr>
            </w:pPr>
            <w:r>
              <w:rPr>
                <w:rFonts w:eastAsia="Times New Roman" w:cstheme="minorHAnsi"/>
                <w:szCs w:val="20"/>
                <w:lang w:eastAsia="en-GB"/>
              </w:rPr>
              <w:t>24a</w:t>
            </w:r>
          </w:p>
        </w:tc>
        <w:tc>
          <w:tcPr>
            <w:tcW w:w="6407" w:type="dxa"/>
            <w:vMerge w:val="restart"/>
            <w:tcBorders>
              <w:top w:val="single" w:sz="4" w:space="0" w:color="auto"/>
              <w:left w:val="single" w:sz="4" w:space="0" w:color="auto"/>
              <w:right w:val="single" w:sz="4" w:space="0" w:color="auto"/>
            </w:tcBorders>
            <w:shd w:val="clear" w:color="auto" w:fill="auto"/>
          </w:tcPr>
          <w:p w14:paraId="0EC73C3B" w14:textId="75DF69C7" w:rsidR="005D2E24" w:rsidRPr="000F19AF" w:rsidRDefault="00F26284" w:rsidP="005D2E24">
            <w:pPr>
              <w:widowControl w:val="0"/>
              <w:spacing w:after="120" w:line="240" w:lineRule="auto"/>
              <w:rPr>
                <w:rFonts w:asciiTheme="minorBidi" w:eastAsia="Helvetica Neue Light" w:hAnsiTheme="minorBidi"/>
                <w:b/>
                <w:bCs/>
                <w:szCs w:val="20"/>
                <w:lang w:eastAsia="en-GB"/>
              </w:rPr>
            </w:pPr>
            <w:r>
              <w:rPr>
                <w:rFonts w:asciiTheme="minorBidi" w:eastAsia="Helvetica Neue Light" w:hAnsiTheme="minorBidi"/>
                <w:b/>
                <w:bCs/>
                <w:szCs w:val="20"/>
                <w:lang w:eastAsia="en-GB"/>
              </w:rPr>
              <w:t>Data Protection – resources in place?</w:t>
            </w:r>
          </w:p>
        </w:tc>
        <w:tc>
          <w:tcPr>
            <w:tcW w:w="791" w:type="dxa"/>
            <w:tcBorders>
              <w:top w:val="single" w:sz="4" w:space="0" w:color="auto"/>
              <w:left w:val="single" w:sz="4" w:space="0" w:color="auto"/>
              <w:right w:val="single" w:sz="4" w:space="0" w:color="auto"/>
            </w:tcBorders>
            <w:shd w:val="clear" w:color="auto" w:fill="auto"/>
          </w:tcPr>
          <w:p w14:paraId="0C5E65C0" w14:textId="70FBD9FD"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Pass</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1C7220B6" w14:textId="1F578CE6" w:rsidR="005D2E24" w:rsidRDefault="00F26284" w:rsidP="005D2E24">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Applicant responds “Yes”.</w:t>
            </w:r>
          </w:p>
        </w:tc>
      </w:tr>
      <w:tr w:rsidR="007F1680" w14:paraId="59737CF1" w14:textId="77777777" w:rsidTr="3D83606E">
        <w:trPr>
          <w:trHeight w:val="558"/>
        </w:trPr>
        <w:tc>
          <w:tcPr>
            <w:tcW w:w="0" w:type="auto"/>
            <w:vMerge/>
          </w:tcPr>
          <w:p w14:paraId="67426318" w14:textId="77777777" w:rsidR="005D2E24" w:rsidRDefault="005D2E24" w:rsidP="005D2E24">
            <w:pPr>
              <w:spacing w:before="100" w:after="100"/>
              <w:ind w:left="57"/>
              <w:rPr>
                <w:rFonts w:eastAsia="Times New Roman" w:cstheme="minorHAnsi"/>
                <w:szCs w:val="20"/>
                <w:lang w:eastAsia="en-GB"/>
              </w:rPr>
            </w:pPr>
          </w:p>
        </w:tc>
        <w:tc>
          <w:tcPr>
            <w:tcW w:w="6407" w:type="dxa"/>
            <w:vMerge/>
          </w:tcPr>
          <w:p w14:paraId="78E072FF" w14:textId="77777777" w:rsidR="005D2E24" w:rsidRPr="000F19AF" w:rsidRDefault="005D2E24" w:rsidP="005D2E24">
            <w:pPr>
              <w:widowControl w:val="0"/>
              <w:spacing w:after="120" w:line="240" w:lineRule="auto"/>
              <w:rPr>
                <w:rFonts w:asciiTheme="minorBidi" w:eastAsia="Helvetica Neue Light" w:hAnsiTheme="minorBidi"/>
                <w:b/>
                <w:bCs/>
                <w:szCs w:val="20"/>
                <w:lang w:eastAsia="en-GB"/>
              </w:rPr>
            </w:pPr>
          </w:p>
        </w:tc>
        <w:tc>
          <w:tcPr>
            <w:tcW w:w="791" w:type="dxa"/>
            <w:tcBorders>
              <w:left w:val="single" w:sz="4" w:space="0" w:color="auto"/>
              <w:bottom w:val="single" w:sz="6" w:space="0" w:color="auto"/>
              <w:right w:val="single" w:sz="4" w:space="0" w:color="auto"/>
            </w:tcBorders>
            <w:shd w:val="clear" w:color="auto" w:fill="auto"/>
          </w:tcPr>
          <w:p w14:paraId="55A89453" w14:textId="2206A2E7"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Fail</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3F4F1F60" w14:textId="7CC50B73" w:rsidR="005D2E24" w:rsidRDefault="00F26284" w:rsidP="005D2E24">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Applicant responds “No”.</w:t>
            </w:r>
          </w:p>
        </w:tc>
      </w:tr>
      <w:tr w:rsidR="007F1680" w14:paraId="7A070A81" w14:textId="77777777" w:rsidTr="3D83606E">
        <w:trPr>
          <w:trHeight w:val="760"/>
        </w:trPr>
        <w:tc>
          <w:tcPr>
            <w:tcW w:w="0" w:type="auto"/>
            <w:vMerge w:val="restart"/>
            <w:tcBorders>
              <w:top w:val="single" w:sz="4" w:space="0" w:color="auto"/>
              <w:left w:val="single" w:sz="4" w:space="0" w:color="auto"/>
              <w:right w:val="single" w:sz="4" w:space="0" w:color="auto"/>
            </w:tcBorders>
            <w:shd w:val="clear" w:color="auto" w:fill="auto"/>
          </w:tcPr>
          <w:p w14:paraId="7B8282D8" w14:textId="78D3F13B" w:rsidR="005D2E24" w:rsidRDefault="00F26284" w:rsidP="005D2E24">
            <w:pPr>
              <w:spacing w:before="100" w:after="100"/>
              <w:ind w:left="57"/>
              <w:rPr>
                <w:rFonts w:eastAsia="Times New Roman" w:cstheme="minorHAnsi"/>
                <w:szCs w:val="20"/>
                <w:lang w:eastAsia="en-GB"/>
              </w:rPr>
            </w:pPr>
            <w:r>
              <w:rPr>
                <w:rFonts w:eastAsia="Times New Roman" w:cstheme="minorHAnsi"/>
                <w:szCs w:val="20"/>
                <w:lang w:eastAsia="en-GB"/>
              </w:rPr>
              <w:t>2</w:t>
            </w:r>
            <w:r w:rsidR="00D77EDC">
              <w:rPr>
                <w:rFonts w:eastAsia="Times New Roman" w:cstheme="minorHAnsi"/>
                <w:szCs w:val="20"/>
                <w:lang w:eastAsia="en-GB"/>
              </w:rPr>
              <w:t>4b</w:t>
            </w:r>
          </w:p>
        </w:tc>
        <w:tc>
          <w:tcPr>
            <w:tcW w:w="6407" w:type="dxa"/>
            <w:vMerge w:val="restart"/>
            <w:tcBorders>
              <w:top w:val="single" w:sz="4" w:space="0" w:color="auto"/>
              <w:left w:val="single" w:sz="4" w:space="0" w:color="auto"/>
              <w:right w:val="single" w:sz="4" w:space="0" w:color="auto"/>
            </w:tcBorders>
            <w:shd w:val="clear" w:color="auto" w:fill="auto"/>
          </w:tcPr>
          <w:p w14:paraId="58E28497" w14:textId="68790E4E" w:rsidR="005D2E24" w:rsidRPr="000F19AF" w:rsidRDefault="00F26284" w:rsidP="005D2E24">
            <w:pPr>
              <w:widowControl w:val="0"/>
              <w:spacing w:after="120" w:line="240" w:lineRule="auto"/>
              <w:rPr>
                <w:rFonts w:asciiTheme="minorBidi" w:eastAsia="Helvetica Neue Light" w:hAnsiTheme="minorBidi"/>
                <w:b/>
                <w:bCs/>
                <w:szCs w:val="20"/>
                <w:lang w:eastAsia="en-GB"/>
              </w:rPr>
            </w:pPr>
            <w:r>
              <w:rPr>
                <w:rFonts w:asciiTheme="minorBidi" w:eastAsia="Helvetica Neue Light" w:hAnsiTheme="minorBidi"/>
                <w:b/>
                <w:bCs/>
                <w:szCs w:val="20"/>
                <w:lang w:eastAsia="en-GB"/>
              </w:rPr>
              <w:t>Data Protection – detailed facilities and measures</w:t>
            </w:r>
          </w:p>
        </w:tc>
        <w:tc>
          <w:tcPr>
            <w:tcW w:w="791" w:type="dxa"/>
            <w:tcBorders>
              <w:top w:val="single" w:sz="4" w:space="0" w:color="auto"/>
              <w:left w:val="single" w:sz="4" w:space="0" w:color="auto"/>
              <w:bottom w:val="single" w:sz="6" w:space="0" w:color="auto"/>
              <w:right w:val="single" w:sz="4" w:space="0" w:color="auto"/>
            </w:tcBorders>
            <w:shd w:val="clear" w:color="auto" w:fill="auto"/>
          </w:tcPr>
          <w:p w14:paraId="050572E5" w14:textId="3CF1809C"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Pass</w:t>
            </w:r>
          </w:p>
        </w:tc>
        <w:tc>
          <w:tcPr>
            <w:tcW w:w="5500" w:type="dxa"/>
            <w:tcBorders>
              <w:top w:val="single" w:sz="4" w:space="0" w:color="auto"/>
              <w:left w:val="single" w:sz="4" w:space="0" w:color="auto"/>
              <w:right w:val="single" w:sz="4" w:space="0" w:color="auto"/>
            </w:tcBorders>
            <w:shd w:val="clear" w:color="auto" w:fill="auto"/>
          </w:tcPr>
          <w:p w14:paraId="3D156D18" w14:textId="1AE3FEB0" w:rsidR="005D2E24" w:rsidRPr="005D2E24" w:rsidRDefault="00F26284" w:rsidP="009A1930">
            <w:pPr>
              <w:spacing w:before="100" w:after="100"/>
              <w:ind w:left="57"/>
              <w:textAlignment w:val="baseline"/>
              <w:rPr>
                <w:rFonts w:eastAsia="Arial" w:cstheme="minorHAnsi"/>
                <w:szCs w:val="20"/>
              </w:rPr>
            </w:pPr>
            <w:r w:rsidRPr="005D2E24">
              <w:rPr>
                <w:rFonts w:eastAsia="Arial" w:cstheme="minorHAnsi"/>
                <w:szCs w:val="20"/>
              </w:rPr>
              <w:t xml:space="preserve">The response provided demonstrates that the Applicant has the technical facilities and measures (including systems and processes) in place, or will have in place by contract award, to ensure compliance with the UK GDPR and DPA 2018 and does not give any significant concerns for the evaluators.  Applicants will be expected to demonstrate an understanding of their obligations under UK GDPR and DPA 2018 and either set out how they are compliant with UK GDPR and the DPA 2018 or set out an outline plan for ensuring compliance with UK GDPR and the DPA 2018 ahead of contract award.  </w:t>
            </w:r>
          </w:p>
        </w:tc>
      </w:tr>
      <w:tr w:rsidR="007F1680" w14:paraId="4AF69A88" w14:textId="77777777" w:rsidTr="3D83606E">
        <w:trPr>
          <w:trHeight w:val="759"/>
        </w:trPr>
        <w:tc>
          <w:tcPr>
            <w:tcW w:w="0" w:type="auto"/>
            <w:vMerge/>
          </w:tcPr>
          <w:p w14:paraId="3135A36B" w14:textId="77777777" w:rsidR="005D2E24" w:rsidRDefault="005D2E24" w:rsidP="005D2E24">
            <w:pPr>
              <w:spacing w:before="100" w:after="100"/>
              <w:ind w:left="57"/>
              <w:rPr>
                <w:rFonts w:eastAsia="Times New Roman" w:cstheme="minorHAnsi"/>
                <w:szCs w:val="20"/>
                <w:lang w:eastAsia="en-GB"/>
              </w:rPr>
            </w:pPr>
          </w:p>
        </w:tc>
        <w:tc>
          <w:tcPr>
            <w:tcW w:w="6407" w:type="dxa"/>
            <w:vMerge/>
          </w:tcPr>
          <w:p w14:paraId="71CB0181" w14:textId="77777777" w:rsidR="005D2E24" w:rsidRPr="000F19AF" w:rsidRDefault="005D2E24" w:rsidP="005D2E24">
            <w:pPr>
              <w:widowControl w:val="0"/>
              <w:spacing w:after="120" w:line="240" w:lineRule="auto"/>
              <w:rPr>
                <w:rFonts w:asciiTheme="minorBidi" w:eastAsia="Helvetica Neue Light" w:hAnsiTheme="minorBidi"/>
                <w:b/>
                <w:bCs/>
                <w:szCs w:val="20"/>
                <w:lang w:eastAsia="en-GB"/>
              </w:rPr>
            </w:pPr>
          </w:p>
        </w:tc>
        <w:tc>
          <w:tcPr>
            <w:tcW w:w="791" w:type="dxa"/>
            <w:tcBorders>
              <w:top w:val="single" w:sz="4" w:space="0" w:color="auto"/>
              <w:left w:val="single" w:sz="4" w:space="0" w:color="auto"/>
              <w:bottom w:val="single" w:sz="6" w:space="0" w:color="auto"/>
              <w:right w:val="single" w:sz="4" w:space="0" w:color="auto"/>
            </w:tcBorders>
            <w:shd w:val="clear" w:color="auto" w:fill="auto"/>
          </w:tcPr>
          <w:p w14:paraId="1405B690" w14:textId="17DFC155"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Fail</w:t>
            </w:r>
          </w:p>
        </w:tc>
        <w:tc>
          <w:tcPr>
            <w:tcW w:w="5500" w:type="dxa"/>
            <w:tcBorders>
              <w:left w:val="single" w:sz="4" w:space="0" w:color="auto"/>
              <w:bottom w:val="single" w:sz="4" w:space="0" w:color="auto"/>
              <w:right w:val="single" w:sz="4" w:space="0" w:color="auto"/>
            </w:tcBorders>
            <w:shd w:val="clear" w:color="auto" w:fill="auto"/>
          </w:tcPr>
          <w:p w14:paraId="3A39802A" w14:textId="42E85657" w:rsidR="005D2E24" w:rsidRDefault="00F26284" w:rsidP="005D2E24">
            <w:pPr>
              <w:spacing w:before="100" w:after="100"/>
              <w:ind w:left="57"/>
              <w:textAlignment w:val="baseline"/>
              <w:rPr>
                <w:rFonts w:eastAsia="Times New Roman" w:cstheme="minorHAnsi"/>
                <w:szCs w:val="20"/>
                <w:lang w:eastAsia="en-GB"/>
              </w:rPr>
            </w:pPr>
            <w:r w:rsidRPr="00F8643B">
              <w:rPr>
                <w:rFonts w:eastAsia="Arial" w:cstheme="minorHAnsi"/>
                <w:szCs w:val="20"/>
              </w:rPr>
              <w:t>The response does not demonstrate that the Applicant has the technical facilities and measures (including systems and processes) in place, or will have in place by contract award, to ensure compliance with the UK GDPR and the DPA 2018 and/or gives rise to significant concerns for the evaluators.</w:t>
            </w:r>
          </w:p>
        </w:tc>
      </w:tr>
      <w:tr w:rsidR="007F1680" w14:paraId="3444796E" w14:textId="77777777" w:rsidTr="3D83606E">
        <w:trPr>
          <w:trHeight w:val="1888"/>
        </w:trPr>
        <w:tc>
          <w:tcPr>
            <w:tcW w:w="0" w:type="auto"/>
            <w:vMerge w:val="restart"/>
            <w:tcBorders>
              <w:top w:val="single" w:sz="4" w:space="0" w:color="auto"/>
              <w:left w:val="single" w:sz="4" w:space="0" w:color="auto"/>
              <w:right w:val="single" w:sz="4" w:space="0" w:color="auto"/>
            </w:tcBorders>
            <w:shd w:val="clear" w:color="auto" w:fill="auto"/>
          </w:tcPr>
          <w:p w14:paraId="7358D938" w14:textId="75DA65FB" w:rsidR="005D2E24" w:rsidRDefault="00F26284" w:rsidP="005D2E24">
            <w:pPr>
              <w:spacing w:before="100" w:after="100"/>
              <w:ind w:left="57"/>
              <w:rPr>
                <w:rFonts w:eastAsia="Times New Roman" w:cstheme="minorHAnsi"/>
                <w:szCs w:val="20"/>
                <w:lang w:eastAsia="en-GB"/>
              </w:rPr>
            </w:pPr>
            <w:r>
              <w:rPr>
                <w:rFonts w:eastAsia="Times New Roman" w:cstheme="minorHAnsi"/>
                <w:szCs w:val="20"/>
                <w:lang w:eastAsia="en-GB"/>
              </w:rPr>
              <w:t>2</w:t>
            </w:r>
            <w:r w:rsidR="00D77EDC">
              <w:rPr>
                <w:rFonts w:eastAsia="Times New Roman" w:cstheme="minorHAnsi"/>
                <w:szCs w:val="20"/>
                <w:lang w:eastAsia="en-GB"/>
              </w:rPr>
              <w:t>5</w:t>
            </w:r>
          </w:p>
        </w:tc>
        <w:tc>
          <w:tcPr>
            <w:tcW w:w="6407" w:type="dxa"/>
            <w:vMerge w:val="restart"/>
            <w:tcBorders>
              <w:top w:val="single" w:sz="4" w:space="0" w:color="auto"/>
              <w:left w:val="single" w:sz="4" w:space="0" w:color="auto"/>
              <w:right w:val="single" w:sz="4" w:space="0" w:color="auto"/>
            </w:tcBorders>
            <w:shd w:val="clear" w:color="auto" w:fill="auto"/>
          </w:tcPr>
          <w:p w14:paraId="09C50B14" w14:textId="77777777" w:rsidR="005D2E24" w:rsidRPr="000F19AF" w:rsidRDefault="00F26284" w:rsidP="005D2E24">
            <w:pPr>
              <w:widowControl w:val="0"/>
              <w:spacing w:after="0" w:line="240" w:lineRule="auto"/>
              <w:rPr>
                <w:rFonts w:asciiTheme="minorBidi" w:eastAsia="Helvetica Neue Light" w:hAnsiTheme="minorBidi"/>
                <w:b/>
                <w:bCs/>
                <w:szCs w:val="20"/>
                <w:lang w:eastAsia="en-GB"/>
              </w:rPr>
            </w:pPr>
            <w:r w:rsidRPr="000F19AF">
              <w:rPr>
                <w:rFonts w:asciiTheme="minorBidi" w:eastAsia="Helvetica Neue Light" w:hAnsiTheme="minorBidi"/>
                <w:b/>
                <w:bCs/>
                <w:szCs w:val="20"/>
                <w:lang w:eastAsia="en-GB"/>
              </w:rPr>
              <w:t>Health and safety</w:t>
            </w:r>
          </w:p>
          <w:p w14:paraId="3292295D" w14:textId="77777777" w:rsidR="005D2E24" w:rsidRDefault="005D2E24" w:rsidP="005D2E24">
            <w:pPr>
              <w:spacing w:before="100" w:after="100"/>
              <w:ind w:left="57"/>
              <w:rPr>
                <w:rFonts w:cstheme="minorHAnsi"/>
                <w:b/>
                <w:bCs/>
                <w:szCs w:val="20"/>
              </w:rPr>
            </w:pPr>
          </w:p>
        </w:tc>
        <w:tc>
          <w:tcPr>
            <w:tcW w:w="791" w:type="dxa"/>
            <w:tcBorders>
              <w:top w:val="single" w:sz="4" w:space="0" w:color="auto"/>
              <w:left w:val="single" w:sz="4" w:space="0" w:color="auto"/>
              <w:right w:val="single" w:sz="4" w:space="0" w:color="auto"/>
            </w:tcBorders>
            <w:shd w:val="clear" w:color="auto" w:fill="auto"/>
          </w:tcPr>
          <w:p w14:paraId="2C499D8B" w14:textId="0542488F"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Pass</w:t>
            </w:r>
          </w:p>
        </w:tc>
        <w:tc>
          <w:tcPr>
            <w:tcW w:w="5500" w:type="dxa"/>
            <w:tcBorders>
              <w:top w:val="single" w:sz="4" w:space="0" w:color="auto"/>
              <w:left w:val="single" w:sz="4" w:space="0" w:color="auto"/>
              <w:right w:val="single" w:sz="4" w:space="0" w:color="auto"/>
            </w:tcBorders>
            <w:shd w:val="clear" w:color="auto" w:fill="auto"/>
          </w:tcPr>
          <w:p w14:paraId="1F2D9F49" w14:textId="09086765" w:rsidR="005D2E24" w:rsidRPr="00386B45" w:rsidRDefault="00F26284" w:rsidP="005D2E24">
            <w:pPr>
              <w:pStyle w:val="NormalAshurst"/>
              <w:spacing w:before="100" w:after="100"/>
              <w:rPr>
                <w:rFonts w:cstheme="minorHAnsi"/>
                <w:sz w:val="20"/>
                <w:szCs w:val="20"/>
              </w:rPr>
            </w:pPr>
            <w:r w:rsidRPr="00585A3E">
              <w:rPr>
                <w:rFonts w:cstheme="minorHAnsi"/>
                <w:sz w:val="20"/>
                <w:szCs w:val="20"/>
              </w:rPr>
              <w:t>The Applicant describes health and safety arrangements which are aligned to the nuclear sector and account for managing health and safety effectively through the supply chain.  The Applicant provides, at outline level, the framework of policies and procedures that are in place to manage Health and Safety.</w:t>
            </w:r>
          </w:p>
        </w:tc>
      </w:tr>
      <w:tr w:rsidR="007F1680" w14:paraId="6C237A45" w14:textId="77777777" w:rsidTr="3D83606E">
        <w:trPr>
          <w:trHeight w:val="882"/>
        </w:trPr>
        <w:tc>
          <w:tcPr>
            <w:tcW w:w="0" w:type="auto"/>
            <w:vMerge/>
          </w:tcPr>
          <w:p w14:paraId="31491D59" w14:textId="77777777" w:rsidR="005D2E24" w:rsidRDefault="005D2E24" w:rsidP="005D2E24">
            <w:pPr>
              <w:spacing w:before="100" w:after="100"/>
              <w:ind w:left="57"/>
              <w:rPr>
                <w:rFonts w:eastAsia="Times New Roman" w:cstheme="minorHAnsi"/>
                <w:szCs w:val="20"/>
                <w:lang w:eastAsia="en-GB"/>
              </w:rPr>
            </w:pPr>
          </w:p>
        </w:tc>
        <w:tc>
          <w:tcPr>
            <w:tcW w:w="6407" w:type="dxa"/>
            <w:vMerge/>
          </w:tcPr>
          <w:p w14:paraId="5CF7B978" w14:textId="77777777" w:rsidR="005D2E24" w:rsidRDefault="005D2E24" w:rsidP="005D2E24">
            <w:pPr>
              <w:spacing w:before="100" w:after="100"/>
              <w:ind w:left="57"/>
              <w:rPr>
                <w:rFonts w:cstheme="minorHAnsi"/>
                <w:b/>
                <w:bCs/>
                <w:szCs w:val="20"/>
              </w:rPr>
            </w:pPr>
          </w:p>
        </w:tc>
        <w:tc>
          <w:tcPr>
            <w:tcW w:w="791" w:type="dxa"/>
            <w:tcBorders>
              <w:top w:val="single" w:sz="4" w:space="0" w:color="auto"/>
              <w:left w:val="single" w:sz="4" w:space="0" w:color="auto"/>
              <w:right w:val="single" w:sz="4" w:space="0" w:color="auto"/>
            </w:tcBorders>
            <w:shd w:val="clear" w:color="auto" w:fill="auto"/>
          </w:tcPr>
          <w:p w14:paraId="26931E24" w14:textId="5999F596" w:rsidR="005D2E24" w:rsidRDefault="00F26284" w:rsidP="005D2E24">
            <w:pPr>
              <w:spacing w:before="100" w:after="100"/>
              <w:ind w:left="57"/>
              <w:textAlignment w:val="baseline"/>
              <w:rPr>
                <w:rFonts w:eastAsia="Times New Roman" w:cstheme="minorHAnsi"/>
                <w:szCs w:val="20"/>
                <w:lang w:eastAsia="en-GB"/>
              </w:rPr>
            </w:pPr>
            <w:r>
              <w:rPr>
                <w:rFonts w:eastAsia="Times New Roman" w:cstheme="minorHAnsi"/>
                <w:szCs w:val="20"/>
                <w:lang w:eastAsia="en-GB"/>
              </w:rPr>
              <w:t>Fail</w:t>
            </w:r>
          </w:p>
        </w:tc>
        <w:tc>
          <w:tcPr>
            <w:tcW w:w="5500" w:type="dxa"/>
            <w:tcBorders>
              <w:left w:val="single" w:sz="4" w:space="0" w:color="auto"/>
              <w:right w:val="single" w:sz="4" w:space="0" w:color="auto"/>
            </w:tcBorders>
            <w:shd w:val="clear" w:color="auto" w:fill="auto"/>
          </w:tcPr>
          <w:p w14:paraId="74F813FB" w14:textId="2CF0D14E" w:rsidR="005D2E24" w:rsidRPr="00585A3E" w:rsidRDefault="00F26284" w:rsidP="005D2E24">
            <w:pPr>
              <w:pStyle w:val="NormalAshurst"/>
              <w:spacing w:before="100" w:after="100"/>
              <w:rPr>
                <w:rFonts w:cstheme="minorHAnsi"/>
                <w:sz w:val="20"/>
                <w:szCs w:val="20"/>
              </w:rPr>
            </w:pPr>
            <w:r w:rsidRPr="00EB0D4A">
              <w:rPr>
                <w:rFonts w:cstheme="minorHAnsi"/>
                <w:sz w:val="20"/>
                <w:szCs w:val="20"/>
              </w:rPr>
              <w:t>The Applicant does not provide assurance that</w:t>
            </w:r>
            <w:r>
              <w:rPr>
                <w:rFonts w:cstheme="minorHAnsi"/>
                <w:sz w:val="20"/>
                <w:szCs w:val="20"/>
              </w:rPr>
              <w:t xml:space="preserve"> </w:t>
            </w:r>
            <w:r w:rsidRPr="00EB0D4A">
              <w:rPr>
                <w:rFonts w:cstheme="minorHAnsi"/>
                <w:sz w:val="20"/>
                <w:szCs w:val="20"/>
              </w:rPr>
              <w:t>effective health and safety arrangements are in place for itself and the supply chai</w:t>
            </w:r>
            <w:r>
              <w:rPr>
                <w:rFonts w:cstheme="minorHAnsi"/>
                <w:sz w:val="20"/>
                <w:szCs w:val="20"/>
              </w:rPr>
              <w:t>n</w:t>
            </w:r>
          </w:p>
        </w:tc>
      </w:tr>
      <w:tr w:rsidR="00DC307A" w:rsidDel="000B1E98" w14:paraId="6C1D2DF9" w14:textId="77777777" w:rsidTr="3D83606E">
        <w:trPr>
          <w:trHeight w:val="9044"/>
        </w:trPr>
        <w:tc>
          <w:tcPr>
            <w:tcW w:w="0" w:type="auto"/>
            <w:vMerge w:val="restart"/>
            <w:tcBorders>
              <w:top w:val="single" w:sz="4" w:space="0" w:color="auto"/>
              <w:left w:val="single" w:sz="4" w:space="0" w:color="auto"/>
              <w:right w:val="single" w:sz="4" w:space="0" w:color="auto"/>
            </w:tcBorders>
            <w:shd w:val="clear" w:color="auto" w:fill="auto"/>
          </w:tcPr>
          <w:p w14:paraId="7852134D" w14:textId="0DDFB2F8" w:rsidR="00DC307A" w:rsidDel="000B1E98" w:rsidRDefault="00DC307A" w:rsidP="00DC307A">
            <w:pPr>
              <w:spacing w:before="100" w:after="100"/>
              <w:ind w:left="57"/>
              <w:rPr>
                <w:rFonts w:eastAsia="Times New Roman" w:cstheme="minorHAnsi"/>
                <w:szCs w:val="20"/>
                <w:lang w:eastAsia="en-GB"/>
              </w:rPr>
            </w:pPr>
            <w:r>
              <w:rPr>
                <w:rFonts w:eastAsia="Times New Roman" w:cstheme="minorHAnsi"/>
                <w:szCs w:val="20"/>
                <w:lang w:eastAsia="en-GB"/>
              </w:rPr>
              <w:t>26</w:t>
            </w:r>
          </w:p>
        </w:tc>
        <w:tc>
          <w:tcPr>
            <w:tcW w:w="6407" w:type="dxa"/>
            <w:vMerge w:val="restart"/>
            <w:tcBorders>
              <w:top w:val="single" w:sz="4" w:space="0" w:color="auto"/>
              <w:left w:val="single" w:sz="4" w:space="0" w:color="auto"/>
              <w:right w:val="single" w:sz="4" w:space="0" w:color="auto"/>
            </w:tcBorders>
            <w:shd w:val="clear" w:color="auto" w:fill="auto"/>
          </w:tcPr>
          <w:p w14:paraId="4FADC078" w14:textId="77777777" w:rsidR="00DC307A" w:rsidRDefault="00DC307A" w:rsidP="00DC307A">
            <w:pPr>
              <w:widowControl w:val="0"/>
              <w:spacing w:after="120" w:line="240" w:lineRule="auto"/>
              <w:rPr>
                <w:rFonts w:cstheme="minorHAnsi"/>
                <w:szCs w:val="20"/>
              </w:rPr>
            </w:pPr>
            <w:r>
              <w:rPr>
                <w:rFonts w:cstheme="minorHAnsi"/>
                <w:szCs w:val="20"/>
              </w:rPr>
              <w:t>T</w:t>
            </w:r>
            <w:r w:rsidRPr="00CE688A">
              <w:rPr>
                <w:rFonts w:cstheme="minorHAnsi"/>
                <w:szCs w:val="20"/>
              </w:rPr>
              <w:t>echnical and Professional Ability - Demonstrate the availability of the required capability and skills</w:t>
            </w:r>
          </w:p>
          <w:p w14:paraId="430C639F" w14:textId="77777777" w:rsidR="00DC307A" w:rsidRDefault="00DC307A" w:rsidP="00DC307A">
            <w:pPr>
              <w:widowControl w:val="0"/>
              <w:spacing w:after="120" w:line="240" w:lineRule="auto"/>
              <w:rPr>
                <w:rFonts w:cstheme="minorHAnsi"/>
                <w:szCs w:val="20"/>
              </w:rPr>
            </w:pPr>
          </w:p>
          <w:p w14:paraId="2F699251" w14:textId="77777777" w:rsidR="00F57DF9" w:rsidRDefault="00F57DF9" w:rsidP="00F8196C">
            <w:pPr>
              <w:pStyle w:val="ListParagraph"/>
              <w:numPr>
                <w:ilvl w:val="0"/>
                <w:numId w:val="68"/>
              </w:numPr>
              <w:spacing w:after="160" w:line="259" w:lineRule="auto"/>
            </w:pPr>
            <w:r w:rsidRPr="00C22CBD">
              <w:t>Technical Capabilities</w:t>
            </w:r>
          </w:p>
          <w:p w14:paraId="001F0146" w14:textId="77777777" w:rsidR="00F57DF9" w:rsidRPr="00360C7C" w:rsidRDefault="00F57DF9" w:rsidP="00F57DF9">
            <w:r>
              <w:t>Th</w:t>
            </w:r>
            <w:r w:rsidRPr="00360C7C">
              <w:t xml:space="preserve">e following </w:t>
            </w:r>
            <w:r>
              <w:t xml:space="preserve">technical </w:t>
            </w:r>
            <w:r w:rsidRPr="00360C7C">
              <w:t xml:space="preserve">skills and services will be required to deliver </w:t>
            </w:r>
            <w:r>
              <w:t>Consultant</w:t>
            </w:r>
            <w:r w:rsidRPr="00360C7C">
              <w:t xml:space="preserve"> activities</w:t>
            </w:r>
            <w:r w:rsidRPr="004051A1">
              <w:t xml:space="preserve">, including support to </w:t>
            </w:r>
            <w:r>
              <w:t>the Client</w:t>
            </w:r>
            <w:r w:rsidRPr="004051A1">
              <w:t xml:space="preserve"> regulatory licensing and consenting tasks</w:t>
            </w:r>
            <w:r>
              <w:t>:</w:t>
            </w:r>
          </w:p>
          <w:p w14:paraId="29C41F8C" w14:textId="77777777" w:rsidR="00F57DF9" w:rsidRDefault="00F57DF9" w:rsidP="00F8196C">
            <w:pPr>
              <w:pStyle w:val="ListParagraph"/>
              <w:numPr>
                <w:ilvl w:val="0"/>
                <w:numId w:val="69"/>
              </w:numPr>
              <w:spacing w:after="160" w:line="259" w:lineRule="auto"/>
            </w:pPr>
            <w:r>
              <w:t>Core Design Authority</w:t>
            </w:r>
          </w:p>
          <w:p w14:paraId="63FAF3F5" w14:textId="77777777" w:rsidR="00F57DF9" w:rsidRDefault="00F57DF9" w:rsidP="00F8196C">
            <w:pPr>
              <w:pStyle w:val="ListParagraph"/>
              <w:numPr>
                <w:ilvl w:val="0"/>
                <w:numId w:val="69"/>
              </w:numPr>
              <w:spacing w:after="160" w:line="259" w:lineRule="auto"/>
            </w:pPr>
            <w:r>
              <w:t>Safety Case</w:t>
            </w:r>
          </w:p>
          <w:p w14:paraId="2D6DDD64" w14:textId="77777777" w:rsidR="00F57DF9" w:rsidRDefault="00F57DF9" w:rsidP="00F8196C">
            <w:pPr>
              <w:pStyle w:val="ListParagraph"/>
              <w:numPr>
                <w:ilvl w:val="0"/>
                <w:numId w:val="69"/>
              </w:numPr>
              <w:spacing w:after="160" w:line="259" w:lineRule="auto"/>
            </w:pPr>
            <w:r>
              <w:t>BAT Case</w:t>
            </w:r>
          </w:p>
          <w:p w14:paraId="6AD30191" w14:textId="77777777" w:rsidR="00F57DF9" w:rsidRDefault="00F57DF9" w:rsidP="00F8196C">
            <w:pPr>
              <w:pStyle w:val="ListParagraph"/>
              <w:numPr>
                <w:ilvl w:val="0"/>
                <w:numId w:val="69"/>
              </w:numPr>
              <w:spacing w:after="160" w:line="259" w:lineRule="auto"/>
            </w:pPr>
            <w:r>
              <w:t>Chemistry </w:t>
            </w:r>
          </w:p>
          <w:p w14:paraId="3BF01961" w14:textId="77777777" w:rsidR="00F57DF9" w:rsidRDefault="00F57DF9" w:rsidP="00F8196C">
            <w:pPr>
              <w:pStyle w:val="ListParagraph"/>
              <w:numPr>
                <w:ilvl w:val="0"/>
                <w:numId w:val="69"/>
              </w:numPr>
              <w:spacing w:after="160" w:line="259" w:lineRule="auto"/>
            </w:pPr>
            <w:r>
              <w:t>Civil Engineering </w:t>
            </w:r>
          </w:p>
          <w:p w14:paraId="050A61E7" w14:textId="77777777" w:rsidR="00F57DF9" w:rsidRDefault="00F57DF9" w:rsidP="00F8196C">
            <w:pPr>
              <w:pStyle w:val="ListParagraph"/>
              <w:numPr>
                <w:ilvl w:val="0"/>
                <w:numId w:val="69"/>
              </w:numPr>
              <w:spacing w:after="160" w:line="259" w:lineRule="auto"/>
            </w:pPr>
            <w:r>
              <w:t>Commissioning </w:t>
            </w:r>
          </w:p>
          <w:p w14:paraId="7A5A8F37" w14:textId="77777777" w:rsidR="00F57DF9" w:rsidRDefault="00F57DF9" w:rsidP="00F8196C">
            <w:pPr>
              <w:pStyle w:val="ListParagraph"/>
              <w:numPr>
                <w:ilvl w:val="0"/>
                <w:numId w:val="69"/>
              </w:numPr>
              <w:spacing w:after="160" w:line="259" w:lineRule="auto"/>
            </w:pPr>
            <w:r>
              <w:t>Control &amp; Instrumentation </w:t>
            </w:r>
          </w:p>
          <w:p w14:paraId="7F3528F0" w14:textId="77777777" w:rsidR="00F57DF9" w:rsidRDefault="00F57DF9" w:rsidP="00F8196C">
            <w:pPr>
              <w:pStyle w:val="ListParagraph"/>
              <w:numPr>
                <w:ilvl w:val="0"/>
                <w:numId w:val="69"/>
              </w:numPr>
              <w:spacing w:after="160" w:line="259" w:lineRule="auto"/>
            </w:pPr>
            <w:r>
              <w:t>Construction, incl. CDM</w:t>
            </w:r>
          </w:p>
          <w:p w14:paraId="3570780C" w14:textId="77777777" w:rsidR="00F57DF9" w:rsidRDefault="00F57DF9" w:rsidP="00F8196C">
            <w:pPr>
              <w:pStyle w:val="ListParagraph"/>
              <w:numPr>
                <w:ilvl w:val="0"/>
                <w:numId w:val="69"/>
              </w:numPr>
              <w:spacing w:after="160" w:line="259" w:lineRule="auto"/>
            </w:pPr>
            <w:r>
              <w:t>Conventional Waste </w:t>
            </w:r>
          </w:p>
          <w:p w14:paraId="36BA3DC0" w14:textId="77777777" w:rsidR="00F57DF9" w:rsidRDefault="00F57DF9" w:rsidP="00F8196C">
            <w:pPr>
              <w:pStyle w:val="ListParagraph"/>
              <w:numPr>
                <w:ilvl w:val="0"/>
                <w:numId w:val="69"/>
              </w:numPr>
              <w:spacing w:after="160" w:line="259" w:lineRule="auto"/>
            </w:pPr>
            <w:r>
              <w:t>Criticality </w:t>
            </w:r>
          </w:p>
          <w:p w14:paraId="21DFBCFA" w14:textId="77777777" w:rsidR="00F57DF9" w:rsidRDefault="00F57DF9" w:rsidP="00F8196C">
            <w:pPr>
              <w:pStyle w:val="ListParagraph"/>
              <w:numPr>
                <w:ilvl w:val="0"/>
                <w:numId w:val="69"/>
              </w:numPr>
              <w:spacing w:after="160" w:line="259" w:lineRule="auto"/>
            </w:pPr>
            <w:r>
              <w:t>Cyber Security (incl. Security by design) </w:t>
            </w:r>
          </w:p>
          <w:p w14:paraId="1F618E93" w14:textId="77777777" w:rsidR="00F57DF9" w:rsidRDefault="00F57DF9" w:rsidP="00F8196C">
            <w:pPr>
              <w:pStyle w:val="ListParagraph"/>
              <w:numPr>
                <w:ilvl w:val="0"/>
                <w:numId w:val="69"/>
              </w:numPr>
              <w:spacing w:after="160" w:line="259" w:lineRule="auto"/>
            </w:pPr>
            <w:r>
              <w:t>Decommissioning </w:t>
            </w:r>
          </w:p>
          <w:p w14:paraId="7CA76960" w14:textId="77777777" w:rsidR="00F57DF9" w:rsidRDefault="00F57DF9" w:rsidP="00F8196C">
            <w:pPr>
              <w:pStyle w:val="ListParagraph"/>
              <w:numPr>
                <w:ilvl w:val="0"/>
                <w:numId w:val="69"/>
              </w:numPr>
              <w:spacing w:after="160" w:line="259" w:lineRule="auto"/>
            </w:pPr>
            <w:r>
              <w:t>Electrical Engineering </w:t>
            </w:r>
          </w:p>
          <w:p w14:paraId="3D828F1F" w14:textId="77777777" w:rsidR="00F57DF9" w:rsidRDefault="00F57DF9" w:rsidP="00F8196C">
            <w:pPr>
              <w:pStyle w:val="ListParagraph"/>
              <w:numPr>
                <w:ilvl w:val="0"/>
                <w:numId w:val="69"/>
              </w:numPr>
              <w:spacing w:after="160" w:line="259" w:lineRule="auto"/>
            </w:pPr>
            <w:r>
              <w:t>Environmental Protection </w:t>
            </w:r>
          </w:p>
          <w:p w14:paraId="54B96CDB" w14:textId="77777777" w:rsidR="00F57DF9" w:rsidRDefault="00F57DF9" w:rsidP="00F8196C">
            <w:pPr>
              <w:pStyle w:val="ListParagraph"/>
              <w:numPr>
                <w:ilvl w:val="0"/>
                <w:numId w:val="69"/>
              </w:numPr>
              <w:spacing w:after="160" w:line="259" w:lineRule="auto"/>
            </w:pPr>
            <w:r>
              <w:t>Engineering Management </w:t>
            </w:r>
          </w:p>
          <w:p w14:paraId="6891EA2B" w14:textId="77777777" w:rsidR="00F57DF9" w:rsidRDefault="00F57DF9" w:rsidP="00F8196C">
            <w:pPr>
              <w:pStyle w:val="ListParagraph"/>
              <w:numPr>
                <w:ilvl w:val="0"/>
                <w:numId w:val="69"/>
              </w:numPr>
              <w:spacing w:after="160" w:line="259" w:lineRule="auto"/>
            </w:pPr>
            <w:r>
              <w:t>Equipment Qualification</w:t>
            </w:r>
          </w:p>
          <w:p w14:paraId="40D160F1" w14:textId="77777777" w:rsidR="00F57DF9" w:rsidRDefault="00F57DF9" w:rsidP="00F8196C">
            <w:pPr>
              <w:pStyle w:val="ListParagraph"/>
              <w:numPr>
                <w:ilvl w:val="0"/>
                <w:numId w:val="69"/>
              </w:numPr>
              <w:spacing w:after="160" w:line="259" w:lineRule="auto"/>
            </w:pPr>
            <w:r>
              <w:t>Emergency Planning &amp; Response </w:t>
            </w:r>
          </w:p>
          <w:p w14:paraId="3B80D7EA" w14:textId="77777777" w:rsidR="00F57DF9" w:rsidRDefault="00F57DF9" w:rsidP="00F8196C">
            <w:pPr>
              <w:pStyle w:val="ListParagraph"/>
              <w:numPr>
                <w:ilvl w:val="0"/>
                <w:numId w:val="69"/>
              </w:numPr>
              <w:spacing w:after="160" w:line="259" w:lineRule="auto"/>
            </w:pPr>
            <w:r>
              <w:t>External Hazards </w:t>
            </w:r>
          </w:p>
          <w:p w14:paraId="58E80818" w14:textId="77777777" w:rsidR="00F57DF9" w:rsidRDefault="00F57DF9" w:rsidP="00F8196C">
            <w:pPr>
              <w:pStyle w:val="ListParagraph"/>
              <w:numPr>
                <w:ilvl w:val="0"/>
                <w:numId w:val="69"/>
              </w:numPr>
              <w:spacing w:after="160" w:line="259" w:lineRule="auto"/>
            </w:pPr>
            <w:r>
              <w:t>Fault Studies</w:t>
            </w:r>
          </w:p>
          <w:p w14:paraId="588B639F" w14:textId="77777777" w:rsidR="00F57DF9" w:rsidRDefault="00F57DF9" w:rsidP="00F8196C">
            <w:pPr>
              <w:pStyle w:val="ListParagraph"/>
              <w:numPr>
                <w:ilvl w:val="0"/>
                <w:numId w:val="69"/>
              </w:numPr>
              <w:spacing w:after="160" w:line="259" w:lineRule="auto"/>
            </w:pPr>
            <w:r>
              <w:t>Fuel &amp; Core Design</w:t>
            </w:r>
          </w:p>
          <w:p w14:paraId="7679C1F8" w14:textId="77777777" w:rsidR="00F57DF9" w:rsidRDefault="00F57DF9" w:rsidP="00F8196C">
            <w:pPr>
              <w:pStyle w:val="ListParagraph"/>
              <w:numPr>
                <w:ilvl w:val="0"/>
                <w:numId w:val="69"/>
              </w:numPr>
              <w:spacing w:after="160" w:line="259" w:lineRule="auto"/>
            </w:pPr>
            <w:r>
              <w:t>Human Factors</w:t>
            </w:r>
          </w:p>
          <w:p w14:paraId="381346EC" w14:textId="77777777" w:rsidR="00F57DF9" w:rsidRDefault="00F57DF9" w:rsidP="00F8196C">
            <w:pPr>
              <w:pStyle w:val="ListParagraph"/>
              <w:numPr>
                <w:ilvl w:val="0"/>
                <w:numId w:val="69"/>
              </w:numPr>
              <w:spacing w:after="160" w:line="259" w:lineRule="auto"/>
            </w:pPr>
            <w:r>
              <w:t>Internal Hazards</w:t>
            </w:r>
          </w:p>
          <w:p w14:paraId="5694A114" w14:textId="77777777" w:rsidR="00F57DF9" w:rsidRDefault="00F57DF9" w:rsidP="00F8196C">
            <w:pPr>
              <w:pStyle w:val="ListParagraph"/>
              <w:numPr>
                <w:ilvl w:val="0"/>
                <w:numId w:val="69"/>
              </w:numPr>
              <w:spacing w:after="160" w:line="259" w:lineRule="auto"/>
            </w:pPr>
            <w:r>
              <w:t>Leadership and Management for Safety, Supply Chain and Quality </w:t>
            </w:r>
          </w:p>
          <w:p w14:paraId="1EF451D6" w14:textId="77777777" w:rsidR="00F57DF9" w:rsidRDefault="00F57DF9" w:rsidP="00F8196C">
            <w:pPr>
              <w:pStyle w:val="ListParagraph"/>
              <w:numPr>
                <w:ilvl w:val="0"/>
                <w:numId w:val="69"/>
              </w:numPr>
              <w:spacing w:after="160" w:line="259" w:lineRule="auto"/>
            </w:pPr>
            <w:r>
              <w:t>Mechanical Engineering</w:t>
            </w:r>
          </w:p>
          <w:p w14:paraId="1DF442DB" w14:textId="77777777" w:rsidR="00F57DF9" w:rsidRDefault="00F57DF9" w:rsidP="00F8196C">
            <w:pPr>
              <w:pStyle w:val="ListParagraph"/>
              <w:numPr>
                <w:ilvl w:val="0"/>
                <w:numId w:val="69"/>
              </w:numPr>
              <w:spacing w:after="160" w:line="259" w:lineRule="auto"/>
            </w:pPr>
            <w:r>
              <w:t>Protective Security (incl. Security by design) </w:t>
            </w:r>
          </w:p>
          <w:p w14:paraId="3EB5834E" w14:textId="77777777" w:rsidR="00F57DF9" w:rsidRDefault="00F57DF9" w:rsidP="00F8196C">
            <w:pPr>
              <w:pStyle w:val="ListParagraph"/>
              <w:numPr>
                <w:ilvl w:val="0"/>
                <w:numId w:val="69"/>
              </w:numPr>
              <w:spacing w:after="160" w:line="259" w:lineRule="auto"/>
            </w:pPr>
            <w:r>
              <w:t>Probabilistic Safety Analysis (PSA) </w:t>
            </w:r>
          </w:p>
          <w:p w14:paraId="547B2692" w14:textId="77777777" w:rsidR="00F57DF9" w:rsidRDefault="00F57DF9" w:rsidP="00F8196C">
            <w:pPr>
              <w:pStyle w:val="ListParagraph"/>
              <w:numPr>
                <w:ilvl w:val="0"/>
                <w:numId w:val="69"/>
              </w:numPr>
              <w:spacing w:after="160" w:line="259" w:lineRule="auto"/>
            </w:pPr>
            <w:r>
              <w:t>Radiological Protection</w:t>
            </w:r>
          </w:p>
          <w:p w14:paraId="138383B6" w14:textId="77777777" w:rsidR="00F57DF9" w:rsidRDefault="00F57DF9" w:rsidP="00F8196C">
            <w:pPr>
              <w:pStyle w:val="ListParagraph"/>
              <w:numPr>
                <w:ilvl w:val="0"/>
                <w:numId w:val="69"/>
              </w:numPr>
              <w:spacing w:after="160" w:line="259" w:lineRule="auto"/>
            </w:pPr>
            <w:r>
              <w:t>Radioactive Waste Management </w:t>
            </w:r>
          </w:p>
          <w:p w14:paraId="37609A56" w14:textId="77777777" w:rsidR="00F57DF9" w:rsidRDefault="00F57DF9" w:rsidP="00F8196C">
            <w:pPr>
              <w:pStyle w:val="ListParagraph"/>
              <w:numPr>
                <w:ilvl w:val="0"/>
                <w:numId w:val="69"/>
              </w:numPr>
              <w:spacing w:after="160" w:line="259" w:lineRule="auto"/>
            </w:pPr>
            <w:r>
              <w:t>Reactor Core Physics</w:t>
            </w:r>
          </w:p>
          <w:p w14:paraId="100D9815" w14:textId="77777777" w:rsidR="00F57DF9" w:rsidRDefault="00F57DF9" w:rsidP="00F8196C">
            <w:pPr>
              <w:pStyle w:val="ListParagraph"/>
              <w:numPr>
                <w:ilvl w:val="0"/>
                <w:numId w:val="69"/>
              </w:numPr>
              <w:spacing w:after="160" w:line="259" w:lineRule="auto"/>
            </w:pPr>
            <w:r>
              <w:t>Requirements Management</w:t>
            </w:r>
          </w:p>
          <w:p w14:paraId="74901200" w14:textId="77777777" w:rsidR="00F57DF9" w:rsidRDefault="00F57DF9" w:rsidP="00F8196C">
            <w:pPr>
              <w:pStyle w:val="ListParagraph"/>
              <w:numPr>
                <w:ilvl w:val="0"/>
                <w:numId w:val="69"/>
              </w:numPr>
              <w:spacing w:after="160" w:line="259" w:lineRule="auto"/>
            </w:pPr>
            <w:r>
              <w:t>Safeguards (incl. Safeguards by design)</w:t>
            </w:r>
          </w:p>
          <w:p w14:paraId="560F88ED" w14:textId="77777777" w:rsidR="00F57DF9" w:rsidRDefault="00F57DF9" w:rsidP="00F8196C">
            <w:pPr>
              <w:pStyle w:val="ListParagraph"/>
              <w:numPr>
                <w:ilvl w:val="0"/>
                <w:numId w:val="69"/>
              </w:numPr>
              <w:spacing w:after="160" w:line="259" w:lineRule="auto"/>
            </w:pPr>
            <w:r>
              <w:t>Safety Case Analysis and Techniques (incl. Safety by design) </w:t>
            </w:r>
          </w:p>
          <w:p w14:paraId="2D04E0EA" w14:textId="77777777" w:rsidR="00F57DF9" w:rsidRDefault="00F57DF9" w:rsidP="00F8196C">
            <w:pPr>
              <w:pStyle w:val="ListParagraph"/>
              <w:numPr>
                <w:ilvl w:val="0"/>
                <w:numId w:val="69"/>
              </w:numPr>
              <w:spacing w:after="160" w:line="259" w:lineRule="auto"/>
            </w:pPr>
            <w:r>
              <w:t>Severe Accident Analysis (SAA)</w:t>
            </w:r>
          </w:p>
          <w:p w14:paraId="2F352B4E" w14:textId="77777777" w:rsidR="00F57DF9" w:rsidRDefault="00F57DF9" w:rsidP="00F8196C">
            <w:pPr>
              <w:pStyle w:val="ListParagraph"/>
              <w:numPr>
                <w:ilvl w:val="0"/>
                <w:numId w:val="69"/>
              </w:numPr>
              <w:spacing w:after="160" w:line="259" w:lineRule="auto"/>
            </w:pPr>
            <w:r>
              <w:t>Structural Integrity </w:t>
            </w:r>
          </w:p>
          <w:p w14:paraId="25CB0EF4" w14:textId="77777777" w:rsidR="00F57DF9" w:rsidRDefault="00F57DF9" w:rsidP="00F8196C">
            <w:pPr>
              <w:pStyle w:val="ListParagraph"/>
              <w:numPr>
                <w:ilvl w:val="0"/>
                <w:numId w:val="69"/>
              </w:numPr>
              <w:spacing w:after="160" w:line="259" w:lineRule="auto"/>
            </w:pPr>
            <w:r>
              <w:t>System Engineering </w:t>
            </w:r>
          </w:p>
          <w:p w14:paraId="4D846D77" w14:textId="392A9F6F" w:rsidR="02172734" w:rsidRDefault="00F57DF9" w:rsidP="00F8196C">
            <w:pPr>
              <w:pStyle w:val="ListParagraph"/>
              <w:numPr>
                <w:ilvl w:val="0"/>
                <w:numId w:val="69"/>
              </w:numPr>
              <w:spacing w:after="160" w:line="259" w:lineRule="auto"/>
            </w:pPr>
            <w:r>
              <w:t>Training</w:t>
            </w:r>
            <w:r w:rsidR="004114C8">
              <w:t xml:space="preserve"> and</w:t>
            </w:r>
            <w:r w:rsidR="001A0F97">
              <w:t xml:space="preserve"> </w:t>
            </w:r>
            <w:r w:rsidR="02172734">
              <w:t>Operations</w:t>
            </w:r>
          </w:p>
          <w:p w14:paraId="550C5479" w14:textId="77777777" w:rsidR="00F57DF9" w:rsidRDefault="00F57DF9" w:rsidP="00F57DF9">
            <w:pPr>
              <w:pStyle w:val="ListParagraph"/>
            </w:pPr>
          </w:p>
          <w:p w14:paraId="55118A96" w14:textId="77777777" w:rsidR="00F57DF9" w:rsidRDefault="00F57DF9" w:rsidP="00F8196C">
            <w:pPr>
              <w:pStyle w:val="ListParagraph"/>
              <w:numPr>
                <w:ilvl w:val="0"/>
                <w:numId w:val="68"/>
              </w:numPr>
              <w:spacing w:after="160" w:line="259" w:lineRule="auto"/>
            </w:pPr>
            <w:r w:rsidRPr="003B46EB">
              <w:t>Programme Delivery Capabilities </w:t>
            </w:r>
          </w:p>
          <w:p w14:paraId="1CFE7429" w14:textId="77777777" w:rsidR="00F57DF9" w:rsidRPr="003B46EB" w:rsidRDefault="00F57DF9" w:rsidP="00F57DF9">
            <w:pPr>
              <w:jc w:val="both"/>
            </w:pPr>
            <w:r w:rsidRPr="005E105B">
              <w:t>The following programme skills and services will be required to deliver OE activities:</w:t>
            </w:r>
            <w:r w:rsidRPr="003B46EB">
              <w:t> </w:t>
            </w:r>
          </w:p>
          <w:p w14:paraId="68BB104D" w14:textId="77777777" w:rsidR="00F57DF9" w:rsidRPr="00360C7C" w:rsidRDefault="00F57DF9" w:rsidP="00F8196C">
            <w:pPr>
              <w:pStyle w:val="ListParagraph"/>
              <w:numPr>
                <w:ilvl w:val="0"/>
                <w:numId w:val="69"/>
              </w:numPr>
              <w:spacing w:after="160" w:line="259" w:lineRule="auto"/>
            </w:pPr>
            <w:r w:rsidRPr="00360C7C">
              <w:t>Planning and Scheduling </w:t>
            </w:r>
          </w:p>
          <w:p w14:paraId="6B6D37C8" w14:textId="77777777" w:rsidR="00F57DF9" w:rsidRPr="00360C7C" w:rsidRDefault="00F57DF9" w:rsidP="00F8196C">
            <w:pPr>
              <w:pStyle w:val="ListParagraph"/>
              <w:numPr>
                <w:ilvl w:val="0"/>
                <w:numId w:val="69"/>
              </w:numPr>
              <w:spacing w:after="160" w:line="259" w:lineRule="auto"/>
            </w:pPr>
            <w:r w:rsidRPr="00360C7C">
              <w:t>Cost Estimating and Cost Management </w:t>
            </w:r>
          </w:p>
          <w:p w14:paraId="5801DD61" w14:textId="77777777" w:rsidR="00F57DF9" w:rsidRPr="00360C7C" w:rsidRDefault="00F57DF9" w:rsidP="00F8196C">
            <w:pPr>
              <w:pStyle w:val="ListParagraph"/>
              <w:numPr>
                <w:ilvl w:val="0"/>
                <w:numId w:val="69"/>
              </w:numPr>
              <w:spacing w:after="160" w:line="259" w:lineRule="auto"/>
            </w:pPr>
            <w:r w:rsidRPr="00360C7C">
              <w:t>Risk Management </w:t>
            </w:r>
          </w:p>
          <w:p w14:paraId="5A96B777" w14:textId="77777777" w:rsidR="00F57DF9" w:rsidRPr="00360C7C" w:rsidRDefault="00F57DF9" w:rsidP="00F8196C">
            <w:pPr>
              <w:pStyle w:val="ListParagraph"/>
              <w:numPr>
                <w:ilvl w:val="0"/>
                <w:numId w:val="69"/>
              </w:numPr>
              <w:spacing w:after="160" w:line="259" w:lineRule="auto"/>
            </w:pPr>
            <w:r w:rsidRPr="00360C7C">
              <w:t>Scope Management </w:t>
            </w:r>
          </w:p>
          <w:p w14:paraId="63093947" w14:textId="77777777" w:rsidR="00F57DF9" w:rsidRPr="00360C7C" w:rsidRDefault="00F57DF9" w:rsidP="00F8196C">
            <w:pPr>
              <w:pStyle w:val="ListParagraph"/>
              <w:numPr>
                <w:ilvl w:val="0"/>
                <w:numId w:val="69"/>
              </w:numPr>
              <w:spacing w:after="160" w:line="259" w:lineRule="auto"/>
            </w:pPr>
            <w:r w:rsidRPr="00360C7C">
              <w:t>Change Management </w:t>
            </w:r>
          </w:p>
          <w:p w14:paraId="7FBB670E" w14:textId="2554AB50" w:rsidR="00DC307A" w:rsidRPr="00F57DF9" w:rsidDel="000B1E98" w:rsidRDefault="00F57DF9" w:rsidP="00F8196C">
            <w:pPr>
              <w:pStyle w:val="ListParagraph"/>
              <w:numPr>
                <w:ilvl w:val="0"/>
                <w:numId w:val="69"/>
              </w:numPr>
              <w:spacing w:after="160" w:line="259" w:lineRule="auto"/>
            </w:pPr>
            <w:r w:rsidRPr="00360C7C">
              <w:t>NEC Contracts </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36D8E7A" w14:textId="37E6FDC6"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Pass</w:t>
            </w:r>
          </w:p>
        </w:tc>
        <w:tc>
          <w:tcPr>
            <w:tcW w:w="5500" w:type="dxa"/>
            <w:tcBorders>
              <w:top w:val="single" w:sz="4" w:space="0" w:color="auto"/>
              <w:left w:val="single" w:sz="4" w:space="0" w:color="auto"/>
              <w:right w:val="single" w:sz="4" w:space="0" w:color="auto"/>
            </w:tcBorders>
            <w:shd w:val="clear" w:color="auto" w:fill="auto"/>
          </w:tcPr>
          <w:p w14:paraId="33A25A17" w14:textId="77777777" w:rsidR="00DC307A" w:rsidRDefault="00DC307A" w:rsidP="00DC307A">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 xml:space="preserve">Applicant </w:t>
            </w:r>
            <w:r>
              <w:rPr>
                <w:rFonts w:eastAsia="Times New Roman" w:cstheme="minorHAnsi"/>
                <w:szCs w:val="20"/>
                <w:lang w:eastAsia="en-GB"/>
              </w:rPr>
              <w:t>responds “Yes” to either:</w:t>
            </w:r>
          </w:p>
          <w:p w14:paraId="7666F0EE" w14:textId="77777777" w:rsidR="00DC307A" w:rsidRDefault="00DC307A" w:rsidP="00F8196C">
            <w:pPr>
              <w:pStyle w:val="ListParagraph"/>
              <w:numPr>
                <w:ilvl w:val="0"/>
                <w:numId w:val="62"/>
              </w:numPr>
              <w:spacing w:before="100" w:after="100"/>
              <w:textAlignment w:val="baseline"/>
              <w:rPr>
                <w:rFonts w:eastAsia="Times New Roman" w:cstheme="minorHAnsi"/>
                <w:szCs w:val="20"/>
                <w:lang w:eastAsia="en-GB"/>
              </w:rPr>
            </w:pPr>
            <w:r>
              <w:rPr>
                <w:rFonts w:eastAsia="Times New Roman" w:cstheme="minorHAnsi"/>
                <w:szCs w:val="20"/>
                <w:lang w:eastAsia="en-GB"/>
              </w:rPr>
              <w:t>It has all skills and capabilities within its organisation</w:t>
            </w:r>
          </w:p>
          <w:p w14:paraId="6635CCB9" w14:textId="77777777" w:rsidR="00DC307A" w:rsidRDefault="00DC307A" w:rsidP="00F8196C">
            <w:pPr>
              <w:pStyle w:val="ListParagraph"/>
              <w:numPr>
                <w:ilvl w:val="0"/>
                <w:numId w:val="62"/>
              </w:numPr>
              <w:spacing w:before="100" w:after="100"/>
              <w:textAlignment w:val="baseline"/>
              <w:rPr>
                <w:rFonts w:eastAsia="Times New Roman" w:cstheme="minorHAnsi"/>
                <w:szCs w:val="20"/>
                <w:lang w:eastAsia="en-GB"/>
              </w:rPr>
            </w:pPr>
            <w:r>
              <w:rPr>
                <w:rFonts w:eastAsia="Times New Roman" w:cstheme="minorHAnsi"/>
                <w:szCs w:val="20"/>
                <w:lang w:eastAsia="en-GB"/>
              </w:rPr>
              <w:t>It has all skills and capabilities within its bidding consortium</w:t>
            </w:r>
          </w:p>
          <w:p w14:paraId="38FBD58F" w14:textId="77777777" w:rsidR="00DC307A" w:rsidRDefault="00DC307A" w:rsidP="00F8196C">
            <w:pPr>
              <w:pStyle w:val="ListParagraph"/>
              <w:numPr>
                <w:ilvl w:val="0"/>
                <w:numId w:val="62"/>
              </w:numPr>
              <w:spacing w:before="100" w:after="100"/>
              <w:textAlignment w:val="baseline"/>
              <w:rPr>
                <w:rFonts w:eastAsia="Times New Roman" w:cstheme="minorHAnsi"/>
                <w:szCs w:val="20"/>
                <w:lang w:eastAsia="en-GB"/>
              </w:rPr>
            </w:pPr>
            <w:r>
              <w:rPr>
                <w:rFonts w:eastAsia="Times New Roman" w:cstheme="minorHAnsi"/>
                <w:szCs w:val="20"/>
                <w:lang w:eastAsia="en-GB"/>
              </w:rPr>
              <w:t>It has all skills and capabilities within its bidding consortium and supply chain</w:t>
            </w:r>
          </w:p>
          <w:p w14:paraId="303CAE8F" w14:textId="77777777" w:rsidR="00DC307A" w:rsidRDefault="00DC307A" w:rsidP="00F8196C">
            <w:pPr>
              <w:pStyle w:val="ListParagraph"/>
              <w:numPr>
                <w:ilvl w:val="0"/>
                <w:numId w:val="62"/>
              </w:numPr>
              <w:spacing w:before="100" w:after="100"/>
              <w:textAlignment w:val="baseline"/>
              <w:rPr>
                <w:rFonts w:eastAsia="Times New Roman" w:cstheme="minorHAnsi"/>
                <w:szCs w:val="20"/>
                <w:lang w:eastAsia="en-GB"/>
              </w:rPr>
            </w:pPr>
            <w:r>
              <w:rPr>
                <w:rFonts w:eastAsia="Times New Roman" w:cstheme="minorHAnsi"/>
                <w:szCs w:val="20"/>
                <w:lang w:eastAsia="en-GB"/>
              </w:rPr>
              <w:t>By the Invitation to Tender Response Deadline, it will have all skills and capabilities within its organisation</w:t>
            </w:r>
          </w:p>
          <w:p w14:paraId="23017519" w14:textId="77777777" w:rsidR="00DC307A" w:rsidRDefault="00DC307A" w:rsidP="00F8196C">
            <w:pPr>
              <w:pStyle w:val="ListParagraph"/>
              <w:numPr>
                <w:ilvl w:val="0"/>
                <w:numId w:val="62"/>
              </w:numPr>
              <w:spacing w:before="100" w:after="100"/>
              <w:textAlignment w:val="baseline"/>
              <w:rPr>
                <w:rFonts w:eastAsia="Times New Roman" w:cstheme="minorHAnsi"/>
                <w:szCs w:val="20"/>
                <w:lang w:eastAsia="en-GB"/>
              </w:rPr>
            </w:pPr>
            <w:r>
              <w:rPr>
                <w:rFonts w:eastAsia="Times New Roman" w:cstheme="minorHAnsi"/>
                <w:szCs w:val="20"/>
                <w:lang w:eastAsia="en-GB"/>
              </w:rPr>
              <w:t>By the Invitation to Tender Response Deadline, it will have all skills and capabilities within its bidding consortium</w:t>
            </w:r>
          </w:p>
          <w:p w14:paraId="2CFFCB0B" w14:textId="09F60F0F" w:rsidR="00DC307A" w:rsidRPr="004818FA" w:rsidDel="000B1E98" w:rsidRDefault="00DC307A" w:rsidP="00F8196C">
            <w:pPr>
              <w:pStyle w:val="ListParagraph"/>
              <w:numPr>
                <w:ilvl w:val="0"/>
                <w:numId w:val="62"/>
              </w:numPr>
              <w:spacing w:before="100" w:after="100"/>
              <w:textAlignment w:val="baseline"/>
              <w:rPr>
                <w:rFonts w:eastAsia="Times New Roman" w:cstheme="minorHAnsi"/>
                <w:szCs w:val="20"/>
                <w:lang w:eastAsia="en-GB"/>
              </w:rPr>
            </w:pPr>
            <w:r w:rsidRPr="004818FA">
              <w:rPr>
                <w:rFonts w:eastAsia="Times New Roman" w:cstheme="minorHAnsi"/>
                <w:szCs w:val="20"/>
                <w:lang w:eastAsia="en-GB"/>
              </w:rPr>
              <w:t>By the Invitation to Tender Response Deadline, it will have all skills and capabilities within its bidding consortium and supply chain</w:t>
            </w:r>
          </w:p>
        </w:tc>
      </w:tr>
      <w:tr w:rsidR="00DC307A" w:rsidDel="000B1E98" w14:paraId="343242E0" w14:textId="77777777" w:rsidTr="3D83606E">
        <w:trPr>
          <w:trHeight w:val="9043"/>
        </w:trPr>
        <w:tc>
          <w:tcPr>
            <w:tcW w:w="0" w:type="auto"/>
            <w:vMerge/>
          </w:tcPr>
          <w:p w14:paraId="4EFF3859" w14:textId="77777777" w:rsidR="00DC307A" w:rsidRDefault="00DC307A" w:rsidP="00DC307A">
            <w:pPr>
              <w:spacing w:before="100" w:after="100"/>
              <w:ind w:left="57"/>
              <w:rPr>
                <w:rFonts w:eastAsia="Times New Roman" w:cstheme="minorHAnsi"/>
                <w:szCs w:val="20"/>
                <w:lang w:eastAsia="en-GB"/>
              </w:rPr>
            </w:pPr>
          </w:p>
        </w:tc>
        <w:tc>
          <w:tcPr>
            <w:tcW w:w="6407" w:type="dxa"/>
            <w:vMerge/>
          </w:tcPr>
          <w:p w14:paraId="30219369" w14:textId="77777777" w:rsidR="00DC307A" w:rsidRDefault="00DC307A" w:rsidP="00DC307A">
            <w:pPr>
              <w:widowControl w:val="0"/>
              <w:spacing w:after="120" w:line="240" w:lineRule="auto"/>
              <w:rPr>
                <w:rFonts w:cstheme="minorHAnsi"/>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320FE43" w14:textId="045B4628"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Fail</w:t>
            </w:r>
          </w:p>
        </w:tc>
        <w:tc>
          <w:tcPr>
            <w:tcW w:w="5500" w:type="dxa"/>
            <w:tcBorders>
              <w:left w:val="single" w:sz="4" w:space="0" w:color="auto"/>
              <w:bottom w:val="single" w:sz="4" w:space="0" w:color="auto"/>
              <w:right w:val="single" w:sz="4" w:space="0" w:color="auto"/>
            </w:tcBorders>
            <w:shd w:val="clear" w:color="auto" w:fill="auto"/>
          </w:tcPr>
          <w:p w14:paraId="73C6FF04" w14:textId="3C9F2960" w:rsidR="00DC307A" w:rsidDel="000B1E98" w:rsidRDefault="00DC307A" w:rsidP="00DC307A">
            <w:pPr>
              <w:spacing w:before="100" w:after="100"/>
              <w:ind w:left="57"/>
              <w:textAlignment w:val="baseline"/>
              <w:rPr>
                <w:rFonts w:eastAsia="Times New Roman" w:cstheme="minorHAnsi"/>
                <w:szCs w:val="20"/>
                <w:lang w:eastAsia="en-GB"/>
              </w:rPr>
            </w:pPr>
            <w:r w:rsidRPr="00585A3E">
              <w:rPr>
                <w:rFonts w:cstheme="minorHAnsi"/>
              </w:rPr>
              <w:t>Applicant responds “No”.</w:t>
            </w:r>
          </w:p>
        </w:tc>
      </w:tr>
      <w:tr w:rsidR="00DC307A" w:rsidDel="000B1E98" w14:paraId="4397771D" w14:textId="77777777" w:rsidTr="3D83606E">
        <w:trPr>
          <w:trHeight w:val="1266"/>
        </w:trPr>
        <w:tc>
          <w:tcPr>
            <w:tcW w:w="0" w:type="auto"/>
            <w:vMerge w:val="restart"/>
            <w:tcBorders>
              <w:top w:val="single" w:sz="4" w:space="0" w:color="auto"/>
              <w:left w:val="single" w:sz="4" w:space="0" w:color="auto"/>
              <w:right w:val="single" w:sz="4" w:space="0" w:color="auto"/>
            </w:tcBorders>
            <w:shd w:val="clear" w:color="auto" w:fill="auto"/>
          </w:tcPr>
          <w:p w14:paraId="58946A7C" w14:textId="3BE6CDD9" w:rsidR="00DC307A" w:rsidRDefault="00DC307A" w:rsidP="00DC307A">
            <w:pPr>
              <w:spacing w:before="100" w:after="100"/>
              <w:ind w:left="57"/>
              <w:rPr>
                <w:rFonts w:eastAsia="Times New Roman" w:cstheme="minorHAnsi"/>
                <w:szCs w:val="20"/>
                <w:lang w:eastAsia="en-GB"/>
              </w:rPr>
            </w:pPr>
            <w:r>
              <w:rPr>
                <w:rFonts w:eastAsia="Times New Roman" w:cstheme="minorHAnsi"/>
                <w:szCs w:val="20"/>
                <w:lang w:eastAsia="en-GB"/>
              </w:rPr>
              <w:t>27</w:t>
            </w:r>
          </w:p>
        </w:tc>
        <w:tc>
          <w:tcPr>
            <w:tcW w:w="6407" w:type="dxa"/>
            <w:vMerge w:val="restart"/>
            <w:tcBorders>
              <w:top w:val="single" w:sz="4" w:space="0" w:color="auto"/>
              <w:left w:val="single" w:sz="4" w:space="0" w:color="auto"/>
              <w:right w:val="single" w:sz="4" w:space="0" w:color="auto"/>
            </w:tcBorders>
            <w:shd w:val="clear" w:color="auto" w:fill="auto"/>
          </w:tcPr>
          <w:p w14:paraId="10548118" w14:textId="77777777" w:rsidR="00DC307A" w:rsidRDefault="00DC307A" w:rsidP="00DC307A">
            <w:pPr>
              <w:spacing w:before="100" w:after="100"/>
              <w:ind w:left="57"/>
              <w:rPr>
                <w:rFonts w:cstheme="minorHAnsi"/>
                <w:szCs w:val="20"/>
              </w:rPr>
            </w:pPr>
            <w:r>
              <w:rPr>
                <w:rFonts w:cstheme="minorHAnsi"/>
                <w:szCs w:val="20"/>
              </w:rPr>
              <w:t>UK Designated Sensitive Nuclear Information and Export Control Management</w:t>
            </w:r>
          </w:p>
          <w:p w14:paraId="50C60E1B" w14:textId="3DE14464" w:rsidR="00DC307A" w:rsidDel="000B1E98" w:rsidRDefault="00DC307A" w:rsidP="00DC307A">
            <w:pPr>
              <w:spacing w:before="100" w:after="100"/>
              <w:ind w:left="57"/>
              <w:rPr>
                <w:rFonts w:cstheme="minorHAnsi"/>
                <w:b/>
                <w:bCs/>
                <w:szCs w:val="20"/>
              </w:rPr>
            </w:pPr>
            <w:r w:rsidRPr="00FB7BE3">
              <w:rPr>
                <w:rFonts w:asciiTheme="minorBidi" w:eastAsia="Helvetica Neue Light" w:hAnsiTheme="minorBidi"/>
                <w:szCs w:val="20"/>
                <w:lang w:eastAsia="en-GB"/>
              </w:rPr>
              <w:t>Applicant confirms its ability to handle UK Designated Sensitive Nuclear Information and Export Control Management</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91813B3" w14:textId="6D66EEDE"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Pass</w:t>
            </w:r>
          </w:p>
        </w:tc>
        <w:tc>
          <w:tcPr>
            <w:tcW w:w="5500" w:type="dxa"/>
            <w:tcBorders>
              <w:top w:val="single" w:sz="4" w:space="0" w:color="auto"/>
              <w:left w:val="single" w:sz="4" w:space="0" w:color="auto"/>
              <w:right w:val="single" w:sz="4" w:space="0" w:color="auto"/>
            </w:tcBorders>
            <w:shd w:val="clear" w:color="auto" w:fill="auto"/>
          </w:tcPr>
          <w:p w14:paraId="0BB89777" w14:textId="20E6B9CE" w:rsidR="00DC307A" w:rsidDel="000B1E98" w:rsidRDefault="00DC307A" w:rsidP="00DC307A">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Applicant responds “Yes”.</w:t>
            </w:r>
          </w:p>
        </w:tc>
      </w:tr>
      <w:tr w:rsidR="00DC307A" w:rsidDel="000B1E98" w14:paraId="700E2C85" w14:textId="77777777" w:rsidTr="3D83606E">
        <w:trPr>
          <w:trHeight w:val="1266"/>
        </w:trPr>
        <w:tc>
          <w:tcPr>
            <w:tcW w:w="0" w:type="auto"/>
            <w:vMerge/>
          </w:tcPr>
          <w:p w14:paraId="2D212DC3" w14:textId="77777777" w:rsidR="00DC307A" w:rsidRDefault="00DC307A" w:rsidP="00DC307A">
            <w:pPr>
              <w:spacing w:before="100" w:after="100"/>
              <w:ind w:left="57"/>
              <w:rPr>
                <w:rFonts w:eastAsia="Times New Roman" w:cstheme="minorHAnsi"/>
                <w:szCs w:val="20"/>
                <w:lang w:eastAsia="en-GB"/>
              </w:rPr>
            </w:pPr>
          </w:p>
        </w:tc>
        <w:tc>
          <w:tcPr>
            <w:tcW w:w="6407" w:type="dxa"/>
            <w:vMerge/>
          </w:tcPr>
          <w:p w14:paraId="6CE54AB5" w14:textId="77777777" w:rsidR="00DC307A" w:rsidRDefault="00DC307A" w:rsidP="00DC307A">
            <w:pPr>
              <w:spacing w:before="100" w:after="100"/>
              <w:ind w:left="57"/>
              <w:rPr>
                <w:rFonts w:cstheme="minorHAnsi"/>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36FFCCA" w14:textId="4E72D0C1"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Fail</w:t>
            </w:r>
          </w:p>
        </w:tc>
        <w:tc>
          <w:tcPr>
            <w:tcW w:w="5500" w:type="dxa"/>
            <w:tcBorders>
              <w:left w:val="single" w:sz="4" w:space="0" w:color="auto"/>
              <w:bottom w:val="single" w:sz="4" w:space="0" w:color="auto"/>
              <w:right w:val="single" w:sz="4" w:space="0" w:color="auto"/>
            </w:tcBorders>
            <w:shd w:val="clear" w:color="auto" w:fill="auto"/>
          </w:tcPr>
          <w:p w14:paraId="6A418EBF" w14:textId="25BF4971" w:rsidR="00DC307A" w:rsidDel="000B1E98" w:rsidRDefault="00DC307A" w:rsidP="00DC307A">
            <w:pPr>
              <w:spacing w:before="100" w:after="100"/>
              <w:ind w:left="57"/>
              <w:textAlignment w:val="baseline"/>
              <w:rPr>
                <w:rFonts w:eastAsia="Times New Roman" w:cstheme="minorHAnsi"/>
                <w:szCs w:val="20"/>
                <w:lang w:eastAsia="en-GB"/>
              </w:rPr>
            </w:pPr>
            <w:r w:rsidRPr="00585A3E">
              <w:rPr>
                <w:rFonts w:eastAsia="Times New Roman" w:cstheme="minorHAnsi"/>
                <w:szCs w:val="20"/>
                <w:lang w:eastAsia="en-GB"/>
              </w:rPr>
              <w:t>Applicant responds “No”.</w:t>
            </w:r>
          </w:p>
        </w:tc>
      </w:tr>
      <w:tr w:rsidR="00DC307A" w:rsidDel="000B1E98" w14:paraId="34647EB3" w14:textId="77777777" w:rsidTr="3D83606E">
        <w:trPr>
          <w:trHeight w:val="5594"/>
        </w:trPr>
        <w:tc>
          <w:tcPr>
            <w:tcW w:w="0" w:type="auto"/>
            <w:vMerge w:val="restart"/>
            <w:tcBorders>
              <w:top w:val="single" w:sz="4" w:space="0" w:color="auto"/>
              <w:left w:val="single" w:sz="4" w:space="0" w:color="auto"/>
              <w:right w:val="single" w:sz="4" w:space="0" w:color="auto"/>
            </w:tcBorders>
            <w:shd w:val="clear" w:color="auto" w:fill="auto"/>
          </w:tcPr>
          <w:p w14:paraId="1961A33C" w14:textId="46E30815" w:rsidR="00DC307A" w:rsidRDefault="00DC307A" w:rsidP="00DC307A">
            <w:pPr>
              <w:spacing w:before="100" w:after="100"/>
              <w:ind w:left="57"/>
              <w:rPr>
                <w:rFonts w:eastAsia="Times New Roman" w:cstheme="minorHAnsi"/>
                <w:szCs w:val="20"/>
                <w:lang w:eastAsia="en-GB"/>
              </w:rPr>
            </w:pPr>
            <w:r>
              <w:rPr>
                <w:rFonts w:eastAsia="Times New Roman" w:cstheme="minorHAnsi"/>
                <w:szCs w:val="20"/>
                <w:lang w:eastAsia="en-GB"/>
              </w:rPr>
              <w:t>28</w:t>
            </w:r>
          </w:p>
        </w:tc>
        <w:tc>
          <w:tcPr>
            <w:tcW w:w="6407" w:type="dxa"/>
            <w:vMerge w:val="restart"/>
            <w:tcBorders>
              <w:top w:val="single" w:sz="4" w:space="0" w:color="auto"/>
              <w:left w:val="single" w:sz="4" w:space="0" w:color="auto"/>
              <w:right w:val="single" w:sz="4" w:space="0" w:color="auto"/>
            </w:tcBorders>
            <w:shd w:val="clear" w:color="auto" w:fill="auto"/>
          </w:tcPr>
          <w:p w14:paraId="595FE72A" w14:textId="77777777" w:rsidR="00062598" w:rsidRPr="00E91C53" w:rsidRDefault="00062598" w:rsidP="00062598">
            <w:r w:rsidRPr="00E91C53">
              <w:t>Conflicts of Interest </w:t>
            </w:r>
          </w:p>
          <w:p w14:paraId="4F341112" w14:textId="7AA9F9AB" w:rsidR="00062598" w:rsidRPr="00E91C53" w:rsidRDefault="009E2A4E" w:rsidP="009E2A4E">
            <w:r>
              <w:t xml:space="preserve">a) </w:t>
            </w:r>
            <w:r w:rsidR="00062598" w:rsidRPr="00E91C53">
              <w:t>Is the Tenderer aware of any actual, potential, or perceived Conflicts of Interest as defined in paragraph 12 of Section G of the PSQ? </w:t>
            </w:r>
          </w:p>
          <w:p w14:paraId="0ED20616" w14:textId="2241E100" w:rsidR="00062598" w:rsidRPr="00E91C53" w:rsidRDefault="00062598" w:rsidP="00062598">
            <w:r>
              <w:t> b)</w:t>
            </w:r>
            <w:r w:rsidR="009E2A4E">
              <w:t xml:space="preserve"> </w:t>
            </w:r>
            <w:r>
              <w:t xml:space="preserve">The Tenderer is also required to complete the 'Bid Team' template in the form set out in Appendix </w:t>
            </w:r>
            <w:r w:rsidR="00BE6230">
              <w:t>A</w:t>
            </w:r>
            <w:r>
              <w:t xml:space="preserve"> of the PSQ Instructions so that </w:t>
            </w:r>
            <w:r w:rsidR="0053020C">
              <w:t>GBE-N</w:t>
            </w:r>
            <w:r>
              <w:t xml:space="preserve"> can verify the Tenderer's response to Question 28. </w:t>
            </w:r>
          </w:p>
          <w:p w14:paraId="7A1A71E7" w14:textId="30476F4E" w:rsidR="00062598" w:rsidRPr="00E91C53" w:rsidRDefault="00062598" w:rsidP="00062598">
            <w:r w:rsidRPr="00E91C53">
              <w:t> c)</w:t>
            </w:r>
            <w:r w:rsidR="009E2A4E">
              <w:t xml:space="preserve"> </w:t>
            </w:r>
            <w:r w:rsidRPr="00E91C53">
              <w:t>If the Tenderer is aware of any actual, potential, or perceived Conflicts of Interest as defined in paragraph 12 of Section G of the PSQ Instructions, the Tenderer is required to upload a statement explaining the nature of the Conflict of Interest and the Tenderer’s proposed mitigation measures to satisfy the requirements of paragraph 12 of Section G of the PSQ. </w:t>
            </w:r>
          </w:p>
          <w:p w14:paraId="63909DEE" w14:textId="77777777" w:rsidR="00062598" w:rsidRPr="00E91C53" w:rsidRDefault="00062598" w:rsidP="00062598">
            <w:r w:rsidRPr="00E91C53">
              <w:t>Response requirements: </w:t>
            </w:r>
          </w:p>
          <w:p w14:paraId="477BDE54" w14:textId="3E619352" w:rsidR="00062598" w:rsidRPr="00E91C53" w:rsidRDefault="00062598" w:rsidP="00062598">
            <w:r w:rsidRPr="00E91C53">
              <w:t> 1.</w:t>
            </w:r>
            <w:r w:rsidRPr="00E91C53">
              <w:tab/>
              <w:t xml:space="preserve">The Tenderer is required to complete and submit the Bid Team Template set out at Appendix </w:t>
            </w:r>
            <w:r>
              <w:t>A</w:t>
            </w:r>
            <w:r w:rsidRPr="00E91C53">
              <w:t xml:space="preserve"> to the PSQ. </w:t>
            </w:r>
          </w:p>
          <w:p w14:paraId="51BFEBDE" w14:textId="760D1168" w:rsidR="00DC307A" w:rsidDel="000B1E98" w:rsidRDefault="00062598" w:rsidP="00062598">
            <w:pPr>
              <w:spacing w:before="100" w:after="100"/>
              <w:ind w:left="57"/>
              <w:rPr>
                <w:rFonts w:cstheme="minorHAnsi"/>
                <w:b/>
                <w:bCs/>
                <w:szCs w:val="20"/>
              </w:rPr>
            </w:pPr>
            <w:r w:rsidRPr="00E91C53">
              <w:t>2.</w:t>
            </w:r>
            <w:r w:rsidRPr="00E91C53">
              <w:tab/>
              <w:t>If the Tenderer has confirmed that an actual, potential, or perceived Conflict of Interest exists, the Tenderer is required to prepare and submit a statement explaining the nature of any Conflicts of Interest and the Tenderer’s proposed mitigation measures to satisfy the requirements of paragraph 12 of Section G of the PSQ. </w:t>
            </w:r>
            <w:r w:rsidR="00DC307A" w:rsidRPr="00001B95">
              <w:rPr>
                <w:rFonts w:asciiTheme="minorBidi" w:eastAsia="Helvetica Neue Light" w:hAnsiTheme="minorBidi"/>
                <w:szCs w:val="20"/>
                <w:lang w:eastAsia="en-GB"/>
              </w:rPr>
              <w:t>.</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AC890E5" w14:textId="61DC05CF"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Pass</w:t>
            </w:r>
          </w:p>
        </w:tc>
        <w:tc>
          <w:tcPr>
            <w:tcW w:w="5500" w:type="dxa"/>
            <w:tcBorders>
              <w:top w:val="single" w:sz="4" w:space="0" w:color="auto"/>
              <w:left w:val="single" w:sz="4" w:space="0" w:color="auto"/>
              <w:right w:val="single" w:sz="4" w:space="0" w:color="auto"/>
            </w:tcBorders>
            <w:shd w:val="clear" w:color="auto" w:fill="auto"/>
          </w:tcPr>
          <w:p w14:paraId="46ADE58C" w14:textId="77777777" w:rsidR="00D278F7" w:rsidRPr="00E91C53" w:rsidRDefault="00D278F7" w:rsidP="00D278F7">
            <w:r w:rsidRPr="00E91C53">
              <w:t>The following criteria must be met: </w:t>
            </w:r>
          </w:p>
          <w:p w14:paraId="184C03E7" w14:textId="7A610A91" w:rsidR="00D278F7" w:rsidRPr="00E91C53" w:rsidRDefault="00D278F7" w:rsidP="00D278F7">
            <w:r w:rsidRPr="00E91C53">
              <w:t>1.</w:t>
            </w:r>
            <w:r w:rsidRPr="00E91C53">
              <w:tab/>
              <w:t xml:space="preserve">a ‘Bid Team’ template in the form set out at Appendix </w:t>
            </w:r>
            <w:r w:rsidR="008A18E4">
              <w:t>A</w:t>
            </w:r>
            <w:r w:rsidRPr="00E91C53">
              <w:t xml:space="preserve"> has been completed in full; and </w:t>
            </w:r>
          </w:p>
          <w:p w14:paraId="373E78CE" w14:textId="77777777" w:rsidR="00D278F7" w:rsidRPr="00E91C53" w:rsidRDefault="00D278F7" w:rsidP="00D278F7">
            <w:r w:rsidRPr="00E91C53">
              <w:t>2.</w:t>
            </w:r>
            <w:r w:rsidRPr="00E91C53">
              <w:tab/>
              <w:t>The Applicant has either: </w:t>
            </w:r>
          </w:p>
          <w:p w14:paraId="72AD400A" w14:textId="77777777" w:rsidR="00D278F7" w:rsidRPr="00E91C53" w:rsidRDefault="00D278F7" w:rsidP="00D278F7">
            <w:r w:rsidRPr="00E91C53">
              <w:t>a)</w:t>
            </w:r>
            <w:r w:rsidRPr="00E91C53">
              <w:tab/>
              <w:t>confirmed on an unqualified basis that no Conflict of Interest exists; or </w:t>
            </w:r>
          </w:p>
          <w:p w14:paraId="0B6B7497" w14:textId="75644D61" w:rsidR="00DC307A" w:rsidDel="000B1E98" w:rsidRDefault="00D278F7" w:rsidP="3D83606E">
            <w:pPr>
              <w:spacing w:before="100" w:after="100"/>
              <w:ind w:left="57"/>
              <w:textAlignment w:val="baseline"/>
              <w:rPr>
                <w:rFonts w:eastAsia="Times New Roman"/>
                <w:lang w:eastAsia="en-GB"/>
              </w:rPr>
            </w:pPr>
            <w:r>
              <w:t>b)</w:t>
            </w:r>
            <w:r>
              <w:tab/>
              <w:t xml:space="preserve">indicated that an actual, potential, or perceived Conflict of Interest exists and has provided evidence in its response that demonstrates to </w:t>
            </w:r>
            <w:r w:rsidR="0053020C">
              <w:t>GBE-N</w:t>
            </w:r>
            <w:r>
              <w:t>'s satisfaction that its proposed mitigation measures meet the requirements of paragraph 12 of Section G of the PSQ. </w:t>
            </w:r>
          </w:p>
        </w:tc>
      </w:tr>
      <w:tr w:rsidR="00DC307A" w:rsidDel="000B1E98" w14:paraId="4CD1032A" w14:textId="77777777" w:rsidTr="3D83606E">
        <w:trPr>
          <w:trHeight w:val="5594"/>
        </w:trPr>
        <w:tc>
          <w:tcPr>
            <w:tcW w:w="0" w:type="auto"/>
            <w:vMerge/>
          </w:tcPr>
          <w:p w14:paraId="7F79BD0A" w14:textId="77777777" w:rsidR="00DC307A" w:rsidRDefault="00DC307A" w:rsidP="00DC307A">
            <w:pPr>
              <w:spacing w:before="100" w:after="100"/>
              <w:ind w:left="57"/>
              <w:rPr>
                <w:rFonts w:eastAsia="Times New Roman" w:cstheme="minorHAnsi"/>
                <w:szCs w:val="20"/>
                <w:lang w:eastAsia="en-GB"/>
              </w:rPr>
            </w:pPr>
          </w:p>
        </w:tc>
        <w:tc>
          <w:tcPr>
            <w:tcW w:w="6407" w:type="dxa"/>
            <w:vMerge/>
          </w:tcPr>
          <w:p w14:paraId="7C56296E" w14:textId="77777777" w:rsidR="00DC307A" w:rsidRDefault="00DC307A" w:rsidP="00DC307A">
            <w:pPr>
              <w:spacing w:before="100" w:after="100"/>
              <w:ind w:left="57"/>
              <w:rPr>
                <w:rFonts w:cstheme="minorHAnsi"/>
                <w:szCs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0806A75" w14:textId="6620F5AC" w:rsidR="00DC307A" w:rsidDel="000B1E98" w:rsidRDefault="00DC307A" w:rsidP="00DC307A">
            <w:pPr>
              <w:spacing w:before="100" w:after="100"/>
              <w:ind w:left="57"/>
              <w:textAlignment w:val="baseline"/>
              <w:rPr>
                <w:rFonts w:eastAsia="Times New Roman" w:cstheme="minorHAnsi"/>
                <w:sz w:val="18"/>
                <w:szCs w:val="18"/>
                <w:lang w:eastAsia="en-GB"/>
              </w:rPr>
            </w:pPr>
            <w:r>
              <w:rPr>
                <w:rFonts w:eastAsia="Times New Roman" w:cstheme="minorHAnsi"/>
                <w:szCs w:val="20"/>
                <w:lang w:eastAsia="en-GB"/>
              </w:rPr>
              <w:t>Fail</w:t>
            </w:r>
          </w:p>
        </w:tc>
        <w:tc>
          <w:tcPr>
            <w:tcW w:w="5500" w:type="dxa"/>
            <w:tcBorders>
              <w:left w:val="single" w:sz="4" w:space="0" w:color="auto"/>
              <w:bottom w:val="single" w:sz="4" w:space="0" w:color="auto"/>
              <w:right w:val="single" w:sz="4" w:space="0" w:color="auto"/>
            </w:tcBorders>
            <w:shd w:val="clear" w:color="auto" w:fill="auto"/>
          </w:tcPr>
          <w:p w14:paraId="68CC1487" w14:textId="77777777" w:rsidR="008103E3" w:rsidRPr="00E91C53" w:rsidRDefault="008103E3" w:rsidP="008103E3">
            <w:r w:rsidRPr="00E91C53">
              <w:t>One or more of following criteria apply: </w:t>
            </w:r>
          </w:p>
          <w:p w14:paraId="783C5C7A" w14:textId="29519F0B" w:rsidR="008103E3" w:rsidRPr="00E91C53" w:rsidRDefault="008103E3" w:rsidP="008103E3">
            <w:r>
              <w:t>1.</w:t>
            </w:r>
            <w:r>
              <w:tab/>
              <w:t xml:space="preserve">In response to Question 28, the Applicant has indicated that an actual or potential Conflict of Interest exists, but it has failed to provide evidence in its response that demonstrates to </w:t>
            </w:r>
            <w:r w:rsidR="0053020C">
              <w:t>GBE-N</w:t>
            </w:r>
            <w:r>
              <w:t>'s satisfaction that its proposed mitigation measures meet the requirements of paragraph 12 of Section G of the PSQ; and/or  </w:t>
            </w:r>
          </w:p>
          <w:p w14:paraId="3EB4A191" w14:textId="053C71DF" w:rsidR="008103E3" w:rsidRPr="00E91C53" w:rsidRDefault="008103E3" w:rsidP="008103E3">
            <w:r>
              <w:t>2.</w:t>
            </w:r>
            <w:r>
              <w:tab/>
              <w:t xml:space="preserve">In response to Question 28, the Applicant has indicated that an actual or potential Conflict of Interest exists and, notwithstanding any mitigation measures that have been proposed, </w:t>
            </w:r>
            <w:r w:rsidR="0053020C">
              <w:t>GBE-N</w:t>
            </w:r>
            <w:r>
              <w:t xml:space="preserve"> otherwise considers that the Conflict of Interest cannot be effectively remedied. </w:t>
            </w:r>
          </w:p>
          <w:p w14:paraId="32A70B39" w14:textId="77777777" w:rsidR="008103E3" w:rsidRPr="00E91C53" w:rsidRDefault="008103E3" w:rsidP="008103E3">
            <w:r w:rsidRPr="00E91C53">
              <w:t>3.</w:t>
            </w:r>
            <w:r w:rsidRPr="00E91C53">
              <w:tab/>
              <w:t>In response to Question 28, the Applicant has not confirmed on an unqualified basis that no Conflict of Interest exists. </w:t>
            </w:r>
          </w:p>
          <w:p w14:paraId="2980C9F8" w14:textId="714EEE2B" w:rsidR="00DC307A" w:rsidDel="000B1E98" w:rsidRDefault="008103E3" w:rsidP="008103E3">
            <w:pPr>
              <w:spacing w:before="100" w:after="100"/>
              <w:ind w:left="57"/>
              <w:textAlignment w:val="baseline"/>
              <w:rPr>
                <w:rFonts w:eastAsia="Times New Roman" w:cstheme="minorHAnsi"/>
                <w:szCs w:val="20"/>
                <w:lang w:eastAsia="en-GB"/>
              </w:rPr>
            </w:pPr>
            <w:r w:rsidRPr="00E91C53">
              <w:t>4.</w:t>
            </w:r>
            <w:r w:rsidRPr="00E91C53">
              <w:tab/>
              <w:t xml:space="preserve">A ‘Bid Team’ template in the form set out at Appendix </w:t>
            </w:r>
            <w:r>
              <w:t>A</w:t>
            </w:r>
            <w:r w:rsidRPr="00E91C53">
              <w:t xml:space="preserve"> has not been completed in full. </w:t>
            </w:r>
          </w:p>
        </w:tc>
      </w:tr>
    </w:tbl>
    <w:p w14:paraId="533C92C5" w14:textId="77777777" w:rsidR="003E7602" w:rsidRPr="00585A3E" w:rsidRDefault="00F26284" w:rsidP="003E7602">
      <w:pPr>
        <w:rPr>
          <w:rFonts w:eastAsiaTheme="majorEastAsia" w:cstheme="minorHAnsi"/>
          <w:bCs/>
          <w:szCs w:val="20"/>
          <w:lang w:eastAsia="zh-TW"/>
        </w:rPr>
      </w:pPr>
      <w:r w:rsidRPr="00585A3E">
        <w:rPr>
          <w:rFonts w:cstheme="minorHAnsi"/>
          <w:szCs w:val="20"/>
        </w:rPr>
        <w:br w:type="page"/>
      </w:r>
    </w:p>
    <w:p w14:paraId="21D4D485" w14:textId="703C170C" w:rsidR="000B1815" w:rsidRPr="00585A3E" w:rsidRDefault="000B1815" w:rsidP="001D5524">
      <w:pPr>
        <w:rPr>
          <w:rFonts w:cstheme="minorHAnsi"/>
          <w:szCs w:val="20"/>
        </w:rPr>
        <w:sectPr w:rsidR="000B1815" w:rsidRPr="00585A3E" w:rsidSect="009B38C1">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510" w:footer="340" w:gutter="0"/>
          <w:cols w:space="720"/>
          <w:docGrid w:linePitch="272"/>
        </w:sectPr>
      </w:pPr>
    </w:p>
    <w:p w14:paraId="17FE0F58" w14:textId="2CD7209A" w:rsidR="003D0958" w:rsidRDefault="00F26284" w:rsidP="5E016C28">
      <w:pPr>
        <w:pStyle w:val="NormalAshurst"/>
        <w:rPr>
          <w:b/>
          <w:bCs/>
          <w:sz w:val="24"/>
        </w:rPr>
      </w:pPr>
      <w:bookmarkStart w:id="63" w:name="_Toc140605762"/>
      <w:r w:rsidRPr="5E016C28">
        <w:rPr>
          <w:b/>
          <w:bCs/>
          <w:sz w:val="24"/>
        </w:rPr>
        <w:t xml:space="preserve">F. Detailed Evaluation Methodology for Part </w:t>
      </w:r>
      <w:r w:rsidR="00DC307A" w:rsidRPr="5E016C28">
        <w:rPr>
          <w:b/>
          <w:bCs/>
          <w:sz w:val="24"/>
        </w:rPr>
        <w:t>3B</w:t>
      </w:r>
    </w:p>
    <w:p w14:paraId="182C83BF" w14:textId="292FA5CD" w:rsidR="00A437DE" w:rsidRPr="00DE5646" w:rsidRDefault="00A437DE" w:rsidP="5E016C28">
      <w:pPr>
        <w:pStyle w:val="Heading1"/>
        <w:keepNext/>
        <w:rPr>
          <w:b/>
          <w:sz w:val="24"/>
        </w:rPr>
      </w:pPr>
      <w:r w:rsidRPr="5E016C28">
        <w:rPr>
          <w:sz w:val="20"/>
          <w:szCs w:val="20"/>
        </w:rPr>
        <w:t>Applicants should note that</w:t>
      </w:r>
      <w:r w:rsidR="008B64DD" w:rsidRPr="5E016C28">
        <w:rPr>
          <w:sz w:val="20"/>
          <w:szCs w:val="20"/>
        </w:rPr>
        <w:t xml:space="preserve"> </w:t>
      </w:r>
      <w:r w:rsidRPr="5E016C28">
        <w:rPr>
          <w:sz w:val="20"/>
          <w:szCs w:val="20"/>
        </w:rPr>
        <w:t xml:space="preserve">where a consortium or joint venture is proposed, then Part 3B Questions </w:t>
      </w:r>
      <w:r w:rsidR="008B64DD" w:rsidRPr="5E016C28">
        <w:rPr>
          <w:sz w:val="20"/>
          <w:szCs w:val="20"/>
        </w:rPr>
        <w:t>29</w:t>
      </w:r>
      <w:r w:rsidRPr="5E016C28">
        <w:rPr>
          <w:sz w:val="20"/>
          <w:szCs w:val="20"/>
        </w:rPr>
        <w:t xml:space="preserve">-36 must be completed by all members of the consortium/JV. In this situation, each member must complete </w:t>
      </w:r>
      <w:r w:rsidR="00C77DF4" w:rsidRPr="5E016C28">
        <w:rPr>
          <w:sz w:val="20"/>
          <w:szCs w:val="20"/>
        </w:rPr>
        <w:t xml:space="preserve">the applicable </w:t>
      </w:r>
      <w:proofErr w:type="gramStart"/>
      <w:r w:rsidRPr="5E016C28">
        <w:rPr>
          <w:sz w:val="20"/>
          <w:szCs w:val="20"/>
        </w:rPr>
        <w:t>question</w:t>
      </w:r>
      <w:r w:rsidR="00C77DF4" w:rsidRPr="5E016C28">
        <w:rPr>
          <w:sz w:val="20"/>
          <w:szCs w:val="20"/>
        </w:rPr>
        <w:t>s</w:t>
      </w:r>
      <w:proofErr w:type="gramEnd"/>
      <w:r w:rsidRPr="5E016C28">
        <w:rPr>
          <w:sz w:val="20"/>
          <w:szCs w:val="20"/>
        </w:rPr>
        <w:t xml:space="preserve"> and the Lead Applicant must submit all </w:t>
      </w:r>
      <w:r w:rsidR="00DE5646" w:rsidRPr="5E016C28">
        <w:rPr>
          <w:sz w:val="20"/>
          <w:szCs w:val="20"/>
        </w:rPr>
        <w:t xml:space="preserve">Consortium Members' </w:t>
      </w:r>
      <w:r w:rsidRPr="5E016C28">
        <w:rPr>
          <w:sz w:val="20"/>
          <w:szCs w:val="20"/>
        </w:rPr>
        <w:t xml:space="preserve">responses in accordance with Part G paragraph </w:t>
      </w:r>
      <w:r w:rsidRPr="5E016C28">
        <w:rPr>
          <w:sz w:val="20"/>
          <w:szCs w:val="20"/>
        </w:rPr>
        <w:fldChar w:fldCharType="begin"/>
      </w:r>
      <w:r w:rsidRPr="5E016C28">
        <w:rPr>
          <w:sz w:val="20"/>
          <w:szCs w:val="20"/>
        </w:rPr>
        <w:instrText xml:space="preserve"> REF _Ref202274909 \r \h </w:instrText>
      </w:r>
      <w:r w:rsidRPr="5E016C28">
        <w:rPr>
          <w:sz w:val="20"/>
          <w:szCs w:val="20"/>
        </w:rPr>
      </w:r>
      <w:r w:rsidRPr="5E016C28">
        <w:rPr>
          <w:sz w:val="20"/>
          <w:szCs w:val="20"/>
        </w:rPr>
        <w:fldChar w:fldCharType="separate"/>
      </w:r>
      <w:r w:rsidR="00DE5646" w:rsidRPr="5E016C28">
        <w:rPr>
          <w:sz w:val="20"/>
          <w:szCs w:val="20"/>
          <w:cs/>
        </w:rPr>
        <w:t>‎</w:t>
      </w:r>
      <w:r w:rsidR="00DE5646" w:rsidRPr="5E016C28">
        <w:rPr>
          <w:sz w:val="20"/>
          <w:szCs w:val="20"/>
        </w:rPr>
        <w:t>6.7</w:t>
      </w:r>
      <w:r w:rsidRPr="5E016C28">
        <w:rPr>
          <w:sz w:val="20"/>
          <w:szCs w:val="20"/>
        </w:rPr>
        <w:fldChar w:fldCharType="end"/>
      </w:r>
      <w:r w:rsidRPr="5E016C28">
        <w:rPr>
          <w:sz w:val="20"/>
          <w:szCs w:val="20"/>
        </w:rPr>
        <w:t>. The evaluation</w:t>
      </w:r>
      <w:r w:rsidR="00DE5646" w:rsidRPr="5E016C28">
        <w:rPr>
          <w:sz w:val="20"/>
          <w:szCs w:val="20"/>
        </w:rPr>
        <w:t xml:space="preserve"> for </w:t>
      </w:r>
      <w:r w:rsidR="00D34DBE" w:rsidRPr="5E016C28">
        <w:rPr>
          <w:sz w:val="20"/>
          <w:szCs w:val="20"/>
        </w:rPr>
        <w:t xml:space="preserve">the </w:t>
      </w:r>
      <w:r w:rsidR="00DE5646" w:rsidRPr="5E016C28">
        <w:rPr>
          <w:sz w:val="20"/>
          <w:szCs w:val="20"/>
        </w:rPr>
        <w:t>aforementioned questions</w:t>
      </w:r>
      <w:r w:rsidRPr="5E016C28">
        <w:rPr>
          <w:sz w:val="20"/>
          <w:szCs w:val="20"/>
        </w:rPr>
        <w:t xml:space="preserve"> may be undertaken for each </w:t>
      </w:r>
      <w:r w:rsidR="00C77DF4" w:rsidRPr="5E016C28">
        <w:rPr>
          <w:sz w:val="20"/>
          <w:szCs w:val="20"/>
        </w:rPr>
        <w:t>Consortium Member</w:t>
      </w:r>
      <w:r w:rsidRPr="5E016C28">
        <w:rPr>
          <w:sz w:val="20"/>
          <w:szCs w:val="20"/>
        </w:rPr>
        <w:t>.</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1517"/>
        <w:gridCol w:w="3127"/>
        <w:gridCol w:w="1093"/>
        <w:gridCol w:w="2094"/>
      </w:tblGrid>
      <w:tr w:rsidR="004E7235" w:rsidRPr="003C5C78" w14:paraId="6B3AFB4A" w14:textId="77777777" w:rsidTr="3D83606E">
        <w:trPr>
          <w:trHeight w:val="300"/>
          <w:tblHeader/>
        </w:trPr>
        <w:tc>
          <w:tcPr>
            <w:tcW w:w="1270" w:type="dxa"/>
            <w:tcBorders>
              <w:top w:val="single" w:sz="6" w:space="0" w:color="auto"/>
              <w:left w:val="single" w:sz="6" w:space="0" w:color="auto"/>
              <w:bottom w:val="single" w:sz="4" w:space="0" w:color="auto"/>
              <w:right w:val="single" w:sz="6" w:space="0" w:color="auto"/>
            </w:tcBorders>
            <w:shd w:val="clear" w:color="auto" w:fill="D9D9D9" w:themeFill="background1" w:themeFillShade="D9"/>
            <w:hideMark/>
          </w:tcPr>
          <w:p w14:paraId="1E67F720" w14:textId="27EABB53" w:rsidR="004E7235" w:rsidRPr="003C5C78" w:rsidRDefault="003D713B" w:rsidP="006B05E5">
            <w:pPr>
              <w:spacing w:before="100" w:after="100"/>
              <w:textAlignment w:val="baseline"/>
              <w:rPr>
                <w:rFonts w:eastAsia="Times New Roman" w:cstheme="minorHAnsi"/>
                <w:b/>
                <w:bCs/>
                <w:szCs w:val="20"/>
                <w:lang w:eastAsia="en-GB"/>
              </w:rPr>
            </w:pPr>
            <w:r>
              <w:rPr>
                <w:rFonts w:eastAsia="Times New Roman" w:cstheme="minorHAnsi"/>
                <w:b/>
                <w:bCs/>
                <w:szCs w:val="20"/>
                <w:lang w:eastAsia="en-GB"/>
              </w:rPr>
              <w:t>Section</w:t>
            </w:r>
          </w:p>
        </w:tc>
        <w:tc>
          <w:tcPr>
            <w:tcW w:w="1530" w:type="dxa"/>
            <w:tcBorders>
              <w:top w:val="single" w:sz="6" w:space="0" w:color="auto"/>
              <w:left w:val="single" w:sz="6" w:space="0" w:color="auto"/>
              <w:bottom w:val="single" w:sz="4" w:space="0" w:color="auto"/>
              <w:right w:val="single" w:sz="6" w:space="0" w:color="auto"/>
            </w:tcBorders>
            <w:shd w:val="clear" w:color="auto" w:fill="D9D9D9" w:themeFill="background1" w:themeFillShade="D9"/>
            <w:hideMark/>
          </w:tcPr>
          <w:p w14:paraId="158050A8" w14:textId="09FB9F52" w:rsidR="004E7235" w:rsidRPr="003C5C78" w:rsidRDefault="003D713B" w:rsidP="006B05E5">
            <w:pPr>
              <w:spacing w:before="100" w:after="100"/>
              <w:ind w:left="57"/>
              <w:textAlignment w:val="baseline"/>
              <w:rPr>
                <w:rFonts w:eastAsia="Times New Roman" w:cstheme="minorHAnsi"/>
                <w:b/>
                <w:bCs/>
                <w:szCs w:val="20"/>
                <w:lang w:eastAsia="en-GB"/>
              </w:rPr>
            </w:pPr>
            <w:r>
              <w:rPr>
                <w:rFonts w:eastAsia="Times New Roman" w:cstheme="minorHAnsi"/>
                <w:b/>
                <w:bCs/>
                <w:szCs w:val="20"/>
                <w:lang w:eastAsia="en-GB"/>
              </w:rPr>
              <w:t>Requirement</w:t>
            </w:r>
          </w:p>
        </w:tc>
        <w:tc>
          <w:tcPr>
            <w:tcW w:w="31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A30230" w14:textId="77777777" w:rsidR="004E7235" w:rsidRPr="003C5C78" w:rsidRDefault="004E7235" w:rsidP="006B05E5">
            <w:pPr>
              <w:spacing w:before="100" w:after="100"/>
              <w:ind w:left="57"/>
              <w:textAlignment w:val="baseline"/>
              <w:rPr>
                <w:rFonts w:eastAsia="Times New Roman" w:cstheme="minorHAnsi"/>
                <w:b/>
                <w:bCs/>
                <w:szCs w:val="20"/>
                <w:lang w:eastAsia="en-GB"/>
              </w:rPr>
            </w:pPr>
            <w:r w:rsidRPr="003C5C78">
              <w:rPr>
                <w:rFonts w:eastAsia="Times New Roman" w:cstheme="minorHAnsi"/>
                <w:b/>
                <w:bCs/>
                <w:szCs w:val="20"/>
                <w:lang w:eastAsia="en-GB"/>
              </w:rPr>
              <w:t>Score</w:t>
            </w:r>
          </w:p>
        </w:tc>
        <w:tc>
          <w:tcPr>
            <w:tcW w:w="317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97DE60" w14:textId="77777777" w:rsidR="004E7235" w:rsidRPr="003C5C78" w:rsidRDefault="004E7235" w:rsidP="006B05E5">
            <w:pPr>
              <w:spacing w:before="100" w:after="100"/>
              <w:ind w:left="57"/>
              <w:textAlignment w:val="baseline"/>
              <w:rPr>
                <w:rFonts w:eastAsia="Times New Roman" w:cstheme="minorHAnsi"/>
                <w:b/>
                <w:bCs/>
                <w:szCs w:val="20"/>
                <w:lang w:eastAsia="en-GB"/>
              </w:rPr>
            </w:pPr>
            <w:r w:rsidRPr="003C5C78">
              <w:rPr>
                <w:rFonts w:eastAsia="Times New Roman" w:cstheme="minorHAnsi"/>
                <w:b/>
                <w:bCs/>
                <w:szCs w:val="20"/>
                <w:lang w:eastAsia="en-GB"/>
              </w:rPr>
              <w:t xml:space="preserve">Assessment Methodology </w:t>
            </w:r>
          </w:p>
        </w:tc>
      </w:tr>
      <w:tr w:rsidR="00720B63" w:rsidRPr="00585A3E" w14:paraId="3862F086" w14:textId="77777777" w:rsidTr="3D83606E">
        <w:trPr>
          <w:trHeight w:val="1305"/>
        </w:trPr>
        <w:tc>
          <w:tcPr>
            <w:tcW w:w="1270" w:type="dxa"/>
            <w:tcBorders>
              <w:left w:val="single" w:sz="4" w:space="0" w:color="auto"/>
              <w:right w:val="single" w:sz="4" w:space="0" w:color="auto"/>
            </w:tcBorders>
          </w:tcPr>
          <w:p w14:paraId="3FCD3161" w14:textId="3F02AD69" w:rsidR="00720B63" w:rsidRDefault="00DC307A" w:rsidP="00720B63">
            <w:pPr>
              <w:spacing w:before="100" w:after="100"/>
              <w:ind w:left="57"/>
              <w:rPr>
                <w:rFonts w:eastAsia="Times New Roman" w:cstheme="minorHAnsi"/>
                <w:szCs w:val="20"/>
                <w:lang w:eastAsia="en-GB"/>
              </w:rPr>
            </w:pPr>
            <w:r>
              <w:rPr>
                <w:rFonts w:eastAsia="Times New Roman" w:cstheme="minorHAnsi"/>
                <w:szCs w:val="20"/>
                <w:lang w:eastAsia="en-GB"/>
              </w:rPr>
              <w:t>3B</w:t>
            </w:r>
          </w:p>
        </w:tc>
        <w:tc>
          <w:tcPr>
            <w:tcW w:w="1530" w:type="dxa"/>
            <w:tcBorders>
              <w:left w:val="single" w:sz="4" w:space="0" w:color="auto"/>
              <w:right w:val="single" w:sz="4" w:space="0" w:color="auto"/>
            </w:tcBorders>
          </w:tcPr>
          <w:p w14:paraId="3DEC333A" w14:textId="23FFA386" w:rsidR="00720B63" w:rsidRDefault="00720B63" w:rsidP="00720B63">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29</w:t>
            </w:r>
          </w:p>
          <w:p w14:paraId="2975FB82" w14:textId="77777777" w:rsidR="00720B63" w:rsidRPr="00C63CBC" w:rsidRDefault="00720B63" w:rsidP="00720B63">
            <w:pPr>
              <w:widowControl w:val="0"/>
              <w:spacing w:after="120" w:line="240" w:lineRule="auto"/>
              <w:rPr>
                <w:rFonts w:asciiTheme="minorBidi" w:eastAsia="Helvetica Neue Light" w:hAnsiTheme="minorBidi"/>
                <w:szCs w:val="20"/>
                <w:lang w:eastAsia="en-GB"/>
              </w:rPr>
            </w:pP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2C5AF482" w14:textId="1C9432FC" w:rsidR="00720B63" w:rsidRPr="000D38A8" w:rsidRDefault="00720B63" w:rsidP="00720B63">
            <w:pPr>
              <w:widowControl w:val="0"/>
              <w:spacing w:after="120" w:line="240" w:lineRule="auto"/>
              <w:rPr>
                <w:rFonts w:asciiTheme="minorBidi" w:eastAsia="Helvetica Neue Light" w:hAnsiTheme="minorBidi"/>
                <w:szCs w:val="20"/>
                <w:lang w:eastAsia="en-GB"/>
              </w:rPr>
            </w:pPr>
            <w:r>
              <w:rPr>
                <w:rFonts w:eastAsia="Times New Roman" w:cstheme="minorHAnsi"/>
                <w:szCs w:val="20"/>
                <w:lang w:eastAsia="en-GB"/>
              </w:rPr>
              <w:t>For information only</w:t>
            </w:r>
          </w:p>
        </w:tc>
      </w:tr>
      <w:tr w:rsidR="00DC307A" w:rsidRPr="00585A3E" w14:paraId="3E1BE2CB" w14:textId="77777777" w:rsidTr="3D83606E">
        <w:trPr>
          <w:trHeight w:val="642"/>
        </w:trPr>
        <w:tc>
          <w:tcPr>
            <w:tcW w:w="1270" w:type="dxa"/>
            <w:vMerge w:val="restart"/>
            <w:tcBorders>
              <w:left w:val="single" w:sz="4" w:space="0" w:color="auto"/>
              <w:right w:val="single" w:sz="4" w:space="0" w:color="auto"/>
            </w:tcBorders>
          </w:tcPr>
          <w:p w14:paraId="7542B3AD" w14:textId="64C36E9B" w:rsidR="00DC307A" w:rsidRDefault="00DC307A" w:rsidP="00DC307A">
            <w:pPr>
              <w:spacing w:before="100" w:after="100"/>
              <w:ind w:left="57"/>
              <w:rPr>
                <w:rFonts w:eastAsia="Times New Roman" w:cstheme="minorHAnsi"/>
                <w:szCs w:val="20"/>
                <w:lang w:eastAsia="en-GB"/>
              </w:rPr>
            </w:pPr>
            <w:r w:rsidRPr="00AC0D54">
              <w:rPr>
                <w:rFonts w:eastAsia="Times New Roman" w:cstheme="minorHAnsi"/>
                <w:szCs w:val="20"/>
                <w:lang w:eastAsia="en-GB"/>
              </w:rPr>
              <w:t>3B</w:t>
            </w:r>
          </w:p>
        </w:tc>
        <w:tc>
          <w:tcPr>
            <w:tcW w:w="1530" w:type="dxa"/>
            <w:vMerge w:val="restart"/>
            <w:tcBorders>
              <w:left w:val="single" w:sz="4" w:space="0" w:color="auto"/>
              <w:right w:val="single" w:sz="4" w:space="0" w:color="auto"/>
            </w:tcBorders>
          </w:tcPr>
          <w:p w14:paraId="1AF3F21B" w14:textId="2584F55F" w:rsidR="00DC307A" w:rsidRDefault="00DC307A" w:rsidP="00DC307A">
            <w:pPr>
              <w:widowControl w:val="0"/>
              <w:spacing w:after="120" w:line="240" w:lineRule="auto"/>
              <w:rPr>
                <w:rFonts w:asciiTheme="minorBidi" w:eastAsia="Helvetica Neue Light" w:hAnsiTheme="minorBidi"/>
                <w:szCs w:val="20"/>
                <w:lang w:eastAsia="en-GB"/>
              </w:rPr>
            </w:pPr>
            <w:r>
              <w:rPr>
                <w:rFonts w:eastAsia="Times New Roman" w:cstheme="minorHAnsi"/>
                <w:szCs w:val="20"/>
                <w:lang w:eastAsia="en-GB"/>
              </w:rPr>
              <w:t>Question 30</w:t>
            </w: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tcPr>
          <w:p w14:paraId="51185363" w14:textId="5BC207C8" w:rsidR="00DC307A" w:rsidRDefault="00DC307A" w:rsidP="00DC307A">
            <w:pPr>
              <w:widowControl w:val="0"/>
              <w:spacing w:after="120" w:line="240" w:lineRule="auto"/>
              <w:rPr>
                <w:rFonts w:eastAsia="Times New Roman" w:cstheme="minorHAnsi"/>
                <w:szCs w:val="20"/>
                <w:lang w:eastAsia="en-GB"/>
              </w:rPr>
            </w:pPr>
            <w:r>
              <w:rPr>
                <w:rFonts w:eastAsia="Times New Roman" w:cstheme="minorHAnsi"/>
                <w:szCs w:val="20"/>
                <w:lang w:eastAsia="en-GB"/>
              </w:rPr>
              <w:t>Pass</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1B9BABD6" w14:textId="0757F7BC" w:rsidR="00DC307A" w:rsidRDefault="00DC307A" w:rsidP="00DC307A">
            <w:pPr>
              <w:widowControl w:val="0"/>
              <w:spacing w:after="120" w:line="240" w:lineRule="auto"/>
              <w:rPr>
                <w:rFonts w:eastAsia="Times New Roman" w:cstheme="minorHAnsi"/>
                <w:szCs w:val="20"/>
                <w:lang w:eastAsia="en-GB"/>
              </w:rPr>
            </w:pPr>
            <w:r w:rsidRPr="00585A3E">
              <w:rPr>
                <w:rFonts w:eastAsia="Times New Roman" w:cstheme="minorHAnsi"/>
                <w:szCs w:val="20"/>
                <w:lang w:eastAsia="en-GB"/>
              </w:rPr>
              <w:t>Applicant</w:t>
            </w:r>
            <w:r w:rsidR="00DE5646">
              <w:rPr>
                <w:rFonts w:eastAsia="Times New Roman" w:cstheme="minorHAnsi"/>
                <w:szCs w:val="20"/>
                <w:lang w:eastAsia="en-GB"/>
              </w:rPr>
              <w:t xml:space="preserve"> </w:t>
            </w:r>
            <w:r w:rsidRPr="00585A3E">
              <w:rPr>
                <w:rFonts w:eastAsia="Times New Roman" w:cstheme="minorHAnsi"/>
                <w:szCs w:val="20"/>
                <w:lang w:eastAsia="en-GB"/>
              </w:rPr>
              <w:t>responds “Yes”.</w:t>
            </w:r>
          </w:p>
        </w:tc>
      </w:tr>
      <w:tr w:rsidR="00DC307A" w:rsidRPr="00585A3E" w14:paraId="5B7F2C0C" w14:textId="77777777" w:rsidTr="3D83606E">
        <w:trPr>
          <w:trHeight w:val="641"/>
        </w:trPr>
        <w:tc>
          <w:tcPr>
            <w:tcW w:w="1270" w:type="dxa"/>
            <w:vMerge/>
          </w:tcPr>
          <w:p w14:paraId="3B4EFA59" w14:textId="77777777" w:rsidR="00DC307A" w:rsidRDefault="00DC307A" w:rsidP="00DC307A">
            <w:pPr>
              <w:spacing w:before="100" w:after="100"/>
              <w:ind w:left="57"/>
              <w:rPr>
                <w:rFonts w:eastAsia="Times New Roman" w:cstheme="minorHAnsi"/>
                <w:szCs w:val="20"/>
                <w:lang w:eastAsia="en-GB"/>
              </w:rPr>
            </w:pPr>
          </w:p>
        </w:tc>
        <w:tc>
          <w:tcPr>
            <w:tcW w:w="1530" w:type="dxa"/>
            <w:vMerge/>
          </w:tcPr>
          <w:p w14:paraId="5FE6E912" w14:textId="77777777" w:rsidR="00DC307A" w:rsidRDefault="00DC307A" w:rsidP="00DC307A">
            <w:pPr>
              <w:widowControl w:val="0"/>
              <w:spacing w:after="120" w:line="240" w:lineRule="auto"/>
              <w:rPr>
                <w:rFonts w:asciiTheme="minorBidi" w:eastAsia="Helvetica Neue Light" w:hAnsiTheme="minorBidi"/>
                <w:szCs w:val="20"/>
                <w:lang w:eastAsia="en-GB"/>
              </w:rPr>
            </w:pPr>
          </w:p>
        </w:tc>
        <w:tc>
          <w:tcPr>
            <w:tcW w:w="4185" w:type="dxa"/>
            <w:gridSpan w:val="2"/>
            <w:tcBorders>
              <w:top w:val="single" w:sz="4" w:space="0" w:color="auto"/>
              <w:left w:val="single" w:sz="4" w:space="0" w:color="auto"/>
              <w:right w:val="single" w:sz="4" w:space="0" w:color="auto"/>
            </w:tcBorders>
            <w:shd w:val="clear" w:color="auto" w:fill="auto"/>
          </w:tcPr>
          <w:p w14:paraId="0E64C2E2" w14:textId="5D058D23" w:rsidR="00DC307A" w:rsidRDefault="00DC307A" w:rsidP="00DC307A">
            <w:pPr>
              <w:widowControl w:val="0"/>
              <w:spacing w:after="120" w:line="240" w:lineRule="auto"/>
              <w:rPr>
                <w:rFonts w:eastAsia="Times New Roman" w:cstheme="minorHAnsi"/>
                <w:szCs w:val="20"/>
                <w:lang w:eastAsia="en-GB"/>
              </w:rPr>
            </w:pPr>
            <w:r>
              <w:rPr>
                <w:rFonts w:eastAsia="Times New Roman" w:cstheme="minorHAnsi"/>
                <w:szCs w:val="20"/>
                <w:lang w:eastAsia="en-GB"/>
              </w:rPr>
              <w:t>Fail</w:t>
            </w:r>
          </w:p>
        </w:tc>
        <w:tc>
          <w:tcPr>
            <w:tcW w:w="2087" w:type="dxa"/>
            <w:tcBorders>
              <w:top w:val="single" w:sz="4" w:space="0" w:color="auto"/>
              <w:left w:val="single" w:sz="4" w:space="0" w:color="auto"/>
              <w:right w:val="single" w:sz="4" w:space="0" w:color="auto"/>
            </w:tcBorders>
            <w:shd w:val="clear" w:color="auto" w:fill="auto"/>
          </w:tcPr>
          <w:p w14:paraId="38882EFB" w14:textId="54BFB7CD" w:rsidR="00DC307A" w:rsidRDefault="00DC307A" w:rsidP="00DC307A">
            <w:pPr>
              <w:widowControl w:val="0"/>
              <w:spacing w:after="120" w:line="240" w:lineRule="auto"/>
              <w:rPr>
                <w:rFonts w:eastAsia="Times New Roman" w:cstheme="minorHAnsi"/>
                <w:szCs w:val="20"/>
                <w:lang w:eastAsia="en-GB"/>
              </w:rPr>
            </w:pPr>
            <w:r w:rsidRPr="00585A3E">
              <w:rPr>
                <w:rFonts w:eastAsia="Times New Roman" w:cstheme="minorHAnsi"/>
                <w:szCs w:val="20"/>
                <w:lang w:eastAsia="en-GB"/>
              </w:rPr>
              <w:t>Applicant responds “No”.</w:t>
            </w:r>
          </w:p>
        </w:tc>
      </w:tr>
      <w:tr w:rsidR="00DC307A" w:rsidRPr="00585A3E" w14:paraId="2507F27F" w14:textId="77777777" w:rsidTr="3D83606E">
        <w:trPr>
          <w:trHeight w:val="642"/>
        </w:trPr>
        <w:tc>
          <w:tcPr>
            <w:tcW w:w="1270" w:type="dxa"/>
            <w:vMerge w:val="restart"/>
            <w:tcBorders>
              <w:left w:val="single" w:sz="4" w:space="0" w:color="auto"/>
              <w:right w:val="single" w:sz="4" w:space="0" w:color="auto"/>
            </w:tcBorders>
          </w:tcPr>
          <w:p w14:paraId="5AC4AC48" w14:textId="38772BDE" w:rsidR="00DC307A" w:rsidRDefault="00DC307A" w:rsidP="00DC307A">
            <w:pPr>
              <w:spacing w:before="100" w:after="100"/>
              <w:ind w:left="57"/>
              <w:rPr>
                <w:rFonts w:eastAsia="Times New Roman" w:cstheme="minorHAnsi"/>
                <w:szCs w:val="20"/>
                <w:lang w:eastAsia="en-GB"/>
              </w:rPr>
            </w:pPr>
            <w:r w:rsidRPr="00AC0D54">
              <w:rPr>
                <w:rFonts w:eastAsia="Times New Roman" w:cstheme="minorHAnsi"/>
                <w:szCs w:val="20"/>
                <w:lang w:eastAsia="en-GB"/>
              </w:rPr>
              <w:t>3B</w:t>
            </w:r>
          </w:p>
        </w:tc>
        <w:tc>
          <w:tcPr>
            <w:tcW w:w="1530" w:type="dxa"/>
            <w:vMerge w:val="restart"/>
            <w:tcBorders>
              <w:left w:val="single" w:sz="4" w:space="0" w:color="auto"/>
              <w:right w:val="single" w:sz="4" w:space="0" w:color="auto"/>
            </w:tcBorders>
          </w:tcPr>
          <w:p w14:paraId="46123A72" w14:textId="3DBBD2ED"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31</w:t>
            </w: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tcPr>
          <w:p w14:paraId="10089D3B" w14:textId="7A4B0070" w:rsidR="00DC307A" w:rsidRDefault="00DC307A" w:rsidP="00DC307A">
            <w:pPr>
              <w:widowControl w:val="0"/>
              <w:spacing w:after="120" w:line="240" w:lineRule="auto"/>
              <w:rPr>
                <w:rFonts w:eastAsia="Times New Roman" w:cstheme="minorHAnsi"/>
                <w:szCs w:val="20"/>
                <w:lang w:eastAsia="en-GB"/>
              </w:rPr>
            </w:pPr>
            <w:r>
              <w:rPr>
                <w:rFonts w:eastAsia="Times New Roman" w:cstheme="minorHAnsi"/>
                <w:szCs w:val="20"/>
                <w:lang w:eastAsia="en-GB"/>
              </w:rPr>
              <w:t>Pass</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458FDA8" w14:textId="0C87E743" w:rsidR="00DC307A" w:rsidRDefault="00DC307A" w:rsidP="00DC307A">
            <w:pPr>
              <w:widowControl w:val="0"/>
              <w:spacing w:after="120" w:line="240" w:lineRule="auto"/>
              <w:rPr>
                <w:rFonts w:eastAsia="Times New Roman" w:cstheme="minorHAnsi"/>
                <w:szCs w:val="20"/>
                <w:lang w:eastAsia="en-GB"/>
              </w:rPr>
            </w:pPr>
            <w:r w:rsidRPr="00585A3E">
              <w:rPr>
                <w:rFonts w:eastAsia="Times New Roman" w:cstheme="minorHAnsi"/>
                <w:szCs w:val="20"/>
                <w:lang w:eastAsia="en-GB"/>
              </w:rPr>
              <w:t>Applicant responds “Yes”.</w:t>
            </w:r>
          </w:p>
        </w:tc>
      </w:tr>
      <w:tr w:rsidR="00DC307A" w:rsidRPr="00585A3E" w14:paraId="1248C7C1" w14:textId="77777777" w:rsidTr="3D83606E">
        <w:trPr>
          <w:trHeight w:val="641"/>
        </w:trPr>
        <w:tc>
          <w:tcPr>
            <w:tcW w:w="1270" w:type="dxa"/>
            <w:vMerge/>
          </w:tcPr>
          <w:p w14:paraId="74B6123F" w14:textId="77777777" w:rsidR="00DC307A" w:rsidRDefault="00DC307A" w:rsidP="00DC307A">
            <w:pPr>
              <w:spacing w:before="100" w:after="100"/>
              <w:ind w:left="57"/>
              <w:rPr>
                <w:rFonts w:eastAsia="Times New Roman" w:cstheme="minorHAnsi"/>
                <w:szCs w:val="20"/>
                <w:lang w:eastAsia="en-GB"/>
              </w:rPr>
            </w:pPr>
          </w:p>
        </w:tc>
        <w:tc>
          <w:tcPr>
            <w:tcW w:w="1530" w:type="dxa"/>
            <w:vMerge/>
          </w:tcPr>
          <w:p w14:paraId="07E6EA16" w14:textId="77777777" w:rsidR="00DC307A" w:rsidRDefault="00DC307A" w:rsidP="00DC307A">
            <w:pPr>
              <w:widowControl w:val="0"/>
              <w:spacing w:after="120" w:line="240" w:lineRule="auto"/>
              <w:rPr>
                <w:rFonts w:asciiTheme="minorBidi" w:eastAsia="Helvetica Neue Light" w:hAnsiTheme="minorBidi"/>
                <w:szCs w:val="20"/>
                <w:lang w:eastAsia="en-GB"/>
              </w:rPr>
            </w:pPr>
          </w:p>
        </w:tc>
        <w:tc>
          <w:tcPr>
            <w:tcW w:w="4185" w:type="dxa"/>
            <w:gridSpan w:val="2"/>
            <w:tcBorders>
              <w:top w:val="single" w:sz="4" w:space="0" w:color="auto"/>
              <w:left w:val="single" w:sz="4" w:space="0" w:color="auto"/>
              <w:bottom w:val="single" w:sz="4" w:space="0" w:color="auto"/>
              <w:right w:val="single" w:sz="4" w:space="0" w:color="auto"/>
            </w:tcBorders>
            <w:shd w:val="clear" w:color="auto" w:fill="auto"/>
          </w:tcPr>
          <w:p w14:paraId="5AFC2022" w14:textId="42B0BA4D" w:rsidR="00DC307A" w:rsidRDefault="00DC307A" w:rsidP="00DC307A">
            <w:pPr>
              <w:widowControl w:val="0"/>
              <w:spacing w:after="120" w:line="240" w:lineRule="auto"/>
              <w:rPr>
                <w:rFonts w:eastAsia="Times New Roman" w:cstheme="minorHAnsi"/>
                <w:szCs w:val="20"/>
                <w:lang w:eastAsia="en-GB"/>
              </w:rPr>
            </w:pPr>
            <w:r>
              <w:rPr>
                <w:rFonts w:eastAsia="Times New Roman" w:cstheme="minorHAnsi"/>
                <w:szCs w:val="20"/>
                <w:lang w:eastAsia="en-GB"/>
              </w:rPr>
              <w:t>Fail</w:t>
            </w:r>
          </w:p>
        </w:tc>
        <w:tc>
          <w:tcPr>
            <w:tcW w:w="2087" w:type="dxa"/>
            <w:tcBorders>
              <w:top w:val="single" w:sz="4" w:space="0" w:color="auto"/>
              <w:left w:val="single" w:sz="4" w:space="0" w:color="auto"/>
              <w:bottom w:val="single" w:sz="4" w:space="0" w:color="auto"/>
              <w:right w:val="single" w:sz="4" w:space="0" w:color="auto"/>
            </w:tcBorders>
            <w:shd w:val="clear" w:color="auto" w:fill="auto"/>
          </w:tcPr>
          <w:p w14:paraId="40AEF062" w14:textId="10E7FE22" w:rsidR="00DC307A" w:rsidRDefault="00DC307A" w:rsidP="00DC307A">
            <w:pPr>
              <w:widowControl w:val="0"/>
              <w:spacing w:after="120" w:line="240" w:lineRule="auto"/>
              <w:rPr>
                <w:rFonts w:eastAsia="Times New Roman" w:cstheme="minorHAnsi"/>
                <w:szCs w:val="20"/>
                <w:lang w:eastAsia="en-GB"/>
              </w:rPr>
            </w:pPr>
            <w:r w:rsidRPr="00585A3E">
              <w:rPr>
                <w:rFonts w:eastAsia="Times New Roman" w:cstheme="minorHAnsi"/>
                <w:szCs w:val="20"/>
                <w:lang w:eastAsia="en-GB"/>
              </w:rPr>
              <w:t>Applicant responds “No”.</w:t>
            </w:r>
          </w:p>
        </w:tc>
      </w:tr>
      <w:tr w:rsidR="00DC307A" w:rsidRPr="00585A3E" w14:paraId="0C710174" w14:textId="77777777" w:rsidTr="3D83606E">
        <w:trPr>
          <w:trHeight w:val="1305"/>
        </w:trPr>
        <w:tc>
          <w:tcPr>
            <w:tcW w:w="1270" w:type="dxa"/>
            <w:tcBorders>
              <w:left w:val="single" w:sz="4" w:space="0" w:color="auto"/>
              <w:right w:val="single" w:sz="4" w:space="0" w:color="auto"/>
            </w:tcBorders>
          </w:tcPr>
          <w:p w14:paraId="06F72409" w14:textId="4EDAAB48" w:rsidR="00DC307A" w:rsidRDefault="00DC307A" w:rsidP="00DC307A">
            <w:pPr>
              <w:spacing w:before="100" w:after="100"/>
              <w:ind w:left="57"/>
              <w:rPr>
                <w:rFonts w:eastAsia="Times New Roman" w:cstheme="minorHAnsi"/>
                <w:szCs w:val="20"/>
                <w:lang w:eastAsia="en-GB"/>
              </w:rPr>
            </w:pPr>
            <w:r w:rsidRPr="00AC0D54">
              <w:rPr>
                <w:rFonts w:eastAsia="Times New Roman" w:cstheme="minorHAnsi"/>
                <w:szCs w:val="20"/>
                <w:lang w:eastAsia="en-GB"/>
              </w:rPr>
              <w:t>3B</w:t>
            </w:r>
          </w:p>
        </w:tc>
        <w:tc>
          <w:tcPr>
            <w:tcW w:w="1530" w:type="dxa"/>
            <w:tcBorders>
              <w:left w:val="single" w:sz="4" w:space="0" w:color="auto"/>
              <w:right w:val="single" w:sz="4" w:space="0" w:color="auto"/>
            </w:tcBorders>
          </w:tcPr>
          <w:p w14:paraId="522E1E92" w14:textId="56423E01"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32(a) and (b)</w:t>
            </w:r>
          </w:p>
          <w:p w14:paraId="4E57B4CF" w14:textId="77777777" w:rsidR="00DC307A" w:rsidRPr="00C63CBC" w:rsidRDefault="00DC307A" w:rsidP="00DC307A">
            <w:pPr>
              <w:widowControl w:val="0"/>
              <w:spacing w:after="120" w:line="240" w:lineRule="auto"/>
              <w:rPr>
                <w:rFonts w:asciiTheme="minorBidi" w:eastAsia="Helvetica Neue Light" w:hAnsiTheme="minorBidi"/>
                <w:szCs w:val="20"/>
                <w:lang w:eastAsia="en-GB"/>
              </w:rPr>
            </w:pP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4C2A33F3" w14:textId="23DC409C" w:rsidR="00DC307A" w:rsidRDefault="0053020C" w:rsidP="3D83606E">
            <w:pPr>
              <w:autoSpaceDE w:val="0"/>
              <w:autoSpaceDN w:val="0"/>
              <w:adjustRightInd w:val="0"/>
              <w:snapToGrid w:val="0"/>
              <w:spacing w:after="0" w:line="240" w:lineRule="auto"/>
              <w:rPr>
                <w:rFonts w:ascii="Arial" w:eastAsia="Times New Roman" w:hAnsi="Arial" w:cs="Arial"/>
                <w:color w:val="000000"/>
                <w:lang w:eastAsia="zh-TW"/>
              </w:rPr>
            </w:pPr>
            <w:r w:rsidRPr="3D83606E">
              <w:rPr>
                <w:rFonts w:ascii="Arial" w:eastAsia="Times New Roman" w:hAnsi="Arial" w:cs="Arial"/>
                <w:color w:val="000000" w:themeColor="text1"/>
                <w:lang w:eastAsia="zh-TW"/>
              </w:rPr>
              <w:t>GBE-N</w:t>
            </w:r>
            <w:r w:rsidR="00DC307A" w:rsidRPr="3D83606E">
              <w:rPr>
                <w:rFonts w:ascii="Arial" w:eastAsia="Times New Roman" w:hAnsi="Arial" w:cs="Arial"/>
                <w:color w:val="000000" w:themeColor="text1"/>
                <w:lang w:eastAsia="zh-TW"/>
              </w:rPr>
              <w:t xml:space="preserve"> will </w:t>
            </w:r>
            <w:proofErr w:type="gramStart"/>
            <w:r w:rsidR="00DC307A" w:rsidRPr="3D83606E">
              <w:rPr>
                <w:rFonts w:ascii="Arial" w:eastAsia="Times New Roman" w:hAnsi="Arial" w:cs="Arial"/>
                <w:color w:val="000000" w:themeColor="text1"/>
                <w:lang w:eastAsia="zh-TW"/>
              </w:rPr>
              <w:t>make an assessment of</w:t>
            </w:r>
            <w:proofErr w:type="gramEnd"/>
            <w:r w:rsidR="00DC307A" w:rsidRPr="3D83606E">
              <w:rPr>
                <w:rFonts w:ascii="Arial" w:eastAsia="Times New Roman" w:hAnsi="Arial" w:cs="Arial"/>
                <w:color w:val="000000" w:themeColor="text1"/>
                <w:lang w:eastAsia="zh-TW"/>
              </w:rPr>
              <w:t xml:space="preserve"> the Applicant’s responses to question</w:t>
            </w:r>
            <w:r w:rsidR="00FD4E43" w:rsidRPr="3D83606E">
              <w:rPr>
                <w:rFonts w:ascii="Arial" w:eastAsia="Times New Roman" w:hAnsi="Arial" w:cs="Arial"/>
                <w:color w:val="000000" w:themeColor="text1"/>
                <w:lang w:eastAsia="zh-TW"/>
              </w:rPr>
              <w:t>s</w:t>
            </w:r>
            <w:r w:rsidR="00DC307A" w:rsidRPr="3D83606E">
              <w:rPr>
                <w:rFonts w:ascii="Arial" w:eastAsia="Times New Roman" w:hAnsi="Arial" w:cs="Arial"/>
                <w:color w:val="000000" w:themeColor="text1"/>
                <w:lang w:eastAsia="zh-TW"/>
              </w:rPr>
              <w:t xml:space="preserve"> 32(a)</w:t>
            </w:r>
            <w:r w:rsidR="00FD4E43" w:rsidRPr="3D83606E">
              <w:rPr>
                <w:rFonts w:ascii="Arial" w:eastAsia="Times New Roman" w:hAnsi="Arial" w:cs="Arial"/>
                <w:color w:val="000000" w:themeColor="text1"/>
                <w:lang w:eastAsia="zh-TW"/>
              </w:rPr>
              <w:t xml:space="preserve"> and (b)</w:t>
            </w:r>
            <w:r w:rsidR="00DC307A" w:rsidRPr="3D83606E">
              <w:rPr>
                <w:rFonts w:ascii="Arial" w:eastAsia="Times New Roman" w:hAnsi="Arial" w:cs="Arial"/>
                <w:color w:val="000000" w:themeColor="text1"/>
                <w:lang w:eastAsia="zh-TW"/>
              </w:rPr>
              <w:t xml:space="preserve"> in order to determine whether it has an effective and reliable supply chain management system in place. This is done by looking at two aspects of the supply chain management system:</w:t>
            </w:r>
          </w:p>
          <w:p w14:paraId="0A17CA39" w14:textId="77777777" w:rsidR="00DC307A" w:rsidRDefault="00DC307A" w:rsidP="00DC307A">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 Whether the Applicant has made payments of 90% of invoices in accordance with the contractual terms that it applies to its supply chain; or</w:t>
            </w:r>
          </w:p>
          <w:p w14:paraId="4DB5911F" w14:textId="77777777" w:rsidR="00DC307A" w:rsidRDefault="00DC307A" w:rsidP="00DC307A">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(b) Whether, overall, the Applicant has paid its suppliers promptly; payment of 95% of invoices within 60 days is considered an appropriate measure of overall payment promptness.</w:t>
            </w:r>
          </w:p>
          <w:p w14:paraId="15C04703" w14:textId="61E51996" w:rsidR="00DC307A" w:rsidRPr="000D38A8" w:rsidRDefault="00FD4E43" w:rsidP="00DC307A">
            <w:pPr>
              <w:widowControl w:val="0"/>
              <w:spacing w:after="120" w:line="240" w:lineRule="auto"/>
              <w:rPr>
                <w:rFonts w:asciiTheme="minorBidi" w:eastAsia="Helvetica Neue Light" w:hAnsiTheme="minorBidi"/>
                <w:szCs w:val="20"/>
                <w:lang w:eastAsia="en-GB"/>
              </w:rPr>
            </w:pPr>
            <w:r>
              <w:rPr>
                <w:rFonts w:ascii="Arial" w:eastAsia="Times New Roman" w:hAnsi="Arial" w:cs="Arial"/>
                <w:color w:val="000000"/>
                <w:lang w:eastAsia="zh-TW"/>
              </w:rPr>
              <w:t>These</w:t>
            </w:r>
            <w:r w:rsidR="00DC307A">
              <w:rPr>
                <w:rFonts w:ascii="Arial" w:eastAsia="Times New Roman" w:hAnsi="Arial" w:cs="Arial"/>
                <w:color w:val="000000"/>
                <w:lang w:val="x-none" w:eastAsia="zh-TW"/>
              </w:rPr>
              <w:t xml:space="preserve"> question</w:t>
            </w:r>
            <w:r>
              <w:rPr>
                <w:rFonts w:ascii="Arial" w:eastAsia="Times New Roman" w:hAnsi="Arial" w:cs="Arial"/>
                <w:color w:val="000000"/>
                <w:lang w:eastAsia="zh-TW"/>
              </w:rPr>
              <w:t>s</w:t>
            </w:r>
            <w:r w:rsidR="00DC307A">
              <w:rPr>
                <w:rFonts w:ascii="Arial" w:eastAsia="Times New Roman" w:hAnsi="Arial" w:cs="Arial"/>
                <w:color w:val="000000"/>
                <w:lang w:val="x-none" w:eastAsia="zh-TW"/>
              </w:rPr>
              <w:t xml:space="preserve"> should be measured over a </w:t>
            </w:r>
            <w:proofErr w:type="gramStart"/>
            <w:r w:rsidR="00DC307A">
              <w:rPr>
                <w:rFonts w:ascii="Arial" w:eastAsia="Times New Roman" w:hAnsi="Arial" w:cs="Arial"/>
                <w:color w:val="000000"/>
                <w:lang w:val="x-none" w:eastAsia="zh-TW"/>
              </w:rPr>
              <w:t>twelve month</w:t>
            </w:r>
            <w:proofErr w:type="gramEnd"/>
            <w:r w:rsidR="00DC307A">
              <w:rPr>
                <w:rFonts w:ascii="Arial" w:eastAsia="Times New Roman" w:hAnsi="Arial" w:cs="Arial"/>
                <w:color w:val="000000"/>
                <w:lang w:val="x-none" w:eastAsia="zh-TW"/>
              </w:rPr>
              <w:t xml:space="preserve"> period and the Applicant must demonstrate that </w:t>
            </w:r>
            <w:r w:rsidR="00DC307A">
              <w:rPr>
                <w:rFonts w:ascii="Arial" w:eastAsia="Times New Roman" w:hAnsi="Arial" w:cs="Arial"/>
                <w:color w:val="000000"/>
                <w:lang w:eastAsia="zh-TW"/>
              </w:rPr>
              <w:t>it</w:t>
            </w:r>
            <w:r w:rsidR="00DC307A">
              <w:rPr>
                <w:rFonts w:ascii="Arial" w:eastAsia="Times New Roman" w:hAnsi="Arial" w:cs="Arial"/>
                <w:color w:val="000000"/>
                <w:lang w:val="x-none" w:eastAsia="zh-TW"/>
              </w:rPr>
              <w:t xml:space="preserve"> meet</w:t>
            </w:r>
            <w:r w:rsidR="00DC307A">
              <w:rPr>
                <w:rFonts w:ascii="Arial" w:eastAsia="Times New Roman" w:hAnsi="Arial" w:cs="Arial"/>
                <w:color w:val="000000"/>
                <w:lang w:eastAsia="zh-TW"/>
              </w:rPr>
              <w:t>s</w:t>
            </w:r>
            <w:r w:rsidR="00DC307A">
              <w:rPr>
                <w:rFonts w:ascii="Arial" w:eastAsia="Times New Roman" w:hAnsi="Arial" w:cs="Arial"/>
                <w:color w:val="000000"/>
                <w:lang w:val="x-none" w:eastAsia="zh-TW"/>
              </w:rPr>
              <w:t xml:space="preserve"> the required standard (paid their supply chain within agreed terms and paid 95% of invoices within 60 days) in at least one of the two previous </w:t>
            </w:r>
            <w:proofErr w:type="gramStart"/>
            <w:r w:rsidR="00DC307A">
              <w:rPr>
                <w:rFonts w:ascii="Arial" w:eastAsia="Times New Roman" w:hAnsi="Arial" w:cs="Arial"/>
                <w:color w:val="000000"/>
                <w:lang w:val="x-none" w:eastAsia="zh-TW"/>
              </w:rPr>
              <w:t>six month</w:t>
            </w:r>
            <w:proofErr w:type="gramEnd"/>
            <w:r w:rsidR="00DC307A">
              <w:rPr>
                <w:rFonts w:ascii="Arial" w:eastAsia="Times New Roman" w:hAnsi="Arial" w:cs="Arial"/>
                <w:color w:val="000000"/>
                <w:lang w:val="x-none" w:eastAsia="zh-TW"/>
              </w:rPr>
              <w:t xml:space="preserve"> periods (“reporting periods”). The Applicant must provide details of the agreed terms</w:t>
            </w:r>
          </w:p>
        </w:tc>
      </w:tr>
      <w:tr w:rsidR="00720B63" w:rsidRPr="00585A3E" w14:paraId="1F1318EB" w14:textId="77777777" w:rsidTr="3D83606E">
        <w:trPr>
          <w:trHeight w:val="1305"/>
        </w:trPr>
        <w:tc>
          <w:tcPr>
            <w:tcW w:w="1270" w:type="dxa"/>
            <w:tcBorders>
              <w:left w:val="single" w:sz="4" w:space="0" w:color="auto"/>
              <w:right w:val="single" w:sz="4" w:space="0" w:color="auto"/>
            </w:tcBorders>
          </w:tcPr>
          <w:p w14:paraId="48637AA6" w14:textId="77777777" w:rsidR="00720B63" w:rsidRDefault="00720B63" w:rsidP="00720B63">
            <w:pPr>
              <w:spacing w:before="100" w:after="100"/>
              <w:ind w:left="57"/>
              <w:rPr>
                <w:rFonts w:eastAsia="Times New Roman" w:cstheme="minorHAnsi"/>
                <w:szCs w:val="20"/>
                <w:lang w:eastAsia="en-GB"/>
              </w:rPr>
            </w:pPr>
          </w:p>
        </w:tc>
        <w:tc>
          <w:tcPr>
            <w:tcW w:w="1530" w:type="dxa"/>
            <w:tcBorders>
              <w:left w:val="single" w:sz="4" w:space="0" w:color="auto"/>
              <w:right w:val="single" w:sz="4" w:space="0" w:color="auto"/>
            </w:tcBorders>
          </w:tcPr>
          <w:p w14:paraId="2B6519DB" w14:textId="42F92AE2" w:rsidR="00720B63" w:rsidRDefault="00720B63" w:rsidP="00720B63">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32(c)</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523D32DB" w14:textId="78C44729" w:rsidR="00720B63" w:rsidRPr="00DB562E" w:rsidRDefault="00720B63" w:rsidP="00720B63">
            <w:pPr>
              <w:autoSpaceDE w:val="0"/>
              <w:autoSpaceDN w:val="0"/>
              <w:adjustRightInd w:val="0"/>
              <w:snapToGrid w:val="0"/>
              <w:spacing w:after="0" w:line="240" w:lineRule="auto"/>
              <w:rPr>
                <w:rFonts w:ascii="Arial" w:eastAsia="Times New Roman" w:hAnsi="Arial" w:cs="Arial"/>
                <w:color w:val="000000"/>
                <w:sz w:val="13"/>
                <w:lang w:val="x-none" w:eastAsia="zh-TW"/>
              </w:rPr>
            </w:pPr>
            <w:r>
              <w:rPr>
                <w:rFonts w:ascii="Arial" w:eastAsia="Times New Roman" w:hAnsi="Arial" w:cs="Arial"/>
                <w:color w:val="000000"/>
                <w:lang w:val="x-none" w:eastAsia="zh-TW"/>
              </w:rPr>
              <w:t xml:space="preserve">With respect to question </w:t>
            </w:r>
            <w:r>
              <w:rPr>
                <w:rFonts w:ascii="Arial" w:eastAsia="Times New Roman" w:hAnsi="Arial" w:cs="Arial"/>
                <w:color w:val="000000"/>
                <w:lang w:eastAsia="zh-TW"/>
              </w:rPr>
              <w:t>32(c)</w:t>
            </w:r>
            <w:r>
              <w:rPr>
                <w:rFonts w:ascii="Arial" w:eastAsia="Times New Roman" w:hAnsi="Arial" w:cs="Arial"/>
                <w:color w:val="000000"/>
                <w:lang w:val="x-none" w:eastAsia="zh-TW"/>
              </w:rPr>
              <w:t xml:space="preserve">, if the Applicant has not paid all invoices within the agreed contractual terms in at least one reporting period, </w:t>
            </w:r>
            <w:r w:rsidR="00F17F6E">
              <w:rPr>
                <w:rFonts w:ascii="Arial" w:eastAsia="Times New Roman" w:hAnsi="Arial" w:cs="Arial"/>
                <w:color w:val="000000"/>
                <w:lang w:eastAsia="zh-TW"/>
              </w:rPr>
              <w:t>it</w:t>
            </w:r>
            <w:r>
              <w:rPr>
                <w:rFonts w:ascii="Arial" w:eastAsia="Times New Roman" w:hAnsi="Arial" w:cs="Arial"/>
                <w:color w:val="000000"/>
                <w:lang w:val="x-none" w:eastAsia="zh-TW"/>
              </w:rPr>
              <w:t xml:space="preserve"> must explain why</w:t>
            </w:r>
            <w:r w:rsidR="00F17F6E">
              <w:rPr>
                <w:rFonts w:ascii="Arial" w:eastAsia="Times New Roman" w:hAnsi="Arial" w:cs="Arial"/>
                <w:color w:val="000000"/>
                <w:lang w:eastAsia="zh-TW"/>
              </w:rPr>
              <w:t xml:space="preserve"> this was the case</w:t>
            </w:r>
            <w:r>
              <w:rPr>
                <w:rFonts w:ascii="Arial" w:eastAsia="Times New Roman" w:hAnsi="Arial" w:cs="Arial"/>
                <w:color w:val="000000"/>
                <w:lang w:val="x-none" w:eastAsia="zh-TW"/>
              </w:rPr>
              <w:t xml:space="preserve"> in order to pass. And, if </w:t>
            </w:r>
            <w:r w:rsidR="00F17F6E">
              <w:rPr>
                <w:rFonts w:ascii="Arial" w:eastAsia="Times New Roman" w:hAnsi="Arial" w:cs="Arial"/>
                <w:color w:val="000000"/>
                <w:lang w:eastAsia="zh-TW"/>
              </w:rPr>
              <w:t>the Applicant</w:t>
            </w:r>
            <w:r>
              <w:rPr>
                <w:rFonts w:ascii="Arial" w:eastAsia="Times New Roman" w:hAnsi="Arial" w:cs="Arial"/>
                <w:color w:val="000000"/>
                <w:lang w:val="x-none" w:eastAsia="zh-TW"/>
              </w:rPr>
              <w:t xml:space="preserve"> need</w:t>
            </w:r>
            <w:r w:rsidR="00F17F6E">
              <w:rPr>
                <w:rFonts w:ascii="Arial" w:eastAsia="Times New Roman" w:hAnsi="Arial" w:cs="Arial"/>
                <w:color w:val="000000"/>
                <w:lang w:eastAsia="zh-TW"/>
              </w:rPr>
              <w:t>s</w:t>
            </w:r>
            <w:r>
              <w:rPr>
                <w:rFonts w:ascii="Arial" w:eastAsia="Times New Roman" w:hAnsi="Arial" w:cs="Arial"/>
                <w:color w:val="000000"/>
                <w:lang w:val="x-none" w:eastAsia="zh-TW"/>
              </w:rPr>
              <w:t xml:space="preserve"> to submit an action plan under </w:t>
            </w:r>
            <w:r>
              <w:rPr>
                <w:rFonts w:ascii="Arial" w:eastAsia="Times New Roman" w:hAnsi="Arial" w:cs="Arial"/>
                <w:color w:val="000000"/>
                <w:lang w:eastAsia="zh-TW"/>
              </w:rPr>
              <w:t>32(d)</w:t>
            </w:r>
            <w:r>
              <w:rPr>
                <w:rFonts w:ascii="Arial" w:eastAsia="Times New Roman" w:hAnsi="Arial" w:cs="Arial"/>
                <w:color w:val="000000"/>
                <w:lang w:val="x-none" w:eastAsia="zh-TW"/>
              </w:rPr>
              <w:t>, that plan</w:t>
            </w:r>
            <w:r>
              <w:rPr>
                <w:rFonts w:ascii="Arial" w:eastAsia="Times New Roman" w:hAnsi="Arial" w:cs="Arial"/>
                <w:color w:val="000000"/>
                <w:lang w:eastAsia="zh-TW"/>
              </w:rPr>
              <w:t xml:space="preserve"> </w:t>
            </w:r>
            <w:r>
              <w:rPr>
                <w:rFonts w:ascii="Arial" w:eastAsia="Times New Roman" w:hAnsi="Arial" w:cs="Arial"/>
                <w:color w:val="000000"/>
                <w:lang w:val="x-none" w:eastAsia="zh-TW"/>
              </w:rPr>
              <w:t xml:space="preserve">must also cover </w:t>
            </w:r>
            <w:r w:rsidR="00F17F6E">
              <w:rPr>
                <w:rFonts w:ascii="Arial" w:eastAsia="Times New Roman" w:hAnsi="Arial" w:cs="Arial"/>
                <w:color w:val="000000"/>
                <w:lang w:eastAsia="zh-TW"/>
              </w:rPr>
              <w:t xml:space="preserve">the </w:t>
            </w:r>
            <w:r>
              <w:rPr>
                <w:rFonts w:ascii="Arial" w:eastAsia="Times New Roman" w:hAnsi="Arial" w:cs="Arial"/>
                <w:color w:val="000000"/>
                <w:lang w:val="x-none" w:eastAsia="zh-TW"/>
              </w:rPr>
              <w:t>actions the</w:t>
            </w:r>
            <w:r w:rsidR="00F17F6E">
              <w:rPr>
                <w:rFonts w:ascii="Arial" w:eastAsia="Times New Roman" w:hAnsi="Arial" w:cs="Arial"/>
                <w:color w:val="000000"/>
                <w:lang w:eastAsia="zh-TW"/>
              </w:rPr>
              <w:t xml:space="preserve"> Applicant</w:t>
            </w:r>
            <w:r>
              <w:rPr>
                <w:rFonts w:ascii="Arial" w:eastAsia="Times New Roman" w:hAnsi="Arial" w:cs="Arial"/>
                <w:color w:val="000000"/>
                <w:lang w:val="x-none" w:eastAsia="zh-TW"/>
              </w:rPr>
              <w:t xml:space="preserve"> </w:t>
            </w:r>
            <w:r w:rsidR="00F17F6E">
              <w:rPr>
                <w:rFonts w:ascii="Arial" w:eastAsia="Times New Roman" w:hAnsi="Arial" w:cs="Arial"/>
                <w:color w:val="000000"/>
                <w:lang w:eastAsia="zh-TW"/>
              </w:rPr>
              <w:t>is</w:t>
            </w:r>
            <w:r>
              <w:rPr>
                <w:rFonts w:ascii="Arial" w:eastAsia="Times New Roman" w:hAnsi="Arial" w:cs="Arial"/>
                <w:color w:val="000000"/>
                <w:lang w:val="x-none" w:eastAsia="zh-TW"/>
              </w:rPr>
              <w:t xml:space="preserve"> taking to improve payment of </w:t>
            </w:r>
            <w:r w:rsidR="00F17F6E">
              <w:rPr>
                <w:rFonts w:ascii="Arial" w:eastAsia="Times New Roman" w:hAnsi="Arial" w:cs="Arial"/>
                <w:color w:val="000000"/>
                <w:lang w:eastAsia="zh-TW"/>
              </w:rPr>
              <w:t>its</w:t>
            </w:r>
            <w:r>
              <w:rPr>
                <w:rFonts w:ascii="Arial" w:eastAsia="Times New Roman" w:hAnsi="Arial" w:cs="Arial"/>
                <w:color w:val="000000"/>
                <w:lang w:val="x-none" w:eastAsia="zh-TW"/>
              </w:rPr>
              <w:t xml:space="preserve"> suppliers within the agreed terms.</w:t>
            </w:r>
          </w:p>
          <w:p w14:paraId="3B3D39E0"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 xml:space="preserve">The evaluation methodology to be applied when assessing </w:t>
            </w:r>
            <w:r>
              <w:rPr>
                <w:rFonts w:ascii="Arial" w:eastAsia="Times New Roman" w:hAnsi="Arial" w:cs="Arial"/>
                <w:color w:val="000000"/>
                <w:lang w:eastAsia="zh-TW"/>
              </w:rPr>
              <w:t>32(c)</w:t>
            </w:r>
            <w:r>
              <w:rPr>
                <w:rFonts w:ascii="Arial" w:eastAsia="Times New Roman" w:hAnsi="Arial" w:cs="Arial"/>
                <w:color w:val="000000"/>
                <w:lang w:val="x-none" w:eastAsia="zh-TW"/>
              </w:rPr>
              <w:t xml:space="preserve"> is set out below</w:t>
            </w:r>
          </w:p>
          <w:tbl>
            <w:tblPr>
              <w:tblStyle w:val="AshurstPlainGrid"/>
              <w:tblW w:w="6240" w:type="dxa"/>
              <w:tblLook w:val="04A0" w:firstRow="1" w:lastRow="0" w:firstColumn="1" w:lastColumn="0" w:noHBand="0" w:noVBand="1"/>
            </w:tblPr>
            <w:tblGrid>
              <w:gridCol w:w="3000"/>
              <w:gridCol w:w="2157"/>
              <w:gridCol w:w="1083"/>
            </w:tblGrid>
            <w:tr w:rsidR="00720B63" w14:paraId="02232E3F" w14:textId="77777777" w:rsidTr="28427D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5" w:type="dxa"/>
                </w:tcPr>
                <w:p w14:paraId="56BEF7FB" w14:textId="77777777" w:rsidR="00720B63" w:rsidRDefault="00720B63" w:rsidP="00720B63">
                  <w:pPr>
                    <w:autoSpaceDE w:val="0"/>
                    <w:autoSpaceDN w:val="0"/>
                    <w:adjustRightInd w:val="0"/>
                    <w:snapToGrid w:val="0"/>
                    <w:spacing w:after="0" w:line="240" w:lineRule="auto"/>
                    <w:rPr>
                      <w:rFonts w:ascii="Arial" w:eastAsia="Times New Roman" w:hAnsi="Arial" w:cs="Arial"/>
                      <w:b/>
                      <w:color w:val="000000"/>
                      <w:lang w:val="x-none" w:eastAsia="zh-TW"/>
                    </w:rPr>
                  </w:pPr>
                  <w:r>
                    <w:rPr>
                      <w:rFonts w:ascii="Arial" w:eastAsia="Times New Roman" w:hAnsi="Arial" w:cs="Arial"/>
                      <w:b/>
                      <w:color w:val="000000"/>
                      <w:lang w:val="x-none" w:eastAsia="zh-TW"/>
                    </w:rPr>
                    <w:t>Applicant’s performance</w:t>
                  </w:r>
                </w:p>
                <w:p w14:paraId="0D08D429"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2220" w:type="dxa"/>
                </w:tcPr>
                <w:p w14:paraId="58EA4070"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val="x-none" w:eastAsia="zh-TW"/>
                    </w:rPr>
                  </w:pPr>
                  <w:r>
                    <w:rPr>
                      <w:rFonts w:ascii="Arial" w:eastAsia="Times New Roman" w:hAnsi="Arial" w:cs="Arial"/>
                      <w:b/>
                      <w:color w:val="000000"/>
                      <w:lang w:val="x-none" w:eastAsia="zh-TW"/>
                    </w:rPr>
                    <w:t>Assessment criteria and methodology</w:t>
                  </w:r>
                </w:p>
                <w:p w14:paraId="26BFF3D3"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p>
              </w:tc>
              <w:tc>
                <w:tcPr>
                  <w:tcW w:w="885" w:type="dxa"/>
                </w:tcPr>
                <w:p w14:paraId="2CF9B1B5" w14:textId="2DB2A66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b/>
                      <w:color w:val="000000"/>
                      <w:lang w:val="x-none" w:eastAsia="zh-TW"/>
                    </w:rPr>
                    <w:t>Outcome</w:t>
                  </w:r>
                </w:p>
              </w:tc>
            </w:tr>
            <w:tr w:rsidR="00720B63" w14:paraId="08C9262B" w14:textId="77777777" w:rsidTr="28427DF3">
              <w:tc>
                <w:tcPr>
                  <w:cnfStyle w:val="001000000000" w:firstRow="0" w:lastRow="0" w:firstColumn="1" w:lastColumn="0" w:oddVBand="0" w:evenVBand="0" w:oddHBand="0" w:evenHBand="0" w:firstRowFirstColumn="0" w:firstRowLastColumn="0" w:lastRowFirstColumn="0" w:lastRowLastColumn="0"/>
                  <w:tcW w:w="3135" w:type="dxa"/>
                </w:tcPr>
                <w:p w14:paraId="1AB1D0ED" w14:textId="5B3D7043"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b/>
                      <w:color w:val="000000"/>
                      <w:lang w:val="x-none" w:eastAsia="zh-TW"/>
                    </w:rPr>
                    <w:t>Applicant pays all supply chain invoices within agreed terms.</w:t>
                  </w:r>
                </w:p>
              </w:tc>
              <w:tc>
                <w:tcPr>
                  <w:tcW w:w="2220" w:type="dxa"/>
                </w:tcPr>
                <w:p w14:paraId="32A8C3C1" w14:textId="77A6212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meets the required standard</w:t>
                  </w:r>
                </w:p>
              </w:tc>
              <w:tc>
                <w:tcPr>
                  <w:tcW w:w="885" w:type="dxa"/>
                </w:tcPr>
                <w:p w14:paraId="0F6AA1AD" w14:textId="62F11DA8"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6154EA00" w14:textId="77777777" w:rsidTr="28427DF3">
              <w:tc>
                <w:tcPr>
                  <w:cnfStyle w:val="001000000000" w:firstRow="0" w:lastRow="0" w:firstColumn="1" w:lastColumn="0" w:oddVBand="0" w:evenVBand="0" w:oddHBand="0" w:evenHBand="0" w:firstRowFirstColumn="0" w:firstRowLastColumn="0" w:lastRowFirstColumn="0" w:lastRowLastColumn="0"/>
                  <w:tcW w:w="3135" w:type="dxa"/>
                </w:tcPr>
                <w:p w14:paraId="1FA869FD" w14:textId="59573C23" w:rsidR="00720B63" w:rsidRDefault="00720B63" w:rsidP="00720B63">
                  <w:pPr>
                    <w:autoSpaceDE w:val="0"/>
                    <w:autoSpaceDN w:val="0"/>
                    <w:adjustRightInd w:val="0"/>
                    <w:snapToGrid w:val="0"/>
                    <w:spacing w:after="0" w:line="240" w:lineRule="auto"/>
                    <w:rPr>
                      <w:rFonts w:ascii="Arial" w:eastAsia="Times New Roman" w:hAnsi="Arial" w:cs="Arial"/>
                      <w:b/>
                      <w:color w:val="000000"/>
                      <w:lang w:val="x-none" w:eastAsia="zh-TW"/>
                    </w:rPr>
                  </w:pPr>
                  <w:r>
                    <w:rPr>
                      <w:rFonts w:ascii="Arial" w:eastAsia="Times New Roman" w:hAnsi="Arial" w:cs="Arial"/>
                      <w:b/>
                      <w:color w:val="000000"/>
                      <w:lang w:val="x-none" w:eastAsia="zh-TW"/>
                    </w:rPr>
                    <w:t>Applicant does not pay all supply chain invoices within agreed terms, but provides an explanation which demonstrates that effective and appropriate supply</w:t>
                  </w:r>
                  <w:r>
                    <w:rPr>
                      <w:rFonts w:ascii="Arial" w:eastAsia="Times New Roman" w:hAnsi="Arial" w:cs="Arial"/>
                      <w:b/>
                      <w:color w:val="000000"/>
                      <w:lang w:eastAsia="zh-TW"/>
                    </w:rPr>
                    <w:t xml:space="preserve"> </w:t>
                  </w:r>
                  <w:r>
                    <w:rPr>
                      <w:rFonts w:ascii="Arial" w:eastAsia="Times New Roman" w:hAnsi="Arial" w:cs="Arial"/>
                      <w:b/>
                      <w:color w:val="000000"/>
                      <w:lang w:val="x-none" w:eastAsia="zh-TW"/>
                    </w:rPr>
                    <w:t xml:space="preserve">chain practices are in place. </w:t>
                  </w:r>
                  <w:r w:rsidR="00F17F6E">
                    <w:rPr>
                      <w:rFonts w:ascii="Arial" w:eastAsia="Times New Roman" w:hAnsi="Arial" w:cs="Arial"/>
                      <w:b/>
                      <w:color w:val="000000"/>
                      <w:lang w:eastAsia="zh-TW"/>
                    </w:rPr>
                    <w:t>The Applicant will have e</w:t>
                  </w:r>
                  <w:proofErr w:type="spellStart"/>
                  <w:r>
                    <w:rPr>
                      <w:rFonts w:ascii="Arial" w:eastAsia="Times New Roman" w:hAnsi="Arial" w:cs="Arial"/>
                      <w:b/>
                      <w:color w:val="000000"/>
                      <w:lang w:val="x-none" w:eastAsia="zh-TW"/>
                    </w:rPr>
                    <w:t>ffective</w:t>
                  </w:r>
                  <w:proofErr w:type="spellEnd"/>
                  <w:r>
                    <w:rPr>
                      <w:rFonts w:ascii="Arial" w:eastAsia="Times New Roman" w:hAnsi="Arial" w:cs="Arial"/>
                      <w:b/>
                      <w:color w:val="000000"/>
                      <w:lang w:val="x-none" w:eastAsia="zh-TW"/>
                    </w:rPr>
                    <w:t xml:space="preserve"> supply chain practices </w:t>
                  </w:r>
                  <w:r w:rsidR="00F17F6E">
                    <w:rPr>
                      <w:rFonts w:ascii="Arial" w:eastAsia="Times New Roman" w:hAnsi="Arial" w:cs="Arial"/>
                      <w:b/>
                      <w:color w:val="000000"/>
                      <w:lang w:eastAsia="zh-TW"/>
                    </w:rPr>
                    <w:t>if it has</w:t>
                  </w:r>
                  <w:r>
                    <w:rPr>
                      <w:rFonts w:ascii="Arial" w:eastAsia="Times New Roman" w:hAnsi="Arial" w:cs="Arial"/>
                      <w:b/>
                      <w:color w:val="000000"/>
                      <w:lang w:val="x-none" w:eastAsia="zh-TW"/>
                    </w:rPr>
                    <w:t xml:space="preserve"> the ability to implement and monitor payment terms</w:t>
                  </w:r>
                  <w:r w:rsidR="00F17F6E">
                    <w:rPr>
                      <w:rFonts w:ascii="Arial" w:eastAsia="Times New Roman" w:hAnsi="Arial" w:cs="Arial"/>
                      <w:b/>
                      <w:color w:val="000000"/>
                      <w:lang w:eastAsia="zh-TW"/>
                    </w:rPr>
                    <w:t xml:space="preserve"> proactively</w:t>
                  </w:r>
                  <w:r>
                    <w:rPr>
                      <w:rFonts w:ascii="Arial" w:eastAsia="Times New Roman" w:hAnsi="Arial" w:cs="Arial"/>
                      <w:b/>
                      <w:color w:val="000000"/>
                      <w:lang w:val="x-none" w:eastAsia="zh-TW"/>
                    </w:rPr>
                    <w:t>.</w:t>
                  </w:r>
                </w:p>
                <w:p w14:paraId="27C9FB91" w14:textId="1AF6C77C" w:rsidR="00720B63" w:rsidRPr="00C154B2"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2220" w:type="dxa"/>
                </w:tcPr>
                <w:p w14:paraId="0AC4A925" w14:textId="5E8BBBDA"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meets the required standard</w:t>
                  </w:r>
                </w:p>
              </w:tc>
              <w:tc>
                <w:tcPr>
                  <w:tcW w:w="885" w:type="dxa"/>
                </w:tcPr>
                <w:p w14:paraId="35999E26" w14:textId="31B274A3"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1EF129C5" w14:textId="77777777" w:rsidTr="28427DF3">
              <w:tc>
                <w:tcPr>
                  <w:cnfStyle w:val="001000000000" w:firstRow="0" w:lastRow="0" w:firstColumn="1" w:lastColumn="0" w:oddVBand="0" w:evenVBand="0" w:oddHBand="0" w:evenHBand="0" w:firstRowFirstColumn="0" w:firstRowLastColumn="0" w:lastRowFirstColumn="0" w:lastRowLastColumn="0"/>
                  <w:tcW w:w="3135" w:type="dxa"/>
                </w:tcPr>
                <w:p w14:paraId="11A1E5CF" w14:textId="353C6E84" w:rsidR="00720B63" w:rsidRPr="00AA2AA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b/>
                      <w:color w:val="000000"/>
                      <w:lang w:val="x-none" w:eastAsia="zh-TW"/>
                    </w:rPr>
                    <w:t>Applicant does not pay all supply chain invoices within agreed terms and does not provide an explanation why</w:t>
                  </w:r>
                  <w:r w:rsidR="00AA2AA3">
                    <w:rPr>
                      <w:rFonts w:ascii="Arial" w:eastAsia="Times New Roman" w:hAnsi="Arial" w:cs="Arial"/>
                      <w:b/>
                      <w:color w:val="000000"/>
                      <w:lang w:eastAsia="zh-TW"/>
                    </w:rPr>
                    <w:t xml:space="preserve"> this is the case</w:t>
                  </w:r>
                </w:p>
              </w:tc>
              <w:tc>
                <w:tcPr>
                  <w:tcW w:w="2220" w:type="dxa"/>
                </w:tcPr>
                <w:p w14:paraId="0AF9E795" w14:textId="27A5AD88"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does not meet the required standard</w:t>
                  </w:r>
                </w:p>
              </w:tc>
              <w:tc>
                <w:tcPr>
                  <w:tcW w:w="885" w:type="dxa"/>
                </w:tcPr>
                <w:p w14:paraId="3035E724" w14:textId="6BC77010" w:rsidR="00720B63" w:rsidRPr="00C154B2"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eastAsia="zh-TW"/>
                    </w:rPr>
                    <w:t>Fail</w:t>
                  </w:r>
                </w:p>
              </w:tc>
            </w:tr>
          </w:tbl>
          <w:p w14:paraId="609DC172" w14:textId="58486E6D" w:rsidR="00720B63" w:rsidRPr="00C154B2"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r>
      <w:tr w:rsidR="00720B63" w:rsidRPr="00585A3E" w14:paraId="6D2D4CE6" w14:textId="77777777" w:rsidTr="3D83606E">
        <w:trPr>
          <w:trHeight w:val="1305"/>
        </w:trPr>
        <w:tc>
          <w:tcPr>
            <w:tcW w:w="1270" w:type="dxa"/>
            <w:tcBorders>
              <w:left w:val="single" w:sz="4" w:space="0" w:color="auto"/>
              <w:right w:val="single" w:sz="4" w:space="0" w:color="auto"/>
            </w:tcBorders>
          </w:tcPr>
          <w:p w14:paraId="661CE59E" w14:textId="77777777" w:rsidR="00720B63" w:rsidRDefault="00720B63" w:rsidP="00720B63">
            <w:pPr>
              <w:spacing w:before="100" w:after="100"/>
              <w:ind w:left="57"/>
              <w:rPr>
                <w:rFonts w:eastAsia="Times New Roman" w:cstheme="minorHAnsi"/>
                <w:szCs w:val="20"/>
                <w:lang w:eastAsia="en-GB"/>
              </w:rPr>
            </w:pPr>
          </w:p>
        </w:tc>
        <w:tc>
          <w:tcPr>
            <w:tcW w:w="1530" w:type="dxa"/>
            <w:tcBorders>
              <w:left w:val="single" w:sz="4" w:space="0" w:color="auto"/>
              <w:right w:val="single" w:sz="4" w:space="0" w:color="auto"/>
            </w:tcBorders>
          </w:tcPr>
          <w:p w14:paraId="7DA1CD70" w14:textId="20AB818A" w:rsidR="00720B63" w:rsidRDefault="00720B63" w:rsidP="00720B63">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32(d)</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52F5591C" w14:textId="326E955F"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 xml:space="preserve">With respect to question </w:t>
            </w:r>
            <w:r>
              <w:rPr>
                <w:rFonts w:ascii="Arial" w:eastAsia="Times New Roman" w:hAnsi="Arial" w:cs="Arial"/>
                <w:color w:val="000000"/>
                <w:lang w:eastAsia="zh-TW"/>
              </w:rPr>
              <w:t>32(d)</w:t>
            </w:r>
            <w:r>
              <w:rPr>
                <w:rFonts w:ascii="Arial" w:eastAsia="Times New Roman" w:hAnsi="Arial" w:cs="Arial"/>
                <w:color w:val="000000"/>
                <w:lang w:val="x-none" w:eastAsia="zh-TW"/>
              </w:rPr>
              <w:t>, if the Applicant has not met the required standard of payment of 95% of all invoices in 60 days in at least one reporting period, the Applicant will still pass provided:</w:t>
            </w:r>
          </w:p>
          <w:p w14:paraId="296867C2" w14:textId="02AAF4AB"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 After the Applicant has removed intercompany payments from the calculations, it pa</w:t>
            </w:r>
            <w:r w:rsidR="00AA2AA3">
              <w:rPr>
                <w:rFonts w:ascii="Arial" w:eastAsia="Times New Roman" w:hAnsi="Arial" w:cs="Arial"/>
                <w:color w:val="000000"/>
                <w:lang w:eastAsia="zh-TW"/>
              </w:rPr>
              <w:t>id</w:t>
            </w:r>
            <w:r>
              <w:rPr>
                <w:rFonts w:ascii="Arial" w:eastAsia="Times New Roman" w:hAnsi="Arial" w:cs="Arial"/>
                <w:color w:val="000000"/>
                <w:lang w:val="x-none" w:eastAsia="zh-TW"/>
              </w:rPr>
              <w:t xml:space="preserve"> 95% of all invoices within 60 days in at least one of the previous two reporting periods.</w:t>
            </w:r>
          </w:p>
          <w:p w14:paraId="1F23FCE4" w14:textId="27D401E0"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 xml:space="preserve">(b) The Applicant has paid between 90% and 95% of all its invoices within 60 days in at least one of the previous two reporting periods (after removing </w:t>
            </w:r>
            <w:r>
              <w:rPr>
                <w:rFonts w:ascii="Arial" w:eastAsia="Times New Roman" w:hAnsi="Arial" w:cs="Arial"/>
                <w:color w:val="000000"/>
                <w:lang w:eastAsia="zh-TW"/>
              </w:rPr>
              <w:t>i</w:t>
            </w:r>
            <w:proofErr w:type="spellStart"/>
            <w:r>
              <w:rPr>
                <w:rFonts w:ascii="Arial" w:eastAsia="Times New Roman" w:hAnsi="Arial" w:cs="Arial"/>
                <w:color w:val="000000"/>
                <w:lang w:val="x-none" w:eastAsia="zh-TW"/>
              </w:rPr>
              <w:t>ntercompany</w:t>
            </w:r>
            <w:proofErr w:type="spellEnd"/>
            <w:r>
              <w:rPr>
                <w:rFonts w:ascii="Arial" w:eastAsia="Times New Roman" w:hAnsi="Arial" w:cs="Arial"/>
                <w:color w:val="000000"/>
                <w:lang w:val="x-none" w:eastAsia="zh-TW"/>
              </w:rPr>
              <w:t xml:space="preserve"> payments if relevant) and it demonstrates that it has a compliant action plan to achieve the required standard in future.</w:t>
            </w:r>
          </w:p>
          <w:p w14:paraId="6B885731" w14:textId="7D292730" w:rsidR="00720B63" w:rsidRPr="00AA2AA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 xml:space="preserve">(c) The Applicant is a new entrant to the market (trading for less than 12 months). In these circumstances Applicants should not be disadvantaged and should therefore pass question </w:t>
            </w:r>
            <w:r>
              <w:rPr>
                <w:rFonts w:ascii="Arial" w:eastAsia="Times New Roman" w:hAnsi="Arial" w:cs="Arial"/>
                <w:color w:val="000000"/>
                <w:lang w:eastAsia="zh-TW"/>
              </w:rPr>
              <w:t>32</w:t>
            </w:r>
            <w:r>
              <w:rPr>
                <w:rFonts w:ascii="Arial" w:eastAsia="Times New Roman" w:hAnsi="Arial" w:cs="Arial"/>
                <w:color w:val="000000"/>
                <w:lang w:val="x-none" w:eastAsia="zh-TW"/>
              </w:rPr>
              <w:t xml:space="preserve">. The Applicant is still expected to respond to questions </w:t>
            </w:r>
            <w:r>
              <w:rPr>
                <w:rFonts w:ascii="Arial" w:eastAsia="Times New Roman" w:hAnsi="Arial" w:cs="Arial"/>
                <w:color w:val="000000"/>
                <w:lang w:eastAsia="zh-TW"/>
              </w:rPr>
              <w:t xml:space="preserve">30 and 31 </w:t>
            </w:r>
            <w:r>
              <w:rPr>
                <w:rFonts w:ascii="Arial" w:eastAsia="Times New Roman" w:hAnsi="Arial" w:cs="Arial"/>
                <w:color w:val="000000"/>
                <w:lang w:val="x-none" w:eastAsia="zh-TW"/>
              </w:rPr>
              <w:t>and pass</w:t>
            </w:r>
            <w:r w:rsidR="00AA2AA3">
              <w:rPr>
                <w:rFonts w:ascii="Arial" w:eastAsia="Times New Roman" w:hAnsi="Arial" w:cs="Arial"/>
                <w:color w:val="000000"/>
                <w:lang w:eastAsia="zh-TW"/>
              </w:rPr>
              <w:t>.</w:t>
            </w:r>
          </w:p>
          <w:p w14:paraId="74350A52"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p w14:paraId="7D7193F2"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 xml:space="preserve">The evaluation methodology to be applied when assessing question </w:t>
            </w:r>
            <w:r>
              <w:rPr>
                <w:rFonts w:ascii="Arial" w:eastAsia="Times New Roman" w:hAnsi="Arial" w:cs="Arial"/>
                <w:color w:val="000000"/>
                <w:lang w:eastAsia="zh-TW"/>
              </w:rPr>
              <w:t xml:space="preserve">32(d) </w:t>
            </w:r>
            <w:r>
              <w:rPr>
                <w:rFonts w:ascii="Arial" w:eastAsia="Times New Roman" w:hAnsi="Arial" w:cs="Arial"/>
                <w:color w:val="000000"/>
                <w:lang w:val="x-none" w:eastAsia="zh-TW"/>
              </w:rPr>
              <w:t>is set out below.</w:t>
            </w:r>
          </w:p>
          <w:p w14:paraId="737825E7"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bl>
            <w:tblPr>
              <w:tblStyle w:val="AshurstPlainGrid"/>
              <w:tblW w:w="6304" w:type="dxa"/>
              <w:tblLook w:val="04A0" w:firstRow="1" w:lastRow="0" w:firstColumn="1" w:lastColumn="0" w:noHBand="0" w:noVBand="1"/>
            </w:tblPr>
            <w:tblGrid>
              <w:gridCol w:w="1417"/>
              <w:gridCol w:w="1230"/>
              <w:gridCol w:w="2375"/>
              <w:gridCol w:w="1282"/>
            </w:tblGrid>
            <w:tr w:rsidR="00720B63" w14:paraId="29A32FE6" w14:textId="77777777" w:rsidTr="11BDC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7" w:type="dxa"/>
                  <w:gridSpan w:val="2"/>
                </w:tcPr>
                <w:p w14:paraId="54807891" w14:textId="77777777" w:rsidR="00720B63" w:rsidRDefault="00720B63" w:rsidP="00720B63">
                  <w:pPr>
                    <w:autoSpaceDE w:val="0"/>
                    <w:autoSpaceDN w:val="0"/>
                    <w:adjustRightInd w:val="0"/>
                    <w:snapToGrid w:val="0"/>
                    <w:spacing w:after="0" w:line="240" w:lineRule="auto"/>
                    <w:rPr>
                      <w:rFonts w:ascii="Arial" w:eastAsia="Times New Roman" w:hAnsi="Arial" w:cs="Arial"/>
                      <w:b/>
                      <w:color w:val="000000"/>
                      <w:lang w:val="x-none" w:eastAsia="zh-TW"/>
                    </w:rPr>
                  </w:pPr>
                  <w:r>
                    <w:rPr>
                      <w:rFonts w:ascii="Arial" w:eastAsia="Times New Roman" w:hAnsi="Arial" w:cs="Arial"/>
                      <w:b/>
                      <w:color w:val="000000"/>
                      <w:lang w:val="x-none" w:eastAsia="zh-TW"/>
                    </w:rPr>
                    <w:t>Applicant’s performance</w:t>
                  </w:r>
                </w:p>
                <w:p w14:paraId="5F9E271E"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2375" w:type="dxa"/>
                </w:tcPr>
                <w:p w14:paraId="514F9EF0"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val="x-none" w:eastAsia="zh-TW"/>
                    </w:rPr>
                  </w:pPr>
                  <w:r>
                    <w:rPr>
                      <w:rFonts w:ascii="Arial" w:eastAsia="Times New Roman" w:hAnsi="Arial" w:cs="Arial"/>
                      <w:b/>
                      <w:color w:val="000000"/>
                      <w:lang w:val="x-none" w:eastAsia="zh-TW"/>
                    </w:rPr>
                    <w:t>Assessment criteria and methodology</w:t>
                  </w:r>
                </w:p>
                <w:p w14:paraId="76912C62"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p>
              </w:tc>
              <w:tc>
                <w:tcPr>
                  <w:tcW w:w="1282" w:type="dxa"/>
                </w:tcPr>
                <w:p w14:paraId="3A60AB94"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b/>
                      <w:color w:val="000000"/>
                      <w:lang w:val="x-none" w:eastAsia="zh-TW"/>
                    </w:rPr>
                    <w:t>Outcome</w:t>
                  </w:r>
                </w:p>
              </w:tc>
            </w:tr>
            <w:tr w:rsidR="00720B63" w14:paraId="21DA61DE" w14:textId="77777777" w:rsidTr="11BDC08A">
              <w:tc>
                <w:tcPr>
                  <w:cnfStyle w:val="001000000000" w:firstRow="0" w:lastRow="0" w:firstColumn="1" w:lastColumn="0" w:oddVBand="0" w:evenVBand="0" w:oddHBand="0" w:evenHBand="0" w:firstRowFirstColumn="0" w:firstRowLastColumn="0" w:lastRowFirstColumn="0" w:lastRowLastColumn="0"/>
                  <w:tcW w:w="2647" w:type="dxa"/>
                  <w:gridSpan w:val="2"/>
                </w:tcPr>
                <w:p w14:paraId="747149F1" w14:textId="0D43F13D"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The Applicant is a new entrant to the market.</w:t>
                  </w:r>
                </w:p>
              </w:tc>
              <w:tc>
                <w:tcPr>
                  <w:tcW w:w="2375" w:type="dxa"/>
                </w:tcPr>
                <w:p w14:paraId="392E9604" w14:textId="73E57686"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is not required to provide evidence and is only required to identify themselves as a new entrant.</w:t>
                  </w:r>
                </w:p>
              </w:tc>
              <w:tc>
                <w:tcPr>
                  <w:tcW w:w="1282" w:type="dxa"/>
                </w:tcPr>
                <w:p w14:paraId="4B3DEDD8"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5B290F40" w14:textId="77777777" w:rsidTr="11BDC08A">
              <w:tc>
                <w:tcPr>
                  <w:cnfStyle w:val="001000000000" w:firstRow="0" w:lastRow="0" w:firstColumn="1" w:lastColumn="0" w:oddVBand="0" w:evenVBand="0" w:oddHBand="0" w:evenHBand="0" w:firstRowFirstColumn="0" w:firstRowLastColumn="0" w:lastRowFirstColumn="0" w:lastRowLastColumn="0"/>
                  <w:tcW w:w="2647" w:type="dxa"/>
                  <w:gridSpan w:val="2"/>
                </w:tcPr>
                <w:p w14:paraId="000020BE" w14:textId="7378F173" w:rsidR="00720B63" w:rsidRPr="00C154B2"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Applicant pa</w:t>
                  </w:r>
                  <w:r w:rsidR="00AA2AA3">
                    <w:rPr>
                      <w:rFonts w:ascii="Arial" w:eastAsia="Times New Roman" w:hAnsi="Arial" w:cs="Arial"/>
                      <w:color w:val="000000"/>
                      <w:lang w:eastAsia="zh-TW"/>
                    </w:rPr>
                    <w:t>id</w:t>
                  </w:r>
                  <w:r>
                    <w:rPr>
                      <w:rFonts w:ascii="Arial" w:eastAsia="Times New Roman" w:hAnsi="Arial" w:cs="Arial"/>
                      <w:color w:val="000000"/>
                      <w:lang w:val="x-none" w:eastAsia="zh-TW"/>
                    </w:rPr>
                    <w:t xml:space="preserve"> ≥95% of all supply chain invoices in 60 days in at least one of the previous two six month reporting periods.</w:t>
                  </w:r>
                </w:p>
              </w:tc>
              <w:tc>
                <w:tcPr>
                  <w:tcW w:w="2375" w:type="dxa"/>
                </w:tcPr>
                <w:p w14:paraId="1FF4C6F5"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meets the required standard</w:t>
                  </w:r>
                </w:p>
              </w:tc>
              <w:tc>
                <w:tcPr>
                  <w:tcW w:w="1282" w:type="dxa"/>
                </w:tcPr>
                <w:p w14:paraId="0C8165BF"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1EFE4137" w14:textId="77777777" w:rsidTr="11BDC08A">
              <w:tc>
                <w:tcPr>
                  <w:cnfStyle w:val="001000000000" w:firstRow="0" w:lastRow="0" w:firstColumn="1" w:lastColumn="0" w:oddVBand="0" w:evenVBand="0" w:oddHBand="0" w:evenHBand="0" w:firstRowFirstColumn="0" w:firstRowLastColumn="0" w:lastRowFirstColumn="0" w:lastRowLastColumn="0"/>
                  <w:tcW w:w="2647" w:type="dxa"/>
                  <w:gridSpan w:val="2"/>
                </w:tcPr>
                <w:p w14:paraId="621A1B2F" w14:textId="3334794F"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Applicant pays ≥95% of all supply chain invoices in 60 days in at least one of the two</w:t>
                  </w:r>
                  <w:r>
                    <w:rPr>
                      <w:rFonts w:ascii="Arial" w:eastAsia="Times New Roman" w:hAnsi="Arial" w:cs="Arial"/>
                      <w:color w:val="000000"/>
                      <w:lang w:eastAsia="zh-TW"/>
                    </w:rPr>
                    <w:t xml:space="preserve"> </w:t>
                  </w:r>
                  <w:r>
                    <w:rPr>
                      <w:rFonts w:ascii="Arial" w:eastAsia="Times New Roman" w:hAnsi="Arial" w:cs="Arial"/>
                      <w:color w:val="000000"/>
                      <w:lang w:val="x-none" w:eastAsia="zh-TW"/>
                    </w:rPr>
                    <w:t>previous six month reporting periods after removing intercompany payments.</w:t>
                  </w:r>
                </w:p>
                <w:p w14:paraId="513AF34C" w14:textId="1E91D63C"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2375" w:type="dxa"/>
                </w:tcPr>
                <w:p w14:paraId="5D949DC6" w14:textId="65FA63B1"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meets the required standard</w:t>
                  </w:r>
                </w:p>
              </w:tc>
              <w:tc>
                <w:tcPr>
                  <w:tcW w:w="1282" w:type="dxa"/>
                </w:tcPr>
                <w:p w14:paraId="297595BD" w14:textId="1C5CDA16" w:rsidR="00720B63" w:rsidRPr="00C154B2"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val="x-none" w:eastAsia="zh-TW"/>
                    </w:rPr>
                    <w:t>Pass</w:t>
                  </w:r>
                </w:p>
              </w:tc>
            </w:tr>
            <w:tr w:rsidR="00720B63" w14:paraId="6EC2DE1E" w14:textId="77777777" w:rsidTr="11BDC08A">
              <w:trPr>
                <w:trHeight w:val="7576"/>
              </w:trPr>
              <w:tc>
                <w:tcPr>
                  <w:cnfStyle w:val="001000000000" w:firstRow="0" w:lastRow="0" w:firstColumn="1" w:lastColumn="0" w:oddVBand="0" w:evenVBand="0" w:oddHBand="0" w:evenHBand="0" w:firstRowFirstColumn="0" w:firstRowLastColumn="0" w:lastRowFirstColumn="0" w:lastRowLastColumn="0"/>
                  <w:tcW w:w="2647" w:type="dxa"/>
                  <w:gridSpan w:val="2"/>
                  <w:vMerge w:val="restart"/>
                </w:tcPr>
                <w:p w14:paraId="08AFEE7E" w14:textId="5A9D40E5" w:rsidR="00720B63" w:rsidRPr="00352547"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Applicant pays ≥90% &lt; 95% of all supply chain invoices in 60 days in at least one of the two previous six month reporting periods after removing intercompany payments (if relevant).</w:t>
                  </w:r>
                </w:p>
              </w:tc>
              <w:tc>
                <w:tcPr>
                  <w:tcW w:w="2375" w:type="dxa"/>
                </w:tcPr>
                <w:p w14:paraId="2FB2BF0F"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demonstrates action plan that includes (as a minimum) the following:</w:t>
                  </w:r>
                </w:p>
                <w:p w14:paraId="77585C24"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1. Identification of the primary causes of failure to pay:</w:t>
                  </w:r>
                </w:p>
                <w:p w14:paraId="13D3CC0A"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 95% of all supply chain invoices within 60 days; and</w:t>
                  </w:r>
                </w:p>
                <w:p w14:paraId="3F4751F5"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(b) (if relevant) all supply chain invoices within agreed terms.</w:t>
                  </w:r>
                </w:p>
                <w:p w14:paraId="321241F7" w14:textId="77777777" w:rsidR="00BE4A36"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 xml:space="preserve">2. Actions to address each of these causes. </w:t>
                  </w:r>
                </w:p>
                <w:p w14:paraId="5F6095E5" w14:textId="1CE2563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3. Regular reporting on progress to the Applicant’s audit</w:t>
                  </w:r>
                  <w:r>
                    <w:rPr>
                      <w:rFonts w:ascii="Arial" w:eastAsia="Times New Roman" w:hAnsi="Arial" w:cs="Arial"/>
                      <w:color w:val="000000"/>
                      <w:lang w:eastAsia="zh-TW"/>
                    </w:rPr>
                    <w:t xml:space="preserve"> </w:t>
                  </w:r>
                  <w:r>
                    <w:rPr>
                      <w:rFonts w:ascii="Arial" w:eastAsia="Times New Roman" w:hAnsi="Arial" w:cs="Arial"/>
                      <w:color w:val="000000"/>
                      <w:lang w:val="x-none" w:eastAsia="zh-TW"/>
                    </w:rPr>
                    <w:t>committee (or equivalent).</w:t>
                  </w:r>
                </w:p>
                <w:p w14:paraId="17636B47"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4. Plan signed off by a director.</w:t>
                  </w:r>
                </w:p>
                <w:p w14:paraId="40EFC1CF" w14:textId="7266FAEE" w:rsidR="00720B63" w:rsidRPr="00352547"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5. Plan published on its website. (This can be a shorter, summ</w:t>
                  </w:r>
                  <w:r>
                    <w:rPr>
                      <w:rFonts w:ascii="Arial" w:eastAsia="Times New Roman" w:hAnsi="Arial" w:cs="Arial"/>
                      <w:color w:val="000000"/>
                      <w:lang w:eastAsia="zh-TW"/>
                    </w:rPr>
                    <w:t>ary plan)</w:t>
                  </w:r>
                </w:p>
              </w:tc>
              <w:tc>
                <w:tcPr>
                  <w:tcW w:w="1282" w:type="dxa"/>
                </w:tcPr>
                <w:p w14:paraId="605D1A32" w14:textId="294593A5" w:rsidR="00720B63" w:rsidRPr="00C154B2"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eastAsia="zh-TW"/>
                    </w:rPr>
                    <w:t>Pass</w:t>
                  </w:r>
                </w:p>
              </w:tc>
            </w:tr>
            <w:tr w:rsidR="00720B63" w14:paraId="4845B6E8" w14:textId="77777777" w:rsidTr="11BDC08A">
              <w:trPr>
                <w:trHeight w:val="7575"/>
              </w:trPr>
              <w:tc>
                <w:tcPr>
                  <w:cnfStyle w:val="001000000000" w:firstRow="0" w:lastRow="0" w:firstColumn="1" w:lastColumn="0" w:oddVBand="0" w:evenVBand="0" w:oddHBand="0" w:evenHBand="0" w:firstRowFirstColumn="0" w:firstRowLastColumn="0" w:lastRowFirstColumn="0" w:lastRowLastColumn="0"/>
                  <w:tcW w:w="2647" w:type="dxa"/>
                  <w:gridSpan w:val="2"/>
                  <w:vMerge/>
                </w:tcPr>
                <w:p w14:paraId="7EF3670C"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2375" w:type="dxa"/>
                </w:tcPr>
                <w:p w14:paraId="5AC529B3" w14:textId="7C4DE108"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No action plan or action plan does not include all of the above features.</w:t>
                  </w:r>
                </w:p>
              </w:tc>
              <w:tc>
                <w:tcPr>
                  <w:tcW w:w="1282" w:type="dxa"/>
                </w:tcPr>
                <w:p w14:paraId="58DD990F" w14:textId="052F9965"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eastAsia="zh-TW"/>
                    </w:rPr>
                    <w:t>Fail</w:t>
                  </w:r>
                </w:p>
              </w:tc>
            </w:tr>
            <w:tr w:rsidR="00720B63" w14:paraId="3EFD94A4" w14:textId="77777777" w:rsidTr="11BDC08A">
              <w:trPr>
                <w:trHeight w:val="3390"/>
              </w:trPr>
              <w:tc>
                <w:tcPr>
                  <w:cnfStyle w:val="001000000000" w:firstRow="0" w:lastRow="0" w:firstColumn="1" w:lastColumn="0" w:oddVBand="0" w:evenVBand="0" w:oddHBand="0" w:evenHBand="0" w:firstRowFirstColumn="0" w:firstRowLastColumn="0" w:lastRowFirstColumn="0" w:lastRowLastColumn="0"/>
                  <w:tcW w:w="1417" w:type="dxa"/>
                </w:tcPr>
                <w:p w14:paraId="7455EFF6" w14:textId="6CBF456C"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Applicant does not pay ≥90% of all supply chain invoices in 60 days in at least one of the two previous six month reporting periods after removing intercompany payments (if relevant)</w:t>
                  </w:r>
                </w:p>
              </w:tc>
              <w:tc>
                <w:tcPr>
                  <w:tcW w:w="3605" w:type="dxa"/>
                  <w:gridSpan w:val="2"/>
                </w:tcPr>
                <w:p w14:paraId="4CA5CE95"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Applicant’s payment performance falls substantially below the required standard.</w:t>
                  </w:r>
                </w:p>
                <w:p w14:paraId="723BD253" w14:textId="1B179FB0"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p>
              </w:tc>
              <w:tc>
                <w:tcPr>
                  <w:tcW w:w="1282" w:type="dxa"/>
                </w:tcPr>
                <w:p w14:paraId="7C009FC0" w14:textId="0FAAF90E"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eastAsia="zh-TW"/>
                    </w:rPr>
                    <w:t>Fail</w:t>
                  </w:r>
                </w:p>
              </w:tc>
            </w:tr>
          </w:tbl>
          <w:p w14:paraId="4353493C" w14:textId="792DF14A"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r>
      <w:tr w:rsidR="00720B63" w:rsidRPr="00585A3E" w14:paraId="79F1E227" w14:textId="77777777" w:rsidTr="3D83606E">
        <w:trPr>
          <w:trHeight w:val="1305"/>
        </w:trPr>
        <w:tc>
          <w:tcPr>
            <w:tcW w:w="1270" w:type="dxa"/>
            <w:tcBorders>
              <w:left w:val="single" w:sz="4" w:space="0" w:color="auto"/>
              <w:bottom w:val="outset" w:sz="6" w:space="0" w:color="auto"/>
              <w:right w:val="single" w:sz="4" w:space="0" w:color="auto"/>
            </w:tcBorders>
          </w:tcPr>
          <w:p w14:paraId="223F6329" w14:textId="01D3C4DD" w:rsidR="00720B63" w:rsidRDefault="00DC307A" w:rsidP="00720B63">
            <w:pPr>
              <w:spacing w:before="100" w:after="100"/>
              <w:ind w:left="57"/>
              <w:rPr>
                <w:rFonts w:eastAsia="Times New Roman" w:cstheme="minorHAnsi"/>
                <w:szCs w:val="20"/>
                <w:lang w:eastAsia="en-GB"/>
              </w:rPr>
            </w:pPr>
            <w:r>
              <w:rPr>
                <w:rFonts w:eastAsia="Times New Roman" w:cstheme="minorHAnsi"/>
                <w:szCs w:val="20"/>
                <w:lang w:eastAsia="en-GB"/>
              </w:rPr>
              <w:t>3B</w:t>
            </w:r>
          </w:p>
        </w:tc>
        <w:tc>
          <w:tcPr>
            <w:tcW w:w="1530" w:type="dxa"/>
            <w:tcBorders>
              <w:left w:val="single" w:sz="4" w:space="0" w:color="auto"/>
              <w:bottom w:val="outset" w:sz="6" w:space="0" w:color="auto"/>
              <w:right w:val="single" w:sz="4" w:space="0" w:color="auto"/>
            </w:tcBorders>
          </w:tcPr>
          <w:p w14:paraId="74CBD6DC" w14:textId="6C074FF3" w:rsidR="00720B63" w:rsidRDefault="00720B63" w:rsidP="00720B63">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33</w:t>
            </w:r>
          </w:p>
          <w:p w14:paraId="4AFEB440" w14:textId="77777777" w:rsidR="00720B63" w:rsidRPr="00C63CBC" w:rsidRDefault="00720B63" w:rsidP="00720B63">
            <w:pPr>
              <w:widowControl w:val="0"/>
              <w:spacing w:after="120" w:line="240" w:lineRule="auto"/>
              <w:rPr>
                <w:rFonts w:asciiTheme="minorBidi" w:eastAsia="Helvetica Neue Light" w:hAnsiTheme="minorBidi"/>
                <w:szCs w:val="20"/>
                <w:lang w:eastAsia="en-GB"/>
              </w:rPr>
            </w:pP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798A5341" w14:textId="0EAC6528"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eastAsia="zh-TW"/>
              </w:rPr>
              <w:t xml:space="preserve">Question 33 is </w:t>
            </w:r>
            <w:r>
              <w:rPr>
                <w:rFonts w:ascii="Arial" w:eastAsia="Times New Roman" w:hAnsi="Arial" w:cs="Arial"/>
                <w:color w:val="000000"/>
                <w:lang w:val="x-none" w:eastAsia="zh-TW"/>
              </w:rPr>
              <w:t>marked on a Pass/Fail basis. The evaluation methodology to be applied when assessing question</w:t>
            </w:r>
            <w:r>
              <w:rPr>
                <w:rFonts w:ascii="Arial" w:eastAsia="Times New Roman" w:hAnsi="Arial" w:cs="Arial"/>
                <w:color w:val="000000"/>
                <w:lang w:eastAsia="zh-TW"/>
              </w:rPr>
              <w:t xml:space="preserve"> 33 </w:t>
            </w:r>
            <w:r>
              <w:rPr>
                <w:rFonts w:ascii="Arial" w:eastAsia="Times New Roman" w:hAnsi="Arial" w:cs="Arial"/>
                <w:color w:val="000000"/>
                <w:lang w:val="x-none" w:eastAsia="zh-TW"/>
              </w:rPr>
              <w:t>is set out below.</w:t>
            </w:r>
          </w:p>
          <w:p w14:paraId="2BBCC876"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bl>
            <w:tblPr>
              <w:tblStyle w:val="AshurstPlainGrid"/>
              <w:tblW w:w="6015" w:type="dxa"/>
              <w:tblLook w:val="04A0" w:firstRow="1" w:lastRow="0" w:firstColumn="1" w:lastColumn="0" w:noHBand="0" w:noVBand="1"/>
            </w:tblPr>
            <w:tblGrid>
              <w:gridCol w:w="3030"/>
              <w:gridCol w:w="1890"/>
              <w:gridCol w:w="1095"/>
            </w:tblGrid>
            <w:tr w:rsidR="00720B63" w14:paraId="32B3231C" w14:textId="77777777" w:rsidTr="11BDC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1F3E9334" w14:textId="3684B712" w:rsidR="00720B63" w:rsidRPr="009D74B4" w:rsidRDefault="00720B63" w:rsidP="00720B63">
                  <w:pPr>
                    <w:autoSpaceDE w:val="0"/>
                    <w:autoSpaceDN w:val="0"/>
                    <w:adjustRightInd w:val="0"/>
                    <w:snapToGrid w:val="0"/>
                    <w:spacing w:after="0" w:line="240" w:lineRule="auto"/>
                    <w:rPr>
                      <w:rFonts w:ascii="Arial" w:eastAsia="Times New Roman" w:hAnsi="Arial" w:cs="Arial"/>
                      <w:b/>
                      <w:color w:val="000000"/>
                      <w:lang w:eastAsia="zh-TW"/>
                    </w:rPr>
                  </w:pPr>
                  <w:r>
                    <w:rPr>
                      <w:rFonts w:ascii="Arial" w:eastAsia="Times New Roman" w:hAnsi="Arial" w:cs="Arial"/>
                      <w:b/>
                      <w:color w:val="000000"/>
                      <w:lang w:val="x-none" w:eastAsia="zh-TW"/>
                    </w:rPr>
                    <w:t xml:space="preserve">Applicant’s </w:t>
                  </w:r>
                  <w:r>
                    <w:rPr>
                      <w:rFonts w:ascii="Arial" w:eastAsia="Times New Roman" w:hAnsi="Arial" w:cs="Arial"/>
                      <w:b/>
                      <w:color w:val="000000"/>
                      <w:lang w:eastAsia="zh-TW"/>
                    </w:rPr>
                    <w:t>response</w:t>
                  </w:r>
                </w:p>
                <w:p w14:paraId="3EA20596"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1890" w:type="dxa"/>
                </w:tcPr>
                <w:p w14:paraId="68BD2135" w14:textId="0455DCCB"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color w:val="000000"/>
                      <w:lang w:val="x-none" w:eastAsia="zh-TW"/>
                    </w:rPr>
                  </w:pPr>
                  <w:r>
                    <w:rPr>
                      <w:rFonts w:ascii="Arial" w:eastAsia="Times New Roman" w:hAnsi="Arial" w:cs="Arial"/>
                      <w:b/>
                      <w:color w:val="000000"/>
                      <w:lang w:val="x-none" w:eastAsia="zh-TW"/>
                    </w:rPr>
                    <w:t xml:space="preserve">Assessment criteria </w:t>
                  </w:r>
                </w:p>
                <w:p w14:paraId="3AAFE6AA"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p>
              </w:tc>
              <w:tc>
                <w:tcPr>
                  <w:tcW w:w="1095" w:type="dxa"/>
                </w:tcPr>
                <w:p w14:paraId="0930DDA1" w14:textId="77777777" w:rsidR="00720B63" w:rsidRDefault="00720B63" w:rsidP="00720B63">
                  <w:pPr>
                    <w:autoSpaceDE w:val="0"/>
                    <w:autoSpaceDN w:val="0"/>
                    <w:adjustRightInd w:val="0"/>
                    <w:snapToGrid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b/>
                      <w:color w:val="000000"/>
                      <w:lang w:val="x-none" w:eastAsia="zh-TW"/>
                    </w:rPr>
                    <w:t>Outcome</w:t>
                  </w:r>
                </w:p>
              </w:tc>
            </w:tr>
            <w:tr w:rsidR="00720B63" w14:paraId="771B519B" w14:textId="77777777" w:rsidTr="11BDC08A">
              <w:tc>
                <w:tcPr>
                  <w:cnfStyle w:val="001000000000" w:firstRow="0" w:lastRow="0" w:firstColumn="1" w:lastColumn="0" w:oddVBand="0" w:evenVBand="0" w:oddHBand="0" w:evenHBand="0" w:firstRowFirstColumn="0" w:firstRowLastColumn="0" w:lastRowFirstColumn="0" w:lastRowLastColumn="0"/>
                  <w:tcW w:w="3030" w:type="dxa"/>
                </w:tcPr>
                <w:p w14:paraId="1D56B6CD" w14:textId="70A95B78"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1. C</w:t>
                  </w:r>
                  <w:proofErr w:type="spellStart"/>
                  <w:r>
                    <w:rPr>
                      <w:rFonts w:ascii="Arial" w:eastAsia="Times New Roman" w:hAnsi="Arial" w:cs="Arial"/>
                      <w:color w:val="000000"/>
                      <w:lang w:val="x-none" w:eastAsia="zh-TW"/>
                    </w:rPr>
                    <w:t>arbon</w:t>
                  </w:r>
                  <w:proofErr w:type="spellEnd"/>
                  <w:r>
                    <w:rPr>
                      <w:rFonts w:ascii="Arial" w:eastAsia="Times New Roman" w:hAnsi="Arial" w:cs="Arial"/>
                      <w:color w:val="000000"/>
                      <w:lang w:val="x-none" w:eastAsia="zh-TW"/>
                    </w:rPr>
                    <w:t xml:space="preserve"> Reduction Plan ("CRP") submitted which: confirms the Applicant’s commitment to achieving Net Zero by 2050, contains emissions reported for all required Scopes (in accordance with the required methodology), indicates the environmental management measures that the Applicant will be able to apply when performing the contract. The reporting period falls no more than 12 months prior to the date of commencement of the procurement.</w:t>
                  </w:r>
                  <w:r>
                    <w:rPr>
                      <w:rFonts w:ascii="Arial" w:eastAsia="Times New Roman" w:hAnsi="Arial" w:cs="Arial"/>
                      <w:color w:val="000000"/>
                      <w:lang w:eastAsia="zh-TW"/>
                    </w:rPr>
                    <w:t xml:space="preserve"> </w:t>
                  </w:r>
                  <w:r>
                    <w:rPr>
                      <w:rFonts w:ascii="Arial" w:eastAsia="Times New Roman" w:hAnsi="Arial" w:cs="Arial"/>
                      <w:color w:val="000000"/>
                      <w:lang w:val="x-none" w:eastAsia="zh-TW"/>
                    </w:rPr>
                    <w:t>Where the CRP applies to the Applicant and its parent, please see requirements detailed in box 2 below</w:t>
                  </w:r>
                </w:p>
              </w:tc>
              <w:tc>
                <w:tcPr>
                  <w:tcW w:w="1890" w:type="dxa"/>
                </w:tcPr>
                <w:p w14:paraId="22AF90D8" w14:textId="6DC667D0" w:rsidR="00720B63" w:rsidRPr="009D74B4"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val="x-none" w:eastAsia="zh-TW"/>
                    </w:rPr>
                    <w:t>Applicant has met the requirement</w:t>
                  </w:r>
                  <w:r>
                    <w:rPr>
                      <w:rFonts w:ascii="Arial" w:eastAsia="Times New Roman" w:hAnsi="Arial" w:cs="Arial"/>
                      <w:color w:val="000000"/>
                      <w:lang w:eastAsia="zh-TW"/>
                    </w:rPr>
                    <w:t>s</w:t>
                  </w:r>
                </w:p>
              </w:tc>
              <w:tc>
                <w:tcPr>
                  <w:tcW w:w="1095" w:type="dxa"/>
                </w:tcPr>
                <w:p w14:paraId="4454750D"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2A53EA07" w14:textId="77777777" w:rsidTr="11BDC08A">
              <w:tc>
                <w:tcPr>
                  <w:cnfStyle w:val="001000000000" w:firstRow="0" w:lastRow="0" w:firstColumn="1" w:lastColumn="0" w:oddVBand="0" w:evenVBand="0" w:oddHBand="0" w:evenHBand="0" w:firstRowFirstColumn="0" w:firstRowLastColumn="0" w:lastRowFirstColumn="0" w:lastRowLastColumn="0"/>
                  <w:tcW w:w="3030" w:type="dxa"/>
                </w:tcPr>
                <w:p w14:paraId="0DE26781" w14:textId="2CF609F8"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eastAsia="zh-TW"/>
                    </w:rPr>
                    <w:t xml:space="preserve">2. </w:t>
                  </w:r>
                  <w:r w:rsidRPr="009D74B4">
                    <w:rPr>
                      <w:rFonts w:ascii="Arial" w:eastAsia="Times New Roman" w:hAnsi="Arial" w:cs="Arial"/>
                      <w:color w:val="000000"/>
                      <w:lang w:val="x-none" w:eastAsia="zh-TW"/>
                    </w:rPr>
                    <w:t>Where the CRP applies to the Applicant and its parent, the requirements of the CRP are met in full, as set out in the Technical Standard and Guidance, and all of the following criteria are met if:</w:t>
                  </w:r>
                </w:p>
                <w:p w14:paraId="41A9718A" w14:textId="77777777"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sidRPr="009D74B4">
                    <w:rPr>
                      <w:rFonts w:ascii="Arial" w:eastAsia="Times New Roman" w:hAnsi="Arial" w:cs="Arial"/>
                      <w:color w:val="000000"/>
                      <w:lang w:val="x-none" w:eastAsia="zh-TW"/>
                    </w:rPr>
                    <w:t>• The Applicant is wholly owned by the parent;</w:t>
                  </w:r>
                </w:p>
                <w:p w14:paraId="1C75A562" w14:textId="77777777"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sidRPr="009D74B4">
                    <w:rPr>
                      <w:rFonts w:ascii="Arial" w:eastAsia="Times New Roman" w:hAnsi="Arial" w:cs="Arial"/>
                      <w:color w:val="000000"/>
                      <w:lang w:val="x-none" w:eastAsia="zh-TW"/>
                    </w:rPr>
                    <w:t>• The commitment to achieving net zero by 2050 is set out in the CRP for the parent and is supported and adopted by the Applicant together with a statement that this will apply to the Applicant;</w:t>
                  </w:r>
                </w:p>
                <w:p w14:paraId="426438E8"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sidRPr="009D74B4">
                    <w:rPr>
                      <w:rFonts w:ascii="Arial" w:eastAsia="Times New Roman" w:hAnsi="Arial" w:cs="Arial"/>
                      <w:color w:val="000000"/>
                      <w:lang w:val="x-none" w:eastAsia="zh-TW"/>
                    </w:rPr>
                    <w:t>• The environmental measures set out are stated to be able to be</w:t>
                  </w:r>
                  <w:r>
                    <w:rPr>
                      <w:rFonts w:ascii="Arial" w:eastAsia="Times New Roman" w:hAnsi="Arial" w:cs="Arial"/>
                      <w:color w:val="000000"/>
                      <w:lang w:eastAsia="zh-TW"/>
                    </w:rPr>
                    <w:t xml:space="preserve"> </w:t>
                  </w:r>
                  <w:r>
                    <w:rPr>
                      <w:rFonts w:ascii="Arial" w:eastAsia="Times New Roman" w:hAnsi="Arial" w:cs="Arial"/>
                      <w:color w:val="000000"/>
                      <w:lang w:val="x-none" w:eastAsia="zh-TW"/>
                    </w:rPr>
                    <w:t>applied by the Applicant when performing the relevant contract; and</w:t>
                  </w:r>
                </w:p>
                <w:p w14:paraId="19E7F6F2"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r>
                    <w:rPr>
                      <w:rFonts w:ascii="Arial" w:eastAsia="Times New Roman" w:hAnsi="Arial" w:cs="Arial"/>
                      <w:color w:val="000000"/>
                      <w:lang w:val="x-none" w:eastAsia="zh-TW"/>
                    </w:rPr>
                    <w:t>The CRP is published on the Applicant’s website</w:t>
                  </w:r>
                </w:p>
                <w:p w14:paraId="73D21908" w14:textId="72F97382"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val="x-none" w:eastAsia="zh-TW"/>
                    </w:rPr>
                  </w:pPr>
                </w:p>
              </w:tc>
              <w:tc>
                <w:tcPr>
                  <w:tcW w:w="1890" w:type="dxa"/>
                </w:tcPr>
                <w:p w14:paraId="5E172A6F" w14:textId="540E1713"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has met the requirement</w:t>
                  </w:r>
                  <w:r>
                    <w:rPr>
                      <w:rFonts w:ascii="Arial" w:eastAsia="Times New Roman" w:hAnsi="Arial" w:cs="Arial"/>
                      <w:color w:val="000000"/>
                      <w:lang w:eastAsia="zh-TW"/>
                    </w:rPr>
                    <w:t>s</w:t>
                  </w:r>
                </w:p>
              </w:tc>
              <w:tc>
                <w:tcPr>
                  <w:tcW w:w="1095" w:type="dxa"/>
                </w:tcPr>
                <w:p w14:paraId="39C3DF22" w14:textId="525FAEB0"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Pass</w:t>
                  </w:r>
                </w:p>
              </w:tc>
            </w:tr>
            <w:tr w:rsidR="00720B63" w14:paraId="7188D8B8" w14:textId="77777777" w:rsidTr="11BDC08A">
              <w:tc>
                <w:tcPr>
                  <w:cnfStyle w:val="001000000000" w:firstRow="0" w:lastRow="0" w:firstColumn="1" w:lastColumn="0" w:oddVBand="0" w:evenVBand="0" w:oddHBand="0" w:evenHBand="0" w:firstRowFirstColumn="0" w:firstRowLastColumn="0" w:lastRowFirstColumn="0" w:lastRowLastColumn="0"/>
                  <w:tcW w:w="3030" w:type="dxa"/>
                </w:tcPr>
                <w:p w14:paraId="5F81568F"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3. </w:t>
                  </w:r>
                  <w:r>
                    <w:rPr>
                      <w:rFonts w:ascii="Arial" w:eastAsia="Times New Roman" w:hAnsi="Arial" w:cs="Arial"/>
                      <w:color w:val="000000"/>
                      <w:lang w:val="x-none" w:eastAsia="zh-TW"/>
                    </w:rPr>
                    <w:t>Parent CRP fails to meet the requirements of the CRP and additional requirements listed at item 2 above</w:t>
                  </w:r>
                  <w:r>
                    <w:rPr>
                      <w:rFonts w:ascii="Arial" w:eastAsia="Times New Roman" w:hAnsi="Arial" w:cs="Arial"/>
                      <w:color w:val="000000"/>
                      <w:lang w:eastAsia="zh-TW"/>
                    </w:rPr>
                    <w:t>; or</w:t>
                  </w:r>
                </w:p>
                <w:p w14:paraId="717CB221"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1C18182F"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CRP not submitted</w:t>
                  </w:r>
                  <w:r>
                    <w:rPr>
                      <w:rFonts w:ascii="Arial" w:eastAsia="Times New Roman" w:hAnsi="Arial" w:cs="Arial"/>
                      <w:color w:val="000000"/>
                      <w:lang w:eastAsia="zh-TW"/>
                    </w:rPr>
                    <w:t>; or</w:t>
                  </w:r>
                </w:p>
                <w:p w14:paraId="7F769AE2"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1A8DE038" w14:textId="51899F74"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CRP fails to confirm Applicant’s commitment to achieving Net Zero by 2050</w:t>
                  </w:r>
                  <w:r>
                    <w:rPr>
                      <w:rFonts w:ascii="Arial" w:eastAsia="Times New Roman" w:hAnsi="Arial" w:cs="Arial"/>
                      <w:color w:val="000000"/>
                      <w:lang w:eastAsia="zh-TW"/>
                    </w:rPr>
                    <w:t>; or</w:t>
                  </w:r>
                </w:p>
                <w:p w14:paraId="3554B2D8"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7F989D7C" w14:textId="459672C0"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Emissions in the CRP are not reported for any Scopes or only for some Scopes, without an explanation why</w:t>
                  </w:r>
                  <w:r>
                    <w:rPr>
                      <w:rFonts w:ascii="Arial" w:eastAsia="Times New Roman" w:hAnsi="Arial" w:cs="Arial"/>
                      <w:color w:val="000000"/>
                      <w:lang w:eastAsia="zh-TW"/>
                    </w:rPr>
                    <w:t>; or</w:t>
                  </w:r>
                </w:p>
                <w:p w14:paraId="6932E4A9"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350591DB" w14:textId="2C0BC6BE"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Reporting period is more than 12 months from the date of commencement of the procurement.</w:t>
                  </w:r>
                  <w:r>
                    <w:rPr>
                      <w:rFonts w:ascii="Arial" w:eastAsia="Times New Roman" w:hAnsi="Arial" w:cs="Arial"/>
                      <w:color w:val="000000"/>
                      <w:lang w:eastAsia="zh-TW"/>
                    </w:rPr>
                    <w:t>; or</w:t>
                  </w:r>
                </w:p>
                <w:p w14:paraId="3C458CA6" w14:textId="77777777"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7045DDBD" w14:textId="7DA29764"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Applicant fails to indicate the environmental management measures that the Applicant will be able to apply when performing the contract.</w:t>
                  </w:r>
                </w:p>
              </w:tc>
              <w:tc>
                <w:tcPr>
                  <w:tcW w:w="1890" w:type="dxa"/>
                </w:tcPr>
                <w:p w14:paraId="43589BA3" w14:textId="77777777"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does not meet the required standard</w:t>
                  </w:r>
                </w:p>
              </w:tc>
              <w:tc>
                <w:tcPr>
                  <w:tcW w:w="1095" w:type="dxa"/>
                </w:tcPr>
                <w:p w14:paraId="39579F59" w14:textId="77777777" w:rsidR="00720B63" w:rsidRPr="00C154B2"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eastAsia="zh-TW"/>
                    </w:rPr>
                    <w:t>Fail</w:t>
                  </w:r>
                </w:p>
              </w:tc>
            </w:tr>
            <w:tr w:rsidR="00720B63" w14:paraId="1E804F3E" w14:textId="77777777" w:rsidTr="11BDC08A">
              <w:tc>
                <w:tcPr>
                  <w:cnfStyle w:val="001000000000" w:firstRow="0" w:lastRow="0" w:firstColumn="1" w:lastColumn="0" w:oddVBand="0" w:evenVBand="0" w:oddHBand="0" w:evenHBand="0" w:firstRowFirstColumn="0" w:firstRowLastColumn="0" w:lastRowFirstColumn="0" w:lastRowLastColumn="0"/>
                  <w:tcW w:w="3030" w:type="dxa"/>
                </w:tcPr>
                <w:p w14:paraId="49FE8050" w14:textId="3BC4829E"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4. </w:t>
                  </w:r>
                  <w:r>
                    <w:rPr>
                      <w:rFonts w:ascii="Arial" w:eastAsia="Times New Roman" w:hAnsi="Arial" w:cs="Arial"/>
                      <w:color w:val="000000"/>
                      <w:lang w:val="x-none" w:eastAsia="zh-TW"/>
                    </w:rPr>
                    <w:t>Emissions in the CRP not reported for any Scopes or only for some Scopes, but Applicant provides an acceptable explanation why</w:t>
                  </w:r>
                  <w:r>
                    <w:rPr>
                      <w:rFonts w:ascii="Arial" w:eastAsia="Times New Roman" w:hAnsi="Arial" w:cs="Arial"/>
                      <w:color w:val="000000"/>
                      <w:lang w:eastAsia="zh-TW"/>
                    </w:rPr>
                    <w:t>; or</w:t>
                  </w:r>
                </w:p>
                <w:p w14:paraId="62714B43"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22226333"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Reporting period is more than 12 months from the date of commencement of the procurement, but provides an acceptable explanation why</w:t>
                  </w:r>
                  <w:r>
                    <w:rPr>
                      <w:rFonts w:ascii="Arial" w:eastAsia="Times New Roman" w:hAnsi="Arial" w:cs="Arial"/>
                      <w:color w:val="000000"/>
                      <w:lang w:eastAsia="zh-TW"/>
                    </w:rPr>
                    <w:t>; or</w:t>
                  </w:r>
                </w:p>
                <w:p w14:paraId="36B84CD1" w14:textId="77777777" w:rsidR="00720B63"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p w14:paraId="712466BF" w14:textId="7EE1FA7E" w:rsidR="00720B63" w:rsidRPr="009D74B4"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Applicant is a new entrant to the market and confirms this, together with a commitment to publish a full</w:t>
                  </w:r>
                  <w:r>
                    <w:rPr>
                      <w:rFonts w:ascii="Arial" w:eastAsia="Times New Roman" w:hAnsi="Arial" w:cs="Arial"/>
                      <w:color w:val="000000"/>
                      <w:lang w:eastAsia="zh-TW"/>
                    </w:rPr>
                    <w:t xml:space="preserve"> </w:t>
                  </w:r>
                  <w:r>
                    <w:rPr>
                      <w:rFonts w:ascii="Arial" w:eastAsia="Times New Roman" w:hAnsi="Arial" w:cs="Arial"/>
                      <w:color w:val="000000"/>
                      <w:lang w:val="x-none" w:eastAsia="zh-TW"/>
                    </w:rPr>
                    <w:t>CRP prior to contract commencement</w:t>
                  </w:r>
                  <w:r>
                    <w:rPr>
                      <w:rFonts w:ascii="Arial" w:eastAsia="Times New Roman" w:hAnsi="Arial" w:cs="Arial"/>
                      <w:color w:val="000000"/>
                      <w:lang w:eastAsia="zh-TW"/>
                    </w:rPr>
                    <w:t xml:space="preserve">. </w:t>
                  </w:r>
                </w:p>
              </w:tc>
              <w:tc>
                <w:tcPr>
                  <w:tcW w:w="1890" w:type="dxa"/>
                </w:tcPr>
                <w:p w14:paraId="1C86AAE5" w14:textId="3298D1AD"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x-none" w:eastAsia="zh-TW"/>
                    </w:rPr>
                  </w:pPr>
                  <w:r>
                    <w:rPr>
                      <w:rFonts w:ascii="Arial" w:eastAsia="Times New Roman" w:hAnsi="Arial" w:cs="Arial"/>
                      <w:color w:val="000000"/>
                      <w:lang w:val="x-none" w:eastAsia="zh-TW"/>
                    </w:rPr>
                    <w:t>Applicant has met the requirement</w:t>
                  </w:r>
                  <w:r>
                    <w:rPr>
                      <w:rFonts w:ascii="Arial" w:eastAsia="Times New Roman" w:hAnsi="Arial" w:cs="Arial"/>
                      <w:color w:val="000000"/>
                      <w:lang w:eastAsia="zh-TW"/>
                    </w:rPr>
                    <w:t>s</w:t>
                  </w:r>
                </w:p>
              </w:tc>
              <w:tc>
                <w:tcPr>
                  <w:tcW w:w="1095" w:type="dxa"/>
                </w:tcPr>
                <w:p w14:paraId="7556D041" w14:textId="2BB0A6E0" w:rsidR="00720B63" w:rsidRDefault="00720B63" w:rsidP="00720B63">
                  <w:pPr>
                    <w:autoSpaceDE w:val="0"/>
                    <w:autoSpaceDN w:val="0"/>
                    <w:adjustRightInd w:val="0"/>
                    <w:snapToGrid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zh-TW"/>
                    </w:rPr>
                  </w:pPr>
                  <w:r>
                    <w:rPr>
                      <w:rFonts w:ascii="Arial" w:eastAsia="Times New Roman" w:hAnsi="Arial" w:cs="Arial"/>
                      <w:color w:val="000000"/>
                      <w:lang w:val="x-none" w:eastAsia="zh-TW"/>
                    </w:rPr>
                    <w:t>Pass</w:t>
                  </w:r>
                </w:p>
              </w:tc>
            </w:tr>
          </w:tbl>
          <w:p w14:paraId="0A717702" w14:textId="74B184D5" w:rsidR="00720B63" w:rsidRPr="00257714" w:rsidRDefault="00720B63" w:rsidP="00720B63">
            <w:pPr>
              <w:autoSpaceDE w:val="0"/>
              <w:autoSpaceDN w:val="0"/>
              <w:adjustRightInd w:val="0"/>
              <w:snapToGrid w:val="0"/>
              <w:spacing w:after="0" w:line="240" w:lineRule="auto"/>
              <w:rPr>
                <w:rFonts w:ascii="Arial" w:eastAsia="Times New Roman" w:hAnsi="Arial" w:cs="Arial"/>
                <w:color w:val="000000"/>
                <w:lang w:eastAsia="zh-TW"/>
              </w:rPr>
            </w:pPr>
          </w:p>
        </w:tc>
      </w:tr>
      <w:tr w:rsidR="00DC307A" w:rsidRPr="00585A3E" w14:paraId="3B545E1B" w14:textId="77777777" w:rsidTr="3D83606E">
        <w:trPr>
          <w:trHeight w:val="1305"/>
        </w:trPr>
        <w:tc>
          <w:tcPr>
            <w:tcW w:w="1270" w:type="dxa"/>
            <w:tcBorders>
              <w:left w:val="single" w:sz="4" w:space="0" w:color="auto"/>
              <w:right w:val="single" w:sz="4" w:space="0" w:color="auto"/>
            </w:tcBorders>
          </w:tcPr>
          <w:p w14:paraId="2816E022" w14:textId="3434150C" w:rsidR="00DC307A" w:rsidRDefault="00DC307A" w:rsidP="00DC307A">
            <w:pPr>
              <w:spacing w:before="100" w:after="100"/>
              <w:ind w:left="57"/>
              <w:rPr>
                <w:rFonts w:eastAsia="Times New Roman" w:cstheme="minorHAnsi"/>
                <w:szCs w:val="20"/>
                <w:lang w:eastAsia="en-GB"/>
              </w:rPr>
            </w:pPr>
            <w:r w:rsidRPr="00146441">
              <w:rPr>
                <w:rFonts w:eastAsia="Times New Roman" w:cstheme="minorHAnsi"/>
                <w:szCs w:val="20"/>
                <w:lang w:eastAsia="en-GB"/>
              </w:rPr>
              <w:t>3B</w:t>
            </w:r>
          </w:p>
        </w:tc>
        <w:tc>
          <w:tcPr>
            <w:tcW w:w="1530" w:type="dxa"/>
            <w:tcBorders>
              <w:left w:val="single" w:sz="4" w:space="0" w:color="auto"/>
              <w:right w:val="single" w:sz="4" w:space="0" w:color="auto"/>
            </w:tcBorders>
          </w:tcPr>
          <w:p w14:paraId="10A151BF" w14:textId="663198A8"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Questions 34 and 35</w:t>
            </w:r>
          </w:p>
          <w:p w14:paraId="17C9B440" w14:textId="77777777" w:rsidR="00DC307A" w:rsidRPr="00C63CBC" w:rsidRDefault="00DC307A" w:rsidP="00DC307A">
            <w:pPr>
              <w:widowControl w:val="0"/>
              <w:spacing w:after="120" w:line="240" w:lineRule="auto"/>
              <w:rPr>
                <w:rFonts w:asciiTheme="minorBidi" w:eastAsia="Helvetica Neue Light" w:hAnsiTheme="minorBidi"/>
                <w:szCs w:val="20"/>
                <w:lang w:eastAsia="en-GB"/>
              </w:rPr>
            </w:pP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56F976EE" w14:textId="6E774C63" w:rsidR="00DC307A" w:rsidRPr="009D74B4" w:rsidRDefault="00DC307A"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val="x-none" w:eastAsia="zh-TW"/>
              </w:rPr>
              <w:t xml:space="preserve">Applicants are required to detail their current and baseline GHG emissions in questions </w:t>
            </w:r>
            <w:r>
              <w:rPr>
                <w:rFonts w:ascii="Arial" w:eastAsia="Times New Roman" w:hAnsi="Arial" w:cs="Arial"/>
                <w:color w:val="000000"/>
                <w:lang w:eastAsia="zh-TW"/>
              </w:rPr>
              <w:t>34 and 35</w:t>
            </w:r>
            <w:r>
              <w:rPr>
                <w:rFonts w:ascii="Arial" w:eastAsia="Times New Roman" w:hAnsi="Arial" w:cs="Arial"/>
                <w:color w:val="000000"/>
                <w:lang w:val="x-none" w:eastAsia="zh-TW"/>
              </w:rPr>
              <w:t xml:space="preserve">. The responses to questions </w:t>
            </w:r>
            <w:r>
              <w:rPr>
                <w:rFonts w:ascii="Arial" w:eastAsia="Times New Roman" w:hAnsi="Arial" w:cs="Arial"/>
                <w:color w:val="000000"/>
                <w:lang w:eastAsia="zh-TW"/>
              </w:rPr>
              <w:t>34 and 35 are for information only.</w:t>
            </w:r>
          </w:p>
        </w:tc>
      </w:tr>
      <w:tr w:rsidR="00DC307A" w:rsidRPr="00585A3E" w14:paraId="2E22A318" w14:textId="77777777" w:rsidTr="3D83606E">
        <w:trPr>
          <w:trHeight w:val="1305"/>
        </w:trPr>
        <w:tc>
          <w:tcPr>
            <w:tcW w:w="1270" w:type="dxa"/>
            <w:tcBorders>
              <w:left w:val="single" w:sz="4" w:space="0" w:color="auto"/>
              <w:right w:val="single" w:sz="4" w:space="0" w:color="auto"/>
            </w:tcBorders>
          </w:tcPr>
          <w:p w14:paraId="010415F3" w14:textId="4D184122" w:rsidR="00DC307A" w:rsidRDefault="00DC307A" w:rsidP="00DC307A">
            <w:pPr>
              <w:spacing w:before="100" w:after="100"/>
              <w:ind w:left="57"/>
              <w:rPr>
                <w:rFonts w:eastAsia="Times New Roman" w:cstheme="minorHAnsi"/>
                <w:szCs w:val="20"/>
                <w:lang w:eastAsia="en-GB"/>
              </w:rPr>
            </w:pPr>
            <w:r w:rsidRPr="00146441">
              <w:rPr>
                <w:rFonts w:eastAsia="Times New Roman" w:cstheme="minorHAnsi"/>
                <w:szCs w:val="20"/>
                <w:lang w:eastAsia="en-GB"/>
              </w:rPr>
              <w:t>3B</w:t>
            </w:r>
          </w:p>
        </w:tc>
        <w:tc>
          <w:tcPr>
            <w:tcW w:w="1530" w:type="dxa"/>
            <w:tcBorders>
              <w:left w:val="single" w:sz="4" w:space="0" w:color="auto"/>
              <w:right w:val="single" w:sz="4" w:space="0" w:color="auto"/>
            </w:tcBorders>
          </w:tcPr>
          <w:p w14:paraId="14CAB3AB" w14:textId="45407E20"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36</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3F5B56ED" w14:textId="38F6702F" w:rsidR="00DC307A" w:rsidRPr="00C47CF1" w:rsidRDefault="00DC307A"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For information only. </w:t>
            </w:r>
            <w:r>
              <w:rPr>
                <w:rFonts w:ascii="Arial" w:eastAsia="Times New Roman" w:hAnsi="Arial" w:cs="Arial"/>
                <w:color w:val="000000"/>
                <w:lang w:val="x-none" w:eastAsia="zh-TW"/>
              </w:rPr>
              <w:t>If Applicant is a new entrant (i.e. operating for less than 12 months, please state N/A:</w:t>
            </w:r>
            <w:r>
              <w:rPr>
                <w:rFonts w:ascii="Arial" w:eastAsia="Times New Roman" w:hAnsi="Arial" w:cs="Arial"/>
                <w:color w:val="000000"/>
                <w:lang w:eastAsia="zh-TW"/>
              </w:rPr>
              <w:t xml:space="preserve"> New Entrant.</w:t>
            </w:r>
          </w:p>
        </w:tc>
      </w:tr>
      <w:tr w:rsidR="00DC307A" w:rsidRPr="00585A3E" w14:paraId="7830145B" w14:textId="77777777" w:rsidTr="3D83606E">
        <w:trPr>
          <w:trHeight w:val="1305"/>
        </w:trPr>
        <w:tc>
          <w:tcPr>
            <w:tcW w:w="1270" w:type="dxa"/>
            <w:tcBorders>
              <w:left w:val="single" w:sz="4" w:space="0" w:color="auto"/>
              <w:right w:val="single" w:sz="4" w:space="0" w:color="auto"/>
            </w:tcBorders>
          </w:tcPr>
          <w:p w14:paraId="042A8C28" w14:textId="368782AE" w:rsidR="00DC307A" w:rsidRDefault="00DC307A" w:rsidP="00DC307A">
            <w:pPr>
              <w:spacing w:before="100" w:after="100"/>
              <w:ind w:left="57"/>
              <w:rPr>
                <w:rFonts w:eastAsia="Times New Roman" w:cstheme="minorHAnsi"/>
                <w:szCs w:val="20"/>
                <w:lang w:eastAsia="en-GB"/>
              </w:rPr>
            </w:pPr>
            <w:r w:rsidRPr="00146441">
              <w:rPr>
                <w:rFonts w:eastAsia="Times New Roman" w:cstheme="minorHAnsi"/>
                <w:szCs w:val="20"/>
                <w:lang w:eastAsia="en-GB"/>
              </w:rPr>
              <w:t>3B</w:t>
            </w:r>
          </w:p>
        </w:tc>
        <w:tc>
          <w:tcPr>
            <w:tcW w:w="1530" w:type="dxa"/>
            <w:tcBorders>
              <w:left w:val="single" w:sz="4" w:space="0" w:color="auto"/>
              <w:right w:val="single" w:sz="4" w:space="0" w:color="auto"/>
            </w:tcBorders>
          </w:tcPr>
          <w:p w14:paraId="6F4F9D24" w14:textId="15ABA2D5"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37a</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294B59DF" w14:textId="77777777" w:rsidR="00DC307A" w:rsidRDefault="00DC307A"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Pass: </w:t>
            </w:r>
          </w:p>
          <w:p w14:paraId="3AA52329" w14:textId="6C29B664" w:rsidR="00DC307A" w:rsidRDefault="00DC307A" w:rsidP="00F8196C">
            <w:pPr>
              <w:pStyle w:val="ListParagraph"/>
              <w:numPr>
                <w:ilvl w:val="0"/>
                <w:numId w:val="63"/>
              </w:numPr>
              <w:autoSpaceDE w:val="0"/>
              <w:autoSpaceDN w:val="0"/>
              <w:adjustRightInd w:val="0"/>
              <w:snapToGrid w:val="0"/>
              <w:spacing w:after="0" w:line="240" w:lineRule="auto"/>
              <w:rPr>
                <w:rFonts w:ascii="Arial" w:eastAsia="Times New Roman" w:hAnsi="Arial" w:cs="Arial"/>
                <w:color w:val="000000"/>
                <w:lang w:eastAsia="zh-TW"/>
              </w:rPr>
            </w:pPr>
            <w:r w:rsidRPr="00C47CF1">
              <w:rPr>
                <w:rFonts w:ascii="Arial" w:eastAsia="Times New Roman" w:hAnsi="Arial" w:cs="Arial"/>
                <w:color w:val="000000"/>
                <w:lang w:eastAsia="zh-TW"/>
              </w:rPr>
              <w:t>Applicant is not a relevant commercial organisation</w:t>
            </w:r>
            <w:r>
              <w:rPr>
                <w:rFonts w:ascii="Arial" w:eastAsia="Times New Roman" w:hAnsi="Arial" w:cs="Arial"/>
                <w:color w:val="000000"/>
                <w:lang w:eastAsia="zh-TW"/>
              </w:rPr>
              <w:t>; o</w:t>
            </w:r>
            <w:r w:rsidRPr="00C47CF1">
              <w:rPr>
                <w:rFonts w:ascii="Arial" w:eastAsia="Times New Roman" w:hAnsi="Arial" w:cs="Arial"/>
                <w:color w:val="000000"/>
                <w:lang w:eastAsia="zh-TW"/>
              </w:rPr>
              <w:t>r</w:t>
            </w:r>
          </w:p>
          <w:p w14:paraId="4096B2B1" w14:textId="07AD1213" w:rsidR="00DC307A" w:rsidRPr="005553FD" w:rsidRDefault="00DC307A" w:rsidP="00F8196C">
            <w:pPr>
              <w:pStyle w:val="ListParagraph"/>
              <w:numPr>
                <w:ilvl w:val="0"/>
                <w:numId w:val="63"/>
              </w:numPr>
              <w:autoSpaceDE w:val="0"/>
              <w:autoSpaceDN w:val="0"/>
              <w:adjustRightInd w:val="0"/>
              <w:snapToGrid w:val="0"/>
              <w:spacing w:after="0" w:line="240" w:lineRule="auto"/>
              <w:rPr>
                <w:rFonts w:ascii="Arial" w:eastAsia="Times New Roman" w:hAnsi="Arial" w:cs="Arial"/>
                <w:color w:val="000000"/>
                <w:lang w:eastAsia="zh-TW"/>
              </w:rPr>
            </w:pPr>
            <w:r w:rsidRPr="00C47CF1">
              <w:rPr>
                <w:rFonts w:ascii="Arial" w:eastAsia="Times New Roman" w:hAnsi="Arial" w:cs="Arial"/>
                <w:color w:val="000000"/>
                <w:lang w:eastAsia="zh-TW"/>
              </w:rPr>
              <w:t xml:space="preserve">Applicant is a relevant commercial organisation and </w:t>
            </w:r>
            <w:r>
              <w:rPr>
                <w:rFonts w:ascii="Arial" w:eastAsia="Times New Roman" w:hAnsi="Arial" w:cs="Arial"/>
                <w:color w:val="000000"/>
                <w:lang w:eastAsia="zh-TW"/>
              </w:rPr>
              <w:t>has confirmed the requirements of the Modern Slavery Act 2015 are met and that its statement includes the requirements listed in 37a-f</w:t>
            </w:r>
            <w:r w:rsidRPr="005553FD">
              <w:rPr>
                <w:rFonts w:ascii="Arial" w:eastAsia="Times New Roman" w:hAnsi="Arial" w:cs="Arial"/>
                <w:color w:val="000000"/>
                <w:lang w:eastAsia="zh-TW"/>
              </w:rPr>
              <w:t>.</w:t>
            </w:r>
          </w:p>
          <w:p w14:paraId="7BA9FC95" w14:textId="77777777" w:rsidR="00DC307A" w:rsidRDefault="00DC307A"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Fail: </w:t>
            </w:r>
          </w:p>
          <w:p w14:paraId="5C4C5A46" w14:textId="59E09E93" w:rsidR="00DC307A" w:rsidRPr="0075584D" w:rsidRDefault="00DC307A" w:rsidP="00F8196C">
            <w:pPr>
              <w:pStyle w:val="ListParagraph"/>
              <w:numPr>
                <w:ilvl w:val="0"/>
                <w:numId w:val="64"/>
              </w:numPr>
              <w:autoSpaceDE w:val="0"/>
              <w:autoSpaceDN w:val="0"/>
              <w:adjustRightInd w:val="0"/>
              <w:snapToGrid w:val="0"/>
              <w:spacing w:after="0" w:line="240" w:lineRule="auto"/>
              <w:rPr>
                <w:rFonts w:ascii="Arial" w:eastAsia="Times New Roman" w:hAnsi="Arial" w:cs="Arial"/>
                <w:color w:val="000000"/>
                <w:lang w:eastAsia="zh-TW"/>
              </w:rPr>
            </w:pPr>
            <w:r w:rsidRPr="00C47CF1">
              <w:rPr>
                <w:rFonts w:ascii="Arial" w:eastAsia="Times New Roman" w:hAnsi="Arial" w:cs="Arial"/>
                <w:color w:val="000000"/>
                <w:lang w:val="x-none" w:eastAsia="zh-TW"/>
              </w:rPr>
              <w:t xml:space="preserve">Applicant is a relevant commercial organisation and has not </w:t>
            </w:r>
            <w:r>
              <w:rPr>
                <w:rFonts w:ascii="Arial" w:eastAsia="Times New Roman" w:hAnsi="Arial" w:cs="Arial"/>
                <w:color w:val="000000"/>
                <w:lang w:eastAsia="zh-TW"/>
              </w:rPr>
              <w:t xml:space="preserve">confirmed the requirements of the Modern Slavery Act 2015 are met and that its statement includes the requirements listed in 37a-f. </w:t>
            </w:r>
          </w:p>
        </w:tc>
      </w:tr>
      <w:tr w:rsidR="00DC307A" w:rsidRPr="00585A3E" w14:paraId="0BB82BE6" w14:textId="77777777" w:rsidTr="3D83606E">
        <w:trPr>
          <w:trHeight w:val="1305"/>
        </w:trPr>
        <w:tc>
          <w:tcPr>
            <w:tcW w:w="1270" w:type="dxa"/>
            <w:tcBorders>
              <w:left w:val="single" w:sz="4" w:space="0" w:color="auto"/>
              <w:right w:val="single" w:sz="4" w:space="0" w:color="auto"/>
            </w:tcBorders>
          </w:tcPr>
          <w:p w14:paraId="385C9BAB" w14:textId="159B139C" w:rsidR="00DC307A" w:rsidRDefault="00DC307A" w:rsidP="00DC307A">
            <w:pPr>
              <w:spacing w:before="100" w:after="100"/>
              <w:ind w:left="57"/>
              <w:rPr>
                <w:rFonts w:eastAsia="Times New Roman" w:cstheme="minorHAnsi"/>
                <w:szCs w:val="20"/>
                <w:lang w:eastAsia="en-GB"/>
              </w:rPr>
            </w:pPr>
            <w:r w:rsidRPr="00146441">
              <w:rPr>
                <w:rFonts w:eastAsia="Times New Roman" w:cstheme="minorHAnsi"/>
                <w:szCs w:val="20"/>
                <w:lang w:eastAsia="en-GB"/>
              </w:rPr>
              <w:t>3B</w:t>
            </w:r>
          </w:p>
        </w:tc>
        <w:tc>
          <w:tcPr>
            <w:tcW w:w="1530" w:type="dxa"/>
            <w:tcBorders>
              <w:left w:val="single" w:sz="4" w:space="0" w:color="auto"/>
              <w:right w:val="single" w:sz="4" w:space="0" w:color="auto"/>
            </w:tcBorders>
          </w:tcPr>
          <w:p w14:paraId="53CCC390" w14:textId="462A5080" w:rsidR="00DC307A" w:rsidRDefault="00DC307A"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37b</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71776059" w14:textId="3347522B" w:rsidR="00DC307A" w:rsidRDefault="00DC307A"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For information only.</w:t>
            </w:r>
          </w:p>
        </w:tc>
      </w:tr>
      <w:tr w:rsidR="006077F9" w:rsidRPr="00585A3E" w14:paraId="56DF378C" w14:textId="77777777" w:rsidTr="3D83606E">
        <w:trPr>
          <w:trHeight w:val="1305"/>
        </w:trPr>
        <w:tc>
          <w:tcPr>
            <w:tcW w:w="1270" w:type="dxa"/>
            <w:tcBorders>
              <w:left w:val="single" w:sz="4" w:space="0" w:color="auto"/>
              <w:right w:val="single" w:sz="4" w:space="0" w:color="auto"/>
            </w:tcBorders>
          </w:tcPr>
          <w:p w14:paraId="66309D01" w14:textId="4C21BDFC" w:rsidR="006077F9" w:rsidRPr="00146441" w:rsidRDefault="006077F9" w:rsidP="00DC307A">
            <w:pPr>
              <w:spacing w:before="100" w:after="100"/>
              <w:ind w:left="57"/>
              <w:rPr>
                <w:rFonts w:eastAsia="Times New Roman" w:cstheme="minorHAnsi"/>
                <w:szCs w:val="20"/>
                <w:lang w:eastAsia="en-GB"/>
              </w:rPr>
            </w:pPr>
            <w:r>
              <w:rPr>
                <w:rFonts w:eastAsia="Times New Roman" w:cstheme="minorHAnsi"/>
                <w:szCs w:val="20"/>
                <w:lang w:eastAsia="en-GB"/>
              </w:rPr>
              <w:t>3B</w:t>
            </w:r>
          </w:p>
        </w:tc>
        <w:tc>
          <w:tcPr>
            <w:tcW w:w="1530" w:type="dxa"/>
            <w:tcBorders>
              <w:left w:val="single" w:sz="4" w:space="0" w:color="auto"/>
              <w:right w:val="single" w:sz="4" w:space="0" w:color="auto"/>
            </w:tcBorders>
          </w:tcPr>
          <w:p w14:paraId="72041244" w14:textId="6244A876" w:rsidR="006077F9" w:rsidRDefault="006077F9"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38</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1059B0D8"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Pass:</w:t>
            </w:r>
          </w:p>
          <w:p w14:paraId="0468C084"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p>
          <w:p w14:paraId="5B3B2C79" w14:textId="44ECACBC" w:rsidR="006077F9" w:rsidRDefault="006077F9" w:rsidP="006077F9">
            <w:pPr>
              <w:autoSpaceDE w:val="0"/>
              <w:autoSpaceDN w:val="0"/>
              <w:adjustRightInd w:val="0"/>
              <w:snapToGrid w:val="0"/>
              <w:spacing w:after="0" w:line="240" w:lineRule="auto"/>
              <w:rPr>
                <w:rFonts w:ascii="Arial" w:eastAsia="Times New Roman" w:hAnsi="Arial" w:cs="Arial"/>
                <w:color w:val="000000"/>
                <w:lang w:val="en-US" w:eastAsia="zh-TW"/>
              </w:rPr>
            </w:pPr>
            <w:r w:rsidRPr="006077F9">
              <w:rPr>
                <w:rFonts w:ascii="Arial" w:eastAsia="Times New Roman" w:hAnsi="Arial" w:cs="Arial"/>
                <w:color w:val="000000"/>
                <w:lang w:val="en-US" w:eastAsia="zh-TW"/>
              </w:rPr>
              <w:t xml:space="preserve">Applicant </w:t>
            </w:r>
            <w:r>
              <w:rPr>
                <w:rFonts w:ascii="Arial" w:eastAsia="Times New Roman" w:hAnsi="Arial" w:cs="Arial"/>
                <w:color w:val="000000"/>
                <w:lang w:val="en-US" w:eastAsia="zh-TW"/>
              </w:rPr>
              <w:t>selects yes.</w:t>
            </w:r>
          </w:p>
          <w:p w14:paraId="06B3E6A3"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p>
          <w:p w14:paraId="2C513585"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Fail: </w:t>
            </w:r>
          </w:p>
          <w:p w14:paraId="786FEBFC"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p>
          <w:p w14:paraId="213DB1EB" w14:textId="6F31E188"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Applicant selects no.</w:t>
            </w:r>
          </w:p>
        </w:tc>
      </w:tr>
      <w:tr w:rsidR="006077F9" w:rsidRPr="00585A3E" w14:paraId="5DBD1104" w14:textId="77777777" w:rsidTr="3D83606E">
        <w:trPr>
          <w:trHeight w:val="1305"/>
        </w:trPr>
        <w:tc>
          <w:tcPr>
            <w:tcW w:w="1270" w:type="dxa"/>
            <w:tcBorders>
              <w:left w:val="single" w:sz="4" w:space="0" w:color="auto"/>
              <w:bottom w:val="outset" w:sz="6" w:space="0" w:color="auto"/>
              <w:right w:val="single" w:sz="4" w:space="0" w:color="auto"/>
            </w:tcBorders>
          </w:tcPr>
          <w:p w14:paraId="0125D863" w14:textId="33658388" w:rsidR="006077F9" w:rsidRPr="00146441" w:rsidRDefault="006077F9" w:rsidP="00DC307A">
            <w:pPr>
              <w:spacing w:before="100" w:after="100"/>
              <w:ind w:left="57"/>
              <w:rPr>
                <w:rFonts w:eastAsia="Times New Roman" w:cstheme="minorHAnsi"/>
                <w:szCs w:val="20"/>
                <w:lang w:eastAsia="en-GB"/>
              </w:rPr>
            </w:pPr>
            <w:r>
              <w:rPr>
                <w:rFonts w:eastAsia="Times New Roman" w:cstheme="minorHAnsi"/>
                <w:szCs w:val="20"/>
                <w:lang w:eastAsia="en-GB"/>
              </w:rPr>
              <w:t>3B</w:t>
            </w:r>
          </w:p>
        </w:tc>
        <w:tc>
          <w:tcPr>
            <w:tcW w:w="1530" w:type="dxa"/>
            <w:tcBorders>
              <w:left w:val="single" w:sz="4" w:space="0" w:color="auto"/>
              <w:bottom w:val="outset" w:sz="6" w:space="0" w:color="auto"/>
              <w:right w:val="single" w:sz="4" w:space="0" w:color="auto"/>
            </w:tcBorders>
          </w:tcPr>
          <w:p w14:paraId="23EAF947" w14:textId="615BEC1B" w:rsidR="006077F9" w:rsidRDefault="006077F9" w:rsidP="00DC307A">
            <w:pPr>
              <w:widowControl w:val="0"/>
              <w:spacing w:after="120" w:line="240" w:lineRule="auto"/>
              <w:rPr>
                <w:rFonts w:asciiTheme="minorBidi" w:eastAsia="Helvetica Neue Light" w:hAnsiTheme="minorBidi"/>
                <w:szCs w:val="20"/>
                <w:lang w:eastAsia="en-GB"/>
              </w:rPr>
            </w:pPr>
            <w:r>
              <w:rPr>
                <w:rFonts w:asciiTheme="minorBidi" w:eastAsia="Helvetica Neue Light" w:hAnsiTheme="minorBidi"/>
                <w:szCs w:val="20"/>
                <w:lang w:eastAsia="en-GB"/>
              </w:rPr>
              <w:t>Question 39</w:t>
            </w:r>
          </w:p>
        </w:tc>
        <w:tc>
          <w:tcPr>
            <w:tcW w:w="6272" w:type="dxa"/>
            <w:gridSpan w:val="3"/>
            <w:tcBorders>
              <w:top w:val="single" w:sz="4" w:space="0" w:color="auto"/>
              <w:left w:val="single" w:sz="4" w:space="0" w:color="auto"/>
              <w:bottom w:val="single" w:sz="4" w:space="0" w:color="auto"/>
              <w:right w:val="single" w:sz="4" w:space="0" w:color="auto"/>
            </w:tcBorders>
            <w:shd w:val="clear" w:color="auto" w:fill="auto"/>
          </w:tcPr>
          <w:p w14:paraId="118771D7" w14:textId="77777777" w:rsidR="006077F9" w:rsidRDefault="006077F9" w:rsidP="00DC307A">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Pass:</w:t>
            </w:r>
          </w:p>
          <w:p w14:paraId="01D49DF0" w14:textId="77777777" w:rsidR="006077F9" w:rsidRDefault="006077F9" w:rsidP="00F8196C">
            <w:pPr>
              <w:pStyle w:val="ListParagraph"/>
              <w:numPr>
                <w:ilvl w:val="0"/>
                <w:numId w:val="64"/>
              </w:numPr>
              <w:autoSpaceDE w:val="0"/>
              <w:autoSpaceDN w:val="0"/>
              <w:adjustRightInd w:val="0"/>
              <w:snapToGrid w:val="0"/>
              <w:spacing w:after="0" w:line="240" w:lineRule="auto"/>
              <w:rPr>
                <w:rFonts w:ascii="Arial" w:eastAsia="Times New Roman" w:hAnsi="Arial" w:cs="Arial"/>
                <w:color w:val="000000"/>
                <w:lang w:eastAsia="zh-TW"/>
              </w:rPr>
            </w:pPr>
            <w:r w:rsidRPr="006077F9">
              <w:rPr>
                <w:rFonts w:ascii="Arial" w:eastAsia="Times New Roman" w:hAnsi="Arial" w:cs="Arial"/>
                <w:color w:val="000000"/>
                <w:lang w:eastAsia="zh-TW"/>
              </w:rPr>
              <w:t>Applicant does not have prime contractors or</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subcontractors in the supply chain that are</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Russian/Belarusian;</w:t>
            </w:r>
            <w:r>
              <w:rPr>
                <w:rFonts w:ascii="Arial" w:eastAsia="Times New Roman" w:hAnsi="Arial" w:cs="Arial"/>
                <w:color w:val="000000"/>
                <w:lang w:eastAsia="zh-TW"/>
              </w:rPr>
              <w:t xml:space="preserve"> </w:t>
            </w:r>
            <w:proofErr w:type="gramStart"/>
            <w:r w:rsidRPr="006077F9">
              <w:rPr>
                <w:rFonts w:ascii="Arial" w:eastAsia="Times New Roman" w:hAnsi="Arial" w:cs="Arial"/>
                <w:color w:val="000000"/>
                <w:lang w:eastAsia="zh-TW"/>
              </w:rPr>
              <w:t>or;</w:t>
            </w:r>
            <w:proofErr w:type="gramEnd"/>
          </w:p>
          <w:p w14:paraId="090AE706" w14:textId="77777777" w:rsidR="006077F9" w:rsidRDefault="006077F9" w:rsidP="00F8196C">
            <w:pPr>
              <w:pStyle w:val="ListParagraph"/>
              <w:numPr>
                <w:ilvl w:val="0"/>
                <w:numId w:val="64"/>
              </w:numPr>
              <w:autoSpaceDE w:val="0"/>
              <w:autoSpaceDN w:val="0"/>
              <w:adjustRightInd w:val="0"/>
              <w:snapToGrid w:val="0"/>
              <w:spacing w:after="0" w:line="240" w:lineRule="auto"/>
              <w:rPr>
                <w:rFonts w:ascii="Arial" w:eastAsia="Times New Roman" w:hAnsi="Arial" w:cs="Arial"/>
                <w:color w:val="000000"/>
                <w:lang w:eastAsia="zh-TW"/>
              </w:rPr>
            </w:pPr>
            <w:r w:rsidRPr="006077F9">
              <w:rPr>
                <w:rFonts w:ascii="Arial" w:eastAsia="Times New Roman" w:hAnsi="Arial" w:cs="Arial"/>
                <w:color w:val="000000"/>
                <w:lang w:eastAsia="zh-TW"/>
              </w:rPr>
              <w:t>Applicant has identified prime contractors or</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subcontractors in the supply chain that are</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Russian/Belarusian and provides details of</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these and has committed to substituting these</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suppliers prior to contract</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commencement. Details should include supplier</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name, main office address and persons of</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significant control and scope of services</w:t>
            </w:r>
            <w:r>
              <w:rPr>
                <w:rFonts w:ascii="Arial" w:eastAsia="Times New Roman" w:hAnsi="Arial" w:cs="Arial"/>
                <w:color w:val="000000"/>
                <w:lang w:eastAsia="zh-TW"/>
              </w:rPr>
              <w:t xml:space="preserve"> </w:t>
            </w:r>
            <w:r w:rsidRPr="006077F9">
              <w:rPr>
                <w:rFonts w:ascii="Arial" w:eastAsia="Times New Roman" w:hAnsi="Arial" w:cs="Arial"/>
                <w:color w:val="000000"/>
                <w:lang w:eastAsia="zh-TW"/>
              </w:rPr>
              <w:t>provided by the supplier.</w:t>
            </w:r>
          </w:p>
          <w:p w14:paraId="6A250B88" w14:textId="77777777" w:rsidR="006077F9" w:rsidRDefault="006077F9" w:rsidP="006077F9">
            <w:pPr>
              <w:autoSpaceDE w:val="0"/>
              <w:autoSpaceDN w:val="0"/>
              <w:adjustRightInd w:val="0"/>
              <w:snapToGrid w:val="0"/>
              <w:spacing w:after="0" w:line="240" w:lineRule="auto"/>
              <w:rPr>
                <w:rFonts w:ascii="Arial" w:eastAsia="Times New Roman" w:hAnsi="Arial" w:cs="Arial"/>
                <w:color w:val="000000"/>
                <w:lang w:eastAsia="zh-TW"/>
              </w:rPr>
            </w:pPr>
            <w:r>
              <w:rPr>
                <w:rFonts w:ascii="Arial" w:eastAsia="Times New Roman" w:hAnsi="Arial" w:cs="Arial"/>
                <w:color w:val="000000"/>
                <w:lang w:eastAsia="zh-TW"/>
              </w:rPr>
              <w:t xml:space="preserve">Fail: </w:t>
            </w:r>
          </w:p>
          <w:p w14:paraId="24E32797" w14:textId="526953F5" w:rsidR="006077F9" w:rsidRPr="006077F9" w:rsidRDefault="006077F9" w:rsidP="00F8196C">
            <w:pPr>
              <w:pStyle w:val="ListParagraph"/>
              <w:numPr>
                <w:ilvl w:val="0"/>
                <w:numId w:val="67"/>
              </w:numPr>
              <w:autoSpaceDE w:val="0"/>
              <w:autoSpaceDN w:val="0"/>
              <w:adjustRightInd w:val="0"/>
              <w:snapToGrid w:val="0"/>
              <w:spacing w:after="0" w:line="240" w:lineRule="auto"/>
              <w:rPr>
                <w:rFonts w:ascii="Arial" w:eastAsia="Times New Roman" w:hAnsi="Arial" w:cs="Arial"/>
                <w:color w:val="000000"/>
                <w:lang w:val="en-US" w:eastAsia="zh-TW"/>
              </w:rPr>
            </w:pPr>
            <w:r w:rsidRPr="006077F9">
              <w:rPr>
                <w:rFonts w:ascii="Arial" w:eastAsia="Times New Roman" w:hAnsi="Arial" w:cs="Arial"/>
                <w:color w:val="000000"/>
                <w:lang w:val="en-US" w:eastAsia="zh-TW"/>
              </w:rPr>
              <w:t xml:space="preserve">Applicant responds Yes to </w:t>
            </w:r>
            <w:r w:rsidR="00041891">
              <w:rPr>
                <w:rFonts w:ascii="Arial" w:eastAsia="Times New Roman" w:hAnsi="Arial" w:cs="Arial"/>
                <w:color w:val="000000"/>
                <w:lang w:val="en-US" w:eastAsia="zh-TW"/>
              </w:rPr>
              <w:t xml:space="preserve">38 </w:t>
            </w:r>
            <w:r w:rsidRPr="006077F9">
              <w:rPr>
                <w:rFonts w:ascii="Arial" w:eastAsia="Times New Roman" w:hAnsi="Arial" w:cs="Arial"/>
                <w:color w:val="000000"/>
                <w:lang w:val="en-US" w:eastAsia="zh-TW"/>
              </w:rPr>
              <w:t>but fails to</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provide a list of the supply chain or to identify</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Russian/Belarussian companies/Government</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within supply chain;</w:t>
            </w:r>
            <w:r>
              <w:rPr>
                <w:rFonts w:ascii="Arial" w:eastAsia="Times New Roman" w:hAnsi="Arial" w:cs="Arial"/>
                <w:color w:val="000000"/>
                <w:lang w:val="en-US" w:eastAsia="zh-TW"/>
              </w:rPr>
              <w:t xml:space="preserve"> </w:t>
            </w:r>
            <w:proofErr w:type="gramStart"/>
            <w:r w:rsidRPr="006077F9">
              <w:rPr>
                <w:rFonts w:ascii="Arial" w:eastAsia="Times New Roman" w:hAnsi="Arial" w:cs="Arial"/>
                <w:color w:val="000000"/>
                <w:lang w:val="en-US" w:eastAsia="zh-TW"/>
              </w:rPr>
              <w:t>or;</w:t>
            </w:r>
            <w:proofErr w:type="gramEnd"/>
          </w:p>
          <w:p w14:paraId="0869CBD3" w14:textId="58AB59F4" w:rsidR="006077F9" w:rsidRPr="006077F9" w:rsidRDefault="006077F9" w:rsidP="00F8196C">
            <w:pPr>
              <w:pStyle w:val="ListParagraph"/>
              <w:numPr>
                <w:ilvl w:val="0"/>
                <w:numId w:val="67"/>
              </w:numPr>
              <w:autoSpaceDE w:val="0"/>
              <w:autoSpaceDN w:val="0"/>
              <w:adjustRightInd w:val="0"/>
              <w:snapToGrid w:val="0"/>
              <w:spacing w:after="0" w:line="240" w:lineRule="auto"/>
              <w:rPr>
                <w:rFonts w:ascii="Arial" w:eastAsia="Times New Roman" w:hAnsi="Arial" w:cs="Arial"/>
                <w:color w:val="000000"/>
                <w:lang w:val="en-US" w:eastAsia="zh-TW"/>
              </w:rPr>
            </w:pPr>
            <w:r w:rsidRPr="006077F9">
              <w:rPr>
                <w:rFonts w:ascii="Arial" w:eastAsia="Times New Roman" w:hAnsi="Arial" w:cs="Arial"/>
                <w:color w:val="000000"/>
                <w:lang w:val="en-US" w:eastAsia="zh-TW"/>
              </w:rPr>
              <w:t xml:space="preserve">Applicant responds Yes to </w:t>
            </w:r>
            <w:r w:rsidR="00041891">
              <w:rPr>
                <w:rFonts w:ascii="Arial" w:eastAsia="Times New Roman" w:hAnsi="Arial" w:cs="Arial"/>
                <w:color w:val="000000"/>
                <w:lang w:val="en-US" w:eastAsia="zh-TW"/>
              </w:rPr>
              <w:t>38</w:t>
            </w:r>
            <w:r w:rsidRPr="006077F9">
              <w:rPr>
                <w:rFonts w:ascii="Arial" w:eastAsia="Times New Roman" w:hAnsi="Arial" w:cs="Arial"/>
                <w:color w:val="000000"/>
                <w:lang w:val="en-US" w:eastAsia="zh-TW"/>
              </w:rPr>
              <w:t xml:space="preserve"> but </w:t>
            </w:r>
            <w:r>
              <w:rPr>
                <w:rFonts w:ascii="Arial" w:eastAsia="Times New Roman" w:hAnsi="Arial" w:cs="Arial"/>
                <w:color w:val="000000"/>
                <w:lang w:val="en-US" w:eastAsia="zh-TW"/>
              </w:rPr>
              <w:t>w</w:t>
            </w:r>
            <w:r w:rsidRPr="006077F9">
              <w:rPr>
                <w:rFonts w:ascii="Arial" w:eastAsia="Times New Roman" w:hAnsi="Arial" w:cs="Arial"/>
                <w:color w:val="000000"/>
                <w:lang w:val="en-US" w:eastAsia="zh-TW"/>
              </w:rPr>
              <w:t>here</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Russian/Belarussian companies/Government</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are identified within the supply chain an</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acceptable substitution or solution to substitute</w:t>
            </w:r>
            <w:r>
              <w:rPr>
                <w:rFonts w:ascii="Arial" w:eastAsia="Times New Roman" w:hAnsi="Arial" w:cs="Arial"/>
                <w:color w:val="000000"/>
                <w:lang w:val="en-US" w:eastAsia="zh-TW"/>
              </w:rPr>
              <w:t xml:space="preserve"> </w:t>
            </w:r>
            <w:r w:rsidRPr="006077F9">
              <w:rPr>
                <w:rFonts w:ascii="Arial" w:eastAsia="Times New Roman" w:hAnsi="Arial" w:cs="Arial"/>
                <w:color w:val="000000"/>
                <w:lang w:val="en-US" w:eastAsia="zh-TW"/>
              </w:rPr>
              <w:t>prior to contract commencement is not provided</w:t>
            </w:r>
            <w:r>
              <w:rPr>
                <w:rFonts w:ascii="Arial" w:eastAsia="Times New Roman" w:hAnsi="Arial" w:cs="Arial"/>
                <w:color w:val="000000"/>
                <w:lang w:val="en-US" w:eastAsia="zh-TW"/>
              </w:rPr>
              <w:t>.</w:t>
            </w:r>
          </w:p>
        </w:tc>
      </w:tr>
    </w:tbl>
    <w:p w14:paraId="556ABA9F" w14:textId="77777777" w:rsidR="009D74B4" w:rsidRDefault="009D74B4" w:rsidP="00CF7853">
      <w:pPr>
        <w:pStyle w:val="NormalAshurst"/>
        <w:rPr>
          <w:b/>
          <w:bCs/>
          <w:szCs w:val="22"/>
        </w:rPr>
      </w:pPr>
    </w:p>
    <w:p w14:paraId="35022714" w14:textId="346B7679" w:rsidR="00F06283" w:rsidRPr="00E74825" w:rsidRDefault="00F26284" w:rsidP="00CF7853">
      <w:pPr>
        <w:pStyle w:val="NormalAshurst"/>
        <w:rPr>
          <w:rFonts w:cstheme="minorHAnsi"/>
          <w:b/>
          <w:sz w:val="24"/>
        </w:rPr>
      </w:pPr>
      <w:r w:rsidRPr="00E74825">
        <w:rPr>
          <w:rFonts w:cstheme="minorHAnsi"/>
          <w:b/>
          <w:sz w:val="24"/>
        </w:rPr>
        <w:t xml:space="preserve">G. </w:t>
      </w:r>
      <w:r w:rsidR="00B34E77" w:rsidRPr="00E74825">
        <w:rPr>
          <w:rFonts w:cstheme="minorHAnsi"/>
          <w:b/>
          <w:sz w:val="24"/>
        </w:rPr>
        <w:t>PSQ</w:t>
      </w:r>
      <w:r w:rsidR="000146F0" w:rsidRPr="00E74825">
        <w:rPr>
          <w:rFonts w:cstheme="minorHAnsi"/>
          <w:b/>
          <w:sz w:val="24"/>
        </w:rPr>
        <w:t xml:space="preserve"> Conditions </w:t>
      </w:r>
      <w:r w:rsidR="00535535" w:rsidRPr="00E74825">
        <w:rPr>
          <w:rFonts w:cstheme="minorHAnsi"/>
          <w:b/>
          <w:sz w:val="24"/>
        </w:rPr>
        <w:t>and</w:t>
      </w:r>
      <w:r w:rsidR="000146F0" w:rsidRPr="00E74825">
        <w:rPr>
          <w:rFonts w:cstheme="minorHAnsi"/>
          <w:b/>
          <w:sz w:val="24"/>
        </w:rPr>
        <w:t xml:space="preserve"> Further Instructions</w:t>
      </w:r>
      <w:bookmarkEnd w:id="63"/>
    </w:p>
    <w:p w14:paraId="513D9164" w14:textId="77777777" w:rsidR="00683931" w:rsidRPr="00C37CDF" w:rsidRDefault="00F26284" w:rsidP="002E5AD0">
      <w:pPr>
        <w:pStyle w:val="AltH1Ashurst"/>
        <w:numPr>
          <w:ilvl w:val="0"/>
          <w:numId w:val="48"/>
        </w:numPr>
        <w:rPr>
          <w:b/>
          <w:bCs/>
        </w:rPr>
      </w:pPr>
      <w:bookmarkStart w:id="64" w:name="_Toc190707097"/>
      <w:bookmarkStart w:id="65" w:name="_Toc190707147"/>
      <w:r w:rsidRPr="00C37CDF">
        <w:rPr>
          <w:b/>
          <w:bCs/>
        </w:rPr>
        <w:t>Introduction</w:t>
      </w:r>
      <w:bookmarkEnd w:id="64"/>
      <w:bookmarkEnd w:id="65"/>
      <w:r w:rsidRPr="00C37CDF">
        <w:rPr>
          <w:b/>
          <w:bCs/>
        </w:rPr>
        <w:t xml:space="preserve"> </w:t>
      </w:r>
    </w:p>
    <w:p w14:paraId="13D4751E" w14:textId="7EA883BE" w:rsidR="00F06283" w:rsidRPr="00585A3E" w:rsidRDefault="00F26284" w:rsidP="00D03386">
      <w:pPr>
        <w:pStyle w:val="AltH2Ashurst"/>
        <w:rPr>
          <w:b/>
          <w:bCs/>
        </w:rPr>
      </w:pPr>
      <w:r w:rsidRPr="00585A3E">
        <w:t xml:space="preserve">The </w:t>
      </w:r>
      <w:r w:rsidR="00B34E77">
        <w:t>PSQ</w:t>
      </w:r>
      <w:r w:rsidRPr="00585A3E">
        <w:t xml:space="preserve"> sets out the rules for and conditions of expressing interest as well as guiding Applicants through the </w:t>
      </w:r>
      <w:r w:rsidR="00B34E77">
        <w:t>PSQ</w:t>
      </w:r>
      <w:r w:rsidRPr="00585A3E">
        <w:t xml:space="preserve"> process in order to ensure that </w:t>
      </w:r>
      <w:r w:rsidR="00B34E77">
        <w:t>PSQ</w:t>
      </w:r>
      <w:r w:rsidR="00F66CF0" w:rsidRPr="00585A3E">
        <w:t xml:space="preserve"> response</w:t>
      </w:r>
      <w:r w:rsidRPr="00585A3E">
        <w:t>s are both compliant and comprehensive.</w:t>
      </w:r>
      <w:r w:rsidR="00AD5C49">
        <w:t xml:space="preserve"> </w:t>
      </w:r>
      <w:r w:rsidRPr="00585A3E">
        <w:t xml:space="preserve"> Without limiting any other provision in this </w:t>
      </w:r>
      <w:r w:rsidR="00B34E77">
        <w:t>PSQ</w:t>
      </w:r>
      <w:r w:rsidRPr="00585A3E">
        <w:t>, Applicants who breach any of these conditions may be rejected.</w:t>
      </w:r>
      <w:r w:rsidR="00AD5C49">
        <w:t xml:space="preserve"> </w:t>
      </w:r>
      <w:r w:rsidRPr="00585A3E">
        <w:t xml:space="preserve"> Applicants are strongly advised to make sure that </w:t>
      </w:r>
      <w:r w:rsidR="004B786A" w:rsidRPr="00585A3E">
        <w:t>each person</w:t>
      </w:r>
      <w:r w:rsidR="00B12A20" w:rsidRPr="00585A3E">
        <w:t xml:space="preserve"> </w:t>
      </w:r>
      <w:r w:rsidRPr="00585A3E">
        <w:t xml:space="preserve">involved in the preparation of </w:t>
      </w:r>
      <w:r w:rsidR="004B786A" w:rsidRPr="00585A3E">
        <w:t xml:space="preserve">its </w:t>
      </w:r>
      <w:r w:rsidR="00B34E77">
        <w:t>PSQ</w:t>
      </w:r>
      <w:r w:rsidR="00F66CF0" w:rsidRPr="00585A3E">
        <w:t xml:space="preserve"> response </w:t>
      </w:r>
      <w:r w:rsidRPr="00585A3E">
        <w:t>ha</w:t>
      </w:r>
      <w:r w:rsidR="004B786A" w:rsidRPr="00585A3E">
        <w:t>s</w:t>
      </w:r>
      <w:r w:rsidRPr="00585A3E">
        <w:t xml:space="preserve"> </w:t>
      </w:r>
      <w:r w:rsidR="004B786A" w:rsidRPr="00585A3E">
        <w:t>access to</w:t>
      </w:r>
      <w:r w:rsidRPr="00585A3E">
        <w:t xml:space="preserve"> the </w:t>
      </w:r>
      <w:r w:rsidR="00B34E77">
        <w:t>PSQ</w:t>
      </w:r>
      <w:r w:rsidRPr="00585A3E">
        <w:t xml:space="preserve"> as well as the accompanying Procurement Documents.</w:t>
      </w:r>
    </w:p>
    <w:p w14:paraId="589DB6AB" w14:textId="49537A50" w:rsidR="00F06283" w:rsidRPr="00585A3E" w:rsidRDefault="00F26284" w:rsidP="00D03386">
      <w:pPr>
        <w:pStyle w:val="AltH2Ashurst"/>
      </w:pPr>
      <w:r w:rsidRPr="00585A3E">
        <w:t xml:space="preserve">This </w:t>
      </w:r>
      <w:r w:rsidR="00B34E77">
        <w:t>PSQ</w:t>
      </w:r>
      <w:r w:rsidRPr="00585A3E">
        <w:t xml:space="preserve"> is provided only to those Applicants who have expressed interest in </w:t>
      </w:r>
      <w:r w:rsidR="00BA1274" w:rsidRPr="00585A3E">
        <w:t xml:space="preserve">the </w:t>
      </w:r>
      <w:r w:rsidR="000476CD" w:rsidRPr="00585A3E">
        <w:t>Contract</w:t>
      </w:r>
      <w:r w:rsidRPr="00585A3E">
        <w:t xml:space="preserve">. </w:t>
      </w:r>
      <w:r w:rsidR="00AD5C49">
        <w:t xml:space="preserve"> </w:t>
      </w:r>
      <w:r w:rsidRPr="00585A3E">
        <w:t xml:space="preserve">The </w:t>
      </w:r>
      <w:r w:rsidR="00B34E77">
        <w:t>PSQ</w:t>
      </w:r>
      <w:r w:rsidRPr="00585A3E">
        <w:t xml:space="preserve"> is provided on</w:t>
      </w:r>
      <w:r w:rsidR="004B786A" w:rsidRPr="00585A3E">
        <w:t xml:space="preserve"> the</w:t>
      </w:r>
      <w:r w:rsidRPr="00585A3E">
        <w:t xml:space="preserve"> condition that it is used in connection with the </w:t>
      </w:r>
      <w:r w:rsidR="00B34E77">
        <w:t>PSQ</w:t>
      </w:r>
      <w:r w:rsidR="00F66CF0" w:rsidRPr="00585A3E">
        <w:t xml:space="preserve"> response </w:t>
      </w:r>
      <w:r w:rsidRPr="00585A3E">
        <w:t>and for no other purposes.</w:t>
      </w:r>
    </w:p>
    <w:p w14:paraId="3575B5DC" w14:textId="42840A5A" w:rsidR="00F06283" w:rsidRPr="00585A3E" w:rsidRDefault="00F26284" w:rsidP="00D03386">
      <w:pPr>
        <w:pStyle w:val="AltH2Ashurst"/>
      </w:pPr>
      <w:r>
        <w:t xml:space="preserve">Where any reference is made in this </w:t>
      </w:r>
      <w:r w:rsidR="00B34E77">
        <w:t>PSQ</w:t>
      </w:r>
      <w:r>
        <w:t xml:space="preserve"> to obtaining </w:t>
      </w:r>
      <w:r w:rsidR="0053020C">
        <w:t>GBE-N</w:t>
      </w:r>
      <w:r>
        <w:t xml:space="preserve">’s consent, any such consent shall be at </w:t>
      </w:r>
      <w:r w:rsidR="0053020C">
        <w:t>GBE-N</w:t>
      </w:r>
      <w:r>
        <w:t>’s sole and absolute discretion.</w:t>
      </w:r>
    </w:p>
    <w:p w14:paraId="7385D978" w14:textId="091C8727" w:rsidR="0096306F" w:rsidRPr="00585A3E" w:rsidRDefault="00F26284" w:rsidP="00A23DAF">
      <w:pPr>
        <w:pStyle w:val="AltH2Ashurst"/>
      </w:pPr>
      <w:r>
        <w:t>W</w:t>
      </w:r>
      <w:r w:rsidR="00F06283">
        <w:t xml:space="preserve">here it is stated </w:t>
      </w:r>
      <w:r>
        <w:t xml:space="preserve">in this </w:t>
      </w:r>
      <w:r w:rsidR="00B34E77">
        <w:t>PSQ</w:t>
      </w:r>
      <w:r>
        <w:t xml:space="preserve"> </w:t>
      </w:r>
      <w:r w:rsidR="00F06283">
        <w:t xml:space="preserve">that </w:t>
      </w:r>
      <w:r w:rsidR="0053020C">
        <w:t>GBE-N</w:t>
      </w:r>
      <w:r w:rsidR="00F06283">
        <w:t xml:space="preserve"> “may” take a particular action, “reserves its right” in relation to a particular action or give</w:t>
      </w:r>
      <w:r>
        <w:t>s</w:t>
      </w:r>
      <w:r w:rsidR="00F06283">
        <w:t xml:space="preserve"> consent, </w:t>
      </w:r>
      <w:r w:rsidR="0053020C">
        <w:t>GBE-N</w:t>
      </w:r>
      <w:r w:rsidR="00F06283">
        <w:t xml:space="preserve"> may take the relevant action, exercise the relevant right or give the relevant consent (or not, as the case may be) at its sole and absolute discretion to the extent permitted at law, but </w:t>
      </w:r>
      <w:r w:rsidR="0053020C">
        <w:t>GBE-N</w:t>
      </w:r>
      <w:r w:rsidR="00F06283">
        <w:t xml:space="preserve"> is under no obligation to do anything. </w:t>
      </w:r>
      <w:r w:rsidR="00AD5C49">
        <w:t xml:space="preserve"> </w:t>
      </w:r>
      <w:r w:rsidR="00F06283">
        <w:t xml:space="preserve">Where </w:t>
      </w:r>
      <w:r w:rsidR="0053020C">
        <w:t>GBE-N</w:t>
      </w:r>
      <w:r w:rsidR="00F06283">
        <w:t xml:space="preserve"> intends to take particular considerations into account when exercising its discretion, this is explained in the relevant section of the </w:t>
      </w:r>
      <w:r w:rsidR="00B34E77">
        <w:t>PSQ</w:t>
      </w:r>
      <w:r w:rsidR="00F06283">
        <w:t>.</w:t>
      </w:r>
    </w:p>
    <w:p w14:paraId="31811104" w14:textId="71911651" w:rsidR="00822BA3" w:rsidRPr="002C3D67" w:rsidRDefault="00F26284" w:rsidP="00D03386">
      <w:pPr>
        <w:pStyle w:val="AltH1Ashurst"/>
        <w:rPr>
          <w:b/>
          <w:bCs/>
        </w:rPr>
      </w:pPr>
      <w:bookmarkStart w:id="66" w:name="_Toc190707098"/>
      <w:bookmarkStart w:id="67" w:name="_Toc190707148"/>
      <w:r w:rsidRPr="002C3D67">
        <w:rPr>
          <w:b/>
          <w:bCs/>
        </w:rPr>
        <w:t>Evidence and self-certification</w:t>
      </w:r>
      <w:bookmarkEnd w:id="66"/>
      <w:bookmarkEnd w:id="67"/>
    </w:p>
    <w:p w14:paraId="62DA1928" w14:textId="3B197882" w:rsidR="00822BA3" w:rsidRPr="00585A3E" w:rsidRDefault="0053020C" w:rsidP="002C3D67">
      <w:pPr>
        <w:pStyle w:val="B12Ashurst"/>
      </w:pPr>
      <w:r>
        <w:t>GBE-N</w:t>
      </w:r>
      <w:r w:rsidR="00F26284">
        <w:t xml:space="preserve"> reserves the right to request evidence from Applicants to verify the self-declarations made by the Applicant before inviting any Applicant to </w:t>
      </w:r>
      <w:r w:rsidR="0003320A">
        <w:t xml:space="preserve">the </w:t>
      </w:r>
      <w:r w:rsidR="00CA14C9">
        <w:t>PSQ</w:t>
      </w:r>
      <w:r w:rsidR="0003320A">
        <w:t xml:space="preserve"> </w:t>
      </w:r>
      <w:r w:rsidR="00F26284">
        <w:t xml:space="preserve">stage. </w:t>
      </w:r>
      <w:r>
        <w:t>GBE-N</w:t>
      </w:r>
      <w:r w:rsidR="00F26284">
        <w:t xml:space="preserve"> also reserves the right to carry out a verification of self-certification from </w:t>
      </w:r>
      <w:r w:rsidR="300A7A57">
        <w:t>Applicant</w:t>
      </w:r>
      <w:r w:rsidR="00F26284">
        <w:t>s before any award decision is complete or before any award decision is taken</w:t>
      </w:r>
      <w:r w:rsidR="0003320A">
        <w:t>.</w:t>
      </w:r>
    </w:p>
    <w:p w14:paraId="70F4D4D7" w14:textId="77777777" w:rsidR="0096306F" w:rsidRPr="002C3D67" w:rsidRDefault="00F26284" w:rsidP="00D03386">
      <w:pPr>
        <w:pStyle w:val="AltH1Ashurst"/>
        <w:rPr>
          <w:b/>
          <w:bCs/>
          <w:szCs w:val="20"/>
        </w:rPr>
      </w:pPr>
      <w:bookmarkStart w:id="68" w:name="_Toc190707099"/>
      <w:bookmarkStart w:id="69" w:name="_Toc190707149"/>
      <w:r w:rsidRPr="002C3D67">
        <w:rPr>
          <w:b/>
          <w:bCs/>
          <w:szCs w:val="20"/>
        </w:rPr>
        <w:t>Applicants</w:t>
      </w:r>
      <w:bookmarkEnd w:id="68"/>
      <w:bookmarkEnd w:id="69"/>
    </w:p>
    <w:p w14:paraId="7B962CDF" w14:textId="77BDCF10" w:rsidR="0096306F" w:rsidRPr="00585A3E" w:rsidRDefault="0053020C" w:rsidP="00D03386">
      <w:pPr>
        <w:pStyle w:val="AltH2Ashurst"/>
      </w:pPr>
      <w:r>
        <w:t>GBE-N</w:t>
      </w:r>
      <w:r w:rsidR="00F26284">
        <w:t xml:space="preserve"> is keen to ensure that the opportunity presented by this procurement process is open to a wide market and that there is adequate competition. </w:t>
      </w:r>
    </w:p>
    <w:p w14:paraId="4B444F16" w14:textId="7F0EB908" w:rsidR="0096306F" w:rsidRPr="00585A3E" w:rsidRDefault="00F26284" w:rsidP="00D03386">
      <w:pPr>
        <w:pStyle w:val="AltH2Ashurst"/>
      </w:pPr>
      <w:r w:rsidRPr="00585A3E">
        <w:t>The resources, range and depth of skills needed to perform the</w:t>
      </w:r>
      <w:r w:rsidR="005D032E">
        <w:t xml:space="preserve"> Owner's Engineer</w:t>
      </w:r>
      <w:r w:rsidRPr="00585A3E">
        <w:t xml:space="preserve"> role are such that Applicants may wish to form Consortia </w:t>
      </w:r>
      <w:r w:rsidR="37825188" w:rsidRPr="00585A3E">
        <w:t>and/or to rely</w:t>
      </w:r>
      <w:r w:rsidRPr="00585A3E">
        <w:t xml:space="preserve"> on subcontractors to deliver elements of the works and/or services. </w:t>
      </w:r>
      <w:r w:rsidR="00AD5C49">
        <w:t xml:space="preserve"> </w:t>
      </w:r>
      <w:r w:rsidRPr="00585A3E">
        <w:t>This may, for example, apply to organisations who consider that on their own they do not have the capacity to perform the Contract and wish to rely on the capacity or capacities of others.</w:t>
      </w:r>
    </w:p>
    <w:p w14:paraId="169AE45F" w14:textId="3E527E32" w:rsidR="0096306F" w:rsidRPr="004E7A6C" w:rsidRDefault="00F26284" w:rsidP="00D03386">
      <w:pPr>
        <w:pStyle w:val="AltH1Ashurst"/>
        <w:rPr>
          <w:b/>
          <w:bCs/>
          <w:szCs w:val="20"/>
        </w:rPr>
      </w:pPr>
      <w:bookmarkStart w:id="70" w:name="_Toc190707100"/>
      <w:bookmarkStart w:id="71" w:name="_Toc190707150"/>
      <w:r>
        <w:rPr>
          <w:b/>
          <w:bCs/>
          <w:szCs w:val="20"/>
        </w:rPr>
        <w:t>PSQ</w:t>
      </w:r>
      <w:r w:rsidRPr="004E7A6C">
        <w:rPr>
          <w:b/>
          <w:bCs/>
          <w:szCs w:val="20"/>
        </w:rPr>
        <w:t xml:space="preserve"> responses from single entities are also welcome</w:t>
      </w:r>
      <w:bookmarkEnd w:id="70"/>
      <w:bookmarkEnd w:id="71"/>
    </w:p>
    <w:p w14:paraId="4F37E122" w14:textId="22881D37" w:rsidR="0096306F" w:rsidRPr="00585A3E" w:rsidRDefault="00F26284" w:rsidP="00D03386">
      <w:pPr>
        <w:pStyle w:val="AltH2Ashurst"/>
      </w:pPr>
      <w:r w:rsidRPr="00585A3E">
        <w:t xml:space="preserve">Instructions on expressing interest as Consortia are set out in </w:t>
      </w:r>
      <w:r w:rsidR="00B34E77">
        <w:t>PSQ</w:t>
      </w:r>
      <w:r w:rsidRPr="00585A3E">
        <w:t xml:space="preserve"> Section </w:t>
      </w:r>
      <w:r w:rsidR="00651CF2">
        <w:t>G</w:t>
      </w:r>
      <w:r w:rsidR="00651CF2" w:rsidRPr="00585A3E">
        <w:t xml:space="preserve"> </w:t>
      </w:r>
      <w:r w:rsidRPr="00585A3E">
        <w:t>below.</w:t>
      </w:r>
    </w:p>
    <w:p w14:paraId="2DC4C047" w14:textId="7B65C91B" w:rsidR="0096306F" w:rsidRPr="00585A3E" w:rsidRDefault="00F26284" w:rsidP="00D03386">
      <w:pPr>
        <w:pStyle w:val="AltH2Ashurst"/>
      </w:pPr>
      <w:r w:rsidRPr="00585A3E">
        <w:t xml:space="preserve">For the purposes of responding to the </w:t>
      </w:r>
      <w:r w:rsidR="00B34E77">
        <w:t>PSQ</w:t>
      </w:r>
      <w:r w:rsidRPr="00585A3E">
        <w:t>, Applicants may rely on subcontractors to demonstrate evidence of technical and professional abilities to provide the works and services.</w:t>
      </w:r>
    </w:p>
    <w:p w14:paraId="70111EFC" w14:textId="78986EE3" w:rsidR="0096306F" w:rsidRPr="00585A3E" w:rsidRDefault="00F26284" w:rsidP="00D03386">
      <w:pPr>
        <w:pStyle w:val="AltH2Ashurst"/>
      </w:pPr>
      <w:r w:rsidRPr="00585A3E">
        <w:t>Applicants (including Consortia and any parties to a Consorti</w:t>
      </w:r>
      <w:r w:rsidR="0003320A" w:rsidRPr="00585A3E">
        <w:t>um</w:t>
      </w:r>
      <w:r w:rsidRPr="00585A3E">
        <w:t xml:space="preserve">) may only submit one </w:t>
      </w:r>
      <w:r w:rsidR="00B34E77">
        <w:t>PSQ</w:t>
      </w:r>
      <w:r w:rsidRPr="00585A3E">
        <w:t xml:space="preserve"> response.</w:t>
      </w:r>
    </w:p>
    <w:p w14:paraId="687AA239" w14:textId="77777777" w:rsidR="00380C58" w:rsidRPr="002C3D67" w:rsidRDefault="00F26284" w:rsidP="00D03386">
      <w:pPr>
        <w:pStyle w:val="AltH1Ashurst"/>
        <w:rPr>
          <w:b/>
          <w:bCs/>
        </w:rPr>
      </w:pPr>
      <w:bookmarkStart w:id="72" w:name="_Toc190707101"/>
      <w:bookmarkStart w:id="73" w:name="_Toc190707151"/>
      <w:r w:rsidRPr="002C3D67">
        <w:rPr>
          <w:b/>
          <w:bCs/>
        </w:rPr>
        <w:t>Contract value</w:t>
      </w:r>
      <w:bookmarkEnd w:id="72"/>
      <w:bookmarkEnd w:id="73"/>
    </w:p>
    <w:p w14:paraId="745335A4" w14:textId="591C3005" w:rsidR="00380C58" w:rsidRPr="00585A3E" w:rsidRDefault="00F26284" w:rsidP="002C3D67">
      <w:pPr>
        <w:pStyle w:val="B12Ashurst"/>
      </w:pPr>
      <w:r w:rsidRPr="00585A3E">
        <w:t xml:space="preserve">For the avoidance of doubt, the stated contract value is the estimated value of the Contract opportunity to the market </w:t>
      </w:r>
      <w:r w:rsidR="5616E679" w:rsidRPr="00585A3E">
        <w:t>excluding</w:t>
      </w:r>
      <w:r w:rsidRPr="00585A3E">
        <w:t xml:space="preserve"> VAT </w:t>
      </w:r>
      <w:r w:rsidR="006719C2" w:rsidRPr="00585A3E">
        <w:t xml:space="preserve">as stated in the </w:t>
      </w:r>
      <w:r w:rsidR="00EA7CB2">
        <w:t>Tender</w:t>
      </w:r>
      <w:r w:rsidR="0052382F" w:rsidRPr="00585A3E">
        <w:t xml:space="preserve"> Notice and </w:t>
      </w:r>
      <w:r w:rsidR="00FD0BA5" w:rsidRPr="00585A3E">
        <w:t xml:space="preserve">FTS Notice </w:t>
      </w:r>
      <w:r w:rsidRPr="00585A3E">
        <w:t>Applicants should be aware that the actual value of the Contract may be different and may be higher or lower than the estimated value since the actual value will depend on a number of factors</w:t>
      </w:r>
      <w:r w:rsidR="00B46C13" w:rsidRPr="00585A3E">
        <w:t xml:space="preserve">.  Further information is provided within the </w:t>
      </w:r>
      <w:r w:rsidR="00EA7CB2">
        <w:t>Tender</w:t>
      </w:r>
      <w:r w:rsidR="00B46C13" w:rsidRPr="00585A3E">
        <w:t xml:space="preserve"> Notice. </w:t>
      </w:r>
    </w:p>
    <w:p w14:paraId="5BDE966B" w14:textId="4BF2C50A" w:rsidR="0096306F" w:rsidRPr="00985FAE" w:rsidRDefault="00F26284" w:rsidP="00985FAE">
      <w:pPr>
        <w:pStyle w:val="AltH1Ashurst"/>
        <w:rPr>
          <w:b/>
          <w:bCs/>
        </w:rPr>
      </w:pPr>
      <w:bookmarkStart w:id="74" w:name="_Toc190707102"/>
      <w:bookmarkStart w:id="75" w:name="_Toc190707152"/>
      <w:r>
        <w:rPr>
          <w:b/>
          <w:bCs/>
        </w:rPr>
        <w:t>Consortia</w:t>
      </w:r>
      <w:r w:rsidRPr="00585A3E">
        <w:t xml:space="preserve"> </w:t>
      </w:r>
      <w:r w:rsidRPr="00985FAE">
        <w:rPr>
          <w:b/>
          <w:bCs/>
        </w:rPr>
        <w:t>and relying on capacities of other entities</w:t>
      </w:r>
      <w:bookmarkEnd w:id="74"/>
      <w:bookmarkEnd w:id="75"/>
    </w:p>
    <w:p w14:paraId="053D5DDE" w14:textId="77777777" w:rsidR="0096306F" w:rsidRPr="00585A3E" w:rsidRDefault="00F26284" w:rsidP="00D03386">
      <w:pPr>
        <w:pStyle w:val="AltH2Ashurst"/>
        <w:rPr>
          <w:rFonts w:cstheme="minorHAnsi"/>
          <w:szCs w:val="20"/>
        </w:rPr>
      </w:pPr>
      <w:r w:rsidRPr="002C3D67">
        <w:t>The following in</w:t>
      </w:r>
      <w:r w:rsidRPr="00585A3E">
        <w:rPr>
          <w:rFonts w:cstheme="minorHAnsi"/>
          <w:szCs w:val="20"/>
        </w:rPr>
        <w:t>structions apply only to Applicants submitting as a Consortium:</w:t>
      </w:r>
    </w:p>
    <w:p w14:paraId="1E46BCB5" w14:textId="3B609480" w:rsidR="0096306F" w:rsidRPr="00585A3E" w:rsidRDefault="00F26284" w:rsidP="00D03386">
      <w:pPr>
        <w:pStyle w:val="AltH3Ashurst"/>
      </w:pPr>
      <w:r w:rsidRPr="00585A3E">
        <w:t xml:space="preserve">Lead </w:t>
      </w:r>
      <w:r w:rsidR="79BDD3EB" w:rsidRPr="00585A3E">
        <w:t>Applicant</w:t>
      </w:r>
      <w:r w:rsidRPr="00585A3E">
        <w:t xml:space="preserve"> must be identified that shall submit a </w:t>
      </w:r>
      <w:r w:rsidR="00B34E77">
        <w:t>PSQ</w:t>
      </w:r>
      <w:r w:rsidRPr="00585A3E">
        <w:t xml:space="preserve"> response on behalf of all </w:t>
      </w:r>
      <w:r w:rsidR="3F544EC2" w:rsidRPr="00585A3E">
        <w:t>Members</w:t>
      </w:r>
      <w:r w:rsidRPr="00585A3E">
        <w:t xml:space="preserve"> (the </w:t>
      </w:r>
      <w:r w:rsidR="00B34E77">
        <w:t>PSQ</w:t>
      </w:r>
      <w:r w:rsidRPr="00585A3E">
        <w:t xml:space="preserve"> sets out which responses need only be provided by the Lead </w:t>
      </w:r>
      <w:r w:rsidR="05E26FD1" w:rsidRPr="00585A3E">
        <w:t>Applicant</w:t>
      </w:r>
      <w:r w:rsidRPr="00585A3E">
        <w:t xml:space="preserve"> on behalf of the Consortium and those which need to be provided by each </w:t>
      </w:r>
      <w:r w:rsidR="5F3B9596" w:rsidRPr="00585A3E">
        <w:t>Member</w:t>
      </w:r>
      <w:r w:rsidRPr="00585A3E">
        <w:t>).</w:t>
      </w:r>
    </w:p>
    <w:p w14:paraId="1AC221EE" w14:textId="196FEB56" w:rsidR="0096306F" w:rsidRPr="00585A3E" w:rsidRDefault="00F26284" w:rsidP="00D03386">
      <w:pPr>
        <w:pStyle w:val="AltH3Ashurst"/>
      </w:pPr>
      <w:r>
        <w:t xml:space="preserve">The Lead </w:t>
      </w:r>
      <w:r w:rsidR="47EA73B0">
        <w:t>Applicant</w:t>
      </w:r>
      <w:r>
        <w:t xml:space="preserve"> shall be responsible for all communication with </w:t>
      </w:r>
      <w:r w:rsidR="0053020C">
        <w:t>GBE-N</w:t>
      </w:r>
      <w:r>
        <w:t xml:space="preserve"> during the procurement process.</w:t>
      </w:r>
    </w:p>
    <w:p w14:paraId="249C6774" w14:textId="38E71A0B" w:rsidR="0096306F" w:rsidRPr="00585A3E" w:rsidRDefault="00F26284" w:rsidP="00D03386">
      <w:pPr>
        <w:pStyle w:val="AltH3Ashurst"/>
      </w:pPr>
      <w:r w:rsidRPr="00585A3E">
        <w:t xml:space="preserve">As part of its </w:t>
      </w:r>
      <w:r w:rsidR="00B34E77">
        <w:t>PSQ</w:t>
      </w:r>
      <w:r w:rsidRPr="00585A3E">
        <w:t xml:space="preserve"> response, the Applicant must submit a structure diagram identifying the roles and relationships between the Parties, including all relevant companies, their respective parent and if applicable ultimate holding company(</w:t>
      </w:r>
      <w:proofErr w:type="spellStart"/>
      <w:r w:rsidRPr="00585A3E">
        <w:t>ies</w:t>
      </w:r>
      <w:proofErr w:type="spellEnd"/>
      <w:r w:rsidRPr="00585A3E">
        <w:t xml:space="preserve">). </w:t>
      </w:r>
      <w:r w:rsidR="00AD5C49">
        <w:t xml:space="preserve"> </w:t>
      </w:r>
      <w:r w:rsidRPr="00585A3E">
        <w:t xml:space="preserve">The structure should ensure that, as a minimum, it identifies the entity or entities who are being relied upon to meet the economic and financial standing or any other Minimum Standard laid out the </w:t>
      </w:r>
      <w:r w:rsidR="00B34E77">
        <w:t>PSQ</w:t>
      </w:r>
      <w:r w:rsidRPr="00585A3E">
        <w:t xml:space="preserve">. </w:t>
      </w:r>
    </w:p>
    <w:p w14:paraId="1F398544" w14:textId="717A8DC3" w:rsidR="0096306F" w:rsidRPr="00585A3E" w:rsidRDefault="00F26284" w:rsidP="00D03386">
      <w:pPr>
        <w:pStyle w:val="AltH3Ashurst"/>
      </w:pPr>
      <w:r>
        <w:t xml:space="preserve">If awarded a Contract, each of the Parties </w:t>
      </w:r>
      <w:r w:rsidR="00FA4776">
        <w:t xml:space="preserve">to </w:t>
      </w:r>
      <w:r>
        <w:t xml:space="preserve">the Consortium shall be jointly and severally responsible for the due performance of the Contract with </w:t>
      </w:r>
      <w:r w:rsidR="0053020C">
        <w:t>GBE-N</w:t>
      </w:r>
      <w:r>
        <w:t>.</w:t>
      </w:r>
    </w:p>
    <w:p w14:paraId="7CBA370C" w14:textId="4471C149" w:rsidR="0096306F" w:rsidRPr="00585A3E" w:rsidRDefault="00F26284" w:rsidP="00D03386">
      <w:pPr>
        <w:pStyle w:val="AltH3Ashurst"/>
      </w:pPr>
      <w:r w:rsidRPr="00585A3E">
        <w:t xml:space="preserve">Applicants (including any Parties to a Consortium) who are expressing an interest as a Consortium may only submit one </w:t>
      </w:r>
      <w:r w:rsidR="00B34E77">
        <w:t>PSQ</w:t>
      </w:r>
      <w:r w:rsidRPr="00585A3E">
        <w:t xml:space="preserve"> response although some </w:t>
      </w:r>
      <w:r w:rsidR="00B34E77">
        <w:t>PSQ</w:t>
      </w:r>
      <w:r w:rsidRPr="00585A3E">
        <w:t xml:space="preserve"> Questions require each </w:t>
      </w:r>
      <w:r w:rsidR="21F9DB53" w:rsidRPr="00585A3E">
        <w:t>Member</w:t>
      </w:r>
      <w:r w:rsidRPr="00585A3E">
        <w:t xml:space="preserve"> in a Consortium to provide a response as explained further in this </w:t>
      </w:r>
      <w:r w:rsidR="00B34E77">
        <w:t>PSQ</w:t>
      </w:r>
      <w:r w:rsidRPr="00585A3E">
        <w:t>.</w:t>
      </w:r>
    </w:p>
    <w:p w14:paraId="0EDED427" w14:textId="1ADE4677" w:rsidR="0096306F" w:rsidRPr="00585A3E" w:rsidRDefault="0053020C" w:rsidP="00D03386">
      <w:pPr>
        <w:pStyle w:val="AltH2Ashurst"/>
      </w:pPr>
      <w:r>
        <w:t>GBE-N</w:t>
      </w:r>
      <w:r w:rsidR="00F26284">
        <w:t xml:space="preserve"> does not require those Consortia, who intend to do so, to form a single legal entity at the </w:t>
      </w:r>
      <w:r w:rsidR="00B34E77">
        <w:t>PSQ</w:t>
      </w:r>
      <w:r w:rsidR="00F26284">
        <w:t xml:space="preserve"> phase. </w:t>
      </w:r>
      <w:r w:rsidR="00AD5C49">
        <w:t xml:space="preserve"> </w:t>
      </w:r>
      <w:r>
        <w:t>GBE-N</w:t>
      </w:r>
      <w:r w:rsidR="00F26284">
        <w:t xml:space="preserve"> will consider contracting with a Consortium, provided always that the Parties in any unincorporated Consortium are jointly and severally liable for all of the obligations and liabilities of the Consortium under the Contract.</w:t>
      </w:r>
      <w:r w:rsidR="00AD5C49">
        <w:t xml:space="preserve"> </w:t>
      </w:r>
      <w:r w:rsidR="00F26284">
        <w:t xml:space="preserve"> The nature of the Contractor, assumption of liability and the terms of any </w:t>
      </w:r>
      <w:r w:rsidR="0FBF393E">
        <w:t xml:space="preserve">parent company </w:t>
      </w:r>
      <w:proofErr w:type="gramStart"/>
      <w:r w:rsidR="0FBF393E">
        <w:t>guarantee</w:t>
      </w:r>
      <w:proofErr w:type="gramEnd"/>
      <w:r w:rsidR="00F26284">
        <w:t xml:space="preserve"> or </w:t>
      </w:r>
      <w:r w:rsidR="0B286CDD">
        <w:t>g</w:t>
      </w:r>
      <w:r w:rsidR="00F26284">
        <w:t xml:space="preserve">uarantees will be specified and defined at </w:t>
      </w:r>
      <w:r w:rsidR="005D032E">
        <w:t xml:space="preserve">ITT </w:t>
      </w:r>
      <w:r w:rsidR="00F26284">
        <w:t xml:space="preserve">stage and </w:t>
      </w:r>
      <w:r>
        <w:t>GBE-N</w:t>
      </w:r>
      <w:r w:rsidR="00F26284">
        <w:t xml:space="preserve">'s detailed requirements in this regard will be set out in the </w:t>
      </w:r>
      <w:r w:rsidR="005D032E">
        <w:t>ITT</w:t>
      </w:r>
      <w:r w:rsidR="00F26284">
        <w:t>.</w:t>
      </w:r>
    </w:p>
    <w:p w14:paraId="157D9B56" w14:textId="4843DF18" w:rsidR="0096306F" w:rsidRPr="00585A3E" w:rsidRDefault="00F26284" w:rsidP="00D03386">
      <w:pPr>
        <w:pStyle w:val="AltH2Ashurst"/>
      </w:pPr>
      <w:r>
        <w:t xml:space="preserve">Where the Applicant </w:t>
      </w:r>
      <w:r w:rsidR="00CB5284">
        <w:t xml:space="preserve">is </w:t>
      </w:r>
      <w:r>
        <w:t>a Consorti</w:t>
      </w:r>
      <w:r w:rsidR="00AD5C49">
        <w:t>um</w:t>
      </w:r>
      <w:r>
        <w:t xml:space="preserve"> and the Applicant wishes the </w:t>
      </w:r>
      <w:r w:rsidR="00B34E77">
        <w:t>PSQ</w:t>
      </w:r>
      <w:r>
        <w:t xml:space="preserve"> response to be assessed accordingly, all Parties in any such proposed Consortium must complete the </w:t>
      </w:r>
      <w:r w:rsidR="00B34E77">
        <w:t>PSQ</w:t>
      </w:r>
      <w:r>
        <w:t xml:space="preserve"> response as explained in this </w:t>
      </w:r>
      <w:r w:rsidR="00B34E77">
        <w:t>PSQ</w:t>
      </w:r>
      <w:r>
        <w:t xml:space="preserve">. </w:t>
      </w:r>
      <w:r w:rsidR="00AD5C49">
        <w:t xml:space="preserve"> </w:t>
      </w:r>
      <w:r>
        <w:t xml:space="preserve">For the purposes of assessment, as detailed in the </w:t>
      </w:r>
      <w:r w:rsidR="00B34E77">
        <w:t>PSQ</w:t>
      </w:r>
      <w:r>
        <w:t xml:space="preserve">, where </w:t>
      </w:r>
      <w:r w:rsidR="0053020C">
        <w:t>GBE-N</w:t>
      </w:r>
      <w:r>
        <w:t xml:space="preserve"> requires information about each Party</w:t>
      </w:r>
      <w:r w:rsidR="00AD5C49">
        <w:t xml:space="preserve"> </w:t>
      </w:r>
      <w:r w:rsidR="0343CCB5">
        <w:t>Member</w:t>
      </w:r>
      <w:r>
        <w:t xml:space="preserve"> in any proposed Consortium, each </w:t>
      </w:r>
      <w:r w:rsidR="0FF4561C">
        <w:t>Member</w:t>
      </w:r>
      <w:r>
        <w:t xml:space="preserve"> is required to complete the relevant </w:t>
      </w:r>
      <w:r w:rsidR="00B34E77">
        <w:t>PSQ</w:t>
      </w:r>
      <w:r>
        <w:t xml:space="preserve"> Questions and to submit any supplemental documents as indicated.</w:t>
      </w:r>
    </w:p>
    <w:p w14:paraId="0EBCEA71" w14:textId="06E75EFD" w:rsidR="0096306F" w:rsidRPr="00585A3E" w:rsidRDefault="00F26284" w:rsidP="00D03386">
      <w:pPr>
        <w:pStyle w:val="AltH2Ashurst"/>
      </w:pPr>
      <w:r w:rsidRPr="00585A3E">
        <w:t xml:space="preserve">Subject to the terms of </w:t>
      </w:r>
      <w:r w:rsidR="00263692" w:rsidRPr="00585A3E">
        <w:t xml:space="preserve">and guidance in </w:t>
      </w:r>
      <w:r w:rsidRPr="00585A3E">
        <w:t xml:space="preserve">this </w:t>
      </w:r>
      <w:r w:rsidR="00B34E77">
        <w:t>PSQ</w:t>
      </w:r>
      <w:r w:rsidRPr="00585A3E">
        <w:t xml:space="preserve">, Applicants who are expressing interest as a Consortium may rely on the capacity and abilities of an individual </w:t>
      </w:r>
      <w:r w:rsidR="621CBA91" w:rsidRPr="00585A3E">
        <w:t>Member</w:t>
      </w:r>
      <w:r w:rsidRPr="00585A3E">
        <w:t xml:space="preserve"> or </w:t>
      </w:r>
      <w:r w:rsidR="146C05D3" w:rsidRPr="00585A3E">
        <w:t>Members</w:t>
      </w:r>
      <w:r w:rsidRPr="00585A3E">
        <w:t xml:space="preserve"> in a Consortium. </w:t>
      </w:r>
      <w:r w:rsidR="00AD5C49">
        <w:t xml:space="preserve"> </w:t>
      </w:r>
      <w:r w:rsidRPr="00585A3E">
        <w:t xml:space="preserve">Applicants must follow the guidance given in this </w:t>
      </w:r>
      <w:r w:rsidR="00B34E77">
        <w:t>PSQ</w:t>
      </w:r>
      <w:r w:rsidR="00AD5C49">
        <w:t xml:space="preserve"> Instructions</w:t>
      </w:r>
      <w:r w:rsidRPr="00585A3E">
        <w:t xml:space="preserve"> and in the </w:t>
      </w:r>
      <w:r w:rsidR="00B34E77">
        <w:t>PSQ</w:t>
      </w:r>
      <w:r w:rsidRPr="00585A3E">
        <w:t xml:space="preserve"> itself about how to complete each </w:t>
      </w:r>
      <w:r w:rsidR="00B34E77">
        <w:t>PSQ</w:t>
      </w:r>
      <w:r w:rsidRPr="00585A3E">
        <w:t xml:space="preserve"> </w:t>
      </w:r>
      <w:r w:rsidR="7FB7F26A" w:rsidRPr="00585A3E">
        <w:t>q</w:t>
      </w:r>
      <w:r w:rsidRPr="00585A3E">
        <w:t xml:space="preserve">uestion. </w:t>
      </w:r>
      <w:r w:rsidR="00AD5C49">
        <w:t xml:space="preserve"> </w:t>
      </w:r>
      <w:r w:rsidRPr="00585A3E">
        <w:t xml:space="preserve">Some </w:t>
      </w:r>
      <w:r w:rsidR="00B34E77">
        <w:t>PSQ</w:t>
      </w:r>
      <w:r w:rsidRPr="00585A3E">
        <w:t xml:space="preserve"> </w:t>
      </w:r>
      <w:r w:rsidR="3BC37279" w:rsidRPr="00585A3E">
        <w:t>q</w:t>
      </w:r>
      <w:r w:rsidRPr="00585A3E">
        <w:t xml:space="preserve">uestions require a combined response on behalf of the Consortium as a whole and others require responses relating to each </w:t>
      </w:r>
      <w:r w:rsidR="7D503558" w:rsidRPr="00585A3E">
        <w:t>Member</w:t>
      </w:r>
      <w:r w:rsidRPr="00585A3E">
        <w:t xml:space="preserve"> in a Consortium.</w:t>
      </w:r>
    </w:p>
    <w:p w14:paraId="007AAD5F" w14:textId="4D5FAE4D" w:rsidR="0096306F" w:rsidRPr="00585A3E" w:rsidRDefault="00F26284" w:rsidP="00D03386">
      <w:pPr>
        <w:pStyle w:val="AltH2Ashurst"/>
      </w:pPr>
      <w:r w:rsidRPr="00585A3E">
        <w:t xml:space="preserve">If the Applicant </w:t>
      </w:r>
      <w:r w:rsidR="004A425B" w:rsidRPr="00585A3E">
        <w:t>is</w:t>
      </w:r>
      <w:r w:rsidRPr="00585A3E">
        <w:t xml:space="preserve"> a Consortium, the following information must be provided within the </w:t>
      </w:r>
      <w:r w:rsidR="00B34E77">
        <w:t>PSQ</w:t>
      </w:r>
      <w:r w:rsidRPr="00585A3E">
        <w:t xml:space="preserve"> response </w:t>
      </w:r>
      <w:r w:rsidR="004A425B" w:rsidRPr="00585A3E">
        <w:t>at</w:t>
      </w:r>
      <w:r w:rsidRPr="00585A3E">
        <w:t xml:space="preserve"> </w:t>
      </w:r>
      <w:r w:rsidR="00651CF2">
        <w:t>Part 1</w:t>
      </w:r>
      <w:r w:rsidRPr="00585A3E">
        <w:t>:</w:t>
      </w:r>
    </w:p>
    <w:p w14:paraId="7D59D173" w14:textId="77777777" w:rsidR="0096306F" w:rsidRPr="00585A3E" w:rsidRDefault="00F26284" w:rsidP="00D03386">
      <w:pPr>
        <w:pStyle w:val="AltH3Ashurst"/>
      </w:pPr>
      <w:r w:rsidRPr="00585A3E">
        <w:t xml:space="preserve">names of all Consortium </w:t>
      </w:r>
      <w:proofErr w:type="gramStart"/>
      <w:r w:rsidRPr="00585A3E">
        <w:t>members;</w:t>
      </w:r>
      <w:proofErr w:type="gramEnd"/>
    </w:p>
    <w:p w14:paraId="79C534F7" w14:textId="40B1C05F" w:rsidR="0096306F" w:rsidRPr="00585A3E" w:rsidRDefault="00F26284" w:rsidP="00D03386">
      <w:pPr>
        <w:pStyle w:val="AltH3Ashurst"/>
      </w:pPr>
      <w:r w:rsidRPr="00585A3E">
        <w:t xml:space="preserve">the lead member of the Consortium (the “Lead </w:t>
      </w:r>
      <w:r w:rsidR="107BB349" w:rsidRPr="00585A3E">
        <w:t>Applicant</w:t>
      </w:r>
      <w:r w:rsidRPr="00585A3E">
        <w:t>”); and</w:t>
      </w:r>
    </w:p>
    <w:p w14:paraId="1D8DEDC8" w14:textId="484F66B9" w:rsidR="0096306F" w:rsidRPr="00C616EF" w:rsidRDefault="00F26284" w:rsidP="00D03386">
      <w:pPr>
        <w:pStyle w:val="AltH3Ashurst"/>
      </w:pPr>
      <w:r w:rsidRPr="00585A3E">
        <w:t>if the Consortium is not proposing to form a new legal entity (e.g.</w:t>
      </w:r>
      <w:r w:rsidR="004A425B" w:rsidRPr="00585A3E">
        <w:t>,</w:t>
      </w:r>
      <w:r w:rsidRPr="00585A3E">
        <w:t xml:space="preserve"> an incorporated joint venture), full details of the proposed arrangements within a separate attachment to the </w:t>
      </w:r>
      <w:r w:rsidR="00B34E77">
        <w:t>PSQ</w:t>
      </w:r>
      <w:r w:rsidRPr="00585A3E">
        <w:t xml:space="preserve"> response to be uploaded to the attachments area of the </w:t>
      </w:r>
      <w:r w:rsidR="000528A7" w:rsidRPr="00C616EF">
        <w:t>Jaggaer</w:t>
      </w:r>
      <w:r w:rsidRPr="00C616EF">
        <w:t xml:space="preserve"> </w:t>
      </w:r>
      <w:proofErr w:type="spellStart"/>
      <w:r w:rsidRPr="00C616EF">
        <w:t>eSourcing</w:t>
      </w:r>
      <w:proofErr w:type="spellEnd"/>
      <w:r w:rsidRPr="00C616EF">
        <w:t xml:space="preserve"> Portal.</w:t>
      </w:r>
    </w:p>
    <w:p w14:paraId="68E7C37B" w14:textId="662039CB" w:rsidR="0096306F" w:rsidRPr="00585A3E" w:rsidRDefault="00F26284" w:rsidP="00D03386">
      <w:pPr>
        <w:pStyle w:val="AltH2Ashurst"/>
      </w:pPr>
      <w:r>
        <w:t xml:space="preserve">Applicants should note that </w:t>
      </w:r>
      <w:r w:rsidR="0053020C">
        <w:t>GBE-N</w:t>
      </w:r>
      <w:r>
        <w:t xml:space="preserve"> may require the Consortium to assume a specific legal form if awarded the Contract, to the extent that a specific legal form is deemed </w:t>
      </w:r>
      <w:r w:rsidR="004A425B">
        <w:t xml:space="preserve">necessary </w:t>
      </w:r>
      <w:r>
        <w:t xml:space="preserve">by </w:t>
      </w:r>
      <w:r w:rsidR="0053020C">
        <w:t>GBE-N</w:t>
      </w:r>
      <w:r>
        <w:t xml:space="preserve"> for the satisfactory performance of the Contract. </w:t>
      </w:r>
    </w:p>
    <w:p w14:paraId="1E433DDF" w14:textId="7E8818D5" w:rsidR="0096306F" w:rsidRPr="00585A3E" w:rsidRDefault="00F26284" w:rsidP="00D03386">
      <w:pPr>
        <w:pStyle w:val="AltH2Ashurst"/>
      </w:pPr>
      <w:bookmarkStart w:id="76" w:name="_Ref202274909"/>
      <w:r w:rsidRPr="00585A3E">
        <w:t xml:space="preserve">The Consortium will be required to provide a single composite </w:t>
      </w:r>
      <w:r w:rsidR="00B34E77">
        <w:t>PSQ</w:t>
      </w:r>
      <w:r w:rsidRPr="00585A3E">
        <w:t xml:space="preserve"> response in accordance with the detailed instructions for Consortia.</w:t>
      </w:r>
      <w:bookmarkEnd w:id="76"/>
      <w:r w:rsidRPr="00585A3E">
        <w:t xml:space="preserve"> </w:t>
      </w:r>
    </w:p>
    <w:p w14:paraId="14A954FA" w14:textId="1322313F" w:rsidR="0096306F" w:rsidRPr="00585A3E" w:rsidRDefault="0053020C" w:rsidP="00D03386">
      <w:pPr>
        <w:pStyle w:val="AltH2Ashurst"/>
      </w:pPr>
      <w:r>
        <w:t>GBE-N</w:t>
      </w:r>
      <w:r w:rsidR="00F26284">
        <w:t xml:space="preserve"> recognises that arrangements in relation to a Consortium may be subject to future change. </w:t>
      </w:r>
      <w:r w:rsidR="00AD5C49">
        <w:t xml:space="preserve"> </w:t>
      </w:r>
      <w:r w:rsidR="00F26284">
        <w:t>Applicants should therefore respond on the basis of the arrangements as currently envisaged.</w:t>
      </w:r>
      <w:r w:rsidR="00AD5C49">
        <w:t xml:space="preserve"> </w:t>
      </w:r>
      <w:r w:rsidR="00F26284">
        <w:t xml:space="preserve"> Applicants are reminded that </w:t>
      </w:r>
      <w:r>
        <w:t>GBE-N</w:t>
      </w:r>
      <w:r w:rsidR="00F26284">
        <w:t xml:space="preserve"> must be immediately notified of any changes, or proposed changes in relation to a Consortium so that a further assessment can be carried out by applying the Assessment Methodology to the new information provided. </w:t>
      </w:r>
      <w:r w:rsidR="00AD5C49">
        <w:t xml:space="preserve"> </w:t>
      </w:r>
      <w:r>
        <w:t>GBE-N</w:t>
      </w:r>
      <w:r w:rsidR="00F26284">
        <w:t xml:space="preserve"> reserves the right to deselect an Applicant prior to </w:t>
      </w:r>
      <w:r w:rsidR="004A425B">
        <w:t>the award of any</w:t>
      </w:r>
      <w:r w:rsidR="00F26284">
        <w:t xml:space="preserve"> Contract, based on an assessment of the updated information.</w:t>
      </w:r>
    </w:p>
    <w:p w14:paraId="3E1C99E8" w14:textId="61031033" w:rsidR="67607EDD" w:rsidRPr="00585A3E" w:rsidRDefault="00F26284" w:rsidP="00D03386">
      <w:pPr>
        <w:pStyle w:val="AltH2Ashurst"/>
      </w:pPr>
      <w:r w:rsidRPr="00585A3E">
        <w:t xml:space="preserve">If an Applicant wishes to rely at </w:t>
      </w:r>
      <w:r w:rsidR="00B34E77">
        <w:t>PSQ</w:t>
      </w:r>
      <w:r w:rsidRPr="00585A3E">
        <w:t xml:space="preserve"> stage on the skills or experience of another entity, for example a group company or parent company, it must be able to demonstrate that it </w:t>
      </w:r>
      <w:r w:rsidR="00AD5C49">
        <w:t>will have</w:t>
      </w:r>
      <w:r w:rsidRPr="00585A3E">
        <w:t xml:space="preserve"> access </w:t>
      </w:r>
      <w:r w:rsidR="00AD5C49">
        <w:t xml:space="preserve">to </w:t>
      </w:r>
      <w:r w:rsidR="00AD5C49" w:rsidRPr="00585A3E">
        <w:t>these</w:t>
      </w:r>
      <w:r w:rsidRPr="00585A3E">
        <w:t xml:space="preserve"> skills and experience during the perfo</w:t>
      </w:r>
      <w:r w:rsidR="46BB8758" w:rsidRPr="00585A3E">
        <w:t xml:space="preserve">rmance of the contract. </w:t>
      </w:r>
    </w:p>
    <w:p w14:paraId="3F2DC0CE" w14:textId="1BCA4626" w:rsidR="0096306F" w:rsidRPr="002C3D67" w:rsidRDefault="00F26284" w:rsidP="00D03386">
      <w:pPr>
        <w:pStyle w:val="AltH2Ashurst"/>
      </w:pPr>
      <w:r w:rsidRPr="00585A3E">
        <w:rPr>
          <w:rFonts w:cstheme="minorHAnsi"/>
          <w:szCs w:val="20"/>
        </w:rPr>
        <w:t>If an Ap</w:t>
      </w:r>
      <w:r w:rsidRPr="002C3D67">
        <w:t xml:space="preserve">plicant is unsure how to classify and communicate its contracting arrangements in the </w:t>
      </w:r>
      <w:r w:rsidR="00B34E77">
        <w:t>PSQ</w:t>
      </w:r>
      <w:r w:rsidRPr="002C3D67">
        <w:t xml:space="preserve"> or has any other queries on this </w:t>
      </w:r>
      <w:r w:rsidR="004A425B" w:rsidRPr="002C3D67">
        <w:t>s</w:t>
      </w:r>
      <w:r w:rsidRPr="002C3D67">
        <w:t>ection</w:t>
      </w:r>
      <w:r w:rsidR="004A425B" w:rsidRPr="002C3D67">
        <w:t xml:space="preserve"> of the </w:t>
      </w:r>
      <w:r w:rsidR="00B34E77">
        <w:t>PSQ</w:t>
      </w:r>
      <w:r w:rsidR="004A425B" w:rsidRPr="002C3D67">
        <w:t xml:space="preserve"> Instructions</w:t>
      </w:r>
      <w:r w:rsidRPr="002C3D67">
        <w:t xml:space="preserve">, then it should raise a query before expressing interest. </w:t>
      </w:r>
    </w:p>
    <w:p w14:paraId="594A6B56" w14:textId="7CDB4DEE" w:rsidR="0096306F" w:rsidRPr="00585A3E" w:rsidRDefault="00F26284" w:rsidP="3D83606E">
      <w:pPr>
        <w:pStyle w:val="AltH2Ashurst"/>
      </w:pPr>
      <w:r>
        <w:t xml:space="preserve">Applicants should note that </w:t>
      </w:r>
      <w:r w:rsidR="0053020C">
        <w:t>GBE-N</w:t>
      </w:r>
      <w:r>
        <w:t xml:space="preserve"> may disclose the names of each Applicant</w:t>
      </w:r>
      <w:r w:rsidR="004A425B">
        <w:t xml:space="preserve"> invited to </w:t>
      </w:r>
      <w:r w:rsidR="00CA14C9">
        <w:t>PSQ</w:t>
      </w:r>
      <w:r w:rsidR="004A425B">
        <w:t xml:space="preserve"> in the </w:t>
      </w:r>
      <w:r w:rsidR="00CA14C9">
        <w:t>PSQ</w:t>
      </w:r>
      <w:r w:rsidR="00C626B9" w:rsidRPr="3D83606E">
        <w:t xml:space="preserve"> documents</w:t>
      </w:r>
      <w:r w:rsidRPr="3D83606E">
        <w:t xml:space="preserve"> which includes but is not limited to the names of each Consortium and its </w:t>
      </w:r>
      <w:r w:rsidR="004A425B" w:rsidRPr="3D83606E">
        <w:t xml:space="preserve">constituent </w:t>
      </w:r>
      <w:r w:rsidR="6CB296BD" w:rsidRPr="3D83606E">
        <w:t>Members</w:t>
      </w:r>
      <w:r w:rsidRPr="3D83606E">
        <w:t xml:space="preserve">. </w:t>
      </w:r>
      <w:r w:rsidR="00AD5C49" w:rsidRPr="3D83606E">
        <w:t xml:space="preserve"> </w:t>
      </w:r>
      <w:r w:rsidRPr="3D83606E">
        <w:t xml:space="preserve">By expressing interest in this procurement, Applicants are deemed to give consent to the disclosure of its name by </w:t>
      </w:r>
      <w:r w:rsidR="0053020C" w:rsidRPr="3D83606E">
        <w:t>GBE-N</w:t>
      </w:r>
      <w:r w:rsidRPr="3D83606E">
        <w:t xml:space="preserve"> in the </w:t>
      </w:r>
      <w:r w:rsidR="00CA14C9" w:rsidRPr="3D83606E">
        <w:t>PSQ</w:t>
      </w:r>
      <w:r w:rsidR="00C626B9" w:rsidRPr="3D83606E">
        <w:t xml:space="preserve"> documents</w:t>
      </w:r>
      <w:r w:rsidRPr="3D83606E">
        <w:t xml:space="preserve"> and</w:t>
      </w:r>
      <w:r w:rsidR="004A425B" w:rsidRPr="3D83606E">
        <w:t>,</w:t>
      </w:r>
      <w:r w:rsidRPr="3D83606E">
        <w:t xml:space="preserve"> accordingly, Applicants waive their rights of confidentiality in this respect.</w:t>
      </w:r>
    </w:p>
    <w:p w14:paraId="1704AD8B" w14:textId="0FBE8640" w:rsidR="0096306F" w:rsidRPr="002C3D67" w:rsidRDefault="00F26284" w:rsidP="00D03386">
      <w:pPr>
        <w:pStyle w:val="AltH1Ashurst"/>
        <w:rPr>
          <w:b/>
          <w:bCs/>
        </w:rPr>
      </w:pPr>
      <w:bookmarkStart w:id="77" w:name="_Toc190707103"/>
      <w:bookmarkStart w:id="78" w:name="_Toc190707153"/>
      <w:r>
        <w:rPr>
          <w:b/>
          <w:bCs/>
        </w:rPr>
        <w:t>PSQ</w:t>
      </w:r>
      <w:r w:rsidRPr="002C3D67">
        <w:rPr>
          <w:b/>
          <w:bCs/>
        </w:rPr>
        <w:t xml:space="preserve"> Instructions restrictions</w:t>
      </w:r>
      <w:bookmarkEnd w:id="77"/>
      <w:bookmarkEnd w:id="78"/>
      <w:r w:rsidRPr="002C3D67">
        <w:rPr>
          <w:b/>
          <w:bCs/>
        </w:rPr>
        <w:t xml:space="preserve"> </w:t>
      </w:r>
    </w:p>
    <w:p w14:paraId="437C0769" w14:textId="390754B8" w:rsidR="0096306F" w:rsidRPr="00585A3E" w:rsidRDefault="00F26284" w:rsidP="002C3D67">
      <w:pPr>
        <w:pStyle w:val="B12Ashurst"/>
      </w:pPr>
      <w:r w:rsidRPr="00585A3E">
        <w:t xml:space="preserve">A particular </w:t>
      </w:r>
      <w:r w:rsidR="00D529BC">
        <w:t>supplier</w:t>
      </w:r>
      <w:r w:rsidRPr="00585A3E">
        <w:t xml:space="preserve"> may not apply as more than one Applicant, whether as a single Applicant or as a </w:t>
      </w:r>
      <w:proofErr w:type="gramStart"/>
      <w:r w:rsidR="63D21F87" w:rsidRPr="00585A3E">
        <w:t>Member</w:t>
      </w:r>
      <w:proofErr w:type="gramEnd"/>
      <w:r w:rsidRPr="00585A3E">
        <w:t xml:space="preserve"> to more than one Consortia. </w:t>
      </w:r>
      <w:r w:rsidR="00AD5C49">
        <w:t xml:space="preserve"> </w:t>
      </w:r>
      <w:r w:rsidRPr="00585A3E">
        <w:t>Applicants should note that this restriction does not apply to subcontractors.</w:t>
      </w:r>
    </w:p>
    <w:p w14:paraId="23F6176B" w14:textId="77777777" w:rsidR="00380C58" w:rsidRPr="002C3D67" w:rsidRDefault="00F26284" w:rsidP="00D03386">
      <w:pPr>
        <w:pStyle w:val="AltH1Ashurst"/>
        <w:rPr>
          <w:b/>
          <w:bCs/>
        </w:rPr>
      </w:pPr>
      <w:bookmarkStart w:id="79" w:name="_Toc190707104"/>
      <w:bookmarkStart w:id="80" w:name="_Toc190707154"/>
      <w:r w:rsidRPr="002C3D67">
        <w:rPr>
          <w:b/>
          <w:bCs/>
        </w:rPr>
        <w:t>Further conditions</w:t>
      </w:r>
      <w:bookmarkEnd w:id="79"/>
      <w:bookmarkEnd w:id="80"/>
    </w:p>
    <w:p w14:paraId="32ED2669" w14:textId="40B046FD" w:rsidR="00380C58" w:rsidRPr="00585A3E" w:rsidRDefault="0053020C" w:rsidP="00D03386">
      <w:pPr>
        <w:pStyle w:val="AltH2Ashurst"/>
      </w:pPr>
      <w:r>
        <w:t>GBE-N</w:t>
      </w:r>
      <w:r w:rsidR="00F26284">
        <w:t xml:space="preserve"> reserves the right to treat as ineligible any Applicant who is guilty of serious misrepresentation in providing any of the information required by this </w:t>
      </w:r>
      <w:r w:rsidR="00B34E77">
        <w:t>PSQ</w:t>
      </w:r>
      <w:r w:rsidR="00F26284">
        <w:t>.</w:t>
      </w:r>
    </w:p>
    <w:p w14:paraId="1BD6850A" w14:textId="7C9D30FB" w:rsidR="30EE319B" w:rsidRPr="00585A3E" w:rsidRDefault="00F26284" w:rsidP="00D03386">
      <w:pPr>
        <w:pStyle w:val="AltH2Ashurst"/>
      </w:pPr>
      <w:r w:rsidRPr="00585A3E">
        <w:t xml:space="preserve">In accordance with the Procurement Policy Note (PPN 01/2022), all </w:t>
      </w:r>
      <w:r w:rsidR="00B34E77">
        <w:t>PSQ</w:t>
      </w:r>
      <w:r w:rsidRPr="00585A3E">
        <w:t xml:space="preserve"> Applicants must identify prime or sub-contractors (i.e.</w:t>
      </w:r>
      <w:r w:rsidR="3E985463" w:rsidRPr="00585A3E">
        <w:t xml:space="preserve"> those being relied on to deliver under the Contract) in their supply chain with Russian/Belarusian companies/Government. </w:t>
      </w:r>
      <w:r w:rsidR="00AD5C49">
        <w:t xml:space="preserve"> </w:t>
      </w:r>
      <w:r w:rsidR="3E985463" w:rsidRPr="00585A3E">
        <w:t>This information should be provided during the selection stage of the procurement process</w:t>
      </w:r>
      <w:r w:rsidR="00FD120E" w:rsidRPr="00585A3E">
        <w:t xml:space="preserve"> and include the fuel supply chain</w:t>
      </w:r>
      <w:r w:rsidR="3E985463" w:rsidRPr="00585A3E">
        <w:t xml:space="preserve">. </w:t>
      </w:r>
      <w:r w:rsidRPr="00585A3E">
        <w:t xml:space="preserve"> </w:t>
      </w:r>
    </w:p>
    <w:p w14:paraId="3BD1E801" w14:textId="6FB2D6DE" w:rsidR="764A9482" w:rsidRPr="00585A3E" w:rsidRDefault="00F26284" w:rsidP="00D03386">
      <w:pPr>
        <w:pStyle w:val="AltH2Ashurst"/>
      </w:pPr>
      <w:r w:rsidRPr="00585A3E">
        <w:t xml:space="preserve">Participants will also be required to set out their Persons of Significant Control. </w:t>
      </w:r>
    </w:p>
    <w:p w14:paraId="2F572621" w14:textId="1A45DF1E" w:rsidR="764A9482" w:rsidRPr="00585A3E" w:rsidRDefault="0053020C" w:rsidP="00D03386">
      <w:pPr>
        <w:pStyle w:val="AltH2Ashurst"/>
      </w:pPr>
      <w:r>
        <w:t>GBE-N</w:t>
      </w:r>
      <w:r w:rsidR="00F26284">
        <w:t xml:space="preserve"> is entitled to ask any </w:t>
      </w:r>
      <w:r w:rsidR="00B34E77">
        <w:t>PSQ</w:t>
      </w:r>
      <w:r w:rsidR="00F26284">
        <w:t xml:space="preserve"> Applicant to substitute a sub-contractor in the supply chain that </w:t>
      </w:r>
      <w:r w:rsidR="084DACC7">
        <w:t>is a</w:t>
      </w:r>
      <w:r w:rsidR="00F26284">
        <w:t xml:space="preserve"> known Russian and/or Belarusian supplier. </w:t>
      </w:r>
    </w:p>
    <w:p w14:paraId="39D60F7B" w14:textId="4FA5AD2A" w:rsidR="764A9482" w:rsidRPr="002C3D67" w:rsidRDefault="0053020C" w:rsidP="00D03386">
      <w:pPr>
        <w:pStyle w:val="AltH2Ashurst"/>
      </w:pPr>
      <w:r>
        <w:t>GBE-N</w:t>
      </w:r>
      <w:r w:rsidR="00F26284">
        <w:t xml:space="preserve"> is entitled, upon validation that a </w:t>
      </w:r>
      <w:r w:rsidR="00AD5C49">
        <w:t xml:space="preserve">supplier </w:t>
      </w:r>
      <w:r w:rsidR="00F26284">
        <w:t xml:space="preserve">is a Russian or Belarusian company, to take steps to exclude the Russian or Belarusian company from the procurement exercise, provided that the </w:t>
      </w:r>
      <w:r w:rsidR="00AD5C49">
        <w:t>supplier</w:t>
      </w:r>
      <w:r w:rsidR="00F26284">
        <w:t xml:space="preserve"> is constituted or is organised under the law of Russia or </w:t>
      </w:r>
      <w:proofErr w:type="gramStart"/>
      <w:r w:rsidR="00F26284">
        <w:t>Belarus;</w:t>
      </w:r>
      <w:proofErr w:type="gramEnd"/>
      <w:r w:rsidR="00F26284">
        <w:t xml:space="preserve"> or where the Persons of Significant Control information states Russia or Belarus as the place of residency. </w:t>
      </w:r>
    </w:p>
    <w:p w14:paraId="4EE74902" w14:textId="5C5D1D9E" w:rsidR="00380C58" w:rsidRPr="002C3D67" w:rsidRDefault="0053020C" w:rsidP="00D03386">
      <w:pPr>
        <w:pStyle w:val="AltH2Ashurst"/>
      </w:pPr>
      <w:r>
        <w:t>GBE-N</w:t>
      </w:r>
      <w:r w:rsidR="00F26284">
        <w:t xml:space="preserve"> reserves the right to exclude an Applicant at any stage of the </w:t>
      </w:r>
      <w:r w:rsidR="5A494ACA">
        <w:t>procurement</w:t>
      </w:r>
      <w:r w:rsidR="00F26284">
        <w:t xml:space="preserve"> process if it fails to satisfy any of the </w:t>
      </w:r>
      <w:r w:rsidR="00B34E77">
        <w:t>PSQ</w:t>
      </w:r>
      <w:r w:rsidR="00F26284">
        <w:t xml:space="preserve"> requirements (or having satisfied all of those requirements, circumstances change, and it no longer satisfies any of those requirements).</w:t>
      </w:r>
    </w:p>
    <w:p w14:paraId="19E8BAC7" w14:textId="03458590" w:rsidR="00380C58" w:rsidRPr="002C3D67" w:rsidRDefault="00F26284" w:rsidP="00D03386">
      <w:pPr>
        <w:pStyle w:val="AltH2Ashurst"/>
      </w:pPr>
      <w:r>
        <w:t xml:space="preserve">During the procurement process, Applicants are required to confirm to </w:t>
      </w:r>
      <w:r w:rsidR="0053020C">
        <w:t>GBE-N</w:t>
      </w:r>
      <w:r>
        <w:t>:</w:t>
      </w:r>
    </w:p>
    <w:p w14:paraId="10523119" w14:textId="77777777" w:rsidR="00380C58" w:rsidRPr="00585A3E" w:rsidRDefault="00F26284" w:rsidP="00D03386">
      <w:pPr>
        <w:pStyle w:val="AltH3Ashurst"/>
      </w:pPr>
      <w:r w:rsidRPr="00585A3E">
        <w:t>Whenever there is a proposed change in a Consortium structure or other change; and</w:t>
      </w:r>
    </w:p>
    <w:p w14:paraId="3C324687" w14:textId="25B2EB5F" w:rsidR="00380C58" w:rsidRPr="00585A3E" w:rsidRDefault="00F26284" w:rsidP="00D03386">
      <w:pPr>
        <w:pStyle w:val="AltH3Ashurst"/>
      </w:pPr>
      <w:r>
        <w:t xml:space="preserve">At ITT stage that there has been no change to the information provided to </w:t>
      </w:r>
      <w:r w:rsidR="0053020C">
        <w:t>GBE-N</w:t>
      </w:r>
      <w:r>
        <w:t xml:space="preserve"> at the </w:t>
      </w:r>
      <w:r w:rsidR="00B34E77">
        <w:t>PSQ</w:t>
      </w:r>
      <w:r>
        <w:t xml:space="preserve"> stage, as part of its </w:t>
      </w:r>
      <w:r w:rsidR="00B34E77">
        <w:t>PSQ</w:t>
      </w:r>
      <w:r>
        <w:t xml:space="preserve"> response.</w:t>
      </w:r>
    </w:p>
    <w:p w14:paraId="6FC87697" w14:textId="63B3DD0A" w:rsidR="00380C58" w:rsidRPr="00585A3E" w:rsidRDefault="00F26284" w:rsidP="00D03386">
      <w:pPr>
        <w:pStyle w:val="AltH2Ashurst"/>
      </w:pPr>
      <w:r>
        <w:t xml:space="preserve">If there is </w:t>
      </w:r>
      <w:r w:rsidR="6C3BA10A">
        <w:t>either</w:t>
      </w:r>
      <w:r>
        <w:t xml:space="preserve"> a proposed change or actual change to the information provided at the </w:t>
      </w:r>
      <w:r w:rsidR="00D529BC">
        <w:t xml:space="preserve">PSQ </w:t>
      </w:r>
      <w:r>
        <w:t xml:space="preserve">stage, </w:t>
      </w:r>
      <w:r w:rsidR="0053020C">
        <w:t>GBE-N</w:t>
      </w:r>
      <w:r>
        <w:t xml:space="preserve"> reserves the right to re-assess the Applicant against the</w:t>
      </w:r>
      <w:r w:rsidR="5A494ACA">
        <w:t xml:space="preserve"> </w:t>
      </w:r>
      <w:r w:rsidR="00B34E77">
        <w:t>PSQ</w:t>
      </w:r>
      <w:r>
        <w:t xml:space="preserve"> requirements and to reject any Applicant</w:t>
      </w:r>
      <w:r w:rsidR="5A494ACA">
        <w:t xml:space="preserve">, as the case may be </w:t>
      </w:r>
      <w:r>
        <w:t>who no longer satisfies any of those requirements.</w:t>
      </w:r>
    </w:p>
    <w:p w14:paraId="2EA28566" w14:textId="70C7FE84" w:rsidR="00F06283" w:rsidRPr="002C3D67" w:rsidRDefault="00F26284" w:rsidP="00D03386">
      <w:pPr>
        <w:pStyle w:val="AltH1Ashurst"/>
        <w:rPr>
          <w:b/>
          <w:bCs/>
        </w:rPr>
      </w:pPr>
      <w:bookmarkStart w:id="81" w:name="_Toc190707105"/>
      <w:bookmarkStart w:id="82" w:name="_Toc190707155"/>
      <w:r w:rsidRPr="002C3D67">
        <w:rPr>
          <w:b/>
          <w:bCs/>
        </w:rPr>
        <w:t>Bid costs</w:t>
      </w:r>
      <w:bookmarkEnd w:id="81"/>
      <w:bookmarkEnd w:id="82"/>
    </w:p>
    <w:p w14:paraId="2BE4644F" w14:textId="2DF1798E" w:rsidR="00F06283" w:rsidRPr="00585A3E" w:rsidRDefault="00F26284" w:rsidP="00D03386">
      <w:pPr>
        <w:pStyle w:val="AltH2Ashurst"/>
      </w:pPr>
      <w:r>
        <w:t xml:space="preserve">Applicants will be solely responsible for any costs they incur in relation to the procurement process, however incurred. </w:t>
      </w:r>
      <w:r w:rsidR="0053020C">
        <w:t>GBE-N</w:t>
      </w:r>
      <w:r>
        <w:t xml:space="preserve"> shall not incur any liability (including, without limitation, in respect of any costs or expenses of, or loss suffered or incurred by, the </w:t>
      </w:r>
      <w:r w:rsidR="00BD4FD0">
        <w:t>Applicant</w:t>
      </w:r>
      <w:r>
        <w:t xml:space="preserve">) in respect of the </w:t>
      </w:r>
      <w:r w:rsidR="00B34E77">
        <w:t>PSQ</w:t>
      </w:r>
      <w:r>
        <w:t xml:space="preserve"> or any other subsequent stage of the procurement process, whether or not </w:t>
      </w:r>
      <w:r w:rsidR="0053020C">
        <w:t>GBE-N</w:t>
      </w:r>
      <w:r>
        <w:t xml:space="preserve"> has varied any aspect of the procurement process or abandoned the procurement process for any reason.</w:t>
      </w:r>
    </w:p>
    <w:p w14:paraId="4D68936B" w14:textId="0ADC7A31" w:rsidR="00F06283" w:rsidRPr="00AD5C49" w:rsidRDefault="00F26284" w:rsidP="00D03386">
      <w:pPr>
        <w:pStyle w:val="AltH1Ashurst"/>
        <w:rPr>
          <w:b/>
          <w:bCs/>
        </w:rPr>
      </w:pPr>
      <w:bookmarkStart w:id="83" w:name="_Toc190707106"/>
      <w:bookmarkStart w:id="84" w:name="_Toc190707156"/>
      <w:r w:rsidRPr="00AD5C49">
        <w:rPr>
          <w:b/>
          <w:bCs/>
        </w:rPr>
        <w:t>Right to vary or abandon the procurement process</w:t>
      </w:r>
      <w:bookmarkEnd w:id="83"/>
      <w:bookmarkEnd w:id="84"/>
    </w:p>
    <w:p w14:paraId="3FEC3CF9" w14:textId="14615234" w:rsidR="00F06283" w:rsidRPr="00585A3E" w:rsidRDefault="0053020C" w:rsidP="00D03386">
      <w:pPr>
        <w:pStyle w:val="AltH2Ashurst"/>
      </w:pPr>
      <w:r>
        <w:t>GBE-N</w:t>
      </w:r>
      <w:r w:rsidR="00F26284">
        <w:t xml:space="preserve"> reserves the </w:t>
      </w:r>
      <w:r w:rsidR="002024A9">
        <w:t xml:space="preserve">following </w:t>
      </w:r>
      <w:r w:rsidR="00F26284">
        <w:t>right</w:t>
      </w:r>
      <w:r w:rsidR="002024A9">
        <w:t>s</w:t>
      </w:r>
      <w:r w:rsidR="00F26284">
        <w:t>:</w:t>
      </w:r>
    </w:p>
    <w:p w14:paraId="64EBF2C6" w14:textId="5A3FF3F4" w:rsidR="00F06283" w:rsidRPr="00585A3E" w:rsidRDefault="00F26284" w:rsidP="00D03386">
      <w:pPr>
        <w:pStyle w:val="AltH3Ashurst"/>
      </w:pPr>
      <w:r w:rsidRPr="00585A3E">
        <w:t xml:space="preserve">to </w:t>
      </w:r>
      <w:r w:rsidR="00CA14C9">
        <w:t>PSQ</w:t>
      </w:r>
      <w:r w:rsidRPr="00585A3E">
        <w:t xml:space="preserve"> and/or award </w:t>
      </w:r>
      <w:r w:rsidR="00BA1274" w:rsidRPr="00585A3E">
        <w:t xml:space="preserve">the </w:t>
      </w:r>
      <w:r w:rsidR="000476CD" w:rsidRPr="00585A3E">
        <w:t>Contract</w:t>
      </w:r>
      <w:r w:rsidRPr="00585A3E">
        <w:t xml:space="preserve"> in part, in whole or not at </w:t>
      </w:r>
      <w:proofErr w:type="gramStart"/>
      <w:r w:rsidRPr="00585A3E">
        <w:t>all;</w:t>
      </w:r>
      <w:proofErr w:type="gramEnd"/>
    </w:p>
    <w:p w14:paraId="4ACD795C" w14:textId="339EF402" w:rsidR="00F06283" w:rsidRPr="00585A3E" w:rsidRDefault="00F26284" w:rsidP="00D03386">
      <w:pPr>
        <w:pStyle w:val="AltH3Ashurst"/>
      </w:pPr>
      <w:r w:rsidRPr="00585A3E">
        <w:t xml:space="preserve">to vary the procurement process, requirements, evaluation criteria, evaluation approach, timetable or the proposed scope/nature of the </w:t>
      </w:r>
      <w:r w:rsidR="00CA14C9">
        <w:t>PSQ</w:t>
      </w:r>
      <w:r w:rsidRPr="00585A3E">
        <w:t xml:space="preserve"> in any way from that described in this document or in any other procurement document; and</w:t>
      </w:r>
    </w:p>
    <w:p w14:paraId="47B599AF" w14:textId="06473EBF" w:rsidR="00F06283" w:rsidRPr="00585A3E" w:rsidRDefault="00F26284" w:rsidP="00D03386">
      <w:pPr>
        <w:pStyle w:val="AltH3Ashurst"/>
      </w:pPr>
      <w:r w:rsidRPr="00585A3E">
        <w:t>to abandon the procurement process at any time and for any reason.</w:t>
      </w:r>
    </w:p>
    <w:p w14:paraId="1CD5B18F" w14:textId="68E3C948" w:rsidR="00F06283" w:rsidRPr="00585A3E" w:rsidRDefault="0053020C" w:rsidP="00D03386">
      <w:pPr>
        <w:pStyle w:val="AltH2Ashurst"/>
      </w:pPr>
      <w:r>
        <w:t>GBE-N</w:t>
      </w:r>
      <w:r w:rsidR="00F26284">
        <w:t xml:space="preserve"> shall not be liable for any bid costs in the event of any variation or abandonment of the procurement process.</w:t>
      </w:r>
    </w:p>
    <w:p w14:paraId="7D9080C2" w14:textId="2DAE4E64" w:rsidR="00F06283" w:rsidRPr="002C3D67" w:rsidRDefault="00F26284" w:rsidP="00D03386">
      <w:pPr>
        <w:pStyle w:val="AltH1Ashurst"/>
        <w:rPr>
          <w:b/>
          <w:bCs/>
        </w:rPr>
      </w:pPr>
      <w:bookmarkStart w:id="85" w:name="_Toc190707107"/>
      <w:bookmarkStart w:id="86" w:name="_Toc190707157"/>
      <w:r w:rsidRPr="002C3D67">
        <w:rPr>
          <w:b/>
          <w:bCs/>
        </w:rPr>
        <w:t xml:space="preserve">Conditions governing </w:t>
      </w:r>
      <w:r w:rsidR="00B34E77">
        <w:rPr>
          <w:b/>
          <w:bCs/>
        </w:rPr>
        <w:t>PSQ</w:t>
      </w:r>
      <w:r w:rsidR="00F66CF0" w:rsidRPr="002C3D67">
        <w:rPr>
          <w:b/>
          <w:bCs/>
        </w:rPr>
        <w:t xml:space="preserve"> response</w:t>
      </w:r>
      <w:r w:rsidRPr="002C3D67">
        <w:rPr>
          <w:b/>
          <w:bCs/>
        </w:rPr>
        <w:t>s</w:t>
      </w:r>
      <w:bookmarkEnd w:id="85"/>
      <w:bookmarkEnd w:id="86"/>
    </w:p>
    <w:p w14:paraId="2BA88E69" w14:textId="07A821DE" w:rsidR="00F06283" w:rsidRPr="002C3D67" w:rsidRDefault="00F26284" w:rsidP="00D03386">
      <w:pPr>
        <w:pStyle w:val="AltH2Ashurst"/>
      </w:pPr>
      <w:r w:rsidRPr="3D83606E">
        <w:t>Nothin</w:t>
      </w:r>
      <w:r>
        <w:t xml:space="preserve">g contained in this </w:t>
      </w:r>
      <w:r w:rsidR="00B34E77">
        <w:t>PSQ</w:t>
      </w:r>
      <w:r>
        <w:t xml:space="preserve">, or in any other communication made between </w:t>
      </w:r>
      <w:r w:rsidR="0053020C">
        <w:t>GBE-N</w:t>
      </w:r>
      <w:r>
        <w:t xml:space="preserve"> and any other party, shall be taken as constituting a contract, agreement or representation between </w:t>
      </w:r>
      <w:r w:rsidR="0053020C">
        <w:t>GBE-N</w:t>
      </w:r>
      <w:r>
        <w:t xml:space="preserve"> and any other party (excluding a formal award of contract made by </w:t>
      </w:r>
      <w:r w:rsidR="0053020C">
        <w:t>GBE-N</w:t>
      </w:r>
      <w:r>
        <w:t xml:space="preserve"> or any formal express legal agreement).</w:t>
      </w:r>
    </w:p>
    <w:p w14:paraId="7C6C1667" w14:textId="0AD6CE16" w:rsidR="00F06283" w:rsidRPr="002C3D67" w:rsidRDefault="0053020C" w:rsidP="00D03386">
      <w:pPr>
        <w:pStyle w:val="AltH2Ashurst"/>
      </w:pPr>
      <w:r>
        <w:t>GBE-N</w:t>
      </w:r>
      <w:r w:rsidR="00F26284">
        <w:t xml:space="preserve"> has not made, and will not make, any contract, agreement or representation that a contract shall be offered in accordance with this </w:t>
      </w:r>
      <w:r w:rsidR="00B34E77">
        <w:t>PSQ</w:t>
      </w:r>
      <w:r w:rsidR="00F26284">
        <w:t xml:space="preserve"> and/or in accordance with any communications with any other party (including any timetable for the award of contract), or at all.</w:t>
      </w:r>
    </w:p>
    <w:p w14:paraId="59A45977" w14:textId="46336FB9" w:rsidR="00F06283" w:rsidRPr="002C3D67" w:rsidRDefault="0053020C" w:rsidP="00D03386">
      <w:pPr>
        <w:pStyle w:val="AltH2Ashurst"/>
      </w:pPr>
      <w:r>
        <w:t>GBE-N</w:t>
      </w:r>
      <w:r w:rsidR="00F26284">
        <w:t xml:space="preserve"> does not accept any responsibility for any pre-contract representations made by or on its behalf, or for any estimates made by Applicants of resources to be employed in meeting </w:t>
      </w:r>
      <w:r>
        <w:t>GBE-N</w:t>
      </w:r>
      <w:r w:rsidR="00F26284">
        <w:t>’s requirements, or for any other assumption which Applicants may have drawn or will draw from any pre-contract negotiations.</w:t>
      </w:r>
    </w:p>
    <w:p w14:paraId="11090160" w14:textId="327AE0A4" w:rsidR="00F06283" w:rsidRPr="00585A3E" w:rsidRDefault="0053020C" w:rsidP="3D83606E">
      <w:pPr>
        <w:pStyle w:val="AltH2Ashurst"/>
      </w:pPr>
      <w:r>
        <w:t>GBE-N</w:t>
      </w:r>
      <w:r w:rsidR="00F26284">
        <w:t xml:space="preserve"> is </w:t>
      </w:r>
      <w:r w:rsidR="00F26284" w:rsidRPr="3D83606E">
        <w:t xml:space="preserve">not committed to any course of action as a result of issuing this </w:t>
      </w:r>
      <w:r w:rsidR="00B34E77" w:rsidRPr="3D83606E">
        <w:t>PSQ</w:t>
      </w:r>
      <w:r w:rsidR="00F26284" w:rsidRPr="3D83606E">
        <w:t xml:space="preserve"> or any other communication between </w:t>
      </w:r>
      <w:r w:rsidRPr="3D83606E">
        <w:t>GBE-N</w:t>
      </w:r>
      <w:r w:rsidR="00F26284" w:rsidRPr="3D83606E">
        <w:t xml:space="preserve"> and any other party. </w:t>
      </w:r>
    </w:p>
    <w:p w14:paraId="21867CDE" w14:textId="353468BF" w:rsidR="00F06283" w:rsidRPr="00585A3E" w:rsidRDefault="0053020C" w:rsidP="3D83606E">
      <w:pPr>
        <w:pStyle w:val="AltH2Ashurst"/>
      </w:pPr>
      <w:r w:rsidRPr="3D83606E">
        <w:t>GBE-N</w:t>
      </w:r>
      <w:r w:rsidR="00F26284" w:rsidRPr="3D83606E">
        <w:t xml:space="preserve"> ma</w:t>
      </w:r>
      <w:r w:rsidR="00F26284">
        <w:t xml:space="preserve">y refrain from considering, or may reject, any </w:t>
      </w:r>
      <w:r w:rsidR="00B34E77">
        <w:t>PSQ</w:t>
      </w:r>
      <w:r w:rsidR="00F66CF0">
        <w:t xml:space="preserve"> response</w:t>
      </w:r>
      <w:r w:rsidR="00F26284">
        <w:t xml:space="preserve"> if it is not in accordance with all o</w:t>
      </w:r>
      <w:r w:rsidR="00F26284" w:rsidRPr="3D83606E">
        <w:t xml:space="preserve">f the requirements and conditions set out in this </w:t>
      </w:r>
      <w:r w:rsidR="00B34E77" w:rsidRPr="3D83606E">
        <w:t>PSQ</w:t>
      </w:r>
      <w:r w:rsidR="00F26284" w:rsidRPr="3D83606E">
        <w:t xml:space="preserve"> or any of the provisions of this </w:t>
      </w:r>
      <w:r w:rsidR="00B34E77" w:rsidRPr="3D83606E">
        <w:t>PSQ</w:t>
      </w:r>
      <w:r w:rsidR="00F26284" w:rsidRPr="3D83606E">
        <w:t xml:space="preserve"> as a whole. </w:t>
      </w:r>
      <w:r w:rsidRPr="3D83606E">
        <w:t>GBE-N</w:t>
      </w:r>
      <w:r w:rsidR="00F26284" w:rsidRPr="3D83606E">
        <w:t xml:space="preserve"> may reject an Applicant at any stage of the process if it comes to light that the Applicant has breached any of the requirements and conditions set out in this </w:t>
      </w:r>
      <w:r w:rsidR="00B34E77" w:rsidRPr="3D83606E">
        <w:t>PSQ</w:t>
      </w:r>
      <w:r w:rsidR="00F26284" w:rsidRPr="3D83606E">
        <w:t xml:space="preserve"> or any of the provisions of this </w:t>
      </w:r>
      <w:r w:rsidR="00B34E77" w:rsidRPr="3D83606E">
        <w:t>PSQ</w:t>
      </w:r>
      <w:r w:rsidR="00F26284" w:rsidRPr="3D83606E">
        <w:t xml:space="preserve"> as a whole.</w:t>
      </w:r>
    </w:p>
    <w:p w14:paraId="72A318A6" w14:textId="58E372CF" w:rsidR="00F06283" w:rsidRPr="002C3D67" w:rsidRDefault="00F26284" w:rsidP="00D03386">
      <w:pPr>
        <w:pStyle w:val="AltH1Ashurst"/>
        <w:rPr>
          <w:b/>
          <w:bCs/>
        </w:rPr>
      </w:pPr>
      <w:bookmarkStart w:id="87" w:name="_Toc190707108"/>
      <w:bookmarkStart w:id="88" w:name="_Toc190707158"/>
      <w:r w:rsidRPr="002C3D67">
        <w:rPr>
          <w:b/>
          <w:bCs/>
        </w:rPr>
        <w:t>Conflicts of Interest</w:t>
      </w:r>
      <w:bookmarkEnd w:id="87"/>
      <w:bookmarkEnd w:id="88"/>
    </w:p>
    <w:p w14:paraId="7FA89189" w14:textId="67AFB869" w:rsidR="00B93616" w:rsidRDefault="0053020C" w:rsidP="008E3DDE">
      <w:pPr>
        <w:pStyle w:val="AltH2Ashurst"/>
      </w:pPr>
      <w:bookmarkStart w:id="89" w:name="_Ref190706319"/>
      <w:r>
        <w:t>GBE-N</w:t>
      </w:r>
      <w:r w:rsidR="00B93616">
        <w:t xml:space="preserve"> is mindful to avoid Conflicts of Interest and any undue influence or other prejudice to competition or the performance of the Contract (or other </w:t>
      </w:r>
      <w:r>
        <w:t>GBE-N</w:t>
      </w:r>
      <w:r w:rsidR="00B93616">
        <w:t xml:space="preserve"> contracts) which may arise as a result of such Conflicts of Interest. Accordingly, </w:t>
      </w:r>
      <w:r>
        <w:t>GBE-N</w:t>
      </w:r>
      <w:r w:rsidR="00B93616">
        <w:t xml:space="preserve"> intends to take appropriate measures to prevent, identify and remedy Conflicts of Interest arising in the conduct of this procurement procedure so as to avoid any distortion of competition and to ensure equal treatment of all Tenderers.   </w:t>
      </w:r>
    </w:p>
    <w:p w14:paraId="7858FB42" w14:textId="7603823F" w:rsidR="008E3DDE" w:rsidRPr="00E91C53" w:rsidRDefault="008E3DDE" w:rsidP="008E3DDE">
      <w:pPr>
        <w:pStyle w:val="AltH2Ashurst"/>
      </w:pPr>
      <w:r w:rsidRPr="00E91C53">
        <w:t xml:space="preserve">Tenderers shall read and agree to this paragraph </w:t>
      </w:r>
      <w:r w:rsidRPr="00E91C53">
        <w:rPr>
          <w:cs/>
        </w:rPr>
        <w:t>‎‎</w:t>
      </w:r>
      <w:r w:rsidRPr="00E91C53">
        <w:t>12 and by submitting a Tender shall be deemed to have done so.  </w:t>
      </w:r>
    </w:p>
    <w:bookmarkEnd w:id="89"/>
    <w:p w14:paraId="1CD50043" w14:textId="50906AAB" w:rsidR="00D82CED" w:rsidRPr="00E91C53" w:rsidRDefault="00D82CED" w:rsidP="00D82CED">
      <w:pPr>
        <w:pStyle w:val="AltH2Ashurst"/>
      </w:pPr>
      <w:r>
        <w:t xml:space="preserve">In particular, but without limitation, Tenderers must note that </w:t>
      </w:r>
      <w:r w:rsidR="0053020C">
        <w:t>GBE-N</w:t>
      </w:r>
      <w:r>
        <w:t xml:space="preserve"> is likely to regard a Conflict of Interest arising where: </w:t>
      </w:r>
    </w:p>
    <w:p w14:paraId="48A0D76C" w14:textId="1CFD45D7" w:rsidR="00283C95" w:rsidRDefault="00283C95" w:rsidP="006C634A">
      <w:pPr>
        <w:pStyle w:val="AltH3Ashurst"/>
      </w:pPr>
      <w:r>
        <w:t xml:space="preserve">A Tenderer and/or Associated Person has been or is directly involved in advising </w:t>
      </w:r>
      <w:r w:rsidR="0053020C">
        <w:t>GBE-N</w:t>
      </w:r>
      <w:r>
        <w:t xml:space="preserve"> on matters relating to the SMR Programme or in the preparation of documents or information relating to the SMR Programme, this procurement and/or the </w:t>
      </w:r>
      <w:proofErr w:type="gramStart"/>
      <w:r>
        <w:t>Contract;</w:t>
      </w:r>
      <w:proofErr w:type="gramEnd"/>
      <w:r>
        <w:t xml:space="preserve">   </w:t>
      </w:r>
    </w:p>
    <w:p w14:paraId="4F5865B7" w14:textId="1260CFDF" w:rsidR="00283C95" w:rsidRDefault="00283C95" w:rsidP="00473D68">
      <w:pPr>
        <w:pStyle w:val="AltH3Ashurst"/>
      </w:pPr>
      <w:r>
        <w:t xml:space="preserve">A director, company secretary, or staff member from a Tenderer and/or an Associated Person is related to one of the officers or board members of </w:t>
      </w:r>
      <w:r w:rsidR="0053020C">
        <w:t>GBE-N</w:t>
      </w:r>
      <w:r>
        <w:t xml:space="preserve">, and/or HM Treasury and/or the Department for Energy Security and Net </w:t>
      </w:r>
      <w:proofErr w:type="gramStart"/>
      <w:r>
        <w:t>Zero;</w:t>
      </w:r>
      <w:proofErr w:type="gramEnd"/>
      <w:r>
        <w:t xml:space="preserve">   </w:t>
      </w:r>
    </w:p>
    <w:p w14:paraId="46FEFF76" w14:textId="67E6E1F2" w:rsidR="00283C95" w:rsidRDefault="00283C95">
      <w:pPr>
        <w:pStyle w:val="AltH3Ashurst"/>
      </w:pPr>
      <w:r>
        <w:t xml:space="preserve">A staff member, consultant, or contractor currently employed or engaged by the Tenderer and/or an Associated Person has been previously engaged by </w:t>
      </w:r>
      <w:r w:rsidR="0053020C">
        <w:t>GBE-N</w:t>
      </w:r>
      <w:r>
        <w:t xml:space="preserve"> and/or the Department for Energy Security and Net Zero (whether directly or indirectly via its suppliers) in relation to the SMR Programme or in the preparation of documents or information relating to the SMR Programme, this procurement and/or the Contract;   </w:t>
      </w:r>
    </w:p>
    <w:p w14:paraId="0630DE06" w14:textId="74E1E1FA" w:rsidR="00171095" w:rsidRDefault="00171095">
      <w:pPr>
        <w:pStyle w:val="AltH3Ashurst"/>
      </w:pPr>
      <w:r>
        <w:t xml:space="preserve">Any of the situations described in paragraphs </w:t>
      </w:r>
      <w:r w:rsidR="0069519D">
        <w:t>12.</w:t>
      </w:r>
      <w:r w:rsidR="00D2071C">
        <w:t xml:space="preserve">6 </w:t>
      </w:r>
      <w:r>
        <w:t xml:space="preserve">or </w:t>
      </w:r>
      <w:r w:rsidR="0069519D">
        <w:t>12.</w:t>
      </w:r>
      <w:r w:rsidR="00D2071C">
        <w:t xml:space="preserve">7 </w:t>
      </w:r>
      <w:r>
        <w:t>below have arisen or are likely to arise in future; and/or </w:t>
      </w:r>
    </w:p>
    <w:p w14:paraId="775EB1D4" w14:textId="3352520A" w:rsidR="00283C95" w:rsidRDefault="00283C95" w:rsidP="00283C95">
      <w:pPr>
        <w:pStyle w:val="AltH3Ashurst"/>
      </w:pPr>
      <w:r>
        <w:t xml:space="preserve">Any other circumstances where a person or organisation may be in a position, or be perceived to be in a position, where they could misuse confidential information of </w:t>
      </w:r>
      <w:r w:rsidR="0053020C">
        <w:t>GBE-N</w:t>
      </w:r>
      <w:r>
        <w:t xml:space="preserve"> in relation to the SMR Programme, this procurement and/or the Contract to give an unfair advantage to a Tenderer in this procurement.   </w:t>
      </w:r>
    </w:p>
    <w:p w14:paraId="6E84F3B8" w14:textId="77702566" w:rsidR="00283C95" w:rsidRPr="00283C95" w:rsidRDefault="00283C95" w:rsidP="00283C95">
      <w:pPr>
        <w:pStyle w:val="AltH2Ashurst"/>
      </w:pPr>
      <w:r>
        <w:t>Subject to paragraphs ‎‎12.5 to ‎‎12.</w:t>
      </w:r>
      <w:r w:rsidR="00D2071C">
        <w:t xml:space="preserve">6 </w:t>
      </w:r>
      <w:r>
        <w:t xml:space="preserve">below, the above circumstances will not lead to automatic disqualification on the grounds of a Conflict of Interest, although </w:t>
      </w:r>
      <w:r w:rsidR="0053020C">
        <w:t>GBE-N</w:t>
      </w:r>
      <w:r>
        <w:t xml:space="preserve"> reserves the right to reject a Tenderer or exclude an Associated Person in accordance with paragraph ‎‎12.</w:t>
      </w:r>
      <w:r w:rsidR="0030508A">
        <w:t xml:space="preserve">15 </w:t>
      </w:r>
      <w:r>
        <w:t xml:space="preserve">below. Accordingly, Tenderers are encouraged to bring any such situation to </w:t>
      </w:r>
      <w:r w:rsidR="0053020C">
        <w:t>GBE-N</w:t>
      </w:r>
      <w:r>
        <w:t>’s attention at the earliest opportunity, irrespective of whether the Conflict of Interest involved is actual, potential or perceived. Each case will be reviewed individually.  </w:t>
      </w:r>
      <w:r w:rsidRPr="3D83606E">
        <w:rPr>
          <w:b/>
          <w:bCs/>
        </w:rPr>
        <w:t xml:space="preserve"> </w:t>
      </w:r>
    </w:p>
    <w:p w14:paraId="05BCA49D" w14:textId="0F0C8632" w:rsidR="00720B63" w:rsidRPr="00A0545E" w:rsidRDefault="00720B63" w:rsidP="00720B63">
      <w:pPr>
        <w:pStyle w:val="B12Ashurst"/>
        <w:keepNext/>
        <w:rPr>
          <w:b/>
          <w:bCs/>
        </w:rPr>
      </w:pPr>
      <w:r w:rsidRPr="00A0545E">
        <w:rPr>
          <w:b/>
          <w:bCs/>
        </w:rPr>
        <w:t>Specific Conflicts of Interest requirements for this procurement</w:t>
      </w:r>
    </w:p>
    <w:p w14:paraId="3103D089" w14:textId="3379C686" w:rsidR="00720B63" w:rsidRDefault="00720B63" w:rsidP="00720B63">
      <w:pPr>
        <w:pStyle w:val="AltH2Ashurst"/>
      </w:pPr>
      <w:bookmarkStart w:id="90" w:name="_Ref190706081"/>
      <w:r>
        <w:t>In addition to the circumstances set out in paragraph</w:t>
      </w:r>
      <w:r>
        <w:rPr>
          <w:rFonts w:hint="cs"/>
          <w:cs/>
        </w:rPr>
        <w:t xml:space="preserve"> </w:t>
      </w:r>
      <w:r>
        <w:rPr>
          <w:cs/>
        </w:rPr>
        <w:fldChar w:fldCharType="begin"/>
      </w:r>
      <w:r>
        <w:instrText xml:space="preserve"> </w:instrText>
      </w:r>
      <w:r>
        <w:rPr>
          <w:rFonts w:hint="cs"/>
        </w:rPr>
        <w:instrText>REF _Ref190706319 \r \h</w:instrText>
      </w:r>
      <w:r>
        <w:instrText xml:space="preserve"> </w:instrText>
      </w:r>
      <w:r>
        <w:rPr>
          <w:cs/>
        </w:rPr>
      </w:r>
      <w:r>
        <w:rPr>
          <w:cs/>
        </w:rPr>
        <w:fldChar w:fldCharType="separate"/>
      </w:r>
      <w:r>
        <w:rPr>
          <w:cs/>
        </w:rPr>
        <w:t>‎</w:t>
      </w:r>
      <w:r>
        <w:t>12.3</w:t>
      </w:r>
      <w:r>
        <w:rPr>
          <w:cs/>
        </w:rPr>
        <w:fldChar w:fldCharType="end"/>
      </w:r>
      <w:r>
        <w:t xml:space="preserve">, </w:t>
      </w:r>
      <w:r w:rsidR="0053020C">
        <w:t>GBE-N</w:t>
      </w:r>
      <w:r>
        <w:t xml:space="preserve"> has also taken the position set out in paragraph</w:t>
      </w:r>
      <w:r w:rsidR="00D2071C">
        <w:t xml:space="preserve"> </w:t>
      </w:r>
      <w:r>
        <w:fldChar w:fldCharType="begin"/>
      </w:r>
      <w:r>
        <w:instrText xml:space="preserve"> REF _Ref201572720 \r \h </w:instrText>
      </w:r>
      <w:r>
        <w:fldChar w:fldCharType="separate"/>
      </w:r>
      <w:r w:rsidR="00D2071C">
        <w:t>12.6</w:t>
      </w:r>
      <w:r>
        <w:fldChar w:fldCharType="end"/>
      </w:r>
      <w:r>
        <w:t xml:space="preserve"> </w:t>
      </w:r>
      <w:r>
        <w:rPr>
          <w:cs/>
        </w:rPr>
        <w:t>‎</w:t>
      </w:r>
      <w:r>
        <w:t xml:space="preserve"> below to ensure that Conflicts of Interest between contractors working on the SMR programme are minimised.</w:t>
      </w:r>
      <w:bookmarkEnd w:id="90"/>
    </w:p>
    <w:p w14:paraId="4A2075FD" w14:textId="4D175C6C" w:rsidR="00263747" w:rsidRDefault="00263747" w:rsidP="00777DB6">
      <w:pPr>
        <w:pStyle w:val="AltH2Ashurst"/>
      </w:pPr>
      <w:bookmarkStart w:id="91" w:name="_Ref190706089"/>
      <w:bookmarkStart w:id="92" w:name="_Hlk190786222"/>
      <w:r>
        <w:t>It is GB</w:t>
      </w:r>
      <w:r w:rsidR="0036691F">
        <w:t>E-</w:t>
      </w:r>
      <w:r>
        <w:t>N’s view that, because some of the contracts that GB</w:t>
      </w:r>
      <w:r w:rsidR="0036691F">
        <w:t>E-</w:t>
      </w:r>
      <w:r>
        <w:t>N intends to award as part of the SMR Programme will involve the appointment of a contractor to manage and/or oversee work (or such other role which may create a Conflict of Interest) being carried out by other suppliers (or Subcontractors to the same) appointed by GB</w:t>
      </w:r>
      <w:r w:rsidR="0036691F">
        <w:t>E-</w:t>
      </w:r>
      <w:r>
        <w:t xml:space="preserve">N, a Conflict of Interest would arise if a supplier were awarded both contracts.   </w:t>
      </w:r>
    </w:p>
    <w:p w14:paraId="641AAD43" w14:textId="6F2FAED0" w:rsidR="00F66283" w:rsidRDefault="00F66283" w:rsidP="00777DB6">
      <w:pPr>
        <w:pStyle w:val="AltH2Ashurst"/>
      </w:pPr>
      <w:bookmarkStart w:id="93" w:name="_Ref201572720"/>
      <w:r>
        <w:t xml:space="preserve">In particular, </w:t>
      </w:r>
      <w:r w:rsidR="0053020C">
        <w:t>GBE-N</w:t>
      </w:r>
      <w:r>
        <w:t xml:space="preserve"> has identified two main concerns that </w:t>
      </w:r>
      <w:r w:rsidR="0053020C">
        <w:t>GBE-N</w:t>
      </w:r>
      <w:r>
        <w:t xml:space="preserve"> expects to be addressed by Tenderers if they have potentially conflicting roles within the SMR Programme:</w:t>
      </w:r>
      <w:bookmarkEnd w:id="93"/>
    </w:p>
    <w:p w14:paraId="116DCBC1" w14:textId="77777777" w:rsidR="00263747" w:rsidRPr="00263747" w:rsidRDefault="00263747" w:rsidP="00777DB6">
      <w:pPr>
        <w:pStyle w:val="AltH3Ashurst"/>
      </w:pPr>
      <w:r w:rsidRPr="00263747">
        <w:rPr>
          <w:lang w:val="en-US"/>
        </w:rPr>
        <w:t xml:space="preserve">The OE Consultant must not have responsibility for assuring </w:t>
      </w:r>
      <w:proofErr w:type="gramStart"/>
      <w:r w:rsidRPr="00263747">
        <w:rPr>
          <w:lang w:val="en-US"/>
        </w:rPr>
        <w:t>its</w:t>
      </w:r>
      <w:proofErr w:type="gramEnd"/>
      <w:r w:rsidRPr="00263747">
        <w:rPr>
          <w:lang w:val="en-US"/>
        </w:rPr>
        <w:t xml:space="preserve"> own work (or work in which it has an interest); and</w:t>
      </w:r>
      <w:r w:rsidRPr="00263747">
        <w:t> </w:t>
      </w:r>
      <w:r w:rsidRPr="00263747">
        <w:rPr>
          <w:lang w:val="en-US"/>
        </w:rPr>
        <w:t xml:space="preserve"> </w:t>
      </w:r>
    </w:p>
    <w:p w14:paraId="7D9835B4" w14:textId="4BBD0CC4" w:rsidR="003E0A51" w:rsidRPr="003E0A51" w:rsidRDefault="00263747" w:rsidP="00263747">
      <w:pPr>
        <w:pStyle w:val="AltH3Ashurst"/>
      </w:pPr>
      <w:r w:rsidRPr="3D83606E">
        <w:rPr>
          <w:lang w:val="en-US"/>
        </w:rPr>
        <w:t xml:space="preserve">No situation should exist where a parent/group company board of directors is considering </w:t>
      </w:r>
      <w:r w:rsidR="003E0A51" w:rsidRPr="3D83606E">
        <w:rPr>
          <w:lang w:val="en-US"/>
        </w:rPr>
        <w:t>prioritising:</w:t>
      </w:r>
      <w:r w:rsidRPr="3D83606E">
        <w:rPr>
          <w:lang w:val="en-US"/>
        </w:rPr>
        <w:t xml:space="preserve"> </w:t>
      </w:r>
    </w:p>
    <w:p w14:paraId="007342C2" w14:textId="2B8024E4" w:rsidR="003E0A51" w:rsidRPr="003E0A51" w:rsidRDefault="00263747" w:rsidP="3D83606E">
      <w:pPr>
        <w:pStyle w:val="AltH4Ashurst"/>
        <w:rPr>
          <w:sz w:val="20"/>
          <w:szCs w:val="20"/>
        </w:rPr>
      </w:pPr>
      <w:r w:rsidRPr="3D83606E">
        <w:rPr>
          <w:sz w:val="20"/>
          <w:szCs w:val="20"/>
          <w:lang w:val="en-US"/>
        </w:rPr>
        <w:t xml:space="preserve">incentives over liabilities between contracts on the </w:t>
      </w:r>
      <w:r w:rsidR="0053020C" w:rsidRPr="3D83606E">
        <w:rPr>
          <w:sz w:val="20"/>
          <w:szCs w:val="20"/>
          <w:lang w:val="en-US"/>
        </w:rPr>
        <w:t xml:space="preserve">SMR </w:t>
      </w:r>
      <w:r w:rsidRPr="3D83606E">
        <w:rPr>
          <w:sz w:val="20"/>
          <w:szCs w:val="20"/>
          <w:lang w:val="en-US"/>
        </w:rPr>
        <w:t>project (for example where contractual liabilities for the OE Consultant doing or omitting to do something conflicts with (and is potentially less than) an incentive reward that the OE Consultant or group company may receive on the</w:t>
      </w:r>
      <w:r w:rsidR="00722401" w:rsidRPr="3D83606E">
        <w:rPr>
          <w:sz w:val="20"/>
          <w:szCs w:val="20"/>
          <w:lang w:val="en-US"/>
        </w:rPr>
        <w:t xml:space="preserve"> </w:t>
      </w:r>
      <w:r w:rsidRPr="3D83606E">
        <w:rPr>
          <w:sz w:val="20"/>
          <w:szCs w:val="20"/>
          <w:lang w:val="en-US"/>
        </w:rPr>
        <w:t>TP or other contract</w:t>
      </w:r>
      <w:proofErr w:type="gramStart"/>
      <w:r w:rsidRPr="3D83606E">
        <w:rPr>
          <w:sz w:val="20"/>
          <w:szCs w:val="20"/>
          <w:lang w:val="en-US"/>
        </w:rPr>
        <w:t>)</w:t>
      </w:r>
      <w:r w:rsidR="003E0A51" w:rsidRPr="3D83606E">
        <w:rPr>
          <w:sz w:val="20"/>
          <w:szCs w:val="20"/>
          <w:lang w:val="en-US"/>
        </w:rPr>
        <w:t>;</w:t>
      </w:r>
      <w:proofErr w:type="gramEnd"/>
    </w:p>
    <w:p w14:paraId="62B495DE" w14:textId="1BE52767" w:rsidR="00263747" w:rsidRPr="00D21F19" w:rsidRDefault="003E0A51" w:rsidP="3D83606E">
      <w:pPr>
        <w:pStyle w:val="AltH4Ashurst"/>
        <w:rPr>
          <w:sz w:val="20"/>
          <w:szCs w:val="20"/>
        </w:rPr>
      </w:pPr>
      <w:r w:rsidRPr="00D21F19">
        <w:rPr>
          <w:sz w:val="20"/>
          <w:szCs w:val="20"/>
        </w:rPr>
        <w:t>the performance of one contract over another through resourcing</w:t>
      </w:r>
      <w:r w:rsidR="76AA1720" w:rsidRPr="00D21F19">
        <w:rPr>
          <w:sz w:val="20"/>
          <w:szCs w:val="20"/>
        </w:rPr>
        <w:t xml:space="preserve"> or other</w:t>
      </w:r>
      <w:r w:rsidRPr="00D21F19">
        <w:rPr>
          <w:sz w:val="20"/>
          <w:szCs w:val="20"/>
        </w:rPr>
        <w:t xml:space="preserve"> decisions</w:t>
      </w:r>
      <w:r w:rsidR="00263747" w:rsidRPr="00D21F19">
        <w:rPr>
          <w:sz w:val="20"/>
          <w:szCs w:val="20"/>
          <w:lang w:val="en-US"/>
        </w:rPr>
        <w:t>.</w:t>
      </w:r>
      <w:r w:rsidR="00263747" w:rsidRPr="00D21F19">
        <w:rPr>
          <w:sz w:val="20"/>
          <w:szCs w:val="20"/>
        </w:rPr>
        <w:t xml:space="preserve">   </w:t>
      </w:r>
    </w:p>
    <w:p w14:paraId="08F59D2B" w14:textId="7C3B7702" w:rsidR="00F61012" w:rsidRDefault="00777DB6" w:rsidP="00263747">
      <w:pPr>
        <w:pStyle w:val="AltH2Ashurst"/>
      </w:pPr>
      <w:bookmarkStart w:id="94" w:name="_Ref201572693"/>
      <w:r>
        <w:t xml:space="preserve">Within this context, </w:t>
      </w:r>
      <w:r w:rsidR="0053020C">
        <w:t>GBE-N</w:t>
      </w:r>
      <w:r>
        <w:t xml:space="preserve"> would consider the following, non-exhaustive, situations to amount to a potential Conflict of Interest:</w:t>
      </w:r>
      <w:bookmarkEnd w:id="94"/>
    </w:p>
    <w:p w14:paraId="236A9C57" w14:textId="6AB0AD15" w:rsidR="001C5CC6" w:rsidRPr="001C5CC6" w:rsidRDefault="001C5CC6" w:rsidP="00F61012">
      <w:pPr>
        <w:pStyle w:val="AltH3Ashurst"/>
      </w:pPr>
      <w:r w:rsidRPr="3D83606E">
        <w:rPr>
          <w:lang w:val="en-US"/>
        </w:rPr>
        <w:t xml:space="preserve">the OE Consultant also has a contract to deliver scope on the SMR </w:t>
      </w:r>
      <w:proofErr w:type="gramStart"/>
      <w:r w:rsidRPr="3D83606E">
        <w:rPr>
          <w:lang w:val="en-US"/>
        </w:rPr>
        <w:t>project(</w:t>
      </w:r>
      <w:proofErr w:type="gramEnd"/>
      <w:r w:rsidRPr="3D83606E">
        <w:rPr>
          <w:lang w:val="en-US"/>
        </w:rPr>
        <w:t>including but not limited to Technology Partner, Delivery Partner, other engineering or construction providers); or </w:t>
      </w:r>
      <w:r>
        <w:t> </w:t>
      </w:r>
      <w:r w:rsidRPr="3D83606E">
        <w:rPr>
          <w:lang w:val="en-US"/>
        </w:rPr>
        <w:t xml:space="preserve"> </w:t>
      </w:r>
    </w:p>
    <w:p w14:paraId="52E0F05D" w14:textId="1696BCB6" w:rsidR="001C5CC6" w:rsidRPr="001C5CC6" w:rsidRDefault="001C5CC6" w:rsidP="00F61012">
      <w:pPr>
        <w:pStyle w:val="AltH3Ashurst"/>
      </w:pPr>
      <w:r w:rsidRPr="3D83606E">
        <w:rPr>
          <w:lang w:val="en-US"/>
        </w:rPr>
        <w:t>the OE Consultant has a parent / related or subsidiary company relationship with any supplier that has a contract to deliver scope on the SMR project (including but not limited to Technology Partner, Delivery Partner, other engineering or construction providers); or</w:t>
      </w:r>
      <w:r>
        <w:t> </w:t>
      </w:r>
      <w:r w:rsidRPr="3D83606E">
        <w:rPr>
          <w:lang w:val="en-US"/>
        </w:rPr>
        <w:t xml:space="preserve"> </w:t>
      </w:r>
    </w:p>
    <w:p w14:paraId="7A14FB5E" w14:textId="4A5DB520" w:rsidR="001C5CC6" w:rsidRPr="001C5CC6" w:rsidRDefault="001C5CC6" w:rsidP="00F61012">
      <w:pPr>
        <w:pStyle w:val="AltH3Ashurst"/>
      </w:pPr>
      <w:r w:rsidRPr="3D83606E">
        <w:rPr>
          <w:lang w:val="en-US"/>
        </w:rPr>
        <w:t>the OE Consultant is a member of a consortia or joint venture which has a contract to deliver scope on the SMR project (including but not limited to Technology Partner, Delivery Partner, other engineering or construction providers); or</w:t>
      </w:r>
      <w:r>
        <w:t> </w:t>
      </w:r>
      <w:r w:rsidRPr="3D83606E">
        <w:rPr>
          <w:lang w:val="en-US"/>
        </w:rPr>
        <w:t xml:space="preserve"> </w:t>
      </w:r>
    </w:p>
    <w:p w14:paraId="461318BA" w14:textId="636FB67F" w:rsidR="006A6481" w:rsidRPr="006A6481" w:rsidRDefault="006A6481" w:rsidP="00FA3602">
      <w:pPr>
        <w:pStyle w:val="AltH3Ashurst"/>
      </w:pPr>
      <w:r w:rsidRPr="3D83606E">
        <w:rPr>
          <w:lang w:val="en-US"/>
        </w:rPr>
        <w:t>the OE Consultant has a shareholding in a Joint Venture or SPV which has a contract to deliver scope on the SMR project (including but not limited to Technology Partner, Delivery Partner, other engineering or construction providers); or</w:t>
      </w:r>
      <w:r>
        <w:t> </w:t>
      </w:r>
      <w:r w:rsidRPr="3D83606E">
        <w:rPr>
          <w:lang w:val="en-US"/>
        </w:rPr>
        <w:t xml:space="preserve"> </w:t>
      </w:r>
    </w:p>
    <w:p w14:paraId="63700C78" w14:textId="6648C758" w:rsidR="006A6481" w:rsidRPr="006A6481" w:rsidRDefault="006A6481" w:rsidP="006A6481">
      <w:pPr>
        <w:pStyle w:val="AltH3Ashurst"/>
      </w:pPr>
      <w:r w:rsidRPr="3D83606E">
        <w:rPr>
          <w:lang w:val="en-US"/>
        </w:rPr>
        <w:t xml:space="preserve">is nominated as a key subcontractor to a supplier or consortium member with a contract to deliver scope on the SMR project (including but not limited to Technology Partner, Delivery Partner, other engineering or construction providers). A key subcontractor </w:t>
      </w:r>
      <w:r>
        <w:t>means a Subcontractor that is to be appointed under a Key Subcontract. “</w:t>
      </w:r>
      <w:r w:rsidRPr="3D83606E">
        <w:rPr>
          <w:b/>
          <w:bCs/>
        </w:rPr>
        <w:t>Key Subcontracts</w:t>
      </w:r>
      <w:r>
        <w:t xml:space="preserve">" means those Subcontracts which:   </w:t>
      </w:r>
    </w:p>
    <w:p w14:paraId="412C8005" w14:textId="6CBE2FAE" w:rsidR="00FA3602" w:rsidRPr="00FA3602" w:rsidRDefault="006A6481" w:rsidP="00FA3602">
      <w:pPr>
        <w:pStyle w:val="AltH4Ashurst"/>
        <w:rPr>
          <w:sz w:val="20"/>
          <w:szCs w:val="22"/>
        </w:rPr>
      </w:pPr>
      <w:r w:rsidRPr="006A6481">
        <w:rPr>
          <w:sz w:val="20"/>
          <w:szCs w:val="22"/>
        </w:rPr>
        <w:t xml:space="preserve">are single/sole source </w:t>
      </w:r>
      <w:proofErr w:type="gramStart"/>
      <w:r w:rsidRPr="006A6481">
        <w:rPr>
          <w:sz w:val="20"/>
          <w:szCs w:val="22"/>
        </w:rPr>
        <w:t>contracts;</w:t>
      </w:r>
      <w:proofErr w:type="gramEnd"/>
      <w:r w:rsidRPr="006A6481">
        <w:rPr>
          <w:sz w:val="20"/>
          <w:szCs w:val="22"/>
        </w:rPr>
        <w:t xml:space="preserve"> </w:t>
      </w:r>
    </w:p>
    <w:p w14:paraId="003953DB" w14:textId="77777777" w:rsidR="00EA650B" w:rsidRPr="00EA650B" w:rsidRDefault="00EA650B" w:rsidP="00EA650B">
      <w:pPr>
        <w:pStyle w:val="AltH4Ashurst"/>
        <w:rPr>
          <w:sz w:val="20"/>
          <w:szCs w:val="22"/>
        </w:rPr>
      </w:pPr>
      <w:r w:rsidRPr="00EA650B">
        <w:rPr>
          <w:sz w:val="20"/>
          <w:szCs w:val="22"/>
        </w:rPr>
        <w:t xml:space="preserve">have a value exceeding £5,000,000 when considered in the aggregate with all subcontracts entered into or to be entered into between the OE Consultant and the relevant subconsultant in respect of their works.  </w:t>
      </w:r>
    </w:p>
    <w:bookmarkEnd w:id="91"/>
    <w:bookmarkEnd w:id="92"/>
    <w:p w14:paraId="23908FA5" w14:textId="121B1EDD" w:rsidR="00EA650B" w:rsidRPr="00EA650B" w:rsidRDefault="0053020C" w:rsidP="006B28A5">
      <w:pPr>
        <w:pStyle w:val="AltH2Ashurst"/>
      </w:pPr>
      <w:r>
        <w:t>GBE-N</w:t>
      </w:r>
      <w:r w:rsidR="00EA650B">
        <w:t xml:space="preserve">’s approach to COI for the OE Consultant procurement means that any company appointed as a lead tenderer or consortia member of an OE cannot be a lead tenderer, consortium member or key subcontractor on any other contract for the SMR Project, unless the Tenderer can satisfy </w:t>
      </w:r>
      <w:r>
        <w:t>GBE-N</w:t>
      </w:r>
      <w:r w:rsidR="00EA650B">
        <w:t xml:space="preserve"> that any Conflict of Interest is adequately managed to meet </w:t>
      </w:r>
      <w:r>
        <w:t>GBE-N</w:t>
      </w:r>
      <w:r w:rsidR="00EA650B">
        <w:t>’s COI intention outlined above. If an OE Consultant intends to appoint any key subcontractor (as defined above) to deliver part of the OE Consultant scope, such key subcontractor must be identified and must also declare any potential COI and proposed mitigation. </w:t>
      </w:r>
      <w:r w:rsidR="00EA650B" w:rsidRPr="3D83606E">
        <w:rPr>
          <w:lang w:val="en-US"/>
        </w:rPr>
        <w:t xml:space="preserve"> </w:t>
      </w:r>
    </w:p>
    <w:p w14:paraId="77E42A7D" w14:textId="6D026F3A" w:rsidR="008A4B78" w:rsidRPr="008A4B78" w:rsidRDefault="0053020C" w:rsidP="00BC5073">
      <w:pPr>
        <w:pStyle w:val="AltH2Ashurst"/>
      </w:pPr>
      <w:r w:rsidRPr="3D83606E">
        <w:rPr>
          <w:lang w:val="en-US"/>
        </w:rPr>
        <w:t>GBE-N</w:t>
      </w:r>
      <w:r w:rsidR="008A4B78" w:rsidRPr="3D83606E">
        <w:rPr>
          <w:lang w:val="en-US"/>
        </w:rPr>
        <w:t xml:space="preserve"> acknowledges there is a limited market for the supply of the OE Consultant scope, and suppliers may consider teaming arrangements. On that basis, </w:t>
      </w:r>
      <w:r w:rsidRPr="3D83606E">
        <w:rPr>
          <w:lang w:val="en-US"/>
        </w:rPr>
        <w:t>GBE-N</w:t>
      </w:r>
      <w:r w:rsidR="008A4B78" w:rsidRPr="3D83606E">
        <w:rPr>
          <w:lang w:val="en-US"/>
        </w:rPr>
        <w:t xml:space="preserve"> will be requiring bidders to declare any COI and proposed mitigations in their PSQ response. </w:t>
      </w:r>
      <w:r w:rsidR="008A4B78">
        <w:t> </w:t>
      </w:r>
      <w:r w:rsidR="008A4B78" w:rsidRPr="3D83606E">
        <w:rPr>
          <w:lang w:val="en-US"/>
        </w:rPr>
        <w:t xml:space="preserve"> </w:t>
      </w:r>
    </w:p>
    <w:p w14:paraId="49A730D9" w14:textId="092DD970" w:rsidR="008A4B78" w:rsidRDefault="0053020C" w:rsidP="008A4B78">
      <w:pPr>
        <w:pStyle w:val="AltH2Ashurst"/>
      </w:pPr>
      <w:r w:rsidRPr="3D83606E">
        <w:rPr>
          <w:lang w:val="en-US"/>
        </w:rPr>
        <w:t>GBE-N</w:t>
      </w:r>
      <w:r w:rsidR="008A4B78" w:rsidRPr="3D83606E">
        <w:rPr>
          <w:lang w:val="en-US"/>
        </w:rPr>
        <w:t xml:space="preserve"> will assess proposed measures against its concerns outlined in this paragraph 12 and the criteria for question 28 (Conflicts of Interest) and reserves the right to ask any </w:t>
      </w:r>
      <w:r w:rsidR="00DD208B" w:rsidRPr="3D83606E">
        <w:rPr>
          <w:lang w:val="en-US"/>
        </w:rPr>
        <w:t xml:space="preserve">Tenderer </w:t>
      </w:r>
      <w:r w:rsidR="008A4B78" w:rsidRPr="3D83606E">
        <w:rPr>
          <w:lang w:val="en-US"/>
        </w:rPr>
        <w:t xml:space="preserve">for further clarification on </w:t>
      </w:r>
      <w:r w:rsidR="00DD208B" w:rsidRPr="3D83606E">
        <w:rPr>
          <w:lang w:val="en-US"/>
        </w:rPr>
        <w:t xml:space="preserve">its </w:t>
      </w:r>
      <w:r w:rsidR="008A4B78" w:rsidRPr="3D83606E">
        <w:rPr>
          <w:lang w:val="en-US"/>
        </w:rPr>
        <w:t xml:space="preserve">proposals during PSQ evaluation and during the ITT stage, which may necessitate requesting additional information which </w:t>
      </w:r>
      <w:r w:rsidRPr="3D83606E">
        <w:rPr>
          <w:lang w:val="en-US"/>
        </w:rPr>
        <w:t>GBE-N</w:t>
      </w:r>
      <w:r w:rsidR="008A4B78" w:rsidRPr="3D83606E">
        <w:rPr>
          <w:lang w:val="en-US"/>
        </w:rPr>
        <w:t xml:space="preserve"> may </w:t>
      </w:r>
      <w:proofErr w:type="gramStart"/>
      <w:r w:rsidR="008A4B78" w:rsidRPr="3D83606E">
        <w:rPr>
          <w:lang w:val="en-US"/>
        </w:rPr>
        <w:t>take into account</w:t>
      </w:r>
      <w:proofErr w:type="gramEnd"/>
      <w:r w:rsidR="008A4B78" w:rsidRPr="3D83606E">
        <w:rPr>
          <w:lang w:val="en-US"/>
        </w:rPr>
        <w:t xml:space="preserve"> in evaluation. It is </w:t>
      </w:r>
      <w:r w:rsidRPr="3D83606E">
        <w:rPr>
          <w:lang w:val="en-US"/>
        </w:rPr>
        <w:t>GBE-N</w:t>
      </w:r>
      <w:r w:rsidR="008A4B78" w:rsidRPr="3D83606E">
        <w:rPr>
          <w:lang w:val="en-US"/>
        </w:rPr>
        <w:t xml:space="preserve">’s intention to allow bidders a reasonable opportunity to satisfy </w:t>
      </w:r>
      <w:r w:rsidRPr="3D83606E">
        <w:rPr>
          <w:lang w:val="en-US"/>
        </w:rPr>
        <w:t>GBE-N</w:t>
      </w:r>
      <w:r w:rsidR="008A4B78" w:rsidRPr="3D83606E">
        <w:rPr>
          <w:lang w:val="en-US"/>
        </w:rPr>
        <w:t xml:space="preserve">’s concerns arising from </w:t>
      </w:r>
      <w:proofErr w:type="gramStart"/>
      <w:r w:rsidR="008A4B78" w:rsidRPr="3D83606E">
        <w:rPr>
          <w:lang w:val="en-US"/>
        </w:rPr>
        <w:t>initial</w:t>
      </w:r>
      <w:proofErr w:type="gramEnd"/>
      <w:r w:rsidR="008A4B78" w:rsidRPr="3D83606E">
        <w:rPr>
          <w:lang w:val="en-US"/>
        </w:rPr>
        <w:t xml:space="preserve"> evaluation of Tenderer's responses to question 28 (Conflicts of Interest). </w:t>
      </w:r>
      <w:r w:rsidRPr="3D83606E">
        <w:rPr>
          <w:lang w:val="en-US"/>
        </w:rPr>
        <w:t>GBE-N</w:t>
      </w:r>
      <w:r w:rsidR="008A4B78" w:rsidRPr="3D83606E">
        <w:rPr>
          <w:lang w:val="en-US"/>
        </w:rPr>
        <w:t xml:space="preserve"> reserves the right to make any award of preferred bidder subject to successful satisfaction of COI mitigations and may request additional information up and to the point of contract signature. </w:t>
      </w:r>
      <w:r w:rsidR="008A4B78">
        <w:t xml:space="preserve">  </w:t>
      </w:r>
    </w:p>
    <w:p w14:paraId="25CC2400" w14:textId="2120D744" w:rsidR="008A4B78" w:rsidRPr="008A4B78" w:rsidRDefault="008A4B78" w:rsidP="008A4B78">
      <w:pPr>
        <w:pStyle w:val="AltH2Ashurst"/>
      </w:pPr>
      <w:r>
        <w:t xml:space="preserve">Tenderers are also advised that the ability of an OE Contractor to be awarded further contracts relating to the SMR Programme will be subject to any specific rules established in those future procurements relating to the prevention and/or management of Conflicts of Interest.  </w:t>
      </w:r>
      <w:r w:rsidR="0053020C">
        <w:t>GBE-N</w:t>
      </w:r>
      <w:r>
        <w:t xml:space="preserve"> cannot confirm what those rules might entail as they will be decided on a case-by-case basis.    </w:t>
      </w:r>
      <w:r w:rsidRPr="3D83606E">
        <w:rPr>
          <w:b/>
          <w:bCs/>
        </w:rPr>
        <w:t xml:space="preserve"> </w:t>
      </w:r>
    </w:p>
    <w:p w14:paraId="389E09C2" w14:textId="056599DB" w:rsidR="00720B63" w:rsidRPr="00A0545E" w:rsidRDefault="00720B63" w:rsidP="00720B63">
      <w:pPr>
        <w:pStyle w:val="B12Ashurst"/>
        <w:keepNext/>
        <w:rPr>
          <w:b/>
          <w:bCs/>
        </w:rPr>
      </w:pPr>
      <w:r>
        <w:rPr>
          <w:b/>
          <w:bCs/>
        </w:rPr>
        <w:t>Tenderers' obligations relating to disclosing and monitoring</w:t>
      </w:r>
      <w:r w:rsidRPr="00A0545E">
        <w:rPr>
          <w:b/>
          <w:bCs/>
        </w:rPr>
        <w:t xml:space="preserve"> Conflicts of Interest</w:t>
      </w:r>
    </w:p>
    <w:p w14:paraId="7DA09C1C" w14:textId="2C88AA0E" w:rsidR="008A4B78" w:rsidRDefault="0053020C" w:rsidP="00720B63">
      <w:pPr>
        <w:pStyle w:val="AltH2Ashurst"/>
      </w:pPr>
      <w:r>
        <w:t>GBE-N</w:t>
      </w:r>
      <w:r w:rsidR="008A4B78">
        <w:t xml:space="preserve"> encourages an open and transparent approach and a “when in doubt, notify” culture throughout </w:t>
      </w:r>
      <w:r>
        <w:t>GBE-N</w:t>
      </w:r>
      <w:r w:rsidR="008A4B78">
        <w:t xml:space="preserve"> and its supply chain, and takes Conflicts of Interest seriously. Each individual or company who is or wishes to be engaged on the SMR Programme, whether as a consultant or contractor to </w:t>
      </w:r>
      <w:r>
        <w:t>GBE-N</w:t>
      </w:r>
      <w:r w:rsidR="008A4B78">
        <w:t xml:space="preserve"> or as part of the </w:t>
      </w:r>
      <w:r>
        <w:t>GBE-N</w:t>
      </w:r>
      <w:r w:rsidR="008A4B78">
        <w:t xml:space="preserve"> supply chain, should be mindful of the obligations owed to </w:t>
      </w:r>
      <w:r>
        <w:t>GBE-N</w:t>
      </w:r>
      <w:r w:rsidR="008A4B78">
        <w:t xml:space="preserve"> regarding Conflicts of Interest.   </w:t>
      </w:r>
    </w:p>
    <w:p w14:paraId="0A38408D" w14:textId="306A6B3C" w:rsidR="00720B63" w:rsidRDefault="00720B63" w:rsidP="00720B63">
      <w:pPr>
        <w:pStyle w:val="AltH2Ashurst"/>
      </w:pPr>
      <w:r>
        <w:t>Tenderers are reminded that:</w:t>
      </w:r>
    </w:p>
    <w:p w14:paraId="6DA791F9" w14:textId="77777777" w:rsidR="00540842" w:rsidRDefault="00540842" w:rsidP="009079A3">
      <w:pPr>
        <w:pStyle w:val="AltH3Ashurst"/>
      </w:pPr>
      <w:r w:rsidRPr="00540842">
        <w:t>In response to PSQ Question 28, they are required to identify Conflicts of Interest and provide details of their Bid Team (see PSQ Appendix A</w:t>
      </w:r>
      <w:proofErr w:type="gramStart"/>
      <w:r w:rsidRPr="00540842">
        <w:t>);</w:t>
      </w:r>
      <w:proofErr w:type="gramEnd"/>
      <w:r w:rsidRPr="00540842">
        <w:t xml:space="preserve">   </w:t>
      </w:r>
    </w:p>
    <w:p w14:paraId="6231E765" w14:textId="61E7AD4B" w:rsidR="00540842" w:rsidRDefault="00540842" w:rsidP="00540842">
      <w:pPr>
        <w:pStyle w:val="AltH3Ashurst"/>
      </w:pPr>
      <w:bookmarkStart w:id="95" w:name="_Ref190706279"/>
      <w:r>
        <w:t xml:space="preserve">if a Conflict of Interest is identified in response to PSQ Question 28 (or otherwise comes to </w:t>
      </w:r>
      <w:r w:rsidR="0053020C">
        <w:t>GBE-N</w:t>
      </w:r>
      <w:r>
        <w:t xml:space="preserve">’s attention) the Tenderer will be required to demonstrate to </w:t>
      </w:r>
      <w:r w:rsidR="0053020C">
        <w:t>GBE-N</w:t>
      </w:r>
      <w:r>
        <w:t xml:space="preserve">’s satisfaction that it is able to manage the risk or potential risk without prejudice to the procurement, the Contract or the SMR Programme.   </w:t>
      </w:r>
    </w:p>
    <w:bookmarkEnd w:id="95"/>
    <w:p w14:paraId="20A91D76" w14:textId="3A513CEE" w:rsidR="00540842" w:rsidRDefault="00540842" w:rsidP="006B51D5">
      <w:pPr>
        <w:pStyle w:val="AltH2Ashurst"/>
      </w:pPr>
      <w:r>
        <w:t xml:space="preserve">Tenderers must continue to ensure on an on-going basis that any person or organisation engaged directly or indirectly in connection with the preparation of their Tender does not have, and could not reasonably be seen to have, any Conflict of Interest in connection with </w:t>
      </w:r>
      <w:r w:rsidR="0053020C">
        <w:t>GBE-N</w:t>
      </w:r>
      <w:r>
        <w:t xml:space="preserve"> or the SMR Programme. Steps must be taken to identify all such persons or organisations who have knowledge of the SMR Programme (including in particular this procurement and the Contract/s) acquired through previous or concurrent roles. Tenderers are required to notify </w:t>
      </w:r>
      <w:r w:rsidR="0053020C">
        <w:t>GBE-N</w:t>
      </w:r>
      <w:r>
        <w:t xml:space="preserve"> of all such cases, stating the measures taken, or which they propose to take, to ensure that no unfair advantage will arise. Failure to meet this obligation may result in the rejection of a Tender and/or disqualification of a Tenderer (and/or exclusion of a Party/Guarantor/Subcontractor) from this procurement.   </w:t>
      </w:r>
    </w:p>
    <w:p w14:paraId="1E209AAA" w14:textId="41504D62" w:rsidR="00540842" w:rsidRDefault="00540842" w:rsidP="00770213">
      <w:pPr>
        <w:pStyle w:val="AltH2Ashurst"/>
      </w:pPr>
      <w:r>
        <w:t xml:space="preserve">Tenderers should note that </w:t>
      </w:r>
      <w:r w:rsidR="0053020C">
        <w:t>GBE-N</w:t>
      </w:r>
      <w:r>
        <w:t xml:space="preserve"> reserves the right at its sole discretion to reject a Tender and/or disqualify a Tenderer (and/or exclude a Party/Guarantor/Subcontractor) from this procurement where there is an actual, potential or perceived Conflict of Interest involving the Tenderer (and/or a Party/Parent/Guarantor/Subcontractor). It is for </w:t>
      </w:r>
      <w:r w:rsidR="0053020C">
        <w:t>GBE-N</w:t>
      </w:r>
      <w:r>
        <w:t xml:space="preserve"> in its sole discretion to determine whether the relevant Conflict of Interest (whether actual, potential or perceived) is manageable </w:t>
      </w:r>
      <w:proofErr w:type="gramStart"/>
      <w:r>
        <w:t>taking into account</w:t>
      </w:r>
      <w:proofErr w:type="gramEnd"/>
      <w:r>
        <w:t xml:space="preserve"> all relevant circumstances and the potential impact on the conduct of this procurement and the SMR Programme more generally.   </w:t>
      </w:r>
    </w:p>
    <w:p w14:paraId="071F0194" w14:textId="337FEC75" w:rsidR="0028225F" w:rsidRDefault="0028225F" w:rsidP="00720B63">
      <w:pPr>
        <w:pStyle w:val="AltH2Ashurst"/>
      </w:pPr>
      <w:r>
        <w:t xml:space="preserve">Tenderers must also monitor whether any such Conflicts of Interest may arise via key subcontractors who are involved in the preparation of their Tender and notify </w:t>
      </w:r>
      <w:r w:rsidR="0053020C">
        <w:t>GBE-N</w:t>
      </w:r>
      <w:r>
        <w:t xml:space="preserve"> accordingly.   </w:t>
      </w:r>
    </w:p>
    <w:p w14:paraId="320A21F5" w14:textId="77777777" w:rsidR="0028225F" w:rsidRDefault="0028225F" w:rsidP="0028225F">
      <w:pPr>
        <w:pStyle w:val="AltH2Ashurst"/>
      </w:pPr>
      <w:r w:rsidRPr="0028225F">
        <w:t xml:space="preserve">Tenderers should note that the procurement timetables of the various SMR Programme procurements will not necessarily align and therefore Tenderers should be mindful that this paragraph ‎‎12 of the PSQ may require a successful Tenderer to choose either:  </w:t>
      </w:r>
    </w:p>
    <w:p w14:paraId="1BD5C5D0" w14:textId="1A6049B3" w:rsidR="00720B63" w:rsidRDefault="00720B63" w:rsidP="00720B63">
      <w:pPr>
        <w:pStyle w:val="AltH3Ashurst"/>
      </w:pPr>
      <w:r>
        <w:t xml:space="preserve">to enter into the Contract and commit to withdraw from another ongoing </w:t>
      </w:r>
      <w:r w:rsidR="0053020C">
        <w:t>GBE-N</w:t>
      </w:r>
      <w:r>
        <w:t xml:space="preserve"> procurement; or</w:t>
      </w:r>
    </w:p>
    <w:p w14:paraId="731280D2" w14:textId="77777777" w:rsidR="00720B63" w:rsidRDefault="00720B63" w:rsidP="00720B63">
      <w:pPr>
        <w:pStyle w:val="AltH3Ashurst"/>
      </w:pPr>
      <w:r>
        <w:t>to withdraw from this procurement in order to enter into another contract concerning the SMR Programme.</w:t>
      </w:r>
    </w:p>
    <w:p w14:paraId="791CFFDF" w14:textId="3478ECBA" w:rsidR="00F06283" w:rsidRPr="00AD5C49" w:rsidRDefault="00F26284" w:rsidP="00D03386">
      <w:pPr>
        <w:pStyle w:val="AltH1Ashurst"/>
        <w:rPr>
          <w:b/>
          <w:bCs/>
        </w:rPr>
      </w:pPr>
      <w:bookmarkStart w:id="96" w:name="_Toc190707109"/>
      <w:bookmarkStart w:id="97" w:name="_Toc190707159"/>
      <w:r w:rsidRPr="00AD5C49">
        <w:rPr>
          <w:b/>
          <w:bCs/>
        </w:rPr>
        <w:t>Non-canvassing</w:t>
      </w:r>
      <w:r w:rsidR="00F41DCF" w:rsidRPr="00AD5C49">
        <w:rPr>
          <w:b/>
          <w:bCs/>
        </w:rPr>
        <w:t>, bribery</w:t>
      </w:r>
      <w:r w:rsidRPr="00AD5C49">
        <w:rPr>
          <w:b/>
          <w:bCs/>
        </w:rPr>
        <w:t xml:space="preserve"> and non-collusion</w:t>
      </w:r>
      <w:bookmarkEnd w:id="96"/>
      <w:bookmarkEnd w:id="97"/>
    </w:p>
    <w:p w14:paraId="689106B8" w14:textId="037F279C" w:rsidR="00F06283" w:rsidRPr="002C3D67" w:rsidRDefault="00F26284" w:rsidP="00D03386">
      <w:pPr>
        <w:pStyle w:val="AltH2Ashurst"/>
      </w:pPr>
      <w:r>
        <w:t xml:space="preserve">Applicants must not </w:t>
      </w:r>
      <w:r w:rsidR="626B6BF3">
        <w:t xml:space="preserve">(and shall ensure that their </w:t>
      </w:r>
      <w:r w:rsidR="00BE3B25">
        <w:t>Associated Persons</w:t>
      </w:r>
      <w:r w:rsidR="626B6BF3">
        <w:t xml:space="preserve">, subcontractors, Consortium Members, </w:t>
      </w:r>
      <w:r w:rsidR="005D5ECB">
        <w:t>advisors</w:t>
      </w:r>
      <w:r w:rsidR="626B6BF3">
        <w:t xml:space="preserve"> or companies within its group do not)</w:t>
      </w:r>
      <w:r>
        <w:t xml:space="preserve"> directly or indirectly canvass any Minister, public sector employee, member, director, employee, representative or adviser of </w:t>
      </w:r>
      <w:r w:rsidR="0053020C">
        <w:t>GBE-N</w:t>
      </w:r>
      <w:r>
        <w:t xml:space="preserve">, agency, arm’s length body or government department regarding this procurement </w:t>
      </w:r>
      <w:r w:rsidR="00986A8E">
        <w:t>process or</w:t>
      </w:r>
      <w:r>
        <w:t xml:space="preserve"> attempt to procure any information from the same regarding the procedure process (except where expressly permitted within the </w:t>
      </w:r>
      <w:r w:rsidR="00B34E77">
        <w:t>PSQ</w:t>
      </w:r>
      <w:r>
        <w:t xml:space="preserve"> or subsequent documents in the procurement process). </w:t>
      </w:r>
      <w:r w:rsidR="003A6D1E">
        <w:t xml:space="preserve"> </w:t>
      </w:r>
      <w:r>
        <w:t xml:space="preserve">Any attempt to do so may result in </w:t>
      </w:r>
      <w:r w:rsidR="00D529BC">
        <w:t>disqualification</w:t>
      </w:r>
      <w:r>
        <w:t xml:space="preserve"> from this procurement process.</w:t>
      </w:r>
    </w:p>
    <w:p w14:paraId="1EBBB2AA" w14:textId="749C8298" w:rsidR="00F06283" w:rsidRPr="00585A3E" w:rsidRDefault="00F26284" w:rsidP="00D03386">
      <w:pPr>
        <w:pStyle w:val="AltH2Ashurst"/>
        <w:rPr>
          <w:rFonts w:cstheme="minorHAnsi"/>
          <w:szCs w:val="20"/>
        </w:rPr>
      </w:pPr>
      <w:r w:rsidRPr="002C3D67">
        <w:t>Applica</w:t>
      </w:r>
      <w:r w:rsidRPr="00585A3E">
        <w:rPr>
          <w:rFonts w:cstheme="minorHAnsi"/>
          <w:szCs w:val="20"/>
        </w:rPr>
        <w:t xml:space="preserve">nts must not (and shall ensure that their </w:t>
      </w:r>
      <w:r w:rsidR="00BE3B25">
        <w:rPr>
          <w:rFonts w:cstheme="minorHAnsi"/>
          <w:szCs w:val="20"/>
        </w:rPr>
        <w:t>Associated Persons</w:t>
      </w:r>
      <w:r w:rsidRPr="00585A3E">
        <w:rPr>
          <w:rFonts w:cstheme="minorHAnsi"/>
          <w:szCs w:val="20"/>
        </w:rPr>
        <w:t>, subcontractors, Consortium Members, advisors or companies within its group do not):</w:t>
      </w:r>
    </w:p>
    <w:p w14:paraId="21C1D3DD" w14:textId="501D32BE" w:rsidR="00F06283" w:rsidRPr="00585A3E" w:rsidRDefault="00F26284" w:rsidP="00D03386">
      <w:pPr>
        <w:pStyle w:val="AltH3Ashurst"/>
      </w:pPr>
      <w:r>
        <w:t>F</w:t>
      </w:r>
      <w:r w:rsidRPr="00585A3E">
        <w:t xml:space="preserve">ix or adjust any element of the </w:t>
      </w:r>
      <w:r w:rsidR="00B34E77">
        <w:t>PSQ</w:t>
      </w:r>
      <w:r w:rsidR="00FB076E" w:rsidRPr="00585A3E">
        <w:t xml:space="preserve"> response and subsequent </w:t>
      </w:r>
      <w:r w:rsidR="00CA14C9">
        <w:t>PSQ</w:t>
      </w:r>
      <w:r w:rsidRPr="00585A3E">
        <w:t xml:space="preserve"> by agreement or arrangement with any other </w:t>
      </w:r>
      <w:proofErr w:type="gramStart"/>
      <w:r w:rsidRPr="00585A3E">
        <w:t>person;</w:t>
      </w:r>
      <w:proofErr w:type="gramEnd"/>
    </w:p>
    <w:p w14:paraId="23E9904A" w14:textId="76407707" w:rsidR="00F06283" w:rsidRPr="00585A3E" w:rsidRDefault="00F26284" w:rsidP="00D03386">
      <w:pPr>
        <w:pStyle w:val="AltH3Ashurst"/>
      </w:pPr>
      <w:r>
        <w:t xml:space="preserve">Communicate with any person, other than </w:t>
      </w:r>
      <w:r w:rsidR="0053020C">
        <w:t>GBE-N</w:t>
      </w:r>
      <w:r>
        <w:t xml:space="preserve">'s nominated procurement lead, the value, price or rates </w:t>
      </w:r>
      <w:r w:rsidR="00FB076E">
        <w:t xml:space="preserve">to be </w:t>
      </w:r>
      <w:r>
        <w:t xml:space="preserve">set out in the </w:t>
      </w:r>
      <w:r w:rsidR="00CA14C9">
        <w:t>PSQ</w:t>
      </w:r>
      <w:r>
        <w:t xml:space="preserve">, or information which would enable the precise or approximate value, price or rates to be calculated by any other </w:t>
      </w:r>
      <w:proofErr w:type="gramStart"/>
      <w:r>
        <w:t>person;</w:t>
      </w:r>
      <w:proofErr w:type="gramEnd"/>
    </w:p>
    <w:p w14:paraId="525139E7" w14:textId="4E22DF17" w:rsidR="00F06283" w:rsidRPr="00585A3E" w:rsidRDefault="00F26284" w:rsidP="00D03386">
      <w:pPr>
        <w:pStyle w:val="AltH3Ashurst"/>
      </w:pPr>
      <w:r>
        <w:t xml:space="preserve">Enter into any agreement or arrangement with any other person, so that person refrains from submitting </w:t>
      </w:r>
      <w:r w:rsidR="22215179">
        <w:t>a</w:t>
      </w:r>
      <w:r w:rsidR="4AC41D09">
        <w:t xml:space="preserve"> </w:t>
      </w:r>
      <w:r w:rsidR="144D1766">
        <w:t>PSQ</w:t>
      </w:r>
      <w:r w:rsidR="4AC41D09">
        <w:t xml:space="preserve"> response or</w:t>
      </w:r>
      <w:r>
        <w:t xml:space="preserve"> </w:t>
      </w:r>
      <w:proofErr w:type="gramStart"/>
      <w:r w:rsidR="2CC99D6F">
        <w:t>PSQ</w:t>
      </w:r>
      <w:r>
        <w:t>;</w:t>
      </w:r>
      <w:proofErr w:type="gramEnd"/>
    </w:p>
    <w:p w14:paraId="112736A7" w14:textId="132D92FE" w:rsidR="00F06283" w:rsidRPr="00585A3E" w:rsidRDefault="00F26284" w:rsidP="00D03386">
      <w:pPr>
        <w:pStyle w:val="AltH3Ashurst"/>
      </w:pPr>
      <w:r>
        <w:t>S</w:t>
      </w:r>
      <w:r w:rsidRPr="00585A3E">
        <w:t xml:space="preserve">hare, permit or disclose to another person, access to any information relating to the </w:t>
      </w:r>
      <w:r w:rsidR="00B34E77">
        <w:t>PSQ</w:t>
      </w:r>
      <w:r w:rsidR="00FB076E" w:rsidRPr="00585A3E">
        <w:t xml:space="preserve"> </w:t>
      </w:r>
      <w:r>
        <w:t>r</w:t>
      </w:r>
      <w:r w:rsidR="00FB076E" w:rsidRPr="00585A3E">
        <w:t xml:space="preserve">esponse or </w:t>
      </w:r>
      <w:r w:rsidR="00CA14C9">
        <w:t>PSQ</w:t>
      </w:r>
      <w:r w:rsidRPr="00585A3E">
        <w:t xml:space="preserve"> with any other person; or</w:t>
      </w:r>
    </w:p>
    <w:p w14:paraId="28684F14" w14:textId="514C0629" w:rsidR="00F06283" w:rsidRPr="00585A3E" w:rsidRDefault="00F26284" w:rsidP="00D03386">
      <w:pPr>
        <w:pStyle w:val="AltH3Ashurst"/>
      </w:pPr>
      <w:r>
        <w:t>O</w:t>
      </w:r>
      <w:r w:rsidRPr="00585A3E">
        <w:t xml:space="preserve">ffer or agree to pay or give or does pay or give any sum or sums of money, inducement or valuable consideration directly or indirectly to any other person for doing or having done or causing or having caused to be done any act or omission in relation to the </w:t>
      </w:r>
      <w:r w:rsidR="00B34E77">
        <w:t>PSQ</w:t>
      </w:r>
      <w:r w:rsidR="00FB076E" w:rsidRPr="00585A3E">
        <w:t xml:space="preserve"> response or </w:t>
      </w:r>
      <w:r w:rsidR="00CA14C9">
        <w:t>PSQ</w:t>
      </w:r>
      <w:r w:rsidR="00FB076E" w:rsidRPr="00585A3E">
        <w:t>,</w:t>
      </w:r>
      <w:r w:rsidRPr="00585A3E">
        <w:t xml:space="preserve"> any other </w:t>
      </w:r>
      <w:r w:rsidR="00CA14C9">
        <w:t>PSQ</w:t>
      </w:r>
      <w:r w:rsidRPr="00585A3E">
        <w:t xml:space="preserve"> or proposed </w:t>
      </w:r>
      <w:r w:rsidR="00CA14C9">
        <w:t>PSQ</w:t>
      </w:r>
      <w:r w:rsidRPr="00585A3E">
        <w:t xml:space="preserve">, except where such prohibited acts are undertaken with persons who are also participants in the </w:t>
      </w:r>
      <w:r w:rsidR="00FB076E" w:rsidRPr="00585A3E">
        <w:t xml:space="preserve">Applicant's </w:t>
      </w:r>
      <w:r w:rsidR="00B34E77">
        <w:t>PSQ</w:t>
      </w:r>
      <w:r w:rsidR="00FB076E" w:rsidRPr="00585A3E">
        <w:t xml:space="preserve"> response</w:t>
      </w:r>
      <w:r w:rsidRPr="00585A3E">
        <w:t xml:space="preserve">, such as subcontractors, resellers, consortium members, advisors or companies within its group, or where disclosure to such person is made in confidence in order to obtain quotations necessary for the preparation of the </w:t>
      </w:r>
      <w:r w:rsidR="00CA14C9">
        <w:t>PSQ</w:t>
      </w:r>
      <w:r w:rsidRPr="00585A3E">
        <w:t xml:space="preserve"> or obtain any necessary security.</w:t>
      </w:r>
    </w:p>
    <w:p w14:paraId="44AE84C3" w14:textId="72D5B3A6" w:rsidR="00F06283" w:rsidRPr="002C3D67" w:rsidRDefault="00F26284" w:rsidP="00D03386">
      <w:pPr>
        <w:pStyle w:val="AltH2Ashurst"/>
      </w:pPr>
      <w:r w:rsidRPr="3D83606E">
        <w:t>If</w:t>
      </w:r>
      <w:r>
        <w:t xml:space="preserve"> a</w:t>
      </w:r>
      <w:r w:rsidR="00FB076E">
        <w:t>n Applicant</w:t>
      </w:r>
      <w:r>
        <w:t xml:space="preserve"> breaches the above paragraph, </w:t>
      </w:r>
      <w:r w:rsidR="0053020C">
        <w:t>GBE-N</w:t>
      </w:r>
      <w:r>
        <w:t xml:space="preserve"> may (without prejudice to any other criminal or civil remedies available to it) </w:t>
      </w:r>
      <w:r w:rsidR="00C02FF7">
        <w:t>disqualify</w:t>
      </w:r>
      <w:r>
        <w:t xml:space="preserve"> the </w:t>
      </w:r>
      <w:r w:rsidR="00FB076E">
        <w:t>Applicant</w:t>
      </w:r>
      <w:r>
        <w:t xml:space="preserve"> from further participation in the procurement process.</w:t>
      </w:r>
    </w:p>
    <w:p w14:paraId="76280627" w14:textId="2F1B9775" w:rsidR="00F06283" w:rsidRPr="002C3D67" w:rsidRDefault="0053020C" w:rsidP="00D03386">
      <w:pPr>
        <w:pStyle w:val="AltH2Ashurst"/>
      </w:pPr>
      <w:r>
        <w:t>GBE-N</w:t>
      </w:r>
      <w:r w:rsidR="00F26284">
        <w:t xml:space="preserve"> may require a</w:t>
      </w:r>
      <w:r w:rsidR="1BA5E796">
        <w:t>n Applicant</w:t>
      </w:r>
      <w:r w:rsidR="00F26284">
        <w:t xml:space="preserve"> to put in place any procedures or undertake any such action(s) that </w:t>
      </w:r>
      <w:r>
        <w:t>GBE-N</w:t>
      </w:r>
      <w:r w:rsidR="00F26284">
        <w:t xml:space="preserve"> in its sole discretion considers necessary to prevent or curtail any collusive behaviour.</w:t>
      </w:r>
    </w:p>
    <w:p w14:paraId="7880F3C9" w14:textId="005DCE84" w:rsidR="00F06283" w:rsidRPr="00585A3E" w:rsidRDefault="00F26284" w:rsidP="00D03386">
      <w:pPr>
        <w:pStyle w:val="AltH2Ashurst"/>
        <w:rPr>
          <w:rFonts w:cstheme="minorHAnsi"/>
          <w:szCs w:val="20"/>
        </w:rPr>
      </w:pPr>
      <w:r w:rsidRPr="002C3D67">
        <w:t xml:space="preserve">Each </w:t>
      </w:r>
      <w:r w:rsidR="00FB076E" w:rsidRPr="002C3D67">
        <w:t>Applicant</w:t>
      </w:r>
      <w:r w:rsidRPr="002C3D67">
        <w:t xml:space="preserve"> must complete and sign </w:t>
      </w:r>
      <w:r w:rsidR="00F41DCF" w:rsidRPr="002C3D67">
        <w:t xml:space="preserve">the </w:t>
      </w:r>
      <w:r w:rsidRPr="002C3D67">
        <w:t>Certificate of Non-Collusion and Non-C</w:t>
      </w:r>
      <w:r w:rsidRPr="00585A3E">
        <w:rPr>
          <w:rFonts w:cstheme="minorHAnsi"/>
          <w:szCs w:val="20"/>
        </w:rPr>
        <w:t>anvassing.</w:t>
      </w:r>
    </w:p>
    <w:p w14:paraId="06155C56" w14:textId="4F9D42C8" w:rsidR="00F06283" w:rsidRPr="002C3D67" w:rsidRDefault="00F26284" w:rsidP="00D03386">
      <w:pPr>
        <w:pStyle w:val="AltH1Ashurst"/>
        <w:rPr>
          <w:b/>
          <w:bCs/>
        </w:rPr>
      </w:pPr>
      <w:bookmarkStart w:id="98" w:name="_Toc190707110"/>
      <w:bookmarkStart w:id="99" w:name="_Toc190707160"/>
      <w:r w:rsidRPr="002C3D67">
        <w:rPr>
          <w:b/>
          <w:bCs/>
        </w:rPr>
        <w:t>Right to amend or vary the documents</w:t>
      </w:r>
      <w:bookmarkEnd w:id="98"/>
      <w:bookmarkEnd w:id="99"/>
    </w:p>
    <w:p w14:paraId="7C83FB85" w14:textId="1083C864" w:rsidR="00F06283" w:rsidRPr="00585A3E" w:rsidRDefault="0053020C" w:rsidP="3D83606E">
      <w:pPr>
        <w:pStyle w:val="B12Ashurst"/>
      </w:pPr>
      <w:r w:rsidRPr="3D83606E">
        <w:t>GBE-N</w:t>
      </w:r>
      <w:r w:rsidR="00F26284" w:rsidRPr="3D83606E">
        <w:t xml:space="preserve"> reserves the right not to proceed to the subsequent stages of the procurement process and to amen</w:t>
      </w:r>
      <w:r w:rsidR="00F26284">
        <w:t xml:space="preserve">d or vary the procurement process, requirements, evaluation criteria, evaluation approach, timetable or the proposed scope/nature of the </w:t>
      </w:r>
      <w:r w:rsidR="00CA14C9">
        <w:t>PSQ</w:t>
      </w:r>
      <w:r w:rsidR="00F26284">
        <w:t xml:space="preserve"> in any way from that described in this </w:t>
      </w:r>
      <w:r w:rsidR="00B34E77">
        <w:t>PSQ</w:t>
      </w:r>
      <w:r w:rsidR="00F26284">
        <w:t xml:space="preserve"> or in any other procurement document.</w:t>
      </w:r>
      <w:r w:rsidR="003A6D1E">
        <w:t xml:space="preserve"> </w:t>
      </w:r>
      <w:r w:rsidR="00F26284">
        <w:t xml:space="preserve"> You will not be reimbursed for any costs, e</w:t>
      </w:r>
      <w:r w:rsidR="00F26284" w:rsidRPr="3D83606E">
        <w:t xml:space="preserve">xpenses or loss suffered or incurred as a result or otherwise in connection with the </w:t>
      </w:r>
      <w:r w:rsidR="00B34E77" w:rsidRPr="3D83606E">
        <w:t>PSQ</w:t>
      </w:r>
      <w:r w:rsidR="00F26284" w:rsidRPr="3D83606E">
        <w:t xml:space="preserve"> or any other subsequent part of the </w:t>
      </w:r>
      <w:r w:rsidR="00CA14C9" w:rsidRPr="3D83606E">
        <w:t>PSQ</w:t>
      </w:r>
      <w:r w:rsidR="00F26284" w:rsidRPr="3D83606E">
        <w:t xml:space="preserve"> process. </w:t>
      </w:r>
    </w:p>
    <w:p w14:paraId="750D50C4" w14:textId="2463D340" w:rsidR="00F06283" w:rsidRPr="001A16D8" w:rsidRDefault="00F26284" w:rsidP="00D03386">
      <w:pPr>
        <w:pStyle w:val="AltH1Ashurst"/>
        <w:rPr>
          <w:b/>
          <w:bCs/>
        </w:rPr>
      </w:pPr>
      <w:bookmarkStart w:id="100" w:name="_Toc190707111"/>
      <w:bookmarkStart w:id="101" w:name="_Toc190707161"/>
      <w:r w:rsidRPr="001A16D8">
        <w:rPr>
          <w:b/>
          <w:bCs/>
        </w:rPr>
        <w:t>Confidentiality</w:t>
      </w:r>
      <w:bookmarkEnd w:id="100"/>
      <w:bookmarkEnd w:id="101"/>
    </w:p>
    <w:p w14:paraId="1AE054E2" w14:textId="11C5B450" w:rsidR="00F06283" w:rsidRPr="00585A3E" w:rsidRDefault="0053020C" w:rsidP="00D03386">
      <w:pPr>
        <w:pStyle w:val="AltH2Ashurst"/>
      </w:pPr>
      <w:r>
        <w:t>GBE-N</w:t>
      </w:r>
      <w:r w:rsidR="00F26284">
        <w:t xml:space="preserve"> reserves the right to disclose any information provided by any </w:t>
      </w:r>
      <w:r w:rsidR="006334CB">
        <w:t xml:space="preserve">Applicant </w:t>
      </w:r>
      <w:r w:rsidR="00F26284">
        <w:t>in relation to the procurement process to any or all of its advisers or to other public bodies.</w:t>
      </w:r>
    </w:p>
    <w:p w14:paraId="45102ABE" w14:textId="3D3FC338" w:rsidR="00F06283" w:rsidRDefault="00F26284" w:rsidP="00D03386">
      <w:pPr>
        <w:pStyle w:val="AltH2Ashurst"/>
      </w:pPr>
      <w:r>
        <w:t xml:space="preserve">Applicants must be aware that </w:t>
      </w:r>
      <w:r w:rsidR="0053020C">
        <w:t>GBE-N</w:t>
      </w:r>
      <w:r>
        <w:t xml:space="preserve"> intends to publish the names of the </w:t>
      </w:r>
      <w:r w:rsidR="7AF85A2E">
        <w:t>Applicant</w:t>
      </w:r>
      <w:r>
        <w:t>s at each relevant stage of the procurement process.</w:t>
      </w:r>
    </w:p>
    <w:p w14:paraId="37F566AD" w14:textId="4E816E31" w:rsidR="003C2D92" w:rsidRDefault="00F26284" w:rsidP="003C2D92">
      <w:pPr>
        <w:pStyle w:val="AltH2Ashurst"/>
      </w:pPr>
      <w:r>
        <w:t xml:space="preserve">Subject to the exceptions referred to in this paragraph, the information in the PSQ and the accompanying Instructions is made available by </w:t>
      </w:r>
      <w:r w:rsidR="0053020C">
        <w:t>GBE-N</w:t>
      </w:r>
      <w:r>
        <w:t xml:space="preserve"> on the condition and understanding that:</w:t>
      </w:r>
    </w:p>
    <w:p w14:paraId="5C70D5F6" w14:textId="03FD5E64" w:rsidR="003C2D92" w:rsidRDefault="00F26284" w:rsidP="003C2D92">
      <w:pPr>
        <w:pStyle w:val="AltH3Ashurst"/>
      </w:pPr>
      <w:r>
        <w:t xml:space="preserve">Applicants shall not copy, reproduce, distribute or pass the information to any other person at any time or allow any of these things to </w:t>
      </w:r>
      <w:proofErr w:type="gramStart"/>
      <w:r>
        <w:t>happen;</w:t>
      </w:r>
      <w:proofErr w:type="gramEnd"/>
      <w:r>
        <w:t xml:space="preserve"> </w:t>
      </w:r>
    </w:p>
    <w:p w14:paraId="6FCD1369" w14:textId="17F8A91D" w:rsidR="003C2D92" w:rsidRDefault="00F26284" w:rsidP="003C2D92">
      <w:pPr>
        <w:pStyle w:val="AltH3Ashurst"/>
      </w:pPr>
      <w:r>
        <w:t>Applicants shall not use the information for any purpose other than for the purposes of making, or deciding whether to make, an expression of interest; and</w:t>
      </w:r>
    </w:p>
    <w:p w14:paraId="296E8334" w14:textId="2B792773" w:rsidR="003C2D92" w:rsidRDefault="00F26284" w:rsidP="003C2D92">
      <w:pPr>
        <w:pStyle w:val="AltH3Ashurst"/>
      </w:pPr>
      <w:r>
        <w:t xml:space="preserve">Applicants shall not discuss information nor any aspect of this procurement process in the media nor make any media or publicity statement or comment in relation to it without the express consent of </w:t>
      </w:r>
      <w:r w:rsidR="0053020C">
        <w:t>GBE-N</w:t>
      </w:r>
      <w:r>
        <w:t xml:space="preserve"> in writing.</w:t>
      </w:r>
    </w:p>
    <w:p w14:paraId="0FAC36A3" w14:textId="54927AC5" w:rsidR="003C2D92" w:rsidRDefault="00F26284" w:rsidP="003C2D92">
      <w:pPr>
        <w:pStyle w:val="AltH2Ashurst"/>
      </w:pPr>
      <w:r>
        <w:t>Applicants shall treat all information relating to their PSQ response as strictly confidential and where the information needs to be copied to parties supporting the Applicant or Consortium Member then the Applicant shall require such parties (</w:t>
      </w:r>
      <w:bookmarkStart w:id="102" w:name="_9kR3WTr2664ACLAwrly6xkz"/>
      <w:proofErr w:type="spellStart"/>
      <w:r w:rsidRPr="008638B4">
        <w:rPr>
          <w:b/>
        </w:rPr>
        <w:t>Disclosees</w:t>
      </w:r>
      <w:bookmarkEnd w:id="102"/>
      <w:proofErr w:type="spellEnd"/>
      <w:r>
        <w:t xml:space="preserve">) to also treat the information as strictly confidential. The Applicant will remain responsible for any breach by its </w:t>
      </w:r>
      <w:bookmarkStart w:id="103" w:name="_9kMHG5YVt4886CENCytn08zm1"/>
      <w:proofErr w:type="spellStart"/>
      <w:r>
        <w:t>Disclosees</w:t>
      </w:r>
      <w:bookmarkEnd w:id="103"/>
      <w:proofErr w:type="spellEnd"/>
      <w:r>
        <w:t>. The Applicant may disclose, distribute or pass information to another person associated with its PSQ response (including but not limited to, for example, a Consortium Member, the Applicant's insurers or advisers) if either:</w:t>
      </w:r>
    </w:p>
    <w:p w14:paraId="5CB8CF66" w14:textId="6B3A3161" w:rsidR="003C2D92" w:rsidRDefault="00F26284" w:rsidP="003C2D92">
      <w:pPr>
        <w:pStyle w:val="AltH3Ashurst"/>
      </w:pPr>
      <w:r>
        <w:t xml:space="preserve">this is done for the sole purpose of enabling a PSQ response to be made and the person receiving the information undertakes in writing jointly for the benefit of both the </w:t>
      </w:r>
      <w:r w:rsidR="00E71A16">
        <w:t>Applicant</w:t>
      </w:r>
      <w:r>
        <w:t xml:space="preserve"> and </w:t>
      </w:r>
      <w:r w:rsidR="0053020C">
        <w:t>GBE-N</w:t>
      </w:r>
      <w:r>
        <w:t xml:space="preserve"> to keep the information confidential on the same terms as set out in this paragraph; and</w:t>
      </w:r>
    </w:p>
    <w:p w14:paraId="38F96122" w14:textId="3B82B767" w:rsidR="003C2D92" w:rsidRDefault="00F26284" w:rsidP="003C2D92">
      <w:pPr>
        <w:pStyle w:val="AltH3Ashurst"/>
      </w:pPr>
      <w:r>
        <w:t xml:space="preserve">the </w:t>
      </w:r>
      <w:r w:rsidR="00E71A16">
        <w:t>Applicant</w:t>
      </w:r>
      <w:r>
        <w:t xml:space="preserve"> obtains the prior written consent of </w:t>
      </w:r>
      <w:r w:rsidR="0053020C">
        <w:t>GBE-N</w:t>
      </w:r>
      <w:r>
        <w:t xml:space="preserve"> in relation to such disclosure, distribution or passing of information (</w:t>
      </w:r>
      <w:r w:rsidR="0053020C">
        <w:t>GBE-N</w:t>
      </w:r>
      <w:r>
        <w:t>’s consent may be on such conditions as it sees fit (including as to entry into legally binding confidentiality undertakings)).</w:t>
      </w:r>
    </w:p>
    <w:p w14:paraId="52201A46" w14:textId="5A22B63E" w:rsidR="003C2D92" w:rsidRDefault="00F26284" w:rsidP="003C2D92">
      <w:pPr>
        <w:pStyle w:val="AltH2Ashurst"/>
      </w:pPr>
      <w:r>
        <w:t xml:space="preserve">Applicants must clearly indicate by highlighting specific text, figures and diagrams, etc., which parts of their </w:t>
      </w:r>
      <w:r w:rsidR="00CA14C9">
        <w:t>PSQ</w:t>
      </w:r>
      <w:r>
        <w:t xml:space="preserve"> Submission are to be considered commercially sensitive and confidential and why they are considered to be so, along with the time period for which they will remain confidential in nature.</w:t>
      </w:r>
    </w:p>
    <w:p w14:paraId="64DE1C6D" w14:textId="5AAB88BC" w:rsidR="003C2D92" w:rsidRDefault="00F26284" w:rsidP="003C2D92">
      <w:pPr>
        <w:pStyle w:val="AltH2Ashurst"/>
      </w:pPr>
      <w:r>
        <w:t xml:space="preserve">No person, other than </w:t>
      </w:r>
      <w:r w:rsidR="0053020C">
        <w:t>GBE-N</w:t>
      </w:r>
      <w:r>
        <w:t xml:space="preserve">'s commercial team or representative, has been authorised by </w:t>
      </w:r>
      <w:r w:rsidR="0053020C">
        <w:t>GBE-N</w:t>
      </w:r>
      <w:r>
        <w:t xml:space="preserve"> to give any information or to make any representation on behalf of </w:t>
      </w:r>
      <w:r w:rsidR="0053020C">
        <w:t>GBE-N</w:t>
      </w:r>
      <w:r>
        <w:t xml:space="preserve"> and, if any information or representation shall have been given or made, any such information or representation shall not be relied upon as having been so authorised.</w:t>
      </w:r>
    </w:p>
    <w:p w14:paraId="4D344C20" w14:textId="77777777" w:rsidR="00E71A16" w:rsidRPr="002C3D67" w:rsidRDefault="00F26284" w:rsidP="00E71A16">
      <w:pPr>
        <w:pStyle w:val="AltH1Ashurst"/>
        <w:rPr>
          <w:b/>
          <w:bCs/>
        </w:rPr>
      </w:pPr>
      <w:bookmarkStart w:id="104" w:name="_Toc190707112"/>
      <w:bookmarkStart w:id="105" w:name="_Toc190707162"/>
      <w:r w:rsidRPr="002C3D67">
        <w:rPr>
          <w:b/>
          <w:bCs/>
        </w:rPr>
        <w:t>Freedom of Information Act and Environmental Information Regulations</w:t>
      </w:r>
      <w:bookmarkEnd w:id="104"/>
      <w:bookmarkEnd w:id="105"/>
    </w:p>
    <w:p w14:paraId="0BCBA909" w14:textId="39B783D6" w:rsidR="00E71A16" w:rsidRDefault="0053020C" w:rsidP="00E71A16">
      <w:pPr>
        <w:pStyle w:val="AltH2Ashurst"/>
      </w:pPr>
      <w:r>
        <w:t>GBE-N</w:t>
      </w:r>
      <w:r w:rsidR="00F26284">
        <w:t xml:space="preserve"> is subject to the requirements of the Freedom of Information Act 2000 (</w:t>
      </w:r>
      <w:r w:rsidR="00F26284" w:rsidRPr="3D83606E">
        <w:rPr>
          <w:b/>
          <w:bCs/>
        </w:rPr>
        <w:t>FOIA</w:t>
      </w:r>
      <w:r w:rsidR="00F26284">
        <w:t>) and the Environmental Information Regulations 2004 (</w:t>
      </w:r>
      <w:r w:rsidR="00F26284" w:rsidRPr="3D83606E">
        <w:rPr>
          <w:b/>
          <w:bCs/>
        </w:rPr>
        <w:t>EIR</w:t>
      </w:r>
      <w:r w:rsidR="00F26284">
        <w:t xml:space="preserve">), the subordinate legislation made under the FOIA or EIR and any guidance and/or codes of practice issued (from time to time) in relation to such legislation. Applicants should be aware of </w:t>
      </w:r>
      <w:r>
        <w:t>GBE-N</w:t>
      </w:r>
      <w:r w:rsidR="00F26284">
        <w:t xml:space="preserve">'s obligations and responsibilities under the FOIA and EIR to disclose, on written request, recorded information held by </w:t>
      </w:r>
      <w:r>
        <w:t>GBE-N</w:t>
      </w:r>
      <w:r w:rsidR="00F26284">
        <w:t xml:space="preserve">. Information provided by Applicants in connection with the </w:t>
      </w:r>
      <w:r w:rsidR="000D2871">
        <w:t xml:space="preserve">OE </w:t>
      </w:r>
      <w:r w:rsidR="00DC28AF">
        <w:t>C</w:t>
      </w:r>
      <w:r w:rsidR="000D2871">
        <w:t>ontract</w:t>
      </w:r>
      <w:r w:rsidR="00F26284">
        <w:t xml:space="preserve"> and the Procurement, or with any </w:t>
      </w:r>
      <w:r w:rsidR="000D2871">
        <w:t>OE contract</w:t>
      </w:r>
      <w:r w:rsidR="00F26284">
        <w:t xml:space="preserve"> that may be awarded as a result of this Procurement, may therefore have to be disclosed by </w:t>
      </w:r>
      <w:r>
        <w:t>GBE-N</w:t>
      </w:r>
      <w:r w:rsidR="00F26284">
        <w:t xml:space="preserve"> in response to such a request, unless </w:t>
      </w:r>
      <w:r>
        <w:t>GBE-N</w:t>
      </w:r>
      <w:r w:rsidR="00F26284">
        <w:t xml:space="preserve"> decides that one of the statutory exemptions under the FOIA and/or the EIR applies.  </w:t>
      </w:r>
    </w:p>
    <w:p w14:paraId="2496E7DA" w14:textId="77777777" w:rsidR="00E71A16" w:rsidRPr="00585A3E" w:rsidRDefault="00F26284" w:rsidP="00E71A16">
      <w:pPr>
        <w:pStyle w:val="AltH2Ashurst"/>
      </w:pPr>
      <w:r w:rsidRPr="00585A3E">
        <w:t xml:space="preserve">If the Applicant considers that any of the information provided in its </w:t>
      </w:r>
      <w:r>
        <w:t>PSQ</w:t>
      </w:r>
      <w:r w:rsidRPr="00585A3E">
        <w:t xml:space="preserve"> Response is commercially sensitive (meaning it could reasonably cause prejudice to the Applicant if disclosed to a third party) then it should be clearly marked as "Not for disclosure to third parties". </w:t>
      </w:r>
      <w:r>
        <w:t xml:space="preserve"> </w:t>
      </w:r>
      <w:r w:rsidRPr="00585A3E">
        <w:t xml:space="preserve">The Applicant must also provide reasons why it considers the information is exempt from disclosure under the FOIA or EIR. </w:t>
      </w:r>
    </w:p>
    <w:p w14:paraId="4C494C11" w14:textId="14332FF7" w:rsidR="00E71A16" w:rsidRPr="00585A3E" w:rsidRDefault="00F26284" w:rsidP="00E71A16">
      <w:pPr>
        <w:pStyle w:val="AltH2Ashurst"/>
      </w:pPr>
      <w:r>
        <w:t xml:space="preserve">Any statement identified by an Applicant as commercially sensitive must be set out in a completed version of the Confidential Information Form in Section J.  Applicants should note that statements should be made against specific areas of their PSQ response and statements such as "The entirety of the response" or "All pricing information" will not be accepted by </w:t>
      </w:r>
      <w:r w:rsidR="0053020C">
        <w:t>GBE-N</w:t>
      </w:r>
      <w:r>
        <w:t>.</w:t>
      </w:r>
    </w:p>
    <w:p w14:paraId="6113BC86" w14:textId="417FEC54" w:rsidR="00E71A16" w:rsidRPr="00585A3E" w:rsidRDefault="0053020C" w:rsidP="00E71A16">
      <w:pPr>
        <w:pStyle w:val="AltH2Ashurst"/>
      </w:pPr>
      <w:r>
        <w:t>GBE-N</w:t>
      </w:r>
      <w:r w:rsidR="00F26284">
        <w:t xml:space="preserve"> will endeavour to consult with the Applicant and have regard to comments and any objections before it releases any information to a third party under the FOIA or EIR. However, </w:t>
      </w:r>
      <w:r>
        <w:t>GBE-N</w:t>
      </w:r>
      <w:r w:rsidR="00F26284">
        <w:t xml:space="preserve"> shall be entitled to determine in its absolute discretion whether any information is exempt from the FOIA or EIR or is to be disclosed in response to a request for information.  </w:t>
      </w:r>
      <w:r>
        <w:t>GBE-N</w:t>
      </w:r>
      <w:r w:rsidR="00F26284">
        <w:t xml:space="preserve"> will make its decision on disclosure in accordance with the provisions of the FOIA or EIR and can only withhold information if it is covered by an exemption from disclosure under the FOIA or EIR.</w:t>
      </w:r>
    </w:p>
    <w:p w14:paraId="1ADBCAC7" w14:textId="5051F10D" w:rsidR="00F06283" w:rsidRPr="001A16D8" w:rsidRDefault="00F26284" w:rsidP="00D03386">
      <w:pPr>
        <w:pStyle w:val="AltH1Ashurst"/>
        <w:rPr>
          <w:b/>
          <w:bCs/>
        </w:rPr>
      </w:pPr>
      <w:bookmarkStart w:id="106" w:name="_Toc190707113"/>
      <w:bookmarkStart w:id="107" w:name="_Toc190707163"/>
      <w:r w:rsidRPr="001A16D8">
        <w:rPr>
          <w:b/>
          <w:bCs/>
        </w:rPr>
        <w:t>Language</w:t>
      </w:r>
      <w:bookmarkEnd w:id="106"/>
      <w:bookmarkEnd w:id="107"/>
    </w:p>
    <w:p w14:paraId="5B6013A7" w14:textId="6CEE6681" w:rsidR="00D303FB" w:rsidRPr="00585A3E" w:rsidRDefault="00F26284" w:rsidP="001A16D8">
      <w:pPr>
        <w:pStyle w:val="B12Ashurst"/>
      </w:pPr>
      <w:r w:rsidRPr="00585A3E">
        <w:t xml:space="preserve">All stages of the procurement process will be conducted, and all documents will be prepared, in the English language. All responses to </w:t>
      </w:r>
      <w:r w:rsidR="00B34E77">
        <w:t>PSQ</w:t>
      </w:r>
      <w:r w:rsidRPr="00585A3E">
        <w:t xml:space="preserve"> Questions and all </w:t>
      </w:r>
      <w:r w:rsidR="00CA14C9">
        <w:t>PSQ</w:t>
      </w:r>
      <w:r w:rsidRPr="00585A3E">
        <w:t xml:space="preserve"> responses must be prepared in the English language.  To the extent that the original versions of any supporting documents were not prepared in the English language, Applicants will be required to provide a certified translation of those documents.</w:t>
      </w:r>
    </w:p>
    <w:p w14:paraId="6D5FBAC9" w14:textId="77B540A7" w:rsidR="00D303FB" w:rsidRPr="001A16D8" w:rsidRDefault="00F26284" w:rsidP="00D03386">
      <w:pPr>
        <w:pStyle w:val="AltH1Ashurst"/>
        <w:rPr>
          <w:b/>
          <w:bCs/>
        </w:rPr>
      </w:pPr>
      <w:bookmarkStart w:id="108" w:name="_Toc190707114"/>
      <w:bookmarkStart w:id="109" w:name="_Toc190707164"/>
      <w:r w:rsidRPr="001A16D8">
        <w:rPr>
          <w:b/>
          <w:bCs/>
        </w:rPr>
        <w:t>Governing law</w:t>
      </w:r>
      <w:bookmarkEnd w:id="108"/>
      <w:bookmarkEnd w:id="109"/>
    </w:p>
    <w:p w14:paraId="7CFEF5A1" w14:textId="3FF5FFB8" w:rsidR="00F06283" w:rsidRPr="00585A3E" w:rsidRDefault="00F26284" w:rsidP="001A16D8">
      <w:pPr>
        <w:pStyle w:val="B12Ashurst"/>
      </w:pPr>
      <w:r w:rsidRPr="00585A3E">
        <w:t>The procurement process and all subsequent contracts will be governed by the laws of England and Wales and subject to the exclusive jurisdiction of the courts of England and Wales.</w:t>
      </w:r>
    </w:p>
    <w:p w14:paraId="20F27D66" w14:textId="449F702A" w:rsidR="00F06283" w:rsidRPr="001A16D8" w:rsidRDefault="00F26284" w:rsidP="00D03386">
      <w:pPr>
        <w:pStyle w:val="AltH1Ashurst"/>
        <w:rPr>
          <w:b/>
          <w:bCs/>
        </w:rPr>
      </w:pPr>
      <w:bookmarkStart w:id="110" w:name="_Toc190707115"/>
      <w:bookmarkStart w:id="111" w:name="_Toc190707165"/>
      <w:r w:rsidRPr="001A16D8">
        <w:rPr>
          <w:b/>
          <w:bCs/>
        </w:rPr>
        <w:t>Clarification</w:t>
      </w:r>
      <w:r w:rsidR="00463B74">
        <w:rPr>
          <w:b/>
          <w:bCs/>
        </w:rPr>
        <w:t xml:space="preserve"> Questions</w:t>
      </w:r>
      <w:r w:rsidRPr="001A16D8">
        <w:rPr>
          <w:b/>
          <w:bCs/>
        </w:rPr>
        <w:t xml:space="preserve"> from </w:t>
      </w:r>
      <w:r w:rsidR="00D303FB" w:rsidRPr="001A16D8">
        <w:rPr>
          <w:b/>
          <w:bCs/>
        </w:rPr>
        <w:t>Applicants</w:t>
      </w:r>
      <w:bookmarkEnd w:id="110"/>
      <w:bookmarkEnd w:id="111"/>
    </w:p>
    <w:p w14:paraId="762A4238" w14:textId="6B0E9CFF" w:rsidR="00463B74" w:rsidRDefault="00F26284" w:rsidP="00463B74">
      <w:pPr>
        <w:pStyle w:val="AltH2Ashurst"/>
      </w:pPr>
      <w:r>
        <w:t xml:space="preserve">An Applicant may submit a clarification question to </w:t>
      </w:r>
      <w:r w:rsidR="0053020C">
        <w:t>GBE-N</w:t>
      </w:r>
      <w:r>
        <w:t xml:space="preserve"> at any time prior to the relevant deadline for submitting clarification questions, being</w:t>
      </w:r>
      <w:r w:rsidR="00244BFE">
        <w:t xml:space="preserve"> 0</w:t>
      </w:r>
      <w:r w:rsidR="033DDD43">
        <w:t>2</w:t>
      </w:r>
      <w:r w:rsidR="00244BFE">
        <w:t>/07/2025 at 17:00 pm BST</w:t>
      </w:r>
      <w:r>
        <w:t>.</w:t>
      </w:r>
    </w:p>
    <w:p w14:paraId="4E3B4645" w14:textId="77777777" w:rsidR="00463B74" w:rsidRDefault="00F26284" w:rsidP="00463B74">
      <w:pPr>
        <w:pStyle w:val="AltH2Ashurst"/>
      </w:pPr>
      <w:r>
        <w:t>Any questions about this Procurement should be submitted in writing via Jaggaer. This should be used for all queries and requests for clarification regarding the Procurement to provide an effective and auditable trail. An Applicant's queries will be secure and cannot be seen by any other Applicants.</w:t>
      </w:r>
    </w:p>
    <w:p w14:paraId="4B33222E" w14:textId="790FC279" w:rsidR="00463B74" w:rsidRPr="00585A3E" w:rsidRDefault="00F26284" w:rsidP="3D83606E">
      <w:pPr>
        <w:pStyle w:val="AltH2Ashurst"/>
      </w:pPr>
      <w:r w:rsidRPr="3D83606E">
        <w:t xml:space="preserve">Applicants are required to adhere to the following process when submitting clarifications to </w:t>
      </w:r>
      <w:r w:rsidR="0053020C" w:rsidRPr="3D83606E">
        <w:t>GBE-N</w:t>
      </w:r>
      <w:r w:rsidRPr="3D83606E">
        <w:t>:</w:t>
      </w:r>
    </w:p>
    <w:p w14:paraId="03B3151B" w14:textId="16B8ED23" w:rsidR="00463B74" w:rsidRPr="00585A3E" w:rsidRDefault="00F26284" w:rsidP="00463B74">
      <w:pPr>
        <w:pStyle w:val="AltH3Ashurst"/>
      </w:pPr>
      <w:r>
        <w:t xml:space="preserve">All clarifications must be submitted to </w:t>
      </w:r>
      <w:r w:rsidR="0053020C">
        <w:t>GBE-N</w:t>
      </w:r>
      <w:r>
        <w:t xml:space="preserve"> using the Jaggaer </w:t>
      </w:r>
      <w:proofErr w:type="spellStart"/>
      <w:r>
        <w:t>eSourcing</w:t>
      </w:r>
      <w:proofErr w:type="spellEnd"/>
      <w:r>
        <w:t xml:space="preserve"> </w:t>
      </w:r>
      <w:proofErr w:type="gramStart"/>
      <w:r>
        <w:t>Portal;</w:t>
      </w:r>
      <w:proofErr w:type="gramEnd"/>
    </w:p>
    <w:p w14:paraId="083D70D9" w14:textId="77777777" w:rsidR="00463B74" w:rsidRPr="00585A3E" w:rsidRDefault="00F26284" w:rsidP="00463B74">
      <w:pPr>
        <w:pStyle w:val="AltH3Ashurst"/>
      </w:pPr>
      <w:r w:rsidRPr="00585A3E">
        <w:t xml:space="preserve">Multiple clarifications may be submitted in a single </w:t>
      </w:r>
      <w:proofErr w:type="gramStart"/>
      <w:r w:rsidRPr="00585A3E">
        <w:t>submission;</w:t>
      </w:r>
      <w:proofErr w:type="gramEnd"/>
      <w:r w:rsidRPr="00585A3E">
        <w:t xml:space="preserve"> </w:t>
      </w:r>
    </w:p>
    <w:p w14:paraId="381EE59C" w14:textId="77777777" w:rsidR="00463B74" w:rsidRPr="00585A3E" w:rsidRDefault="00F26284" w:rsidP="00463B74">
      <w:pPr>
        <w:pStyle w:val="AltH3Ashurst"/>
      </w:pPr>
      <w:r w:rsidRPr="00585A3E">
        <w:t>Each clarification should be clearly identified within a submission, and Applicants should identify, as a minimum, the area of the procurement documentation to which the clarification relates</w:t>
      </w:r>
      <w:r>
        <w:t>; and</w:t>
      </w:r>
    </w:p>
    <w:p w14:paraId="6EB5B023" w14:textId="426A5874" w:rsidR="00463B74" w:rsidRDefault="00F26284" w:rsidP="00463B74">
      <w:pPr>
        <w:pStyle w:val="AltH3Ashurst"/>
      </w:pPr>
      <w:r w:rsidRPr="00585A3E">
        <w:t>Sufficient detail should be provided so that each clarification is clear, unambiguous, and sets out the issue/question/query, as appropriate.</w:t>
      </w:r>
    </w:p>
    <w:p w14:paraId="53039C82" w14:textId="1BB0EB0E" w:rsidR="00463B74" w:rsidRDefault="00F26284" w:rsidP="00463B74">
      <w:pPr>
        <w:pStyle w:val="AltH2Ashurst"/>
      </w:pPr>
      <w:r>
        <w:t xml:space="preserve">Applicants should ensure that all clarification questions to </w:t>
      </w:r>
      <w:r w:rsidR="0053020C">
        <w:t>GBE-N</w:t>
      </w:r>
      <w:r>
        <w:t>:</w:t>
      </w:r>
    </w:p>
    <w:p w14:paraId="4C980017" w14:textId="77777777" w:rsidR="00463B74" w:rsidRDefault="00F26284" w:rsidP="00463B74">
      <w:pPr>
        <w:pStyle w:val="AltH3Ashurst"/>
      </w:pPr>
      <w:r>
        <w:t xml:space="preserve">are marked as being considered by the Applicant as either general or specific/confidential in </w:t>
      </w:r>
      <w:proofErr w:type="gramStart"/>
      <w:r>
        <w:t>nature;</w:t>
      </w:r>
      <w:proofErr w:type="gramEnd"/>
    </w:p>
    <w:p w14:paraId="7E485C86" w14:textId="77777777" w:rsidR="00463B74" w:rsidRDefault="00F26284" w:rsidP="00463B74">
      <w:pPr>
        <w:pStyle w:val="AltH3Ashurst"/>
      </w:pPr>
      <w:r>
        <w:t>do not identify the Applicant asking the question (where such questions are of a general nature</w:t>
      </w:r>
      <w:proofErr w:type="gramStart"/>
      <w:r>
        <w:t>);</w:t>
      </w:r>
      <w:proofErr w:type="gramEnd"/>
    </w:p>
    <w:p w14:paraId="39128FA5" w14:textId="77777777" w:rsidR="00463B74" w:rsidRDefault="00F26284" w:rsidP="00463B74">
      <w:pPr>
        <w:pStyle w:val="AltH3Ashurst"/>
      </w:pPr>
      <w:r>
        <w:t>are marked, by using the subject heading on Jaggaer, with one of the following titles</w:t>
      </w:r>
      <w:proofErr w:type="gramStart"/>
      <w:r>
        <w:t>:  “</w:t>
      </w:r>
      <w:proofErr w:type="gramEnd"/>
      <w:r>
        <w:t>Commercial”, “Technical” or “Social Value”; and</w:t>
      </w:r>
    </w:p>
    <w:p w14:paraId="181D764D" w14:textId="77777777" w:rsidR="00463B74" w:rsidRDefault="00F26284" w:rsidP="00463B74">
      <w:pPr>
        <w:pStyle w:val="AltH3Ashurst"/>
      </w:pPr>
      <w:r>
        <w:t xml:space="preserve">identify the paragraph and sub-paragraph of the PSQ to which the clarification question refers (if any). </w:t>
      </w:r>
    </w:p>
    <w:p w14:paraId="0F8434A2" w14:textId="3B80D2A2" w:rsidR="00463B74" w:rsidRDefault="0053020C" w:rsidP="00463B74">
      <w:pPr>
        <w:pStyle w:val="AltH2Ashurst"/>
      </w:pPr>
      <w:r>
        <w:t>GBE-N</w:t>
      </w:r>
      <w:r w:rsidR="00F26284">
        <w:t xml:space="preserve"> intends to conduct the Procurement in a way which is fair, transparent and does not risk distorting competition nor unfairly discriminate for or against an Applicant. Accordingly, Applicant should be aware that if in </w:t>
      </w:r>
      <w:r>
        <w:t>GBE-N</w:t>
      </w:r>
      <w:r w:rsidR="00F26284">
        <w:t>'s view:</w:t>
      </w:r>
    </w:p>
    <w:p w14:paraId="5DE3E704" w14:textId="6C78C103" w:rsidR="00463B74" w:rsidRDefault="00F26284" w:rsidP="00463B74">
      <w:pPr>
        <w:pStyle w:val="AltH3Ashurst"/>
      </w:pPr>
      <w:r>
        <w:t xml:space="preserve">Questions and answers are of a general nature, </w:t>
      </w:r>
      <w:r w:rsidR="0053020C">
        <w:t>GBE-N</w:t>
      </w:r>
      <w:r>
        <w:t xml:space="preserve"> will provide copies of such questions, together with answers, to all Applicants in a suitably uniform and anonymous </w:t>
      </w:r>
      <w:proofErr w:type="gramStart"/>
      <w:r>
        <w:t>form;</w:t>
      </w:r>
      <w:proofErr w:type="gramEnd"/>
    </w:p>
    <w:p w14:paraId="0B227F30" w14:textId="5E5318C2" w:rsidR="00463B74" w:rsidRDefault="00F26284" w:rsidP="00463B74">
      <w:pPr>
        <w:pStyle w:val="AltH3Ashurst"/>
      </w:pPr>
      <w:r>
        <w:t xml:space="preserve">Questions and answers relate only to the solution proposed by the Applicant asking the question and are commercially sensitive (or there is no good reason, consistent with </w:t>
      </w:r>
      <w:proofErr w:type="spellStart"/>
      <w:r w:rsidR="00CA14C9">
        <w:t>PSQ</w:t>
      </w:r>
      <w:r>
        <w:t>ing</w:t>
      </w:r>
      <w:proofErr w:type="spellEnd"/>
      <w:r>
        <w:t xml:space="preserve"> probity, for disclosing questions and answers to all Applicants), </w:t>
      </w:r>
      <w:r w:rsidR="0053020C">
        <w:t>GBE-N</w:t>
      </w:r>
      <w:r>
        <w:t xml:space="preserve"> will provide copies of such questions, together with answers, only to the Applicant seeking clarification; or</w:t>
      </w:r>
    </w:p>
    <w:p w14:paraId="45761C25" w14:textId="535B9C58" w:rsidR="00463B74" w:rsidRDefault="00F26284" w:rsidP="00463B74">
      <w:pPr>
        <w:pStyle w:val="AltH3Ashurst"/>
      </w:pPr>
      <w:r>
        <w:t xml:space="preserve">Questions are of a general nature, but the Applicant seeking clarification has marked them as specific/commercially sensitive, </w:t>
      </w:r>
      <w:r w:rsidR="0053020C">
        <w:t>GBE-N</w:t>
      </w:r>
      <w:r>
        <w:t xml:space="preserve"> will contact the Applicant to check whether the Applicant wishes to withdraw such questions prior to answers being provided. In the event of the relevant questions not being withdrawn, </w:t>
      </w:r>
      <w:r w:rsidR="0053020C">
        <w:t>GBE-N</w:t>
      </w:r>
      <w:r>
        <w:t xml:space="preserve"> will provide copies of the questions in a suitably anonymous form, together with answers, to all Applicants. </w:t>
      </w:r>
      <w:r w:rsidR="0053020C">
        <w:t>GBE-N</w:t>
      </w:r>
      <w:r>
        <w:t xml:space="preserve"> retains the right to provide an answer to any such question to all Applicants where, in </w:t>
      </w:r>
      <w:r w:rsidR="0053020C">
        <w:t>GBE-N</w:t>
      </w:r>
      <w:r>
        <w:t>'s view, to do so would benefit this Procurement or is otherwise required in accordance with the Procurement Act 23.</w:t>
      </w:r>
    </w:p>
    <w:p w14:paraId="5F228AC3" w14:textId="124C8FE5" w:rsidR="00463B74" w:rsidRDefault="00F26284" w:rsidP="00463B74">
      <w:pPr>
        <w:pStyle w:val="AltH2Ashurst"/>
      </w:pPr>
      <w:r>
        <w:t xml:space="preserve">Any clarification question that </w:t>
      </w:r>
      <w:r w:rsidR="0053020C">
        <w:t>GBE-N</w:t>
      </w:r>
      <w:r>
        <w:t xml:space="preserve"> receives and subsequently issues to other Applicants will not identify the originator of the question.</w:t>
      </w:r>
    </w:p>
    <w:p w14:paraId="6F003626" w14:textId="71F7E5E0" w:rsidR="00463B74" w:rsidRDefault="00F26284" w:rsidP="00463B74">
      <w:pPr>
        <w:pStyle w:val="AltH2Ashurst"/>
      </w:pPr>
      <w:r>
        <w:t xml:space="preserve">Any attachments submitted as part of clarification questions should be clearly labelled. </w:t>
      </w:r>
    </w:p>
    <w:p w14:paraId="73A09192" w14:textId="3A5083B1" w:rsidR="00F06283" w:rsidRPr="00585A3E" w:rsidRDefault="00F26284" w:rsidP="00D03386">
      <w:pPr>
        <w:pStyle w:val="AltH2Ashurst"/>
      </w:pPr>
      <w:r>
        <w:t xml:space="preserve">Clarification questions received after </w:t>
      </w:r>
      <w:r w:rsidR="006807EC">
        <w:t>the clarification deadline</w:t>
      </w:r>
      <w:r>
        <w:t xml:space="preserve"> will not be answered</w:t>
      </w:r>
      <w:r w:rsidR="40669EF8">
        <w:t xml:space="preserve">, although </w:t>
      </w:r>
      <w:r w:rsidR="0053020C">
        <w:t>GBE-N</w:t>
      </w:r>
      <w:r w:rsidR="40669EF8">
        <w:t xml:space="preserve"> reserves the right to respond at its own discretion in exceptional </w:t>
      </w:r>
      <w:r w:rsidR="003A6D1E">
        <w:t>circumstances.</w:t>
      </w:r>
      <w:r>
        <w:t xml:space="preserve"> However, the clarifications portal will remain open for general communications until the </w:t>
      </w:r>
      <w:r w:rsidR="00B34E77">
        <w:t>PSQ</w:t>
      </w:r>
      <w:r>
        <w:t xml:space="preserve"> Response Deadline.</w:t>
      </w:r>
    </w:p>
    <w:p w14:paraId="66C65A9C" w14:textId="483C3028" w:rsidR="00F06283" w:rsidRPr="00585A3E" w:rsidRDefault="00F26284" w:rsidP="00D03386">
      <w:pPr>
        <w:pStyle w:val="AltH2Ashurst"/>
      </w:pPr>
      <w:r>
        <w:t xml:space="preserve">Responses to clarification questions raised during this procurement process will be published periodically to all </w:t>
      </w:r>
      <w:r w:rsidR="00A2198B">
        <w:t>Applicants as the case may be</w:t>
      </w:r>
      <w:r>
        <w:t>. This will be provided in a Questions and Answers format</w:t>
      </w:r>
      <w:r w:rsidR="00A343A8">
        <w:t xml:space="preserve">. </w:t>
      </w:r>
    </w:p>
    <w:p w14:paraId="0D726CD5" w14:textId="4056BF03" w:rsidR="35C2C830" w:rsidRDefault="58C98ABA" w:rsidP="6ADD7567">
      <w:pPr>
        <w:pStyle w:val="AltH1Ashurst"/>
        <w:rPr>
          <w:b/>
          <w:bCs/>
        </w:rPr>
      </w:pPr>
      <w:r w:rsidRPr="6ADD7567">
        <w:rPr>
          <w:b/>
          <w:bCs/>
        </w:rPr>
        <w:t>Material Issues</w:t>
      </w:r>
      <w:r w:rsidR="5E13EED7" w:rsidRPr="61363ABF">
        <w:rPr>
          <w:b/>
          <w:bCs/>
        </w:rPr>
        <w:t xml:space="preserve"> Table</w:t>
      </w:r>
    </w:p>
    <w:p w14:paraId="591815AA" w14:textId="4AC060C0" w:rsidR="35C2C830" w:rsidRDefault="58C98ABA" w:rsidP="61363ABF">
      <w:pPr>
        <w:pStyle w:val="AltH2Ashurst"/>
      </w:pPr>
      <w:r>
        <w:t xml:space="preserve">In producing the </w:t>
      </w:r>
      <w:r w:rsidR="76E79CF9">
        <w:t xml:space="preserve">current draft of the </w:t>
      </w:r>
      <w:r w:rsidR="3ECD7655">
        <w:t xml:space="preserve">Owner’s Engineer </w:t>
      </w:r>
      <w:r>
        <w:t>Contract</w:t>
      </w:r>
      <w:r w:rsidR="371722B1">
        <w:t xml:space="preserve"> at Append</w:t>
      </w:r>
      <w:r w:rsidR="00C14DC8">
        <w:t>i</w:t>
      </w:r>
      <w:r w:rsidR="371722B1">
        <w:t xml:space="preserve">x </w:t>
      </w:r>
      <w:r w:rsidR="00C14DC8">
        <w:t>E</w:t>
      </w:r>
      <w:r w:rsidR="34C8A939">
        <w:t xml:space="preserve"> (</w:t>
      </w:r>
      <w:r w:rsidR="34C8A939" w:rsidRPr="3D83606E">
        <w:rPr>
          <w:b/>
          <w:bCs/>
        </w:rPr>
        <w:t>Contract</w:t>
      </w:r>
      <w:r w:rsidR="34C8A939">
        <w:t>)</w:t>
      </w:r>
      <w:r>
        <w:t xml:space="preserve">, </w:t>
      </w:r>
      <w:r w:rsidR="0053020C">
        <w:t>GBE-N</w:t>
      </w:r>
      <w:r>
        <w:t xml:space="preserve"> has sought to balance, in a fair and reasonable manner its own interests, the interests of the </w:t>
      </w:r>
      <w:r w:rsidR="30465CB4">
        <w:t xml:space="preserve">OE </w:t>
      </w:r>
      <w:r w:rsidR="738D3935">
        <w:t>Con</w:t>
      </w:r>
      <w:r w:rsidR="12C35648">
        <w:t>sultant</w:t>
      </w:r>
      <w:r>
        <w:t xml:space="preserve"> and the interests of other stakeholders. </w:t>
      </w:r>
      <w:r w:rsidR="0053020C">
        <w:t>GBE-N</w:t>
      </w:r>
      <w:r>
        <w:t xml:space="preserve"> therefore considers that the terms of the Contract should be acceptable to the Applicants, without further amendment and </w:t>
      </w:r>
      <w:r w:rsidR="0053020C">
        <w:t>GBE-N</w:t>
      </w:r>
      <w:r>
        <w:t xml:space="preserve"> shall be under no obligation to negotiate or accept any proposed amendments by </w:t>
      </w:r>
      <w:r w:rsidR="7F1FD32E">
        <w:t>Applicants</w:t>
      </w:r>
      <w:r>
        <w:t>.</w:t>
      </w:r>
    </w:p>
    <w:p w14:paraId="4A45884C" w14:textId="2561FE7D" w:rsidR="7A3FD082" w:rsidRDefault="627F76CB" w:rsidP="61363ABF">
      <w:pPr>
        <w:pStyle w:val="AltH2Ashurst"/>
      </w:pPr>
      <w:r>
        <w:t xml:space="preserve">Applicants are however provided with the opportunity to submit material issues relating to the </w:t>
      </w:r>
      <w:r w:rsidR="01AAA4F4">
        <w:t>Contract</w:t>
      </w:r>
      <w:r w:rsidR="7EBF46EC">
        <w:t>.</w:t>
      </w:r>
      <w:r w:rsidR="01AAA4F4">
        <w:t xml:space="preserve"> </w:t>
      </w:r>
      <w:r w:rsidR="1912B2AF">
        <w:t xml:space="preserve"> Applicants may complete and submit the Material Issues Table at Appendix </w:t>
      </w:r>
      <w:r w:rsidR="00C22FB0">
        <w:t>G</w:t>
      </w:r>
      <w:r w:rsidR="1912B2AF">
        <w:t xml:space="preserve"> </w:t>
      </w:r>
      <w:r w:rsidR="11FF670F">
        <w:t>(</w:t>
      </w:r>
      <w:r w:rsidR="11FF670F" w:rsidRPr="3D83606E">
        <w:rPr>
          <w:b/>
          <w:bCs/>
        </w:rPr>
        <w:t>Material Issues Table</w:t>
      </w:r>
      <w:r w:rsidR="11FF670F">
        <w:t xml:space="preserve">) </w:t>
      </w:r>
      <w:r w:rsidR="1912B2AF">
        <w:t xml:space="preserve">to capture the Applicant’s proposed </w:t>
      </w:r>
      <w:r w:rsidR="70888248">
        <w:t>amendments</w:t>
      </w:r>
      <w:r w:rsidR="1912B2AF">
        <w:t xml:space="preserve"> to the Contract where the</w:t>
      </w:r>
      <w:r w:rsidR="179C9F88">
        <w:t xml:space="preserve"> Applicant considers that those items either may prevent the Applicant from submitting a Tender </w:t>
      </w:r>
      <w:r w:rsidR="43FDB1E7">
        <w:t xml:space="preserve">for the Contract at ITT stage or if the provision were changed it would enable the Applicant to improve </w:t>
      </w:r>
      <w:r w:rsidR="5E793440">
        <w:t>its</w:t>
      </w:r>
      <w:r w:rsidR="43FDB1E7">
        <w:t xml:space="preserve"> Tender, for example reduce</w:t>
      </w:r>
      <w:r w:rsidR="273C456C">
        <w:t>d</w:t>
      </w:r>
      <w:r w:rsidR="43FDB1E7">
        <w:t xml:space="preserve"> pricing. The Applicant must provide clear justification for each proposed amendment. </w:t>
      </w:r>
      <w:r w:rsidR="0053020C">
        <w:t>GBE-N</w:t>
      </w:r>
      <w:r w:rsidR="43FDB1E7">
        <w:t xml:space="preserve"> is not obliged to accept any proposed amendments to the Co</w:t>
      </w:r>
      <w:r w:rsidR="48292836">
        <w:t xml:space="preserve">ntract and the Material Issues Table is for information only. </w:t>
      </w:r>
    </w:p>
    <w:p w14:paraId="368E0947" w14:textId="55E6CCCB" w:rsidR="7A3FD082" w:rsidRDefault="48292836" w:rsidP="61363ABF">
      <w:pPr>
        <w:pStyle w:val="AltH2Ashurst"/>
      </w:pPr>
      <w:r>
        <w:t xml:space="preserve">The deadline for submitting the Material Issues Table </w:t>
      </w:r>
      <w:r w:rsidR="5CC92E7B">
        <w:t xml:space="preserve">shall be set out in the Invitation to Tender </w:t>
      </w:r>
      <w:r w:rsidR="522FA95F">
        <w:t xml:space="preserve">and is expected to </w:t>
      </w:r>
      <w:r w:rsidR="20EC0171">
        <w:t>be</w:t>
      </w:r>
      <w:r>
        <w:t xml:space="preserve"> one week </w:t>
      </w:r>
      <w:r w:rsidR="20EC0171">
        <w:t xml:space="preserve">following </w:t>
      </w:r>
      <w:r w:rsidR="5CC92E7B">
        <w:t xml:space="preserve">publication of </w:t>
      </w:r>
      <w:r>
        <w:t xml:space="preserve">the </w:t>
      </w:r>
      <w:r w:rsidR="5CC92E7B">
        <w:t>Invitation to Tender</w:t>
      </w:r>
      <w:r w:rsidR="055B439B">
        <w:t>.</w:t>
      </w:r>
      <w:r w:rsidR="5CC92E7B">
        <w:t xml:space="preserve"> Applicants are </w:t>
      </w:r>
      <w:r w:rsidR="55240F5E">
        <w:t xml:space="preserve">therefore </w:t>
      </w:r>
      <w:r w:rsidR="5CC92E7B">
        <w:t>encouraged to submit</w:t>
      </w:r>
      <w:r>
        <w:t xml:space="preserve"> the </w:t>
      </w:r>
      <w:r w:rsidR="5CC92E7B">
        <w:t>table as soon as possible</w:t>
      </w:r>
      <w:r w:rsidR="7501527C">
        <w:t xml:space="preserve"> during the PSQ stage</w:t>
      </w:r>
      <w:r>
        <w:t>.</w:t>
      </w:r>
    </w:p>
    <w:p w14:paraId="27EB2C80" w14:textId="3D92C658" w:rsidR="00F06283" w:rsidRPr="001A16D8" w:rsidRDefault="00F26284" w:rsidP="00D03386">
      <w:pPr>
        <w:pStyle w:val="AltH1Ashurst"/>
        <w:rPr>
          <w:b/>
          <w:bCs/>
        </w:rPr>
      </w:pPr>
      <w:bookmarkStart w:id="112" w:name="_Toc190707116"/>
      <w:bookmarkStart w:id="113" w:name="_Toc190707166"/>
      <w:r w:rsidRPr="001A16D8">
        <w:rPr>
          <w:b/>
          <w:bCs/>
        </w:rPr>
        <w:t>Authority Clarifications</w:t>
      </w:r>
      <w:bookmarkEnd w:id="112"/>
      <w:bookmarkEnd w:id="113"/>
    </w:p>
    <w:p w14:paraId="04170278" w14:textId="3E33676C" w:rsidR="00F06283" w:rsidRDefault="0053020C" w:rsidP="00463B74">
      <w:pPr>
        <w:pStyle w:val="AltH2Ashurst"/>
      </w:pPr>
      <w:r>
        <w:t>GBE-N</w:t>
      </w:r>
      <w:r w:rsidR="00F26284">
        <w:t xml:space="preserve"> may raise clarification questions with </w:t>
      </w:r>
      <w:r w:rsidR="00A2198B">
        <w:t>Applicants</w:t>
      </w:r>
      <w:r w:rsidR="00F26284">
        <w:t xml:space="preserve"> at any stage during the </w:t>
      </w:r>
      <w:r w:rsidR="00A2198B">
        <w:t>procurement process</w:t>
      </w:r>
      <w:r w:rsidR="00F26284">
        <w:t xml:space="preserve">. This will be undertaken using </w:t>
      </w:r>
      <w:r w:rsidR="00B26E70">
        <w:t xml:space="preserve">the </w:t>
      </w:r>
      <w:r w:rsidR="009D7C30">
        <w:t>Jaggaer</w:t>
      </w:r>
      <w:r w:rsidR="00B26E70">
        <w:t xml:space="preserve"> </w:t>
      </w:r>
      <w:proofErr w:type="spellStart"/>
      <w:r w:rsidR="00B26E70">
        <w:t>eSourcing</w:t>
      </w:r>
      <w:proofErr w:type="spellEnd"/>
      <w:r w:rsidR="00B26E70">
        <w:t xml:space="preserve"> </w:t>
      </w:r>
      <w:r w:rsidR="009D7C30">
        <w:t>P</w:t>
      </w:r>
      <w:r w:rsidR="00B26E70">
        <w:t>ortal</w:t>
      </w:r>
      <w:r w:rsidR="00F26284">
        <w:t xml:space="preserve">. </w:t>
      </w:r>
      <w:r w:rsidR="00A2198B">
        <w:t xml:space="preserve">Applicants </w:t>
      </w:r>
      <w:r w:rsidR="00F26284">
        <w:t>should note that</w:t>
      </w:r>
      <w:r w:rsidR="00463B74">
        <w:t xml:space="preserve"> </w:t>
      </w:r>
      <w:r w:rsidR="00F26284">
        <w:t>this is not an opportunity to expand on their submissions, rather to provide clarification</w:t>
      </w:r>
      <w:r w:rsidR="00A2198B">
        <w:t xml:space="preserve"> in response</w:t>
      </w:r>
      <w:r w:rsidR="00F26284">
        <w:t xml:space="preserve"> to </w:t>
      </w:r>
      <w:r>
        <w:t>GBE-N</w:t>
      </w:r>
      <w:r w:rsidR="00F26284">
        <w:t>'s queries. Clarification responses will be used for review purposes.</w:t>
      </w:r>
    </w:p>
    <w:p w14:paraId="533B401A" w14:textId="042B1AB3" w:rsidR="00463B74" w:rsidRDefault="00F26284" w:rsidP="00463B74">
      <w:pPr>
        <w:pStyle w:val="AltH2Ashurst"/>
      </w:pPr>
      <w:r>
        <w:t xml:space="preserve">Authority Clarifications will be published by </w:t>
      </w:r>
      <w:r w:rsidR="0053020C">
        <w:t>GBE-N</w:t>
      </w:r>
      <w:r>
        <w:t xml:space="preserve"> as and when required during the PSQ stage.  Authority Clarifications will be posted to the "Notifications" section on Jaggaer and </w:t>
      </w:r>
      <w:r w:rsidR="000F5D14">
        <w:t>Applicants</w:t>
      </w:r>
      <w:r>
        <w:t xml:space="preserve"> will receive an electronic notification via Jaggaer. </w:t>
      </w:r>
    </w:p>
    <w:p w14:paraId="2316FC84" w14:textId="2D6D99B5" w:rsidR="00463B74" w:rsidRDefault="00F26284" w:rsidP="00463B74">
      <w:pPr>
        <w:pStyle w:val="AltH2Ashurst"/>
      </w:pPr>
      <w:r>
        <w:t>Authority Clarifications may contain the following:</w:t>
      </w:r>
    </w:p>
    <w:p w14:paraId="43E209FA" w14:textId="319566BF" w:rsidR="00463B74" w:rsidRDefault="00F26284" w:rsidP="00463B74">
      <w:pPr>
        <w:pStyle w:val="AltH3Ashurst"/>
      </w:pPr>
      <w:r>
        <w:t>any information regarding the Procurement or th</w:t>
      </w:r>
      <w:r w:rsidR="000F5D14">
        <w:t xml:space="preserve">e PSQ </w:t>
      </w:r>
      <w:r>
        <w:t xml:space="preserve">which </w:t>
      </w:r>
      <w:r w:rsidR="0053020C">
        <w:t>GBE-N</w:t>
      </w:r>
      <w:r>
        <w:t xml:space="preserve"> wishes to share with all </w:t>
      </w:r>
      <w:r w:rsidR="000F5D14">
        <w:t>Applicants</w:t>
      </w:r>
      <w:r>
        <w:t xml:space="preserve"> to ensure equality of </w:t>
      </w:r>
      <w:proofErr w:type="gramStart"/>
      <w:r>
        <w:t>information;</w:t>
      </w:r>
      <w:proofErr w:type="gramEnd"/>
    </w:p>
    <w:p w14:paraId="51A5943C" w14:textId="5BE17FF3" w:rsidR="00463B74" w:rsidRDefault="00F26284" w:rsidP="00463B74">
      <w:pPr>
        <w:pStyle w:val="AltH3Ashurst"/>
      </w:pPr>
      <w:r>
        <w:t>details of any new data in Jaggaer, the Virtual Data Room</w:t>
      </w:r>
      <w:r w:rsidR="000F5D14">
        <w:t xml:space="preserve"> </w:t>
      </w:r>
      <w:r>
        <w:t xml:space="preserve">or any updates to such data; and </w:t>
      </w:r>
    </w:p>
    <w:p w14:paraId="5834A886" w14:textId="725EBC6D" w:rsidR="00463B74" w:rsidRDefault="00F26284" w:rsidP="00463B74">
      <w:pPr>
        <w:pStyle w:val="AltH3Ashurst"/>
      </w:pPr>
      <w:r>
        <w:t xml:space="preserve">any other information which </w:t>
      </w:r>
      <w:r w:rsidR="0053020C">
        <w:t>GBE-N</w:t>
      </w:r>
      <w:r>
        <w:t xml:space="preserve"> wishes to publish. </w:t>
      </w:r>
    </w:p>
    <w:p w14:paraId="50CD3E96" w14:textId="219F4A5A" w:rsidR="00463B74" w:rsidRPr="00585A3E" w:rsidRDefault="00F26284" w:rsidP="00463B74">
      <w:pPr>
        <w:pStyle w:val="AltH2Ashurst"/>
      </w:pPr>
      <w:r>
        <w:t>In the event of an inconsistency between a</w:t>
      </w:r>
      <w:r w:rsidR="000F5D14">
        <w:t xml:space="preserve">n Authority Clarification </w:t>
      </w:r>
      <w:r>
        <w:t>and the other elements of th</w:t>
      </w:r>
      <w:r w:rsidR="000F5D14">
        <w:t>e PSQ</w:t>
      </w:r>
      <w:r>
        <w:t xml:space="preserve">, such </w:t>
      </w:r>
      <w:r w:rsidR="000F5D14">
        <w:t xml:space="preserve">Authority Clarification </w:t>
      </w:r>
      <w:r>
        <w:t xml:space="preserve">will take precedence. In the event of inconsistency between Authority Clarifications, the most recent </w:t>
      </w:r>
      <w:r w:rsidR="000F5D14">
        <w:t xml:space="preserve">Authority Clarification </w:t>
      </w:r>
      <w:r>
        <w:t xml:space="preserve">issued by </w:t>
      </w:r>
      <w:r w:rsidR="0053020C">
        <w:t>GBE-N</w:t>
      </w:r>
      <w:r>
        <w:t xml:space="preserve"> will take precedence.</w:t>
      </w:r>
    </w:p>
    <w:p w14:paraId="6E9865F9" w14:textId="21BC1404" w:rsidR="00F06283" w:rsidRPr="001A16D8" w:rsidRDefault="00F26284" w:rsidP="00D03386">
      <w:pPr>
        <w:pStyle w:val="AltH1Ashurst"/>
        <w:rPr>
          <w:b/>
          <w:bCs/>
        </w:rPr>
      </w:pPr>
      <w:bookmarkStart w:id="114" w:name="_Toc190707117"/>
      <w:bookmarkStart w:id="115" w:name="_Toc190707167"/>
      <w:r w:rsidRPr="001A16D8">
        <w:rPr>
          <w:b/>
          <w:bCs/>
        </w:rPr>
        <w:t>Change in circumstances</w:t>
      </w:r>
      <w:bookmarkEnd w:id="114"/>
      <w:bookmarkEnd w:id="115"/>
    </w:p>
    <w:p w14:paraId="2432A86C" w14:textId="45679C63" w:rsidR="00F06283" w:rsidRPr="00585A3E" w:rsidRDefault="00F26284" w:rsidP="00D03386">
      <w:pPr>
        <w:pStyle w:val="AltH2Ashurst"/>
      </w:pPr>
      <w:r>
        <w:t>If any of the information provided with</w:t>
      </w:r>
      <w:r w:rsidR="1E966D84">
        <w:t>in</w:t>
      </w:r>
      <w:r>
        <w:t xml:space="preserve"> a </w:t>
      </w:r>
      <w:r w:rsidR="144D1766">
        <w:t>PSQ</w:t>
      </w:r>
      <w:r w:rsidR="0EFB5585">
        <w:t xml:space="preserve"> response </w:t>
      </w:r>
      <w:r>
        <w:t xml:space="preserve">changes at any subsequent stage in the procurement process, the Applicant is required to notify </w:t>
      </w:r>
      <w:r w:rsidR="0053020C">
        <w:t>GBE-N</w:t>
      </w:r>
      <w:r>
        <w:t xml:space="preserve"> immediately.</w:t>
      </w:r>
    </w:p>
    <w:p w14:paraId="6D8EF9C5" w14:textId="1E3DE84D" w:rsidR="00F06283" w:rsidRPr="00585A3E" w:rsidRDefault="00F26284" w:rsidP="00D03386">
      <w:pPr>
        <w:pStyle w:val="AltH2Ashurst"/>
      </w:pPr>
      <w:r>
        <w:t xml:space="preserve">In the event that an Applicant proposes a change in the membership of its Consortium following the submission of its </w:t>
      </w:r>
      <w:r w:rsidR="00B34E77">
        <w:t>PSQ</w:t>
      </w:r>
      <w:r w:rsidR="00F66CF0">
        <w:t xml:space="preserve"> response </w:t>
      </w:r>
      <w:r>
        <w:t xml:space="preserve">(or subsequently at </w:t>
      </w:r>
      <w:r w:rsidR="00285BE8">
        <w:t xml:space="preserve">ITT </w:t>
      </w:r>
      <w:r>
        <w:t>stage,</w:t>
      </w:r>
      <w:r w:rsidR="00D51B2A">
        <w:t xml:space="preserve"> or during ITN stage, or at any stage during the procurement process)</w:t>
      </w:r>
      <w:r>
        <w:t xml:space="preserve"> the Lead </w:t>
      </w:r>
      <w:r w:rsidR="0D8DB2A9">
        <w:t>Applicant</w:t>
      </w:r>
      <w:r>
        <w:t xml:space="preserve"> must immediately inform </w:t>
      </w:r>
      <w:r w:rsidR="0053020C">
        <w:t>GBE-N</w:t>
      </w:r>
      <w:r>
        <w:t xml:space="preserve"> of such change (whether this relates to additional members</w:t>
      </w:r>
      <w:r w:rsidR="00A2198B">
        <w:t>,</w:t>
      </w:r>
      <w:r>
        <w:t xml:space="preserve"> departing members or any other change in circumstances</w:t>
      </w:r>
      <w:r w:rsidR="000B21C5">
        <w:t xml:space="preserve"> relevant to the </w:t>
      </w:r>
      <w:r w:rsidR="00B34E77">
        <w:t>PSQ</w:t>
      </w:r>
      <w:r w:rsidR="000B21C5">
        <w:t xml:space="preserve"> assessment</w:t>
      </w:r>
      <w:r>
        <w:t xml:space="preserve">). </w:t>
      </w:r>
      <w:r w:rsidR="00A73698">
        <w:t xml:space="preserve"> </w:t>
      </w:r>
      <w:r>
        <w:t xml:space="preserve">This will allow </w:t>
      </w:r>
      <w:r w:rsidR="0053020C">
        <w:t>GBE-N</w:t>
      </w:r>
      <w:r>
        <w:t xml:space="preserve"> to reassess the Applicant's changed response to the </w:t>
      </w:r>
      <w:r w:rsidR="00B34E77">
        <w:t>PSQ</w:t>
      </w:r>
      <w:r>
        <w:t xml:space="preserve"> as appropriate.</w:t>
      </w:r>
    </w:p>
    <w:p w14:paraId="22601587" w14:textId="3E3805BB" w:rsidR="00F06283" w:rsidRPr="00585A3E" w:rsidRDefault="0053020C" w:rsidP="00D03386">
      <w:pPr>
        <w:pStyle w:val="AltH2Ashurst"/>
      </w:pPr>
      <w:r>
        <w:t>GBE-N</w:t>
      </w:r>
      <w:r w:rsidR="00F26284">
        <w:t xml:space="preserve"> reserves the right to refuse to consent to proposed changes in Consortia or to deselect any Applicants (at </w:t>
      </w:r>
      <w:r w:rsidR="00285BE8">
        <w:t xml:space="preserve">ITT </w:t>
      </w:r>
      <w:r w:rsidR="00F26284">
        <w:t xml:space="preserve">and award stage) whose proposed change would mean that they would no longer satisfy any of the requirements for Assessment Stages 1, 2 and 3 set out above or if such proposed change/change in circumstances would have such an effect on the ranking of the Applicant that it would no longer be selected to be invited to </w:t>
      </w:r>
      <w:r w:rsidR="00CA14C9">
        <w:t>PSQ</w:t>
      </w:r>
      <w:r w:rsidR="00F26284">
        <w:t>.</w:t>
      </w:r>
    </w:p>
    <w:p w14:paraId="7279462F" w14:textId="5D1AFC59" w:rsidR="00F06283" w:rsidRPr="00585A3E" w:rsidRDefault="00F26284" w:rsidP="00D03386">
      <w:pPr>
        <w:pStyle w:val="AltH2Ashurst"/>
      </w:pPr>
      <w:r>
        <w:t xml:space="preserve">Applicants must advise </w:t>
      </w:r>
      <w:r w:rsidR="0053020C">
        <w:t>GBE-N</w:t>
      </w:r>
      <w:r>
        <w:t xml:space="preserve"> if there is any change to their legal status and/or composition during or after the procurement process, and </w:t>
      </w:r>
      <w:r w:rsidR="0053020C">
        <w:t>GBE-N</w:t>
      </w:r>
      <w:r>
        <w:t xml:space="preserve"> reserves the right to </w:t>
      </w:r>
      <w:r w:rsidR="00285BE8">
        <w:t>disqualify</w:t>
      </w:r>
      <w:r>
        <w:t xml:space="preserve"> Applicants where changes occur.</w:t>
      </w:r>
    </w:p>
    <w:p w14:paraId="0B2FF546" w14:textId="5A6963FD" w:rsidR="00F06283" w:rsidRPr="001A16D8" w:rsidRDefault="00F26284" w:rsidP="00D03386">
      <w:pPr>
        <w:pStyle w:val="AltH1Ashurst"/>
        <w:rPr>
          <w:b/>
          <w:bCs/>
        </w:rPr>
      </w:pPr>
      <w:bookmarkStart w:id="116" w:name="_Toc190707118"/>
      <w:bookmarkStart w:id="117" w:name="_Toc190707168"/>
      <w:r w:rsidRPr="001A16D8">
        <w:rPr>
          <w:b/>
          <w:bCs/>
        </w:rPr>
        <w:t>Award Commitment</w:t>
      </w:r>
      <w:bookmarkEnd w:id="116"/>
      <w:bookmarkEnd w:id="117"/>
    </w:p>
    <w:p w14:paraId="62665EDF" w14:textId="3E6CCB98" w:rsidR="00F06283" w:rsidRPr="00585A3E" w:rsidRDefault="00F26284" w:rsidP="00D03386">
      <w:pPr>
        <w:pStyle w:val="AltH2Ashurst"/>
      </w:pPr>
      <w:r>
        <w:t xml:space="preserve">A response to this </w:t>
      </w:r>
      <w:r w:rsidR="00B34E77">
        <w:t>PSQ</w:t>
      </w:r>
      <w:r>
        <w:t xml:space="preserve"> does not guarantee that an Applicant will be invited to </w:t>
      </w:r>
      <w:r w:rsidR="00CA14C9">
        <w:t>PSQ</w:t>
      </w:r>
      <w:r>
        <w:t xml:space="preserve"> or awarded a contract and nothing in this </w:t>
      </w:r>
      <w:r w:rsidR="00B34E77">
        <w:t>PSQ</w:t>
      </w:r>
      <w:r>
        <w:t xml:space="preserve"> should be interpreted as a commitment by </w:t>
      </w:r>
      <w:r w:rsidR="0053020C">
        <w:t>GBE-N</w:t>
      </w:r>
      <w:r>
        <w:t xml:space="preserve"> to award </w:t>
      </w:r>
      <w:r w:rsidR="0053020C">
        <w:t xml:space="preserve">a </w:t>
      </w:r>
      <w:r w:rsidR="000476CD">
        <w:t>Contract</w:t>
      </w:r>
      <w:r>
        <w:t xml:space="preserve"> to any Applicant.</w:t>
      </w:r>
    </w:p>
    <w:p w14:paraId="50F3DDB4" w14:textId="390D3C93" w:rsidR="00F06283" w:rsidRPr="00585A3E" w:rsidRDefault="0053020C" w:rsidP="00D03386">
      <w:pPr>
        <w:pStyle w:val="AltH2Ashurst"/>
      </w:pPr>
      <w:r>
        <w:t>GBE-N</w:t>
      </w:r>
      <w:r w:rsidR="00F26284">
        <w:t xml:space="preserve"> reserves the right at its sole and absolute discretion, at any time and without cost to </w:t>
      </w:r>
      <w:r>
        <w:t>GBE-N</w:t>
      </w:r>
      <w:r w:rsidR="00F26284">
        <w:t>, to the extent permitted by law:</w:t>
      </w:r>
    </w:p>
    <w:p w14:paraId="5EA073AE" w14:textId="53CC0A90" w:rsidR="00F06283" w:rsidRPr="00585A3E" w:rsidRDefault="00F26284" w:rsidP="00D03386">
      <w:pPr>
        <w:pStyle w:val="AltH3Ashurst"/>
      </w:pPr>
      <w:r w:rsidRPr="00585A3E">
        <w:t xml:space="preserve">to terminate or suspend, for any reason, any part of or the whole of this procurement process and/or to withdraw this </w:t>
      </w:r>
      <w:r w:rsidR="00B34E77">
        <w:t>PSQ</w:t>
      </w:r>
      <w:r w:rsidRPr="00585A3E">
        <w:t xml:space="preserve"> at any time or to re-invite responses on the same or any alternative </w:t>
      </w:r>
      <w:proofErr w:type="gramStart"/>
      <w:r w:rsidRPr="00585A3E">
        <w:t>basis;</w:t>
      </w:r>
      <w:proofErr w:type="gramEnd"/>
    </w:p>
    <w:p w14:paraId="4C82D2FF" w14:textId="10444BFB" w:rsidR="00F06283" w:rsidRPr="00585A3E" w:rsidRDefault="00F26284" w:rsidP="00D03386">
      <w:pPr>
        <w:pStyle w:val="AltH3Ashurst"/>
      </w:pPr>
      <w:r w:rsidRPr="00585A3E">
        <w:t xml:space="preserve">to waive any requirements of this procurement </w:t>
      </w:r>
      <w:proofErr w:type="gramStart"/>
      <w:r w:rsidRPr="00585A3E">
        <w:t>process;</w:t>
      </w:r>
      <w:proofErr w:type="gramEnd"/>
    </w:p>
    <w:p w14:paraId="51E552FB" w14:textId="1B635860" w:rsidR="00F06283" w:rsidRPr="00585A3E" w:rsidRDefault="00F26284" w:rsidP="00D03386">
      <w:pPr>
        <w:pStyle w:val="AltH3Ashurst"/>
      </w:pPr>
      <w:r w:rsidRPr="00585A3E">
        <w:t xml:space="preserve">to vary any requirements and/or procedures relating to the procurement </w:t>
      </w:r>
      <w:proofErr w:type="gramStart"/>
      <w:r w:rsidRPr="00585A3E">
        <w:t>process;</w:t>
      </w:r>
      <w:proofErr w:type="gramEnd"/>
    </w:p>
    <w:p w14:paraId="65AD58EC" w14:textId="4D420C54" w:rsidR="00F06283" w:rsidRPr="00585A3E" w:rsidRDefault="00F26284" w:rsidP="00D03386">
      <w:pPr>
        <w:pStyle w:val="AltH3Ashurst"/>
      </w:pPr>
      <w:r w:rsidRPr="00585A3E">
        <w:t xml:space="preserve">to reject all or any Applicants at any </w:t>
      </w:r>
      <w:proofErr w:type="gramStart"/>
      <w:r w:rsidRPr="00585A3E">
        <w:t>time;</w:t>
      </w:r>
      <w:proofErr w:type="gramEnd"/>
    </w:p>
    <w:p w14:paraId="46394B99" w14:textId="284CD3F7" w:rsidR="00F06283" w:rsidRPr="00585A3E" w:rsidRDefault="00F26284" w:rsidP="00D03386">
      <w:pPr>
        <w:pStyle w:val="AltH3Ashurst"/>
      </w:pPr>
      <w:r w:rsidRPr="00585A3E">
        <w:t xml:space="preserve">not to proceed with the </w:t>
      </w:r>
      <w:r w:rsidR="00285BE8">
        <w:t>ITT</w:t>
      </w:r>
      <w:r w:rsidR="00285BE8" w:rsidRPr="00585A3E">
        <w:t xml:space="preserve"> </w:t>
      </w:r>
      <w:r w:rsidRPr="00585A3E">
        <w:t xml:space="preserve">stage in whole or in </w:t>
      </w:r>
      <w:proofErr w:type="gramStart"/>
      <w:r w:rsidRPr="00585A3E">
        <w:t>part;</w:t>
      </w:r>
      <w:proofErr w:type="gramEnd"/>
    </w:p>
    <w:p w14:paraId="1F15FBB5" w14:textId="1903187E" w:rsidR="00F06283" w:rsidRPr="00585A3E" w:rsidRDefault="00F26284" w:rsidP="00D03386">
      <w:pPr>
        <w:pStyle w:val="AltH3Ashurst"/>
      </w:pPr>
      <w:r w:rsidRPr="00585A3E">
        <w:t>to omit or vary scope at any time, including for the avoidance of doubt during the course of the procurement.</w:t>
      </w:r>
    </w:p>
    <w:p w14:paraId="4E1C2D4E" w14:textId="71325D7C" w:rsidR="00F06283" w:rsidRPr="00585A3E" w:rsidRDefault="00F26284" w:rsidP="00D03386">
      <w:pPr>
        <w:pStyle w:val="AltH2Ashurst"/>
      </w:pPr>
      <w:r>
        <w:t xml:space="preserve">Neither the issue of this </w:t>
      </w:r>
      <w:r w:rsidR="00B34E77">
        <w:t>PSQ</w:t>
      </w:r>
      <w:r>
        <w:t xml:space="preserve"> nor any related procurement process commits </w:t>
      </w:r>
      <w:r w:rsidR="0053020C">
        <w:t>GBE-N</w:t>
      </w:r>
      <w:r>
        <w:t xml:space="preserve"> at any time to award the whole or part of </w:t>
      </w:r>
      <w:r w:rsidR="00BA1274">
        <w:t xml:space="preserve">the </w:t>
      </w:r>
      <w:r w:rsidR="000476CD">
        <w:t>Contract</w:t>
      </w:r>
      <w:r>
        <w:t xml:space="preserve"> to any party or any person.</w:t>
      </w:r>
    </w:p>
    <w:p w14:paraId="4D8CB31A" w14:textId="1B19EB59" w:rsidR="00F06283" w:rsidRPr="00585A3E" w:rsidRDefault="00F26284" w:rsidP="00D03386">
      <w:pPr>
        <w:pStyle w:val="AltH1Ashurst"/>
        <w:rPr>
          <w:bCs/>
        </w:rPr>
      </w:pPr>
      <w:bookmarkStart w:id="118" w:name="_Toc190707119"/>
      <w:bookmarkStart w:id="119" w:name="_Toc190707169"/>
      <w:r w:rsidRPr="001A16D8">
        <w:rPr>
          <w:b/>
          <w:bCs/>
        </w:rPr>
        <w:t>Verification</w:t>
      </w:r>
      <w:bookmarkEnd w:id="118"/>
      <w:bookmarkEnd w:id="119"/>
      <w:r w:rsidRPr="001A16D8">
        <w:rPr>
          <w:b/>
          <w:bCs/>
        </w:rPr>
        <w:t xml:space="preserve"> </w:t>
      </w:r>
    </w:p>
    <w:p w14:paraId="3FB612B5" w14:textId="1EE2300F" w:rsidR="00F06283" w:rsidRPr="00585A3E" w:rsidRDefault="0053020C" w:rsidP="00D03386">
      <w:pPr>
        <w:pStyle w:val="AltH2Ashurst"/>
      </w:pPr>
      <w:r>
        <w:t>GBE-N</w:t>
      </w:r>
      <w:r w:rsidR="00F26284">
        <w:t xml:space="preserve"> reserves the right to </w:t>
      </w:r>
      <w:r w:rsidR="00557381">
        <w:t>disqualify</w:t>
      </w:r>
      <w:r w:rsidR="00F26284">
        <w:t xml:space="preserve"> any Applicant who provides information or confirmations which later prove to be untrue, incorrect or misleading. </w:t>
      </w:r>
      <w:r>
        <w:t>GBE-N</w:t>
      </w:r>
      <w:r w:rsidR="00F26284">
        <w:t xml:space="preserve"> reserves the right to take whatever steps it deems reasonable to verify the truthfulness or accuracy of any statement made by any Applicant within their </w:t>
      </w:r>
      <w:r w:rsidR="00B34E77">
        <w:t>PSQ</w:t>
      </w:r>
      <w:r w:rsidR="00F66CF0">
        <w:t xml:space="preserve"> response</w:t>
      </w:r>
      <w:r w:rsidR="00F26284">
        <w:t>. This may include but is not limited to:</w:t>
      </w:r>
    </w:p>
    <w:p w14:paraId="43F79142" w14:textId="6F87612E" w:rsidR="00F06283" w:rsidRPr="00585A3E" w:rsidRDefault="00F26284" w:rsidP="00D03386">
      <w:pPr>
        <w:pStyle w:val="AltH3Ashurst"/>
      </w:pPr>
      <w:r w:rsidRPr="00585A3E">
        <w:t xml:space="preserve">Cross-referencing any statement made by the Applicant within their </w:t>
      </w:r>
      <w:r w:rsidR="00B34E77">
        <w:t>PSQ</w:t>
      </w:r>
      <w:r w:rsidR="00F66CF0" w:rsidRPr="00585A3E">
        <w:t xml:space="preserve"> response</w:t>
      </w:r>
      <w:r w:rsidRPr="00585A3E">
        <w:t xml:space="preserve"> with any other statement made by the Applicant within their </w:t>
      </w:r>
      <w:r w:rsidR="00B34E77">
        <w:t>PSQ</w:t>
      </w:r>
      <w:r w:rsidR="00F66CF0" w:rsidRPr="00585A3E">
        <w:t xml:space="preserve"> response </w:t>
      </w:r>
      <w:r w:rsidRPr="00585A3E">
        <w:t xml:space="preserve">(and where an Applicant is a Consortium, any statement made by a </w:t>
      </w:r>
      <w:r w:rsidR="76F71C6C" w:rsidRPr="00585A3E">
        <w:t>Member</w:t>
      </w:r>
      <w:r w:rsidRPr="00585A3E">
        <w:t xml:space="preserve"> within their </w:t>
      </w:r>
      <w:r w:rsidR="00B34E77">
        <w:t>PSQ</w:t>
      </w:r>
      <w:r w:rsidR="00F66CF0" w:rsidRPr="00585A3E">
        <w:t xml:space="preserve"> response </w:t>
      </w:r>
      <w:r w:rsidRPr="00585A3E">
        <w:t xml:space="preserve">with any statement by any other </w:t>
      </w:r>
      <w:r w:rsidR="2707D07A" w:rsidRPr="00585A3E">
        <w:t>Member</w:t>
      </w:r>
      <w:r w:rsidRPr="00585A3E">
        <w:t xml:space="preserve"> within </w:t>
      </w:r>
      <w:r w:rsidR="32A682B5" w:rsidRPr="00585A3E">
        <w:t>its</w:t>
      </w:r>
      <w:r w:rsidRPr="00585A3E">
        <w:t xml:space="preserve"> </w:t>
      </w:r>
      <w:r w:rsidR="00B34E77">
        <w:t>PSQ</w:t>
      </w:r>
      <w:r w:rsidR="00F66CF0" w:rsidRPr="00585A3E">
        <w:t xml:space="preserve"> response</w:t>
      </w:r>
      <w:proofErr w:type="gramStart"/>
      <w:r w:rsidRPr="00585A3E">
        <w:t>);</w:t>
      </w:r>
      <w:proofErr w:type="gramEnd"/>
    </w:p>
    <w:p w14:paraId="0B8C5F6E" w14:textId="3874D28F" w:rsidR="00F06283" w:rsidRPr="00585A3E" w:rsidRDefault="00F26284" w:rsidP="00D03386">
      <w:pPr>
        <w:pStyle w:val="AltH3Ashurst"/>
      </w:pPr>
      <w:r w:rsidRPr="00585A3E">
        <w:t xml:space="preserve">Obtaining financial information from Companies House or a competent credit referencing </w:t>
      </w:r>
      <w:proofErr w:type="gramStart"/>
      <w:r w:rsidRPr="00585A3E">
        <w:t>agency;</w:t>
      </w:r>
      <w:proofErr w:type="gramEnd"/>
    </w:p>
    <w:p w14:paraId="2335B942" w14:textId="490FD569" w:rsidR="00F06283" w:rsidRPr="00585A3E" w:rsidRDefault="00F26284" w:rsidP="00D03386">
      <w:pPr>
        <w:pStyle w:val="AltH3Ashurst"/>
      </w:pPr>
      <w:r w:rsidRPr="00585A3E">
        <w:t xml:space="preserve">Undertaking checks with client representatives identified within the Applicant’s </w:t>
      </w:r>
      <w:r w:rsidR="00B34E77">
        <w:t>PSQ</w:t>
      </w:r>
      <w:r w:rsidR="00F66CF0" w:rsidRPr="00585A3E">
        <w:t xml:space="preserve"> response</w:t>
      </w:r>
      <w:r w:rsidRPr="00585A3E">
        <w:t>;</w:t>
      </w:r>
      <w:r w:rsidR="008D2E39" w:rsidRPr="00585A3E">
        <w:t xml:space="preserve"> and</w:t>
      </w:r>
    </w:p>
    <w:p w14:paraId="5F10D897" w14:textId="74C951C2" w:rsidR="00F06283" w:rsidRPr="00585A3E" w:rsidRDefault="00F26284" w:rsidP="00D03386">
      <w:pPr>
        <w:pStyle w:val="AltH3Ashurst"/>
      </w:pPr>
      <w:r w:rsidRPr="00585A3E">
        <w:t xml:space="preserve">Undertaking reference site </w:t>
      </w:r>
      <w:proofErr w:type="spellStart"/>
      <w:r w:rsidRPr="00585A3E">
        <w:t>v</w:t>
      </w:r>
      <w:r w:rsidR="00CA14C9">
        <w:t>PSQ</w:t>
      </w:r>
      <w:r w:rsidRPr="00585A3E">
        <w:t>s</w:t>
      </w:r>
      <w:proofErr w:type="spellEnd"/>
      <w:r w:rsidRPr="00585A3E">
        <w:t>.</w:t>
      </w:r>
    </w:p>
    <w:p w14:paraId="7811BA3C" w14:textId="0D5283F2" w:rsidR="00F06283" w:rsidRPr="00585A3E" w:rsidRDefault="0053020C" w:rsidP="00D03386">
      <w:pPr>
        <w:pStyle w:val="AltH2Ashurst"/>
      </w:pPr>
      <w:r>
        <w:t>GBE-N</w:t>
      </w:r>
      <w:r w:rsidR="00F26284">
        <w:t xml:space="preserve"> reserves the right to require the submission of any additional, supplementary or clarification information as it may, at its absolute discretion, consider appropriate.</w:t>
      </w:r>
    </w:p>
    <w:p w14:paraId="59962F54" w14:textId="28F22F49" w:rsidR="00F06283" w:rsidRPr="00585A3E" w:rsidRDefault="00F26284" w:rsidP="00D03386">
      <w:pPr>
        <w:pStyle w:val="AltH2Ashurst"/>
      </w:pPr>
      <w:r w:rsidRPr="00585A3E">
        <w:t xml:space="preserve">The submission of a completed </w:t>
      </w:r>
      <w:r w:rsidR="00B34E77">
        <w:t>PSQ</w:t>
      </w:r>
      <w:r w:rsidR="00F66CF0" w:rsidRPr="00585A3E">
        <w:t xml:space="preserve"> response</w:t>
      </w:r>
      <w:r w:rsidRPr="00585A3E">
        <w:t xml:space="preserve"> will be deemed to imply the Applicant's acceptance of the foregoing provisions without qualification.</w:t>
      </w:r>
    </w:p>
    <w:p w14:paraId="0287AC62" w14:textId="085FC1A9" w:rsidR="00F06283" w:rsidRPr="001A16D8" w:rsidRDefault="00F26284" w:rsidP="00D03386">
      <w:pPr>
        <w:pStyle w:val="AltH1Ashurst"/>
        <w:rPr>
          <w:b/>
          <w:bCs/>
        </w:rPr>
      </w:pPr>
      <w:bookmarkStart w:id="120" w:name="_Toc190707120"/>
      <w:bookmarkStart w:id="121" w:name="_Toc190707170"/>
      <w:r w:rsidRPr="001A16D8">
        <w:rPr>
          <w:b/>
          <w:bCs/>
        </w:rPr>
        <w:t>Subcontractors</w:t>
      </w:r>
      <w:bookmarkEnd w:id="120"/>
      <w:bookmarkEnd w:id="121"/>
    </w:p>
    <w:p w14:paraId="7EF97CCC" w14:textId="45AB4FFE" w:rsidR="00F06283" w:rsidRPr="00585A3E" w:rsidRDefault="00F26284" w:rsidP="00D03386">
      <w:pPr>
        <w:pStyle w:val="AltH2Ashurst"/>
      </w:pPr>
      <w:r w:rsidRPr="00585A3E">
        <w:t>Subcontractors may feature in more than one Application.  This creates a potential risk of collusion as between Applicants.</w:t>
      </w:r>
      <w:r w:rsidR="00C62262" w:rsidRPr="00585A3E">
        <w:t xml:space="preserve">  Therefore, Applicant</w:t>
      </w:r>
      <w:r w:rsidR="45E63A06" w:rsidRPr="00585A3E">
        <w:t>s</w:t>
      </w:r>
      <w:r w:rsidR="00C62262" w:rsidRPr="00585A3E">
        <w:t xml:space="preserve"> need to take appropriate steps to ensure that there is no coll</w:t>
      </w:r>
      <w:r w:rsidR="00A73698">
        <w:t>u</w:t>
      </w:r>
      <w:r w:rsidR="00C62262" w:rsidRPr="00585A3E">
        <w:t>sion.  In particular, Applicants shall use best endeavours to ensure that:</w:t>
      </w:r>
    </w:p>
    <w:p w14:paraId="798D9CF6" w14:textId="4D37013F" w:rsidR="00F06283" w:rsidRPr="00585A3E" w:rsidRDefault="00F26284" w:rsidP="00D03386">
      <w:pPr>
        <w:pStyle w:val="AltH3Ashurst"/>
      </w:pPr>
      <w:r w:rsidRPr="00585A3E">
        <w:t>their subcontractors disclose whether they are participating in other applications/</w:t>
      </w:r>
      <w:proofErr w:type="gramStart"/>
      <w:r w:rsidR="00CA14C9">
        <w:t>PSQ</w:t>
      </w:r>
      <w:r w:rsidRPr="00585A3E">
        <w:t>s;</w:t>
      </w:r>
      <w:proofErr w:type="gramEnd"/>
    </w:p>
    <w:p w14:paraId="0BE59D76" w14:textId="66A7123E" w:rsidR="00F06283" w:rsidRPr="00585A3E" w:rsidRDefault="00F26284" w:rsidP="00D03386">
      <w:pPr>
        <w:pStyle w:val="AltH3Ashurst"/>
      </w:pPr>
      <w:r w:rsidRPr="00585A3E">
        <w:t>subcontractors are aware that they should not treat any Applicant</w:t>
      </w:r>
      <w:r w:rsidR="58F18B88" w:rsidRPr="00585A3E">
        <w:t xml:space="preserve"> </w:t>
      </w:r>
      <w:r w:rsidRPr="00585A3E">
        <w:t xml:space="preserve">unfairly or unequally.  That does not necessarily mean the same terms, conditions and prices should be offered to all Applicants because different factors or considerations may well apply. </w:t>
      </w:r>
      <w:r w:rsidR="00A73698">
        <w:t xml:space="preserve"> </w:t>
      </w:r>
      <w:r w:rsidRPr="00585A3E">
        <w:t>It does, however, mean that there must be sound and justifiable reasons why different terms, conditions or prices are offered to avoid accusations of any price fixing, cartel or other anti-competitive behaviour; and</w:t>
      </w:r>
    </w:p>
    <w:p w14:paraId="4B39B4AF" w14:textId="3C1EDCC3" w:rsidR="00F06283" w:rsidRPr="00585A3E" w:rsidRDefault="00F26284" w:rsidP="00D03386">
      <w:pPr>
        <w:pStyle w:val="AltH3Ashurst"/>
      </w:pPr>
      <w:r w:rsidRPr="00585A3E">
        <w:t xml:space="preserve">any information passing between the Applicant and the potential </w:t>
      </w:r>
      <w:r w:rsidR="00395B19" w:rsidRPr="00585A3E">
        <w:t>s</w:t>
      </w:r>
      <w:r w:rsidRPr="00585A3E">
        <w:t xml:space="preserve">ubcontractor relates solely to the construction of the </w:t>
      </w:r>
      <w:r w:rsidR="00C62262" w:rsidRPr="00585A3E">
        <w:t>s</w:t>
      </w:r>
      <w:r w:rsidRPr="00585A3E">
        <w:t xml:space="preserve">ubcontract arrangements and its impact on the </w:t>
      </w:r>
      <w:r w:rsidR="00B34E77">
        <w:t>PSQ</w:t>
      </w:r>
      <w:r w:rsidR="00F66CF0" w:rsidRPr="00585A3E">
        <w:t xml:space="preserve"> response</w:t>
      </w:r>
      <w:r w:rsidRPr="00585A3E">
        <w:t>/</w:t>
      </w:r>
      <w:r w:rsidR="00CA14C9">
        <w:t>PSQ</w:t>
      </w:r>
      <w:r w:rsidRPr="00585A3E">
        <w:t xml:space="preserve">. </w:t>
      </w:r>
      <w:r w:rsidR="00C62262" w:rsidRPr="00585A3E">
        <w:t xml:space="preserve"> </w:t>
      </w:r>
      <w:r w:rsidRPr="00585A3E">
        <w:t>Any information provided by one party to the other must be provided on a strictly "need to know" basis as set out above</w:t>
      </w:r>
      <w:r w:rsidR="00C62262" w:rsidRPr="00585A3E">
        <w:t xml:space="preserve"> and subcontractors must not act as a conduit for the sharing of confidential or commercially sensitive information as between Applicants</w:t>
      </w:r>
      <w:r w:rsidRPr="00585A3E">
        <w:t>.</w:t>
      </w:r>
    </w:p>
    <w:p w14:paraId="3C4FE3CD" w14:textId="5569916C" w:rsidR="00F06283" w:rsidRPr="00585A3E" w:rsidRDefault="00F26284" w:rsidP="00D03386">
      <w:pPr>
        <w:pStyle w:val="AltH2Ashurst"/>
      </w:pPr>
      <w:r w:rsidRPr="00585A3E">
        <w:t xml:space="preserve">Information relating to the </w:t>
      </w:r>
      <w:r w:rsidR="00C62262" w:rsidRPr="00585A3E">
        <w:t>s</w:t>
      </w:r>
      <w:r w:rsidRPr="00585A3E">
        <w:t>ubcontract/</w:t>
      </w:r>
      <w:r w:rsidR="00C62262" w:rsidRPr="00585A3E">
        <w:t>s</w:t>
      </w:r>
      <w:r w:rsidRPr="00585A3E">
        <w:t xml:space="preserve">ubcontractor arrangements must only be passed from a potential </w:t>
      </w:r>
      <w:r w:rsidR="00C62262" w:rsidRPr="00585A3E">
        <w:t>s</w:t>
      </w:r>
      <w:r w:rsidRPr="00585A3E">
        <w:t xml:space="preserve">ubcontractor "up" to an Applicant and not from an Applicant "down" to the proposed </w:t>
      </w:r>
      <w:r w:rsidR="00C62262" w:rsidRPr="00585A3E">
        <w:t>s</w:t>
      </w:r>
      <w:r w:rsidRPr="00585A3E">
        <w:t xml:space="preserve">ubcontractor. </w:t>
      </w:r>
      <w:r w:rsidR="00C62262" w:rsidRPr="00585A3E">
        <w:t xml:space="preserve"> </w:t>
      </w:r>
      <w:r w:rsidRPr="00585A3E">
        <w:t xml:space="preserve">This is to ensure that a potential </w:t>
      </w:r>
      <w:r w:rsidR="00C62262" w:rsidRPr="00585A3E">
        <w:t>s</w:t>
      </w:r>
      <w:r w:rsidRPr="00585A3E">
        <w:t>ubcontractor has no access to information</w:t>
      </w:r>
      <w:r w:rsidR="00C62262" w:rsidRPr="00585A3E">
        <w:t xml:space="preserve"> </w:t>
      </w:r>
      <w:r w:rsidRPr="00585A3E">
        <w:t xml:space="preserve">to cross fertilise between </w:t>
      </w:r>
      <w:r w:rsidR="00B34E77">
        <w:t>PSQ</w:t>
      </w:r>
      <w:r w:rsidR="00F66CF0" w:rsidRPr="00585A3E">
        <w:t xml:space="preserve"> response</w:t>
      </w:r>
      <w:r w:rsidRPr="00585A3E">
        <w:t>s/</w:t>
      </w:r>
      <w:r w:rsidR="00CA14C9">
        <w:t>PSQ</w:t>
      </w:r>
      <w:r w:rsidRPr="00585A3E">
        <w:t>s.</w:t>
      </w:r>
    </w:p>
    <w:p w14:paraId="2142B242" w14:textId="1302D979" w:rsidR="00F06283" w:rsidRPr="00585A3E" w:rsidRDefault="00F26284" w:rsidP="00D03386">
      <w:pPr>
        <w:pStyle w:val="AltH2Ashurst"/>
      </w:pPr>
      <w:r>
        <w:t xml:space="preserve">Particular care will be needed to ensure that proposed </w:t>
      </w:r>
      <w:r w:rsidR="00395B19">
        <w:t>s</w:t>
      </w:r>
      <w:r>
        <w:t xml:space="preserve">ubcontractors are not present at </w:t>
      </w:r>
      <w:r w:rsidR="00CA14C9">
        <w:t>PSQ</w:t>
      </w:r>
      <w:r>
        <w:t xml:space="preserve"> preparation meetings or meetings with </w:t>
      </w:r>
      <w:r w:rsidR="0053020C">
        <w:t>GBE-N</w:t>
      </w:r>
      <w:r>
        <w:t xml:space="preserve"> where </w:t>
      </w:r>
      <w:r w:rsidR="00C62262">
        <w:t xml:space="preserve">they </w:t>
      </w:r>
      <w:r>
        <w:t xml:space="preserve">may gain access to confidential and </w:t>
      </w:r>
      <w:r w:rsidR="00B34E77">
        <w:t>PSQ</w:t>
      </w:r>
      <w:r>
        <w:t>/</w:t>
      </w:r>
      <w:r w:rsidR="00CA14C9">
        <w:t>PSQ</w:t>
      </w:r>
      <w:r>
        <w:t xml:space="preserve"> sensitive information.</w:t>
      </w:r>
    </w:p>
    <w:p w14:paraId="16BD4E7E" w14:textId="7CD380D2" w:rsidR="00F06283" w:rsidRPr="00585A3E" w:rsidRDefault="00F26284" w:rsidP="00D03386">
      <w:pPr>
        <w:pStyle w:val="AltH2Ashurst"/>
      </w:pPr>
      <w:r w:rsidRPr="00585A3E">
        <w:t xml:space="preserve">Particular care should also be taken in the completion of the </w:t>
      </w:r>
      <w:r w:rsidR="00D51B2A">
        <w:t>Statement of Non-Collusion</w:t>
      </w:r>
      <w:r w:rsidR="00A50BEF">
        <w:t>.</w:t>
      </w:r>
    </w:p>
    <w:p w14:paraId="77278DED" w14:textId="11ED853F" w:rsidR="00F06283" w:rsidRPr="00585A3E" w:rsidRDefault="00F26284" w:rsidP="00D03386">
      <w:pPr>
        <w:pStyle w:val="AltH2Ashurst"/>
      </w:pPr>
      <w:r>
        <w:t xml:space="preserve">If </w:t>
      </w:r>
      <w:r w:rsidR="0053020C">
        <w:t>GBE-N</w:t>
      </w:r>
      <w:r>
        <w:t xml:space="preserve"> considers that there has been any co-operation or collusion which actually or potentially undermines or distorts competition, it reserves the right to reject the compromised </w:t>
      </w:r>
      <w:r w:rsidR="00CA14C9">
        <w:t>PSQ</w:t>
      </w:r>
      <w:r>
        <w:t>(s) and exclude the relevant Applicants from the process.</w:t>
      </w:r>
    </w:p>
    <w:p w14:paraId="2001AC8E" w14:textId="3D9027FE" w:rsidR="00F06283" w:rsidRPr="00585A3E" w:rsidRDefault="00F26284" w:rsidP="00D03386">
      <w:pPr>
        <w:pStyle w:val="AltH2Ashurst"/>
      </w:pPr>
      <w:r>
        <w:t xml:space="preserve">Applicants should seek clarification from </w:t>
      </w:r>
      <w:r w:rsidR="0053020C">
        <w:t>GBE-N</w:t>
      </w:r>
      <w:r>
        <w:t xml:space="preserve"> if they are uncertain about this or any other potential conflict situation.</w:t>
      </w:r>
    </w:p>
    <w:p w14:paraId="7CD49AF3" w14:textId="3BA93A0D" w:rsidR="2AFE3E2B" w:rsidRPr="00585A3E" w:rsidRDefault="00F26284" w:rsidP="00D03386">
      <w:pPr>
        <w:pStyle w:val="AltH2Ashurst"/>
      </w:pPr>
      <w:r>
        <w:t xml:space="preserve">If an Applicant at the point of completing the </w:t>
      </w:r>
      <w:r w:rsidR="00B34E77">
        <w:t>PSQ</w:t>
      </w:r>
      <w:r>
        <w:t xml:space="preserve"> does not have a supply chain and/or sub</w:t>
      </w:r>
      <w:r w:rsidR="00C319EF">
        <w:t>-con</w:t>
      </w:r>
      <w:r>
        <w:t>tractors, but does at a later stage, the Applicant may be asked to provide a respon</w:t>
      </w:r>
      <w:r w:rsidR="5750EF72">
        <w:t>s</w:t>
      </w:r>
      <w:r>
        <w:t xml:space="preserve">e to the </w:t>
      </w:r>
      <w:r w:rsidR="00B34E77">
        <w:t>PSQ</w:t>
      </w:r>
      <w:r>
        <w:t xml:space="preserve"> applicable supply chain questions to the extent that it can. </w:t>
      </w:r>
    </w:p>
    <w:p w14:paraId="15CCF959" w14:textId="7A7F371D" w:rsidR="00F06283" w:rsidRPr="001A16D8" w:rsidRDefault="00F26284" w:rsidP="00D03386">
      <w:pPr>
        <w:pStyle w:val="AltH1Ashurst"/>
        <w:rPr>
          <w:b/>
          <w:bCs/>
        </w:rPr>
      </w:pPr>
      <w:bookmarkStart w:id="122" w:name="_Toc190707121"/>
      <w:bookmarkStart w:id="123" w:name="_Toc190707171"/>
      <w:r w:rsidRPr="001A16D8">
        <w:rPr>
          <w:b/>
          <w:bCs/>
        </w:rPr>
        <w:t>Publicity and marketing</w:t>
      </w:r>
      <w:bookmarkEnd w:id="122"/>
      <w:bookmarkEnd w:id="123"/>
    </w:p>
    <w:p w14:paraId="0C9B7BC4" w14:textId="29E72C12" w:rsidR="00F06283" w:rsidRPr="00585A3E" w:rsidRDefault="00F26284" w:rsidP="00D03386">
      <w:pPr>
        <w:pStyle w:val="AltH2Ashurst"/>
      </w:pPr>
      <w:r>
        <w:t xml:space="preserve">Applicants shall not undertake (or permit to be undertaken) at any time, whether at this stage or after any Contract award, any publicity activity with any section of the media in relation to the Project or </w:t>
      </w:r>
      <w:r w:rsidR="00BA1274">
        <w:t xml:space="preserve">the </w:t>
      </w:r>
      <w:r w:rsidR="000476CD">
        <w:t>Contract</w:t>
      </w:r>
      <w:r>
        <w:t xml:space="preserve"> other than with the prior written agreement of </w:t>
      </w:r>
      <w:r w:rsidR="0053020C">
        <w:t>GBE-N</w:t>
      </w:r>
      <w:r>
        <w:t>.</w:t>
      </w:r>
    </w:p>
    <w:p w14:paraId="2FD2614B" w14:textId="194D4B22" w:rsidR="00F06283" w:rsidRPr="00585A3E" w:rsidRDefault="00F26284" w:rsidP="00D03386">
      <w:pPr>
        <w:pStyle w:val="AltH2Ashurst"/>
      </w:pPr>
      <w:r>
        <w:t xml:space="preserve">Without limiting </w:t>
      </w:r>
      <w:r w:rsidR="00B34E77">
        <w:t>PSQ</w:t>
      </w:r>
      <w:r>
        <w:t xml:space="preserve"> </w:t>
      </w:r>
      <w:r w:rsidR="00BE366D">
        <w:t>Section A</w:t>
      </w:r>
      <w:r>
        <w:t xml:space="preserve">, Applicants shall not and shall procure that any associated Party/Guarantor or </w:t>
      </w:r>
      <w:r w:rsidR="00395B19">
        <w:t>s</w:t>
      </w:r>
      <w:r>
        <w:t xml:space="preserve">ubcontractors, representatives, agents and/or advisors do not do any of the following without obtaining the prior written consent of </w:t>
      </w:r>
      <w:r w:rsidR="0053020C">
        <w:t>GBE-N</w:t>
      </w:r>
      <w:r>
        <w:t>:</w:t>
      </w:r>
    </w:p>
    <w:p w14:paraId="34EB50F0" w14:textId="39E425BA" w:rsidR="00F06283" w:rsidRPr="00585A3E" w:rsidRDefault="00F26284" w:rsidP="00D03386">
      <w:pPr>
        <w:pStyle w:val="AltH3Ashurst"/>
      </w:pPr>
      <w:r>
        <w:t>m</w:t>
      </w:r>
      <w:r w:rsidRPr="00585A3E">
        <w:t xml:space="preserve">ake a public statement or communicate in any form with the media in connection with this procurement </w:t>
      </w:r>
      <w:proofErr w:type="gramStart"/>
      <w:r w:rsidRPr="00585A3E">
        <w:t>process;</w:t>
      </w:r>
      <w:proofErr w:type="gramEnd"/>
    </w:p>
    <w:p w14:paraId="428CE719" w14:textId="4C1DDEFD" w:rsidR="00F06283" w:rsidRPr="00585A3E" w:rsidRDefault="00F26284" w:rsidP="00D03386">
      <w:pPr>
        <w:pStyle w:val="AltH3Ashurst"/>
      </w:pPr>
      <w:r>
        <w:t xml:space="preserve">Use any trademarks, logos or other intellectual property rights associated with </w:t>
      </w:r>
      <w:r w:rsidR="0053020C">
        <w:t>GBE-</w:t>
      </w:r>
      <w:proofErr w:type="gramStart"/>
      <w:r w:rsidR="0053020C">
        <w:t>N</w:t>
      </w:r>
      <w:r>
        <w:t>;</w:t>
      </w:r>
      <w:proofErr w:type="gramEnd"/>
      <w:r>
        <w:t xml:space="preserve"> </w:t>
      </w:r>
    </w:p>
    <w:p w14:paraId="328A70BE" w14:textId="71B33B4B" w:rsidR="00F06283" w:rsidRPr="00585A3E" w:rsidRDefault="00F26284" w:rsidP="00D03386">
      <w:pPr>
        <w:pStyle w:val="AltH3Ashurst"/>
      </w:pPr>
      <w:r>
        <w:t xml:space="preserve">Represent that the Applicant is directly or indirectly associated in any way with </w:t>
      </w:r>
      <w:r w:rsidR="0053020C">
        <w:t>GBE-N</w:t>
      </w:r>
      <w:r>
        <w:t xml:space="preserve"> or that it’s or their respective products and/or services are in any way endorsed by </w:t>
      </w:r>
      <w:r w:rsidR="0053020C">
        <w:t>GBE-N</w:t>
      </w:r>
      <w:r>
        <w:t>; or</w:t>
      </w:r>
    </w:p>
    <w:p w14:paraId="0413E785" w14:textId="3B1B7EBA" w:rsidR="00F06283" w:rsidRPr="00585A3E" w:rsidRDefault="00F26284" w:rsidP="00D03386">
      <w:pPr>
        <w:pStyle w:val="AltH3Ashurst"/>
      </w:pPr>
      <w:r>
        <w:t xml:space="preserve">Do anything or refrain from doing anything which would have an adverse effect on or embarrass </w:t>
      </w:r>
      <w:r w:rsidR="0053020C">
        <w:t>GBE-N</w:t>
      </w:r>
      <w:r>
        <w:t>.</w:t>
      </w:r>
    </w:p>
    <w:p w14:paraId="0925FB4E" w14:textId="1A98EFEF" w:rsidR="00F06283" w:rsidRPr="00585A3E" w:rsidRDefault="00F26284" w:rsidP="00D03386">
      <w:pPr>
        <w:pStyle w:val="AltH2Ashurst"/>
      </w:pPr>
      <w:r>
        <w:t xml:space="preserve">Applicants must notify </w:t>
      </w:r>
      <w:r w:rsidR="0053020C">
        <w:t>GBE-N</w:t>
      </w:r>
      <w:r>
        <w:t xml:space="preserve">, via the </w:t>
      </w:r>
      <w:r w:rsidR="00AE1CCA">
        <w:t>Jaggaer</w:t>
      </w:r>
      <w:r>
        <w:t xml:space="preserve"> </w:t>
      </w:r>
      <w:proofErr w:type="spellStart"/>
      <w:r>
        <w:t>eSourcing</w:t>
      </w:r>
      <w:proofErr w:type="spellEnd"/>
      <w:r>
        <w:t xml:space="preserve"> Portal, of any enquiries received from the media regarding this competition.</w:t>
      </w:r>
    </w:p>
    <w:p w14:paraId="109E7E72" w14:textId="2CB29979" w:rsidR="00F06283" w:rsidRPr="00585A3E" w:rsidRDefault="00F26284" w:rsidP="00D03386">
      <w:pPr>
        <w:pStyle w:val="AltH2Ashurst"/>
      </w:pPr>
      <w:r>
        <w:t xml:space="preserve">If Applicants are in any doubt regarding the publicity and marketing arrangements, then they must seek further guidance from </w:t>
      </w:r>
      <w:r w:rsidR="0053020C">
        <w:t>GBE-N</w:t>
      </w:r>
      <w:r>
        <w:t xml:space="preserve"> through the </w:t>
      </w:r>
      <w:r w:rsidR="00AE1CCA">
        <w:t>Jaggaer</w:t>
      </w:r>
      <w:r>
        <w:t xml:space="preserve"> </w:t>
      </w:r>
      <w:proofErr w:type="spellStart"/>
      <w:r>
        <w:t>eSourcing</w:t>
      </w:r>
      <w:proofErr w:type="spellEnd"/>
      <w:r>
        <w:t xml:space="preserve"> Portal</w:t>
      </w:r>
      <w:r w:rsidR="00C616EF">
        <w:t>.</w:t>
      </w:r>
    </w:p>
    <w:p w14:paraId="7055E773" w14:textId="5D965396" w:rsidR="00F06283" w:rsidRPr="00585A3E" w:rsidRDefault="00F26284" w:rsidP="00D03386">
      <w:pPr>
        <w:pStyle w:val="AltH2Ashurst"/>
      </w:pPr>
      <w:r>
        <w:t xml:space="preserve">Specifically, but without limiting </w:t>
      </w:r>
      <w:r w:rsidR="00B34E77">
        <w:t>PSQ</w:t>
      </w:r>
      <w:r>
        <w:t xml:space="preserve"> </w:t>
      </w:r>
      <w:r w:rsidR="00DA6D5E">
        <w:t xml:space="preserve">Condition </w:t>
      </w:r>
      <w:r w:rsidR="00285BE8">
        <w:t>1</w:t>
      </w:r>
      <w:r w:rsidR="00DA6D5E">
        <w:t>9 (Confidentiality)</w:t>
      </w:r>
      <w:r>
        <w:t xml:space="preserve">, Applicants should not without the prior written consent of </w:t>
      </w:r>
      <w:r w:rsidR="0053020C">
        <w:t>GBE-N</w:t>
      </w:r>
      <w:r>
        <w:t xml:space="preserve"> refer to the Project, this procurement process and/or their </w:t>
      </w:r>
      <w:r w:rsidR="00B34E77">
        <w:t>PSQ</w:t>
      </w:r>
      <w:r w:rsidR="00F66CF0">
        <w:t xml:space="preserve"> </w:t>
      </w:r>
      <w:r w:rsidR="00985FAE">
        <w:t>response:</w:t>
      </w:r>
    </w:p>
    <w:p w14:paraId="2A9D0F9B" w14:textId="0F328A10" w:rsidR="00F06283" w:rsidRPr="00585A3E" w:rsidRDefault="00F26284" w:rsidP="00D03386">
      <w:pPr>
        <w:pStyle w:val="AltH3Ashurst"/>
      </w:pPr>
      <w:r>
        <w:t>I</w:t>
      </w:r>
      <w:r w:rsidRPr="00585A3E">
        <w:t>n social media (for example, on Twitter</w:t>
      </w:r>
      <w:proofErr w:type="gramStart"/>
      <w:r w:rsidRPr="00585A3E">
        <w:t>);</w:t>
      </w:r>
      <w:proofErr w:type="gramEnd"/>
    </w:p>
    <w:p w14:paraId="666C6547" w14:textId="20E74C43" w:rsidR="00F06283" w:rsidRPr="00585A3E" w:rsidRDefault="00F26284" w:rsidP="00D03386">
      <w:pPr>
        <w:pStyle w:val="AltH3Ashurst"/>
      </w:pPr>
      <w:r>
        <w:t>I</w:t>
      </w:r>
      <w:r w:rsidRPr="00585A3E">
        <w:t>n their marketing materials for example brochures and annual reports; and/or</w:t>
      </w:r>
    </w:p>
    <w:p w14:paraId="677648EE" w14:textId="64656A43" w:rsidR="00F06283" w:rsidRPr="00585A3E" w:rsidRDefault="00F26284" w:rsidP="00D03386">
      <w:pPr>
        <w:pStyle w:val="AltH3Ashurst"/>
      </w:pPr>
      <w:r>
        <w:t>I</w:t>
      </w:r>
      <w:r w:rsidRPr="00585A3E">
        <w:t>n any speeches, presentations, seminars or academic papers.</w:t>
      </w:r>
    </w:p>
    <w:p w14:paraId="7975F3B0" w14:textId="0EEAF4FD" w:rsidR="00F06283" w:rsidRPr="001A16D8" w:rsidRDefault="00F26284" w:rsidP="00D03386">
      <w:pPr>
        <w:pStyle w:val="AltH1Ashurst"/>
        <w:rPr>
          <w:b/>
          <w:bCs/>
        </w:rPr>
      </w:pPr>
      <w:bookmarkStart w:id="124" w:name="_Toc190707122"/>
      <w:bookmarkStart w:id="125" w:name="_Toc190707172"/>
      <w:r w:rsidRPr="001A16D8">
        <w:rPr>
          <w:b/>
          <w:bCs/>
        </w:rPr>
        <w:t>Copyright</w:t>
      </w:r>
      <w:bookmarkEnd w:id="124"/>
      <w:bookmarkEnd w:id="125"/>
    </w:p>
    <w:p w14:paraId="105AD98D" w14:textId="5BF21DBC" w:rsidR="00F06283" w:rsidRPr="00585A3E" w:rsidRDefault="00F26284" w:rsidP="00D03386">
      <w:pPr>
        <w:pStyle w:val="AltH2Ashurst"/>
      </w:pPr>
      <w:r>
        <w:t xml:space="preserve">The copyright in this </w:t>
      </w:r>
      <w:r w:rsidR="00B34E77">
        <w:t>PSQ</w:t>
      </w:r>
      <w:r>
        <w:t xml:space="preserve"> and the accompanying Procurement Documents is vested in </w:t>
      </w:r>
      <w:r w:rsidR="0053020C">
        <w:t>GBE-N</w:t>
      </w:r>
      <w:r w:rsidR="00986A8E">
        <w:t>,</w:t>
      </w:r>
      <w:r>
        <w:t xml:space="preserve"> and they may not be reproduced, copied or stored in any medium without the prior written consent of </w:t>
      </w:r>
      <w:r w:rsidR="0053020C">
        <w:t>GBE-N</w:t>
      </w:r>
      <w:r>
        <w:t>.</w:t>
      </w:r>
    </w:p>
    <w:p w14:paraId="4E25162C" w14:textId="43E29E0C" w:rsidR="00F06283" w:rsidRPr="00585A3E" w:rsidRDefault="00F26284" w:rsidP="00D03386">
      <w:pPr>
        <w:pStyle w:val="AltH2Ashurst"/>
      </w:pPr>
      <w:r>
        <w:t xml:space="preserve">All Information, this </w:t>
      </w:r>
      <w:r w:rsidR="00B34E77">
        <w:t>PSQ</w:t>
      </w:r>
      <w:r>
        <w:t xml:space="preserve">, and any Procurement Document issued with or supplemental to it, are and shall remain the property of </w:t>
      </w:r>
      <w:r w:rsidR="0053020C">
        <w:t>GBE-N</w:t>
      </w:r>
      <w:r>
        <w:t xml:space="preserve"> and must be returned upon demand.</w:t>
      </w:r>
    </w:p>
    <w:p w14:paraId="7908B2B6" w14:textId="436B8FAB" w:rsidR="00F06283" w:rsidRPr="001A16D8" w:rsidRDefault="00F26284" w:rsidP="00D03386">
      <w:pPr>
        <w:pStyle w:val="AltH1Ashurst"/>
        <w:rPr>
          <w:b/>
          <w:bCs/>
        </w:rPr>
      </w:pPr>
      <w:bookmarkStart w:id="126" w:name="_Toc190707123"/>
      <w:bookmarkStart w:id="127" w:name="_Toc190707173"/>
      <w:r w:rsidRPr="001A16D8">
        <w:rPr>
          <w:b/>
          <w:bCs/>
        </w:rPr>
        <w:t>Provision of further information by Applicants</w:t>
      </w:r>
      <w:bookmarkEnd w:id="126"/>
      <w:bookmarkEnd w:id="127"/>
    </w:p>
    <w:p w14:paraId="330EDA8A" w14:textId="722F4675" w:rsidR="00F06283" w:rsidRPr="00585A3E" w:rsidRDefault="0053020C" w:rsidP="00D03386">
      <w:pPr>
        <w:pStyle w:val="AltH2Ashurst"/>
      </w:pPr>
      <w:r>
        <w:t>GBE-N</w:t>
      </w:r>
      <w:r w:rsidR="00F26284">
        <w:t xml:space="preserve"> reserves the right to require the submission by an Applicant of any additional or supplemental information or clarification as it may, in its absolute discretion, consider appropriate.</w:t>
      </w:r>
    </w:p>
    <w:p w14:paraId="21E60F93" w14:textId="0B7B13E6" w:rsidR="00F06283" w:rsidRPr="00585A3E" w:rsidRDefault="00F26284" w:rsidP="00D03386">
      <w:pPr>
        <w:pStyle w:val="AltH2Ashurst"/>
      </w:pPr>
      <w:r>
        <w:t xml:space="preserve">Applicants shall not submit any unsolicited additional or supplemental information. </w:t>
      </w:r>
      <w:r w:rsidR="1E966D84">
        <w:t xml:space="preserve"> </w:t>
      </w:r>
      <w:r>
        <w:t xml:space="preserve">Unsolicited means that it has not been requested as part of the </w:t>
      </w:r>
      <w:r w:rsidR="144D1766">
        <w:t>PSQ</w:t>
      </w:r>
      <w:r>
        <w:t xml:space="preserve"> requirements for </w:t>
      </w:r>
      <w:r w:rsidR="4A106723">
        <w:t>a</w:t>
      </w:r>
      <w:r>
        <w:t xml:space="preserve"> </w:t>
      </w:r>
      <w:r w:rsidR="144D1766">
        <w:t>PSQ</w:t>
      </w:r>
      <w:r w:rsidR="0EFB5585">
        <w:t xml:space="preserve"> </w:t>
      </w:r>
      <w:proofErr w:type="gramStart"/>
      <w:r w:rsidR="0EFB5585">
        <w:t>response</w:t>
      </w:r>
      <w:r>
        <w:t>, or</w:t>
      </w:r>
      <w:proofErr w:type="gramEnd"/>
      <w:r>
        <w:t xml:space="preserve"> sought by </w:t>
      </w:r>
      <w:r w:rsidR="0053020C">
        <w:t>GBE-N</w:t>
      </w:r>
      <w:r>
        <w:t xml:space="preserve"> as described above.</w:t>
      </w:r>
    </w:p>
    <w:p w14:paraId="639AD7BC" w14:textId="77777777" w:rsidR="004C2E67" w:rsidRDefault="004C2E67" w:rsidP="00CF7853">
      <w:pPr>
        <w:pStyle w:val="NormalAshurst"/>
        <w:rPr>
          <w:b/>
          <w:bCs/>
        </w:rPr>
      </w:pPr>
      <w:bookmarkStart w:id="128" w:name="_Toc140605763"/>
    </w:p>
    <w:p w14:paraId="5D0E301E" w14:textId="4CDD5F38" w:rsidR="00973AEC" w:rsidRPr="00E74825" w:rsidRDefault="00F26284" w:rsidP="00CF7853">
      <w:pPr>
        <w:pStyle w:val="NormalAshurst"/>
        <w:rPr>
          <w:rFonts w:cstheme="minorHAnsi"/>
          <w:b/>
          <w:sz w:val="24"/>
        </w:rPr>
      </w:pPr>
      <w:r w:rsidRPr="00E74825">
        <w:rPr>
          <w:rFonts w:cstheme="minorHAnsi"/>
          <w:b/>
          <w:sz w:val="24"/>
        </w:rPr>
        <w:t>H.</w:t>
      </w:r>
      <w:r w:rsidR="00CF7853" w:rsidRPr="00E74825">
        <w:rPr>
          <w:rFonts w:cstheme="minorHAnsi"/>
          <w:b/>
          <w:sz w:val="24"/>
        </w:rPr>
        <w:t xml:space="preserve"> </w:t>
      </w:r>
      <w:r w:rsidRPr="00E74825">
        <w:rPr>
          <w:rFonts w:cstheme="minorHAnsi"/>
          <w:b/>
          <w:sz w:val="24"/>
        </w:rPr>
        <w:t>Using the Procurement Portal</w:t>
      </w:r>
      <w:bookmarkEnd w:id="128"/>
    </w:p>
    <w:p w14:paraId="3593054F" w14:textId="62CBE058" w:rsidR="00EF0206" w:rsidRPr="00C616EF" w:rsidRDefault="00F26284" w:rsidP="002E5AD0">
      <w:pPr>
        <w:pStyle w:val="AltH1Ashurst"/>
        <w:numPr>
          <w:ilvl w:val="0"/>
          <w:numId w:val="47"/>
        </w:numPr>
        <w:rPr>
          <w:b/>
          <w:bCs/>
        </w:rPr>
      </w:pPr>
      <w:bookmarkStart w:id="129" w:name="_Toc190707124"/>
      <w:bookmarkStart w:id="130" w:name="_Toc190707174"/>
      <w:r w:rsidRPr="00C616EF">
        <w:rPr>
          <w:b/>
          <w:bCs/>
        </w:rPr>
        <w:t xml:space="preserve">Instructions for using the </w:t>
      </w:r>
      <w:r w:rsidR="00C616EF" w:rsidRPr="00C616EF">
        <w:rPr>
          <w:b/>
          <w:bCs/>
        </w:rPr>
        <w:t xml:space="preserve">Jaggaer </w:t>
      </w:r>
      <w:proofErr w:type="spellStart"/>
      <w:r w:rsidR="00557381" w:rsidRPr="00C616EF">
        <w:rPr>
          <w:b/>
          <w:bCs/>
        </w:rPr>
        <w:t>e</w:t>
      </w:r>
      <w:r w:rsidRPr="00C616EF">
        <w:rPr>
          <w:b/>
          <w:bCs/>
        </w:rPr>
        <w:t>Sourcing</w:t>
      </w:r>
      <w:proofErr w:type="spellEnd"/>
      <w:r w:rsidRPr="00C616EF">
        <w:rPr>
          <w:b/>
          <w:bCs/>
        </w:rPr>
        <w:t xml:space="preserve"> Portal</w:t>
      </w:r>
      <w:bookmarkEnd w:id="129"/>
      <w:bookmarkEnd w:id="130"/>
    </w:p>
    <w:p w14:paraId="5701B75A" w14:textId="42F5ED86" w:rsidR="00557381" w:rsidRDefault="0053020C" w:rsidP="3D83606E">
      <w:pPr>
        <w:pStyle w:val="AltH2Ashurst"/>
      </w:pPr>
      <w:r>
        <w:t>GBE-N</w:t>
      </w:r>
      <w:r w:rsidR="00F26284">
        <w:t xml:space="preserve"> uses the Jaggaer </w:t>
      </w:r>
      <w:proofErr w:type="spellStart"/>
      <w:r w:rsidR="00F26284">
        <w:t>eSourcing</w:t>
      </w:r>
      <w:proofErr w:type="spellEnd"/>
      <w:r w:rsidR="00F26284">
        <w:t xml:space="preserve"> Portal to manage all aspects of this procurement process and Applicants should only contact </w:t>
      </w:r>
      <w:r>
        <w:t>GBE-N</w:t>
      </w:r>
      <w:r w:rsidR="00F26284">
        <w:t xml:space="preserve"> through the Jaggaer </w:t>
      </w:r>
      <w:proofErr w:type="spellStart"/>
      <w:r w:rsidR="00F26284">
        <w:t>eSourcing</w:t>
      </w:r>
      <w:proofErr w:type="spellEnd"/>
      <w:r w:rsidR="00F26284">
        <w:t xml:space="preserve"> portal.  Applicants are reminded that it is their sole responsibility to ensure that their contact details are kept up to date within the Jaggaer </w:t>
      </w:r>
      <w:proofErr w:type="spellStart"/>
      <w:r w:rsidR="00F26284">
        <w:t>eSourcing</w:t>
      </w:r>
      <w:proofErr w:type="spellEnd"/>
      <w:r w:rsidR="00F26284">
        <w:t xml:space="preserve"> Portal.</w:t>
      </w:r>
    </w:p>
    <w:p w14:paraId="40FFE1D9" w14:textId="0AC7A672" w:rsidR="00557381" w:rsidRPr="00585A3E" w:rsidRDefault="0053020C" w:rsidP="3D83606E">
      <w:pPr>
        <w:pStyle w:val="AltH2Ashurst"/>
      </w:pPr>
      <w:r>
        <w:t>GBE-N</w:t>
      </w:r>
      <w:r w:rsidR="00F26284">
        <w:t xml:space="preserve"> will not enter into exclusive discussions regarding the requirements of this procurement process with Applicants.  All communications between </w:t>
      </w:r>
      <w:r>
        <w:t>GBE-N</w:t>
      </w:r>
      <w:r w:rsidR="00F26284">
        <w:t xml:space="preserve"> and Applicants must be via the Jaggaer </w:t>
      </w:r>
      <w:proofErr w:type="spellStart"/>
      <w:r w:rsidR="00F26284">
        <w:t>eSourcing</w:t>
      </w:r>
      <w:proofErr w:type="spellEnd"/>
      <w:r w:rsidR="00F26284">
        <w:t xml:space="preserve"> portal.  This may be in the form of direct correspondence between </w:t>
      </w:r>
      <w:r>
        <w:t>GBE-N</w:t>
      </w:r>
      <w:r w:rsidR="00F26284">
        <w:t xml:space="preserve"> and each individual Applicant or between </w:t>
      </w:r>
      <w:r>
        <w:t>GBE-N</w:t>
      </w:r>
      <w:r w:rsidR="00F26284">
        <w:t xml:space="preserve"> and all Applicants. </w:t>
      </w:r>
    </w:p>
    <w:p w14:paraId="4EFC52C3" w14:textId="31D41553" w:rsidR="00557381" w:rsidRDefault="00F26284" w:rsidP="3D83606E">
      <w:pPr>
        <w:pStyle w:val="AltH2Ashurst"/>
      </w:pPr>
      <w:r>
        <w:t xml:space="preserve">Applicants should note that during the procurement process they, or their advisors, should not contact </w:t>
      </w:r>
      <w:r w:rsidR="0053020C">
        <w:t>GBE-N</w:t>
      </w:r>
      <w:r>
        <w:t xml:space="preserve"> or any of its employees or advisors or any third parties connected to </w:t>
      </w:r>
      <w:r w:rsidR="0053020C">
        <w:t>GBE-N</w:t>
      </w:r>
      <w:r>
        <w:t xml:space="preserve"> (but not so as to prevent or restrict any </w:t>
      </w:r>
      <w:proofErr w:type="gramStart"/>
      <w:r>
        <w:t>business as usual</w:t>
      </w:r>
      <w:proofErr w:type="gramEnd"/>
      <w:r>
        <w:t xml:space="preserve"> communications unconnected with the procurement process) other than through the Jaggaer </w:t>
      </w:r>
      <w:proofErr w:type="spellStart"/>
      <w:r>
        <w:t>eSourcing</w:t>
      </w:r>
      <w:proofErr w:type="spellEnd"/>
      <w:r>
        <w:t xml:space="preserve"> Portal as instructed above.</w:t>
      </w:r>
    </w:p>
    <w:p w14:paraId="733335B3" w14:textId="77777777" w:rsidR="00557381" w:rsidRDefault="00F26284" w:rsidP="002E5AD0">
      <w:pPr>
        <w:pStyle w:val="AltH2Ashurst"/>
        <w:numPr>
          <w:ilvl w:val="1"/>
          <w:numId w:val="47"/>
        </w:numPr>
        <w:rPr>
          <w:color w:val="CC3300"/>
          <w:szCs w:val="20"/>
        </w:rPr>
      </w:pPr>
      <w:r w:rsidRPr="00C04F65">
        <w:t xml:space="preserve">Registration on the </w:t>
      </w:r>
      <w:r w:rsidR="008E571C" w:rsidRPr="00C04F65">
        <w:t>Jaggaer</w:t>
      </w:r>
      <w:r w:rsidRPr="00C04F65">
        <w:t xml:space="preserve"> </w:t>
      </w:r>
      <w:proofErr w:type="spellStart"/>
      <w:r w:rsidRPr="00C04F65">
        <w:t>eSourcing</w:t>
      </w:r>
      <w:proofErr w:type="spellEnd"/>
      <w:r w:rsidRPr="00C04F65">
        <w:t xml:space="preserve"> Portal can be accomplished by accessing the following link:</w:t>
      </w:r>
      <w:r>
        <w:t xml:space="preserve"> </w:t>
      </w:r>
      <w:hyperlink r:id="rId33" w:history="1">
        <w:r w:rsidRPr="00557381">
          <w:rPr>
            <w:rStyle w:val="Hyperlink"/>
            <w:szCs w:val="20"/>
          </w:rPr>
          <w:t>https://beisgroup.ukp.app.jaggaer.com/</w:t>
        </w:r>
      </w:hyperlink>
    </w:p>
    <w:p w14:paraId="152D4A2A" w14:textId="77777777" w:rsidR="00557381" w:rsidRPr="00557381" w:rsidRDefault="00F26284" w:rsidP="002E5AD0">
      <w:pPr>
        <w:pStyle w:val="AltH2Ashurst"/>
        <w:numPr>
          <w:ilvl w:val="1"/>
          <w:numId w:val="47"/>
        </w:numPr>
        <w:rPr>
          <w:szCs w:val="20"/>
        </w:rPr>
      </w:pPr>
      <w:r w:rsidRPr="00585A3E">
        <w:t xml:space="preserve">When accessing the </w:t>
      </w:r>
      <w:r w:rsidR="008E571C" w:rsidRPr="00585A3E">
        <w:t xml:space="preserve">Jaggaer </w:t>
      </w:r>
      <w:proofErr w:type="spellStart"/>
      <w:r w:rsidRPr="00585A3E">
        <w:t>eSourcing</w:t>
      </w:r>
      <w:proofErr w:type="spellEnd"/>
      <w:r w:rsidRPr="00585A3E">
        <w:t xml:space="preserve"> Portal for the first time, </w:t>
      </w:r>
      <w:r w:rsidR="00CC0000" w:rsidRPr="00585A3E">
        <w:t>Applicants</w:t>
      </w:r>
      <w:r w:rsidRPr="00585A3E">
        <w:t xml:space="preserve"> will need to accept the Terms &amp; Conditions and click ‘continue’ entering your correct business and user details. Note your chosen username and click ‘save’, this will generate an email with your temporary password. </w:t>
      </w:r>
    </w:p>
    <w:p w14:paraId="599918D4" w14:textId="77777777" w:rsidR="00557381" w:rsidRPr="00557381" w:rsidRDefault="00F26284" w:rsidP="002E5AD0">
      <w:pPr>
        <w:pStyle w:val="AltH2Ashurst"/>
        <w:numPr>
          <w:ilvl w:val="1"/>
          <w:numId w:val="47"/>
        </w:numPr>
        <w:rPr>
          <w:szCs w:val="20"/>
        </w:rPr>
      </w:pPr>
      <w:r w:rsidRPr="00585A3E">
        <w:t xml:space="preserve">Once logged onto the </w:t>
      </w:r>
      <w:r w:rsidR="00CB3406" w:rsidRPr="00585A3E">
        <w:t xml:space="preserve">Jaggaer </w:t>
      </w:r>
      <w:proofErr w:type="spellStart"/>
      <w:r w:rsidRPr="00585A3E">
        <w:t>eSourcing</w:t>
      </w:r>
      <w:proofErr w:type="spellEnd"/>
      <w:r w:rsidRPr="00585A3E">
        <w:t xml:space="preserve"> Portal, technical guidance relating to the use of Jaggaer can be found in the Help Centre that can be accessed via the helpdesk feature. </w:t>
      </w:r>
    </w:p>
    <w:p w14:paraId="02E5C6D9" w14:textId="77777777" w:rsidR="00557381" w:rsidRPr="00557381" w:rsidRDefault="00F26284" w:rsidP="002E5AD0">
      <w:pPr>
        <w:pStyle w:val="AltH2Ashurst"/>
        <w:numPr>
          <w:ilvl w:val="1"/>
          <w:numId w:val="47"/>
        </w:numPr>
        <w:rPr>
          <w:szCs w:val="20"/>
        </w:rPr>
      </w:pPr>
      <w:r w:rsidRPr="00585A3E">
        <w:t xml:space="preserve">Applicants will only be able to access the </w:t>
      </w:r>
      <w:proofErr w:type="spellStart"/>
      <w:r w:rsidRPr="00585A3E">
        <w:t>eSourcing</w:t>
      </w:r>
      <w:proofErr w:type="spellEnd"/>
      <w:r w:rsidRPr="00585A3E">
        <w:t xml:space="preserve"> Event once registration has been completed. </w:t>
      </w:r>
    </w:p>
    <w:p w14:paraId="52EF9065" w14:textId="6D7E80ED" w:rsidR="00557381" w:rsidRPr="00557381" w:rsidRDefault="00F26284" w:rsidP="002E5AD0">
      <w:pPr>
        <w:pStyle w:val="AltH2Ashurst"/>
        <w:numPr>
          <w:ilvl w:val="1"/>
          <w:numId w:val="47"/>
        </w:numPr>
        <w:rPr>
          <w:color w:val="CC3300"/>
          <w:szCs w:val="20"/>
        </w:rPr>
      </w:pPr>
      <w:r w:rsidRPr="00585A3E">
        <w:t xml:space="preserve">Once potential Applicants have completed the registration process referred to above, the </w:t>
      </w:r>
      <w:r w:rsidR="00CB3406" w:rsidRPr="00585A3E">
        <w:t>Jaggaer</w:t>
      </w:r>
      <w:r w:rsidRPr="00585A3E">
        <w:t xml:space="preserve"> </w:t>
      </w:r>
      <w:proofErr w:type="spellStart"/>
      <w:r w:rsidRPr="00585A3E">
        <w:t>eSourcing</w:t>
      </w:r>
      <w:proofErr w:type="spellEnd"/>
      <w:r w:rsidRPr="00585A3E">
        <w:t xml:space="preserve"> Portal home page may be accessed via the </w:t>
      </w:r>
      <w:r w:rsidR="007212D3">
        <w:t>same</w:t>
      </w:r>
      <w:r w:rsidRPr="00585A3E">
        <w:t xml:space="preserve"> link:</w:t>
      </w:r>
      <w:r>
        <w:t xml:space="preserve"> </w:t>
      </w:r>
      <w:hyperlink r:id="rId34" w:history="1">
        <w:r w:rsidRPr="004F105E">
          <w:rPr>
            <w:rStyle w:val="Hyperlink"/>
            <w:rFonts w:eastAsia="Arial"/>
          </w:rPr>
          <w:t>https://beisgroup.ukp.app.jaggaer.com/</w:t>
        </w:r>
      </w:hyperlink>
    </w:p>
    <w:p w14:paraId="46C74BAD" w14:textId="6413494A" w:rsidR="00557381" w:rsidRPr="00557381" w:rsidRDefault="00F26284" w:rsidP="002E5AD0">
      <w:pPr>
        <w:pStyle w:val="AltH2Ashurst"/>
        <w:numPr>
          <w:ilvl w:val="1"/>
          <w:numId w:val="47"/>
        </w:numPr>
        <w:rPr>
          <w:szCs w:val="20"/>
        </w:rPr>
      </w:pPr>
      <w:r w:rsidRPr="00557381">
        <w:t xml:space="preserve">For further assistance with regards registering on the Jaggaer </w:t>
      </w:r>
      <w:proofErr w:type="spellStart"/>
      <w:r w:rsidRPr="00557381">
        <w:t>eSourcing</w:t>
      </w:r>
      <w:proofErr w:type="spellEnd"/>
      <w:r w:rsidRPr="00557381">
        <w:t xml:space="preserve"> Portal, please consult the available help. </w:t>
      </w:r>
    </w:p>
    <w:p w14:paraId="66AF1079" w14:textId="77777777" w:rsidR="00557381" w:rsidRPr="00C04F65" w:rsidRDefault="00F26284" w:rsidP="00557381">
      <w:pPr>
        <w:pStyle w:val="B12Ashurst"/>
        <w:rPr>
          <w:szCs w:val="20"/>
        </w:rPr>
      </w:pPr>
      <w:r w:rsidRPr="00C04F65">
        <w:rPr>
          <w:szCs w:val="20"/>
        </w:rPr>
        <w:t>Phone: 08000 698 632</w:t>
      </w:r>
    </w:p>
    <w:p w14:paraId="7D3DCBFB" w14:textId="049A392E" w:rsidR="00557381" w:rsidRPr="00557381" w:rsidRDefault="00F26284" w:rsidP="00557381">
      <w:pPr>
        <w:pStyle w:val="B12Ashurst"/>
        <w:rPr>
          <w:rStyle w:val="Hyperlink"/>
          <w:color w:val="auto"/>
          <w:szCs w:val="20"/>
          <w:u w:val="none"/>
        </w:rPr>
      </w:pPr>
      <w:r w:rsidRPr="00C04F65">
        <w:rPr>
          <w:szCs w:val="20"/>
        </w:rPr>
        <w:t xml:space="preserve">Email: </w:t>
      </w:r>
      <w:hyperlink r:id="rId35">
        <w:r w:rsidRPr="00C04F65">
          <w:rPr>
            <w:rStyle w:val="Hyperlink"/>
            <w:rFonts w:cstheme="minorHAnsi"/>
            <w:szCs w:val="20"/>
          </w:rPr>
          <w:t>customersupport@jaggaer.com</w:t>
        </w:r>
      </w:hyperlink>
      <w:r w:rsidRPr="00C04F65">
        <w:rPr>
          <w:szCs w:val="20"/>
        </w:rPr>
        <w:t xml:space="preserve"> </w:t>
      </w:r>
    </w:p>
    <w:p w14:paraId="27A3150E" w14:textId="642339BF" w:rsidR="00EF0206" w:rsidRPr="00A2030A" w:rsidRDefault="00F26284" w:rsidP="002E5AD0">
      <w:pPr>
        <w:pStyle w:val="AltH1Ashurst"/>
        <w:numPr>
          <w:ilvl w:val="0"/>
          <w:numId w:val="47"/>
        </w:numPr>
        <w:rPr>
          <w:b/>
          <w:bCs/>
        </w:rPr>
      </w:pPr>
      <w:bookmarkStart w:id="131" w:name="_Toc190707125"/>
      <w:bookmarkStart w:id="132" w:name="_Toc190707175"/>
      <w:r w:rsidRPr="00A2030A">
        <w:rPr>
          <w:b/>
          <w:bCs/>
        </w:rPr>
        <w:t>Contact Email Address</w:t>
      </w:r>
      <w:bookmarkEnd w:id="131"/>
      <w:bookmarkEnd w:id="132"/>
    </w:p>
    <w:p w14:paraId="02260F88" w14:textId="11AB25DE" w:rsidR="671AD88E" w:rsidRPr="00C04F65" w:rsidRDefault="00F26284" w:rsidP="00C04F65">
      <w:pPr>
        <w:pStyle w:val="B12Ashurst"/>
        <w:rPr>
          <w:szCs w:val="20"/>
        </w:rPr>
      </w:pPr>
      <w:r w:rsidRPr="00C04F65">
        <w:rPr>
          <w:szCs w:val="20"/>
        </w:rPr>
        <w:t xml:space="preserve">Applicants must ensure that contact details for the individual who will be conducting the communication on behalf of your organisation or Applicant Group is the official contact on your </w:t>
      </w:r>
      <w:r w:rsidR="00CB3406" w:rsidRPr="00C04F65">
        <w:rPr>
          <w:szCs w:val="20"/>
        </w:rPr>
        <w:t>Jaggaer</w:t>
      </w:r>
      <w:r w:rsidRPr="00C04F65">
        <w:rPr>
          <w:szCs w:val="20"/>
        </w:rPr>
        <w:t xml:space="preserve"> </w:t>
      </w:r>
      <w:proofErr w:type="spellStart"/>
      <w:r w:rsidRPr="00C04F65">
        <w:rPr>
          <w:szCs w:val="20"/>
        </w:rPr>
        <w:t>eSourcing</w:t>
      </w:r>
      <w:proofErr w:type="spellEnd"/>
      <w:r w:rsidRPr="00C04F65">
        <w:rPr>
          <w:szCs w:val="20"/>
        </w:rPr>
        <w:t xml:space="preserve"> Portal registration. </w:t>
      </w:r>
    </w:p>
    <w:p w14:paraId="3B69A8C4" w14:textId="6DD87290" w:rsidR="16D716F6" w:rsidRPr="00344386" w:rsidRDefault="00F26284" w:rsidP="002E5AD0">
      <w:pPr>
        <w:pStyle w:val="AltH1Ashurst"/>
        <w:numPr>
          <w:ilvl w:val="0"/>
          <w:numId w:val="47"/>
        </w:numPr>
        <w:rPr>
          <w:b/>
          <w:bCs/>
        </w:rPr>
      </w:pPr>
      <w:bookmarkStart w:id="133" w:name="_Toc190707126"/>
      <w:bookmarkStart w:id="134" w:name="_Toc190707176"/>
      <w:r w:rsidRPr="00344386">
        <w:rPr>
          <w:b/>
          <w:bCs/>
        </w:rPr>
        <w:t>Communication and/or Notification Messages</w:t>
      </w:r>
      <w:bookmarkEnd w:id="133"/>
      <w:bookmarkEnd w:id="134"/>
    </w:p>
    <w:p w14:paraId="669AF56B" w14:textId="18872BBA" w:rsidR="00EF0206" w:rsidRPr="00C04F65" w:rsidRDefault="00F26284" w:rsidP="00D03386">
      <w:pPr>
        <w:pStyle w:val="AltH2Ashurst"/>
      </w:pPr>
      <w:r>
        <w:t xml:space="preserve">Any communications or notifications in connection with the Procurement, both at the </w:t>
      </w:r>
      <w:r w:rsidR="00B34E77">
        <w:t>PSQ</w:t>
      </w:r>
      <w:r>
        <w:t xml:space="preserve"> stage and beyond, will be issued by </w:t>
      </w:r>
      <w:r w:rsidR="0053020C">
        <w:t>GBE-N</w:t>
      </w:r>
      <w:r>
        <w:t xml:space="preserve"> to Applicants using the messaging facility within the </w:t>
      </w:r>
      <w:r w:rsidR="00CB3406">
        <w:t xml:space="preserve">Jaggaer </w:t>
      </w:r>
      <w:proofErr w:type="spellStart"/>
      <w:r>
        <w:t>eSourcing</w:t>
      </w:r>
      <w:proofErr w:type="spellEnd"/>
      <w:r>
        <w:t xml:space="preserve"> Portal. </w:t>
      </w:r>
    </w:p>
    <w:p w14:paraId="61C5F3BE" w14:textId="29AACA28" w:rsidR="00EF0206" w:rsidRPr="00C04F65" w:rsidRDefault="00F26284" w:rsidP="00D03386">
      <w:pPr>
        <w:pStyle w:val="AltH2Ashurst"/>
      </w:pPr>
      <w:r w:rsidRPr="00C04F65">
        <w:t>Communications or notifications sent via the messaging facility may relate to and represent material changes to information previously provided.</w:t>
      </w:r>
      <w:r w:rsidR="00D03386">
        <w:t xml:space="preserve"> </w:t>
      </w:r>
      <w:r w:rsidRPr="00C04F65">
        <w:t xml:space="preserve"> Accordingly, until the Procurement has fully concluded, Applicants must log into the </w:t>
      </w:r>
      <w:proofErr w:type="spellStart"/>
      <w:r w:rsidRPr="00C04F65">
        <w:t>eSourcing</w:t>
      </w:r>
      <w:proofErr w:type="spellEnd"/>
      <w:r w:rsidRPr="00C04F65">
        <w:t xml:space="preserve"> Event at regular intervals, to check for messages and access their content. </w:t>
      </w:r>
    </w:p>
    <w:p w14:paraId="0224B31E" w14:textId="77777777" w:rsidR="00EF0206" w:rsidRPr="00C04F65" w:rsidRDefault="00F26284" w:rsidP="00D03386">
      <w:pPr>
        <w:pStyle w:val="AltH2Ashurst"/>
      </w:pPr>
      <w:r w:rsidRPr="00C04F65">
        <w:t>Email prompts will only be sent to the nominated contact.</w:t>
      </w:r>
    </w:p>
    <w:p w14:paraId="54F83960" w14:textId="0933B720" w:rsidR="00EF0206" w:rsidRDefault="00F26284" w:rsidP="00D03386">
      <w:pPr>
        <w:pStyle w:val="AltH2Ashurst"/>
        <w:rPr>
          <w:rFonts w:cstheme="minorHAnsi"/>
          <w:szCs w:val="20"/>
        </w:rPr>
      </w:pPr>
      <w:r w:rsidRPr="00585A3E">
        <w:rPr>
          <w:rFonts w:cstheme="minorHAnsi"/>
          <w:szCs w:val="20"/>
        </w:rPr>
        <w:t xml:space="preserve">All messages sent via the </w:t>
      </w:r>
      <w:r w:rsidR="00CB3406" w:rsidRPr="00585A3E">
        <w:rPr>
          <w:rFonts w:cstheme="minorHAnsi"/>
          <w:szCs w:val="20"/>
        </w:rPr>
        <w:t xml:space="preserve">Jaggaer </w:t>
      </w:r>
      <w:proofErr w:type="spellStart"/>
      <w:r w:rsidRPr="00585A3E">
        <w:rPr>
          <w:rFonts w:cstheme="minorHAnsi"/>
          <w:szCs w:val="20"/>
        </w:rPr>
        <w:t>eSourcing</w:t>
      </w:r>
      <w:proofErr w:type="spellEnd"/>
      <w:r w:rsidRPr="00585A3E">
        <w:rPr>
          <w:rFonts w:cstheme="minorHAnsi"/>
          <w:szCs w:val="20"/>
        </w:rPr>
        <w:t xml:space="preserve"> Portal will be retained within the messages section of the Event. </w:t>
      </w:r>
      <w:r w:rsidR="00D03386">
        <w:rPr>
          <w:rFonts w:cstheme="minorHAnsi"/>
          <w:szCs w:val="20"/>
        </w:rPr>
        <w:t xml:space="preserve"> </w:t>
      </w:r>
      <w:r w:rsidRPr="00585A3E">
        <w:rPr>
          <w:rFonts w:cstheme="minorHAnsi"/>
          <w:szCs w:val="20"/>
        </w:rPr>
        <w:t xml:space="preserve">The messages </w:t>
      </w:r>
      <w:r w:rsidRPr="00344386">
        <w:t>and</w:t>
      </w:r>
      <w:r w:rsidRPr="00585A3E">
        <w:rPr>
          <w:rFonts w:cstheme="minorHAnsi"/>
          <w:szCs w:val="20"/>
        </w:rPr>
        <w:t xml:space="preserve"> information therein may be accessed and reviewed at any time.</w:t>
      </w:r>
    </w:p>
    <w:p w14:paraId="7257F946" w14:textId="52189A8D" w:rsidR="00E61DDC" w:rsidRPr="00E61DDC" w:rsidRDefault="00F26284" w:rsidP="00E61DDC">
      <w:pPr>
        <w:pStyle w:val="AltH1Ashurst"/>
      </w:pPr>
      <w:bookmarkStart w:id="135" w:name="_Toc190707128"/>
      <w:bookmarkStart w:id="136" w:name="_Toc190707178"/>
      <w:r>
        <w:rPr>
          <w:b/>
          <w:bCs/>
        </w:rPr>
        <w:t>Instructions for responding to this PSQ</w:t>
      </w:r>
      <w:bookmarkEnd w:id="135"/>
      <w:bookmarkEnd w:id="136"/>
    </w:p>
    <w:p w14:paraId="081C3FEF" w14:textId="6AB02F9F" w:rsidR="00E61DDC" w:rsidRDefault="00F26284" w:rsidP="00E61DDC">
      <w:pPr>
        <w:pStyle w:val="AltH2Ashurst"/>
      </w:pPr>
      <w:r>
        <w:t>Download the files and set up additional users</w:t>
      </w:r>
    </w:p>
    <w:p w14:paraId="2B581B80" w14:textId="7CF2C35E" w:rsidR="00E61DDC" w:rsidRDefault="00F26284" w:rsidP="00E61DDC">
      <w:pPr>
        <w:pStyle w:val="AltH3Ashurst"/>
      </w:pPr>
      <w:r>
        <w:t xml:space="preserve">Before considering a response to this PSQ, Applicants should ensure that they have downloaded and read all the relevant files from Jaggaer.  All files are important and contain information which may have a considerable bearing on the </w:t>
      </w:r>
      <w:r w:rsidRPr="009F344D">
        <w:t xml:space="preserve">success of a </w:t>
      </w:r>
      <w:r w:rsidR="00CA14C9" w:rsidRPr="009F344D">
        <w:t>PSQ</w:t>
      </w:r>
      <w:r w:rsidRPr="009F344D">
        <w:t xml:space="preserve"> Submission.</w:t>
      </w:r>
    </w:p>
    <w:p w14:paraId="6E23C055" w14:textId="44EAEEA3" w:rsidR="00E61DDC" w:rsidRDefault="00F26284" w:rsidP="00E61DDC">
      <w:pPr>
        <w:pStyle w:val="AltH3Ashurst"/>
      </w:pPr>
      <w:r>
        <w:t>If an Applicant requires that additional people have access to the PSQ, the user management link on the main page of Jaggaer should be used to add additional users.</w:t>
      </w:r>
    </w:p>
    <w:p w14:paraId="6C967DFA" w14:textId="22DF6CB3" w:rsidR="00E61DDC" w:rsidRDefault="00F26284" w:rsidP="00E61DDC">
      <w:pPr>
        <w:pStyle w:val="AltH3Ashurst"/>
      </w:pPr>
      <w:r>
        <w:t xml:space="preserve">All clarifications sent </w:t>
      </w:r>
      <w:r w:rsidRPr="00E61DDC">
        <w:t>during the PSQ Stage</w:t>
      </w:r>
      <w:r>
        <w:t xml:space="preserve"> will be notified via the secure messaging feature within Jaggaer to the authorised representative on behalf of the Applicant.  If Applicants want the notifications to go to other users within their organisation, then this can be achieved by accessing the Applicant's "User Rights" area in Jaggaer and enabling other users to receive messages. </w:t>
      </w:r>
    </w:p>
    <w:p w14:paraId="646BDED2" w14:textId="4A174BC7" w:rsidR="00E61DDC" w:rsidRDefault="00F26284" w:rsidP="00E61DDC">
      <w:pPr>
        <w:pStyle w:val="AltH3Ashurst"/>
      </w:pPr>
      <w:r>
        <w:t>Attachments will be available for Applicants to download from the question itself or via the "Projects Attachments" section of Jaggaer.</w:t>
      </w:r>
    </w:p>
    <w:p w14:paraId="6AB93EBA" w14:textId="74F80A4D" w:rsidR="00E61DDC" w:rsidRDefault="00F26284" w:rsidP="00E61DDC">
      <w:pPr>
        <w:pStyle w:val="AltH2Ashurst"/>
      </w:pPr>
      <w:r>
        <w:t>Read all instructions carefully</w:t>
      </w:r>
    </w:p>
    <w:p w14:paraId="428C1A11" w14:textId="702CB7DF" w:rsidR="00E61DDC" w:rsidRDefault="00F26284" w:rsidP="00E61DDC">
      <w:pPr>
        <w:pStyle w:val="AltH3Ashurst"/>
      </w:pPr>
      <w:r>
        <w:t xml:space="preserve">Applicants should read all the instructions relating to this PSQ carefully as Applicants who submit incomplete </w:t>
      </w:r>
      <w:r w:rsidR="00E71A16">
        <w:t>PSQ Response</w:t>
      </w:r>
      <w:r>
        <w:t xml:space="preserve">s may be deemed non-compliant. </w:t>
      </w:r>
    </w:p>
    <w:p w14:paraId="13D0CE21" w14:textId="64C919C9" w:rsidR="00E61DDC" w:rsidRDefault="0053020C" w:rsidP="00E61DDC">
      <w:pPr>
        <w:pStyle w:val="AltH3Ashurst"/>
      </w:pPr>
      <w:r>
        <w:t>GBE-N</w:t>
      </w:r>
      <w:r w:rsidR="00F26284">
        <w:t xml:space="preserve"> will only take account of information which is specifically asked for within the PSQ. Submissions must be correctly referenced in accordance with the requirements in the relevant instructions. </w:t>
      </w:r>
      <w:r>
        <w:t>GBE-N</w:t>
      </w:r>
      <w:r w:rsidR="00F26284">
        <w:t xml:space="preserve"> will not evaluate information which has not been included by an Applicant in its </w:t>
      </w:r>
      <w:r w:rsidR="00E71A16">
        <w:t>PSQ Response</w:t>
      </w:r>
      <w:r w:rsidR="00F26284">
        <w:t xml:space="preserve"> and may not evaluate information which has been incorrectly referenced.  </w:t>
      </w:r>
    </w:p>
    <w:p w14:paraId="6B75EFBB" w14:textId="4CF2506A" w:rsidR="00E61DDC" w:rsidRDefault="00F26284" w:rsidP="00E61DDC">
      <w:pPr>
        <w:pStyle w:val="AltH2Ashurst"/>
      </w:pPr>
      <w:r>
        <w:t>Prepar</w:t>
      </w:r>
      <w:r w:rsidR="00DC28AF">
        <w:t>ing</w:t>
      </w:r>
      <w:r>
        <w:t xml:space="preserve"> the </w:t>
      </w:r>
      <w:r w:rsidR="00CA14C9">
        <w:t>PSQ</w:t>
      </w:r>
    </w:p>
    <w:p w14:paraId="3DB7D93D" w14:textId="1FF75254" w:rsidR="00E61DDC" w:rsidRDefault="00F26284" w:rsidP="00E61DDC">
      <w:pPr>
        <w:pStyle w:val="AltH3Ashurst"/>
      </w:pPr>
      <w:r>
        <w:t xml:space="preserve">The </w:t>
      </w:r>
      <w:r w:rsidR="00CA14C9">
        <w:t>PSQ</w:t>
      </w:r>
      <w:r>
        <w:t xml:space="preserve"> Submissions will be completed using an electronic form (the </w:t>
      </w:r>
      <w:r w:rsidR="00CA14C9">
        <w:t>PSQ</w:t>
      </w:r>
      <w:r>
        <w:t xml:space="preserve"> Submission Form) which can be accessed via Jaggaer.  It may be possible to respond to some questions in this </w:t>
      </w:r>
      <w:r w:rsidR="00CA14C9">
        <w:t>PSQ</w:t>
      </w:r>
      <w:r>
        <w:t xml:space="preserve"> simply by answering the questions on screen in the </w:t>
      </w:r>
      <w:r w:rsidR="00CA14C9">
        <w:t>PSQ</w:t>
      </w:r>
      <w:r>
        <w:t xml:space="preserve"> Submission Form on Jaggaer.  In most cases, the </w:t>
      </w:r>
      <w:r w:rsidR="00CA14C9">
        <w:t>Applicant</w:t>
      </w:r>
      <w:r>
        <w:t xml:space="preserve"> will need to prepare additional material as part of its </w:t>
      </w:r>
      <w:r w:rsidR="00CA14C9">
        <w:t>PSQ</w:t>
      </w:r>
      <w:r>
        <w:t xml:space="preserve"> Submission, which can be uploaded at any time into the </w:t>
      </w:r>
      <w:r w:rsidR="00CA14C9">
        <w:t>PSQ</w:t>
      </w:r>
      <w:r>
        <w:t xml:space="preserve"> Submission Form before the relevant Closing Deadline.</w:t>
      </w:r>
    </w:p>
    <w:p w14:paraId="5115CBCE" w14:textId="2CCD141E" w:rsidR="00E61DDC" w:rsidRDefault="00F26284" w:rsidP="00E61DDC">
      <w:pPr>
        <w:pStyle w:val="AltH3Ashurst"/>
      </w:pPr>
      <w:r>
        <w:t xml:space="preserve">Users should be wary that after periods of inactivity, they will be logged out of Jaggaer.  This may result in draft responses not being saved.  It is the </w:t>
      </w:r>
      <w:r w:rsidR="00CA14C9">
        <w:t>Applicant</w:t>
      </w:r>
      <w:r>
        <w:t>’s responsibility to ensure that it saves draft responses regularly when using Jaggaer.</w:t>
      </w:r>
    </w:p>
    <w:p w14:paraId="4C388516" w14:textId="77777777" w:rsidR="00E61DDC" w:rsidRDefault="00F26284" w:rsidP="00E61DDC">
      <w:pPr>
        <w:pStyle w:val="AltH3Ashurst"/>
      </w:pPr>
      <w:r>
        <w:t>Character restrictions applicable to the relevant question will be provided in the instructions on Jaggaer.</w:t>
      </w:r>
    </w:p>
    <w:p w14:paraId="0709E9BF" w14:textId="45BC92F4" w:rsidR="00E61DDC" w:rsidRDefault="00F26284" w:rsidP="00E61DDC">
      <w:pPr>
        <w:pStyle w:val="AltH2Ashurst"/>
      </w:pPr>
      <w:r>
        <w:t>Answering questions and providing evidence.</w:t>
      </w:r>
    </w:p>
    <w:p w14:paraId="4FEFFADC" w14:textId="3B094EE9" w:rsidR="00535674" w:rsidRDefault="00F26284" w:rsidP="00DC28AF">
      <w:pPr>
        <w:pStyle w:val="AltH3Ashurst"/>
      </w:pPr>
      <w:r>
        <w:t xml:space="preserve">Applicants are required to answer all the questions and provide all the additional information requested within the PSQ, in accordance with the specific instructions set out in the PSQ Instructions. </w:t>
      </w:r>
    </w:p>
    <w:p w14:paraId="44779B4B" w14:textId="6EF2AEF9" w:rsidR="00535674" w:rsidRPr="00DC28AF" w:rsidRDefault="00F26284" w:rsidP="00535674">
      <w:pPr>
        <w:pStyle w:val="AltH3Ashurst"/>
      </w:pPr>
      <w:r w:rsidRPr="00DC28AF">
        <w:t xml:space="preserve">Some questions will be marked with a red asterisk on the </w:t>
      </w:r>
      <w:r w:rsidR="00CA14C9" w:rsidRPr="00DC28AF">
        <w:t>PSQ</w:t>
      </w:r>
      <w:r w:rsidRPr="00DC28AF">
        <w:t xml:space="preserve"> Submission Form in Jaggaer.  These are designated as mandatory questions.  This is no indication of the questions' weight or </w:t>
      </w:r>
      <w:proofErr w:type="gramStart"/>
      <w:r w:rsidRPr="00DC28AF">
        <w:t>importance</w:t>
      </w:r>
      <w:proofErr w:type="gramEnd"/>
      <w:r w:rsidRPr="00DC28AF">
        <w:t xml:space="preserve"> and all questions should be answered regardless of the mandatory marker.  At any stage </w:t>
      </w:r>
      <w:r w:rsidR="00CA14C9" w:rsidRPr="00DC28AF">
        <w:t>Applicant</w:t>
      </w:r>
      <w:r w:rsidRPr="00DC28AF">
        <w:t>s may validate their response by selecting "Validate Response".  This will highlight the mandatory questions still requiring a response (marked with a red asterisk) and the number of non-mandatory questions that remain.</w:t>
      </w:r>
    </w:p>
    <w:p w14:paraId="3B8D7020" w14:textId="0DBB0E3B" w:rsidR="00535674" w:rsidRPr="00DC28AF" w:rsidRDefault="00F26284" w:rsidP="00535674">
      <w:pPr>
        <w:pStyle w:val="AltH3Ashurst"/>
      </w:pPr>
      <w:r w:rsidRPr="00DC28AF">
        <w:t>Applicants will not be permitted by Jaggaer to submit their PSQ Submission until all mandatory questions are answered.</w:t>
      </w:r>
    </w:p>
    <w:p w14:paraId="3C135A56" w14:textId="085F5B8E" w:rsidR="00535674" w:rsidRPr="00DC28AF" w:rsidRDefault="00F26284" w:rsidP="00535674">
      <w:pPr>
        <w:pStyle w:val="AltH3Ashurst"/>
      </w:pPr>
      <w:r>
        <w:t xml:space="preserve">Applicants must not cross reference their answers from any one question to another question unless instructed to do so by </w:t>
      </w:r>
      <w:r w:rsidR="0053020C">
        <w:t>GBE-N</w:t>
      </w:r>
      <w:r>
        <w:t xml:space="preserve">.  Applicants are also not permitted to cross-reference to their </w:t>
      </w:r>
      <w:r w:rsidR="00C319EF">
        <w:t>P</w:t>
      </w:r>
      <w:r>
        <w:t xml:space="preserve">SQ submission. Only information included in the response to the specific question will be evaluated in respect of that specific question, unless </w:t>
      </w:r>
      <w:r w:rsidR="0053020C">
        <w:t>GBE-N</w:t>
      </w:r>
      <w:r>
        <w:t xml:space="preserve">'s instructions provide otherwise. Cross referenced material which does not comply with an instruction of </w:t>
      </w:r>
      <w:r w:rsidR="0053020C">
        <w:t>GBE-N</w:t>
      </w:r>
      <w:r>
        <w:t xml:space="preserve"> will not be reviewed or evaluated by </w:t>
      </w:r>
      <w:r w:rsidR="0053020C">
        <w:t>GBE-N</w:t>
      </w:r>
      <w:r>
        <w:t>.</w:t>
      </w:r>
    </w:p>
    <w:p w14:paraId="4D7D5F7F" w14:textId="4110FA18" w:rsidR="00535674" w:rsidRDefault="00F26284" w:rsidP="00535674">
      <w:pPr>
        <w:pStyle w:val="AltH3Ashurst"/>
      </w:pPr>
      <w:r>
        <w:t xml:space="preserve">Applicants must answer all questions accurately and as concisely as possible. To the extent any page limits are expressly required by the PSQ, Applicants must ensure that they follow any specific guidance. Supporting information must be presented as instructed in each of the questions. Note that any A3 pages will be counted as two A4 pages per side. </w:t>
      </w:r>
    </w:p>
    <w:p w14:paraId="34B6A4D6" w14:textId="19950850" w:rsidR="00535674" w:rsidRPr="00DC28AF" w:rsidRDefault="00F26284" w:rsidP="00535674">
      <w:pPr>
        <w:pStyle w:val="AltH3Ashurst"/>
      </w:pPr>
      <w:r>
        <w:t xml:space="preserve">If the </w:t>
      </w:r>
      <w:r w:rsidR="00CA14C9">
        <w:t>PSQ</w:t>
      </w:r>
      <w:r>
        <w:t xml:space="preserve"> Submission exceeds any page limit given in the specific submission in this </w:t>
      </w:r>
      <w:r w:rsidR="00CA14C9">
        <w:t>PSQ</w:t>
      </w:r>
      <w:r>
        <w:t xml:space="preserve">, then </w:t>
      </w:r>
      <w:r w:rsidR="0053020C">
        <w:t>GBE-N</w:t>
      </w:r>
      <w:r>
        <w:t xml:space="preserve"> will not consider information which is beyond the page limit stated. </w:t>
      </w:r>
    </w:p>
    <w:p w14:paraId="5DDE7517" w14:textId="0F181EB1" w:rsidR="00535674" w:rsidRPr="00DC28AF" w:rsidRDefault="00F26284" w:rsidP="00535674">
      <w:pPr>
        <w:pStyle w:val="AltH3Ashurst"/>
      </w:pPr>
      <w:r w:rsidRPr="00DC28AF">
        <w:t xml:space="preserve">Text must be in Arial </w:t>
      </w:r>
      <w:proofErr w:type="gramStart"/>
      <w:r w:rsidRPr="00DC28AF">
        <w:t>11 point</w:t>
      </w:r>
      <w:proofErr w:type="gramEnd"/>
      <w:r w:rsidRPr="00DC28AF">
        <w:t xml:space="preserve"> font, single spaced (other than supporting information which is not created for the Procurement process or any mark-up of the </w:t>
      </w:r>
      <w:r w:rsidR="000D2871" w:rsidRPr="00DC28AF">
        <w:t>OE contract</w:t>
      </w:r>
      <w:r w:rsidRPr="00DC28AF">
        <w:t xml:space="preserve">).  Page margins must be set at minimum 2.5 cm. </w:t>
      </w:r>
    </w:p>
    <w:p w14:paraId="3A3EDAE8" w14:textId="3ED32C38" w:rsidR="00535674" w:rsidRPr="00DC28AF" w:rsidRDefault="00F26284" w:rsidP="00535674">
      <w:pPr>
        <w:pStyle w:val="AltH3Ashurst"/>
      </w:pPr>
      <w:r w:rsidRPr="00DC28AF">
        <w:t xml:space="preserve">Headers and footers may be included in the page margins and may include paragraph numbering, page numbering, section numbering, copy numbering, etc. </w:t>
      </w:r>
    </w:p>
    <w:p w14:paraId="5545451F" w14:textId="34178E8A" w:rsidR="00535674" w:rsidRPr="00DC28AF" w:rsidRDefault="00F26284" w:rsidP="00535674">
      <w:pPr>
        <w:pStyle w:val="AltH3Ashurst"/>
      </w:pPr>
      <w:r w:rsidRPr="00DC28AF">
        <w:t>PSQ Submissions should not include general promotional or marketing material unless it is responsive to a requirement of this PSQ and is referenced accordingly.</w:t>
      </w:r>
    </w:p>
    <w:p w14:paraId="382BC9EB" w14:textId="3613340E" w:rsidR="00535674" w:rsidRDefault="00F26284" w:rsidP="00535674">
      <w:pPr>
        <w:pStyle w:val="AltH2Ashurst"/>
      </w:pPr>
      <w:r>
        <w:t>How to submit supplementary documents</w:t>
      </w:r>
    </w:p>
    <w:p w14:paraId="118CF6A6" w14:textId="45833944" w:rsidR="00535674" w:rsidRDefault="00F26284" w:rsidP="00535674">
      <w:pPr>
        <w:pStyle w:val="AltH3Ashurst"/>
      </w:pPr>
      <w:r>
        <w:t xml:space="preserve">In some cases, it will be necessary for Applicants to submit supplementary documents in the form of electronic files to respond to or provide evidence in their responses to certain questions.  Applicants should only submit supplementary documents when it is necessary to respond to a question and/or where the submission of supplementary documents has been requested by </w:t>
      </w:r>
      <w:r w:rsidR="0053020C">
        <w:t>GBE-N</w:t>
      </w:r>
      <w:r>
        <w:t xml:space="preserve">.  </w:t>
      </w:r>
    </w:p>
    <w:p w14:paraId="67DEF740" w14:textId="56D8F5EA" w:rsidR="00535674" w:rsidRDefault="00F26284" w:rsidP="00535674">
      <w:pPr>
        <w:pStyle w:val="AltH3Ashurst"/>
      </w:pPr>
      <w:r>
        <w:t xml:space="preserve">Applicants must not embed documents inside supplementary documents. </w:t>
      </w:r>
      <w:r w:rsidR="0053020C">
        <w:t>GBE-N</w:t>
      </w:r>
      <w:r>
        <w:t xml:space="preserve"> will not review the content of embedded documents.</w:t>
      </w:r>
    </w:p>
    <w:p w14:paraId="0433D4E4" w14:textId="27E6BB63" w:rsidR="00535674" w:rsidRDefault="00F26284" w:rsidP="00535674">
      <w:pPr>
        <w:pStyle w:val="AltH2Ashurst"/>
      </w:pPr>
      <w:r>
        <w:t>File formats</w:t>
      </w:r>
    </w:p>
    <w:p w14:paraId="7165E13D" w14:textId="7756A5A5" w:rsidR="00535674" w:rsidRDefault="00F26284" w:rsidP="00535674">
      <w:pPr>
        <w:pStyle w:val="AltH3Ashurst"/>
      </w:pPr>
      <w:r>
        <w:t xml:space="preserve">Most file types can be used to support a PSQ. If Applicants have any doubts about the format or software they intend to use for their response, they should contact </w:t>
      </w:r>
      <w:r w:rsidR="0053020C">
        <w:t>GBE-N</w:t>
      </w:r>
      <w:r>
        <w:t xml:space="preserve"> using the secure messaging system on Jaggaer. </w:t>
      </w:r>
    </w:p>
    <w:p w14:paraId="6C7ED43F" w14:textId="32A0CC3E" w:rsidR="00535674" w:rsidRDefault="00F26284" w:rsidP="00535674">
      <w:pPr>
        <w:pStyle w:val="AltH3Ashurst"/>
      </w:pPr>
      <w:r>
        <w:t>Save in respect of questions which have prescribed file types, it is strongly recommended that Applicants upload documents as an Adobe PDF file for non-financial responses and MS Office™ Excel for financial data. Applicants should note that all files uploaded onto Jaggaer cannot be amended by anyone and that original files uploaded by Applicants will be maintained in an unaltered state on the system for the duration of this Procurement.</w:t>
      </w:r>
    </w:p>
    <w:p w14:paraId="58A17516" w14:textId="131E69FB" w:rsidR="00535674" w:rsidRDefault="00F26284" w:rsidP="00535674">
      <w:pPr>
        <w:pStyle w:val="AltH3Ashurst"/>
      </w:pPr>
      <w:r>
        <w:t>Each file must be page-numbered consecutively, include a contents list (which is not included in the page limits</w:t>
      </w:r>
      <w:proofErr w:type="gramStart"/>
      <w:r>
        <w:t>)</w:t>
      </w:r>
      <w:proofErr w:type="gramEnd"/>
      <w:r>
        <w:t xml:space="preserve"> and each page of the submission should identify the </w:t>
      </w:r>
      <w:r w:rsidR="00651CF2">
        <w:t xml:space="preserve">part </w:t>
      </w:r>
      <w:r>
        <w:t>and sub-</w:t>
      </w:r>
      <w:r w:rsidR="00651CF2">
        <w:t xml:space="preserve">part </w:t>
      </w:r>
      <w:r>
        <w:t xml:space="preserve">reference at the top of each page. </w:t>
      </w:r>
    </w:p>
    <w:p w14:paraId="4515C51A" w14:textId="5FF0FE99" w:rsidR="00535674" w:rsidRDefault="00F26284" w:rsidP="00535674">
      <w:pPr>
        <w:pStyle w:val="AltH3Ashurst"/>
      </w:pPr>
      <w:r>
        <w:t>Applicants are advised to check with the Jaggaer helpline before submitting responses in uncommon formats.</w:t>
      </w:r>
    </w:p>
    <w:p w14:paraId="6F3756CD" w14:textId="3F628A8D" w:rsidR="00535674" w:rsidRDefault="00F26284" w:rsidP="00535674">
      <w:pPr>
        <w:pStyle w:val="AltH3Ashurst"/>
      </w:pPr>
      <w:r>
        <w:t>Jaggaer only allows for a single attachment to be attached to any one question.  If the Applicant's response to a question requires more than one attachment or the question otherwise required multiple files, this can be achieved by placing them into a zip file clearly labelled and then attaching the zip file as a single attachment.</w:t>
      </w:r>
    </w:p>
    <w:p w14:paraId="3C4791BD" w14:textId="581E395C" w:rsidR="00535674" w:rsidRDefault="00F26284" w:rsidP="00535674">
      <w:pPr>
        <w:pStyle w:val="AltH2Ashurst"/>
      </w:pPr>
      <w:r>
        <w:t>File naming</w:t>
      </w:r>
    </w:p>
    <w:p w14:paraId="08AEA9D4" w14:textId="1CF6F80D" w:rsidR="00535674" w:rsidRDefault="00F26284" w:rsidP="00535674">
      <w:pPr>
        <w:pStyle w:val="AltH3Ashurst"/>
      </w:pPr>
      <w:r>
        <w:t xml:space="preserve">Any files that the Applicant submits in relation to the PSQ should be given a file name which corresponds to the relevant requirement for the file set out on the </w:t>
      </w:r>
      <w:r w:rsidR="00C530AA">
        <w:t xml:space="preserve">PSQ. </w:t>
      </w:r>
      <w:r>
        <w:t>for example:</w:t>
      </w:r>
    </w:p>
    <w:p w14:paraId="2FB5D2DA" w14:textId="5D258A24" w:rsidR="00535674" w:rsidRDefault="00F26284" w:rsidP="00C530AA">
      <w:pPr>
        <w:pStyle w:val="AltH3Ashurst"/>
        <w:numPr>
          <w:ilvl w:val="0"/>
          <w:numId w:val="0"/>
        </w:numPr>
        <w:ind w:left="1406"/>
      </w:pPr>
      <w:r w:rsidRPr="001C6C48">
        <w:t>"[</w:t>
      </w:r>
      <w:r w:rsidR="00C530AA" w:rsidRPr="001C6C48">
        <w:t>Applicant</w:t>
      </w:r>
      <w:r w:rsidRPr="001C6C48">
        <w:t>] – Rate Card"</w:t>
      </w:r>
    </w:p>
    <w:p w14:paraId="6D66CECF" w14:textId="063C5202" w:rsidR="00535674" w:rsidRDefault="00F26284" w:rsidP="00535674">
      <w:pPr>
        <w:pStyle w:val="AltH3Ashurst"/>
      </w:pPr>
      <w:r>
        <w:t xml:space="preserve">Any files that </w:t>
      </w:r>
      <w:r w:rsidR="00C530AA">
        <w:t>Applicants</w:t>
      </w:r>
      <w:r>
        <w:t xml:space="preserve"> submit in the general attachments folder (if permitted) will be displayed in alphabetical order, with no folder structure. If </w:t>
      </w:r>
      <w:r w:rsidR="00C530AA">
        <w:t>Applicants</w:t>
      </w:r>
      <w:r>
        <w:t xml:space="preserve"> are uploading additional files for any reason, it is essential that the </w:t>
      </w:r>
      <w:r w:rsidR="00C530AA">
        <w:t>Applicants</w:t>
      </w:r>
      <w:r>
        <w:t xml:space="preserve"> name the files in an appropriate way. </w:t>
      </w:r>
      <w:r w:rsidR="0053020C">
        <w:t>GBE-N</w:t>
      </w:r>
      <w:r>
        <w:t xml:space="preserve"> requires the use of a consistent naming strategy, as requested in the text of </w:t>
      </w:r>
      <w:r w:rsidR="00C530AA">
        <w:t>the</w:t>
      </w:r>
      <w:r>
        <w:t xml:space="preserve"> </w:t>
      </w:r>
      <w:r w:rsidR="00C530AA">
        <w:t>PSQ</w:t>
      </w:r>
      <w:r>
        <w:t xml:space="preserve"> or based on the </w:t>
      </w:r>
      <w:r w:rsidR="00C530AA">
        <w:t>Applicant's</w:t>
      </w:r>
      <w:r>
        <w:t xml:space="preserve"> code name and the relevant </w:t>
      </w:r>
      <w:r w:rsidR="00C530AA">
        <w:t>PSQ</w:t>
      </w:r>
      <w:r>
        <w:t xml:space="preserve"> requirement, for example:</w:t>
      </w:r>
    </w:p>
    <w:p w14:paraId="78DDF958" w14:textId="77777777" w:rsidR="00C530AA" w:rsidRDefault="00F26284" w:rsidP="00E11CF7">
      <w:pPr>
        <w:pStyle w:val="AltH3Ashurst"/>
        <w:numPr>
          <w:ilvl w:val="0"/>
          <w:numId w:val="0"/>
        </w:numPr>
        <w:ind w:left="1406"/>
      </w:pPr>
      <w:r w:rsidRPr="001C6C48">
        <w:t xml:space="preserve">"[Applicant] – </w:t>
      </w:r>
      <w:proofErr w:type="gramStart"/>
      <w:r w:rsidRPr="001C6C48">
        <w:t xml:space="preserve">[ </w:t>
      </w:r>
      <w:r w:rsidR="00E11CF7" w:rsidRPr="001C6C48">
        <w:t>]</w:t>
      </w:r>
      <w:proofErr w:type="gramEnd"/>
      <w:r w:rsidR="00E11CF7" w:rsidRPr="001C6C48">
        <w:t>"</w:t>
      </w:r>
    </w:p>
    <w:p w14:paraId="626D3668" w14:textId="70692297" w:rsidR="00E11CF7" w:rsidRDefault="00F26284" w:rsidP="00E11CF7">
      <w:pPr>
        <w:pStyle w:val="AltH2Ashurst"/>
      </w:pPr>
      <w:r>
        <w:t>Notes regarding file uploads</w:t>
      </w:r>
    </w:p>
    <w:p w14:paraId="6AC92E5D" w14:textId="07A2321A" w:rsidR="00E11CF7" w:rsidRDefault="00F26284" w:rsidP="00E11CF7">
      <w:pPr>
        <w:pStyle w:val="AltH3Ashurst"/>
      </w:pPr>
      <w:r>
        <w:t xml:space="preserve">Applicants should regard 52MB as the maximum file size for any individual file.  Files less than 2MB will be displayed reasonably quickly but bigger file sizes will create a delay in displaying the evidence or supporting material.  We recommend that attachments be limited to 2MB, to the extent possible. </w:t>
      </w:r>
    </w:p>
    <w:p w14:paraId="59C405F5" w14:textId="3CFF9D77" w:rsidR="00E11CF7" w:rsidRDefault="00F26284" w:rsidP="00E11CF7">
      <w:pPr>
        <w:pStyle w:val="AltH2Ashurst"/>
      </w:pPr>
      <w:r>
        <w:t>Ensure the PSQ is complete</w:t>
      </w:r>
    </w:p>
    <w:p w14:paraId="19D9624F" w14:textId="73086F1C" w:rsidR="00E11CF7" w:rsidRDefault="00F26284" w:rsidP="00E11CF7">
      <w:pPr>
        <w:pStyle w:val="AltH3Ashurst"/>
      </w:pPr>
      <w:r>
        <w:t xml:space="preserve">All the files submitted by Applicants will be made visible to </w:t>
      </w:r>
      <w:r w:rsidR="0053020C">
        <w:t>GBE-N</w:t>
      </w:r>
      <w:r>
        <w:t xml:space="preserve">, so before submitting a PSQ, Applicants should check the entire response to ensure all files have been uploaded. </w:t>
      </w:r>
    </w:p>
    <w:p w14:paraId="439D2B25" w14:textId="16790781" w:rsidR="00E11CF7" w:rsidRDefault="00F26284" w:rsidP="00E11CF7">
      <w:pPr>
        <w:pStyle w:val="AltH3Ashurst"/>
      </w:pPr>
      <w:r>
        <w:t>Each Applicant is responsible for ensuring that its PSQ is complete and comprehensive in all respects and that all files upload prior to the relevant Closing Deadline.</w:t>
      </w:r>
    </w:p>
    <w:p w14:paraId="3E2CC5DB" w14:textId="12340630" w:rsidR="00E11CF7" w:rsidRDefault="00F26284" w:rsidP="00E11CF7">
      <w:pPr>
        <w:pStyle w:val="AltH2Ashurst"/>
      </w:pPr>
      <w:r>
        <w:t>Upload the PSQ</w:t>
      </w:r>
    </w:p>
    <w:p w14:paraId="755FAAF7" w14:textId="79B03FC0" w:rsidR="00E11CF7" w:rsidRDefault="00F26284" w:rsidP="00E11CF7">
      <w:pPr>
        <w:pStyle w:val="AltH3Ashurst"/>
      </w:pPr>
      <w:r>
        <w:t xml:space="preserve">Completed </w:t>
      </w:r>
      <w:r w:rsidR="00E71A16">
        <w:t>PSQ Response</w:t>
      </w:r>
      <w:r>
        <w:t xml:space="preserve">s should be submitted via Jaggaer by the relevant Closing Deadline. </w:t>
      </w:r>
      <w:r w:rsidR="0053020C">
        <w:t>GBE-N</w:t>
      </w:r>
      <w:r>
        <w:t xml:space="preserve"> reserves the right to reject </w:t>
      </w:r>
      <w:r w:rsidR="00E71A16">
        <w:t>PSQ Response</w:t>
      </w:r>
      <w:r>
        <w:t xml:space="preserve">s received after the relevant Closing Deadline. Please note that each Closing Deadline is a precise date and time. </w:t>
      </w:r>
    </w:p>
    <w:p w14:paraId="722EBD77" w14:textId="09B02F57" w:rsidR="00E11CF7" w:rsidRDefault="0053020C" w:rsidP="00E11CF7">
      <w:pPr>
        <w:pStyle w:val="AltH3Ashurst"/>
      </w:pPr>
      <w:r>
        <w:t>GBE-N</w:t>
      </w:r>
      <w:r w:rsidR="00F26284">
        <w:t xml:space="preserve"> will not consider </w:t>
      </w:r>
      <w:r w:rsidR="00E71A16">
        <w:t>PSQ Response</w:t>
      </w:r>
      <w:r w:rsidR="00F26284">
        <w:t xml:space="preserve">s uploaded or submitted by any other means than via Jaggaer unless otherwise stated in writing by </w:t>
      </w:r>
      <w:r>
        <w:t>GBE-N</w:t>
      </w:r>
      <w:r w:rsidR="00F26284">
        <w:t>.</w:t>
      </w:r>
    </w:p>
    <w:p w14:paraId="52FBE6B4" w14:textId="77777777" w:rsidR="00E11CF7" w:rsidRDefault="00F26284" w:rsidP="00E11CF7">
      <w:pPr>
        <w:pStyle w:val="AltH3Ashurst"/>
      </w:pPr>
      <w:r>
        <w:t>Applicants are strongly advised to follow the guidance found on Jaggaer.</w:t>
      </w:r>
    </w:p>
    <w:p w14:paraId="5981D27B" w14:textId="493033FF" w:rsidR="00E11CF7" w:rsidRDefault="00F26284" w:rsidP="00E11CF7">
      <w:pPr>
        <w:pStyle w:val="AltH2Ashurst"/>
      </w:pPr>
      <w:r>
        <w:t>Check that the upload was successful</w:t>
      </w:r>
    </w:p>
    <w:p w14:paraId="798C93DB" w14:textId="7F42BF91" w:rsidR="00E11CF7" w:rsidRDefault="00F26284" w:rsidP="00E11CF7">
      <w:pPr>
        <w:pStyle w:val="AltH3Ashurst"/>
      </w:pPr>
      <w:r>
        <w:t xml:space="preserve">After submitting a </w:t>
      </w:r>
      <w:r w:rsidR="00CA14C9">
        <w:t>PSQ</w:t>
      </w:r>
      <w:r>
        <w:t xml:space="preserve"> Submission (including any saved uploads), </w:t>
      </w:r>
      <w:r w:rsidR="00CA14C9">
        <w:t>Applicant</w:t>
      </w:r>
      <w:r>
        <w:t xml:space="preserve">s must remember to publish the </w:t>
      </w:r>
      <w:r w:rsidR="00CA14C9">
        <w:t>PSQ</w:t>
      </w:r>
      <w:r>
        <w:t xml:space="preserve"> Submission. Jaggaer will inform </w:t>
      </w:r>
      <w:r w:rsidR="00CA14C9">
        <w:t>Applicant</w:t>
      </w:r>
      <w:r>
        <w:t xml:space="preserve">s of any late clarifications being issued after they publish their </w:t>
      </w:r>
      <w:r w:rsidR="00CA14C9">
        <w:t>PSQ</w:t>
      </w:r>
      <w:r>
        <w:t xml:space="preserve"> Submission.</w:t>
      </w:r>
    </w:p>
    <w:p w14:paraId="21112DFA" w14:textId="4F43AFF9" w:rsidR="00E11CF7" w:rsidRDefault="00F26284" w:rsidP="00E11CF7">
      <w:pPr>
        <w:pStyle w:val="AltH3Ashurst"/>
      </w:pPr>
      <w:r>
        <w:t xml:space="preserve">Importantly, should any late clarification occur, </w:t>
      </w:r>
      <w:r w:rsidR="00CA14C9">
        <w:t>Applicant</w:t>
      </w:r>
      <w:r>
        <w:t xml:space="preserve">s may need to re-publish their </w:t>
      </w:r>
      <w:r w:rsidR="00CA14C9">
        <w:t>PSQ</w:t>
      </w:r>
      <w:r>
        <w:t xml:space="preserve"> Submission to signify that they have read, understood and accepted the changes.</w:t>
      </w:r>
    </w:p>
    <w:p w14:paraId="2B1D8C24" w14:textId="051F0BEA" w:rsidR="00E11CF7" w:rsidRDefault="00F26284" w:rsidP="00E11CF7">
      <w:pPr>
        <w:pStyle w:val="AltH3Ashurst"/>
      </w:pPr>
      <w:r>
        <w:t>Once a</w:t>
      </w:r>
      <w:r w:rsidR="00AB1C96">
        <w:t>n</w:t>
      </w:r>
      <w:r>
        <w:t xml:space="preserve"> </w:t>
      </w:r>
      <w:r w:rsidR="00CA14C9">
        <w:t>Applicant</w:t>
      </w:r>
      <w:r>
        <w:t xml:space="preserve"> has published their </w:t>
      </w:r>
      <w:r w:rsidR="00CA14C9">
        <w:t>PSQ</w:t>
      </w:r>
      <w:r>
        <w:t xml:space="preserve"> Submission, Jaggaer will specify within the portal interface that the </w:t>
      </w:r>
      <w:r w:rsidR="00CA14C9">
        <w:t>PSQ</w:t>
      </w:r>
      <w:r>
        <w:t xml:space="preserve"> Submission has been successful.  </w:t>
      </w:r>
      <w:r w:rsidR="00CA14C9">
        <w:t>Applicant</w:t>
      </w:r>
      <w:r>
        <w:t>s will also be able to see the "status" of their submission under the "Monitor" tab within Jaggaer. If a</w:t>
      </w:r>
      <w:r w:rsidR="00AB1C96">
        <w:t>n</w:t>
      </w:r>
      <w:r>
        <w:t xml:space="preserve"> </w:t>
      </w:r>
      <w:r w:rsidR="00CA14C9">
        <w:t>Applicant</w:t>
      </w:r>
      <w:r>
        <w:t xml:space="preserve"> is unable to see any indication on Jaggaer that the </w:t>
      </w:r>
      <w:r w:rsidR="00CA14C9">
        <w:t>PSQ</w:t>
      </w:r>
      <w:r>
        <w:t xml:space="preserve"> Submission has been submitted within one (1) hour of publishing, the </w:t>
      </w:r>
      <w:r w:rsidR="00CA14C9">
        <w:t>PSQ</w:t>
      </w:r>
      <w:r>
        <w:t xml:space="preserve"> Submission may not have been submitted </w:t>
      </w:r>
      <w:proofErr w:type="gramStart"/>
      <w:r>
        <w:t>correctly</w:t>
      </w:r>
      <w:proofErr w:type="gramEnd"/>
      <w:r>
        <w:t xml:space="preserve"> and the </w:t>
      </w:r>
      <w:r w:rsidR="00CA14C9">
        <w:t>Applicant</w:t>
      </w:r>
      <w:r>
        <w:t xml:space="preserve"> is strongly advised to contact the Jaggaer helpdesk immediately at customersupport@jaggaer.com.</w:t>
      </w:r>
    </w:p>
    <w:p w14:paraId="2795FD06" w14:textId="6E646176" w:rsidR="00E11CF7" w:rsidRDefault="00F26284" w:rsidP="00E11CF7">
      <w:pPr>
        <w:pStyle w:val="AltH3Ashurst"/>
      </w:pPr>
      <w:r>
        <w:t xml:space="preserve">Jaggaer will always inform </w:t>
      </w:r>
      <w:r w:rsidR="00CA14C9">
        <w:t>Applicant</w:t>
      </w:r>
      <w:r>
        <w:t xml:space="preserve">s when they have successfully published their </w:t>
      </w:r>
      <w:r w:rsidR="00CA14C9">
        <w:t>PSQ</w:t>
      </w:r>
      <w:r>
        <w:t xml:space="preserve"> Submission.</w:t>
      </w:r>
    </w:p>
    <w:p w14:paraId="7E511C29" w14:textId="7A95E8E1" w:rsidR="00E11CF7" w:rsidRDefault="00F26284" w:rsidP="00E11CF7">
      <w:pPr>
        <w:pStyle w:val="AltH2Ashurst"/>
      </w:pPr>
      <w:bookmarkStart w:id="137" w:name="_Ref201674834"/>
      <w:r>
        <w:t>Other general instructions for responding to the PSQ</w:t>
      </w:r>
      <w:bookmarkEnd w:id="137"/>
    </w:p>
    <w:p w14:paraId="78FE5516" w14:textId="16F54C4B" w:rsidR="00E11CF7" w:rsidRDefault="00F26284" w:rsidP="00E11CF7">
      <w:pPr>
        <w:pStyle w:val="AltH3Ashurst"/>
      </w:pPr>
      <w:r>
        <w:t>Applicants are required to submit data in the specific formats, covering the specified periods and in sufficient detail as required by the PSQ. Should the Applicant fail to provide the required information to a standard that satisfies the express requirements of the PSQ, the PSQ may be non-compliant based on the evaluation criteria.</w:t>
      </w:r>
    </w:p>
    <w:p w14:paraId="0C0FB999" w14:textId="0BEC5A48" w:rsidR="00E11CF7" w:rsidRDefault="0053020C" w:rsidP="00E11CF7">
      <w:pPr>
        <w:pStyle w:val="AltH3Ashurst"/>
      </w:pPr>
      <w:r>
        <w:t>GBE-N</w:t>
      </w:r>
      <w:r w:rsidR="00F26284">
        <w:t xml:space="preserve"> cannot be held responsible if it does not receive a </w:t>
      </w:r>
      <w:r w:rsidR="00604A9D">
        <w:t>PSQ</w:t>
      </w:r>
      <w:r w:rsidR="00F26284">
        <w:t xml:space="preserve"> by the relevant Closing Deadline.</w:t>
      </w:r>
    </w:p>
    <w:p w14:paraId="524FEBDC" w14:textId="4543185E" w:rsidR="00E11CF7" w:rsidRDefault="00F26284" w:rsidP="00E11CF7">
      <w:pPr>
        <w:pStyle w:val="AltH3Ashurst"/>
      </w:pPr>
      <w:bookmarkStart w:id="138" w:name="_Ref201674828"/>
      <w:r>
        <w:t xml:space="preserve">If </w:t>
      </w:r>
      <w:r w:rsidR="0053020C">
        <w:t>GBE-N</w:t>
      </w:r>
      <w:r>
        <w:t xml:space="preserve"> requires a</w:t>
      </w:r>
      <w:r w:rsidR="00604A9D">
        <w:t xml:space="preserve">n Applicant </w:t>
      </w:r>
      <w:r>
        <w:t>to clarify any of its responses to th</w:t>
      </w:r>
      <w:r w:rsidR="00604A9D">
        <w:t>e PSQ</w:t>
      </w:r>
      <w:r>
        <w:t xml:space="preserve"> for the purposes of carrying out its evaluation activities, it may (but is not obliged to) seek additional information or clarification from the relevant </w:t>
      </w:r>
      <w:r w:rsidR="00604A9D">
        <w:t>Applicant</w:t>
      </w:r>
      <w:r>
        <w:t xml:space="preserve"> in certain circumstances. However, </w:t>
      </w:r>
      <w:r w:rsidR="0053020C">
        <w:t>GBE-N</w:t>
      </w:r>
      <w:r>
        <w:t xml:space="preserve"> reserves the right not to take any further information received into account in the evaluation where to do so would be contrary to </w:t>
      </w:r>
      <w:r w:rsidR="0053020C">
        <w:t>GBE-N</w:t>
      </w:r>
      <w:r>
        <w:t>'s obligations under procurement law, including the overarching procurement objectives contained within section 12 of the P</w:t>
      </w:r>
      <w:r w:rsidR="00604A9D">
        <w:t xml:space="preserve">rocurement </w:t>
      </w:r>
      <w:r>
        <w:t>A</w:t>
      </w:r>
      <w:r w:rsidR="00604A9D">
        <w:t>ct</w:t>
      </w:r>
      <w:r>
        <w:t xml:space="preserve"> </w:t>
      </w:r>
      <w:r w:rsidR="00604A9D">
        <w:t>20</w:t>
      </w:r>
      <w:r>
        <w:t>23.</w:t>
      </w:r>
      <w:bookmarkEnd w:id="138"/>
    </w:p>
    <w:p w14:paraId="5F18497C" w14:textId="78569E55" w:rsidR="00E11CF7" w:rsidRDefault="00F26284" w:rsidP="00E11CF7">
      <w:pPr>
        <w:pStyle w:val="AltH3Ashurst"/>
      </w:pPr>
      <w:r>
        <w:t xml:space="preserve">If </w:t>
      </w:r>
      <w:r w:rsidR="0053020C">
        <w:t>GBE-N</w:t>
      </w:r>
      <w:r>
        <w:t xml:space="preserve"> requests additional information from the </w:t>
      </w:r>
      <w:r w:rsidR="00604A9D">
        <w:t>Applicant</w:t>
      </w:r>
      <w:r>
        <w:t xml:space="preserve"> in accordance with paragraph </w:t>
      </w:r>
      <w:r>
        <w:fldChar w:fldCharType="begin"/>
      </w:r>
      <w:r>
        <w:instrText xml:space="preserve"> REF _Ref201674834 \r \h </w:instrText>
      </w:r>
      <w:r>
        <w:fldChar w:fldCharType="separate"/>
      </w:r>
      <w:r w:rsidR="00BE366D">
        <w:rPr>
          <w:cs/>
        </w:rPr>
        <w:t>‎</w:t>
      </w:r>
      <w:r w:rsidR="00BE366D">
        <w:t>4.12</w:t>
      </w:r>
      <w:r>
        <w:fldChar w:fldCharType="end"/>
      </w:r>
      <w:r>
        <w:fldChar w:fldCharType="begin"/>
      </w:r>
      <w:r>
        <w:instrText xml:space="preserve"> REF _Ref201674828 \r \h </w:instrText>
      </w:r>
      <w:r>
        <w:rPr>
          <w:szCs w:val="20"/>
        </w:rPr>
        <w:fldChar w:fldCharType="separate"/>
      </w:r>
      <w:r w:rsidR="00BE366D">
        <w:rPr>
          <w:cs/>
        </w:rPr>
        <w:t>‎</w:t>
      </w:r>
      <w:r w:rsidR="00BE366D">
        <w:t>(c)</w:t>
      </w:r>
      <w:r>
        <w:fldChar w:fldCharType="end"/>
      </w:r>
      <w:r w:rsidRPr="3D83606E">
        <w:t xml:space="preserve"> above</w:t>
      </w:r>
      <w:r>
        <w:t xml:space="preserve">, the </w:t>
      </w:r>
      <w:r w:rsidR="00CA14C9">
        <w:t>Applicant</w:t>
      </w:r>
      <w:r>
        <w:t xml:space="preserve"> must provide a timely response via Jaggaer.</w:t>
      </w:r>
    </w:p>
    <w:p w14:paraId="75EEAAE7" w14:textId="249B26E0" w:rsidR="00604A9D" w:rsidRPr="00604A9D" w:rsidRDefault="00F26284" w:rsidP="00604A9D">
      <w:pPr>
        <w:pStyle w:val="AltH3Ashurst"/>
      </w:pPr>
      <w:bookmarkStart w:id="139" w:name="_Ref153995448"/>
      <w:r w:rsidRPr="00604A9D">
        <w:t xml:space="preserve">Deliberately misleading, false or fraudulent information will lead to the </w:t>
      </w:r>
      <w:r>
        <w:t>PSQ</w:t>
      </w:r>
      <w:r w:rsidRPr="00604A9D">
        <w:t xml:space="preserve"> being non-compliant and disqualification of the relevant </w:t>
      </w:r>
      <w:r>
        <w:t>Applicant</w:t>
      </w:r>
      <w:r w:rsidRPr="00604A9D">
        <w:t xml:space="preserve"> from this Procurement.</w:t>
      </w:r>
      <w:bookmarkEnd w:id="139"/>
    </w:p>
    <w:p w14:paraId="601F4EA9" w14:textId="6A545970" w:rsidR="00604A9D" w:rsidRPr="00604A9D" w:rsidRDefault="00F26284" w:rsidP="00604A9D">
      <w:pPr>
        <w:pStyle w:val="AltH3Ashurst"/>
      </w:pPr>
      <w:r>
        <w:t xml:space="preserve">Where accessible, checks may be made by </w:t>
      </w:r>
      <w:r w:rsidR="0053020C">
        <w:t>GBE-N</w:t>
      </w:r>
      <w:r>
        <w:t xml:space="preserve"> of the information submitted by the Applicant with reference to publicly available data.</w:t>
      </w:r>
    </w:p>
    <w:p w14:paraId="2C199538" w14:textId="6FC515B1" w:rsidR="00604A9D" w:rsidRPr="00604A9D" w:rsidRDefault="00F26284" w:rsidP="00604A9D">
      <w:pPr>
        <w:pStyle w:val="AltH3Ashurst"/>
      </w:pPr>
      <w:r>
        <w:t>PSQs</w:t>
      </w:r>
      <w:r w:rsidRPr="00604A9D">
        <w:t xml:space="preserve"> must be in English.  However, where original documents provided as supporting information which are not created for the </w:t>
      </w:r>
      <w:r>
        <w:t>PSQ</w:t>
      </w:r>
      <w:r w:rsidRPr="00604A9D">
        <w:t xml:space="preserve"> (e.g. company financial reports) are not in English, the original document should be provided as well as a certified translation. This means that: </w:t>
      </w:r>
    </w:p>
    <w:p w14:paraId="6C7E476E" w14:textId="77777777" w:rsidR="00604A9D" w:rsidRPr="00604A9D" w:rsidRDefault="00F26284" w:rsidP="00604A9D">
      <w:pPr>
        <w:pStyle w:val="AltH4Ashurst"/>
        <w:rPr>
          <w:sz w:val="20"/>
          <w:szCs w:val="20"/>
        </w:rPr>
      </w:pPr>
      <w:r w:rsidRPr="00604A9D">
        <w:rPr>
          <w:sz w:val="20"/>
          <w:szCs w:val="20"/>
        </w:rPr>
        <w:t xml:space="preserve">the translation has been prepared by a member of a professional translation body, such as the </w:t>
      </w:r>
      <w:bookmarkStart w:id="140" w:name="_9kR3WTr26648BL8do8wvwjOTAH89MN846ecBAIL"/>
      <w:r w:rsidRPr="00604A9D">
        <w:rPr>
          <w:sz w:val="20"/>
          <w:szCs w:val="20"/>
        </w:rPr>
        <w:t>Chartered Institute of Linguists</w:t>
      </w:r>
      <w:bookmarkEnd w:id="140"/>
      <w:r w:rsidRPr="00604A9D">
        <w:rPr>
          <w:sz w:val="20"/>
          <w:szCs w:val="20"/>
        </w:rPr>
        <w:t xml:space="preserve">, the </w:t>
      </w:r>
      <w:bookmarkStart w:id="141" w:name="_9kR3WTr2664BERK18z0DEzvxdkyvEDw5EAG348e"/>
      <w:r w:rsidRPr="00604A9D">
        <w:rPr>
          <w:sz w:val="20"/>
          <w:szCs w:val="20"/>
        </w:rPr>
        <w:t>Institute of Translation and Interpreting</w:t>
      </w:r>
      <w:bookmarkEnd w:id="141"/>
      <w:r w:rsidRPr="00604A9D">
        <w:rPr>
          <w:sz w:val="20"/>
          <w:szCs w:val="20"/>
        </w:rPr>
        <w:t xml:space="preserve">, or the </w:t>
      </w:r>
      <w:bookmarkStart w:id="142" w:name="_9kR3WTr26649AHH63ojiu3z56zfm0xGFy7GCIhd"/>
      <w:r w:rsidRPr="00604A9D">
        <w:rPr>
          <w:sz w:val="20"/>
          <w:szCs w:val="20"/>
        </w:rPr>
        <w:t>Association of Translation Companies</w:t>
      </w:r>
      <w:bookmarkEnd w:id="142"/>
      <w:r w:rsidRPr="00604A9D">
        <w:rPr>
          <w:sz w:val="20"/>
          <w:szCs w:val="20"/>
        </w:rPr>
        <w:t>; and</w:t>
      </w:r>
    </w:p>
    <w:p w14:paraId="438728BE" w14:textId="77777777" w:rsidR="00604A9D" w:rsidRPr="00604A9D" w:rsidRDefault="00F26284" w:rsidP="00604A9D">
      <w:pPr>
        <w:pStyle w:val="AltH4Ashurst"/>
        <w:rPr>
          <w:sz w:val="20"/>
          <w:szCs w:val="20"/>
        </w:rPr>
      </w:pPr>
      <w:r w:rsidRPr="00604A9D">
        <w:rPr>
          <w:sz w:val="20"/>
          <w:szCs w:val="20"/>
        </w:rPr>
        <w:t>the translator must confirm in writing on the translation:</w:t>
      </w:r>
    </w:p>
    <w:p w14:paraId="3332DC83" w14:textId="77777777" w:rsidR="00604A9D" w:rsidRPr="00604A9D" w:rsidRDefault="00F26284" w:rsidP="00604A9D">
      <w:pPr>
        <w:pStyle w:val="AltH5Ashurst"/>
        <w:rPr>
          <w:sz w:val="20"/>
          <w:szCs w:val="20"/>
        </w:rPr>
      </w:pPr>
      <w:r w:rsidRPr="00604A9D">
        <w:rPr>
          <w:sz w:val="20"/>
          <w:szCs w:val="20"/>
        </w:rPr>
        <w:t xml:space="preserve">that it is a true and accurate translation of the original </w:t>
      </w:r>
      <w:proofErr w:type="gramStart"/>
      <w:r w:rsidRPr="00604A9D">
        <w:rPr>
          <w:sz w:val="20"/>
          <w:szCs w:val="20"/>
        </w:rPr>
        <w:t>document;</w:t>
      </w:r>
      <w:proofErr w:type="gramEnd"/>
    </w:p>
    <w:p w14:paraId="41425F1D" w14:textId="77777777" w:rsidR="00604A9D" w:rsidRPr="00604A9D" w:rsidRDefault="00F26284" w:rsidP="00604A9D">
      <w:pPr>
        <w:pStyle w:val="AltH5Ashurst"/>
        <w:rPr>
          <w:sz w:val="20"/>
          <w:szCs w:val="20"/>
        </w:rPr>
      </w:pPr>
      <w:r w:rsidRPr="00604A9D">
        <w:rPr>
          <w:sz w:val="20"/>
          <w:szCs w:val="20"/>
        </w:rPr>
        <w:t>the date of the translation; and</w:t>
      </w:r>
    </w:p>
    <w:p w14:paraId="2A47A6FD" w14:textId="77777777" w:rsidR="00604A9D" w:rsidRPr="00604A9D" w:rsidRDefault="00F26284" w:rsidP="00604A9D">
      <w:pPr>
        <w:pStyle w:val="AltH5Ashurst"/>
        <w:rPr>
          <w:sz w:val="20"/>
          <w:szCs w:val="20"/>
        </w:rPr>
      </w:pPr>
      <w:r w:rsidRPr="00604A9D">
        <w:rPr>
          <w:sz w:val="20"/>
          <w:szCs w:val="20"/>
        </w:rPr>
        <w:t>their full name, contact details and details of their professional accreditation.</w:t>
      </w:r>
    </w:p>
    <w:p w14:paraId="6D93BAC7" w14:textId="2DC84DD4" w:rsidR="00E11CF7" w:rsidRDefault="00F26284" w:rsidP="00604A9D">
      <w:pPr>
        <w:pStyle w:val="AltH3Ashurst"/>
        <w:numPr>
          <w:ilvl w:val="0"/>
          <w:numId w:val="0"/>
        </w:numPr>
        <w:ind w:left="1406"/>
      </w:pPr>
      <w:r w:rsidRPr="00604A9D">
        <w:t>In this regard, only the English version will count towards any page or word counts set out in th</w:t>
      </w:r>
      <w:r>
        <w:t>e PSQ</w:t>
      </w:r>
      <w:r w:rsidRPr="00604A9D">
        <w:t>.</w:t>
      </w:r>
    </w:p>
    <w:p w14:paraId="496CD19D" w14:textId="64FC891E" w:rsidR="00A23DAF" w:rsidRPr="00463B74" w:rsidRDefault="00A23DAF" w:rsidP="00463B74">
      <w:pPr>
        <w:pStyle w:val="AltH1Ashurst"/>
        <w:numPr>
          <w:ilvl w:val="0"/>
          <w:numId w:val="0"/>
        </w:numPr>
        <w:ind w:left="782" w:hanging="782"/>
        <w:rPr>
          <w:b/>
          <w:bCs/>
        </w:rPr>
      </w:pPr>
    </w:p>
    <w:p w14:paraId="66B7455E" w14:textId="77777777" w:rsidR="00E11CF7" w:rsidRDefault="00E11CF7" w:rsidP="00E11CF7">
      <w:pPr>
        <w:pStyle w:val="StandardAshurst"/>
        <w:rPr>
          <w:sz w:val="20"/>
        </w:rPr>
      </w:pPr>
    </w:p>
    <w:p w14:paraId="10E6991D" w14:textId="7146D794" w:rsidR="00E11CF7" w:rsidRPr="00E11CF7" w:rsidRDefault="00E11CF7" w:rsidP="00E11CF7">
      <w:pPr>
        <w:pStyle w:val="StandardAshurst"/>
        <w:sectPr w:rsidR="00E11CF7" w:rsidRPr="00E11CF7" w:rsidSect="007A5500">
          <w:pgSz w:w="11907" w:h="16840" w:code="9"/>
          <w:pgMar w:top="1440" w:right="1440" w:bottom="1440" w:left="1440" w:header="510" w:footer="340" w:gutter="0"/>
          <w:cols w:space="720"/>
          <w:docGrid w:linePitch="272"/>
        </w:sectPr>
      </w:pPr>
    </w:p>
    <w:p w14:paraId="130AD213" w14:textId="1FCF334A" w:rsidR="00EE5B81" w:rsidRPr="00E74825" w:rsidRDefault="00F26284" w:rsidP="00E74825">
      <w:pPr>
        <w:pStyle w:val="NormalAshurst"/>
        <w:rPr>
          <w:rFonts w:cstheme="minorHAnsi"/>
          <w:b/>
          <w:sz w:val="24"/>
        </w:rPr>
      </w:pPr>
      <w:r w:rsidRPr="00E74825">
        <w:rPr>
          <w:rFonts w:cstheme="minorHAnsi"/>
          <w:b/>
          <w:sz w:val="24"/>
        </w:rPr>
        <w:t>I</w:t>
      </w:r>
      <w:r w:rsidR="00CF7853" w:rsidRPr="00E74825">
        <w:rPr>
          <w:rFonts w:cstheme="minorHAnsi"/>
          <w:b/>
          <w:sz w:val="24"/>
        </w:rPr>
        <w:t xml:space="preserve">. </w:t>
      </w:r>
      <w:r w:rsidR="02372770" w:rsidRPr="00E74825">
        <w:rPr>
          <w:rFonts w:cstheme="minorHAnsi"/>
          <w:b/>
          <w:sz w:val="24"/>
        </w:rPr>
        <w:t>Exclusion Grounds: Public Procurement</w:t>
      </w:r>
    </w:p>
    <w:p w14:paraId="5B3F0202" w14:textId="5BCDB573" w:rsidR="00EE5B81" w:rsidRPr="004B6A89" w:rsidRDefault="00F26284" w:rsidP="000B51B2">
      <w:pPr>
        <w:pStyle w:val="H1Ashurst"/>
        <w:numPr>
          <w:ilvl w:val="0"/>
          <w:numId w:val="51"/>
        </w:numPr>
        <w:rPr>
          <w:sz w:val="20"/>
          <w:szCs w:val="20"/>
        </w:rPr>
      </w:pPr>
      <w:bookmarkStart w:id="143" w:name="_Toc190707080"/>
      <w:bookmarkStart w:id="144" w:name="_Toc190707129"/>
      <w:bookmarkStart w:id="145" w:name="_Toc190707179"/>
      <w:r w:rsidRPr="004B6A89">
        <w:rPr>
          <w:sz w:val="20"/>
          <w:szCs w:val="20"/>
        </w:rPr>
        <w:t>Mandatory Exclusion Grounds</w:t>
      </w:r>
      <w:bookmarkEnd w:id="143"/>
      <w:bookmarkEnd w:id="144"/>
      <w:bookmarkEnd w:id="145"/>
    </w:p>
    <w:p w14:paraId="5B6AF8F3" w14:textId="7407165E" w:rsidR="00EE5B81" w:rsidRPr="004B6A89" w:rsidRDefault="00F26284" w:rsidP="009D2904">
      <w:pPr>
        <w:spacing w:after="120" w:line="276" w:lineRule="auto"/>
        <w:jc w:val="both"/>
        <w:rPr>
          <w:rFonts w:eastAsia="Arial" w:cstheme="minorHAnsi"/>
          <w:szCs w:val="20"/>
        </w:rPr>
      </w:pPr>
      <w:r w:rsidRPr="004B6A89">
        <w:rPr>
          <w:rFonts w:eastAsia="Arial" w:cstheme="minorHAnsi"/>
          <w:szCs w:val="20"/>
        </w:rPr>
        <w:t xml:space="preserve">Listed in </w:t>
      </w:r>
      <w:r w:rsidR="007212D3" w:rsidRPr="004B6A89">
        <w:rPr>
          <w:rFonts w:eastAsia="Arial" w:cstheme="minorHAnsi"/>
          <w:szCs w:val="20"/>
        </w:rPr>
        <w:t>Procurement Act 2023, Schedule 6.</w:t>
      </w:r>
      <w:r w:rsidR="00F957FA" w:rsidRPr="004B6A89">
        <w:rPr>
          <w:rFonts w:eastAsia="Arial" w:cstheme="minorHAnsi"/>
          <w:szCs w:val="20"/>
        </w:rPr>
        <w:t xml:space="preserve"> See the Schedule for full text and definitions.</w:t>
      </w:r>
    </w:p>
    <w:p w14:paraId="64DFC360" w14:textId="55C50293" w:rsidR="00643D16" w:rsidRPr="004B6A89" w:rsidRDefault="00F26284" w:rsidP="00F957FA">
      <w:pPr>
        <w:pStyle w:val="H2Ashurst"/>
        <w:rPr>
          <w:b/>
          <w:bCs/>
          <w:sz w:val="20"/>
          <w:szCs w:val="20"/>
        </w:rPr>
      </w:pPr>
      <w:r w:rsidRPr="004B6A89">
        <w:rPr>
          <w:b/>
          <w:bCs/>
          <w:sz w:val="20"/>
          <w:szCs w:val="20"/>
        </w:rPr>
        <w:t>Corporate manslaughter or corporate homicide</w:t>
      </w:r>
    </w:p>
    <w:p w14:paraId="381CAA7A" w14:textId="3F9E10D4" w:rsidR="00643D16" w:rsidRPr="004B6A89" w:rsidRDefault="00F26284" w:rsidP="00214722">
      <w:pPr>
        <w:spacing w:after="120" w:line="276" w:lineRule="auto"/>
        <w:jc w:val="both"/>
        <w:rPr>
          <w:rFonts w:eastAsia="Arial" w:cstheme="minorHAnsi"/>
          <w:szCs w:val="20"/>
        </w:rPr>
      </w:pPr>
      <w:r w:rsidRPr="004B6A89">
        <w:rPr>
          <w:rFonts w:eastAsia="Arial" w:cstheme="minorHAnsi"/>
          <w:szCs w:val="20"/>
        </w:rPr>
        <w:t>An offence under section 1 of the Corporate Manslaughter and Corporate Homicide Act 2007 (corporate manslaughter or corporate homicide).</w:t>
      </w:r>
    </w:p>
    <w:p w14:paraId="2EC4791A" w14:textId="7417F26D" w:rsidR="00214722" w:rsidRPr="004B6A89" w:rsidRDefault="00F26284" w:rsidP="00F957FA">
      <w:pPr>
        <w:pStyle w:val="H2Ashurst"/>
        <w:rPr>
          <w:b/>
          <w:bCs/>
          <w:sz w:val="20"/>
          <w:szCs w:val="21"/>
        </w:rPr>
      </w:pPr>
      <w:r w:rsidRPr="004B6A89">
        <w:rPr>
          <w:b/>
          <w:bCs/>
          <w:sz w:val="20"/>
          <w:szCs w:val="21"/>
        </w:rPr>
        <w:t>Terrorism</w:t>
      </w:r>
    </w:p>
    <w:p w14:paraId="300B42B0" w14:textId="2896A184" w:rsidR="00214722" w:rsidRPr="004B6A89" w:rsidRDefault="00F26284" w:rsidP="00214722">
      <w:pPr>
        <w:spacing w:after="120" w:line="276" w:lineRule="auto"/>
        <w:jc w:val="both"/>
        <w:rPr>
          <w:rFonts w:eastAsia="Arial" w:cstheme="minorHAnsi"/>
          <w:szCs w:val="20"/>
        </w:rPr>
      </w:pPr>
      <w:r w:rsidRPr="004B6A89">
        <w:rPr>
          <w:rFonts w:eastAsia="Arial" w:cstheme="minorHAnsi"/>
          <w:szCs w:val="20"/>
        </w:rPr>
        <w:t>An offence listed in section 41 or 42 of the Counter-Terrorism Act 2008 (terrorism offences, and offences having a terrorist connection, in respect of which the notification requirements under Part 4 of that Act apply), other than an offence under section 54 of that Act.</w:t>
      </w:r>
    </w:p>
    <w:p w14:paraId="369D2C9E" w14:textId="77777777" w:rsidR="00214722" w:rsidRPr="004B6A89" w:rsidRDefault="00F26284" w:rsidP="00F957FA">
      <w:pPr>
        <w:pStyle w:val="H2Ashurst"/>
        <w:rPr>
          <w:b/>
          <w:bCs/>
          <w:sz w:val="20"/>
          <w:szCs w:val="21"/>
          <w:lang w:val="en-IE"/>
        </w:rPr>
      </w:pPr>
      <w:r w:rsidRPr="004B6A89">
        <w:rPr>
          <w:b/>
          <w:bCs/>
          <w:sz w:val="20"/>
          <w:szCs w:val="21"/>
          <w:lang w:val="en-IE"/>
        </w:rPr>
        <w:t>Theft, fraud, bribery etc</w:t>
      </w:r>
    </w:p>
    <w:p w14:paraId="0B31E079" w14:textId="6E3D5263" w:rsidR="00214722" w:rsidRDefault="00F26284" w:rsidP="00214722">
      <w:pPr>
        <w:spacing w:after="120" w:line="276" w:lineRule="auto"/>
        <w:jc w:val="both"/>
        <w:rPr>
          <w:rFonts w:eastAsia="Arial" w:cstheme="minorHAnsi"/>
          <w:szCs w:val="20"/>
          <w:lang w:val="en-IE"/>
        </w:rPr>
      </w:pPr>
      <w:r>
        <w:rPr>
          <w:rFonts w:ascii="Arial" w:hAnsi="Arial" w:cs="Arial"/>
          <w:color w:val="1E1E1E"/>
          <w:shd w:val="clear" w:color="auto" w:fill="FAFAFA"/>
        </w:rPr>
        <w:t>An offence at common law of conspiracy to defraud.</w:t>
      </w:r>
      <w:r>
        <w:rPr>
          <w:rFonts w:eastAsia="Arial" w:cstheme="minorHAnsi"/>
          <w:szCs w:val="20"/>
          <w:lang w:val="en-IE"/>
        </w:rPr>
        <w:t xml:space="preserve"> </w:t>
      </w:r>
    </w:p>
    <w:p w14:paraId="34EC8B70" w14:textId="1DE766B3" w:rsidR="00214722" w:rsidRPr="00214722" w:rsidRDefault="00F26284" w:rsidP="00214722">
      <w:pPr>
        <w:spacing w:after="120" w:line="276" w:lineRule="auto"/>
        <w:jc w:val="both"/>
        <w:rPr>
          <w:rFonts w:ascii="Arial" w:hAnsi="Arial" w:cs="Arial"/>
        </w:rPr>
      </w:pPr>
      <w:r w:rsidRPr="00214722">
        <w:rPr>
          <w:rFonts w:eastAsia="Arial" w:cstheme="minorHAnsi"/>
          <w:szCs w:val="20"/>
          <w:lang w:val="en-IE"/>
        </w:rPr>
        <w:t>An offence under any of the following sections of the Theft Act 1968—</w:t>
      </w:r>
    </w:p>
    <w:p w14:paraId="71AE25B8" w14:textId="77777777" w:rsidR="00214722" w:rsidRPr="00214722" w:rsidRDefault="00F26284" w:rsidP="00214722">
      <w:pPr>
        <w:spacing w:after="120" w:line="276" w:lineRule="auto"/>
        <w:ind w:left="567"/>
        <w:jc w:val="both"/>
        <w:rPr>
          <w:rFonts w:eastAsia="Arial" w:cstheme="minorHAnsi"/>
          <w:szCs w:val="20"/>
          <w:lang w:val="en-IE"/>
        </w:rPr>
      </w:pPr>
      <w:r w:rsidRPr="00214722">
        <w:rPr>
          <w:rFonts w:eastAsia="Arial" w:cstheme="minorHAnsi"/>
          <w:szCs w:val="20"/>
          <w:lang w:val="en-IE"/>
        </w:rPr>
        <w:t>(a)sections 1 to 13 (theft, robbery, burglary, etc</w:t>
      </w:r>
      <w:proofErr w:type="gramStart"/>
      <w:r w:rsidRPr="00214722">
        <w:rPr>
          <w:rFonts w:eastAsia="Arial" w:cstheme="minorHAnsi"/>
          <w:szCs w:val="20"/>
          <w:lang w:val="en-IE"/>
        </w:rPr>
        <w:t>);</w:t>
      </w:r>
      <w:proofErr w:type="gramEnd"/>
    </w:p>
    <w:p w14:paraId="40EA0279" w14:textId="77777777" w:rsidR="00214722" w:rsidRPr="00214722" w:rsidRDefault="00F26284" w:rsidP="00214722">
      <w:pPr>
        <w:spacing w:after="120" w:line="276" w:lineRule="auto"/>
        <w:ind w:left="567"/>
        <w:jc w:val="both"/>
        <w:rPr>
          <w:rFonts w:eastAsia="Arial" w:cstheme="minorHAnsi"/>
          <w:szCs w:val="20"/>
          <w:lang w:val="en-IE"/>
        </w:rPr>
      </w:pPr>
      <w:r w:rsidRPr="00214722">
        <w:rPr>
          <w:rFonts w:eastAsia="Arial" w:cstheme="minorHAnsi"/>
          <w:szCs w:val="20"/>
          <w:lang w:val="en-IE"/>
        </w:rPr>
        <w:t>(b)sections 17 to 21 (fraud and blackmail</w:t>
      </w:r>
      <w:proofErr w:type="gramStart"/>
      <w:r w:rsidRPr="00214722">
        <w:rPr>
          <w:rFonts w:eastAsia="Arial" w:cstheme="minorHAnsi"/>
          <w:szCs w:val="20"/>
          <w:lang w:val="en-IE"/>
        </w:rPr>
        <w:t>);</w:t>
      </w:r>
      <w:proofErr w:type="gramEnd"/>
    </w:p>
    <w:p w14:paraId="6C6DB4E5" w14:textId="77777777" w:rsidR="00214722" w:rsidRPr="00214722" w:rsidRDefault="00F26284" w:rsidP="00214722">
      <w:pPr>
        <w:spacing w:after="120" w:line="276" w:lineRule="auto"/>
        <w:ind w:left="567"/>
        <w:jc w:val="both"/>
        <w:rPr>
          <w:rFonts w:eastAsia="Arial" w:cstheme="minorHAnsi"/>
          <w:szCs w:val="20"/>
          <w:lang w:val="en-IE"/>
        </w:rPr>
      </w:pPr>
      <w:r w:rsidRPr="00214722">
        <w:rPr>
          <w:rFonts w:eastAsia="Arial" w:cstheme="minorHAnsi"/>
          <w:szCs w:val="20"/>
          <w:lang w:val="en-IE"/>
        </w:rPr>
        <w:t>(c)sections 22 and 23 (offences relating to stolen goods</w:t>
      </w:r>
      <w:proofErr w:type="gramStart"/>
      <w:r w:rsidRPr="00214722">
        <w:rPr>
          <w:rFonts w:eastAsia="Arial" w:cstheme="minorHAnsi"/>
          <w:szCs w:val="20"/>
          <w:lang w:val="en-IE"/>
        </w:rPr>
        <w:t>);</w:t>
      </w:r>
      <w:proofErr w:type="gramEnd"/>
    </w:p>
    <w:p w14:paraId="47C1A655" w14:textId="77777777" w:rsidR="00214722" w:rsidRPr="00214722" w:rsidRDefault="00F26284" w:rsidP="00214722">
      <w:pPr>
        <w:spacing w:after="120" w:line="276" w:lineRule="auto"/>
        <w:ind w:left="567"/>
        <w:jc w:val="both"/>
        <w:rPr>
          <w:rFonts w:eastAsia="Arial" w:cstheme="minorHAnsi"/>
          <w:szCs w:val="20"/>
          <w:lang w:val="en-IE"/>
        </w:rPr>
      </w:pPr>
      <w:r w:rsidRPr="00214722">
        <w:rPr>
          <w:rFonts w:eastAsia="Arial" w:cstheme="minorHAnsi"/>
          <w:szCs w:val="20"/>
          <w:lang w:val="en-IE"/>
        </w:rPr>
        <w:t>(d)section 24A (dishonestly retaining a wrongful credit</w:t>
      </w:r>
      <w:proofErr w:type="gramStart"/>
      <w:r w:rsidRPr="00214722">
        <w:rPr>
          <w:rFonts w:eastAsia="Arial" w:cstheme="minorHAnsi"/>
          <w:szCs w:val="20"/>
          <w:lang w:val="en-IE"/>
        </w:rPr>
        <w:t>);</w:t>
      </w:r>
      <w:proofErr w:type="gramEnd"/>
    </w:p>
    <w:p w14:paraId="64BD3F5F" w14:textId="77777777" w:rsidR="00214722" w:rsidRDefault="00F26284" w:rsidP="00214722">
      <w:pPr>
        <w:spacing w:after="120" w:line="276" w:lineRule="auto"/>
        <w:ind w:left="567"/>
        <w:jc w:val="both"/>
        <w:rPr>
          <w:rFonts w:eastAsia="Arial" w:cstheme="minorHAnsi"/>
          <w:szCs w:val="20"/>
          <w:lang w:val="en-IE"/>
        </w:rPr>
      </w:pPr>
      <w:r w:rsidRPr="00214722">
        <w:rPr>
          <w:rFonts w:eastAsia="Arial" w:cstheme="minorHAnsi"/>
          <w:szCs w:val="20"/>
          <w:lang w:val="en-IE"/>
        </w:rPr>
        <w:t>(e)section 25 (going equipped for stealing etc).</w:t>
      </w:r>
    </w:p>
    <w:p w14:paraId="6B617019" w14:textId="13B6BEAA" w:rsidR="00214722" w:rsidRPr="00214722" w:rsidRDefault="00F26284" w:rsidP="00214722">
      <w:pPr>
        <w:spacing w:after="120" w:line="276" w:lineRule="auto"/>
        <w:jc w:val="both"/>
        <w:rPr>
          <w:rFonts w:eastAsia="Arial" w:cstheme="minorHAnsi"/>
          <w:szCs w:val="20"/>
          <w:lang w:val="en-IE"/>
        </w:rPr>
      </w:pPr>
      <w:r w:rsidRPr="00214722">
        <w:rPr>
          <w:rFonts w:eastAsia="Arial" w:cstheme="minorHAnsi"/>
          <w:szCs w:val="20"/>
        </w:rPr>
        <w:br/>
        <w:t>An offence under section 3 of the Theft Act 1978 (making off without payment).</w:t>
      </w:r>
    </w:p>
    <w:p w14:paraId="44E14189" w14:textId="77777777" w:rsidR="00214722" w:rsidRDefault="00F26284" w:rsidP="00214722">
      <w:pPr>
        <w:pStyle w:val="NormalAshurst"/>
        <w:spacing w:line="276" w:lineRule="auto"/>
        <w:rPr>
          <w:sz w:val="20"/>
          <w:szCs w:val="20"/>
          <w:shd w:val="clear" w:color="auto" w:fill="FAFAFA"/>
        </w:rPr>
      </w:pPr>
      <w:r w:rsidRPr="00214722">
        <w:rPr>
          <w:sz w:val="20"/>
          <w:szCs w:val="20"/>
          <w:shd w:val="clear" w:color="auto" w:fill="FAFAFA"/>
        </w:rPr>
        <w:t>An offence under section 113 of the Representation of the People Act 1983 (bribery of electors).</w:t>
      </w:r>
    </w:p>
    <w:p w14:paraId="6E0314C9" w14:textId="37A20C8F" w:rsidR="00214722" w:rsidRDefault="00F26284" w:rsidP="00214722">
      <w:pPr>
        <w:pStyle w:val="NormalAshurst"/>
        <w:spacing w:line="276" w:lineRule="auto"/>
        <w:rPr>
          <w:sz w:val="20"/>
          <w:szCs w:val="20"/>
          <w:shd w:val="clear" w:color="auto" w:fill="FAFAFA"/>
        </w:rPr>
      </w:pPr>
      <w:r w:rsidRPr="00214722">
        <w:rPr>
          <w:sz w:val="20"/>
          <w:szCs w:val="20"/>
          <w:shd w:val="clear" w:color="auto" w:fill="FAFAFA"/>
        </w:rPr>
        <w:t>An offence under section 178 of the Road Traffic Act 1988 (taking motor vehicle without authority etc).</w:t>
      </w:r>
    </w:p>
    <w:p w14:paraId="3F2A4147" w14:textId="6F89346D" w:rsidR="00214722" w:rsidRDefault="00F26284" w:rsidP="00214722">
      <w:pPr>
        <w:pStyle w:val="NormalAshurst"/>
        <w:spacing w:line="276" w:lineRule="auto"/>
        <w:rPr>
          <w:sz w:val="20"/>
          <w:szCs w:val="20"/>
          <w:shd w:val="clear" w:color="auto" w:fill="FAFAFA"/>
        </w:rPr>
      </w:pPr>
      <w:r w:rsidRPr="00214722">
        <w:rPr>
          <w:sz w:val="20"/>
          <w:szCs w:val="20"/>
          <w:shd w:val="clear" w:color="auto" w:fill="FAFAFA"/>
        </w:rPr>
        <w:t>An offence under section 327, 328 or 329 of the Proceeds of Crime Act 2002 (money laundering offences)</w:t>
      </w:r>
      <w:r>
        <w:rPr>
          <w:sz w:val="20"/>
          <w:szCs w:val="20"/>
          <w:shd w:val="clear" w:color="auto" w:fill="FAFAFA"/>
        </w:rPr>
        <w:t>.</w:t>
      </w:r>
    </w:p>
    <w:p w14:paraId="778416C1" w14:textId="17A71600" w:rsidR="00214722" w:rsidRDefault="00F26284" w:rsidP="00214722">
      <w:pPr>
        <w:pStyle w:val="NormalAshurst"/>
        <w:spacing w:line="276" w:lineRule="auto"/>
        <w:rPr>
          <w:sz w:val="20"/>
          <w:szCs w:val="20"/>
          <w:shd w:val="clear" w:color="auto" w:fill="FAFAFA"/>
        </w:rPr>
      </w:pPr>
      <w:r w:rsidRPr="00214722">
        <w:rPr>
          <w:sz w:val="20"/>
          <w:szCs w:val="20"/>
          <w:shd w:val="clear" w:color="auto" w:fill="FAFAFA"/>
        </w:rPr>
        <w:t>An offence under section 2, 3, 4, 6 or 7 of the Fraud Act 2006 (fraud offences).</w:t>
      </w:r>
    </w:p>
    <w:p w14:paraId="2A82928F" w14:textId="2B2170CE" w:rsidR="00214722" w:rsidRDefault="00F26284" w:rsidP="00214722">
      <w:pPr>
        <w:pStyle w:val="NormalAshurst"/>
        <w:rPr>
          <w:sz w:val="20"/>
          <w:szCs w:val="20"/>
          <w:shd w:val="clear" w:color="auto" w:fill="FAFAFA"/>
        </w:rPr>
      </w:pPr>
      <w:r w:rsidRPr="00214722">
        <w:rPr>
          <w:sz w:val="20"/>
          <w:szCs w:val="20"/>
          <w:shd w:val="clear" w:color="auto" w:fill="FAFAFA"/>
        </w:rPr>
        <w:t>An offence under section 993 of the Companies Act 2006 (fraudulent trading).</w:t>
      </w:r>
    </w:p>
    <w:p w14:paraId="00441758" w14:textId="36287AD9" w:rsidR="00214722" w:rsidRDefault="00F26284" w:rsidP="001550A0">
      <w:pPr>
        <w:pStyle w:val="NormalAshurst"/>
        <w:rPr>
          <w:sz w:val="20"/>
          <w:szCs w:val="20"/>
          <w:shd w:val="clear" w:color="auto" w:fill="FAFAFA"/>
        </w:rPr>
      </w:pPr>
      <w:r w:rsidRPr="001550A0">
        <w:rPr>
          <w:sz w:val="20"/>
          <w:szCs w:val="20"/>
          <w:shd w:val="clear" w:color="auto" w:fill="FAFAFA"/>
        </w:rPr>
        <w:t>An offence under section 1, 2 or 6 of the Bribery Act 2010 (bribery offences).</w:t>
      </w:r>
    </w:p>
    <w:p w14:paraId="2DDDA6AE" w14:textId="77777777" w:rsidR="001550A0" w:rsidRPr="004B6A89" w:rsidRDefault="00F26284" w:rsidP="00F957FA">
      <w:pPr>
        <w:pStyle w:val="H2Ashurst"/>
        <w:rPr>
          <w:b/>
          <w:bCs/>
          <w:sz w:val="20"/>
          <w:szCs w:val="21"/>
          <w:shd w:val="clear" w:color="auto" w:fill="FAFAFA"/>
          <w:lang w:val="en-IE"/>
        </w:rPr>
      </w:pPr>
      <w:r w:rsidRPr="004B6A89">
        <w:rPr>
          <w:b/>
          <w:bCs/>
          <w:sz w:val="20"/>
          <w:szCs w:val="21"/>
          <w:shd w:val="clear" w:color="auto" w:fill="FAFAFA"/>
          <w:lang w:val="en-IE"/>
        </w:rPr>
        <w:t>Labour market, slavery and human trafficking offences</w:t>
      </w:r>
    </w:p>
    <w:p w14:paraId="2B503CDA" w14:textId="53E2B48C" w:rsidR="001550A0" w:rsidRPr="001550A0" w:rsidRDefault="00F26284" w:rsidP="001550A0">
      <w:pPr>
        <w:pStyle w:val="NormalAshurst"/>
        <w:rPr>
          <w:sz w:val="20"/>
          <w:szCs w:val="20"/>
          <w:shd w:val="clear" w:color="auto" w:fill="FAFAFA"/>
          <w:lang w:val="en-IE"/>
        </w:rPr>
      </w:pPr>
      <w:r w:rsidRPr="001550A0">
        <w:rPr>
          <w:sz w:val="20"/>
          <w:szCs w:val="20"/>
          <w:shd w:val="clear" w:color="auto" w:fill="FAFAFA"/>
          <w:lang w:val="en-IE"/>
        </w:rPr>
        <w:t>An offence under the Employment Agencies Act 1973 (offences relating to employment agencies) other than an offence under section 9(4)(b) of that Act.</w:t>
      </w:r>
    </w:p>
    <w:p w14:paraId="2289BE04" w14:textId="48D16BC2"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31(1) of the National Minimum Wage Act 1998 (refusal or wilful neglect to pay the national minimum wage).</w:t>
      </w:r>
    </w:p>
    <w:p w14:paraId="51E13BEA" w14:textId="57CA0723" w:rsidR="001550A0" w:rsidRDefault="00F26284" w:rsidP="001550A0">
      <w:pPr>
        <w:pStyle w:val="NormalAshurst"/>
        <w:rPr>
          <w:sz w:val="20"/>
          <w:szCs w:val="20"/>
          <w:shd w:val="clear" w:color="auto" w:fill="FAFAFA"/>
        </w:rPr>
      </w:pPr>
      <w:r w:rsidRPr="001550A0">
        <w:rPr>
          <w:sz w:val="20"/>
          <w:szCs w:val="20"/>
          <w:shd w:val="clear" w:color="auto" w:fill="FAFAFA"/>
        </w:rPr>
        <w:t>An offence under the Gangmasters (Licensing) Act 2004 (offences relating to gangmasters).</w:t>
      </w:r>
    </w:p>
    <w:p w14:paraId="5D416D01" w14:textId="2517192A"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1, 2, 4 or 30 of the Modern Slavery Act 2015 (slavery and human trafficking offences).</w:t>
      </w:r>
    </w:p>
    <w:p w14:paraId="42DA4B38" w14:textId="0C20A808"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27 of the Immigration Act 2016 (failure to comply with labour market enforcement order).</w:t>
      </w:r>
    </w:p>
    <w:p w14:paraId="0DEB9A36" w14:textId="465272B1" w:rsidR="001550A0" w:rsidRPr="00172597" w:rsidRDefault="00F26284" w:rsidP="00F957FA">
      <w:pPr>
        <w:pStyle w:val="H2Ashurst"/>
        <w:rPr>
          <w:b/>
          <w:bCs/>
          <w:sz w:val="20"/>
          <w:szCs w:val="21"/>
          <w:shd w:val="clear" w:color="auto" w:fill="FAFAFA"/>
          <w:lang w:val="fr-BE"/>
        </w:rPr>
      </w:pPr>
      <w:r w:rsidRPr="00172597">
        <w:rPr>
          <w:b/>
          <w:bCs/>
          <w:sz w:val="20"/>
          <w:szCs w:val="21"/>
          <w:shd w:val="clear" w:color="auto" w:fill="FAFAFA"/>
          <w:lang w:val="fr-BE"/>
        </w:rPr>
        <w:t>Organised crime</w:t>
      </w:r>
    </w:p>
    <w:p w14:paraId="72F5DF37" w14:textId="1AD755D5"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28 of the Criminal Justice and Licensing (Scotland) Act 2010 (agreeing to become involved in serious organised crime).</w:t>
      </w:r>
    </w:p>
    <w:p w14:paraId="50C4E53E" w14:textId="0D362F37"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45 of the Serious Crime Act 2015 (participating in activities of organised crime group).</w:t>
      </w:r>
    </w:p>
    <w:p w14:paraId="0F53BF34" w14:textId="464031CF" w:rsidR="001550A0" w:rsidRPr="00172597" w:rsidRDefault="00F26284" w:rsidP="00F957FA">
      <w:pPr>
        <w:pStyle w:val="H2Ashurst"/>
        <w:rPr>
          <w:b/>
          <w:bCs/>
          <w:sz w:val="20"/>
          <w:szCs w:val="21"/>
          <w:shd w:val="clear" w:color="auto" w:fill="FAFAFA"/>
        </w:rPr>
      </w:pPr>
      <w:r w:rsidRPr="00172597">
        <w:rPr>
          <w:b/>
          <w:bCs/>
          <w:sz w:val="20"/>
          <w:szCs w:val="21"/>
          <w:shd w:val="clear" w:color="auto" w:fill="FAFAFA"/>
        </w:rPr>
        <w:t>Tax offences</w:t>
      </w:r>
    </w:p>
    <w:p w14:paraId="1ADF33F6" w14:textId="751C5C2C" w:rsidR="001550A0" w:rsidRPr="001550A0" w:rsidRDefault="00F26284" w:rsidP="001550A0">
      <w:pPr>
        <w:pStyle w:val="NormalAshurst"/>
        <w:rPr>
          <w:sz w:val="20"/>
          <w:szCs w:val="20"/>
          <w:shd w:val="clear" w:color="auto" w:fill="FAFAFA"/>
        </w:rPr>
      </w:pPr>
      <w:r w:rsidRPr="001550A0">
        <w:rPr>
          <w:sz w:val="20"/>
          <w:szCs w:val="20"/>
          <w:shd w:val="clear" w:color="auto" w:fill="FAFAFA"/>
        </w:rPr>
        <w:t>An offence at common law of cheating the public revenue.</w:t>
      </w:r>
    </w:p>
    <w:p w14:paraId="0D130EF7" w14:textId="77777777" w:rsidR="001550A0" w:rsidRPr="001550A0" w:rsidRDefault="00F26284" w:rsidP="001550A0">
      <w:pPr>
        <w:pStyle w:val="NormalAshurst"/>
        <w:rPr>
          <w:sz w:val="20"/>
          <w:szCs w:val="20"/>
          <w:shd w:val="clear" w:color="auto" w:fill="FAFAFA"/>
          <w:lang w:val="en-IE"/>
        </w:rPr>
      </w:pPr>
      <w:r w:rsidRPr="001550A0">
        <w:rPr>
          <w:sz w:val="20"/>
          <w:szCs w:val="20"/>
          <w:shd w:val="clear" w:color="auto" w:fill="FAFAFA"/>
          <w:lang w:val="en-IE"/>
        </w:rPr>
        <w:t>An offence under the law of any part of the United Kingdom consisting of being knowingly concerned in, or in taking steps with a view to, the fraudulent evasion of a tax.</w:t>
      </w:r>
    </w:p>
    <w:p w14:paraId="28E46377" w14:textId="256E21CA" w:rsidR="001550A0" w:rsidRP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In this paragraph, “tax” means a tax imposed under the law of any part of the United Kingdom, including national insurance contributions under—</w:t>
      </w:r>
    </w:p>
    <w:p w14:paraId="5CC883C0" w14:textId="0DD0098A" w:rsidR="001550A0" w:rsidRPr="001550A0" w:rsidRDefault="00F26284" w:rsidP="001550A0">
      <w:pPr>
        <w:pStyle w:val="NormalAshurst"/>
        <w:ind w:firstLine="567"/>
        <w:rPr>
          <w:sz w:val="20"/>
          <w:szCs w:val="20"/>
          <w:shd w:val="clear" w:color="auto" w:fill="FAFAFA"/>
          <w:lang w:val="en-IE"/>
        </w:rPr>
      </w:pPr>
      <w:r w:rsidRPr="001550A0">
        <w:rPr>
          <w:sz w:val="20"/>
          <w:szCs w:val="20"/>
          <w:shd w:val="clear" w:color="auto" w:fill="FAFAFA"/>
          <w:lang w:val="en-IE"/>
        </w:rPr>
        <w:t>(a) Part 1 of the Social Security Contributions and Benefits Act 1992, or</w:t>
      </w:r>
    </w:p>
    <w:p w14:paraId="13734D72" w14:textId="010AA7D0" w:rsid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(b) Part 1 of the Social Security Contributions and Benefits (Northern Ireland) Act 1992.</w:t>
      </w:r>
    </w:p>
    <w:p w14:paraId="21E766AC" w14:textId="17350643" w:rsidR="001550A0" w:rsidRDefault="00F26284" w:rsidP="001550A0">
      <w:pPr>
        <w:pStyle w:val="NormalAshurst"/>
        <w:rPr>
          <w:sz w:val="20"/>
          <w:szCs w:val="20"/>
          <w:shd w:val="clear" w:color="auto" w:fill="FAFAFA"/>
        </w:rPr>
      </w:pPr>
      <w:r w:rsidRPr="001550A0">
        <w:rPr>
          <w:sz w:val="20"/>
          <w:szCs w:val="20"/>
          <w:shd w:val="clear" w:color="auto" w:fill="FAFAFA"/>
        </w:rPr>
        <w:t>An offence under section 45 or 46 of the Criminal Finances Act 2017 (failure to prevent facilitation of tax evasion).</w:t>
      </w:r>
    </w:p>
    <w:p w14:paraId="321ADB8B" w14:textId="220EB9AF" w:rsidR="001550A0" w:rsidRPr="00172597" w:rsidRDefault="00F26284" w:rsidP="00F957FA">
      <w:pPr>
        <w:pStyle w:val="H2Ashurst"/>
        <w:rPr>
          <w:b/>
          <w:bCs/>
          <w:sz w:val="20"/>
          <w:szCs w:val="21"/>
          <w:shd w:val="clear" w:color="auto" w:fill="FAFAFA"/>
          <w:lang w:val="fr-BE"/>
        </w:rPr>
      </w:pPr>
      <w:r w:rsidRPr="00172597">
        <w:rPr>
          <w:b/>
          <w:bCs/>
          <w:sz w:val="20"/>
          <w:szCs w:val="21"/>
          <w:shd w:val="clear" w:color="auto" w:fill="FAFAFA"/>
          <w:lang w:val="fr-BE"/>
        </w:rPr>
        <w:t>Cartel offence</w:t>
      </w:r>
    </w:p>
    <w:p w14:paraId="56687B72" w14:textId="5CA5A0D7" w:rsidR="001550A0" w:rsidRPr="001550A0" w:rsidRDefault="00F26284" w:rsidP="001550A0">
      <w:pPr>
        <w:pStyle w:val="NormalAshurst"/>
        <w:rPr>
          <w:sz w:val="20"/>
          <w:szCs w:val="20"/>
          <w:shd w:val="clear" w:color="auto" w:fill="FAFAFA"/>
          <w:lang w:val="en-IE"/>
        </w:rPr>
      </w:pPr>
      <w:r w:rsidRPr="001550A0">
        <w:rPr>
          <w:sz w:val="20"/>
          <w:szCs w:val="20"/>
          <w:shd w:val="clear" w:color="auto" w:fill="FAFAFA"/>
        </w:rPr>
        <w:t>An offence under section 188 of the Enterprise Act 2002 (cartel offence).</w:t>
      </w:r>
    </w:p>
    <w:p w14:paraId="285DFB5D" w14:textId="77777777" w:rsidR="001550A0"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Ancillary offences</w:t>
      </w:r>
    </w:p>
    <w:p w14:paraId="3880F57A" w14:textId="28D78362" w:rsidR="001550A0" w:rsidRPr="001550A0" w:rsidRDefault="00F26284" w:rsidP="001550A0">
      <w:pPr>
        <w:pStyle w:val="NormalAshurst"/>
        <w:rPr>
          <w:sz w:val="20"/>
          <w:szCs w:val="20"/>
          <w:shd w:val="clear" w:color="auto" w:fill="FAFAFA"/>
          <w:lang w:val="en-IE"/>
        </w:rPr>
      </w:pPr>
      <w:r w:rsidRPr="001550A0">
        <w:rPr>
          <w:sz w:val="20"/>
          <w:szCs w:val="20"/>
          <w:shd w:val="clear" w:color="auto" w:fill="FAFAFA"/>
          <w:lang w:val="en-IE"/>
        </w:rPr>
        <w:t>In relation to an offence otherwise referred to above, any of the following offences—</w:t>
      </w:r>
    </w:p>
    <w:p w14:paraId="4656293A" w14:textId="0E40B829" w:rsidR="001550A0" w:rsidRP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 xml:space="preserve">(a) aiding, abetting, counselling or procuring the commission of the </w:t>
      </w:r>
      <w:proofErr w:type="gramStart"/>
      <w:r w:rsidRPr="001550A0">
        <w:rPr>
          <w:sz w:val="20"/>
          <w:szCs w:val="20"/>
          <w:shd w:val="clear" w:color="auto" w:fill="FAFAFA"/>
          <w:lang w:val="en-IE"/>
        </w:rPr>
        <w:t>offence;</w:t>
      </w:r>
      <w:proofErr w:type="gramEnd"/>
    </w:p>
    <w:p w14:paraId="72788317" w14:textId="63E5AFC5" w:rsidR="001550A0" w:rsidRP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 xml:space="preserve">(b) in Scotland, being art and part in the commission of the </w:t>
      </w:r>
      <w:proofErr w:type="gramStart"/>
      <w:r w:rsidRPr="001550A0">
        <w:rPr>
          <w:sz w:val="20"/>
          <w:szCs w:val="20"/>
          <w:shd w:val="clear" w:color="auto" w:fill="FAFAFA"/>
          <w:lang w:val="en-IE"/>
        </w:rPr>
        <w:t>offence;</w:t>
      </w:r>
      <w:proofErr w:type="gramEnd"/>
    </w:p>
    <w:p w14:paraId="1449EE36" w14:textId="7D94FF37" w:rsidR="001550A0" w:rsidRP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 xml:space="preserve">(c) an offence under Part 2 of the Serious Crime Act 2007 (encouraging or assisting crime) in relation to the </w:t>
      </w:r>
      <w:proofErr w:type="gramStart"/>
      <w:r w:rsidRPr="001550A0">
        <w:rPr>
          <w:sz w:val="20"/>
          <w:szCs w:val="20"/>
          <w:shd w:val="clear" w:color="auto" w:fill="FAFAFA"/>
          <w:lang w:val="en-IE"/>
        </w:rPr>
        <w:t>offence;</w:t>
      </w:r>
      <w:proofErr w:type="gramEnd"/>
    </w:p>
    <w:p w14:paraId="734453F9" w14:textId="580FDB56" w:rsidR="001550A0" w:rsidRP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 xml:space="preserve">(d) inciting a person to commit the </w:t>
      </w:r>
      <w:proofErr w:type="gramStart"/>
      <w:r w:rsidRPr="001550A0">
        <w:rPr>
          <w:sz w:val="20"/>
          <w:szCs w:val="20"/>
          <w:shd w:val="clear" w:color="auto" w:fill="FAFAFA"/>
          <w:lang w:val="en-IE"/>
        </w:rPr>
        <w:t>offence;</w:t>
      </w:r>
      <w:proofErr w:type="gramEnd"/>
    </w:p>
    <w:p w14:paraId="1F5666CE" w14:textId="735E63E8" w:rsidR="001550A0" w:rsidRDefault="00F26284" w:rsidP="001550A0">
      <w:pPr>
        <w:pStyle w:val="NormalAshurst"/>
        <w:ind w:left="567"/>
        <w:rPr>
          <w:sz w:val="20"/>
          <w:szCs w:val="20"/>
          <w:shd w:val="clear" w:color="auto" w:fill="FAFAFA"/>
          <w:lang w:val="en-IE"/>
        </w:rPr>
      </w:pPr>
      <w:r w:rsidRPr="001550A0">
        <w:rPr>
          <w:sz w:val="20"/>
          <w:szCs w:val="20"/>
          <w:shd w:val="clear" w:color="auto" w:fill="FAFAFA"/>
          <w:lang w:val="en-IE"/>
        </w:rPr>
        <w:t>(e) attempting or conspiring to commit the offence.</w:t>
      </w:r>
    </w:p>
    <w:p w14:paraId="0FD87D8B" w14:textId="77777777" w:rsidR="001550A0"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Offences committed outside the United Kingdom</w:t>
      </w:r>
    </w:p>
    <w:p w14:paraId="7F54E55B" w14:textId="6B4433A3" w:rsidR="001550A0" w:rsidRPr="001550A0" w:rsidRDefault="00F26284" w:rsidP="001550A0">
      <w:pPr>
        <w:pStyle w:val="NormalAshurst"/>
        <w:rPr>
          <w:sz w:val="20"/>
          <w:szCs w:val="16"/>
          <w:shd w:val="clear" w:color="auto" w:fill="FAFAFA"/>
          <w:lang w:val="en-IE"/>
        </w:rPr>
      </w:pPr>
      <w:r w:rsidRPr="001550A0">
        <w:rPr>
          <w:sz w:val="20"/>
          <w:szCs w:val="16"/>
          <w:shd w:val="clear" w:color="auto" w:fill="FAFAFA"/>
          <w:lang w:val="en-IE"/>
        </w:rPr>
        <w:t>An offence under the law of a country or territory outside the United Kingdom which would be an offence otherwise referred to in this Part of this Schedule if the conduct constituting that offence was carried out in any part of the United Kingdom.</w:t>
      </w:r>
    </w:p>
    <w:p w14:paraId="6835868C" w14:textId="68779EB8" w:rsidR="001550A0" w:rsidRDefault="00F26284" w:rsidP="001550A0">
      <w:pPr>
        <w:pStyle w:val="NormalAshurst"/>
        <w:ind w:left="567"/>
        <w:rPr>
          <w:sz w:val="20"/>
          <w:szCs w:val="16"/>
          <w:shd w:val="clear" w:color="auto" w:fill="FAFAFA"/>
          <w:lang w:val="en-IE"/>
        </w:rPr>
      </w:pPr>
      <w:r w:rsidRPr="001550A0">
        <w:rPr>
          <w:sz w:val="20"/>
          <w:szCs w:val="16"/>
          <w:shd w:val="clear" w:color="auto" w:fill="FAFAFA"/>
          <w:lang w:val="en-IE"/>
        </w:rPr>
        <w:t>For the purposes of this paragraph, an act punishable under the law of a country or territory outside the United Kingdom constitutes an offence under that law, however it is described in that law.</w:t>
      </w:r>
    </w:p>
    <w:p w14:paraId="248A6D49" w14:textId="77777777" w:rsidR="00D01089"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National security</w:t>
      </w:r>
    </w:p>
    <w:p w14:paraId="1247A70C" w14:textId="5D31090E" w:rsidR="00D01089" w:rsidRPr="00D01089" w:rsidRDefault="00F26284" w:rsidP="00D01089">
      <w:pPr>
        <w:pStyle w:val="NormalAshurst"/>
        <w:rPr>
          <w:sz w:val="20"/>
          <w:szCs w:val="20"/>
          <w:shd w:val="clear" w:color="auto" w:fill="FAFAFA"/>
          <w:lang w:val="en-IE"/>
        </w:rPr>
      </w:pPr>
      <w:r w:rsidRPr="00D01089">
        <w:rPr>
          <w:sz w:val="20"/>
          <w:szCs w:val="20"/>
          <w:shd w:val="clear" w:color="auto" w:fill="FAFAFA"/>
          <w:lang w:val="en-IE"/>
        </w:rPr>
        <w:t>A mandatory exclusion ground applies to a supplier in relation to contracts of a particular description if an appropriate authority determines that the supplier or a connected person—</w:t>
      </w:r>
    </w:p>
    <w:p w14:paraId="61E04210" w14:textId="5BC68BD5"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(a)</w:t>
      </w:r>
      <w:r>
        <w:rPr>
          <w:sz w:val="20"/>
          <w:szCs w:val="20"/>
          <w:shd w:val="clear" w:color="auto" w:fill="FAFAFA"/>
          <w:lang w:val="en-IE"/>
        </w:rPr>
        <w:t xml:space="preserve"> </w:t>
      </w:r>
      <w:r w:rsidRPr="00D01089">
        <w:rPr>
          <w:sz w:val="20"/>
          <w:szCs w:val="20"/>
          <w:shd w:val="clear" w:color="auto" w:fill="FAFAFA"/>
          <w:lang w:val="en-IE"/>
        </w:rPr>
        <w:t>poses a threat to the national security of the United Kingdom, and</w:t>
      </w:r>
    </w:p>
    <w:p w14:paraId="73533D52" w14:textId="6AEF5A18" w:rsid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(b)</w:t>
      </w:r>
      <w:r>
        <w:rPr>
          <w:sz w:val="20"/>
          <w:szCs w:val="20"/>
          <w:shd w:val="clear" w:color="auto" w:fill="FAFAFA"/>
          <w:lang w:val="en-IE"/>
        </w:rPr>
        <w:t xml:space="preserve"> </w:t>
      </w:r>
      <w:r w:rsidRPr="00D01089">
        <w:rPr>
          <w:sz w:val="20"/>
          <w:szCs w:val="20"/>
          <w:shd w:val="clear" w:color="auto" w:fill="FAFAFA"/>
          <w:lang w:val="en-IE"/>
        </w:rPr>
        <w:t>would pose such a threat in relation to public contracts of that description.</w:t>
      </w:r>
    </w:p>
    <w:p w14:paraId="3E09DCBC" w14:textId="19C797EE" w:rsidR="00D01089"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Misconduct in relation to tax</w:t>
      </w:r>
    </w:p>
    <w:p w14:paraId="7E32171B" w14:textId="560D8872" w:rsidR="00D01089" w:rsidRPr="00D01089" w:rsidRDefault="00F26284" w:rsidP="00D01089">
      <w:pPr>
        <w:pStyle w:val="NormalAshurst"/>
        <w:rPr>
          <w:sz w:val="20"/>
          <w:szCs w:val="20"/>
          <w:shd w:val="clear" w:color="auto" w:fill="FAFAFA"/>
          <w:lang w:val="en-IE"/>
        </w:rPr>
      </w:pPr>
      <w:r w:rsidRPr="00D01089">
        <w:rPr>
          <w:sz w:val="20"/>
          <w:szCs w:val="20"/>
          <w:shd w:val="clear" w:color="auto" w:fill="FAFAFA"/>
          <w:lang w:val="en-IE"/>
        </w:rPr>
        <w:t>A mandatory exclusion ground applies to a supplier if the supplier or a connected person has been liable to a penalty under—</w:t>
      </w:r>
    </w:p>
    <w:p w14:paraId="62AD5DB8" w14:textId="77DB11DB"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(a) section 69C of the Value Added Tax Act 1994 (transactions connected with VAT fraud) except where the penalty is reduced under section 70 of that Act, or</w:t>
      </w:r>
    </w:p>
    <w:p w14:paraId="2FF13FE0" w14:textId="60386530"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(b) section 25 of the Finance Act 2003 (evasion of tax or duty).</w:t>
      </w:r>
    </w:p>
    <w:p w14:paraId="552C3AA8" w14:textId="1776FDA9" w:rsidR="00D01089" w:rsidRDefault="00F26284" w:rsidP="00D01089">
      <w:pPr>
        <w:pStyle w:val="NormalAshurst"/>
        <w:rPr>
          <w:sz w:val="20"/>
          <w:szCs w:val="20"/>
          <w:shd w:val="clear" w:color="auto" w:fill="FAFAFA"/>
          <w:lang w:val="en-IE"/>
        </w:rPr>
      </w:pPr>
      <w:r w:rsidRPr="00D01089">
        <w:rPr>
          <w:sz w:val="20"/>
          <w:szCs w:val="20"/>
          <w:shd w:val="clear" w:color="auto" w:fill="FAFAFA"/>
          <w:lang w:val="en-IE"/>
        </w:rPr>
        <w:t>The supplier or connected person is not to be treated as having been liable to such a penalty unless HMRC has assessed the amount of the penalty and the time for any appeal or further appeal relating to the penalty has expired or, if later, any appeal or final appeal relating to it has been finally determined.</w:t>
      </w:r>
    </w:p>
    <w:p w14:paraId="4FA86C4E" w14:textId="2D415BB7" w:rsidR="00D01089" w:rsidRPr="00D01089" w:rsidRDefault="00F26284" w:rsidP="00D01089">
      <w:pPr>
        <w:pStyle w:val="NormalAshurst"/>
        <w:rPr>
          <w:sz w:val="20"/>
          <w:szCs w:val="20"/>
          <w:shd w:val="clear" w:color="auto" w:fill="FAFAFA"/>
          <w:lang w:val="en-IE"/>
        </w:rPr>
      </w:pPr>
      <w:r w:rsidRPr="00D01089">
        <w:rPr>
          <w:sz w:val="20"/>
          <w:szCs w:val="20"/>
          <w:shd w:val="clear" w:color="auto" w:fill="FAFAFA"/>
          <w:lang w:val="en-IE"/>
        </w:rPr>
        <w:t>A mandatory exclusion ground applies to a supplier if a penalty has been payable by the supplier or a connected person under—</w:t>
      </w:r>
    </w:p>
    <w:p w14:paraId="0B4FD068" w14:textId="2DB3AB27"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(a)</w:t>
      </w:r>
      <w:r>
        <w:rPr>
          <w:sz w:val="20"/>
          <w:szCs w:val="20"/>
          <w:shd w:val="clear" w:color="auto" w:fill="FAFAFA"/>
          <w:lang w:val="en-IE"/>
        </w:rPr>
        <w:t xml:space="preserve"> </w:t>
      </w:r>
      <w:r w:rsidRPr="00D01089">
        <w:rPr>
          <w:sz w:val="20"/>
          <w:szCs w:val="20"/>
          <w:shd w:val="clear" w:color="auto" w:fill="FAFAFA"/>
          <w:lang w:val="en-IE"/>
        </w:rPr>
        <w:t>Schedule 24 to the Finance Act 2007 (errors in tax documentation), or</w:t>
      </w:r>
    </w:p>
    <w:p w14:paraId="0FFADC55" w14:textId="3F6839AC"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(b)</w:t>
      </w:r>
      <w:r>
        <w:rPr>
          <w:sz w:val="20"/>
          <w:szCs w:val="20"/>
          <w:shd w:val="clear" w:color="auto" w:fill="FAFAFA"/>
          <w:lang w:val="en-IE"/>
        </w:rPr>
        <w:t xml:space="preserve"> </w:t>
      </w:r>
      <w:r w:rsidRPr="00D01089">
        <w:rPr>
          <w:sz w:val="20"/>
          <w:szCs w:val="20"/>
          <w:shd w:val="clear" w:color="auto" w:fill="FAFAFA"/>
          <w:lang w:val="en-IE"/>
        </w:rPr>
        <w:t>Schedule 41 to the Finance Act 2008 (failure to notify and certain VAT and excise wrongdoing),</w:t>
      </w:r>
    </w:p>
    <w:p w14:paraId="25E36559" w14:textId="77777777" w:rsidR="00D01089" w:rsidRPr="00D01089" w:rsidRDefault="00F26284" w:rsidP="00D01089">
      <w:pPr>
        <w:pStyle w:val="NormalAshurst"/>
        <w:ind w:firstLine="567"/>
        <w:rPr>
          <w:sz w:val="20"/>
          <w:szCs w:val="20"/>
          <w:shd w:val="clear" w:color="auto" w:fill="FAFAFA"/>
          <w:lang w:val="en-IE"/>
        </w:rPr>
      </w:pPr>
      <w:r w:rsidRPr="00D01089">
        <w:rPr>
          <w:sz w:val="20"/>
          <w:szCs w:val="20"/>
          <w:shd w:val="clear" w:color="auto" w:fill="FAFAFA"/>
          <w:lang w:val="en-IE"/>
        </w:rPr>
        <w:t>but only where the conduct giving rise to that penalty was deliberate.</w:t>
      </w:r>
    </w:p>
    <w:p w14:paraId="1FB3D137" w14:textId="7F755B61" w:rsidR="00D01089" w:rsidRPr="00D01089" w:rsidRDefault="00F26284" w:rsidP="00D01089">
      <w:pPr>
        <w:pStyle w:val="NormalAshurst"/>
        <w:rPr>
          <w:sz w:val="20"/>
          <w:szCs w:val="20"/>
          <w:shd w:val="clear" w:color="auto" w:fill="FAFAFA"/>
          <w:lang w:val="en-IE"/>
        </w:rPr>
      </w:pPr>
      <w:r w:rsidRPr="00D01089">
        <w:rPr>
          <w:sz w:val="20"/>
          <w:szCs w:val="20"/>
          <w:shd w:val="clear" w:color="auto" w:fill="FAFAFA"/>
          <w:lang w:val="en-IE"/>
        </w:rPr>
        <w:t>Such a penalty is not to be treated as having been payable unless—</w:t>
      </w:r>
    </w:p>
    <w:p w14:paraId="506DE234" w14:textId="543F858F" w:rsidR="00D01089" w:rsidRP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(a)</w:t>
      </w:r>
      <w:r>
        <w:rPr>
          <w:sz w:val="20"/>
          <w:szCs w:val="20"/>
          <w:shd w:val="clear" w:color="auto" w:fill="FAFAFA"/>
          <w:lang w:val="en-IE"/>
        </w:rPr>
        <w:t xml:space="preserve"> </w:t>
      </w:r>
      <w:r w:rsidRPr="00D01089">
        <w:rPr>
          <w:sz w:val="20"/>
          <w:szCs w:val="20"/>
          <w:shd w:val="clear" w:color="auto" w:fill="FAFAFA"/>
          <w:lang w:val="en-IE"/>
        </w:rPr>
        <w:t>if the penalty has been assessed, the time for any appeal or further appeal relating to the penalty has expired or, if later, any appeal or final appeal relating to it has been finally determined, or</w:t>
      </w:r>
    </w:p>
    <w:p w14:paraId="26B040A2" w14:textId="23F39964" w:rsidR="00D01089" w:rsidRDefault="00F26284" w:rsidP="00D01089">
      <w:pPr>
        <w:pStyle w:val="NormalAshurst"/>
        <w:ind w:left="567"/>
        <w:rPr>
          <w:sz w:val="20"/>
          <w:szCs w:val="20"/>
          <w:shd w:val="clear" w:color="auto" w:fill="FAFAFA"/>
          <w:lang w:val="en-IE"/>
        </w:rPr>
      </w:pPr>
      <w:r w:rsidRPr="00D01089">
        <w:rPr>
          <w:sz w:val="20"/>
          <w:szCs w:val="20"/>
          <w:shd w:val="clear" w:color="auto" w:fill="FAFAFA"/>
          <w:lang w:val="en-IE"/>
        </w:rPr>
        <w:t>(b)</w:t>
      </w:r>
      <w:r>
        <w:rPr>
          <w:sz w:val="20"/>
          <w:szCs w:val="20"/>
          <w:shd w:val="clear" w:color="auto" w:fill="FAFAFA"/>
          <w:lang w:val="en-IE"/>
        </w:rPr>
        <w:t xml:space="preserve"> </w:t>
      </w:r>
      <w:r w:rsidRPr="00D01089">
        <w:rPr>
          <w:sz w:val="20"/>
          <w:szCs w:val="20"/>
          <w:shd w:val="clear" w:color="auto" w:fill="FAFAFA"/>
          <w:lang w:val="en-IE"/>
        </w:rPr>
        <w:t>a contract has been made between HMRC and the supplier or connected person, under which HMRC undertook not to assess the penalty or (if it was assessed) not to take proceedings to recover it.</w:t>
      </w:r>
    </w:p>
    <w:p w14:paraId="0D8C6FCD" w14:textId="5B593228" w:rsidR="00F957FA" w:rsidRPr="00F957FA" w:rsidRDefault="00F26284" w:rsidP="00F957FA">
      <w:pPr>
        <w:pStyle w:val="NormalAshurst"/>
        <w:rPr>
          <w:sz w:val="20"/>
          <w:szCs w:val="20"/>
          <w:shd w:val="clear" w:color="auto" w:fill="FAFAFA"/>
          <w:lang w:val="en-IE"/>
        </w:rPr>
      </w:pPr>
      <w:r w:rsidRPr="00F957FA">
        <w:rPr>
          <w:sz w:val="20"/>
          <w:szCs w:val="20"/>
          <w:shd w:val="clear" w:color="auto" w:fill="FAFAFA"/>
          <w:lang w:val="en-IE"/>
        </w:rPr>
        <w:t>A mandatory exclusion ground applies to a supplier if—</w:t>
      </w:r>
    </w:p>
    <w:p w14:paraId="5FA9D3ED" w14:textId="07E61AF3" w:rsidR="00F957FA" w:rsidRPr="00F957FA" w:rsidRDefault="00F26284" w:rsidP="00F957FA">
      <w:pPr>
        <w:pStyle w:val="NormalAshurst"/>
        <w:ind w:left="567"/>
        <w:rPr>
          <w:sz w:val="20"/>
          <w:szCs w:val="20"/>
          <w:shd w:val="clear" w:color="auto" w:fill="FAFAFA"/>
          <w:lang w:val="en-IE"/>
        </w:rPr>
      </w:pPr>
      <w:r w:rsidRPr="00F957FA">
        <w:rPr>
          <w:sz w:val="20"/>
          <w:szCs w:val="20"/>
          <w:shd w:val="clear" w:color="auto" w:fill="FAFAFA"/>
          <w:lang w:val="en-IE"/>
        </w:rPr>
        <w:t>(a) the supplier or a connected person has entered into or carried out tax arrangements that are abusive (within the meaning given in section 207 of the Finance Act 2013), and</w:t>
      </w:r>
    </w:p>
    <w:p w14:paraId="11341DBE" w14:textId="21A49DC4" w:rsidR="00F957FA" w:rsidRPr="00F957FA" w:rsidRDefault="00F26284" w:rsidP="00F957FA">
      <w:pPr>
        <w:pStyle w:val="NormalAshurst"/>
        <w:ind w:left="567"/>
        <w:rPr>
          <w:sz w:val="20"/>
          <w:szCs w:val="20"/>
          <w:shd w:val="clear" w:color="auto" w:fill="FAFAFA"/>
          <w:lang w:val="en-IE"/>
        </w:rPr>
      </w:pPr>
      <w:r w:rsidRPr="00F957FA">
        <w:rPr>
          <w:sz w:val="20"/>
          <w:szCs w:val="20"/>
          <w:shd w:val="clear" w:color="auto" w:fill="FAFAFA"/>
          <w:lang w:val="en-IE"/>
        </w:rPr>
        <w:t>(b) adjustments have accordingly been made under section 209 of that Act (countering tax advantages), including as it applies under section 10 of the National Insurance Contributions Act 2014.</w:t>
      </w:r>
    </w:p>
    <w:p w14:paraId="1765B20E" w14:textId="7F846849" w:rsidR="00F957FA" w:rsidRPr="00F957FA" w:rsidRDefault="00F26284" w:rsidP="00F957FA">
      <w:pPr>
        <w:pStyle w:val="NormalAshurst"/>
        <w:rPr>
          <w:sz w:val="20"/>
          <w:szCs w:val="20"/>
          <w:shd w:val="clear" w:color="auto" w:fill="FAFAFA"/>
          <w:lang w:val="en-IE"/>
        </w:rPr>
      </w:pPr>
      <w:r w:rsidRPr="00F957FA">
        <w:rPr>
          <w:sz w:val="20"/>
          <w:szCs w:val="20"/>
          <w:shd w:val="clear" w:color="auto" w:fill="FAFAFA"/>
          <w:lang w:val="en-IE"/>
        </w:rPr>
        <w:t>Adjustments are not to be treated as having been made until they can no longer be challenged, whether on appeal or otherwise.</w:t>
      </w:r>
    </w:p>
    <w:p w14:paraId="7293B1B5" w14:textId="3BE1341F" w:rsidR="00F957FA" w:rsidRPr="00F957FA" w:rsidRDefault="00F26284" w:rsidP="00F957FA">
      <w:pPr>
        <w:pStyle w:val="NormalAshurst"/>
        <w:rPr>
          <w:sz w:val="20"/>
          <w:szCs w:val="16"/>
          <w:shd w:val="clear" w:color="auto" w:fill="FAFAFA"/>
          <w:lang w:val="en-IE"/>
        </w:rPr>
      </w:pPr>
      <w:r w:rsidRPr="00F957FA">
        <w:rPr>
          <w:sz w:val="20"/>
          <w:szCs w:val="16"/>
          <w:shd w:val="clear" w:color="auto" w:fill="FAFAFA"/>
          <w:lang w:val="en-IE"/>
        </w:rPr>
        <w:t>A mandatory exclusion ground applies to a supplier if the supplier or a connected person has been found by HMRC, in exercise of its powers in respect of VAT, to have engaged in an abusive practice.</w:t>
      </w:r>
    </w:p>
    <w:p w14:paraId="27154E9D" w14:textId="7939A0E9" w:rsidR="00F957FA" w:rsidRDefault="00F26284" w:rsidP="00F957FA">
      <w:pPr>
        <w:pStyle w:val="NormalAshurst"/>
        <w:rPr>
          <w:sz w:val="20"/>
          <w:szCs w:val="16"/>
          <w:shd w:val="clear" w:color="auto" w:fill="FAFAFA"/>
          <w:lang w:val="en-IE"/>
        </w:rPr>
      </w:pPr>
      <w:r w:rsidRPr="00F957FA">
        <w:rPr>
          <w:sz w:val="20"/>
          <w:szCs w:val="16"/>
          <w:shd w:val="clear" w:color="auto" w:fill="FAFAFA"/>
          <w:lang w:val="en-IE"/>
        </w:rPr>
        <w:t>The supplier or connected person is not to be treated as having been found by HMRC to have engaged in those arrangements or practices until the finding can no longer be challenged, whether on appeal or otherwise.</w:t>
      </w:r>
    </w:p>
    <w:p w14:paraId="2E997C12" w14:textId="669569EC" w:rsidR="00F957FA" w:rsidRPr="00F957FA" w:rsidRDefault="00F26284" w:rsidP="00F957FA">
      <w:pPr>
        <w:pStyle w:val="NormalAshurst"/>
        <w:rPr>
          <w:sz w:val="20"/>
          <w:szCs w:val="16"/>
          <w:shd w:val="clear" w:color="auto" w:fill="FAFAFA"/>
          <w:lang w:val="en-IE"/>
        </w:rPr>
      </w:pPr>
      <w:r w:rsidRPr="00F957FA">
        <w:rPr>
          <w:sz w:val="20"/>
          <w:szCs w:val="16"/>
          <w:shd w:val="clear" w:color="auto" w:fill="FAFAFA"/>
        </w:rPr>
        <w:t>A mandatory exclusion ground applies to a supplier if the supplier or a connected person has incurred a defeat in respect of notifiable tax arrangements they have entered into.</w:t>
      </w:r>
    </w:p>
    <w:p w14:paraId="185BBBA0" w14:textId="77777777" w:rsidR="00F957FA"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Competition law infringements</w:t>
      </w:r>
    </w:p>
    <w:p w14:paraId="1239B149" w14:textId="35533AFD" w:rsidR="00F957FA" w:rsidRPr="00F957FA" w:rsidRDefault="00F26284" w:rsidP="00F957FA">
      <w:pPr>
        <w:pStyle w:val="NormalAshurst"/>
        <w:rPr>
          <w:sz w:val="20"/>
          <w:szCs w:val="20"/>
          <w:shd w:val="clear" w:color="auto" w:fill="FAFAFA"/>
          <w:lang w:val="en-IE"/>
        </w:rPr>
      </w:pPr>
      <w:r w:rsidRPr="00F957FA">
        <w:rPr>
          <w:sz w:val="20"/>
          <w:szCs w:val="20"/>
          <w:shd w:val="clear" w:color="auto" w:fill="FAFAFA"/>
          <w:lang w:val="en-IE"/>
        </w:rPr>
        <w:t xml:space="preserve">(1) A mandatory exclusion ground applies to a supplier if the CMA has </w:t>
      </w:r>
      <w:proofErr w:type="gramStart"/>
      <w:r w:rsidRPr="00F957FA">
        <w:rPr>
          <w:sz w:val="20"/>
          <w:szCs w:val="20"/>
          <w:shd w:val="clear" w:color="auto" w:fill="FAFAFA"/>
          <w:lang w:val="en-IE"/>
        </w:rPr>
        <w:t>made a decision</w:t>
      </w:r>
      <w:proofErr w:type="gramEnd"/>
      <w:r w:rsidRPr="00F957FA">
        <w:rPr>
          <w:sz w:val="20"/>
          <w:szCs w:val="20"/>
          <w:shd w:val="clear" w:color="auto" w:fill="FAFAFA"/>
          <w:lang w:val="en-IE"/>
        </w:rPr>
        <w:t xml:space="preserve"> under the Competition Act 1998 that the Chapter I prohibition (within the meaning given by section 2 of that Act) has been infringed by an agreement or concerted practice—</w:t>
      </w:r>
    </w:p>
    <w:p w14:paraId="4A52EDEC" w14:textId="5F8BD04C" w:rsidR="00F957FA" w:rsidRPr="00F957FA" w:rsidRDefault="00F26284" w:rsidP="00F957FA">
      <w:pPr>
        <w:pStyle w:val="NormalAshurst"/>
        <w:ind w:left="567"/>
        <w:rPr>
          <w:sz w:val="20"/>
          <w:szCs w:val="20"/>
          <w:shd w:val="clear" w:color="auto" w:fill="FAFAFA"/>
          <w:lang w:val="en-IE"/>
        </w:rPr>
      </w:pPr>
      <w:r w:rsidRPr="00F957FA">
        <w:rPr>
          <w:sz w:val="20"/>
          <w:szCs w:val="20"/>
          <w:shd w:val="clear" w:color="auto" w:fill="FAFAFA"/>
          <w:lang w:val="en-IE"/>
        </w:rPr>
        <w:t>(a) to which the supplier or a connected person was party, and</w:t>
      </w:r>
    </w:p>
    <w:p w14:paraId="6A7E5D9C" w14:textId="11C2E3DB" w:rsidR="00F957FA" w:rsidRPr="00F957FA" w:rsidRDefault="00F26284" w:rsidP="00F957FA">
      <w:pPr>
        <w:pStyle w:val="NormalAshurst"/>
        <w:ind w:left="567"/>
        <w:rPr>
          <w:sz w:val="20"/>
          <w:szCs w:val="20"/>
          <w:shd w:val="clear" w:color="auto" w:fill="FAFAFA"/>
          <w:lang w:val="en-IE"/>
        </w:rPr>
      </w:pPr>
      <w:r w:rsidRPr="00F957FA">
        <w:rPr>
          <w:sz w:val="20"/>
          <w:szCs w:val="20"/>
          <w:shd w:val="clear" w:color="auto" w:fill="FAFAFA"/>
          <w:lang w:val="en-IE"/>
        </w:rPr>
        <w:t>(b) which was a cartel (within the meaning given by paragraph 4(1) of Schedule 8A to that Act).</w:t>
      </w:r>
    </w:p>
    <w:p w14:paraId="0CDA1293" w14:textId="26C446C4" w:rsidR="00F957FA" w:rsidRPr="00F957FA" w:rsidRDefault="00F26284" w:rsidP="00F957FA">
      <w:pPr>
        <w:pStyle w:val="NormalAshurst"/>
        <w:rPr>
          <w:sz w:val="20"/>
          <w:szCs w:val="20"/>
          <w:shd w:val="clear" w:color="auto" w:fill="FAFAFA"/>
          <w:lang w:val="en-IE"/>
        </w:rPr>
      </w:pPr>
      <w:r w:rsidRPr="00F957FA">
        <w:rPr>
          <w:sz w:val="20"/>
          <w:szCs w:val="20"/>
          <w:shd w:val="clear" w:color="auto" w:fill="FAFAFA"/>
          <w:lang w:val="en-IE"/>
        </w:rPr>
        <w:t>(2) Sub-paragraph (1) does not apply if the CMA did not impose a penalty on the supplier or connected person in respect of the infringement because the supplier or connected person was an immunity recipient (within the meaning given by paragraph 14 of Schedule 8A to the Competition Act 1998).</w:t>
      </w:r>
    </w:p>
    <w:p w14:paraId="25075045" w14:textId="200B982F" w:rsidR="00F957FA" w:rsidRDefault="00F26284" w:rsidP="00F957FA">
      <w:pPr>
        <w:pStyle w:val="NormalAshurst"/>
        <w:rPr>
          <w:sz w:val="20"/>
          <w:szCs w:val="20"/>
          <w:shd w:val="clear" w:color="auto" w:fill="FAFAFA"/>
          <w:lang w:val="en-IE"/>
        </w:rPr>
      </w:pPr>
      <w:r w:rsidRPr="00F957FA">
        <w:rPr>
          <w:sz w:val="20"/>
          <w:szCs w:val="20"/>
          <w:shd w:val="clear" w:color="auto" w:fill="FAFAFA"/>
          <w:lang w:val="en-IE"/>
        </w:rPr>
        <w:t>(3) In this paragraph, references to the CMA include references to a regulator referred to in section 54(1) of the Competition Act 1998 in circumstances where it exercises functions concurrently with the CMA in accordance with that Act.</w:t>
      </w:r>
    </w:p>
    <w:p w14:paraId="46C325C4" w14:textId="75DA54BD" w:rsidR="004B6A89" w:rsidRPr="005D17B3" w:rsidRDefault="00F26284" w:rsidP="004B6A89">
      <w:pPr>
        <w:pStyle w:val="H2Ashurst"/>
        <w:rPr>
          <w:b/>
          <w:bCs/>
          <w:sz w:val="20"/>
          <w:szCs w:val="20"/>
          <w:shd w:val="clear" w:color="auto" w:fill="FAFAFA"/>
          <w:lang w:val="en-IE"/>
        </w:rPr>
      </w:pPr>
      <w:r w:rsidRPr="005D17B3">
        <w:rPr>
          <w:b/>
          <w:bCs/>
          <w:sz w:val="20"/>
          <w:szCs w:val="20"/>
          <w:shd w:val="clear" w:color="auto" w:fill="FAFAFA"/>
        </w:rPr>
        <w:t>Failure to cooperate with investigation</w:t>
      </w:r>
    </w:p>
    <w:p w14:paraId="42863AC9" w14:textId="58CBA389" w:rsidR="004B6A89" w:rsidRPr="005D17B3" w:rsidRDefault="00F26284" w:rsidP="004B6A89">
      <w:pPr>
        <w:pStyle w:val="H2Ashurst"/>
        <w:rPr>
          <w:sz w:val="20"/>
          <w:szCs w:val="20"/>
          <w:shd w:val="clear" w:color="auto" w:fill="FAFAFA"/>
          <w:lang w:val="en-IE"/>
        </w:rPr>
      </w:pPr>
      <w:r w:rsidRPr="005D17B3">
        <w:rPr>
          <w:sz w:val="20"/>
          <w:szCs w:val="20"/>
          <w:shd w:val="clear" w:color="auto" w:fill="FAFAFA"/>
          <w:lang w:val="en-IE"/>
        </w:rPr>
        <w:t>A mandatory exclusion ground applies to a supplier if—</w:t>
      </w:r>
    </w:p>
    <w:p w14:paraId="77534E9F" w14:textId="246286D0" w:rsidR="004B6A89" w:rsidRPr="005D17B3" w:rsidRDefault="00F26284" w:rsidP="004B6A89">
      <w:pPr>
        <w:pStyle w:val="H3Ashurst"/>
        <w:rPr>
          <w:sz w:val="20"/>
          <w:szCs w:val="20"/>
          <w:shd w:val="clear" w:color="auto" w:fill="FAFAFA"/>
          <w:lang w:val="en-IE"/>
        </w:rPr>
      </w:pPr>
      <w:r w:rsidRPr="005D17B3">
        <w:rPr>
          <w:sz w:val="20"/>
          <w:szCs w:val="20"/>
          <w:shd w:val="clear" w:color="auto" w:fill="FAFAFA"/>
          <w:lang w:val="en-IE"/>
        </w:rPr>
        <w:t xml:space="preserve">an appropriate authority has given the </w:t>
      </w:r>
      <w:proofErr w:type="gramStart"/>
      <w:r w:rsidRPr="005D17B3">
        <w:rPr>
          <w:sz w:val="20"/>
          <w:szCs w:val="20"/>
          <w:shd w:val="clear" w:color="auto" w:fill="FAFAFA"/>
          <w:lang w:val="en-IE"/>
        </w:rPr>
        <w:t>supplier</w:t>
      </w:r>
      <w:proofErr w:type="gramEnd"/>
      <w:r w:rsidRPr="005D17B3">
        <w:rPr>
          <w:sz w:val="20"/>
          <w:szCs w:val="20"/>
          <w:shd w:val="clear" w:color="auto" w:fill="FAFAFA"/>
          <w:lang w:val="en-IE"/>
        </w:rPr>
        <w:t xml:space="preserve"> or a connected person notice under section 60(6) of the Procurement Act 2023 (requests for documents or other assistance in connection with investigation),</w:t>
      </w:r>
    </w:p>
    <w:p w14:paraId="51757F64" w14:textId="0783DCB4" w:rsidR="004B6A89" w:rsidRPr="005D17B3" w:rsidRDefault="00F26284" w:rsidP="004B6A89">
      <w:pPr>
        <w:pStyle w:val="H3Ashurst"/>
        <w:rPr>
          <w:sz w:val="20"/>
          <w:szCs w:val="20"/>
          <w:shd w:val="clear" w:color="auto" w:fill="FAFAFA"/>
          <w:lang w:val="en-IE"/>
        </w:rPr>
      </w:pPr>
      <w:r w:rsidRPr="005D17B3">
        <w:rPr>
          <w:sz w:val="20"/>
          <w:szCs w:val="20"/>
          <w:shd w:val="clear" w:color="auto" w:fill="FAFAFA"/>
          <w:lang w:val="en-IE"/>
        </w:rPr>
        <w:t>the supplier or connected person has failed to comply with the notice to the satisfaction of the authority before the end of the period specified in the notice, and</w:t>
      </w:r>
    </w:p>
    <w:p w14:paraId="09C40795" w14:textId="5BFE83C0" w:rsidR="004B6A89" w:rsidRPr="005D17B3" w:rsidRDefault="00F26284" w:rsidP="004B6A89">
      <w:pPr>
        <w:pStyle w:val="H3Ashurst"/>
        <w:rPr>
          <w:sz w:val="20"/>
          <w:szCs w:val="20"/>
          <w:shd w:val="clear" w:color="auto" w:fill="FAFAFA"/>
          <w:lang w:val="en-IE"/>
        </w:rPr>
      </w:pPr>
      <w:r w:rsidRPr="005D17B3">
        <w:rPr>
          <w:sz w:val="20"/>
          <w:szCs w:val="20"/>
          <w:shd w:val="clear" w:color="auto" w:fill="FAFAFA"/>
          <w:lang w:val="en-IE"/>
        </w:rPr>
        <w:t xml:space="preserve">a Minister of the Crown has </w:t>
      </w:r>
      <w:proofErr w:type="gramStart"/>
      <w:r w:rsidRPr="005D17B3">
        <w:rPr>
          <w:sz w:val="20"/>
          <w:szCs w:val="20"/>
          <w:shd w:val="clear" w:color="auto" w:fill="FAFAFA"/>
          <w:lang w:val="en-IE"/>
        </w:rPr>
        <w:t>made a determination</w:t>
      </w:r>
      <w:proofErr w:type="gramEnd"/>
      <w:r w:rsidRPr="005D17B3">
        <w:rPr>
          <w:sz w:val="20"/>
          <w:szCs w:val="20"/>
          <w:shd w:val="clear" w:color="auto" w:fill="FAFAFA"/>
          <w:lang w:val="en-IE"/>
        </w:rPr>
        <w:t xml:space="preserve"> that the failure to do so was sufficiently serious so as to warrant constituting a mandatory exclusion ground.</w:t>
      </w:r>
    </w:p>
    <w:p w14:paraId="220739F5" w14:textId="6E8A3293" w:rsidR="00F957FA" w:rsidRPr="00172597" w:rsidRDefault="00F26284" w:rsidP="00F957FA">
      <w:pPr>
        <w:pStyle w:val="H2Ashurst"/>
        <w:rPr>
          <w:b/>
          <w:bCs/>
          <w:sz w:val="20"/>
          <w:szCs w:val="21"/>
          <w:shd w:val="clear" w:color="auto" w:fill="FAFAFA"/>
          <w:lang w:val="en-IE"/>
        </w:rPr>
      </w:pPr>
      <w:r w:rsidRPr="00172597">
        <w:rPr>
          <w:b/>
          <w:bCs/>
          <w:sz w:val="20"/>
          <w:szCs w:val="21"/>
          <w:shd w:val="clear" w:color="auto" w:fill="FAFAFA"/>
          <w:lang w:val="en-IE"/>
        </w:rPr>
        <w:t>Equivalents outside the United Kingdom</w:t>
      </w:r>
    </w:p>
    <w:p w14:paraId="31EF9591" w14:textId="77777777" w:rsidR="00F957FA" w:rsidRPr="00F957FA" w:rsidRDefault="00F26284" w:rsidP="00F957FA">
      <w:pPr>
        <w:pStyle w:val="NormalAshurst"/>
        <w:rPr>
          <w:sz w:val="20"/>
          <w:szCs w:val="20"/>
          <w:shd w:val="clear" w:color="auto" w:fill="FAFAFA"/>
          <w:lang w:val="en-IE"/>
        </w:rPr>
      </w:pPr>
      <w:r w:rsidRPr="00F957FA">
        <w:rPr>
          <w:sz w:val="20"/>
          <w:szCs w:val="20"/>
          <w:shd w:val="clear" w:color="auto" w:fill="FAFAFA"/>
          <w:lang w:val="en-IE"/>
        </w:rPr>
        <w:t>A mandatory exclusion ground applies to a supplier if the supplier or a connected person—</w:t>
      </w:r>
    </w:p>
    <w:p w14:paraId="4F49AF25" w14:textId="11D5CA85" w:rsidR="00F957FA" w:rsidRPr="00F957FA" w:rsidRDefault="00F26284" w:rsidP="00F957FA">
      <w:pPr>
        <w:pStyle w:val="NormalAshurst"/>
        <w:ind w:left="567"/>
        <w:rPr>
          <w:sz w:val="20"/>
          <w:szCs w:val="20"/>
          <w:shd w:val="clear" w:color="auto" w:fill="FAFAFA"/>
          <w:lang w:val="en-IE"/>
        </w:rPr>
      </w:pPr>
      <w:r w:rsidRPr="00F957FA">
        <w:rPr>
          <w:sz w:val="20"/>
          <w:szCs w:val="20"/>
          <w:shd w:val="clear" w:color="auto" w:fill="FAFAFA"/>
          <w:lang w:val="en-IE"/>
        </w:rPr>
        <w:t>(a)</w:t>
      </w:r>
      <w:r>
        <w:rPr>
          <w:sz w:val="20"/>
          <w:szCs w:val="20"/>
          <w:shd w:val="clear" w:color="auto" w:fill="FAFAFA"/>
          <w:lang w:val="en-IE"/>
        </w:rPr>
        <w:t xml:space="preserve"> </w:t>
      </w:r>
      <w:r w:rsidRPr="00F957FA">
        <w:rPr>
          <w:sz w:val="20"/>
          <w:szCs w:val="20"/>
          <w:shd w:val="clear" w:color="auto" w:fill="FAFAFA"/>
          <w:lang w:val="en-IE"/>
        </w:rPr>
        <w:t>has been subject to a penalty or a decision by a regulator, court or other authority outside the United Kingdom, where the conduct giving rise to that penalty or decision is conduct that would give rise to a penalty or decision referred to in any of paragraphs </w:t>
      </w:r>
      <w:r>
        <w:rPr>
          <w:sz w:val="20"/>
          <w:szCs w:val="20"/>
          <w:shd w:val="clear" w:color="auto" w:fill="FAFAFA"/>
          <w:lang w:val="en-IE"/>
        </w:rPr>
        <w:t>[1.11]</w:t>
      </w:r>
      <w:r w:rsidRPr="00F957FA">
        <w:rPr>
          <w:sz w:val="20"/>
          <w:szCs w:val="20"/>
          <w:shd w:val="clear" w:color="auto" w:fill="FAFAFA"/>
          <w:lang w:val="en-IE"/>
        </w:rPr>
        <w:t> to </w:t>
      </w:r>
      <w:r>
        <w:rPr>
          <w:sz w:val="20"/>
          <w:szCs w:val="20"/>
          <w:shd w:val="clear" w:color="auto" w:fill="FAFAFA"/>
          <w:lang w:val="en-IE"/>
        </w:rPr>
        <w:t>[1.12]</w:t>
      </w:r>
      <w:r w:rsidRPr="00F957FA">
        <w:rPr>
          <w:sz w:val="20"/>
          <w:szCs w:val="20"/>
          <w:shd w:val="clear" w:color="auto" w:fill="FAFAFA"/>
          <w:lang w:val="en-IE"/>
        </w:rPr>
        <w:t> if committed in the United Kingdom, in circumstances where the penalty or decision would be a mandatory exclusion ground, or</w:t>
      </w:r>
    </w:p>
    <w:p w14:paraId="121464DF" w14:textId="668797CE" w:rsidR="00F957FA" w:rsidRPr="00D01089" w:rsidRDefault="00F26284" w:rsidP="002F07FA">
      <w:pPr>
        <w:pStyle w:val="NormalAshurst"/>
        <w:ind w:left="567"/>
        <w:rPr>
          <w:sz w:val="20"/>
          <w:szCs w:val="20"/>
          <w:shd w:val="clear" w:color="auto" w:fill="FAFAFA"/>
          <w:lang w:val="en-IE"/>
        </w:rPr>
      </w:pPr>
      <w:r w:rsidRPr="00F957FA">
        <w:rPr>
          <w:sz w:val="20"/>
          <w:szCs w:val="20"/>
          <w:shd w:val="clear" w:color="auto" w:fill="FAFAFA"/>
          <w:lang w:val="en-IE"/>
        </w:rPr>
        <w:t>(b)</w:t>
      </w:r>
      <w:r>
        <w:rPr>
          <w:sz w:val="20"/>
          <w:szCs w:val="20"/>
          <w:shd w:val="clear" w:color="auto" w:fill="FAFAFA"/>
          <w:lang w:val="en-IE"/>
        </w:rPr>
        <w:t xml:space="preserve"> </w:t>
      </w:r>
      <w:r w:rsidRPr="00F957FA">
        <w:rPr>
          <w:sz w:val="20"/>
          <w:szCs w:val="20"/>
          <w:shd w:val="clear" w:color="auto" w:fill="FAFAFA"/>
          <w:lang w:val="en-IE"/>
        </w:rPr>
        <w:t>has had a tax advantage counteracted outside the United Kingdom, in circumstances where the supplier or connected person would have incurred a defeat of the kind referred to in paragraph </w:t>
      </w:r>
      <w:r>
        <w:rPr>
          <w:sz w:val="20"/>
          <w:szCs w:val="20"/>
          <w:shd w:val="clear" w:color="auto" w:fill="FAFAFA"/>
          <w:lang w:val="en-IE"/>
        </w:rPr>
        <w:t>[1.11]</w:t>
      </w:r>
      <w:r w:rsidRPr="00F957FA">
        <w:rPr>
          <w:sz w:val="20"/>
          <w:szCs w:val="20"/>
          <w:shd w:val="clear" w:color="auto" w:fill="FAFAFA"/>
          <w:lang w:val="en-IE"/>
        </w:rPr>
        <w:t> had the tax advantage arisen in respect of tax payable in the United Kingdom.</w:t>
      </w:r>
    </w:p>
    <w:p w14:paraId="32D2FE55" w14:textId="77777777" w:rsidR="001550A0" w:rsidRPr="002F07FA" w:rsidRDefault="00F26284" w:rsidP="002F07FA">
      <w:pPr>
        <w:pStyle w:val="H1Ashurst"/>
        <w:rPr>
          <w:sz w:val="20"/>
          <w:szCs w:val="21"/>
        </w:rPr>
      </w:pPr>
      <w:bookmarkStart w:id="146" w:name="_Toc190707081"/>
      <w:bookmarkStart w:id="147" w:name="_Toc190707130"/>
      <w:bookmarkStart w:id="148" w:name="_Toc190707180"/>
      <w:r w:rsidRPr="002F07FA">
        <w:rPr>
          <w:sz w:val="20"/>
          <w:szCs w:val="21"/>
        </w:rPr>
        <w:t>Discretionary Exclusions Grounds</w:t>
      </w:r>
      <w:bookmarkEnd w:id="146"/>
      <w:bookmarkEnd w:id="147"/>
      <w:bookmarkEnd w:id="148"/>
    </w:p>
    <w:p w14:paraId="352B5A28" w14:textId="4FA95435" w:rsidR="00D03386" w:rsidRDefault="00F26284" w:rsidP="001550A0">
      <w:pPr>
        <w:pStyle w:val="Level2"/>
        <w:numPr>
          <w:ilvl w:val="0"/>
          <w:numId w:val="0"/>
        </w:numPr>
        <w:jc w:val="left"/>
        <w:rPr>
          <w:rFonts w:asciiTheme="minorHAnsi" w:eastAsia="Arial" w:hAnsiTheme="minorHAnsi" w:cstheme="minorHAnsi"/>
        </w:rPr>
      </w:pPr>
      <w:r w:rsidRPr="007212D3">
        <w:rPr>
          <w:rFonts w:asciiTheme="minorHAnsi" w:eastAsia="Arial" w:hAnsiTheme="minorHAnsi" w:cstheme="minorHAnsi"/>
        </w:rPr>
        <w:t xml:space="preserve">Listed in </w:t>
      </w:r>
      <w:r w:rsidR="001550A0">
        <w:rPr>
          <w:rFonts w:asciiTheme="minorHAnsi" w:eastAsia="Arial" w:hAnsiTheme="minorHAnsi" w:cstheme="minorHAnsi"/>
        </w:rPr>
        <w:t>Procurement Act 2023, Schedule 7.</w:t>
      </w:r>
      <w:r w:rsidR="002F07FA">
        <w:rPr>
          <w:rFonts w:asciiTheme="minorHAnsi" w:eastAsia="Arial" w:hAnsiTheme="minorHAnsi" w:cstheme="minorHAnsi"/>
        </w:rPr>
        <w:t xml:space="preserve"> See the Schedule for full text and definitions.</w:t>
      </w:r>
    </w:p>
    <w:p w14:paraId="1A3D676C" w14:textId="7ABC3BA2" w:rsidR="002F07FA" w:rsidRPr="00172597" w:rsidRDefault="00F26284" w:rsidP="002F07FA">
      <w:pPr>
        <w:pStyle w:val="H2Ashurst"/>
        <w:rPr>
          <w:b/>
          <w:bCs/>
          <w:sz w:val="20"/>
          <w:szCs w:val="21"/>
        </w:rPr>
      </w:pPr>
      <w:r w:rsidRPr="00172597">
        <w:rPr>
          <w:b/>
          <w:bCs/>
          <w:sz w:val="20"/>
          <w:szCs w:val="21"/>
        </w:rPr>
        <w:t>Labour market misconduct</w:t>
      </w:r>
    </w:p>
    <w:p w14:paraId="623E9EEA" w14:textId="77777777" w:rsidR="002F07FA" w:rsidRDefault="00F26284" w:rsidP="002F07FA">
      <w:pPr>
        <w:pStyle w:val="Level2"/>
        <w:numPr>
          <w:ilvl w:val="0"/>
          <w:numId w:val="0"/>
        </w:numPr>
        <w:ind w:left="720" w:hanging="720"/>
        <w:rPr>
          <w:rFonts w:asciiTheme="minorHAnsi" w:eastAsia="Arial" w:hAnsiTheme="minorHAnsi" w:cstheme="minorHAnsi"/>
          <w:lang w:val="en-IE"/>
        </w:rPr>
      </w:pPr>
      <w:r w:rsidRPr="002F07FA">
        <w:rPr>
          <w:rFonts w:asciiTheme="minorHAnsi" w:eastAsia="Arial" w:hAnsiTheme="minorHAnsi" w:cstheme="minorHAnsi"/>
          <w:lang w:val="en-IE"/>
        </w:rPr>
        <w:t>A discretionary exclusion ground applies to a supplier if any of the following orders has been mad</w:t>
      </w:r>
      <w:r>
        <w:rPr>
          <w:rFonts w:asciiTheme="minorHAnsi" w:eastAsia="Arial" w:hAnsiTheme="minorHAnsi" w:cstheme="minorHAnsi"/>
          <w:lang w:val="en-IE"/>
        </w:rPr>
        <w:t xml:space="preserve">e </w:t>
      </w:r>
    </w:p>
    <w:p w14:paraId="408A9EA7" w14:textId="2CF78D57" w:rsidR="002F07FA" w:rsidRPr="002F07FA" w:rsidRDefault="00F26284" w:rsidP="002F07FA">
      <w:pPr>
        <w:pStyle w:val="Level2"/>
        <w:numPr>
          <w:ilvl w:val="0"/>
          <w:numId w:val="0"/>
        </w:numPr>
        <w:ind w:left="720" w:hanging="720"/>
        <w:rPr>
          <w:rFonts w:asciiTheme="minorHAnsi" w:eastAsia="Arial" w:hAnsiTheme="minorHAnsi" w:cstheme="minorHAnsi"/>
          <w:lang w:val="en-IE"/>
        </w:rPr>
      </w:pPr>
      <w:r w:rsidRPr="002F07FA">
        <w:rPr>
          <w:rFonts w:asciiTheme="minorHAnsi" w:eastAsia="Arial" w:hAnsiTheme="minorHAnsi" w:cstheme="minorHAnsi"/>
          <w:lang w:val="en-IE"/>
        </w:rPr>
        <w:t>against the supplier or a connected person—</w:t>
      </w:r>
    </w:p>
    <w:p w14:paraId="58131BA4" w14:textId="42371FAE" w:rsidR="002F07FA" w:rsidRDefault="00F26284" w:rsidP="002F07FA">
      <w:pPr>
        <w:pStyle w:val="Level3"/>
        <w:numPr>
          <w:ilvl w:val="0"/>
          <w:numId w:val="0"/>
        </w:numPr>
        <w:ind w:left="567"/>
        <w:rPr>
          <w:rFonts w:eastAsia="Arial"/>
          <w:lang w:val="en-IE"/>
        </w:rPr>
      </w:pPr>
      <w:r w:rsidRPr="002F07FA">
        <w:rPr>
          <w:rFonts w:eastAsia="Arial"/>
          <w:lang w:val="en-IE"/>
        </w:rPr>
        <w:t>(a</w:t>
      </w:r>
      <w:r>
        <w:rPr>
          <w:rFonts w:eastAsia="Arial"/>
          <w:lang w:val="en-IE"/>
        </w:rPr>
        <w:t xml:space="preserve">) </w:t>
      </w:r>
      <w:r w:rsidRPr="002F07FA">
        <w:rPr>
          <w:rFonts w:eastAsia="Arial"/>
          <w:lang w:val="en-IE"/>
        </w:rPr>
        <w:t xml:space="preserve">a slavery and trafficking prevention order, an interim slavery and trafficking prevention order, a slavery and trafficking risk order or an interim slavery and trafficking risk order under Part 2 of the Modern Slavery Act </w:t>
      </w:r>
      <w:proofErr w:type="gramStart"/>
      <w:r w:rsidRPr="002F07FA">
        <w:rPr>
          <w:rFonts w:eastAsia="Arial"/>
          <w:lang w:val="en-IE"/>
        </w:rPr>
        <w:t>2015;</w:t>
      </w:r>
      <w:proofErr w:type="gramEnd"/>
    </w:p>
    <w:p w14:paraId="09042723" w14:textId="6DA08BE0" w:rsidR="002F07FA" w:rsidRDefault="00F26284" w:rsidP="002F07FA">
      <w:pPr>
        <w:pStyle w:val="Level3"/>
        <w:numPr>
          <w:ilvl w:val="0"/>
          <w:numId w:val="0"/>
        </w:numPr>
        <w:ind w:left="1287" w:hanging="720"/>
        <w:rPr>
          <w:rFonts w:eastAsia="Arial"/>
          <w:lang w:val="en-IE"/>
        </w:rPr>
      </w:pPr>
      <w:r>
        <w:rPr>
          <w:rFonts w:eastAsia="Arial"/>
          <w:lang w:val="en-IE"/>
        </w:rPr>
        <w:t xml:space="preserve">(b) </w:t>
      </w:r>
      <w:r w:rsidRPr="002F07FA">
        <w:rPr>
          <w:rFonts w:eastAsia="Arial"/>
          <w:lang w:val="en-IE"/>
        </w:rPr>
        <w:t>a labour market enforcement order under section 18 of the Immigration Act 2016.</w:t>
      </w:r>
    </w:p>
    <w:p w14:paraId="43A2D2C9" w14:textId="2F89BF10" w:rsidR="002F07FA" w:rsidRDefault="00F26284" w:rsidP="002F07FA">
      <w:pPr>
        <w:pStyle w:val="Level1"/>
        <w:numPr>
          <w:ilvl w:val="0"/>
          <w:numId w:val="0"/>
        </w:numPr>
        <w:rPr>
          <w:rFonts w:eastAsia="Arial"/>
          <w:lang w:val="en-IE"/>
        </w:rPr>
      </w:pPr>
      <w:r w:rsidRPr="002F07FA">
        <w:rPr>
          <w:rFonts w:eastAsia="Arial"/>
          <w:lang w:val="en-IE"/>
        </w:rPr>
        <w:t>A discretionary exclusion ground applies to a supplier if the supplier or a connected person has engaged in conduct outside the United Kingdom that the decision-maker considers could result in any such order being made if the conduct occurred in the United Kingdom.</w:t>
      </w:r>
    </w:p>
    <w:p w14:paraId="2AE62579" w14:textId="5BC100BE" w:rsidR="002F07FA" w:rsidRPr="002F07FA" w:rsidRDefault="00F26284" w:rsidP="002F07FA">
      <w:pPr>
        <w:pStyle w:val="Level1"/>
        <w:numPr>
          <w:ilvl w:val="0"/>
          <w:numId w:val="0"/>
        </w:numPr>
        <w:rPr>
          <w:rFonts w:eastAsia="Arial"/>
          <w:lang w:val="en-IE"/>
        </w:rPr>
      </w:pPr>
      <w:r w:rsidRPr="002F07FA">
        <w:rPr>
          <w:rFonts w:eastAsia="Arial"/>
          <w:lang w:val="en-IE"/>
        </w:rPr>
        <w:t>A discretionary exclusion ground applies to a supplier if the decision-maker considers that there is sufficient evidence that the supplier or a connected person has engaged in conduct (whether in or outside the United Kingdom) constituting (or that would, if it occurred in the United Kingdom, constitute) an offence referred to in—</w:t>
      </w:r>
    </w:p>
    <w:p w14:paraId="464F9D4C" w14:textId="7CEC07B3" w:rsidR="002F07FA" w:rsidRPr="002F07FA" w:rsidRDefault="00F26284" w:rsidP="002F07FA">
      <w:pPr>
        <w:pStyle w:val="Level1"/>
        <w:numPr>
          <w:ilvl w:val="0"/>
          <w:numId w:val="0"/>
        </w:numPr>
        <w:ind w:left="567"/>
        <w:rPr>
          <w:rFonts w:eastAsia="Arial"/>
          <w:lang w:val="en-IE"/>
        </w:rPr>
      </w:pPr>
      <w:r w:rsidRPr="002F07FA">
        <w:rPr>
          <w:rFonts w:eastAsia="Arial"/>
          <w:lang w:val="en-IE"/>
        </w:rPr>
        <w:t>(a)</w:t>
      </w:r>
      <w:r>
        <w:rPr>
          <w:rFonts w:eastAsia="Arial"/>
          <w:lang w:val="en-IE"/>
        </w:rPr>
        <w:t xml:space="preserve"> </w:t>
      </w:r>
      <w:r w:rsidRPr="002F07FA">
        <w:rPr>
          <w:rFonts w:eastAsia="Arial"/>
          <w:lang w:val="en-IE"/>
        </w:rPr>
        <w:t>section 1, 2, 4 or 30 of the Modern Slavery Act 2015</w:t>
      </w:r>
      <w:r>
        <w:rPr>
          <w:rFonts w:eastAsia="Arial"/>
          <w:lang w:val="en-IE"/>
        </w:rPr>
        <w:t>.</w:t>
      </w:r>
    </w:p>
    <w:p w14:paraId="18645257" w14:textId="77777777" w:rsidR="002F07FA" w:rsidRPr="00172597" w:rsidRDefault="00F26284" w:rsidP="002F07FA">
      <w:pPr>
        <w:pStyle w:val="H2Ashurst"/>
        <w:rPr>
          <w:b/>
          <w:bCs/>
          <w:lang w:val="en-IE"/>
        </w:rPr>
      </w:pPr>
      <w:r w:rsidRPr="00172597">
        <w:rPr>
          <w:b/>
          <w:bCs/>
          <w:sz w:val="20"/>
          <w:szCs w:val="21"/>
          <w:lang w:val="en-IE"/>
        </w:rPr>
        <w:t>Environmental misconduct</w:t>
      </w:r>
    </w:p>
    <w:p w14:paraId="5BB78DF9" w14:textId="3E06C764" w:rsidR="002F07FA" w:rsidRPr="002F07FA" w:rsidRDefault="00F26284" w:rsidP="002F07FA">
      <w:pPr>
        <w:pStyle w:val="Level1"/>
        <w:numPr>
          <w:ilvl w:val="0"/>
          <w:numId w:val="0"/>
        </w:numPr>
        <w:ind w:left="720" w:hanging="720"/>
        <w:rPr>
          <w:rFonts w:eastAsia="Arial"/>
          <w:lang w:val="en-IE"/>
        </w:rPr>
      </w:pPr>
      <w:r w:rsidRPr="002F07FA">
        <w:rPr>
          <w:rFonts w:eastAsia="Arial"/>
          <w:lang w:val="en-IE"/>
        </w:rPr>
        <w:t>A discretionary exclusion ground applies to a supplier if—</w:t>
      </w:r>
    </w:p>
    <w:p w14:paraId="2BCE7668" w14:textId="54D498F4" w:rsidR="002F07FA" w:rsidRPr="002F07FA" w:rsidRDefault="00F26284" w:rsidP="002F07FA">
      <w:pPr>
        <w:pStyle w:val="Level1"/>
        <w:numPr>
          <w:ilvl w:val="0"/>
          <w:numId w:val="0"/>
        </w:numPr>
        <w:ind w:left="567"/>
        <w:rPr>
          <w:rFonts w:eastAsia="Arial"/>
          <w:lang w:val="en-IE"/>
        </w:rPr>
      </w:pPr>
      <w:r w:rsidRPr="002F07FA">
        <w:rPr>
          <w:rFonts w:eastAsia="Arial"/>
          <w:lang w:val="en-IE"/>
        </w:rPr>
        <w:t>(a)</w:t>
      </w:r>
      <w:r>
        <w:rPr>
          <w:rFonts w:eastAsia="Arial"/>
          <w:lang w:val="en-IE"/>
        </w:rPr>
        <w:t xml:space="preserve"> </w:t>
      </w:r>
      <w:r w:rsidRPr="002F07FA">
        <w:rPr>
          <w:rFonts w:eastAsia="Arial"/>
          <w:lang w:val="en-IE"/>
        </w:rPr>
        <w:t>the supplier or a connected person has been convicted of an offence (whether in or outside the United Kingdom), and</w:t>
      </w:r>
    </w:p>
    <w:p w14:paraId="2AA12B4E" w14:textId="7AFCA8FF" w:rsidR="002F07FA" w:rsidRPr="002F07FA" w:rsidRDefault="00F26284" w:rsidP="002F07FA">
      <w:pPr>
        <w:pStyle w:val="Level1"/>
        <w:numPr>
          <w:ilvl w:val="0"/>
          <w:numId w:val="0"/>
        </w:numPr>
        <w:ind w:left="567"/>
        <w:rPr>
          <w:rFonts w:eastAsia="Arial"/>
          <w:lang w:val="en-IE"/>
        </w:rPr>
      </w:pPr>
      <w:r w:rsidRPr="002F07FA">
        <w:rPr>
          <w:rFonts w:eastAsia="Arial"/>
          <w:lang w:val="en-IE"/>
        </w:rPr>
        <w:t>(b)</w:t>
      </w:r>
      <w:r>
        <w:rPr>
          <w:rFonts w:eastAsia="Arial"/>
          <w:lang w:val="en-IE"/>
        </w:rPr>
        <w:t xml:space="preserve"> </w:t>
      </w:r>
      <w:r w:rsidRPr="002F07FA">
        <w:rPr>
          <w:rFonts w:eastAsia="Arial"/>
          <w:lang w:val="en-IE"/>
        </w:rPr>
        <w:t>the conduct constituting the offence caused, or had the potential to cause, significant harm to the environment, including the life and health of plants and animals.</w:t>
      </w:r>
    </w:p>
    <w:p w14:paraId="05C2EC76" w14:textId="77777777" w:rsidR="002F07FA" w:rsidRPr="00172597" w:rsidRDefault="00F26284" w:rsidP="002F07FA">
      <w:pPr>
        <w:pStyle w:val="H2Ashurst"/>
        <w:rPr>
          <w:b/>
          <w:bCs/>
          <w:sz w:val="20"/>
          <w:szCs w:val="21"/>
          <w:lang w:val="en-IE"/>
        </w:rPr>
      </w:pPr>
      <w:r w:rsidRPr="00172597">
        <w:rPr>
          <w:b/>
          <w:bCs/>
          <w:sz w:val="20"/>
          <w:szCs w:val="21"/>
          <w:lang w:val="en-IE"/>
        </w:rPr>
        <w:t>Insolvency, bankruptcy, etc</w:t>
      </w:r>
    </w:p>
    <w:p w14:paraId="21F61B33" w14:textId="2974AC03" w:rsidR="002F07FA" w:rsidRPr="002F07FA" w:rsidRDefault="00F26284" w:rsidP="002F07FA">
      <w:pPr>
        <w:pStyle w:val="Level1"/>
        <w:numPr>
          <w:ilvl w:val="0"/>
          <w:numId w:val="0"/>
        </w:numPr>
        <w:ind w:left="720" w:hanging="720"/>
        <w:rPr>
          <w:rFonts w:eastAsia="Arial"/>
          <w:lang w:val="en-IE"/>
        </w:rPr>
      </w:pPr>
      <w:r w:rsidRPr="002F07FA">
        <w:rPr>
          <w:rFonts w:eastAsia="Arial"/>
          <w:lang w:val="en-IE"/>
        </w:rPr>
        <w:t>A discretionary exclusion ground applies to a supplier if the supplier or a connected person has—</w:t>
      </w:r>
    </w:p>
    <w:p w14:paraId="797E2D12" w14:textId="67DF126E" w:rsidR="002F07FA" w:rsidRPr="002F07FA" w:rsidRDefault="00F26284" w:rsidP="002F07FA">
      <w:pPr>
        <w:pStyle w:val="Level1"/>
        <w:numPr>
          <w:ilvl w:val="0"/>
          <w:numId w:val="0"/>
        </w:numPr>
        <w:ind w:left="720"/>
        <w:rPr>
          <w:rFonts w:eastAsia="Arial"/>
          <w:lang w:val="en-IE"/>
        </w:rPr>
      </w:pPr>
      <w:r w:rsidRPr="002F07FA">
        <w:rPr>
          <w:rFonts w:eastAsia="Arial"/>
          <w:lang w:val="en-IE"/>
        </w:rPr>
        <w:t>(a)</w:t>
      </w:r>
      <w:r>
        <w:rPr>
          <w:rFonts w:eastAsia="Arial"/>
          <w:lang w:val="en-IE"/>
        </w:rPr>
        <w:t xml:space="preserve"> </w:t>
      </w:r>
      <w:r w:rsidRPr="002F07FA">
        <w:rPr>
          <w:rFonts w:eastAsia="Arial"/>
          <w:lang w:val="en-IE"/>
        </w:rPr>
        <w:t>become bankrupt,</w:t>
      </w:r>
    </w:p>
    <w:p w14:paraId="7893F88E" w14:textId="2749ED0E" w:rsidR="002F07FA" w:rsidRPr="002F07FA" w:rsidRDefault="00F26284" w:rsidP="002F07FA">
      <w:pPr>
        <w:pStyle w:val="Level1"/>
        <w:numPr>
          <w:ilvl w:val="0"/>
          <w:numId w:val="0"/>
        </w:numPr>
        <w:ind w:left="720"/>
        <w:rPr>
          <w:rFonts w:eastAsia="Arial"/>
          <w:lang w:val="en-IE"/>
        </w:rPr>
      </w:pPr>
      <w:r w:rsidRPr="002F07FA">
        <w:rPr>
          <w:rFonts w:eastAsia="Arial"/>
          <w:lang w:val="en-IE"/>
        </w:rPr>
        <w:t>(b)</w:t>
      </w:r>
      <w:r>
        <w:rPr>
          <w:rFonts w:eastAsia="Arial"/>
          <w:lang w:val="en-IE"/>
        </w:rPr>
        <w:t xml:space="preserve"> </w:t>
      </w:r>
      <w:r w:rsidRPr="002F07FA">
        <w:rPr>
          <w:rFonts w:eastAsia="Arial"/>
          <w:lang w:val="en-IE"/>
        </w:rPr>
        <w:t>become subject to insolvency or winding-up proceedings,</w:t>
      </w:r>
    </w:p>
    <w:p w14:paraId="5FB36AE0" w14:textId="5A17F0A6" w:rsidR="002F07FA" w:rsidRPr="002F07FA" w:rsidRDefault="00F26284" w:rsidP="002F07FA">
      <w:pPr>
        <w:pStyle w:val="Level1"/>
        <w:numPr>
          <w:ilvl w:val="0"/>
          <w:numId w:val="0"/>
        </w:numPr>
        <w:ind w:left="720"/>
        <w:rPr>
          <w:rFonts w:eastAsia="Arial"/>
          <w:lang w:val="en-IE"/>
        </w:rPr>
      </w:pPr>
      <w:r w:rsidRPr="002F07FA">
        <w:rPr>
          <w:rFonts w:eastAsia="Arial"/>
          <w:lang w:val="en-IE"/>
        </w:rPr>
        <w:t>(c)</w:t>
      </w:r>
      <w:r>
        <w:rPr>
          <w:rFonts w:eastAsia="Arial"/>
          <w:lang w:val="en-IE"/>
        </w:rPr>
        <w:t xml:space="preserve"> </w:t>
      </w:r>
      <w:r w:rsidRPr="002F07FA">
        <w:rPr>
          <w:rFonts w:eastAsia="Arial"/>
          <w:lang w:val="en-IE"/>
        </w:rPr>
        <w:t>had its assets subject to administration or receivership, including by a liquidator or court,</w:t>
      </w:r>
    </w:p>
    <w:p w14:paraId="011806FE" w14:textId="637803D8" w:rsidR="002F07FA" w:rsidRPr="002F07FA" w:rsidRDefault="00F26284" w:rsidP="002F07FA">
      <w:pPr>
        <w:pStyle w:val="Level1"/>
        <w:numPr>
          <w:ilvl w:val="0"/>
          <w:numId w:val="0"/>
        </w:numPr>
        <w:ind w:left="720"/>
        <w:rPr>
          <w:rFonts w:eastAsia="Arial"/>
          <w:lang w:val="en-IE"/>
        </w:rPr>
      </w:pPr>
      <w:r w:rsidRPr="002F07FA">
        <w:rPr>
          <w:rFonts w:eastAsia="Arial"/>
          <w:lang w:val="en-IE"/>
        </w:rPr>
        <w:t>(d)</w:t>
      </w:r>
      <w:r>
        <w:rPr>
          <w:rFonts w:eastAsia="Arial"/>
          <w:lang w:val="en-IE"/>
        </w:rPr>
        <w:t xml:space="preserve"> </w:t>
      </w:r>
      <w:r w:rsidRPr="002F07FA">
        <w:rPr>
          <w:rFonts w:eastAsia="Arial"/>
          <w:lang w:val="en-IE"/>
        </w:rPr>
        <w:t>entered into an arrangement with its creditors,</w:t>
      </w:r>
    </w:p>
    <w:p w14:paraId="11D0FC2B" w14:textId="0E3852C2" w:rsidR="002F07FA" w:rsidRPr="002F07FA" w:rsidRDefault="00F26284" w:rsidP="002F07FA">
      <w:pPr>
        <w:pStyle w:val="Level1"/>
        <w:numPr>
          <w:ilvl w:val="0"/>
          <w:numId w:val="0"/>
        </w:numPr>
        <w:ind w:left="720"/>
        <w:rPr>
          <w:rFonts w:eastAsia="Arial"/>
          <w:lang w:val="en-IE"/>
        </w:rPr>
      </w:pPr>
      <w:r w:rsidRPr="002F07FA">
        <w:rPr>
          <w:rFonts w:eastAsia="Arial"/>
          <w:lang w:val="en-IE"/>
        </w:rPr>
        <w:t>(e)</w:t>
      </w:r>
      <w:r>
        <w:rPr>
          <w:rFonts w:eastAsia="Arial"/>
          <w:lang w:val="en-IE"/>
        </w:rPr>
        <w:t xml:space="preserve"> </w:t>
      </w:r>
      <w:r w:rsidRPr="002F07FA">
        <w:rPr>
          <w:rFonts w:eastAsia="Arial"/>
          <w:lang w:val="en-IE"/>
        </w:rPr>
        <w:t>become subject to a petition or application for any such procedures or arrangements, or</w:t>
      </w:r>
    </w:p>
    <w:p w14:paraId="1966B273" w14:textId="5ACD6AD6" w:rsidR="002F07FA" w:rsidRDefault="00F26284" w:rsidP="002F07FA">
      <w:pPr>
        <w:pStyle w:val="Level1"/>
        <w:numPr>
          <w:ilvl w:val="0"/>
          <w:numId w:val="0"/>
        </w:numPr>
        <w:ind w:left="720"/>
        <w:rPr>
          <w:rFonts w:eastAsia="Arial"/>
          <w:lang w:val="en-IE"/>
        </w:rPr>
      </w:pPr>
      <w:r w:rsidRPr="002F07FA">
        <w:rPr>
          <w:rFonts w:eastAsia="Arial"/>
          <w:lang w:val="en-IE"/>
        </w:rPr>
        <w:t>(f)</w:t>
      </w:r>
      <w:r>
        <w:rPr>
          <w:rFonts w:eastAsia="Arial"/>
          <w:lang w:val="en-IE"/>
        </w:rPr>
        <w:t xml:space="preserve"> </w:t>
      </w:r>
      <w:r w:rsidRPr="002F07FA">
        <w:rPr>
          <w:rFonts w:eastAsia="Arial"/>
          <w:lang w:val="en-IE"/>
        </w:rPr>
        <w:t xml:space="preserve">in any jurisdiction, been subject to a procedure or an application the decision-maker considers </w:t>
      </w:r>
      <w:proofErr w:type="gramStart"/>
      <w:r w:rsidRPr="002F07FA">
        <w:rPr>
          <w:rFonts w:eastAsia="Arial"/>
          <w:lang w:val="en-IE"/>
        </w:rPr>
        <w:t>to correspond</w:t>
      </w:r>
      <w:proofErr w:type="gramEnd"/>
      <w:r w:rsidRPr="002F07FA">
        <w:rPr>
          <w:rFonts w:eastAsia="Arial"/>
          <w:lang w:val="en-IE"/>
        </w:rPr>
        <w:t xml:space="preserve"> to any procedure or application mentioned in paragraphs (a) to (e).</w:t>
      </w:r>
    </w:p>
    <w:p w14:paraId="27E75E70" w14:textId="2FCF7E5B" w:rsidR="002F07FA" w:rsidRDefault="00F26284" w:rsidP="002F07FA">
      <w:pPr>
        <w:pStyle w:val="Level1"/>
        <w:numPr>
          <w:ilvl w:val="0"/>
          <w:numId w:val="0"/>
        </w:numPr>
        <w:rPr>
          <w:rFonts w:eastAsia="Arial"/>
          <w:lang w:val="en-IE"/>
        </w:rPr>
      </w:pPr>
      <w:r w:rsidRPr="002F07FA">
        <w:rPr>
          <w:rFonts w:eastAsia="Arial"/>
          <w:lang w:val="en-IE"/>
        </w:rPr>
        <w:t>A discretionary exclusion ground applies to a supplier if the supplier or a connected person has suspended or ceased carrying on all or a substantial part of its business.</w:t>
      </w:r>
    </w:p>
    <w:p w14:paraId="3059225A" w14:textId="0DA782B0" w:rsidR="002F07FA" w:rsidRPr="00172597" w:rsidRDefault="00F26284" w:rsidP="002F07FA">
      <w:pPr>
        <w:pStyle w:val="H2Ashurst"/>
        <w:rPr>
          <w:sz w:val="20"/>
          <w:szCs w:val="21"/>
          <w:lang w:val="en-IE"/>
        </w:rPr>
      </w:pPr>
      <w:r w:rsidRPr="00172597">
        <w:rPr>
          <w:b/>
          <w:bCs/>
          <w:sz w:val="20"/>
          <w:szCs w:val="21"/>
          <w:lang w:val="en-IE"/>
        </w:rPr>
        <w:t>Potential competition law violations</w:t>
      </w:r>
    </w:p>
    <w:p w14:paraId="7BF1BDC7" w14:textId="4C65E360" w:rsidR="002F07FA" w:rsidRPr="002F07FA" w:rsidRDefault="00F26284" w:rsidP="00A409DC">
      <w:pPr>
        <w:pStyle w:val="Level1"/>
        <w:numPr>
          <w:ilvl w:val="0"/>
          <w:numId w:val="0"/>
        </w:numPr>
        <w:rPr>
          <w:rFonts w:eastAsia="Arial"/>
        </w:rPr>
      </w:pPr>
      <w:r w:rsidRPr="002F07FA">
        <w:rPr>
          <w:rFonts w:eastAsia="Arial"/>
        </w:rPr>
        <w:t>(1)</w:t>
      </w:r>
      <w:r>
        <w:rPr>
          <w:rFonts w:eastAsia="Arial"/>
        </w:rPr>
        <w:t xml:space="preserve"> </w:t>
      </w:r>
      <w:r w:rsidRPr="002F07FA">
        <w:rPr>
          <w:rFonts w:eastAsia="Arial"/>
        </w:rPr>
        <w:t>A discretionary exclusion ground applies to a supplier if the decision-maker considers that an agreement or concerted practice to which the supplier or a connected person is party has infringed—</w:t>
      </w:r>
    </w:p>
    <w:p w14:paraId="211989EC" w14:textId="7BD0B74F" w:rsidR="002F07FA" w:rsidRPr="002F07FA" w:rsidRDefault="00F26284" w:rsidP="00A409DC">
      <w:pPr>
        <w:pStyle w:val="Level1"/>
        <w:numPr>
          <w:ilvl w:val="0"/>
          <w:numId w:val="0"/>
        </w:numPr>
        <w:ind w:left="720"/>
        <w:rPr>
          <w:rFonts w:eastAsia="Arial"/>
        </w:rPr>
      </w:pPr>
      <w:r w:rsidRPr="002F07FA">
        <w:rPr>
          <w:rFonts w:eastAsia="Arial"/>
        </w:rPr>
        <w:t>(a)</w:t>
      </w:r>
      <w:r>
        <w:rPr>
          <w:rFonts w:eastAsia="Arial"/>
        </w:rPr>
        <w:t xml:space="preserve"> </w:t>
      </w:r>
      <w:r w:rsidRPr="002F07FA">
        <w:rPr>
          <w:rFonts w:eastAsia="Arial"/>
        </w:rPr>
        <w:t>the Chapter I prohibition (within the meaning given by section 2 of the Competition Act 1998),</w:t>
      </w:r>
      <w:r>
        <w:rPr>
          <w:rFonts w:eastAsia="Arial"/>
        </w:rPr>
        <w:t xml:space="preserve"> </w:t>
      </w:r>
      <w:r w:rsidRPr="002F07FA">
        <w:rPr>
          <w:rFonts w:eastAsia="Arial"/>
        </w:rPr>
        <w:t>or</w:t>
      </w:r>
    </w:p>
    <w:p w14:paraId="0232CD6C" w14:textId="77777777" w:rsidR="00A409DC" w:rsidRDefault="00F26284" w:rsidP="00A409DC">
      <w:pPr>
        <w:pStyle w:val="Level1"/>
        <w:numPr>
          <w:ilvl w:val="0"/>
          <w:numId w:val="0"/>
        </w:numPr>
        <w:ind w:left="720"/>
        <w:rPr>
          <w:rFonts w:eastAsia="Arial"/>
        </w:rPr>
      </w:pPr>
      <w:r w:rsidRPr="002F07FA">
        <w:rPr>
          <w:rFonts w:eastAsia="Arial"/>
        </w:rPr>
        <w:t>(b)</w:t>
      </w:r>
      <w:r>
        <w:rPr>
          <w:rFonts w:eastAsia="Arial"/>
        </w:rPr>
        <w:t xml:space="preserve"> </w:t>
      </w:r>
      <w:r w:rsidRPr="002F07FA">
        <w:rPr>
          <w:rFonts w:eastAsia="Arial"/>
        </w:rPr>
        <w:t>any substantially similar prohibition applicable in a jurisdiction outside the United Kingdom.</w:t>
      </w:r>
    </w:p>
    <w:p w14:paraId="40852D91" w14:textId="69C69443" w:rsidR="002F07FA" w:rsidRPr="002F07FA" w:rsidRDefault="00F26284" w:rsidP="00A409DC">
      <w:pPr>
        <w:pStyle w:val="Level1"/>
        <w:numPr>
          <w:ilvl w:val="0"/>
          <w:numId w:val="0"/>
        </w:numPr>
        <w:ind w:left="720" w:hanging="720"/>
        <w:rPr>
          <w:rFonts w:eastAsia="Arial"/>
        </w:rPr>
      </w:pPr>
      <w:r>
        <w:rPr>
          <w:rFonts w:eastAsia="Arial"/>
        </w:rPr>
        <w:t xml:space="preserve">(2) </w:t>
      </w:r>
      <w:r w:rsidRPr="002F07FA">
        <w:rPr>
          <w:rFonts w:eastAsia="Arial"/>
        </w:rPr>
        <w:t>Sub-paragraph (1) does not apply where—</w:t>
      </w:r>
    </w:p>
    <w:p w14:paraId="274C28CC" w14:textId="1C6657BB" w:rsidR="002F07FA" w:rsidRPr="002F07FA" w:rsidRDefault="00F26284" w:rsidP="00A409DC">
      <w:pPr>
        <w:pStyle w:val="Level1"/>
        <w:numPr>
          <w:ilvl w:val="0"/>
          <w:numId w:val="0"/>
        </w:numPr>
        <w:ind w:left="720"/>
        <w:rPr>
          <w:rFonts w:eastAsia="Arial"/>
        </w:rPr>
      </w:pPr>
      <w:r w:rsidRPr="002F07FA">
        <w:rPr>
          <w:rFonts w:eastAsia="Arial"/>
        </w:rPr>
        <w:t>(a)</w:t>
      </w:r>
      <w:r>
        <w:rPr>
          <w:rFonts w:eastAsia="Arial"/>
        </w:rPr>
        <w:t xml:space="preserve"> </w:t>
      </w:r>
      <w:r w:rsidRPr="002F07FA">
        <w:rPr>
          <w:rFonts w:eastAsia="Arial"/>
        </w:rPr>
        <w:t>the supplier or connected person is an immunity recipient (within the meaning given by paragraph 14 of Schedule 8A to that Act), or</w:t>
      </w:r>
    </w:p>
    <w:p w14:paraId="45F64A56" w14:textId="1D405D67" w:rsidR="002F07FA" w:rsidRPr="002F07FA" w:rsidRDefault="00F26284" w:rsidP="00A409DC">
      <w:pPr>
        <w:pStyle w:val="Level1"/>
        <w:numPr>
          <w:ilvl w:val="0"/>
          <w:numId w:val="0"/>
        </w:numPr>
        <w:ind w:left="720"/>
        <w:rPr>
          <w:rFonts w:eastAsia="Arial"/>
        </w:rPr>
      </w:pPr>
      <w:r w:rsidRPr="002F07FA">
        <w:rPr>
          <w:rFonts w:eastAsia="Arial"/>
        </w:rPr>
        <w:t>(b)</w:t>
      </w:r>
      <w:r>
        <w:rPr>
          <w:rFonts w:eastAsia="Arial"/>
        </w:rPr>
        <w:t xml:space="preserve"> </w:t>
      </w:r>
      <w:r w:rsidRPr="002F07FA">
        <w:rPr>
          <w:rFonts w:eastAsia="Arial"/>
        </w:rPr>
        <w:t>a regulator or other authority outside the United Kingdom has granted the supplier or connected person immunity from penalties in respect of the infringement.</w:t>
      </w:r>
    </w:p>
    <w:p w14:paraId="0D35C619" w14:textId="62FD7310" w:rsidR="00A409DC" w:rsidRPr="00A409DC" w:rsidRDefault="00F26284" w:rsidP="00A409DC">
      <w:pPr>
        <w:spacing w:after="0"/>
        <w:rPr>
          <w:rFonts w:eastAsia="Arial" w:cstheme="minorHAnsi"/>
          <w:szCs w:val="20"/>
          <w:lang w:val="en-IE"/>
        </w:rPr>
      </w:pPr>
      <w:r w:rsidRPr="00A409DC">
        <w:rPr>
          <w:rFonts w:eastAsia="Arial" w:cstheme="minorHAnsi"/>
          <w:szCs w:val="20"/>
          <w:lang w:val="en-IE"/>
        </w:rPr>
        <w:br/>
        <w:t>A discretionary exclusion ground applies to a supplier if the decision-maker considers that the supplier or a connected person has infringed—</w:t>
      </w:r>
    </w:p>
    <w:p w14:paraId="62028966" w14:textId="165DE726"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the Chapter II prohibition (within the meaning given by section 18 of the Competition Act 1998), or</w:t>
      </w:r>
    </w:p>
    <w:p w14:paraId="3B82D088" w14:textId="4687034E" w:rsid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any substantially similar prohibition applicable in a jurisdiction outside the United Kingdom.</w:t>
      </w:r>
    </w:p>
    <w:p w14:paraId="502359F7" w14:textId="77777777" w:rsidR="00A409DC" w:rsidRDefault="00A409DC" w:rsidP="00A409DC">
      <w:pPr>
        <w:spacing w:after="0"/>
        <w:rPr>
          <w:rFonts w:eastAsia="Arial" w:cstheme="minorHAnsi"/>
          <w:szCs w:val="20"/>
          <w:lang w:val="en-IE"/>
        </w:rPr>
      </w:pPr>
    </w:p>
    <w:p w14:paraId="464617B8" w14:textId="11F89BD7"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w:t>
      </w:r>
    </w:p>
    <w:p w14:paraId="0A08CA02" w14:textId="097F3F9B"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 xml:space="preserve">the CMA has </w:t>
      </w:r>
      <w:proofErr w:type="gramStart"/>
      <w:r w:rsidRPr="00A409DC">
        <w:rPr>
          <w:rFonts w:eastAsia="Arial" w:cstheme="minorHAnsi"/>
          <w:szCs w:val="20"/>
          <w:lang w:val="en-IE"/>
        </w:rPr>
        <w:t>made a decision</w:t>
      </w:r>
      <w:proofErr w:type="gramEnd"/>
      <w:r w:rsidRPr="00A409DC">
        <w:rPr>
          <w:rFonts w:eastAsia="Arial" w:cstheme="minorHAnsi"/>
          <w:szCs w:val="20"/>
          <w:lang w:val="en-IE"/>
        </w:rPr>
        <w:t xml:space="preserve"> under the Competition Act 1998 that the supplier or a connected person has infringed the Chapter II prohibition, or</w:t>
      </w:r>
    </w:p>
    <w:p w14:paraId="0E3A723E" w14:textId="71B7CF22" w:rsid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 xml:space="preserve">a regulator or other authority outside the United Kingdom has </w:t>
      </w:r>
      <w:proofErr w:type="gramStart"/>
      <w:r w:rsidRPr="00A409DC">
        <w:rPr>
          <w:rFonts w:eastAsia="Arial" w:cstheme="minorHAnsi"/>
          <w:szCs w:val="20"/>
          <w:lang w:val="en-IE"/>
        </w:rPr>
        <w:t>made a decision</w:t>
      </w:r>
      <w:proofErr w:type="gramEnd"/>
      <w:r w:rsidRPr="00A409DC">
        <w:rPr>
          <w:rFonts w:eastAsia="Arial" w:cstheme="minorHAnsi"/>
          <w:szCs w:val="20"/>
          <w:lang w:val="en-IE"/>
        </w:rPr>
        <w:t xml:space="preserve"> that the supplier or a connected person has infringed any substantially similar prohibition.</w:t>
      </w:r>
    </w:p>
    <w:p w14:paraId="5AB01B25" w14:textId="77777777" w:rsidR="00A409DC" w:rsidRDefault="00A409DC" w:rsidP="00A409DC">
      <w:pPr>
        <w:spacing w:after="0"/>
        <w:rPr>
          <w:rFonts w:eastAsia="Arial" w:cstheme="minorHAnsi"/>
          <w:szCs w:val="20"/>
          <w:lang w:val="en-IE"/>
        </w:rPr>
      </w:pPr>
    </w:p>
    <w:p w14:paraId="52B904E7" w14:textId="45CB5E3E" w:rsidR="00A409DC" w:rsidRPr="00A409DC" w:rsidRDefault="00F26284" w:rsidP="00A409DC">
      <w:pPr>
        <w:spacing w:after="0"/>
        <w:rPr>
          <w:rFonts w:eastAsia="Arial" w:cstheme="minorHAnsi"/>
          <w:szCs w:val="20"/>
          <w:lang w:val="en-IE"/>
        </w:rPr>
      </w:pPr>
      <w:r>
        <w:rPr>
          <w:rFonts w:eastAsia="Arial" w:cstheme="minorHAnsi"/>
          <w:szCs w:val="20"/>
          <w:lang w:val="en-IE"/>
        </w:rPr>
        <w:t xml:space="preserve">(1) </w:t>
      </w:r>
      <w:r w:rsidRPr="00A409DC">
        <w:rPr>
          <w:rFonts w:eastAsia="Arial" w:cstheme="minorHAnsi"/>
          <w:szCs w:val="20"/>
          <w:lang w:val="en-IE"/>
        </w:rPr>
        <w:t>A discretionary exclusion ground applies to a supplier if the decision-maker considers that the supplier or a connected person has engaged in conduct constituting—</w:t>
      </w:r>
    </w:p>
    <w:p w14:paraId="1EFDE949" w14:textId="3F5B5AEE"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an offence under section 188 of the Enterprise Act 2002 (cartel offence), or</w:t>
      </w:r>
    </w:p>
    <w:p w14:paraId="6CCA22A7" w14:textId="21A0405B"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a substantially similar offence under the law of a country or territory outside the United Kingdom.</w:t>
      </w:r>
    </w:p>
    <w:p w14:paraId="1AEB3BCE" w14:textId="25EB4BB7" w:rsidR="00A409DC" w:rsidRPr="00A409DC" w:rsidRDefault="00F26284" w:rsidP="00A409DC">
      <w:pPr>
        <w:spacing w:after="0"/>
        <w:rPr>
          <w:rFonts w:eastAsia="Arial" w:cstheme="minorHAnsi"/>
          <w:szCs w:val="20"/>
          <w:lang w:val="en-IE"/>
        </w:rPr>
      </w:pPr>
      <w:r w:rsidRPr="00A409DC">
        <w:rPr>
          <w:rFonts w:eastAsia="Arial" w:cstheme="minorHAnsi"/>
          <w:szCs w:val="20"/>
          <w:lang w:val="en-IE"/>
        </w:rPr>
        <w:t>(2)</w:t>
      </w:r>
      <w:r>
        <w:rPr>
          <w:rFonts w:eastAsia="Arial" w:cstheme="minorHAnsi"/>
          <w:szCs w:val="20"/>
          <w:lang w:val="en-IE"/>
        </w:rPr>
        <w:t xml:space="preserve"> </w:t>
      </w:r>
      <w:r w:rsidRPr="00A409DC">
        <w:rPr>
          <w:rFonts w:eastAsia="Arial" w:cstheme="minorHAnsi"/>
          <w:szCs w:val="20"/>
          <w:lang w:val="en-IE"/>
        </w:rPr>
        <w:t>Sub-paragraph (1) does not apply if—</w:t>
      </w:r>
    </w:p>
    <w:p w14:paraId="4D620FB3" w14:textId="4EC46121"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the CMA has given written notice to the supplier or connected person under section 190(4) of the Enterprise Act 2002 (immunity from prosecution for cartel offences) in connection with the conduct, or</w:t>
      </w:r>
    </w:p>
    <w:p w14:paraId="460112E7" w14:textId="5ECF0AEC"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a regulator or other authority outside the United Kingdom has determined that the supplier or connected person is immune from prosecution in respect of the conduct.</w:t>
      </w:r>
    </w:p>
    <w:p w14:paraId="09997897" w14:textId="77777777" w:rsidR="00A409DC" w:rsidRPr="00A409DC" w:rsidRDefault="00A409DC" w:rsidP="00A409DC">
      <w:pPr>
        <w:spacing w:after="0"/>
        <w:rPr>
          <w:rFonts w:eastAsia="Arial" w:cstheme="minorHAnsi"/>
          <w:szCs w:val="20"/>
          <w:lang w:val="en-IE"/>
        </w:rPr>
      </w:pPr>
    </w:p>
    <w:p w14:paraId="32BC9F29" w14:textId="77777777" w:rsidR="00A409DC" w:rsidRPr="00172597" w:rsidRDefault="00F26284" w:rsidP="00A409DC">
      <w:pPr>
        <w:pStyle w:val="H2Ashurst"/>
        <w:rPr>
          <w:b/>
          <w:bCs/>
          <w:sz w:val="20"/>
          <w:szCs w:val="21"/>
          <w:lang w:val="en-IE"/>
        </w:rPr>
      </w:pPr>
      <w:r w:rsidRPr="00172597">
        <w:rPr>
          <w:b/>
          <w:bCs/>
          <w:sz w:val="20"/>
          <w:szCs w:val="21"/>
          <w:lang w:val="en-IE"/>
        </w:rPr>
        <w:t>Professional misconduct</w:t>
      </w:r>
    </w:p>
    <w:p w14:paraId="0932A950" w14:textId="7DFFCE8C"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the decision-maker considers that the supplier or a connected person has engaged in professional misconduct which brings into question the supplier’s integrity.</w:t>
      </w:r>
    </w:p>
    <w:p w14:paraId="77960520" w14:textId="05D64FBE"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a court, regulator or other authority has ruled that the supplier or connected person has engaged in such professional misconduct.</w:t>
      </w:r>
    </w:p>
    <w:p w14:paraId="6A3A4DAE" w14:textId="77777777" w:rsidR="00A409DC" w:rsidRDefault="00A409DC" w:rsidP="00A409DC">
      <w:pPr>
        <w:spacing w:after="0"/>
        <w:rPr>
          <w:rFonts w:eastAsia="Arial" w:cstheme="minorHAnsi"/>
          <w:szCs w:val="20"/>
          <w:lang w:val="en-IE"/>
        </w:rPr>
      </w:pPr>
    </w:p>
    <w:p w14:paraId="514F9D20" w14:textId="771B37D8" w:rsidR="00A409DC" w:rsidRPr="00A409DC" w:rsidRDefault="00F26284" w:rsidP="00A409DC">
      <w:pPr>
        <w:spacing w:after="0"/>
        <w:rPr>
          <w:rFonts w:eastAsia="Arial" w:cstheme="minorHAnsi"/>
          <w:szCs w:val="20"/>
          <w:lang w:val="en-IE"/>
        </w:rPr>
      </w:pPr>
      <w:r w:rsidRPr="00A409DC">
        <w:rPr>
          <w:rFonts w:eastAsia="Arial" w:cstheme="minorHAnsi"/>
          <w:szCs w:val="20"/>
          <w:lang w:val="en-IE"/>
        </w:rPr>
        <w:t>“Professional misconduct” includes conduct involving—</w:t>
      </w:r>
    </w:p>
    <w:p w14:paraId="764BC23E" w14:textId="38F6C001"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proofErr w:type="gramStart"/>
      <w:r w:rsidRPr="00A409DC">
        <w:rPr>
          <w:rFonts w:eastAsia="Arial" w:cstheme="minorHAnsi"/>
          <w:szCs w:val="20"/>
          <w:lang w:val="en-IE"/>
        </w:rPr>
        <w:t>dishonesty;</w:t>
      </w:r>
      <w:proofErr w:type="gramEnd"/>
    </w:p>
    <w:p w14:paraId="5367BAC2" w14:textId="6D30B4A9"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proofErr w:type="gramStart"/>
      <w:r w:rsidRPr="00A409DC">
        <w:rPr>
          <w:rFonts w:eastAsia="Arial" w:cstheme="minorHAnsi"/>
          <w:szCs w:val="20"/>
          <w:lang w:val="en-IE"/>
        </w:rPr>
        <w:t>impropriety;</w:t>
      </w:r>
      <w:proofErr w:type="gramEnd"/>
    </w:p>
    <w:p w14:paraId="4D749698" w14:textId="008FB07C"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(c)</w:t>
      </w:r>
      <w:r>
        <w:rPr>
          <w:rFonts w:eastAsia="Arial" w:cstheme="minorHAnsi"/>
          <w:szCs w:val="20"/>
          <w:lang w:val="en-IE"/>
        </w:rPr>
        <w:t xml:space="preserve"> </w:t>
      </w:r>
      <w:r w:rsidRPr="00A409DC">
        <w:rPr>
          <w:rFonts w:eastAsia="Arial" w:cstheme="minorHAnsi"/>
          <w:szCs w:val="20"/>
          <w:lang w:val="en-IE"/>
        </w:rPr>
        <w:t>a serious breach of ethical or professional standards applicable to the supplier (whether those standards are mandatory or not).</w:t>
      </w:r>
    </w:p>
    <w:p w14:paraId="4E923C10" w14:textId="77777777" w:rsidR="00A409DC" w:rsidRPr="00A409DC" w:rsidRDefault="00A409DC" w:rsidP="00A409DC">
      <w:pPr>
        <w:spacing w:after="0"/>
        <w:rPr>
          <w:rFonts w:eastAsia="Arial" w:cstheme="minorHAnsi"/>
          <w:szCs w:val="20"/>
          <w:lang w:val="en-IE"/>
        </w:rPr>
      </w:pPr>
    </w:p>
    <w:p w14:paraId="3759D1DB" w14:textId="77777777" w:rsidR="00A409DC" w:rsidRPr="00172597" w:rsidRDefault="00F26284" w:rsidP="00A409DC">
      <w:pPr>
        <w:pStyle w:val="H2Ashurst"/>
        <w:rPr>
          <w:b/>
          <w:bCs/>
          <w:sz w:val="20"/>
          <w:szCs w:val="21"/>
          <w:lang w:val="en-IE"/>
        </w:rPr>
      </w:pPr>
      <w:r w:rsidRPr="00172597">
        <w:rPr>
          <w:b/>
          <w:bCs/>
          <w:sz w:val="20"/>
          <w:szCs w:val="21"/>
          <w:lang w:val="en-IE"/>
        </w:rPr>
        <w:t>Breach of contract and poor performance</w:t>
      </w:r>
    </w:p>
    <w:p w14:paraId="0BD47EC7" w14:textId="4758C29A"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w:t>
      </w:r>
    </w:p>
    <w:p w14:paraId="72103EF4" w14:textId="332E63AA"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the supplier has breached a relevant contract, and</w:t>
      </w:r>
    </w:p>
    <w:p w14:paraId="744C0C5A" w14:textId="15B242CF"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the breach was sufficiently serious.</w:t>
      </w:r>
    </w:p>
    <w:p w14:paraId="2C3BE9EF" w14:textId="77777777" w:rsidR="00A409DC" w:rsidRDefault="00A409DC" w:rsidP="00A409DC">
      <w:pPr>
        <w:spacing w:after="0"/>
        <w:rPr>
          <w:rFonts w:eastAsia="Arial" w:cstheme="minorHAnsi"/>
          <w:szCs w:val="20"/>
          <w:lang w:val="en-IE"/>
        </w:rPr>
      </w:pPr>
    </w:p>
    <w:p w14:paraId="2482C053" w14:textId="3B2597C3"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w:t>
      </w:r>
    </w:p>
    <w:p w14:paraId="4718EBB8" w14:textId="118A445A"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a court has ruled that the supplier breached a relevant contract, and</w:t>
      </w:r>
    </w:p>
    <w:p w14:paraId="2217DB32" w14:textId="006CF1F6"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the breach was sufficiently serious.</w:t>
      </w:r>
    </w:p>
    <w:p w14:paraId="49C89573" w14:textId="77777777" w:rsidR="00A409DC" w:rsidRDefault="00A409DC" w:rsidP="00A409DC">
      <w:pPr>
        <w:spacing w:after="0"/>
        <w:rPr>
          <w:rFonts w:eastAsia="Arial" w:cstheme="minorHAnsi"/>
          <w:szCs w:val="20"/>
          <w:lang w:val="en-IE"/>
        </w:rPr>
      </w:pPr>
    </w:p>
    <w:p w14:paraId="0840CF7B" w14:textId="49E0A28B"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the supplier—</w:t>
      </w:r>
    </w:p>
    <w:p w14:paraId="39644BA5" w14:textId="2F1A2649"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has not performed a relevant contract to the regulated authority’s satisfaction,</w:t>
      </w:r>
    </w:p>
    <w:p w14:paraId="57B6C7FD" w14:textId="193B7944"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was given proper opportunity to improve performance, and</w:t>
      </w:r>
    </w:p>
    <w:p w14:paraId="1A2326F4" w14:textId="19A7E8C4"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(c)</w:t>
      </w:r>
      <w:r>
        <w:rPr>
          <w:rFonts w:eastAsia="Arial" w:cstheme="minorHAnsi"/>
          <w:szCs w:val="20"/>
          <w:lang w:val="en-IE"/>
        </w:rPr>
        <w:t xml:space="preserve"> </w:t>
      </w:r>
      <w:r w:rsidRPr="00A409DC">
        <w:rPr>
          <w:rFonts w:eastAsia="Arial" w:cstheme="minorHAnsi"/>
          <w:szCs w:val="20"/>
          <w:lang w:val="en-IE"/>
        </w:rPr>
        <w:t>failed to do so.</w:t>
      </w:r>
    </w:p>
    <w:p w14:paraId="7F982920" w14:textId="77777777" w:rsidR="00A409DC" w:rsidRDefault="00A409DC" w:rsidP="00A409DC">
      <w:pPr>
        <w:spacing w:after="0"/>
        <w:rPr>
          <w:rFonts w:eastAsia="Arial" w:cstheme="minorHAnsi"/>
          <w:szCs w:val="20"/>
          <w:lang w:val="en-IE"/>
        </w:rPr>
      </w:pPr>
    </w:p>
    <w:p w14:paraId="68B88DC5" w14:textId="23742C24" w:rsidR="00D03386"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a contracting authority has published</w:t>
      </w:r>
      <w:r>
        <w:rPr>
          <w:rFonts w:eastAsia="Arial" w:cstheme="minorHAnsi"/>
          <w:szCs w:val="20"/>
          <w:lang w:val="en-IE"/>
        </w:rPr>
        <w:t xml:space="preserve"> </w:t>
      </w:r>
      <w:r w:rsidRPr="00A409DC">
        <w:rPr>
          <w:rFonts w:eastAsia="Arial" w:cstheme="minorHAnsi"/>
          <w:szCs w:val="20"/>
          <w:lang w:val="en-IE"/>
        </w:rPr>
        <w:t>information under section 71(5) in respect of the supplier (information concerning either breach or</w:t>
      </w:r>
      <w:r>
        <w:rPr>
          <w:rFonts w:eastAsia="Arial" w:cstheme="minorHAnsi"/>
          <w:szCs w:val="20"/>
          <w:lang w:val="en-IE"/>
        </w:rPr>
        <w:t xml:space="preserve"> </w:t>
      </w:r>
      <w:r w:rsidRPr="00A409DC">
        <w:rPr>
          <w:rFonts w:eastAsia="Arial" w:cstheme="minorHAnsi"/>
          <w:szCs w:val="20"/>
          <w:lang w:val="en-IE"/>
        </w:rPr>
        <w:t>poor performance).</w:t>
      </w:r>
    </w:p>
    <w:p w14:paraId="134A0B78" w14:textId="77777777" w:rsidR="00A409DC" w:rsidRDefault="00A409DC" w:rsidP="00A409DC">
      <w:pPr>
        <w:spacing w:after="0"/>
        <w:rPr>
          <w:rFonts w:eastAsia="Arial" w:cstheme="minorHAnsi"/>
          <w:szCs w:val="20"/>
          <w:lang w:val="en-IE"/>
        </w:rPr>
      </w:pPr>
    </w:p>
    <w:p w14:paraId="6B4195E7" w14:textId="77777777" w:rsidR="00A409DC" w:rsidRPr="00172597" w:rsidRDefault="00F26284" w:rsidP="00A409DC">
      <w:pPr>
        <w:pStyle w:val="H2Ashurst"/>
        <w:rPr>
          <w:b/>
          <w:bCs/>
          <w:sz w:val="20"/>
          <w:szCs w:val="21"/>
          <w:lang w:val="en-IE"/>
        </w:rPr>
      </w:pPr>
      <w:r w:rsidRPr="00172597">
        <w:rPr>
          <w:b/>
          <w:bCs/>
          <w:sz w:val="20"/>
          <w:szCs w:val="21"/>
          <w:lang w:val="en-IE"/>
        </w:rPr>
        <w:t>Acting improperly in procurement</w:t>
      </w:r>
    </w:p>
    <w:p w14:paraId="4E20AD23" w14:textId="57195F87"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a decision-maker considers that—</w:t>
      </w:r>
    </w:p>
    <w:p w14:paraId="569EF90C" w14:textId="037293EA"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the supplier has acted improperly in relation to any procurement, and</w:t>
      </w:r>
    </w:p>
    <w:p w14:paraId="2BC51954" w14:textId="5DA131A0" w:rsid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in so doing, the supplier put itself at an unfair advantage in relation to the award of a public contract.</w:t>
      </w:r>
    </w:p>
    <w:p w14:paraId="4C9051BE" w14:textId="77777777" w:rsidR="00A409DC" w:rsidRPr="00A409DC" w:rsidRDefault="00A409DC" w:rsidP="00A409DC">
      <w:pPr>
        <w:spacing w:after="0"/>
        <w:ind w:left="567"/>
        <w:rPr>
          <w:rFonts w:eastAsia="Arial" w:cstheme="minorHAnsi"/>
          <w:szCs w:val="20"/>
          <w:lang w:val="en-IE"/>
        </w:rPr>
      </w:pPr>
    </w:p>
    <w:p w14:paraId="4369686F" w14:textId="1DE8F5EF" w:rsidR="00A409DC" w:rsidRPr="00A409DC" w:rsidRDefault="00F26284" w:rsidP="00A409DC">
      <w:pPr>
        <w:spacing w:after="0"/>
        <w:rPr>
          <w:rFonts w:eastAsia="Arial" w:cstheme="minorHAnsi"/>
          <w:szCs w:val="20"/>
          <w:lang w:val="en-IE"/>
        </w:rPr>
      </w:pPr>
      <w:r w:rsidRPr="00A409DC">
        <w:rPr>
          <w:rFonts w:eastAsia="Arial" w:cstheme="minorHAnsi"/>
          <w:szCs w:val="20"/>
          <w:lang w:val="en-IE"/>
        </w:rPr>
        <w:t>A supplier might act improperly in relation to a procurement by—</w:t>
      </w:r>
    </w:p>
    <w:p w14:paraId="3DD837A7" w14:textId="0D2F80E2"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(a)</w:t>
      </w:r>
      <w:r>
        <w:rPr>
          <w:rFonts w:eastAsia="Arial" w:cstheme="minorHAnsi"/>
          <w:szCs w:val="20"/>
          <w:lang w:val="en-IE"/>
        </w:rPr>
        <w:t xml:space="preserve"> </w:t>
      </w:r>
      <w:r w:rsidRPr="00A409DC">
        <w:rPr>
          <w:rFonts w:eastAsia="Arial" w:cstheme="minorHAnsi"/>
          <w:szCs w:val="20"/>
          <w:lang w:val="en-IE"/>
        </w:rPr>
        <w:t xml:space="preserve">failing to provide information requested by the contracting </w:t>
      </w:r>
      <w:proofErr w:type="gramStart"/>
      <w:r w:rsidRPr="00A409DC">
        <w:rPr>
          <w:rFonts w:eastAsia="Arial" w:cstheme="minorHAnsi"/>
          <w:szCs w:val="20"/>
          <w:lang w:val="en-IE"/>
        </w:rPr>
        <w:t>authority;</w:t>
      </w:r>
      <w:proofErr w:type="gramEnd"/>
    </w:p>
    <w:p w14:paraId="2ADBC687" w14:textId="72701446"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(b)</w:t>
      </w:r>
      <w:r>
        <w:rPr>
          <w:rFonts w:eastAsia="Arial" w:cstheme="minorHAnsi"/>
          <w:szCs w:val="20"/>
          <w:lang w:val="en-IE"/>
        </w:rPr>
        <w:t xml:space="preserve"> </w:t>
      </w:r>
      <w:r w:rsidRPr="00A409DC">
        <w:rPr>
          <w:rFonts w:eastAsia="Arial" w:cstheme="minorHAnsi"/>
          <w:szCs w:val="20"/>
          <w:lang w:val="en-IE"/>
        </w:rPr>
        <w:t xml:space="preserve">providing information that is incomplete, inaccurate or </w:t>
      </w:r>
      <w:proofErr w:type="gramStart"/>
      <w:r w:rsidRPr="00A409DC">
        <w:rPr>
          <w:rFonts w:eastAsia="Arial" w:cstheme="minorHAnsi"/>
          <w:szCs w:val="20"/>
          <w:lang w:val="en-IE"/>
        </w:rPr>
        <w:t>misleading;</w:t>
      </w:r>
      <w:proofErr w:type="gramEnd"/>
    </w:p>
    <w:p w14:paraId="4C5C001C" w14:textId="50C6A7C8" w:rsidR="00A409DC" w:rsidRPr="00A409DC" w:rsidRDefault="00F26284" w:rsidP="00A409DC">
      <w:pPr>
        <w:spacing w:after="0"/>
        <w:ind w:left="567"/>
        <w:rPr>
          <w:rFonts w:eastAsia="Arial" w:cstheme="minorHAnsi"/>
          <w:szCs w:val="20"/>
          <w:lang w:val="en-IE"/>
        </w:rPr>
      </w:pPr>
      <w:r w:rsidRPr="00A409DC">
        <w:rPr>
          <w:rFonts w:eastAsia="Arial" w:cstheme="minorHAnsi"/>
          <w:szCs w:val="20"/>
          <w:lang w:val="en-IE"/>
        </w:rPr>
        <w:t>(c)</w:t>
      </w:r>
      <w:r>
        <w:rPr>
          <w:rFonts w:eastAsia="Arial" w:cstheme="minorHAnsi"/>
          <w:szCs w:val="20"/>
          <w:lang w:val="en-IE"/>
        </w:rPr>
        <w:t xml:space="preserve"> </w:t>
      </w:r>
      <w:r w:rsidRPr="00A409DC">
        <w:rPr>
          <w:rFonts w:eastAsia="Arial" w:cstheme="minorHAnsi"/>
          <w:szCs w:val="20"/>
          <w:lang w:val="en-IE"/>
        </w:rPr>
        <w:t xml:space="preserve">accessing confidential </w:t>
      </w:r>
      <w:proofErr w:type="gramStart"/>
      <w:r w:rsidRPr="00A409DC">
        <w:rPr>
          <w:rFonts w:eastAsia="Arial" w:cstheme="minorHAnsi"/>
          <w:szCs w:val="20"/>
          <w:lang w:val="en-IE"/>
        </w:rPr>
        <w:t>information;</w:t>
      </w:r>
      <w:proofErr w:type="gramEnd"/>
    </w:p>
    <w:p w14:paraId="007D0E90" w14:textId="701F824A" w:rsidR="00A409DC" w:rsidRDefault="00F26284" w:rsidP="00A409DC">
      <w:pPr>
        <w:spacing w:after="0"/>
        <w:ind w:left="567"/>
        <w:rPr>
          <w:rFonts w:eastAsia="Arial" w:cstheme="minorHAnsi"/>
          <w:szCs w:val="20"/>
          <w:lang w:val="en-IE"/>
        </w:rPr>
      </w:pPr>
      <w:r w:rsidRPr="00A409DC">
        <w:rPr>
          <w:rFonts w:eastAsia="Arial" w:cstheme="minorHAnsi"/>
          <w:szCs w:val="20"/>
          <w:lang w:val="en-IE"/>
        </w:rPr>
        <w:t>(d)</w:t>
      </w:r>
      <w:r>
        <w:rPr>
          <w:rFonts w:eastAsia="Arial" w:cstheme="minorHAnsi"/>
          <w:szCs w:val="20"/>
          <w:lang w:val="en-IE"/>
        </w:rPr>
        <w:t xml:space="preserve"> </w:t>
      </w:r>
      <w:r w:rsidRPr="00A409DC">
        <w:rPr>
          <w:rFonts w:eastAsia="Arial" w:cstheme="minorHAnsi"/>
          <w:szCs w:val="20"/>
          <w:lang w:val="en-IE"/>
        </w:rPr>
        <w:t>unduly influencing the contracting authority’s decision-making.</w:t>
      </w:r>
    </w:p>
    <w:p w14:paraId="31AA87C8" w14:textId="77777777" w:rsidR="00A409DC" w:rsidRDefault="00A409DC" w:rsidP="00A409DC">
      <w:pPr>
        <w:spacing w:after="0"/>
        <w:rPr>
          <w:rFonts w:eastAsia="Arial" w:cstheme="minorHAnsi"/>
          <w:szCs w:val="20"/>
          <w:lang w:val="en-IE"/>
        </w:rPr>
      </w:pPr>
    </w:p>
    <w:p w14:paraId="54114F06" w14:textId="77777777" w:rsidR="00A409DC" w:rsidRPr="00172597" w:rsidRDefault="00F26284" w:rsidP="00A409DC">
      <w:pPr>
        <w:pStyle w:val="H2Ashurst"/>
        <w:rPr>
          <w:b/>
          <w:bCs/>
          <w:sz w:val="20"/>
          <w:szCs w:val="21"/>
          <w:lang w:val="en-IE"/>
        </w:rPr>
      </w:pPr>
      <w:r w:rsidRPr="00172597">
        <w:rPr>
          <w:b/>
          <w:bCs/>
          <w:sz w:val="20"/>
          <w:szCs w:val="21"/>
          <w:lang w:val="en-IE"/>
        </w:rPr>
        <w:t>National security</w:t>
      </w:r>
    </w:p>
    <w:p w14:paraId="60176479" w14:textId="4773DF19" w:rsidR="00EE5B81" w:rsidRPr="00A409DC" w:rsidRDefault="00F26284" w:rsidP="00A409DC">
      <w:pPr>
        <w:spacing w:after="0"/>
        <w:rPr>
          <w:rFonts w:eastAsia="Arial" w:cstheme="minorHAnsi"/>
          <w:szCs w:val="20"/>
          <w:lang w:val="en-IE"/>
        </w:rPr>
      </w:pPr>
      <w:r w:rsidRPr="00A409DC">
        <w:rPr>
          <w:rFonts w:eastAsia="Arial" w:cstheme="minorHAnsi"/>
          <w:szCs w:val="20"/>
          <w:lang w:val="en-IE"/>
        </w:rPr>
        <w:t>A discretionary exclusion ground applies to a supplier if a decision-maker determines that the supplier or a connected person poses a threat to the national security of the United Kingdom.</w:t>
      </w:r>
      <w:r w:rsidR="02372770" w:rsidRPr="007212D3">
        <w:rPr>
          <w:rFonts w:cstheme="minorHAnsi"/>
          <w:b/>
          <w:bCs/>
          <w:szCs w:val="20"/>
        </w:rPr>
        <w:t xml:space="preserve"> </w:t>
      </w:r>
    </w:p>
    <w:p w14:paraId="44EB1BD8" w14:textId="0396DB33" w:rsidR="00EE5B81" w:rsidRPr="00585A3E" w:rsidRDefault="00EE5B81" w:rsidP="4D4FAB8D">
      <w:pPr>
        <w:pStyle w:val="B12Ashurst"/>
        <w:rPr>
          <w:rFonts w:cstheme="minorHAnsi"/>
          <w:b/>
          <w:bCs/>
          <w:szCs w:val="20"/>
        </w:rPr>
      </w:pPr>
    </w:p>
    <w:p w14:paraId="2A051203" w14:textId="77777777" w:rsidR="00344386" w:rsidRDefault="00344386" w:rsidP="4D4FAB8D">
      <w:pPr>
        <w:pStyle w:val="B12Ashurst"/>
        <w:rPr>
          <w:rFonts w:cstheme="minorHAnsi"/>
          <w:b/>
          <w:bCs/>
          <w:szCs w:val="20"/>
        </w:rPr>
        <w:sectPr w:rsidR="00344386" w:rsidSect="007A5500">
          <w:pgSz w:w="11907" w:h="16840" w:code="9"/>
          <w:pgMar w:top="1440" w:right="1440" w:bottom="1440" w:left="1440" w:header="510" w:footer="340" w:gutter="0"/>
          <w:cols w:space="720"/>
          <w:docGrid w:linePitch="272"/>
        </w:sectPr>
      </w:pPr>
    </w:p>
    <w:p w14:paraId="53218C39" w14:textId="7C55ADF7" w:rsidR="00EE5B81" w:rsidRPr="00E74825" w:rsidRDefault="00F26284" w:rsidP="00D645AC">
      <w:pPr>
        <w:pStyle w:val="NormalAshurst"/>
        <w:rPr>
          <w:rFonts w:cstheme="minorHAnsi"/>
          <w:b/>
          <w:bCs/>
          <w:sz w:val="24"/>
        </w:rPr>
      </w:pPr>
      <w:r w:rsidRPr="00E74825">
        <w:rPr>
          <w:rFonts w:cstheme="minorHAnsi"/>
          <w:b/>
          <w:bCs/>
          <w:sz w:val="24"/>
        </w:rPr>
        <w:t>J</w:t>
      </w:r>
      <w:r w:rsidR="00D645AC" w:rsidRPr="00E74825">
        <w:rPr>
          <w:rFonts w:cstheme="minorHAnsi"/>
          <w:b/>
          <w:bCs/>
          <w:sz w:val="24"/>
        </w:rPr>
        <w:t xml:space="preserve">. </w:t>
      </w:r>
      <w:bookmarkStart w:id="149" w:name="_Toc140605767"/>
      <w:r w:rsidR="006E0823" w:rsidRPr="00E74825">
        <w:rPr>
          <w:rFonts w:cstheme="minorHAnsi"/>
          <w:b/>
          <w:bCs/>
          <w:sz w:val="24"/>
        </w:rPr>
        <w:t>Confidential Information Form</w:t>
      </w:r>
      <w:bookmarkEnd w:id="149"/>
    </w:p>
    <w:p w14:paraId="03C410C2" w14:textId="39134B37" w:rsidR="00EB2E8E" w:rsidRPr="00CF7853" w:rsidRDefault="00F26284" w:rsidP="00D96F48">
      <w:pPr>
        <w:pStyle w:val="NormalAshurst"/>
        <w:rPr>
          <w:rStyle w:val="AshurstNote"/>
          <w:rFonts w:cstheme="minorHAnsi"/>
          <w:bCs w:val="0"/>
          <w:color w:val="auto"/>
          <w:szCs w:val="20"/>
          <w:lang w:val="en-IE"/>
        </w:rPr>
      </w:pPr>
      <w:r w:rsidRPr="00CF7853">
        <w:rPr>
          <w:rStyle w:val="AshurstNote"/>
          <w:rFonts w:cstheme="minorHAnsi"/>
          <w:bCs w:val="0"/>
          <w:color w:val="auto"/>
          <w:szCs w:val="20"/>
          <w:lang w:val="en-IE"/>
        </w:rPr>
        <w:t xml:space="preserve">Standard </w:t>
      </w:r>
      <w:r w:rsidR="00B34E77" w:rsidRPr="00CF7853">
        <w:rPr>
          <w:rStyle w:val="AshurstNote"/>
          <w:rFonts w:cstheme="minorHAnsi"/>
          <w:bCs w:val="0"/>
          <w:color w:val="auto"/>
          <w:szCs w:val="20"/>
          <w:lang w:val="en-IE"/>
        </w:rPr>
        <w:t>PSQ</w:t>
      </w:r>
      <w:r w:rsidRPr="00CF7853">
        <w:rPr>
          <w:rStyle w:val="AshurstNote"/>
          <w:rFonts w:cstheme="minorHAnsi"/>
          <w:bCs w:val="0"/>
          <w:color w:val="auto"/>
          <w:szCs w:val="20"/>
          <w:lang w:val="en-IE"/>
        </w:rPr>
        <w:t xml:space="preserve"> Template</w:t>
      </w:r>
    </w:p>
    <w:p w14:paraId="13C3A2EB" w14:textId="5F9B2417" w:rsidR="00EB2E8E" w:rsidRPr="00D96F48" w:rsidRDefault="00F26284" w:rsidP="00D96F48">
      <w:pPr>
        <w:pStyle w:val="NormalAshurst"/>
        <w:rPr>
          <w:rStyle w:val="AshurstNote"/>
          <w:rFonts w:cstheme="minorHAnsi"/>
          <w:b w:val="0"/>
          <w:bCs w:val="0"/>
          <w:color w:val="auto"/>
          <w:szCs w:val="20"/>
        </w:rPr>
      </w:pPr>
      <w:r w:rsidRPr="00D96F48">
        <w:rPr>
          <w:rStyle w:val="AshurstNote"/>
          <w:rFonts w:cstheme="minorHAnsi"/>
          <w:b w:val="0"/>
          <w:bCs w:val="0"/>
          <w:color w:val="auto"/>
          <w:szCs w:val="20"/>
        </w:rPr>
        <w:t xml:space="preserve">FOR COMPLETION BY </w:t>
      </w:r>
      <w:r w:rsidR="00B34E77">
        <w:rPr>
          <w:rStyle w:val="AshurstNote"/>
          <w:rFonts w:cstheme="minorHAnsi"/>
          <w:b w:val="0"/>
          <w:bCs w:val="0"/>
          <w:color w:val="auto"/>
          <w:szCs w:val="20"/>
        </w:rPr>
        <w:t>PSQ</w:t>
      </w:r>
      <w:r w:rsidRPr="00D96F48">
        <w:rPr>
          <w:rStyle w:val="AshurstNote"/>
          <w:rFonts w:cstheme="minorHAnsi"/>
          <w:b w:val="0"/>
          <w:bCs w:val="0"/>
          <w:color w:val="auto"/>
          <w:szCs w:val="20"/>
        </w:rPr>
        <w:t xml:space="preserve"> APPLICANTS</w:t>
      </w:r>
    </w:p>
    <w:tbl>
      <w:tblPr>
        <w:tblW w:w="5000" w:type="pct"/>
        <w:tblCellMar>
          <w:left w:w="10" w:type="dxa"/>
          <w:right w:w="10" w:type="dxa"/>
        </w:tblCellMar>
        <w:tblLook w:val="04A0" w:firstRow="1" w:lastRow="0" w:firstColumn="1" w:lastColumn="0" w:noHBand="0" w:noVBand="1"/>
      </w:tblPr>
      <w:tblGrid>
        <w:gridCol w:w="942"/>
        <w:gridCol w:w="1448"/>
        <w:gridCol w:w="4088"/>
        <w:gridCol w:w="2539"/>
      </w:tblGrid>
      <w:tr w:rsidR="007F1680" w14:paraId="172E1B11" w14:textId="77777777" w:rsidTr="00344386">
        <w:tc>
          <w:tcPr>
            <w:tcW w:w="522" w:type="pct"/>
            <w:tcBorders>
              <w:top w:val="single" w:sz="4" w:space="0" w:color="000000"/>
              <w:left w:val="single" w:sz="4" w:space="0" w:color="000000"/>
              <w:bottom w:val="single" w:sz="4" w:space="0" w:color="000000"/>
              <w:right w:val="single" w:sz="4" w:space="0" w:color="000000"/>
            </w:tcBorders>
            <w:shd w:val="clear" w:color="auto" w:fill="D8DBDB" w:themeFill="background2" w:themeFillShade="E6"/>
            <w:tcMar>
              <w:top w:w="0" w:type="dxa"/>
              <w:left w:w="113" w:type="dxa"/>
              <w:bottom w:w="0" w:type="dxa"/>
              <w:right w:w="108" w:type="dxa"/>
            </w:tcMar>
            <w:hideMark/>
          </w:tcPr>
          <w:p w14:paraId="398921A7" w14:textId="77777777" w:rsidR="000F4FD6" w:rsidRPr="00585A3E" w:rsidRDefault="00F26284">
            <w:pPr>
              <w:pStyle w:val="Standard"/>
              <w:keepNext/>
              <w:widowControl/>
              <w:spacing w:before="240" w:after="120" w:line="240" w:lineRule="auto"/>
              <w:ind w:left="142"/>
              <w:jc w:val="center"/>
              <w:rPr>
                <w:rFonts w:asciiTheme="minorHAnsi" w:hAnsiTheme="minorHAnsi" w:cstheme="minorHAnsi"/>
                <w:color w:val="000000"/>
                <w:sz w:val="20"/>
                <w:szCs w:val="20"/>
              </w:rPr>
            </w:pPr>
            <w:r w:rsidRPr="00585A3E">
              <w:rPr>
                <w:rFonts w:asciiTheme="minorHAnsi" w:eastAsia="Arial" w:hAnsiTheme="minorHAnsi" w:cstheme="minorHAnsi"/>
                <w:b/>
                <w:color w:val="000000"/>
                <w:sz w:val="20"/>
                <w:szCs w:val="20"/>
              </w:rPr>
              <w:t>No.</w:t>
            </w:r>
          </w:p>
        </w:tc>
        <w:tc>
          <w:tcPr>
            <w:tcW w:w="803" w:type="pct"/>
            <w:tcBorders>
              <w:top w:val="single" w:sz="4" w:space="0" w:color="000000"/>
              <w:left w:val="single" w:sz="4" w:space="0" w:color="000000"/>
              <w:bottom w:val="single" w:sz="4" w:space="0" w:color="000000"/>
              <w:right w:val="single" w:sz="4" w:space="0" w:color="000000"/>
            </w:tcBorders>
            <w:shd w:val="clear" w:color="auto" w:fill="D8DBDB" w:themeFill="background2" w:themeFillShade="E6"/>
            <w:tcMar>
              <w:top w:w="0" w:type="dxa"/>
              <w:left w:w="113" w:type="dxa"/>
              <w:bottom w:w="0" w:type="dxa"/>
              <w:right w:w="108" w:type="dxa"/>
            </w:tcMar>
            <w:hideMark/>
          </w:tcPr>
          <w:p w14:paraId="5CDCD616" w14:textId="77777777" w:rsidR="000F4FD6" w:rsidRPr="00585A3E" w:rsidRDefault="00F26284">
            <w:pPr>
              <w:pStyle w:val="Standard"/>
              <w:keepNext/>
              <w:widowControl/>
              <w:spacing w:before="240" w:after="120" w:line="240" w:lineRule="auto"/>
              <w:ind w:left="142"/>
              <w:jc w:val="center"/>
              <w:rPr>
                <w:rFonts w:asciiTheme="minorHAnsi" w:hAnsiTheme="minorHAnsi" w:cstheme="minorHAnsi"/>
                <w:color w:val="000000"/>
                <w:sz w:val="20"/>
                <w:szCs w:val="20"/>
              </w:rPr>
            </w:pPr>
            <w:r w:rsidRPr="00585A3E">
              <w:rPr>
                <w:rFonts w:asciiTheme="minorHAnsi" w:eastAsia="Arial" w:hAnsiTheme="minorHAnsi" w:cstheme="minorHAnsi"/>
                <w:b/>
                <w:color w:val="000000"/>
                <w:sz w:val="20"/>
                <w:szCs w:val="20"/>
              </w:rPr>
              <w:t>Date</w:t>
            </w:r>
          </w:p>
        </w:tc>
        <w:tc>
          <w:tcPr>
            <w:tcW w:w="2267" w:type="pct"/>
            <w:tcBorders>
              <w:top w:val="single" w:sz="4" w:space="0" w:color="000000"/>
              <w:left w:val="single" w:sz="4" w:space="0" w:color="000000"/>
              <w:bottom w:val="single" w:sz="4" w:space="0" w:color="000000"/>
              <w:right w:val="single" w:sz="4" w:space="0" w:color="000000"/>
            </w:tcBorders>
            <w:shd w:val="clear" w:color="auto" w:fill="D8DBDB" w:themeFill="background2" w:themeFillShade="E6"/>
            <w:tcMar>
              <w:top w:w="0" w:type="dxa"/>
              <w:left w:w="113" w:type="dxa"/>
              <w:bottom w:w="0" w:type="dxa"/>
              <w:right w:w="108" w:type="dxa"/>
            </w:tcMar>
            <w:hideMark/>
          </w:tcPr>
          <w:p w14:paraId="1F0E02B4" w14:textId="5AF62A1B" w:rsidR="000F4FD6" w:rsidRPr="00585A3E" w:rsidRDefault="00F26284">
            <w:pPr>
              <w:pStyle w:val="Standard"/>
              <w:keepNext/>
              <w:widowControl/>
              <w:spacing w:before="240" w:after="120" w:line="240" w:lineRule="auto"/>
              <w:ind w:left="142"/>
              <w:jc w:val="center"/>
              <w:rPr>
                <w:rFonts w:asciiTheme="minorHAnsi" w:hAnsiTheme="minorHAnsi" w:cstheme="minorHAnsi"/>
                <w:color w:val="000000"/>
                <w:sz w:val="20"/>
                <w:szCs w:val="20"/>
              </w:rPr>
            </w:pPr>
            <w:r w:rsidRPr="00585A3E">
              <w:rPr>
                <w:rFonts w:asciiTheme="minorHAnsi" w:eastAsia="Arial" w:hAnsiTheme="minorHAnsi" w:cstheme="minorHAnsi"/>
                <w:b/>
                <w:color w:val="000000"/>
                <w:sz w:val="20"/>
                <w:szCs w:val="20"/>
              </w:rPr>
              <w:t>Statement(s)</w:t>
            </w:r>
          </w:p>
        </w:tc>
        <w:tc>
          <w:tcPr>
            <w:tcW w:w="1408" w:type="pct"/>
            <w:tcBorders>
              <w:top w:val="single" w:sz="4" w:space="0" w:color="000000"/>
              <w:left w:val="single" w:sz="4" w:space="0" w:color="000000"/>
              <w:bottom w:val="single" w:sz="4" w:space="0" w:color="000000"/>
              <w:right w:val="single" w:sz="4" w:space="0" w:color="000000"/>
            </w:tcBorders>
            <w:shd w:val="clear" w:color="auto" w:fill="D8DBDB" w:themeFill="background2" w:themeFillShade="E6"/>
            <w:tcMar>
              <w:top w:w="0" w:type="dxa"/>
              <w:left w:w="113" w:type="dxa"/>
              <w:bottom w:w="0" w:type="dxa"/>
              <w:right w:w="108" w:type="dxa"/>
            </w:tcMar>
            <w:hideMark/>
          </w:tcPr>
          <w:p w14:paraId="778A7EC4" w14:textId="77777777" w:rsidR="000F4FD6" w:rsidRPr="00585A3E" w:rsidRDefault="00F26284">
            <w:pPr>
              <w:pStyle w:val="Standard"/>
              <w:keepNext/>
              <w:widowControl/>
              <w:spacing w:before="240" w:after="120" w:line="240" w:lineRule="auto"/>
              <w:ind w:left="142"/>
              <w:jc w:val="center"/>
              <w:rPr>
                <w:rFonts w:asciiTheme="minorHAnsi" w:hAnsiTheme="minorHAnsi" w:cstheme="minorHAnsi"/>
                <w:color w:val="000000"/>
                <w:sz w:val="20"/>
                <w:szCs w:val="20"/>
              </w:rPr>
            </w:pPr>
            <w:r w:rsidRPr="00585A3E">
              <w:rPr>
                <w:rFonts w:asciiTheme="minorHAnsi" w:eastAsia="Arial" w:hAnsiTheme="minorHAnsi" w:cstheme="minorHAnsi"/>
                <w:b/>
                <w:color w:val="000000"/>
                <w:sz w:val="20"/>
                <w:szCs w:val="20"/>
              </w:rPr>
              <w:t>Duration of Confidentiality</w:t>
            </w:r>
          </w:p>
        </w:tc>
      </w:tr>
      <w:tr w:rsidR="007F1680" w14:paraId="0ABDBC92" w14:textId="77777777" w:rsidTr="009515BE">
        <w:tc>
          <w:tcPr>
            <w:tcW w:w="522"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12A60" w14:textId="28464CA5"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80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537E7E" w14:textId="1C9F59D7"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22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28648B" w14:textId="3C0EBE17"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140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A5E7E3" w14:textId="6D825549"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r>
      <w:tr w:rsidR="007F1680" w14:paraId="3C002C1F" w14:textId="77777777" w:rsidTr="009515BE">
        <w:tc>
          <w:tcPr>
            <w:tcW w:w="522"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F7DCFF" w14:textId="45F26DC0"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80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5DFB4" w14:textId="4BCE5728"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22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C3D7A8" w14:textId="451EDB42"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140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504A5" w14:textId="2BF730FB"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r>
      <w:tr w:rsidR="007F1680" w14:paraId="07539E92" w14:textId="77777777" w:rsidTr="009515BE">
        <w:tc>
          <w:tcPr>
            <w:tcW w:w="522"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A9769A" w14:textId="014ED525"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80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37EDE1" w14:textId="59F0ADF7"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22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AD9500" w14:textId="31FD3540"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140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6AF" w14:textId="00693EE3"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r>
      <w:tr w:rsidR="007F1680" w14:paraId="71360D6E" w14:textId="77777777" w:rsidTr="009515BE">
        <w:tc>
          <w:tcPr>
            <w:tcW w:w="522"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6F618" w14:textId="3A5B24A8"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80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4BD341" w14:textId="6F4EBAA4"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22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44AF7" w14:textId="4A9272E6"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c>
          <w:tcPr>
            <w:tcW w:w="140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ECC45E" w14:textId="48539BF2" w:rsidR="000F4FD6" w:rsidRPr="00585A3E" w:rsidRDefault="000F4FD6">
            <w:pPr>
              <w:pStyle w:val="Standard"/>
              <w:keepNext/>
              <w:widowControl/>
              <w:spacing w:before="240" w:after="120" w:line="240" w:lineRule="auto"/>
              <w:ind w:left="142"/>
              <w:rPr>
                <w:rFonts w:asciiTheme="minorHAnsi" w:hAnsiTheme="minorHAnsi" w:cstheme="minorHAnsi"/>
                <w:color w:val="000000"/>
                <w:sz w:val="20"/>
                <w:szCs w:val="20"/>
                <w:lang w:val="en-US"/>
              </w:rPr>
            </w:pPr>
          </w:p>
        </w:tc>
      </w:tr>
    </w:tbl>
    <w:p w14:paraId="05AFEEE8" w14:textId="685AD01D" w:rsidR="00720B63" w:rsidRDefault="00720B63" w:rsidP="005C3F79">
      <w:pPr>
        <w:pStyle w:val="B12Ashurst"/>
        <w:rPr>
          <w:rFonts w:cstheme="minorHAnsi"/>
          <w:b/>
          <w:bCs/>
          <w:color w:val="000000"/>
          <w:szCs w:val="20"/>
        </w:rPr>
      </w:pPr>
    </w:p>
    <w:p w14:paraId="7EEED51A" w14:textId="77777777" w:rsidR="00720B63" w:rsidRDefault="00720B63">
      <w:pPr>
        <w:rPr>
          <w:rFonts w:cstheme="minorHAnsi"/>
          <w:b/>
          <w:bCs/>
          <w:color w:val="000000"/>
          <w:szCs w:val="20"/>
        </w:rPr>
      </w:pPr>
      <w:r>
        <w:rPr>
          <w:rFonts w:cstheme="minorHAnsi"/>
          <w:b/>
          <w:bCs/>
          <w:color w:val="000000"/>
          <w:szCs w:val="20"/>
        </w:rPr>
        <w:br w:type="page"/>
      </w:r>
    </w:p>
    <w:p w14:paraId="5B10292D" w14:textId="5C5CB551" w:rsidR="00720B63" w:rsidRPr="003273A5" w:rsidRDefault="00720B63" w:rsidP="000B51B2">
      <w:pPr>
        <w:jc w:val="center"/>
        <w:rPr>
          <w:rFonts w:asciiTheme="minorBidi" w:hAnsiTheme="minorBidi"/>
          <w:b/>
          <w:bCs/>
          <w:u w:val="single"/>
          <w:lang w:eastAsia="zh-TW"/>
        </w:rPr>
      </w:pPr>
      <w:r w:rsidRPr="003273A5">
        <w:rPr>
          <w:rFonts w:asciiTheme="minorBidi" w:hAnsiTheme="minorBidi"/>
          <w:b/>
          <w:bCs/>
          <w:u w:val="single"/>
          <w:lang w:eastAsia="zh-TW"/>
        </w:rPr>
        <w:t xml:space="preserve">Appendix </w:t>
      </w:r>
      <w:r w:rsidR="00064EB7">
        <w:rPr>
          <w:rFonts w:asciiTheme="minorBidi" w:hAnsiTheme="minorBidi"/>
          <w:b/>
          <w:bCs/>
          <w:u w:val="single"/>
          <w:lang w:eastAsia="zh-TW"/>
        </w:rPr>
        <w:t>A</w:t>
      </w:r>
      <w:r w:rsidRPr="003273A5">
        <w:rPr>
          <w:rFonts w:asciiTheme="minorBidi" w:hAnsiTheme="minorBidi"/>
          <w:b/>
          <w:bCs/>
          <w:u w:val="single"/>
          <w:lang w:eastAsia="zh-TW"/>
        </w:rPr>
        <w:t>: Bid Team Template</w:t>
      </w:r>
    </w:p>
    <w:p w14:paraId="730EBB0F" w14:textId="2A662567" w:rsidR="00720B63" w:rsidRPr="003273A5" w:rsidRDefault="00720B63" w:rsidP="00F8196C">
      <w:pPr>
        <w:pStyle w:val="ListParagraph"/>
        <w:numPr>
          <w:ilvl w:val="0"/>
          <w:numId w:val="65"/>
        </w:numPr>
        <w:spacing w:before="120" w:after="120" w:line="240" w:lineRule="auto"/>
        <w:ind w:left="357" w:hanging="357"/>
        <w:contextualSpacing w:val="0"/>
        <w:rPr>
          <w:rFonts w:asciiTheme="minorBidi" w:hAnsiTheme="minorBidi"/>
        </w:rPr>
      </w:pPr>
      <w:r w:rsidRPr="003273A5">
        <w:rPr>
          <w:rFonts w:asciiTheme="minorBidi" w:hAnsiTheme="minorBidi"/>
        </w:rPr>
        <w:t xml:space="preserve">In accordance with </w:t>
      </w:r>
      <w:r>
        <w:rPr>
          <w:rFonts w:asciiTheme="minorBidi" w:hAnsiTheme="minorBidi"/>
        </w:rPr>
        <w:t xml:space="preserve">PSQ </w:t>
      </w:r>
      <w:r w:rsidRPr="003273A5">
        <w:rPr>
          <w:rFonts w:asciiTheme="minorBidi" w:hAnsiTheme="minorBidi"/>
        </w:rPr>
        <w:t xml:space="preserve">Question </w:t>
      </w:r>
      <w:r w:rsidR="00FD4E43">
        <w:rPr>
          <w:rFonts w:asciiTheme="minorBidi" w:hAnsiTheme="minorBidi"/>
        </w:rPr>
        <w:t>28</w:t>
      </w:r>
      <w:r w:rsidRPr="003273A5">
        <w:rPr>
          <w:rFonts w:asciiTheme="minorBidi" w:hAnsiTheme="minorBidi"/>
        </w:rPr>
        <w:t xml:space="preserve">, </w:t>
      </w:r>
      <w:r>
        <w:rPr>
          <w:rFonts w:asciiTheme="minorBidi" w:hAnsiTheme="minorBidi"/>
        </w:rPr>
        <w:t>Applicants</w:t>
      </w:r>
      <w:r w:rsidRPr="003273A5">
        <w:rPr>
          <w:rFonts w:asciiTheme="minorBidi" w:hAnsiTheme="minorBidi"/>
        </w:rPr>
        <w:t xml:space="preserve"> are required to provide details of their team working on and/or providing input to the </w:t>
      </w:r>
      <w:r>
        <w:rPr>
          <w:rFonts w:asciiTheme="minorBidi" w:hAnsiTheme="minorBidi"/>
        </w:rPr>
        <w:t>PSQ</w:t>
      </w:r>
      <w:r w:rsidRPr="003273A5">
        <w:rPr>
          <w:rFonts w:asciiTheme="minorBidi" w:hAnsiTheme="minorBidi"/>
        </w:rPr>
        <w:t xml:space="preserve"> and the </w:t>
      </w:r>
      <w:r>
        <w:rPr>
          <w:rFonts w:asciiTheme="minorBidi" w:hAnsiTheme="minorBidi"/>
        </w:rPr>
        <w:t>Applicant's</w:t>
      </w:r>
      <w:r w:rsidRPr="003273A5">
        <w:rPr>
          <w:rFonts w:asciiTheme="minorBidi" w:hAnsiTheme="minorBidi"/>
        </w:rPr>
        <w:t xml:space="preserve"> preparation for this procurement (including employees, contractors, consultants and professional advisers as far as these are known at this </w:t>
      </w:r>
      <w:r>
        <w:rPr>
          <w:rFonts w:asciiTheme="minorBidi" w:hAnsiTheme="minorBidi"/>
        </w:rPr>
        <w:t>PSQ</w:t>
      </w:r>
      <w:r w:rsidRPr="003273A5">
        <w:rPr>
          <w:rFonts w:asciiTheme="minorBidi" w:hAnsiTheme="minorBidi"/>
        </w:rPr>
        <w:t xml:space="preserve"> stage) (‘bid team’) including name, position, role within the </w:t>
      </w:r>
      <w:r>
        <w:rPr>
          <w:rFonts w:asciiTheme="minorBidi" w:hAnsiTheme="minorBidi"/>
        </w:rPr>
        <w:t>Applicant</w:t>
      </w:r>
      <w:r w:rsidRPr="003273A5">
        <w:rPr>
          <w:rFonts w:asciiTheme="minorBidi" w:hAnsiTheme="minorBidi"/>
        </w:rPr>
        <w:t xml:space="preserve">’s bid team for this procurement and employer (if not the </w:t>
      </w:r>
      <w:r>
        <w:rPr>
          <w:rFonts w:asciiTheme="minorBidi" w:hAnsiTheme="minorBidi"/>
        </w:rPr>
        <w:t>Applicant</w:t>
      </w:r>
      <w:r w:rsidRPr="003273A5">
        <w:rPr>
          <w:rFonts w:asciiTheme="minorBidi" w:hAnsiTheme="minorBidi"/>
        </w:rPr>
        <w:t>) and confirm that no Conflict of Interest exists for each member of the bid team in accordance with</w:t>
      </w:r>
      <w:r>
        <w:rPr>
          <w:rFonts w:asciiTheme="minorBidi" w:hAnsiTheme="minorBidi"/>
        </w:rPr>
        <w:t xml:space="preserve"> paragraph 12 of Part G of the PSQ</w:t>
      </w:r>
      <w:r w:rsidRPr="003273A5">
        <w:rPr>
          <w:rFonts w:asciiTheme="minorBidi" w:hAnsiTheme="minorBidi"/>
        </w:rPr>
        <w:t xml:space="preserve">. Responses are required in the form of the template given in this </w:t>
      </w:r>
      <w:r>
        <w:rPr>
          <w:rFonts w:asciiTheme="minorBidi" w:hAnsiTheme="minorBidi"/>
        </w:rPr>
        <w:t>PSQ</w:t>
      </w:r>
      <w:r w:rsidRPr="003273A5">
        <w:rPr>
          <w:rFonts w:asciiTheme="minorBidi" w:hAnsiTheme="minorBidi"/>
        </w:rPr>
        <w:t xml:space="preserve"> Appendix </w:t>
      </w:r>
      <w:r w:rsidR="002A61F1">
        <w:rPr>
          <w:rFonts w:asciiTheme="minorBidi" w:hAnsiTheme="minorBidi"/>
        </w:rPr>
        <w:t>A</w:t>
      </w:r>
      <w:r w:rsidRPr="003273A5">
        <w:rPr>
          <w:rFonts w:asciiTheme="minorBidi" w:hAnsiTheme="minorBidi"/>
        </w:rPr>
        <w:t>.</w:t>
      </w:r>
    </w:p>
    <w:p w14:paraId="172B3446" w14:textId="77777777" w:rsidR="00720B63" w:rsidRPr="003273A5" w:rsidRDefault="00720B63" w:rsidP="00F8196C">
      <w:pPr>
        <w:pStyle w:val="ListParagraph"/>
        <w:numPr>
          <w:ilvl w:val="0"/>
          <w:numId w:val="65"/>
        </w:numPr>
        <w:spacing w:before="120" w:after="120" w:line="240" w:lineRule="auto"/>
        <w:ind w:left="357" w:hanging="357"/>
        <w:contextualSpacing w:val="0"/>
        <w:rPr>
          <w:rFonts w:asciiTheme="minorBidi" w:hAnsiTheme="minorBidi"/>
        </w:rPr>
      </w:pPr>
      <w:r w:rsidRPr="003273A5">
        <w:rPr>
          <w:rFonts w:asciiTheme="minorBidi" w:hAnsiTheme="minorBidi"/>
        </w:rPr>
        <w:t xml:space="preserve">The table below must be completed and returned electronically with the </w:t>
      </w:r>
      <w:r>
        <w:rPr>
          <w:rFonts w:asciiTheme="minorBidi" w:hAnsiTheme="minorBidi"/>
        </w:rPr>
        <w:t>PSQ response</w:t>
      </w:r>
      <w:r w:rsidRPr="003273A5">
        <w:rPr>
          <w:rFonts w:asciiTheme="minorBidi" w:hAnsiTheme="minorBidi"/>
        </w:rPr>
        <w:t xml:space="preserve">. Tenderers are referred to the </w:t>
      </w:r>
      <w:r>
        <w:rPr>
          <w:rFonts w:asciiTheme="minorBidi" w:hAnsiTheme="minorBidi"/>
        </w:rPr>
        <w:t>PSQ</w:t>
      </w:r>
      <w:r w:rsidRPr="003273A5">
        <w:rPr>
          <w:rFonts w:asciiTheme="minorBidi" w:hAnsiTheme="minorBidi"/>
        </w:rPr>
        <w:t xml:space="preserve"> for details about completion and the </w:t>
      </w:r>
      <w:r>
        <w:rPr>
          <w:rFonts w:asciiTheme="minorBidi" w:hAnsiTheme="minorBidi"/>
        </w:rPr>
        <w:t>response d</w:t>
      </w:r>
      <w:r w:rsidRPr="003273A5">
        <w:rPr>
          <w:rFonts w:asciiTheme="minorBidi" w:hAnsiTheme="minorBidi"/>
        </w:rPr>
        <w:t>eadline.</w:t>
      </w:r>
    </w:p>
    <w:p w14:paraId="3E8DFE1F" w14:textId="13262B1F" w:rsidR="00EB2E8E" w:rsidRDefault="00720B63" w:rsidP="00F8196C">
      <w:pPr>
        <w:pStyle w:val="ListParagraph"/>
        <w:numPr>
          <w:ilvl w:val="0"/>
          <w:numId w:val="65"/>
        </w:numPr>
        <w:spacing w:before="120" w:after="120" w:line="240" w:lineRule="auto"/>
        <w:ind w:left="357" w:hanging="357"/>
        <w:contextualSpacing w:val="0"/>
        <w:rPr>
          <w:rFonts w:asciiTheme="minorBidi" w:hAnsiTheme="minorBidi"/>
        </w:rPr>
      </w:pPr>
      <w:r w:rsidRPr="003273A5">
        <w:rPr>
          <w:rFonts w:asciiTheme="minorBidi" w:hAnsiTheme="minorBidi"/>
        </w:rPr>
        <w:t xml:space="preserve">The </w:t>
      </w:r>
      <w:r>
        <w:rPr>
          <w:rFonts w:asciiTheme="minorBidi" w:hAnsiTheme="minorBidi"/>
        </w:rPr>
        <w:t>Applicant</w:t>
      </w:r>
      <w:r w:rsidRPr="003273A5">
        <w:rPr>
          <w:rFonts w:asciiTheme="minorBidi" w:hAnsiTheme="minorBidi"/>
        </w:rPr>
        <w:t xml:space="preserve"> is permitted to add further rows to this template if deemed necessary.</w:t>
      </w:r>
    </w:p>
    <w:tbl>
      <w:tblPr>
        <w:tblStyle w:val="TableGrid"/>
        <w:tblpPr w:leftFromText="181" w:rightFromText="181" w:topFromText="312" w:bottomFromText="312" w:vertAnchor="page" w:horzAnchor="margin" w:tblpY="5807"/>
        <w:tblOverlap w:val="never"/>
        <w:tblW w:w="0" w:type="auto"/>
        <w:tblLook w:val="04A0" w:firstRow="1" w:lastRow="0" w:firstColumn="1" w:lastColumn="0" w:noHBand="0" w:noVBand="1"/>
      </w:tblPr>
      <w:tblGrid>
        <w:gridCol w:w="1216"/>
        <w:gridCol w:w="1134"/>
        <w:gridCol w:w="1904"/>
        <w:gridCol w:w="1420"/>
        <w:gridCol w:w="1670"/>
        <w:gridCol w:w="1673"/>
      </w:tblGrid>
      <w:tr w:rsidR="0070692F" w:rsidRPr="0070692F" w14:paraId="507F5481" w14:textId="77777777" w:rsidTr="0070692F">
        <w:trPr>
          <w:trHeight w:val="1125"/>
        </w:trPr>
        <w:tc>
          <w:tcPr>
            <w:tcW w:w="1216" w:type="dxa"/>
            <w:tcBorders>
              <w:bottom w:val="single" w:sz="4" w:space="0" w:color="auto"/>
            </w:tcBorders>
            <w:shd w:val="clear" w:color="auto" w:fill="E1F3F1" w:themeFill="accent4" w:themeFillTint="33"/>
            <w:vAlign w:val="center"/>
          </w:tcPr>
          <w:p w14:paraId="407DD620"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Name</w:t>
            </w:r>
          </w:p>
        </w:tc>
        <w:tc>
          <w:tcPr>
            <w:tcW w:w="1134" w:type="dxa"/>
            <w:tcBorders>
              <w:bottom w:val="single" w:sz="4" w:space="0" w:color="auto"/>
            </w:tcBorders>
            <w:shd w:val="clear" w:color="auto" w:fill="E1F3F1" w:themeFill="accent4" w:themeFillTint="33"/>
            <w:vAlign w:val="center"/>
          </w:tcPr>
          <w:p w14:paraId="368C56CD"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Job Title</w:t>
            </w:r>
          </w:p>
        </w:tc>
        <w:tc>
          <w:tcPr>
            <w:tcW w:w="1904" w:type="dxa"/>
            <w:tcBorders>
              <w:bottom w:val="single" w:sz="4" w:space="0" w:color="auto"/>
            </w:tcBorders>
            <w:shd w:val="clear" w:color="auto" w:fill="E1F3F1" w:themeFill="accent4" w:themeFillTint="33"/>
            <w:vAlign w:val="center"/>
          </w:tcPr>
          <w:p w14:paraId="40EAD3C2"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Role / Outline of Responsibilities</w:t>
            </w:r>
          </w:p>
        </w:tc>
        <w:tc>
          <w:tcPr>
            <w:tcW w:w="1420" w:type="dxa"/>
            <w:tcBorders>
              <w:bottom w:val="single" w:sz="4" w:space="0" w:color="auto"/>
            </w:tcBorders>
            <w:shd w:val="clear" w:color="auto" w:fill="E1F3F1" w:themeFill="accent4" w:themeFillTint="33"/>
            <w:vAlign w:val="center"/>
          </w:tcPr>
          <w:p w14:paraId="0BCA98CA"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Employer</w:t>
            </w:r>
          </w:p>
        </w:tc>
        <w:tc>
          <w:tcPr>
            <w:tcW w:w="1670" w:type="dxa"/>
            <w:tcBorders>
              <w:bottom w:val="single" w:sz="4" w:space="0" w:color="auto"/>
            </w:tcBorders>
            <w:shd w:val="clear" w:color="auto" w:fill="E1F3F1" w:themeFill="accent4" w:themeFillTint="33"/>
            <w:vAlign w:val="center"/>
          </w:tcPr>
          <w:p w14:paraId="765432A7"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Has the named bid team member had any prior involvement in the SMR Programme? (Yes/No)</w:t>
            </w:r>
          </w:p>
        </w:tc>
        <w:tc>
          <w:tcPr>
            <w:tcW w:w="1673" w:type="dxa"/>
            <w:tcBorders>
              <w:bottom w:val="single" w:sz="4" w:space="0" w:color="auto"/>
            </w:tcBorders>
            <w:shd w:val="clear" w:color="auto" w:fill="E1F3F1" w:themeFill="accent4" w:themeFillTint="33"/>
            <w:vAlign w:val="center"/>
          </w:tcPr>
          <w:p w14:paraId="1728367E"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 xml:space="preserve">If ‘Yes’ please </w:t>
            </w:r>
            <w:proofErr w:type="gramStart"/>
            <w:r w:rsidRPr="0070692F">
              <w:rPr>
                <w:color w:val="auto"/>
              </w:rPr>
              <w:t>state</w:t>
            </w:r>
            <w:proofErr w:type="gramEnd"/>
            <w:r w:rsidRPr="0070692F">
              <w:rPr>
                <w:color w:val="auto"/>
              </w:rPr>
              <w:t xml:space="preserve"> the date(s) of involvement</w:t>
            </w:r>
          </w:p>
          <w:p w14:paraId="7CBF4321"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(Start Date / End Date)</w:t>
            </w:r>
          </w:p>
        </w:tc>
      </w:tr>
      <w:tr w:rsidR="0070692F" w:rsidRPr="0070692F" w14:paraId="69DFCD1F" w14:textId="77777777" w:rsidTr="0070692F">
        <w:tc>
          <w:tcPr>
            <w:tcW w:w="1216" w:type="dxa"/>
            <w:tcBorders>
              <w:top w:val="single" w:sz="4" w:space="0" w:color="auto"/>
            </w:tcBorders>
          </w:tcPr>
          <w:p w14:paraId="3FD9BB18"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Borders>
              <w:top w:val="single" w:sz="4" w:space="0" w:color="auto"/>
            </w:tcBorders>
          </w:tcPr>
          <w:p w14:paraId="1EEB6695"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Borders>
              <w:top w:val="single" w:sz="4" w:space="0" w:color="auto"/>
            </w:tcBorders>
          </w:tcPr>
          <w:p w14:paraId="47CB13F5"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Borders>
              <w:top w:val="single" w:sz="4" w:space="0" w:color="auto"/>
            </w:tcBorders>
          </w:tcPr>
          <w:p w14:paraId="54C96FD3"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Borders>
              <w:top w:val="single" w:sz="4" w:space="0" w:color="auto"/>
            </w:tcBorders>
          </w:tcPr>
          <w:p w14:paraId="4ED3D8FA"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[Yes / No]</w:t>
            </w:r>
          </w:p>
        </w:tc>
        <w:tc>
          <w:tcPr>
            <w:tcW w:w="1673" w:type="dxa"/>
            <w:tcBorders>
              <w:top w:val="single" w:sz="4" w:space="0" w:color="auto"/>
            </w:tcBorders>
          </w:tcPr>
          <w:p w14:paraId="3037DB2B"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[mm/</w:t>
            </w:r>
            <w:proofErr w:type="spellStart"/>
            <w:r w:rsidRPr="0070692F">
              <w:rPr>
                <w:color w:val="auto"/>
              </w:rPr>
              <w:t>yyyy</w:t>
            </w:r>
            <w:proofErr w:type="spellEnd"/>
            <w:r w:rsidRPr="0070692F">
              <w:rPr>
                <w:color w:val="auto"/>
              </w:rPr>
              <w:t xml:space="preserve"> – mm/</w:t>
            </w:r>
            <w:proofErr w:type="spellStart"/>
            <w:r w:rsidRPr="0070692F">
              <w:rPr>
                <w:color w:val="auto"/>
              </w:rPr>
              <w:t>yyyy</w:t>
            </w:r>
            <w:proofErr w:type="spellEnd"/>
            <w:r w:rsidRPr="0070692F">
              <w:rPr>
                <w:color w:val="auto"/>
              </w:rPr>
              <w:t>]</w:t>
            </w:r>
          </w:p>
        </w:tc>
      </w:tr>
      <w:tr w:rsidR="0070692F" w:rsidRPr="0070692F" w14:paraId="0DD146C7" w14:textId="77777777" w:rsidTr="0070692F">
        <w:tc>
          <w:tcPr>
            <w:tcW w:w="1216" w:type="dxa"/>
          </w:tcPr>
          <w:p w14:paraId="49CD098F"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59F490FC"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166AEBD1"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1EE5635B"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612156E6"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570FA246"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60605FFF" w14:textId="77777777" w:rsidTr="0070692F">
        <w:tc>
          <w:tcPr>
            <w:tcW w:w="1216" w:type="dxa"/>
          </w:tcPr>
          <w:p w14:paraId="3094F09F"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5CDFE3AB"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142E0425"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4461BDEF"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74C04007"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0E655451"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672FB1A5" w14:textId="77777777" w:rsidTr="0070692F">
        <w:tc>
          <w:tcPr>
            <w:tcW w:w="1216" w:type="dxa"/>
          </w:tcPr>
          <w:p w14:paraId="6C4F98CB"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44A597CF"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1FBDC7FA"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4EAD8B40"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72C3F063"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61E9F382"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3523C3A8" w14:textId="77777777" w:rsidTr="0070692F">
        <w:tc>
          <w:tcPr>
            <w:tcW w:w="1216" w:type="dxa"/>
          </w:tcPr>
          <w:p w14:paraId="2BBEE49A"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5554C3BB"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2FE5CA55"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1D8FD9DA"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32A531CD"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06744265"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4463B7C6" w14:textId="77777777" w:rsidTr="0070692F">
        <w:tc>
          <w:tcPr>
            <w:tcW w:w="1216" w:type="dxa"/>
          </w:tcPr>
          <w:p w14:paraId="3815C8E4"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36C8A9E5"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4B2A9294"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3B46102E"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09E79B71"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1542F2A7"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7595732F" w14:textId="77777777" w:rsidTr="0070692F">
        <w:tc>
          <w:tcPr>
            <w:tcW w:w="1216" w:type="dxa"/>
          </w:tcPr>
          <w:p w14:paraId="408E0F3B" w14:textId="77777777" w:rsidR="0070692F" w:rsidRPr="0070692F" w:rsidRDefault="0070692F" w:rsidP="0070692F">
            <w:pPr>
              <w:pStyle w:val="Tabletitle"/>
              <w:framePr w:hSpace="0" w:vSpace="0" w:wrap="auto" w:vAnchor="margin" w:hAnchor="text" w:yAlign="inline"/>
              <w:suppressOverlap w:val="0"/>
              <w:rPr>
                <w:color w:val="auto"/>
              </w:rPr>
            </w:pPr>
          </w:p>
        </w:tc>
        <w:tc>
          <w:tcPr>
            <w:tcW w:w="1134" w:type="dxa"/>
          </w:tcPr>
          <w:p w14:paraId="24EB1E48" w14:textId="77777777" w:rsidR="0070692F" w:rsidRPr="0070692F" w:rsidRDefault="0070692F" w:rsidP="0070692F">
            <w:pPr>
              <w:pStyle w:val="Tabletitle"/>
              <w:framePr w:hSpace="0" w:vSpace="0" w:wrap="auto" w:vAnchor="margin" w:hAnchor="text" w:yAlign="inline"/>
              <w:suppressOverlap w:val="0"/>
              <w:rPr>
                <w:color w:val="auto"/>
              </w:rPr>
            </w:pPr>
          </w:p>
        </w:tc>
        <w:tc>
          <w:tcPr>
            <w:tcW w:w="1904" w:type="dxa"/>
          </w:tcPr>
          <w:p w14:paraId="6AF56D72" w14:textId="77777777" w:rsidR="0070692F" w:rsidRPr="0070692F" w:rsidRDefault="0070692F" w:rsidP="0070692F">
            <w:pPr>
              <w:pStyle w:val="Tabletitle"/>
              <w:framePr w:hSpace="0" w:vSpace="0" w:wrap="auto" w:vAnchor="margin" w:hAnchor="text" w:yAlign="inline"/>
              <w:suppressOverlap w:val="0"/>
              <w:rPr>
                <w:color w:val="auto"/>
              </w:rPr>
            </w:pPr>
          </w:p>
        </w:tc>
        <w:tc>
          <w:tcPr>
            <w:tcW w:w="1420" w:type="dxa"/>
          </w:tcPr>
          <w:p w14:paraId="64749E94" w14:textId="77777777" w:rsidR="0070692F" w:rsidRPr="0070692F" w:rsidRDefault="0070692F" w:rsidP="0070692F">
            <w:pPr>
              <w:pStyle w:val="Tabletitle"/>
              <w:framePr w:hSpace="0" w:vSpace="0" w:wrap="auto" w:vAnchor="margin" w:hAnchor="text" w:yAlign="inline"/>
              <w:suppressOverlap w:val="0"/>
              <w:rPr>
                <w:color w:val="auto"/>
              </w:rPr>
            </w:pPr>
          </w:p>
        </w:tc>
        <w:tc>
          <w:tcPr>
            <w:tcW w:w="1670" w:type="dxa"/>
          </w:tcPr>
          <w:p w14:paraId="68F490D2" w14:textId="77777777" w:rsidR="0070692F" w:rsidRPr="0070692F" w:rsidRDefault="0070692F" w:rsidP="0070692F">
            <w:pPr>
              <w:pStyle w:val="Tabletitle"/>
              <w:framePr w:hSpace="0" w:vSpace="0" w:wrap="auto" w:vAnchor="margin" w:hAnchor="text" w:yAlign="inline"/>
              <w:suppressOverlap w:val="0"/>
              <w:rPr>
                <w:color w:val="auto"/>
              </w:rPr>
            </w:pPr>
          </w:p>
        </w:tc>
        <w:tc>
          <w:tcPr>
            <w:tcW w:w="1673" w:type="dxa"/>
          </w:tcPr>
          <w:p w14:paraId="0964A833" w14:textId="77777777" w:rsidR="0070692F" w:rsidRPr="0070692F" w:rsidRDefault="0070692F" w:rsidP="0070692F">
            <w:pPr>
              <w:pStyle w:val="Tabletitle"/>
              <w:framePr w:hSpace="0" w:vSpace="0" w:wrap="auto" w:vAnchor="margin" w:hAnchor="text" w:yAlign="inline"/>
              <w:suppressOverlap w:val="0"/>
              <w:rPr>
                <w:color w:val="auto"/>
              </w:rPr>
            </w:pPr>
          </w:p>
        </w:tc>
      </w:tr>
      <w:tr w:rsidR="0070692F" w:rsidRPr="0070692F" w14:paraId="5C268ED1" w14:textId="77777777" w:rsidTr="0070692F">
        <w:tc>
          <w:tcPr>
            <w:tcW w:w="0" w:type="auto"/>
            <w:gridSpan w:val="6"/>
          </w:tcPr>
          <w:p w14:paraId="0170B6EF" w14:textId="77777777" w:rsidR="0070692F" w:rsidRPr="0070692F" w:rsidRDefault="0070692F" w:rsidP="0070692F">
            <w:pPr>
              <w:pStyle w:val="Tabletitle"/>
              <w:framePr w:hSpace="0" w:vSpace="0" w:wrap="auto" w:vAnchor="margin" w:hAnchor="text" w:yAlign="inline"/>
              <w:suppressOverlap w:val="0"/>
              <w:rPr>
                <w:color w:val="auto"/>
              </w:rPr>
            </w:pPr>
            <w:r w:rsidRPr="0070692F">
              <w:rPr>
                <w:color w:val="auto"/>
              </w:rPr>
              <w:t>Please insert rows for additional Bid Team members if required</w:t>
            </w:r>
          </w:p>
        </w:tc>
      </w:tr>
    </w:tbl>
    <w:p w14:paraId="1B7AB4FC" w14:textId="77777777" w:rsidR="005D235A" w:rsidRPr="0070692F" w:rsidRDefault="005D235A" w:rsidP="005D235A">
      <w:pPr>
        <w:spacing w:before="120" w:after="120" w:line="240" w:lineRule="auto"/>
        <w:rPr>
          <w:rFonts w:asciiTheme="minorBidi" w:hAnsiTheme="minorBidi"/>
        </w:rPr>
      </w:pPr>
    </w:p>
    <w:p w14:paraId="2598622C" w14:textId="77777777" w:rsidR="0070692F" w:rsidRDefault="0070692F" w:rsidP="005D235A">
      <w:pPr>
        <w:spacing w:before="120" w:after="120" w:line="240" w:lineRule="auto"/>
        <w:rPr>
          <w:rFonts w:asciiTheme="minorBidi" w:hAnsiTheme="minorBidi"/>
        </w:rPr>
        <w:sectPr w:rsidR="0070692F" w:rsidSect="007A5500">
          <w:pgSz w:w="11907" w:h="16840" w:code="9"/>
          <w:pgMar w:top="1440" w:right="1440" w:bottom="1440" w:left="1440" w:header="510" w:footer="340" w:gutter="0"/>
          <w:cols w:space="720"/>
          <w:docGrid w:linePitch="272"/>
        </w:sectPr>
      </w:pPr>
      <w:r>
        <w:rPr>
          <w:rFonts w:asciiTheme="minorBidi" w:hAnsiTheme="minorBidi"/>
        </w:rPr>
        <w:br w:type="page"/>
      </w:r>
    </w:p>
    <w:p w14:paraId="334EC44C" w14:textId="2855D7AE" w:rsidR="0070692F" w:rsidRDefault="0070692F" w:rsidP="00C037D5">
      <w:pPr>
        <w:pStyle w:val="paragraph"/>
        <w:jc w:val="center"/>
        <w:rPr>
          <w:rFonts w:ascii="Arial" w:hAnsi="Arial" w:cs="Arial"/>
          <w:b/>
          <w:bCs/>
          <w:iCs/>
          <w:sz w:val="22"/>
          <w:szCs w:val="22"/>
          <w:u w:val="single"/>
        </w:rPr>
      </w:pPr>
      <w:bookmarkStart w:id="150" w:name="_Hlk190783489"/>
      <w:r>
        <w:rPr>
          <w:rFonts w:ascii="Arial" w:hAnsi="Arial" w:cs="Arial"/>
          <w:b/>
          <w:bCs/>
          <w:iCs/>
          <w:sz w:val="22"/>
          <w:szCs w:val="22"/>
          <w:u w:val="single"/>
        </w:rPr>
        <w:t xml:space="preserve">Appendix </w:t>
      </w:r>
      <w:r w:rsidR="00064EB7">
        <w:rPr>
          <w:rFonts w:ascii="Arial" w:hAnsi="Arial" w:cs="Arial"/>
          <w:b/>
          <w:bCs/>
          <w:iCs/>
          <w:sz w:val="22"/>
          <w:szCs w:val="22"/>
          <w:u w:val="single"/>
        </w:rPr>
        <w:t>B</w:t>
      </w:r>
      <w:r>
        <w:rPr>
          <w:rFonts w:ascii="Arial" w:hAnsi="Arial" w:cs="Arial"/>
          <w:b/>
          <w:bCs/>
          <w:iCs/>
          <w:sz w:val="22"/>
          <w:szCs w:val="22"/>
          <w:u w:val="single"/>
        </w:rPr>
        <w:t>:</w:t>
      </w:r>
      <w:r w:rsidR="00C14DC8">
        <w:rPr>
          <w:rFonts w:ascii="Arial" w:hAnsi="Arial" w:cs="Arial"/>
          <w:b/>
          <w:bCs/>
          <w:iCs/>
          <w:sz w:val="22"/>
          <w:szCs w:val="22"/>
          <w:u w:val="single"/>
        </w:rPr>
        <w:t xml:space="preserve"> </w:t>
      </w:r>
      <w:r w:rsidRPr="00562F36">
        <w:rPr>
          <w:rFonts w:ascii="Arial" w:hAnsi="Arial" w:cs="Arial"/>
          <w:b/>
          <w:bCs/>
          <w:iCs/>
          <w:sz w:val="22"/>
          <w:szCs w:val="22"/>
          <w:u w:val="single"/>
        </w:rPr>
        <w:t>Briefing Document</w:t>
      </w:r>
    </w:p>
    <w:p w14:paraId="72EEFB2D" w14:textId="70376A75" w:rsidR="008F36EF" w:rsidRDefault="00952ED8" w:rsidP="435701F9">
      <w:pPr>
        <w:pStyle w:val="paragraph"/>
        <w:jc w:val="center"/>
        <w:rPr>
          <w:rFonts w:ascii="Arial" w:hAnsi="Arial" w:cs="Arial"/>
          <w:b/>
          <w:bCs/>
          <w:sz w:val="22"/>
          <w:szCs w:val="22"/>
          <w:u w:val="single"/>
        </w:rPr>
      </w:pPr>
      <w:bookmarkStart w:id="151" w:name="_MON_1801397208"/>
      <w:bookmarkEnd w:id="151"/>
      <w:r>
        <w:rPr>
          <w:rFonts w:ascii="Arial" w:hAnsi="Arial" w:cs="Arial"/>
          <w:b/>
          <w:bCs/>
          <w:iCs/>
          <w:sz w:val="22"/>
          <w:szCs w:val="22"/>
          <w:u w:val="single"/>
        </w:rPr>
        <w:pict w14:anchorId="7675D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v:imagedata r:id="rId36" o:title=""/>
          </v:shape>
        </w:pict>
      </w:r>
    </w:p>
    <w:bookmarkEnd w:id="150"/>
    <w:p w14:paraId="7155A848" w14:textId="77777777" w:rsidR="008F36EF" w:rsidRDefault="008F36EF">
      <w:pPr>
        <w:rPr>
          <w:rFonts w:ascii="Arial" w:eastAsia="Times New Roman" w:hAnsi="Arial" w:cs="Arial"/>
          <w:b/>
          <w:bCs/>
          <w:iCs/>
          <w:sz w:val="22"/>
          <w:szCs w:val="22"/>
          <w:u w:val="single"/>
          <w:lang w:eastAsia="en-GB"/>
        </w:rPr>
      </w:pPr>
      <w:r>
        <w:rPr>
          <w:rFonts w:ascii="Arial" w:hAnsi="Arial" w:cs="Arial"/>
          <w:b/>
          <w:bCs/>
          <w:iCs/>
          <w:sz w:val="22"/>
          <w:szCs w:val="22"/>
          <w:u w:val="single"/>
        </w:rPr>
        <w:br w:type="page"/>
      </w:r>
    </w:p>
    <w:p w14:paraId="56FC1BA1" w14:textId="318D82E6" w:rsidR="008F36EF" w:rsidRDefault="008F36EF" w:rsidP="008F36EF">
      <w:pPr>
        <w:pStyle w:val="paragraph"/>
        <w:jc w:val="center"/>
        <w:rPr>
          <w:rFonts w:ascii="Arial" w:hAnsi="Arial" w:cs="Arial"/>
          <w:b/>
          <w:bCs/>
          <w:iCs/>
          <w:sz w:val="22"/>
          <w:szCs w:val="22"/>
          <w:u w:val="single"/>
        </w:rPr>
      </w:pPr>
      <w:r>
        <w:rPr>
          <w:rFonts w:ascii="Arial" w:hAnsi="Arial" w:cs="Arial"/>
          <w:b/>
          <w:bCs/>
          <w:iCs/>
          <w:sz w:val="22"/>
          <w:szCs w:val="22"/>
          <w:u w:val="single"/>
        </w:rPr>
        <w:t xml:space="preserve">Appendix </w:t>
      </w:r>
      <w:r w:rsidR="00373F28">
        <w:rPr>
          <w:rFonts w:ascii="Arial" w:hAnsi="Arial" w:cs="Arial"/>
          <w:b/>
          <w:bCs/>
          <w:iCs/>
          <w:sz w:val="22"/>
          <w:szCs w:val="22"/>
          <w:u w:val="single"/>
        </w:rPr>
        <w:t>C</w:t>
      </w:r>
      <w:r w:rsidR="005B46B3">
        <w:rPr>
          <w:rFonts w:ascii="Arial" w:hAnsi="Arial" w:cs="Arial"/>
          <w:b/>
          <w:bCs/>
          <w:iCs/>
          <w:sz w:val="22"/>
          <w:szCs w:val="22"/>
          <w:u w:val="single"/>
        </w:rPr>
        <w:t>:</w:t>
      </w:r>
      <w:r w:rsidR="00625BA9">
        <w:rPr>
          <w:rFonts w:ascii="Arial" w:hAnsi="Arial" w:cs="Arial"/>
          <w:b/>
          <w:bCs/>
          <w:iCs/>
          <w:sz w:val="22"/>
          <w:szCs w:val="22"/>
          <w:u w:val="single"/>
        </w:rPr>
        <w:t xml:space="preserve"> </w:t>
      </w:r>
      <w:r>
        <w:rPr>
          <w:rFonts w:ascii="Arial" w:hAnsi="Arial" w:cs="Arial"/>
          <w:b/>
          <w:bCs/>
          <w:iCs/>
          <w:sz w:val="22"/>
          <w:szCs w:val="22"/>
          <w:u w:val="single"/>
        </w:rPr>
        <w:t>Early Market Engagement Slides</w:t>
      </w:r>
    </w:p>
    <w:p w14:paraId="67F03C53" w14:textId="45A9E47C" w:rsidR="008F36EF" w:rsidRDefault="00952ED8" w:rsidP="435701F9">
      <w:pPr>
        <w:pStyle w:val="paragraph"/>
        <w:jc w:val="center"/>
        <w:rPr>
          <w:rFonts w:ascii="Arial" w:hAnsi="Arial" w:cs="Arial"/>
          <w:b/>
          <w:bCs/>
          <w:sz w:val="22"/>
          <w:szCs w:val="22"/>
          <w:u w:val="single"/>
        </w:rPr>
      </w:pPr>
      <w:r>
        <w:rPr>
          <w:rFonts w:ascii="Arial" w:hAnsi="Arial" w:cs="Arial"/>
          <w:b/>
          <w:bCs/>
          <w:iCs/>
          <w:sz w:val="22"/>
          <w:szCs w:val="22"/>
          <w:u w:val="single"/>
        </w:rPr>
        <w:pict w14:anchorId="25729DCB">
          <v:shape id="_x0000_i1026" type="#_x0000_t75" style="width:76.55pt;height:49.5pt">
            <v:imagedata r:id="rId37" o:title=""/>
          </v:shape>
        </w:pict>
      </w:r>
    </w:p>
    <w:p w14:paraId="21AF4B5B" w14:textId="77777777" w:rsidR="008F36EF" w:rsidRDefault="008F36EF">
      <w:pPr>
        <w:rPr>
          <w:rFonts w:ascii="Arial" w:eastAsia="Times New Roman" w:hAnsi="Arial" w:cs="Arial"/>
          <w:b/>
          <w:bCs/>
          <w:iCs/>
          <w:sz w:val="22"/>
          <w:szCs w:val="22"/>
          <w:u w:val="single"/>
          <w:lang w:eastAsia="en-GB"/>
        </w:rPr>
      </w:pPr>
      <w:r>
        <w:rPr>
          <w:rFonts w:ascii="Arial" w:hAnsi="Arial" w:cs="Arial"/>
          <w:b/>
          <w:bCs/>
          <w:iCs/>
          <w:sz w:val="22"/>
          <w:szCs w:val="22"/>
          <w:u w:val="single"/>
        </w:rPr>
        <w:br w:type="page"/>
      </w:r>
    </w:p>
    <w:p w14:paraId="7E9C7257" w14:textId="5E9016F5" w:rsidR="008F36EF" w:rsidRDefault="008F36EF" w:rsidP="008F36EF">
      <w:pPr>
        <w:pStyle w:val="paragraph"/>
        <w:jc w:val="center"/>
        <w:rPr>
          <w:rFonts w:ascii="Arial" w:hAnsi="Arial" w:cs="Arial"/>
          <w:b/>
          <w:bCs/>
          <w:iCs/>
          <w:sz w:val="22"/>
          <w:szCs w:val="22"/>
          <w:u w:val="single"/>
        </w:rPr>
      </w:pPr>
      <w:r>
        <w:rPr>
          <w:rFonts w:ascii="Arial" w:hAnsi="Arial" w:cs="Arial"/>
          <w:b/>
          <w:bCs/>
          <w:iCs/>
          <w:sz w:val="22"/>
          <w:szCs w:val="22"/>
          <w:u w:val="single"/>
        </w:rPr>
        <w:t xml:space="preserve">Appendix </w:t>
      </w:r>
      <w:r w:rsidR="00373F28">
        <w:rPr>
          <w:rFonts w:ascii="Arial" w:hAnsi="Arial" w:cs="Arial"/>
          <w:b/>
          <w:bCs/>
          <w:iCs/>
          <w:sz w:val="22"/>
          <w:szCs w:val="22"/>
          <w:u w:val="single"/>
        </w:rPr>
        <w:t>D</w:t>
      </w:r>
      <w:r w:rsidR="00F37987">
        <w:rPr>
          <w:rFonts w:ascii="Arial" w:hAnsi="Arial" w:cs="Arial"/>
          <w:b/>
          <w:bCs/>
          <w:iCs/>
          <w:sz w:val="22"/>
          <w:szCs w:val="22"/>
          <w:u w:val="single"/>
        </w:rPr>
        <w:t>:</w:t>
      </w:r>
      <w:r w:rsidR="00625BA9">
        <w:rPr>
          <w:rFonts w:ascii="Arial" w:hAnsi="Arial" w:cs="Arial"/>
          <w:b/>
          <w:bCs/>
          <w:iCs/>
          <w:sz w:val="22"/>
          <w:szCs w:val="22"/>
          <w:u w:val="single"/>
        </w:rPr>
        <w:t xml:space="preserve"> </w:t>
      </w:r>
      <w:r>
        <w:rPr>
          <w:rFonts w:ascii="Arial" w:hAnsi="Arial" w:cs="Arial"/>
          <w:b/>
          <w:bCs/>
          <w:iCs/>
          <w:sz w:val="22"/>
          <w:szCs w:val="22"/>
          <w:u w:val="single"/>
        </w:rPr>
        <w:t>PSQ Form</w:t>
      </w:r>
    </w:p>
    <w:p w14:paraId="4E40D5EE" w14:textId="5670F28A" w:rsidR="008F36EF" w:rsidRDefault="00952ED8" w:rsidP="007F66DE">
      <w:pPr>
        <w:jc w:val="center"/>
        <w:rPr>
          <w:rFonts w:ascii="Arial" w:eastAsia="Times New Roman" w:hAnsi="Arial" w:cs="Arial"/>
          <w:b/>
          <w:bCs/>
          <w:iCs/>
          <w:sz w:val="22"/>
          <w:szCs w:val="22"/>
          <w:u w:val="single"/>
          <w:lang w:eastAsia="en-GB"/>
        </w:rPr>
      </w:pPr>
      <w:bookmarkStart w:id="152" w:name="_MON_1810387553"/>
      <w:bookmarkEnd w:id="152"/>
      <w:r>
        <w:rPr>
          <w:rFonts w:ascii="Arial" w:hAnsi="Arial" w:cs="Arial"/>
          <w:b/>
          <w:bCs/>
          <w:iCs/>
          <w:sz w:val="22"/>
          <w:szCs w:val="22"/>
          <w:u w:val="single"/>
        </w:rPr>
        <w:pict w14:anchorId="46156A67">
          <v:shape id="_x0000_i1027" type="#_x0000_t75" style="width:46.5pt;height:30pt">
            <v:imagedata r:id="rId38" o:title=""/>
          </v:shape>
        </w:pict>
      </w:r>
      <w:r w:rsidR="008F36EF">
        <w:rPr>
          <w:rFonts w:ascii="Arial" w:hAnsi="Arial" w:cs="Arial"/>
          <w:b/>
          <w:bCs/>
          <w:iCs/>
          <w:sz w:val="22"/>
          <w:szCs w:val="22"/>
          <w:u w:val="single"/>
        </w:rPr>
        <w:br w:type="page"/>
      </w:r>
    </w:p>
    <w:p w14:paraId="7D649CFB" w14:textId="1480ED93" w:rsidR="008F36EF" w:rsidRDefault="008F36EF" w:rsidP="008F36EF">
      <w:pPr>
        <w:pStyle w:val="paragraph"/>
        <w:jc w:val="center"/>
        <w:rPr>
          <w:rFonts w:ascii="Arial" w:hAnsi="Arial" w:cs="Arial"/>
          <w:b/>
          <w:bCs/>
          <w:iCs/>
          <w:sz w:val="22"/>
          <w:szCs w:val="22"/>
          <w:u w:val="single"/>
        </w:rPr>
      </w:pPr>
      <w:r>
        <w:rPr>
          <w:rFonts w:ascii="Arial" w:hAnsi="Arial" w:cs="Arial"/>
          <w:b/>
          <w:bCs/>
          <w:iCs/>
          <w:sz w:val="22"/>
          <w:szCs w:val="22"/>
          <w:u w:val="single"/>
        </w:rPr>
        <w:t xml:space="preserve">Appendix </w:t>
      </w:r>
      <w:r w:rsidR="00373F28">
        <w:rPr>
          <w:rFonts w:ascii="Arial" w:hAnsi="Arial" w:cs="Arial"/>
          <w:b/>
          <w:bCs/>
          <w:iCs/>
          <w:sz w:val="22"/>
          <w:szCs w:val="22"/>
          <w:u w:val="single"/>
        </w:rPr>
        <w:t>E</w:t>
      </w:r>
      <w:r w:rsidR="00F37987">
        <w:rPr>
          <w:rFonts w:ascii="Arial" w:hAnsi="Arial" w:cs="Arial"/>
          <w:b/>
          <w:bCs/>
          <w:iCs/>
          <w:sz w:val="22"/>
          <w:szCs w:val="22"/>
          <w:u w:val="single"/>
        </w:rPr>
        <w:t>:</w:t>
      </w:r>
      <w:r w:rsidR="00C14DC8">
        <w:rPr>
          <w:rFonts w:ascii="Arial" w:hAnsi="Arial" w:cs="Arial"/>
          <w:b/>
          <w:bCs/>
          <w:iCs/>
          <w:sz w:val="22"/>
          <w:szCs w:val="22"/>
          <w:u w:val="single"/>
        </w:rPr>
        <w:t xml:space="preserve"> </w:t>
      </w:r>
      <w:r>
        <w:rPr>
          <w:rFonts w:ascii="Arial" w:hAnsi="Arial" w:cs="Arial"/>
          <w:b/>
          <w:bCs/>
          <w:iCs/>
          <w:sz w:val="22"/>
          <w:szCs w:val="22"/>
          <w:u w:val="single"/>
        </w:rPr>
        <w:t xml:space="preserve">Draft </w:t>
      </w:r>
      <w:r w:rsidR="00FA5D64">
        <w:rPr>
          <w:rFonts w:ascii="Arial" w:hAnsi="Arial" w:cs="Arial"/>
          <w:b/>
          <w:bCs/>
          <w:iCs/>
          <w:sz w:val="22"/>
          <w:szCs w:val="22"/>
          <w:u w:val="single"/>
        </w:rPr>
        <w:t>Owner's Engineer Contract</w:t>
      </w:r>
    </w:p>
    <w:p w14:paraId="1D7F0B66" w14:textId="4C00CD37" w:rsidR="008F36EF" w:rsidRDefault="00952ED8" w:rsidP="00277DA9">
      <w:pPr>
        <w:jc w:val="center"/>
        <w:rPr>
          <w:rFonts w:ascii="Arial" w:eastAsia="Times New Roman" w:hAnsi="Arial" w:cs="Arial"/>
          <w:b/>
          <w:bCs/>
          <w:iCs/>
          <w:sz w:val="22"/>
          <w:szCs w:val="22"/>
          <w:u w:val="single"/>
          <w:lang w:eastAsia="en-GB"/>
        </w:rPr>
      </w:pPr>
      <w:bookmarkStart w:id="153" w:name="_MON_1810369276"/>
      <w:bookmarkEnd w:id="153"/>
      <w:r>
        <w:rPr>
          <w:rFonts w:ascii="Arial" w:hAnsi="Arial" w:cs="Arial"/>
          <w:b/>
          <w:bCs/>
          <w:iCs/>
          <w:sz w:val="22"/>
          <w:szCs w:val="22"/>
          <w:u w:val="single"/>
        </w:rPr>
        <w:pict w14:anchorId="76F01AC2">
          <v:shape id="_x0000_i1028" type="#_x0000_t75" style="width:46.5pt;height:30pt">
            <v:imagedata r:id="rId39" o:title=""/>
          </v:shape>
        </w:pict>
      </w:r>
    </w:p>
    <w:p w14:paraId="21867C1B" w14:textId="77777777" w:rsidR="00277DA9" w:rsidRDefault="00277DA9">
      <w:pPr>
        <w:rPr>
          <w:rFonts w:ascii="Arial" w:eastAsia="Times New Roman" w:hAnsi="Arial" w:cs="Arial"/>
          <w:b/>
          <w:bCs/>
          <w:iCs/>
          <w:sz w:val="22"/>
          <w:szCs w:val="22"/>
          <w:u w:val="single"/>
          <w:lang w:eastAsia="en-GB"/>
        </w:rPr>
      </w:pPr>
      <w:r>
        <w:rPr>
          <w:rFonts w:ascii="Arial" w:hAnsi="Arial" w:cs="Arial"/>
          <w:b/>
          <w:bCs/>
          <w:iCs/>
          <w:sz w:val="22"/>
          <w:szCs w:val="22"/>
          <w:u w:val="single"/>
        </w:rPr>
        <w:br w:type="page"/>
      </w:r>
    </w:p>
    <w:p w14:paraId="52187E38" w14:textId="09A41DF6" w:rsidR="00C1733A" w:rsidRDefault="00C1733A" w:rsidP="00C1733A">
      <w:pPr>
        <w:pStyle w:val="paragraph"/>
        <w:jc w:val="center"/>
        <w:rPr>
          <w:rFonts w:ascii="Arial" w:hAnsi="Arial" w:cs="Arial"/>
          <w:b/>
          <w:bCs/>
          <w:iCs/>
          <w:sz w:val="22"/>
          <w:szCs w:val="22"/>
          <w:u w:val="single"/>
        </w:rPr>
      </w:pPr>
      <w:r>
        <w:rPr>
          <w:rFonts w:ascii="Arial" w:hAnsi="Arial" w:cs="Arial"/>
          <w:b/>
          <w:bCs/>
          <w:iCs/>
          <w:sz w:val="22"/>
          <w:szCs w:val="22"/>
          <w:u w:val="single"/>
        </w:rPr>
        <w:t xml:space="preserve">Appendix </w:t>
      </w:r>
      <w:r w:rsidR="00DD60C1">
        <w:rPr>
          <w:rFonts w:ascii="Arial" w:hAnsi="Arial" w:cs="Arial"/>
          <w:b/>
          <w:bCs/>
          <w:iCs/>
          <w:sz w:val="22"/>
          <w:szCs w:val="22"/>
          <w:u w:val="single"/>
        </w:rPr>
        <w:t>F</w:t>
      </w:r>
      <w:r w:rsidR="00F37987">
        <w:rPr>
          <w:rFonts w:ascii="Arial" w:hAnsi="Arial" w:cs="Arial"/>
          <w:b/>
          <w:bCs/>
          <w:iCs/>
          <w:sz w:val="22"/>
          <w:szCs w:val="22"/>
          <w:u w:val="single"/>
        </w:rPr>
        <w:t>:</w:t>
      </w:r>
      <w:r w:rsidR="00C14DC8">
        <w:rPr>
          <w:rFonts w:ascii="Arial" w:hAnsi="Arial" w:cs="Arial"/>
          <w:b/>
          <w:bCs/>
          <w:iCs/>
          <w:sz w:val="22"/>
          <w:szCs w:val="22"/>
          <w:u w:val="single"/>
        </w:rPr>
        <w:t xml:space="preserve"> </w:t>
      </w:r>
      <w:r w:rsidR="00F37987">
        <w:rPr>
          <w:rFonts w:ascii="Arial" w:hAnsi="Arial" w:cs="Arial"/>
          <w:b/>
          <w:bCs/>
          <w:iCs/>
          <w:sz w:val="22"/>
          <w:szCs w:val="22"/>
          <w:u w:val="single"/>
        </w:rPr>
        <w:t xml:space="preserve">Interim Statement of Requirements </w:t>
      </w:r>
    </w:p>
    <w:p w14:paraId="2D35E54D" w14:textId="0525AFB3" w:rsidR="6DEA845E" w:rsidRDefault="00952ED8" w:rsidP="0067751D">
      <w:pPr>
        <w:jc w:val="center"/>
      </w:pPr>
      <w:bookmarkStart w:id="154" w:name="_MON_1810367325"/>
      <w:bookmarkEnd w:id="154"/>
      <w:r>
        <w:rPr>
          <w:sz w:val="28"/>
          <w:szCs w:val="36"/>
        </w:rPr>
        <w:pict w14:anchorId="1F40B246">
          <v:shape id="_x0000_i1029" type="#_x0000_t75" style="width:46.5pt;height:30pt">
            <v:imagedata r:id="rId40" o:title=""/>
          </v:shape>
        </w:pict>
      </w:r>
      <w:r w:rsidR="6DEA845E">
        <w:br w:type="page"/>
      </w:r>
    </w:p>
    <w:tbl>
      <w:tblPr>
        <w:tblStyle w:val="TableGrid"/>
        <w:tblpPr w:leftFromText="180" w:rightFromText="180" w:vertAnchor="text" w:horzAnchor="margin" w:tblpY="482"/>
        <w:tblW w:w="9023" w:type="dxa"/>
        <w:tblLayout w:type="fixed"/>
        <w:tblLook w:val="06A0" w:firstRow="1" w:lastRow="0" w:firstColumn="1" w:lastColumn="0" w:noHBand="1" w:noVBand="1"/>
      </w:tblPr>
      <w:tblGrid>
        <w:gridCol w:w="1215"/>
        <w:gridCol w:w="4470"/>
        <w:gridCol w:w="3338"/>
      </w:tblGrid>
      <w:tr w:rsidR="00D1593D" w14:paraId="3FDAB8C0" w14:textId="77777777" w:rsidTr="00D1593D">
        <w:trPr>
          <w:trHeight w:val="300"/>
        </w:trPr>
        <w:tc>
          <w:tcPr>
            <w:tcW w:w="1215" w:type="dxa"/>
          </w:tcPr>
          <w:p w14:paraId="5762E183" w14:textId="77777777" w:rsidR="00D1593D" w:rsidRDefault="00D1593D" w:rsidP="00D1593D">
            <w:pPr>
              <w:pStyle w:val="paragraph"/>
              <w:rPr>
                <w:rFonts w:ascii="Arial" w:hAnsi="Arial" w:cs="Arial"/>
                <w:b/>
                <w:bCs/>
                <w:sz w:val="22"/>
                <w:szCs w:val="22"/>
                <w:u w:val="single"/>
              </w:rPr>
            </w:pPr>
            <w:r w:rsidRPr="32ED2C7B">
              <w:rPr>
                <w:rFonts w:ascii="Arial" w:hAnsi="Arial" w:cs="Arial"/>
                <w:b/>
                <w:bCs/>
                <w:sz w:val="22"/>
                <w:szCs w:val="22"/>
                <w:u w:val="single"/>
              </w:rPr>
              <w:t>Clause ref</w:t>
            </w:r>
          </w:p>
        </w:tc>
        <w:tc>
          <w:tcPr>
            <w:tcW w:w="4470" w:type="dxa"/>
          </w:tcPr>
          <w:p w14:paraId="07724937" w14:textId="77777777" w:rsidR="00D1593D" w:rsidRDefault="00D1593D" w:rsidP="00D1593D">
            <w:pPr>
              <w:pStyle w:val="paragraph"/>
              <w:rPr>
                <w:rFonts w:ascii="Arial" w:hAnsi="Arial" w:cs="Arial"/>
                <w:b/>
                <w:bCs/>
                <w:sz w:val="22"/>
                <w:szCs w:val="22"/>
                <w:u w:val="single"/>
              </w:rPr>
            </w:pPr>
            <w:r w:rsidRPr="7DC867AE">
              <w:rPr>
                <w:rFonts w:ascii="Arial" w:hAnsi="Arial" w:cs="Arial"/>
                <w:b/>
                <w:bCs/>
                <w:sz w:val="22"/>
                <w:szCs w:val="22"/>
                <w:u w:val="single"/>
              </w:rPr>
              <w:t>Proposed change in tracked changes</w:t>
            </w:r>
          </w:p>
        </w:tc>
        <w:tc>
          <w:tcPr>
            <w:tcW w:w="3338" w:type="dxa"/>
          </w:tcPr>
          <w:p w14:paraId="466F88AA" w14:textId="77777777" w:rsidR="00D1593D" w:rsidRDefault="00D1593D" w:rsidP="00D1593D">
            <w:pPr>
              <w:pStyle w:val="paragraph"/>
              <w:rPr>
                <w:rFonts w:ascii="Arial" w:hAnsi="Arial" w:cs="Arial"/>
                <w:b/>
                <w:bCs/>
                <w:sz w:val="22"/>
                <w:szCs w:val="22"/>
                <w:u w:val="single"/>
              </w:rPr>
            </w:pPr>
            <w:r w:rsidRPr="7DC867AE">
              <w:rPr>
                <w:rFonts w:ascii="Arial" w:hAnsi="Arial" w:cs="Arial"/>
                <w:b/>
                <w:bCs/>
                <w:sz w:val="22"/>
                <w:szCs w:val="22"/>
                <w:u w:val="single"/>
              </w:rPr>
              <w:t>Justification for change</w:t>
            </w:r>
            <w:r w:rsidRPr="78072E0E">
              <w:rPr>
                <w:rFonts w:ascii="Arial" w:hAnsi="Arial" w:cs="Arial"/>
                <w:b/>
                <w:bCs/>
                <w:sz w:val="22"/>
                <w:szCs w:val="22"/>
                <w:u w:val="single"/>
              </w:rPr>
              <w:t xml:space="preserve"> and impact on tender</w:t>
            </w:r>
          </w:p>
        </w:tc>
      </w:tr>
      <w:tr w:rsidR="00D1593D" w14:paraId="5F220D96" w14:textId="77777777" w:rsidTr="00D1593D">
        <w:trPr>
          <w:trHeight w:val="300"/>
        </w:trPr>
        <w:tc>
          <w:tcPr>
            <w:tcW w:w="1215" w:type="dxa"/>
          </w:tcPr>
          <w:p w14:paraId="44EE732B" w14:textId="77777777" w:rsidR="00D1593D" w:rsidRDefault="00D1593D" w:rsidP="00D1593D">
            <w:pPr>
              <w:pStyle w:val="paragraph"/>
              <w:rPr>
                <w:rFonts w:ascii="Arial" w:hAnsi="Arial" w:cs="Arial"/>
                <w:b/>
                <w:bCs/>
                <w:sz w:val="22"/>
                <w:szCs w:val="22"/>
                <w:u w:val="single"/>
              </w:rPr>
            </w:pPr>
          </w:p>
        </w:tc>
        <w:tc>
          <w:tcPr>
            <w:tcW w:w="4470" w:type="dxa"/>
          </w:tcPr>
          <w:p w14:paraId="0AC51529" w14:textId="77777777" w:rsidR="00D1593D" w:rsidRDefault="00D1593D" w:rsidP="00D1593D">
            <w:pPr>
              <w:pStyle w:val="paragraph"/>
              <w:rPr>
                <w:rFonts w:ascii="Arial" w:hAnsi="Arial" w:cs="Arial"/>
                <w:b/>
                <w:bCs/>
                <w:sz w:val="22"/>
                <w:szCs w:val="22"/>
                <w:u w:val="single"/>
              </w:rPr>
            </w:pPr>
          </w:p>
        </w:tc>
        <w:tc>
          <w:tcPr>
            <w:tcW w:w="3338" w:type="dxa"/>
          </w:tcPr>
          <w:p w14:paraId="45C985E2" w14:textId="77777777" w:rsidR="00D1593D" w:rsidRDefault="00D1593D" w:rsidP="00D1593D">
            <w:pPr>
              <w:pStyle w:val="paragraph"/>
              <w:rPr>
                <w:rFonts w:ascii="Arial" w:hAnsi="Arial" w:cs="Arial"/>
                <w:b/>
                <w:bCs/>
                <w:sz w:val="22"/>
                <w:szCs w:val="22"/>
                <w:u w:val="single"/>
              </w:rPr>
            </w:pPr>
          </w:p>
        </w:tc>
      </w:tr>
      <w:tr w:rsidR="00D1593D" w14:paraId="464ABB54" w14:textId="77777777" w:rsidTr="00D1593D">
        <w:trPr>
          <w:trHeight w:val="300"/>
        </w:trPr>
        <w:tc>
          <w:tcPr>
            <w:tcW w:w="1215" w:type="dxa"/>
          </w:tcPr>
          <w:p w14:paraId="38700F35" w14:textId="77777777" w:rsidR="00D1593D" w:rsidRDefault="00D1593D" w:rsidP="00D1593D">
            <w:pPr>
              <w:pStyle w:val="paragraph"/>
              <w:rPr>
                <w:rFonts w:ascii="Arial" w:hAnsi="Arial" w:cs="Arial"/>
                <w:b/>
                <w:bCs/>
                <w:sz w:val="22"/>
                <w:szCs w:val="22"/>
                <w:u w:val="single"/>
              </w:rPr>
            </w:pPr>
          </w:p>
        </w:tc>
        <w:tc>
          <w:tcPr>
            <w:tcW w:w="4470" w:type="dxa"/>
          </w:tcPr>
          <w:p w14:paraId="3E042451" w14:textId="77777777" w:rsidR="00D1593D" w:rsidRDefault="00D1593D" w:rsidP="00D1593D">
            <w:pPr>
              <w:pStyle w:val="paragraph"/>
              <w:rPr>
                <w:rFonts w:ascii="Arial" w:hAnsi="Arial" w:cs="Arial"/>
                <w:b/>
                <w:bCs/>
                <w:sz w:val="22"/>
                <w:szCs w:val="22"/>
                <w:u w:val="single"/>
              </w:rPr>
            </w:pPr>
          </w:p>
        </w:tc>
        <w:tc>
          <w:tcPr>
            <w:tcW w:w="3338" w:type="dxa"/>
          </w:tcPr>
          <w:p w14:paraId="3FF21CE1" w14:textId="77777777" w:rsidR="00D1593D" w:rsidRDefault="00D1593D" w:rsidP="00D1593D">
            <w:pPr>
              <w:pStyle w:val="paragraph"/>
              <w:rPr>
                <w:rFonts w:ascii="Arial" w:hAnsi="Arial" w:cs="Arial"/>
                <w:b/>
                <w:bCs/>
                <w:sz w:val="22"/>
                <w:szCs w:val="22"/>
                <w:u w:val="single"/>
              </w:rPr>
            </w:pPr>
          </w:p>
        </w:tc>
      </w:tr>
      <w:tr w:rsidR="00D1593D" w14:paraId="2B466375" w14:textId="77777777" w:rsidTr="00D1593D">
        <w:trPr>
          <w:trHeight w:val="300"/>
        </w:trPr>
        <w:tc>
          <w:tcPr>
            <w:tcW w:w="1215" w:type="dxa"/>
          </w:tcPr>
          <w:p w14:paraId="3C016C51" w14:textId="77777777" w:rsidR="00D1593D" w:rsidRDefault="00D1593D" w:rsidP="00D1593D">
            <w:pPr>
              <w:pStyle w:val="paragraph"/>
              <w:rPr>
                <w:rFonts w:ascii="Arial" w:hAnsi="Arial" w:cs="Arial"/>
                <w:b/>
                <w:bCs/>
                <w:sz w:val="22"/>
                <w:szCs w:val="22"/>
                <w:u w:val="single"/>
              </w:rPr>
            </w:pPr>
          </w:p>
        </w:tc>
        <w:tc>
          <w:tcPr>
            <w:tcW w:w="4470" w:type="dxa"/>
          </w:tcPr>
          <w:p w14:paraId="1DA5415C" w14:textId="77777777" w:rsidR="00D1593D" w:rsidRDefault="00D1593D" w:rsidP="00D1593D">
            <w:pPr>
              <w:pStyle w:val="paragraph"/>
              <w:rPr>
                <w:rFonts w:ascii="Arial" w:hAnsi="Arial" w:cs="Arial"/>
                <w:b/>
                <w:bCs/>
                <w:sz w:val="22"/>
                <w:szCs w:val="22"/>
                <w:u w:val="single"/>
              </w:rPr>
            </w:pPr>
          </w:p>
        </w:tc>
        <w:tc>
          <w:tcPr>
            <w:tcW w:w="3338" w:type="dxa"/>
          </w:tcPr>
          <w:p w14:paraId="67C92968" w14:textId="77777777" w:rsidR="00D1593D" w:rsidRDefault="00D1593D" w:rsidP="00D1593D">
            <w:pPr>
              <w:pStyle w:val="paragraph"/>
              <w:rPr>
                <w:rFonts w:ascii="Arial" w:hAnsi="Arial" w:cs="Arial"/>
                <w:b/>
                <w:bCs/>
                <w:sz w:val="22"/>
                <w:szCs w:val="22"/>
                <w:u w:val="single"/>
              </w:rPr>
            </w:pPr>
          </w:p>
        </w:tc>
      </w:tr>
      <w:tr w:rsidR="00D1593D" w14:paraId="2C91F092" w14:textId="77777777" w:rsidTr="00D1593D">
        <w:trPr>
          <w:trHeight w:val="300"/>
        </w:trPr>
        <w:tc>
          <w:tcPr>
            <w:tcW w:w="1215" w:type="dxa"/>
          </w:tcPr>
          <w:p w14:paraId="46624FD4" w14:textId="77777777" w:rsidR="00D1593D" w:rsidRDefault="00D1593D" w:rsidP="00D1593D">
            <w:pPr>
              <w:pStyle w:val="paragraph"/>
              <w:rPr>
                <w:rFonts w:ascii="Arial" w:hAnsi="Arial" w:cs="Arial"/>
                <w:b/>
                <w:bCs/>
                <w:sz w:val="22"/>
                <w:szCs w:val="22"/>
                <w:u w:val="single"/>
              </w:rPr>
            </w:pPr>
          </w:p>
        </w:tc>
        <w:tc>
          <w:tcPr>
            <w:tcW w:w="4470" w:type="dxa"/>
          </w:tcPr>
          <w:p w14:paraId="449D4711" w14:textId="77777777" w:rsidR="00D1593D" w:rsidRDefault="00D1593D" w:rsidP="00D1593D">
            <w:pPr>
              <w:pStyle w:val="paragraph"/>
              <w:rPr>
                <w:rFonts w:ascii="Arial" w:hAnsi="Arial" w:cs="Arial"/>
                <w:b/>
                <w:bCs/>
                <w:sz w:val="22"/>
                <w:szCs w:val="22"/>
                <w:u w:val="single"/>
              </w:rPr>
            </w:pPr>
          </w:p>
        </w:tc>
        <w:tc>
          <w:tcPr>
            <w:tcW w:w="3338" w:type="dxa"/>
          </w:tcPr>
          <w:p w14:paraId="60BC22DA" w14:textId="77777777" w:rsidR="00D1593D" w:rsidRDefault="00D1593D" w:rsidP="00D1593D">
            <w:pPr>
              <w:pStyle w:val="paragraph"/>
              <w:rPr>
                <w:rFonts w:ascii="Arial" w:hAnsi="Arial" w:cs="Arial"/>
                <w:b/>
                <w:bCs/>
                <w:sz w:val="22"/>
                <w:szCs w:val="22"/>
                <w:u w:val="single"/>
              </w:rPr>
            </w:pPr>
          </w:p>
        </w:tc>
      </w:tr>
      <w:tr w:rsidR="00D1593D" w14:paraId="00CFC044" w14:textId="77777777" w:rsidTr="00D1593D">
        <w:trPr>
          <w:trHeight w:val="300"/>
        </w:trPr>
        <w:tc>
          <w:tcPr>
            <w:tcW w:w="1215" w:type="dxa"/>
          </w:tcPr>
          <w:p w14:paraId="75C6CFAD" w14:textId="77777777" w:rsidR="00D1593D" w:rsidRDefault="00D1593D" w:rsidP="00D1593D">
            <w:pPr>
              <w:pStyle w:val="paragraph"/>
              <w:rPr>
                <w:rFonts w:ascii="Arial" w:hAnsi="Arial" w:cs="Arial"/>
                <w:b/>
                <w:bCs/>
                <w:sz w:val="22"/>
                <w:szCs w:val="22"/>
                <w:u w:val="single"/>
              </w:rPr>
            </w:pPr>
          </w:p>
        </w:tc>
        <w:tc>
          <w:tcPr>
            <w:tcW w:w="4470" w:type="dxa"/>
          </w:tcPr>
          <w:p w14:paraId="671A1A5A" w14:textId="77777777" w:rsidR="00D1593D" w:rsidRDefault="00D1593D" w:rsidP="00D1593D">
            <w:pPr>
              <w:pStyle w:val="paragraph"/>
              <w:rPr>
                <w:rFonts w:ascii="Arial" w:hAnsi="Arial" w:cs="Arial"/>
                <w:b/>
                <w:bCs/>
                <w:sz w:val="22"/>
                <w:szCs w:val="22"/>
                <w:u w:val="single"/>
              </w:rPr>
            </w:pPr>
          </w:p>
        </w:tc>
        <w:tc>
          <w:tcPr>
            <w:tcW w:w="3338" w:type="dxa"/>
          </w:tcPr>
          <w:p w14:paraId="6F71EE4C" w14:textId="77777777" w:rsidR="00D1593D" w:rsidRDefault="00D1593D" w:rsidP="00D1593D">
            <w:pPr>
              <w:pStyle w:val="paragraph"/>
              <w:rPr>
                <w:rFonts w:ascii="Arial" w:hAnsi="Arial" w:cs="Arial"/>
                <w:b/>
                <w:bCs/>
                <w:sz w:val="22"/>
                <w:szCs w:val="22"/>
                <w:u w:val="single"/>
              </w:rPr>
            </w:pPr>
          </w:p>
        </w:tc>
      </w:tr>
      <w:tr w:rsidR="00D1593D" w14:paraId="40B95D4D" w14:textId="77777777" w:rsidTr="00D1593D">
        <w:trPr>
          <w:trHeight w:val="300"/>
        </w:trPr>
        <w:tc>
          <w:tcPr>
            <w:tcW w:w="1215" w:type="dxa"/>
          </w:tcPr>
          <w:p w14:paraId="3D0F9E7C" w14:textId="77777777" w:rsidR="00D1593D" w:rsidRDefault="00D1593D" w:rsidP="00D1593D">
            <w:pPr>
              <w:pStyle w:val="paragraph"/>
              <w:rPr>
                <w:rFonts w:ascii="Arial" w:hAnsi="Arial" w:cs="Arial"/>
                <w:b/>
                <w:bCs/>
                <w:sz w:val="22"/>
                <w:szCs w:val="22"/>
                <w:u w:val="single"/>
              </w:rPr>
            </w:pPr>
          </w:p>
        </w:tc>
        <w:tc>
          <w:tcPr>
            <w:tcW w:w="4470" w:type="dxa"/>
          </w:tcPr>
          <w:p w14:paraId="1B3FD437" w14:textId="77777777" w:rsidR="00D1593D" w:rsidRDefault="00D1593D" w:rsidP="00D1593D">
            <w:pPr>
              <w:pStyle w:val="paragraph"/>
              <w:rPr>
                <w:rFonts w:ascii="Arial" w:hAnsi="Arial" w:cs="Arial"/>
                <w:b/>
                <w:bCs/>
                <w:sz w:val="22"/>
                <w:szCs w:val="22"/>
                <w:u w:val="single"/>
              </w:rPr>
            </w:pPr>
          </w:p>
        </w:tc>
        <w:tc>
          <w:tcPr>
            <w:tcW w:w="3338" w:type="dxa"/>
          </w:tcPr>
          <w:p w14:paraId="7ABD06C3" w14:textId="77777777" w:rsidR="00D1593D" w:rsidRDefault="00D1593D" w:rsidP="00D1593D">
            <w:pPr>
              <w:pStyle w:val="paragraph"/>
              <w:rPr>
                <w:rFonts w:ascii="Arial" w:hAnsi="Arial" w:cs="Arial"/>
                <w:b/>
                <w:bCs/>
                <w:sz w:val="22"/>
                <w:szCs w:val="22"/>
                <w:u w:val="single"/>
              </w:rPr>
            </w:pPr>
          </w:p>
        </w:tc>
      </w:tr>
      <w:tr w:rsidR="00D1593D" w14:paraId="24A5CDEA" w14:textId="77777777" w:rsidTr="00D1593D">
        <w:trPr>
          <w:trHeight w:val="300"/>
        </w:trPr>
        <w:tc>
          <w:tcPr>
            <w:tcW w:w="1215" w:type="dxa"/>
          </w:tcPr>
          <w:p w14:paraId="223D338F" w14:textId="77777777" w:rsidR="00D1593D" w:rsidRDefault="00D1593D" w:rsidP="00D1593D">
            <w:pPr>
              <w:pStyle w:val="paragraph"/>
              <w:rPr>
                <w:rFonts w:ascii="Arial" w:hAnsi="Arial" w:cs="Arial"/>
                <w:b/>
                <w:bCs/>
                <w:sz w:val="22"/>
                <w:szCs w:val="22"/>
                <w:u w:val="single"/>
              </w:rPr>
            </w:pPr>
          </w:p>
        </w:tc>
        <w:tc>
          <w:tcPr>
            <w:tcW w:w="4470" w:type="dxa"/>
          </w:tcPr>
          <w:p w14:paraId="20EFAD99" w14:textId="77777777" w:rsidR="00D1593D" w:rsidRDefault="00D1593D" w:rsidP="00D1593D">
            <w:pPr>
              <w:pStyle w:val="paragraph"/>
              <w:rPr>
                <w:rFonts w:ascii="Arial" w:hAnsi="Arial" w:cs="Arial"/>
                <w:b/>
                <w:bCs/>
                <w:sz w:val="22"/>
                <w:szCs w:val="22"/>
                <w:u w:val="single"/>
              </w:rPr>
            </w:pPr>
          </w:p>
        </w:tc>
        <w:tc>
          <w:tcPr>
            <w:tcW w:w="3338" w:type="dxa"/>
          </w:tcPr>
          <w:p w14:paraId="25E38659" w14:textId="77777777" w:rsidR="00D1593D" w:rsidRDefault="00D1593D" w:rsidP="00D1593D">
            <w:pPr>
              <w:pStyle w:val="paragraph"/>
              <w:rPr>
                <w:rFonts w:ascii="Arial" w:hAnsi="Arial" w:cs="Arial"/>
                <w:b/>
                <w:bCs/>
                <w:sz w:val="22"/>
                <w:szCs w:val="22"/>
                <w:u w:val="single"/>
              </w:rPr>
            </w:pPr>
          </w:p>
        </w:tc>
      </w:tr>
    </w:tbl>
    <w:p w14:paraId="4490402D" w14:textId="7234ACAE" w:rsidR="47AC5C22" w:rsidRDefault="47AC5C22" w:rsidP="6DEA845E">
      <w:pPr>
        <w:pStyle w:val="paragraph"/>
        <w:jc w:val="center"/>
        <w:rPr>
          <w:rFonts w:ascii="Arial" w:hAnsi="Arial" w:cs="Arial"/>
          <w:b/>
          <w:bCs/>
          <w:sz w:val="22"/>
          <w:szCs w:val="22"/>
          <w:u w:val="single"/>
        </w:rPr>
      </w:pPr>
      <w:r w:rsidRPr="7B77509B">
        <w:rPr>
          <w:rFonts w:ascii="Arial" w:hAnsi="Arial" w:cs="Arial"/>
          <w:b/>
          <w:bCs/>
          <w:sz w:val="22"/>
          <w:szCs w:val="22"/>
          <w:u w:val="single"/>
        </w:rPr>
        <w:t xml:space="preserve">Appendix </w:t>
      </w:r>
      <w:r w:rsidR="00DD60C1">
        <w:rPr>
          <w:rFonts w:ascii="Arial" w:hAnsi="Arial" w:cs="Arial"/>
          <w:b/>
          <w:bCs/>
          <w:sz w:val="22"/>
          <w:szCs w:val="22"/>
          <w:u w:val="single"/>
        </w:rPr>
        <w:t>G</w:t>
      </w:r>
      <w:r w:rsidRPr="7B77509B">
        <w:rPr>
          <w:rFonts w:ascii="Arial" w:hAnsi="Arial" w:cs="Arial"/>
          <w:b/>
          <w:bCs/>
          <w:sz w:val="22"/>
          <w:szCs w:val="22"/>
          <w:u w:val="single"/>
        </w:rPr>
        <w:t>:</w:t>
      </w:r>
      <w:r w:rsidR="00C14DC8">
        <w:rPr>
          <w:rFonts w:ascii="Arial" w:hAnsi="Arial" w:cs="Arial"/>
          <w:b/>
          <w:bCs/>
          <w:sz w:val="22"/>
          <w:szCs w:val="22"/>
          <w:u w:val="single"/>
        </w:rPr>
        <w:t xml:space="preserve"> </w:t>
      </w:r>
      <w:r w:rsidRPr="7B77509B">
        <w:rPr>
          <w:rFonts w:ascii="Arial" w:hAnsi="Arial" w:cs="Arial"/>
          <w:b/>
          <w:bCs/>
          <w:sz w:val="22"/>
          <w:szCs w:val="22"/>
          <w:u w:val="single"/>
        </w:rPr>
        <w:t>Material Issues Table</w:t>
      </w:r>
    </w:p>
    <w:p w14:paraId="269EC4A8" w14:textId="1A31E3C6" w:rsidR="008F36EF" w:rsidRDefault="47AC5C22" w:rsidP="7B77509B">
      <w:pPr>
        <w:pStyle w:val="Tabletitle"/>
        <w:framePr w:wrap="around"/>
        <w:rPr>
          <w:color w:val="auto"/>
        </w:rPr>
      </w:pPr>
      <w:r w:rsidRPr="7B77509B">
        <w:rPr>
          <w:color w:val="auto"/>
        </w:rPr>
        <w:t>Please insert rows for additional changes if required</w:t>
      </w:r>
    </w:p>
    <w:p w14:paraId="21803B50" w14:textId="7FE82A24" w:rsidR="008F36EF" w:rsidRDefault="008F36EF" w:rsidP="7B77509B">
      <w:pPr>
        <w:pStyle w:val="paragraph"/>
        <w:jc w:val="center"/>
        <w:rPr>
          <w:rFonts w:ascii="Arial" w:hAnsi="Arial" w:cs="Arial"/>
          <w:b/>
          <w:bCs/>
          <w:sz w:val="22"/>
          <w:szCs w:val="22"/>
          <w:u w:val="single"/>
        </w:rPr>
      </w:pPr>
    </w:p>
    <w:p w14:paraId="3D64F556" w14:textId="77777777" w:rsidR="008F36EF" w:rsidRDefault="008F36EF" w:rsidP="008F36EF">
      <w:pPr>
        <w:pStyle w:val="paragraph"/>
        <w:jc w:val="center"/>
        <w:rPr>
          <w:rFonts w:ascii="Arial" w:hAnsi="Arial" w:cs="Arial"/>
          <w:b/>
          <w:bCs/>
          <w:iCs/>
          <w:sz w:val="22"/>
          <w:szCs w:val="22"/>
          <w:u w:val="single"/>
        </w:rPr>
      </w:pPr>
    </w:p>
    <w:p w14:paraId="4FBB300F" w14:textId="77777777" w:rsidR="008F36EF" w:rsidRDefault="008F36EF" w:rsidP="0070692F">
      <w:pPr>
        <w:pStyle w:val="paragraph"/>
        <w:jc w:val="center"/>
        <w:rPr>
          <w:rFonts w:ascii="Arial" w:hAnsi="Arial" w:cs="Arial"/>
          <w:b/>
          <w:bCs/>
          <w:iCs/>
          <w:sz w:val="22"/>
          <w:szCs w:val="22"/>
          <w:u w:val="single"/>
        </w:rPr>
      </w:pPr>
    </w:p>
    <w:p w14:paraId="72996AA2" w14:textId="3FB6546D" w:rsidR="0070692F" w:rsidRDefault="0070692F" w:rsidP="005D235A">
      <w:pPr>
        <w:spacing w:before="120" w:after="120" w:line="240" w:lineRule="auto"/>
        <w:rPr>
          <w:rFonts w:asciiTheme="minorBidi" w:hAnsiTheme="minorBidi"/>
        </w:rPr>
      </w:pPr>
    </w:p>
    <w:p w14:paraId="004D27BA" w14:textId="77777777" w:rsidR="005D235A" w:rsidRPr="0070692F" w:rsidRDefault="005D235A" w:rsidP="005D235A">
      <w:pPr>
        <w:spacing w:before="120" w:after="120" w:line="240" w:lineRule="auto"/>
        <w:rPr>
          <w:rFonts w:asciiTheme="minorBidi" w:hAnsiTheme="minorBidi"/>
        </w:rPr>
      </w:pPr>
    </w:p>
    <w:sectPr w:rsidR="005D235A" w:rsidRPr="0070692F" w:rsidSect="007A5500">
      <w:pgSz w:w="11907" w:h="16840" w:code="9"/>
      <w:pgMar w:top="1440" w:right="1440" w:bottom="1440" w:left="1440" w:header="51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34D8" w14:textId="77777777" w:rsidR="00096124" w:rsidRDefault="00096124">
      <w:pPr>
        <w:spacing w:after="0" w:line="240" w:lineRule="auto"/>
      </w:pPr>
      <w:r>
        <w:separator/>
      </w:r>
    </w:p>
  </w:endnote>
  <w:endnote w:type="continuationSeparator" w:id="0">
    <w:p w14:paraId="6F610741" w14:textId="77777777" w:rsidR="00096124" w:rsidRDefault="00096124">
      <w:pPr>
        <w:spacing w:after="0" w:line="240" w:lineRule="auto"/>
      </w:pPr>
      <w:r>
        <w:continuationSeparator/>
      </w:r>
    </w:p>
  </w:endnote>
  <w:endnote w:type="continuationNotice" w:id="1">
    <w:p w14:paraId="1C4FDFB8" w14:textId="77777777" w:rsidR="00096124" w:rsidRDefault="00096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Noto Naskh Arabic">
    <w:altName w:val="Arial"/>
    <w:charset w:val="00"/>
    <w:family w:val="swiss"/>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7158"/>
      <w:gridCol w:w="1869"/>
    </w:tblGrid>
    <w:tr w:rsidR="007F1680" w14:paraId="1B42E5E7" w14:textId="77777777" w:rsidTr="007C12D1">
      <w:tc>
        <w:tcPr>
          <w:tcW w:w="3965" w:type="pct"/>
          <w:vAlign w:val="bottom"/>
        </w:tcPr>
        <w:p w14:paraId="590E2ECB" w14:textId="05C91089" w:rsidR="007A5500" w:rsidRPr="007A5500" w:rsidRDefault="00BC23A2" w:rsidP="00DD3B53">
          <w:pPr>
            <w:pStyle w:val="Footer"/>
            <w:spacing w:line="200" w:lineRule="atLeast"/>
          </w:pPr>
          <w:r>
            <w:rPr>
              <w:noProof/>
            </w:rPr>
            <mc:AlternateContent>
              <mc:Choice Requires="wps">
                <w:drawing>
                  <wp:anchor distT="0" distB="0" distL="0" distR="0" simplePos="0" relativeHeight="251653632" behindDoc="0" locked="0" layoutInCell="1" allowOverlap="1" wp14:anchorId="0D8BF9F1" wp14:editId="0FD322D1">
                    <wp:simplePos x="635" y="635"/>
                    <wp:positionH relativeFrom="page">
                      <wp:align>right</wp:align>
                    </wp:positionH>
                    <wp:positionV relativeFrom="page">
                      <wp:align>bottom</wp:align>
                    </wp:positionV>
                    <wp:extent cx="1520825" cy="381000"/>
                    <wp:effectExtent l="0" t="0" r="0" b="0"/>
                    <wp:wrapNone/>
                    <wp:docPr id="782962784"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41C34CFE" w14:textId="7C6D7FF7"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8BF9F1" id="_x0000_t202" coordsize="21600,21600" o:spt="202" path="m,l,21600r21600,l21600,xe">
                    <v:stroke joinstyle="miter"/>
                    <v:path gradientshapeok="t" o:connecttype="rect"/>
                  </v:shapetype>
                  <v:shape id="Text Box 2" o:spid="_x0000_s1026" type="#_x0000_t202" alt="OFFICIAL - COMMERCIAL" style="position:absolute;margin-left:68.55pt;margin-top:0;width:119.75pt;height:30pt;z-index:251653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" filled="f" stroked="f">
                    <v:textbox style="mso-fit-shape-to-text:t" inset="0,0,20pt,15pt">
                      <w:txbxContent>
                        <w:p w14:paraId="41C34CFE" w14:textId="7C6D7FF7"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fldSimple w:instr="DOCPROPERTY  ashurstDocRef  \* MERGEFORMAT">
            <w:r w:rsidR="00846C70">
              <w:t>EUS\ZAMATT\408799015.04</w:t>
            </w:r>
          </w:fldSimple>
          <w:r w:rsidR="00F26284" w:rsidRPr="007A5500">
            <w:t xml:space="preserve">  </w:t>
          </w:r>
        </w:p>
      </w:tc>
      <w:tc>
        <w:tcPr>
          <w:tcW w:w="1035" w:type="pct"/>
          <w:vAlign w:val="bottom"/>
        </w:tcPr>
        <w:p w14:paraId="1025F55F" w14:textId="77777777" w:rsidR="007A5500" w:rsidRPr="007A5500" w:rsidRDefault="00F26284" w:rsidP="009A33DA">
          <w:pPr>
            <w:pStyle w:val="Footer"/>
            <w:jc w:val="right"/>
          </w:pPr>
          <w:r w:rsidRPr="007A5500">
            <w:fldChar w:fldCharType="begin"/>
          </w:r>
          <w:r w:rsidRPr="007A5500">
            <w:instrText xml:space="preserve"> PAGE   \* MERGEFORMAT </w:instrText>
          </w:r>
          <w:r w:rsidRPr="007A5500">
            <w:fldChar w:fldCharType="separate"/>
          </w:r>
          <w:r w:rsidRPr="007A5500">
            <w:rPr>
              <w:noProof/>
            </w:rPr>
            <w:t>1</w:t>
          </w:r>
          <w:r w:rsidRPr="007A5500">
            <w:rPr>
              <w:noProof/>
            </w:rPr>
            <w:fldChar w:fldCharType="end"/>
          </w:r>
        </w:p>
      </w:tc>
    </w:tr>
  </w:tbl>
  <w:p w14:paraId="707A7EB8" w14:textId="77777777" w:rsidR="00EE5B81" w:rsidRPr="007A5500" w:rsidRDefault="00EE5B81" w:rsidP="007A5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7158"/>
      <w:gridCol w:w="1869"/>
    </w:tblGrid>
    <w:tr w:rsidR="007F1680" w14:paraId="5F6C96F7" w14:textId="77777777" w:rsidTr="007C12D1">
      <w:tc>
        <w:tcPr>
          <w:tcW w:w="3965" w:type="pct"/>
          <w:vAlign w:val="bottom"/>
        </w:tcPr>
        <w:p w14:paraId="3F2A3A9B" w14:textId="6872DB8C" w:rsidR="007A5500" w:rsidRPr="007A5500" w:rsidRDefault="00F26284" w:rsidP="00DD3B53">
          <w:pPr>
            <w:pStyle w:val="Footer"/>
            <w:spacing w:line="200" w:lineRule="atLeast"/>
          </w:pPr>
          <w:r w:rsidRPr="007A5500">
            <w:t xml:space="preserve">  </w:t>
          </w:r>
        </w:p>
      </w:tc>
      <w:tc>
        <w:tcPr>
          <w:tcW w:w="1035" w:type="pct"/>
          <w:vAlign w:val="bottom"/>
        </w:tcPr>
        <w:p w14:paraId="52173582" w14:textId="77777777" w:rsidR="007A5500" w:rsidRPr="007A5500" w:rsidRDefault="00F26284" w:rsidP="009A33DA">
          <w:pPr>
            <w:pStyle w:val="Footer"/>
            <w:jc w:val="right"/>
          </w:pPr>
          <w:r w:rsidRPr="007A5500">
            <w:fldChar w:fldCharType="begin"/>
          </w:r>
          <w:r w:rsidRPr="007A5500">
            <w:instrText xml:space="preserve"> PAGE   \* MERGEFORMAT </w:instrText>
          </w:r>
          <w:r w:rsidRPr="007A5500">
            <w:fldChar w:fldCharType="separate"/>
          </w:r>
          <w:r w:rsidRPr="007A5500">
            <w:rPr>
              <w:noProof/>
            </w:rPr>
            <w:t>1</w:t>
          </w:r>
          <w:r w:rsidRPr="007A5500">
            <w:rPr>
              <w:noProof/>
            </w:rPr>
            <w:fldChar w:fldCharType="end"/>
          </w:r>
        </w:p>
      </w:tc>
    </w:tr>
  </w:tbl>
  <w:p w14:paraId="63E85A4B" w14:textId="195D7A2E" w:rsidR="00E835F0" w:rsidRPr="007A5500" w:rsidRDefault="00A4073C" w:rsidP="007A5500">
    <w:pPr>
      <w:pStyle w:val="Footer"/>
    </w:pPr>
    <w:r>
      <w:rPr>
        <w:noProof/>
      </w:rPr>
      <mc:AlternateContent>
        <mc:Choice Requires="wps">
          <w:drawing>
            <wp:anchor distT="0" distB="0" distL="0" distR="0" simplePos="0" relativeHeight="251654656" behindDoc="0" locked="0" layoutInCell="1" allowOverlap="1" wp14:anchorId="314F7B1E" wp14:editId="3224F4E7">
              <wp:simplePos x="0" y="0"/>
              <wp:positionH relativeFrom="margin">
                <wp:align>center</wp:align>
              </wp:positionH>
              <wp:positionV relativeFrom="page">
                <wp:posOffset>10191750</wp:posOffset>
              </wp:positionV>
              <wp:extent cx="1520825" cy="381000"/>
              <wp:effectExtent l="0" t="0" r="0" b="0"/>
              <wp:wrapNone/>
              <wp:docPr id="1327963867"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03C9BD18" w14:textId="6D67F93D"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4F7B1E" id="_x0000_t202" coordsize="21600,21600" o:spt="202" path="m,l,21600r21600,l21600,xe">
              <v:stroke joinstyle="miter"/>
              <v:path gradientshapeok="t" o:connecttype="rect"/>
            </v:shapetype>
            <v:shape id="Text Box 3" o:spid="_x0000_s1027" type="#_x0000_t202" alt="OFFICIAL - COMMERCIAL" style="position:absolute;margin-left:0;margin-top:802.5pt;width:119.75pt;height:30pt;z-index:251654656;visibility:visible;mso-wrap-style:non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" filled="f" stroked="f">
              <v:textbox style="mso-fit-shape-to-text:t" inset="0,0,20pt,15pt">
                <w:txbxContent>
                  <w:p w14:paraId="03C9BD18" w14:textId="6D67F93D"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7158"/>
      <w:gridCol w:w="1869"/>
    </w:tblGrid>
    <w:tr w:rsidR="007F1680" w14:paraId="7663D6E0" w14:textId="77777777" w:rsidTr="007C12D1">
      <w:tc>
        <w:tcPr>
          <w:tcW w:w="3965" w:type="pct"/>
          <w:vAlign w:val="bottom"/>
        </w:tcPr>
        <w:p w14:paraId="2870819F" w14:textId="2F229797" w:rsidR="007A5500" w:rsidRPr="007A5500" w:rsidRDefault="00BC23A2" w:rsidP="00DD3B53">
          <w:pPr>
            <w:pStyle w:val="Footer"/>
            <w:spacing w:line="200" w:lineRule="atLeast"/>
          </w:pPr>
          <w:r>
            <w:rPr>
              <w:noProof/>
            </w:rPr>
            <mc:AlternateContent>
              <mc:Choice Requires="wps">
                <w:drawing>
                  <wp:anchor distT="0" distB="0" distL="0" distR="0" simplePos="0" relativeHeight="251652608" behindDoc="0" locked="0" layoutInCell="1" allowOverlap="1" wp14:anchorId="5D1E5398" wp14:editId="4D731B4E">
                    <wp:simplePos x="635" y="635"/>
                    <wp:positionH relativeFrom="page">
                      <wp:align>right</wp:align>
                    </wp:positionH>
                    <wp:positionV relativeFrom="page">
                      <wp:align>bottom</wp:align>
                    </wp:positionV>
                    <wp:extent cx="1520825" cy="381000"/>
                    <wp:effectExtent l="0" t="0" r="0" b="0"/>
                    <wp:wrapNone/>
                    <wp:docPr id="1896877911"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78153279" w14:textId="603E348E"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1E5398" id="_x0000_t202" coordsize="21600,21600" o:spt="202" path="m,l,21600r21600,l21600,xe">
                    <v:stroke joinstyle="miter"/>
                    <v:path gradientshapeok="t" o:connecttype="rect"/>
                  </v:shapetype>
                  <v:shape id="Text Box 1" o:spid="_x0000_s1028" type="#_x0000_t202" alt="OFFICIAL - COMMERCIAL" style="position:absolute;margin-left:68.55pt;margin-top:0;width:119.75pt;height:30pt;z-index:251652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Aqq&#10;OnEUAgAAIgQAAA4AAAAAAAAAAAAAAAAALgIAAGRycy9lMm9Eb2MueG1sUEsBAi0AFAAGAAgAAAAh&#10;APc9A7LcAAAABAEAAA8AAAAAAAAAAAAAAAAAbgQAAGRycy9kb3ducmV2LnhtbFBLBQYAAAAABAAE&#10;APMAAAB3BQAAAAA=&#10;" filled="f" stroked="f">
                    <v:textbox style="mso-fit-shape-to-text:t" inset="0,0,20pt,15pt">
                      <w:txbxContent>
                        <w:p w14:paraId="78153279" w14:textId="603E348E"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fldSimple w:instr="DOCPROPERTY  ashurstDocRef  \* MERGEFORMAT">
            <w:r w:rsidR="00846C70">
              <w:t>EUS\ZAMATT\408799015.04</w:t>
            </w:r>
          </w:fldSimple>
          <w:r w:rsidR="00F26284" w:rsidRPr="007A5500">
            <w:t xml:space="preserve">  </w:t>
          </w:r>
        </w:p>
      </w:tc>
      <w:tc>
        <w:tcPr>
          <w:tcW w:w="1035" w:type="pct"/>
          <w:vAlign w:val="bottom"/>
        </w:tcPr>
        <w:p w14:paraId="7F2981C1" w14:textId="77777777" w:rsidR="007A5500" w:rsidRPr="007A5500" w:rsidRDefault="00F26284" w:rsidP="009A33DA">
          <w:pPr>
            <w:pStyle w:val="Footer"/>
            <w:jc w:val="right"/>
          </w:pPr>
          <w:r w:rsidRPr="007A5500">
            <w:fldChar w:fldCharType="begin"/>
          </w:r>
          <w:r w:rsidRPr="007A5500">
            <w:instrText xml:space="preserve"> PAGE   \* MERGEFORMAT </w:instrText>
          </w:r>
          <w:r w:rsidRPr="007A5500">
            <w:fldChar w:fldCharType="separate"/>
          </w:r>
          <w:r w:rsidRPr="007A5500">
            <w:rPr>
              <w:noProof/>
            </w:rPr>
            <w:t>1</w:t>
          </w:r>
          <w:r w:rsidRPr="007A5500">
            <w:rPr>
              <w:noProof/>
            </w:rPr>
            <w:fldChar w:fldCharType="end"/>
          </w:r>
        </w:p>
      </w:tc>
    </w:tr>
  </w:tbl>
  <w:p w14:paraId="6F3742B0" w14:textId="77777777" w:rsidR="00EE5B81" w:rsidRPr="007A5500" w:rsidRDefault="00EE5B81" w:rsidP="007A55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395D" w14:textId="06E180CA" w:rsidR="0051373E" w:rsidRDefault="00BC23A2">
    <w:pPr>
      <w:pStyle w:val="Footer"/>
    </w:pPr>
    <w:r>
      <w:rPr>
        <w:noProof/>
      </w:rPr>
      <mc:AlternateContent>
        <mc:Choice Requires="wps">
          <w:drawing>
            <wp:anchor distT="0" distB="0" distL="0" distR="0" simplePos="0" relativeHeight="251656704" behindDoc="0" locked="0" layoutInCell="1" allowOverlap="1" wp14:anchorId="141673FE" wp14:editId="41D0EC33">
              <wp:simplePos x="635" y="635"/>
              <wp:positionH relativeFrom="page">
                <wp:align>right</wp:align>
              </wp:positionH>
              <wp:positionV relativeFrom="page">
                <wp:align>bottom</wp:align>
              </wp:positionV>
              <wp:extent cx="1520825" cy="381000"/>
              <wp:effectExtent l="0" t="0" r="0" b="0"/>
              <wp:wrapNone/>
              <wp:docPr id="1569602508" name="Text Box 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10A5A5DD" w14:textId="3DD8D0D9"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1673FE" id="_x0000_t202" coordsize="21600,21600" o:spt="202" path="m,l,21600r21600,l21600,xe">
              <v:stroke joinstyle="miter"/>
              <v:path gradientshapeok="t" o:connecttype="rect"/>
            </v:shapetype>
            <v:shape id="Text Box 5" o:spid="_x0000_s1029" type="#_x0000_t202" alt="OFFICIAL - COMMERCIAL" style="position:absolute;margin-left:68.55pt;margin-top:0;width:119.75pt;height:30pt;z-index:251656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" filled="f" stroked="f">
              <v:textbox style="mso-fit-shape-to-text:t" inset="0,0,20pt,15pt">
                <w:txbxContent>
                  <w:p w14:paraId="10A5A5DD" w14:textId="3DD8D0D9"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3465" w14:textId="7A554787" w:rsidR="0051373E" w:rsidRDefault="00BC23A2">
    <w:pPr>
      <w:pStyle w:val="Footer"/>
      <w:jc w:val="right"/>
    </w:pPr>
    <w:r>
      <w:rPr>
        <w:noProof/>
      </w:rPr>
      <mc:AlternateContent>
        <mc:Choice Requires="wps">
          <w:drawing>
            <wp:anchor distT="0" distB="0" distL="0" distR="0" simplePos="0" relativeHeight="251657728" behindDoc="0" locked="0" layoutInCell="1" allowOverlap="1" wp14:anchorId="34A5EE45" wp14:editId="4C4536A3">
              <wp:simplePos x="635" y="635"/>
              <wp:positionH relativeFrom="page">
                <wp:align>right</wp:align>
              </wp:positionH>
              <wp:positionV relativeFrom="page">
                <wp:align>bottom</wp:align>
              </wp:positionV>
              <wp:extent cx="1520825" cy="381000"/>
              <wp:effectExtent l="0" t="0" r="0" b="0"/>
              <wp:wrapNone/>
              <wp:docPr id="1478635118" name="Text Box 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7B1BBBD5" w14:textId="7201DB41"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A5EE45" id="_x0000_t202" coordsize="21600,21600" o:spt="202" path="m,l,21600r21600,l21600,xe">
              <v:stroke joinstyle="miter"/>
              <v:path gradientshapeok="t" o:connecttype="rect"/>
            </v:shapetype>
            <v:shape id="Text Box 6" o:spid="_x0000_s1030" type="#_x0000_t202" alt="OFFICIAL - COMMERCIAL" style="position:absolute;left:0;text-align:left;margin-left:68.55pt;margin-top:0;width:119.75pt;height:30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KiG&#10;3fQUAgAAIgQAAA4AAAAAAAAAAAAAAAAALgIAAGRycy9lMm9Eb2MueG1sUEsBAi0AFAAGAAgAAAAh&#10;APc9A7LcAAAABAEAAA8AAAAAAAAAAAAAAAAAbgQAAGRycy9kb3ducmV2LnhtbFBLBQYAAAAABAAE&#10;APMAAAB3BQAAAAA=&#10;" filled="f" stroked="f">
              <v:textbox style="mso-fit-shape-to-text:t" inset="0,0,20pt,15pt">
                <w:txbxContent>
                  <w:p w14:paraId="7B1BBBD5" w14:textId="7201DB41"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sdt>
    <w:sdtPr>
      <w:id w:val="1210927329"/>
      <w:docPartObj>
        <w:docPartGallery w:val="Page Numbers (Bottom of Page)"/>
        <w:docPartUnique/>
      </w:docPartObj>
    </w:sdtPr>
    <w:sdtEndPr>
      <w:rPr>
        <w:noProof/>
      </w:rPr>
    </w:sdtEndPr>
    <w:sdtContent>
      <w:p w14:paraId="716032BC" w14:textId="77777777" w:rsidR="0051373E" w:rsidRDefault="00513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D12CE" w14:textId="77777777" w:rsidR="0051373E" w:rsidRDefault="005137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0A0" w14:textId="53130086" w:rsidR="0051373E" w:rsidRDefault="00BC23A2">
    <w:pPr>
      <w:pStyle w:val="Footer"/>
    </w:pPr>
    <w:r>
      <w:rPr>
        <w:noProof/>
      </w:rPr>
      <mc:AlternateContent>
        <mc:Choice Requires="wps">
          <w:drawing>
            <wp:anchor distT="0" distB="0" distL="0" distR="0" simplePos="0" relativeHeight="251655680" behindDoc="0" locked="0" layoutInCell="1" allowOverlap="1" wp14:anchorId="1B080872" wp14:editId="7479DFC2">
              <wp:simplePos x="635" y="635"/>
              <wp:positionH relativeFrom="page">
                <wp:align>right</wp:align>
              </wp:positionH>
              <wp:positionV relativeFrom="page">
                <wp:align>bottom</wp:align>
              </wp:positionV>
              <wp:extent cx="1520825" cy="381000"/>
              <wp:effectExtent l="0" t="0" r="0" b="0"/>
              <wp:wrapNone/>
              <wp:docPr id="633254165" name="Text Box 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870325B" w14:textId="6348A1F3"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B080872" id="_x0000_t202" coordsize="21600,21600" o:spt="202" path="m,l,21600r21600,l21600,xe">
              <v:stroke joinstyle="miter"/>
              <v:path gradientshapeok="t" o:connecttype="rect"/>
            </v:shapetype>
            <v:shape id="Text Box 4" o:spid="_x0000_s1031" type="#_x0000_t202" alt="OFFICIAL - COMMERCIAL" style="position:absolute;margin-left:68.55pt;margin-top:0;width:119.75pt;height:30pt;z-index:251655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FgJ&#10;XHwUAgAAIgQAAA4AAAAAAAAAAAAAAAAALgIAAGRycy9lMm9Eb2MueG1sUEsBAi0AFAAGAAgAAAAh&#10;APc9A7LcAAAABAEAAA8AAAAAAAAAAAAAAAAAbgQAAGRycy9kb3ducmV2LnhtbFBLBQYAAAAABAAE&#10;APMAAAB3BQAAAAA=&#10;" filled="f" stroked="f">
              <v:textbox style="mso-fit-shape-to-text:t" inset="0,0,20pt,15pt">
                <w:txbxContent>
                  <w:p w14:paraId="5870325B" w14:textId="6348A1F3"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984A" w14:textId="4727B2A0" w:rsidR="003A6A5D" w:rsidRDefault="00BC23A2">
    <w:pPr>
      <w:pStyle w:val="Footer"/>
    </w:pPr>
    <w:r>
      <w:rPr>
        <w:noProof/>
      </w:rPr>
      <mc:AlternateContent>
        <mc:Choice Requires="wps">
          <w:drawing>
            <wp:anchor distT="0" distB="0" distL="0" distR="0" simplePos="0" relativeHeight="251659776" behindDoc="0" locked="0" layoutInCell="1" allowOverlap="1" wp14:anchorId="58FC7963" wp14:editId="5A5D78D1">
              <wp:simplePos x="635" y="635"/>
              <wp:positionH relativeFrom="page">
                <wp:align>right</wp:align>
              </wp:positionH>
              <wp:positionV relativeFrom="page">
                <wp:align>bottom</wp:align>
              </wp:positionV>
              <wp:extent cx="1520825" cy="381000"/>
              <wp:effectExtent l="0" t="0" r="0" b="0"/>
              <wp:wrapNone/>
              <wp:docPr id="1288324402" name="Text Box 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7608942F" w14:textId="4229D858"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FC7963" id="_x0000_t202" coordsize="21600,21600" o:spt="202" path="m,l,21600r21600,l21600,xe">
              <v:stroke joinstyle="miter"/>
              <v:path gradientshapeok="t" o:connecttype="rect"/>
            </v:shapetype>
            <v:shape id="Text Box 8" o:spid="_x0000_s1032" type="#_x0000_t202" alt="OFFICIAL - COMMERCIAL" style="position:absolute;margin-left:68.55pt;margin-top:0;width:119.75pt;height:30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Amf&#10;rz4UAgAAIgQAAA4AAAAAAAAAAAAAAAAALgIAAGRycy9lMm9Eb2MueG1sUEsBAi0AFAAGAAgAAAAh&#10;APc9A7LcAAAABAEAAA8AAAAAAAAAAAAAAAAAbgQAAGRycy9kb3ducmV2LnhtbFBLBQYAAAAABAAE&#10;APMAAAB3BQAAAAA=&#10;" filled="f" stroked="f">
              <v:textbox style="mso-fit-shape-to-text:t" inset="0,0,20pt,15pt">
                <w:txbxContent>
                  <w:p w14:paraId="7608942F" w14:textId="4229D858"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F37A" w14:textId="0584A887" w:rsidR="00832CFB" w:rsidRDefault="00BC23A2">
    <w:pPr>
      <w:pStyle w:val="Footer"/>
      <w:jc w:val="right"/>
    </w:pPr>
    <w:r>
      <w:rPr>
        <w:noProof/>
      </w:rPr>
      <mc:AlternateContent>
        <mc:Choice Requires="wps">
          <w:drawing>
            <wp:anchor distT="0" distB="0" distL="0" distR="0" simplePos="0" relativeHeight="251660800" behindDoc="0" locked="0" layoutInCell="1" allowOverlap="1" wp14:anchorId="4D41E450" wp14:editId="4B582BA6">
              <wp:simplePos x="635" y="635"/>
              <wp:positionH relativeFrom="page">
                <wp:align>right</wp:align>
              </wp:positionH>
              <wp:positionV relativeFrom="page">
                <wp:align>bottom</wp:align>
              </wp:positionV>
              <wp:extent cx="1520825" cy="381000"/>
              <wp:effectExtent l="0" t="0" r="0" b="0"/>
              <wp:wrapNone/>
              <wp:docPr id="622273047" name="Text Box 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2B3DD314" w14:textId="7DD7655A"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41E450" id="_x0000_t202" coordsize="21600,21600" o:spt="202" path="m,l,21600r21600,l21600,xe">
              <v:stroke joinstyle="miter"/>
              <v:path gradientshapeok="t" o:connecttype="rect"/>
            </v:shapetype>
            <v:shape id="Text Box 9" o:spid="_x0000_s1033" type="#_x0000_t202" alt="OFFICIAL - COMMERCIAL" style="position:absolute;left:0;text-align:left;margin-left:68.55pt;margin-top:0;width:119.75pt;height:30pt;z-index:251660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PkQ&#10;LrYUAgAAIgQAAA4AAAAAAAAAAAAAAAAALgIAAGRycy9lMm9Eb2MueG1sUEsBAi0AFAAGAAgAAAAh&#10;APc9A7LcAAAABAEAAA8AAAAAAAAAAAAAAAAAbgQAAGRycy9kb3ducmV2LnhtbFBLBQYAAAAABAAE&#10;APMAAAB3BQAAAAA=&#10;" filled="f" stroked="f">
              <v:textbox style="mso-fit-shape-to-text:t" inset="0,0,20pt,15pt">
                <w:txbxContent>
                  <w:p w14:paraId="2B3DD314" w14:textId="7DD7655A"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sdt>
    <w:sdtPr>
      <w:id w:val="-63956226"/>
      <w:docPartObj>
        <w:docPartGallery w:val="Page Numbers (Bottom of Page)"/>
        <w:docPartUnique/>
      </w:docPartObj>
    </w:sdtPr>
    <w:sdtEndPr>
      <w:rPr>
        <w:noProof/>
      </w:rPr>
    </w:sdtEndPr>
    <w:sdtContent>
      <w:p w14:paraId="57A630BF" w14:textId="77777777" w:rsidR="00832CFB" w:rsidRDefault="00F262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4B692" w14:textId="77777777" w:rsidR="003A6A5D" w:rsidRDefault="003A6A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C23F" w14:textId="457B9A35" w:rsidR="003A6A5D" w:rsidRDefault="00BC23A2">
    <w:pPr>
      <w:pStyle w:val="Footer"/>
    </w:pPr>
    <w:r>
      <w:rPr>
        <w:noProof/>
      </w:rPr>
      <mc:AlternateContent>
        <mc:Choice Requires="wps">
          <w:drawing>
            <wp:anchor distT="0" distB="0" distL="0" distR="0" simplePos="0" relativeHeight="251658752" behindDoc="0" locked="0" layoutInCell="1" allowOverlap="1" wp14:anchorId="31D7B18E" wp14:editId="01C52461">
              <wp:simplePos x="635" y="635"/>
              <wp:positionH relativeFrom="page">
                <wp:align>right</wp:align>
              </wp:positionH>
              <wp:positionV relativeFrom="page">
                <wp:align>bottom</wp:align>
              </wp:positionV>
              <wp:extent cx="1520825" cy="381000"/>
              <wp:effectExtent l="0" t="0" r="0" b="0"/>
              <wp:wrapNone/>
              <wp:docPr id="1778348273" name="Text Box 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81000"/>
                      </a:xfrm>
                      <a:prstGeom prst="rect">
                        <a:avLst/>
                      </a:prstGeom>
                      <a:noFill/>
                      <a:ln>
                        <a:noFill/>
                      </a:ln>
                    </wps:spPr>
                    <wps:txbx>
                      <w:txbxContent>
                        <w:p w14:paraId="59FE6DD7" w14:textId="10C8C89F"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D7B18E" id="_x0000_t202" coordsize="21600,21600" o:spt="202" path="m,l,21600r21600,l21600,xe">
              <v:stroke joinstyle="miter"/>
              <v:path gradientshapeok="t" o:connecttype="rect"/>
            </v:shapetype>
            <v:shape id="Text Box 7" o:spid="_x0000_s1034" type="#_x0000_t202" alt="OFFICIAL - COMMERCIAL" style="position:absolute;margin-left:68.55pt;margin-top:0;width:119.75pt;height:30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" filled="f" stroked="f">
              <v:textbox style="mso-fit-shape-to-text:t" inset="0,0,20pt,15pt">
                <w:txbxContent>
                  <w:p w14:paraId="59FE6DD7" w14:textId="10C8C89F" w:rsidR="00BC23A2" w:rsidRPr="00BC23A2" w:rsidRDefault="00BC23A2" w:rsidP="00BC23A2">
                    <w:pPr>
                      <w:spacing w:after="0"/>
                      <w:rPr>
                        <w:rFonts w:ascii="Calibri" w:eastAsia="Calibri" w:hAnsi="Calibri" w:cs="Calibri"/>
                        <w:noProof/>
                        <w:color w:val="000000"/>
                        <w:szCs w:val="20"/>
                      </w:rPr>
                    </w:pPr>
                    <w:r w:rsidRPr="00BC23A2">
                      <w:rPr>
                        <w:rFonts w:ascii="Calibri" w:eastAsia="Calibri" w:hAnsi="Calibri" w:cs="Calibri"/>
                        <w:noProof/>
                        <w:color w:val="000000"/>
                        <w:szCs w:val="20"/>
                      </w:rPr>
                      <w:t>OFFICIAL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A6A7" w14:textId="77777777" w:rsidR="00096124" w:rsidRDefault="00096124">
      <w:pPr>
        <w:spacing w:after="0" w:line="240" w:lineRule="auto"/>
      </w:pPr>
      <w:r>
        <w:separator/>
      </w:r>
    </w:p>
  </w:footnote>
  <w:footnote w:type="continuationSeparator" w:id="0">
    <w:p w14:paraId="6B799C6F" w14:textId="77777777" w:rsidR="00096124" w:rsidRDefault="00096124">
      <w:pPr>
        <w:spacing w:after="0" w:line="240" w:lineRule="auto"/>
      </w:pPr>
      <w:r>
        <w:continuationSeparator/>
      </w:r>
    </w:p>
  </w:footnote>
  <w:footnote w:type="continuationNotice" w:id="1">
    <w:p w14:paraId="64C17A74" w14:textId="77777777" w:rsidR="00096124" w:rsidRDefault="00096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71AA" w14:textId="77777777" w:rsidR="007B0573" w:rsidRDefault="007B0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A881" w14:textId="69924518" w:rsidR="006959D2" w:rsidRDefault="008B56D1">
    <w:pPr>
      <w:pStyle w:val="Header"/>
    </w:pPr>
    <w:r>
      <w:rPr>
        <w:noProof/>
      </w:rPr>
      <w:drawing>
        <wp:anchor distT="0" distB="0" distL="114300" distR="114300" simplePos="0" relativeHeight="251661824" behindDoc="0" locked="0" layoutInCell="1" allowOverlap="1" wp14:anchorId="24C24AE5" wp14:editId="5685D70D">
          <wp:simplePos x="0" y="0"/>
          <wp:positionH relativeFrom="column">
            <wp:posOffset>4762500</wp:posOffset>
          </wp:positionH>
          <wp:positionV relativeFrom="page">
            <wp:posOffset>-635</wp:posOffset>
          </wp:positionV>
          <wp:extent cx="1762125" cy="1085850"/>
          <wp:effectExtent l="0" t="0" r="9525" b="0"/>
          <wp:wrapSquare wrapText="bothSides"/>
          <wp:docPr id="186561596" name="Picture 186561596"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1596" name="Picture 1" descr="A logo with red and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2125" cy="1085850"/>
                  </a:xfrm>
                  <a:prstGeom prst="rect">
                    <a:avLst/>
                  </a:prstGeom>
                </pic:spPr>
              </pic:pic>
            </a:graphicData>
          </a:graphic>
          <wp14:sizeRelH relativeFrom="page">
            <wp14:pctWidth>0</wp14:pctWidth>
          </wp14:sizeRelH>
          <wp14:sizeRelV relativeFrom="page">
            <wp14:pctHeight>0</wp14:pctHeight>
          </wp14:sizeRelV>
        </wp:anchor>
      </w:drawing>
    </w:r>
    <w:sdt>
      <w:sdtPr>
        <w:id w:val="-417631929"/>
        <w:docPartObj>
          <w:docPartGallery w:val="Watermarks"/>
          <w:docPartUnique/>
        </w:docPartObj>
      </w:sdtPr>
      <w:sdtEndPr/>
      <w:sdtContent>
        <w:r w:rsidR="00952ED8">
          <w:rPr>
            <w:noProof/>
          </w:rPr>
          <w:pict w14:anchorId="2E95A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463E" w14:textId="77777777" w:rsidR="007B0573" w:rsidRDefault="007B05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9136" w14:textId="77777777" w:rsidR="0051373E" w:rsidRDefault="00513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D4D0" w14:textId="77777777" w:rsidR="0051373E" w:rsidRDefault="005137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8C1B" w14:textId="77777777" w:rsidR="0051373E" w:rsidRDefault="005137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C5F8" w14:textId="77777777" w:rsidR="003A6A5D" w:rsidRDefault="003A6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4038" w14:textId="77777777" w:rsidR="003A6A5D" w:rsidRDefault="003A6A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D6FE" w14:textId="77777777" w:rsidR="003A6A5D" w:rsidRDefault="003A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2F1F55"/>
    <w:multiLevelType w:val="multilevel"/>
    <w:tmpl w:val="BE5A3098"/>
    <w:styleLink w:val="Chapternumbering"/>
    <w:lvl w:ilvl="0">
      <w:start w:val="1"/>
      <w:numFmt w:val="decimal"/>
      <w:pStyle w:val="AdvChapterL1"/>
      <w:lvlText w:val="%1."/>
      <w:lvlJc w:val="left"/>
      <w:pPr>
        <w:ind w:left="0" w:hanging="782"/>
      </w:pPr>
      <w:rPr>
        <w:rFonts w:hint="default"/>
        <w:color w:val="747474" w:themeColor="text2"/>
      </w:rPr>
    </w:lvl>
    <w:lvl w:ilvl="1">
      <w:start w:val="1"/>
      <w:numFmt w:val="decimal"/>
      <w:pStyle w:val="AdvChapterL2"/>
      <w:lvlText w:val="%1.%2"/>
      <w:lvlJc w:val="left"/>
      <w:pPr>
        <w:ind w:left="0" w:hanging="782"/>
      </w:pPr>
      <w:rPr>
        <w:rFonts w:hint="default"/>
        <w:color w:val="747474" w:themeColor="text2"/>
      </w:rPr>
    </w:lvl>
    <w:lvl w:ilvl="2">
      <w:start w:val="1"/>
      <w:numFmt w:val="lowerLetter"/>
      <w:pStyle w:val="AdvChapterL3"/>
      <w:lvlText w:val="(%3)"/>
      <w:lvlJc w:val="left"/>
      <w:pPr>
        <w:ind w:left="624" w:hanging="624"/>
      </w:pPr>
      <w:rPr>
        <w:rFonts w:hint="default"/>
        <w:color w:val="747474" w:themeColor="text2"/>
      </w:rPr>
    </w:lvl>
    <w:lvl w:ilvl="3">
      <w:start w:val="1"/>
      <w:numFmt w:val="lowerRoman"/>
      <w:pStyle w:val="AdvChapterL4"/>
      <w:lvlText w:val="(%4)"/>
      <w:lvlJc w:val="left"/>
      <w:pPr>
        <w:ind w:left="1247" w:hanging="623"/>
      </w:pPr>
      <w:rPr>
        <w:rFonts w:hint="default"/>
        <w:color w:val="747474" w:themeColor="text2"/>
      </w:rPr>
    </w:lvl>
    <w:lvl w:ilvl="4">
      <w:start w:val="1"/>
      <w:numFmt w:val="upperLetter"/>
      <w:pStyle w:val="AdvChapterL5"/>
      <w:lvlText w:val="(%5)"/>
      <w:lvlJc w:val="left"/>
      <w:pPr>
        <w:ind w:left="1871" w:hanging="624"/>
      </w:pPr>
      <w:rPr>
        <w:rFonts w:hint="default"/>
        <w:color w:val="747474" w:themeColor="text2"/>
      </w:rPr>
    </w:lvl>
    <w:lvl w:ilvl="5">
      <w:start w:val="1"/>
      <w:numFmt w:val="upperRoman"/>
      <w:pStyle w:val="AdvChapterL6"/>
      <w:lvlText w:val="(%6)"/>
      <w:lvlJc w:val="left"/>
      <w:pPr>
        <w:ind w:left="2495" w:hanging="624"/>
      </w:pPr>
      <w:rPr>
        <w:rFonts w:hint="default"/>
        <w:color w:val="747474" w:themeColor="text2"/>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2"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3"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3E17314"/>
    <w:multiLevelType w:val="multilevel"/>
    <w:tmpl w:val="D3D04F5A"/>
    <w:lvl w:ilvl="0">
      <w:start w:val="1"/>
      <w:numFmt w:val="decimal"/>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5" w15:restartNumberingAfterBreak="0">
    <w:nsid w:val="06E64E83"/>
    <w:multiLevelType w:val="hybridMultilevel"/>
    <w:tmpl w:val="42C4C6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7"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8" w15:restartNumberingAfterBreak="0">
    <w:nsid w:val="094A0D3F"/>
    <w:multiLevelType w:val="hybridMultilevel"/>
    <w:tmpl w:val="F84E5B8A"/>
    <w:name w:val="Bullet2Ashurst"/>
    <w:lvl w:ilvl="0" w:tplc="CE38F5D6">
      <w:start w:val="1"/>
      <w:numFmt w:val="bullet"/>
      <w:lvlText w:val=""/>
      <w:lvlJc w:val="left"/>
      <w:pPr>
        <w:tabs>
          <w:tab w:val="num" w:pos="1406"/>
        </w:tabs>
        <w:ind w:left="1406" w:hanging="624"/>
      </w:pPr>
      <w:rPr>
        <w:rFonts w:ascii="Symbol" w:hAnsi="Symbol" w:hint="default"/>
        <w:b w:val="0"/>
        <w:i w:val="0"/>
        <w:color w:val="auto"/>
        <w:sz w:val="18"/>
        <w:szCs w:val="18"/>
      </w:rPr>
    </w:lvl>
    <w:lvl w:ilvl="1" w:tplc="A2AC1F50" w:tentative="1">
      <w:start w:val="1"/>
      <w:numFmt w:val="bullet"/>
      <w:lvlText w:val="o"/>
      <w:lvlJc w:val="left"/>
      <w:pPr>
        <w:tabs>
          <w:tab w:val="num" w:pos="1440"/>
        </w:tabs>
        <w:ind w:left="1440" w:hanging="360"/>
      </w:pPr>
      <w:rPr>
        <w:rFonts w:ascii="Courier New" w:hAnsi="Courier New" w:cs="Courier New" w:hint="default"/>
        <w:color w:val="auto"/>
      </w:rPr>
    </w:lvl>
    <w:lvl w:ilvl="2" w:tplc="CB2E1F9E" w:tentative="1">
      <w:start w:val="1"/>
      <w:numFmt w:val="bullet"/>
      <w:lvlText w:val=""/>
      <w:lvlJc w:val="left"/>
      <w:pPr>
        <w:tabs>
          <w:tab w:val="num" w:pos="2160"/>
        </w:tabs>
        <w:ind w:left="2160" w:hanging="360"/>
      </w:pPr>
      <w:rPr>
        <w:rFonts w:ascii="Wingdings" w:hAnsi="Wingdings" w:hint="default"/>
        <w:color w:val="auto"/>
      </w:rPr>
    </w:lvl>
    <w:lvl w:ilvl="3" w:tplc="6A825EA8" w:tentative="1">
      <w:start w:val="1"/>
      <w:numFmt w:val="bullet"/>
      <w:lvlText w:val=""/>
      <w:lvlJc w:val="left"/>
      <w:pPr>
        <w:tabs>
          <w:tab w:val="num" w:pos="2880"/>
        </w:tabs>
        <w:ind w:left="2880" w:hanging="360"/>
      </w:pPr>
      <w:rPr>
        <w:rFonts w:ascii="Symbol" w:hAnsi="Symbol" w:hint="default"/>
        <w:color w:val="auto"/>
      </w:rPr>
    </w:lvl>
    <w:lvl w:ilvl="4" w:tplc="C0AABC14" w:tentative="1">
      <w:start w:val="1"/>
      <w:numFmt w:val="bullet"/>
      <w:lvlText w:val="o"/>
      <w:lvlJc w:val="left"/>
      <w:pPr>
        <w:tabs>
          <w:tab w:val="num" w:pos="3600"/>
        </w:tabs>
        <w:ind w:left="3600" w:hanging="360"/>
      </w:pPr>
      <w:rPr>
        <w:rFonts w:ascii="Courier New" w:hAnsi="Courier New" w:cs="Courier New" w:hint="default"/>
        <w:color w:val="auto"/>
      </w:rPr>
    </w:lvl>
    <w:lvl w:ilvl="5" w:tplc="D9787F2E" w:tentative="1">
      <w:start w:val="1"/>
      <w:numFmt w:val="bullet"/>
      <w:lvlText w:val=""/>
      <w:lvlJc w:val="left"/>
      <w:pPr>
        <w:tabs>
          <w:tab w:val="num" w:pos="4320"/>
        </w:tabs>
        <w:ind w:left="4320" w:hanging="360"/>
      </w:pPr>
      <w:rPr>
        <w:rFonts w:ascii="Wingdings" w:hAnsi="Wingdings" w:hint="default"/>
        <w:color w:val="auto"/>
      </w:rPr>
    </w:lvl>
    <w:lvl w:ilvl="6" w:tplc="9C0A96F2" w:tentative="1">
      <w:start w:val="1"/>
      <w:numFmt w:val="bullet"/>
      <w:lvlText w:val=""/>
      <w:lvlJc w:val="left"/>
      <w:pPr>
        <w:tabs>
          <w:tab w:val="num" w:pos="5040"/>
        </w:tabs>
        <w:ind w:left="5040" w:hanging="360"/>
      </w:pPr>
      <w:rPr>
        <w:rFonts w:ascii="Symbol" w:hAnsi="Symbol" w:hint="default"/>
        <w:color w:val="auto"/>
      </w:rPr>
    </w:lvl>
    <w:lvl w:ilvl="7" w:tplc="530664C4" w:tentative="1">
      <w:start w:val="1"/>
      <w:numFmt w:val="bullet"/>
      <w:lvlText w:val="o"/>
      <w:lvlJc w:val="left"/>
      <w:pPr>
        <w:tabs>
          <w:tab w:val="num" w:pos="5760"/>
        </w:tabs>
        <w:ind w:left="5760" w:hanging="360"/>
      </w:pPr>
      <w:rPr>
        <w:rFonts w:ascii="Courier New" w:hAnsi="Courier New" w:cs="Courier New" w:hint="default"/>
        <w:color w:val="auto"/>
      </w:rPr>
    </w:lvl>
    <w:lvl w:ilvl="8" w:tplc="0EE838BC" w:tentative="1">
      <w:start w:val="1"/>
      <w:numFmt w:val="bullet"/>
      <w:lvlText w:val=""/>
      <w:lvlJc w:val="left"/>
      <w:pPr>
        <w:tabs>
          <w:tab w:val="num" w:pos="6480"/>
        </w:tabs>
        <w:ind w:left="6480" w:hanging="360"/>
      </w:pPr>
      <w:rPr>
        <w:rFonts w:ascii="Wingdings" w:hAnsi="Wingdings" w:hint="default"/>
        <w:color w:val="auto"/>
      </w:rPr>
    </w:lvl>
  </w:abstractNum>
  <w:abstractNum w:abstractNumId="19" w15:restartNumberingAfterBreak="0">
    <w:nsid w:val="0C222753"/>
    <w:multiLevelType w:val="multilevel"/>
    <w:tmpl w:val="EE221F9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b w:val="0"/>
        <w:i w:val="0"/>
      </w:rPr>
    </w:lvl>
    <w:lvl w:ilvl="3">
      <w:start w:val="1"/>
      <w:numFmt w:val="lowerLetter"/>
      <w:lvlText w:val="(%4)"/>
      <w:lvlJc w:val="left"/>
      <w:pPr>
        <w:ind w:left="1440" w:hanging="720"/>
      </w:pPr>
    </w:lvl>
    <w:lvl w:ilvl="4">
      <w:start w:val="1"/>
      <w:numFmt w:val="lowerLetter"/>
      <w:lvlText w:val="%5)"/>
      <w:lvlJc w:val="left"/>
      <w:pPr>
        <w:ind w:left="1142" w:hanging="360"/>
      </w:pPr>
    </w:lvl>
    <w:lvl w:ilvl="5">
      <w:start w:val="1"/>
      <w:numFmt w:val="upperLetter"/>
      <w:lvlText w:val="(%6)"/>
      <w:lvlJc w:val="left"/>
      <w:pPr>
        <w:ind w:left="2880" w:hanging="720"/>
      </w:pPr>
    </w:lvl>
    <w:lvl w:ilvl="6">
      <w:start w:val="1"/>
      <w:numFmt w:val="decimal"/>
      <w:lvlText w:val="%7)"/>
      <w:lvlJc w:val="left"/>
      <w:pPr>
        <w:ind w:left="3600" w:hanging="720"/>
      </w:pPr>
    </w:lvl>
    <w:lvl w:ilvl="7">
      <w:start w:val="1"/>
      <w:numFmt w:val="lowerLetter"/>
      <w:lvlText w:val="%8)"/>
      <w:lvlJc w:val="left"/>
      <w:pPr>
        <w:ind w:left="4321" w:hanging="721"/>
      </w:pPr>
    </w:lvl>
    <w:lvl w:ilvl="8">
      <w:start w:val="1"/>
      <w:numFmt w:val="lowerRoman"/>
      <w:lvlText w:val="%9)"/>
      <w:lvlJc w:val="left"/>
      <w:pPr>
        <w:ind w:left="5041" w:hanging="720"/>
      </w:pPr>
    </w:lvl>
  </w:abstractNum>
  <w:abstractNum w:abstractNumId="20"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21"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22" w15:restartNumberingAfterBreak="0">
    <w:nsid w:val="10F77C36"/>
    <w:multiLevelType w:val="hybridMultilevel"/>
    <w:tmpl w:val="2FE83B44"/>
    <w:name w:val="Bullet1Ashurst"/>
    <w:lvl w:ilvl="0" w:tplc="10BE99A6">
      <w:start w:val="1"/>
      <w:numFmt w:val="bullet"/>
      <w:lvlText w:val=""/>
      <w:lvlJc w:val="left"/>
      <w:pPr>
        <w:tabs>
          <w:tab w:val="num" w:pos="1406"/>
        </w:tabs>
        <w:ind w:left="1406" w:hanging="624"/>
      </w:pPr>
      <w:rPr>
        <w:rFonts w:ascii="Symbol" w:hAnsi="Symbol" w:hint="default"/>
        <w:b w:val="0"/>
        <w:i w:val="0"/>
        <w:color w:val="auto"/>
        <w:sz w:val="18"/>
        <w:szCs w:val="18"/>
      </w:rPr>
    </w:lvl>
    <w:lvl w:ilvl="1" w:tplc="139CCB9A" w:tentative="1">
      <w:start w:val="1"/>
      <w:numFmt w:val="bullet"/>
      <w:lvlText w:val="o"/>
      <w:lvlJc w:val="left"/>
      <w:pPr>
        <w:tabs>
          <w:tab w:val="num" w:pos="1440"/>
        </w:tabs>
        <w:ind w:left="1440" w:hanging="360"/>
      </w:pPr>
      <w:rPr>
        <w:rFonts w:ascii="Courier New" w:hAnsi="Courier New" w:cs="Courier New" w:hint="default"/>
        <w:color w:val="auto"/>
      </w:rPr>
    </w:lvl>
    <w:lvl w:ilvl="2" w:tplc="888249AC" w:tentative="1">
      <w:start w:val="1"/>
      <w:numFmt w:val="bullet"/>
      <w:lvlText w:val=""/>
      <w:lvlJc w:val="left"/>
      <w:pPr>
        <w:tabs>
          <w:tab w:val="num" w:pos="2160"/>
        </w:tabs>
        <w:ind w:left="2160" w:hanging="360"/>
      </w:pPr>
      <w:rPr>
        <w:rFonts w:ascii="Wingdings" w:hAnsi="Wingdings" w:hint="default"/>
        <w:color w:val="auto"/>
      </w:rPr>
    </w:lvl>
    <w:lvl w:ilvl="3" w:tplc="BDF0135E" w:tentative="1">
      <w:start w:val="1"/>
      <w:numFmt w:val="bullet"/>
      <w:lvlText w:val=""/>
      <w:lvlJc w:val="left"/>
      <w:pPr>
        <w:tabs>
          <w:tab w:val="num" w:pos="2880"/>
        </w:tabs>
        <w:ind w:left="2880" w:hanging="360"/>
      </w:pPr>
      <w:rPr>
        <w:rFonts w:ascii="Symbol" w:hAnsi="Symbol" w:hint="default"/>
        <w:color w:val="auto"/>
      </w:rPr>
    </w:lvl>
    <w:lvl w:ilvl="4" w:tplc="5D72412E" w:tentative="1">
      <w:start w:val="1"/>
      <w:numFmt w:val="bullet"/>
      <w:lvlText w:val="o"/>
      <w:lvlJc w:val="left"/>
      <w:pPr>
        <w:tabs>
          <w:tab w:val="num" w:pos="3600"/>
        </w:tabs>
        <w:ind w:left="3600" w:hanging="360"/>
      </w:pPr>
      <w:rPr>
        <w:rFonts w:ascii="Courier New" w:hAnsi="Courier New" w:cs="Courier New" w:hint="default"/>
        <w:color w:val="auto"/>
      </w:rPr>
    </w:lvl>
    <w:lvl w:ilvl="5" w:tplc="FB80E60E" w:tentative="1">
      <w:start w:val="1"/>
      <w:numFmt w:val="bullet"/>
      <w:lvlText w:val=""/>
      <w:lvlJc w:val="left"/>
      <w:pPr>
        <w:tabs>
          <w:tab w:val="num" w:pos="4320"/>
        </w:tabs>
        <w:ind w:left="4320" w:hanging="360"/>
      </w:pPr>
      <w:rPr>
        <w:rFonts w:ascii="Wingdings" w:hAnsi="Wingdings" w:hint="default"/>
        <w:color w:val="auto"/>
      </w:rPr>
    </w:lvl>
    <w:lvl w:ilvl="6" w:tplc="6BD899E2" w:tentative="1">
      <w:start w:val="1"/>
      <w:numFmt w:val="bullet"/>
      <w:lvlText w:val=""/>
      <w:lvlJc w:val="left"/>
      <w:pPr>
        <w:tabs>
          <w:tab w:val="num" w:pos="5040"/>
        </w:tabs>
        <w:ind w:left="5040" w:hanging="360"/>
      </w:pPr>
      <w:rPr>
        <w:rFonts w:ascii="Symbol" w:hAnsi="Symbol" w:hint="default"/>
        <w:color w:val="auto"/>
      </w:rPr>
    </w:lvl>
    <w:lvl w:ilvl="7" w:tplc="E8A0D0D6" w:tentative="1">
      <w:start w:val="1"/>
      <w:numFmt w:val="bullet"/>
      <w:lvlText w:val="o"/>
      <w:lvlJc w:val="left"/>
      <w:pPr>
        <w:tabs>
          <w:tab w:val="num" w:pos="5760"/>
        </w:tabs>
        <w:ind w:left="5760" w:hanging="360"/>
      </w:pPr>
      <w:rPr>
        <w:rFonts w:ascii="Courier New" w:hAnsi="Courier New" w:cs="Courier New" w:hint="default"/>
        <w:color w:val="auto"/>
      </w:rPr>
    </w:lvl>
    <w:lvl w:ilvl="8" w:tplc="1A2A370C" w:tentative="1">
      <w:start w:val="1"/>
      <w:numFmt w:val="bullet"/>
      <w:lvlText w:val=""/>
      <w:lvlJc w:val="left"/>
      <w:pPr>
        <w:tabs>
          <w:tab w:val="num" w:pos="6480"/>
        </w:tabs>
        <w:ind w:left="6480" w:hanging="360"/>
      </w:pPr>
      <w:rPr>
        <w:rFonts w:ascii="Wingdings" w:hAnsi="Wingdings" w:hint="default"/>
        <w:color w:val="auto"/>
      </w:rPr>
    </w:lvl>
  </w:abstractNum>
  <w:abstractNum w:abstractNumId="23" w15:restartNumberingAfterBreak="0">
    <w:nsid w:val="12CB2B55"/>
    <w:multiLevelType w:val="hybridMultilevel"/>
    <w:tmpl w:val="0D700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5" w15:restartNumberingAfterBreak="0">
    <w:nsid w:val="1D5F7B71"/>
    <w:multiLevelType w:val="hybridMultilevel"/>
    <w:tmpl w:val="FF26E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F2A4CDE"/>
    <w:multiLevelType w:val="multilevel"/>
    <w:tmpl w:val="22BC12AC"/>
    <w:name w:val="Heading"/>
    <w:lvl w:ilvl="0">
      <w:start w:val="1"/>
      <w:numFmt w:val="decimal"/>
      <w:pStyle w:val="Heading1"/>
      <w:lvlText w:val="%1."/>
      <w:lvlJc w:val="left"/>
      <w:pPr>
        <w:tabs>
          <w:tab w:val="num" w:pos="782"/>
        </w:tabs>
        <w:ind w:left="782" w:hanging="782"/>
      </w:pPr>
      <w:rPr>
        <w:b w:val="0"/>
        <w:bCs w:val="0"/>
        <w:i w:val="0"/>
        <w:iCs w:val="0"/>
        <w:color w:val="auto"/>
        <w:sz w:val="22"/>
        <w:szCs w:val="26"/>
      </w:rPr>
    </w:lvl>
    <w:lvl w:ilvl="1">
      <w:start w:val="1"/>
      <w:numFmt w:val="decimal"/>
      <w:pStyle w:val="Heading2"/>
      <w:lvlText w:val="%1.%2"/>
      <w:lvlJc w:val="left"/>
      <w:pPr>
        <w:tabs>
          <w:tab w:val="num" w:pos="782"/>
        </w:tabs>
        <w:ind w:left="782" w:hanging="782"/>
      </w:pPr>
      <w:rPr>
        <w:b w:val="0"/>
        <w:bCs w:val="0"/>
        <w:i w:val="0"/>
        <w:iCs w:val="0"/>
        <w:color w:val="auto"/>
        <w:sz w:val="20"/>
        <w:szCs w:val="26"/>
      </w:rPr>
    </w:lvl>
    <w:lvl w:ilvl="2">
      <w:start w:val="1"/>
      <w:numFmt w:val="upperRoman"/>
      <w:pStyle w:val="Heading3"/>
      <w:lvlText w:val="%3."/>
      <w:lvlJc w:val="right"/>
      <w:pPr>
        <w:tabs>
          <w:tab w:val="num" w:pos="1406"/>
        </w:tabs>
        <w:ind w:left="1406" w:hanging="624"/>
      </w:pPr>
      <w:rPr>
        <w:b w:val="0"/>
        <w:bCs w:val="0"/>
        <w:i w:val="0"/>
        <w:iCs w:val="0"/>
        <w:color w:val="auto"/>
        <w:sz w:val="20"/>
        <w:szCs w:val="24"/>
      </w:rPr>
    </w:lvl>
    <w:lvl w:ilvl="3">
      <w:start w:val="1"/>
      <w:numFmt w:val="lowerRoman"/>
      <w:pStyle w:val="Heading4"/>
      <w:lvlText w:val="(%4)"/>
      <w:lvlJc w:val="left"/>
      <w:pPr>
        <w:tabs>
          <w:tab w:val="num" w:pos="2030"/>
        </w:tabs>
        <w:ind w:left="2030" w:hanging="624"/>
      </w:pPr>
      <w:rPr>
        <w:b w:val="0"/>
        <w:bCs w:val="0"/>
        <w:i w:val="0"/>
        <w:iCs w:val="0"/>
        <w:color w:val="auto"/>
        <w:sz w:val="20"/>
        <w:szCs w:val="24"/>
      </w:rPr>
    </w:lvl>
    <w:lvl w:ilvl="4">
      <w:start w:val="1"/>
      <w:numFmt w:val="upperLetter"/>
      <w:pStyle w:val="Heading5"/>
      <w:lvlText w:val="(%5)"/>
      <w:lvlJc w:val="left"/>
      <w:pPr>
        <w:tabs>
          <w:tab w:val="num" w:pos="2654"/>
        </w:tabs>
        <w:ind w:left="2654" w:hanging="624"/>
      </w:pPr>
      <w:rPr>
        <w:b w:val="0"/>
        <w:bCs w:val="0"/>
        <w:i w:val="0"/>
        <w:iCs w:val="0"/>
        <w:color w:val="auto"/>
        <w:sz w:val="20"/>
        <w:szCs w:val="24"/>
      </w:rPr>
    </w:lvl>
    <w:lvl w:ilvl="5">
      <w:start w:val="27"/>
      <w:numFmt w:val="lowerLetter"/>
      <w:lvlRestart w:val="0"/>
      <w:pStyle w:val="Heading6"/>
      <w:lvlText w:val="(%6)"/>
      <w:lvlJc w:val="left"/>
      <w:pPr>
        <w:tabs>
          <w:tab w:val="num" w:pos="2654"/>
        </w:tabs>
        <w:ind w:left="3277" w:hanging="623"/>
      </w:pPr>
      <w:rPr>
        <w:b w:val="0"/>
        <w:bCs w:val="0"/>
        <w:i w:val="0"/>
        <w:iCs w:val="0"/>
        <w:color w:val="auto"/>
        <w:sz w:val="20"/>
        <w:szCs w:val="24"/>
      </w:rPr>
    </w:lvl>
    <w:lvl w:ilvl="6">
      <w:start w:val="1"/>
      <w:numFmt w:val="lowerLetter"/>
      <w:pStyle w:val="Heading7"/>
      <w:lvlText w:val="(%7)"/>
      <w:lvlJc w:val="left"/>
      <w:pPr>
        <w:tabs>
          <w:tab w:val="num" w:pos="3277"/>
        </w:tabs>
        <w:ind w:left="3901" w:hanging="624"/>
      </w:pPr>
      <w:rPr>
        <w:b w:val="0"/>
        <w:bCs w:val="0"/>
        <w:i w:val="0"/>
        <w:iCs w:val="0"/>
        <w:color w:val="auto"/>
        <w:sz w:val="20"/>
      </w:rPr>
    </w:lvl>
    <w:lvl w:ilvl="7">
      <w:start w:val="1"/>
      <w:numFmt w:val="lowerRoman"/>
      <w:pStyle w:val="Heading8"/>
      <w:lvlText w:val="(%8)"/>
      <w:lvlJc w:val="left"/>
      <w:pPr>
        <w:tabs>
          <w:tab w:val="num" w:pos="3901"/>
        </w:tabs>
        <w:ind w:left="4525" w:hanging="624"/>
      </w:pPr>
      <w:rPr>
        <w:b w:val="0"/>
        <w:bCs w:val="0"/>
        <w:i w:val="0"/>
        <w:iCs w:val="0"/>
        <w:color w:val="auto"/>
        <w:sz w:val="20"/>
        <w:szCs w:val="24"/>
      </w:rPr>
    </w:lvl>
    <w:lvl w:ilvl="8">
      <w:start w:val="1"/>
      <w:numFmt w:val="decimal"/>
      <w:pStyle w:val="Heading9"/>
      <w:lvlText w:val=""/>
      <w:lvlJc w:val="left"/>
      <w:pPr>
        <w:ind w:left="0" w:firstLine="0"/>
      </w:pPr>
      <w:rPr>
        <w:b w:val="0"/>
        <w:bCs w:val="0"/>
        <w:i w:val="0"/>
        <w:iCs w:val="0"/>
        <w:color w:val="auto"/>
        <w:sz w:val="20"/>
        <w:szCs w:val="24"/>
      </w:rPr>
    </w:lvl>
  </w:abstractNum>
  <w:abstractNum w:abstractNumId="27" w15:restartNumberingAfterBreak="0">
    <w:nsid w:val="2019191E"/>
    <w:multiLevelType w:val="multilevel"/>
    <w:tmpl w:val="0486E33C"/>
    <w:styleLink w:val="ListStyle-AppendixHeading"/>
    <w:lvl w:ilvl="0">
      <w:start w:val="1"/>
      <w:numFmt w:val="upperLetter"/>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30"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1"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32" w15:restartNumberingAfterBreak="0">
    <w:nsid w:val="29EA3829"/>
    <w:multiLevelType w:val="multilevel"/>
    <w:tmpl w:val="77325A7A"/>
    <w:name w:val="H1Ashurst"/>
    <w:lvl w:ilvl="0">
      <w:start w:val="1"/>
      <w:numFmt w:val="decimal"/>
      <w:pStyle w:val="SH1Ashurst"/>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33"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4"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5" w15:restartNumberingAfterBreak="0">
    <w:nsid w:val="2C4F17F6"/>
    <w:multiLevelType w:val="hybridMultilevel"/>
    <w:tmpl w:val="C32C1B38"/>
    <w:lvl w:ilvl="0" w:tplc="A956BE9C">
      <w:start w:val="1"/>
      <w:numFmt w:val="bullet"/>
      <w:lvlText w:val="•"/>
      <w:lvlJc w:val="left"/>
      <w:pPr>
        <w:tabs>
          <w:tab w:val="num" w:pos="720"/>
        </w:tabs>
        <w:ind w:left="720" w:hanging="360"/>
      </w:pPr>
      <w:rPr>
        <w:rFonts w:ascii="Arial" w:hAnsi="Arial" w:hint="default"/>
      </w:rPr>
    </w:lvl>
    <w:lvl w:ilvl="1" w:tplc="DE2A7C14" w:tentative="1">
      <w:start w:val="1"/>
      <w:numFmt w:val="bullet"/>
      <w:lvlText w:val="•"/>
      <w:lvlJc w:val="left"/>
      <w:pPr>
        <w:tabs>
          <w:tab w:val="num" w:pos="1440"/>
        </w:tabs>
        <w:ind w:left="1440" w:hanging="360"/>
      </w:pPr>
      <w:rPr>
        <w:rFonts w:ascii="Arial" w:hAnsi="Arial" w:hint="default"/>
      </w:rPr>
    </w:lvl>
    <w:lvl w:ilvl="2" w:tplc="7AFE01C0" w:tentative="1">
      <w:start w:val="1"/>
      <w:numFmt w:val="bullet"/>
      <w:lvlText w:val="•"/>
      <w:lvlJc w:val="left"/>
      <w:pPr>
        <w:tabs>
          <w:tab w:val="num" w:pos="2160"/>
        </w:tabs>
        <w:ind w:left="2160" w:hanging="360"/>
      </w:pPr>
      <w:rPr>
        <w:rFonts w:ascii="Arial" w:hAnsi="Arial" w:hint="default"/>
      </w:rPr>
    </w:lvl>
    <w:lvl w:ilvl="3" w:tplc="831C63F4" w:tentative="1">
      <w:start w:val="1"/>
      <w:numFmt w:val="bullet"/>
      <w:lvlText w:val="•"/>
      <w:lvlJc w:val="left"/>
      <w:pPr>
        <w:tabs>
          <w:tab w:val="num" w:pos="2880"/>
        </w:tabs>
        <w:ind w:left="2880" w:hanging="360"/>
      </w:pPr>
      <w:rPr>
        <w:rFonts w:ascii="Arial" w:hAnsi="Arial" w:hint="default"/>
      </w:rPr>
    </w:lvl>
    <w:lvl w:ilvl="4" w:tplc="DF707E4A" w:tentative="1">
      <w:start w:val="1"/>
      <w:numFmt w:val="bullet"/>
      <w:lvlText w:val="•"/>
      <w:lvlJc w:val="left"/>
      <w:pPr>
        <w:tabs>
          <w:tab w:val="num" w:pos="3600"/>
        </w:tabs>
        <w:ind w:left="3600" w:hanging="360"/>
      </w:pPr>
      <w:rPr>
        <w:rFonts w:ascii="Arial" w:hAnsi="Arial" w:hint="default"/>
      </w:rPr>
    </w:lvl>
    <w:lvl w:ilvl="5" w:tplc="708637F6" w:tentative="1">
      <w:start w:val="1"/>
      <w:numFmt w:val="bullet"/>
      <w:lvlText w:val="•"/>
      <w:lvlJc w:val="left"/>
      <w:pPr>
        <w:tabs>
          <w:tab w:val="num" w:pos="4320"/>
        </w:tabs>
        <w:ind w:left="4320" w:hanging="360"/>
      </w:pPr>
      <w:rPr>
        <w:rFonts w:ascii="Arial" w:hAnsi="Arial" w:hint="default"/>
      </w:rPr>
    </w:lvl>
    <w:lvl w:ilvl="6" w:tplc="664620E8" w:tentative="1">
      <w:start w:val="1"/>
      <w:numFmt w:val="bullet"/>
      <w:lvlText w:val="•"/>
      <w:lvlJc w:val="left"/>
      <w:pPr>
        <w:tabs>
          <w:tab w:val="num" w:pos="5040"/>
        </w:tabs>
        <w:ind w:left="5040" w:hanging="360"/>
      </w:pPr>
      <w:rPr>
        <w:rFonts w:ascii="Arial" w:hAnsi="Arial" w:hint="default"/>
      </w:rPr>
    </w:lvl>
    <w:lvl w:ilvl="7" w:tplc="E78C92F4" w:tentative="1">
      <w:start w:val="1"/>
      <w:numFmt w:val="bullet"/>
      <w:lvlText w:val="•"/>
      <w:lvlJc w:val="left"/>
      <w:pPr>
        <w:tabs>
          <w:tab w:val="num" w:pos="5760"/>
        </w:tabs>
        <w:ind w:left="5760" w:hanging="360"/>
      </w:pPr>
      <w:rPr>
        <w:rFonts w:ascii="Arial" w:hAnsi="Arial" w:hint="default"/>
      </w:rPr>
    </w:lvl>
    <w:lvl w:ilvl="8" w:tplc="1FC89DE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7"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8" w15:restartNumberingAfterBreak="0">
    <w:nsid w:val="2F7A2966"/>
    <w:multiLevelType w:val="hybridMultilevel"/>
    <w:tmpl w:val="AC604C66"/>
    <w:lvl w:ilvl="0" w:tplc="421C9432">
      <w:start w:val="1"/>
      <w:numFmt w:val="bullet"/>
      <w:lvlText w:val="•"/>
      <w:lvlJc w:val="left"/>
      <w:pPr>
        <w:tabs>
          <w:tab w:val="num" w:pos="720"/>
        </w:tabs>
        <w:ind w:left="720" w:hanging="360"/>
      </w:pPr>
      <w:rPr>
        <w:rFonts w:ascii="Arial" w:hAnsi="Arial" w:hint="default"/>
      </w:rPr>
    </w:lvl>
    <w:lvl w:ilvl="1" w:tplc="BF64D116" w:tentative="1">
      <w:start w:val="1"/>
      <w:numFmt w:val="bullet"/>
      <w:lvlText w:val="•"/>
      <w:lvlJc w:val="left"/>
      <w:pPr>
        <w:tabs>
          <w:tab w:val="num" w:pos="1440"/>
        </w:tabs>
        <w:ind w:left="1440" w:hanging="360"/>
      </w:pPr>
      <w:rPr>
        <w:rFonts w:ascii="Arial" w:hAnsi="Arial" w:hint="default"/>
      </w:rPr>
    </w:lvl>
    <w:lvl w:ilvl="2" w:tplc="F9E68F36" w:tentative="1">
      <w:start w:val="1"/>
      <w:numFmt w:val="bullet"/>
      <w:lvlText w:val="•"/>
      <w:lvlJc w:val="left"/>
      <w:pPr>
        <w:tabs>
          <w:tab w:val="num" w:pos="2160"/>
        </w:tabs>
        <w:ind w:left="2160" w:hanging="360"/>
      </w:pPr>
      <w:rPr>
        <w:rFonts w:ascii="Arial" w:hAnsi="Arial" w:hint="default"/>
      </w:rPr>
    </w:lvl>
    <w:lvl w:ilvl="3" w:tplc="99DC250A" w:tentative="1">
      <w:start w:val="1"/>
      <w:numFmt w:val="bullet"/>
      <w:lvlText w:val="•"/>
      <w:lvlJc w:val="left"/>
      <w:pPr>
        <w:tabs>
          <w:tab w:val="num" w:pos="2880"/>
        </w:tabs>
        <w:ind w:left="2880" w:hanging="360"/>
      </w:pPr>
      <w:rPr>
        <w:rFonts w:ascii="Arial" w:hAnsi="Arial" w:hint="default"/>
      </w:rPr>
    </w:lvl>
    <w:lvl w:ilvl="4" w:tplc="3DDA4DD8" w:tentative="1">
      <w:start w:val="1"/>
      <w:numFmt w:val="bullet"/>
      <w:lvlText w:val="•"/>
      <w:lvlJc w:val="left"/>
      <w:pPr>
        <w:tabs>
          <w:tab w:val="num" w:pos="3600"/>
        </w:tabs>
        <w:ind w:left="3600" w:hanging="360"/>
      </w:pPr>
      <w:rPr>
        <w:rFonts w:ascii="Arial" w:hAnsi="Arial" w:hint="default"/>
      </w:rPr>
    </w:lvl>
    <w:lvl w:ilvl="5" w:tplc="E3BA06F8" w:tentative="1">
      <w:start w:val="1"/>
      <w:numFmt w:val="bullet"/>
      <w:lvlText w:val="•"/>
      <w:lvlJc w:val="left"/>
      <w:pPr>
        <w:tabs>
          <w:tab w:val="num" w:pos="4320"/>
        </w:tabs>
        <w:ind w:left="4320" w:hanging="360"/>
      </w:pPr>
      <w:rPr>
        <w:rFonts w:ascii="Arial" w:hAnsi="Arial" w:hint="default"/>
      </w:rPr>
    </w:lvl>
    <w:lvl w:ilvl="6" w:tplc="BB1830B8" w:tentative="1">
      <w:start w:val="1"/>
      <w:numFmt w:val="bullet"/>
      <w:lvlText w:val="•"/>
      <w:lvlJc w:val="left"/>
      <w:pPr>
        <w:tabs>
          <w:tab w:val="num" w:pos="5040"/>
        </w:tabs>
        <w:ind w:left="5040" w:hanging="360"/>
      </w:pPr>
      <w:rPr>
        <w:rFonts w:ascii="Arial" w:hAnsi="Arial" w:hint="default"/>
      </w:rPr>
    </w:lvl>
    <w:lvl w:ilvl="7" w:tplc="4AD2E680" w:tentative="1">
      <w:start w:val="1"/>
      <w:numFmt w:val="bullet"/>
      <w:lvlText w:val="•"/>
      <w:lvlJc w:val="left"/>
      <w:pPr>
        <w:tabs>
          <w:tab w:val="num" w:pos="5760"/>
        </w:tabs>
        <w:ind w:left="5760" w:hanging="360"/>
      </w:pPr>
      <w:rPr>
        <w:rFonts w:ascii="Arial" w:hAnsi="Arial" w:hint="default"/>
      </w:rPr>
    </w:lvl>
    <w:lvl w:ilvl="8" w:tplc="806668D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40"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1" w15:restartNumberingAfterBreak="0">
    <w:nsid w:val="313917B2"/>
    <w:multiLevelType w:val="multilevel"/>
    <w:tmpl w:val="3D7E5AD8"/>
    <w:lvl w:ilvl="0">
      <w:start w:val="1"/>
      <w:numFmt w:val="decimal"/>
      <w:pStyle w:val="TOC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42"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3" w15:restartNumberingAfterBreak="0">
    <w:nsid w:val="39007DF1"/>
    <w:multiLevelType w:val="hybridMultilevel"/>
    <w:tmpl w:val="94B6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5" w15:restartNumberingAfterBreak="0">
    <w:nsid w:val="404C7183"/>
    <w:multiLevelType w:val="hybridMultilevel"/>
    <w:tmpl w:val="F40047CE"/>
    <w:lvl w:ilvl="0" w:tplc="28B4080A">
      <w:start w:val="1"/>
      <w:numFmt w:val="bullet"/>
      <w:lvlText w:val="•"/>
      <w:lvlJc w:val="left"/>
      <w:pPr>
        <w:tabs>
          <w:tab w:val="num" w:pos="720"/>
        </w:tabs>
        <w:ind w:left="720" w:hanging="360"/>
      </w:pPr>
      <w:rPr>
        <w:rFonts w:ascii="Arial" w:hAnsi="Arial" w:hint="default"/>
      </w:rPr>
    </w:lvl>
    <w:lvl w:ilvl="1" w:tplc="E146F376" w:tentative="1">
      <w:start w:val="1"/>
      <w:numFmt w:val="bullet"/>
      <w:lvlText w:val="•"/>
      <w:lvlJc w:val="left"/>
      <w:pPr>
        <w:tabs>
          <w:tab w:val="num" w:pos="1440"/>
        </w:tabs>
        <w:ind w:left="1440" w:hanging="360"/>
      </w:pPr>
      <w:rPr>
        <w:rFonts w:ascii="Arial" w:hAnsi="Arial" w:hint="default"/>
      </w:rPr>
    </w:lvl>
    <w:lvl w:ilvl="2" w:tplc="871A71E6" w:tentative="1">
      <w:start w:val="1"/>
      <w:numFmt w:val="bullet"/>
      <w:lvlText w:val="•"/>
      <w:lvlJc w:val="left"/>
      <w:pPr>
        <w:tabs>
          <w:tab w:val="num" w:pos="2160"/>
        </w:tabs>
        <w:ind w:left="2160" w:hanging="360"/>
      </w:pPr>
      <w:rPr>
        <w:rFonts w:ascii="Arial" w:hAnsi="Arial" w:hint="default"/>
      </w:rPr>
    </w:lvl>
    <w:lvl w:ilvl="3" w:tplc="EF064C1A" w:tentative="1">
      <w:start w:val="1"/>
      <w:numFmt w:val="bullet"/>
      <w:lvlText w:val="•"/>
      <w:lvlJc w:val="left"/>
      <w:pPr>
        <w:tabs>
          <w:tab w:val="num" w:pos="2880"/>
        </w:tabs>
        <w:ind w:left="2880" w:hanging="360"/>
      </w:pPr>
      <w:rPr>
        <w:rFonts w:ascii="Arial" w:hAnsi="Arial" w:hint="default"/>
      </w:rPr>
    </w:lvl>
    <w:lvl w:ilvl="4" w:tplc="F528A316" w:tentative="1">
      <w:start w:val="1"/>
      <w:numFmt w:val="bullet"/>
      <w:lvlText w:val="•"/>
      <w:lvlJc w:val="left"/>
      <w:pPr>
        <w:tabs>
          <w:tab w:val="num" w:pos="3600"/>
        </w:tabs>
        <w:ind w:left="3600" w:hanging="360"/>
      </w:pPr>
      <w:rPr>
        <w:rFonts w:ascii="Arial" w:hAnsi="Arial" w:hint="default"/>
      </w:rPr>
    </w:lvl>
    <w:lvl w:ilvl="5" w:tplc="15466564" w:tentative="1">
      <w:start w:val="1"/>
      <w:numFmt w:val="bullet"/>
      <w:lvlText w:val="•"/>
      <w:lvlJc w:val="left"/>
      <w:pPr>
        <w:tabs>
          <w:tab w:val="num" w:pos="4320"/>
        </w:tabs>
        <w:ind w:left="4320" w:hanging="360"/>
      </w:pPr>
      <w:rPr>
        <w:rFonts w:ascii="Arial" w:hAnsi="Arial" w:hint="default"/>
      </w:rPr>
    </w:lvl>
    <w:lvl w:ilvl="6" w:tplc="40A0923E" w:tentative="1">
      <w:start w:val="1"/>
      <w:numFmt w:val="bullet"/>
      <w:lvlText w:val="•"/>
      <w:lvlJc w:val="left"/>
      <w:pPr>
        <w:tabs>
          <w:tab w:val="num" w:pos="5040"/>
        </w:tabs>
        <w:ind w:left="5040" w:hanging="360"/>
      </w:pPr>
      <w:rPr>
        <w:rFonts w:ascii="Arial" w:hAnsi="Arial" w:hint="default"/>
      </w:rPr>
    </w:lvl>
    <w:lvl w:ilvl="7" w:tplc="E6A49F5A" w:tentative="1">
      <w:start w:val="1"/>
      <w:numFmt w:val="bullet"/>
      <w:lvlText w:val="•"/>
      <w:lvlJc w:val="left"/>
      <w:pPr>
        <w:tabs>
          <w:tab w:val="num" w:pos="5760"/>
        </w:tabs>
        <w:ind w:left="5760" w:hanging="360"/>
      </w:pPr>
      <w:rPr>
        <w:rFonts w:ascii="Arial" w:hAnsi="Arial" w:hint="default"/>
      </w:rPr>
    </w:lvl>
    <w:lvl w:ilvl="8" w:tplc="AD9E18B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07F7A8A"/>
    <w:multiLevelType w:val="multilevel"/>
    <w:tmpl w:val="CDF0E434"/>
    <w:lvl w:ilvl="0">
      <w:start w:val="1"/>
      <w:numFmt w:val="decimal"/>
      <w:lvlText w:val="%1."/>
      <w:lvlJc w:val="left"/>
      <w:pPr>
        <w:tabs>
          <w:tab w:val="num" w:pos="782"/>
        </w:tabs>
        <w:ind w:left="782" w:hanging="782"/>
      </w:pPr>
      <w:rPr>
        <w:b w:val="0"/>
        <w:bCs w:val="0"/>
        <w:i w:val="0"/>
        <w:iCs w:val="0"/>
        <w:color w:val="auto"/>
        <w:sz w:val="20"/>
        <w:szCs w:val="24"/>
      </w:rPr>
    </w:lvl>
    <w:lvl w:ilvl="1">
      <w:start w:val="1"/>
      <w:numFmt w:val="decimal"/>
      <w:pStyle w:val="AltSH2Ashurst"/>
      <w:lvlText w:val="%1.%2"/>
      <w:lvlJc w:val="left"/>
      <w:pPr>
        <w:tabs>
          <w:tab w:val="num" w:pos="782"/>
        </w:tabs>
        <w:ind w:left="782" w:hanging="782"/>
      </w:pPr>
      <w:rPr>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Theme="minorBidi" w:eastAsiaTheme="minorEastAsia" w:hAnsiTheme="minorBidi" w:cstheme="minorBidi"/>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47" w15:restartNumberingAfterBreak="0">
    <w:nsid w:val="410E7BB4"/>
    <w:multiLevelType w:val="hybridMultilevel"/>
    <w:tmpl w:val="00B0AA72"/>
    <w:name w:val="TOC 3"/>
    <w:lvl w:ilvl="0" w:tplc="13D4F8B8">
      <w:start w:val="1"/>
      <w:numFmt w:val="decimal"/>
      <w:lvlText w:val="%1."/>
      <w:lvlJc w:val="left"/>
      <w:pPr>
        <w:ind w:left="786" w:hanging="360"/>
      </w:pPr>
      <w:rPr>
        <w:color w:val="auto"/>
        <w:sz w:val="20"/>
        <w:szCs w:val="24"/>
      </w:rPr>
    </w:lvl>
    <w:lvl w:ilvl="1" w:tplc="3ECEE394" w:tentative="1">
      <w:start w:val="1"/>
      <w:numFmt w:val="lowerLetter"/>
      <w:lvlText w:val="%2."/>
      <w:lvlJc w:val="left"/>
      <w:pPr>
        <w:ind w:left="1506" w:hanging="360"/>
      </w:pPr>
      <w:rPr>
        <w:color w:val="auto"/>
      </w:rPr>
    </w:lvl>
    <w:lvl w:ilvl="2" w:tplc="3A74DCBA" w:tentative="1">
      <w:start w:val="1"/>
      <w:numFmt w:val="lowerRoman"/>
      <w:lvlText w:val="%3."/>
      <w:lvlJc w:val="right"/>
      <w:pPr>
        <w:ind w:left="2226" w:hanging="180"/>
      </w:pPr>
      <w:rPr>
        <w:color w:val="auto"/>
      </w:rPr>
    </w:lvl>
    <w:lvl w:ilvl="3" w:tplc="523AD14E" w:tentative="1">
      <w:start w:val="1"/>
      <w:numFmt w:val="decimal"/>
      <w:lvlText w:val="%4."/>
      <w:lvlJc w:val="left"/>
      <w:pPr>
        <w:ind w:left="2946" w:hanging="360"/>
      </w:pPr>
      <w:rPr>
        <w:color w:val="auto"/>
      </w:rPr>
    </w:lvl>
    <w:lvl w:ilvl="4" w:tplc="5BD20C1C" w:tentative="1">
      <w:start w:val="1"/>
      <w:numFmt w:val="lowerLetter"/>
      <w:lvlText w:val="%5."/>
      <w:lvlJc w:val="left"/>
      <w:pPr>
        <w:ind w:left="3666" w:hanging="360"/>
      </w:pPr>
      <w:rPr>
        <w:color w:val="auto"/>
      </w:rPr>
    </w:lvl>
    <w:lvl w:ilvl="5" w:tplc="D8BC3C1C" w:tentative="1">
      <w:start w:val="1"/>
      <w:numFmt w:val="lowerRoman"/>
      <w:lvlText w:val="%6."/>
      <w:lvlJc w:val="right"/>
      <w:pPr>
        <w:ind w:left="4386" w:hanging="180"/>
      </w:pPr>
      <w:rPr>
        <w:color w:val="auto"/>
      </w:rPr>
    </w:lvl>
    <w:lvl w:ilvl="6" w:tplc="79EE2406" w:tentative="1">
      <w:start w:val="1"/>
      <w:numFmt w:val="decimal"/>
      <w:lvlText w:val="%7."/>
      <w:lvlJc w:val="left"/>
      <w:pPr>
        <w:ind w:left="5106" w:hanging="360"/>
      </w:pPr>
      <w:rPr>
        <w:color w:val="auto"/>
      </w:rPr>
    </w:lvl>
    <w:lvl w:ilvl="7" w:tplc="4CF0100A" w:tentative="1">
      <w:start w:val="1"/>
      <w:numFmt w:val="lowerLetter"/>
      <w:lvlText w:val="%8."/>
      <w:lvlJc w:val="left"/>
      <w:pPr>
        <w:ind w:left="5826" w:hanging="360"/>
      </w:pPr>
      <w:rPr>
        <w:color w:val="auto"/>
      </w:rPr>
    </w:lvl>
    <w:lvl w:ilvl="8" w:tplc="9E50FE86" w:tentative="1">
      <w:start w:val="1"/>
      <w:numFmt w:val="lowerRoman"/>
      <w:lvlText w:val="%9."/>
      <w:lvlJc w:val="right"/>
      <w:pPr>
        <w:ind w:left="6546" w:hanging="180"/>
      </w:pPr>
      <w:rPr>
        <w:color w:val="auto"/>
      </w:rPr>
    </w:lvl>
  </w:abstractNum>
  <w:abstractNum w:abstractNumId="48"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9" w15:restartNumberingAfterBreak="0">
    <w:nsid w:val="41F80F69"/>
    <w:multiLevelType w:val="multilevel"/>
    <w:tmpl w:val="45B0FEE4"/>
    <w:name w:val="Annexure#2"/>
    <w:numStyleLink w:val="OutlineSchedule"/>
  </w:abstractNum>
  <w:abstractNum w:abstractNumId="50" w15:restartNumberingAfterBreak="0">
    <w:nsid w:val="42C65A29"/>
    <w:multiLevelType w:val="hybridMultilevel"/>
    <w:tmpl w:val="2632C3E2"/>
    <w:lvl w:ilvl="0" w:tplc="70A4D7C2">
      <w:start w:val="1"/>
      <w:numFmt w:val="bullet"/>
      <w:lvlText w:val="•"/>
      <w:lvlJc w:val="left"/>
      <w:pPr>
        <w:tabs>
          <w:tab w:val="num" w:pos="720"/>
        </w:tabs>
        <w:ind w:left="720" w:hanging="360"/>
      </w:pPr>
      <w:rPr>
        <w:rFonts w:ascii="Arial" w:hAnsi="Arial" w:hint="default"/>
      </w:rPr>
    </w:lvl>
    <w:lvl w:ilvl="1" w:tplc="CCCAD5A8" w:tentative="1">
      <w:start w:val="1"/>
      <w:numFmt w:val="bullet"/>
      <w:lvlText w:val="•"/>
      <w:lvlJc w:val="left"/>
      <w:pPr>
        <w:tabs>
          <w:tab w:val="num" w:pos="1440"/>
        </w:tabs>
        <w:ind w:left="1440" w:hanging="360"/>
      </w:pPr>
      <w:rPr>
        <w:rFonts w:ascii="Arial" w:hAnsi="Arial" w:hint="default"/>
      </w:rPr>
    </w:lvl>
    <w:lvl w:ilvl="2" w:tplc="062E54CE" w:tentative="1">
      <w:start w:val="1"/>
      <w:numFmt w:val="bullet"/>
      <w:lvlText w:val="•"/>
      <w:lvlJc w:val="left"/>
      <w:pPr>
        <w:tabs>
          <w:tab w:val="num" w:pos="2160"/>
        </w:tabs>
        <w:ind w:left="2160" w:hanging="360"/>
      </w:pPr>
      <w:rPr>
        <w:rFonts w:ascii="Arial" w:hAnsi="Arial" w:hint="default"/>
      </w:rPr>
    </w:lvl>
    <w:lvl w:ilvl="3" w:tplc="DE4CBE44" w:tentative="1">
      <w:start w:val="1"/>
      <w:numFmt w:val="bullet"/>
      <w:lvlText w:val="•"/>
      <w:lvlJc w:val="left"/>
      <w:pPr>
        <w:tabs>
          <w:tab w:val="num" w:pos="2880"/>
        </w:tabs>
        <w:ind w:left="2880" w:hanging="360"/>
      </w:pPr>
      <w:rPr>
        <w:rFonts w:ascii="Arial" w:hAnsi="Arial" w:hint="default"/>
      </w:rPr>
    </w:lvl>
    <w:lvl w:ilvl="4" w:tplc="C0C03E5E" w:tentative="1">
      <w:start w:val="1"/>
      <w:numFmt w:val="bullet"/>
      <w:lvlText w:val="•"/>
      <w:lvlJc w:val="left"/>
      <w:pPr>
        <w:tabs>
          <w:tab w:val="num" w:pos="3600"/>
        </w:tabs>
        <w:ind w:left="3600" w:hanging="360"/>
      </w:pPr>
      <w:rPr>
        <w:rFonts w:ascii="Arial" w:hAnsi="Arial" w:hint="default"/>
      </w:rPr>
    </w:lvl>
    <w:lvl w:ilvl="5" w:tplc="EDA460CA" w:tentative="1">
      <w:start w:val="1"/>
      <w:numFmt w:val="bullet"/>
      <w:lvlText w:val="•"/>
      <w:lvlJc w:val="left"/>
      <w:pPr>
        <w:tabs>
          <w:tab w:val="num" w:pos="4320"/>
        </w:tabs>
        <w:ind w:left="4320" w:hanging="360"/>
      </w:pPr>
      <w:rPr>
        <w:rFonts w:ascii="Arial" w:hAnsi="Arial" w:hint="default"/>
      </w:rPr>
    </w:lvl>
    <w:lvl w:ilvl="6" w:tplc="90220130" w:tentative="1">
      <w:start w:val="1"/>
      <w:numFmt w:val="bullet"/>
      <w:lvlText w:val="•"/>
      <w:lvlJc w:val="left"/>
      <w:pPr>
        <w:tabs>
          <w:tab w:val="num" w:pos="5040"/>
        </w:tabs>
        <w:ind w:left="5040" w:hanging="360"/>
      </w:pPr>
      <w:rPr>
        <w:rFonts w:ascii="Arial" w:hAnsi="Arial" w:hint="default"/>
      </w:rPr>
    </w:lvl>
    <w:lvl w:ilvl="7" w:tplc="0A4C651E" w:tentative="1">
      <w:start w:val="1"/>
      <w:numFmt w:val="bullet"/>
      <w:lvlText w:val="•"/>
      <w:lvlJc w:val="left"/>
      <w:pPr>
        <w:tabs>
          <w:tab w:val="num" w:pos="5760"/>
        </w:tabs>
        <w:ind w:left="5760" w:hanging="360"/>
      </w:pPr>
      <w:rPr>
        <w:rFonts w:ascii="Arial" w:hAnsi="Arial" w:hint="default"/>
      </w:rPr>
    </w:lvl>
    <w:lvl w:ilvl="8" w:tplc="B42EF1C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7733EA5"/>
    <w:multiLevelType w:val="multilevel"/>
    <w:tmpl w:val="0FC8D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194A31"/>
    <w:multiLevelType w:val="hybridMultilevel"/>
    <w:tmpl w:val="F6F6DBB8"/>
    <w:lvl w:ilvl="0" w:tplc="D310C3F0">
      <w:start w:val="1"/>
      <w:numFmt w:val="bullet"/>
      <w:lvlText w:val="•"/>
      <w:lvlJc w:val="left"/>
      <w:pPr>
        <w:tabs>
          <w:tab w:val="num" w:pos="720"/>
        </w:tabs>
        <w:ind w:left="720" w:hanging="360"/>
      </w:pPr>
      <w:rPr>
        <w:rFonts w:ascii="Arial" w:hAnsi="Arial" w:hint="default"/>
      </w:rPr>
    </w:lvl>
    <w:lvl w:ilvl="1" w:tplc="64381FB6" w:tentative="1">
      <w:start w:val="1"/>
      <w:numFmt w:val="bullet"/>
      <w:lvlText w:val="•"/>
      <w:lvlJc w:val="left"/>
      <w:pPr>
        <w:tabs>
          <w:tab w:val="num" w:pos="1440"/>
        </w:tabs>
        <w:ind w:left="1440" w:hanging="360"/>
      </w:pPr>
      <w:rPr>
        <w:rFonts w:ascii="Arial" w:hAnsi="Arial" w:hint="default"/>
      </w:rPr>
    </w:lvl>
    <w:lvl w:ilvl="2" w:tplc="EFC85982" w:tentative="1">
      <w:start w:val="1"/>
      <w:numFmt w:val="bullet"/>
      <w:lvlText w:val="•"/>
      <w:lvlJc w:val="left"/>
      <w:pPr>
        <w:tabs>
          <w:tab w:val="num" w:pos="2160"/>
        </w:tabs>
        <w:ind w:left="2160" w:hanging="360"/>
      </w:pPr>
      <w:rPr>
        <w:rFonts w:ascii="Arial" w:hAnsi="Arial" w:hint="default"/>
      </w:rPr>
    </w:lvl>
    <w:lvl w:ilvl="3" w:tplc="64741B86" w:tentative="1">
      <w:start w:val="1"/>
      <w:numFmt w:val="bullet"/>
      <w:lvlText w:val="•"/>
      <w:lvlJc w:val="left"/>
      <w:pPr>
        <w:tabs>
          <w:tab w:val="num" w:pos="2880"/>
        </w:tabs>
        <w:ind w:left="2880" w:hanging="360"/>
      </w:pPr>
      <w:rPr>
        <w:rFonts w:ascii="Arial" w:hAnsi="Arial" w:hint="default"/>
      </w:rPr>
    </w:lvl>
    <w:lvl w:ilvl="4" w:tplc="53E6313C" w:tentative="1">
      <w:start w:val="1"/>
      <w:numFmt w:val="bullet"/>
      <w:lvlText w:val="•"/>
      <w:lvlJc w:val="left"/>
      <w:pPr>
        <w:tabs>
          <w:tab w:val="num" w:pos="3600"/>
        </w:tabs>
        <w:ind w:left="3600" w:hanging="360"/>
      </w:pPr>
      <w:rPr>
        <w:rFonts w:ascii="Arial" w:hAnsi="Arial" w:hint="default"/>
      </w:rPr>
    </w:lvl>
    <w:lvl w:ilvl="5" w:tplc="2F02DB54" w:tentative="1">
      <w:start w:val="1"/>
      <w:numFmt w:val="bullet"/>
      <w:lvlText w:val="•"/>
      <w:lvlJc w:val="left"/>
      <w:pPr>
        <w:tabs>
          <w:tab w:val="num" w:pos="4320"/>
        </w:tabs>
        <w:ind w:left="4320" w:hanging="360"/>
      </w:pPr>
      <w:rPr>
        <w:rFonts w:ascii="Arial" w:hAnsi="Arial" w:hint="default"/>
      </w:rPr>
    </w:lvl>
    <w:lvl w:ilvl="6" w:tplc="DFF2E140" w:tentative="1">
      <w:start w:val="1"/>
      <w:numFmt w:val="bullet"/>
      <w:lvlText w:val="•"/>
      <w:lvlJc w:val="left"/>
      <w:pPr>
        <w:tabs>
          <w:tab w:val="num" w:pos="5040"/>
        </w:tabs>
        <w:ind w:left="5040" w:hanging="360"/>
      </w:pPr>
      <w:rPr>
        <w:rFonts w:ascii="Arial" w:hAnsi="Arial" w:hint="default"/>
      </w:rPr>
    </w:lvl>
    <w:lvl w:ilvl="7" w:tplc="0CBC043A" w:tentative="1">
      <w:start w:val="1"/>
      <w:numFmt w:val="bullet"/>
      <w:lvlText w:val="•"/>
      <w:lvlJc w:val="left"/>
      <w:pPr>
        <w:tabs>
          <w:tab w:val="num" w:pos="5760"/>
        </w:tabs>
        <w:ind w:left="5760" w:hanging="360"/>
      </w:pPr>
      <w:rPr>
        <w:rFonts w:ascii="Arial" w:hAnsi="Arial" w:hint="default"/>
      </w:rPr>
    </w:lvl>
    <w:lvl w:ilvl="8" w:tplc="672C910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ED1674E"/>
    <w:multiLevelType w:val="multilevel"/>
    <w:tmpl w:val="ACA6FE20"/>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4" w15:restartNumberingAfterBreak="0">
    <w:nsid w:val="4F4B3ADF"/>
    <w:multiLevelType w:val="multilevel"/>
    <w:tmpl w:val="D6761CFE"/>
    <w:lvl w:ilvl="0">
      <w:start w:val="1"/>
      <w:numFmt w:val="decimal"/>
      <w:pStyle w:val="H1Ashurst"/>
      <w:lvlText w:val="%1."/>
      <w:lvlJc w:val="left"/>
      <w:pPr>
        <w:ind w:left="782" w:hanging="782"/>
      </w:pPr>
      <w:rPr>
        <w:b w:val="0"/>
        <w:bCs w:val="0"/>
        <w:i w:val="0"/>
        <w:iCs w:val="0"/>
        <w:color w:val="auto"/>
        <w:sz w:val="20"/>
        <w:szCs w:val="24"/>
      </w:rPr>
    </w:lvl>
    <w:lvl w:ilvl="1">
      <w:start w:val="1"/>
      <w:numFmt w:val="decimal"/>
      <w:pStyle w:val="H2Ashurst"/>
      <w:lvlText w:val="%1.%2."/>
      <w:lvlJc w:val="left"/>
      <w:pPr>
        <w:tabs>
          <w:tab w:val="num" w:pos="782"/>
        </w:tabs>
        <w:ind w:left="782" w:hanging="782"/>
      </w:pPr>
      <w:rPr>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3Ashurst"/>
      <w:lvlText w:val="%1.%2.%3."/>
      <w:lvlJc w:val="left"/>
      <w:pPr>
        <w:tabs>
          <w:tab w:val="num" w:pos="1475"/>
        </w:tabs>
        <w:ind w:left="1475" w:hanging="624"/>
      </w:pPr>
      <w:rPr>
        <w:b w:val="0"/>
        <w:bCs w:val="0"/>
        <w:i w:val="0"/>
        <w:iCs w:val="0"/>
        <w:color w:val="auto"/>
        <w:sz w:val="20"/>
        <w:szCs w:val="20"/>
      </w:rPr>
    </w:lvl>
    <w:lvl w:ilvl="3">
      <w:start w:val="1"/>
      <w:numFmt w:val="decimal"/>
      <w:pStyle w:val="H4Ashurst"/>
      <w:lvlText w:val="%1.%2.%3.%4."/>
      <w:lvlJc w:val="left"/>
      <w:pPr>
        <w:tabs>
          <w:tab w:val="num" w:pos="2030"/>
        </w:tabs>
        <w:ind w:left="2030" w:hanging="624"/>
      </w:pPr>
      <w:rPr>
        <w:b w:val="0"/>
        <w:bCs w:val="0"/>
        <w:i w:val="0"/>
        <w:iCs w:val="0"/>
        <w:color w:val="auto"/>
        <w:sz w:val="20"/>
        <w:szCs w:val="24"/>
      </w:rPr>
    </w:lvl>
    <w:lvl w:ilvl="4">
      <w:start w:val="1"/>
      <w:numFmt w:val="decimal"/>
      <w:pStyle w:val="H5Ashurst"/>
      <w:lvlText w:val="%1.%2.%3.%4.%5."/>
      <w:lvlJc w:val="left"/>
      <w:pPr>
        <w:tabs>
          <w:tab w:val="num" w:pos="2653"/>
        </w:tabs>
        <w:ind w:left="2653" w:hanging="623"/>
      </w:pPr>
      <w:rPr>
        <w:b w:val="0"/>
        <w:bCs w:val="0"/>
        <w:i w:val="0"/>
        <w:iCs w:val="0"/>
        <w:color w:val="auto"/>
        <w:sz w:val="20"/>
        <w:szCs w:val="24"/>
      </w:rPr>
    </w:lvl>
    <w:lvl w:ilvl="5">
      <w:start w:val="1"/>
      <w:numFmt w:val="decimal"/>
      <w:pStyle w:val="H6Ashurst"/>
      <w:lvlText w:val="%1.%2.%3.%4.%5.%6."/>
      <w:lvlJc w:val="left"/>
      <w:pPr>
        <w:tabs>
          <w:tab w:val="num" w:pos="3277"/>
        </w:tabs>
        <w:ind w:left="3277" w:hanging="624"/>
      </w:pPr>
      <w:rPr>
        <w:b w:val="0"/>
        <w:bCs w:val="0"/>
        <w:i w:val="0"/>
        <w:iCs w:val="0"/>
        <w:color w:val="auto"/>
        <w:sz w:val="20"/>
        <w:szCs w:val="24"/>
      </w:rPr>
    </w:lvl>
    <w:lvl w:ilvl="6">
      <w:start w:val="1"/>
      <w:numFmt w:val="decimal"/>
      <w:pStyle w:val="H7Ashurst"/>
      <w:lvlText w:val="%1.%2.%3.%4.%5.%6.%7."/>
      <w:lvlJc w:val="left"/>
      <w:pPr>
        <w:tabs>
          <w:tab w:val="num" w:pos="3901"/>
        </w:tabs>
        <w:ind w:left="3901" w:hanging="624"/>
      </w:pPr>
      <w:rPr>
        <w:b w:val="0"/>
        <w:bCs w:val="0"/>
        <w:i w:val="0"/>
        <w:iCs w:val="0"/>
        <w:color w:val="auto"/>
        <w:sz w:val="20"/>
        <w:szCs w:val="24"/>
        <w:u w:color="404040"/>
      </w:rPr>
    </w:lvl>
    <w:lvl w:ilvl="7">
      <w:start w:val="1"/>
      <w:numFmt w:val="decimal"/>
      <w:pStyle w:val="H8Ashurst"/>
      <w:lvlText w:val="%1.%2.%3.%4.%5.%6.%7.%8."/>
      <w:lvlJc w:val="left"/>
      <w:pPr>
        <w:tabs>
          <w:tab w:val="num" w:pos="4525"/>
        </w:tabs>
        <w:ind w:left="4525" w:hanging="624"/>
      </w:pPr>
      <w:rPr>
        <w:b w:val="0"/>
        <w:bCs w:val="0"/>
        <w:i w:val="0"/>
        <w:iCs w:val="0"/>
        <w:color w:val="auto"/>
        <w:sz w:val="20"/>
        <w:szCs w:val="24"/>
      </w:rPr>
    </w:lvl>
    <w:lvl w:ilvl="8">
      <w:start w:val="1"/>
      <w:numFmt w:val="decimal"/>
      <w:lvlText w:val="%1.%2.%3.%4.%5.%6.%7.%8.%9."/>
      <w:lvlJc w:val="left"/>
      <w:pPr>
        <w:tabs>
          <w:tab w:val="num" w:pos="0"/>
        </w:tabs>
        <w:ind w:left="0" w:firstLine="0"/>
      </w:pPr>
      <w:rPr>
        <w:color w:val="auto"/>
      </w:rPr>
    </w:lvl>
  </w:abstractNum>
  <w:abstractNum w:abstractNumId="55" w15:restartNumberingAfterBreak="0">
    <w:nsid w:val="50B91654"/>
    <w:multiLevelType w:val="hybridMultilevel"/>
    <w:tmpl w:val="83280E56"/>
    <w:lvl w:ilvl="0" w:tplc="59602714">
      <w:start w:val="1"/>
      <w:numFmt w:val="bullet"/>
      <w:lvlText w:val="•"/>
      <w:lvlJc w:val="left"/>
      <w:pPr>
        <w:tabs>
          <w:tab w:val="num" w:pos="720"/>
        </w:tabs>
        <w:ind w:left="720" w:hanging="360"/>
      </w:pPr>
      <w:rPr>
        <w:rFonts w:ascii="Arial" w:hAnsi="Arial" w:hint="default"/>
      </w:rPr>
    </w:lvl>
    <w:lvl w:ilvl="1" w:tplc="7182223E" w:tentative="1">
      <w:start w:val="1"/>
      <w:numFmt w:val="bullet"/>
      <w:lvlText w:val="•"/>
      <w:lvlJc w:val="left"/>
      <w:pPr>
        <w:tabs>
          <w:tab w:val="num" w:pos="1440"/>
        </w:tabs>
        <w:ind w:left="1440" w:hanging="360"/>
      </w:pPr>
      <w:rPr>
        <w:rFonts w:ascii="Arial" w:hAnsi="Arial" w:hint="default"/>
      </w:rPr>
    </w:lvl>
    <w:lvl w:ilvl="2" w:tplc="29C23D32" w:tentative="1">
      <w:start w:val="1"/>
      <w:numFmt w:val="bullet"/>
      <w:lvlText w:val="•"/>
      <w:lvlJc w:val="left"/>
      <w:pPr>
        <w:tabs>
          <w:tab w:val="num" w:pos="2160"/>
        </w:tabs>
        <w:ind w:left="2160" w:hanging="360"/>
      </w:pPr>
      <w:rPr>
        <w:rFonts w:ascii="Arial" w:hAnsi="Arial" w:hint="default"/>
      </w:rPr>
    </w:lvl>
    <w:lvl w:ilvl="3" w:tplc="22B022CA" w:tentative="1">
      <w:start w:val="1"/>
      <w:numFmt w:val="bullet"/>
      <w:lvlText w:val="•"/>
      <w:lvlJc w:val="left"/>
      <w:pPr>
        <w:tabs>
          <w:tab w:val="num" w:pos="2880"/>
        </w:tabs>
        <w:ind w:left="2880" w:hanging="360"/>
      </w:pPr>
      <w:rPr>
        <w:rFonts w:ascii="Arial" w:hAnsi="Arial" w:hint="default"/>
      </w:rPr>
    </w:lvl>
    <w:lvl w:ilvl="4" w:tplc="EAB6003A" w:tentative="1">
      <w:start w:val="1"/>
      <w:numFmt w:val="bullet"/>
      <w:lvlText w:val="•"/>
      <w:lvlJc w:val="left"/>
      <w:pPr>
        <w:tabs>
          <w:tab w:val="num" w:pos="3600"/>
        </w:tabs>
        <w:ind w:left="3600" w:hanging="360"/>
      </w:pPr>
      <w:rPr>
        <w:rFonts w:ascii="Arial" w:hAnsi="Arial" w:hint="default"/>
      </w:rPr>
    </w:lvl>
    <w:lvl w:ilvl="5" w:tplc="2CE60070" w:tentative="1">
      <w:start w:val="1"/>
      <w:numFmt w:val="bullet"/>
      <w:lvlText w:val="•"/>
      <w:lvlJc w:val="left"/>
      <w:pPr>
        <w:tabs>
          <w:tab w:val="num" w:pos="4320"/>
        </w:tabs>
        <w:ind w:left="4320" w:hanging="360"/>
      </w:pPr>
      <w:rPr>
        <w:rFonts w:ascii="Arial" w:hAnsi="Arial" w:hint="default"/>
      </w:rPr>
    </w:lvl>
    <w:lvl w:ilvl="6" w:tplc="30D81C82" w:tentative="1">
      <w:start w:val="1"/>
      <w:numFmt w:val="bullet"/>
      <w:lvlText w:val="•"/>
      <w:lvlJc w:val="left"/>
      <w:pPr>
        <w:tabs>
          <w:tab w:val="num" w:pos="5040"/>
        </w:tabs>
        <w:ind w:left="5040" w:hanging="360"/>
      </w:pPr>
      <w:rPr>
        <w:rFonts w:ascii="Arial" w:hAnsi="Arial" w:hint="default"/>
      </w:rPr>
    </w:lvl>
    <w:lvl w:ilvl="7" w:tplc="E91C58E0" w:tentative="1">
      <w:start w:val="1"/>
      <w:numFmt w:val="bullet"/>
      <w:lvlText w:val="•"/>
      <w:lvlJc w:val="left"/>
      <w:pPr>
        <w:tabs>
          <w:tab w:val="num" w:pos="5760"/>
        </w:tabs>
        <w:ind w:left="5760" w:hanging="360"/>
      </w:pPr>
      <w:rPr>
        <w:rFonts w:ascii="Arial" w:hAnsi="Arial" w:hint="default"/>
      </w:rPr>
    </w:lvl>
    <w:lvl w:ilvl="8" w:tplc="065680D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7" w15:restartNumberingAfterBreak="0">
    <w:nsid w:val="55461AC1"/>
    <w:multiLevelType w:val="hybridMultilevel"/>
    <w:tmpl w:val="29F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6B772A"/>
    <w:multiLevelType w:val="hybridMultilevel"/>
    <w:tmpl w:val="9BE04E0C"/>
    <w:lvl w:ilvl="0" w:tplc="7E308E28">
      <w:start w:val="1"/>
      <w:numFmt w:val="bullet"/>
      <w:lvlText w:val="•"/>
      <w:lvlJc w:val="left"/>
      <w:pPr>
        <w:tabs>
          <w:tab w:val="num" w:pos="720"/>
        </w:tabs>
        <w:ind w:left="720" w:hanging="360"/>
      </w:pPr>
      <w:rPr>
        <w:rFonts w:ascii="Arial" w:hAnsi="Arial" w:hint="default"/>
      </w:rPr>
    </w:lvl>
    <w:lvl w:ilvl="1" w:tplc="02DE4526" w:tentative="1">
      <w:start w:val="1"/>
      <w:numFmt w:val="bullet"/>
      <w:lvlText w:val="•"/>
      <w:lvlJc w:val="left"/>
      <w:pPr>
        <w:tabs>
          <w:tab w:val="num" w:pos="1440"/>
        </w:tabs>
        <w:ind w:left="1440" w:hanging="360"/>
      </w:pPr>
      <w:rPr>
        <w:rFonts w:ascii="Arial" w:hAnsi="Arial" w:hint="default"/>
      </w:rPr>
    </w:lvl>
    <w:lvl w:ilvl="2" w:tplc="17F22598" w:tentative="1">
      <w:start w:val="1"/>
      <w:numFmt w:val="bullet"/>
      <w:lvlText w:val="•"/>
      <w:lvlJc w:val="left"/>
      <w:pPr>
        <w:tabs>
          <w:tab w:val="num" w:pos="2160"/>
        </w:tabs>
        <w:ind w:left="2160" w:hanging="360"/>
      </w:pPr>
      <w:rPr>
        <w:rFonts w:ascii="Arial" w:hAnsi="Arial" w:hint="default"/>
      </w:rPr>
    </w:lvl>
    <w:lvl w:ilvl="3" w:tplc="C1FEA6AE" w:tentative="1">
      <w:start w:val="1"/>
      <w:numFmt w:val="bullet"/>
      <w:lvlText w:val="•"/>
      <w:lvlJc w:val="left"/>
      <w:pPr>
        <w:tabs>
          <w:tab w:val="num" w:pos="2880"/>
        </w:tabs>
        <w:ind w:left="2880" w:hanging="360"/>
      </w:pPr>
      <w:rPr>
        <w:rFonts w:ascii="Arial" w:hAnsi="Arial" w:hint="default"/>
      </w:rPr>
    </w:lvl>
    <w:lvl w:ilvl="4" w:tplc="EDB8577A" w:tentative="1">
      <w:start w:val="1"/>
      <w:numFmt w:val="bullet"/>
      <w:lvlText w:val="•"/>
      <w:lvlJc w:val="left"/>
      <w:pPr>
        <w:tabs>
          <w:tab w:val="num" w:pos="3600"/>
        </w:tabs>
        <w:ind w:left="3600" w:hanging="360"/>
      </w:pPr>
      <w:rPr>
        <w:rFonts w:ascii="Arial" w:hAnsi="Arial" w:hint="default"/>
      </w:rPr>
    </w:lvl>
    <w:lvl w:ilvl="5" w:tplc="465A6BE4" w:tentative="1">
      <w:start w:val="1"/>
      <w:numFmt w:val="bullet"/>
      <w:lvlText w:val="•"/>
      <w:lvlJc w:val="left"/>
      <w:pPr>
        <w:tabs>
          <w:tab w:val="num" w:pos="4320"/>
        </w:tabs>
        <w:ind w:left="4320" w:hanging="360"/>
      </w:pPr>
      <w:rPr>
        <w:rFonts w:ascii="Arial" w:hAnsi="Arial" w:hint="default"/>
      </w:rPr>
    </w:lvl>
    <w:lvl w:ilvl="6" w:tplc="645465D0" w:tentative="1">
      <w:start w:val="1"/>
      <w:numFmt w:val="bullet"/>
      <w:lvlText w:val="•"/>
      <w:lvlJc w:val="left"/>
      <w:pPr>
        <w:tabs>
          <w:tab w:val="num" w:pos="5040"/>
        </w:tabs>
        <w:ind w:left="5040" w:hanging="360"/>
      </w:pPr>
      <w:rPr>
        <w:rFonts w:ascii="Arial" w:hAnsi="Arial" w:hint="default"/>
      </w:rPr>
    </w:lvl>
    <w:lvl w:ilvl="7" w:tplc="6A6E63DA" w:tentative="1">
      <w:start w:val="1"/>
      <w:numFmt w:val="bullet"/>
      <w:lvlText w:val="•"/>
      <w:lvlJc w:val="left"/>
      <w:pPr>
        <w:tabs>
          <w:tab w:val="num" w:pos="5760"/>
        </w:tabs>
        <w:ind w:left="5760" w:hanging="360"/>
      </w:pPr>
      <w:rPr>
        <w:rFonts w:ascii="Arial" w:hAnsi="Arial" w:hint="default"/>
      </w:rPr>
    </w:lvl>
    <w:lvl w:ilvl="8" w:tplc="21AAF3B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7C67C4B"/>
    <w:multiLevelType w:val="hybridMultilevel"/>
    <w:tmpl w:val="98580226"/>
    <w:name w:val="Bullet6Ashurst"/>
    <w:lvl w:ilvl="0" w:tplc="25A0EF62">
      <w:start w:val="1"/>
      <w:numFmt w:val="bullet"/>
      <w:lvlText w:val=""/>
      <w:lvlJc w:val="left"/>
      <w:pPr>
        <w:tabs>
          <w:tab w:val="num" w:pos="3901"/>
        </w:tabs>
        <w:ind w:left="3901" w:hanging="624"/>
      </w:pPr>
      <w:rPr>
        <w:rFonts w:ascii="Symbol" w:hAnsi="Symbol" w:hint="default"/>
        <w:b w:val="0"/>
        <w:i w:val="0"/>
        <w:color w:val="auto"/>
        <w:sz w:val="18"/>
        <w:szCs w:val="18"/>
      </w:rPr>
    </w:lvl>
    <w:lvl w:ilvl="1" w:tplc="1144B19A" w:tentative="1">
      <w:start w:val="1"/>
      <w:numFmt w:val="bullet"/>
      <w:lvlText w:val="o"/>
      <w:lvlJc w:val="left"/>
      <w:pPr>
        <w:tabs>
          <w:tab w:val="num" w:pos="1440"/>
        </w:tabs>
        <w:ind w:left="1440" w:hanging="360"/>
      </w:pPr>
      <w:rPr>
        <w:rFonts w:ascii="Courier New" w:hAnsi="Courier New" w:cs="Courier New" w:hint="default"/>
        <w:color w:val="auto"/>
      </w:rPr>
    </w:lvl>
    <w:lvl w:ilvl="2" w:tplc="D52CA3A0" w:tentative="1">
      <w:start w:val="1"/>
      <w:numFmt w:val="bullet"/>
      <w:lvlText w:val=""/>
      <w:lvlJc w:val="left"/>
      <w:pPr>
        <w:tabs>
          <w:tab w:val="num" w:pos="2160"/>
        </w:tabs>
        <w:ind w:left="2160" w:hanging="360"/>
      </w:pPr>
      <w:rPr>
        <w:rFonts w:ascii="Wingdings" w:hAnsi="Wingdings" w:hint="default"/>
        <w:color w:val="auto"/>
      </w:rPr>
    </w:lvl>
    <w:lvl w:ilvl="3" w:tplc="A0E018DE" w:tentative="1">
      <w:start w:val="1"/>
      <w:numFmt w:val="bullet"/>
      <w:lvlText w:val=""/>
      <w:lvlJc w:val="left"/>
      <w:pPr>
        <w:tabs>
          <w:tab w:val="num" w:pos="2880"/>
        </w:tabs>
        <w:ind w:left="2880" w:hanging="360"/>
      </w:pPr>
      <w:rPr>
        <w:rFonts w:ascii="Symbol" w:hAnsi="Symbol" w:hint="default"/>
        <w:color w:val="auto"/>
      </w:rPr>
    </w:lvl>
    <w:lvl w:ilvl="4" w:tplc="8006DFF2" w:tentative="1">
      <w:start w:val="1"/>
      <w:numFmt w:val="bullet"/>
      <w:lvlText w:val="o"/>
      <w:lvlJc w:val="left"/>
      <w:pPr>
        <w:tabs>
          <w:tab w:val="num" w:pos="3600"/>
        </w:tabs>
        <w:ind w:left="3600" w:hanging="360"/>
      </w:pPr>
      <w:rPr>
        <w:rFonts w:ascii="Courier New" w:hAnsi="Courier New" w:cs="Courier New" w:hint="default"/>
        <w:color w:val="auto"/>
      </w:rPr>
    </w:lvl>
    <w:lvl w:ilvl="5" w:tplc="FB489CBA" w:tentative="1">
      <w:start w:val="1"/>
      <w:numFmt w:val="bullet"/>
      <w:lvlText w:val=""/>
      <w:lvlJc w:val="left"/>
      <w:pPr>
        <w:tabs>
          <w:tab w:val="num" w:pos="4320"/>
        </w:tabs>
        <w:ind w:left="4320" w:hanging="360"/>
      </w:pPr>
      <w:rPr>
        <w:rFonts w:ascii="Wingdings" w:hAnsi="Wingdings" w:hint="default"/>
        <w:color w:val="auto"/>
      </w:rPr>
    </w:lvl>
    <w:lvl w:ilvl="6" w:tplc="FA66D2D8" w:tentative="1">
      <w:start w:val="1"/>
      <w:numFmt w:val="bullet"/>
      <w:lvlText w:val=""/>
      <w:lvlJc w:val="left"/>
      <w:pPr>
        <w:tabs>
          <w:tab w:val="num" w:pos="5040"/>
        </w:tabs>
        <w:ind w:left="5040" w:hanging="360"/>
      </w:pPr>
      <w:rPr>
        <w:rFonts w:ascii="Symbol" w:hAnsi="Symbol" w:hint="default"/>
        <w:color w:val="auto"/>
      </w:rPr>
    </w:lvl>
    <w:lvl w:ilvl="7" w:tplc="6450E3CC" w:tentative="1">
      <w:start w:val="1"/>
      <w:numFmt w:val="bullet"/>
      <w:lvlText w:val="o"/>
      <w:lvlJc w:val="left"/>
      <w:pPr>
        <w:tabs>
          <w:tab w:val="num" w:pos="5760"/>
        </w:tabs>
        <w:ind w:left="5760" w:hanging="360"/>
      </w:pPr>
      <w:rPr>
        <w:rFonts w:ascii="Courier New" w:hAnsi="Courier New" w:cs="Courier New" w:hint="default"/>
        <w:color w:val="auto"/>
      </w:rPr>
    </w:lvl>
    <w:lvl w:ilvl="8" w:tplc="9C6EABE0" w:tentative="1">
      <w:start w:val="1"/>
      <w:numFmt w:val="bullet"/>
      <w:lvlText w:val=""/>
      <w:lvlJc w:val="left"/>
      <w:pPr>
        <w:tabs>
          <w:tab w:val="num" w:pos="6480"/>
        </w:tabs>
        <w:ind w:left="6480" w:hanging="360"/>
      </w:pPr>
      <w:rPr>
        <w:rFonts w:ascii="Wingdings" w:hAnsi="Wingdings" w:hint="default"/>
        <w:color w:val="auto"/>
      </w:rPr>
    </w:lvl>
  </w:abstractNum>
  <w:abstractNum w:abstractNumId="60" w15:restartNumberingAfterBreak="0">
    <w:nsid w:val="58D77A9B"/>
    <w:multiLevelType w:val="hybridMultilevel"/>
    <w:tmpl w:val="7EECC614"/>
    <w:name w:val="WW8Num62"/>
    <w:lvl w:ilvl="0" w:tplc="DD4EA3B0">
      <w:start w:val="1"/>
      <w:numFmt w:val="lowerRoman"/>
      <w:lvlText w:val="(%1)"/>
      <w:lvlJc w:val="left"/>
      <w:pPr>
        <w:tabs>
          <w:tab w:val="num" w:pos="2030"/>
        </w:tabs>
        <w:ind w:left="2030" w:hanging="624"/>
      </w:pPr>
      <w:rPr>
        <w:rFonts w:hint="default"/>
        <w:b w:val="0"/>
        <w:i w:val="0"/>
        <w:color w:val="auto"/>
        <w:sz w:val="18"/>
        <w:szCs w:val="18"/>
      </w:rPr>
    </w:lvl>
    <w:lvl w:ilvl="1" w:tplc="270E991C" w:tentative="1">
      <w:start w:val="1"/>
      <w:numFmt w:val="lowerLetter"/>
      <w:lvlText w:val="%2."/>
      <w:lvlJc w:val="left"/>
      <w:pPr>
        <w:tabs>
          <w:tab w:val="num" w:pos="1440"/>
        </w:tabs>
        <w:ind w:left="1440" w:hanging="360"/>
      </w:pPr>
      <w:rPr>
        <w:color w:val="auto"/>
      </w:rPr>
    </w:lvl>
    <w:lvl w:ilvl="2" w:tplc="7048E2FA" w:tentative="1">
      <w:start w:val="1"/>
      <w:numFmt w:val="lowerRoman"/>
      <w:lvlText w:val="%3."/>
      <w:lvlJc w:val="right"/>
      <w:pPr>
        <w:tabs>
          <w:tab w:val="num" w:pos="2160"/>
        </w:tabs>
        <w:ind w:left="2160" w:hanging="180"/>
      </w:pPr>
      <w:rPr>
        <w:color w:val="auto"/>
      </w:rPr>
    </w:lvl>
    <w:lvl w:ilvl="3" w:tplc="2E16853A" w:tentative="1">
      <w:start w:val="1"/>
      <w:numFmt w:val="decimal"/>
      <w:lvlText w:val="%4."/>
      <w:lvlJc w:val="left"/>
      <w:pPr>
        <w:tabs>
          <w:tab w:val="num" w:pos="2880"/>
        </w:tabs>
        <w:ind w:left="2880" w:hanging="360"/>
      </w:pPr>
      <w:rPr>
        <w:color w:val="auto"/>
      </w:rPr>
    </w:lvl>
    <w:lvl w:ilvl="4" w:tplc="8D4E8E5C" w:tentative="1">
      <w:start w:val="1"/>
      <w:numFmt w:val="lowerLetter"/>
      <w:lvlText w:val="%5."/>
      <w:lvlJc w:val="left"/>
      <w:pPr>
        <w:tabs>
          <w:tab w:val="num" w:pos="3600"/>
        </w:tabs>
        <w:ind w:left="3600" w:hanging="360"/>
      </w:pPr>
      <w:rPr>
        <w:color w:val="auto"/>
      </w:rPr>
    </w:lvl>
    <w:lvl w:ilvl="5" w:tplc="E7BA66DC" w:tentative="1">
      <w:start w:val="1"/>
      <w:numFmt w:val="lowerRoman"/>
      <w:lvlText w:val="%6."/>
      <w:lvlJc w:val="right"/>
      <w:pPr>
        <w:tabs>
          <w:tab w:val="num" w:pos="4320"/>
        </w:tabs>
        <w:ind w:left="4320" w:hanging="180"/>
      </w:pPr>
      <w:rPr>
        <w:color w:val="auto"/>
      </w:rPr>
    </w:lvl>
    <w:lvl w:ilvl="6" w:tplc="9D2AF674" w:tentative="1">
      <w:start w:val="1"/>
      <w:numFmt w:val="decimal"/>
      <w:lvlText w:val="%7."/>
      <w:lvlJc w:val="left"/>
      <w:pPr>
        <w:tabs>
          <w:tab w:val="num" w:pos="5040"/>
        </w:tabs>
        <w:ind w:left="5040" w:hanging="360"/>
      </w:pPr>
      <w:rPr>
        <w:color w:val="auto"/>
      </w:rPr>
    </w:lvl>
    <w:lvl w:ilvl="7" w:tplc="753C0260" w:tentative="1">
      <w:start w:val="1"/>
      <w:numFmt w:val="lowerLetter"/>
      <w:lvlText w:val="%8."/>
      <w:lvlJc w:val="left"/>
      <w:pPr>
        <w:tabs>
          <w:tab w:val="num" w:pos="5760"/>
        </w:tabs>
        <w:ind w:left="5760" w:hanging="360"/>
      </w:pPr>
      <w:rPr>
        <w:color w:val="auto"/>
      </w:rPr>
    </w:lvl>
    <w:lvl w:ilvl="8" w:tplc="58120B0A" w:tentative="1">
      <w:start w:val="1"/>
      <w:numFmt w:val="lowerRoman"/>
      <w:lvlText w:val="%9."/>
      <w:lvlJc w:val="right"/>
      <w:pPr>
        <w:tabs>
          <w:tab w:val="num" w:pos="6480"/>
        </w:tabs>
        <w:ind w:left="6480" w:hanging="180"/>
      </w:pPr>
      <w:rPr>
        <w:color w:val="auto"/>
      </w:rPr>
    </w:lvl>
  </w:abstractNum>
  <w:abstractNum w:abstractNumId="61"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2" w15:restartNumberingAfterBreak="0">
    <w:nsid w:val="593047D9"/>
    <w:multiLevelType w:val="multilevel"/>
    <w:tmpl w:val="D662114C"/>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7"/>
      <w:numFmt w:val="bullet"/>
      <w:pStyle w:val="Bullet1Ashurst"/>
      <w:lvlText w:val="-"/>
      <w:lvlJc w:val="left"/>
      <w:pPr>
        <w:ind w:left="502" w:hanging="360"/>
      </w:pPr>
      <w:rPr>
        <w:rFonts w:ascii="Arial" w:eastAsiaTheme="minorEastAsia" w:hAnsi="Arial" w:cs="Arial" w:hint="default"/>
      </w:rPr>
    </w:lvl>
    <w:lvl w:ilvl="2">
      <w:start w:val="1"/>
      <w:numFmt w:val="bullet"/>
      <w:pStyle w:val="Bullet2Ashurst"/>
      <w:lvlText w:val="o"/>
      <w:lvlJc w:val="left"/>
      <w:pPr>
        <w:ind w:left="1142" w:hanging="360"/>
      </w:pPr>
      <w:rPr>
        <w:rFonts w:ascii="Courier New" w:hAnsi="Courier New" w:cs="Courier New" w:hint="default"/>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63"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4" w15:restartNumberingAfterBreak="0">
    <w:nsid w:val="5C6304E8"/>
    <w:multiLevelType w:val="multilevel"/>
    <w:tmpl w:val="6C12878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D112637"/>
    <w:multiLevelType w:val="multilevel"/>
    <w:tmpl w:val="E79A8EBE"/>
    <w:lvl w:ilvl="0">
      <w:start w:val="1"/>
      <w:numFmt w:val="decimal"/>
      <w:pStyle w:val="KH1Ashurst"/>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7" w15:restartNumberingAfterBreak="0">
    <w:nsid w:val="5DDB6BCC"/>
    <w:multiLevelType w:val="multilevel"/>
    <w:tmpl w:val="330CDF34"/>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2"/>
        <w:szCs w:val="32"/>
      </w:rPr>
    </w:lvl>
    <w:lvl w:ilvl="2">
      <w:start w:val="1"/>
      <w:numFmt w:val="lowerLetter"/>
      <w:pStyle w:val="TableNum3"/>
      <w:lvlText w:val="%3)"/>
      <w:lvlJc w:val="left"/>
      <w:pPr>
        <w:ind w:left="785" w:hanging="360"/>
      </w:p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68"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6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FAD28BC"/>
    <w:multiLevelType w:val="hybridMultilevel"/>
    <w:tmpl w:val="E13A2B18"/>
    <w:lvl w:ilvl="0" w:tplc="811EE780">
      <w:start w:val="1"/>
      <w:numFmt w:val="bullet"/>
      <w:lvlText w:val="•"/>
      <w:lvlJc w:val="left"/>
      <w:pPr>
        <w:tabs>
          <w:tab w:val="num" w:pos="720"/>
        </w:tabs>
        <w:ind w:left="720" w:hanging="360"/>
      </w:pPr>
      <w:rPr>
        <w:rFonts w:ascii="Arial" w:hAnsi="Arial" w:hint="default"/>
      </w:rPr>
    </w:lvl>
    <w:lvl w:ilvl="1" w:tplc="C136D54C" w:tentative="1">
      <w:start w:val="1"/>
      <w:numFmt w:val="bullet"/>
      <w:lvlText w:val="•"/>
      <w:lvlJc w:val="left"/>
      <w:pPr>
        <w:tabs>
          <w:tab w:val="num" w:pos="1440"/>
        </w:tabs>
        <w:ind w:left="1440" w:hanging="360"/>
      </w:pPr>
      <w:rPr>
        <w:rFonts w:ascii="Arial" w:hAnsi="Arial" w:hint="default"/>
      </w:rPr>
    </w:lvl>
    <w:lvl w:ilvl="2" w:tplc="70FAB700" w:tentative="1">
      <w:start w:val="1"/>
      <w:numFmt w:val="bullet"/>
      <w:lvlText w:val="•"/>
      <w:lvlJc w:val="left"/>
      <w:pPr>
        <w:tabs>
          <w:tab w:val="num" w:pos="2160"/>
        </w:tabs>
        <w:ind w:left="2160" w:hanging="360"/>
      </w:pPr>
      <w:rPr>
        <w:rFonts w:ascii="Arial" w:hAnsi="Arial" w:hint="default"/>
      </w:rPr>
    </w:lvl>
    <w:lvl w:ilvl="3" w:tplc="183C1762" w:tentative="1">
      <w:start w:val="1"/>
      <w:numFmt w:val="bullet"/>
      <w:lvlText w:val="•"/>
      <w:lvlJc w:val="left"/>
      <w:pPr>
        <w:tabs>
          <w:tab w:val="num" w:pos="2880"/>
        </w:tabs>
        <w:ind w:left="2880" w:hanging="360"/>
      </w:pPr>
      <w:rPr>
        <w:rFonts w:ascii="Arial" w:hAnsi="Arial" w:hint="default"/>
      </w:rPr>
    </w:lvl>
    <w:lvl w:ilvl="4" w:tplc="5F0A7560" w:tentative="1">
      <w:start w:val="1"/>
      <w:numFmt w:val="bullet"/>
      <w:lvlText w:val="•"/>
      <w:lvlJc w:val="left"/>
      <w:pPr>
        <w:tabs>
          <w:tab w:val="num" w:pos="3600"/>
        </w:tabs>
        <w:ind w:left="3600" w:hanging="360"/>
      </w:pPr>
      <w:rPr>
        <w:rFonts w:ascii="Arial" w:hAnsi="Arial" w:hint="default"/>
      </w:rPr>
    </w:lvl>
    <w:lvl w:ilvl="5" w:tplc="46C44A9E" w:tentative="1">
      <w:start w:val="1"/>
      <w:numFmt w:val="bullet"/>
      <w:lvlText w:val="•"/>
      <w:lvlJc w:val="left"/>
      <w:pPr>
        <w:tabs>
          <w:tab w:val="num" w:pos="4320"/>
        </w:tabs>
        <w:ind w:left="4320" w:hanging="360"/>
      </w:pPr>
      <w:rPr>
        <w:rFonts w:ascii="Arial" w:hAnsi="Arial" w:hint="default"/>
      </w:rPr>
    </w:lvl>
    <w:lvl w:ilvl="6" w:tplc="126868DE" w:tentative="1">
      <w:start w:val="1"/>
      <w:numFmt w:val="bullet"/>
      <w:lvlText w:val="•"/>
      <w:lvlJc w:val="left"/>
      <w:pPr>
        <w:tabs>
          <w:tab w:val="num" w:pos="5040"/>
        </w:tabs>
        <w:ind w:left="5040" w:hanging="360"/>
      </w:pPr>
      <w:rPr>
        <w:rFonts w:ascii="Arial" w:hAnsi="Arial" w:hint="default"/>
      </w:rPr>
    </w:lvl>
    <w:lvl w:ilvl="7" w:tplc="AB4C0C84" w:tentative="1">
      <w:start w:val="1"/>
      <w:numFmt w:val="bullet"/>
      <w:lvlText w:val="•"/>
      <w:lvlJc w:val="left"/>
      <w:pPr>
        <w:tabs>
          <w:tab w:val="num" w:pos="5760"/>
        </w:tabs>
        <w:ind w:left="5760" w:hanging="360"/>
      </w:pPr>
      <w:rPr>
        <w:rFonts w:ascii="Arial" w:hAnsi="Arial" w:hint="default"/>
      </w:rPr>
    </w:lvl>
    <w:lvl w:ilvl="8" w:tplc="60724F5E"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38B0FC5"/>
    <w:multiLevelType w:val="hybridMultilevel"/>
    <w:tmpl w:val="9A7062BA"/>
    <w:lvl w:ilvl="0" w:tplc="08090019">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2" w15:restartNumberingAfterBreak="0">
    <w:nsid w:val="6551334E"/>
    <w:multiLevelType w:val="multilevel"/>
    <w:tmpl w:val="45B0FEE4"/>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73" w15:restartNumberingAfterBreak="0">
    <w:nsid w:val="67545DF5"/>
    <w:multiLevelType w:val="multilevel"/>
    <w:tmpl w:val="F8126890"/>
    <w:styleLink w:val="OutlineList1"/>
    <w:lvl w:ilvl="0">
      <w:start w:val="1"/>
      <w:numFmt w:val="upperLetter"/>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74" w15:restartNumberingAfterBreak="0">
    <w:nsid w:val="675E4EFA"/>
    <w:multiLevelType w:val="hybridMultilevel"/>
    <w:tmpl w:val="7672535C"/>
    <w:name w:val="TOC 4"/>
    <w:lvl w:ilvl="0" w:tplc="E5A6CBFA">
      <w:start w:val="1"/>
      <w:numFmt w:val="upperLetter"/>
      <w:lvlText w:val="%1."/>
      <w:lvlJc w:val="left"/>
      <w:pPr>
        <w:ind w:left="720" w:hanging="360"/>
      </w:pPr>
      <w:rPr>
        <w:color w:val="auto"/>
      </w:rPr>
    </w:lvl>
    <w:lvl w:ilvl="1" w:tplc="B6AEC87E" w:tentative="1">
      <w:start w:val="1"/>
      <w:numFmt w:val="lowerLetter"/>
      <w:lvlText w:val="%2."/>
      <w:lvlJc w:val="left"/>
      <w:pPr>
        <w:ind w:left="1440" w:hanging="360"/>
      </w:pPr>
      <w:rPr>
        <w:color w:val="auto"/>
      </w:rPr>
    </w:lvl>
    <w:lvl w:ilvl="2" w:tplc="3CBA3030" w:tentative="1">
      <w:start w:val="1"/>
      <w:numFmt w:val="lowerRoman"/>
      <w:lvlText w:val="%3."/>
      <w:lvlJc w:val="right"/>
      <w:pPr>
        <w:ind w:left="2160" w:hanging="180"/>
      </w:pPr>
      <w:rPr>
        <w:color w:val="auto"/>
      </w:rPr>
    </w:lvl>
    <w:lvl w:ilvl="3" w:tplc="0E6CB4E4" w:tentative="1">
      <w:start w:val="1"/>
      <w:numFmt w:val="decimal"/>
      <w:lvlText w:val="%4."/>
      <w:lvlJc w:val="left"/>
      <w:pPr>
        <w:ind w:left="2880" w:hanging="360"/>
      </w:pPr>
      <w:rPr>
        <w:color w:val="auto"/>
      </w:rPr>
    </w:lvl>
    <w:lvl w:ilvl="4" w:tplc="0DE21542" w:tentative="1">
      <w:start w:val="1"/>
      <w:numFmt w:val="lowerLetter"/>
      <w:lvlText w:val="%5."/>
      <w:lvlJc w:val="left"/>
      <w:pPr>
        <w:ind w:left="3600" w:hanging="360"/>
      </w:pPr>
      <w:rPr>
        <w:color w:val="auto"/>
      </w:rPr>
    </w:lvl>
    <w:lvl w:ilvl="5" w:tplc="C666EA12" w:tentative="1">
      <w:start w:val="1"/>
      <w:numFmt w:val="lowerRoman"/>
      <w:lvlText w:val="%6."/>
      <w:lvlJc w:val="right"/>
      <w:pPr>
        <w:ind w:left="4320" w:hanging="180"/>
      </w:pPr>
      <w:rPr>
        <w:color w:val="auto"/>
      </w:rPr>
    </w:lvl>
    <w:lvl w:ilvl="6" w:tplc="3DECF0A2" w:tentative="1">
      <w:start w:val="1"/>
      <w:numFmt w:val="decimal"/>
      <w:lvlText w:val="%7."/>
      <w:lvlJc w:val="left"/>
      <w:pPr>
        <w:ind w:left="5040" w:hanging="360"/>
      </w:pPr>
      <w:rPr>
        <w:color w:val="auto"/>
      </w:rPr>
    </w:lvl>
    <w:lvl w:ilvl="7" w:tplc="1396BA80" w:tentative="1">
      <w:start w:val="1"/>
      <w:numFmt w:val="lowerLetter"/>
      <w:lvlText w:val="%8."/>
      <w:lvlJc w:val="left"/>
      <w:pPr>
        <w:ind w:left="5760" w:hanging="360"/>
      </w:pPr>
      <w:rPr>
        <w:color w:val="auto"/>
      </w:rPr>
    </w:lvl>
    <w:lvl w:ilvl="8" w:tplc="6DB6703A" w:tentative="1">
      <w:start w:val="1"/>
      <w:numFmt w:val="lowerRoman"/>
      <w:lvlText w:val="%9."/>
      <w:lvlJc w:val="right"/>
      <w:pPr>
        <w:ind w:left="6480" w:hanging="180"/>
      </w:pPr>
      <w:rPr>
        <w:color w:val="auto"/>
      </w:rPr>
    </w:lvl>
  </w:abstractNum>
  <w:abstractNum w:abstractNumId="75" w15:restartNumberingAfterBreak="0">
    <w:nsid w:val="67F16158"/>
    <w:multiLevelType w:val="hybridMultilevel"/>
    <w:tmpl w:val="F634E0AE"/>
    <w:name w:val="Bullet3Ashurst"/>
    <w:lvl w:ilvl="0" w:tplc="6DA4B5F4">
      <w:start w:val="1"/>
      <w:numFmt w:val="bullet"/>
      <w:lvlText w:val=""/>
      <w:lvlJc w:val="left"/>
      <w:pPr>
        <w:tabs>
          <w:tab w:val="num" w:pos="2030"/>
        </w:tabs>
        <w:ind w:left="2030" w:hanging="624"/>
      </w:pPr>
      <w:rPr>
        <w:rFonts w:ascii="Symbol" w:hAnsi="Symbol" w:hint="default"/>
        <w:b w:val="0"/>
        <w:i w:val="0"/>
        <w:color w:val="auto"/>
        <w:sz w:val="18"/>
        <w:szCs w:val="18"/>
      </w:rPr>
    </w:lvl>
    <w:lvl w:ilvl="1" w:tplc="F3F6E41C" w:tentative="1">
      <w:start w:val="1"/>
      <w:numFmt w:val="bullet"/>
      <w:lvlText w:val="o"/>
      <w:lvlJc w:val="left"/>
      <w:pPr>
        <w:tabs>
          <w:tab w:val="num" w:pos="1440"/>
        </w:tabs>
        <w:ind w:left="1440" w:hanging="360"/>
      </w:pPr>
      <w:rPr>
        <w:rFonts w:ascii="Courier New" w:hAnsi="Courier New" w:cs="Courier New" w:hint="default"/>
        <w:color w:val="auto"/>
      </w:rPr>
    </w:lvl>
    <w:lvl w:ilvl="2" w:tplc="BB309D50" w:tentative="1">
      <w:start w:val="1"/>
      <w:numFmt w:val="bullet"/>
      <w:lvlText w:val=""/>
      <w:lvlJc w:val="left"/>
      <w:pPr>
        <w:tabs>
          <w:tab w:val="num" w:pos="2160"/>
        </w:tabs>
        <w:ind w:left="2160" w:hanging="360"/>
      </w:pPr>
      <w:rPr>
        <w:rFonts w:ascii="Wingdings" w:hAnsi="Wingdings" w:hint="default"/>
        <w:color w:val="auto"/>
      </w:rPr>
    </w:lvl>
    <w:lvl w:ilvl="3" w:tplc="AD7AA5D6" w:tentative="1">
      <w:start w:val="1"/>
      <w:numFmt w:val="bullet"/>
      <w:lvlText w:val=""/>
      <w:lvlJc w:val="left"/>
      <w:pPr>
        <w:tabs>
          <w:tab w:val="num" w:pos="2880"/>
        </w:tabs>
        <w:ind w:left="2880" w:hanging="360"/>
      </w:pPr>
      <w:rPr>
        <w:rFonts w:ascii="Symbol" w:hAnsi="Symbol" w:hint="default"/>
        <w:color w:val="auto"/>
      </w:rPr>
    </w:lvl>
    <w:lvl w:ilvl="4" w:tplc="A34E62B4" w:tentative="1">
      <w:start w:val="1"/>
      <w:numFmt w:val="bullet"/>
      <w:lvlText w:val="o"/>
      <w:lvlJc w:val="left"/>
      <w:pPr>
        <w:tabs>
          <w:tab w:val="num" w:pos="3600"/>
        </w:tabs>
        <w:ind w:left="3600" w:hanging="360"/>
      </w:pPr>
      <w:rPr>
        <w:rFonts w:ascii="Courier New" w:hAnsi="Courier New" w:cs="Courier New" w:hint="default"/>
        <w:color w:val="auto"/>
      </w:rPr>
    </w:lvl>
    <w:lvl w:ilvl="5" w:tplc="1964656C" w:tentative="1">
      <w:start w:val="1"/>
      <w:numFmt w:val="bullet"/>
      <w:lvlText w:val=""/>
      <w:lvlJc w:val="left"/>
      <w:pPr>
        <w:tabs>
          <w:tab w:val="num" w:pos="4320"/>
        </w:tabs>
        <w:ind w:left="4320" w:hanging="360"/>
      </w:pPr>
      <w:rPr>
        <w:rFonts w:ascii="Wingdings" w:hAnsi="Wingdings" w:hint="default"/>
        <w:color w:val="auto"/>
      </w:rPr>
    </w:lvl>
    <w:lvl w:ilvl="6" w:tplc="679403BE" w:tentative="1">
      <w:start w:val="1"/>
      <w:numFmt w:val="bullet"/>
      <w:lvlText w:val=""/>
      <w:lvlJc w:val="left"/>
      <w:pPr>
        <w:tabs>
          <w:tab w:val="num" w:pos="5040"/>
        </w:tabs>
        <w:ind w:left="5040" w:hanging="360"/>
      </w:pPr>
      <w:rPr>
        <w:rFonts w:ascii="Symbol" w:hAnsi="Symbol" w:hint="default"/>
        <w:color w:val="auto"/>
      </w:rPr>
    </w:lvl>
    <w:lvl w:ilvl="7" w:tplc="E69445FC" w:tentative="1">
      <w:start w:val="1"/>
      <w:numFmt w:val="bullet"/>
      <w:lvlText w:val="o"/>
      <w:lvlJc w:val="left"/>
      <w:pPr>
        <w:tabs>
          <w:tab w:val="num" w:pos="5760"/>
        </w:tabs>
        <w:ind w:left="5760" w:hanging="360"/>
      </w:pPr>
      <w:rPr>
        <w:rFonts w:ascii="Courier New" w:hAnsi="Courier New" w:cs="Courier New" w:hint="default"/>
        <w:color w:val="auto"/>
      </w:rPr>
    </w:lvl>
    <w:lvl w:ilvl="8" w:tplc="22824E68" w:tentative="1">
      <w:start w:val="1"/>
      <w:numFmt w:val="bullet"/>
      <w:lvlText w:val=""/>
      <w:lvlJc w:val="left"/>
      <w:pPr>
        <w:tabs>
          <w:tab w:val="num" w:pos="6480"/>
        </w:tabs>
        <w:ind w:left="6480" w:hanging="360"/>
      </w:pPr>
      <w:rPr>
        <w:rFonts w:ascii="Wingdings" w:hAnsi="Wingdings" w:hint="default"/>
        <w:color w:val="auto"/>
      </w:rPr>
    </w:lvl>
  </w:abstractNum>
  <w:abstractNum w:abstractNumId="76"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77"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78"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79" w15:restartNumberingAfterBreak="0">
    <w:nsid w:val="6D13513A"/>
    <w:multiLevelType w:val="hybridMultilevel"/>
    <w:tmpl w:val="D1A2E068"/>
    <w:name w:val="Bullet4Ashurst"/>
    <w:lvl w:ilvl="0" w:tplc="32DC8B88">
      <w:start w:val="1"/>
      <w:numFmt w:val="bullet"/>
      <w:lvlText w:val=""/>
      <w:lvlJc w:val="left"/>
      <w:pPr>
        <w:tabs>
          <w:tab w:val="num" w:pos="2654"/>
        </w:tabs>
        <w:ind w:left="2654" w:hanging="624"/>
      </w:pPr>
      <w:rPr>
        <w:rFonts w:ascii="Symbol" w:hAnsi="Symbol" w:hint="default"/>
        <w:b w:val="0"/>
        <w:i w:val="0"/>
        <w:color w:val="auto"/>
        <w:sz w:val="18"/>
        <w:szCs w:val="18"/>
      </w:rPr>
    </w:lvl>
    <w:lvl w:ilvl="1" w:tplc="824E7C8C" w:tentative="1">
      <w:start w:val="1"/>
      <w:numFmt w:val="bullet"/>
      <w:lvlText w:val="o"/>
      <w:lvlJc w:val="left"/>
      <w:pPr>
        <w:tabs>
          <w:tab w:val="num" w:pos="1440"/>
        </w:tabs>
        <w:ind w:left="1440" w:hanging="360"/>
      </w:pPr>
      <w:rPr>
        <w:rFonts w:ascii="Courier New" w:hAnsi="Courier New" w:cs="Courier New" w:hint="default"/>
        <w:color w:val="auto"/>
      </w:rPr>
    </w:lvl>
    <w:lvl w:ilvl="2" w:tplc="A70279F6" w:tentative="1">
      <w:start w:val="1"/>
      <w:numFmt w:val="bullet"/>
      <w:lvlText w:val=""/>
      <w:lvlJc w:val="left"/>
      <w:pPr>
        <w:tabs>
          <w:tab w:val="num" w:pos="2160"/>
        </w:tabs>
        <w:ind w:left="2160" w:hanging="360"/>
      </w:pPr>
      <w:rPr>
        <w:rFonts w:ascii="Wingdings" w:hAnsi="Wingdings" w:hint="default"/>
        <w:color w:val="auto"/>
      </w:rPr>
    </w:lvl>
    <w:lvl w:ilvl="3" w:tplc="5DFC04FC" w:tentative="1">
      <w:start w:val="1"/>
      <w:numFmt w:val="bullet"/>
      <w:lvlText w:val=""/>
      <w:lvlJc w:val="left"/>
      <w:pPr>
        <w:tabs>
          <w:tab w:val="num" w:pos="2880"/>
        </w:tabs>
        <w:ind w:left="2880" w:hanging="360"/>
      </w:pPr>
      <w:rPr>
        <w:rFonts w:ascii="Symbol" w:hAnsi="Symbol" w:hint="default"/>
        <w:color w:val="auto"/>
      </w:rPr>
    </w:lvl>
    <w:lvl w:ilvl="4" w:tplc="BA6C5420" w:tentative="1">
      <w:start w:val="1"/>
      <w:numFmt w:val="bullet"/>
      <w:lvlText w:val="o"/>
      <w:lvlJc w:val="left"/>
      <w:pPr>
        <w:tabs>
          <w:tab w:val="num" w:pos="3600"/>
        </w:tabs>
        <w:ind w:left="3600" w:hanging="360"/>
      </w:pPr>
      <w:rPr>
        <w:rFonts w:ascii="Courier New" w:hAnsi="Courier New" w:cs="Courier New" w:hint="default"/>
        <w:color w:val="auto"/>
      </w:rPr>
    </w:lvl>
    <w:lvl w:ilvl="5" w:tplc="AF7E26E8" w:tentative="1">
      <w:start w:val="1"/>
      <w:numFmt w:val="bullet"/>
      <w:lvlText w:val=""/>
      <w:lvlJc w:val="left"/>
      <w:pPr>
        <w:tabs>
          <w:tab w:val="num" w:pos="4320"/>
        </w:tabs>
        <w:ind w:left="4320" w:hanging="360"/>
      </w:pPr>
      <w:rPr>
        <w:rFonts w:ascii="Wingdings" w:hAnsi="Wingdings" w:hint="default"/>
        <w:color w:val="auto"/>
      </w:rPr>
    </w:lvl>
    <w:lvl w:ilvl="6" w:tplc="E7320A22" w:tentative="1">
      <w:start w:val="1"/>
      <w:numFmt w:val="bullet"/>
      <w:lvlText w:val=""/>
      <w:lvlJc w:val="left"/>
      <w:pPr>
        <w:tabs>
          <w:tab w:val="num" w:pos="5040"/>
        </w:tabs>
        <w:ind w:left="5040" w:hanging="360"/>
      </w:pPr>
      <w:rPr>
        <w:rFonts w:ascii="Symbol" w:hAnsi="Symbol" w:hint="default"/>
        <w:color w:val="auto"/>
      </w:rPr>
    </w:lvl>
    <w:lvl w:ilvl="7" w:tplc="0DDCF55C" w:tentative="1">
      <w:start w:val="1"/>
      <w:numFmt w:val="bullet"/>
      <w:lvlText w:val="o"/>
      <w:lvlJc w:val="left"/>
      <w:pPr>
        <w:tabs>
          <w:tab w:val="num" w:pos="5760"/>
        </w:tabs>
        <w:ind w:left="5760" w:hanging="360"/>
      </w:pPr>
      <w:rPr>
        <w:rFonts w:ascii="Courier New" w:hAnsi="Courier New" w:cs="Courier New" w:hint="default"/>
        <w:color w:val="auto"/>
      </w:rPr>
    </w:lvl>
    <w:lvl w:ilvl="8" w:tplc="7EA29EF8" w:tentative="1">
      <w:start w:val="1"/>
      <w:numFmt w:val="bullet"/>
      <w:lvlText w:val=""/>
      <w:lvlJc w:val="left"/>
      <w:pPr>
        <w:tabs>
          <w:tab w:val="num" w:pos="6480"/>
        </w:tabs>
        <w:ind w:left="6480" w:hanging="360"/>
      </w:pPr>
      <w:rPr>
        <w:rFonts w:ascii="Wingdings" w:hAnsi="Wingdings" w:hint="default"/>
        <w:color w:val="auto"/>
      </w:rPr>
    </w:lvl>
  </w:abstractNum>
  <w:abstractNum w:abstractNumId="80" w15:restartNumberingAfterBreak="0">
    <w:nsid w:val="6EEC189D"/>
    <w:multiLevelType w:val="hybridMultilevel"/>
    <w:tmpl w:val="F4D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82"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83"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84" w15:restartNumberingAfterBreak="0">
    <w:nsid w:val="76AA1D69"/>
    <w:multiLevelType w:val="hybridMultilevel"/>
    <w:tmpl w:val="E354B674"/>
    <w:lvl w:ilvl="0" w:tplc="F9A030A6">
      <w:start w:val="1"/>
      <w:numFmt w:val="bullet"/>
      <w:lvlText w:val="•"/>
      <w:lvlJc w:val="left"/>
      <w:pPr>
        <w:tabs>
          <w:tab w:val="num" w:pos="720"/>
        </w:tabs>
        <w:ind w:left="720" w:hanging="360"/>
      </w:pPr>
      <w:rPr>
        <w:rFonts w:ascii="Arial" w:hAnsi="Arial" w:hint="default"/>
      </w:rPr>
    </w:lvl>
    <w:lvl w:ilvl="1" w:tplc="C13C8E78" w:tentative="1">
      <w:start w:val="1"/>
      <w:numFmt w:val="bullet"/>
      <w:lvlText w:val="•"/>
      <w:lvlJc w:val="left"/>
      <w:pPr>
        <w:tabs>
          <w:tab w:val="num" w:pos="1440"/>
        </w:tabs>
        <w:ind w:left="1440" w:hanging="360"/>
      </w:pPr>
      <w:rPr>
        <w:rFonts w:ascii="Arial" w:hAnsi="Arial" w:hint="default"/>
      </w:rPr>
    </w:lvl>
    <w:lvl w:ilvl="2" w:tplc="131C7380" w:tentative="1">
      <w:start w:val="1"/>
      <w:numFmt w:val="bullet"/>
      <w:lvlText w:val="•"/>
      <w:lvlJc w:val="left"/>
      <w:pPr>
        <w:tabs>
          <w:tab w:val="num" w:pos="2160"/>
        </w:tabs>
        <w:ind w:left="2160" w:hanging="360"/>
      </w:pPr>
      <w:rPr>
        <w:rFonts w:ascii="Arial" w:hAnsi="Arial" w:hint="default"/>
      </w:rPr>
    </w:lvl>
    <w:lvl w:ilvl="3" w:tplc="79788A1A" w:tentative="1">
      <w:start w:val="1"/>
      <w:numFmt w:val="bullet"/>
      <w:lvlText w:val="•"/>
      <w:lvlJc w:val="left"/>
      <w:pPr>
        <w:tabs>
          <w:tab w:val="num" w:pos="2880"/>
        </w:tabs>
        <w:ind w:left="2880" w:hanging="360"/>
      </w:pPr>
      <w:rPr>
        <w:rFonts w:ascii="Arial" w:hAnsi="Arial" w:hint="default"/>
      </w:rPr>
    </w:lvl>
    <w:lvl w:ilvl="4" w:tplc="A782BF44" w:tentative="1">
      <w:start w:val="1"/>
      <w:numFmt w:val="bullet"/>
      <w:lvlText w:val="•"/>
      <w:lvlJc w:val="left"/>
      <w:pPr>
        <w:tabs>
          <w:tab w:val="num" w:pos="3600"/>
        </w:tabs>
        <w:ind w:left="3600" w:hanging="360"/>
      </w:pPr>
      <w:rPr>
        <w:rFonts w:ascii="Arial" w:hAnsi="Arial" w:hint="default"/>
      </w:rPr>
    </w:lvl>
    <w:lvl w:ilvl="5" w:tplc="3A0404C2" w:tentative="1">
      <w:start w:val="1"/>
      <w:numFmt w:val="bullet"/>
      <w:lvlText w:val="•"/>
      <w:lvlJc w:val="left"/>
      <w:pPr>
        <w:tabs>
          <w:tab w:val="num" w:pos="4320"/>
        </w:tabs>
        <w:ind w:left="4320" w:hanging="360"/>
      </w:pPr>
      <w:rPr>
        <w:rFonts w:ascii="Arial" w:hAnsi="Arial" w:hint="default"/>
      </w:rPr>
    </w:lvl>
    <w:lvl w:ilvl="6" w:tplc="FDCAF8FE" w:tentative="1">
      <w:start w:val="1"/>
      <w:numFmt w:val="bullet"/>
      <w:lvlText w:val="•"/>
      <w:lvlJc w:val="left"/>
      <w:pPr>
        <w:tabs>
          <w:tab w:val="num" w:pos="5040"/>
        </w:tabs>
        <w:ind w:left="5040" w:hanging="360"/>
      </w:pPr>
      <w:rPr>
        <w:rFonts w:ascii="Arial" w:hAnsi="Arial" w:hint="default"/>
      </w:rPr>
    </w:lvl>
    <w:lvl w:ilvl="7" w:tplc="DC1E0510" w:tentative="1">
      <w:start w:val="1"/>
      <w:numFmt w:val="bullet"/>
      <w:lvlText w:val="•"/>
      <w:lvlJc w:val="left"/>
      <w:pPr>
        <w:tabs>
          <w:tab w:val="num" w:pos="5760"/>
        </w:tabs>
        <w:ind w:left="5760" w:hanging="360"/>
      </w:pPr>
      <w:rPr>
        <w:rFonts w:ascii="Arial" w:hAnsi="Arial" w:hint="default"/>
      </w:rPr>
    </w:lvl>
    <w:lvl w:ilvl="8" w:tplc="B722348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743221A"/>
    <w:multiLevelType w:val="hybridMultilevel"/>
    <w:tmpl w:val="E1EE1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abstractNum w:abstractNumId="87" w15:restartNumberingAfterBreak="0">
    <w:nsid w:val="7B792B61"/>
    <w:multiLevelType w:val="hybridMultilevel"/>
    <w:tmpl w:val="22C8A3B6"/>
    <w:name w:val="PartiesAshurst"/>
    <w:lvl w:ilvl="0" w:tplc="B846F106">
      <w:start w:val="1"/>
      <w:numFmt w:val="decimal"/>
      <w:pStyle w:val="PartiesAshurst"/>
      <w:lvlText w:val="(%1)"/>
      <w:lvlJc w:val="left"/>
      <w:pPr>
        <w:tabs>
          <w:tab w:val="num" w:pos="782"/>
        </w:tabs>
        <w:ind w:left="782" w:hanging="782"/>
      </w:pPr>
      <w:rPr>
        <w:rFonts w:hint="default"/>
        <w:b w:val="0"/>
        <w:i w:val="0"/>
        <w:color w:val="auto"/>
        <w:sz w:val="20"/>
        <w:szCs w:val="20"/>
      </w:rPr>
    </w:lvl>
    <w:lvl w:ilvl="1" w:tplc="F4B8BA7A" w:tentative="1">
      <w:start w:val="1"/>
      <w:numFmt w:val="lowerLetter"/>
      <w:lvlText w:val="%2."/>
      <w:lvlJc w:val="left"/>
      <w:pPr>
        <w:tabs>
          <w:tab w:val="num" w:pos="1440"/>
        </w:tabs>
        <w:ind w:left="1440" w:hanging="360"/>
      </w:pPr>
      <w:rPr>
        <w:color w:val="auto"/>
      </w:rPr>
    </w:lvl>
    <w:lvl w:ilvl="2" w:tplc="4C885898" w:tentative="1">
      <w:start w:val="1"/>
      <w:numFmt w:val="lowerRoman"/>
      <w:lvlText w:val="%3."/>
      <w:lvlJc w:val="right"/>
      <w:pPr>
        <w:tabs>
          <w:tab w:val="num" w:pos="2160"/>
        </w:tabs>
        <w:ind w:left="2160" w:hanging="180"/>
      </w:pPr>
      <w:rPr>
        <w:color w:val="auto"/>
      </w:rPr>
    </w:lvl>
    <w:lvl w:ilvl="3" w:tplc="196CAA5A" w:tentative="1">
      <w:start w:val="1"/>
      <w:numFmt w:val="decimal"/>
      <w:lvlText w:val="%4."/>
      <w:lvlJc w:val="left"/>
      <w:pPr>
        <w:tabs>
          <w:tab w:val="num" w:pos="2880"/>
        </w:tabs>
        <w:ind w:left="2880" w:hanging="360"/>
      </w:pPr>
      <w:rPr>
        <w:color w:val="auto"/>
      </w:rPr>
    </w:lvl>
    <w:lvl w:ilvl="4" w:tplc="BE507BAA" w:tentative="1">
      <w:start w:val="1"/>
      <w:numFmt w:val="lowerLetter"/>
      <w:lvlText w:val="%5."/>
      <w:lvlJc w:val="left"/>
      <w:pPr>
        <w:tabs>
          <w:tab w:val="num" w:pos="3600"/>
        </w:tabs>
        <w:ind w:left="3600" w:hanging="360"/>
      </w:pPr>
      <w:rPr>
        <w:color w:val="auto"/>
      </w:rPr>
    </w:lvl>
    <w:lvl w:ilvl="5" w:tplc="854AD3C6" w:tentative="1">
      <w:start w:val="1"/>
      <w:numFmt w:val="lowerRoman"/>
      <w:lvlText w:val="%6."/>
      <w:lvlJc w:val="right"/>
      <w:pPr>
        <w:tabs>
          <w:tab w:val="num" w:pos="4320"/>
        </w:tabs>
        <w:ind w:left="4320" w:hanging="180"/>
      </w:pPr>
      <w:rPr>
        <w:color w:val="auto"/>
      </w:rPr>
    </w:lvl>
    <w:lvl w:ilvl="6" w:tplc="D458F55E" w:tentative="1">
      <w:start w:val="1"/>
      <w:numFmt w:val="decimal"/>
      <w:lvlText w:val="%7."/>
      <w:lvlJc w:val="left"/>
      <w:pPr>
        <w:tabs>
          <w:tab w:val="num" w:pos="5040"/>
        </w:tabs>
        <w:ind w:left="5040" w:hanging="360"/>
      </w:pPr>
      <w:rPr>
        <w:color w:val="auto"/>
      </w:rPr>
    </w:lvl>
    <w:lvl w:ilvl="7" w:tplc="B774549E" w:tentative="1">
      <w:start w:val="1"/>
      <w:numFmt w:val="lowerLetter"/>
      <w:lvlText w:val="%8."/>
      <w:lvlJc w:val="left"/>
      <w:pPr>
        <w:tabs>
          <w:tab w:val="num" w:pos="5760"/>
        </w:tabs>
        <w:ind w:left="5760" w:hanging="360"/>
      </w:pPr>
      <w:rPr>
        <w:color w:val="auto"/>
      </w:rPr>
    </w:lvl>
    <w:lvl w:ilvl="8" w:tplc="C47C56C6" w:tentative="1">
      <w:start w:val="1"/>
      <w:numFmt w:val="lowerRoman"/>
      <w:lvlText w:val="%9."/>
      <w:lvlJc w:val="right"/>
      <w:pPr>
        <w:tabs>
          <w:tab w:val="num" w:pos="6480"/>
        </w:tabs>
        <w:ind w:left="6480" w:hanging="180"/>
      </w:pPr>
      <w:rPr>
        <w:color w:val="auto"/>
      </w:rPr>
    </w:lvl>
  </w:abstractNum>
  <w:abstractNum w:abstractNumId="88" w15:restartNumberingAfterBreak="0">
    <w:nsid w:val="7BCD3DD8"/>
    <w:multiLevelType w:val="multilevel"/>
    <w:tmpl w:val="EEF4CB50"/>
    <w:lvl w:ilvl="0">
      <w:start w:val="1"/>
      <w:numFmt w:val="decimal"/>
      <w:pStyle w:val="AltH1Ashurst"/>
      <w:lvlText w:val="%1."/>
      <w:lvlJc w:val="left"/>
      <w:pPr>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89" w15:restartNumberingAfterBreak="0">
    <w:nsid w:val="7CCA31EC"/>
    <w:multiLevelType w:val="hybridMultilevel"/>
    <w:tmpl w:val="42F2D0FA"/>
    <w:name w:val="Bullet5Ashurst"/>
    <w:lvl w:ilvl="0" w:tplc="ED7C3732">
      <w:start w:val="1"/>
      <w:numFmt w:val="bullet"/>
      <w:lvlText w:val=""/>
      <w:lvlJc w:val="left"/>
      <w:pPr>
        <w:tabs>
          <w:tab w:val="num" w:pos="3277"/>
        </w:tabs>
        <w:ind w:left="3277" w:hanging="623"/>
      </w:pPr>
      <w:rPr>
        <w:rFonts w:ascii="Symbol" w:hAnsi="Symbol" w:hint="default"/>
        <w:b w:val="0"/>
        <w:i w:val="0"/>
        <w:color w:val="auto"/>
        <w:sz w:val="18"/>
        <w:szCs w:val="18"/>
      </w:rPr>
    </w:lvl>
    <w:lvl w:ilvl="1" w:tplc="F768063C" w:tentative="1">
      <w:start w:val="1"/>
      <w:numFmt w:val="bullet"/>
      <w:lvlText w:val="o"/>
      <w:lvlJc w:val="left"/>
      <w:pPr>
        <w:tabs>
          <w:tab w:val="num" w:pos="1440"/>
        </w:tabs>
        <w:ind w:left="1440" w:hanging="360"/>
      </w:pPr>
      <w:rPr>
        <w:rFonts w:ascii="Courier New" w:hAnsi="Courier New" w:cs="Courier New" w:hint="default"/>
        <w:color w:val="auto"/>
      </w:rPr>
    </w:lvl>
    <w:lvl w:ilvl="2" w:tplc="8124A520" w:tentative="1">
      <w:start w:val="1"/>
      <w:numFmt w:val="bullet"/>
      <w:lvlText w:val=""/>
      <w:lvlJc w:val="left"/>
      <w:pPr>
        <w:tabs>
          <w:tab w:val="num" w:pos="2160"/>
        </w:tabs>
        <w:ind w:left="2160" w:hanging="360"/>
      </w:pPr>
      <w:rPr>
        <w:rFonts w:ascii="Wingdings" w:hAnsi="Wingdings" w:hint="default"/>
        <w:color w:val="auto"/>
      </w:rPr>
    </w:lvl>
    <w:lvl w:ilvl="3" w:tplc="5A06E95A" w:tentative="1">
      <w:start w:val="1"/>
      <w:numFmt w:val="bullet"/>
      <w:lvlText w:val=""/>
      <w:lvlJc w:val="left"/>
      <w:pPr>
        <w:tabs>
          <w:tab w:val="num" w:pos="2880"/>
        </w:tabs>
        <w:ind w:left="2880" w:hanging="360"/>
      </w:pPr>
      <w:rPr>
        <w:rFonts w:ascii="Symbol" w:hAnsi="Symbol" w:hint="default"/>
        <w:color w:val="auto"/>
      </w:rPr>
    </w:lvl>
    <w:lvl w:ilvl="4" w:tplc="B9209E42" w:tentative="1">
      <w:start w:val="1"/>
      <w:numFmt w:val="bullet"/>
      <w:lvlText w:val="o"/>
      <w:lvlJc w:val="left"/>
      <w:pPr>
        <w:tabs>
          <w:tab w:val="num" w:pos="3600"/>
        </w:tabs>
        <w:ind w:left="3600" w:hanging="360"/>
      </w:pPr>
      <w:rPr>
        <w:rFonts w:ascii="Courier New" w:hAnsi="Courier New" w:cs="Courier New" w:hint="default"/>
        <w:color w:val="auto"/>
      </w:rPr>
    </w:lvl>
    <w:lvl w:ilvl="5" w:tplc="C9B48652" w:tentative="1">
      <w:start w:val="1"/>
      <w:numFmt w:val="bullet"/>
      <w:lvlText w:val=""/>
      <w:lvlJc w:val="left"/>
      <w:pPr>
        <w:tabs>
          <w:tab w:val="num" w:pos="4320"/>
        </w:tabs>
        <w:ind w:left="4320" w:hanging="360"/>
      </w:pPr>
      <w:rPr>
        <w:rFonts w:ascii="Wingdings" w:hAnsi="Wingdings" w:hint="default"/>
        <w:color w:val="auto"/>
      </w:rPr>
    </w:lvl>
    <w:lvl w:ilvl="6" w:tplc="5D3C5AB4" w:tentative="1">
      <w:start w:val="1"/>
      <w:numFmt w:val="bullet"/>
      <w:lvlText w:val=""/>
      <w:lvlJc w:val="left"/>
      <w:pPr>
        <w:tabs>
          <w:tab w:val="num" w:pos="5040"/>
        </w:tabs>
        <w:ind w:left="5040" w:hanging="360"/>
      </w:pPr>
      <w:rPr>
        <w:rFonts w:ascii="Symbol" w:hAnsi="Symbol" w:hint="default"/>
        <w:color w:val="auto"/>
      </w:rPr>
    </w:lvl>
    <w:lvl w:ilvl="7" w:tplc="48C05E7A" w:tentative="1">
      <w:start w:val="1"/>
      <w:numFmt w:val="bullet"/>
      <w:lvlText w:val="o"/>
      <w:lvlJc w:val="left"/>
      <w:pPr>
        <w:tabs>
          <w:tab w:val="num" w:pos="5760"/>
        </w:tabs>
        <w:ind w:left="5760" w:hanging="360"/>
      </w:pPr>
      <w:rPr>
        <w:rFonts w:ascii="Courier New" w:hAnsi="Courier New" w:cs="Courier New" w:hint="default"/>
        <w:color w:val="auto"/>
      </w:rPr>
    </w:lvl>
    <w:lvl w:ilvl="8" w:tplc="EC7270E6"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6"/>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31"/>
  </w:num>
  <w:num w:numId="13" w16cid:durableId="289555647">
    <w:abstractNumId w:val="21"/>
  </w:num>
  <w:num w:numId="14" w16cid:durableId="305011722">
    <w:abstractNumId w:val="87"/>
  </w:num>
  <w:num w:numId="15" w16cid:durableId="2038583610">
    <w:abstractNumId w:val="48"/>
  </w:num>
  <w:num w:numId="16" w16cid:durableId="1313366630">
    <w:abstractNumId w:val="39"/>
  </w:num>
  <w:num w:numId="17" w16cid:durableId="250360895">
    <w:abstractNumId w:val="53"/>
  </w:num>
  <w:num w:numId="18" w16cid:durableId="1590774813">
    <w:abstractNumId w:val="24"/>
  </w:num>
  <w:num w:numId="19" w16cid:durableId="1402680617">
    <w:abstractNumId w:val="36"/>
  </w:num>
  <w:num w:numId="20" w16cid:durableId="1281567863">
    <w:abstractNumId w:val="37"/>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1" w16cid:durableId="316111071">
    <w:abstractNumId w:val="73"/>
  </w:num>
  <w:num w:numId="22" w16cid:durableId="69036740">
    <w:abstractNumId w:val="20"/>
  </w:num>
  <w:num w:numId="23" w16cid:durableId="1607422174">
    <w:abstractNumId w:val="72"/>
  </w:num>
  <w:num w:numId="24" w16cid:durableId="813107918">
    <w:abstractNumId w:val="12"/>
  </w:num>
  <w:num w:numId="25" w16cid:durableId="1128353509">
    <w:abstractNumId w:val="16"/>
  </w:num>
  <w:num w:numId="26" w16cid:durableId="1560480136">
    <w:abstractNumId w:val="68"/>
  </w:num>
  <w:num w:numId="27" w16cid:durableId="273220800">
    <w:abstractNumId w:val="56"/>
  </w:num>
  <w:num w:numId="28" w16cid:durableId="393434849">
    <w:abstractNumId w:val="41"/>
  </w:num>
  <w:num w:numId="29" w16cid:durableId="908729185">
    <w:abstractNumId w:val="37"/>
  </w:num>
  <w:num w:numId="30" w16cid:durableId="1804154974">
    <w:abstractNumId w:val="76"/>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rPr>
      </w:lvl>
    </w:lvlOverride>
  </w:num>
  <w:num w:numId="31" w16cid:durableId="570163244">
    <w:abstractNumId w:val="29"/>
  </w:num>
  <w:num w:numId="32" w16cid:durableId="1846241935">
    <w:abstractNumId w:val="14"/>
  </w:num>
  <w:num w:numId="33" w16cid:durableId="448937538">
    <w:abstractNumId w:val="62"/>
  </w:num>
  <w:num w:numId="34" w16cid:durableId="222327631">
    <w:abstractNumId w:val="76"/>
  </w:num>
  <w:num w:numId="35" w16cid:durableId="2030523856">
    <w:abstractNumId w:val="13"/>
  </w:num>
  <w:num w:numId="36" w16cid:durableId="1271817114">
    <w:abstractNumId w:val="11"/>
  </w:num>
  <w:num w:numId="37" w16cid:durableId="459543021">
    <w:abstractNumId w:val="65"/>
  </w:num>
  <w:num w:numId="38" w16cid:durableId="1110515731">
    <w:abstractNumId w:val="54"/>
  </w:num>
  <w:num w:numId="39" w16cid:durableId="981227420">
    <w:abstractNumId w:val="32"/>
  </w:num>
  <w:num w:numId="40" w16cid:durableId="61148836">
    <w:abstractNumId w:val="88"/>
  </w:num>
  <w:num w:numId="41" w16cid:durableId="537595256">
    <w:abstractNumId w:val="46"/>
  </w:num>
  <w:num w:numId="42" w16cid:durableId="2090887566">
    <w:abstractNumId w:val="64"/>
  </w:num>
  <w:num w:numId="43" w16cid:durableId="1280183067">
    <w:abstractNumId w:val="69"/>
  </w:num>
  <w:num w:numId="44" w16cid:durableId="30810811">
    <w:abstractNumId w:val="27"/>
  </w:num>
  <w:num w:numId="45" w16cid:durableId="13965062">
    <w:abstractNumId w:val="10"/>
    <w:lvlOverride w:ilvl="0">
      <w:lvl w:ilvl="0">
        <w:numFmt w:val="decimal"/>
        <w:pStyle w:val="AdvChapterL1"/>
        <w:lvlText w:val=""/>
        <w:lvlJc w:val="left"/>
      </w:lvl>
    </w:lvlOverride>
    <w:lvlOverride w:ilvl="1">
      <w:lvl w:ilvl="1">
        <w:start w:val="1"/>
        <w:numFmt w:val="decimal"/>
        <w:pStyle w:val="AdvChapterL2"/>
        <w:lvlText w:val="%1.%2"/>
        <w:lvlJc w:val="left"/>
        <w:pPr>
          <w:ind w:left="0" w:hanging="782"/>
        </w:pPr>
        <w:rPr>
          <w:rFonts w:hint="default"/>
          <w:b w:val="0"/>
          <w:bCs w:val="0"/>
          <w:color w:val="747474" w:themeColor="text2"/>
        </w:rPr>
      </w:lvl>
    </w:lvlOverride>
    <w:lvlOverride w:ilvl="2">
      <w:lvl w:ilvl="2">
        <w:start w:val="1"/>
        <w:numFmt w:val="lowerLetter"/>
        <w:pStyle w:val="AdvChapterL3"/>
        <w:lvlText w:val="(%3)"/>
        <w:lvlJc w:val="left"/>
        <w:pPr>
          <w:ind w:left="624" w:hanging="624"/>
        </w:pPr>
        <w:rPr>
          <w:rFonts w:hint="default"/>
          <w:b w:val="0"/>
          <w:bCs/>
          <w:color w:val="747474" w:themeColor="text2"/>
        </w:rPr>
      </w:lvl>
    </w:lvlOverride>
    <w:lvlOverride w:ilvl="3">
      <w:lvl w:ilvl="3">
        <w:start w:val="1"/>
        <w:numFmt w:val="lowerRoman"/>
        <w:pStyle w:val="AdvChapterL4"/>
        <w:lvlText w:val="(%4)"/>
        <w:lvlJc w:val="left"/>
        <w:pPr>
          <w:ind w:left="1247" w:hanging="623"/>
        </w:pPr>
        <w:rPr>
          <w:rFonts w:hint="default"/>
          <w:b w:val="0"/>
          <w:bCs/>
          <w:color w:val="747474" w:themeColor="text2"/>
        </w:rPr>
      </w:lvl>
    </w:lvlOverride>
  </w:num>
  <w:num w:numId="46" w16cid:durableId="1646395785">
    <w:abstractNumId w:val="10"/>
  </w:num>
  <w:num w:numId="47" w16cid:durableId="14648837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8" w16cid:durableId="21115059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9" w16cid:durableId="1049574260">
    <w:abstractNumId w:val="67"/>
  </w:num>
  <w:num w:numId="50" w16cid:durableId="1293444318">
    <w:abstractNumId w:val="19"/>
  </w:num>
  <w:num w:numId="51" w16cid:durableId="6992036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3876127">
    <w:abstractNumId w:val="25"/>
  </w:num>
  <w:num w:numId="53" w16cid:durableId="1653215253">
    <w:abstractNumId w:val="50"/>
  </w:num>
  <w:num w:numId="54" w16cid:durableId="399132673">
    <w:abstractNumId w:val="35"/>
  </w:num>
  <w:num w:numId="55" w16cid:durableId="577180002">
    <w:abstractNumId w:val="45"/>
  </w:num>
  <w:num w:numId="56" w16cid:durableId="211618206">
    <w:abstractNumId w:val="55"/>
  </w:num>
  <w:num w:numId="57" w16cid:durableId="1161199222">
    <w:abstractNumId w:val="38"/>
  </w:num>
  <w:num w:numId="58" w16cid:durableId="1073433340">
    <w:abstractNumId w:val="52"/>
  </w:num>
  <w:num w:numId="59" w16cid:durableId="1399205036">
    <w:abstractNumId w:val="84"/>
  </w:num>
  <w:num w:numId="60" w16cid:durableId="1635789935">
    <w:abstractNumId w:val="58"/>
  </w:num>
  <w:num w:numId="61" w16cid:durableId="1672294783">
    <w:abstractNumId w:val="70"/>
  </w:num>
  <w:num w:numId="62" w16cid:durableId="271740694">
    <w:abstractNumId w:val="71"/>
  </w:num>
  <w:num w:numId="63" w16cid:durableId="1893155723">
    <w:abstractNumId w:val="80"/>
  </w:num>
  <w:num w:numId="64" w16cid:durableId="1403334517">
    <w:abstractNumId w:val="57"/>
  </w:num>
  <w:num w:numId="65" w16cid:durableId="1457681845">
    <w:abstractNumId w:val="23"/>
  </w:num>
  <w:num w:numId="66" w16cid:durableId="1750345957">
    <w:abstractNumId w:val="86"/>
  </w:num>
  <w:num w:numId="67" w16cid:durableId="1054308281">
    <w:abstractNumId w:val="43"/>
  </w:num>
  <w:num w:numId="68" w16cid:durableId="1200976210">
    <w:abstractNumId w:val="15"/>
  </w:num>
  <w:num w:numId="69" w16cid:durableId="106387828">
    <w:abstractNumId w:val="85"/>
  </w:num>
  <w:num w:numId="70" w16cid:durableId="879510208">
    <w:abstractNumId w:val="51"/>
  </w:num>
  <w:num w:numId="71" w16cid:durableId="807286537">
    <w:abstractNumId w:val="26"/>
  </w:num>
  <w:num w:numId="72" w16cid:durableId="10616331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trackRevisions/>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4&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21&quot; /&gt;_x000d__x000a_        &lt;item name=&quot;month&quot; value=&quot;6&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7A5500"/>
    <w:rsid w:val="00000293"/>
    <w:rsid w:val="00000888"/>
    <w:rsid w:val="00000C62"/>
    <w:rsid w:val="0000145B"/>
    <w:rsid w:val="00001637"/>
    <w:rsid w:val="00001C3E"/>
    <w:rsid w:val="000032EA"/>
    <w:rsid w:val="0000333F"/>
    <w:rsid w:val="00003A79"/>
    <w:rsid w:val="00004711"/>
    <w:rsid w:val="000052EF"/>
    <w:rsid w:val="000055A9"/>
    <w:rsid w:val="000060F8"/>
    <w:rsid w:val="000061E5"/>
    <w:rsid w:val="00006679"/>
    <w:rsid w:val="00006A5A"/>
    <w:rsid w:val="00007561"/>
    <w:rsid w:val="00010210"/>
    <w:rsid w:val="000103E5"/>
    <w:rsid w:val="00010A42"/>
    <w:rsid w:val="00011163"/>
    <w:rsid w:val="00011E15"/>
    <w:rsid w:val="00012058"/>
    <w:rsid w:val="000121ED"/>
    <w:rsid w:val="0001244F"/>
    <w:rsid w:val="00012CE3"/>
    <w:rsid w:val="00012F18"/>
    <w:rsid w:val="00013458"/>
    <w:rsid w:val="00013A24"/>
    <w:rsid w:val="000146F0"/>
    <w:rsid w:val="00014738"/>
    <w:rsid w:val="00014F97"/>
    <w:rsid w:val="000152C2"/>
    <w:rsid w:val="00015AB7"/>
    <w:rsid w:val="00015CF9"/>
    <w:rsid w:val="000167FB"/>
    <w:rsid w:val="00016D15"/>
    <w:rsid w:val="00016D25"/>
    <w:rsid w:val="00016EA2"/>
    <w:rsid w:val="0001722A"/>
    <w:rsid w:val="000179F0"/>
    <w:rsid w:val="00017B0A"/>
    <w:rsid w:val="000207BA"/>
    <w:rsid w:val="00020972"/>
    <w:rsid w:val="00020A47"/>
    <w:rsid w:val="00022138"/>
    <w:rsid w:val="00022888"/>
    <w:rsid w:val="000229E1"/>
    <w:rsid w:val="00022E67"/>
    <w:rsid w:val="000230F1"/>
    <w:rsid w:val="00023710"/>
    <w:rsid w:val="0002374D"/>
    <w:rsid w:val="0002447C"/>
    <w:rsid w:val="000245A6"/>
    <w:rsid w:val="0002467A"/>
    <w:rsid w:val="00024A7F"/>
    <w:rsid w:val="00024F8A"/>
    <w:rsid w:val="00025014"/>
    <w:rsid w:val="00025263"/>
    <w:rsid w:val="00025271"/>
    <w:rsid w:val="00025ED0"/>
    <w:rsid w:val="000266DC"/>
    <w:rsid w:val="00026FBE"/>
    <w:rsid w:val="000300E6"/>
    <w:rsid w:val="0003019C"/>
    <w:rsid w:val="00030340"/>
    <w:rsid w:val="00030792"/>
    <w:rsid w:val="000307E7"/>
    <w:rsid w:val="00030DA7"/>
    <w:rsid w:val="00032D1D"/>
    <w:rsid w:val="0003320A"/>
    <w:rsid w:val="00033608"/>
    <w:rsid w:val="0003371F"/>
    <w:rsid w:val="00033BAE"/>
    <w:rsid w:val="000344CA"/>
    <w:rsid w:val="00034F71"/>
    <w:rsid w:val="00035144"/>
    <w:rsid w:val="000353EC"/>
    <w:rsid w:val="000358D9"/>
    <w:rsid w:val="000359EA"/>
    <w:rsid w:val="00035BB4"/>
    <w:rsid w:val="00036AE1"/>
    <w:rsid w:val="00036FAA"/>
    <w:rsid w:val="0003771B"/>
    <w:rsid w:val="00037A87"/>
    <w:rsid w:val="0003FB84"/>
    <w:rsid w:val="00040202"/>
    <w:rsid w:val="00040D8E"/>
    <w:rsid w:val="0004150F"/>
    <w:rsid w:val="00041891"/>
    <w:rsid w:val="000419DE"/>
    <w:rsid w:val="000428FE"/>
    <w:rsid w:val="000429A6"/>
    <w:rsid w:val="0004313A"/>
    <w:rsid w:val="00043360"/>
    <w:rsid w:val="00043693"/>
    <w:rsid w:val="000437BF"/>
    <w:rsid w:val="00044429"/>
    <w:rsid w:val="00044D03"/>
    <w:rsid w:val="000451E9"/>
    <w:rsid w:val="0004521A"/>
    <w:rsid w:val="000455FE"/>
    <w:rsid w:val="00045D0B"/>
    <w:rsid w:val="000463B4"/>
    <w:rsid w:val="000466DF"/>
    <w:rsid w:val="0004692E"/>
    <w:rsid w:val="0004768D"/>
    <w:rsid w:val="000476CD"/>
    <w:rsid w:val="0004789E"/>
    <w:rsid w:val="0005059F"/>
    <w:rsid w:val="000505BA"/>
    <w:rsid w:val="00050E26"/>
    <w:rsid w:val="00051820"/>
    <w:rsid w:val="00052329"/>
    <w:rsid w:val="00052682"/>
    <w:rsid w:val="00052786"/>
    <w:rsid w:val="000528A7"/>
    <w:rsid w:val="00052ABD"/>
    <w:rsid w:val="00052E56"/>
    <w:rsid w:val="0005350C"/>
    <w:rsid w:val="00053EF7"/>
    <w:rsid w:val="00054277"/>
    <w:rsid w:val="000545B6"/>
    <w:rsid w:val="000545FE"/>
    <w:rsid w:val="00054709"/>
    <w:rsid w:val="000553F8"/>
    <w:rsid w:val="000556A7"/>
    <w:rsid w:val="00055C8F"/>
    <w:rsid w:val="0005600F"/>
    <w:rsid w:val="00060490"/>
    <w:rsid w:val="000612A2"/>
    <w:rsid w:val="000614E0"/>
    <w:rsid w:val="00061F85"/>
    <w:rsid w:val="00062598"/>
    <w:rsid w:val="00063546"/>
    <w:rsid w:val="000636E2"/>
    <w:rsid w:val="0006398E"/>
    <w:rsid w:val="0006401A"/>
    <w:rsid w:val="0006480D"/>
    <w:rsid w:val="00064A8C"/>
    <w:rsid w:val="00064EB7"/>
    <w:rsid w:val="00065378"/>
    <w:rsid w:val="000653E2"/>
    <w:rsid w:val="00065BEF"/>
    <w:rsid w:val="00065C5B"/>
    <w:rsid w:val="00066165"/>
    <w:rsid w:val="00066278"/>
    <w:rsid w:val="0006699D"/>
    <w:rsid w:val="000669EC"/>
    <w:rsid w:val="00066B8F"/>
    <w:rsid w:val="00066E9D"/>
    <w:rsid w:val="000676AF"/>
    <w:rsid w:val="0006773E"/>
    <w:rsid w:val="00067BCE"/>
    <w:rsid w:val="000701B9"/>
    <w:rsid w:val="00070280"/>
    <w:rsid w:val="0007167C"/>
    <w:rsid w:val="00071850"/>
    <w:rsid w:val="00071FB8"/>
    <w:rsid w:val="00073198"/>
    <w:rsid w:val="0007336C"/>
    <w:rsid w:val="00073579"/>
    <w:rsid w:val="00073704"/>
    <w:rsid w:val="0007381B"/>
    <w:rsid w:val="00073C8F"/>
    <w:rsid w:val="0007427F"/>
    <w:rsid w:val="000743C0"/>
    <w:rsid w:val="00074FFA"/>
    <w:rsid w:val="000752BD"/>
    <w:rsid w:val="000759DC"/>
    <w:rsid w:val="00075EC4"/>
    <w:rsid w:val="00076071"/>
    <w:rsid w:val="00076376"/>
    <w:rsid w:val="0007697C"/>
    <w:rsid w:val="0007732F"/>
    <w:rsid w:val="00077384"/>
    <w:rsid w:val="00077E3E"/>
    <w:rsid w:val="00077FC6"/>
    <w:rsid w:val="00080FA9"/>
    <w:rsid w:val="000812C0"/>
    <w:rsid w:val="00081881"/>
    <w:rsid w:val="00081DB4"/>
    <w:rsid w:val="00082F19"/>
    <w:rsid w:val="0008343E"/>
    <w:rsid w:val="0008356B"/>
    <w:rsid w:val="0008393C"/>
    <w:rsid w:val="00083CCC"/>
    <w:rsid w:val="00084D43"/>
    <w:rsid w:val="00084D73"/>
    <w:rsid w:val="00084F94"/>
    <w:rsid w:val="00085665"/>
    <w:rsid w:val="00085711"/>
    <w:rsid w:val="00086278"/>
    <w:rsid w:val="0008642B"/>
    <w:rsid w:val="00086984"/>
    <w:rsid w:val="000877A6"/>
    <w:rsid w:val="00087810"/>
    <w:rsid w:val="000904C5"/>
    <w:rsid w:val="00090612"/>
    <w:rsid w:val="00090658"/>
    <w:rsid w:val="00091161"/>
    <w:rsid w:val="0009169A"/>
    <w:rsid w:val="00091D1E"/>
    <w:rsid w:val="00091D99"/>
    <w:rsid w:val="00092058"/>
    <w:rsid w:val="00092C9A"/>
    <w:rsid w:val="000930D4"/>
    <w:rsid w:val="00093196"/>
    <w:rsid w:val="00093516"/>
    <w:rsid w:val="000937C3"/>
    <w:rsid w:val="00093D68"/>
    <w:rsid w:val="0009410A"/>
    <w:rsid w:val="00094175"/>
    <w:rsid w:val="000949DF"/>
    <w:rsid w:val="000952E0"/>
    <w:rsid w:val="00095385"/>
    <w:rsid w:val="000957D6"/>
    <w:rsid w:val="0009593F"/>
    <w:rsid w:val="00096124"/>
    <w:rsid w:val="000962E5"/>
    <w:rsid w:val="0009747B"/>
    <w:rsid w:val="00097E6F"/>
    <w:rsid w:val="000A04FA"/>
    <w:rsid w:val="000A0BE1"/>
    <w:rsid w:val="000A145F"/>
    <w:rsid w:val="000A17D2"/>
    <w:rsid w:val="000A1E62"/>
    <w:rsid w:val="000A1F76"/>
    <w:rsid w:val="000A20CC"/>
    <w:rsid w:val="000A27FE"/>
    <w:rsid w:val="000A30E7"/>
    <w:rsid w:val="000A3645"/>
    <w:rsid w:val="000A3A6A"/>
    <w:rsid w:val="000A3D3A"/>
    <w:rsid w:val="000A49A0"/>
    <w:rsid w:val="000A4E72"/>
    <w:rsid w:val="000A593F"/>
    <w:rsid w:val="000A6CD1"/>
    <w:rsid w:val="000A6D08"/>
    <w:rsid w:val="000A707D"/>
    <w:rsid w:val="000A7877"/>
    <w:rsid w:val="000A7D0C"/>
    <w:rsid w:val="000A7FCF"/>
    <w:rsid w:val="000B0314"/>
    <w:rsid w:val="000B0DB2"/>
    <w:rsid w:val="000B10A4"/>
    <w:rsid w:val="000B14BB"/>
    <w:rsid w:val="000B1554"/>
    <w:rsid w:val="000B1815"/>
    <w:rsid w:val="000B1E98"/>
    <w:rsid w:val="000B21C5"/>
    <w:rsid w:val="000B2500"/>
    <w:rsid w:val="000B2529"/>
    <w:rsid w:val="000B26EF"/>
    <w:rsid w:val="000B29CE"/>
    <w:rsid w:val="000B3037"/>
    <w:rsid w:val="000B396A"/>
    <w:rsid w:val="000B3A26"/>
    <w:rsid w:val="000B437B"/>
    <w:rsid w:val="000B51B2"/>
    <w:rsid w:val="000B5E2D"/>
    <w:rsid w:val="000B5E50"/>
    <w:rsid w:val="000B680B"/>
    <w:rsid w:val="000B70BC"/>
    <w:rsid w:val="000B78F4"/>
    <w:rsid w:val="000B7C6D"/>
    <w:rsid w:val="000B7F31"/>
    <w:rsid w:val="000C0343"/>
    <w:rsid w:val="000C0749"/>
    <w:rsid w:val="000C11A7"/>
    <w:rsid w:val="000C1237"/>
    <w:rsid w:val="000C1691"/>
    <w:rsid w:val="000C23C1"/>
    <w:rsid w:val="000C3675"/>
    <w:rsid w:val="000C38B6"/>
    <w:rsid w:val="000C38F7"/>
    <w:rsid w:val="000C4020"/>
    <w:rsid w:val="000C4A96"/>
    <w:rsid w:val="000C4F9A"/>
    <w:rsid w:val="000C5370"/>
    <w:rsid w:val="000C54C8"/>
    <w:rsid w:val="000C584F"/>
    <w:rsid w:val="000C5D77"/>
    <w:rsid w:val="000C5F22"/>
    <w:rsid w:val="000D00EB"/>
    <w:rsid w:val="000D04D2"/>
    <w:rsid w:val="000D0689"/>
    <w:rsid w:val="000D0B7C"/>
    <w:rsid w:val="000D147E"/>
    <w:rsid w:val="000D181D"/>
    <w:rsid w:val="000D1E8A"/>
    <w:rsid w:val="000D1E98"/>
    <w:rsid w:val="000D2871"/>
    <w:rsid w:val="000D292F"/>
    <w:rsid w:val="000D29F3"/>
    <w:rsid w:val="000D3009"/>
    <w:rsid w:val="000D31FE"/>
    <w:rsid w:val="000D36FF"/>
    <w:rsid w:val="000D38A8"/>
    <w:rsid w:val="000D48EA"/>
    <w:rsid w:val="000D4F1F"/>
    <w:rsid w:val="000D57B7"/>
    <w:rsid w:val="000D656D"/>
    <w:rsid w:val="000D6BBC"/>
    <w:rsid w:val="000D6CA1"/>
    <w:rsid w:val="000D6DE0"/>
    <w:rsid w:val="000D72C9"/>
    <w:rsid w:val="000D7AA0"/>
    <w:rsid w:val="000E14B1"/>
    <w:rsid w:val="000E19A6"/>
    <w:rsid w:val="000E1CFE"/>
    <w:rsid w:val="000E2AD3"/>
    <w:rsid w:val="000E2D7C"/>
    <w:rsid w:val="000E3250"/>
    <w:rsid w:val="000E386E"/>
    <w:rsid w:val="000E3885"/>
    <w:rsid w:val="000E3962"/>
    <w:rsid w:val="000E3C9B"/>
    <w:rsid w:val="000E46A8"/>
    <w:rsid w:val="000E4E9E"/>
    <w:rsid w:val="000E55F0"/>
    <w:rsid w:val="000E6E80"/>
    <w:rsid w:val="000F0601"/>
    <w:rsid w:val="000F0839"/>
    <w:rsid w:val="000F0D4F"/>
    <w:rsid w:val="000F19AF"/>
    <w:rsid w:val="000F2693"/>
    <w:rsid w:val="000F2BF1"/>
    <w:rsid w:val="000F2DCA"/>
    <w:rsid w:val="000F39FB"/>
    <w:rsid w:val="000F4846"/>
    <w:rsid w:val="000F4AEC"/>
    <w:rsid w:val="000F4FD6"/>
    <w:rsid w:val="000F52B6"/>
    <w:rsid w:val="000F5D05"/>
    <w:rsid w:val="000F5D14"/>
    <w:rsid w:val="000F6B46"/>
    <w:rsid w:val="000F6D80"/>
    <w:rsid w:val="000F6F4F"/>
    <w:rsid w:val="000F7D1B"/>
    <w:rsid w:val="001001F0"/>
    <w:rsid w:val="00100D88"/>
    <w:rsid w:val="00100DCB"/>
    <w:rsid w:val="00101036"/>
    <w:rsid w:val="001010DB"/>
    <w:rsid w:val="0010145A"/>
    <w:rsid w:val="00101500"/>
    <w:rsid w:val="0010235B"/>
    <w:rsid w:val="001028E1"/>
    <w:rsid w:val="00102C6E"/>
    <w:rsid w:val="00103834"/>
    <w:rsid w:val="00103AEA"/>
    <w:rsid w:val="00103B13"/>
    <w:rsid w:val="001047B9"/>
    <w:rsid w:val="001047F3"/>
    <w:rsid w:val="001056B8"/>
    <w:rsid w:val="001058F4"/>
    <w:rsid w:val="0010597E"/>
    <w:rsid w:val="00105B3F"/>
    <w:rsid w:val="00105F65"/>
    <w:rsid w:val="0010600F"/>
    <w:rsid w:val="001065F6"/>
    <w:rsid w:val="001066E4"/>
    <w:rsid w:val="00106707"/>
    <w:rsid w:val="0010742C"/>
    <w:rsid w:val="0010759A"/>
    <w:rsid w:val="00107DC8"/>
    <w:rsid w:val="00110C2B"/>
    <w:rsid w:val="00110F32"/>
    <w:rsid w:val="00111C91"/>
    <w:rsid w:val="00112355"/>
    <w:rsid w:val="001123D8"/>
    <w:rsid w:val="001125E2"/>
    <w:rsid w:val="00113F7E"/>
    <w:rsid w:val="001141D0"/>
    <w:rsid w:val="00114C91"/>
    <w:rsid w:val="00114DDB"/>
    <w:rsid w:val="00114DEF"/>
    <w:rsid w:val="0011501B"/>
    <w:rsid w:val="001150B2"/>
    <w:rsid w:val="001151E0"/>
    <w:rsid w:val="00115DEA"/>
    <w:rsid w:val="00116A97"/>
    <w:rsid w:val="00116BED"/>
    <w:rsid w:val="00117EEB"/>
    <w:rsid w:val="00120038"/>
    <w:rsid w:val="00120B8B"/>
    <w:rsid w:val="00120BB5"/>
    <w:rsid w:val="0012148B"/>
    <w:rsid w:val="001219A8"/>
    <w:rsid w:val="00121F27"/>
    <w:rsid w:val="00122297"/>
    <w:rsid w:val="0012256F"/>
    <w:rsid w:val="00122E26"/>
    <w:rsid w:val="001231CD"/>
    <w:rsid w:val="001236D2"/>
    <w:rsid w:val="00123E7A"/>
    <w:rsid w:val="00123F1E"/>
    <w:rsid w:val="0012421A"/>
    <w:rsid w:val="00124812"/>
    <w:rsid w:val="00125C84"/>
    <w:rsid w:val="0012623F"/>
    <w:rsid w:val="00126815"/>
    <w:rsid w:val="00127BA6"/>
    <w:rsid w:val="00127EAA"/>
    <w:rsid w:val="00128D10"/>
    <w:rsid w:val="0013078D"/>
    <w:rsid w:val="00130B6F"/>
    <w:rsid w:val="00130D06"/>
    <w:rsid w:val="00131053"/>
    <w:rsid w:val="001313EC"/>
    <w:rsid w:val="001317CA"/>
    <w:rsid w:val="00132F31"/>
    <w:rsid w:val="001336EF"/>
    <w:rsid w:val="00133A43"/>
    <w:rsid w:val="001340BA"/>
    <w:rsid w:val="00134AB7"/>
    <w:rsid w:val="00134FE3"/>
    <w:rsid w:val="00136820"/>
    <w:rsid w:val="00136C8E"/>
    <w:rsid w:val="0013723D"/>
    <w:rsid w:val="001374F3"/>
    <w:rsid w:val="00137B36"/>
    <w:rsid w:val="00137EB2"/>
    <w:rsid w:val="00137F06"/>
    <w:rsid w:val="001404DA"/>
    <w:rsid w:val="00140B6C"/>
    <w:rsid w:val="00140C6F"/>
    <w:rsid w:val="00140F73"/>
    <w:rsid w:val="00141411"/>
    <w:rsid w:val="00141475"/>
    <w:rsid w:val="00141512"/>
    <w:rsid w:val="00141540"/>
    <w:rsid w:val="00141AFC"/>
    <w:rsid w:val="00142366"/>
    <w:rsid w:val="001424E4"/>
    <w:rsid w:val="00142635"/>
    <w:rsid w:val="00142AE5"/>
    <w:rsid w:val="00142B92"/>
    <w:rsid w:val="00142BD1"/>
    <w:rsid w:val="00144454"/>
    <w:rsid w:val="001444CD"/>
    <w:rsid w:val="00144698"/>
    <w:rsid w:val="0014592E"/>
    <w:rsid w:val="00145955"/>
    <w:rsid w:val="00146749"/>
    <w:rsid w:val="00146CD3"/>
    <w:rsid w:val="00147137"/>
    <w:rsid w:val="00147C75"/>
    <w:rsid w:val="001505D5"/>
    <w:rsid w:val="0015076A"/>
    <w:rsid w:val="00150A13"/>
    <w:rsid w:val="001520F2"/>
    <w:rsid w:val="00153E6E"/>
    <w:rsid w:val="00154D99"/>
    <w:rsid w:val="001550A0"/>
    <w:rsid w:val="00155567"/>
    <w:rsid w:val="001557A1"/>
    <w:rsid w:val="00155B0A"/>
    <w:rsid w:val="00156325"/>
    <w:rsid w:val="00156E4B"/>
    <w:rsid w:val="0015705B"/>
    <w:rsid w:val="00157CF4"/>
    <w:rsid w:val="0016006F"/>
    <w:rsid w:val="001603EF"/>
    <w:rsid w:val="00160B8D"/>
    <w:rsid w:val="00160CE5"/>
    <w:rsid w:val="00161977"/>
    <w:rsid w:val="00161B92"/>
    <w:rsid w:val="00163AA4"/>
    <w:rsid w:val="00163F29"/>
    <w:rsid w:val="001645B2"/>
    <w:rsid w:val="00164634"/>
    <w:rsid w:val="00164A59"/>
    <w:rsid w:val="00164FE6"/>
    <w:rsid w:val="001652EA"/>
    <w:rsid w:val="00165346"/>
    <w:rsid w:val="00165531"/>
    <w:rsid w:val="00165C63"/>
    <w:rsid w:val="00166066"/>
    <w:rsid w:val="00166316"/>
    <w:rsid w:val="00166800"/>
    <w:rsid w:val="00166A0D"/>
    <w:rsid w:val="00166B6A"/>
    <w:rsid w:val="001673C2"/>
    <w:rsid w:val="0016741C"/>
    <w:rsid w:val="001678E1"/>
    <w:rsid w:val="001678EE"/>
    <w:rsid w:val="00167BE5"/>
    <w:rsid w:val="001700DC"/>
    <w:rsid w:val="00170213"/>
    <w:rsid w:val="00170368"/>
    <w:rsid w:val="001707A8"/>
    <w:rsid w:val="00171095"/>
    <w:rsid w:val="00171207"/>
    <w:rsid w:val="001713D6"/>
    <w:rsid w:val="0017140D"/>
    <w:rsid w:val="00171661"/>
    <w:rsid w:val="001716D7"/>
    <w:rsid w:val="00172597"/>
    <w:rsid w:val="00172EB3"/>
    <w:rsid w:val="0017489F"/>
    <w:rsid w:val="00174FD9"/>
    <w:rsid w:val="0017521E"/>
    <w:rsid w:val="00175BB9"/>
    <w:rsid w:val="00176FE0"/>
    <w:rsid w:val="001777D6"/>
    <w:rsid w:val="00177E33"/>
    <w:rsid w:val="00180566"/>
    <w:rsid w:val="00180877"/>
    <w:rsid w:val="00180BA9"/>
    <w:rsid w:val="00180C71"/>
    <w:rsid w:val="00180D5A"/>
    <w:rsid w:val="00180D98"/>
    <w:rsid w:val="001813EE"/>
    <w:rsid w:val="0018145A"/>
    <w:rsid w:val="001821F4"/>
    <w:rsid w:val="001824A7"/>
    <w:rsid w:val="00182B51"/>
    <w:rsid w:val="0018315A"/>
    <w:rsid w:val="00183B06"/>
    <w:rsid w:val="00183C60"/>
    <w:rsid w:val="001843A2"/>
    <w:rsid w:val="00184CBD"/>
    <w:rsid w:val="001854D7"/>
    <w:rsid w:val="00185B9E"/>
    <w:rsid w:val="00185C0F"/>
    <w:rsid w:val="00185CBC"/>
    <w:rsid w:val="00186036"/>
    <w:rsid w:val="001861B4"/>
    <w:rsid w:val="0018639E"/>
    <w:rsid w:val="00186D5E"/>
    <w:rsid w:val="0018763B"/>
    <w:rsid w:val="00187A45"/>
    <w:rsid w:val="00190698"/>
    <w:rsid w:val="00190D5D"/>
    <w:rsid w:val="00190FAC"/>
    <w:rsid w:val="0019120B"/>
    <w:rsid w:val="0019164B"/>
    <w:rsid w:val="00192202"/>
    <w:rsid w:val="00192BF2"/>
    <w:rsid w:val="00192D11"/>
    <w:rsid w:val="00192E4B"/>
    <w:rsid w:val="00193054"/>
    <w:rsid w:val="00193B80"/>
    <w:rsid w:val="00194624"/>
    <w:rsid w:val="00194651"/>
    <w:rsid w:val="0019501D"/>
    <w:rsid w:val="001958E8"/>
    <w:rsid w:val="001969FC"/>
    <w:rsid w:val="001973E7"/>
    <w:rsid w:val="00197D89"/>
    <w:rsid w:val="001A0C1E"/>
    <w:rsid w:val="001A0D21"/>
    <w:rsid w:val="001A0F97"/>
    <w:rsid w:val="001A127D"/>
    <w:rsid w:val="001A12D9"/>
    <w:rsid w:val="001A14FE"/>
    <w:rsid w:val="001A16D8"/>
    <w:rsid w:val="001A2118"/>
    <w:rsid w:val="001A219B"/>
    <w:rsid w:val="001A2B4D"/>
    <w:rsid w:val="001A2CD6"/>
    <w:rsid w:val="001A375E"/>
    <w:rsid w:val="001A3ACB"/>
    <w:rsid w:val="001A3C6D"/>
    <w:rsid w:val="001A46E1"/>
    <w:rsid w:val="001A4CCA"/>
    <w:rsid w:val="001A54B5"/>
    <w:rsid w:val="001A55D1"/>
    <w:rsid w:val="001A573E"/>
    <w:rsid w:val="001A6A19"/>
    <w:rsid w:val="001A6C58"/>
    <w:rsid w:val="001A7252"/>
    <w:rsid w:val="001A7742"/>
    <w:rsid w:val="001A7C2E"/>
    <w:rsid w:val="001B0106"/>
    <w:rsid w:val="001B08D4"/>
    <w:rsid w:val="001B0AC1"/>
    <w:rsid w:val="001B0B88"/>
    <w:rsid w:val="001B0EF8"/>
    <w:rsid w:val="001B1392"/>
    <w:rsid w:val="001B1532"/>
    <w:rsid w:val="001B16BE"/>
    <w:rsid w:val="001B18F6"/>
    <w:rsid w:val="001B26EC"/>
    <w:rsid w:val="001B27E7"/>
    <w:rsid w:val="001B2B5C"/>
    <w:rsid w:val="001B364A"/>
    <w:rsid w:val="001B3746"/>
    <w:rsid w:val="001B3956"/>
    <w:rsid w:val="001B3F75"/>
    <w:rsid w:val="001B401F"/>
    <w:rsid w:val="001B40D6"/>
    <w:rsid w:val="001B45C1"/>
    <w:rsid w:val="001B4B0A"/>
    <w:rsid w:val="001B5733"/>
    <w:rsid w:val="001B5F8C"/>
    <w:rsid w:val="001B70B5"/>
    <w:rsid w:val="001B729F"/>
    <w:rsid w:val="001B73EA"/>
    <w:rsid w:val="001B7B36"/>
    <w:rsid w:val="001C039F"/>
    <w:rsid w:val="001C0B53"/>
    <w:rsid w:val="001C0D33"/>
    <w:rsid w:val="001C1208"/>
    <w:rsid w:val="001C1420"/>
    <w:rsid w:val="001C16D7"/>
    <w:rsid w:val="001C170E"/>
    <w:rsid w:val="001C1D24"/>
    <w:rsid w:val="001C2445"/>
    <w:rsid w:val="001C29C5"/>
    <w:rsid w:val="001C34F1"/>
    <w:rsid w:val="001C369F"/>
    <w:rsid w:val="001C40DE"/>
    <w:rsid w:val="001C43B0"/>
    <w:rsid w:val="001C4799"/>
    <w:rsid w:val="001C49E7"/>
    <w:rsid w:val="001C4E9A"/>
    <w:rsid w:val="001C5CC6"/>
    <w:rsid w:val="001C5DC9"/>
    <w:rsid w:val="001C6788"/>
    <w:rsid w:val="001C6B02"/>
    <w:rsid w:val="001C6C48"/>
    <w:rsid w:val="001C6FE4"/>
    <w:rsid w:val="001C7346"/>
    <w:rsid w:val="001C73C2"/>
    <w:rsid w:val="001C7886"/>
    <w:rsid w:val="001D08DF"/>
    <w:rsid w:val="001D0B52"/>
    <w:rsid w:val="001D2A9A"/>
    <w:rsid w:val="001D36F7"/>
    <w:rsid w:val="001D41EF"/>
    <w:rsid w:val="001D4305"/>
    <w:rsid w:val="001D4445"/>
    <w:rsid w:val="001D4CF2"/>
    <w:rsid w:val="001D5524"/>
    <w:rsid w:val="001D6F16"/>
    <w:rsid w:val="001E0103"/>
    <w:rsid w:val="001E0429"/>
    <w:rsid w:val="001E067D"/>
    <w:rsid w:val="001E0B36"/>
    <w:rsid w:val="001E1DDF"/>
    <w:rsid w:val="001E1DFD"/>
    <w:rsid w:val="001E23CC"/>
    <w:rsid w:val="001E296E"/>
    <w:rsid w:val="001E353F"/>
    <w:rsid w:val="001E36E4"/>
    <w:rsid w:val="001E46C2"/>
    <w:rsid w:val="001E483B"/>
    <w:rsid w:val="001E4CD4"/>
    <w:rsid w:val="001E505F"/>
    <w:rsid w:val="001E563E"/>
    <w:rsid w:val="001E5697"/>
    <w:rsid w:val="001E581F"/>
    <w:rsid w:val="001E6008"/>
    <w:rsid w:val="001E643B"/>
    <w:rsid w:val="001E6729"/>
    <w:rsid w:val="001E6AF1"/>
    <w:rsid w:val="001E6BEF"/>
    <w:rsid w:val="001E70C4"/>
    <w:rsid w:val="001E750C"/>
    <w:rsid w:val="001E77EA"/>
    <w:rsid w:val="001E7F67"/>
    <w:rsid w:val="001F085E"/>
    <w:rsid w:val="001F0E1B"/>
    <w:rsid w:val="001F13F9"/>
    <w:rsid w:val="001F1CF4"/>
    <w:rsid w:val="001F2A23"/>
    <w:rsid w:val="001F2C04"/>
    <w:rsid w:val="001F2E84"/>
    <w:rsid w:val="001F2F85"/>
    <w:rsid w:val="001F3354"/>
    <w:rsid w:val="001F40A0"/>
    <w:rsid w:val="001F41BB"/>
    <w:rsid w:val="001F4922"/>
    <w:rsid w:val="001F5A0C"/>
    <w:rsid w:val="001F5D90"/>
    <w:rsid w:val="001F5F1E"/>
    <w:rsid w:val="001F6877"/>
    <w:rsid w:val="001F6A04"/>
    <w:rsid w:val="001F6F0D"/>
    <w:rsid w:val="001F6FA1"/>
    <w:rsid w:val="001F750B"/>
    <w:rsid w:val="001F7C20"/>
    <w:rsid w:val="001F7CE2"/>
    <w:rsid w:val="001F7EDA"/>
    <w:rsid w:val="001F7FAE"/>
    <w:rsid w:val="00200329"/>
    <w:rsid w:val="00201032"/>
    <w:rsid w:val="00201DB5"/>
    <w:rsid w:val="0020216E"/>
    <w:rsid w:val="002024A9"/>
    <w:rsid w:val="00202666"/>
    <w:rsid w:val="0020272F"/>
    <w:rsid w:val="00202774"/>
    <w:rsid w:val="002037DC"/>
    <w:rsid w:val="00203C9A"/>
    <w:rsid w:val="00203F50"/>
    <w:rsid w:val="00204C36"/>
    <w:rsid w:val="0020541B"/>
    <w:rsid w:val="00205DB8"/>
    <w:rsid w:val="0020616E"/>
    <w:rsid w:val="00206855"/>
    <w:rsid w:val="00206D98"/>
    <w:rsid w:val="002074EE"/>
    <w:rsid w:val="0020782F"/>
    <w:rsid w:val="00207834"/>
    <w:rsid w:val="0020792E"/>
    <w:rsid w:val="002079F3"/>
    <w:rsid w:val="00210674"/>
    <w:rsid w:val="00210CAD"/>
    <w:rsid w:val="00210CDD"/>
    <w:rsid w:val="0021165A"/>
    <w:rsid w:val="00211F5E"/>
    <w:rsid w:val="0021295C"/>
    <w:rsid w:val="002132D5"/>
    <w:rsid w:val="0021352C"/>
    <w:rsid w:val="002138D2"/>
    <w:rsid w:val="00214210"/>
    <w:rsid w:val="00214722"/>
    <w:rsid w:val="00215814"/>
    <w:rsid w:val="002158BD"/>
    <w:rsid w:val="002159D0"/>
    <w:rsid w:val="00215B31"/>
    <w:rsid w:val="00216114"/>
    <w:rsid w:val="00216C3D"/>
    <w:rsid w:val="00216C99"/>
    <w:rsid w:val="00216CE1"/>
    <w:rsid w:val="00216F05"/>
    <w:rsid w:val="002170D8"/>
    <w:rsid w:val="002179D6"/>
    <w:rsid w:val="00220496"/>
    <w:rsid w:val="00220816"/>
    <w:rsid w:val="00223D38"/>
    <w:rsid w:val="002243A6"/>
    <w:rsid w:val="0022493A"/>
    <w:rsid w:val="00224A39"/>
    <w:rsid w:val="00224DA5"/>
    <w:rsid w:val="00224DC2"/>
    <w:rsid w:val="00225D1B"/>
    <w:rsid w:val="002260B0"/>
    <w:rsid w:val="00226385"/>
    <w:rsid w:val="002265F9"/>
    <w:rsid w:val="0022663D"/>
    <w:rsid w:val="002273B0"/>
    <w:rsid w:val="0022A9E0"/>
    <w:rsid w:val="002306A9"/>
    <w:rsid w:val="002309F9"/>
    <w:rsid w:val="00230C5D"/>
    <w:rsid w:val="00230EAE"/>
    <w:rsid w:val="002310FA"/>
    <w:rsid w:val="002312FF"/>
    <w:rsid w:val="002316C1"/>
    <w:rsid w:val="00232799"/>
    <w:rsid w:val="00232DAA"/>
    <w:rsid w:val="00232DCF"/>
    <w:rsid w:val="00233F96"/>
    <w:rsid w:val="00234190"/>
    <w:rsid w:val="0023467C"/>
    <w:rsid w:val="00234778"/>
    <w:rsid w:val="0023558A"/>
    <w:rsid w:val="00235B07"/>
    <w:rsid w:val="00235CFA"/>
    <w:rsid w:val="0023652B"/>
    <w:rsid w:val="0023685C"/>
    <w:rsid w:val="00236FE3"/>
    <w:rsid w:val="00240F2E"/>
    <w:rsid w:val="00242924"/>
    <w:rsid w:val="00242D9F"/>
    <w:rsid w:val="002430BB"/>
    <w:rsid w:val="0024447A"/>
    <w:rsid w:val="00244BFE"/>
    <w:rsid w:val="0024516A"/>
    <w:rsid w:val="002452A8"/>
    <w:rsid w:val="00245B01"/>
    <w:rsid w:val="00245FFB"/>
    <w:rsid w:val="0024613F"/>
    <w:rsid w:val="00246626"/>
    <w:rsid w:val="00246D1F"/>
    <w:rsid w:val="00247098"/>
    <w:rsid w:val="00247337"/>
    <w:rsid w:val="0024765E"/>
    <w:rsid w:val="00247C04"/>
    <w:rsid w:val="00247DCF"/>
    <w:rsid w:val="00250217"/>
    <w:rsid w:val="00250CE6"/>
    <w:rsid w:val="002512DD"/>
    <w:rsid w:val="00252540"/>
    <w:rsid w:val="00252D48"/>
    <w:rsid w:val="00252D7F"/>
    <w:rsid w:val="00252DE4"/>
    <w:rsid w:val="002530C5"/>
    <w:rsid w:val="002533BA"/>
    <w:rsid w:val="00253C07"/>
    <w:rsid w:val="00253E13"/>
    <w:rsid w:val="002543AD"/>
    <w:rsid w:val="0025460F"/>
    <w:rsid w:val="002547C8"/>
    <w:rsid w:val="00254FF3"/>
    <w:rsid w:val="00255371"/>
    <w:rsid w:val="002557A7"/>
    <w:rsid w:val="00255AF1"/>
    <w:rsid w:val="00255CDA"/>
    <w:rsid w:val="002561AD"/>
    <w:rsid w:val="002562F2"/>
    <w:rsid w:val="00256716"/>
    <w:rsid w:val="002567EA"/>
    <w:rsid w:val="002569D7"/>
    <w:rsid w:val="00257009"/>
    <w:rsid w:val="00257714"/>
    <w:rsid w:val="002579CD"/>
    <w:rsid w:val="0026010C"/>
    <w:rsid w:val="00260136"/>
    <w:rsid w:val="0026026B"/>
    <w:rsid w:val="00260835"/>
    <w:rsid w:val="00260FC3"/>
    <w:rsid w:val="00261319"/>
    <w:rsid w:val="0026179A"/>
    <w:rsid w:val="002620A6"/>
    <w:rsid w:val="0026299D"/>
    <w:rsid w:val="00262A2E"/>
    <w:rsid w:val="00262BF8"/>
    <w:rsid w:val="002632BA"/>
    <w:rsid w:val="00263692"/>
    <w:rsid w:val="00263747"/>
    <w:rsid w:val="00263914"/>
    <w:rsid w:val="002641F5"/>
    <w:rsid w:val="00264D5F"/>
    <w:rsid w:val="002656AC"/>
    <w:rsid w:val="00265FC1"/>
    <w:rsid w:val="002660E8"/>
    <w:rsid w:val="00266730"/>
    <w:rsid w:val="0026702B"/>
    <w:rsid w:val="002670DA"/>
    <w:rsid w:val="002673C9"/>
    <w:rsid w:val="00267AB7"/>
    <w:rsid w:val="00271749"/>
    <w:rsid w:val="0027265C"/>
    <w:rsid w:val="00273749"/>
    <w:rsid w:val="00273BA0"/>
    <w:rsid w:val="00273EEA"/>
    <w:rsid w:val="00273FC8"/>
    <w:rsid w:val="002746A1"/>
    <w:rsid w:val="00274A9A"/>
    <w:rsid w:val="00274B67"/>
    <w:rsid w:val="002754BC"/>
    <w:rsid w:val="00276888"/>
    <w:rsid w:val="00276A86"/>
    <w:rsid w:val="002770B3"/>
    <w:rsid w:val="002770B4"/>
    <w:rsid w:val="002775B0"/>
    <w:rsid w:val="002775E4"/>
    <w:rsid w:val="00277941"/>
    <w:rsid w:val="00277A76"/>
    <w:rsid w:val="00277BCB"/>
    <w:rsid w:val="00277DA9"/>
    <w:rsid w:val="00280C2B"/>
    <w:rsid w:val="00280FBF"/>
    <w:rsid w:val="00280FC6"/>
    <w:rsid w:val="002816C2"/>
    <w:rsid w:val="002821E7"/>
    <w:rsid w:val="0028225F"/>
    <w:rsid w:val="00282288"/>
    <w:rsid w:val="00282336"/>
    <w:rsid w:val="0028283D"/>
    <w:rsid w:val="00283270"/>
    <w:rsid w:val="00283297"/>
    <w:rsid w:val="002832B8"/>
    <w:rsid w:val="002833FC"/>
    <w:rsid w:val="00283442"/>
    <w:rsid w:val="002837A9"/>
    <w:rsid w:val="00283A78"/>
    <w:rsid w:val="00283C95"/>
    <w:rsid w:val="00284EE1"/>
    <w:rsid w:val="00285260"/>
    <w:rsid w:val="002856B0"/>
    <w:rsid w:val="00285BE8"/>
    <w:rsid w:val="00287CD2"/>
    <w:rsid w:val="00290483"/>
    <w:rsid w:val="0029067C"/>
    <w:rsid w:val="002909D4"/>
    <w:rsid w:val="00290B5D"/>
    <w:rsid w:val="00290C16"/>
    <w:rsid w:val="00291776"/>
    <w:rsid w:val="00291B42"/>
    <w:rsid w:val="00291BB1"/>
    <w:rsid w:val="0029261F"/>
    <w:rsid w:val="002929F8"/>
    <w:rsid w:val="00292E54"/>
    <w:rsid w:val="002934AB"/>
    <w:rsid w:val="00294529"/>
    <w:rsid w:val="002947EA"/>
    <w:rsid w:val="00294E56"/>
    <w:rsid w:val="00294FD8"/>
    <w:rsid w:val="00295017"/>
    <w:rsid w:val="002959FA"/>
    <w:rsid w:val="00295B98"/>
    <w:rsid w:val="002965C3"/>
    <w:rsid w:val="00296E72"/>
    <w:rsid w:val="00296EF2"/>
    <w:rsid w:val="00297955"/>
    <w:rsid w:val="00297B8A"/>
    <w:rsid w:val="00297E45"/>
    <w:rsid w:val="002A0F83"/>
    <w:rsid w:val="002A1594"/>
    <w:rsid w:val="002A17CA"/>
    <w:rsid w:val="002A1991"/>
    <w:rsid w:val="002A206F"/>
    <w:rsid w:val="002A2B01"/>
    <w:rsid w:val="002A2D71"/>
    <w:rsid w:val="002A2FB7"/>
    <w:rsid w:val="002A32C1"/>
    <w:rsid w:val="002A40E8"/>
    <w:rsid w:val="002A420A"/>
    <w:rsid w:val="002A4555"/>
    <w:rsid w:val="002A5287"/>
    <w:rsid w:val="002A5B52"/>
    <w:rsid w:val="002A5C7F"/>
    <w:rsid w:val="002A61F1"/>
    <w:rsid w:val="002A65C9"/>
    <w:rsid w:val="002A7A22"/>
    <w:rsid w:val="002B030E"/>
    <w:rsid w:val="002B0993"/>
    <w:rsid w:val="002B0A36"/>
    <w:rsid w:val="002B10C8"/>
    <w:rsid w:val="002B1BD0"/>
    <w:rsid w:val="002B45BB"/>
    <w:rsid w:val="002B46B9"/>
    <w:rsid w:val="002B51E1"/>
    <w:rsid w:val="002B53F1"/>
    <w:rsid w:val="002B5A65"/>
    <w:rsid w:val="002B5F51"/>
    <w:rsid w:val="002B62A5"/>
    <w:rsid w:val="002B63C5"/>
    <w:rsid w:val="002B6B82"/>
    <w:rsid w:val="002B74D7"/>
    <w:rsid w:val="002B77BC"/>
    <w:rsid w:val="002C0033"/>
    <w:rsid w:val="002C0C42"/>
    <w:rsid w:val="002C13ED"/>
    <w:rsid w:val="002C1DA5"/>
    <w:rsid w:val="002C2029"/>
    <w:rsid w:val="002C2588"/>
    <w:rsid w:val="002C2BFB"/>
    <w:rsid w:val="002C2EC9"/>
    <w:rsid w:val="002C3C4D"/>
    <w:rsid w:val="002C3D67"/>
    <w:rsid w:val="002C495C"/>
    <w:rsid w:val="002C4D4D"/>
    <w:rsid w:val="002C4D5C"/>
    <w:rsid w:val="002C5E11"/>
    <w:rsid w:val="002C6458"/>
    <w:rsid w:val="002C6490"/>
    <w:rsid w:val="002C6C84"/>
    <w:rsid w:val="002C6F73"/>
    <w:rsid w:val="002C73DA"/>
    <w:rsid w:val="002C7451"/>
    <w:rsid w:val="002C7AAE"/>
    <w:rsid w:val="002D0056"/>
    <w:rsid w:val="002D08C4"/>
    <w:rsid w:val="002D1EEB"/>
    <w:rsid w:val="002D2046"/>
    <w:rsid w:val="002D287B"/>
    <w:rsid w:val="002D2992"/>
    <w:rsid w:val="002D2E79"/>
    <w:rsid w:val="002D30EC"/>
    <w:rsid w:val="002D38A0"/>
    <w:rsid w:val="002D4431"/>
    <w:rsid w:val="002D497F"/>
    <w:rsid w:val="002D4C56"/>
    <w:rsid w:val="002D5499"/>
    <w:rsid w:val="002D54D3"/>
    <w:rsid w:val="002D573C"/>
    <w:rsid w:val="002D59B4"/>
    <w:rsid w:val="002D67AB"/>
    <w:rsid w:val="002D7028"/>
    <w:rsid w:val="002D7209"/>
    <w:rsid w:val="002E04B9"/>
    <w:rsid w:val="002E081C"/>
    <w:rsid w:val="002E0F0F"/>
    <w:rsid w:val="002E11A1"/>
    <w:rsid w:val="002E12CA"/>
    <w:rsid w:val="002E18E3"/>
    <w:rsid w:val="002E2C3D"/>
    <w:rsid w:val="002E3026"/>
    <w:rsid w:val="002E3DA0"/>
    <w:rsid w:val="002E4611"/>
    <w:rsid w:val="002E4B94"/>
    <w:rsid w:val="002E5AD0"/>
    <w:rsid w:val="002E69F3"/>
    <w:rsid w:val="002E724A"/>
    <w:rsid w:val="002E7A0D"/>
    <w:rsid w:val="002E7EF4"/>
    <w:rsid w:val="002F020C"/>
    <w:rsid w:val="002F072F"/>
    <w:rsid w:val="002F07FA"/>
    <w:rsid w:val="002F089E"/>
    <w:rsid w:val="002F0A57"/>
    <w:rsid w:val="002F0CC5"/>
    <w:rsid w:val="002F17AD"/>
    <w:rsid w:val="002F1D7F"/>
    <w:rsid w:val="002F25C9"/>
    <w:rsid w:val="002F2787"/>
    <w:rsid w:val="002F2B38"/>
    <w:rsid w:val="002F31F0"/>
    <w:rsid w:val="002F3983"/>
    <w:rsid w:val="002F4610"/>
    <w:rsid w:val="002F49BD"/>
    <w:rsid w:val="002F569E"/>
    <w:rsid w:val="002F5A66"/>
    <w:rsid w:val="002F6723"/>
    <w:rsid w:val="002F7369"/>
    <w:rsid w:val="002F7532"/>
    <w:rsid w:val="002F75BF"/>
    <w:rsid w:val="002F7B2C"/>
    <w:rsid w:val="003000E6"/>
    <w:rsid w:val="00300433"/>
    <w:rsid w:val="0030149F"/>
    <w:rsid w:val="003014B4"/>
    <w:rsid w:val="003017F3"/>
    <w:rsid w:val="00301B82"/>
    <w:rsid w:val="00302F96"/>
    <w:rsid w:val="003035B5"/>
    <w:rsid w:val="003039A8"/>
    <w:rsid w:val="0030420C"/>
    <w:rsid w:val="00304407"/>
    <w:rsid w:val="00304646"/>
    <w:rsid w:val="00304760"/>
    <w:rsid w:val="00304FD7"/>
    <w:rsid w:val="0030508A"/>
    <w:rsid w:val="003052C5"/>
    <w:rsid w:val="003063C7"/>
    <w:rsid w:val="00306BB8"/>
    <w:rsid w:val="00306C55"/>
    <w:rsid w:val="00306D13"/>
    <w:rsid w:val="00307FC4"/>
    <w:rsid w:val="003104B5"/>
    <w:rsid w:val="00310B1A"/>
    <w:rsid w:val="00310E13"/>
    <w:rsid w:val="003114ED"/>
    <w:rsid w:val="00311980"/>
    <w:rsid w:val="00311D9C"/>
    <w:rsid w:val="00312F95"/>
    <w:rsid w:val="00313061"/>
    <w:rsid w:val="00313F38"/>
    <w:rsid w:val="003143EB"/>
    <w:rsid w:val="00316111"/>
    <w:rsid w:val="003164F4"/>
    <w:rsid w:val="003165AF"/>
    <w:rsid w:val="003165B0"/>
    <w:rsid w:val="003176F9"/>
    <w:rsid w:val="00317DA3"/>
    <w:rsid w:val="00317F7C"/>
    <w:rsid w:val="003204D1"/>
    <w:rsid w:val="00320ADD"/>
    <w:rsid w:val="00321AB2"/>
    <w:rsid w:val="00321BCC"/>
    <w:rsid w:val="00322F83"/>
    <w:rsid w:val="003230CA"/>
    <w:rsid w:val="0032337D"/>
    <w:rsid w:val="003237E7"/>
    <w:rsid w:val="00323C1C"/>
    <w:rsid w:val="00323CB6"/>
    <w:rsid w:val="00323D53"/>
    <w:rsid w:val="00324A53"/>
    <w:rsid w:val="00324AC1"/>
    <w:rsid w:val="00324F30"/>
    <w:rsid w:val="00326043"/>
    <w:rsid w:val="00326173"/>
    <w:rsid w:val="0032622C"/>
    <w:rsid w:val="00326787"/>
    <w:rsid w:val="00326BEB"/>
    <w:rsid w:val="0032707C"/>
    <w:rsid w:val="00327B99"/>
    <w:rsid w:val="00330563"/>
    <w:rsid w:val="00330878"/>
    <w:rsid w:val="003316E9"/>
    <w:rsid w:val="00331E0B"/>
    <w:rsid w:val="00331E2C"/>
    <w:rsid w:val="003320A6"/>
    <w:rsid w:val="0033293C"/>
    <w:rsid w:val="003336D2"/>
    <w:rsid w:val="00333770"/>
    <w:rsid w:val="00333F6D"/>
    <w:rsid w:val="00335970"/>
    <w:rsid w:val="00335988"/>
    <w:rsid w:val="00335DB1"/>
    <w:rsid w:val="00335F30"/>
    <w:rsid w:val="00336E0E"/>
    <w:rsid w:val="003376C0"/>
    <w:rsid w:val="0033780F"/>
    <w:rsid w:val="003402BD"/>
    <w:rsid w:val="003405DC"/>
    <w:rsid w:val="003408A8"/>
    <w:rsid w:val="00340B38"/>
    <w:rsid w:val="003414DD"/>
    <w:rsid w:val="00341B9D"/>
    <w:rsid w:val="00341F5F"/>
    <w:rsid w:val="00342BDB"/>
    <w:rsid w:val="00342C21"/>
    <w:rsid w:val="00342C7D"/>
    <w:rsid w:val="00342DE9"/>
    <w:rsid w:val="003436A0"/>
    <w:rsid w:val="00343988"/>
    <w:rsid w:val="00343D6E"/>
    <w:rsid w:val="00343E0A"/>
    <w:rsid w:val="00344386"/>
    <w:rsid w:val="003451B6"/>
    <w:rsid w:val="00345572"/>
    <w:rsid w:val="00345B92"/>
    <w:rsid w:val="003462A2"/>
    <w:rsid w:val="0034665B"/>
    <w:rsid w:val="00346A4D"/>
    <w:rsid w:val="00347254"/>
    <w:rsid w:val="003474B2"/>
    <w:rsid w:val="003477C7"/>
    <w:rsid w:val="00350305"/>
    <w:rsid w:val="003503F8"/>
    <w:rsid w:val="00351049"/>
    <w:rsid w:val="00351A3E"/>
    <w:rsid w:val="00352547"/>
    <w:rsid w:val="0035293C"/>
    <w:rsid w:val="00353225"/>
    <w:rsid w:val="0035332B"/>
    <w:rsid w:val="003537C0"/>
    <w:rsid w:val="003540B0"/>
    <w:rsid w:val="00354193"/>
    <w:rsid w:val="00354AA1"/>
    <w:rsid w:val="00355644"/>
    <w:rsid w:val="003556CD"/>
    <w:rsid w:val="00355939"/>
    <w:rsid w:val="00356454"/>
    <w:rsid w:val="003564ED"/>
    <w:rsid w:val="00356B36"/>
    <w:rsid w:val="00357382"/>
    <w:rsid w:val="003575EC"/>
    <w:rsid w:val="003576F8"/>
    <w:rsid w:val="00357AAA"/>
    <w:rsid w:val="00357C26"/>
    <w:rsid w:val="00357C71"/>
    <w:rsid w:val="00357FAA"/>
    <w:rsid w:val="00360046"/>
    <w:rsid w:val="003626C5"/>
    <w:rsid w:val="00362D9B"/>
    <w:rsid w:val="0036458D"/>
    <w:rsid w:val="003645E2"/>
    <w:rsid w:val="003646CA"/>
    <w:rsid w:val="00365DB9"/>
    <w:rsid w:val="003662DD"/>
    <w:rsid w:val="00366532"/>
    <w:rsid w:val="0036688E"/>
    <w:rsid w:val="0036691F"/>
    <w:rsid w:val="00366B27"/>
    <w:rsid w:val="00366CAC"/>
    <w:rsid w:val="00366F8A"/>
    <w:rsid w:val="00367D8A"/>
    <w:rsid w:val="00367FE8"/>
    <w:rsid w:val="003705F6"/>
    <w:rsid w:val="003709B3"/>
    <w:rsid w:val="00370CB8"/>
    <w:rsid w:val="00371080"/>
    <w:rsid w:val="0037140D"/>
    <w:rsid w:val="00371DA4"/>
    <w:rsid w:val="003734DD"/>
    <w:rsid w:val="00373739"/>
    <w:rsid w:val="003738CE"/>
    <w:rsid w:val="00373F23"/>
    <w:rsid w:val="00373F28"/>
    <w:rsid w:val="00374393"/>
    <w:rsid w:val="0037459A"/>
    <w:rsid w:val="00374C7D"/>
    <w:rsid w:val="0037526B"/>
    <w:rsid w:val="00375DB4"/>
    <w:rsid w:val="00375EF8"/>
    <w:rsid w:val="00375FCB"/>
    <w:rsid w:val="00376154"/>
    <w:rsid w:val="00376AB2"/>
    <w:rsid w:val="00377975"/>
    <w:rsid w:val="00377A54"/>
    <w:rsid w:val="00377BDE"/>
    <w:rsid w:val="00377DE9"/>
    <w:rsid w:val="00380C58"/>
    <w:rsid w:val="0038103D"/>
    <w:rsid w:val="003810E5"/>
    <w:rsid w:val="00381F4D"/>
    <w:rsid w:val="003824ED"/>
    <w:rsid w:val="003826BF"/>
    <w:rsid w:val="0038274A"/>
    <w:rsid w:val="0038279F"/>
    <w:rsid w:val="00382C52"/>
    <w:rsid w:val="00382D9F"/>
    <w:rsid w:val="00383F5D"/>
    <w:rsid w:val="003843F6"/>
    <w:rsid w:val="003844E3"/>
    <w:rsid w:val="00384756"/>
    <w:rsid w:val="00385603"/>
    <w:rsid w:val="00385A3D"/>
    <w:rsid w:val="00385DBF"/>
    <w:rsid w:val="00385FB3"/>
    <w:rsid w:val="00386A6F"/>
    <w:rsid w:val="00386B45"/>
    <w:rsid w:val="0038710F"/>
    <w:rsid w:val="003873BB"/>
    <w:rsid w:val="003874C4"/>
    <w:rsid w:val="00387B3E"/>
    <w:rsid w:val="003902D9"/>
    <w:rsid w:val="00390301"/>
    <w:rsid w:val="00390701"/>
    <w:rsid w:val="003915F0"/>
    <w:rsid w:val="00391E2A"/>
    <w:rsid w:val="00392182"/>
    <w:rsid w:val="003925FE"/>
    <w:rsid w:val="003932B9"/>
    <w:rsid w:val="00393DD3"/>
    <w:rsid w:val="0039564A"/>
    <w:rsid w:val="00395A7B"/>
    <w:rsid w:val="00395B19"/>
    <w:rsid w:val="003965CA"/>
    <w:rsid w:val="00396B4B"/>
    <w:rsid w:val="00396EF0"/>
    <w:rsid w:val="0039748C"/>
    <w:rsid w:val="00397B63"/>
    <w:rsid w:val="00397D9E"/>
    <w:rsid w:val="00397E61"/>
    <w:rsid w:val="003A035B"/>
    <w:rsid w:val="003A0BFB"/>
    <w:rsid w:val="003A190C"/>
    <w:rsid w:val="003A1CBF"/>
    <w:rsid w:val="003A1EB3"/>
    <w:rsid w:val="003A2E67"/>
    <w:rsid w:val="003A2F59"/>
    <w:rsid w:val="003A3480"/>
    <w:rsid w:val="003A36F0"/>
    <w:rsid w:val="003A38BC"/>
    <w:rsid w:val="003A4D31"/>
    <w:rsid w:val="003A4DDF"/>
    <w:rsid w:val="003A5259"/>
    <w:rsid w:val="003A587D"/>
    <w:rsid w:val="003A6A5D"/>
    <w:rsid w:val="003A6D1E"/>
    <w:rsid w:val="003A709E"/>
    <w:rsid w:val="003A74D9"/>
    <w:rsid w:val="003A7671"/>
    <w:rsid w:val="003A7A85"/>
    <w:rsid w:val="003A7C9D"/>
    <w:rsid w:val="003B11D6"/>
    <w:rsid w:val="003B1422"/>
    <w:rsid w:val="003B15FE"/>
    <w:rsid w:val="003B1A31"/>
    <w:rsid w:val="003B1EFE"/>
    <w:rsid w:val="003B217A"/>
    <w:rsid w:val="003B2AB2"/>
    <w:rsid w:val="003B2F32"/>
    <w:rsid w:val="003B3183"/>
    <w:rsid w:val="003B33A7"/>
    <w:rsid w:val="003B3D03"/>
    <w:rsid w:val="003B417A"/>
    <w:rsid w:val="003B4817"/>
    <w:rsid w:val="003B5A50"/>
    <w:rsid w:val="003B5C48"/>
    <w:rsid w:val="003B5CF7"/>
    <w:rsid w:val="003B616E"/>
    <w:rsid w:val="003B617C"/>
    <w:rsid w:val="003B6674"/>
    <w:rsid w:val="003B66A1"/>
    <w:rsid w:val="003B699C"/>
    <w:rsid w:val="003B6BBD"/>
    <w:rsid w:val="003B7CD7"/>
    <w:rsid w:val="003B7E3D"/>
    <w:rsid w:val="003C0177"/>
    <w:rsid w:val="003C136C"/>
    <w:rsid w:val="003C17CE"/>
    <w:rsid w:val="003C1816"/>
    <w:rsid w:val="003C1C73"/>
    <w:rsid w:val="003C2D92"/>
    <w:rsid w:val="003C2FEB"/>
    <w:rsid w:val="003C3212"/>
    <w:rsid w:val="003C3457"/>
    <w:rsid w:val="003C3658"/>
    <w:rsid w:val="003C38E1"/>
    <w:rsid w:val="003C3AC1"/>
    <w:rsid w:val="003C3AFA"/>
    <w:rsid w:val="003C3ED6"/>
    <w:rsid w:val="003C4169"/>
    <w:rsid w:val="003C4C1C"/>
    <w:rsid w:val="003C4CAB"/>
    <w:rsid w:val="003C5C78"/>
    <w:rsid w:val="003C67F5"/>
    <w:rsid w:val="003C70C4"/>
    <w:rsid w:val="003C72FD"/>
    <w:rsid w:val="003C73C5"/>
    <w:rsid w:val="003C75EB"/>
    <w:rsid w:val="003C7AD7"/>
    <w:rsid w:val="003D0282"/>
    <w:rsid w:val="003D04F4"/>
    <w:rsid w:val="003D08C1"/>
    <w:rsid w:val="003D0958"/>
    <w:rsid w:val="003D0B0D"/>
    <w:rsid w:val="003D0C73"/>
    <w:rsid w:val="003D0F05"/>
    <w:rsid w:val="003D13D6"/>
    <w:rsid w:val="003D20E6"/>
    <w:rsid w:val="003D2729"/>
    <w:rsid w:val="003D2A86"/>
    <w:rsid w:val="003D3074"/>
    <w:rsid w:val="003D31BA"/>
    <w:rsid w:val="003D3BD6"/>
    <w:rsid w:val="003D3D9C"/>
    <w:rsid w:val="003D40A3"/>
    <w:rsid w:val="003D40FB"/>
    <w:rsid w:val="003D495D"/>
    <w:rsid w:val="003D4B41"/>
    <w:rsid w:val="003D5244"/>
    <w:rsid w:val="003D534B"/>
    <w:rsid w:val="003D6700"/>
    <w:rsid w:val="003D671A"/>
    <w:rsid w:val="003D6EBA"/>
    <w:rsid w:val="003D6F0A"/>
    <w:rsid w:val="003D709E"/>
    <w:rsid w:val="003D713B"/>
    <w:rsid w:val="003D7417"/>
    <w:rsid w:val="003D783C"/>
    <w:rsid w:val="003D7C67"/>
    <w:rsid w:val="003D7E59"/>
    <w:rsid w:val="003D7EBC"/>
    <w:rsid w:val="003E026D"/>
    <w:rsid w:val="003E0A51"/>
    <w:rsid w:val="003E13DE"/>
    <w:rsid w:val="003E1792"/>
    <w:rsid w:val="003E180E"/>
    <w:rsid w:val="003E1A42"/>
    <w:rsid w:val="003E3D31"/>
    <w:rsid w:val="003E3DD1"/>
    <w:rsid w:val="003E3EC3"/>
    <w:rsid w:val="003E44AB"/>
    <w:rsid w:val="003E48AD"/>
    <w:rsid w:val="003E4AF1"/>
    <w:rsid w:val="003E4B6E"/>
    <w:rsid w:val="003E5CCD"/>
    <w:rsid w:val="003E6022"/>
    <w:rsid w:val="003E63A4"/>
    <w:rsid w:val="003E65DE"/>
    <w:rsid w:val="003E6D57"/>
    <w:rsid w:val="003E758A"/>
    <w:rsid w:val="003E7602"/>
    <w:rsid w:val="003E78D6"/>
    <w:rsid w:val="003F0274"/>
    <w:rsid w:val="003F06E0"/>
    <w:rsid w:val="003F08F7"/>
    <w:rsid w:val="003F1979"/>
    <w:rsid w:val="003F201B"/>
    <w:rsid w:val="003F22F6"/>
    <w:rsid w:val="003F2958"/>
    <w:rsid w:val="003F2ED0"/>
    <w:rsid w:val="003F3D9F"/>
    <w:rsid w:val="003F4377"/>
    <w:rsid w:val="003F4381"/>
    <w:rsid w:val="003F477E"/>
    <w:rsid w:val="003F5498"/>
    <w:rsid w:val="003F6271"/>
    <w:rsid w:val="003F695C"/>
    <w:rsid w:val="003F6A3C"/>
    <w:rsid w:val="003F6E95"/>
    <w:rsid w:val="003F7243"/>
    <w:rsid w:val="003F7A33"/>
    <w:rsid w:val="003F7CBC"/>
    <w:rsid w:val="004001EA"/>
    <w:rsid w:val="0040061C"/>
    <w:rsid w:val="00400A90"/>
    <w:rsid w:val="00400E14"/>
    <w:rsid w:val="00400F54"/>
    <w:rsid w:val="00401041"/>
    <w:rsid w:val="00401A72"/>
    <w:rsid w:val="00401D38"/>
    <w:rsid w:val="0040223B"/>
    <w:rsid w:val="004035B6"/>
    <w:rsid w:val="00403D41"/>
    <w:rsid w:val="00403E7E"/>
    <w:rsid w:val="00403F9B"/>
    <w:rsid w:val="004046FE"/>
    <w:rsid w:val="00404AEF"/>
    <w:rsid w:val="004067F9"/>
    <w:rsid w:val="00406FA7"/>
    <w:rsid w:val="00407336"/>
    <w:rsid w:val="00407AAD"/>
    <w:rsid w:val="0041015E"/>
    <w:rsid w:val="00410609"/>
    <w:rsid w:val="0041062A"/>
    <w:rsid w:val="00411325"/>
    <w:rsid w:val="004114C8"/>
    <w:rsid w:val="0041162B"/>
    <w:rsid w:val="00411C18"/>
    <w:rsid w:val="0041227F"/>
    <w:rsid w:val="004124E1"/>
    <w:rsid w:val="004128A4"/>
    <w:rsid w:val="00412B7A"/>
    <w:rsid w:val="00413025"/>
    <w:rsid w:val="00413134"/>
    <w:rsid w:val="0041329F"/>
    <w:rsid w:val="004137AD"/>
    <w:rsid w:val="004147CA"/>
    <w:rsid w:val="0041524F"/>
    <w:rsid w:val="0041547A"/>
    <w:rsid w:val="004154D3"/>
    <w:rsid w:val="00415B15"/>
    <w:rsid w:val="00416422"/>
    <w:rsid w:val="00416E15"/>
    <w:rsid w:val="00417650"/>
    <w:rsid w:val="0042121D"/>
    <w:rsid w:val="004212FF"/>
    <w:rsid w:val="0042131F"/>
    <w:rsid w:val="00421F31"/>
    <w:rsid w:val="004225F7"/>
    <w:rsid w:val="0042304D"/>
    <w:rsid w:val="00423CCF"/>
    <w:rsid w:val="00423D67"/>
    <w:rsid w:val="00423DF5"/>
    <w:rsid w:val="00423E3C"/>
    <w:rsid w:val="00424C86"/>
    <w:rsid w:val="00424DCA"/>
    <w:rsid w:val="00425445"/>
    <w:rsid w:val="00425B1C"/>
    <w:rsid w:val="004269D9"/>
    <w:rsid w:val="00426DDA"/>
    <w:rsid w:val="004271DB"/>
    <w:rsid w:val="00427977"/>
    <w:rsid w:val="00427A81"/>
    <w:rsid w:val="00430633"/>
    <w:rsid w:val="00430B8E"/>
    <w:rsid w:val="00430CC7"/>
    <w:rsid w:val="00430EED"/>
    <w:rsid w:val="0043122A"/>
    <w:rsid w:val="0043130F"/>
    <w:rsid w:val="0043136A"/>
    <w:rsid w:val="00431A61"/>
    <w:rsid w:val="00431F79"/>
    <w:rsid w:val="0043240C"/>
    <w:rsid w:val="00432822"/>
    <w:rsid w:val="0043297B"/>
    <w:rsid w:val="00432C1E"/>
    <w:rsid w:val="00432E49"/>
    <w:rsid w:val="00433ABF"/>
    <w:rsid w:val="00433BD8"/>
    <w:rsid w:val="004341E1"/>
    <w:rsid w:val="00434CA4"/>
    <w:rsid w:val="00434F7C"/>
    <w:rsid w:val="0043521E"/>
    <w:rsid w:val="00435260"/>
    <w:rsid w:val="00436311"/>
    <w:rsid w:val="00437219"/>
    <w:rsid w:val="00437315"/>
    <w:rsid w:val="0043769D"/>
    <w:rsid w:val="00437EF9"/>
    <w:rsid w:val="004403BD"/>
    <w:rsid w:val="00441264"/>
    <w:rsid w:val="0044196B"/>
    <w:rsid w:val="00441DE8"/>
    <w:rsid w:val="004428EA"/>
    <w:rsid w:val="00442F4A"/>
    <w:rsid w:val="00442F50"/>
    <w:rsid w:val="004442FC"/>
    <w:rsid w:val="00444CDA"/>
    <w:rsid w:val="00445423"/>
    <w:rsid w:val="0044569A"/>
    <w:rsid w:val="00445938"/>
    <w:rsid w:val="00446160"/>
    <w:rsid w:val="0044662F"/>
    <w:rsid w:val="004468F7"/>
    <w:rsid w:val="00446C83"/>
    <w:rsid w:val="00446CCD"/>
    <w:rsid w:val="00446F6B"/>
    <w:rsid w:val="00447394"/>
    <w:rsid w:val="004475AD"/>
    <w:rsid w:val="00447EEB"/>
    <w:rsid w:val="00450CFE"/>
    <w:rsid w:val="00450EDE"/>
    <w:rsid w:val="00451E1B"/>
    <w:rsid w:val="00452694"/>
    <w:rsid w:val="00452ADB"/>
    <w:rsid w:val="004531A7"/>
    <w:rsid w:val="00453B0E"/>
    <w:rsid w:val="00453C31"/>
    <w:rsid w:val="00454B15"/>
    <w:rsid w:val="00454B54"/>
    <w:rsid w:val="00455739"/>
    <w:rsid w:val="00455790"/>
    <w:rsid w:val="0045607F"/>
    <w:rsid w:val="00456889"/>
    <w:rsid w:val="00456DCE"/>
    <w:rsid w:val="00456EF6"/>
    <w:rsid w:val="00456F72"/>
    <w:rsid w:val="00460EA7"/>
    <w:rsid w:val="00461035"/>
    <w:rsid w:val="00461498"/>
    <w:rsid w:val="00461B02"/>
    <w:rsid w:val="00461E07"/>
    <w:rsid w:val="00461F4E"/>
    <w:rsid w:val="004621E2"/>
    <w:rsid w:val="00462265"/>
    <w:rsid w:val="004625F0"/>
    <w:rsid w:val="004627CC"/>
    <w:rsid w:val="00463B74"/>
    <w:rsid w:val="00464197"/>
    <w:rsid w:val="004643C6"/>
    <w:rsid w:val="00465179"/>
    <w:rsid w:val="0046558E"/>
    <w:rsid w:val="00465F15"/>
    <w:rsid w:val="0046648B"/>
    <w:rsid w:val="00466853"/>
    <w:rsid w:val="00466D97"/>
    <w:rsid w:val="00466E50"/>
    <w:rsid w:val="00467156"/>
    <w:rsid w:val="0046764D"/>
    <w:rsid w:val="004700CE"/>
    <w:rsid w:val="00470816"/>
    <w:rsid w:val="0047096A"/>
    <w:rsid w:val="004709DA"/>
    <w:rsid w:val="00472000"/>
    <w:rsid w:val="00472107"/>
    <w:rsid w:val="00472555"/>
    <w:rsid w:val="00472972"/>
    <w:rsid w:val="00473000"/>
    <w:rsid w:val="004736B0"/>
    <w:rsid w:val="00473830"/>
    <w:rsid w:val="004739A8"/>
    <w:rsid w:val="00473AA1"/>
    <w:rsid w:val="00473B89"/>
    <w:rsid w:val="00473D68"/>
    <w:rsid w:val="00476725"/>
    <w:rsid w:val="00476851"/>
    <w:rsid w:val="00476D96"/>
    <w:rsid w:val="004808C4"/>
    <w:rsid w:val="00481662"/>
    <w:rsid w:val="00481680"/>
    <w:rsid w:val="004818FA"/>
    <w:rsid w:val="00482549"/>
    <w:rsid w:val="0048299A"/>
    <w:rsid w:val="00482DC0"/>
    <w:rsid w:val="00483B05"/>
    <w:rsid w:val="0048476F"/>
    <w:rsid w:val="00484967"/>
    <w:rsid w:val="00486717"/>
    <w:rsid w:val="004870BE"/>
    <w:rsid w:val="00487B9F"/>
    <w:rsid w:val="00487E98"/>
    <w:rsid w:val="004902A9"/>
    <w:rsid w:val="0049062B"/>
    <w:rsid w:val="0049131E"/>
    <w:rsid w:val="00491B50"/>
    <w:rsid w:val="00491E36"/>
    <w:rsid w:val="00492055"/>
    <w:rsid w:val="0049238F"/>
    <w:rsid w:val="0049254B"/>
    <w:rsid w:val="00492E22"/>
    <w:rsid w:val="00492E3B"/>
    <w:rsid w:val="004933C7"/>
    <w:rsid w:val="00493A58"/>
    <w:rsid w:val="00493F92"/>
    <w:rsid w:val="00494789"/>
    <w:rsid w:val="00494841"/>
    <w:rsid w:val="0049491B"/>
    <w:rsid w:val="00494B88"/>
    <w:rsid w:val="00494E64"/>
    <w:rsid w:val="004958C4"/>
    <w:rsid w:val="004966DD"/>
    <w:rsid w:val="00496B7C"/>
    <w:rsid w:val="00497E95"/>
    <w:rsid w:val="004A069A"/>
    <w:rsid w:val="004A0C38"/>
    <w:rsid w:val="004A0CB6"/>
    <w:rsid w:val="004A1457"/>
    <w:rsid w:val="004A15D6"/>
    <w:rsid w:val="004A1CA8"/>
    <w:rsid w:val="004A261E"/>
    <w:rsid w:val="004A28BA"/>
    <w:rsid w:val="004A2986"/>
    <w:rsid w:val="004A2C29"/>
    <w:rsid w:val="004A3B35"/>
    <w:rsid w:val="004A3E49"/>
    <w:rsid w:val="004A3FC6"/>
    <w:rsid w:val="004A40F4"/>
    <w:rsid w:val="004A418F"/>
    <w:rsid w:val="004A425B"/>
    <w:rsid w:val="004A436B"/>
    <w:rsid w:val="004A4B59"/>
    <w:rsid w:val="004A4D71"/>
    <w:rsid w:val="004A4E01"/>
    <w:rsid w:val="004A5215"/>
    <w:rsid w:val="004A6568"/>
    <w:rsid w:val="004A66B3"/>
    <w:rsid w:val="004A68D0"/>
    <w:rsid w:val="004A69F1"/>
    <w:rsid w:val="004A6B58"/>
    <w:rsid w:val="004A6E5A"/>
    <w:rsid w:val="004A70CA"/>
    <w:rsid w:val="004A72A3"/>
    <w:rsid w:val="004A74FB"/>
    <w:rsid w:val="004A7AFF"/>
    <w:rsid w:val="004A7B4D"/>
    <w:rsid w:val="004B061B"/>
    <w:rsid w:val="004B06B6"/>
    <w:rsid w:val="004B083C"/>
    <w:rsid w:val="004B0D27"/>
    <w:rsid w:val="004B1C88"/>
    <w:rsid w:val="004B21B1"/>
    <w:rsid w:val="004B284E"/>
    <w:rsid w:val="004B29DD"/>
    <w:rsid w:val="004B2DE3"/>
    <w:rsid w:val="004B311D"/>
    <w:rsid w:val="004B3192"/>
    <w:rsid w:val="004B3F6F"/>
    <w:rsid w:val="004B4DE7"/>
    <w:rsid w:val="004B533E"/>
    <w:rsid w:val="004B54EC"/>
    <w:rsid w:val="004B569A"/>
    <w:rsid w:val="004B6A24"/>
    <w:rsid w:val="004B6A89"/>
    <w:rsid w:val="004B6E6A"/>
    <w:rsid w:val="004B74C7"/>
    <w:rsid w:val="004B77E5"/>
    <w:rsid w:val="004B786A"/>
    <w:rsid w:val="004B794D"/>
    <w:rsid w:val="004B7C6F"/>
    <w:rsid w:val="004B7D26"/>
    <w:rsid w:val="004C03A9"/>
    <w:rsid w:val="004C054F"/>
    <w:rsid w:val="004C07FF"/>
    <w:rsid w:val="004C0D73"/>
    <w:rsid w:val="004C1AB2"/>
    <w:rsid w:val="004C218F"/>
    <w:rsid w:val="004C2D1F"/>
    <w:rsid w:val="004C2E67"/>
    <w:rsid w:val="004C2F6C"/>
    <w:rsid w:val="004C3CEA"/>
    <w:rsid w:val="004C3EE5"/>
    <w:rsid w:val="004C3F28"/>
    <w:rsid w:val="004C471C"/>
    <w:rsid w:val="004C4797"/>
    <w:rsid w:val="004C47C9"/>
    <w:rsid w:val="004C6A07"/>
    <w:rsid w:val="004C6B74"/>
    <w:rsid w:val="004C751D"/>
    <w:rsid w:val="004D022C"/>
    <w:rsid w:val="004D0A63"/>
    <w:rsid w:val="004D0C69"/>
    <w:rsid w:val="004D0E3E"/>
    <w:rsid w:val="004D0F26"/>
    <w:rsid w:val="004D2032"/>
    <w:rsid w:val="004D2095"/>
    <w:rsid w:val="004D223F"/>
    <w:rsid w:val="004D2CE6"/>
    <w:rsid w:val="004D31A8"/>
    <w:rsid w:val="004D34C7"/>
    <w:rsid w:val="004D351C"/>
    <w:rsid w:val="004D3ABD"/>
    <w:rsid w:val="004D3B38"/>
    <w:rsid w:val="004D44C9"/>
    <w:rsid w:val="004D4C39"/>
    <w:rsid w:val="004D549A"/>
    <w:rsid w:val="004D5ABD"/>
    <w:rsid w:val="004D5C01"/>
    <w:rsid w:val="004D6254"/>
    <w:rsid w:val="004D6D79"/>
    <w:rsid w:val="004D6E06"/>
    <w:rsid w:val="004D7093"/>
    <w:rsid w:val="004D7E2C"/>
    <w:rsid w:val="004E01C6"/>
    <w:rsid w:val="004E0204"/>
    <w:rsid w:val="004E08B1"/>
    <w:rsid w:val="004E0B40"/>
    <w:rsid w:val="004E18BC"/>
    <w:rsid w:val="004E1E6A"/>
    <w:rsid w:val="004E2903"/>
    <w:rsid w:val="004E2CEE"/>
    <w:rsid w:val="004E2D54"/>
    <w:rsid w:val="004E308C"/>
    <w:rsid w:val="004E3967"/>
    <w:rsid w:val="004E4809"/>
    <w:rsid w:val="004E4AE0"/>
    <w:rsid w:val="004E5206"/>
    <w:rsid w:val="004E6481"/>
    <w:rsid w:val="004E700F"/>
    <w:rsid w:val="004E70C1"/>
    <w:rsid w:val="004E7156"/>
    <w:rsid w:val="004E7235"/>
    <w:rsid w:val="004E73F3"/>
    <w:rsid w:val="004E76BD"/>
    <w:rsid w:val="004E7832"/>
    <w:rsid w:val="004E789C"/>
    <w:rsid w:val="004E7A6C"/>
    <w:rsid w:val="004F03DA"/>
    <w:rsid w:val="004F07C7"/>
    <w:rsid w:val="004F0C0C"/>
    <w:rsid w:val="004F0D5C"/>
    <w:rsid w:val="004F105E"/>
    <w:rsid w:val="004F11BB"/>
    <w:rsid w:val="004F2172"/>
    <w:rsid w:val="004F246C"/>
    <w:rsid w:val="004F25C3"/>
    <w:rsid w:val="004F2E24"/>
    <w:rsid w:val="004F371A"/>
    <w:rsid w:val="004F3B81"/>
    <w:rsid w:val="004F436D"/>
    <w:rsid w:val="004F4C8D"/>
    <w:rsid w:val="004F50B5"/>
    <w:rsid w:val="004F50F3"/>
    <w:rsid w:val="004F5CD0"/>
    <w:rsid w:val="004F5CE1"/>
    <w:rsid w:val="004F5FA9"/>
    <w:rsid w:val="004F6056"/>
    <w:rsid w:val="004F678B"/>
    <w:rsid w:val="004F6A2D"/>
    <w:rsid w:val="004F6DE1"/>
    <w:rsid w:val="004F7291"/>
    <w:rsid w:val="0050083F"/>
    <w:rsid w:val="00500D1D"/>
    <w:rsid w:val="005010E2"/>
    <w:rsid w:val="005015D0"/>
    <w:rsid w:val="00501A33"/>
    <w:rsid w:val="00501ACA"/>
    <w:rsid w:val="0050218B"/>
    <w:rsid w:val="005025E5"/>
    <w:rsid w:val="005027B2"/>
    <w:rsid w:val="00502AC3"/>
    <w:rsid w:val="00502FA9"/>
    <w:rsid w:val="00504878"/>
    <w:rsid w:val="00504CA5"/>
    <w:rsid w:val="005058BF"/>
    <w:rsid w:val="00505BF7"/>
    <w:rsid w:val="00506305"/>
    <w:rsid w:val="00507A91"/>
    <w:rsid w:val="00507B1B"/>
    <w:rsid w:val="00507E1A"/>
    <w:rsid w:val="00507E9A"/>
    <w:rsid w:val="00510221"/>
    <w:rsid w:val="005105AD"/>
    <w:rsid w:val="00510AC4"/>
    <w:rsid w:val="00510F27"/>
    <w:rsid w:val="0051105E"/>
    <w:rsid w:val="00512604"/>
    <w:rsid w:val="00512DAA"/>
    <w:rsid w:val="0051306C"/>
    <w:rsid w:val="005132AB"/>
    <w:rsid w:val="00513624"/>
    <w:rsid w:val="0051373E"/>
    <w:rsid w:val="00514338"/>
    <w:rsid w:val="00514931"/>
    <w:rsid w:val="00514E03"/>
    <w:rsid w:val="0051542E"/>
    <w:rsid w:val="005173BC"/>
    <w:rsid w:val="005174E8"/>
    <w:rsid w:val="00517730"/>
    <w:rsid w:val="005200B7"/>
    <w:rsid w:val="005203BF"/>
    <w:rsid w:val="005210DD"/>
    <w:rsid w:val="00521222"/>
    <w:rsid w:val="005218A8"/>
    <w:rsid w:val="00521A82"/>
    <w:rsid w:val="00522352"/>
    <w:rsid w:val="0052313A"/>
    <w:rsid w:val="00523168"/>
    <w:rsid w:val="00523793"/>
    <w:rsid w:val="005237EA"/>
    <w:rsid w:val="0052382F"/>
    <w:rsid w:val="00523CC2"/>
    <w:rsid w:val="00523D27"/>
    <w:rsid w:val="00524104"/>
    <w:rsid w:val="00524254"/>
    <w:rsid w:val="00524255"/>
    <w:rsid w:val="005242E0"/>
    <w:rsid w:val="005243E4"/>
    <w:rsid w:val="00524535"/>
    <w:rsid w:val="00524620"/>
    <w:rsid w:val="0052471E"/>
    <w:rsid w:val="005254A3"/>
    <w:rsid w:val="005258D0"/>
    <w:rsid w:val="005258F7"/>
    <w:rsid w:val="00525C19"/>
    <w:rsid w:val="00525D45"/>
    <w:rsid w:val="005260B2"/>
    <w:rsid w:val="005269B6"/>
    <w:rsid w:val="00526A2E"/>
    <w:rsid w:val="00526E92"/>
    <w:rsid w:val="00527268"/>
    <w:rsid w:val="00527CBB"/>
    <w:rsid w:val="00527E5F"/>
    <w:rsid w:val="0053020C"/>
    <w:rsid w:val="0053095E"/>
    <w:rsid w:val="00530CCE"/>
    <w:rsid w:val="00531903"/>
    <w:rsid w:val="00532732"/>
    <w:rsid w:val="00532A74"/>
    <w:rsid w:val="00532B96"/>
    <w:rsid w:val="00532BC6"/>
    <w:rsid w:val="005334F9"/>
    <w:rsid w:val="005335A4"/>
    <w:rsid w:val="005345F1"/>
    <w:rsid w:val="00534759"/>
    <w:rsid w:val="00534B84"/>
    <w:rsid w:val="00534CE9"/>
    <w:rsid w:val="00535535"/>
    <w:rsid w:val="00535674"/>
    <w:rsid w:val="00535723"/>
    <w:rsid w:val="00535ADD"/>
    <w:rsid w:val="005366DB"/>
    <w:rsid w:val="005368BF"/>
    <w:rsid w:val="00536E52"/>
    <w:rsid w:val="00537B67"/>
    <w:rsid w:val="00540842"/>
    <w:rsid w:val="005408C9"/>
    <w:rsid w:val="00540F63"/>
    <w:rsid w:val="00541B32"/>
    <w:rsid w:val="005426ED"/>
    <w:rsid w:val="005427DE"/>
    <w:rsid w:val="00542C20"/>
    <w:rsid w:val="0054431C"/>
    <w:rsid w:val="005444D7"/>
    <w:rsid w:val="0054455D"/>
    <w:rsid w:val="00544745"/>
    <w:rsid w:val="00544C7D"/>
    <w:rsid w:val="00544E57"/>
    <w:rsid w:val="005450C1"/>
    <w:rsid w:val="00545D2B"/>
    <w:rsid w:val="00546094"/>
    <w:rsid w:val="00546306"/>
    <w:rsid w:val="00546617"/>
    <w:rsid w:val="00546AFF"/>
    <w:rsid w:val="00547926"/>
    <w:rsid w:val="00550968"/>
    <w:rsid w:val="00550CCD"/>
    <w:rsid w:val="005510B1"/>
    <w:rsid w:val="00551167"/>
    <w:rsid w:val="005511ED"/>
    <w:rsid w:val="00551299"/>
    <w:rsid w:val="00551399"/>
    <w:rsid w:val="0055147E"/>
    <w:rsid w:val="00551988"/>
    <w:rsid w:val="00551A78"/>
    <w:rsid w:val="00551B1D"/>
    <w:rsid w:val="00551F5F"/>
    <w:rsid w:val="00552315"/>
    <w:rsid w:val="0055307F"/>
    <w:rsid w:val="0055322E"/>
    <w:rsid w:val="00553AD5"/>
    <w:rsid w:val="00553ED8"/>
    <w:rsid w:val="00553F87"/>
    <w:rsid w:val="00553FFE"/>
    <w:rsid w:val="005541E5"/>
    <w:rsid w:val="00554268"/>
    <w:rsid w:val="00554427"/>
    <w:rsid w:val="00554EBB"/>
    <w:rsid w:val="005553FD"/>
    <w:rsid w:val="005558F3"/>
    <w:rsid w:val="00555CAC"/>
    <w:rsid w:val="00555D35"/>
    <w:rsid w:val="005560B1"/>
    <w:rsid w:val="00557381"/>
    <w:rsid w:val="00557F8F"/>
    <w:rsid w:val="0056008D"/>
    <w:rsid w:val="005604B4"/>
    <w:rsid w:val="00560780"/>
    <w:rsid w:val="00560889"/>
    <w:rsid w:val="00560E22"/>
    <w:rsid w:val="00561A18"/>
    <w:rsid w:val="00562078"/>
    <w:rsid w:val="0056259A"/>
    <w:rsid w:val="00562D5A"/>
    <w:rsid w:val="00563606"/>
    <w:rsid w:val="005641F6"/>
    <w:rsid w:val="0056467A"/>
    <w:rsid w:val="00564D53"/>
    <w:rsid w:val="0056550A"/>
    <w:rsid w:val="00565D5A"/>
    <w:rsid w:val="0056612A"/>
    <w:rsid w:val="005661E5"/>
    <w:rsid w:val="00566969"/>
    <w:rsid w:val="005670A0"/>
    <w:rsid w:val="005670AB"/>
    <w:rsid w:val="0056749A"/>
    <w:rsid w:val="005675E5"/>
    <w:rsid w:val="00567F0B"/>
    <w:rsid w:val="005702D8"/>
    <w:rsid w:val="00570685"/>
    <w:rsid w:val="00570829"/>
    <w:rsid w:val="00571BCC"/>
    <w:rsid w:val="00572594"/>
    <w:rsid w:val="00572A12"/>
    <w:rsid w:val="00572DA1"/>
    <w:rsid w:val="00572E60"/>
    <w:rsid w:val="005733B5"/>
    <w:rsid w:val="0057426B"/>
    <w:rsid w:val="00574BF7"/>
    <w:rsid w:val="00575696"/>
    <w:rsid w:val="00575F89"/>
    <w:rsid w:val="00576CF9"/>
    <w:rsid w:val="0057703B"/>
    <w:rsid w:val="0057711F"/>
    <w:rsid w:val="00577C8A"/>
    <w:rsid w:val="0058044B"/>
    <w:rsid w:val="00581094"/>
    <w:rsid w:val="00581BCF"/>
    <w:rsid w:val="00583E34"/>
    <w:rsid w:val="00583F08"/>
    <w:rsid w:val="00584062"/>
    <w:rsid w:val="005843AB"/>
    <w:rsid w:val="005856B5"/>
    <w:rsid w:val="00585A3E"/>
    <w:rsid w:val="00585EF2"/>
    <w:rsid w:val="0058637C"/>
    <w:rsid w:val="0058645A"/>
    <w:rsid w:val="00586646"/>
    <w:rsid w:val="0058693A"/>
    <w:rsid w:val="00587D0F"/>
    <w:rsid w:val="005906BB"/>
    <w:rsid w:val="00590C9A"/>
    <w:rsid w:val="00590D78"/>
    <w:rsid w:val="00591123"/>
    <w:rsid w:val="005911D5"/>
    <w:rsid w:val="00591230"/>
    <w:rsid w:val="0059131C"/>
    <w:rsid w:val="005916A6"/>
    <w:rsid w:val="00591BC5"/>
    <w:rsid w:val="005924E1"/>
    <w:rsid w:val="005926E9"/>
    <w:rsid w:val="00592E1B"/>
    <w:rsid w:val="0059330D"/>
    <w:rsid w:val="00593956"/>
    <w:rsid w:val="0059413A"/>
    <w:rsid w:val="0059434D"/>
    <w:rsid w:val="00594731"/>
    <w:rsid w:val="005948A0"/>
    <w:rsid w:val="00594C00"/>
    <w:rsid w:val="005951CA"/>
    <w:rsid w:val="00595446"/>
    <w:rsid w:val="00595891"/>
    <w:rsid w:val="00595EC0"/>
    <w:rsid w:val="005962D7"/>
    <w:rsid w:val="0059654F"/>
    <w:rsid w:val="005973CD"/>
    <w:rsid w:val="00597412"/>
    <w:rsid w:val="00597CFF"/>
    <w:rsid w:val="00597EAD"/>
    <w:rsid w:val="005A0687"/>
    <w:rsid w:val="005A0987"/>
    <w:rsid w:val="005A1799"/>
    <w:rsid w:val="005A218E"/>
    <w:rsid w:val="005A25C9"/>
    <w:rsid w:val="005A29F9"/>
    <w:rsid w:val="005A3CD0"/>
    <w:rsid w:val="005A4219"/>
    <w:rsid w:val="005A449E"/>
    <w:rsid w:val="005A479F"/>
    <w:rsid w:val="005A47D2"/>
    <w:rsid w:val="005A6EF0"/>
    <w:rsid w:val="005A70D8"/>
    <w:rsid w:val="005B0805"/>
    <w:rsid w:val="005B2811"/>
    <w:rsid w:val="005B298F"/>
    <w:rsid w:val="005B2C43"/>
    <w:rsid w:val="005B2E4B"/>
    <w:rsid w:val="005B320F"/>
    <w:rsid w:val="005B32CC"/>
    <w:rsid w:val="005B3A26"/>
    <w:rsid w:val="005B3C7D"/>
    <w:rsid w:val="005B3DB2"/>
    <w:rsid w:val="005B3ED9"/>
    <w:rsid w:val="005B46B3"/>
    <w:rsid w:val="005B47A0"/>
    <w:rsid w:val="005B4A3F"/>
    <w:rsid w:val="005B4B93"/>
    <w:rsid w:val="005B4F96"/>
    <w:rsid w:val="005B5E12"/>
    <w:rsid w:val="005B5FA9"/>
    <w:rsid w:val="005B6157"/>
    <w:rsid w:val="005B663F"/>
    <w:rsid w:val="005B6741"/>
    <w:rsid w:val="005B69DF"/>
    <w:rsid w:val="005B7CAB"/>
    <w:rsid w:val="005B7F24"/>
    <w:rsid w:val="005B7FEA"/>
    <w:rsid w:val="005C0242"/>
    <w:rsid w:val="005C0CC1"/>
    <w:rsid w:val="005C1064"/>
    <w:rsid w:val="005C1246"/>
    <w:rsid w:val="005C1493"/>
    <w:rsid w:val="005C173D"/>
    <w:rsid w:val="005C1C30"/>
    <w:rsid w:val="005C2055"/>
    <w:rsid w:val="005C21B9"/>
    <w:rsid w:val="005C24DD"/>
    <w:rsid w:val="005C3577"/>
    <w:rsid w:val="005C35AC"/>
    <w:rsid w:val="005C3ED3"/>
    <w:rsid w:val="005C3F79"/>
    <w:rsid w:val="005C4485"/>
    <w:rsid w:val="005C4779"/>
    <w:rsid w:val="005C49C1"/>
    <w:rsid w:val="005C55CC"/>
    <w:rsid w:val="005C5AB6"/>
    <w:rsid w:val="005C5BEB"/>
    <w:rsid w:val="005C5FCF"/>
    <w:rsid w:val="005C6405"/>
    <w:rsid w:val="005C6FCC"/>
    <w:rsid w:val="005C7B10"/>
    <w:rsid w:val="005D032E"/>
    <w:rsid w:val="005D0464"/>
    <w:rsid w:val="005D079C"/>
    <w:rsid w:val="005D0F75"/>
    <w:rsid w:val="005D134A"/>
    <w:rsid w:val="005D1511"/>
    <w:rsid w:val="005D17B3"/>
    <w:rsid w:val="005D235A"/>
    <w:rsid w:val="005D2E24"/>
    <w:rsid w:val="005D30BA"/>
    <w:rsid w:val="005D3C0E"/>
    <w:rsid w:val="005D40D1"/>
    <w:rsid w:val="005D5EC2"/>
    <w:rsid w:val="005D5ECB"/>
    <w:rsid w:val="005D5ECF"/>
    <w:rsid w:val="005D647B"/>
    <w:rsid w:val="005D6A4A"/>
    <w:rsid w:val="005D7177"/>
    <w:rsid w:val="005D7D26"/>
    <w:rsid w:val="005D7DCB"/>
    <w:rsid w:val="005E01D0"/>
    <w:rsid w:val="005E16FD"/>
    <w:rsid w:val="005E1B8F"/>
    <w:rsid w:val="005E1DBC"/>
    <w:rsid w:val="005E232B"/>
    <w:rsid w:val="005E2817"/>
    <w:rsid w:val="005E2E8B"/>
    <w:rsid w:val="005E403A"/>
    <w:rsid w:val="005E4F7B"/>
    <w:rsid w:val="005E5A8B"/>
    <w:rsid w:val="005E5AAA"/>
    <w:rsid w:val="005E5C4A"/>
    <w:rsid w:val="005E61EC"/>
    <w:rsid w:val="005E67ED"/>
    <w:rsid w:val="005E71FC"/>
    <w:rsid w:val="005E72D9"/>
    <w:rsid w:val="005E7A4C"/>
    <w:rsid w:val="005F0214"/>
    <w:rsid w:val="005F04BD"/>
    <w:rsid w:val="005F0626"/>
    <w:rsid w:val="005F0763"/>
    <w:rsid w:val="005F0B97"/>
    <w:rsid w:val="005F0FE0"/>
    <w:rsid w:val="005F0FEA"/>
    <w:rsid w:val="005F1360"/>
    <w:rsid w:val="005F2B3D"/>
    <w:rsid w:val="005F2B67"/>
    <w:rsid w:val="005F2ED0"/>
    <w:rsid w:val="005F343B"/>
    <w:rsid w:val="005F3584"/>
    <w:rsid w:val="005F3720"/>
    <w:rsid w:val="005F3D3E"/>
    <w:rsid w:val="005F3DCB"/>
    <w:rsid w:val="005F5049"/>
    <w:rsid w:val="005F50F2"/>
    <w:rsid w:val="005F5508"/>
    <w:rsid w:val="005F6B2B"/>
    <w:rsid w:val="005F75D1"/>
    <w:rsid w:val="005F7FB1"/>
    <w:rsid w:val="00600B4A"/>
    <w:rsid w:val="00601135"/>
    <w:rsid w:val="0060229A"/>
    <w:rsid w:val="00602486"/>
    <w:rsid w:val="00602776"/>
    <w:rsid w:val="006029C6"/>
    <w:rsid w:val="00603DD0"/>
    <w:rsid w:val="0060404C"/>
    <w:rsid w:val="00604A9D"/>
    <w:rsid w:val="0060510D"/>
    <w:rsid w:val="0060539C"/>
    <w:rsid w:val="00605847"/>
    <w:rsid w:val="00605AB1"/>
    <w:rsid w:val="00605FAE"/>
    <w:rsid w:val="006060DE"/>
    <w:rsid w:val="00606269"/>
    <w:rsid w:val="00607389"/>
    <w:rsid w:val="006073AE"/>
    <w:rsid w:val="006077F9"/>
    <w:rsid w:val="006102EA"/>
    <w:rsid w:val="00610886"/>
    <w:rsid w:val="00610C4F"/>
    <w:rsid w:val="006114FD"/>
    <w:rsid w:val="00611567"/>
    <w:rsid w:val="00611BD5"/>
    <w:rsid w:val="00611FB2"/>
    <w:rsid w:val="006127F1"/>
    <w:rsid w:val="00612800"/>
    <w:rsid w:val="00612860"/>
    <w:rsid w:val="00612DA0"/>
    <w:rsid w:val="00613A5B"/>
    <w:rsid w:val="006140A8"/>
    <w:rsid w:val="006141C2"/>
    <w:rsid w:val="00615F39"/>
    <w:rsid w:val="00617208"/>
    <w:rsid w:val="0061731B"/>
    <w:rsid w:val="00617B97"/>
    <w:rsid w:val="00622117"/>
    <w:rsid w:val="00622815"/>
    <w:rsid w:val="00622A2B"/>
    <w:rsid w:val="00622ADF"/>
    <w:rsid w:val="00622EC1"/>
    <w:rsid w:val="00623151"/>
    <w:rsid w:val="006231B5"/>
    <w:rsid w:val="00623531"/>
    <w:rsid w:val="00623D59"/>
    <w:rsid w:val="0062409B"/>
    <w:rsid w:val="006245D6"/>
    <w:rsid w:val="00624909"/>
    <w:rsid w:val="00625757"/>
    <w:rsid w:val="00625BA9"/>
    <w:rsid w:val="00626433"/>
    <w:rsid w:val="00626621"/>
    <w:rsid w:val="00626B4C"/>
    <w:rsid w:val="00627819"/>
    <w:rsid w:val="0062782A"/>
    <w:rsid w:val="00627E3A"/>
    <w:rsid w:val="00627EA4"/>
    <w:rsid w:val="00630A93"/>
    <w:rsid w:val="0063144C"/>
    <w:rsid w:val="0063220E"/>
    <w:rsid w:val="006322BE"/>
    <w:rsid w:val="00632411"/>
    <w:rsid w:val="00632ABB"/>
    <w:rsid w:val="00632D48"/>
    <w:rsid w:val="00632DD1"/>
    <w:rsid w:val="00632DE1"/>
    <w:rsid w:val="00632EA2"/>
    <w:rsid w:val="006334CB"/>
    <w:rsid w:val="00633899"/>
    <w:rsid w:val="006338B2"/>
    <w:rsid w:val="00633AD3"/>
    <w:rsid w:val="00633BFA"/>
    <w:rsid w:val="006340E8"/>
    <w:rsid w:val="00634786"/>
    <w:rsid w:val="00634F65"/>
    <w:rsid w:val="00634FAE"/>
    <w:rsid w:val="006359FA"/>
    <w:rsid w:val="00636570"/>
    <w:rsid w:val="00636947"/>
    <w:rsid w:val="00636A1A"/>
    <w:rsid w:val="00637012"/>
    <w:rsid w:val="0063766D"/>
    <w:rsid w:val="00637E06"/>
    <w:rsid w:val="00640040"/>
    <w:rsid w:val="0064009E"/>
    <w:rsid w:val="0064012A"/>
    <w:rsid w:val="006402C8"/>
    <w:rsid w:val="0064057B"/>
    <w:rsid w:val="006409F0"/>
    <w:rsid w:val="00640DD7"/>
    <w:rsid w:val="0064160C"/>
    <w:rsid w:val="0064162D"/>
    <w:rsid w:val="00641AAF"/>
    <w:rsid w:val="00642631"/>
    <w:rsid w:val="0064263B"/>
    <w:rsid w:val="00642661"/>
    <w:rsid w:val="00642B77"/>
    <w:rsid w:val="00642C33"/>
    <w:rsid w:val="00642DA4"/>
    <w:rsid w:val="00642F29"/>
    <w:rsid w:val="00642FDF"/>
    <w:rsid w:val="0064307D"/>
    <w:rsid w:val="00643194"/>
    <w:rsid w:val="00643D16"/>
    <w:rsid w:val="006448B5"/>
    <w:rsid w:val="006452C0"/>
    <w:rsid w:val="0064550E"/>
    <w:rsid w:val="006461BF"/>
    <w:rsid w:val="00646D51"/>
    <w:rsid w:val="00647416"/>
    <w:rsid w:val="00650851"/>
    <w:rsid w:val="00650CD4"/>
    <w:rsid w:val="00650ED7"/>
    <w:rsid w:val="00650F4A"/>
    <w:rsid w:val="00651CF2"/>
    <w:rsid w:val="0065245A"/>
    <w:rsid w:val="00652466"/>
    <w:rsid w:val="00652664"/>
    <w:rsid w:val="00652A16"/>
    <w:rsid w:val="00652D75"/>
    <w:rsid w:val="00652ECA"/>
    <w:rsid w:val="00653594"/>
    <w:rsid w:val="00653973"/>
    <w:rsid w:val="00653B45"/>
    <w:rsid w:val="00653E76"/>
    <w:rsid w:val="00655E5D"/>
    <w:rsid w:val="00656165"/>
    <w:rsid w:val="0065625F"/>
    <w:rsid w:val="00656FB1"/>
    <w:rsid w:val="0065728C"/>
    <w:rsid w:val="00657984"/>
    <w:rsid w:val="00657EF8"/>
    <w:rsid w:val="00657FE1"/>
    <w:rsid w:val="00660232"/>
    <w:rsid w:val="00660962"/>
    <w:rsid w:val="00660FA4"/>
    <w:rsid w:val="00661260"/>
    <w:rsid w:val="006617F8"/>
    <w:rsid w:val="00661C0C"/>
    <w:rsid w:val="00662B9F"/>
    <w:rsid w:val="00662F48"/>
    <w:rsid w:val="0066343A"/>
    <w:rsid w:val="0066393C"/>
    <w:rsid w:val="00664041"/>
    <w:rsid w:val="006642F7"/>
    <w:rsid w:val="006648BF"/>
    <w:rsid w:val="00664A70"/>
    <w:rsid w:val="00665AD1"/>
    <w:rsid w:val="00665F76"/>
    <w:rsid w:val="00666BC1"/>
    <w:rsid w:val="00666F0B"/>
    <w:rsid w:val="0066793C"/>
    <w:rsid w:val="006701A5"/>
    <w:rsid w:val="0067060A"/>
    <w:rsid w:val="006706CF"/>
    <w:rsid w:val="00670ACC"/>
    <w:rsid w:val="00670BD0"/>
    <w:rsid w:val="00670D6E"/>
    <w:rsid w:val="00670EEE"/>
    <w:rsid w:val="00671093"/>
    <w:rsid w:val="006719C2"/>
    <w:rsid w:val="00671AB9"/>
    <w:rsid w:val="00671EC8"/>
    <w:rsid w:val="00672570"/>
    <w:rsid w:val="00673222"/>
    <w:rsid w:val="0067373F"/>
    <w:rsid w:val="006738EA"/>
    <w:rsid w:val="006768B6"/>
    <w:rsid w:val="006769BB"/>
    <w:rsid w:val="00676DA0"/>
    <w:rsid w:val="00676F16"/>
    <w:rsid w:val="00676FEA"/>
    <w:rsid w:val="00677317"/>
    <w:rsid w:val="0067751D"/>
    <w:rsid w:val="0068022B"/>
    <w:rsid w:val="006803C6"/>
    <w:rsid w:val="006807EC"/>
    <w:rsid w:val="00681BA5"/>
    <w:rsid w:val="00681DFE"/>
    <w:rsid w:val="0068203E"/>
    <w:rsid w:val="00682164"/>
    <w:rsid w:val="00682201"/>
    <w:rsid w:val="00682307"/>
    <w:rsid w:val="00682389"/>
    <w:rsid w:val="00683671"/>
    <w:rsid w:val="00683931"/>
    <w:rsid w:val="00684714"/>
    <w:rsid w:val="006854C1"/>
    <w:rsid w:val="00685501"/>
    <w:rsid w:val="00685ABD"/>
    <w:rsid w:val="0068645F"/>
    <w:rsid w:val="0068727F"/>
    <w:rsid w:val="00687284"/>
    <w:rsid w:val="00687B32"/>
    <w:rsid w:val="00690976"/>
    <w:rsid w:val="00690A7A"/>
    <w:rsid w:val="00690BCA"/>
    <w:rsid w:val="00690F50"/>
    <w:rsid w:val="0069109C"/>
    <w:rsid w:val="00692446"/>
    <w:rsid w:val="00692E64"/>
    <w:rsid w:val="00693183"/>
    <w:rsid w:val="006936AE"/>
    <w:rsid w:val="00694963"/>
    <w:rsid w:val="00694C25"/>
    <w:rsid w:val="00694E29"/>
    <w:rsid w:val="0069519D"/>
    <w:rsid w:val="006951A1"/>
    <w:rsid w:val="0069521E"/>
    <w:rsid w:val="006959D2"/>
    <w:rsid w:val="00695AE1"/>
    <w:rsid w:val="00695EF7"/>
    <w:rsid w:val="00696637"/>
    <w:rsid w:val="00696EFA"/>
    <w:rsid w:val="00697269"/>
    <w:rsid w:val="006972E2"/>
    <w:rsid w:val="006A044C"/>
    <w:rsid w:val="006A0928"/>
    <w:rsid w:val="006A183B"/>
    <w:rsid w:val="006A2523"/>
    <w:rsid w:val="006A25ED"/>
    <w:rsid w:val="006A32F2"/>
    <w:rsid w:val="006A382E"/>
    <w:rsid w:val="006A3F1D"/>
    <w:rsid w:val="006A5710"/>
    <w:rsid w:val="006A6481"/>
    <w:rsid w:val="006A662B"/>
    <w:rsid w:val="006A6853"/>
    <w:rsid w:val="006A6EAC"/>
    <w:rsid w:val="006A7914"/>
    <w:rsid w:val="006B05E5"/>
    <w:rsid w:val="006B1812"/>
    <w:rsid w:val="006B23B3"/>
    <w:rsid w:val="006B28A5"/>
    <w:rsid w:val="006B2B8F"/>
    <w:rsid w:val="006B2C27"/>
    <w:rsid w:val="006B2E21"/>
    <w:rsid w:val="006B322F"/>
    <w:rsid w:val="006B34DD"/>
    <w:rsid w:val="006B35C5"/>
    <w:rsid w:val="006B3738"/>
    <w:rsid w:val="006B3AAA"/>
    <w:rsid w:val="006B3D53"/>
    <w:rsid w:val="006B450A"/>
    <w:rsid w:val="006B4F1A"/>
    <w:rsid w:val="006B504B"/>
    <w:rsid w:val="006B51D5"/>
    <w:rsid w:val="006B54DE"/>
    <w:rsid w:val="006B6518"/>
    <w:rsid w:val="006B66E7"/>
    <w:rsid w:val="006B678D"/>
    <w:rsid w:val="006C0068"/>
    <w:rsid w:val="006C00FA"/>
    <w:rsid w:val="006C04BC"/>
    <w:rsid w:val="006C05B7"/>
    <w:rsid w:val="006C06D9"/>
    <w:rsid w:val="006C06E3"/>
    <w:rsid w:val="006C0877"/>
    <w:rsid w:val="006C11D3"/>
    <w:rsid w:val="006C19C6"/>
    <w:rsid w:val="006C2827"/>
    <w:rsid w:val="006C3657"/>
    <w:rsid w:val="006C458C"/>
    <w:rsid w:val="006C49D3"/>
    <w:rsid w:val="006C4E91"/>
    <w:rsid w:val="006C5551"/>
    <w:rsid w:val="006C634A"/>
    <w:rsid w:val="006C6460"/>
    <w:rsid w:val="006C6960"/>
    <w:rsid w:val="006C792D"/>
    <w:rsid w:val="006C798F"/>
    <w:rsid w:val="006C7DB6"/>
    <w:rsid w:val="006C7DBB"/>
    <w:rsid w:val="006D071F"/>
    <w:rsid w:val="006D08E9"/>
    <w:rsid w:val="006D15DD"/>
    <w:rsid w:val="006D19CF"/>
    <w:rsid w:val="006D1DC8"/>
    <w:rsid w:val="006D1E8F"/>
    <w:rsid w:val="006D1FBA"/>
    <w:rsid w:val="006D29E5"/>
    <w:rsid w:val="006D2ACF"/>
    <w:rsid w:val="006D2E5A"/>
    <w:rsid w:val="006D461D"/>
    <w:rsid w:val="006D466D"/>
    <w:rsid w:val="006D4945"/>
    <w:rsid w:val="006D54C3"/>
    <w:rsid w:val="006D5C4A"/>
    <w:rsid w:val="006D5DEF"/>
    <w:rsid w:val="006D6279"/>
    <w:rsid w:val="006D632B"/>
    <w:rsid w:val="006D6AF1"/>
    <w:rsid w:val="006D6CF0"/>
    <w:rsid w:val="006D707B"/>
    <w:rsid w:val="006D796A"/>
    <w:rsid w:val="006D7992"/>
    <w:rsid w:val="006E00AA"/>
    <w:rsid w:val="006E0823"/>
    <w:rsid w:val="006E0DF3"/>
    <w:rsid w:val="006E1180"/>
    <w:rsid w:val="006E11AD"/>
    <w:rsid w:val="006E135F"/>
    <w:rsid w:val="006E15F2"/>
    <w:rsid w:val="006E1D5F"/>
    <w:rsid w:val="006E2EAE"/>
    <w:rsid w:val="006E32C9"/>
    <w:rsid w:val="006E3BE5"/>
    <w:rsid w:val="006E3DF3"/>
    <w:rsid w:val="006E412C"/>
    <w:rsid w:val="006E46AD"/>
    <w:rsid w:val="006E49BD"/>
    <w:rsid w:val="006E4B9E"/>
    <w:rsid w:val="006E52A2"/>
    <w:rsid w:val="006E5321"/>
    <w:rsid w:val="006E5599"/>
    <w:rsid w:val="006E619F"/>
    <w:rsid w:val="006E6E01"/>
    <w:rsid w:val="006E6F49"/>
    <w:rsid w:val="006E7C6D"/>
    <w:rsid w:val="006F07D8"/>
    <w:rsid w:val="006F0D19"/>
    <w:rsid w:val="006F0FF4"/>
    <w:rsid w:val="006F11EF"/>
    <w:rsid w:val="006F1A93"/>
    <w:rsid w:val="006F1D2B"/>
    <w:rsid w:val="006F1E88"/>
    <w:rsid w:val="006F224E"/>
    <w:rsid w:val="006F2A89"/>
    <w:rsid w:val="006F2ED4"/>
    <w:rsid w:val="006F3E80"/>
    <w:rsid w:val="006F46B9"/>
    <w:rsid w:val="006F4EF9"/>
    <w:rsid w:val="006F512F"/>
    <w:rsid w:val="006F5719"/>
    <w:rsid w:val="006F57BB"/>
    <w:rsid w:val="006F5C90"/>
    <w:rsid w:val="006F5D24"/>
    <w:rsid w:val="006F62F4"/>
    <w:rsid w:val="006F6451"/>
    <w:rsid w:val="006F645A"/>
    <w:rsid w:val="006F6B34"/>
    <w:rsid w:val="006F7272"/>
    <w:rsid w:val="006F728B"/>
    <w:rsid w:val="006F78C5"/>
    <w:rsid w:val="007000D2"/>
    <w:rsid w:val="0070073B"/>
    <w:rsid w:val="007007F6"/>
    <w:rsid w:val="00700B24"/>
    <w:rsid w:val="00700D37"/>
    <w:rsid w:val="00701151"/>
    <w:rsid w:val="007028B0"/>
    <w:rsid w:val="00702903"/>
    <w:rsid w:val="0070387A"/>
    <w:rsid w:val="0070410A"/>
    <w:rsid w:val="007045DC"/>
    <w:rsid w:val="00704B1F"/>
    <w:rsid w:val="00705D34"/>
    <w:rsid w:val="00706331"/>
    <w:rsid w:val="0070639A"/>
    <w:rsid w:val="0070692F"/>
    <w:rsid w:val="00706E34"/>
    <w:rsid w:val="00706F15"/>
    <w:rsid w:val="00707295"/>
    <w:rsid w:val="0070777D"/>
    <w:rsid w:val="0071009B"/>
    <w:rsid w:val="00710D5F"/>
    <w:rsid w:val="00710EBE"/>
    <w:rsid w:val="007124BD"/>
    <w:rsid w:val="00713D2B"/>
    <w:rsid w:val="007142F4"/>
    <w:rsid w:val="00714BC3"/>
    <w:rsid w:val="0071507E"/>
    <w:rsid w:val="00715139"/>
    <w:rsid w:val="00715609"/>
    <w:rsid w:val="00715BCF"/>
    <w:rsid w:val="00715F4B"/>
    <w:rsid w:val="00716081"/>
    <w:rsid w:val="007165AD"/>
    <w:rsid w:val="0071743A"/>
    <w:rsid w:val="00717E0B"/>
    <w:rsid w:val="00720205"/>
    <w:rsid w:val="00720B1D"/>
    <w:rsid w:val="00720B63"/>
    <w:rsid w:val="00720BD0"/>
    <w:rsid w:val="007212D3"/>
    <w:rsid w:val="0072142C"/>
    <w:rsid w:val="007220D1"/>
    <w:rsid w:val="00722401"/>
    <w:rsid w:val="007225CB"/>
    <w:rsid w:val="00722BE3"/>
    <w:rsid w:val="00722C06"/>
    <w:rsid w:val="00723271"/>
    <w:rsid w:val="00723994"/>
    <w:rsid w:val="00724C46"/>
    <w:rsid w:val="00724CC6"/>
    <w:rsid w:val="0072521F"/>
    <w:rsid w:val="00725991"/>
    <w:rsid w:val="00725C50"/>
    <w:rsid w:val="00725D72"/>
    <w:rsid w:val="00725F0F"/>
    <w:rsid w:val="00725F16"/>
    <w:rsid w:val="00726657"/>
    <w:rsid w:val="00726CC7"/>
    <w:rsid w:val="00726F4B"/>
    <w:rsid w:val="007270D1"/>
    <w:rsid w:val="0072737E"/>
    <w:rsid w:val="00727574"/>
    <w:rsid w:val="007275A7"/>
    <w:rsid w:val="00730624"/>
    <w:rsid w:val="00730E60"/>
    <w:rsid w:val="00730F9C"/>
    <w:rsid w:val="00731687"/>
    <w:rsid w:val="00731722"/>
    <w:rsid w:val="007318DD"/>
    <w:rsid w:val="00731AA5"/>
    <w:rsid w:val="00732261"/>
    <w:rsid w:val="00732701"/>
    <w:rsid w:val="00732A79"/>
    <w:rsid w:val="00732B33"/>
    <w:rsid w:val="00732CAF"/>
    <w:rsid w:val="0073305C"/>
    <w:rsid w:val="007337CA"/>
    <w:rsid w:val="00733DAA"/>
    <w:rsid w:val="00733E2F"/>
    <w:rsid w:val="007341D9"/>
    <w:rsid w:val="007345F9"/>
    <w:rsid w:val="007348B8"/>
    <w:rsid w:val="0073517D"/>
    <w:rsid w:val="00735191"/>
    <w:rsid w:val="00735960"/>
    <w:rsid w:val="007359DC"/>
    <w:rsid w:val="00735A90"/>
    <w:rsid w:val="00736828"/>
    <w:rsid w:val="00737252"/>
    <w:rsid w:val="00737385"/>
    <w:rsid w:val="007375E6"/>
    <w:rsid w:val="007378F6"/>
    <w:rsid w:val="007400B4"/>
    <w:rsid w:val="0074023F"/>
    <w:rsid w:val="00740DE9"/>
    <w:rsid w:val="007418D5"/>
    <w:rsid w:val="00741930"/>
    <w:rsid w:val="007439A4"/>
    <w:rsid w:val="00744D06"/>
    <w:rsid w:val="007452F6"/>
    <w:rsid w:val="007454F9"/>
    <w:rsid w:val="00745779"/>
    <w:rsid w:val="007462F2"/>
    <w:rsid w:val="007464FD"/>
    <w:rsid w:val="007467FB"/>
    <w:rsid w:val="00746CE5"/>
    <w:rsid w:val="00747410"/>
    <w:rsid w:val="00747A8D"/>
    <w:rsid w:val="00747D8A"/>
    <w:rsid w:val="00750BB4"/>
    <w:rsid w:val="0075151A"/>
    <w:rsid w:val="00751799"/>
    <w:rsid w:val="007517B0"/>
    <w:rsid w:val="00751809"/>
    <w:rsid w:val="00751C4C"/>
    <w:rsid w:val="007528A1"/>
    <w:rsid w:val="00752BAD"/>
    <w:rsid w:val="0075447F"/>
    <w:rsid w:val="00754497"/>
    <w:rsid w:val="00754E94"/>
    <w:rsid w:val="0075584D"/>
    <w:rsid w:val="00755BF3"/>
    <w:rsid w:val="00756162"/>
    <w:rsid w:val="00756AB6"/>
    <w:rsid w:val="00756B65"/>
    <w:rsid w:val="00756C86"/>
    <w:rsid w:val="00756F15"/>
    <w:rsid w:val="00756F69"/>
    <w:rsid w:val="00757008"/>
    <w:rsid w:val="007574C3"/>
    <w:rsid w:val="00760072"/>
    <w:rsid w:val="0076105E"/>
    <w:rsid w:val="007610DB"/>
    <w:rsid w:val="00762426"/>
    <w:rsid w:val="007627A3"/>
    <w:rsid w:val="00762CD6"/>
    <w:rsid w:val="00762EE5"/>
    <w:rsid w:val="00763421"/>
    <w:rsid w:val="00763522"/>
    <w:rsid w:val="00763AC5"/>
    <w:rsid w:val="00764A31"/>
    <w:rsid w:val="00764FC2"/>
    <w:rsid w:val="00765C09"/>
    <w:rsid w:val="00766688"/>
    <w:rsid w:val="007666B4"/>
    <w:rsid w:val="007666E8"/>
    <w:rsid w:val="00766799"/>
    <w:rsid w:val="00767DFB"/>
    <w:rsid w:val="00770178"/>
    <w:rsid w:val="00770213"/>
    <w:rsid w:val="00771266"/>
    <w:rsid w:val="00772063"/>
    <w:rsid w:val="007722E8"/>
    <w:rsid w:val="00772422"/>
    <w:rsid w:val="007726F3"/>
    <w:rsid w:val="0077296F"/>
    <w:rsid w:val="00772A6F"/>
    <w:rsid w:val="00772B53"/>
    <w:rsid w:val="007730BF"/>
    <w:rsid w:val="00773115"/>
    <w:rsid w:val="00773726"/>
    <w:rsid w:val="00773D92"/>
    <w:rsid w:val="007745F3"/>
    <w:rsid w:val="00774A05"/>
    <w:rsid w:val="00775223"/>
    <w:rsid w:val="00776223"/>
    <w:rsid w:val="00776AF9"/>
    <w:rsid w:val="00776D81"/>
    <w:rsid w:val="007770D4"/>
    <w:rsid w:val="00777247"/>
    <w:rsid w:val="00777962"/>
    <w:rsid w:val="00777A7F"/>
    <w:rsid w:val="00777DB6"/>
    <w:rsid w:val="00777FE4"/>
    <w:rsid w:val="00780124"/>
    <w:rsid w:val="00781355"/>
    <w:rsid w:val="00781983"/>
    <w:rsid w:val="00781D55"/>
    <w:rsid w:val="00781DEA"/>
    <w:rsid w:val="00782B7F"/>
    <w:rsid w:val="00783B4B"/>
    <w:rsid w:val="007844EF"/>
    <w:rsid w:val="00784615"/>
    <w:rsid w:val="00784C2B"/>
    <w:rsid w:val="007855E2"/>
    <w:rsid w:val="007861C1"/>
    <w:rsid w:val="00786B17"/>
    <w:rsid w:val="00786E0E"/>
    <w:rsid w:val="0078799A"/>
    <w:rsid w:val="00790486"/>
    <w:rsid w:val="007904F3"/>
    <w:rsid w:val="0079072B"/>
    <w:rsid w:val="00790ABA"/>
    <w:rsid w:val="00790C79"/>
    <w:rsid w:val="00791CBE"/>
    <w:rsid w:val="007920BF"/>
    <w:rsid w:val="007921DD"/>
    <w:rsid w:val="007922F9"/>
    <w:rsid w:val="00792B8F"/>
    <w:rsid w:val="00792C5C"/>
    <w:rsid w:val="00793A73"/>
    <w:rsid w:val="00793B00"/>
    <w:rsid w:val="00793BA7"/>
    <w:rsid w:val="00793F41"/>
    <w:rsid w:val="00794766"/>
    <w:rsid w:val="0079553F"/>
    <w:rsid w:val="0079581D"/>
    <w:rsid w:val="00795CA7"/>
    <w:rsid w:val="00795D1F"/>
    <w:rsid w:val="007962B5"/>
    <w:rsid w:val="00796394"/>
    <w:rsid w:val="00796666"/>
    <w:rsid w:val="0079669A"/>
    <w:rsid w:val="00796F66"/>
    <w:rsid w:val="007977E3"/>
    <w:rsid w:val="00797A95"/>
    <w:rsid w:val="00797B97"/>
    <w:rsid w:val="00797DF9"/>
    <w:rsid w:val="007A0FA2"/>
    <w:rsid w:val="007A1716"/>
    <w:rsid w:val="007A2735"/>
    <w:rsid w:val="007A2F56"/>
    <w:rsid w:val="007A39FD"/>
    <w:rsid w:val="007A3B11"/>
    <w:rsid w:val="007A422F"/>
    <w:rsid w:val="007A4BD6"/>
    <w:rsid w:val="007A5500"/>
    <w:rsid w:val="007A582B"/>
    <w:rsid w:val="007A593A"/>
    <w:rsid w:val="007A5ED6"/>
    <w:rsid w:val="007A65AF"/>
    <w:rsid w:val="007A719E"/>
    <w:rsid w:val="007A7318"/>
    <w:rsid w:val="007A73A7"/>
    <w:rsid w:val="007B03A9"/>
    <w:rsid w:val="007B0573"/>
    <w:rsid w:val="007B05B9"/>
    <w:rsid w:val="007B0BAC"/>
    <w:rsid w:val="007B0E61"/>
    <w:rsid w:val="007B0F9A"/>
    <w:rsid w:val="007B17BF"/>
    <w:rsid w:val="007B1EC1"/>
    <w:rsid w:val="007B1F23"/>
    <w:rsid w:val="007B261D"/>
    <w:rsid w:val="007B2655"/>
    <w:rsid w:val="007B2EB1"/>
    <w:rsid w:val="007B38F0"/>
    <w:rsid w:val="007B3951"/>
    <w:rsid w:val="007B3C1D"/>
    <w:rsid w:val="007B40F4"/>
    <w:rsid w:val="007B413C"/>
    <w:rsid w:val="007B51B2"/>
    <w:rsid w:val="007B555D"/>
    <w:rsid w:val="007B5AEC"/>
    <w:rsid w:val="007B6448"/>
    <w:rsid w:val="007B6ED0"/>
    <w:rsid w:val="007B7D4F"/>
    <w:rsid w:val="007C128D"/>
    <w:rsid w:val="007C12D1"/>
    <w:rsid w:val="007C13B5"/>
    <w:rsid w:val="007C164B"/>
    <w:rsid w:val="007C1686"/>
    <w:rsid w:val="007C1911"/>
    <w:rsid w:val="007C1CE8"/>
    <w:rsid w:val="007C2C32"/>
    <w:rsid w:val="007C31D3"/>
    <w:rsid w:val="007C33DA"/>
    <w:rsid w:val="007C35E0"/>
    <w:rsid w:val="007C3D83"/>
    <w:rsid w:val="007C4031"/>
    <w:rsid w:val="007C4077"/>
    <w:rsid w:val="007C4C0A"/>
    <w:rsid w:val="007C51BE"/>
    <w:rsid w:val="007C6898"/>
    <w:rsid w:val="007C6DCB"/>
    <w:rsid w:val="007C7FD6"/>
    <w:rsid w:val="007D0173"/>
    <w:rsid w:val="007D0740"/>
    <w:rsid w:val="007D094A"/>
    <w:rsid w:val="007D1423"/>
    <w:rsid w:val="007D1953"/>
    <w:rsid w:val="007D23B3"/>
    <w:rsid w:val="007D2410"/>
    <w:rsid w:val="007D2860"/>
    <w:rsid w:val="007D2A6B"/>
    <w:rsid w:val="007D3F88"/>
    <w:rsid w:val="007D4300"/>
    <w:rsid w:val="007D4754"/>
    <w:rsid w:val="007D4822"/>
    <w:rsid w:val="007D4BB8"/>
    <w:rsid w:val="007D4DA3"/>
    <w:rsid w:val="007D598B"/>
    <w:rsid w:val="007D5EB7"/>
    <w:rsid w:val="007D6A57"/>
    <w:rsid w:val="007D6C8D"/>
    <w:rsid w:val="007D7548"/>
    <w:rsid w:val="007D77BB"/>
    <w:rsid w:val="007D7886"/>
    <w:rsid w:val="007E0100"/>
    <w:rsid w:val="007E1208"/>
    <w:rsid w:val="007E1302"/>
    <w:rsid w:val="007E1E13"/>
    <w:rsid w:val="007E1F43"/>
    <w:rsid w:val="007E2491"/>
    <w:rsid w:val="007E2830"/>
    <w:rsid w:val="007E2CD9"/>
    <w:rsid w:val="007E2D0B"/>
    <w:rsid w:val="007E3292"/>
    <w:rsid w:val="007E3297"/>
    <w:rsid w:val="007E3985"/>
    <w:rsid w:val="007E3F62"/>
    <w:rsid w:val="007E4064"/>
    <w:rsid w:val="007E49CE"/>
    <w:rsid w:val="007E4A20"/>
    <w:rsid w:val="007E4EF3"/>
    <w:rsid w:val="007E5873"/>
    <w:rsid w:val="007E59AC"/>
    <w:rsid w:val="007E5BC4"/>
    <w:rsid w:val="007E6F55"/>
    <w:rsid w:val="007E759A"/>
    <w:rsid w:val="007E78FA"/>
    <w:rsid w:val="007E7D86"/>
    <w:rsid w:val="007F01B4"/>
    <w:rsid w:val="007F04F4"/>
    <w:rsid w:val="007F119B"/>
    <w:rsid w:val="007F1680"/>
    <w:rsid w:val="007F44D6"/>
    <w:rsid w:val="007F4E58"/>
    <w:rsid w:val="007F52C7"/>
    <w:rsid w:val="007F5E72"/>
    <w:rsid w:val="007F624F"/>
    <w:rsid w:val="007F664D"/>
    <w:rsid w:val="007F66D8"/>
    <w:rsid w:val="007F66DE"/>
    <w:rsid w:val="007F6A1A"/>
    <w:rsid w:val="007F6A4D"/>
    <w:rsid w:val="007F7461"/>
    <w:rsid w:val="007F7B9A"/>
    <w:rsid w:val="00800578"/>
    <w:rsid w:val="00800F0B"/>
    <w:rsid w:val="00802A78"/>
    <w:rsid w:val="00802D2E"/>
    <w:rsid w:val="008033F1"/>
    <w:rsid w:val="008036EC"/>
    <w:rsid w:val="008039D8"/>
    <w:rsid w:val="00803E2C"/>
    <w:rsid w:val="00804A24"/>
    <w:rsid w:val="008053FE"/>
    <w:rsid w:val="00805A05"/>
    <w:rsid w:val="00806D29"/>
    <w:rsid w:val="00807253"/>
    <w:rsid w:val="0080740F"/>
    <w:rsid w:val="00807ECE"/>
    <w:rsid w:val="008103E3"/>
    <w:rsid w:val="008105F1"/>
    <w:rsid w:val="00811D41"/>
    <w:rsid w:val="00812A5F"/>
    <w:rsid w:val="00812D47"/>
    <w:rsid w:val="00812F0C"/>
    <w:rsid w:val="00813341"/>
    <w:rsid w:val="00813C16"/>
    <w:rsid w:val="0081415D"/>
    <w:rsid w:val="008146C4"/>
    <w:rsid w:val="0081507E"/>
    <w:rsid w:val="0081519B"/>
    <w:rsid w:val="008151B9"/>
    <w:rsid w:val="00815DF9"/>
    <w:rsid w:val="00815E6B"/>
    <w:rsid w:val="008168C3"/>
    <w:rsid w:val="00816910"/>
    <w:rsid w:val="0081762E"/>
    <w:rsid w:val="00817B30"/>
    <w:rsid w:val="00820D70"/>
    <w:rsid w:val="0082115E"/>
    <w:rsid w:val="00821180"/>
    <w:rsid w:val="008211B6"/>
    <w:rsid w:val="00821CEC"/>
    <w:rsid w:val="008222BE"/>
    <w:rsid w:val="0082238F"/>
    <w:rsid w:val="00822BA3"/>
    <w:rsid w:val="0082368A"/>
    <w:rsid w:val="00823700"/>
    <w:rsid w:val="00823725"/>
    <w:rsid w:val="00823766"/>
    <w:rsid w:val="00823915"/>
    <w:rsid w:val="00823B82"/>
    <w:rsid w:val="00823BB7"/>
    <w:rsid w:val="00823C3A"/>
    <w:rsid w:val="00823EA6"/>
    <w:rsid w:val="008242DA"/>
    <w:rsid w:val="00824318"/>
    <w:rsid w:val="008248AB"/>
    <w:rsid w:val="008248AC"/>
    <w:rsid w:val="00824CAA"/>
    <w:rsid w:val="00824F40"/>
    <w:rsid w:val="0082512F"/>
    <w:rsid w:val="00825502"/>
    <w:rsid w:val="00825C0D"/>
    <w:rsid w:val="00825DF8"/>
    <w:rsid w:val="008263B9"/>
    <w:rsid w:val="0082772D"/>
    <w:rsid w:val="008278F8"/>
    <w:rsid w:val="00827FCE"/>
    <w:rsid w:val="00830217"/>
    <w:rsid w:val="0083095E"/>
    <w:rsid w:val="00830F2A"/>
    <w:rsid w:val="0083109A"/>
    <w:rsid w:val="0083221E"/>
    <w:rsid w:val="00832351"/>
    <w:rsid w:val="00832465"/>
    <w:rsid w:val="00832CFB"/>
    <w:rsid w:val="00833102"/>
    <w:rsid w:val="00833194"/>
    <w:rsid w:val="00833246"/>
    <w:rsid w:val="00833A31"/>
    <w:rsid w:val="00833BEC"/>
    <w:rsid w:val="00833C33"/>
    <w:rsid w:val="00834031"/>
    <w:rsid w:val="008342DF"/>
    <w:rsid w:val="008342ED"/>
    <w:rsid w:val="008360F7"/>
    <w:rsid w:val="008361C0"/>
    <w:rsid w:val="008362DC"/>
    <w:rsid w:val="0083663A"/>
    <w:rsid w:val="00836790"/>
    <w:rsid w:val="00836FE4"/>
    <w:rsid w:val="00837690"/>
    <w:rsid w:val="00837897"/>
    <w:rsid w:val="008407DA"/>
    <w:rsid w:val="00840CBA"/>
    <w:rsid w:val="008410E6"/>
    <w:rsid w:val="0084151D"/>
    <w:rsid w:val="00841AA0"/>
    <w:rsid w:val="00841B02"/>
    <w:rsid w:val="00841EB5"/>
    <w:rsid w:val="00843B2D"/>
    <w:rsid w:val="008440C0"/>
    <w:rsid w:val="00844249"/>
    <w:rsid w:val="008443A3"/>
    <w:rsid w:val="00845420"/>
    <w:rsid w:val="0084590E"/>
    <w:rsid w:val="00845A0E"/>
    <w:rsid w:val="00845A87"/>
    <w:rsid w:val="00846C70"/>
    <w:rsid w:val="00846D27"/>
    <w:rsid w:val="00846F9A"/>
    <w:rsid w:val="00847B0E"/>
    <w:rsid w:val="00847D18"/>
    <w:rsid w:val="008502B0"/>
    <w:rsid w:val="00850915"/>
    <w:rsid w:val="008509FC"/>
    <w:rsid w:val="00850D9A"/>
    <w:rsid w:val="00851440"/>
    <w:rsid w:val="00851987"/>
    <w:rsid w:val="00851F99"/>
    <w:rsid w:val="008522D6"/>
    <w:rsid w:val="00852448"/>
    <w:rsid w:val="00852859"/>
    <w:rsid w:val="00852DC7"/>
    <w:rsid w:val="00853C13"/>
    <w:rsid w:val="00853ED3"/>
    <w:rsid w:val="00854821"/>
    <w:rsid w:val="008549A4"/>
    <w:rsid w:val="00854F65"/>
    <w:rsid w:val="00855091"/>
    <w:rsid w:val="00855553"/>
    <w:rsid w:val="0085560B"/>
    <w:rsid w:val="00855BC3"/>
    <w:rsid w:val="00855DA9"/>
    <w:rsid w:val="00856089"/>
    <w:rsid w:val="008562B3"/>
    <w:rsid w:val="00856575"/>
    <w:rsid w:val="00856621"/>
    <w:rsid w:val="00856919"/>
    <w:rsid w:val="00856A4F"/>
    <w:rsid w:val="0085704E"/>
    <w:rsid w:val="00857557"/>
    <w:rsid w:val="00857B76"/>
    <w:rsid w:val="0086074D"/>
    <w:rsid w:val="00862426"/>
    <w:rsid w:val="008627B2"/>
    <w:rsid w:val="008638B4"/>
    <w:rsid w:val="00863D91"/>
    <w:rsid w:val="00863FC8"/>
    <w:rsid w:val="00864137"/>
    <w:rsid w:val="00864225"/>
    <w:rsid w:val="00865522"/>
    <w:rsid w:val="00865620"/>
    <w:rsid w:val="00865F60"/>
    <w:rsid w:val="00866110"/>
    <w:rsid w:val="00866BDC"/>
    <w:rsid w:val="008670B3"/>
    <w:rsid w:val="008672B6"/>
    <w:rsid w:val="00867928"/>
    <w:rsid w:val="00867CEA"/>
    <w:rsid w:val="00867FF2"/>
    <w:rsid w:val="00870738"/>
    <w:rsid w:val="008708B5"/>
    <w:rsid w:val="00870C3D"/>
    <w:rsid w:val="00871127"/>
    <w:rsid w:val="00871489"/>
    <w:rsid w:val="008719D5"/>
    <w:rsid w:val="008727F4"/>
    <w:rsid w:val="00872BB9"/>
    <w:rsid w:val="00872C67"/>
    <w:rsid w:val="0087323E"/>
    <w:rsid w:val="008735B0"/>
    <w:rsid w:val="008737CB"/>
    <w:rsid w:val="00873C03"/>
    <w:rsid w:val="00873DE8"/>
    <w:rsid w:val="00875187"/>
    <w:rsid w:val="00875C6F"/>
    <w:rsid w:val="00876882"/>
    <w:rsid w:val="008769EB"/>
    <w:rsid w:val="00876EBD"/>
    <w:rsid w:val="008779CB"/>
    <w:rsid w:val="00877F12"/>
    <w:rsid w:val="0088012F"/>
    <w:rsid w:val="008801DC"/>
    <w:rsid w:val="0088041A"/>
    <w:rsid w:val="008809D0"/>
    <w:rsid w:val="00880EAA"/>
    <w:rsid w:val="00881B80"/>
    <w:rsid w:val="00881C1F"/>
    <w:rsid w:val="00881E4D"/>
    <w:rsid w:val="0088327B"/>
    <w:rsid w:val="00883602"/>
    <w:rsid w:val="00884A78"/>
    <w:rsid w:val="00884D52"/>
    <w:rsid w:val="00884F1C"/>
    <w:rsid w:val="008868F0"/>
    <w:rsid w:val="0088744E"/>
    <w:rsid w:val="00890C8E"/>
    <w:rsid w:val="00892774"/>
    <w:rsid w:val="008928C9"/>
    <w:rsid w:val="00892F79"/>
    <w:rsid w:val="00892FDA"/>
    <w:rsid w:val="0089327B"/>
    <w:rsid w:val="008932BC"/>
    <w:rsid w:val="00893326"/>
    <w:rsid w:val="008933D4"/>
    <w:rsid w:val="00893489"/>
    <w:rsid w:val="00893863"/>
    <w:rsid w:val="0089579D"/>
    <w:rsid w:val="0089580E"/>
    <w:rsid w:val="008959CF"/>
    <w:rsid w:val="00895B75"/>
    <w:rsid w:val="008961DA"/>
    <w:rsid w:val="00896622"/>
    <w:rsid w:val="00896715"/>
    <w:rsid w:val="0089684D"/>
    <w:rsid w:val="008A001D"/>
    <w:rsid w:val="008A0201"/>
    <w:rsid w:val="008A1197"/>
    <w:rsid w:val="008A1213"/>
    <w:rsid w:val="008A18E4"/>
    <w:rsid w:val="008A1FC5"/>
    <w:rsid w:val="008A2524"/>
    <w:rsid w:val="008A2960"/>
    <w:rsid w:val="008A2BF5"/>
    <w:rsid w:val="008A3F82"/>
    <w:rsid w:val="008A3FED"/>
    <w:rsid w:val="008A4AC4"/>
    <w:rsid w:val="008A4B51"/>
    <w:rsid w:val="008A4B78"/>
    <w:rsid w:val="008A4D44"/>
    <w:rsid w:val="008A50C9"/>
    <w:rsid w:val="008A583B"/>
    <w:rsid w:val="008A597E"/>
    <w:rsid w:val="008A5C7B"/>
    <w:rsid w:val="008A5F59"/>
    <w:rsid w:val="008A6D22"/>
    <w:rsid w:val="008A7C06"/>
    <w:rsid w:val="008B0358"/>
    <w:rsid w:val="008B0A08"/>
    <w:rsid w:val="008B0BFF"/>
    <w:rsid w:val="008B0F2A"/>
    <w:rsid w:val="008B10E3"/>
    <w:rsid w:val="008B13E6"/>
    <w:rsid w:val="008B1E9C"/>
    <w:rsid w:val="008B22E9"/>
    <w:rsid w:val="008B27AF"/>
    <w:rsid w:val="008B2CF9"/>
    <w:rsid w:val="008B33CA"/>
    <w:rsid w:val="008B51DD"/>
    <w:rsid w:val="008B56D1"/>
    <w:rsid w:val="008B6274"/>
    <w:rsid w:val="008B64DD"/>
    <w:rsid w:val="008B6BB5"/>
    <w:rsid w:val="008B73A8"/>
    <w:rsid w:val="008B7490"/>
    <w:rsid w:val="008B74F9"/>
    <w:rsid w:val="008B7CBD"/>
    <w:rsid w:val="008C0B2E"/>
    <w:rsid w:val="008C0C2F"/>
    <w:rsid w:val="008C0C8D"/>
    <w:rsid w:val="008C0D20"/>
    <w:rsid w:val="008C10F4"/>
    <w:rsid w:val="008C145B"/>
    <w:rsid w:val="008C1563"/>
    <w:rsid w:val="008C15C4"/>
    <w:rsid w:val="008C1E5C"/>
    <w:rsid w:val="008C2883"/>
    <w:rsid w:val="008C2B23"/>
    <w:rsid w:val="008C2B9A"/>
    <w:rsid w:val="008C3B45"/>
    <w:rsid w:val="008C3C9D"/>
    <w:rsid w:val="008C41BB"/>
    <w:rsid w:val="008C4C78"/>
    <w:rsid w:val="008C4C96"/>
    <w:rsid w:val="008C5640"/>
    <w:rsid w:val="008C59AE"/>
    <w:rsid w:val="008C6286"/>
    <w:rsid w:val="008C7857"/>
    <w:rsid w:val="008C78A4"/>
    <w:rsid w:val="008C7D2C"/>
    <w:rsid w:val="008C7FA3"/>
    <w:rsid w:val="008D02A5"/>
    <w:rsid w:val="008D0B5A"/>
    <w:rsid w:val="008D167D"/>
    <w:rsid w:val="008D1801"/>
    <w:rsid w:val="008D1B74"/>
    <w:rsid w:val="008D1C63"/>
    <w:rsid w:val="008D1D86"/>
    <w:rsid w:val="008D2743"/>
    <w:rsid w:val="008D2E39"/>
    <w:rsid w:val="008D5954"/>
    <w:rsid w:val="008D5B84"/>
    <w:rsid w:val="008D5D57"/>
    <w:rsid w:val="008D65E9"/>
    <w:rsid w:val="008D6752"/>
    <w:rsid w:val="008D6A2E"/>
    <w:rsid w:val="008D6B3C"/>
    <w:rsid w:val="008D6FA1"/>
    <w:rsid w:val="008D7679"/>
    <w:rsid w:val="008D7DC0"/>
    <w:rsid w:val="008D7FF5"/>
    <w:rsid w:val="008DA5C8"/>
    <w:rsid w:val="008E05AD"/>
    <w:rsid w:val="008E0A7B"/>
    <w:rsid w:val="008E1B36"/>
    <w:rsid w:val="008E216A"/>
    <w:rsid w:val="008E24BF"/>
    <w:rsid w:val="008E25E4"/>
    <w:rsid w:val="008E2CF0"/>
    <w:rsid w:val="008E3DDE"/>
    <w:rsid w:val="008E41A0"/>
    <w:rsid w:val="008E434D"/>
    <w:rsid w:val="008E4CE9"/>
    <w:rsid w:val="008E4D3B"/>
    <w:rsid w:val="008E4F7D"/>
    <w:rsid w:val="008E4FBE"/>
    <w:rsid w:val="008E5373"/>
    <w:rsid w:val="008E571C"/>
    <w:rsid w:val="008E5B77"/>
    <w:rsid w:val="008E5F57"/>
    <w:rsid w:val="008E62D4"/>
    <w:rsid w:val="008E78DC"/>
    <w:rsid w:val="008F014E"/>
    <w:rsid w:val="008F028B"/>
    <w:rsid w:val="008F0D9C"/>
    <w:rsid w:val="008F1349"/>
    <w:rsid w:val="008F22E2"/>
    <w:rsid w:val="008F36EF"/>
    <w:rsid w:val="008F398F"/>
    <w:rsid w:val="008F3F4C"/>
    <w:rsid w:val="008F463F"/>
    <w:rsid w:val="008F4B41"/>
    <w:rsid w:val="008F4B83"/>
    <w:rsid w:val="008F5620"/>
    <w:rsid w:val="008F596D"/>
    <w:rsid w:val="008F5C31"/>
    <w:rsid w:val="008F6D40"/>
    <w:rsid w:val="008F720B"/>
    <w:rsid w:val="008F7649"/>
    <w:rsid w:val="008F76BE"/>
    <w:rsid w:val="008F7CD5"/>
    <w:rsid w:val="008F7D03"/>
    <w:rsid w:val="00900094"/>
    <w:rsid w:val="00900276"/>
    <w:rsid w:val="0090119C"/>
    <w:rsid w:val="00901242"/>
    <w:rsid w:val="009014E4"/>
    <w:rsid w:val="0090150D"/>
    <w:rsid w:val="00901663"/>
    <w:rsid w:val="00901B1D"/>
    <w:rsid w:val="00901BA8"/>
    <w:rsid w:val="00901FB9"/>
    <w:rsid w:val="0090379C"/>
    <w:rsid w:val="00903BA1"/>
    <w:rsid w:val="00903F72"/>
    <w:rsid w:val="00905040"/>
    <w:rsid w:val="009054FD"/>
    <w:rsid w:val="00905851"/>
    <w:rsid w:val="00905A3E"/>
    <w:rsid w:val="00906972"/>
    <w:rsid w:val="00906CD0"/>
    <w:rsid w:val="00906D75"/>
    <w:rsid w:val="00906F26"/>
    <w:rsid w:val="009070D0"/>
    <w:rsid w:val="009070E6"/>
    <w:rsid w:val="00907237"/>
    <w:rsid w:val="0090734B"/>
    <w:rsid w:val="009079A3"/>
    <w:rsid w:val="00907D12"/>
    <w:rsid w:val="009101A0"/>
    <w:rsid w:val="00910610"/>
    <w:rsid w:val="0091063A"/>
    <w:rsid w:val="00911FD4"/>
    <w:rsid w:val="009121CE"/>
    <w:rsid w:val="009127D2"/>
    <w:rsid w:val="00912F6B"/>
    <w:rsid w:val="00913579"/>
    <w:rsid w:val="00913C78"/>
    <w:rsid w:val="00914F57"/>
    <w:rsid w:val="00915033"/>
    <w:rsid w:val="00915B3D"/>
    <w:rsid w:val="00916193"/>
    <w:rsid w:val="00916BE2"/>
    <w:rsid w:val="00916D0C"/>
    <w:rsid w:val="009170E1"/>
    <w:rsid w:val="00917F98"/>
    <w:rsid w:val="00920071"/>
    <w:rsid w:val="009205D8"/>
    <w:rsid w:val="0092116B"/>
    <w:rsid w:val="00921719"/>
    <w:rsid w:val="009217E8"/>
    <w:rsid w:val="00921AC5"/>
    <w:rsid w:val="00922075"/>
    <w:rsid w:val="0092248B"/>
    <w:rsid w:val="009225D0"/>
    <w:rsid w:val="00922A3A"/>
    <w:rsid w:val="00922E04"/>
    <w:rsid w:val="00923104"/>
    <w:rsid w:val="0092395C"/>
    <w:rsid w:val="00923968"/>
    <w:rsid w:val="00923AA2"/>
    <w:rsid w:val="00923BB0"/>
    <w:rsid w:val="009245AD"/>
    <w:rsid w:val="009249DA"/>
    <w:rsid w:val="00924A65"/>
    <w:rsid w:val="0092660B"/>
    <w:rsid w:val="00926B34"/>
    <w:rsid w:val="00926C5D"/>
    <w:rsid w:val="00927258"/>
    <w:rsid w:val="009278FF"/>
    <w:rsid w:val="0093084C"/>
    <w:rsid w:val="00931127"/>
    <w:rsid w:val="0093119B"/>
    <w:rsid w:val="009311B2"/>
    <w:rsid w:val="00931352"/>
    <w:rsid w:val="0093166F"/>
    <w:rsid w:val="009318B5"/>
    <w:rsid w:val="0093307A"/>
    <w:rsid w:val="00933399"/>
    <w:rsid w:val="009339D7"/>
    <w:rsid w:val="00933AA0"/>
    <w:rsid w:val="0093434D"/>
    <w:rsid w:val="009344B3"/>
    <w:rsid w:val="00934C80"/>
    <w:rsid w:val="00936579"/>
    <w:rsid w:val="009366DC"/>
    <w:rsid w:val="00936B67"/>
    <w:rsid w:val="00936E38"/>
    <w:rsid w:val="0093732B"/>
    <w:rsid w:val="00937B41"/>
    <w:rsid w:val="00937FD9"/>
    <w:rsid w:val="00940555"/>
    <w:rsid w:val="00940A63"/>
    <w:rsid w:val="00940ED2"/>
    <w:rsid w:val="00942A5E"/>
    <w:rsid w:val="00943123"/>
    <w:rsid w:val="00943A37"/>
    <w:rsid w:val="009440A1"/>
    <w:rsid w:val="009443CB"/>
    <w:rsid w:val="009444AB"/>
    <w:rsid w:val="00944CA6"/>
    <w:rsid w:val="0094539C"/>
    <w:rsid w:val="00945488"/>
    <w:rsid w:val="00945551"/>
    <w:rsid w:val="00945ECF"/>
    <w:rsid w:val="00946353"/>
    <w:rsid w:val="009464FD"/>
    <w:rsid w:val="00946680"/>
    <w:rsid w:val="0094687A"/>
    <w:rsid w:val="0094688F"/>
    <w:rsid w:val="00946FD6"/>
    <w:rsid w:val="0094797C"/>
    <w:rsid w:val="00947B4C"/>
    <w:rsid w:val="0095077B"/>
    <w:rsid w:val="009515BE"/>
    <w:rsid w:val="00952908"/>
    <w:rsid w:val="00952ED8"/>
    <w:rsid w:val="0095333B"/>
    <w:rsid w:val="009538BF"/>
    <w:rsid w:val="00954452"/>
    <w:rsid w:val="00954A91"/>
    <w:rsid w:val="00954D7A"/>
    <w:rsid w:val="0095591B"/>
    <w:rsid w:val="00957276"/>
    <w:rsid w:val="009572B9"/>
    <w:rsid w:val="00957DC8"/>
    <w:rsid w:val="0096008F"/>
    <w:rsid w:val="0096009F"/>
    <w:rsid w:val="00960BB1"/>
    <w:rsid w:val="00961CA9"/>
    <w:rsid w:val="00962037"/>
    <w:rsid w:val="009626D8"/>
    <w:rsid w:val="0096306F"/>
    <w:rsid w:val="0096371B"/>
    <w:rsid w:val="00963804"/>
    <w:rsid w:val="0096385F"/>
    <w:rsid w:val="009638AD"/>
    <w:rsid w:val="00963E57"/>
    <w:rsid w:val="00963E6B"/>
    <w:rsid w:val="009640B2"/>
    <w:rsid w:val="00964CFC"/>
    <w:rsid w:val="00964F5D"/>
    <w:rsid w:val="009650A2"/>
    <w:rsid w:val="0096514B"/>
    <w:rsid w:val="00965557"/>
    <w:rsid w:val="00966503"/>
    <w:rsid w:val="0096671F"/>
    <w:rsid w:val="0096676E"/>
    <w:rsid w:val="009669B5"/>
    <w:rsid w:val="00966B51"/>
    <w:rsid w:val="00966C85"/>
    <w:rsid w:val="00966CE5"/>
    <w:rsid w:val="009679B1"/>
    <w:rsid w:val="00967AF2"/>
    <w:rsid w:val="0096D2BF"/>
    <w:rsid w:val="00971B7F"/>
    <w:rsid w:val="00972068"/>
    <w:rsid w:val="00972427"/>
    <w:rsid w:val="0097245D"/>
    <w:rsid w:val="009724F6"/>
    <w:rsid w:val="00972D2F"/>
    <w:rsid w:val="009739B2"/>
    <w:rsid w:val="00973AEC"/>
    <w:rsid w:val="00973CE5"/>
    <w:rsid w:val="00973D54"/>
    <w:rsid w:val="00973E3E"/>
    <w:rsid w:val="00975576"/>
    <w:rsid w:val="009755C2"/>
    <w:rsid w:val="00976446"/>
    <w:rsid w:val="00976EFA"/>
    <w:rsid w:val="009775C8"/>
    <w:rsid w:val="009777CB"/>
    <w:rsid w:val="00977B60"/>
    <w:rsid w:val="00980577"/>
    <w:rsid w:val="009809E1"/>
    <w:rsid w:val="00981326"/>
    <w:rsid w:val="00981C55"/>
    <w:rsid w:val="009820FD"/>
    <w:rsid w:val="00982B7F"/>
    <w:rsid w:val="00983209"/>
    <w:rsid w:val="009834C7"/>
    <w:rsid w:val="0098420E"/>
    <w:rsid w:val="0098443A"/>
    <w:rsid w:val="00984802"/>
    <w:rsid w:val="00984B6C"/>
    <w:rsid w:val="00985515"/>
    <w:rsid w:val="009858AD"/>
    <w:rsid w:val="00985FAE"/>
    <w:rsid w:val="00986347"/>
    <w:rsid w:val="00986478"/>
    <w:rsid w:val="00986A8E"/>
    <w:rsid w:val="009907F7"/>
    <w:rsid w:val="00990869"/>
    <w:rsid w:val="00991A1E"/>
    <w:rsid w:val="00991B9D"/>
    <w:rsid w:val="0099230C"/>
    <w:rsid w:val="0099269E"/>
    <w:rsid w:val="00992920"/>
    <w:rsid w:val="00993109"/>
    <w:rsid w:val="009939A5"/>
    <w:rsid w:val="009939DF"/>
    <w:rsid w:val="009943B5"/>
    <w:rsid w:val="009945E1"/>
    <w:rsid w:val="00994927"/>
    <w:rsid w:val="00994DCD"/>
    <w:rsid w:val="00996662"/>
    <w:rsid w:val="00996E6D"/>
    <w:rsid w:val="009A0F2C"/>
    <w:rsid w:val="009A13DA"/>
    <w:rsid w:val="009A13FE"/>
    <w:rsid w:val="009A14C5"/>
    <w:rsid w:val="009A1661"/>
    <w:rsid w:val="009A1930"/>
    <w:rsid w:val="009A2273"/>
    <w:rsid w:val="009A2946"/>
    <w:rsid w:val="009A2F1C"/>
    <w:rsid w:val="009A33DA"/>
    <w:rsid w:val="009A3832"/>
    <w:rsid w:val="009A4035"/>
    <w:rsid w:val="009A4109"/>
    <w:rsid w:val="009A427E"/>
    <w:rsid w:val="009A4D19"/>
    <w:rsid w:val="009A5491"/>
    <w:rsid w:val="009A54F1"/>
    <w:rsid w:val="009A550C"/>
    <w:rsid w:val="009A551A"/>
    <w:rsid w:val="009A600D"/>
    <w:rsid w:val="009A6AD0"/>
    <w:rsid w:val="009A730A"/>
    <w:rsid w:val="009A74FA"/>
    <w:rsid w:val="009B009A"/>
    <w:rsid w:val="009B082F"/>
    <w:rsid w:val="009B0B0D"/>
    <w:rsid w:val="009B0E97"/>
    <w:rsid w:val="009B1634"/>
    <w:rsid w:val="009B1870"/>
    <w:rsid w:val="009B1CAC"/>
    <w:rsid w:val="009B28FD"/>
    <w:rsid w:val="009B2BBC"/>
    <w:rsid w:val="009B30A8"/>
    <w:rsid w:val="009B3183"/>
    <w:rsid w:val="009B3581"/>
    <w:rsid w:val="009B38C1"/>
    <w:rsid w:val="009B40A2"/>
    <w:rsid w:val="009B4D18"/>
    <w:rsid w:val="009B5B62"/>
    <w:rsid w:val="009B5B7A"/>
    <w:rsid w:val="009B6101"/>
    <w:rsid w:val="009B642A"/>
    <w:rsid w:val="009B6466"/>
    <w:rsid w:val="009B6AFD"/>
    <w:rsid w:val="009B6BC2"/>
    <w:rsid w:val="009B6F12"/>
    <w:rsid w:val="009B7300"/>
    <w:rsid w:val="009B7400"/>
    <w:rsid w:val="009B7418"/>
    <w:rsid w:val="009B7F78"/>
    <w:rsid w:val="009B7FD5"/>
    <w:rsid w:val="009C02FF"/>
    <w:rsid w:val="009C07E3"/>
    <w:rsid w:val="009C129C"/>
    <w:rsid w:val="009C12B5"/>
    <w:rsid w:val="009C145F"/>
    <w:rsid w:val="009C1C53"/>
    <w:rsid w:val="009C1D29"/>
    <w:rsid w:val="009C23CC"/>
    <w:rsid w:val="009C2A04"/>
    <w:rsid w:val="009C2AB0"/>
    <w:rsid w:val="009C3E1E"/>
    <w:rsid w:val="009C3E77"/>
    <w:rsid w:val="009C4F2F"/>
    <w:rsid w:val="009C58C3"/>
    <w:rsid w:val="009C5B28"/>
    <w:rsid w:val="009C5C2D"/>
    <w:rsid w:val="009C66D3"/>
    <w:rsid w:val="009D03DF"/>
    <w:rsid w:val="009D05B1"/>
    <w:rsid w:val="009D10E3"/>
    <w:rsid w:val="009D1351"/>
    <w:rsid w:val="009D13C1"/>
    <w:rsid w:val="009D212B"/>
    <w:rsid w:val="009D2169"/>
    <w:rsid w:val="009D271B"/>
    <w:rsid w:val="009D2904"/>
    <w:rsid w:val="009D2EFD"/>
    <w:rsid w:val="009D3412"/>
    <w:rsid w:val="009D3499"/>
    <w:rsid w:val="009D38F3"/>
    <w:rsid w:val="009D3CF9"/>
    <w:rsid w:val="009D3F8A"/>
    <w:rsid w:val="009D43A9"/>
    <w:rsid w:val="009D4B68"/>
    <w:rsid w:val="009D5584"/>
    <w:rsid w:val="009D6606"/>
    <w:rsid w:val="009D66BD"/>
    <w:rsid w:val="009D6B02"/>
    <w:rsid w:val="009D74B4"/>
    <w:rsid w:val="009D7B87"/>
    <w:rsid w:val="009D7C30"/>
    <w:rsid w:val="009E076D"/>
    <w:rsid w:val="009E0920"/>
    <w:rsid w:val="009E1535"/>
    <w:rsid w:val="009E1ADC"/>
    <w:rsid w:val="009E1C7E"/>
    <w:rsid w:val="009E1F01"/>
    <w:rsid w:val="009E22F2"/>
    <w:rsid w:val="009E2576"/>
    <w:rsid w:val="009E2A4E"/>
    <w:rsid w:val="009E30F6"/>
    <w:rsid w:val="009E330A"/>
    <w:rsid w:val="009E3315"/>
    <w:rsid w:val="009E3E7D"/>
    <w:rsid w:val="009E3F39"/>
    <w:rsid w:val="009E4550"/>
    <w:rsid w:val="009E4EFF"/>
    <w:rsid w:val="009E56F9"/>
    <w:rsid w:val="009E5717"/>
    <w:rsid w:val="009E5D66"/>
    <w:rsid w:val="009E623C"/>
    <w:rsid w:val="009E64F8"/>
    <w:rsid w:val="009E6BC6"/>
    <w:rsid w:val="009F0713"/>
    <w:rsid w:val="009F07AD"/>
    <w:rsid w:val="009F102E"/>
    <w:rsid w:val="009F15A8"/>
    <w:rsid w:val="009F18F7"/>
    <w:rsid w:val="009F1A48"/>
    <w:rsid w:val="009F1A69"/>
    <w:rsid w:val="009F1E06"/>
    <w:rsid w:val="009F307D"/>
    <w:rsid w:val="009F3281"/>
    <w:rsid w:val="009F344D"/>
    <w:rsid w:val="009F3EC5"/>
    <w:rsid w:val="009F4202"/>
    <w:rsid w:val="009F44D4"/>
    <w:rsid w:val="009F5254"/>
    <w:rsid w:val="009F5438"/>
    <w:rsid w:val="009F5661"/>
    <w:rsid w:val="009F58A8"/>
    <w:rsid w:val="009F5E20"/>
    <w:rsid w:val="009F5E67"/>
    <w:rsid w:val="009F5FFB"/>
    <w:rsid w:val="009F63E0"/>
    <w:rsid w:val="009F6CCD"/>
    <w:rsid w:val="009F75BB"/>
    <w:rsid w:val="009F78D4"/>
    <w:rsid w:val="009F7B8A"/>
    <w:rsid w:val="00A004D4"/>
    <w:rsid w:val="00A0095E"/>
    <w:rsid w:val="00A00B23"/>
    <w:rsid w:val="00A014C4"/>
    <w:rsid w:val="00A01963"/>
    <w:rsid w:val="00A01E83"/>
    <w:rsid w:val="00A03C93"/>
    <w:rsid w:val="00A04476"/>
    <w:rsid w:val="00A0452C"/>
    <w:rsid w:val="00A046A2"/>
    <w:rsid w:val="00A047A3"/>
    <w:rsid w:val="00A04F44"/>
    <w:rsid w:val="00A05949"/>
    <w:rsid w:val="00A05A77"/>
    <w:rsid w:val="00A05D7F"/>
    <w:rsid w:val="00A07149"/>
    <w:rsid w:val="00A07304"/>
    <w:rsid w:val="00A07933"/>
    <w:rsid w:val="00A10805"/>
    <w:rsid w:val="00A10898"/>
    <w:rsid w:val="00A10CB4"/>
    <w:rsid w:val="00A10D69"/>
    <w:rsid w:val="00A123EF"/>
    <w:rsid w:val="00A12431"/>
    <w:rsid w:val="00A133F5"/>
    <w:rsid w:val="00A13DB7"/>
    <w:rsid w:val="00A13EF8"/>
    <w:rsid w:val="00A14666"/>
    <w:rsid w:val="00A1475C"/>
    <w:rsid w:val="00A149A1"/>
    <w:rsid w:val="00A15D4F"/>
    <w:rsid w:val="00A1618D"/>
    <w:rsid w:val="00A16400"/>
    <w:rsid w:val="00A16A9D"/>
    <w:rsid w:val="00A1743A"/>
    <w:rsid w:val="00A175BE"/>
    <w:rsid w:val="00A20019"/>
    <w:rsid w:val="00A20033"/>
    <w:rsid w:val="00A2030A"/>
    <w:rsid w:val="00A2096A"/>
    <w:rsid w:val="00A2198B"/>
    <w:rsid w:val="00A22D84"/>
    <w:rsid w:val="00A2300E"/>
    <w:rsid w:val="00A23DAF"/>
    <w:rsid w:val="00A245FA"/>
    <w:rsid w:val="00A256E4"/>
    <w:rsid w:val="00A258B7"/>
    <w:rsid w:val="00A25F13"/>
    <w:rsid w:val="00A2603B"/>
    <w:rsid w:val="00A26333"/>
    <w:rsid w:val="00A2635F"/>
    <w:rsid w:val="00A263AC"/>
    <w:rsid w:val="00A268B8"/>
    <w:rsid w:val="00A26C53"/>
    <w:rsid w:val="00A26F14"/>
    <w:rsid w:val="00A272F8"/>
    <w:rsid w:val="00A276D4"/>
    <w:rsid w:val="00A27BE7"/>
    <w:rsid w:val="00A27C97"/>
    <w:rsid w:val="00A300E3"/>
    <w:rsid w:val="00A3052C"/>
    <w:rsid w:val="00A314CC"/>
    <w:rsid w:val="00A31CB7"/>
    <w:rsid w:val="00A327C3"/>
    <w:rsid w:val="00A32E6C"/>
    <w:rsid w:val="00A33AF2"/>
    <w:rsid w:val="00A343A8"/>
    <w:rsid w:val="00A344A7"/>
    <w:rsid w:val="00A34655"/>
    <w:rsid w:val="00A348D6"/>
    <w:rsid w:val="00A349EB"/>
    <w:rsid w:val="00A34B12"/>
    <w:rsid w:val="00A35402"/>
    <w:rsid w:val="00A35B8B"/>
    <w:rsid w:val="00A35D8D"/>
    <w:rsid w:val="00A3626C"/>
    <w:rsid w:val="00A36277"/>
    <w:rsid w:val="00A37F22"/>
    <w:rsid w:val="00A40221"/>
    <w:rsid w:val="00A4073C"/>
    <w:rsid w:val="00A409DC"/>
    <w:rsid w:val="00A40B1F"/>
    <w:rsid w:val="00A416B8"/>
    <w:rsid w:val="00A41C92"/>
    <w:rsid w:val="00A42C34"/>
    <w:rsid w:val="00A42E67"/>
    <w:rsid w:val="00A4309B"/>
    <w:rsid w:val="00A4341B"/>
    <w:rsid w:val="00A434DA"/>
    <w:rsid w:val="00A436DD"/>
    <w:rsid w:val="00A437DE"/>
    <w:rsid w:val="00A438AB"/>
    <w:rsid w:val="00A438F8"/>
    <w:rsid w:val="00A43E53"/>
    <w:rsid w:val="00A43F3D"/>
    <w:rsid w:val="00A44164"/>
    <w:rsid w:val="00A445CB"/>
    <w:rsid w:val="00A44A26"/>
    <w:rsid w:val="00A44F08"/>
    <w:rsid w:val="00A44F2F"/>
    <w:rsid w:val="00A456F3"/>
    <w:rsid w:val="00A457EB"/>
    <w:rsid w:val="00A45FA0"/>
    <w:rsid w:val="00A4630D"/>
    <w:rsid w:val="00A46A9B"/>
    <w:rsid w:val="00A4767B"/>
    <w:rsid w:val="00A47D07"/>
    <w:rsid w:val="00A47D29"/>
    <w:rsid w:val="00A501B8"/>
    <w:rsid w:val="00A504A1"/>
    <w:rsid w:val="00A5050B"/>
    <w:rsid w:val="00A50594"/>
    <w:rsid w:val="00A5091D"/>
    <w:rsid w:val="00A50BEF"/>
    <w:rsid w:val="00A513FA"/>
    <w:rsid w:val="00A515B5"/>
    <w:rsid w:val="00A51AF1"/>
    <w:rsid w:val="00A51B5F"/>
    <w:rsid w:val="00A520E8"/>
    <w:rsid w:val="00A527B7"/>
    <w:rsid w:val="00A53828"/>
    <w:rsid w:val="00A5438D"/>
    <w:rsid w:val="00A543BC"/>
    <w:rsid w:val="00A545DC"/>
    <w:rsid w:val="00A54829"/>
    <w:rsid w:val="00A548F0"/>
    <w:rsid w:val="00A54A97"/>
    <w:rsid w:val="00A55374"/>
    <w:rsid w:val="00A553C8"/>
    <w:rsid w:val="00A555CB"/>
    <w:rsid w:val="00A55F90"/>
    <w:rsid w:val="00A56362"/>
    <w:rsid w:val="00A5658C"/>
    <w:rsid w:val="00A56F76"/>
    <w:rsid w:val="00A56F8B"/>
    <w:rsid w:val="00A57A05"/>
    <w:rsid w:val="00A57A9B"/>
    <w:rsid w:val="00A57B90"/>
    <w:rsid w:val="00A60467"/>
    <w:rsid w:val="00A606B8"/>
    <w:rsid w:val="00A6129F"/>
    <w:rsid w:val="00A61A46"/>
    <w:rsid w:val="00A61C91"/>
    <w:rsid w:val="00A6234C"/>
    <w:rsid w:val="00A625A1"/>
    <w:rsid w:val="00A627D3"/>
    <w:rsid w:val="00A634C1"/>
    <w:rsid w:val="00A63F14"/>
    <w:rsid w:val="00A63F17"/>
    <w:rsid w:val="00A643AD"/>
    <w:rsid w:val="00A64D37"/>
    <w:rsid w:val="00A6572A"/>
    <w:rsid w:val="00A66333"/>
    <w:rsid w:val="00A668B6"/>
    <w:rsid w:val="00A66988"/>
    <w:rsid w:val="00A66C74"/>
    <w:rsid w:val="00A66E63"/>
    <w:rsid w:val="00A6756E"/>
    <w:rsid w:val="00A67E2D"/>
    <w:rsid w:val="00A67ED2"/>
    <w:rsid w:val="00A7052A"/>
    <w:rsid w:val="00A7056C"/>
    <w:rsid w:val="00A70DC4"/>
    <w:rsid w:val="00A71017"/>
    <w:rsid w:val="00A711DA"/>
    <w:rsid w:val="00A71D4F"/>
    <w:rsid w:val="00A72002"/>
    <w:rsid w:val="00A720CA"/>
    <w:rsid w:val="00A72135"/>
    <w:rsid w:val="00A72BA9"/>
    <w:rsid w:val="00A73698"/>
    <w:rsid w:val="00A741A5"/>
    <w:rsid w:val="00A7583C"/>
    <w:rsid w:val="00A75C33"/>
    <w:rsid w:val="00A760ED"/>
    <w:rsid w:val="00A77296"/>
    <w:rsid w:val="00A7796F"/>
    <w:rsid w:val="00A77D2A"/>
    <w:rsid w:val="00A802DA"/>
    <w:rsid w:val="00A81126"/>
    <w:rsid w:val="00A8124A"/>
    <w:rsid w:val="00A813E3"/>
    <w:rsid w:val="00A81690"/>
    <w:rsid w:val="00A81CBE"/>
    <w:rsid w:val="00A8227C"/>
    <w:rsid w:val="00A82502"/>
    <w:rsid w:val="00A82F22"/>
    <w:rsid w:val="00A83DD0"/>
    <w:rsid w:val="00A83E08"/>
    <w:rsid w:val="00A848B7"/>
    <w:rsid w:val="00A84C20"/>
    <w:rsid w:val="00A8537B"/>
    <w:rsid w:val="00A85EFB"/>
    <w:rsid w:val="00A86287"/>
    <w:rsid w:val="00A8629D"/>
    <w:rsid w:val="00A8646A"/>
    <w:rsid w:val="00A867E7"/>
    <w:rsid w:val="00A8684D"/>
    <w:rsid w:val="00A86AFB"/>
    <w:rsid w:val="00A87B52"/>
    <w:rsid w:val="00A90365"/>
    <w:rsid w:val="00A90931"/>
    <w:rsid w:val="00A90CC0"/>
    <w:rsid w:val="00A90D0E"/>
    <w:rsid w:val="00A90D2A"/>
    <w:rsid w:val="00A9136E"/>
    <w:rsid w:val="00A913E6"/>
    <w:rsid w:val="00A9180B"/>
    <w:rsid w:val="00A91CD5"/>
    <w:rsid w:val="00A92B01"/>
    <w:rsid w:val="00A930A0"/>
    <w:rsid w:val="00A93790"/>
    <w:rsid w:val="00A93C61"/>
    <w:rsid w:val="00A95A82"/>
    <w:rsid w:val="00A97120"/>
    <w:rsid w:val="00A97299"/>
    <w:rsid w:val="00A977D8"/>
    <w:rsid w:val="00A97BD8"/>
    <w:rsid w:val="00AA05E0"/>
    <w:rsid w:val="00AA0A31"/>
    <w:rsid w:val="00AA14BE"/>
    <w:rsid w:val="00AA1E68"/>
    <w:rsid w:val="00AA1EDE"/>
    <w:rsid w:val="00AA210A"/>
    <w:rsid w:val="00AA2327"/>
    <w:rsid w:val="00AA24B3"/>
    <w:rsid w:val="00AA2660"/>
    <w:rsid w:val="00AA2AA3"/>
    <w:rsid w:val="00AA2AB1"/>
    <w:rsid w:val="00AA2BE3"/>
    <w:rsid w:val="00AA329B"/>
    <w:rsid w:val="00AA4787"/>
    <w:rsid w:val="00AA495A"/>
    <w:rsid w:val="00AA5370"/>
    <w:rsid w:val="00AA56C2"/>
    <w:rsid w:val="00AA5DFA"/>
    <w:rsid w:val="00AA5F94"/>
    <w:rsid w:val="00AA6B25"/>
    <w:rsid w:val="00AA6C40"/>
    <w:rsid w:val="00AA71DD"/>
    <w:rsid w:val="00AA71E8"/>
    <w:rsid w:val="00AA7A9A"/>
    <w:rsid w:val="00AA7FEA"/>
    <w:rsid w:val="00AB0229"/>
    <w:rsid w:val="00AB0E6B"/>
    <w:rsid w:val="00AB19BB"/>
    <w:rsid w:val="00AB1C96"/>
    <w:rsid w:val="00AB1CA2"/>
    <w:rsid w:val="00AB1E44"/>
    <w:rsid w:val="00AB24AD"/>
    <w:rsid w:val="00AB27F2"/>
    <w:rsid w:val="00AB2AD9"/>
    <w:rsid w:val="00AB2F30"/>
    <w:rsid w:val="00AB3BE8"/>
    <w:rsid w:val="00AB3D38"/>
    <w:rsid w:val="00AB3DE1"/>
    <w:rsid w:val="00AB4686"/>
    <w:rsid w:val="00AB49B8"/>
    <w:rsid w:val="00AB4AA7"/>
    <w:rsid w:val="00AB4D8E"/>
    <w:rsid w:val="00AB5026"/>
    <w:rsid w:val="00AB525F"/>
    <w:rsid w:val="00AB52CD"/>
    <w:rsid w:val="00AB5CA4"/>
    <w:rsid w:val="00AB669F"/>
    <w:rsid w:val="00AB714D"/>
    <w:rsid w:val="00AB77B5"/>
    <w:rsid w:val="00AB780B"/>
    <w:rsid w:val="00AB7910"/>
    <w:rsid w:val="00AC05DB"/>
    <w:rsid w:val="00AC0D61"/>
    <w:rsid w:val="00AC1075"/>
    <w:rsid w:val="00AC1325"/>
    <w:rsid w:val="00AC190A"/>
    <w:rsid w:val="00AC2713"/>
    <w:rsid w:val="00AC33AD"/>
    <w:rsid w:val="00AC33F7"/>
    <w:rsid w:val="00AC4123"/>
    <w:rsid w:val="00AC4257"/>
    <w:rsid w:val="00AC46B8"/>
    <w:rsid w:val="00AC4918"/>
    <w:rsid w:val="00AC5072"/>
    <w:rsid w:val="00AC54C2"/>
    <w:rsid w:val="00AC5894"/>
    <w:rsid w:val="00AC5B3B"/>
    <w:rsid w:val="00AC5EDF"/>
    <w:rsid w:val="00AC65ED"/>
    <w:rsid w:val="00AC673E"/>
    <w:rsid w:val="00AC6750"/>
    <w:rsid w:val="00AC6A9B"/>
    <w:rsid w:val="00AC7D8B"/>
    <w:rsid w:val="00AD051C"/>
    <w:rsid w:val="00AD08DE"/>
    <w:rsid w:val="00AD0B5A"/>
    <w:rsid w:val="00AD0D5A"/>
    <w:rsid w:val="00AD0E0C"/>
    <w:rsid w:val="00AD1106"/>
    <w:rsid w:val="00AD1616"/>
    <w:rsid w:val="00AD2803"/>
    <w:rsid w:val="00AD377E"/>
    <w:rsid w:val="00AD3D49"/>
    <w:rsid w:val="00AD4058"/>
    <w:rsid w:val="00AD40A4"/>
    <w:rsid w:val="00AD4935"/>
    <w:rsid w:val="00AD4AB2"/>
    <w:rsid w:val="00AD5C49"/>
    <w:rsid w:val="00AD6530"/>
    <w:rsid w:val="00AD6A6F"/>
    <w:rsid w:val="00AD6F1E"/>
    <w:rsid w:val="00AD72AD"/>
    <w:rsid w:val="00AD7FC3"/>
    <w:rsid w:val="00AE039B"/>
    <w:rsid w:val="00AE0707"/>
    <w:rsid w:val="00AE08D8"/>
    <w:rsid w:val="00AE0D50"/>
    <w:rsid w:val="00AE1313"/>
    <w:rsid w:val="00AE14DC"/>
    <w:rsid w:val="00AE151C"/>
    <w:rsid w:val="00AE1930"/>
    <w:rsid w:val="00AE1CCA"/>
    <w:rsid w:val="00AE245C"/>
    <w:rsid w:val="00AE25C6"/>
    <w:rsid w:val="00AE397D"/>
    <w:rsid w:val="00AE3E63"/>
    <w:rsid w:val="00AE3FA6"/>
    <w:rsid w:val="00AE4029"/>
    <w:rsid w:val="00AE4765"/>
    <w:rsid w:val="00AE51A9"/>
    <w:rsid w:val="00AE6129"/>
    <w:rsid w:val="00AE6219"/>
    <w:rsid w:val="00AE6640"/>
    <w:rsid w:val="00AE7355"/>
    <w:rsid w:val="00AE765A"/>
    <w:rsid w:val="00AE7BF6"/>
    <w:rsid w:val="00AE7FC9"/>
    <w:rsid w:val="00AF05A7"/>
    <w:rsid w:val="00AF0B07"/>
    <w:rsid w:val="00AF0C69"/>
    <w:rsid w:val="00AF11FA"/>
    <w:rsid w:val="00AF1603"/>
    <w:rsid w:val="00AF16C8"/>
    <w:rsid w:val="00AF1D71"/>
    <w:rsid w:val="00AF2227"/>
    <w:rsid w:val="00AF2A5C"/>
    <w:rsid w:val="00AF2B68"/>
    <w:rsid w:val="00AF3AC3"/>
    <w:rsid w:val="00AF3BF2"/>
    <w:rsid w:val="00AF3E2C"/>
    <w:rsid w:val="00AF3E6A"/>
    <w:rsid w:val="00AF4067"/>
    <w:rsid w:val="00AF44F1"/>
    <w:rsid w:val="00AF4BCC"/>
    <w:rsid w:val="00AF4E64"/>
    <w:rsid w:val="00AF52FC"/>
    <w:rsid w:val="00AF5D67"/>
    <w:rsid w:val="00AF6068"/>
    <w:rsid w:val="00AF664D"/>
    <w:rsid w:val="00AF6766"/>
    <w:rsid w:val="00AF7599"/>
    <w:rsid w:val="00AF7996"/>
    <w:rsid w:val="00B00A59"/>
    <w:rsid w:val="00B01808"/>
    <w:rsid w:val="00B022DD"/>
    <w:rsid w:val="00B02C6E"/>
    <w:rsid w:val="00B032D4"/>
    <w:rsid w:val="00B035E2"/>
    <w:rsid w:val="00B03C71"/>
    <w:rsid w:val="00B0425F"/>
    <w:rsid w:val="00B04880"/>
    <w:rsid w:val="00B04AC7"/>
    <w:rsid w:val="00B04C49"/>
    <w:rsid w:val="00B04CEC"/>
    <w:rsid w:val="00B04D96"/>
    <w:rsid w:val="00B04FF0"/>
    <w:rsid w:val="00B05645"/>
    <w:rsid w:val="00B05C33"/>
    <w:rsid w:val="00B061D8"/>
    <w:rsid w:val="00B062FB"/>
    <w:rsid w:val="00B0705A"/>
    <w:rsid w:val="00B07C17"/>
    <w:rsid w:val="00B10314"/>
    <w:rsid w:val="00B103D0"/>
    <w:rsid w:val="00B10C0A"/>
    <w:rsid w:val="00B10E4B"/>
    <w:rsid w:val="00B1132F"/>
    <w:rsid w:val="00B11B66"/>
    <w:rsid w:val="00B12088"/>
    <w:rsid w:val="00B1269B"/>
    <w:rsid w:val="00B12A20"/>
    <w:rsid w:val="00B12EF5"/>
    <w:rsid w:val="00B13035"/>
    <w:rsid w:val="00B1316C"/>
    <w:rsid w:val="00B1377A"/>
    <w:rsid w:val="00B13B1F"/>
    <w:rsid w:val="00B13C0F"/>
    <w:rsid w:val="00B1504E"/>
    <w:rsid w:val="00B156B6"/>
    <w:rsid w:val="00B1596D"/>
    <w:rsid w:val="00B16FA9"/>
    <w:rsid w:val="00B17654"/>
    <w:rsid w:val="00B17CE5"/>
    <w:rsid w:val="00B17F18"/>
    <w:rsid w:val="00B200F2"/>
    <w:rsid w:val="00B20825"/>
    <w:rsid w:val="00B20B2B"/>
    <w:rsid w:val="00B215ED"/>
    <w:rsid w:val="00B216C3"/>
    <w:rsid w:val="00B21BCB"/>
    <w:rsid w:val="00B2209E"/>
    <w:rsid w:val="00B22266"/>
    <w:rsid w:val="00B223FC"/>
    <w:rsid w:val="00B22F33"/>
    <w:rsid w:val="00B23383"/>
    <w:rsid w:val="00B237C9"/>
    <w:rsid w:val="00B2485C"/>
    <w:rsid w:val="00B26C05"/>
    <w:rsid w:val="00B26E70"/>
    <w:rsid w:val="00B2732D"/>
    <w:rsid w:val="00B27708"/>
    <w:rsid w:val="00B27ECA"/>
    <w:rsid w:val="00B3064A"/>
    <w:rsid w:val="00B311BA"/>
    <w:rsid w:val="00B316B0"/>
    <w:rsid w:val="00B31E4C"/>
    <w:rsid w:val="00B31EA6"/>
    <w:rsid w:val="00B32EC6"/>
    <w:rsid w:val="00B3350B"/>
    <w:rsid w:val="00B337BF"/>
    <w:rsid w:val="00B33B9E"/>
    <w:rsid w:val="00B3401E"/>
    <w:rsid w:val="00B34255"/>
    <w:rsid w:val="00B34E77"/>
    <w:rsid w:val="00B3548D"/>
    <w:rsid w:val="00B35F06"/>
    <w:rsid w:val="00B36158"/>
    <w:rsid w:val="00B361D7"/>
    <w:rsid w:val="00B3645A"/>
    <w:rsid w:val="00B37692"/>
    <w:rsid w:val="00B37B87"/>
    <w:rsid w:val="00B37D69"/>
    <w:rsid w:val="00B40659"/>
    <w:rsid w:val="00B40D62"/>
    <w:rsid w:val="00B40FE7"/>
    <w:rsid w:val="00B42339"/>
    <w:rsid w:val="00B4242C"/>
    <w:rsid w:val="00B42B5E"/>
    <w:rsid w:val="00B42BBA"/>
    <w:rsid w:val="00B431D2"/>
    <w:rsid w:val="00B43236"/>
    <w:rsid w:val="00B43320"/>
    <w:rsid w:val="00B43838"/>
    <w:rsid w:val="00B43979"/>
    <w:rsid w:val="00B43987"/>
    <w:rsid w:val="00B43C9F"/>
    <w:rsid w:val="00B43E58"/>
    <w:rsid w:val="00B44BFE"/>
    <w:rsid w:val="00B4510C"/>
    <w:rsid w:val="00B456B7"/>
    <w:rsid w:val="00B4595D"/>
    <w:rsid w:val="00B45A49"/>
    <w:rsid w:val="00B45E58"/>
    <w:rsid w:val="00B45FD7"/>
    <w:rsid w:val="00B46C13"/>
    <w:rsid w:val="00B472D7"/>
    <w:rsid w:val="00B473D0"/>
    <w:rsid w:val="00B5078A"/>
    <w:rsid w:val="00B50812"/>
    <w:rsid w:val="00B50F66"/>
    <w:rsid w:val="00B5197C"/>
    <w:rsid w:val="00B5272A"/>
    <w:rsid w:val="00B52AF7"/>
    <w:rsid w:val="00B52BA7"/>
    <w:rsid w:val="00B52E6D"/>
    <w:rsid w:val="00B538DD"/>
    <w:rsid w:val="00B53BA7"/>
    <w:rsid w:val="00B5463E"/>
    <w:rsid w:val="00B54B08"/>
    <w:rsid w:val="00B55AA2"/>
    <w:rsid w:val="00B563BC"/>
    <w:rsid w:val="00B56792"/>
    <w:rsid w:val="00B56FCB"/>
    <w:rsid w:val="00B572B9"/>
    <w:rsid w:val="00B57CC7"/>
    <w:rsid w:val="00B57E0B"/>
    <w:rsid w:val="00B600AC"/>
    <w:rsid w:val="00B600CB"/>
    <w:rsid w:val="00B60AE2"/>
    <w:rsid w:val="00B60D9F"/>
    <w:rsid w:val="00B60E09"/>
    <w:rsid w:val="00B617C6"/>
    <w:rsid w:val="00B6185E"/>
    <w:rsid w:val="00B62092"/>
    <w:rsid w:val="00B625C4"/>
    <w:rsid w:val="00B62727"/>
    <w:rsid w:val="00B6294A"/>
    <w:rsid w:val="00B62959"/>
    <w:rsid w:val="00B62FA0"/>
    <w:rsid w:val="00B63053"/>
    <w:rsid w:val="00B63CDC"/>
    <w:rsid w:val="00B641C0"/>
    <w:rsid w:val="00B64778"/>
    <w:rsid w:val="00B64AFC"/>
    <w:rsid w:val="00B64C7A"/>
    <w:rsid w:val="00B64E07"/>
    <w:rsid w:val="00B64E89"/>
    <w:rsid w:val="00B655EB"/>
    <w:rsid w:val="00B6605B"/>
    <w:rsid w:val="00B6640E"/>
    <w:rsid w:val="00B66E55"/>
    <w:rsid w:val="00B67E53"/>
    <w:rsid w:val="00B67ED9"/>
    <w:rsid w:val="00B70019"/>
    <w:rsid w:val="00B700B2"/>
    <w:rsid w:val="00B7049B"/>
    <w:rsid w:val="00B70914"/>
    <w:rsid w:val="00B714DD"/>
    <w:rsid w:val="00B729A5"/>
    <w:rsid w:val="00B73288"/>
    <w:rsid w:val="00B736B8"/>
    <w:rsid w:val="00B74383"/>
    <w:rsid w:val="00B7527B"/>
    <w:rsid w:val="00B759F6"/>
    <w:rsid w:val="00B75DD2"/>
    <w:rsid w:val="00B76614"/>
    <w:rsid w:val="00B76AC5"/>
    <w:rsid w:val="00B76BB9"/>
    <w:rsid w:val="00B77275"/>
    <w:rsid w:val="00B77814"/>
    <w:rsid w:val="00B7796C"/>
    <w:rsid w:val="00B77AA1"/>
    <w:rsid w:val="00B80BCB"/>
    <w:rsid w:val="00B8100A"/>
    <w:rsid w:val="00B8125D"/>
    <w:rsid w:val="00B812D9"/>
    <w:rsid w:val="00B81572"/>
    <w:rsid w:val="00B817C7"/>
    <w:rsid w:val="00B81CAF"/>
    <w:rsid w:val="00B82A98"/>
    <w:rsid w:val="00B8306F"/>
    <w:rsid w:val="00B834E3"/>
    <w:rsid w:val="00B839B0"/>
    <w:rsid w:val="00B83DAF"/>
    <w:rsid w:val="00B84191"/>
    <w:rsid w:val="00B8489A"/>
    <w:rsid w:val="00B84FFB"/>
    <w:rsid w:val="00B85778"/>
    <w:rsid w:val="00B85A65"/>
    <w:rsid w:val="00B862C1"/>
    <w:rsid w:val="00B872F2"/>
    <w:rsid w:val="00B877A8"/>
    <w:rsid w:val="00B878BF"/>
    <w:rsid w:val="00B900CC"/>
    <w:rsid w:val="00B90586"/>
    <w:rsid w:val="00B9077C"/>
    <w:rsid w:val="00B90D4A"/>
    <w:rsid w:val="00B91003"/>
    <w:rsid w:val="00B91141"/>
    <w:rsid w:val="00B92186"/>
    <w:rsid w:val="00B9309B"/>
    <w:rsid w:val="00B93570"/>
    <w:rsid w:val="00B93616"/>
    <w:rsid w:val="00B93D47"/>
    <w:rsid w:val="00B93D79"/>
    <w:rsid w:val="00B94439"/>
    <w:rsid w:val="00B94688"/>
    <w:rsid w:val="00B94FCF"/>
    <w:rsid w:val="00B963CB"/>
    <w:rsid w:val="00B96784"/>
    <w:rsid w:val="00B9698E"/>
    <w:rsid w:val="00B96D90"/>
    <w:rsid w:val="00B96EBF"/>
    <w:rsid w:val="00B976D4"/>
    <w:rsid w:val="00BA0328"/>
    <w:rsid w:val="00BA0692"/>
    <w:rsid w:val="00BA0B4D"/>
    <w:rsid w:val="00BA0DFF"/>
    <w:rsid w:val="00BA1274"/>
    <w:rsid w:val="00BA15E1"/>
    <w:rsid w:val="00BA1D44"/>
    <w:rsid w:val="00BA1DB2"/>
    <w:rsid w:val="00BA21AE"/>
    <w:rsid w:val="00BA22CF"/>
    <w:rsid w:val="00BA25F8"/>
    <w:rsid w:val="00BA2F05"/>
    <w:rsid w:val="00BA45A4"/>
    <w:rsid w:val="00BA4DB0"/>
    <w:rsid w:val="00BA571E"/>
    <w:rsid w:val="00BA5BC3"/>
    <w:rsid w:val="00BA6443"/>
    <w:rsid w:val="00BA66D6"/>
    <w:rsid w:val="00BA6A86"/>
    <w:rsid w:val="00BA7AB0"/>
    <w:rsid w:val="00BB05FA"/>
    <w:rsid w:val="00BB0B31"/>
    <w:rsid w:val="00BB1553"/>
    <w:rsid w:val="00BB1A0F"/>
    <w:rsid w:val="00BB1AA1"/>
    <w:rsid w:val="00BB2092"/>
    <w:rsid w:val="00BB21C5"/>
    <w:rsid w:val="00BB3332"/>
    <w:rsid w:val="00BB37D8"/>
    <w:rsid w:val="00BB39C6"/>
    <w:rsid w:val="00BB489F"/>
    <w:rsid w:val="00BB4ADC"/>
    <w:rsid w:val="00BB4D9D"/>
    <w:rsid w:val="00BB4DDC"/>
    <w:rsid w:val="00BB50BC"/>
    <w:rsid w:val="00BB5209"/>
    <w:rsid w:val="00BB5EED"/>
    <w:rsid w:val="00BB607D"/>
    <w:rsid w:val="00BB6914"/>
    <w:rsid w:val="00BB6F88"/>
    <w:rsid w:val="00BB7087"/>
    <w:rsid w:val="00BB7AA1"/>
    <w:rsid w:val="00BC09B2"/>
    <w:rsid w:val="00BC0B2D"/>
    <w:rsid w:val="00BC0BF5"/>
    <w:rsid w:val="00BC0D16"/>
    <w:rsid w:val="00BC1606"/>
    <w:rsid w:val="00BC193F"/>
    <w:rsid w:val="00BC1A86"/>
    <w:rsid w:val="00BC2365"/>
    <w:rsid w:val="00BC2391"/>
    <w:rsid w:val="00BC23A2"/>
    <w:rsid w:val="00BC2D58"/>
    <w:rsid w:val="00BC3A51"/>
    <w:rsid w:val="00BC42AE"/>
    <w:rsid w:val="00BC44A1"/>
    <w:rsid w:val="00BC4560"/>
    <w:rsid w:val="00BC4E76"/>
    <w:rsid w:val="00BC5073"/>
    <w:rsid w:val="00BC5548"/>
    <w:rsid w:val="00BC5ECA"/>
    <w:rsid w:val="00BC5F7E"/>
    <w:rsid w:val="00BC6C3D"/>
    <w:rsid w:val="00BC6C50"/>
    <w:rsid w:val="00BC6C75"/>
    <w:rsid w:val="00BC6CE2"/>
    <w:rsid w:val="00BC75D5"/>
    <w:rsid w:val="00BC7804"/>
    <w:rsid w:val="00BC7CE1"/>
    <w:rsid w:val="00BC7DD9"/>
    <w:rsid w:val="00BD0796"/>
    <w:rsid w:val="00BD09C7"/>
    <w:rsid w:val="00BD0EDC"/>
    <w:rsid w:val="00BD1282"/>
    <w:rsid w:val="00BD1D29"/>
    <w:rsid w:val="00BD24B3"/>
    <w:rsid w:val="00BD2A17"/>
    <w:rsid w:val="00BD2A7F"/>
    <w:rsid w:val="00BD2B67"/>
    <w:rsid w:val="00BD2B80"/>
    <w:rsid w:val="00BD309C"/>
    <w:rsid w:val="00BD326E"/>
    <w:rsid w:val="00BD4202"/>
    <w:rsid w:val="00BD45FA"/>
    <w:rsid w:val="00BD4E54"/>
    <w:rsid w:val="00BD4FD0"/>
    <w:rsid w:val="00BD6230"/>
    <w:rsid w:val="00BD65B5"/>
    <w:rsid w:val="00BD72F3"/>
    <w:rsid w:val="00BD7DED"/>
    <w:rsid w:val="00BE061C"/>
    <w:rsid w:val="00BE06B1"/>
    <w:rsid w:val="00BE0D00"/>
    <w:rsid w:val="00BE1850"/>
    <w:rsid w:val="00BE1E38"/>
    <w:rsid w:val="00BE1E48"/>
    <w:rsid w:val="00BE229C"/>
    <w:rsid w:val="00BE25F5"/>
    <w:rsid w:val="00BE2857"/>
    <w:rsid w:val="00BE2DBD"/>
    <w:rsid w:val="00BE2F98"/>
    <w:rsid w:val="00BE2F9F"/>
    <w:rsid w:val="00BE366D"/>
    <w:rsid w:val="00BE3B25"/>
    <w:rsid w:val="00BE4A36"/>
    <w:rsid w:val="00BE4CB5"/>
    <w:rsid w:val="00BE54D3"/>
    <w:rsid w:val="00BE5889"/>
    <w:rsid w:val="00BE5BB4"/>
    <w:rsid w:val="00BE5EC2"/>
    <w:rsid w:val="00BE6230"/>
    <w:rsid w:val="00BE6DCC"/>
    <w:rsid w:val="00BE7665"/>
    <w:rsid w:val="00BE79F4"/>
    <w:rsid w:val="00BF06E3"/>
    <w:rsid w:val="00BF085B"/>
    <w:rsid w:val="00BF10C3"/>
    <w:rsid w:val="00BF1901"/>
    <w:rsid w:val="00BF1AED"/>
    <w:rsid w:val="00BF1B7C"/>
    <w:rsid w:val="00BF24E8"/>
    <w:rsid w:val="00BF284E"/>
    <w:rsid w:val="00BF29C2"/>
    <w:rsid w:val="00BF2B1F"/>
    <w:rsid w:val="00BF3404"/>
    <w:rsid w:val="00BF3FDF"/>
    <w:rsid w:val="00BF42EC"/>
    <w:rsid w:val="00BF457F"/>
    <w:rsid w:val="00BF4C90"/>
    <w:rsid w:val="00BF55DB"/>
    <w:rsid w:val="00BF656C"/>
    <w:rsid w:val="00BF67EB"/>
    <w:rsid w:val="00BF6B48"/>
    <w:rsid w:val="00BF70CF"/>
    <w:rsid w:val="00BF73BB"/>
    <w:rsid w:val="00BF760B"/>
    <w:rsid w:val="00C00D5E"/>
    <w:rsid w:val="00C01501"/>
    <w:rsid w:val="00C01C22"/>
    <w:rsid w:val="00C01D9E"/>
    <w:rsid w:val="00C01E16"/>
    <w:rsid w:val="00C01E39"/>
    <w:rsid w:val="00C02195"/>
    <w:rsid w:val="00C02B79"/>
    <w:rsid w:val="00C02CBC"/>
    <w:rsid w:val="00C02DA4"/>
    <w:rsid w:val="00C02FF7"/>
    <w:rsid w:val="00C03304"/>
    <w:rsid w:val="00C037D5"/>
    <w:rsid w:val="00C03D71"/>
    <w:rsid w:val="00C04C70"/>
    <w:rsid w:val="00C04F65"/>
    <w:rsid w:val="00C05010"/>
    <w:rsid w:val="00C05185"/>
    <w:rsid w:val="00C05662"/>
    <w:rsid w:val="00C0579D"/>
    <w:rsid w:val="00C064F5"/>
    <w:rsid w:val="00C0663F"/>
    <w:rsid w:val="00C069DB"/>
    <w:rsid w:val="00C06DD9"/>
    <w:rsid w:val="00C07367"/>
    <w:rsid w:val="00C07492"/>
    <w:rsid w:val="00C07978"/>
    <w:rsid w:val="00C1051E"/>
    <w:rsid w:val="00C1064E"/>
    <w:rsid w:val="00C108F8"/>
    <w:rsid w:val="00C10A6E"/>
    <w:rsid w:val="00C1139A"/>
    <w:rsid w:val="00C11518"/>
    <w:rsid w:val="00C119AF"/>
    <w:rsid w:val="00C13044"/>
    <w:rsid w:val="00C13649"/>
    <w:rsid w:val="00C141A0"/>
    <w:rsid w:val="00C14BFA"/>
    <w:rsid w:val="00C14D29"/>
    <w:rsid w:val="00C14DC8"/>
    <w:rsid w:val="00C154B2"/>
    <w:rsid w:val="00C159F1"/>
    <w:rsid w:val="00C15A8C"/>
    <w:rsid w:val="00C1733A"/>
    <w:rsid w:val="00C17857"/>
    <w:rsid w:val="00C20741"/>
    <w:rsid w:val="00C21846"/>
    <w:rsid w:val="00C2198C"/>
    <w:rsid w:val="00C219E4"/>
    <w:rsid w:val="00C2277A"/>
    <w:rsid w:val="00C22A41"/>
    <w:rsid w:val="00C22FB0"/>
    <w:rsid w:val="00C233A3"/>
    <w:rsid w:val="00C2346D"/>
    <w:rsid w:val="00C23CBF"/>
    <w:rsid w:val="00C24420"/>
    <w:rsid w:val="00C25D84"/>
    <w:rsid w:val="00C2619E"/>
    <w:rsid w:val="00C268B2"/>
    <w:rsid w:val="00C26A43"/>
    <w:rsid w:val="00C26AB6"/>
    <w:rsid w:val="00C26C81"/>
    <w:rsid w:val="00C26CC4"/>
    <w:rsid w:val="00C278C5"/>
    <w:rsid w:val="00C27A02"/>
    <w:rsid w:val="00C27BB2"/>
    <w:rsid w:val="00C30320"/>
    <w:rsid w:val="00C30367"/>
    <w:rsid w:val="00C3095B"/>
    <w:rsid w:val="00C313B8"/>
    <w:rsid w:val="00C31942"/>
    <w:rsid w:val="00C319EF"/>
    <w:rsid w:val="00C31DC5"/>
    <w:rsid w:val="00C325AA"/>
    <w:rsid w:val="00C32A4C"/>
    <w:rsid w:val="00C32D39"/>
    <w:rsid w:val="00C33019"/>
    <w:rsid w:val="00C332FE"/>
    <w:rsid w:val="00C33420"/>
    <w:rsid w:val="00C33B7E"/>
    <w:rsid w:val="00C341FB"/>
    <w:rsid w:val="00C3427D"/>
    <w:rsid w:val="00C3440C"/>
    <w:rsid w:val="00C34C3C"/>
    <w:rsid w:val="00C34EDE"/>
    <w:rsid w:val="00C35945"/>
    <w:rsid w:val="00C36309"/>
    <w:rsid w:val="00C363F7"/>
    <w:rsid w:val="00C36670"/>
    <w:rsid w:val="00C36934"/>
    <w:rsid w:val="00C37B62"/>
    <w:rsid w:val="00C37CDF"/>
    <w:rsid w:val="00C40917"/>
    <w:rsid w:val="00C40A3C"/>
    <w:rsid w:val="00C4194B"/>
    <w:rsid w:val="00C41D46"/>
    <w:rsid w:val="00C42053"/>
    <w:rsid w:val="00C42E08"/>
    <w:rsid w:val="00C431C2"/>
    <w:rsid w:val="00C432AA"/>
    <w:rsid w:val="00C432F4"/>
    <w:rsid w:val="00C4375C"/>
    <w:rsid w:val="00C445BF"/>
    <w:rsid w:val="00C44C0A"/>
    <w:rsid w:val="00C45388"/>
    <w:rsid w:val="00C457E8"/>
    <w:rsid w:val="00C45AE3"/>
    <w:rsid w:val="00C47047"/>
    <w:rsid w:val="00C472A3"/>
    <w:rsid w:val="00C474A0"/>
    <w:rsid w:val="00C47C39"/>
    <w:rsid w:val="00C47CF1"/>
    <w:rsid w:val="00C5058C"/>
    <w:rsid w:val="00C50AB6"/>
    <w:rsid w:val="00C50BEB"/>
    <w:rsid w:val="00C50F05"/>
    <w:rsid w:val="00C50F18"/>
    <w:rsid w:val="00C50FC1"/>
    <w:rsid w:val="00C51284"/>
    <w:rsid w:val="00C512A1"/>
    <w:rsid w:val="00C519EC"/>
    <w:rsid w:val="00C52569"/>
    <w:rsid w:val="00C525C6"/>
    <w:rsid w:val="00C52A15"/>
    <w:rsid w:val="00C530AA"/>
    <w:rsid w:val="00C53546"/>
    <w:rsid w:val="00C54129"/>
    <w:rsid w:val="00C55416"/>
    <w:rsid w:val="00C5591A"/>
    <w:rsid w:val="00C55F33"/>
    <w:rsid w:val="00C5680D"/>
    <w:rsid w:val="00C576B1"/>
    <w:rsid w:val="00C57880"/>
    <w:rsid w:val="00C57D44"/>
    <w:rsid w:val="00C57D90"/>
    <w:rsid w:val="00C57F2F"/>
    <w:rsid w:val="00C601D9"/>
    <w:rsid w:val="00C60208"/>
    <w:rsid w:val="00C607D2"/>
    <w:rsid w:val="00C60D2A"/>
    <w:rsid w:val="00C60E1A"/>
    <w:rsid w:val="00C616EF"/>
    <w:rsid w:val="00C62262"/>
    <w:rsid w:val="00C626B9"/>
    <w:rsid w:val="00C62926"/>
    <w:rsid w:val="00C62BA0"/>
    <w:rsid w:val="00C62D84"/>
    <w:rsid w:val="00C6343E"/>
    <w:rsid w:val="00C637CD"/>
    <w:rsid w:val="00C638EE"/>
    <w:rsid w:val="00C63CBC"/>
    <w:rsid w:val="00C63CFD"/>
    <w:rsid w:val="00C63D00"/>
    <w:rsid w:val="00C646D3"/>
    <w:rsid w:val="00C64CD4"/>
    <w:rsid w:val="00C64D96"/>
    <w:rsid w:val="00C659B3"/>
    <w:rsid w:val="00C65C64"/>
    <w:rsid w:val="00C65D79"/>
    <w:rsid w:val="00C67013"/>
    <w:rsid w:val="00C671B2"/>
    <w:rsid w:val="00C6745B"/>
    <w:rsid w:val="00C674AE"/>
    <w:rsid w:val="00C678EE"/>
    <w:rsid w:val="00C67ADB"/>
    <w:rsid w:val="00C70023"/>
    <w:rsid w:val="00C703ED"/>
    <w:rsid w:val="00C709EA"/>
    <w:rsid w:val="00C7177E"/>
    <w:rsid w:val="00C71E72"/>
    <w:rsid w:val="00C72015"/>
    <w:rsid w:val="00C7260C"/>
    <w:rsid w:val="00C73E04"/>
    <w:rsid w:val="00C74DAA"/>
    <w:rsid w:val="00C765C8"/>
    <w:rsid w:val="00C765EF"/>
    <w:rsid w:val="00C76B0F"/>
    <w:rsid w:val="00C77BDF"/>
    <w:rsid w:val="00C77DA8"/>
    <w:rsid w:val="00C77DDA"/>
    <w:rsid w:val="00C77DF4"/>
    <w:rsid w:val="00C77FAF"/>
    <w:rsid w:val="00C80035"/>
    <w:rsid w:val="00C802E4"/>
    <w:rsid w:val="00C8031A"/>
    <w:rsid w:val="00C80326"/>
    <w:rsid w:val="00C80DE7"/>
    <w:rsid w:val="00C80EA6"/>
    <w:rsid w:val="00C8150B"/>
    <w:rsid w:val="00C81C6F"/>
    <w:rsid w:val="00C81D02"/>
    <w:rsid w:val="00C8226A"/>
    <w:rsid w:val="00C82BC6"/>
    <w:rsid w:val="00C82DB7"/>
    <w:rsid w:val="00C834EB"/>
    <w:rsid w:val="00C85941"/>
    <w:rsid w:val="00C85CE2"/>
    <w:rsid w:val="00C85D76"/>
    <w:rsid w:val="00C86899"/>
    <w:rsid w:val="00C8791D"/>
    <w:rsid w:val="00C90213"/>
    <w:rsid w:val="00C903D6"/>
    <w:rsid w:val="00C905E7"/>
    <w:rsid w:val="00C90A3A"/>
    <w:rsid w:val="00C90FF9"/>
    <w:rsid w:val="00C91329"/>
    <w:rsid w:val="00C92389"/>
    <w:rsid w:val="00C923E3"/>
    <w:rsid w:val="00C93719"/>
    <w:rsid w:val="00C938AC"/>
    <w:rsid w:val="00C94587"/>
    <w:rsid w:val="00C947B0"/>
    <w:rsid w:val="00C9485F"/>
    <w:rsid w:val="00C94CF0"/>
    <w:rsid w:val="00C94DAC"/>
    <w:rsid w:val="00C950D1"/>
    <w:rsid w:val="00C9552E"/>
    <w:rsid w:val="00C96158"/>
    <w:rsid w:val="00C962BB"/>
    <w:rsid w:val="00C97263"/>
    <w:rsid w:val="00C9746A"/>
    <w:rsid w:val="00CA06EB"/>
    <w:rsid w:val="00CA10E8"/>
    <w:rsid w:val="00CA14C9"/>
    <w:rsid w:val="00CA158C"/>
    <w:rsid w:val="00CA2468"/>
    <w:rsid w:val="00CA2DE9"/>
    <w:rsid w:val="00CA359A"/>
    <w:rsid w:val="00CA3FB2"/>
    <w:rsid w:val="00CA4585"/>
    <w:rsid w:val="00CA4F91"/>
    <w:rsid w:val="00CA508E"/>
    <w:rsid w:val="00CA52D0"/>
    <w:rsid w:val="00CA54F8"/>
    <w:rsid w:val="00CA5A1B"/>
    <w:rsid w:val="00CA6E16"/>
    <w:rsid w:val="00CA7007"/>
    <w:rsid w:val="00CA7A6C"/>
    <w:rsid w:val="00CA7DEB"/>
    <w:rsid w:val="00CA7ED8"/>
    <w:rsid w:val="00CB0A40"/>
    <w:rsid w:val="00CB0BEF"/>
    <w:rsid w:val="00CB0FEE"/>
    <w:rsid w:val="00CB1010"/>
    <w:rsid w:val="00CB1760"/>
    <w:rsid w:val="00CB1A9C"/>
    <w:rsid w:val="00CB1B11"/>
    <w:rsid w:val="00CB21B7"/>
    <w:rsid w:val="00CB31F7"/>
    <w:rsid w:val="00CB331A"/>
    <w:rsid w:val="00CB33F5"/>
    <w:rsid w:val="00CB3406"/>
    <w:rsid w:val="00CB3647"/>
    <w:rsid w:val="00CB3E79"/>
    <w:rsid w:val="00CB4390"/>
    <w:rsid w:val="00CB4C14"/>
    <w:rsid w:val="00CB5284"/>
    <w:rsid w:val="00CB6808"/>
    <w:rsid w:val="00CB7BCE"/>
    <w:rsid w:val="00CC0000"/>
    <w:rsid w:val="00CC01BD"/>
    <w:rsid w:val="00CC1F8F"/>
    <w:rsid w:val="00CC2D4E"/>
    <w:rsid w:val="00CC2F50"/>
    <w:rsid w:val="00CC2FB4"/>
    <w:rsid w:val="00CC3298"/>
    <w:rsid w:val="00CC43C1"/>
    <w:rsid w:val="00CC4AFF"/>
    <w:rsid w:val="00CC4C76"/>
    <w:rsid w:val="00CC4FC7"/>
    <w:rsid w:val="00CC5059"/>
    <w:rsid w:val="00CC54FA"/>
    <w:rsid w:val="00CC557D"/>
    <w:rsid w:val="00CC7392"/>
    <w:rsid w:val="00CC7E86"/>
    <w:rsid w:val="00CC7EE7"/>
    <w:rsid w:val="00CD035D"/>
    <w:rsid w:val="00CD0B47"/>
    <w:rsid w:val="00CD14A8"/>
    <w:rsid w:val="00CD1C94"/>
    <w:rsid w:val="00CD200C"/>
    <w:rsid w:val="00CD21EF"/>
    <w:rsid w:val="00CD27A0"/>
    <w:rsid w:val="00CD301A"/>
    <w:rsid w:val="00CD33F0"/>
    <w:rsid w:val="00CD356F"/>
    <w:rsid w:val="00CD35FD"/>
    <w:rsid w:val="00CD3C3D"/>
    <w:rsid w:val="00CD3DEA"/>
    <w:rsid w:val="00CD3FD8"/>
    <w:rsid w:val="00CD42EE"/>
    <w:rsid w:val="00CD51A9"/>
    <w:rsid w:val="00CD567E"/>
    <w:rsid w:val="00CD575A"/>
    <w:rsid w:val="00CD585F"/>
    <w:rsid w:val="00CD5A43"/>
    <w:rsid w:val="00CD5EB5"/>
    <w:rsid w:val="00CD6160"/>
    <w:rsid w:val="00CD6F3F"/>
    <w:rsid w:val="00CD70CD"/>
    <w:rsid w:val="00CD740A"/>
    <w:rsid w:val="00CD7695"/>
    <w:rsid w:val="00CD78DB"/>
    <w:rsid w:val="00CE0168"/>
    <w:rsid w:val="00CE05DF"/>
    <w:rsid w:val="00CE091F"/>
    <w:rsid w:val="00CE1662"/>
    <w:rsid w:val="00CE18BA"/>
    <w:rsid w:val="00CE1E24"/>
    <w:rsid w:val="00CE1FA3"/>
    <w:rsid w:val="00CE2AF5"/>
    <w:rsid w:val="00CE3128"/>
    <w:rsid w:val="00CE3A2D"/>
    <w:rsid w:val="00CE3E2E"/>
    <w:rsid w:val="00CE430A"/>
    <w:rsid w:val="00CE469F"/>
    <w:rsid w:val="00CE47D5"/>
    <w:rsid w:val="00CE4A9A"/>
    <w:rsid w:val="00CE4E31"/>
    <w:rsid w:val="00CE5207"/>
    <w:rsid w:val="00CE53B6"/>
    <w:rsid w:val="00CE543E"/>
    <w:rsid w:val="00CE688A"/>
    <w:rsid w:val="00CE69E8"/>
    <w:rsid w:val="00CE752E"/>
    <w:rsid w:val="00CE76CC"/>
    <w:rsid w:val="00CE7A31"/>
    <w:rsid w:val="00CE7F12"/>
    <w:rsid w:val="00CF0415"/>
    <w:rsid w:val="00CF05E7"/>
    <w:rsid w:val="00CF0EA1"/>
    <w:rsid w:val="00CF132D"/>
    <w:rsid w:val="00CF141E"/>
    <w:rsid w:val="00CF31F8"/>
    <w:rsid w:val="00CF3E9C"/>
    <w:rsid w:val="00CF43A3"/>
    <w:rsid w:val="00CF4402"/>
    <w:rsid w:val="00CF4848"/>
    <w:rsid w:val="00CF5EEE"/>
    <w:rsid w:val="00CF6D27"/>
    <w:rsid w:val="00CF6DAD"/>
    <w:rsid w:val="00CF707E"/>
    <w:rsid w:val="00CF7853"/>
    <w:rsid w:val="00CF7E47"/>
    <w:rsid w:val="00D004C2"/>
    <w:rsid w:val="00D006BF"/>
    <w:rsid w:val="00D00DB1"/>
    <w:rsid w:val="00D0101F"/>
    <w:rsid w:val="00D01089"/>
    <w:rsid w:val="00D01233"/>
    <w:rsid w:val="00D01495"/>
    <w:rsid w:val="00D014E9"/>
    <w:rsid w:val="00D01754"/>
    <w:rsid w:val="00D01816"/>
    <w:rsid w:val="00D0197F"/>
    <w:rsid w:val="00D01C55"/>
    <w:rsid w:val="00D01C71"/>
    <w:rsid w:val="00D01CD7"/>
    <w:rsid w:val="00D03147"/>
    <w:rsid w:val="00D03386"/>
    <w:rsid w:val="00D03614"/>
    <w:rsid w:val="00D03927"/>
    <w:rsid w:val="00D0437A"/>
    <w:rsid w:val="00D04849"/>
    <w:rsid w:val="00D053B5"/>
    <w:rsid w:val="00D06876"/>
    <w:rsid w:val="00D10509"/>
    <w:rsid w:val="00D10B72"/>
    <w:rsid w:val="00D1103E"/>
    <w:rsid w:val="00D115C2"/>
    <w:rsid w:val="00D12062"/>
    <w:rsid w:val="00D12307"/>
    <w:rsid w:val="00D12392"/>
    <w:rsid w:val="00D12D63"/>
    <w:rsid w:val="00D13AF2"/>
    <w:rsid w:val="00D1538A"/>
    <w:rsid w:val="00D15390"/>
    <w:rsid w:val="00D15711"/>
    <w:rsid w:val="00D1593D"/>
    <w:rsid w:val="00D15CEB"/>
    <w:rsid w:val="00D15F28"/>
    <w:rsid w:val="00D160F3"/>
    <w:rsid w:val="00D16776"/>
    <w:rsid w:val="00D1677C"/>
    <w:rsid w:val="00D167B3"/>
    <w:rsid w:val="00D1697A"/>
    <w:rsid w:val="00D16FBC"/>
    <w:rsid w:val="00D16FFC"/>
    <w:rsid w:val="00D172E0"/>
    <w:rsid w:val="00D17452"/>
    <w:rsid w:val="00D17D86"/>
    <w:rsid w:val="00D20360"/>
    <w:rsid w:val="00D2071C"/>
    <w:rsid w:val="00D20F22"/>
    <w:rsid w:val="00D21F19"/>
    <w:rsid w:val="00D22AA5"/>
    <w:rsid w:val="00D22D9B"/>
    <w:rsid w:val="00D2309D"/>
    <w:rsid w:val="00D23493"/>
    <w:rsid w:val="00D23BCB"/>
    <w:rsid w:val="00D24526"/>
    <w:rsid w:val="00D249F6"/>
    <w:rsid w:val="00D24A2C"/>
    <w:rsid w:val="00D24E8E"/>
    <w:rsid w:val="00D24F57"/>
    <w:rsid w:val="00D251A1"/>
    <w:rsid w:val="00D251AE"/>
    <w:rsid w:val="00D258FE"/>
    <w:rsid w:val="00D261B1"/>
    <w:rsid w:val="00D26869"/>
    <w:rsid w:val="00D26ADA"/>
    <w:rsid w:val="00D2745B"/>
    <w:rsid w:val="00D278F7"/>
    <w:rsid w:val="00D27C82"/>
    <w:rsid w:val="00D303FB"/>
    <w:rsid w:val="00D305EE"/>
    <w:rsid w:val="00D30924"/>
    <w:rsid w:val="00D30A18"/>
    <w:rsid w:val="00D30DB2"/>
    <w:rsid w:val="00D31053"/>
    <w:rsid w:val="00D31D50"/>
    <w:rsid w:val="00D322E5"/>
    <w:rsid w:val="00D324F0"/>
    <w:rsid w:val="00D3250D"/>
    <w:rsid w:val="00D325D1"/>
    <w:rsid w:val="00D326CB"/>
    <w:rsid w:val="00D32CB5"/>
    <w:rsid w:val="00D33913"/>
    <w:rsid w:val="00D33BAA"/>
    <w:rsid w:val="00D34DBE"/>
    <w:rsid w:val="00D34E76"/>
    <w:rsid w:val="00D350B5"/>
    <w:rsid w:val="00D36CDE"/>
    <w:rsid w:val="00D4098F"/>
    <w:rsid w:val="00D40DF0"/>
    <w:rsid w:val="00D411A3"/>
    <w:rsid w:val="00D4158E"/>
    <w:rsid w:val="00D419D0"/>
    <w:rsid w:val="00D41A3D"/>
    <w:rsid w:val="00D41EFF"/>
    <w:rsid w:val="00D41F64"/>
    <w:rsid w:val="00D42AD2"/>
    <w:rsid w:val="00D43376"/>
    <w:rsid w:val="00D43642"/>
    <w:rsid w:val="00D4397A"/>
    <w:rsid w:val="00D444E4"/>
    <w:rsid w:val="00D44597"/>
    <w:rsid w:val="00D44615"/>
    <w:rsid w:val="00D446A8"/>
    <w:rsid w:val="00D44B9C"/>
    <w:rsid w:val="00D45123"/>
    <w:rsid w:val="00D45705"/>
    <w:rsid w:val="00D4588E"/>
    <w:rsid w:val="00D45D83"/>
    <w:rsid w:val="00D46D9F"/>
    <w:rsid w:val="00D46EA8"/>
    <w:rsid w:val="00D4760B"/>
    <w:rsid w:val="00D47962"/>
    <w:rsid w:val="00D4796A"/>
    <w:rsid w:val="00D47CBE"/>
    <w:rsid w:val="00D501B9"/>
    <w:rsid w:val="00D502B9"/>
    <w:rsid w:val="00D502CF"/>
    <w:rsid w:val="00D50F8B"/>
    <w:rsid w:val="00D510F4"/>
    <w:rsid w:val="00D514CA"/>
    <w:rsid w:val="00D516FF"/>
    <w:rsid w:val="00D51B2A"/>
    <w:rsid w:val="00D529BC"/>
    <w:rsid w:val="00D52DC4"/>
    <w:rsid w:val="00D53350"/>
    <w:rsid w:val="00D535E2"/>
    <w:rsid w:val="00D53626"/>
    <w:rsid w:val="00D53D1D"/>
    <w:rsid w:val="00D54297"/>
    <w:rsid w:val="00D54361"/>
    <w:rsid w:val="00D5472E"/>
    <w:rsid w:val="00D54B4D"/>
    <w:rsid w:val="00D55540"/>
    <w:rsid w:val="00D558BA"/>
    <w:rsid w:val="00D55F66"/>
    <w:rsid w:val="00D5630A"/>
    <w:rsid w:val="00D564FB"/>
    <w:rsid w:val="00D565FB"/>
    <w:rsid w:val="00D566D7"/>
    <w:rsid w:val="00D56D3F"/>
    <w:rsid w:val="00D57376"/>
    <w:rsid w:val="00D5750D"/>
    <w:rsid w:val="00D57EE3"/>
    <w:rsid w:val="00D57F52"/>
    <w:rsid w:val="00D60312"/>
    <w:rsid w:val="00D618B4"/>
    <w:rsid w:val="00D61B95"/>
    <w:rsid w:val="00D61E0A"/>
    <w:rsid w:val="00D61E42"/>
    <w:rsid w:val="00D62092"/>
    <w:rsid w:val="00D637A0"/>
    <w:rsid w:val="00D641BC"/>
    <w:rsid w:val="00D645AC"/>
    <w:rsid w:val="00D64612"/>
    <w:rsid w:val="00D6474C"/>
    <w:rsid w:val="00D6532F"/>
    <w:rsid w:val="00D654BB"/>
    <w:rsid w:val="00D660FA"/>
    <w:rsid w:val="00D66988"/>
    <w:rsid w:val="00D67207"/>
    <w:rsid w:val="00D67419"/>
    <w:rsid w:val="00D67D86"/>
    <w:rsid w:val="00D70683"/>
    <w:rsid w:val="00D71621"/>
    <w:rsid w:val="00D7166B"/>
    <w:rsid w:val="00D7192E"/>
    <w:rsid w:val="00D71E78"/>
    <w:rsid w:val="00D72135"/>
    <w:rsid w:val="00D72EBB"/>
    <w:rsid w:val="00D7427F"/>
    <w:rsid w:val="00D74509"/>
    <w:rsid w:val="00D74608"/>
    <w:rsid w:val="00D754DB"/>
    <w:rsid w:val="00D76702"/>
    <w:rsid w:val="00D76A02"/>
    <w:rsid w:val="00D76BFC"/>
    <w:rsid w:val="00D76F3B"/>
    <w:rsid w:val="00D76FBD"/>
    <w:rsid w:val="00D77360"/>
    <w:rsid w:val="00D77EDC"/>
    <w:rsid w:val="00D7C3B7"/>
    <w:rsid w:val="00D80106"/>
    <w:rsid w:val="00D80D15"/>
    <w:rsid w:val="00D8152B"/>
    <w:rsid w:val="00D81D48"/>
    <w:rsid w:val="00D81E18"/>
    <w:rsid w:val="00D828F6"/>
    <w:rsid w:val="00D82A03"/>
    <w:rsid w:val="00D82CED"/>
    <w:rsid w:val="00D8351F"/>
    <w:rsid w:val="00D83736"/>
    <w:rsid w:val="00D844B2"/>
    <w:rsid w:val="00D8481C"/>
    <w:rsid w:val="00D84AC5"/>
    <w:rsid w:val="00D86CEC"/>
    <w:rsid w:val="00D86F25"/>
    <w:rsid w:val="00D86F2F"/>
    <w:rsid w:val="00D87AA4"/>
    <w:rsid w:val="00D907CD"/>
    <w:rsid w:val="00D90828"/>
    <w:rsid w:val="00D90E08"/>
    <w:rsid w:val="00D9125B"/>
    <w:rsid w:val="00D912AD"/>
    <w:rsid w:val="00D939AB"/>
    <w:rsid w:val="00D94118"/>
    <w:rsid w:val="00D947E6"/>
    <w:rsid w:val="00D9480D"/>
    <w:rsid w:val="00D9509C"/>
    <w:rsid w:val="00D95342"/>
    <w:rsid w:val="00D953FB"/>
    <w:rsid w:val="00D958B5"/>
    <w:rsid w:val="00D95F94"/>
    <w:rsid w:val="00D9626C"/>
    <w:rsid w:val="00D9634E"/>
    <w:rsid w:val="00D96DEE"/>
    <w:rsid w:val="00D96F48"/>
    <w:rsid w:val="00D9789F"/>
    <w:rsid w:val="00D97D6F"/>
    <w:rsid w:val="00DA0318"/>
    <w:rsid w:val="00DA04A9"/>
    <w:rsid w:val="00DA0859"/>
    <w:rsid w:val="00DA1006"/>
    <w:rsid w:val="00DA15D4"/>
    <w:rsid w:val="00DA1685"/>
    <w:rsid w:val="00DA1698"/>
    <w:rsid w:val="00DA17D3"/>
    <w:rsid w:val="00DA1B4F"/>
    <w:rsid w:val="00DA34A9"/>
    <w:rsid w:val="00DA42B6"/>
    <w:rsid w:val="00DA4732"/>
    <w:rsid w:val="00DA4A57"/>
    <w:rsid w:val="00DA4E81"/>
    <w:rsid w:val="00DA4F2F"/>
    <w:rsid w:val="00DA52C0"/>
    <w:rsid w:val="00DA6D5E"/>
    <w:rsid w:val="00DA78BE"/>
    <w:rsid w:val="00DA7C2B"/>
    <w:rsid w:val="00DA7EFA"/>
    <w:rsid w:val="00DB0F59"/>
    <w:rsid w:val="00DB122A"/>
    <w:rsid w:val="00DB15EB"/>
    <w:rsid w:val="00DB2040"/>
    <w:rsid w:val="00DB20D1"/>
    <w:rsid w:val="00DB2434"/>
    <w:rsid w:val="00DB3052"/>
    <w:rsid w:val="00DB3D41"/>
    <w:rsid w:val="00DB40BE"/>
    <w:rsid w:val="00DB4F16"/>
    <w:rsid w:val="00DB4F90"/>
    <w:rsid w:val="00DB562E"/>
    <w:rsid w:val="00DB5B3D"/>
    <w:rsid w:val="00DB5B6C"/>
    <w:rsid w:val="00DB637A"/>
    <w:rsid w:val="00DB640B"/>
    <w:rsid w:val="00DB6F96"/>
    <w:rsid w:val="00DB74DB"/>
    <w:rsid w:val="00DB7AF3"/>
    <w:rsid w:val="00DB7EAC"/>
    <w:rsid w:val="00DC0354"/>
    <w:rsid w:val="00DC0A73"/>
    <w:rsid w:val="00DC0F8B"/>
    <w:rsid w:val="00DC1ED3"/>
    <w:rsid w:val="00DC20B1"/>
    <w:rsid w:val="00DC28AF"/>
    <w:rsid w:val="00DC307A"/>
    <w:rsid w:val="00DC3234"/>
    <w:rsid w:val="00DC3879"/>
    <w:rsid w:val="00DC394C"/>
    <w:rsid w:val="00DC49D6"/>
    <w:rsid w:val="00DC4E87"/>
    <w:rsid w:val="00DC5948"/>
    <w:rsid w:val="00DC5C6D"/>
    <w:rsid w:val="00DC5F14"/>
    <w:rsid w:val="00DC6609"/>
    <w:rsid w:val="00DC7A5A"/>
    <w:rsid w:val="00DD002E"/>
    <w:rsid w:val="00DD0A20"/>
    <w:rsid w:val="00DD0B8A"/>
    <w:rsid w:val="00DD0EE1"/>
    <w:rsid w:val="00DD1912"/>
    <w:rsid w:val="00DD1B8C"/>
    <w:rsid w:val="00DD208B"/>
    <w:rsid w:val="00DD22EF"/>
    <w:rsid w:val="00DD2ABA"/>
    <w:rsid w:val="00DD3380"/>
    <w:rsid w:val="00DD3587"/>
    <w:rsid w:val="00DD3AC4"/>
    <w:rsid w:val="00DD3B53"/>
    <w:rsid w:val="00DD3BD0"/>
    <w:rsid w:val="00DD3DE9"/>
    <w:rsid w:val="00DD410F"/>
    <w:rsid w:val="00DD415D"/>
    <w:rsid w:val="00DD4723"/>
    <w:rsid w:val="00DD5858"/>
    <w:rsid w:val="00DD5EB4"/>
    <w:rsid w:val="00DD60C1"/>
    <w:rsid w:val="00DD716F"/>
    <w:rsid w:val="00DD7479"/>
    <w:rsid w:val="00DD7576"/>
    <w:rsid w:val="00DD7902"/>
    <w:rsid w:val="00DE11AA"/>
    <w:rsid w:val="00DE1575"/>
    <w:rsid w:val="00DE17E0"/>
    <w:rsid w:val="00DE19B2"/>
    <w:rsid w:val="00DE23C7"/>
    <w:rsid w:val="00DE29DB"/>
    <w:rsid w:val="00DE300F"/>
    <w:rsid w:val="00DE3605"/>
    <w:rsid w:val="00DE3802"/>
    <w:rsid w:val="00DE4519"/>
    <w:rsid w:val="00DE4C3C"/>
    <w:rsid w:val="00DE5646"/>
    <w:rsid w:val="00DE6C60"/>
    <w:rsid w:val="00DE6C8A"/>
    <w:rsid w:val="00DE6E8B"/>
    <w:rsid w:val="00DE6F60"/>
    <w:rsid w:val="00DE74A8"/>
    <w:rsid w:val="00DE7B25"/>
    <w:rsid w:val="00DE7C36"/>
    <w:rsid w:val="00DE7C90"/>
    <w:rsid w:val="00DF0547"/>
    <w:rsid w:val="00DF0925"/>
    <w:rsid w:val="00DF0AC3"/>
    <w:rsid w:val="00DF12CE"/>
    <w:rsid w:val="00DF163F"/>
    <w:rsid w:val="00DF2394"/>
    <w:rsid w:val="00DF2FA4"/>
    <w:rsid w:val="00DF39D5"/>
    <w:rsid w:val="00DF40E8"/>
    <w:rsid w:val="00DF4609"/>
    <w:rsid w:val="00DF4F06"/>
    <w:rsid w:val="00DF506E"/>
    <w:rsid w:val="00DF518F"/>
    <w:rsid w:val="00DF63EE"/>
    <w:rsid w:val="00DF68E0"/>
    <w:rsid w:val="00DF6993"/>
    <w:rsid w:val="00DF6B6B"/>
    <w:rsid w:val="00DF6DA5"/>
    <w:rsid w:val="00DF6E31"/>
    <w:rsid w:val="00E010E2"/>
    <w:rsid w:val="00E01433"/>
    <w:rsid w:val="00E01AB8"/>
    <w:rsid w:val="00E01C5A"/>
    <w:rsid w:val="00E01C90"/>
    <w:rsid w:val="00E021AB"/>
    <w:rsid w:val="00E02D9C"/>
    <w:rsid w:val="00E0381A"/>
    <w:rsid w:val="00E04649"/>
    <w:rsid w:val="00E0470A"/>
    <w:rsid w:val="00E05A41"/>
    <w:rsid w:val="00E05A8D"/>
    <w:rsid w:val="00E05B1B"/>
    <w:rsid w:val="00E05B92"/>
    <w:rsid w:val="00E05CEB"/>
    <w:rsid w:val="00E061ED"/>
    <w:rsid w:val="00E069F3"/>
    <w:rsid w:val="00E0788D"/>
    <w:rsid w:val="00E07BCC"/>
    <w:rsid w:val="00E102AB"/>
    <w:rsid w:val="00E10893"/>
    <w:rsid w:val="00E11356"/>
    <w:rsid w:val="00E11497"/>
    <w:rsid w:val="00E11618"/>
    <w:rsid w:val="00E11CF7"/>
    <w:rsid w:val="00E12282"/>
    <w:rsid w:val="00E12D22"/>
    <w:rsid w:val="00E12D77"/>
    <w:rsid w:val="00E137C4"/>
    <w:rsid w:val="00E139EB"/>
    <w:rsid w:val="00E145A8"/>
    <w:rsid w:val="00E14A34"/>
    <w:rsid w:val="00E15071"/>
    <w:rsid w:val="00E16B26"/>
    <w:rsid w:val="00E16E5E"/>
    <w:rsid w:val="00E171CC"/>
    <w:rsid w:val="00E177F0"/>
    <w:rsid w:val="00E20943"/>
    <w:rsid w:val="00E20E40"/>
    <w:rsid w:val="00E21491"/>
    <w:rsid w:val="00E216EA"/>
    <w:rsid w:val="00E2171A"/>
    <w:rsid w:val="00E22ADC"/>
    <w:rsid w:val="00E2415B"/>
    <w:rsid w:val="00E245FB"/>
    <w:rsid w:val="00E24796"/>
    <w:rsid w:val="00E2496D"/>
    <w:rsid w:val="00E24EC5"/>
    <w:rsid w:val="00E24F51"/>
    <w:rsid w:val="00E2524A"/>
    <w:rsid w:val="00E255D4"/>
    <w:rsid w:val="00E25C4C"/>
    <w:rsid w:val="00E26272"/>
    <w:rsid w:val="00E2662D"/>
    <w:rsid w:val="00E26790"/>
    <w:rsid w:val="00E26E2F"/>
    <w:rsid w:val="00E27B9F"/>
    <w:rsid w:val="00E30A5E"/>
    <w:rsid w:val="00E30C0B"/>
    <w:rsid w:val="00E30DD9"/>
    <w:rsid w:val="00E312C9"/>
    <w:rsid w:val="00E326A0"/>
    <w:rsid w:val="00E33440"/>
    <w:rsid w:val="00E33648"/>
    <w:rsid w:val="00E336C0"/>
    <w:rsid w:val="00E33782"/>
    <w:rsid w:val="00E3395D"/>
    <w:rsid w:val="00E33F78"/>
    <w:rsid w:val="00E348E1"/>
    <w:rsid w:val="00E35270"/>
    <w:rsid w:val="00E35635"/>
    <w:rsid w:val="00E3608B"/>
    <w:rsid w:val="00E36B56"/>
    <w:rsid w:val="00E370F5"/>
    <w:rsid w:val="00E37150"/>
    <w:rsid w:val="00E37221"/>
    <w:rsid w:val="00E401EF"/>
    <w:rsid w:val="00E40391"/>
    <w:rsid w:val="00E403DD"/>
    <w:rsid w:val="00E40A6E"/>
    <w:rsid w:val="00E40B8F"/>
    <w:rsid w:val="00E41363"/>
    <w:rsid w:val="00E41A1A"/>
    <w:rsid w:val="00E42134"/>
    <w:rsid w:val="00E426EE"/>
    <w:rsid w:val="00E43106"/>
    <w:rsid w:val="00E43407"/>
    <w:rsid w:val="00E43887"/>
    <w:rsid w:val="00E44DDE"/>
    <w:rsid w:val="00E44F26"/>
    <w:rsid w:val="00E450B7"/>
    <w:rsid w:val="00E456E1"/>
    <w:rsid w:val="00E4593D"/>
    <w:rsid w:val="00E45B33"/>
    <w:rsid w:val="00E45FC2"/>
    <w:rsid w:val="00E47465"/>
    <w:rsid w:val="00E4762B"/>
    <w:rsid w:val="00E4795D"/>
    <w:rsid w:val="00E50097"/>
    <w:rsid w:val="00E50393"/>
    <w:rsid w:val="00E5103B"/>
    <w:rsid w:val="00E51308"/>
    <w:rsid w:val="00E51AB3"/>
    <w:rsid w:val="00E51E84"/>
    <w:rsid w:val="00E5244C"/>
    <w:rsid w:val="00E524D7"/>
    <w:rsid w:val="00E52E4C"/>
    <w:rsid w:val="00E53461"/>
    <w:rsid w:val="00E53608"/>
    <w:rsid w:val="00E538BE"/>
    <w:rsid w:val="00E5395F"/>
    <w:rsid w:val="00E54104"/>
    <w:rsid w:val="00E542D3"/>
    <w:rsid w:val="00E545F8"/>
    <w:rsid w:val="00E569E1"/>
    <w:rsid w:val="00E56A1B"/>
    <w:rsid w:val="00E571DF"/>
    <w:rsid w:val="00E57969"/>
    <w:rsid w:val="00E57A43"/>
    <w:rsid w:val="00E6081A"/>
    <w:rsid w:val="00E60954"/>
    <w:rsid w:val="00E60B08"/>
    <w:rsid w:val="00E60B23"/>
    <w:rsid w:val="00E60DC9"/>
    <w:rsid w:val="00E6100D"/>
    <w:rsid w:val="00E6113C"/>
    <w:rsid w:val="00E6187B"/>
    <w:rsid w:val="00E619CF"/>
    <w:rsid w:val="00E61DDC"/>
    <w:rsid w:val="00E61FF4"/>
    <w:rsid w:val="00E6249A"/>
    <w:rsid w:val="00E625B1"/>
    <w:rsid w:val="00E628D1"/>
    <w:rsid w:val="00E637FF"/>
    <w:rsid w:val="00E63BD8"/>
    <w:rsid w:val="00E64029"/>
    <w:rsid w:val="00E644F7"/>
    <w:rsid w:val="00E6478E"/>
    <w:rsid w:val="00E647EB"/>
    <w:rsid w:val="00E64B5A"/>
    <w:rsid w:val="00E64E28"/>
    <w:rsid w:val="00E64E3D"/>
    <w:rsid w:val="00E656EA"/>
    <w:rsid w:val="00E659BA"/>
    <w:rsid w:val="00E65D53"/>
    <w:rsid w:val="00E66337"/>
    <w:rsid w:val="00E6645B"/>
    <w:rsid w:val="00E672F8"/>
    <w:rsid w:val="00E67331"/>
    <w:rsid w:val="00E6741F"/>
    <w:rsid w:val="00E7060B"/>
    <w:rsid w:val="00E706BB"/>
    <w:rsid w:val="00E71431"/>
    <w:rsid w:val="00E71A16"/>
    <w:rsid w:val="00E71DA1"/>
    <w:rsid w:val="00E71DDA"/>
    <w:rsid w:val="00E727A8"/>
    <w:rsid w:val="00E72D00"/>
    <w:rsid w:val="00E734C2"/>
    <w:rsid w:val="00E73A1A"/>
    <w:rsid w:val="00E74825"/>
    <w:rsid w:val="00E75295"/>
    <w:rsid w:val="00E755A4"/>
    <w:rsid w:val="00E76D1D"/>
    <w:rsid w:val="00E76DE5"/>
    <w:rsid w:val="00E772A5"/>
    <w:rsid w:val="00E77DE9"/>
    <w:rsid w:val="00E805E9"/>
    <w:rsid w:val="00E80C77"/>
    <w:rsid w:val="00E80DE8"/>
    <w:rsid w:val="00E80F63"/>
    <w:rsid w:val="00E81240"/>
    <w:rsid w:val="00E81B1B"/>
    <w:rsid w:val="00E82B69"/>
    <w:rsid w:val="00E835F0"/>
    <w:rsid w:val="00E839AF"/>
    <w:rsid w:val="00E8404C"/>
    <w:rsid w:val="00E843F5"/>
    <w:rsid w:val="00E846AD"/>
    <w:rsid w:val="00E84B6F"/>
    <w:rsid w:val="00E85171"/>
    <w:rsid w:val="00E85410"/>
    <w:rsid w:val="00E8564A"/>
    <w:rsid w:val="00E8585E"/>
    <w:rsid w:val="00E8697F"/>
    <w:rsid w:val="00E87849"/>
    <w:rsid w:val="00E87BF0"/>
    <w:rsid w:val="00E90112"/>
    <w:rsid w:val="00E90E7F"/>
    <w:rsid w:val="00E911B1"/>
    <w:rsid w:val="00E91E03"/>
    <w:rsid w:val="00E92954"/>
    <w:rsid w:val="00E929EF"/>
    <w:rsid w:val="00E92B37"/>
    <w:rsid w:val="00E934E5"/>
    <w:rsid w:val="00E949E8"/>
    <w:rsid w:val="00E9674E"/>
    <w:rsid w:val="00E96BB6"/>
    <w:rsid w:val="00E978EF"/>
    <w:rsid w:val="00EA0396"/>
    <w:rsid w:val="00EA06E3"/>
    <w:rsid w:val="00EA0DB6"/>
    <w:rsid w:val="00EA1968"/>
    <w:rsid w:val="00EA23D9"/>
    <w:rsid w:val="00EA244A"/>
    <w:rsid w:val="00EA4EA8"/>
    <w:rsid w:val="00EA5218"/>
    <w:rsid w:val="00EA5283"/>
    <w:rsid w:val="00EA53BE"/>
    <w:rsid w:val="00EA5B1B"/>
    <w:rsid w:val="00EA5F6E"/>
    <w:rsid w:val="00EA650B"/>
    <w:rsid w:val="00EA70AB"/>
    <w:rsid w:val="00EA7618"/>
    <w:rsid w:val="00EA7CB2"/>
    <w:rsid w:val="00EB03F2"/>
    <w:rsid w:val="00EB0D0D"/>
    <w:rsid w:val="00EB0D4A"/>
    <w:rsid w:val="00EB13A6"/>
    <w:rsid w:val="00EB158D"/>
    <w:rsid w:val="00EB1737"/>
    <w:rsid w:val="00EB2477"/>
    <w:rsid w:val="00EB2E8E"/>
    <w:rsid w:val="00EB2F5B"/>
    <w:rsid w:val="00EB3490"/>
    <w:rsid w:val="00EB37CE"/>
    <w:rsid w:val="00EB3983"/>
    <w:rsid w:val="00EB39BF"/>
    <w:rsid w:val="00EB4DD9"/>
    <w:rsid w:val="00EB59AE"/>
    <w:rsid w:val="00EB693F"/>
    <w:rsid w:val="00EB69B1"/>
    <w:rsid w:val="00EB7A07"/>
    <w:rsid w:val="00EB7F5B"/>
    <w:rsid w:val="00EC034C"/>
    <w:rsid w:val="00EC0DB7"/>
    <w:rsid w:val="00EC21B1"/>
    <w:rsid w:val="00EC2657"/>
    <w:rsid w:val="00EC2A98"/>
    <w:rsid w:val="00EC39B6"/>
    <w:rsid w:val="00EC46AC"/>
    <w:rsid w:val="00EC48DA"/>
    <w:rsid w:val="00EC51F3"/>
    <w:rsid w:val="00EC6817"/>
    <w:rsid w:val="00EC6DD1"/>
    <w:rsid w:val="00EC72C0"/>
    <w:rsid w:val="00EC75F2"/>
    <w:rsid w:val="00EC7DFC"/>
    <w:rsid w:val="00ED0116"/>
    <w:rsid w:val="00ED05BE"/>
    <w:rsid w:val="00ED06D8"/>
    <w:rsid w:val="00ED0CBC"/>
    <w:rsid w:val="00ED0D51"/>
    <w:rsid w:val="00ED1CC4"/>
    <w:rsid w:val="00ED21B8"/>
    <w:rsid w:val="00ED27A9"/>
    <w:rsid w:val="00ED3145"/>
    <w:rsid w:val="00ED35B6"/>
    <w:rsid w:val="00ED3636"/>
    <w:rsid w:val="00ED3CA5"/>
    <w:rsid w:val="00ED3F1F"/>
    <w:rsid w:val="00ED475F"/>
    <w:rsid w:val="00ED4B6A"/>
    <w:rsid w:val="00ED526B"/>
    <w:rsid w:val="00ED5DA6"/>
    <w:rsid w:val="00ED606B"/>
    <w:rsid w:val="00ED6C80"/>
    <w:rsid w:val="00ED71DB"/>
    <w:rsid w:val="00ED7B7A"/>
    <w:rsid w:val="00ED7C27"/>
    <w:rsid w:val="00ED7DEB"/>
    <w:rsid w:val="00EE00ED"/>
    <w:rsid w:val="00EE0226"/>
    <w:rsid w:val="00EE067B"/>
    <w:rsid w:val="00EE1220"/>
    <w:rsid w:val="00EE1EC6"/>
    <w:rsid w:val="00EE3E63"/>
    <w:rsid w:val="00EE3E98"/>
    <w:rsid w:val="00EE406D"/>
    <w:rsid w:val="00EE4824"/>
    <w:rsid w:val="00EE4EE5"/>
    <w:rsid w:val="00EE5B81"/>
    <w:rsid w:val="00EE5DA6"/>
    <w:rsid w:val="00EE5E00"/>
    <w:rsid w:val="00EE6011"/>
    <w:rsid w:val="00EE60FE"/>
    <w:rsid w:val="00EE6439"/>
    <w:rsid w:val="00EE6894"/>
    <w:rsid w:val="00EE68BF"/>
    <w:rsid w:val="00EF0206"/>
    <w:rsid w:val="00EF123B"/>
    <w:rsid w:val="00EF167F"/>
    <w:rsid w:val="00EF17A8"/>
    <w:rsid w:val="00EF1ABC"/>
    <w:rsid w:val="00EF1B16"/>
    <w:rsid w:val="00EF1D1D"/>
    <w:rsid w:val="00EF1F49"/>
    <w:rsid w:val="00EF28F7"/>
    <w:rsid w:val="00EF2EA9"/>
    <w:rsid w:val="00EF33F7"/>
    <w:rsid w:val="00EF35B4"/>
    <w:rsid w:val="00EF3B0A"/>
    <w:rsid w:val="00EF3FD4"/>
    <w:rsid w:val="00EF421C"/>
    <w:rsid w:val="00EF4844"/>
    <w:rsid w:val="00EF4EE4"/>
    <w:rsid w:val="00EF558C"/>
    <w:rsid w:val="00EF5AF8"/>
    <w:rsid w:val="00EF6F82"/>
    <w:rsid w:val="00EF72F8"/>
    <w:rsid w:val="00EF7DE0"/>
    <w:rsid w:val="00EF7EF5"/>
    <w:rsid w:val="00F008D9"/>
    <w:rsid w:val="00F00BAA"/>
    <w:rsid w:val="00F0193C"/>
    <w:rsid w:val="00F02B13"/>
    <w:rsid w:val="00F02DCE"/>
    <w:rsid w:val="00F03D13"/>
    <w:rsid w:val="00F04145"/>
    <w:rsid w:val="00F04A58"/>
    <w:rsid w:val="00F050A8"/>
    <w:rsid w:val="00F055D7"/>
    <w:rsid w:val="00F05851"/>
    <w:rsid w:val="00F06149"/>
    <w:rsid w:val="00F061B0"/>
    <w:rsid w:val="00F06283"/>
    <w:rsid w:val="00F0646B"/>
    <w:rsid w:val="00F066C8"/>
    <w:rsid w:val="00F06CCA"/>
    <w:rsid w:val="00F072F3"/>
    <w:rsid w:val="00F10A47"/>
    <w:rsid w:val="00F111BC"/>
    <w:rsid w:val="00F11C58"/>
    <w:rsid w:val="00F13527"/>
    <w:rsid w:val="00F13902"/>
    <w:rsid w:val="00F14033"/>
    <w:rsid w:val="00F147FC"/>
    <w:rsid w:val="00F14897"/>
    <w:rsid w:val="00F156EF"/>
    <w:rsid w:val="00F158F6"/>
    <w:rsid w:val="00F15A9D"/>
    <w:rsid w:val="00F15BAF"/>
    <w:rsid w:val="00F15C76"/>
    <w:rsid w:val="00F169E6"/>
    <w:rsid w:val="00F16BD1"/>
    <w:rsid w:val="00F179D4"/>
    <w:rsid w:val="00F17F6E"/>
    <w:rsid w:val="00F2019D"/>
    <w:rsid w:val="00F21D85"/>
    <w:rsid w:val="00F2224A"/>
    <w:rsid w:val="00F223FC"/>
    <w:rsid w:val="00F2249C"/>
    <w:rsid w:val="00F2265B"/>
    <w:rsid w:val="00F230B9"/>
    <w:rsid w:val="00F23D31"/>
    <w:rsid w:val="00F23E35"/>
    <w:rsid w:val="00F23E53"/>
    <w:rsid w:val="00F24F86"/>
    <w:rsid w:val="00F25136"/>
    <w:rsid w:val="00F25639"/>
    <w:rsid w:val="00F258B0"/>
    <w:rsid w:val="00F25A64"/>
    <w:rsid w:val="00F25CD1"/>
    <w:rsid w:val="00F26284"/>
    <w:rsid w:val="00F26BF5"/>
    <w:rsid w:val="00F26ECE"/>
    <w:rsid w:val="00F270AC"/>
    <w:rsid w:val="00F275A5"/>
    <w:rsid w:val="00F277B1"/>
    <w:rsid w:val="00F27E66"/>
    <w:rsid w:val="00F27F1B"/>
    <w:rsid w:val="00F3046C"/>
    <w:rsid w:val="00F308FB"/>
    <w:rsid w:val="00F30DBF"/>
    <w:rsid w:val="00F316F0"/>
    <w:rsid w:val="00F316F3"/>
    <w:rsid w:val="00F325B7"/>
    <w:rsid w:val="00F32E1E"/>
    <w:rsid w:val="00F34070"/>
    <w:rsid w:val="00F34AFE"/>
    <w:rsid w:val="00F34D19"/>
    <w:rsid w:val="00F353BF"/>
    <w:rsid w:val="00F355C8"/>
    <w:rsid w:val="00F3583D"/>
    <w:rsid w:val="00F35FBF"/>
    <w:rsid w:val="00F364A1"/>
    <w:rsid w:val="00F36E13"/>
    <w:rsid w:val="00F3732C"/>
    <w:rsid w:val="00F376F2"/>
    <w:rsid w:val="00F37987"/>
    <w:rsid w:val="00F37E11"/>
    <w:rsid w:val="00F4002A"/>
    <w:rsid w:val="00F403AD"/>
    <w:rsid w:val="00F40400"/>
    <w:rsid w:val="00F4059F"/>
    <w:rsid w:val="00F4096E"/>
    <w:rsid w:val="00F40F64"/>
    <w:rsid w:val="00F41036"/>
    <w:rsid w:val="00F41DCF"/>
    <w:rsid w:val="00F41E6B"/>
    <w:rsid w:val="00F42417"/>
    <w:rsid w:val="00F4241B"/>
    <w:rsid w:val="00F438C8"/>
    <w:rsid w:val="00F43AE7"/>
    <w:rsid w:val="00F43B12"/>
    <w:rsid w:val="00F443E4"/>
    <w:rsid w:val="00F44A66"/>
    <w:rsid w:val="00F45520"/>
    <w:rsid w:val="00F45640"/>
    <w:rsid w:val="00F459AC"/>
    <w:rsid w:val="00F45C7B"/>
    <w:rsid w:val="00F462A4"/>
    <w:rsid w:val="00F465A7"/>
    <w:rsid w:val="00F46C15"/>
    <w:rsid w:val="00F47666"/>
    <w:rsid w:val="00F50B32"/>
    <w:rsid w:val="00F51068"/>
    <w:rsid w:val="00F51503"/>
    <w:rsid w:val="00F5188D"/>
    <w:rsid w:val="00F51B07"/>
    <w:rsid w:val="00F51C59"/>
    <w:rsid w:val="00F51E22"/>
    <w:rsid w:val="00F52287"/>
    <w:rsid w:val="00F5233D"/>
    <w:rsid w:val="00F52544"/>
    <w:rsid w:val="00F531FA"/>
    <w:rsid w:val="00F532C4"/>
    <w:rsid w:val="00F53318"/>
    <w:rsid w:val="00F53612"/>
    <w:rsid w:val="00F5386B"/>
    <w:rsid w:val="00F544A5"/>
    <w:rsid w:val="00F54DA9"/>
    <w:rsid w:val="00F555BB"/>
    <w:rsid w:val="00F57278"/>
    <w:rsid w:val="00F57496"/>
    <w:rsid w:val="00F57834"/>
    <w:rsid w:val="00F57879"/>
    <w:rsid w:val="00F57D9B"/>
    <w:rsid w:val="00F57DF9"/>
    <w:rsid w:val="00F607CA"/>
    <w:rsid w:val="00F60D0F"/>
    <w:rsid w:val="00F61012"/>
    <w:rsid w:val="00F614D9"/>
    <w:rsid w:val="00F61BFE"/>
    <w:rsid w:val="00F62574"/>
    <w:rsid w:val="00F62592"/>
    <w:rsid w:val="00F6263C"/>
    <w:rsid w:val="00F63CC6"/>
    <w:rsid w:val="00F6494B"/>
    <w:rsid w:val="00F64C98"/>
    <w:rsid w:val="00F659F7"/>
    <w:rsid w:val="00F66283"/>
    <w:rsid w:val="00F66412"/>
    <w:rsid w:val="00F66479"/>
    <w:rsid w:val="00F669D5"/>
    <w:rsid w:val="00F66CD1"/>
    <w:rsid w:val="00F66CF0"/>
    <w:rsid w:val="00F66D97"/>
    <w:rsid w:val="00F66DEA"/>
    <w:rsid w:val="00F7045E"/>
    <w:rsid w:val="00F705C8"/>
    <w:rsid w:val="00F71ACD"/>
    <w:rsid w:val="00F7241E"/>
    <w:rsid w:val="00F72595"/>
    <w:rsid w:val="00F72FF5"/>
    <w:rsid w:val="00F73ABD"/>
    <w:rsid w:val="00F750CA"/>
    <w:rsid w:val="00F75318"/>
    <w:rsid w:val="00F75AF7"/>
    <w:rsid w:val="00F75C1B"/>
    <w:rsid w:val="00F76170"/>
    <w:rsid w:val="00F7668D"/>
    <w:rsid w:val="00F76C89"/>
    <w:rsid w:val="00F77FAB"/>
    <w:rsid w:val="00F80F10"/>
    <w:rsid w:val="00F8144A"/>
    <w:rsid w:val="00F81504"/>
    <w:rsid w:val="00F81816"/>
    <w:rsid w:val="00F8196C"/>
    <w:rsid w:val="00F81A88"/>
    <w:rsid w:val="00F81D93"/>
    <w:rsid w:val="00F822F7"/>
    <w:rsid w:val="00F826B5"/>
    <w:rsid w:val="00F826EB"/>
    <w:rsid w:val="00F82F98"/>
    <w:rsid w:val="00F83604"/>
    <w:rsid w:val="00F839EA"/>
    <w:rsid w:val="00F83C41"/>
    <w:rsid w:val="00F83D04"/>
    <w:rsid w:val="00F84168"/>
    <w:rsid w:val="00F842F5"/>
    <w:rsid w:val="00F84514"/>
    <w:rsid w:val="00F84A96"/>
    <w:rsid w:val="00F85710"/>
    <w:rsid w:val="00F85AFC"/>
    <w:rsid w:val="00F85E2A"/>
    <w:rsid w:val="00F8643B"/>
    <w:rsid w:val="00F86495"/>
    <w:rsid w:val="00F864BF"/>
    <w:rsid w:val="00F87624"/>
    <w:rsid w:val="00F87635"/>
    <w:rsid w:val="00F9026A"/>
    <w:rsid w:val="00F91580"/>
    <w:rsid w:val="00F926FE"/>
    <w:rsid w:val="00F92DF1"/>
    <w:rsid w:val="00F93389"/>
    <w:rsid w:val="00F946AF"/>
    <w:rsid w:val="00F94BA2"/>
    <w:rsid w:val="00F94C53"/>
    <w:rsid w:val="00F951C0"/>
    <w:rsid w:val="00F957FA"/>
    <w:rsid w:val="00F95C28"/>
    <w:rsid w:val="00F96224"/>
    <w:rsid w:val="00F96A61"/>
    <w:rsid w:val="00F970B7"/>
    <w:rsid w:val="00F975FA"/>
    <w:rsid w:val="00F97B22"/>
    <w:rsid w:val="00FA00C6"/>
    <w:rsid w:val="00FA1214"/>
    <w:rsid w:val="00FA1AA8"/>
    <w:rsid w:val="00FA1B78"/>
    <w:rsid w:val="00FA21AD"/>
    <w:rsid w:val="00FA2629"/>
    <w:rsid w:val="00FA285B"/>
    <w:rsid w:val="00FA2CE0"/>
    <w:rsid w:val="00FA3399"/>
    <w:rsid w:val="00FA3602"/>
    <w:rsid w:val="00FA3785"/>
    <w:rsid w:val="00FA3CB4"/>
    <w:rsid w:val="00FA403E"/>
    <w:rsid w:val="00FA435C"/>
    <w:rsid w:val="00FA46AE"/>
    <w:rsid w:val="00FA4776"/>
    <w:rsid w:val="00FA48A2"/>
    <w:rsid w:val="00FA4D1E"/>
    <w:rsid w:val="00FA4E81"/>
    <w:rsid w:val="00FA4F31"/>
    <w:rsid w:val="00FA4FEB"/>
    <w:rsid w:val="00FA584D"/>
    <w:rsid w:val="00FA5D64"/>
    <w:rsid w:val="00FA5FB1"/>
    <w:rsid w:val="00FA5FC9"/>
    <w:rsid w:val="00FA666F"/>
    <w:rsid w:val="00FA6794"/>
    <w:rsid w:val="00FA6ACF"/>
    <w:rsid w:val="00FA7E87"/>
    <w:rsid w:val="00FB005A"/>
    <w:rsid w:val="00FB076E"/>
    <w:rsid w:val="00FB0932"/>
    <w:rsid w:val="00FB0AB9"/>
    <w:rsid w:val="00FB0B30"/>
    <w:rsid w:val="00FB0BDE"/>
    <w:rsid w:val="00FB0F13"/>
    <w:rsid w:val="00FB1334"/>
    <w:rsid w:val="00FB14C9"/>
    <w:rsid w:val="00FB21FE"/>
    <w:rsid w:val="00FB24C2"/>
    <w:rsid w:val="00FB2F9C"/>
    <w:rsid w:val="00FB3358"/>
    <w:rsid w:val="00FB359D"/>
    <w:rsid w:val="00FB3DD6"/>
    <w:rsid w:val="00FB4877"/>
    <w:rsid w:val="00FB4FC6"/>
    <w:rsid w:val="00FB5FA8"/>
    <w:rsid w:val="00FB6450"/>
    <w:rsid w:val="00FB692D"/>
    <w:rsid w:val="00FB6D57"/>
    <w:rsid w:val="00FB755E"/>
    <w:rsid w:val="00FB7BE3"/>
    <w:rsid w:val="00FC0169"/>
    <w:rsid w:val="00FC0172"/>
    <w:rsid w:val="00FC063E"/>
    <w:rsid w:val="00FC0DB6"/>
    <w:rsid w:val="00FC10BC"/>
    <w:rsid w:val="00FC113F"/>
    <w:rsid w:val="00FC12A9"/>
    <w:rsid w:val="00FC1A5B"/>
    <w:rsid w:val="00FC231F"/>
    <w:rsid w:val="00FC25AB"/>
    <w:rsid w:val="00FC25B6"/>
    <w:rsid w:val="00FC26C9"/>
    <w:rsid w:val="00FC291E"/>
    <w:rsid w:val="00FC3B5C"/>
    <w:rsid w:val="00FC3CA8"/>
    <w:rsid w:val="00FC3DB4"/>
    <w:rsid w:val="00FC4013"/>
    <w:rsid w:val="00FC4542"/>
    <w:rsid w:val="00FC4FFC"/>
    <w:rsid w:val="00FC52B6"/>
    <w:rsid w:val="00FC551F"/>
    <w:rsid w:val="00FC6C67"/>
    <w:rsid w:val="00FC6FC6"/>
    <w:rsid w:val="00FC70D8"/>
    <w:rsid w:val="00FC759E"/>
    <w:rsid w:val="00FC77FA"/>
    <w:rsid w:val="00FD0BA5"/>
    <w:rsid w:val="00FD0FBD"/>
    <w:rsid w:val="00FD10E0"/>
    <w:rsid w:val="00FD120E"/>
    <w:rsid w:val="00FD1215"/>
    <w:rsid w:val="00FD172C"/>
    <w:rsid w:val="00FD200C"/>
    <w:rsid w:val="00FD27F0"/>
    <w:rsid w:val="00FD2F18"/>
    <w:rsid w:val="00FD3009"/>
    <w:rsid w:val="00FD3750"/>
    <w:rsid w:val="00FD41E5"/>
    <w:rsid w:val="00FD4CDB"/>
    <w:rsid w:val="00FD4D58"/>
    <w:rsid w:val="00FD4E43"/>
    <w:rsid w:val="00FD5015"/>
    <w:rsid w:val="00FD5089"/>
    <w:rsid w:val="00FD52BC"/>
    <w:rsid w:val="00FD5C4B"/>
    <w:rsid w:val="00FD62CC"/>
    <w:rsid w:val="00FD6791"/>
    <w:rsid w:val="00FD6875"/>
    <w:rsid w:val="00FD6B25"/>
    <w:rsid w:val="00FD6D4F"/>
    <w:rsid w:val="00FD6F90"/>
    <w:rsid w:val="00FD73CB"/>
    <w:rsid w:val="00FD73E1"/>
    <w:rsid w:val="00FD77F2"/>
    <w:rsid w:val="00FD79F9"/>
    <w:rsid w:val="00FE0D3A"/>
    <w:rsid w:val="00FE1CC8"/>
    <w:rsid w:val="00FE2EF9"/>
    <w:rsid w:val="00FE31DF"/>
    <w:rsid w:val="00FE327A"/>
    <w:rsid w:val="00FE379D"/>
    <w:rsid w:val="00FE37F3"/>
    <w:rsid w:val="00FE52A7"/>
    <w:rsid w:val="00FE5D5F"/>
    <w:rsid w:val="00FE6067"/>
    <w:rsid w:val="00FE643F"/>
    <w:rsid w:val="00FE6A51"/>
    <w:rsid w:val="00FE735E"/>
    <w:rsid w:val="00FF015E"/>
    <w:rsid w:val="00FF056F"/>
    <w:rsid w:val="00FF0AA8"/>
    <w:rsid w:val="00FF233D"/>
    <w:rsid w:val="00FF2451"/>
    <w:rsid w:val="00FF2A0F"/>
    <w:rsid w:val="00FF3565"/>
    <w:rsid w:val="00FF3C67"/>
    <w:rsid w:val="00FF4205"/>
    <w:rsid w:val="00FF4BEF"/>
    <w:rsid w:val="00FF4F02"/>
    <w:rsid w:val="00FF5020"/>
    <w:rsid w:val="00FF5511"/>
    <w:rsid w:val="00FF5512"/>
    <w:rsid w:val="00FF5A3E"/>
    <w:rsid w:val="00FF67B8"/>
    <w:rsid w:val="00FF6C88"/>
    <w:rsid w:val="00FF711D"/>
    <w:rsid w:val="00FF7312"/>
    <w:rsid w:val="00FF7A74"/>
    <w:rsid w:val="00FF7E31"/>
    <w:rsid w:val="0113AAE0"/>
    <w:rsid w:val="0113B37C"/>
    <w:rsid w:val="015D1793"/>
    <w:rsid w:val="015DDB61"/>
    <w:rsid w:val="01727754"/>
    <w:rsid w:val="017C22F8"/>
    <w:rsid w:val="01858DEE"/>
    <w:rsid w:val="019E7C32"/>
    <w:rsid w:val="019FCBE5"/>
    <w:rsid w:val="01AAA4F4"/>
    <w:rsid w:val="01D7D903"/>
    <w:rsid w:val="01DB37A8"/>
    <w:rsid w:val="01DE23B2"/>
    <w:rsid w:val="020EF49A"/>
    <w:rsid w:val="020F1CD3"/>
    <w:rsid w:val="02109FDA"/>
    <w:rsid w:val="0212D247"/>
    <w:rsid w:val="02172734"/>
    <w:rsid w:val="02182E89"/>
    <w:rsid w:val="0218F350"/>
    <w:rsid w:val="022B0D50"/>
    <w:rsid w:val="02372770"/>
    <w:rsid w:val="025BEC83"/>
    <w:rsid w:val="027714C2"/>
    <w:rsid w:val="028B474B"/>
    <w:rsid w:val="028CB39C"/>
    <w:rsid w:val="02935533"/>
    <w:rsid w:val="02B748BE"/>
    <w:rsid w:val="02BBE4F1"/>
    <w:rsid w:val="02DB8128"/>
    <w:rsid w:val="032E69AB"/>
    <w:rsid w:val="03348FCE"/>
    <w:rsid w:val="0335CBCD"/>
    <w:rsid w:val="033C1A29"/>
    <w:rsid w:val="033DD1F8"/>
    <w:rsid w:val="033DDD43"/>
    <w:rsid w:val="0343CCB5"/>
    <w:rsid w:val="03BA772F"/>
    <w:rsid w:val="03BC206A"/>
    <w:rsid w:val="03BF9C76"/>
    <w:rsid w:val="03DA9B74"/>
    <w:rsid w:val="03E1D3DF"/>
    <w:rsid w:val="04122DB7"/>
    <w:rsid w:val="041EE911"/>
    <w:rsid w:val="044F51FE"/>
    <w:rsid w:val="045754DD"/>
    <w:rsid w:val="045EC01B"/>
    <w:rsid w:val="04703D85"/>
    <w:rsid w:val="0495A9F2"/>
    <w:rsid w:val="049784AB"/>
    <w:rsid w:val="04986BC4"/>
    <w:rsid w:val="04A54F01"/>
    <w:rsid w:val="04AAB3D7"/>
    <w:rsid w:val="04AE60CD"/>
    <w:rsid w:val="04CE7A56"/>
    <w:rsid w:val="04D44061"/>
    <w:rsid w:val="04F84F71"/>
    <w:rsid w:val="055B439B"/>
    <w:rsid w:val="058554CD"/>
    <w:rsid w:val="058AFD6F"/>
    <w:rsid w:val="058CB1E3"/>
    <w:rsid w:val="05ADFC43"/>
    <w:rsid w:val="05E26FD1"/>
    <w:rsid w:val="05E6FD9B"/>
    <w:rsid w:val="05EDCCBB"/>
    <w:rsid w:val="062A8356"/>
    <w:rsid w:val="062F198C"/>
    <w:rsid w:val="063B62FC"/>
    <w:rsid w:val="06728B48"/>
    <w:rsid w:val="0673C65A"/>
    <w:rsid w:val="0694CE25"/>
    <w:rsid w:val="0696CB56"/>
    <w:rsid w:val="06AE44FE"/>
    <w:rsid w:val="070DC510"/>
    <w:rsid w:val="072EEF84"/>
    <w:rsid w:val="073A604C"/>
    <w:rsid w:val="0742B477"/>
    <w:rsid w:val="0745224B"/>
    <w:rsid w:val="07513802"/>
    <w:rsid w:val="075199DE"/>
    <w:rsid w:val="0760E974"/>
    <w:rsid w:val="079D57D9"/>
    <w:rsid w:val="07A9B805"/>
    <w:rsid w:val="07E8C88C"/>
    <w:rsid w:val="08071FE3"/>
    <w:rsid w:val="082E149B"/>
    <w:rsid w:val="084DACC7"/>
    <w:rsid w:val="08559213"/>
    <w:rsid w:val="085745DC"/>
    <w:rsid w:val="086726F4"/>
    <w:rsid w:val="0873AD9A"/>
    <w:rsid w:val="0878D878"/>
    <w:rsid w:val="087DCA92"/>
    <w:rsid w:val="087E5E57"/>
    <w:rsid w:val="08B87EF1"/>
    <w:rsid w:val="08D8F318"/>
    <w:rsid w:val="08EF21A1"/>
    <w:rsid w:val="0917BD71"/>
    <w:rsid w:val="09227B55"/>
    <w:rsid w:val="093C00D7"/>
    <w:rsid w:val="09420A21"/>
    <w:rsid w:val="094706AE"/>
    <w:rsid w:val="096B3C6C"/>
    <w:rsid w:val="099065BA"/>
    <w:rsid w:val="09A4ED49"/>
    <w:rsid w:val="09ACE142"/>
    <w:rsid w:val="09E97D28"/>
    <w:rsid w:val="0A1A067F"/>
    <w:rsid w:val="0A3FBB08"/>
    <w:rsid w:val="0A684C96"/>
    <w:rsid w:val="0A704A3D"/>
    <w:rsid w:val="0A70583F"/>
    <w:rsid w:val="0ABAD24E"/>
    <w:rsid w:val="0ABB2E0A"/>
    <w:rsid w:val="0AC69661"/>
    <w:rsid w:val="0AD86E26"/>
    <w:rsid w:val="0AE2E422"/>
    <w:rsid w:val="0AE70FD2"/>
    <w:rsid w:val="0AEA3FCF"/>
    <w:rsid w:val="0B0750EC"/>
    <w:rsid w:val="0B1B9937"/>
    <w:rsid w:val="0B286CDD"/>
    <w:rsid w:val="0B30D652"/>
    <w:rsid w:val="0B45FC6B"/>
    <w:rsid w:val="0B685B3E"/>
    <w:rsid w:val="0B71BFE3"/>
    <w:rsid w:val="0BB1C343"/>
    <w:rsid w:val="0BB5F1B1"/>
    <w:rsid w:val="0BC85CC7"/>
    <w:rsid w:val="0BEC5675"/>
    <w:rsid w:val="0BED3915"/>
    <w:rsid w:val="0BEEDF6D"/>
    <w:rsid w:val="0BF633CD"/>
    <w:rsid w:val="0C12F320"/>
    <w:rsid w:val="0C1D4895"/>
    <w:rsid w:val="0C2A1F09"/>
    <w:rsid w:val="0C2EC452"/>
    <w:rsid w:val="0C32ACDD"/>
    <w:rsid w:val="0C46EC18"/>
    <w:rsid w:val="0C50F3B4"/>
    <w:rsid w:val="0C59DAB4"/>
    <w:rsid w:val="0C797AD2"/>
    <w:rsid w:val="0C968834"/>
    <w:rsid w:val="0CA8A8A8"/>
    <w:rsid w:val="0CA9B4CE"/>
    <w:rsid w:val="0CCB9710"/>
    <w:rsid w:val="0CDC9951"/>
    <w:rsid w:val="0CFF9075"/>
    <w:rsid w:val="0D0C9E57"/>
    <w:rsid w:val="0D209E49"/>
    <w:rsid w:val="0D50ECFF"/>
    <w:rsid w:val="0D60BA10"/>
    <w:rsid w:val="0D6ED8AC"/>
    <w:rsid w:val="0D8454C2"/>
    <w:rsid w:val="0D860192"/>
    <w:rsid w:val="0D8D274A"/>
    <w:rsid w:val="0D8DB2A9"/>
    <w:rsid w:val="0DB84E4E"/>
    <w:rsid w:val="0DCC9F9F"/>
    <w:rsid w:val="0DDE9155"/>
    <w:rsid w:val="0DEF94DE"/>
    <w:rsid w:val="0E17AB36"/>
    <w:rsid w:val="0E21AEE5"/>
    <w:rsid w:val="0E28D6C5"/>
    <w:rsid w:val="0E404BF1"/>
    <w:rsid w:val="0E7BCB5B"/>
    <w:rsid w:val="0E9BCECB"/>
    <w:rsid w:val="0EA2061E"/>
    <w:rsid w:val="0EF2D3C7"/>
    <w:rsid w:val="0EFB5585"/>
    <w:rsid w:val="0EFE9CC3"/>
    <w:rsid w:val="0F0024B8"/>
    <w:rsid w:val="0F160488"/>
    <w:rsid w:val="0F324764"/>
    <w:rsid w:val="0F52FF75"/>
    <w:rsid w:val="0F860032"/>
    <w:rsid w:val="0F8F1E09"/>
    <w:rsid w:val="0FBF393E"/>
    <w:rsid w:val="0FF306F2"/>
    <w:rsid w:val="0FF4561C"/>
    <w:rsid w:val="1005562E"/>
    <w:rsid w:val="103D3114"/>
    <w:rsid w:val="103E55A5"/>
    <w:rsid w:val="104214F2"/>
    <w:rsid w:val="104889CB"/>
    <w:rsid w:val="107BB349"/>
    <w:rsid w:val="10AB6C9B"/>
    <w:rsid w:val="10C750B5"/>
    <w:rsid w:val="10E39555"/>
    <w:rsid w:val="10E42436"/>
    <w:rsid w:val="10EECFD6"/>
    <w:rsid w:val="11035D0D"/>
    <w:rsid w:val="1129A5CD"/>
    <w:rsid w:val="1136AF22"/>
    <w:rsid w:val="113E4044"/>
    <w:rsid w:val="114DDEC5"/>
    <w:rsid w:val="1155DF5A"/>
    <w:rsid w:val="117CDD3D"/>
    <w:rsid w:val="119150FD"/>
    <w:rsid w:val="119D35AB"/>
    <w:rsid w:val="11AA8ED8"/>
    <w:rsid w:val="11BDC08A"/>
    <w:rsid w:val="11E8BAFD"/>
    <w:rsid w:val="11E8F291"/>
    <w:rsid w:val="11EEC1A5"/>
    <w:rsid w:val="11FC26A1"/>
    <w:rsid w:val="11FF670F"/>
    <w:rsid w:val="1203E51A"/>
    <w:rsid w:val="126AC7F5"/>
    <w:rsid w:val="12701DE8"/>
    <w:rsid w:val="1292504F"/>
    <w:rsid w:val="12C35648"/>
    <w:rsid w:val="12D57FDF"/>
    <w:rsid w:val="130DDFF3"/>
    <w:rsid w:val="13194169"/>
    <w:rsid w:val="132025D2"/>
    <w:rsid w:val="1337BA98"/>
    <w:rsid w:val="13395161"/>
    <w:rsid w:val="1351C675"/>
    <w:rsid w:val="139B0805"/>
    <w:rsid w:val="13D85CA1"/>
    <w:rsid w:val="13DC693A"/>
    <w:rsid w:val="13F58B73"/>
    <w:rsid w:val="13FCD317"/>
    <w:rsid w:val="144D1766"/>
    <w:rsid w:val="146C05D3"/>
    <w:rsid w:val="148420B6"/>
    <w:rsid w:val="14869DD0"/>
    <w:rsid w:val="14A20679"/>
    <w:rsid w:val="14AAC544"/>
    <w:rsid w:val="14B4ABB8"/>
    <w:rsid w:val="14C273CF"/>
    <w:rsid w:val="1501DC4B"/>
    <w:rsid w:val="15259D8F"/>
    <w:rsid w:val="1529BE0B"/>
    <w:rsid w:val="152EFBDA"/>
    <w:rsid w:val="153D6FC1"/>
    <w:rsid w:val="1565EE8D"/>
    <w:rsid w:val="15A499F3"/>
    <w:rsid w:val="15A62145"/>
    <w:rsid w:val="15C37C6F"/>
    <w:rsid w:val="15FF8407"/>
    <w:rsid w:val="1605727B"/>
    <w:rsid w:val="160EE18A"/>
    <w:rsid w:val="161A83DF"/>
    <w:rsid w:val="16309717"/>
    <w:rsid w:val="16435161"/>
    <w:rsid w:val="1648DC35"/>
    <w:rsid w:val="16697551"/>
    <w:rsid w:val="16844BA5"/>
    <w:rsid w:val="1685E0A6"/>
    <w:rsid w:val="1686AF5E"/>
    <w:rsid w:val="1695ACAB"/>
    <w:rsid w:val="169E1153"/>
    <w:rsid w:val="16AD6983"/>
    <w:rsid w:val="16D716F6"/>
    <w:rsid w:val="171E561B"/>
    <w:rsid w:val="173D3BC9"/>
    <w:rsid w:val="1748FDEE"/>
    <w:rsid w:val="175B0BCF"/>
    <w:rsid w:val="17849756"/>
    <w:rsid w:val="1790F1ED"/>
    <w:rsid w:val="1791B2BA"/>
    <w:rsid w:val="179C9F88"/>
    <w:rsid w:val="179DEC47"/>
    <w:rsid w:val="17A142DC"/>
    <w:rsid w:val="17AAE0B2"/>
    <w:rsid w:val="17B4643C"/>
    <w:rsid w:val="17CC63CC"/>
    <w:rsid w:val="17D7A691"/>
    <w:rsid w:val="17F73EC5"/>
    <w:rsid w:val="180C4220"/>
    <w:rsid w:val="180DAE7B"/>
    <w:rsid w:val="18224371"/>
    <w:rsid w:val="1825C118"/>
    <w:rsid w:val="1827843E"/>
    <w:rsid w:val="1832C3D2"/>
    <w:rsid w:val="187BE0DC"/>
    <w:rsid w:val="187D4D43"/>
    <w:rsid w:val="187FB3FF"/>
    <w:rsid w:val="18AA1092"/>
    <w:rsid w:val="18FA8090"/>
    <w:rsid w:val="190AA5A9"/>
    <w:rsid w:val="1912B2AF"/>
    <w:rsid w:val="191EF528"/>
    <w:rsid w:val="193CB88C"/>
    <w:rsid w:val="1945AEEC"/>
    <w:rsid w:val="195203CC"/>
    <w:rsid w:val="195A08F7"/>
    <w:rsid w:val="1961F775"/>
    <w:rsid w:val="196EC6C5"/>
    <w:rsid w:val="19912C61"/>
    <w:rsid w:val="19A1DA6C"/>
    <w:rsid w:val="19A3897F"/>
    <w:rsid w:val="19B21CCF"/>
    <w:rsid w:val="19B28EC4"/>
    <w:rsid w:val="19F1212C"/>
    <w:rsid w:val="19FACD6D"/>
    <w:rsid w:val="1A2AFA11"/>
    <w:rsid w:val="1A2E069A"/>
    <w:rsid w:val="1A442E3A"/>
    <w:rsid w:val="1A4EF02A"/>
    <w:rsid w:val="1A6F3584"/>
    <w:rsid w:val="1AA2BECB"/>
    <w:rsid w:val="1AAC047E"/>
    <w:rsid w:val="1ABF164D"/>
    <w:rsid w:val="1B1D63D8"/>
    <w:rsid w:val="1B367323"/>
    <w:rsid w:val="1B41A02C"/>
    <w:rsid w:val="1B5B2F61"/>
    <w:rsid w:val="1B5CD1F5"/>
    <w:rsid w:val="1B9B12B5"/>
    <w:rsid w:val="1BA5E796"/>
    <w:rsid w:val="1BA9CB41"/>
    <w:rsid w:val="1BBCD906"/>
    <w:rsid w:val="1BE97E11"/>
    <w:rsid w:val="1BF6C285"/>
    <w:rsid w:val="1C006CE2"/>
    <w:rsid w:val="1C13D85E"/>
    <w:rsid w:val="1C2EAC82"/>
    <w:rsid w:val="1C6F79A9"/>
    <w:rsid w:val="1C935043"/>
    <w:rsid w:val="1C94A33D"/>
    <w:rsid w:val="1C9D5D99"/>
    <w:rsid w:val="1CB49FBC"/>
    <w:rsid w:val="1D2986A7"/>
    <w:rsid w:val="1D33118E"/>
    <w:rsid w:val="1D96ED21"/>
    <w:rsid w:val="1D9E78E3"/>
    <w:rsid w:val="1DC730FD"/>
    <w:rsid w:val="1DCC4134"/>
    <w:rsid w:val="1DCCA096"/>
    <w:rsid w:val="1DEF752F"/>
    <w:rsid w:val="1DF057F3"/>
    <w:rsid w:val="1DF4144A"/>
    <w:rsid w:val="1E206740"/>
    <w:rsid w:val="1E252D70"/>
    <w:rsid w:val="1E292A48"/>
    <w:rsid w:val="1E343F7F"/>
    <w:rsid w:val="1E428DDA"/>
    <w:rsid w:val="1E604CE0"/>
    <w:rsid w:val="1E94ABED"/>
    <w:rsid w:val="1E966D84"/>
    <w:rsid w:val="1E9E943B"/>
    <w:rsid w:val="1EA3A368"/>
    <w:rsid w:val="1EEEF583"/>
    <w:rsid w:val="1EFB4BA0"/>
    <w:rsid w:val="1EFBBAB9"/>
    <w:rsid w:val="1F0A533D"/>
    <w:rsid w:val="1F2465F5"/>
    <w:rsid w:val="1F332B21"/>
    <w:rsid w:val="1F3C948B"/>
    <w:rsid w:val="1F8EA3AE"/>
    <w:rsid w:val="1FB02B4E"/>
    <w:rsid w:val="1FC79DA6"/>
    <w:rsid w:val="1FE7333E"/>
    <w:rsid w:val="1FE7F76E"/>
    <w:rsid w:val="1FF79E76"/>
    <w:rsid w:val="201E383C"/>
    <w:rsid w:val="204A4449"/>
    <w:rsid w:val="2057155F"/>
    <w:rsid w:val="205F6C5C"/>
    <w:rsid w:val="20649870"/>
    <w:rsid w:val="20786266"/>
    <w:rsid w:val="2089EEA5"/>
    <w:rsid w:val="20A27ACA"/>
    <w:rsid w:val="20B5222B"/>
    <w:rsid w:val="20CD05DF"/>
    <w:rsid w:val="20D69CDD"/>
    <w:rsid w:val="20EC0171"/>
    <w:rsid w:val="211E8998"/>
    <w:rsid w:val="211F40D8"/>
    <w:rsid w:val="215BFA36"/>
    <w:rsid w:val="215C1329"/>
    <w:rsid w:val="216BF4AB"/>
    <w:rsid w:val="2179D8AA"/>
    <w:rsid w:val="218C8C4A"/>
    <w:rsid w:val="219FEC49"/>
    <w:rsid w:val="21B2EA80"/>
    <w:rsid w:val="21B61991"/>
    <w:rsid w:val="21C0C0C6"/>
    <w:rsid w:val="21C2061E"/>
    <w:rsid w:val="21D24BAA"/>
    <w:rsid w:val="21D82927"/>
    <w:rsid w:val="21E78785"/>
    <w:rsid w:val="21F6B35E"/>
    <w:rsid w:val="21F9DB53"/>
    <w:rsid w:val="21FBDE5D"/>
    <w:rsid w:val="22215179"/>
    <w:rsid w:val="222BEAF7"/>
    <w:rsid w:val="2231A33A"/>
    <w:rsid w:val="2246BF71"/>
    <w:rsid w:val="2246E85A"/>
    <w:rsid w:val="22522F54"/>
    <w:rsid w:val="226A5E44"/>
    <w:rsid w:val="22796636"/>
    <w:rsid w:val="228E3C2E"/>
    <w:rsid w:val="228F7E4F"/>
    <w:rsid w:val="22CAB9B2"/>
    <w:rsid w:val="22E7CC10"/>
    <w:rsid w:val="231BCCFC"/>
    <w:rsid w:val="234C4B03"/>
    <w:rsid w:val="235DD67F"/>
    <w:rsid w:val="2364FCC3"/>
    <w:rsid w:val="2367F022"/>
    <w:rsid w:val="23763B67"/>
    <w:rsid w:val="2377BF4E"/>
    <w:rsid w:val="2389642A"/>
    <w:rsid w:val="2390F29F"/>
    <w:rsid w:val="239F6BFE"/>
    <w:rsid w:val="23AAD956"/>
    <w:rsid w:val="23B08B78"/>
    <w:rsid w:val="23D5A0BB"/>
    <w:rsid w:val="23D6C3C9"/>
    <w:rsid w:val="23D9273E"/>
    <w:rsid w:val="23E3B8F7"/>
    <w:rsid w:val="23F52021"/>
    <w:rsid w:val="2410B7A4"/>
    <w:rsid w:val="248594AF"/>
    <w:rsid w:val="24BF3E2B"/>
    <w:rsid w:val="24D4398E"/>
    <w:rsid w:val="24F02C97"/>
    <w:rsid w:val="24F6951B"/>
    <w:rsid w:val="25046B8C"/>
    <w:rsid w:val="2509E41C"/>
    <w:rsid w:val="250DFBFB"/>
    <w:rsid w:val="2522649D"/>
    <w:rsid w:val="258AEE56"/>
    <w:rsid w:val="258B6E1B"/>
    <w:rsid w:val="25E69852"/>
    <w:rsid w:val="25E73D13"/>
    <w:rsid w:val="25FF7010"/>
    <w:rsid w:val="2620BFD4"/>
    <w:rsid w:val="262F723E"/>
    <w:rsid w:val="2653FA84"/>
    <w:rsid w:val="26648F1C"/>
    <w:rsid w:val="266554D6"/>
    <w:rsid w:val="266D27AE"/>
    <w:rsid w:val="267BBE2E"/>
    <w:rsid w:val="2681D1FA"/>
    <w:rsid w:val="2707D07A"/>
    <w:rsid w:val="2709F3DD"/>
    <w:rsid w:val="27228A32"/>
    <w:rsid w:val="273C456C"/>
    <w:rsid w:val="2743E107"/>
    <w:rsid w:val="27E731C9"/>
    <w:rsid w:val="2816B79C"/>
    <w:rsid w:val="283147A2"/>
    <w:rsid w:val="283C9BC8"/>
    <w:rsid w:val="28427DF3"/>
    <w:rsid w:val="28707F84"/>
    <w:rsid w:val="28770B31"/>
    <w:rsid w:val="287D4826"/>
    <w:rsid w:val="2889AF5E"/>
    <w:rsid w:val="289D3CEB"/>
    <w:rsid w:val="28CA659B"/>
    <w:rsid w:val="28EF949B"/>
    <w:rsid w:val="28FFA866"/>
    <w:rsid w:val="294D93ED"/>
    <w:rsid w:val="296E353E"/>
    <w:rsid w:val="297AFED9"/>
    <w:rsid w:val="2988925A"/>
    <w:rsid w:val="29C380C5"/>
    <w:rsid w:val="29D2A4D6"/>
    <w:rsid w:val="29E77BA4"/>
    <w:rsid w:val="29F46C73"/>
    <w:rsid w:val="29FA5D59"/>
    <w:rsid w:val="2A38D1E2"/>
    <w:rsid w:val="2A42FD8C"/>
    <w:rsid w:val="2A4AD087"/>
    <w:rsid w:val="2A512372"/>
    <w:rsid w:val="2A5175DF"/>
    <w:rsid w:val="2A64FE1A"/>
    <w:rsid w:val="2A98FD7C"/>
    <w:rsid w:val="2AA9D26E"/>
    <w:rsid w:val="2AB1BFF4"/>
    <w:rsid w:val="2AC4365F"/>
    <w:rsid w:val="2AD2265F"/>
    <w:rsid w:val="2AE1FE54"/>
    <w:rsid w:val="2AF388D0"/>
    <w:rsid w:val="2AF9AE94"/>
    <w:rsid w:val="2AFE3E2B"/>
    <w:rsid w:val="2B28A876"/>
    <w:rsid w:val="2B4DC7C7"/>
    <w:rsid w:val="2B6CEA80"/>
    <w:rsid w:val="2B885A5E"/>
    <w:rsid w:val="2B8CB93F"/>
    <w:rsid w:val="2B949D39"/>
    <w:rsid w:val="2B98F3A3"/>
    <w:rsid w:val="2BA00950"/>
    <w:rsid w:val="2BA0AD11"/>
    <w:rsid w:val="2BA83550"/>
    <w:rsid w:val="2BACF837"/>
    <w:rsid w:val="2BD2F11C"/>
    <w:rsid w:val="2BD778DD"/>
    <w:rsid w:val="2C0180D8"/>
    <w:rsid w:val="2C02065D"/>
    <w:rsid w:val="2C15240F"/>
    <w:rsid w:val="2C15E404"/>
    <w:rsid w:val="2C18562A"/>
    <w:rsid w:val="2C2D4FF1"/>
    <w:rsid w:val="2C38A639"/>
    <w:rsid w:val="2C559D62"/>
    <w:rsid w:val="2C64DD3E"/>
    <w:rsid w:val="2C67E905"/>
    <w:rsid w:val="2C8AB2FA"/>
    <w:rsid w:val="2C8BAF13"/>
    <w:rsid w:val="2C8C2FB3"/>
    <w:rsid w:val="2C972560"/>
    <w:rsid w:val="2CA553A3"/>
    <w:rsid w:val="2CB657C5"/>
    <w:rsid w:val="2CB6EB4B"/>
    <w:rsid w:val="2CB7EDE5"/>
    <w:rsid w:val="2CC99D6F"/>
    <w:rsid w:val="2CE131D9"/>
    <w:rsid w:val="2CE7F362"/>
    <w:rsid w:val="2CF0F860"/>
    <w:rsid w:val="2CFFBD1B"/>
    <w:rsid w:val="2D37E8C3"/>
    <w:rsid w:val="2D3BDD36"/>
    <w:rsid w:val="2D3DCB87"/>
    <w:rsid w:val="2D804864"/>
    <w:rsid w:val="2D9BA091"/>
    <w:rsid w:val="2D9CB1BA"/>
    <w:rsid w:val="2DB632E1"/>
    <w:rsid w:val="2DFA5899"/>
    <w:rsid w:val="2E0E4777"/>
    <w:rsid w:val="2E27B78D"/>
    <w:rsid w:val="2E4C7B48"/>
    <w:rsid w:val="2E5A6AA4"/>
    <w:rsid w:val="2E68FF61"/>
    <w:rsid w:val="2E7D1889"/>
    <w:rsid w:val="2E84928A"/>
    <w:rsid w:val="2E94C242"/>
    <w:rsid w:val="2EC8AECD"/>
    <w:rsid w:val="2EDB684C"/>
    <w:rsid w:val="2EFA90E3"/>
    <w:rsid w:val="2F1C44C4"/>
    <w:rsid w:val="2F48590F"/>
    <w:rsid w:val="2F9473A0"/>
    <w:rsid w:val="2FE578BB"/>
    <w:rsid w:val="300A7A57"/>
    <w:rsid w:val="30279645"/>
    <w:rsid w:val="302A4A6B"/>
    <w:rsid w:val="303AD175"/>
    <w:rsid w:val="30465CB4"/>
    <w:rsid w:val="3052A435"/>
    <w:rsid w:val="3055E0C0"/>
    <w:rsid w:val="306A9A92"/>
    <w:rsid w:val="30791F0C"/>
    <w:rsid w:val="3089A819"/>
    <w:rsid w:val="308B04C2"/>
    <w:rsid w:val="3097E133"/>
    <w:rsid w:val="3098E041"/>
    <w:rsid w:val="30B602DC"/>
    <w:rsid w:val="30B6EFA1"/>
    <w:rsid w:val="30BA0C28"/>
    <w:rsid w:val="30E50D58"/>
    <w:rsid w:val="30E7EF06"/>
    <w:rsid w:val="30EB5358"/>
    <w:rsid w:val="30EE319B"/>
    <w:rsid w:val="30F3931D"/>
    <w:rsid w:val="31086E9C"/>
    <w:rsid w:val="311AF17B"/>
    <w:rsid w:val="3120493D"/>
    <w:rsid w:val="31340EA9"/>
    <w:rsid w:val="31405BC0"/>
    <w:rsid w:val="3156C634"/>
    <w:rsid w:val="317BB499"/>
    <w:rsid w:val="31861B6F"/>
    <w:rsid w:val="31A5E778"/>
    <w:rsid w:val="31BBF942"/>
    <w:rsid w:val="31DA97B0"/>
    <w:rsid w:val="31E82BB9"/>
    <w:rsid w:val="31E99BEC"/>
    <w:rsid w:val="320C0462"/>
    <w:rsid w:val="321E654A"/>
    <w:rsid w:val="321EA0CF"/>
    <w:rsid w:val="3238E382"/>
    <w:rsid w:val="327034EA"/>
    <w:rsid w:val="3289A404"/>
    <w:rsid w:val="328BDA71"/>
    <w:rsid w:val="32A22F54"/>
    <w:rsid w:val="32A682B5"/>
    <w:rsid w:val="32C72A18"/>
    <w:rsid w:val="32DB4DD6"/>
    <w:rsid w:val="32DE0A49"/>
    <w:rsid w:val="32E82771"/>
    <w:rsid w:val="32ED2C7B"/>
    <w:rsid w:val="3309CB25"/>
    <w:rsid w:val="332A9929"/>
    <w:rsid w:val="3332EA5F"/>
    <w:rsid w:val="3341B7D9"/>
    <w:rsid w:val="33472BFE"/>
    <w:rsid w:val="338028C0"/>
    <w:rsid w:val="33911A37"/>
    <w:rsid w:val="339C16CF"/>
    <w:rsid w:val="33A5445D"/>
    <w:rsid w:val="33B765B2"/>
    <w:rsid w:val="33C2A074"/>
    <w:rsid w:val="33D2A292"/>
    <w:rsid w:val="33D4B3E3"/>
    <w:rsid w:val="33DF772F"/>
    <w:rsid w:val="33EC252E"/>
    <w:rsid w:val="33F897A0"/>
    <w:rsid w:val="33FBCF37"/>
    <w:rsid w:val="33FD748B"/>
    <w:rsid w:val="3406676B"/>
    <w:rsid w:val="341B18CA"/>
    <w:rsid w:val="341BD702"/>
    <w:rsid w:val="344C3BA9"/>
    <w:rsid w:val="3457F07A"/>
    <w:rsid w:val="3468F880"/>
    <w:rsid w:val="346DEABC"/>
    <w:rsid w:val="34A6E2F3"/>
    <w:rsid w:val="34B19D02"/>
    <w:rsid w:val="34C8A939"/>
    <w:rsid w:val="34CAB6E8"/>
    <w:rsid w:val="34CF8ABC"/>
    <w:rsid w:val="34ED4455"/>
    <w:rsid w:val="3504D33B"/>
    <w:rsid w:val="350A831C"/>
    <w:rsid w:val="3537F051"/>
    <w:rsid w:val="353A8791"/>
    <w:rsid w:val="3562E344"/>
    <w:rsid w:val="35769643"/>
    <w:rsid w:val="359E81BA"/>
    <w:rsid w:val="35A73B8D"/>
    <w:rsid w:val="35AB8D2E"/>
    <w:rsid w:val="35B444CC"/>
    <w:rsid w:val="35C2C830"/>
    <w:rsid w:val="35C99763"/>
    <w:rsid w:val="35D16843"/>
    <w:rsid w:val="35D82E16"/>
    <w:rsid w:val="3605DB61"/>
    <w:rsid w:val="36088C2D"/>
    <w:rsid w:val="361B908C"/>
    <w:rsid w:val="361DF13E"/>
    <w:rsid w:val="36202487"/>
    <w:rsid w:val="3622FF97"/>
    <w:rsid w:val="36276257"/>
    <w:rsid w:val="3640F5E3"/>
    <w:rsid w:val="364A2C5D"/>
    <w:rsid w:val="3656E2ED"/>
    <w:rsid w:val="36749224"/>
    <w:rsid w:val="36B387C3"/>
    <w:rsid w:val="36EDC059"/>
    <w:rsid w:val="36FF7654"/>
    <w:rsid w:val="37029E2B"/>
    <w:rsid w:val="370EF921"/>
    <w:rsid w:val="371722B1"/>
    <w:rsid w:val="371A00DF"/>
    <w:rsid w:val="3729EF89"/>
    <w:rsid w:val="373C53D3"/>
    <w:rsid w:val="374999A0"/>
    <w:rsid w:val="375F4BC9"/>
    <w:rsid w:val="376E7850"/>
    <w:rsid w:val="37825188"/>
    <w:rsid w:val="37CE0519"/>
    <w:rsid w:val="37D1DEB7"/>
    <w:rsid w:val="37D3593B"/>
    <w:rsid w:val="37E0A910"/>
    <w:rsid w:val="37F6F8B7"/>
    <w:rsid w:val="38468FD2"/>
    <w:rsid w:val="386AA540"/>
    <w:rsid w:val="3883A0AC"/>
    <w:rsid w:val="38922893"/>
    <w:rsid w:val="38A2A216"/>
    <w:rsid w:val="38B9CA82"/>
    <w:rsid w:val="38C54904"/>
    <w:rsid w:val="38DF3000"/>
    <w:rsid w:val="3908AEBC"/>
    <w:rsid w:val="391BD40F"/>
    <w:rsid w:val="391FDE5A"/>
    <w:rsid w:val="3933057A"/>
    <w:rsid w:val="395EB198"/>
    <w:rsid w:val="3999DF78"/>
    <w:rsid w:val="39E23412"/>
    <w:rsid w:val="39F738A0"/>
    <w:rsid w:val="3A2DE0C4"/>
    <w:rsid w:val="3A4B93B9"/>
    <w:rsid w:val="3A4C2D4F"/>
    <w:rsid w:val="3AA882A3"/>
    <w:rsid w:val="3AAC6561"/>
    <w:rsid w:val="3AE4A8ED"/>
    <w:rsid w:val="3B476DE0"/>
    <w:rsid w:val="3B5938BD"/>
    <w:rsid w:val="3BA2760D"/>
    <w:rsid w:val="3BB1F175"/>
    <w:rsid w:val="3BBC61FD"/>
    <w:rsid w:val="3BC37279"/>
    <w:rsid w:val="3C527948"/>
    <w:rsid w:val="3C6D4ECF"/>
    <w:rsid w:val="3CE82F2A"/>
    <w:rsid w:val="3D56A48F"/>
    <w:rsid w:val="3D83606E"/>
    <w:rsid w:val="3D85FB78"/>
    <w:rsid w:val="3DDBBA04"/>
    <w:rsid w:val="3DEE49A9"/>
    <w:rsid w:val="3DF57725"/>
    <w:rsid w:val="3E0E290A"/>
    <w:rsid w:val="3E35584A"/>
    <w:rsid w:val="3E3591FA"/>
    <w:rsid w:val="3E985463"/>
    <w:rsid w:val="3EAAF50C"/>
    <w:rsid w:val="3EC555F6"/>
    <w:rsid w:val="3ECD7655"/>
    <w:rsid w:val="3EF7341C"/>
    <w:rsid w:val="3F022D3A"/>
    <w:rsid w:val="3F1438AD"/>
    <w:rsid w:val="3F1B3D17"/>
    <w:rsid w:val="3F2DC412"/>
    <w:rsid w:val="3F4C21A2"/>
    <w:rsid w:val="3F544EC2"/>
    <w:rsid w:val="3F643F29"/>
    <w:rsid w:val="3F753D44"/>
    <w:rsid w:val="3F95E4AF"/>
    <w:rsid w:val="3F99A486"/>
    <w:rsid w:val="3FA723E6"/>
    <w:rsid w:val="3FB7D929"/>
    <w:rsid w:val="3FC8C0C8"/>
    <w:rsid w:val="3FD41E9A"/>
    <w:rsid w:val="3FDDCCB5"/>
    <w:rsid w:val="3FE0A9E4"/>
    <w:rsid w:val="3FE423E4"/>
    <w:rsid w:val="3FF5D7AD"/>
    <w:rsid w:val="4003D5C4"/>
    <w:rsid w:val="4010D87B"/>
    <w:rsid w:val="40236A63"/>
    <w:rsid w:val="402FD96E"/>
    <w:rsid w:val="404A727A"/>
    <w:rsid w:val="404DCA6A"/>
    <w:rsid w:val="40669EF8"/>
    <w:rsid w:val="4081BD95"/>
    <w:rsid w:val="40824B30"/>
    <w:rsid w:val="408E4551"/>
    <w:rsid w:val="40991FFF"/>
    <w:rsid w:val="40A0C28C"/>
    <w:rsid w:val="40A33408"/>
    <w:rsid w:val="40AD1B60"/>
    <w:rsid w:val="40C2AECE"/>
    <w:rsid w:val="40D19899"/>
    <w:rsid w:val="40DA19E0"/>
    <w:rsid w:val="411BFFDA"/>
    <w:rsid w:val="411C08E5"/>
    <w:rsid w:val="411E5BB3"/>
    <w:rsid w:val="412613BF"/>
    <w:rsid w:val="412F2BE1"/>
    <w:rsid w:val="4137640B"/>
    <w:rsid w:val="4144CF2C"/>
    <w:rsid w:val="416E65EB"/>
    <w:rsid w:val="417DB43C"/>
    <w:rsid w:val="41AAD06B"/>
    <w:rsid w:val="41BC564E"/>
    <w:rsid w:val="41C43536"/>
    <w:rsid w:val="41D312A4"/>
    <w:rsid w:val="41F7BA60"/>
    <w:rsid w:val="41FCBBD8"/>
    <w:rsid w:val="42095FFB"/>
    <w:rsid w:val="422E2325"/>
    <w:rsid w:val="4241A302"/>
    <w:rsid w:val="42AD5C9C"/>
    <w:rsid w:val="42B9CD46"/>
    <w:rsid w:val="42C43F29"/>
    <w:rsid w:val="42D49FF9"/>
    <w:rsid w:val="42E8ED9D"/>
    <w:rsid w:val="4306F2EA"/>
    <w:rsid w:val="4311A2E4"/>
    <w:rsid w:val="43169207"/>
    <w:rsid w:val="43194B46"/>
    <w:rsid w:val="431E4DC4"/>
    <w:rsid w:val="4329B6D9"/>
    <w:rsid w:val="4337541C"/>
    <w:rsid w:val="435701F9"/>
    <w:rsid w:val="435C9536"/>
    <w:rsid w:val="437266A1"/>
    <w:rsid w:val="43874A79"/>
    <w:rsid w:val="43B03286"/>
    <w:rsid w:val="43D132FA"/>
    <w:rsid w:val="43D9CBA3"/>
    <w:rsid w:val="43EB642E"/>
    <w:rsid w:val="43ED0990"/>
    <w:rsid w:val="43FDB1E7"/>
    <w:rsid w:val="4403B3FD"/>
    <w:rsid w:val="4446A3B1"/>
    <w:rsid w:val="445052E0"/>
    <w:rsid w:val="447AB8A5"/>
    <w:rsid w:val="449FE2DB"/>
    <w:rsid w:val="44AA4714"/>
    <w:rsid w:val="44C62A7E"/>
    <w:rsid w:val="44F81335"/>
    <w:rsid w:val="44FD25AB"/>
    <w:rsid w:val="44FD8C2A"/>
    <w:rsid w:val="45038BD4"/>
    <w:rsid w:val="45063EEC"/>
    <w:rsid w:val="4507CEDB"/>
    <w:rsid w:val="450D7172"/>
    <w:rsid w:val="450EB844"/>
    <w:rsid w:val="4531578E"/>
    <w:rsid w:val="454229D2"/>
    <w:rsid w:val="4549609A"/>
    <w:rsid w:val="45544281"/>
    <w:rsid w:val="4576C5BA"/>
    <w:rsid w:val="45AB0A04"/>
    <w:rsid w:val="45E63A06"/>
    <w:rsid w:val="4628B10E"/>
    <w:rsid w:val="462C8C79"/>
    <w:rsid w:val="4656433E"/>
    <w:rsid w:val="465F7D37"/>
    <w:rsid w:val="4672A66C"/>
    <w:rsid w:val="468B5249"/>
    <w:rsid w:val="469BD7D8"/>
    <w:rsid w:val="46AECD8E"/>
    <w:rsid w:val="46BB8758"/>
    <w:rsid w:val="46C65EE2"/>
    <w:rsid w:val="46C83CDB"/>
    <w:rsid w:val="46CE0A9A"/>
    <w:rsid w:val="46D2BD4F"/>
    <w:rsid w:val="46F9BB4B"/>
    <w:rsid w:val="473F5052"/>
    <w:rsid w:val="474D83F2"/>
    <w:rsid w:val="47558A91"/>
    <w:rsid w:val="478EEA3A"/>
    <w:rsid w:val="47912C44"/>
    <w:rsid w:val="47A00F35"/>
    <w:rsid w:val="47AC5C22"/>
    <w:rsid w:val="47B180FA"/>
    <w:rsid w:val="47BEB04E"/>
    <w:rsid w:val="47C9D0F1"/>
    <w:rsid w:val="47D016B9"/>
    <w:rsid w:val="47DB3CE6"/>
    <w:rsid w:val="47EA73B0"/>
    <w:rsid w:val="47F72B2A"/>
    <w:rsid w:val="48006D8C"/>
    <w:rsid w:val="480167D8"/>
    <w:rsid w:val="4810DC61"/>
    <w:rsid w:val="48174D64"/>
    <w:rsid w:val="48292836"/>
    <w:rsid w:val="482EA3B0"/>
    <w:rsid w:val="48395320"/>
    <w:rsid w:val="4884CFD4"/>
    <w:rsid w:val="489878DE"/>
    <w:rsid w:val="4898A352"/>
    <w:rsid w:val="489C9732"/>
    <w:rsid w:val="48BF4373"/>
    <w:rsid w:val="48C21F5D"/>
    <w:rsid w:val="48CF1A41"/>
    <w:rsid w:val="48DB4A84"/>
    <w:rsid w:val="48EAF575"/>
    <w:rsid w:val="49113FF4"/>
    <w:rsid w:val="4913F120"/>
    <w:rsid w:val="491E990E"/>
    <w:rsid w:val="493EEEE9"/>
    <w:rsid w:val="4941ABDA"/>
    <w:rsid w:val="494AC3FC"/>
    <w:rsid w:val="49A30D66"/>
    <w:rsid w:val="49D06AAA"/>
    <w:rsid w:val="4A0013A6"/>
    <w:rsid w:val="4A106723"/>
    <w:rsid w:val="4A162D5C"/>
    <w:rsid w:val="4A429C9F"/>
    <w:rsid w:val="4A59A168"/>
    <w:rsid w:val="4A72C69D"/>
    <w:rsid w:val="4A75CF0C"/>
    <w:rsid w:val="4A86C5D6"/>
    <w:rsid w:val="4A9A4160"/>
    <w:rsid w:val="4AB4565A"/>
    <w:rsid w:val="4AB80391"/>
    <w:rsid w:val="4AC41D09"/>
    <w:rsid w:val="4AC73A77"/>
    <w:rsid w:val="4AE72561"/>
    <w:rsid w:val="4AF23352"/>
    <w:rsid w:val="4AF621BD"/>
    <w:rsid w:val="4AF74B90"/>
    <w:rsid w:val="4AF9601F"/>
    <w:rsid w:val="4B456C8C"/>
    <w:rsid w:val="4B494841"/>
    <w:rsid w:val="4B61A535"/>
    <w:rsid w:val="4B6810FA"/>
    <w:rsid w:val="4B7C5253"/>
    <w:rsid w:val="4B83119C"/>
    <w:rsid w:val="4BC58D21"/>
    <w:rsid w:val="4BD30F7D"/>
    <w:rsid w:val="4BED8C8A"/>
    <w:rsid w:val="4BEFAF00"/>
    <w:rsid w:val="4BF3F72D"/>
    <w:rsid w:val="4C0557A6"/>
    <w:rsid w:val="4C2F8AA0"/>
    <w:rsid w:val="4C6387E5"/>
    <w:rsid w:val="4C6FADCC"/>
    <w:rsid w:val="4C834907"/>
    <w:rsid w:val="4C8BAE19"/>
    <w:rsid w:val="4C972A0E"/>
    <w:rsid w:val="4CCB40C7"/>
    <w:rsid w:val="4CF5AD06"/>
    <w:rsid w:val="4D3AD517"/>
    <w:rsid w:val="4D3FDDEF"/>
    <w:rsid w:val="4D418C5B"/>
    <w:rsid w:val="4D4894C0"/>
    <w:rsid w:val="4D4FAB8D"/>
    <w:rsid w:val="4D8B96F9"/>
    <w:rsid w:val="4D98964B"/>
    <w:rsid w:val="4DE12BA7"/>
    <w:rsid w:val="4DEFC6B3"/>
    <w:rsid w:val="4E213F1E"/>
    <w:rsid w:val="4E4D2253"/>
    <w:rsid w:val="4E786500"/>
    <w:rsid w:val="4E8F38FD"/>
    <w:rsid w:val="4E99DCC2"/>
    <w:rsid w:val="4EB8486A"/>
    <w:rsid w:val="4EDF831E"/>
    <w:rsid w:val="4EE0EC65"/>
    <w:rsid w:val="4EF241E7"/>
    <w:rsid w:val="4F058B62"/>
    <w:rsid w:val="4F1A65AD"/>
    <w:rsid w:val="4F46A68C"/>
    <w:rsid w:val="4F683F27"/>
    <w:rsid w:val="4F6F0369"/>
    <w:rsid w:val="4F7C85AF"/>
    <w:rsid w:val="4F8B2E5D"/>
    <w:rsid w:val="4FC68ECE"/>
    <w:rsid w:val="4FD0E021"/>
    <w:rsid w:val="4FDBA954"/>
    <w:rsid w:val="4FE3C02A"/>
    <w:rsid w:val="500824EA"/>
    <w:rsid w:val="500E8CB6"/>
    <w:rsid w:val="5034D9A7"/>
    <w:rsid w:val="50520910"/>
    <w:rsid w:val="50555B68"/>
    <w:rsid w:val="506CA487"/>
    <w:rsid w:val="50813C35"/>
    <w:rsid w:val="50B807BE"/>
    <w:rsid w:val="50C2DD90"/>
    <w:rsid w:val="50E3447A"/>
    <w:rsid w:val="50EEF82D"/>
    <w:rsid w:val="50FB8998"/>
    <w:rsid w:val="513A69DA"/>
    <w:rsid w:val="513CFE4C"/>
    <w:rsid w:val="514E3BF6"/>
    <w:rsid w:val="516019D8"/>
    <w:rsid w:val="517C30BF"/>
    <w:rsid w:val="5183378D"/>
    <w:rsid w:val="51864C81"/>
    <w:rsid w:val="51A8BEB2"/>
    <w:rsid w:val="51BF5CF1"/>
    <w:rsid w:val="51C91E29"/>
    <w:rsid w:val="5201C724"/>
    <w:rsid w:val="5207B919"/>
    <w:rsid w:val="5215CBB0"/>
    <w:rsid w:val="521D4745"/>
    <w:rsid w:val="522FA95F"/>
    <w:rsid w:val="524E73DD"/>
    <w:rsid w:val="525640C5"/>
    <w:rsid w:val="5280283A"/>
    <w:rsid w:val="528B2C56"/>
    <w:rsid w:val="5290551A"/>
    <w:rsid w:val="52A2DE83"/>
    <w:rsid w:val="52AF430D"/>
    <w:rsid w:val="52BA7BF8"/>
    <w:rsid w:val="52C0CCCB"/>
    <w:rsid w:val="52E4B963"/>
    <w:rsid w:val="52FA7B19"/>
    <w:rsid w:val="53039082"/>
    <w:rsid w:val="53446B92"/>
    <w:rsid w:val="534FBB74"/>
    <w:rsid w:val="537C124D"/>
    <w:rsid w:val="538BEB0C"/>
    <w:rsid w:val="538C6D76"/>
    <w:rsid w:val="5391AC0D"/>
    <w:rsid w:val="53928F17"/>
    <w:rsid w:val="53C22BB2"/>
    <w:rsid w:val="53E25C56"/>
    <w:rsid w:val="5403ABB1"/>
    <w:rsid w:val="5403AEA7"/>
    <w:rsid w:val="5438AC78"/>
    <w:rsid w:val="543A415D"/>
    <w:rsid w:val="5482C9F9"/>
    <w:rsid w:val="54B47231"/>
    <w:rsid w:val="5519E748"/>
    <w:rsid w:val="55240F5E"/>
    <w:rsid w:val="555F8464"/>
    <w:rsid w:val="55629567"/>
    <w:rsid w:val="5574E903"/>
    <w:rsid w:val="557DB409"/>
    <w:rsid w:val="55835AFB"/>
    <w:rsid w:val="559BB84C"/>
    <w:rsid w:val="55A61148"/>
    <w:rsid w:val="55B34463"/>
    <w:rsid w:val="55BE15F0"/>
    <w:rsid w:val="55E1264C"/>
    <w:rsid w:val="560AF4F0"/>
    <w:rsid w:val="5616E679"/>
    <w:rsid w:val="56179B2B"/>
    <w:rsid w:val="565C9303"/>
    <w:rsid w:val="567BB168"/>
    <w:rsid w:val="56B1077C"/>
    <w:rsid w:val="56C61724"/>
    <w:rsid w:val="56E0CD2C"/>
    <w:rsid w:val="57280C1E"/>
    <w:rsid w:val="573C5045"/>
    <w:rsid w:val="573F52A8"/>
    <w:rsid w:val="5742FBD4"/>
    <w:rsid w:val="5750EF72"/>
    <w:rsid w:val="575DC517"/>
    <w:rsid w:val="576A63D2"/>
    <w:rsid w:val="577DD091"/>
    <w:rsid w:val="57803AC5"/>
    <w:rsid w:val="578B60FC"/>
    <w:rsid w:val="57B76F07"/>
    <w:rsid w:val="57C7AF99"/>
    <w:rsid w:val="57D8A0DF"/>
    <w:rsid w:val="57D9DCB5"/>
    <w:rsid w:val="580CA674"/>
    <w:rsid w:val="581CD6BE"/>
    <w:rsid w:val="584A305A"/>
    <w:rsid w:val="5851880A"/>
    <w:rsid w:val="5863FD2C"/>
    <w:rsid w:val="58C6C06D"/>
    <w:rsid w:val="58C722DE"/>
    <w:rsid w:val="58C98ABA"/>
    <w:rsid w:val="58DDBC5E"/>
    <w:rsid w:val="58E8AE35"/>
    <w:rsid w:val="58EA8B4B"/>
    <w:rsid w:val="58F18B88"/>
    <w:rsid w:val="58F53B3D"/>
    <w:rsid w:val="58FE0621"/>
    <w:rsid w:val="59036DED"/>
    <w:rsid w:val="590C23FA"/>
    <w:rsid w:val="592BAFC4"/>
    <w:rsid w:val="593A1FF2"/>
    <w:rsid w:val="59504099"/>
    <w:rsid w:val="597E47B4"/>
    <w:rsid w:val="5990ED79"/>
    <w:rsid w:val="5995FD80"/>
    <w:rsid w:val="59A0F7CC"/>
    <w:rsid w:val="59A1D6D0"/>
    <w:rsid w:val="59F0D6BE"/>
    <w:rsid w:val="5A13CAB1"/>
    <w:rsid w:val="5A148815"/>
    <w:rsid w:val="5A343DB3"/>
    <w:rsid w:val="5A37A8F0"/>
    <w:rsid w:val="5A435AB4"/>
    <w:rsid w:val="5A47575B"/>
    <w:rsid w:val="5A494ACA"/>
    <w:rsid w:val="5A62AD72"/>
    <w:rsid w:val="5A9B7AE9"/>
    <w:rsid w:val="5AA0E512"/>
    <w:rsid w:val="5AA3FE85"/>
    <w:rsid w:val="5AA4FA9E"/>
    <w:rsid w:val="5AB1F948"/>
    <w:rsid w:val="5AB2CBD0"/>
    <w:rsid w:val="5ABC42B8"/>
    <w:rsid w:val="5AD7392D"/>
    <w:rsid w:val="5AED5A5A"/>
    <w:rsid w:val="5AF8AFDC"/>
    <w:rsid w:val="5B10CF0B"/>
    <w:rsid w:val="5B38F17C"/>
    <w:rsid w:val="5B82B563"/>
    <w:rsid w:val="5B84789F"/>
    <w:rsid w:val="5B9705F6"/>
    <w:rsid w:val="5BA1A841"/>
    <w:rsid w:val="5BB11E77"/>
    <w:rsid w:val="5BB2DC45"/>
    <w:rsid w:val="5BBE8449"/>
    <w:rsid w:val="5BDA8598"/>
    <w:rsid w:val="5BEC5C50"/>
    <w:rsid w:val="5C19A932"/>
    <w:rsid w:val="5C1C0D36"/>
    <w:rsid w:val="5C24378A"/>
    <w:rsid w:val="5C842C3A"/>
    <w:rsid w:val="5C9A120F"/>
    <w:rsid w:val="5CC10657"/>
    <w:rsid w:val="5CC92E7B"/>
    <w:rsid w:val="5CCE9D02"/>
    <w:rsid w:val="5CF3AC05"/>
    <w:rsid w:val="5CFD1FE7"/>
    <w:rsid w:val="5D4F8C1D"/>
    <w:rsid w:val="5D6DDA1D"/>
    <w:rsid w:val="5D820802"/>
    <w:rsid w:val="5DA5F0B3"/>
    <w:rsid w:val="5DAA90ED"/>
    <w:rsid w:val="5DCFE898"/>
    <w:rsid w:val="5DEA30CD"/>
    <w:rsid w:val="5DEF5382"/>
    <w:rsid w:val="5DF382F4"/>
    <w:rsid w:val="5E016C28"/>
    <w:rsid w:val="5E091AA6"/>
    <w:rsid w:val="5E098EB3"/>
    <w:rsid w:val="5E13EED7"/>
    <w:rsid w:val="5E15BC12"/>
    <w:rsid w:val="5E23B5D7"/>
    <w:rsid w:val="5E2A4CC9"/>
    <w:rsid w:val="5E33C611"/>
    <w:rsid w:val="5E367438"/>
    <w:rsid w:val="5E51D1E6"/>
    <w:rsid w:val="5E793440"/>
    <w:rsid w:val="5E8F2AF9"/>
    <w:rsid w:val="5F0A2526"/>
    <w:rsid w:val="5F129595"/>
    <w:rsid w:val="5F3B9596"/>
    <w:rsid w:val="5F3DFBB3"/>
    <w:rsid w:val="5F4F65C9"/>
    <w:rsid w:val="5F4F812C"/>
    <w:rsid w:val="5F4FAE9F"/>
    <w:rsid w:val="5F555F08"/>
    <w:rsid w:val="5F6CFAFC"/>
    <w:rsid w:val="5F7579A9"/>
    <w:rsid w:val="5FAAF1C3"/>
    <w:rsid w:val="5FEDA247"/>
    <w:rsid w:val="5FF4A749"/>
    <w:rsid w:val="60114527"/>
    <w:rsid w:val="603B479E"/>
    <w:rsid w:val="60459DEB"/>
    <w:rsid w:val="605EB724"/>
    <w:rsid w:val="605F9B55"/>
    <w:rsid w:val="6081B0AC"/>
    <w:rsid w:val="608873B3"/>
    <w:rsid w:val="60A371C3"/>
    <w:rsid w:val="60C056FA"/>
    <w:rsid w:val="60E0A65A"/>
    <w:rsid w:val="60E724C5"/>
    <w:rsid w:val="60F103F8"/>
    <w:rsid w:val="61019022"/>
    <w:rsid w:val="610365C6"/>
    <w:rsid w:val="610CD151"/>
    <w:rsid w:val="6117D3F7"/>
    <w:rsid w:val="61254773"/>
    <w:rsid w:val="6125C330"/>
    <w:rsid w:val="61363ABF"/>
    <w:rsid w:val="6136C755"/>
    <w:rsid w:val="6137D66B"/>
    <w:rsid w:val="61B39CF7"/>
    <w:rsid w:val="61D8EF7A"/>
    <w:rsid w:val="61FCDC75"/>
    <w:rsid w:val="621CBA91"/>
    <w:rsid w:val="625146EF"/>
    <w:rsid w:val="626B6BF3"/>
    <w:rsid w:val="62793409"/>
    <w:rsid w:val="627F5484"/>
    <w:rsid w:val="627F76CB"/>
    <w:rsid w:val="6286D9A7"/>
    <w:rsid w:val="628AC294"/>
    <w:rsid w:val="629CD2A3"/>
    <w:rsid w:val="62ACB84C"/>
    <w:rsid w:val="62CF8C1A"/>
    <w:rsid w:val="62F0DAB9"/>
    <w:rsid w:val="62FCDA7E"/>
    <w:rsid w:val="631405C4"/>
    <w:rsid w:val="6317722F"/>
    <w:rsid w:val="63353E59"/>
    <w:rsid w:val="63406681"/>
    <w:rsid w:val="63443082"/>
    <w:rsid w:val="635DD6FC"/>
    <w:rsid w:val="6363A6C0"/>
    <w:rsid w:val="6380F2F8"/>
    <w:rsid w:val="63964A3E"/>
    <w:rsid w:val="63B712EB"/>
    <w:rsid w:val="63BD4082"/>
    <w:rsid w:val="63D21F87"/>
    <w:rsid w:val="63DFAD34"/>
    <w:rsid w:val="63E12520"/>
    <w:rsid w:val="64154C95"/>
    <w:rsid w:val="6445F4D5"/>
    <w:rsid w:val="644FEDCA"/>
    <w:rsid w:val="64500D4D"/>
    <w:rsid w:val="64598669"/>
    <w:rsid w:val="6479A75D"/>
    <w:rsid w:val="647AC6D9"/>
    <w:rsid w:val="648A71B6"/>
    <w:rsid w:val="64A5A67F"/>
    <w:rsid w:val="64B3C0A3"/>
    <w:rsid w:val="64F91B19"/>
    <w:rsid w:val="651A22DC"/>
    <w:rsid w:val="651CF7C5"/>
    <w:rsid w:val="652596E2"/>
    <w:rsid w:val="65543FB2"/>
    <w:rsid w:val="6559E4C3"/>
    <w:rsid w:val="6592DE36"/>
    <w:rsid w:val="65A1AF5C"/>
    <w:rsid w:val="65A467FB"/>
    <w:rsid w:val="65A947A0"/>
    <w:rsid w:val="65B262C2"/>
    <w:rsid w:val="65B6F139"/>
    <w:rsid w:val="65D5B0BB"/>
    <w:rsid w:val="65D64481"/>
    <w:rsid w:val="65DC134B"/>
    <w:rsid w:val="65E21872"/>
    <w:rsid w:val="6618484E"/>
    <w:rsid w:val="661F1DD8"/>
    <w:rsid w:val="661FAFF8"/>
    <w:rsid w:val="663632A6"/>
    <w:rsid w:val="66411239"/>
    <w:rsid w:val="667ECFC0"/>
    <w:rsid w:val="66B95EE0"/>
    <w:rsid w:val="66C576EC"/>
    <w:rsid w:val="66D5E107"/>
    <w:rsid w:val="66DEB5B5"/>
    <w:rsid w:val="66DEE702"/>
    <w:rsid w:val="66E3149B"/>
    <w:rsid w:val="670FA372"/>
    <w:rsid w:val="671AD88E"/>
    <w:rsid w:val="671B0027"/>
    <w:rsid w:val="6729BC5B"/>
    <w:rsid w:val="67607EDD"/>
    <w:rsid w:val="679F4E1C"/>
    <w:rsid w:val="67C23085"/>
    <w:rsid w:val="67CFF6B1"/>
    <w:rsid w:val="68059E48"/>
    <w:rsid w:val="68632960"/>
    <w:rsid w:val="688F9065"/>
    <w:rsid w:val="689CEF27"/>
    <w:rsid w:val="68BCBC36"/>
    <w:rsid w:val="68DDEEED"/>
    <w:rsid w:val="68E3FAF9"/>
    <w:rsid w:val="68F8EE02"/>
    <w:rsid w:val="68FE1B34"/>
    <w:rsid w:val="690D1807"/>
    <w:rsid w:val="69101DB8"/>
    <w:rsid w:val="6919B37F"/>
    <w:rsid w:val="69325B46"/>
    <w:rsid w:val="6946CDA7"/>
    <w:rsid w:val="69499201"/>
    <w:rsid w:val="6949FF4C"/>
    <w:rsid w:val="6953179B"/>
    <w:rsid w:val="69994249"/>
    <w:rsid w:val="69D44DDC"/>
    <w:rsid w:val="69D53DB5"/>
    <w:rsid w:val="69E1B5ED"/>
    <w:rsid w:val="69ED1CDA"/>
    <w:rsid w:val="69F6EED4"/>
    <w:rsid w:val="69F97E1C"/>
    <w:rsid w:val="6A117FA8"/>
    <w:rsid w:val="6A32C94D"/>
    <w:rsid w:val="6A773266"/>
    <w:rsid w:val="6A9EA140"/>
    <w:rsid w:val="6AACE9E0"/>
    <w:rsid w:val="6ABA45D7"/>
    <w:rsid w:val="6ADD7567"/>
    <w:rsid w:val="6AE6535B"/>
    <w:rsid w:val="6AF02EC8"/>
    <w:rsid w:val="6AF2BCB4"/>
    <w:rsid w:val="6B23F32C"/>
    <w:rsid w:val="6B326D07"/>
    <w:rsid w:val="6B425C3A"/>
    <w:rsid w:val="6B63AE8B"/>
    <w:rsid w:val="6B6A40CB"/>
    <w:rsid w:val="6B82AC57"/>
    <w:rsid w:val="6B9490B3"/>
    <w:rsid w:val="6B9555BF"/>
    <w:rsid w:val="6BB8D224"/>
    <w:rsid w:val="6BC47CB4"/>
    <w:rsid w:val="6BDEFB39"/>
    <w:rsid w:val="6BE80E3C"/>
    <w:rsid w:val="6BFE1CEA"/>
    <w:rsid w:val="6BFFF087"/>
    <w:rsid w:val="6C1D879D"/>
    <w:rsid w:val="6C2F9E00"/>
    <w:rsid w:val="6C3BA10A"/>
    <w:rsid w:val="6C485BEE"/>
    <w:rsid w:val="6C4B81A6"/>
    <w:rsid w:val="6C72B643"/>
    <w:rsid w:val="6C7E6A53"/>
    <w:rsid w:val="6C851D63"/>
    <w:rsid w:val="6CAD6C56"/>
    <w:rsid w:val="6CB296BD"/>
    <w:rsid w:val="6CE34CB5"/>
    <w:rsid w:val="6CF854BC"/>
    <w:rsid w:val="6D2BB066"/>
    <w:rsid w:val="6D2FF7B8"/>
    <w:rsid w:val="6D37AE0E"/>
    <w:rsid w:val="6D6107F2"/>
    <w:rsid w:val="6D6D86CA"/>
    <w:rsid w:val="6D88A503"/>
    <w:rsid w:val="6DD6590C"/>
    <w:rsid w:val="6DDD6258"/>
    <w:rsid w:val="6DE53491"/>
    <w:rsid w:val="6DEA845E"/>
    <w:rsid w:val="6E016020"/>
    <w:rsid w:val="6E06F4E3"/>
    <w:rsid w:val="6E31A7F1"/>
    <w:rsid w:val="6E369DBA"/>
    <w:rsid w:val="6E781DF2"/>
    <w:rsid w:val="6EA9D4D9"/>
    <w:rsid w:val="6EB53DD1"/>
    <w:rsid w:val="6EDD13C3"/>
    <w:rsid w:val="6EDEDECF"/>
    <w:rsid w:val="6F063A70"/>
    <w:rsid w:val="6F29CB9A"/>
    <w:rsid w:val="6F2E8D4A"/>
    <w:rsid w:val="6F301C3E"/>
    <w:rsid w:val="6F5DB33F"/>
    <w:rsid w:val="6F7AD7F0"/>
    <w:rsid w:val="6FB6FFAD"/>
    <w:rsid w:val="6FBF7132"/>
    <w:rsid w:val="6FF358F1"/>
    <w:rsid w:val="70021227"/>
    <w:rsid w:val="70185966"/>
    <w:rsid w:val="70436A8E"/>
    <w:rsid w:val="70719CFE"/>
    <w:rsid w:val="70888248"/>
    <w:rsid w:val="70982F0A"/>
    <w:rsid w:val="70B56F3B"/>
    <w:rsid w:val="710963FA"/>
    <w:rsid w:val="710F091A"/>
    <w:rsid w:val="711611D6"/>
    <w:rsid w:val="711E510A"/>
    <w:rsid w:val="7149958C"/>
    <w:rsid w:val="714F58F9"/>
    <w:rsid w:val="71671CB4"/>
    <w:rsid w:val="7173CA95"/>
    <w:rsid w:val="717540FD"/>
    <w:rsid w:val="7180DD79"/>
    <w:rsid w:val="7198531D"/>
    <w:rsid w:val="719CD955"/>
    <w:rsid w:val="71F03FBF"/>
    <w:rsid w:val="72110801"/>
    <w:rsid w:val="7227F277"/>
    <w:rsid w:val="7229C802"/>
    <w:rsid w:val="72477A01"/>
    <w:rsid w:val="725854FE"/>
    <w:rsid w:val="72B367A2"/>
    <w:rsid w:val="72B4913C"/>
    <w:rsid w:val="72C7D65F"/>
    <w:rsid w:val="72DDE997"/>
    <w:rsid w:val="72EDF5F6"/>
    <w:rsid w:val="72F2EB53"/>
    <w:rsid w:val="72FC56B2"/>
    <w:rsid w:val="732673FE"/>
    <w:rsid w:val="73314D28"/>
    <w:rsid w:val="736D6ACB"/>
    <w:rsid w:val="7384CC37"/>
    <w:rsid w:val="7389859B"/>
    <w:rsid w:val="738D3935"/>
    <w:rsid w:val="739C1A8E"/>
    <w:rsid w:val="73CBB0CC"/>
    <w:rsid w:val="73CC6F15"/>
    <w:rsid w:val="73D2B558"/>
    <w:rsid w:val="73D568D8"/>
    <w:rsid w:val="73DE3A8F"/>
    <w:rsid w:val="73F4255F"/>
    <w:rsid w:val="73F8A0BE"/>
    <w:rsid w:val="73FF5B2A"/>
    <w:rsid w:val="740EDB47"/>
    <w:rsid w:val="742D4EE4"/>
    <w:rsid w:val="7440F445"/>
    <w:rsid w:val="744F1AB1"/>
    <w:rsid w:val="74509B5A"/>
    <w:rsid w:val="7450A3C5"/>
    <w:rsid w:val="745A95DD"/>
    <w:rsid w:val="746DE07C"/>
    <w:rsid w:val="746EF86B"/>
    <w:rsid w:val="7478D0B2"/>
    <w:rsid w:val="74980905"/>
    <w:rsid w:val="74B87E3B"/>
    <w:rsid w:val="74BF9183"/>
    <w:rsid w:val="74C838AC"/>
    <w:rsid w:val="74CC820F"/>
    <w:rsid w:val="74D93773"/>
    <w:rsid w:val="74EB5458"/>
    <w:rsid w:val="74FC7195"/>
    <w:rsid w:val="74FF21A2"/>
    <w:rsid w:val="7501527C"/>
    <w:rsid w:val="7518E646"/>
    <w:rsid w:val="75398CA4"/>
    <w:rsid w:val="753A4785"/>
    <w:rsid w:val="753DBCEF"/>
    <w:rsid w:val="754E58D0"/>
    <w:rsid w:val="75517A70"/>
    <w:rsid w:val="755769B3"/>
    <w:rsid w:val="756B972B"/>
    <w:rsid w:val="75933CB3"/>
    <w:rsid w:val="75AC0194"/>
    <w:rsid w:val="75B28C4F"/>
    <w:rsid w:val="75C834FF"/>
    <w:rsid w:val="75CB4FE7"/>
    <w:rsid w:val="75E08D8B"/>
    <w:rsid w:val="75E3EF57"/>
    <w:rsid w:val="75EF1137"/>
    <w:rsid w:val="7604DD42"/>
    <w:rsid w:val="760E3475"/>
    <w:rsid w:val="76487C67"/>
    <w:rsid w:val="764A9482"/>
    <w:rsid w:val="765D8EF7"/>
    <w:rsid w:val="7660A5C5"/>
    <w:rsid w:val="76681AC4"/>
    <w:rsid w:val="7697A403"/>
    <w:rsid w:val="76AA1720"/>
    <w:rsid w:val="76D6190C"/>
    <w:rsid w:val="76E79CF9"/>
    <w:rsid w:val="76EA2931"/>
    <w:rsid w:val="76EC3D4E"/>
    <w:rsid w:val="76ECB4CA"/>
    <w:rsid w:val="76F38C6E"/>
    <w:rsid w:val="76F71C6C"/>
    <w:rsid w:val="76F89772"/>
    <w:rsid w:val="77166182"/>
    <w:rsid w:val="772A6D66"/>
    <w:rsid w:val="772B968E"/>
    <w:rsid w:val="773891FD"/>
    <w:rsid w:val="7752BD15"/>
    <w:rsid w:val="77663DA8"/>
    <w:rsid w:val="7787E2B1"/>
    <w:rsid w:val="7789482D"/>
    <w:rsid w:val="778BE51C"/>
    <w:rsid w:val="778F7B4C"/>
    <w:rsid w:val="77A39411"/>
    <w:rsid w:val="77A6D3E1"/>
    <w:rsid w:val="77BCD73C"/>
    <w:rsid w:val="77C8B61D"/>
    <w:rsid w:val="77CBF92D"/>
    <w:rsid w:val="77DBF767"/>
    <w:rsid w:val="77E1AF34"/>
    <w:rsid w:val="77E25021"/>
    <w:rsid w:val="78072E0E"/>
    <w:rsid w:val="78136258"/>
    <w:rsid w:val="78446B9A"/>
    <w:rsid w:val="78454861"/>
    <w:rsid w:val="784B594B"/>
    <w:rsid w:val="785054A9"/>
    <w:rsid w:val="78533CAA"/>
    <w:rsid w:val="7875E3C6"/>
    <w:rsid w:val="78813AB0"/>
    <w:rsid w:val="78EA30BC"/>
    <w:rsid w:val="78FC884C"/>
    <w:rsid w:val="791C70BC"/>
    <w:rsid w:val="7925DD0C"/>
    <w:rsid w:val="7927392F"/>
    <w:rsid w:val="79635D2A"/>
    <w:rsid w:val="798ECFF1"/>
    <w:rsid w:val="7994C786"/>
    <w:rsid w:val="79ABFD43"/>
    <w:rsid w:val="79BDD3EB"/>
    <w:rsid w:val="79DD0F6D"/>
    <w:rsid w:val="79E38BD2"/>
    <w:rsid w:val="79EB785C"/>
    <w:rsid w:val="79F06004"/>
    <w:rsid w:val="79FF6E34"/>
    <w:rsid w:val="7A0077A2"/>
    <w:rsid w:val="7A3C15AD"/>
    <w:rsid w:val="7A3FD082"/>
    <w:rsid w:val="7A48D1D5"/>
    <w:rsid w:val="7ABB94F0"/>
    <w:rsid w:val="7ACF32BD"/>
    <w:rsid w:val="7AF1B4D9"/>
    <w:rsid w:val="7AF85A2E"/>
    <w:rsid w:val="7B16B043"/>
    <w:rsid w:val="7B342DFD"/>
    <w:rsid w:val="7B49305C"/>
    <w:rsid w:val="7B71131D"/>
    <w:rsid w:val="7B77509B"/>
    <w:rsid w:val="7B87E92D"/>
    <w:rsid w:val="7BB0B895"/>
    <w:rsid w:val="7BB25CEB"/>
    <w:rsid w:val="7BB97963"/>
    <w:rsid w:val="7BC2516C"/>
    <w:rsid w:val="7BEC3B60"/>
    <w:rsid w:val="7C0444F2"/>
    <w:rsid w:val="7C14F978"/>
    <w:rsid w:val="7C36DAEE"/>
    <w:rsid w:val="7C3903E3"/>
    <w:rsid w:val="7C3D2E99"/>
    <w:rsid w:val="7C7A405E"/>
    <w:rsid w:val="7C7C5A58"/>
    <w:rsid w:val="7C84D3B7"/>
    <w:rsid w:val="7C87EB5D"/>
    <w:rsid w:val="7CC8C300"/>
    <w:rsid w:val="7CCF1C8E"/>
    <w:rsid w:val="7D503558"/>
    <w:rsid w:val="7D509151"/>
    <w:rsid w:val="7D5140C1"/>
    <w:rsid w:val="7D53915C"/>
    <w:rsid w:val="7D5ED28B"/>
    <w:rsid w:val="7D6DC90D"/>
    <w:rsid w:val="7D94EA50"/>
    <w:rsid w:val="7D9AB929"/>
    <w:rsid w:val="7DB92509"/>
    <w:rsid w:val="7DC172F3"/>
    <w:rsid w:val="7DC867AE"/>
    <w:rsid w:val="7DDAAEFB"/>
    <w:rsid w:val="7DEA6E7A"/>
    <w:rsid w:val="7E02C16C"/>
    <w:rsid w:val="7E0E1E96"/>
    <w:rsid w:val="7E1AA080"/>
    <w:rsid w:val="7E2C8731"/>
    <w:rsid w:val="7E4B262E"/>
    <w:rsid w:val="7E59E08B"/>
    <w:rsid w:val="7E62DFE9"/>
    <w:rsid w:val="7E73CD1E"/>
    <w:rsid w:val="7E789376"/>
    <w:rsid w:val="7E9381B0"/>
    <w:rsid w:val="7E957D11"/>
    <w:rsid w:val="7EA30803"/>
    <w:rsid w:val="7EA37070"/>
    <w:rsid w:val="7EBF46EC"/>
    <w:rsid w:val="7EC8FCFD"/>
    <w:rsid w:val="7ECD73C3"/>
    <w:rsid w:val="7ED6A12E"/>
    <w:rsid w:val="7EE35EE2"/>
    <w:rsid w:val="7F1CFC86"/>
    <w:rsid w:val="7F1FD32E"/>
    <w:rsid w:val="7F26FBC9"/>
    <w:rsid w:val="7F827705"/>
    <w:rsid w:val="7FA5360A"/>
    <w:rsid w:val="7FB5E0DA"/>
    <w:rsid w:val="7FB7358C"/>
    <w:rsid w:val="7FB7F26A"/>
    <w:rsid w:val="7FC148DF"/>
    <w:rsid w:val="7FC14F2E"/>
    <w:rsid w:val="7FE3E99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1D184C3"/>
  <w15:docId w15:val="{91841946-D7F0-4D63-BFB3-7806D73A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Cs w:val="24"/>
        <w:lang w:val="en-GB" w:eastAsia="zh-TW" w:bidi="ar-SA"/>
      </w:rPr>
    </w:rPrDefault>
    <w:pPrDefault>
      <w:pPr>
        <w:spacing w:after="200" w:line="300" w:lineRule="atLeast"/>
      </w:pPr>
    </w:pPrDefault>
  </w:docDefaults>
  <w:latentStyles w:defLockedState="0" w:defUIPriority="98" w:defSemiHidden="0" w:defUnhideWhenUsed="0" w:defQFormat="0" w:count="376">
    <w:lsdException w:name="Normal"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lsdException w:name="annotation text" w:semiHidden="1" w:uiPriority="99" w:unhideWhenUsed="1"/>
    <w:lsdException w:name="header" w:semiHidden="1" w:uiPriority="0"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4" w:unhideWhenUsed="1"/>
    <w:lsdException w:name="List Number 4" w:semiHidden="1" w:unhideWhenUsed="1"/>
    <w:lsdException w:name="List Number 5" w:semiHidden="1" w:uiPriority="94"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qFormat="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uiPriority w:val="1"/>
    <w:qFormat/>
    <w:rsid w:val="00C154B2"/>
    <w:rPr>
      <w:color w:val="auto"/>
      <w:lang w:eastAsia="ko-KR"/>
    </w:rPr>
  </w:style>
  <w:style w:type="paragraph" w:styleId="Heading1">
    <w:name w:val="heading 1"/>
    <w:basedOn w:val="NormalAshurst"/>
    <w:link w:val="Heading1Char"/>
    <w:uiPriority w:val="9"/>
    <w:qFormat/>
    <w:rsid w:val="00B12EF5"/>
    <w:pPr>
      <w:numPr>
        <w:numId w:val="1"/>
      </w:numPr>
      <w:outlineLvl w:val="0"/>
    </w:pPr>
    <w:rPr>
      <w:bCs/>
      <w:kern w:val="32"/>
    </w:rPr>
  </w:style>
  <w:style w:type="paragraph" w:styleId="Heading2">
    <w:name w:val="heading 2"/>
    <w:basedOn w:val="H2Ashurst"/>
    <w:link w:val="Heading2Char"/>
    <w:qFormat/>
    <w:rsid w:val="00FB21FE"/>
    <w:pPr>
      <w:numPr>
        <w:numId w:val="1"/>
      </w:numPr>
    </w:pPr>
    <w:rPr>
      <w:b/>
      <w:bCs/>
      <w:iCs/>
    </w:rPr>
  </w:style>
  <w:style w:type="paragraph" w:styleId="Heading3">
    <w:name w:val="heading 3"/>
    <w:basedOn w:val="H3Ashurst"/>
    <w:link w:val="Heading3Char"/>
    <w:uiPriority w:val="9"/>
    <w:qFormat/>
    <w:rsid w:val="00B12EF5"/>
    <w:pPr>
      <w:numPr>
        <w:numId w:val="1"/>
      </w:numPr>
    </w:pPr>
    <w:rPr>
      <w:bCs/>
    </w:rPr>
  </w:style>
  <w:style w:type="paragraph" w:styleId="Heading4">
    <w:name w:val="heading 4"/>
    <w:basedOn w:val="H4Ashurst"/>
    <w:link w:val="Heading4Char"/>
    <w:uiPriority w:val="9"/>
    <w:qFormat/>
    <w:rsid w:val="00B12EF5"/>
    <w:pPr>
      <w:numPr>
        <w:numId w:val="1"/>
      </w:numPr>
    </w:pPr>
    <w:rPr>
      <w:bCs/>
    </w:rPr>
  </w:style>
  <w:style w:type="paragraph" w:styleId="Heading5">
    <w:name w:val="heading 5"/>
    <w:basedOn w:val="H5Ashurst"/>
    <w:link w:val="Heading5Char"/>
    <w:uiPriority w:val="9"/>
    <w:qFormat/>
    <w:rsid w:val="00B12EF5"/>
    <w:pPr>
      <w:numPr>
        <w:numId w:val="1"/>
      </w:numPr>
    </w:pPr>
    <w:rPr>
      <w:bCs/>
      <w:iCs/>
    </w:rPr>
  </w:style>
  <w:style w:type="paragraph" w:styleId="Heading6">
    <w:name w:val="heading 6"/>
    <w:basedOn w:val="NormalAshurst"/>
    <w:link w:val="Heading6Char"/>
    <w:uiPriority w:val="9"/>
    <w:qFormat/>
    <w:rsid w:val="00B12EF5"/>
    <w:pPr>
      <w:numPr>
        <w:ilvl w:val="5"/>
        <w:numId w:val="1"/>
      </w:numPr>
      <w:outlineLvl w:val="5"/>
    </w:pPr>
    <w:rPr>
      <w:bCs/>
    </w:rPr>
  </w:style>
  <w:style w:type="paragraph" w:styleId="Heading7">
    <w:name w:val="heading 7"/>
    <w:aliases w:val="Heading 7 Appendix Heading"/>
    <w:basedOn w:val="H2Ashurst"/>
    <w:link w:val="Heading7Char"/>
    <w:uiPriority w:val="9"/>
    <w:qFormat/>
    <w:rsid w:val="00FB21FE"/>
    <w:pPr>
      <w:numPr>
        <w:ilvl w:val="6"/>
        <w:numId w:val="1"/>
      </w:numPr>
      <w:outlineLvl w:val="6"/>
    </w:pPr>
    <w:rPr>
      <w:b/>
    </w:rPr>
  </w:style>
  <w:style w:type="paragraph" w:styleId="Heading8">
    <w:name w:val="heading 8"/>
    <w:basedOn w:val="H3Ashurst"/>
    <w:link w:val="Heading8Char"/>
    <w:uiPriority w:val="9"/>
    <w:qFormat/>
    <w:rsid w:val="00B12EF5"/>
    <w:pPr>
      <w:numPr>
        <w:ilvl w:val="7"/>
        <w:numId w:val="1"/>
      </w:numPr>
      <w:outlineLvl w:val="7"/>
    </w:pPr>
    <w:rPr>
      <w:iCs/>
    </w:rPr>
  </w:style>
  <w:style w:type="paragraph" w:styleId="Heading9">
    <w:name w:val="heading 9"/>
    <w:basedOn w:val="H4Ashurst"/>
    <w:link w:val="Heading9Char"/>
    <w:uiPriority w:val="9"/>
    <w:semiHidden/>
    <w:qFormat/>
    <w:rsid w:val="00B12EF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1"/>
    <w:qFormat/>
    <w:rsid w:val="00F06283"/>
    <w:pPr>
      <w:suppressAutoHyphens/>
    </w:pPr>
    <w:rPr>
      <w:color w:val="auto"/>
      <w:sz w:val="22"/>
    </w:rPr>
  </w:style>
  <w:style w:type="paragraph" w:customStyle="1" w:styleId="StandardAshurst">
    <w:name w:val="StandardAshurst"/>
    <w:basedOn w:val="NormalAshurst"/>
    <w:link w:val="StandardAshurstChar"/>
    <w:uiPriority w:val="7"/>
    <w:qFormat/>
    <w:rsid w:val="004A7AFF"/>
    <w:pPr>
      <w:spacing w:after="0"/>
    </w:pPr>
  </w:style>
  <w:style w:type="paragraph" w:styleId="Index1">
    <w:name w:val="index 1"/>
    <w:basedOn w:val="Normal"/>
    <w:next w:val="Normal"/>
    <w:uiPriority w:val="98"/>
    <w:unhideWhenUsed/>
    <w:rsid w:val="00B12EF5"/>
    <w:pPr>
      <w:spacing w:line="240" w:lineRule="auto"/>
      <w:ind w:left="180" w:hanging="180"/>
    </w:pPr>
  </w:style>
  <w:style w:type="paragraph" w:customStyle="1" w:styleId="B3Ashurst">
    <w:name w:val="B3Ashurst"/>
    <w:basedOn w:val="NormalAshurst"/>
    <w:uiPriority w:val="6"/>
    <w:qFormat/>
    <w:rsid w:val="00B12EF5"/>
    <w:pPr>
      <w:tabs>
        <w:tab w:val="left" w:pos="2030"/>
        <w:tab w:val="left" w:pos="2654"/>
        <w:tab w:val="left" w:pos="3277"/>
        <w:tab w:val="left" w:pos="3901"/>
      </w:tabs>
      <w:ind w:left="1406"/>
    </w:pPr>
  </w:style>
  <w:style w:type="paragraph" w:customStyle="1" w:styleId="B4Ashurst">
    <w:name w:val="B4Ashurst"/>
    <w:basedOn w:val="NormalAshurst"/>
    <w:uiPriority w:val="6"/>
    <w:rsid w:val="00B12EF5"/>
    <w:pPr>
      <w:tabs>
        <w:tab w:val="left" w:pos="2654"/>
        <w:tab w:val="left" w:pos="3277"/>
        <w:tab w:val="left" w:pos="3901"/>
      </w:tabs>
      <w:ind w:left="2030"/>
    </w:pPr>
  </w:style>
  <w:style w:type="paragraph" w:customStyle="1" w:styleId="B5Ashurst">
    <w:name w:val="B5Ashurst"/>
    <w:basedOn w:val="NormalAshurst"/>
    <w:uiPriority w:val="6"/>
    <w:rsid w:val="001A12D9"/>
    <w:pPr>
      <w:tabs>
        <w:tab w:val="left" w:pos="3277"/>
        <w:tab w:val="left" w:pos="3901"/>
      </w:tabs>
      <w:ind w:left="2654"/>
    </w:pPr>
  </w:style>
  <w:style w:type="paragraph" w:customStyle="1" w:styleId="B6Ashurst">
    <w:name w:val="B6Ashurst"/>
    <w:basedOn w:val="NormalAshurst"/>
    <w:uiPriority w:val="6"/>
    <w:rsid w:val="00705D34"/>
    <w:pPr>
      <w:tabs>
        <w:tab w:val="left" w:pos="3901"/>
      </w:tabs>
      <w:ind w:left="3277"/>
    </w:pPr>
  </w:style>
  <w:style w:type="paragraph" w:customStyle="1" w:styleId="ScheduleAshurst">
    <w:name w:val="ScheduleAshurst"/>
    <w:basedOn w:val="NormalAshurst"/>
    <w:next w:val="ScheduleHeadingAshurst"/>
    <w:uiPriority w:val="9"/>
    <w:qFormat/>
    <w:rsid w:val="00280C2B"/>
    <w:pPr>
      <w:keepNext/>
      <w:numPr>
        <w:numId w:val="23"/>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417650"/>
    <w:pPr>
      <w:keepNext/>
      <w:outlineLvl w:val="1"/>
    </w:pPr>
  </w:style>
  <w:style w:type="paragraph" w:customStyle="1" w:styleId="H1Ashurst">
    <w:name w:val="H1Ashurst"/>
    <w:basedOn w:val="BaseH4AgtAdv"/>
    <w:next w:val="H2Ashurst"/>
    <w:uiPriority w:val="5"/>
    <w:qFormat/>
    <w:rsid w:val="004A5215"/>
    <w:pPr>
      <w:keepNext/>
      <w:numPr>
        <w:numId w:val="38"/>
      </w:numPr>
      <w:spacing w:before="120" w:after="120"/>
      <w:outlineLvl w:val="0"/>
    </w:pPr>
  </w:style>
  <w:style w:type="paragraph" w:customStyle="1" w:styleId="H2Ashurst">
    <w:name w:val="H2Ashurst"/>
    <w:basedOn w:val="NormalAshurst"/>
    <w:uiPriority w:val="5"/>
    <w:qFormat/>
    <w:rsid w:val="004A5215"/>
    <w:pPr>
      <w:numPr>
        <w:ilvl w:val="1"/>
        <w:numId w:val="38"/>
      </w:numPr>
      <w:outlineLvl w:val="1"/>
    </w:pPr>
  </w:style>
  <w:style w:type="paragraph" w:customStyle="1" w:styleId="H3Ashurst">
    <w:name w:val="H3Ashurst"/>
    <w:basedOn w:val="NormalAshurst"/>
    <w:uiPriority w:val="5"/>
    <w:qFormat/>
    <w:rsid w:val="004A5215"/>
    <w:pPr>
      <w:numPr>
        <w:ilvl w:val="2"/>
        <w:numId w:val="38"/>
      </w:numPr>
      <w:outlineLvl w:val="2"/>
    </w:pPr>
  </w:style>
  <w:style w:type="paragraph" w:customStyle="1" w:styleId="H4Ashurst">
    <w:name w:val="H4Ashurst"/>
    <w:basedOn w:val="NormalAshurst"/>
    <w:uiPriority w:val="5"/>
    <w:qFormat/>
    <w:rsid w:val="004A5215"/>
    <w:pPr>
      <w:numPr>
        <w:ilvl w:val="3"/>
        <w:numId w:val="38"/>
      </w:numPr>
      <w:outlineLvl w:val="3"/>
    </w:pPr>
  </w:style>
  <w:style w:type="paragraph" w:customStyle="1" w:styleId="H5Ashurst">
    <w:name w:val="H5Ashurst"/>
    <w:basedOn w:val="NormalAshurst"/>
    <w:uiPriority w:val="5"/>
    <w:qFormat/>
    <w:rsid w:val="004A5215"/>
    <w:pPr>
      <w:numPr>
        <w:ilvl w:val="4"/>
        <w:numId w:val="38"/>
      </w:numPr>
      <w:tabs>
        <w:tab w:val="clear" w:pos="2653"/>
      </w:tabs>
      <w:ind w:left="2654" w:hanging="624"/>
      <w:outlineLvl w:val="4"/>
    </w:pPr>
  </w:style>
  <w:style w:type="paragraph" w:customStyle="1" w:styleId="H6Ashurst">
    <w:name w:val="H6Ashurst"/>
    <w:basedOn w:val="NormalAshurst"/>
    <w:uiPriority w:val="5"/>
    <w:qFormat/>
    <w:rsid w:val="004A5215"/>
    <w:pPr>
      <w:numPr>
        <w:ilvl w:val="5"/>
        <w:numId w:val="38"/>
      </w:numPr>
      <w:tabs>
        <w:tab w:val="clear" w:pos="3277"/>
      </w:tabs>
      <w:ind w:hanging="623"/>
      <w:outlineLvl w:val="5"/>
    </w:pPr>
  </w:style>
  <w:style w:type="paragraph" w:customStyle="1" w:styleId="SH1Ashurst">
    <w:name w:val="SH1Ashurst"/>
    <w:basedOn w:val="NormalAshurst"/>
    <w:next w:val="SH2Ashurst"/>
    <w:uiPriority w:val="10"/>
    <w:qFormat/>
    <w:rsid w:val="004A5215"/>
    <w:pPr>
      <w:keepNext/>
      <w:numPr>
        <w:numId w:val="39"/>
      </w:numPr>
      <w:spacing w:before="120" w:after="120"/>
      <w:outlineLvl w:val="0"/>
    </w:pPr>
    <w:rPr>
      <w:b/>
      <w:szCs w:val="20"/>
    </w:rPr>
  </w:style>
  <w:style w:type="paragraph" w:customStyle="1" w:styleId="SH2Ashurst">
    <w:name w:val="SH2Ashurst"/>
    <w:basedOn w:val="NormalAshurst"/>
    <w:uiPriority w:val="10"/>
    <w:qFormat/>
    <w:rsid w:val="004A5215"/>
    <w:pPr>
      <w:numPr>
        <w:ilvl w:val="1"/>
        <w:numId w:val="39"/>
      </w:numPr>
      <w:outlineLvl w:val="1"/>
    </w:pPr>
  </w:style>
  <w:style w:type="paragraph" w:customStyle="1" w:styleId="SH3Ashurst">
    <w:name w:val="SH3Ashurst"/>
    <w:basedOn w:val="NormalAshurst"/>
    <w:uiPriority w:val="10"/>
    <w:qFormat/>
    <w:rsid w:val="004A5215"/>
    <w:pPr>
      <w:numPr>
        <w:ilvl w:val="2"/>
        <w:numId w:val="39"/>
      </w:numPr>
      <w:outlineLvl w:val="2"/>
    </w:pPr>
  </w:style>
  <w:style w:type="paragraph" w:customStyle="1" w:styleId="SH4Ashurst">
    <w:name w:val="SH4Ashurst"/>
    <w:basedOn w:val="NormalAshurst"/>
    <w:uiPriority w:val="10"/>
    <w:qFormat/>
    <w:rsid w:val="004A5215"/>
    <w:pPr>
      <w:numPr>
        <w:ilvl w:val="3"/>
        <w:numId w:val="39"/>
      </w:numPr>
      <w:outlineLvl w:val="3"/>
    </w:pPr>
  </w:style>
  <w:style w:type="paragraph" w:customStyle="1" w:styleId="SH5Ashurst">
    <w:name w:val="SH5Ashurst"/>
    <w:basedOn w:val="NormalAshurst"/>
    <w:uiPriority w:val="10"/>
    <w:qFormat/>
    <w:rsid w:val="004A5215"/>
    <w:pPr>
      <w:numPr>
        <w:ilvl w:val="4"/>
        <w:numId w:val="39"/>
      </w:numPr>
      <w:outlineLvl w:val="4"/>
    </w:pPr>
  </w:style>
  <w:style w:type="paragraph" w:customStyle="1" w:styleId="AltH1Ashurst">
    <w:name w:val="AltH1Ashurst"/>
    <w:basedOn w:val="NormalAshurst"/>
    <w:uiPriority w:val="12"/>
    <w:rsid w:val="002C3D67"/>
    <w:pPr>
      <w:numPr>
        <w:numId w:val="40"/>
      </w:numPr>
      <w:outlineLvl w:val="0"/>
    </w:pPr>
    <w:rPr>
      <w:sz w:val="20"/>
    </w:rPr>
  </w:style>
  <w:style w:type="paragraph" w:customStyle="1" w:styleId="AltH2Ashurst">
    <w:name w:val="AltH2Ashurst"/>
    <w:basedOn w:val="NormalAshurst"/>
    <w:uiPriority w:val="12"/>
    <w:rsid w:val="00E35635"/>
    <w:pPr>
      <w:numPr>
        <w:ilvl w:val="1"/>
        <w:numId w:val="40"/>
      </w:numPr>
      <w:outlineLvl w:val="1"/>
    </w:pPr>
    <w:rPr>
      <w:sz w:val="20"/>
    </w:rPr>
  </w:style>
  <w:style w:type="paragraph" w:customStyle="1" w:styleId="AltH3Ashurst">
    <w:name w:val="AltH3Ashurst"/>
    <w:basedOn w:val="NormalAshurst"/>
    <w:uiPriority w:val="12"/>
    <w:rsid w:val="00E35635"/>
    <w:pPr>
      <w:numPr>
        <w:ilvl w:val="2"/>
        <w:numId w:val="40"/>
      </w:numPr>
      <w:outlineLvl w:val="2"/>
    </w:pPr>
    <w:rPr>
      <w:sz w:val="20"/>
    </w:rPr>
  </w:style>
  <w:style w:type="paragraph" w:customStyle="1" w:styleId="AltH4Ashurst">
    <w:name w:val="AltH4Ashurst"/>
    <w:basedOn w:val="NormalAshurst"/>
    <w:uiPriority w:val="12"/>
    <w:rsid w:val="004A5215"/>
    <w:pPr>
      <w:numPr>
        <w:ilvl w:val="3"/>
        <w:numId w:val="40"/>
      </w:numPr>
      <w:outlineLvl w:val="3"/>
    </w:pPr>
  </w:style>
  <w:style w:type="paragraph" w:customStyle="1" w:styleId="AltH5Ashurst">
    <w:name w:val="AltH5Ashurst"/>
    <w:basedOn w:val="NormalAshurst"/>
    <w:uiPriority w:val="12"/>
    <w:rsid w:val="004A5215"/>
    <w:pPr>
      <w:numPr>
        <w:ilvl w:val="4"/>
        <w:numId w:val="40"/>
      </w:numPr>
      <w:outlineLvl w:val="4"/>
    </w:pPr>
  </w:style>
  <w:style w:type="paragraph" w:customStyle="1" w:styleId="AltH6Ashurst">
    <w:name w:val="AltH6Ashurst"/>
    <w:basedOn w:val="NormalAshurst"/>
    <w:uiPriority w:val="12"/>
    <w:rsid w:val="004A5215"/>
    <w:pPr>
      <w:numPr>
        <w:ilvl w:val="5"/>
        <w:numId w:val="40"/>
      </w:numPr>
      <w:outlineLvl w:val="5"/>
    </w:pPr>
  </w:style>
  <w:style w:type="paragraph" w:customStyle="1" w:styleId="PartiesAshurst">
    <w:name w:val="PartiesAshurst"/>
    <w:basedOn w:val="NormalAshurst"/>
    <w:uiPriority w:val="1"/>
    <w:rsid w:val="001A7C2E"/>
    <w:pPr>
      <w:numPr>
        <w:numId w:val="14"/>
      </w:numPr>
      <w:outlineLvl w:val="0"/>
    </w:pPr>
  </w:style>
  <w:style w:type="paragraph" w:customStyle="1" w:styleId="RecitalsAshurst">
    <w:name w:val="RecitalsAshurst"/>
    <w:basedOn w:val="NormalAshurst"/>
    <w:uiPriority w:val="1"/>
    <w:rsid w:val="00B12EF5"/>
    <w:pPr>
      <w:numPr>
        <w:numId w:val="15"/>
      </w:numPr>
      <w:outlineLvl w:val="0"/>
    </w:pPr>
  </w:style>
  <w:style w:type="paragraph" w:customStyle="1" w:styleId="Definition2">
    <w:name w:val="Definition2"/>
    <w:basedOn w:val="NormalAshurst"/>
    <w:uiPriority w:val="2"/>
    <w:qFormat/>
    <w:rsid w:val="00B12EF5"/>
    <w:pPr>
      <w:numPr>
        <w:ilvl w:val="1"/>
        <w:numId w:val="17"/>
      </w:numPr>
      <w:outlineLvl w:val="1"/>
    </w:pPr>
  </w:style>
  <w:style w:type="paragraph" w:customStyle="1" w:styleId="Definition3">
    <w:name w:val="Definition3"/>
    <w:basedOn w:val="NormalAshurst"/>
    <w:uiPriority w:val="2"/>
    <w:qFormat/>
    <w:rsid w:val="00B12EF5"/>
    <w:pPr>
      <w:numPr>
        <w:ilvl w:val="2"/>
        <w:numId w:val="17"/>
      </w:numPr>
      <w:outlineLvl w:val="2"/>
    </w:pPr>
  </w:style>
  <w:style w:type="paragraph" w:customStyle="1" w:styleId="Bullet1Ashurst">
    <w:name w:val="Bullet1Ashurst"/>
    <w:basedOn w:val="NormalAshurst"/>
    <w:uiPriority w:val="6"/>
    <w:rsid w:val="00B5197C"/>
    <w:pPr>
      <w:numPr>
        <w:ilvl w:val="1"/>
        <w:numId w:val="33"/>
      </w:numPr>
      <w:ind w:left="1142"/>
    </w:pPr>
  </w:style>
  <w:style w:type="paragraph" w:customStyle="1" w:styleId="Bullet2Ashurst">
    <w:name w:val="Bullet2Ashurst"/>
    <w:basedOn w:val="NormalAshurst"/>
    <w:uiPriority w:val="6"/>
    <w:qFormat/>
    <w:rsid w:val="005A29F9"/>
    <w:pPr>
      <w:numPr>
        <w:ilvl w:val="2"/>
        <w:numId w:val="33"/>
      </w:numPr>
    </w:pPr>
  </w:style>
  <w:style w:type="paragraph" w:customStyle="1" w:styleId="Bullet3Ashurst">
    <w:name w:val="Bullet3Ashurst"/>
    <w:basedOn w:val="NormalAshurst"/>
    <w:uiPriority w:val="6"/>
    <w:rsid w:val="005A29F9"/>
    <w:pPr>
      <w:numPr>
        <w:ilvl w:val="3"/>
        <w:numId w:val="33"/>
      </w:numPr>
    </w:pPr>
  </w:style>
  <w:style w:type="paragraph" w:customStyle="1" w:styleId="Bullet4Ashurst">
    <w:name w:val="Bullet4Ashurst"/>
    <w:basedOn w:val="NormalAshurst"/>
    <w:uiPriority w:val="6"/>
    <w:rsid w:val="005A29F9"/>
    <w:pPr>
      <w:numPr>
        <w:ilvl w:val="4"/>
        <w:numId w:val="33"/>
      </w:numPr>
    </w:pPr>
  </w:style>
  <w:style w:type="paragraph" w:customStyle="1" w:styleId="Bullet5Ashurst">
    <w:name w:val="Bullet5Ashurst"/>
    <w:basedOn w:val="NormalAshurst"/>
    <w:uiPriority w:val="6"/>
    <w:rsid w:val="005A29F9"/>
    <w:pPr>
      <w:numPr>
        <w:ilvl w:val="5"/>
        <w:numId w:val="33"/>
      </w:numPr>
    </w:pPr>
  </w:style>
  <w:style w:type="paragraph" w:customStyle="1" w:styleId="Bullet6Ashurst">
    <w:name w:val="Bullet6Ashurst"/>
    <w:basedOn w:val="NormalAshurst"/>
    <w:uiPriority w:val="6"/>
    <w:rsid w:val="005A29F9"/>
    <w:pPr>
      <w:numPr>
        <w:ilvl w:val="6"/>
        <w:numId w:val="33"/>
      </w:numPr>
    </w:pPr>
  </w:style>
  <w:style w:type="character" w:customStyle="1" w:styleId="NormalAshurstChar">
    <w:name w:val="NormalAshurst Char"/>
    <w:basedOn w:val="DefaultParagraphFont"/>
    <w:link w:val="NormalAshurst"/>
    <w:uiPriority w:val="1"/>
    <w:rsid w:val="00F06283"/>
    <w:rPr>
      <w:color w:val="auto"/>
      <w:sz w:val="22"/>
    </w:rPr>
  </w:style>
  <w:style w:type="paragraph" w:customStyle="1" w:styleId="TableAshurst">
    <w:name w:val="TableAshurst"/>
    <w:basedOn w:val="NormalAshurst"/>
    <w:uiPriority w:val="7"/>
    <w:rsid w:val="00833BEC"/>
    <w:pPr>
      <w:spacing w:before="100" w:after="100"/>
    </w:pPr>
  </w:style>
  <w:style w:type="paragraph" w:customStyle="1" w:styleId="AppendixAshurst">
    <w:name w:val="AppendixAshurst"/>
    <w:basedOn w:val="BaseH2AgtAdv"/>
    <w:next w:val="AppendixHeadingAshurst"/>
    <w:uiPriority w:val="9"/>
    <w:rsid w:val="002660E8"/>
    <w:pPr>
      <w:keepNext/>
      <w:numPr>
        <w:numId w:val="32"/>
      </w:numPr>
      <w:outlineLvl w:val="0"/>
    </w:pPr>
    <w:rPr>
      <w:szCs w:val="26"/>
    </w:rPr>
  </w:style>
  <w:style w:type="paragraph" w:customStyle="1" w:styleId="AppendixHeadingAshurst">
    <w:name w:val="AppendixHeadingAshurst"/>
    <w:basedOn w:val="ScheduleHeadingAshurst"/>
    <w:next w:val="NormalAshurst"/>
    <w:uiPriority w:val="9"/>
    <w:rsid w:val="00B42BBA"/>
    <w:rPr>
      <w:bCs/>
      <w:szCs w:val="34"/>
    </w:rPr>
  </w:style>
  <w:style w:type="paragraph" w:customStyle="1" w:styleId="B12Ashurst">
    <w:name w:val="B1&amp;2Ashurst"/>
    <w:basedOn w:val="NormalAshurst"/>
    <w:uiPriority w:val="6"/>
    <w:qFormat/>
    <w:rsid w:val="002C3D67"/>
    <w:pPr>
      <w:tabs>
        <w:tab w:val="left" w:pos="1406"/>
        <w:tab w:val="left" w:pos="2030"/>
        <w:tab w:val="left" w:pos="2654"/>
        <w:tab w:val="left" w:pos="3277"/>
        <w:tab w:val="left" w:pos="3901"/>
      </w:tabs>
      <w:ind w:left="782"/>
    </w:pPr>
    <w:rPr>
      <w:sz w:val="20"/>
    </w:rPr>
  </w:style>
  <w:style w:type="paragraph" w:customStyle="1" w:styleId="BulletAshurst">
    <w:name w:val="BulletAshurst"/>
    <w:basedOn w:val="NormalAshurst"/>
    <w:uiPriority w:val="6"/>
    <w:rsid w:val="005A29F9"/>
    <w:pPr>
      <w:numPr>
        <w:numId w:val="33"/>
      </w:numPr>
    </w:pPr>
  </w:style>
  <w:style w:type="paragraph" w:customStyle="1" w:styleId="TOCSubHeadingAshurst">
    <w:name w:val="TOCSubHeadingAshurst"/>
    <w:basedOn w:val="BaseH4AgtAdv"/>
    <w:next w:val="NormalAshurst"/>
    <w:uiPriority w:val="12"/>
    <w:rsid w:val="007E3297"/>
    <w:pPr>
      <w:tabs>
        <w:tab w:val="right" w:pos="9072"/>
      </w:tabs>
      <w:spacing w:after="0"/>
      <w:outlineLvl w:val="0"/>
    </w:pPr>
    <w:rPr>
      <w:sz w:val="20"/>
      <w:lang w:val="en-US"/>
    </w:rPr>
  </w:style>
  <w:style w:type="character" w:customStyle="1" w:styleId="HiddenAshurst">
    <w:name w:val="HiddenAshurst"/>
    <w:uiPriority w:val="15"/>
    <w:rsid w:val="00B12EF5"/>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4D34C7"/>
    <w:pPr>
      <w:spacing w:after="0"/>
    </w:pPr>
    <w:rPr>
      <w:szCs w:val="34"/>
    </w:rPr>
  </w:style>
  <w:style w:type="paragraph" w:customStyle="1" w:styleId="CSTitleAshurst">
    <w:name w:val="CSTitleAshurst"/>
    <w:basedOn w:val="BaseH1Agt"/>
    <w:next w:val="NormalAshurst"/>
    <w:link w:val="CSTitleAshurstChar"/>
    <w:uiPriority w:val="29"/>
    <w:rsid w:val="00A1475C"/>
    <w:pPr>
      <w:spacing w:after="0"/>
    </w:pPr>
    <w:rPr>
      <w:szCs w:val="48"/>
    </w:rPr>
  </w:style>
  <w:style w:type="paragraph" w:customStyle="1" w:styleId="CSTxtAshurst">
    <w:name w:val="CSTxtAshurst"/>
    <w:basedOn w:val="NormalAshurst"/>
    <w:next w:val="NormalAshurst"/>
    <w:uiPriority w:val="29"/>
    <w:rsid w:val="004D34C7"/>
    <w:rPr>
      <w:szCs w:val="30"/>
    </w:rPr>
  </w:style>
  <w:style w:type="paragraph" w:customStyle="1" w:styleId="MACompaniesAshurst">
    <w:name w:val="M&amp;ACompaniesAshurst"/>
    <w:basedOn w:val="CSTxtAshurst"/>
    <w:uiPriority w:val="79"/>
    <w:unhideWhenUsed/>
    <w:rsid w:val="00B12EF5"/>
    <w:pPr>
      <w:spacing w:before="1320"/>
    </w:pPr>
  </w:style>
  <w:style w:type="paragraph" w:customStyle="1" w:styleId="MATitle22Ashurst">
    <w:name w:val="M&amp;ATitle22Ashurst"/>
    <w:basedOn w:val="Normal"/>
    <w:uiPriority w:val="79"/>
    <w:unhideWhenUsed/>
    <w:rsid w:val="00232DCF"/>
    <w:pPr>
      <w:suppressAutoHyphens/>
      <w:spacing w:before="480" w:after="400" w:line="480" w:lineRule="atLeast"/>
    </w:pPr>
    <w:rPr>
      <w:rFonts w:asciiTheme="majorHAnsi" w:hAnsiTheme="majorHAnsi"/>
      <w:color w:val="FF5F49" w:themeColor="accent1"/>
      <w:sz w:val="40"/>
      <w:szCs w:val="40"/>
    </w:rPr>
  </w:style>
  <w:style w:type="paragraph" w:customStyle="1" w:styleId="ParticularsTableAshurst">
    <w:name w:val="ParticularsTableAshurst"/>
    <w:basedOn w:val="TableAshurst"/>
    <w:uiPriority w:val="98"/>
    <w:rsid w:val="00B12EF5"/>
  </w:style>
  <w:style w:type="paragraph" w:customStyle="1" w:styleId="SDDocTypeAshurst">
    <w:name w:val="SDDocTypeAshurst"/>
    <w:basedOn w:val="Normal"/>
    <w:next w:val="StandardAshurst"/>
    <w:uiPriority w:val="79"/>
    <w:unhideWhenUsed/>
    <w:rsid w:val="00232DCF"/>
    <w:pPr>
      <w:spacing w:before="920" w:after="860" w:line="320" w:lineRule="atLeast"/>
    </w:pPr>
    <w:rPr>
      <w:b/>
      <w:sz w:val="24"/>
      <w:szCs w:val="30"/>
    </w:rPr>
  </w:style>
  <w:style w:type="paragraph" w:customStyle="1" w:styleId="SDTitle22Ashurst">
    <w:name w:val="SDTitle22Ashurst"/>
    <w:basedOn w:val="Normal"/>
    <w:next w:val="StandardAshurst"/>
    <w:uiPriority w:val="79"/>
    <w:unhideWhenUsed/>
    <w:rsid w:val="00232DCF"/>
    <w:pPr>
      <w:suppressAutoHyphens/>
      <w:spacing w:after="400" w:line="480" w:lineRule="atLeast"/>
    </w:pPr>
    <w:rPr>
      <w:rFonts w:asciiTheme="majorHAnsi" w:hAnsiTheme="majorHAnsi"/>
      <w:b/>
      <w:color w:val="FF5F49" w:themeColor="accent1"/>
      <w:sz w:val="40"/>
      <w:szCs w:val="40"/>
    </w:rPr>
  </w:style>
  <w:style w:type="paragraph" w:customStyle="1" w:styleId="TableNum1Ashurst">
    <w:name w:val="TableNum1Ashurst"/>
    <w:basedOn w:val="TableAshurst"/>
    <w:uiPriority w:val="18"/>
    <w:rsid w:val="00234190"/>
    <w:pPr>
      <w:numPr>
        <w:numId w:val="35"/>
      </w:numPr>
      <w:outlineLvl w:val="0"/>
    </w:pPr>
  </w:style>
  <w:style w:type="paragraph" w:customStyle="1" w:styleId="AltRecitalsAshurst">
    <w:name w:val="AltRecitalsAshurst"/>
    <w:basedOn w:val="RecitalsAshurst"/>
    <w:uiPriority w:val="13"/>
    <w:rsid w:val="00B12EF5"/>
    <w:pPr>
      <w:numPr>
        <w:numId w:val="16"/>
      </w:numPr>
    </w:pPr>
  </w:style>
  <w:style w:type="paragraph" w:customStyle="1" w:styleId="TableNum2Ashurst">
    <w:name w:val="TableNum2Ashurst"/>
    <w:basedOn w:val="TableAshurst"/>
    <w:uiPriority w:val="7"/>
    <w:rsid w:val="00234190"/>
    <w:pPr>
      <w:numPr>
        <w:ilvl w:val="1"/>
        <w:numId w:val="35"/>
      </w:numPr>
      <w:outlineLvl w:val="1"/>
    </w:pPr>
  </w:style>
  <w:style w:type="paragraph" w:customStyle="1" w:styleId="TableNum3Ashurst">
    <w:name w:val="TableNum3Ashurst"/>
    <w:basedOn w:val="TableAshurst"/>
    <w:uiPriority w:val="7"/>
    <w:rsid w:val="00234190"/>
    <w:pPr>
      <w:numPr>
        <w:ilvl w:val="2"/>
        <w:numId w:val="35"/>
      </w:numPr>
    </w:pPr>
  </w:style>
  <w:style w:type="paragraph" w:customStyle="1" w:styleId="TableNum4Ashurst">
    <w:name w:val="TableNum4Ashurst"/>
    <w:basedOn w:val="TableAshurst"/>
    <w:uiPriority w:val="7"/>
    <w:rsid w:val="00234190"/>
    <w:pPr>
      <w:numPr>
        <w:ilvl w:val="3"/>
        <w:numId w:val="35"/>
      </w:numPr>
    </w:pPr>
  </w:style>
  <w:style w:type="paragraph" w:customStyle="1" w:styleId="TableNum5Ashurst">
    <w:name w:val="TableNum5Ashurst"/>
    <w:basedOn w:val="TableAshurst"/>
    <w:uiPriority w:val="7"/>
    <w:rsid w:val="00234190"/>
    <w:pPr>
      <w:numPr>
        <w:ilvl w:val="4"/>
        <w:numId w:val="35"/>
      </w:numPr>
    </w:pPr>
  </w:style>
  <w:style w:type="paragraph" w:customStyle="1" w:styleId="TableNum6Ashurst">
    <w:name w:val="TableNum6Ashurst"/>
    <w:basedOn w:val="TableAshurst"/>
    <w:uiPriority w:val="7"/>
    <w:rsid w:val="00234190"/>
    <w:pPr>
      <w:numPr>
        <w:ilvl w:val="5"/>
        <w:numId w:val="35"/>
      </w:numPr>
    </w:pPr>
  </w:style>
  <w:style w:type="paragraph" w:customStyle="1" w:styleId="Definition1">
    <w:name w:val="Definition1"/>
    <w:basedOn w:val="NormalAshurst"/>
    <w:uiPriority w:val="2"/>
    <w:qFormat/>
    <w:rsid w:val="00E64E3D"/>
    <w:pPr>
      <w:numPr>
        <w:numId w:val="17"/>
      </w:numPr>
      <w:outlineLvl w:val="0"/>
    </w:pPr>
    <w:rPr>
      <w:lang w:eastAsia="en-GB"/>
    </w:rPr>
  </w:style>
  <w:style w:type="paragraph" w:customStyle="1" w:styleId="AltH7Ashurst">
    <w:name w:val="AltH7Ashurst"/>
    <w:basedOn w:val="NormalAshurst"/>
    <w:uiPriority w:val="12"/>
    <w:rsid w:val="004A5215"/>
    <w:pPr>
      <w:numPr>
        <w:ilvl w:val="6"/>
        <w:numId w:val="40"/>
      </w:numPr>
      <w:outlineLvl w:val="6"/>
    </w:pPr>
  </w:style>
  <w:style w:type="paragraph" w:customStyle="1" w:styleId="AltH8Ashurst">
    <w:name w:val="AltH8Ashurst"/>
    <w:basedOn w:val="NormalAshurst"/>
    <w:uiPriority w:val="12"/>
    <w:rsid w:val="004A5215"/>
    <w:pPr>
      <w:numPr>
        <w:ilvl w:val="7"/>
        <w:numId w:val="40"/>
      </w:numPr>
      <w:outlineLvl w:val="7"/>
    </w:pPr>
  </w:style>
  <w:style w:type="paragraph" w:customStyle="1" w:styleId="H7Ashurst">
    <w:name w:val="H7Ashurst"/>
    <w:basedOn w:val="NormalAshurst"/>
    <w:uiPriority w:val="5"/>
    <w:qFormat/>
    <w:rsid w:val="004A5215"/>
    <w:pPr>
      <w:numPr>
        <w:ilvl w:val="6"/>
        <w:numId w:val="38"/>
      </w:numPr>
      <w:tabs>
        <w:tab w:val="clear" w:pos="3901"/>
        <w:tab w:val="num" w:pos="360"/>
      </w:tabs>
      <w:ind w:left="0" w:firstLine="0"/>
      <w:outlineLvl w:val="6"/>
    </w:pPr>
  </w:style>
  <w:style w:type="paragraph" w:customStyle="1" w:styleId="H8Ashurst">
    <w:name w:val="H8Ashurst"/>
    <w:basedOn w:val="NormalAshurst"/>
    <w:uiPriority w:val="5"/>
    <w:qFormat/>
    <w:rsid w:val="004A5215"/>
    <w:pPr>
      <w:numPr>
        <w:ilvl w:val="7"/>
        <w:numId w:val="38"/>
      </w:numPr>
      <w:tabs>
        <w:tab w:val="clear" w:pos="4525"/>
        <w:tab w:val="num" w:pos="360"/>
      </w:tabs>
      <w:ind w:left="0" w:firstLine="0"/>
      <w:outlineLvl w:val="7"/>
    </w:pPr>
  </w:style>
  <w:style w:type="paragraph" w:customStyle="1" w:styleId="B7Ashurst">
    <w:name w:val="B7Ashurst"/>
    <w:basedOn w:val="B8Ashurst"/>
    <w:uiPriority w:val="6"/>
    <w:rsid w:val="00705D34"/>
    <w:pPr>
      <w:ind w:left="3901"/>
    </w:pPr>
  </w:style>
  <w:style w:type="paragraph" w:customStyle="1" w:styleId="B8Ashurst">
    <w:name w:val="B8Ashurst"/>
    <w:basedOn w:val="NormalAshurst"/>
    <w:uiPriority w:val="6"/>
    <w:rsid w:val="00705D34"/>
    <w:pPr>
      <w:tabs>
        <w:tab w:val="left" w:pos="5148"/>
      </w:tabs>
      <w:ind w:left="4525"/>
    </w:pPr>
  </w:style>
  <w:style w:type="character" w:styleId="FootnoteReference">
    <w:name w:val="footnote reference"/>
    <w:basedOn w:val="DefaultParagraphFont"/>
    <w:uiPriority w:val="24"/>
    <w:rsid w:val="00FB005A"/>
    <w:rPr>
      <w:rFonts w:asciiTheme="minorHAnsi" w:eastAsiaTheme="minorEastAsia" w:hAnsiTheme="minorHAnsi" w:cstheme="minorBidi"/>
      <w:sz w:val="20"/>
      <w:szCs w:val="20"/>
      <w:vertAlign w:val="superscript"/>
    </w:rPr>
  </w:style>
  <w:style w:type="paragraph" w:styleId="FootnoteText">
    <w:name w:val="footnote text"/>
    <w:basedOn w:val="BaseFtnotesCaptionAgtAdvice"/>
    <w:link w:val="FootnoteTextChar"/>
    <w:uiPriority w:val="13"/>
    <w:rsid w:val="00BE061C"/>
    <w:pPr>
      <w:keepLines/>
      <w:spacing w:after="80"/>
    </w:pPr>
    <w:rPr>
      <w:bCs w:val="0"/>
      <w:szCs w:val="20"/>
    </w:rPr>
  </w:style>
  <w:style w:type="character" w:customStyle="1" w:styleId="FootnoteTextChar">
    <w:name w:val="Footnote Text Char"/>
    <w:basedOn w:val="DefaultParagraphFont"/>
    <w:link w:val="FootnoteText"/>
    <w:uiPriority w:val="13"/>
    <w:rsid w:val="00BE061C"/>
    <w:rPr>
      <w:sz w:val="16"/>
      <w:szCs w:val="20"/>
    </w:rPr>
  </w:style>
  <w:style w:type="numbering" w:styleId="111111">
    <w:name w:val="Outline List 2"/>
    <w:basedOn w:val="NoList"/>
    <w:uiPriority w:val="98"/>
    <w:semiHidden/>
    <w:rsid w:val="0049491B"/>
    <w:pPr>
      <w:numPr>
        <w:numId w:val="34"/>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3"/>
      </w:numPr>
    </w:pPr>
  </w:style>
  <w:style w:type="paragraph" w:styleId="BalloonText">
    <w:name w:val="Balloon Text"/>
    <w:basedOn w:val="Normal"/>
    <w:link w:val="BalloonTextChar"/>
    <w:uiPriority w:val="99"/>
    <w:unhideWhenUsed/>
    <w:rsid w:val="00B12EF5"/>
    <w:pPr>
      <w:spacing w:line="240" w:lineRule="auto"/>
    </w:pPr>
    <w:rPr>
      <w:sz w:val="16"/>
      <w:szCs w:val="22"/>
    </w:rPr>
  </w:style>
  <w:style w:type="character" w:customStyle="1" w:styleId="BalloonTextChar">
    <w:name w:val="Balloon Text Char"/>
    <w:basedOn w:val="DefaultParagraphFont"/>
    <w:link w:val="BalloonText"/>
    <w:uiPriority w:val="99"/>
    <w:rsid w:val="00754E94"/>
    <w:rPr>
      <w:color w:val="auto"/>
      <w:sz w:val="16"/>
      <w:szCs w:val="22"/>
    </w:rPr>
  </w:style>
  <w:style w:type="paragraph" w:styleId="Bibliography">
    <w:name w:val="Bibliography"/>
    <w:basedOn w:val="Normal"/>
    <w:next w:val="Normal"/>
    <w:uiPriority w:val="98"/>
    <w:semiHidden/>
    <w:rsid w:val="00B12EF5"/>
  </w:style>
  <w:style w:type="paragraph" w:customStyle="1" w:styleId="AnnexureSub">
    <w:name w:val="AnnexureSub"/>
    <w:basedOn w:val="AnnexureHeading"/>
    <w:next w:val="NormalAshurst"/>
    <w:uiPriority w:val="9"/>
    <w:rsid w:val="002C7AAE"/>
    <w:pPr>
      <w:jc w:val="center"/>
    </w:pPr>
    <w:rPr>
      <w:b/>
      <w:bCs w:val="0"/>
    </w:rPr>
  </w:style>
  <w:style w:type="paragraph" w:customStyle="1" w:styleId="Exhibit">
    <w:name w:val="Exhibit#"/>
    <w:basedOn w:val="BaseH2AgtAdv"/>
    <w:next w:val="ExhibitHeading"/>
    <w:uiPriority w:val="9"/>
    <w:qFormat/>
    <w:rsid w:val="002660E8"/>
    <w:pPr>
      <w:keepNext/>
      <w:numPr>
        <w:numId w:val="30"/>
      </w:numPr>
      <w:outlineLvl w:val="0"/>
    </w:pPr>
  </w:style>
  <w:style w:type="paragraph" w:styleId="Caption">
    <w:name w:val="caption"/>
    <w:basedOn w:val="BaseFtnotesCaptionAgtAdvice"/>
    <w:next w:val="Normal"/>
    <w:uiPriority w:val="99"/>
    <w:qFormat/>
    <w:rsid w:val="00FB21FE"/>
    <w:pPr>
      <w:spacing w:line="240" w:lineRule="auto"/>
    </w:pPr>
    <w:rPr>
      <w:b/>
      <w:bCs w:val="0"/>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semiHidden/>
    <w:rsid w:val="00262A2E"/>
  </w:style>
  <w:style w:type="table" w:styleId="ColourfulGrid">
    <w:name w:val="Colorful Grid"/>
    <w:basedOn w:val="TableNormal"/>
    <w:uiPriority w:val="98"/>
    <w:semiHidden/>
    <w:rsid w:val="00B12EF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B12EF5"/>
    <w:tblPr>
      <w:tblStyleRowBandSize w:val="1"/>
      <w:tblStyleColBandSize w:val="1"/>
      <w:tblBorders>
        <w:insideH w:val="single" w:sz="4" w:space="0" w:color="FFFFFF" w:themeColor="background1"/>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ColourfulGridAccent2">
    <w:name w:val="Colorful Grid Accent 2"/>
    <w:basedOn w:val="TableNormal"/>
    <w:uiPriority w:val="98"/>
    <w:semiHidden/>
    <w:rsid w:val="00B12EF5"/>
    <w:tblPr>
      <w:tblStyleRowBandSize w:val="1"/>
      <w:tblStyleColBandSize w:val="1"/>
      <w:tblBorders>
        <w:insideH w:val="single" w:sz="4" w:space="0" w:color="FFFFFF" w:themeColor="background1"/>
      </w:tblBorders>
    </w:tblPr>
    <w:tcPr>
      <w:shd w:val="clear" w:color="auto" w:fill="E0F1F7" w:themeFill="accent2" w:themeFillTint="33"/>
    </w:tcPr>
    <w:tblStylePr w:type="firstRow">
      <w:rPr>
        <w:b/>
        <w:bCs/>
      </w:rPr>
      <w:tblPr/>
      <w:tcPr>
        <w:shd w:val="clear" w:color="auto" w:fill="C2E4EF" w:themeFill="accent2" w:themeFillTint="66"/>
      </w:tcPr>
    </w:tblStylePr>
    <w:tblStylePr w:type="lastRow">
      <w:rPr>
        <w:b/>
        <w:bCs/>
        <w:color w:val="000000" w:themeColor="text1"/>
      </w:rPr>
      <w:tblPr/>
      <w:tcPr>
        <w:shd w:val="clear" w:color="auto" w:fill="C2E4EF" w:themeFill="accent2" w:themeFillTint="66"/>
      </w:tcPr>
    </w:tblStylePr>
    <w:tblStylePr w:type="firstCol">
      <w:rPr>
        <w:color w:val="FFFFFF" w:themeColor="background1"/>
      </w:rPr>
      <w:tblPr/>
      <w:tcPr>
        <w:shd w:val="clear" w:color="auto" w:fill="309BBF" w:themeFill="accent2" w:themeFillShade="BF"/>
      </w:tcPr>
    </w:tblStylePr>
    <w:tblStylePr w:type="lastCol">
      <w:rPr>
        <w:color w:val="FFFFFF" w:themeColor="background1"/>
      </w:rPr>
      <w:tblPr/>
      <w:tcPr>
        <w:shd w:val="clear" w:color="auto" w:fill="309BBF" w:themeFill="accent2" w:themeFillShade="BF"/>
      </w:tc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ColourfulGridAccent3">
    <w:name w:val="Colorful Grid Accent 3"/>
    <w:basedOn w:val="TableNormal"/>
    <w:uiPriority w:val="98"/>
    <w:semiHidden/>
    <w:rsid w:val="00B12EF5"/>
    <w:tblPr>
      <w:tblStyleRowBandSize w:val="1"/>
      <w:tblStyleColBandSize w:val="1"/>
      <w:tblBorders>
        <w:insideH w:val="single" w:sz="4" w:space="0" w:color="FFFFFF" w:themeColor="background1"/>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ColourfulGridAccent4">
    <w:name w:val="Colorful Grid Accent 4"/>
    <w:basedOn w:val="TableNormal"/>
    <w:uiPriority w:val="98"/>
    <w:semiHidden/>
    <w:rsid w:val="00B12EF5"/>
    <w:tblPr>
      <w:tblStyleRowBandSize w:val="1"/>
      <w:tblStyleColBandSize w:val="1"/>
      <w:tblBorders>
        <w:insideH w:val="single" w:sz="4" w:space="0" w:color="FFFFFF" w:themeColor="background1"/>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ColourfulGridAccent5">
    <w:name w:val="Colorful Grid Accent 5"/>
    <w:basedOn w:val="TableNormal"/>
    <w:uiPriority w:val="98"/>
    <w:semiHidden/>
    <w:rsid w:val="00B12EF5"/>
    <w:tblPr>
      <w:tblStyleRowBandSize w:val="1"/>
      <w:tblStyleColBandSize w:val="1"/>
      <w:tblBorders>
        <w:insideH w:val="single" w:sz="4" w:space="0" w:color="FFFFFF" w:themeColor="background1"/>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ColourfulGridAccent6">
    <w:name w:val="Colorful Grid Accent 6"/>
    <w:basedOn w:val="TableNormal"/>
    <w:uiPriority w:val="98"/>
    <w:semiHidden/>
    <w:rsid w:val="00B12EF5"/>
    <w:tblPr>
      <w:tblStyleRowBandSize w:val="1"/>
      <w:tblStyleColBandSize w:val="1"/>
      <w:tblBorders>
        <w:insideH w:val="single" w:sz="4" w:space="0" w:color="FFFFFF" w:themeColor="background1"/>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ColourfulList">
    <w:name w:val="Colorful List"/>
    <w:basedOn w:val="TableNormal"/>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ColourfulListAccent2">
    <w:name w:val="Colorful List Accent 2"/>
    <w:basedOn w:val="TableNormal"/>
    <w:uiPriority w:val="98"/>
    <w:semiHidden/>
    <w:rsid w:val="00B12EF5"/>
    <w:tblPr>
      <w:tblStyleRowBandSize w:val="1"/>
      <w:tblStyleColBandSize w:val="1"/>
    </w:tblPr>
    <w:tcPr>
      <w:shd w:val="clear" w:color="auto" w:fill="F0F8FB" w:themeFill="accent2"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2" w:themeFillTint="3F"/>
      </w:tcPr>
    </w:tblStylePr>
    <w:tblStylePr w:type="band1Horz">
      <w:tblPr/>
      <w:tcPr>
        <w:shd w:val="clear" w:color="auto" w:fill="E0F1F7" w:themeFill="accent2" w:themeFillTint="33"/>
      </w:tcPr>
    </w:tblStylePr>
  </w:style>
  <w:style w:type="table" w:styleId="ColourfulListAccent3">
    <w:name w:val="Colorful List Accent 3"/>
    <w:basedOn w:val="TableNormal"/>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sz="12" w:space="0" w:color="FFFFFF" w:themeColor="background1"/>
        </w:tcBorders>
        <w:shd w:val="clear" w:color="auto" w:fill="43B1A2" w:themeFill="accent4" w:themeFillShade="CC"/>
      </w:tcPr>
    </w:tblStylePr>
    <w:tblStylePr w:type="lastRow">
      <w:rPr>
        <w:b/>
        <w:bCs/>
        <w:color w:val="43B1A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ColourfulListAccent4">
    <w:name w:val="Colorful List Accent 4"/>
    <w:basedOn w:val="TableNormal"/>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sz="12" w:space="0" w:color="FFFFFF" w:themeColor="background1"/>
        </w:tcBorders>
        <w:shd w:val="clear" w:color="auto" w:fill="143A4C" w:themeFill="accent3" w:themeFillShade="CC"/>
      </w:tcPr>
    </w:tblStylePr>
    <w:tblStylePr w:type="lastRow">
      <w:rPr>
        <w:b/>
        <w:bCs/>
        <w:color w:val="143A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ColourfulListAccent5">
    <w:name w:val="Colorful List Accent 5"/>
    <w:basedOn w:val="TableNormal"/>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sz="12" w:space="0" w:color="FFFFFF" w:themeColor="background1"/>
        </w:tcBorders>
        <w:shd w:val="clear" w:color="auto" w:fill="C09668" w:themeFill="accent6" w:themeFillShade="CC"/>
      </w:tcPr>
    </w:tblStylePr>
    <w:tblStylePr w:type="lastRow">
      <w:rPr>
        <w:b/>
        <w:bCs/>
        <w:color w:val="C09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ColourfulListAccent6">
    <w:name w:val="Colorful List Accent 6"/>
    <w:basedOn w:val="TableNormal"/>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sz="12" w:space="0" w:color="FFFFFF" w:themeColor="background1"/>
        </w:tcBorders>
        <w:shd w:val="clear" w:color="auto" w:fill="263B3B" w:themeFill="accent5" w:themeFillShade="CC"/>
      </w:tcPr>
    </w:tblStylePr>
    <w:tblStylePr w:type="lastRow">
      <w:rPr>
        <w:b/>
        <w:bCs/>
        <w:color w:val="263B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ColourfulShading">
    <w:name w:val="Colorful Shading"/>
    <w:basedOn w:val="TableNormal"/>
    <w:uiPriority w:val="98"/>
    <w:semiHidden/>
    <w:rsid w:val="00B12EF5"/>
    <w:tblPr>
      <w:tblStyleRowBandSize w:val="1"/>
      <w:tblStyleColBandSize w:val="1"/>
      <w:tblBorders>
        <w:top w:val="single" w:sz="24" w:space="0" w:color="68B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B12EF5"/>
    <w:tblPr>
      <w:tblStyleRowBandSize w:val="1"/>
      <w:tblStyleColBandSize w:val="1"/>
      <w:tblBorders>
        <w:top w:val="single" w:sz="24" w:space="0" w:color="68BDD9" w:themeColor="accent2"/>
        <w:left w:val="single" w:sz="4" w:space="0" w:color="FF5F49" w:themeColor="accent1"/>
        <w:bottom w:val="single" w:sz="4" w:space="0" w:color="FF5F49" w:themeColor="accent1"/>
        <w:right w:val="single" w:sz="4" w:space="0" w:color="FF5F49" w:themeColor="accent1"/>
        <w:insideH w:val="single" w:sz="4" w:space="0" w:color="FFFFFF" w:themeColor="background1"/>
        <w:insideV w:val="single" w:sz="4" w:space="0" w:color="FFFFFF" w:themeColor="background1"/>
      </w:tblBorders>
    </w:tblPr>
    <w:tcPr>
      <w:shd w:val="clear" w:color="auto" w:fill="FFEFED" w:themeFill="accen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sz="4" w:space="0" w:color="C41700" w:themeColor="accent1" w:themeShade="99"/>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B12EF5"/>
    <w:tblPr>
      <w:tblStyleRowBandSize w:val="1"/>
      <w:tblStyleColBandSize w:val="1"/>
      <w:tblBorders>
        <w:top w:val="single" w:sz="24" w:space="0" w:color="68BDD9" w:themeColor="accent2"/>
        <w:left w:val="single" w:sz="4" w:space="0" w:color="68BDD9" w:themeColor="accent2"/>
        <w:bottom w:val="single" w:sz="4" w:space="0" w:color="68BDD9" w:themeColor="accent2"/>
        <w:right w:val="single" w:sz="4" w:space="0" w:color="68BDD9" w:themeColor="accent2"/>
        <w:insideH w:val="single" w:sz="4" w:space="0" w:color="FFFFFF" w:themeColor="background1"/>
        <w:insideV w:val="single" w:sz="4" w:space="0" w:color="FFFFFF" w:themeColor="background1"/>
      </w:tblBorders>
    </w:tblPr>
    <w:tcPr>
      <w:shd w:val="clear" w:color="auto" w:fill="F0F8FB" w:themeFill="accent2"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7C99" w:themeFill="accent2" w:themeFillShade="99"/>
      </w:tcPr>
    </w:tblStylePr>
    <w:tblStylePr w:type="firstCol">
      <w:rPr>
        <w:color w:val="FFFFFF" w:themeColor="background1"/>
      </w:rPr>
      <w:tblPr/>
      <w:tcPr>
        <w:tcBorders>
          <w:top w:val="nil"/>
          <w:left w:val="nil"/>
          <w:bottom w:val="nil"/>
          <w:right w:val="nil"/>
          <w:insideH w:val="single" w:sz="4" w:space="0" w:color="267C99" w:themeColor="accent2" w:themeShade="99"/>
          <w:insideV w:val="nil"/>
        </w:tcBorders>
        <w:shd w:val="clear" w:color="auto" w:fill="267C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7C99" w:themeFill="accent2" w:themeFillShade="99"/>
      </w:tcPr>
    </w:tblStylePr>
    <w:tblStylePr w:type="band1Vert">
      <w:tblPr/>
      <w:tcPr>
        <w:shd w:val="clear" w:color="auto" w:fill="C2E4EF" w:themeFill="accent2" w:themeFillTint="66"/>
      </w:tcPr>
    </w:tblStylePr>
    <w:tblStylePr w:type="band1Horz">
      <w:tblPr/>
      <w:tcPr>
        <w:shd w:val="clear" w:color="auto" w:fill="B3DDEC"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B12EF5"/>
    <w:tblPr>
      <w:tblStyleRowBandSize w:val="1"/>
      <w:tblStyleColBandSize w:val="1"/>
      <w:tblBorders>
        <w:top w:val="single" w:sz="24" w:space="0" w:color="6BC7BB" w:themeColor="accent4"/>
        <w:left w:val="single" w:sz="4" w:space="0" w:color="1A4960" w:themeColor="accent3"/>
        <w:bottom w:val="single" w:sz="4" w:space="0" w:color="1A4960" w:themeColor="accent3"/>
        <w:right w:val="single" w:sz="4" w:space="0" w:color="1A4960" w:themeColor="accent3"/>
        <w:insideH w:val="single" w:sz="4" w:space="0" w:color="FFFFFF" w:themeColor="background1"/>
        <w:insideV w:val="single" w:sz="4" w:space="0" w:color="FFFFFF" w:themeColor="background1"/>
      </w:tblBorders>
    </w:tblPr>
    <w:tcPr>
      <w:shd w:val="clear" w:color="auto" w:fill="E0EFF6" w:themeFill="accent3" w:themeFillTint="19"/>
    </w:tcPr>
    <w:tblStylePr w:type="firstRow">
      <w:rPr>
        <w:b/>
        <w:bCs/>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sz="4" w:space="0" w:color="0F2B39" w:themeColor="accent3" w:themeShade="99"/>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ColourfulShadingAccent4">
    <w:name w:val="Colorful Shading Accent 4"/>
    <w:basedOn w:val="TableNormal"/>
    <w:uiPriority w:val="98"/>
    <w:semiHidden/>
    <w:rsid w:val="00B12EF5"/>
    <w:tblPr>
      <w:tblStyleRowBandSize w:val="1"/>
      <w:tblStyleColBandSize w:val="1"/>
      <w:tblBorders>
        <w:top w:val="single" w:sz="24" w:space="0" w:color="1A4960" w:themeColor="accent3"/>
        <w:left w:val="single" w:sz="4" w:space="0" w:color="6BC7BB" w:themeColor="accent4"/>
        <w:bottom w:val="single" w:sz="4" w:space="0" w:color="6BC7BB" w:themeColor="accent4"/>
        <w:right w:val="single" w:sz="4" w:space="0" w:color="6BC7BB" w:themeColor="accent4"/>
        <w:insideH w:val="single" w:sz="4" w:space="0" w:color="FFFFFF" w:themeColor="background1"/>
        <w:insideV w:val="single" w:sz="4" w:space="0" w:color="FFFFFF" w:themeColor="background1"/>
      </w:tblBorders>
    </w:tblPr>
    <w:tcPr>
      <w:shd w:val="clear" w:color="auto" w:fill="F0F9F8" w:themeFill="accent4" w:themeFillTint="19"/>
    </w:tcPr>
    <w:tblStylePr w:type="firstRow">
      <w:rPr>
        <w:b/>
        <w:bCs/>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sz="4" w:space="0" w:color="328579" w:themeColor="accent4" w:themeShade="99"/>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B12EF5"/>
    <w:tblPr>
      <w:tblStyleRowBandSize w:val="1"/>
      <w:tblStyleColBandSize w:val="1"/>
      <w:tblBorders>
        <w:top w:val="single" w:sz="24" w:space="0" w:color="D6BB9D" w:themeColor="accent6"/>
        <w:left w:val="single" w:sz="4" w:space="0" w:color="304B4B" w:themeColor="accent5"/>
        <w:bottom w:val="single" w:sz="4" w:space="0" w:color="304B4B" w:themeColor="accent5"/>
        <w:right w:val="single" w:sz="4" w:space="0" w:color="304B4B" w:themeColor="accent5"/>
        <w:insideH w:val="single" w:sz="4" w:space="0" w:color="FFFFFF" w:themeColor="background1"/>
        <w:insideV w:val="single" w:sz="4" w:space="0" w:color="FFFFFF" w:themeColor="background1"/>
      </w:tblBorders>
    </w:tblPr>
    <w:tcPr>
      <w:shd w:val="clear" w:color="auto" w:fill="E7F0F0" w:themeFill="accent5" w:themeFillTint="19"/>
    </w:tcPr>
    <w:tblStylePr w:type="firstRow">
      <w:rPr>
        <w:b/>
        <w:bCs/>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sz="4" w:space="0" w:color="1C2C2C" w:themeColor="accent5" w:themeShade="99"/>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B12EF5"/>
    <w:tblPr>
      <w:tblStyleRowBandSize w:val="1"/>
      <w:tblStyleColBandSize w:val="1"/>
      <w:tblBorders>
        <w:top w:val="single" w:sz="24" w:space="0" w:color="304B4B" w:themeColor="accent5"/>
        <w:left w:val="single" w:sz="4" w:space="0" w:color="D6BB9D" w:themeColor="accent6"/>
        <w:bottom w:val="single" w:sz="4" w:space="0" w:color="D6BB9D" w:themeColor="accent6"/>
        <w:right w:val="single" w:sz="4" w:space="0" w:color="D6BB9D" w:themeColor="accent6"/>
        <w:insideH w:val="single" w:sz="4" w:space="0" w:color="FFFFFF" w:themeColor="background1"/>
        <w:insideV w:val="single" w:sz="4" w:space="0" w:color="FFFFFF" w:themeColor="background1"/>
      </w:tblBorders>
    </w:tblPr>
    <w:tcPr>
      <w:shd w:val="clear" w:color="auto" w:fill="FBF8F5" w:themeFill="accent6" w:themeFillTint="19"/>
    </w:tcPr>
    <w:tblStylePr w:type="firstRow">
      <w:rPr>
        <w:b/>
        <w:bCs/>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sz="4" w:space="0" w:color="9C7141" w:themeColor="accent6" w:themeShade="99"/>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B12EF5"/>
    <w:rPr>
      <w:rFonts w:asciiTheme="minorHAnsi" w:eastAsiaTheme="minorEastAsia" w:hAnsiTheme="minorHAnsi" w:cstheme="minorBidi"/>
      <w:sz w:val="16"/>
      <w:szCs w:val="22"/>
    </w:rPr>
  </w:style>
  <w:style w:type="paragraph" w:styleId="CommentText">
    <w:name w:val="annotation text"/>
    <w:basedOn w:val="Normal"/>
    <w:link w:val="CommentTextChar"/>
    <w:uiPriority w:val="99"/>
    <w:unhideWhenUsed/>
    <w:rsid w:val="00B12EF5"/>
    <w:pPr>
      <w:spacing w:line="240" w:lineRule="auto"/>
    </w:pPr>
    <w:rPr>
      <w:szCs w:val="26"/>
    </w:rPr>
  </w:style>
  <w:style w:type="character" w:customStyle="1" w:styleId="CommentTextChar">
    <w:name w:val="Comment Text Char"/>
    <w:basedOn w:val="DefaultParagraphFont"/>
    <w:link w:val="CommentText"/>
    <w:uiPriority w:val="99"/>
    <w:rsid w:val="00262A2E"/>
    <w:rPr>
      <w:szCs w:val="26"/>
    </w:rPr>
  </w:style>
  <w:style w:type="paragraph" w:styleId="CommentSubject">
    <w:name w:val="annotation subject"/>
    <w:basedOn w:val="CommentText"/>
    <w:next w:val="CommentText"/>
    <w:link w:val="CommentSubjectChar"/>
    <w:uiPriority w:val="99"/>
    <w:unhideWhenUsed/>
    <w:rsid w:val="00B12EF5"/>
    <w:rPr>
      <w:b/>
      <w:bCs/>
    </w:rPr>
  </w:style>
  <w:style w:type="character" w:customStyle="1" w:styleId="CommentSubjectChar">
    <w:name w:val="Comment Subject Char"/>
    <w:basedOn w:val="CommentTextChar"/>
    <w:link w:val="CommentSubject"/>
    <w:uiPriority w:val="99"/>
    <w:rsid w:val="00262A2E"/>
    <w:rPr>
      <w:b/>
      <w:bCs/>
      <w:szCs w:val="26"/>
    </w:r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semiHidden/>
    <w:rsid w:val="00262A2E"/>
  </w:style>
  <w:style w:type="paragraph" w:styleId="DocumentMap">
    <w:name w:val="Document Map"/>
    <w:basedOn w:val="Normal"/>
    <w:link w:val="DocumentMapChar"/>
    <w:uiPriority w:val="98"/>
    <w:semiHidden/>
    <w:rsid w:val="00B12EF5"/>
    <w:pPr>
      <w:spacing w:line="240" w:lineRule="auto"/>
    </w:pPr>
    <w:rPr>
      <w:sz w:val="16"/>
      <w:szCs w:val="22"/>
    </w:rPr>
  </w:style>
  <w:style w:type="character" w:customStyle="1" w:styleId="DocumentMapChar">
    <w:name w:val="Document Map Char"/>
    <w:basedOn w:val="DefaultParagraphFont"/>
    <w:link w:val="DocumentMap"/>
    <w:uiPriority w:val="98"/>
    <w:semiHidden/>
    <w:rsid w:val="00262A2E"/>
    <w:rPr>
      <w:sz w:val="16"/>
      <w:szCs w:val="22"/>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semiHidden/>
    <w:rsid w:val="00262A2E"/>
  </w:style>
  <w:style w:type="character" w:styleId="Emphasis">
    <w:name w:val="Emphasis"/>
    <w:basedOn w:val="DefaultParagraphFont"/>
    <w:uiPriority w:val="98"/>
    <w:rsid w:val="00B12EF5"/>
    <w:rPr>
      <w:rFonts w:asciiTheme="minorHAnsi" w:eastAsiaTheme="minorEastAsia" w:hAnsiTheme="minorHAnsi" w:cstheme="minorBidi"/>
      <w:i/>
      <w:iCs/>
      <w:szCs w:val="24"/>
    </w:rPr>
  </w:style>
  <w:style w:type="character" w:styleId="EndnoteReference">
    <w:name w:val="endnote reference"/>
    <w:basedOn w:val="FootnoteReference"/>
    <w:uiPriority w:val="24"/>
    <w:rsid w:val="003164F4"/>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524254"/>
    <w:rPr>
      <w:bCs/>
    </w:rPr>
  </w:style>
  <w:style w:type="character" w:customStyle="1" w:styleId="EndnoteTextChar">
    <w:name w:val="Endnote Text Char"/>
    <w:basedOn w:val="DefaultParagraphFont"/>
    <w:link w:val="EndnoteText"/>
    <w:uiPriority w:val="14"/>
    <w:rsid w:val="00524254"/>
    <w:rPr>
      <w:sz w:val="16"/>
      <w:szCs w:val="16"/>
    </w:rPr>
  </w:style>
  <w:style w:type="paragraph" w:styleId="EnvelopeAddress">
    <w:name w:val="envelope address"/>
    <w:basedOn w:val="NormalAshurst"/>
    <w:uiPriority w:val="98"/>
    <w:semiHidden/>
    <w:rsid w:val="00881C1F"/>
    <w:pPr>
      <w:framePr w:w="7920" w:h="1980" w:hRule="exact" w:hSpace="180" w:wrap="auto" w:hAnchor="page" w:xAlign="center" w:yAlign="bottom"/>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9"/>
    <w:rsid w:val="00194651"/>
    <w:rPr>
      <w:rFonts w:asciiTheme="minorHAnsi" w:eastAsiaTheme="minorEastAsia" w:hAnsiTheme="minorHAnsi" w:cstheme="minorBidi"/>
      <w:color w:val="954F72"/>
      <w:szCs w:val="24"/>
      <w:u w:val="single"/>
    </w:rPr>
  </w:style>
  <w:style w:type="paragraph" w:styleId="Footer">
    <w:name w:val="footer"/>
    <w:basedOn w:val="BaseRubricDocRef"/>
    <w:link w:val="FooterChar"/>
    <w:uiPriority w:val="99"/>
    <w:rsid w:val="009F5E20"/>
    <w:pPr>
      <w:tabs>
        <w:tab w:val="center" w:pos="4513"/>
        <w:tab w:val="right" w:pos="9026"/>
      </w:tabs>
      <w:spacing w:after="0"/>
    </w:pPr>
    <w:rPr>
      <w:szCs w:val="20"/>
    </w:rPr>
  </w:style>
  <w:style w:type="character" w:customStyle="1" w:styleId="FooterChar">
    <w:name w:val="Footer Char"/>
    <w:basedOn w:val="DefaultParagraphFont"/>
    <w:link w:val="Footer"/>
    <w:uiPriority w:val="99"/>
    <w:rsid w:val="009F5E20"/>
    <w:rPr>
      <w:color w:val="auto"/>
      <w:sz w:val="13"/>
      <w:szCs w:val="20"/>
    </w:rPr>
  </w:style>
  <w:style w:type="paragraph" w:styleId="Header">
    <w:name w:val="header"/>
    <w:basedOn w:val="BaseFtnotesCaptionAgtAdvice"/>
    <w:link w:val="HeaderChar"/>
    <w:rsid w:val="00FB0B30"/>
    <w:pPr>
      <w:ind w:left="782"/>
      <w:jc w:val="right"/>
    </w:pPr>
  </w:style>
  <w:style w:type="character" w:customStyle="1" w:styleId="HeaderChar">
    <w:name w:val="Header Char"/>
    <w:basedOn w:val="DefaultParagraphFont"/>
    <w:link w:val="Header"/>
    <w:rsid w:val="00FB0B30"/>
    <w:rPr>
      <w:bCs/>
      <w:sz w:val="16"/>
      <w:szCs w:val="16"/>
    </w:rPr>
  </w:style>
  <w:style w:type="character" w:styleId="Hyperlink">
    <w:name w:val="Hyperlink"/>
    <w:basedOn w:val="DefaultParagraphFont"/>
    <w:uiPriority w:val="99"/>
    <w:qFormat/>
    <w:rsid w:val="0060404C"/>
    <w:rPr>
      <w:rFonts w:asciiTheme="minorHAnsi" w:eastAsiaTheme="minorEastAsia" w:hAnsiTheme="minorHAnsi" w:cstheme="minorBidi"/>
      <w:color w:val="CC3300"/>
      <w:szCs w:val="24"/>
      <w:u w:val="single"/>
    </w:rPr>
  </w:style>
  <w:style w:type="paragraph" w:styleId="Index2">
    <w:name w:val="index 2"/>
    <w:basedOn w:val="Normal"/>
    <w:next w:val="Normal"/>
    <w:uiPriority w:val="98"/>
    <w:unhideWhenUsed/>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rsid w:val="00B12EF5"/>
    <w:rPr>
      <w:rFonts w:asciiTheme="minorHAnsi" w:eastAsiaTheme="minorEastAsia" w:hAnsiTheme="minorHAnsi" w:cstheme="minorBidi"/>
      <w:b/>
      <w:bCs/>
      <w:i/>
      <w:iCs/>
      <w:color w:val="FF5F49" w:themeColor="accent1"/>
      <w:szCs w:val="24"/>
    </w:rPr>
  </w:style>
  <w:style w:type="paragraph" w:styleId="IntenseQuote">
    <w:name w:val="Intense Quote"/>
    <w:basedOn w:val="Normal"/>
    <w:next w:val="Normal"/>
    <w:link w:val="IntenseQuoteChar"/>
    <w:uiPriority w:val="98"/>
    <w:rsid w:val="002312FF"/>
    <w:pPr>
      <w:spacing w:before="200" w:after="280"/>
      <w:ind w:left="936" w:right="936"/>
    </w:pPr>
    <w:rPr>
      <w:b/>
      <w:bCs/>
      <w:i/>
      <w:iCs/>
      <w:color w:val="FF5F49" w:themeColor="accent1"/>
    </w:rPr>
  </w:style>
  <w:style w:type="character" w:customStyle="1" w:styleId="IntenseQuoteChar">
    <w:name w:val="Intense Quote Char"/>
    <w:basedOn w:val="DefaultParagraphFont"/>
    <w:link w:val="IntenseQuote"/>
    <w:uiPriority w:val="98"/>
    <w:rsid w:val="00262A2E"/>
    <w:rPr>
      <w:b/>
      <w:bCs/>
      <w:i/>
      <w:iCs/>
      <w:color w:val="FF5F49" w:themeColor="accent1"/>
    </w:rPr>
  </w:style>
  <w:style w:type="character" w:styleId="IntenseReference">
    <w:name w:val="Intense Reference"/>
    <w:basedOn w:val="DefaultParagraphFont"/>
    <w:uiPriority w:val="98"/>
    <w:rsid w:val="002312FF"/>
    <w:rPr>
      <w:rFonts w:asciiTheme="minorHAnsi" w:eastAsiaTheme="minorEastAsia" w:hAnsiTheme="minorHAnsi" w:cstheme="minorBidi"/>
      <w:b/>
      <w:bCs/>
      <w:smallCaps/>
      <w:color w:val="68BDD9" w:themeColor="accent2"/>
      <w:spacing w:val="5"/>
      <w:szCs w:val="24"/>
      <w:u w:val="non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18" w:space="0" w:color="FF5F49" w:themeColor="accent1"/>
          <w:right w:val="single" w:sz="8" w:space="0" w:color="FF5F49" w:themeColor="accent1"/>
          <w:insideH w:val="nil"/>
          <w:insideV w:val="single" w:sz="8" w:space="0" w:color="FF5F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insideH w:val="nil"/>
          <w:insideV w:val="single" w:sz="8" w:space="0" w:color="FF5F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shd w:val="clear" w:color="auto" w:fill="FFD7D2" w:themeFill="accent1" w:themeFillTint="3F"/>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shd w:val="clear" w:color="auto" w:fill="FFD7D2" w:themeFill="accent1" w:themeFillTint="3F"/>
      </w:tcPr>
    </w:tblStylePr>
    <w:tblStylePr w:type="band2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18" w:space="0" w:color="68BDD9" w:themeColor="accent2"/>
          <w:right w:val="single" w:sz="8" w:space="0" w:color="68BDD9" w:themeColor="accent2"/>
          <w:insideH w:val="nil"/>
          <w:insideV w:val="single" w:sz="8" w:space="0" w:color="68B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insideH w:val="nil"/>
          <w:insideV w:val="single" w:sz="8" w:space="0" w:color="68B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shd w:val="clear" w:color="auto" w:fill="D9EEF5" w:themeFill="accent2" w:themeFillTint="3F"/>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shd w:val="clear" w:color="auto" w:fill="D9EEF5" w:themeFill="accent2" w:themeFillTint="3F"/>
      </w:tcPr>
    </w:tblStylePr>
    <w:tblStylePr w:type="band2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18" w:space="0" w:color="1A4960" w:themeColor="accent3"/>
          <w:right w:val="single" w:sz="8" w:space="0" w:color="1A4960" w:themeColor="accent3"/>
          <w:insideH w:val="nil"/>
          <w:insideV w:val="single" w:sz="8" w:space="0" w:color="1A49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insideH w:val="nil"/>
          <w:insideV w:val="single" w:sz="8" w:space="0" w:color="1A49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shd w:val="clear" w:color="auto" w:fill="B3D8EA" w:themeFill="accent3" w:themeFillTint="3F"/>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shd w:val="clear" w:color="auto" w:fill="B3D8EA" w:themeFill="accent3" w:themeFillTint="3F"/>
      </w:tcPr>
    </w:tblStylePr>
    <w:tblStylePr w:type="band2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18" w:space="0" w:color="6BC7BB" w:themeColor="accent4"/>
          <w:right w:val="single" w:sz="8" w:space="0" w:color="6BC7BB" w:themeColor="accent4"/>
          <w:insideH w:val="nil"/>
          <w:insideV w:val="single" w:sz="8" w:space="0" w:color="6BC7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insideH w:val="nil"/>
          <w:insideV w:val="single" w:sz="8" w:space="0" w:color="6BC7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shd w:val="clear" w:color="auto" w:fill="DAF1EE" w:themeFill="accent4" w:themeFillTint="3F"/>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shd w:val="clear" w:color="auto" w:fill="DAF1EE" w:themeFill="accent4" w:themeFillTint="3F"/>
      </w:tcPr>
    </w:tblStylePr>
    <w:tblStylePr w:type="band2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18" w:space="0" w:color="304B4B" w:themeColor="accent5"/>
          <w:right w:val="single" w:sz="8" w:space="0" w:color="304B4B" w:themeColor="accent5"/>
          <w:insideH w:val="nil"/>
          <w:insideV w:val="single" w:sz="8" w:space="0" w:color="304B4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insideH w:val="nil"/>
          <w:insideV w:val="single" w:sz="8" w:space="0" w:color="304B4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shd w:val="clear" w:color="auto" w:fill="C4D9D9" w:themeFill="accent5" w:themeFillTint="3F"/>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shd w:val="clear" w:color="auto" w:fill="C4D9D9" w:themeFill="accent5" w:themeFillTint="3F"/>
      </w:tcPr>
    </w:tblStylePr>
    <w:tblStylePr w:type="band2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18" w:space="0" w:color="D6BB9D" w:themeColor="accent6"/>
          <w:right w:val="single" w:sz="8" w:space="0" w:color="D6BB9D" w:themeColor="accent6"/>
          <w:insideH w:val="nil"/>
          <w:insideV w:val="single" w:sz="8" w:space="0" w:color="D6BB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insideH w:val="nil"/>
          <w:insideV w:val="single" w:sz="8" w:space="0" w:color="D6BB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shd w:val="clear" w:color="auto" w:fill="F4EEE6" w:themeFill="accent6" w:themeFillTint="3F"/>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shd w:val="clear" w:color="auto" w:fill="F4EEE6" w:themeFill="accent6" w:themeFillTint="3F"/>
      </w:tcPr>
    </w:tblStylePr>
    <w:tblStylePr w:type="band2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tcBorders>
      </w:tcPr>
    </w:tblStylePr>
    <w:tblStylePr w:type="firstCol">
      <w:rPr>
        <w:b/>
        <w:bCs/>
      </w:rPr>
    </w:tblStylePr>
    <w:tblStylePr w:type="lastCol">
      <w:rPr>
        <w:b/>
        <w:bCs/>
      </w:r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pPr>
        <w:spacing w:before="0" w:after="0" w:line="240" w:lineRule="auto"/>
      </w:pPr>
      <w:rPr>
        <w:b/>
        <w:bCs/>
        <w:color w:val="FFFFFF" w:themeColor="background1"/>
      </w:rPr>
      <w:tblPr/>
      <w:tcPr>
        <w:shd w:val="clear" w:color="auto" w:fill="68BDD9" w:themeFill="accent2"/>
      </w:tcPr>
    </w:tblStylePr>
    <w:tblStylePr w:type="lastRow">
      <w:pPr>
        <w:spacing w:before="0" w:after="0" w:line="240" w:lineRule="auto"/>
      </w:pPr>
      <w:rPr>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tcBorders>
      </w:tcPr>
    </w:tblStylePr>
    <w:tblStylePr w:type="firstCol">
      <w:rPr>
        <w:b/>
        <w:bCs/>
      </w:rPr>
    </w:tblStylePr>
    <w:tblStylePr w:type="lastCol">
      <w:rPr>
        <w:b/>
        <w:bCs/>
      </w:r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tcBorders>
      </w:tcPr>
    </w:tblStylePr>
    <w:tblStylePr w:type="firstCol">
      <w:rPr>
        <w:b/>
        <w:bCs/>
      </w:rPr>
    </w:tblStylePr>
    <w:tblStylePr w:type="lastCol">
      <w:rPr>
        <w:b/>
        <w:bCs/>
      </w:r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tcBorders>
      </w:tcPr>
    </w:tblStylePr>
    <w:tblStylePr w:type="firstCol">
      <w:rPr>
        <w:b/>
        <w:bCs/>
      </w:rPr>
    </w:tblStylePr>
    <w:tblStylePr w:type="lastCol">
      <w:rPr>
        <w:b/>
        <w:bCs/>
      </w:r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tcBorders>
      </w:tcPr>
    </w:tblStylePr>
    <w:tblStylePr w:type="firstCol">
      <w:rPr>
        <w:b/>
        <w:bCs/>
      </w:rPr>
    </w:tblStylePr>
    <w:tblStylePr w:type="lastCol">
      <w:rPr>
        <w:b/>
        <w:bCs/>
      </w:r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tcBorders>
      </w:tcPr>
    </w:tblStylePr>
    <w:tblStylePr w:type="firstCol">
      <w:rPr>
        <w:b/>
        <w:bCs/>
      </w:rPr>
    </w:tblStylePr>
    <w:tblStylePr w:type="lastCol">
      <w:rPr>
        <w:b/>
        <w:bCs/>
      </w:r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F51C00" w:themeColor="accent1" w:themeShade="BF"/>
    </w:rPr>
    <w:tblPr>
      <w:tblStyleRowBandSize w:val="1"/>
      <w:tblStyleColBandSize w:val="1"/>
      <w:tblBorders>
        <w:top w:val="single" w:sz="8" w:space="0" w:color="FF5F49" w:themeColor="accent1"/>
        <w:bottom w:val="single" w:sz="8" w:space="0" w:color="FF5F49" w:themeColor="accent1"/>
      </w:tblBorders>
    </w:tblPr>
    <w:tblStylePr w:type="fir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la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LightShading-Accent2">
    <w:name w:val="Light Shading Accent 2"/>
    <w:basedOn w:val="TableNormal"/>
    <w:uiPriority w:val="98"/>
    <w:semiHidden/>
    <w:rsid w:val="00B12EF5"/>
    <w:rPr>
      <w:color w:val="309BBF" w:themeColor="accent2" w:themeShade="BF"/>
    </w:rPr>
    <w:tblPr>
      <w:tblStyleRowBandSize w:val="1"/>
      <w:tblStyleColBandSize w:val="1"/>
      <w:tblBorders>
        <w:top w:val="single" w:sz="8" w:space="0" w:color="68BDD9" w:themeColor="accent2"/>
        <w:bottom w:val="single" w:sz="8" w:space="0" w:color="68BDD9" w:themeColor="accent2"/>
      </w:tblBorders>
    </w:tblPr>
    <w:tblStylePr w:type="fir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la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left w:val="nil"/>
          <w:right w:val="nil"/>
          <w:insideH w:val="nil"/>
          <w:insideV w:val="nil"/>
        </w:tcBorders>
        <w:shd w:val="clear" w:color="auto" w:fill="D9EEF5" w:themeFill="accent2" w:themeFillTint="3F"/>
      </w:tcPr>
    </w:tblStylePr>
  </w:style>
  <w:style w:type="table" w:styleId="LightShading-Accent3">
    <w:name w:val="Light Shading Accent 3"/>
    <w:basedOn w:val="TableNormal"/>
    <w:uiPriority w:val="98"/>
    <w:semiHidden/>
    <w:rsid w:val="00B12EF5"/>
    <w:rPr>
      <w:color w:val="133647" w:themeColor="accent3" w:themeShade="BF"/>
    </w:rPr>
    <w:tblPr>
      <w:tblStyleRowBandSize w:val="1"/>
      <w:tblStyleColBandSize w:val="1"/>
      <w:tblBorders>
        <w:top w:val="single" w:sz="8" w:space="0" w:color="1A4960" w:themeColor="accent3"/>
        <w:bottom w:val="single" w:sz="8" w:space="0" w:color="1A4960" w:themeColor="accent3"/>
      </w:tblBorders>
    </w:tblPr>
    <w:tblStylePr w:type="fir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la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LightShading-Accent4">
    <w:name w:val="Light Shading Accent 4"/>
    <w:basedOn w:val="TableNormal"/>
    <w:uiPriority w:val="98"/>
    <w:semiHidden/>
    <w:rsid w:val="00B12EF5"/>
    <w:rPr>
      <w:color w:val="3FA698" w:themeColor="accent4" w:themeShade="BF"/>
    </w:rPr>
    <w:tblPr>
      <w:tblStyleRowBandSize w:val="1"/>
      <w:tblStyleColBandSize w:val="1"/>
      <w:tblBorders>
        <w:top w:val="single" w:sz="8" w:space="0" w:color="6BC7BB" w:themeColor="accent4"/>
        <w:bottom w:val="single" w:sz="8" w:space="0" w:color="6BC7BB" w:themeColor="accent4"/>
      </w:tblBorders>
    </w:tblPr>
    <w:tblStylePr w:type="fir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la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LightShading-Accent5">
    <w:name w:val="Light Shading Accent 5"/>
    <w:basedOn w:val="TableNormal"/>
    <w:uiPriority w:val="98"/>
    <w:semiHidden/>
    <w:rsid w:val="00B12EF5"/>
    <w:rPr>
      <w:color w:val="243838" w:themeColor="accent5" w:themeShade="BF"/>
    </w:rPr>
    <w:tblPr>
      <w:tblStyleRowBandSize w:val="1"/>
      <w:tblStyleColBandSize w:val="1"/>
      <w:tblBorders>
        <w:top w:val="single" w:sz="8" w:space="0" w:color="304B4B" w:themeColor="accent5"/>
        <w:bottom w:val="single" w:sz="8" w:space="0" w:color="304B4B" w:themeColor="accent5"/>
      </w:tblBorders>
    </w:tblPr>
    <w:tblStylePr w:type="fir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la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LightShading-Accent6">
    <w:name w:val="Light Shading Accent 6"/>
    <w:basedOn w:val="TableNormal"/>
    <w:uiPriority w:val="98"/>
    <w:semiHidden/>
    <w:rsid w:val="00B12EF5"/>
    <w:rPr>
      <w:color w:val="BA8D5B" w:themeColor="accent6" w:themeShade="BF"/>
    </w:rPr>
    <w:tblPr>
      <w:tblStyleRowBandSize w:val="1"/>
      <w:tblStyleColBandSize w:val="1"/>
      <w:tblBorders>
        <w:top w:val="single" w:sz="8" w:space="0" w:color="D6BB9D" w:themeColor="accent6"/>
        <w:bottom w:val="single" w:sz="8" w:space="0" w:color="D6BB9D" w:themeColor="accent6"/>
      </w:tblBorders>
    </w:tblPr>
    <w:tblStylePr w:type="fir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la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LineNumber">
    <w:name w:val="line number"/>
    <w:basedOn w:val="DefaultParagraphFont"/>
    <w:uiPriority w:val="99"/>
    <w:semiHidden/>
    <w:rsid w:val="00B12EF5"/>
    <w:rPr>
      <w:rFonts w:asciiTheme="minorHAnsi" w:eastAsiaTheme="minorEastAsia" w:hAnsiTheme="minorHAnsi"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aliases w:val="Bullets"/>
    <w:basedOn w:val="Normal"/>
    <w:uiPriority w:val="99"/>
    <w:qFormat/>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tabs>
        <w:tab w:val="clear" w:pos="1209"/>
        <w:tab w:val="num" w:pos="782"/>
      </w:tabs>
      <w:ind w:left="782" w:hanging="782"/>
      <w:contextualSpacing/>
    </w:pPr>
  </w:style>
  <w:style w:type="paragraph" w:styleId="ListBullet5">
    <w:name w:val="List Bullet 5"/>
    <w:basedOn w:val="Normal"/>
    <w:uiPriority w:val="98"/>
    <w:semiHidden/>
    <w:rsid w:val="00B12EF5"/>
    <w:pPr>
      <w:numPr>
        <w:numId w:val="7"/>
      </w:numPr>
      <w:tabs>
        <w:tab w:val="clear" w:pos="1492"/>
        <w:tab w:val="num" w:pos="782"/>
      </w:tabs>
      <w:ind w:left="782" w:hanging="782"/>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tabs>
        <w:tab w:val="clear" w:pos="643"/>
        <w:tab w:val="num" w:pos="782"/>
      </w:tabs>
      <w:ind w:left="782" w:hanging="782"/>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34"/>
    <w:qFormat/>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croTextChar">
    <w:name w:val="Macro Text Char"/>
    <w:basedOn w:val="DefaultParagraphFont"/>
    <w:link w:val="MacroText"/>
    <w:uiPriority w:val="98"/>
    <w:semiHidden/>
    <w:rsid w:val="00262A2E"/>
    <w:rPr>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insideV w:val="single" w:sz="8" w:space="0" w:color="FF8676" w:themeColor="accent1" w:themeTint="BF"/>
      </w:tblBorders>
    </w:tblPr>
    <w:tcPr>
      <w:shd w:val="clear" w:color="auto" w:fill="FFD7D2" w:themeFill="accent1" w:themeFillTint="3F"/>
    </w:tcPr>
    <w:tblStylePr w:type="firstRow">
      <w:rPr>
        <w:b/>
        <w:bCs/>
      </w:rPr>
    </w:tblStylePr>
    <w:tblStylePr w:type="lastRow">
      <w:rPr>
        <w:b/>
        <w:bCs/>
      </w:rPr>
      <w:tblPr/>
      <w:tcPr>
        <w:tcBorders>
          <w:top w:val="single" w:sz="18" w:space="0" w:color="FF8676" w:themeColor="accent1" w:themeTint="BF"/>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insideV w:val="single" w:sz="8" w:space="0" w:color="8DCDE2" w:themeColor="accent2" w:themeTint="BF"/>
      </w:tblBorders>
    </w:tblPr>
    <w:tcPr>
      <w:shd w:val="clear" w:color="auto" w:fill="D9EEF5" w:themeFill="accent2" w:themeFillTint="3F"/>
    </w:tcPr>
    <w:tblStylePr w:type="firstRow">
      <w:rPr>
        <w:b/>
        <w:bCs/>
      </w:rPr>
    </w:tblStylePr>
    <w:tblStylePr w:type="lastRow">
      <w:rPr>
        <w:b/>
        <w:bCs/>
      </w:rPr>
      <w:tblPr/>
      <w:tcPr>
        <w:tcBorders>
          <w:top w:val="single" w:sz="18" w:space="0" w:color="8DCDE2" w:themeColor="accent2" w:themeTint="BF"/>
        </w:tcBorders>
      </w:tcPr>
    </w:tblStylePr>
    <w:tblStylePr w:type="firstCol">
      <w:rPr>
        <w:b/>
        <w:bCs/>
      </w:rPr>
    </w:tblStylePr>
    <w:tblStylePr w:type="lastCol">
      <w:rPr>
        <w:b/>
        <w:bCs/>
      </w:r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insideV w:val="single" w:sz="8" w:space="0" w:color="2E83AC" w:themeColor="accent3" w:themeTint="BF"/>
      </w:tblBorders>
    </w:tblPr>
    <w:tcPr>
      <w:shd w:val="clear" w:color="auto" w:fill="B3D8EA" w:themeFill="accent3" w:themeFillTint="3F"/>
    </w:tcPr>
    <w:tblStylePr w:type="firstRow">
      <w:rPr>
        <w:b/>
        <w:bCs/>
      </w:rPr>
    </w:tblStylePr>
    <w:tblStylePr w:type="lastRow">
      <w:rPr>
        <w:b/>
        <w:bCs/>
      </w:rPr>
      <w:tblPr/>
      <w:tcPr>
        <w:tcBorders>
          <w:top w:val="single" w:sz="18" w:space="0" w:color="2E83AC" w:themeColor="accent3" w:themeTint="BF"/>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insideV w:val="single" w:sz="8" w:space="0" w:color="90D5CB" w:themeColor="accent4" w:themeTint="BF"/>
      </w:tblBorders>
    </w:tblPr>
    <w:tcPr>
      <w:shd w:val="clear" w:color="auto" w:fill="DAF1EE" w:themeFill="accent4" w:themeFillTint="3F"/>
    </w:tcPr>
    <w:tblStylePr w:type="firstRow">
      <w:rPr>
        <w:b/>
        <w:bCs/>
      </w:rPr>
    </w:tblStylePr>
    <w:tblStylePr w:type="lastRow">
      <w:rPr>
        <w:b/>
        <w:bCs/>
      </w:rPr>
      <w:tblPr/>
      <w:tcPr>
        <w:tcBorders>
          <w:top w:val="single" w:sz="18" w:space="0" w:color="90D5CB" w:themeColor="accent4" w:themeTint="BF"/>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insideV w:val="single" w:sz="8" w:space="0" w:color="568686" w:themeColor="accent5" w:themeTint="BF"/>
      </w:tblBorders>
    </w:tblPr>
    <w:tcPr>
      <w:shd w:val="clear" w:color="auto" w:fill="C4D9D9" w:themeFill="accent5" w:themeFillTint="3F"/>
    </w:tcPr>
    <w:tblStylePr w:type="firstRow">
      <w:rPr>
        <w:b/>
        <w:bCs/>
      </w:rPr>
    </w:tblStylePr>
    <w:tblStylePr w:type="lastRow">
      <w:rPr>
        <w:b/>
        <w:bCs/>
      </w:rPr>
      <w:tblPr/>
      <w:tcPr>
        <w:tcBorders>
          <w:top w:val="single" w:sz="18" w:space="0" w:color="568686" w:themeColor="accent5" w:themeTint="BF"/>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insideV w:val="single" w:sz="8" w:space="0" w:color="E0CBB5" w:themeColor="accent6" w:themeTint="BF"/>
      </w:tblBorders>
    </w:tblPr>
    <w:tcPr>
      <w:shd w:val="clear" w:color="auto" w:fill="F4EEE6" w:themeFill="accent6" w:themeFillTint="3F"/>
    </w:tcPr>
    <w:tblStylePr w:type="firstRow">
      <w:rPr>
        <w:b/>
        <w:bCs/>
      </w:rPr>
    </w:tblStylePr>
    <w:tblStylePr w:type="lastRow">
      <w:rPr>
        <w:b/>
        <w:bCs/>
      </w:rPr>
      <w:tblPr/>
      <w:tcPr>
        <w:tcBorders>
          <w:top w:val="single" w:sz="18" w:space="0" w:color="E0CBB5" w:themeColor="accent6" w:themeTint="BF"/>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ediumGrid2">
    <w:name w:val="Medium Grid 2"/>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sz="6" w:space="0" w:color="FF5F49" w:themeColor="accent1"/>
          <w:insideV w:val="single" w:sz="6" w:space="0" w:color="FF5F49" w:themeColor="accent1"/>
        </w:tcBorders>
        <w:shd w:val="clear" w:color="auto" w:fill="FFAF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cPr>
      <w:shd w:val="clear" w:color="auto" w:fill="D9EEF5" w:themeFill="accent2" w:themeFillTint="3F"/>
    </w:tcPr>
    <w:tblStylePr w:type="firstRow">
      <w:rPr>
        <w:b/>
        <w:bCs/>
        <w:color w:val="000000" w:themeColor="text1"/>
      </w:rPr>
      <w:tblPr/>
      <w:tcPr>
        <w:shd w:val="clear" w:color="auto" w:fill="F0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2" w:themeFillTint="33"/>
      </w:tcPr>
    </w:tblStylePr>
    <w:tblStylePr w:type="band1Vert">
      <w:tblPr/>
      <w:tcPr>
        <w:shd w:val="clear" w:color="auto" w:fill="B3DDEC" w:themeFill="accent2" w:themeFillTint="7F"/>
      </w:tcPr>
    </w:tblStylePr>
    <w:tblStylePr w:type="band1Horz">
      <w:tblPr/>
      <w:tcPr>
        <w:tcBorders>
          <w:insideH w:val="single" w:sz="6" w:space="0" w:color="68BDD9" w:themeColor="accent2"/>
          <w:insideV w:val="single" w:sz="6" w:space="0" w:color="68BDD9" w:themeColor="accent2"/>
        </w:tcBorders>
        <w:shd w:val="clear" w:color="auto" w:fill="B3DD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sz="6" w:space="0" w:color="1A4960" w:themeColor="accent3"/>
          <w:insideV w:val="single" w:sz="6" w:space="0" w:color="1A4960" w:themeColor="accent3"/>
        </w:tcBorders>
        <w:shd w:val="clear" w:color="auto" w:fill="66B1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sz="6" w:space="0" w:color="6BC7BB" w:themeColor="accent4"/>
          <w:insideV w:val="single" w:sz="6" w:space="0" w:color="6BC7BB" w:themeColor="accent4"/>
        </w:tcBorders>
        <w:shd w:val="clear" w:color="auto" w:fill="B5E3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sz="6" w:space="0" w:color="304B4B" w:themeColor="accent5"/>
          <w:insideV w:val="single" w:sz="6" w:space="0" w:color="304B4B" w:themeColor="accent5"/>
        </w:tcBorders>
        <w:shd w:val="clear" w:color="auto" w:fill="89B3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sz="6" w:space="0" w:color="D6BB9D" w:themeColor="accent6"/>
          <w:insideV w:val="single" w:sz="6" w:space="0" w:color="D6BB9D" w:themeColor="accent6"/>
        </w:tcBorders>
        <w:shd w:val="clear" w:color="auto" w:fill="EADD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A4"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D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DEC"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8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49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49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B1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B1D5"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C7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C7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3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3DD"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9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4B4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4B4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3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3B3"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DCE" w:themeFill="accent6" w:themeFillTint="7F"/>
      </w:tcPr>
    </w:tblStylePr>
  </w:style>
  <w:style w:type="table" w:styleId="MediumList1">
    <w:name w:val="Medium List 1"/>
    <w:basedOn w:val="TableNormal"/>
    <w:uiPriority w:val="98"/>
    <w:semiHidden/>
    <w:rsid w:val="00B12EF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4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tblPr>
      <w:tblStyleRowBandSize w:val="1"/>
      <w:tblStyleColBandSize w:val="1"/>
      <w:tblBorders>
        <w:top w:val="single" w:sz="8" w:space="0" w:color="FF5F49" w:themeColor="accent1"/>
        <w:bottom w:val="single" w:sz="8" w:space="0" w:color="FF5F49" w:themeColor="accent1"/>
      </w:tblBorders>
    </w:tblPr>
    <w:tblStylePr w:type="firstRow">
      <w:rPr>
        <w:rFonts w:asciiTheme="majorHAnsi" w:eastAsiaTheme="majorEastAsia" w:hAnsiTheme="majorHAnsi" w:cstheme="majorBidi"/>
      </w:rPr>
      <w:tblPr/>
      <w:tcPr>
        <w:tcBorders>
          <w:top w:val="nil"/>
          <w:bottom w:val="single" w:sz="8" w:space="0" w:color="FF5F49" w:themeColor="accent1"/>
        </w:tcBorders>
      </w:tcPr>
    </w:tblStylePr>
    <w:tblStylePr w:type="lastRow">
      <w:rPr>
        <w:b/>
        <w:bCs/>
        <w:color w:val="747474" w:themeColor="text2"/>
      </w:rPr>
      <w:tblPr/>
      <w:tcPr>
        <w:tcBorders>
          <w:top w:val="single" w:sz="8" w:space="0" w:color="FF5F49" w:themeColor="accent1"/>
          <w:bottom w:val="single" w:sz="8" w:space="0" w:color="FF5F49" w:themeColor="accent1"/>
        </w:tcBorders>
      </w:tcPr>
    </w:tblStylePr>
    <w:tblStylePr w:type="firstCol">
      <w:rPr>
        <w:b/>
        <w:bCs/>
      </w:rPr>
    </w:tblStylePr>
    <w:tblStylePr w:type="lastCol">
      <w:rPr>
        <w:b/>
        <w:bCs/>
      </w:rPr>
      <w:tblPr/>
      <w:tcPr>
        <w:tcBorders>
          <w:top w:val="single" w:sz="8" w:space="0" w:color="FF5F49" w:themeColor="accent1"/>
          <w:bottom w:val="single" w:sz="8" w:space="0" w:color="FF5F49" w:themeColor="accent1"/>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ediumList1-Accent2">
    <w:name w:val="Medium List 1 Accent 2"/>
    <w:basedOn w:val="TableNormal"/>
    <w:uiPriority w:val="98"/>
    <w:semiHidden/>
    <w:rsid w:val="00B12EF5"/>
    <w:tblPr>
      <w:tblStyleRowBandSize w:val="1"/>
      <w:tblStyleColBandSize w:val="1"/>
      <w:tblBorders>
        <w:top w:val="single" w:sz="8" w:space="0" w:color="68BDD9" w:themeColor="accent2"/>
        <w:bottom w:val="single" w:sz="8" w:space="0" w:color="68BDD9" w:themeColor="accent2"/>
      </w:tblBorders>
    </w:tblPr>
    <w:tblStylePr w:type="firstRow">
      <w:rPr>
        <w:rFonts w:asciiTheme="majorHAnsi" w:eastAsiaTheme="majorEastAsia" w:hAnsiTheme="majorHAnsi" w:cstheme="majorBidi"/>
      </w:rPr>
      <w:tblPr/>
      <w:tcPr>
        <w:tcBorders>
          <w:top w:val="nil"/>
          <w:bottom w:val="single" w:sz="8" w:space="0" w:color="68BDD9" w:themeColor="accent2"/>
        </w:tcBorders>
      </w:tcPr>
    </w:tblStylePr>
    <w:tblStylePr w:type="lastRow">
      <w:rPr>
        <w:b/>
        <w:bCs/>
        <w:color w:val="747474" w:themeColor="text2"/>
      </w:rPr>
      <w:tblPr/>
      <w:tcPr>
        <w:tcBorders>
          <w:top w:val="single" w:sz="8" w:space="0" w:color="68BDD9" w:themeColor="accent2"/>
          <w:bottom w:val="single" w:sz="8" w:space="0" w:color="68BDD9" w:themeColor="accent2"/>
        </w:tcBorders>
      </w:tcPr>
    </w:tblStylePr>
    <w:tblStylePr w:type="firstCol">
      <w:rPr>
        <w:b/>
        <w:bCs/>
      </w:rPr>
    </w:tblStylePr>
    <w:tblStylePr w:type="lastCol">
      <w:rPr>
        <w:b/>
        <w:bCs/>
      </w:rPr>
      <w:tblPr/>
      <w:tcPr>
        <w:tcBorders>
          <w:top w:val="single" w:sz="8" w:space="0" w:color="68BDD9" w:themeColor="accent2"/>
          <w:bottom w:val="single" w:sz="8" w:space="0" w:color="68BDD9" w:themeColor="accent2"/>
        </w:tcBorders>
      </w:tcPr>
    </w:tblStylePr>
    <w:tblStylePr w:type="band1Vert">
      <w:tblPr/>
      <w:tcPr>
        <w:shd w:val="clear" w:color="auto" w:fill="D9EEF5" w:themeFill="accent2" w:themeFillTint="3F"/>
      </w:tcPr>
    </w:tblStylePr>
    <w:tblStylePr w:type="band1Horz">
      <w:tblPr/>
      <w:tcPr>
        <w:shd w:val="clear" w:color="auto" w:fill="D9EEF5" w:themeFill="accent2" w:themeFillTint="3F"/>
      </w:tcPr>
    </w:tblStylePr>
  </w:style>
  <w:style w:type="table" w:styleId="MediumList1-Accent3">
    <w:name w:val="Medium List 1 Accent 3"/>
    <w:basedOn w:val="TableNormal"/>
    <w:uiPriority w:val="98"/>
    <w:semiHidden/>
    <w:rsid w:val="00B12EF5"/>
    <w:tblPr>
      <w:tblStyleRowBandSize w:val="1"/>
      <w:tblStyleColBandSize w:val="1"/>
      <w:tblBorders>
        <w:top w:val="single" w:sz="8" w:space="0" w:color="1A4960" w:themeColor="accent3"/>
        <w:bottom w:val="single" w:sz="8" w:space="0" w:color="1A4960" w:themeColor="accent3"/>
      </w:tblBorders>
    </w:tblPr>
    <w:tblStylePr w:type="firstRow">
      <w:rPr>
        <w:rFonts w:asciiTheme="majorHAnsi" w:eastAsiaTheme="majorEastAsia" w:hAnsiTheme="majorHAnsi" w:cstheme="majorBidi"/>
      </w:rPr>
      <w:tblPr/>
      <w:tcPr>
        <w:tcBorders>
          <w:top w:val="nil"/>
          <w:bottom w:val="single" w:sz="8" w:space="0" w:color="1A4960" w:themeColor="accent3"/>
        </w:tcBorders>
      </w:tcPr>
    </w:tblStylePr>
    <w:tblStylePr w:type="lastRow">
      <w:rPr>
        <w:b/>
        <w:bCs/>
        <w:color w:val="747474" w:themeColor="text2"/>
      </w:rPr>
      <w:tblPr/>
      <w:tcPr>
        <w:tcBorders>
          <w:top w:val="single" w:sz="8" w:space="0" w:color="1A4960" w:themeColor="accent3"/>
          <w:bottom w:val="single" w:sz="8" w:space="0" w:color="1A4960" w:themeColor="accent3"/>
        </w:tcBorders>
      </w:tcPr>
    </w:tblStylePr>
    <w:tblStylePr w:type="firstCol">
      <w:rPr>
        <w:b/>
        <w:bCs/>
      </w:rPr>
    </w:tblStylePr>
    <w:tblStylePr w:type="lastCol">
      <w:rPr>
        <w:b/>
        <w:bCs/>
      </w:rPr>
      <w:tblPr/>
      <w:tcPr>
        <w:tcBorders>
          <w:top w:val="single" w:sz="8" w:space="0" w:color="1A4960" w:themeColor="accent3"/>
          <w:bottom w:val="single" w:sz="8" w:space="0" w:color="1A4960" w:themeColor="accent3"/>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ediumList1-Accent4">
    <w:name w:val="Medium List 1 Accent 4"/>
    <w:basedOn w:val="TableNormal"/>
    <w:uiPriority w:val="98"/>
    <w:semiHidden/>
    <w:rsid w:val="00B12EF5"/>
    <w:tblPr>
      <w:tblStyleRowBandSize w:val="1"/>
      <w:tblStyleColBandSize w:val="1"/>
      <w:tblBorders>
        <w:top w:val="single" w:sz="8" w:space="0" w:color="6BC7BB" w:themeColor="accent4"/>
        <w:bottom w:val="single" w:sz="8" w:space="0" w:color="6BC7BB" w:themeColor="accent4"/>
      </w:tblBorders>
    </w:tblPr>
    <w:tblStylePr w:type="firstRow">
      <w:rPr>
        <w:rFonts w:asciiTheme="majorHAnsi" w:eastAsiaTheme="majorEastAsia" w:hAnsiTheme="majorHAnsi" w:cstheme="majorBidi"/>
      </w:rPr>
      <w:tblPr/>
      <w:tcPr>
        <w:tcBorders>
          <w:top w:val="nil"/>
          <w:bottom w:val="single" w:sz="8" w:space="0" w:color="6BC7BB" w:themeColor="accent4"/>
        </w:tcBorders>
      </w:tcPr>
    </w:tblStylePr>
    <w:tblStylePr w:type="lastRow">
      <w:rPr>
        <w:b/>
        <w:bCs/>
        <w:color w:val="747474" w:themeColor="text2"/>
      </w:rPr>
      <w:tblPr/>
      <w:tcPr>
        <w:tcBorders>
          <w:top w:val="single" w:sz="8" w:space="0" w:color="6BC7BB" w:themeColor="accent4"/>
          <w:bottom w:val="single" w:sz="8" w:space="0" w:color="6BC7BB" w:themeColor="accent4"/>
        </w:tcBorders>
      </w:tcPr>
    </w:tblStylePr>
    <w:tblStylePr w:type="firstCol">
      <w:rPr>
        <w:b/>
        <w:bCs/>
      </w:rPr>
    </w:tblStylePr>
    <w:tblStylePr w:type="lastCol">
      <w:rPr>
        <w:b/>
        <w:bCs/>
      </w:rPr>
      <w:tblPr/>
      <w:tcPr>
        <w:tcBorders>
          <w:top w:val="single" w:sz="8" w:space="0" w:color="6BC7BB" w:themeColor="accent4"/>
          <w:bottom w:val="single" w:sz="8" w:space="0" w:color="6BC7BB" w:themeColor="accent4"/>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ediumList1-Accent5">
    <w:name w:val="Medium List 1 Accent 5"/>
    <w:basedOn w:val="TableNormal"/>
    <w:uiPriority w:val="98"/>
    <w:semiHidden/>
    <w:rsid w:val="00B12EF5"/>
    <w:tblPr>
      <w:tblStyleRowBandSize w:val="1"/>
      <w:tblStyleColBandSize w:val="1"/>
      <w:tblBorders>
        <w:top w:val="single" w:sz="8" w:space="0" w:color="304B4B" w:themeColor="accent5"/>
        <w:bottom w:val="single" w:sz="8" w:space="0" w:color="304B4B" w:themeColor="accent5"/>
      </w:tblBorders>
    </w:tblPr>
    <w:tblStylePr w:type="firstRow">
      <w:rPr>
        <w:rFonts w:asciiTheme="majorHAnsi" w:eastAsiaTheme="majorEastAsia" w:hAnsiTheme="majorHAnsi" w:cstheme="majorBidi"/>
      </w:rPr>
      <w:tblPr/>
      <w:tcPr>
        <w:tcBorders>
          <w:top w:val="nil"/>
          <w:bottom w:val="single" w:sz="8" w:space="0" w:color="304B4B" w:themeColor="accent5"/>
        </w:tcBorders>
      </w:tcPr>
    </w:tblStylePr>
    <w:tblStylePr w:type="lastRow">
      <w:rPr>
        <w:b/>
        <w:bCs/>
        <w:color w:val="747474" w:themeColor="text2"/>
      </w:rPr>
      <w:tblPr/>
      <w:tcPr>
        <w:tcBorders>
          <w:top w:val="single" w:sz="8" w:space="0" w:color="304B4B" w:themeColor="accent5"/>
          <w:bottom w:val="single" w:sz="8" w:space="0" w:color="304B4B" w:themeColor="accent5"/>
        </w:tcBorders>
      </w:tcPr>
    </w:tblStylePr>
    <w:tblStylePr w:type="firstCol">
      <w:rPr>
        <w:b/>
        <w:bCs/>
      </w:rPr>
    </w:tblStylePr>
    <w:tblStylePr w:type="lastCol">
      <w:rPr>
        <w:b/>
        <w:bCs/>
      </w:rPr>
      <w:tblPr/>
      <w:tcPr>
        <w:tcBorders>
          <w:top w:val="single" w:sz="8" w:space="0" w:color="304B4B" w:themeColor="accent5"/>
          <w:bottom w:val="single" w:sz="8" w:space="0" w:color="304B4B" w:themeColor="accent5"/>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ediumList1-Accent6">
    <w:name w:val="Medium List 1 Accent 6"/>
    <w:basedOn w:val="TableNormal"/>
    <w:uiPriority w:val="98"/>
    <w:semiHidden/>
    <w:rsid w:val="00B12EF5"/>
    <w:tblPr>
      <w:tblStyleRowBandSize w:val="1"/>
      <w:tblStyleColBandSize w:val="1"/>
      <w:tblBorders>
        <w:top w:val="single" w:sz="8" w:space="0" w:color="D6BB9D" w:themeColor="accent6"/>
        <w:bottom w:val="single" w:sz="8" w:space="0" w:color="D6BB9D" w:themeColor="accent6"/>
      </w:tblBorders>
    </w:tblPr>
    <w:tblStylePr w:type="firstRow">
      <w:rPr>
        <w:rFonts w:asciiTheme="majorHAnsi" w:eastAsiaTheme="majorEastAsia" w:hAnsiTheme="majorHAnsi" w:cstheme="majorBidi"/>
      </w:rPr>
      <w:tblPr/>
      <w:tcPr>
        <w:tcBorders>
          <w:top w:val="nil"/>
          <w:bottom w:val="single" w:sz="8" w:space="0" w:color="D6BB9D" w:themeColor="accent6"/>
        </w:tcBorders>
      </w:tcPr>
    </w:tblStylePr>
    <w:tblStylePr w:type="lastRow">
      <w:rPr>
        <w:b/>
        <w:bCs/>
        <w:color w:val="747474" w:themeColor="text2"/>
      </w:rPr>
      <w:tblPr/>
      <w:tcPr>
        <w:tcBorders>
          <w:top w:val="single" w:sz="8" w:space="0" w:color="D6BB9D" w:themeColor="accent6"/>
          <w:bottom w:val="single" w:sz="8" w:space="0" w:color="D6BB9D" w:themeColor="accent6"/>
        </w:tcBorders>
      </w:tcPr>
    </w:tblStylePr>
    <w:tblStylePr w:type="firstCol">
      <w:rPr>
        <w:b/>
        <w:bCs/>
      </w:rPr>
    </w:tblStylePr>
    <w:tblStylePr w:type="lastCol">
      <w:rPr>
        <w:b/>
        <w:bCs/>
      </w:rPr>
      <w:tblPr/>
      <w:tcPr>
        <w:tcBorders>
          <w:top w:val="single" w:sz="8" w:space="0" w:color="D6BB9D" w:themeColor="accent6"/>
          <w:bottom w:val="single" w:sz="8" w:space="0" w:color="D6BB9D" w:themeColor="accent6"/>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ediumList2">
    <w:name w:val="Medium List 2"/>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rPr>
        <w:sz w:val="24"/>
        <w:szCs w:val="24"/>
      </w:rPr>
      <w:tblPr/>
      <w:tcPr>
        <w:tcBorders>
          <w:top w:val="nil"/>
          <w:left w:val="nil"/>
          <w:bottom w:val="single" w:sz="24" w:space="0" w:color="FF5F49" w:themeColor="accent1"/>
          <w:right w:val="nil"/>
          <w:insideH w:val="nil"/>
          <w:insideV w:val="nil"/>
        </w:tcBorders>
        <w:shd w:val="clear" w:color="auto" w:fill="FFFFFF" w:themeFill="background1"/>
      </w:tcPr>
    </w:tblStylePr>
    <w:tblStylePr w:type="lastRow">
      <w:tblPr/>
      <w:tcPr>
        <w:tcBorders>
          <w:top w:val="single" w:sz="8" w:space="0" w:color="FF5F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49" w:themeColor="accent1"/>
          <w:insideH w:val="nil"/>
          <w:insideV w:val="nil"/>
        </w:tcBorders>
        <w:shd w:val="clear" w:color="auto" w:fill="FFFFFF" w:themeFill="background1"/>
      </w:tcPr>
    </w:tblStylePr>
    <w:tblStylePr w:type="lastCol">
      <w:tblPr/>
      <w:tcPr>
        <w:tcBorders>
          <w:top w:val="nil"/>
          <w:left w:val="single" w:sz="8" w:space="0" w:color="FF5F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rPr>
        <w:sz w:val="24"/>
        <w:szCs w:val="24"/>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tblPr/>
      <w:tcPr>
        <w:tcBorders>
          <w:top w:val="single" w:sz="8" w:space="0" w:color="68B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DD9" w:themeColor="accent2"/>
          <w:insideH w:val="nil"/>
          <w:insideV w:val="nil"/>
        </w:tcBorders>
        <w:shd w:val="clear" w:color="auto" w:fill="FFFFFF" w:themeFill="background1"/>
      </w:tcPr>
    </w:tblStylePr>
    <w:tblStylePr w:type="lastCol">
      <w:tblPr/>
      <w:tcPr>
        <w:tcBorders>
          <w:top w:val="nil"/>
          <w:left w:val="single" w:sz="8" w:space="0" w:color="68B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top w:val="nil"/>
          <w:bottom w:val="nil"/>
          <w:insideH w:val="nil"/>
          <w:insideV w:val="nil"/>
        </w:tcBorders>
        <w:shd w:val="clear" w:color="auto" w:fill="D9EE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rPr>
        <w:sz w:val="24"/>
        <w:szCs w:val="24"/>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tblPr/>
      <w:tcPr>
        <w:tcBorders>
          <w:top w:val="single" w:sz="8" w:space="0" w:color="1A49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4960" w:themeColor="accent3"/>
          <w:insideH w:val="nil"/>
          <w:insideV w:val="nil"/>
        </w:tcBorders>
        <w:shd w:val="clear" w:color="auto" w:fill="FFFFFF" w:themeFill="background1"/>
      </w:tcPr>
    </w:tblStylePr>
    <w:tblStylePr w:type="lastCol">
      <w:tblPr/>
      <w:tcPr>
        <w:tcBorders>
          <w:top w:val="nil"/>
          <w:left w:val="single" w:sz="8" w:space="0" w:color="1A49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rPr>
        <w:sz w:val="24"/>
        <w:szCs w:val="24"/>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tblPr/>
      <w:tcPr>
        <w:tcBorders>
          <w:top w:val="single" w:sz="8" w:space="0" w:color="6BC7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C7BB" w:themeColor="accent4"/>
          <w:insideH w:val="nil"/>
          <w:insideV w:val="nil"/>
        </w:tcBorders>
        <w:shd w:val="clear" w:color="auto" w:fill="FFFFFF" w:themeFill="background1"/>
      </w:tcPr>
    </w:tblStylePr>
    <w:tblStylePr w:type="lastCol">
      <w:tblPr/>
      <w:tcPr>
        <w:tcBorders>
          <w:top w:val="nil"/>
          <w:left w:val="single" w:sz="8" w:space="0" w:color="6BC7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rPr>
        <w:sz w:val="24"/>
        <w:szCs w:val="24"/>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tblPr/>
      <w:tcPr>
        <w:tcBorders>
          <w:top w:val="single" w:sz="8" w:space="0" w:color="304B4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4B4B" w:themeColor="accent5"/>
          <w:insideH w:val="nil"/>
          <w:insideV w:val="nil"/>
        </w:tcBorders>
        <w:shd w:val="clear" w:color="auto" w:fill="FFFFFF" w:themeFill="background1"/>
      </w:tcPr>
    </w:tblStylePr>
    <w:tblStylePr w:type="lastCol">
      <w:tblPr/>
      <w:tcPr>
        <w:tcBorders>
          <w:top w:val="nil"/>
          <w:left w:val="single" w:sz="8" w:space="0" w:color="304B4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rPr>
        <w:sz w:val="24"/>
        <w:szCs w:val="24"/>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tblPr/>
      <w:tcPr>
        <w:tcBorders>
          <w:top w:val="single" w:sz="8" w:space="0" w:color="D6B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B9D" w:themeColor="accent6"/>
          <w:insideH w:val="nil"/>
          <w:insideV w:val="nil"/>
        </w:tcBorders>
        <w:shd w:val="clear" w:color="auto" w:fill="FFFFFF" w:themeFill="background1"/>
      </w:tcPr>
    </w:tblStylePr>
    <w:tblStylePr w:type="lastCol">
      <w:tblPr/>
      <w:tcPr>
        <w:tcBorders>
          <w:top w:val="nil"/>
          <w:left w:val="single" w:sz="8" w:space="0" w:color="D6B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tblBorders>
    </w:tblPr>
    <w:tblStylePr w:type="firstRow">
      <w:pPr>
        <w:spacing w:before="0" w:after="0" w:line="240" w:lineRule="auto"/>
      </w:pPr>
      <w:rPr>
        <w:b/>
        <w:bCs/>
        <w:color w:val="FFFFFF" w:themeColor="background1"/>
      </w:rPr>
      <w:tblPr/>
      <w:tcPr>
        <w:tc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shd w:val="clear" w:color="auto" w:fill="FF5F49" w:themeFill="accent1"/>
      </w:tcPr>
    </w:tblStylePr>
    <w:tblStylePr w:type="lastRow">
      <w:pPr>
        <w:spacing w:before="0" w:after="0" w:line="240" w:lineRule="auto"/>
      </w:pPr>
      <w:rPr>
        <w:b/>
        <w:bCs/>
      </w:rPr>
      <w:tblPr/>
      <w:tcPr>
        <w:tcBorders>
          <w:top w:val="double" w:sz="6"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tblBorders>
    </w:tblPr>
    <w:tblStylePr w:type="firstRow">
      <w:pPr>
        <w:spacing w:before="0" w:after="0" w:line="240" w:lineRule="auto"/>
      </w:pPr>
      <w:rPr>
        <w:b/>
        <w:bCs/>
        <w:color w:val="FFFFFF" w:themeColor="background1"/>
      </w:rPr>
      <w:tblPr/>
      <w:tcPr>
        <w:tc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shd w:val="clear" w:color="auto" w:fill="68BDD9" w:themeFill="accent2"/>
      </w:tcPr>
    </w:tblStylePr>
    <w:tblStylePr w:type="lastRow">
      <w:pPr>
        <w:spacing w:before="0" w:after="0" w:line="240" w:lineRule="auto"/>
      </w:pPr>
      <w:rPr>
        <w:b/>
        <w:bCs/>
      </w:rPr>
      <w:tblPr/>
      <w:tcPr>
        <w:tcBorders>
          <w:top w:val="double" w:sz="6"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2" w:themeFillTint="3F"/>
      </w:tcPr>
    </w:tblStylePr>
    <w:tblStylePr w:type="band1Horz">
      <w:tblPr/>
      <w:tcPr>
        <w:tcBorders>
          <w:insideH w:val="nil"/>
          <w:insideV w:val="nil"/>
        </w:tcBorders>
        <w:shd w:val="clear" w:color="auto" w:fill="D9EE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tblBorders>
    </w:tblPr>
    <w:tblStylePr w:type="firstRow">
      <w:pPr>
        <w:spacing w:before="0" w:after="0" w:line="240" w:lineRule="auto"/>
      </w:pPr>
      <w:rPr>
        <w:b/>
        <w:bCs/>
        <w:color w:val="FFFFFF" w:themeColor="background1"/>
      </w:rPr>
      <w:tblPr/>
      <w:tcPr>
        <w:tc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shd w:val="clear" w:color="auto" w:fill="1A4960" w:themeFill="accent3"/>
      </w:tcPr>
    </w:tblStylePr>
    <w:tblStylePr w:type="lastRow">
      <w:pPr>
        <w:spacing w:before="0" w:after="0" w:line="240" w:lineRule="auto"/>
      </w:pPr>
      <w:rPr>
        <w:b/>
        <w:bCs/>
      </w:rPr>
      <w:tblPr/>
      <w:tcPr>
        <w:tcBorders>
          <w:top w:val="double" w:sz="6"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tblBorders>
    </w:tblPr>
    <w:tblStylePr w:type="firstRow">
      <w:pPr>
        <w:spacing w:before="0" w:after="0" w:line="240" w:lineRule="auto"/>
      </w:pPr>
      <w:rPr>
        <w:b/>
        <w:bCs/>
        <w:color w:val="FFFFFF" w:themeColor="background1"/>
      </w:rPr>
      <w:tblPr/>
      <w:tcPr>
        <w:tc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shd w:val="clear" w:color="auto" w:fill="6BC7BB" w:themeFill="accent4"/>
      </w:tcPr>
    </w:tblStylePr>
    <w:tblStylePr w:type="lastRow">
      <w:pPr>
        <w:spacing w:before="0" w:after="0" w:line="240" w:lineRule="auto"/>
      </w:pPr>
      <w:rPr>
        <w:b/>
        <w:bCs/>
      </w:rPr>
      <w:tblPr/>
      <w:tcPr>
        <w:tcBorders>
          <w:top w:val="double" w:sz="6"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tblBorders>
    </w:tblPr>
    <w:tblStylePr w:type="firstRow">
      <w:pPr>
        <w:spacing w:before="0" w:after="0" w:line="240" w:lineRule="auto"/>
      </w:pPr>
      <w:rPr>
        <w:b/>
        <w:bCs/>
        <w:color w:val="FFFFFF" w:themeColor="background1"/>
      </w:rPr>
      <w:tblPr/>
      <w:tcPr>
        <w:tc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shd w:val="clear" w:color="auto" w:fill="304B4B" w:themeFill="accent5"/>
      </w:tcPr>
    </w:tblStylePr>
    <w:tblStylePr w:type="lastRow">
      <w:pPr>
        <w:spacing w:before="0" w:after="0" w:line="240" w:lineRule="auto"/>
      </w:pPr>
      <w:rPr>
        <w:b/>
        <w:bCs/>
      </w:rPr>
      <w:tblPr/>
      <w:tcPr>
        <w:tcBorders>
          <w:top w:val="double" w:sz="6"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tblBorders>
    </w:tblPr>
    <w:tblStylePr w:type="firstRow">
      <w:pPr>
        <w:spacing w:before="0" w:after="0" w:line="240" w:lineRule="auto"/>
      </w:pPr>
      <w:rPr>
        <w:b/>
        <w:bCs/>
        <w:color w:val="FFFFFF" w:themeColor="background1"/>
      </w:rPr>
      <w:tblPr/>
      <w:tcPr>
        <w:tc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shd w:val="clear" w:color="auto" w:fill="D6BB9D" w:themeFill="accent6"/>
      </w:tcPr>
    </w:tblStylePr>
    <w:tblStylePr w:type="lastRow">
      <w:pPr>
        <w:spacing w:before="0" w:after="0" w:line="240" w:lineRule="auto"/>
      </w:pPr>
      <w:rPr>
        <w:b/>
        <w:bCs/>
      </w:rPr>
      <w:tblPr/>
      <w:tcPr>
        <w:tcBorders>
          <w:top w:val="double" w:sz="6"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BDD9" w:themeFill="accent2"/>
      </w:tcPr>
    </w:tblStylePr>
    <w:tblStylePr w:type="lastCol">
      <w:rPr>
        <w:b/>
        <w:bCs/>
        <w:color w:val="FFFFFF" w:themeColor="background1"/>
      </w:rPr>
      <w:tblPr/>
      <w:tcPr>
        <w:tcBorders>
          <w:left w:val="nil"/>
          <w:right w:val="nil"/>
          <w:insideH w:val="nil"/>
          <w:insideV w:val="nil"/>
        </w:tcBorders>
        <w:shd w:val="clear" w:color="auto" w:fill="68B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262A2E"/>
    <w:rPr>
      <w:sz w:val="24"/>
      <w:szCs w:val="30"/>
      <w:shd w:val="pct20" w:color="auto" w:fill="auto"/>
    </w:rPr>
  </w:style>
  <w:style w:type="paragraph" w:styleId="NoSpacing">
    <w:name w:val="No Spacing"/>
    <w:link w:val="NoSpacingChar"/>
    <w:uiPriority w:val="1"/>
    <w:qFormat/>
    <w:rsid w:val="00B12EF5"/>
    <w:pPr>
      <w:jc w:val="both"/>
    </w:pPr>
    <w:rPr>
      <w:lang w:eastAsia="en-GB"/>
    </w:rPr>
  </w:style>
  <w:style w:type="paragraph" w:styleId="NormalWeb">
    <w:name w:val="Normal (Web)"/>
    <w:basedOn w:val="Normal"/>
    <w:uiPriority w:val="99"/>
    <w:rsid w:val="00B12EF5"/>
    <w:rPr>
      <w:sz w:val="24"/>
      <w:szCs w:val="30"/>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semiHidden/>
    <w:rsid w:val="00262A2E"/>
  </w:style>
  <w:style w:type="character" w:styleId="PageNumber">
    <w:name w:val="page number"/>
    <w:basedOn w:val="DefaultParagraphFont"/>
    <w:uiPriority w:val="98"/>
    <w:rsid w:val="00A45FA0"/>
    <w:rPr>
      <w:rFonts w:asciiTheme="minorHAnsi" w:eastAsiaTheme="minorEastAsia" w:hAnsiTheme="minorHAnsi" w:cstheme="minorBidi"/>
      <w:sz w:val="13"/>
      <w:szCs w:val="24"/>
    </w:rPr>
  </w:style>
  <w:style w:type="character" w:styleId="PlaceholderText">
    <w:name w:val="Placeholder Text"/>
    <w:basedOn w:val="DefaultParagraphFont"/>
    <w:uiPriority w:val="99"/>
    <w:semiHidden/>
    <w:rsid w:val="00B12EF5"/>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customStyle="1" w:styleId="PlainTextChar">
    <w:name w:val="Plain Text Char"/>
    <w:basedOn w:val="DefaultParagraphFont"/>
    <w:link w:val="PlainText"/>
    <w:uiPriority w:val="98"/>
    <w:semiHidden/>
    <w:rsid w:val="00262A2E"/>
    <w:rPr>
      <w:sz w:val="21"/>
      <w:szCs w:val="26"/>
    </w:rPr>
  </w:style>
  <w:style w:type="paragraph" w:styleId="Quote">
    <w:name w:val="Quote"/>
    <w:basedOn w:val="Normal"/>
    <w:next w:val="Normal"/>
    <w:link w:val="QuoteChar"/>
    <w:uiPriority w:val="98"/>
    <w:rsid w:val="00B12EF5"/>
    <w:rPr>
      <w:i/>
      <w:iCs/>
    </w:rPr>
  </w:style>
  <w:style w:type="character" w:customStyle="1" w:styleId="QuoteChar">
    <w:name w:val="Quote Char"/>
    <w:basedOn w:val="DefaultParagraphFont"/>
    <w:link w:val="Quote"/>
    <w:uiPriority w:val="98"/>
    <w:rsid w:val="00262A2E"/>
    <w:rPr>
      <w:i/>
      <w:iCs/>
      <w:color w:val="000000" w:themeColor="text1"/>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semiHidden/>
    <w:rsid w:val="00262A2E"/>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semiHidden/>
    <w:rsid w:val="00262A2E"/>
  </w:style>
  <w:style w:type="character" w:styleId="Strong">
    <w:name w:val="Strong"/>
    <w:basedOn w:val="DefaultParagraphFont"/>
    <w:uiPriority w:val="98"/>
    <w:rsid w:val="00B12EF5"/>
    <w:rPr>
      <w:rFonts w:asciiTheme="minorHAnsi" w:eastAsiaTheme="minorEastAsia" w:hAnsiTheme="minorHAnsi" w:cstheme="minorBidi"/>
      <w:b/>
      <w:bCs/>
      <w:szCs w:val="24"/>
    </w:rPr>
  </w:style>
  <w:style w:type="character" w:styleId="SubtleEmphasis">
    <w:name w:val="Subtle Emphasis"/>
    <w:basedOn w:val="DefaultParagraphFont"/>
    <w:uiPriority w:val="98"/>
    <w:rsid w:val="00B12EF5"/>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rsid w:val="002312FF"/>
    <w:rPr>
      <w:rFonts w:asciiTheme="minorHAnsi" w:eastAsiaTheme="minorEastAsia" w:hAnsiTheme="minorHAnsi" w:cstheme="minorBidi"/>
      <w:smallCaps/>
      <w:color w:val="68BDD9" w:themeColor="accent2"/>
      <w:szCs w:val="24"/>
      <w:u w:val="non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10"/>
    <w:qFormat/>
    <w:rsid w:val="00967AF2"/>
    <w:pPr>
      <w:contextualSpacing/>
    </w:pPr>
    <w:rPr>
      <w:color w:val="565656" w:themeColor="text2" w:themeShade="BF"/>
      <w:spacing w:val="5"/>
      <w:kern w:val="28"/>
      <w:szCs w:val="34"/>
    </w:rPr>
  </w:style>
  <w:style w:type="character" w:customStyle="1" w:styleId="TitleChar">
    <w:name w:val="Title Char"/>
    <w:basedOn w:val="DefaultParagraphFont"/>
    <w:link w:val="Title"/>
    <w:uiPriority w:val="10"/>
    <w:rsid w:val="00262A2E"/>
    <w:rPr>
      <w:rFonts w:asciiTheme="majorHAnsi" w:eastAsiaTheme="majorEastAsia" w:hAnsiTheme="majorHAnsi" w:cstheme="majorBidi"/>
      <w:color w:val="565656" w:themeColor="text2" w:themeShade="BF"/>
      <w:spacing w:val="5"/>
      <w:kern w:val="28"/>
      <w:sz w:val="30"/>
      <w:szCs w:val="34"/>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qFormat/>
    <w:rsid w:val="007E3297"/>
    <w:pPr>
      <w:tabs>
        <w:tab w:val="right" w:leader="dot" w:pos="8562"/>
      </w:tabs>
      <w:spacing w:before="120" w:after="0"/>
      <w:ind w:left="782" w:right="284" w:hanging="782"/>
    </w:pPr>
    <w:rPr>
      <w:noProof/>
      <w:lang w:eastAsia="zh-CN"/>
    </w:rPr>
  </w:style>
  <w:style w:type="paragraph" w:styleId="TOC2">
    <w:name w:val="toc 2"/>
    <w:basedOn w:val="TOC1"/>
    <w:uiPriority w:val="39"/>
    <w:qFormat/>
    <w:rsid w:val="007E3297"/>
    <w:pPr>
      <w:ind w:left="1406" w:hanging="624"/>
      <w:contextualSpacing/>
    </w:pPr>
  </w:style>
  <w:style w:type="paragraph" w:styleId="TOC3">
    <w:name w:val="toc 3"/>
    <w:basedOn w:val="TOC1"/>
    <w:uiPriority w:val="39"/>
    <w:rsid w:val="00514E03"/>
    <w:pPr>
      <w:numPr>
        <w:numId w:val="28"/>
      </w:numPr>
      <w:contextualSpacing/>
    </w:pPr>
  </w:style>
  <w:style w:type="paragraph" w:styleId="TOC4">
    <w:name w:val="toc 4"/>
    <w:basedOn w:val="TOC1"/>
    <w:uiPriority w:val="39"/>
    <w:rsid w:val="00DD7479"/>
    <w:pPr>
      <w:numPr>
        <w:numId w:val="27"/>
      </w:numPr>
      <w:contextualSpacing/>
    </w:pPr>
  </w:style>
  <w:style w:type="paragraph" w:styleId="TOC5">
    <w:name w:val="toc 5"/>
    <w:basedOn w:val="Normal"/>
    <w:next w:val="Normal"/>
    <w:uiPriority w:val="39"/>
    <w:rsid w:val="008A4D44"/>
    <w:pPr>
      <w:tabs>
        <w:tab w:val="right" w:leader="dot" w:pos="8562"/>
      </w:tabs>
      <w:spacing w:before="120" w:after="0"/>
      <w:ind w:right="284"/>
      <w:contextualSpacing/>
    </w:pPr>
  </w:style>
  <w:style w:type="paragraph" w:styleId="TOC6">
    <w:name w:val="toc 6"/>
    <w:basedOn w:val="Normal"/>
    <w:next w:val="Normal"/>
    <w:uiPriority w:val="39"/>
    <w:qFormat/>
    <w:rsid w:val="00246626"/>
    <w:pPr>
      <w:numPr>
        <w:numId w:val="36"/>
      </w:numPr>
      <w:tabs>
        <w:tab w:val="right" w:leader="dot" w:pos="8562"/>
      </w:tabs>
      <w:spacing w:before="120" w:after="0"/>
      <w:ind w:right="284"/>
      <w:contextualSpacing/>
    </w:pPr>
  </w:style>
  <w:style w:type="paragraph" w:styleId="TOC7">
    <w:name w:val="toc 7"/>
    <w:basedOn w:val="TOC1"/>
    <w:next w:val="Normal"/>
    <w:uiPriority w:val="39"/>
    <w:rsid w:val="00514E03"/>
    <w:pPr>
      <w:spacing w:before="0"/>
      <w:ind w:firstLine="0"/>
      <w:contextualSpacing/>
    </w:pPr>
  </w:style>
  <w:style w:type="paragraph" w:styleId="TOC8">
    <w:name w:val="toc 8"/>
    <w:basedOn w:val="Normal"/>
    <w:next w:val="Normal"/>
    <w:uiPriority w:val="39"/>
    <w:rsid w:val="00B12EF5"/>
    <w:pPr>
      <w:spacing w:before="120" w:after="0"/>
      <w:ind w:left="1260"/>
    </w:pPr>
  </w:style>
  <w:style w:type="paragraph" w:styleId="TOC9">
    <w:name w:val="toc 9"/>
    <w:basedOn w:val="Normal"/>
    <w:next w:val="Normal"/>
    <w:uiPriority w:val="39"/>
    <w:rsid w:val="00B12EF5"/>
    <w:pPr>
      <w:spacing w:before="120" w:after="0"/>
      <w:ind w:left="1440"/>
    </w:pPr>
  </w:style>
  <w:style w:type="paragraph" w:styleId="TOCHeading">
    <w:name w:val="TOC Heading"/>
    <w:basedOn w:val="Normal"/>
    <w:next w:val="Normal"/>
    <w:uiPriority w:val="39"/>
    <w:qFormat/>
    <w:rsid w:val="00166316"/>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uiPriority w:val="7"/>
    <w:rsid w:val="001A46E1"/>
    <w:rPr>
      <w:color w:val="auto"/>
    </w:rPr>
  </w:style>
  <w:style w:type="paragraph" w:customStyle="1" w:styleId="Alt2RecitalsAshurst">
    <w:name w:val="Alt2_RecitalsAshurst"/>
    <w:basedOn w:val="NormalAshurst"/>
    <w:uiPriority w:val="13"/>
    <w:rsid w:val="009B082F"/>
    <w:pPr>
      <w:numPr>
        <w:numId w:val="18"/>
      </w:numPr>
      <w:outlineLvl w:val="0"/>
    </w:pPr>
    <w:rPr>
      <w:lang w:eastAsia="zh-CN"/>
    </w:rPr>
  </w:style>
  <w:style w:type="paragraph" w:customStyle="1" w:styleId="AltPartiesAshurst">
    <w:name w:val="AltPartiesAshurst"/>
    <w:basedOn w:val="NormalAshurst"/>
    <w:uiPriority w:val="13"/>
    <w:rsid w:val="009B082F"/>
    <w:pPr>
      <w:numPr>
        <w:numId w:val="19"/>
      </w:numPr>
      <w:outlineLvl w:val="0"/>
    </w:pPr>
    <w:rPr>
      <w:lang w:eastAsia="zh-CN"/>
    </w:rPr>
  </w:style>
  <w:style w:type="paragraph" w:customStyle="1" w:styleId="Definition4">
    <w:name w:val="Definition4"/>
    <w:basedOn w:val="NormalAshurst"/>
    <w:uiPriority w:val="2"/>
    <w:qFormat/>
    <w:rsid w:val="00AB24AD"/>
    <w:pPr>
      <w:numPr>
        <w:ilvl w:val="3"/>
        <w:numId w:val="17"/>
      </w:numPr>
    </w:pPr>
  </w:style>
  <w:style w:type="paragraph" w:customStyle="1" w:styleId="SH6Ashurst">
    <w:name w:val="SH6Ashurst"/>
    <w:basedOn w:val="NormalAshurst"/>
    <w:uiPriority w:val="10"/>
    <w:qFormat/>
    <w:rsid w:val="004A5215"/>
    <w:pPr>
      <w:numPr>
        <w:ilvl w:val="5"/>
        <w:numId w:val="39"/>
      </w:numPr>
    </w:pPr>
  </w:style>
  <w:style w:type="paragraph" w:customStyle="1" w:styleId="SH7Ashurst">
    <w:name w:val="SH7Ashurst"/>
    <w:basedOn w:val="NormalAshurst"/>
    <w:uiPriority w:val="10"/>
    <w:qFormat/>
    <w:rsid w:val="004A5215"/>
    <w:pPr>
      <w:numPr>
        <w:ilvl w:val="6"/>
        <w:numId w:val="39"/>
      </w:numPr>
    </w:pPr>
  </w:style>
  <w:style w:type="paragraph" w:customStyle="1" w:styleId="SH8Ashurst">
    <w:name w:val="SH8Ashurst"/>
    <w:basedOn w:val="NormalAshurst"/>
    <w:uiPriority w:val="10"/>
    <w:qFormat/>
    <w:rsid w:val="004A5215"/>
    <w:pPr>
      <w:numPr>
        <w:ilvl w:val="7"/>
        <w:numId w:val="39"/>
      </w:numPr>
    </w:pPr>
  </w:style>
  <w:style w:type="paragraph" w:customStyle="1" w:styleId="BaseH1Agt">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customStyle="1" w:styleId="BaseH1Adv">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customStyle="1" w:styleId="BaseH2AgtAdv">
    <w:name w:val="BaseH2_AgtAdv"/>
    <w:basedOn w:val="NormalAshurst"/>
    <w:link w:val="BaseH2AgtAdvChar"/>
    <w:uiPriority w:val="79"/>
    <w:rsid w:val="00B42BBA"/>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57703B"/>
    <w:pPr>
      <w:spacing w:line="320" w:lineRule="atLeast"/>
    </w:pPr>
    <w:rPr>
      <w:b/>
      <w:sz w:val="24"/>
    </w:rPr>
  </w:style>
  <w:style w:type="paragraph" w:customStyle="1" w:styleId="BaseH4AgtAdv">
    <w:name w:val="BaseH4_AgtAdv"/>
    <w:basedOn w:val="NormalAshurst"/>
    <w:uiPriority w:val="79"/>
    <w:rsid w:val="00FB21FE"/>
    <w:pPr>
      <w:spacing w:after="220"/>
    </w:pPr>
    <w:rPr>
      <w:b/>
      <w:bCs/>
    </w:rPr>
  </w:style>
  <w:style w:type="paragraph" w:customStyle="1" w:styleId="BaseH5AgAdv">
    <w:name w:val="BaseH5_AgAdv"/>
    <w:basedOn w:val="NormalAshurst"/>
    <w:uiPriority w:val="79"/>
    <w:rsid w:val="00C51284"/>
    <w:rPr>
      <w:b/>
      <w:lang w:val="en-AU"/>
    </w:rPr>
  </w:style>
  <w:style w:type="paragraph" w:customStyle="1" w:styleId="BaseFtnotesCaptionAgtAdvice">
    <w:name w:val="Base_FtnotesCaption_AgtAdvice"/>
    <w:basedOn w:val="NormalAshurst"/>
    <w:uiPriority w:val="79"/>
    <w:rsid w:val="007220D1"/>
    <w:pPr>
      <w:spacing w:after="0" w:line="200" w:lineRule="atLeast"/>
    </w:pPr>
    <w:rPr>
      <w:bCs/>
      <w:sz w:val="16"/>
      <w:szCs w:val="16"/>
    </w:rPr>
  </w:style>
  <w:style w:type="paragraph" w:customStyle="1" w:styleId="BaseRubricDocRef">
    <w:name w:val="Base_RubricDocRef"/>
    <w:basedOn w:val="NormalAshurst"/>
    <w:uiPriority w:val="79"/>
    <w:rsid w:val="00CF5EEE"/>
    <w:pPr>
      <w:spacing w:line="160" w:lineRule="atLeast"/>
    </w:pPr>
    <w:rPr>
      <w:sz w:val="13"/>
      <w:szCs w:val="13"/>
    </w:rPr>
  </w:style>
  <w:style w:type="paragraph" w:customStyle="1" w:styleId="BaseNormal">
    <w:name w:val="BaseNormal"/>
    <w:basedOn w:val="NormalAshurst"/>
    <w:uiPriority w:val="79"/>
    <w:rsid w:val="002316C1"/>
  </w:style>
  <w:style w:type="table" w:styleId="TableGridLight">
    <w:name w:val="Grid Table Light"/>
    <w:basedOn w:val="TableNormal"/>
    <w:uiPriority w:val="40"/>
    <w:rsid w:val="005C2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0D6DE0"/>
    <w:rPr>
      <w:rFonts w:asciiTheme="minorHAnsi" w:hAnsiTheme="minorHAnsi"/>
      <w:b/>
      <w:caps/>
      <w:smallCaps w:val="0"/>
      <w:spacing w:val="20"/>
      <w:sz w:val="20"/>
    </w:rPr>
  </w:style>
  <w:style w:type="numbering" w:customStyle="1" w:styleId="CurrentList4">
    <w:name w:val="Current List4"/>
    <w:uiPriority w:val="99"/>
    <w:rsid w:val="005427DE"/>
    <w:pPr>
      <w:numPr>
        <w:numId w:val="31"/>
      </w:numPr>
    </w:pPr>
  </w:style>
  <w:style w:type="paragraph" w:customStyle="1" w:styleId="ExecutionSignatureAshurst">
    <w:name w:val="ExecutionSignatureAshurst"/>
    <w:basedOn w:val="NormalAshurst"/>
    <w:next w:val="NormalAshurst"/>
    <w:uiPriority w:val="24"/>
    <w:rsid w:val="00A9136E"/>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740DE9"/>
    <w:pPr>
      <w:keepNext/>
      <w:shd w:val="clear" w:color="auto" w:fill="F1F2F2"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740DE9"/>
    <w:rPr>
      <w:rFonts w:eastAsiaTheme="minorHAnsi"/>
      <w:color w:val="auto"/>
      <w:szCs w:val="18"/>
      <w:shd w:val="clear" w:color="auto" w:fill="F1F2F2" w:themeFill="background2"/>
      <w:lang w:val="en-AU" w:eastAsia="en-US"/>
    </w:rPr>
  </w:style>
  <w:style w:type="paragraph" w:customStyle="1" w:styleId="AnnexureHeading">
    <w:name w:val="AnnexureHeading"/>
    <w:basedOn w:val="ScheduleHeadingAshurst"/>
    <w:next w:val="NormalAshurst"/>
    <w:uiPriority w:val="9"/>
    <w:rsid w:val="002C7AAE"/>
    <w:pPr>
      <w:suppressAutoHyphens w:val="0"/>
    </w:pPr>
    <w:rPr>
      <w:rFonts w:asciiTheme="minorHAnsi" w:hAnsiTheme="minorHAnsi"/>
      <w:bCs/>
      <w:iCs/>
      <w:sz w:val="22"/>
      <w:szCs w:val="34"/>
      <w:lang w:val="en-AU" w:eastAsia="en-US"/>
    </w:rPr>
  </w:style>
  <w:style w:type="paragraph" w:customStyle="1" w:styleId="Annexure">
    <w:name w:val="Annexure#"/>
    <w:basedOn w:val="NormalAshurst"/>
    <w:next w:val="AnnexureHeading"/>
    <w:uiPriority w:val="9"/>
    <w:qFormat/>
    <w:rsid w:val="002660E8"/>
    <w:pPr>
      <w:keepNext/>
      <w:numPr>
        <w:numId w:val="20"/>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340B38"/>
    <w:pPr>
      <w:numPr>
        <w:numId w:val="29"/>
      </w:numPr>
    </w:pPr>
  </w:style>
  <w:style w:type="paragraph" w:customStyle="1" w:styleId="CSDateLeftAshurst">
    <w:name w:val="CSDateLeftAshurst"/>
    <w:basedOn w:val="CSDateAshurst"/>
    <w:next w:val="NormalAshurst"/>
    <w:link w:val="CSDateLeftAshurstChar"/>
    <w:uiPriority w:val="29"/>
    <w:qFormat/>
    <w:rsid w:val="00824318"/>
    <w:pPr>
      <w:jc w:val="left"/>
    </w:pPr>
  </w:style>
  <w:style w:type="character" w:styleId="UnresolvedMention">
    <w:name w:val="Unresolved Mention"/>
    <w:basedOn w:val="DefaultParagraphFont"/>
    <w:uiPriority w:val="99"/>
    <w:semiHidden/>
    <w:rsid w:val="007B7D4F"/>
    <w:rPr>
      <w:color w:val="605E5C"/>
      <w:shd w:val="clear" w:color="auto" w:fill="E1DFDD"/>
    </w:rPr>
  </w:style>
  <w:style w:type="numbering" w:customStyle="1" w:styleId="OutlineList1">
    <w:name w:val="OutlineList1"/>
    <w:uiPriority w:val="99"/>
    <w:rsid w:val="00180566"/>
    <w:pPr>
      <w:numPr>
        <w:numId w:val="21"/>
      </w:numPr>
    </w:pPr>
  </w:style>
  <w:style w:type="paragraph" w:customStyle="1" w:styleId="SchSubAshurst">
    <w:name w:val="SchSubAshurst"/>
    <w:basedOn w:val="BaseH3AgtAdv"/>
    <w:next w:val="NormalAshurst"/>
    <w:uiPriority w:val="9"/>
    <w:qFormat/>
    <w:rsid w:val="000E6E80"/>
    <w:pPr>
      <w:keepNext/>
      <w:spacing w:after="240"/>
    </w:pPr>
  </w:style>
  <w:style w:type="numbering" w:customStyle="1" w:styleId="OutlineList3">
    <w:name w:val="OutlineList3"/>
    <w:uiPriority w:val="99"/>
    <w:rsid w:val="007F4E58"/>
    <w:pPr>
      <w:numPr>
        <w:numId w:val="22"/>
      </w:numPr>
    </w:pPr>
  </w:style>
  <w:style w:type="character" w:customStyle="1" w:styleId="ExecutionBold">
    <w:name w:val="ExecutionBold"/>
    <w:basedOn w:val="DefaultParagraphFont"/>
    <w:uiPriority w:val="13"/>
    <w:rsid w:val="00335970"/>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280C2B"/>
    <w:pPr>
      <w:numPr>
        <w:numId w:val="23"/>
      </w:numPr>
    </w:pPr>
  </w:style>
  <w:style w:type="numbering" w:customStyle="1" w:styleId="OutlineParties">
    <w:name w:val="OutlineParties"/>
    <w:rsid w:val="007F4E58"/>
    <w:pPr>
      <w:numPr>
        <w:numId w:val="24"/>
      </w:numPr>
    </w:pPr>
  </w:style>
  <w:style w:type="numbering" w:customStyle="1" w:styleId="OutlinesRecitals">
    <w:name w:val="OutlinesRecitals"/>
    <w:uiPriority w:val="99"/>
    <w:rsid w:val="007F4E58"/>
    <w:pPr>
      <w:numPr>
        <w:numId w:val="25"/>
      </w:numPr>
    </w:pPr>
  </w:style>
  <w:style w:type="paragraph" w:customStyle="1" w:styleId="RecitalsAshurst2">
    <w:name w:val="RecitalsAshurst2"/>
    <w:basedOn w:val="NormalAshurst"/>
    <w:uiPriority w:val="1"/>
    <w:rsid w:val="001A12D9"/>
    <w:pPr>
      <w:numPr>
        <w:ilvl w:val="1"/>
        <w:numId w:val="26"/>
      </w:numPr>
      <w:spacing w:after="220" w:line="264" w:lineRule="auto"/>
      <w:jc w:val="both"/>
    </w:pPr>
    <w:rPr>
      <w:rFonts w:eastAsiaTheme="minorHAnsi"/>
      <w:lang w:val="en-AU" w:eastAsia="en-US"/>
    </w:rPr>
  </w:style>
  <w:style w:type="character" w:customStyle="1" w:styleId="DefinitionBold">
    <w:name w:val="DefinitionBold"/>
    <w:basedOn w:val="DefaultParagraphFont"/>
    <w:uiPriority w:val="2"/>
    <w:qFormat/>
    <w:rsid w:val="00180D5A"/>
    <w:rPr>
      <w:b/>
    </w:rPr>
  </w:style>
  <w:style w:type="paragraph" w:customStyle="1" w:styleId="AppendixSubAshurst">
    <w:name w:val="AppendixSubAshurst"/>
    <w:basedOn w:val="SchSubAshurst"/>
    <w:next w:val="NormalAshurst"/>
    <w:uiPriority w:val="9"/>
    <w:rsid w:val="00692446"/>
  </w:style>
  <w:style w:type="paragraph" w:customStyle="1" w:styleId="ExhibitHeading">
    <w:name w:val="ExhibitHeading"/>
    <w:basedOn w:val="BaseH2AgtAdv"/>
    <w:next w:val="NormalAshurst"/>
    <w:uiPriority w:val="9"/>
    <w:qFormat/>
    <w:rsid w:val="00CC43C1"/>
    <w:pPr>
      <w:keepNext/>
      <w:outlineLvl w:val="1"/>
    </w:pPr>
  </w:style>
  <w:style w:type="paragraph" w:customStyle="1" w:styleId="ExhibitSubHeading">
    <w:name w:val="ExhibitSubHeading"/>
    <w:basedOn w:val="SchSubAshurst"/>
    <w:next w:val="NormalAshurst"/>
    <w:uiPriority w:val="9"/>
    <w:rsid w:val="001B2B5C"/>
  </w:style>
  <w:style w:type="table" w:customStyle="1" w:styleId="ExecutionClause">
    <w:name w:val="Execution Clause"/>
    <w:basedOn w:val="TableNormal"/>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CD7695"/>
    <w:pPr>
      <w:spacing w:after="0"/>
    </w:pPr>
    <w:rPr>
      <w:rFonts w:eastAsiaTheme="minorHAnsi"/>
      <w:lang w:val="en-AU" w:eastAsia="en-US"/>
    </w:rPr>
  </w:style>
  <w:style w:type="paragraph" w:customStyle="1" w:styleId="Execution24B4">
    <w:name w:val="Execution24B4"/>
    <w:basedOn w:val="ExecutionNormal"/>
    <w:uiPriority w:val="24"/>
    <w:rsid w:val="006B35C5"/>
    <w:pPr>
      <w:suppressAutoHyphens w:val="0"/>
      <w:spacing w:before="480"/>
    </w:pPr>
  </w:style>
  <w:style w:type="paragraph" w:customStyle="1" w:styleId="Execution8pt">
    <w:name w:val="Execution8pt"/>
    <w:basedOn w:val="ExecutionNormal"/>
    <w:uiPriority w:val="24"/>
    <w:rsid w:val="002D5499"/>
    <w:pPr>
      <w:suppressAutoHyphens w:val="0"/>
      <w:spacing w:before="40"/>
    </w:pPr>
    <w:rPr>
      <w:sz w:val="16"/>
    </w:rPr>
  </w:style>
  <w:style w:type="paragraph" w:customStyle="1" w:styleId="Execution48B424">
    <w:name w:val="Execution48B424"/>
    <w:basedOn w:val="ExecutionNormal"/>
    <w:uiPriority w:val="24"/>
    <w:rsid w:val="006A6853"/>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004711"/>
    <w:pPr>
      <w:spacing w:after="0" w:line="240" w:lineRule="auto"/>
      <w:jc w:val="right"/>
    </w:pPr>
  </w:style>
  <w:style w:type="paragraph" w:customStyle="1" w:styleId="FormalPartsAshurst">
    <w:name w:val="FormalPartsAshurst"/>
    <w:basedOn w:val="NormalAshurst"/>
    <w:link w:val="FormalPartsAshurstChar"/>
    <w:uiPriority w:val="1"/>
    <w:rsid w:val="00C71E72"/>
    <w:pPr>
      <w:spacing w:before="220" w:after="120"/>
    </w:pPr>
    <w:rPr>
      <w:b/>
      <w:bCs/>
      <w:caps/>
      <w:spacing w:val="20"/>
    </w:rPr>
  </w:style>
  <w:style w:type="character" w:customStyle="1" w:styleId="AshurstNote">
    <w:name w:val="AshurstNote"/>
    <w:basedOn w:val="DefaultParagraphFont"/>
    <w:uiPriority w:val="1"/>
    <w:qFormat/>
    <w:rsid w:val="000614E0"/>
    <w:rPr>
      <w:rFonts w:asciiTheme="minorHAnsi" w:hAnsiTheme="minorHAnsi"/>
      <w:b/>
      <w:bCs/>
      <w:color w:val="FF5F49" w:themeColor="accent1"/>
      <w:sz w:val="20"/>
    </w:rPr>
  </w:style>
  <w:style w:type="table" w:customStyle="1" w:styleId="Ashurst1">
    <w:name w:val="Ashurst 1"/>
    <w:basedOn w:val="TableNormal"/>
    <w:uiPriority w:val="99"/>
    <w:rsid w:val="005D40D1"/>
    <w:pPr>
      <w:spacing w:before="100" w:after="100"/>
    </w:pPr>
    <w:tblPr>
      <w:tblStyleRowBandSize w:val="1"/>
      <w:tblBorders>
        <w:top w:val="single" w:sz="4" w:space="0" w:color="D6BB9D" w:themeColor="accent6"/>
        <w:bottom w:val="single" w:sz="4" w:space="0" w:color="D6BB9D" w:themeColor="accent6"/>
        <w:insideH w:val="single" w:sz="4" w:space="0" w:color="D6BB9D" w:themeColor="accent6"/>
      </w:tblBorders>
    </w:tblPr>
    <w:tcPr>
      <w:tcMar>
        <w:top w:w="0" w:type="dxa"/>
      </w:tcMar>
      <w:vAlign w:val="center"/>
    </w:tcPr>
    <w:tblStylePr w:type="firstRow">
      <w:pPr>
        <w:jc w:val="left"/>
      </w:pPr>
      <w:rPr>
        <w:rFonts w:asciiTheme="minorHAnsi" w:hAnsiTheme="minorHAnsi"/>
        <w:b/>
        <w:sz w:val="20"/>
      </w:rPr>
      <w:tblPr/>
      <w:trPr>
        <w:tblHeader/>
      </w:trPr>
      <w:tcPr>
        <w:tcBorders>
          <w:top w:val="nil"/>
          <w:left w:val="nil"/>
          <w:bottom w:val="single" w:sz="4" w:space="0" w:color="D6BB9D" w:themeColor="accent6"/>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sz="4" w:space="0" w:color="D6BB9D" w:themeColor="accent6"/>
        </w:tcBorders>
      </w:tcPr>
    </w:tblStylePr>
    <w:tblStylePr w:type="band2Horz">
      <w:tblPr/>
      <w:tcPr>
        <w:shd w:val="clear" w:color="auto" w:fill="F6F1EB" w:themeFill="accent6" w:themeFillTint="33"/>
      </w:tcPr>
    </w:tblStylePr>
  </w:style>
  <w:style w:type="paragraph" w:customStyle="1" w:styleId="SDBoldItalicsAshurst">
    <w:name w:val="SDBoldItalicsAshurst"/>
    <w:basedOn w:val="B12Ashurst"/>
    <w:uiPriority w:val="79"/>
    <w:unhideWhenUsed/>
    <w:rsid w:val="0002374D"/>
    <w:pPr>
      <w:tabs>
        <w:tab w:val="clear" w:pos="2030"/>
        <w:tab w:val="clear" w:pos="2654"/>
        <w:tab w:val="clear" w:pos="3277"/>
        <w:tab w:val="clear" w:pos="3901"/>
      </w:tabs>
      <w:spacing w:after="220" w:line="264" w:lineRule="auto"/>
      <w:jc w:val="both"/>
    </w:pPr>
    <w:rPr>
      <w:b/>
      <w:i/>
      <w:sz w:val="18"/>
      <w:lang w:eastAsia="zh-CN"/>
    </w:rPr>
  </w:style>
  <w:style w:type="table" w:customStyle="1" w:styleId="Ashurst2">
    <w:name w:val="Ashurst 2"/>
    <w:basedOn w:val="TableNormal"/>
    <w:uiPriority w:val="99"/>
    <w:rsid w:val="005D40D1"/>
    <w:pPr>
      <w:spacing w:before="100" w:after="100"/>
    </w:pPr>
    <w:rPr>
      <w:color w:val="auto"/>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table" w:styleId="TableGrid">
    <w:name w:val="Table Grid"/>
    <w:aliases w:val="gbn 5"/>
    <w:basedOn w:val="TableNormal"/>
    <w:uiPriority w:val="39"/>
    <w:qFormat/>
    <w:rsid w:val="0014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1404DA"/>
  </w:style>
  <w:style w:type="table" w:customStyle="1" w:styleId="AshurstPlainGrid">
    <w:name w:val="Ashurst Plain Grid"/>
    <w:basedOn w:val="TableNormal"/>
    <w:uiPriority w:val="99"/>
    <w:rsid w:val="005670AB"/>
    <w:tblPr/>
    <w:tcPr>
      <w:tcMar>
        <w:top w:w="0" w:type="dxa"/>
      </w:tcMar>
      <w:vAlign w:val="cente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D6BB9D" w:themeColor="accent6"/>
        </w:tcBorders>
      </w:tcPr>
    </w:tblStylePr>
    <w:tblStylePr w:type="band2Horz">
      <w:tblPr/>
      <w:tcPr>
        <w:tcBorders>
          <w:bottom w:val="single" w:sz="4" w:space="0" w:color="D6BB9D" w:themeColor="accent6"/>
        </w:tcBorders>
      </w:tcPr>
    </w:tblStylePr>
  </w:style>
  <w:style w:type="table" w:customStyle="1" w:styleId="Ashurst3">
    <w:name w:val="Ashurst 3"/>
    <w:basedOn w:val="TableNormal"/>
    <w:uiPriority w:val="99"/>
    <w:rsid w:val="005D40D1"/>
    <w:pPr>
      <w:spacing w:before="100" w:after="100" w:line="300" w:lineRule="exact"/>
    </w:pPr>
    <w:rPr>
      <w:color w:val="auto"/>
      <w:szCs w:val="20"/>
      <w:lang w:eastAsia="zh-CN"/>
    </w:rPr>
    <w:tblPr>
      <w:tblBorders>
        <w:top w:val="single" w:sz="4" w:space="0" w:color="D6BB9D" w:themeColor="accent6"/>
        <w:bottom w:val="single" w:sz="4" w:space="0" w:color="D6BB9D" w:themeColor="accent6"/>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9309B"/>
    <w:pPr>
      <w:spacing w:before="1040"/>
    </w:pPr>
  </w:style>
  <w:style w:type="character" w:customStyle="1" w:styleId="42cmStartOfDocAshurstChar">
    <w:name w:val="4.2cmStartOfDocAshurst Char"/>
    <w:basedOn w:val="NormalAshurstChar"/>
    <w:link w:val="42cmStartOfDocAshurst"/>
    <w:uiPriority w:val="1"/>
    <w:rsid w:val="00105B3F"/>
    <w:rPr>
      <w:color w:val="auto"/>
      <w:sz w:val="22"/>
    </w:rPr>
  </w:style>
  <w:style w:type="paragraph" w:customStyle="1" w:styleId="CSDescriptionAshurst">
    <w:name w:val="CSDescriptionAshurst"/>
    <w:basedOn w:val="StandardAshurst"/>
    <w:uiPriority w:val="29"/>
    <w:qFormat/>
    <w:rsid w:val="008D65E9"/>
    <w:pPr>
      <w:spacing w:after="80"/>
    </w:pPr>
  </w:style>
  <w:style w:type="table" w:customStyle="1" w:styleId="Ashurst4">
    <w:name w:val="Ashurst 4"/>
    <w:basedOn w:val="TableNormal"/>
    <w:uiPriority w:val="99"/>
    <w:rsid w:val="005D40D1"/>
    <w:pPr>
      <w:spacing w:before="100" w:after="100"/>
    </w:pPr>
    <w:rPr>
      <w:color w:val="auto"/>
      <w:szCs w:val="20"/>
      <w:lang w:eastAsia="zh-CN"/>
    </w:rPr>
    <w:tblPr>
      <w:tblBorders>
        <w:top w:val="single" w:sz="4" w:space="0" w:color="D6BB9D" w:themeColor="accent6"/>
        <w:bottom w:val="single" w:sz="4" w:space="0" w:color="D6BB9D" w:themeColor="accent6"/>
        <w:insideH w:val="single" w:sz="4" w:space="0" w:color="D6BB9D" w:themeColor="accent6"/>
      </w:tblBorders>
    </w:tblPr>
    <w:tblStylePr w:type="firstRow">
      <w:rPr>
        <w:b/>
      </w:rPr>
      <w:tblPr/>
      <w:trPr>
        <w:tblHeader/>
      </w:trPr>
    </w:tblStylePr>
    <w:tblStylePr w:type="firstCol">
      <w:rPr>
        <w:b/>
      </w:rPr>
    </w:tblStylePr>
  </w:style>
  <w:style w:type="table" w:styleId="PlainTable1">
    <w:name w:val="Plain Table 1"/>
    <w:basedOn w:val="TableNormal"/>
    <w:uiPriority w:val="41"/>
    <w:rsid w:val="005D4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7Ashurst">
    <w:name w:val="Bullet7Ashurst"/>
    <w:basedOn w:val="Normal"/>
    <w:uiPriority w:val="6"/>
    <w:rsid w:val="005A29F9"/>
    <w:pPr>
      <w:numPr>
        <w:ilvl w:val="7"/>
        <w:numId w:val="33"/>
      </w:numPr>
    </w:pPr>
  </w:style>
  <w:style w:type="paragraph" w:customStyle="1" w:styleId="Bullet8Ashurst">
    <w:name w:val="Bullet8Ashurst"/>
    <w:basedOn w:val="Normal"/>
    <w:uiPriority w:val="6"/>
    <w:rsid w:val="00923968"/>
  </w:style>
  <w:style w:type="table" w:styleId="GridTable4-Accent2">
    <w:name w:val="Grid Table 4 Accent 2"/>
    <w:basedOn w:val="TableNormal"/>
    <w:uiPriority w:val="49"/>
    <w:rsid w:val="00524535"/>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paragraph" w:customStyle="1" w:styleId="CSPartyNameRole">
    <w:name w:val="CSPartyNameRole"/>
    <w:basedOn w:val="CSTxtAshurst"/>
    <w:next w:val="CSPartyNameAshurst"/>
    <w:uiPriority w:val="1"/>
    <w:qFormat/>
    <w:rsid w:val="00D502CF"/>
    <w:pPr>
      <w:spacing w:after="0"/>
    </w:pPr>
  </w:style>
  <w:style w:type="paragraph" w:customStyle="1" w:styleId="AltSH1Ashurst">
    <w:name w:val="AltSH1Ashurst"/>
    <w:basedOn w:val="AltSH2Ashurst"/>
    <w:uiPriority w:val="45"/>
    <w:rsid w:val="00C04F65"/>
  </w:style>
  <w:style w:type="paragraph" w:customStyle="1" w:styleId="AltSH2Ashurst">
    <w:name w:val="AltSH2Ashurst"/>
    <w:basedOn w:val="NormalAshurst"/>
    <w:uiPriority w:val="45"/>
    <w:rsid w:val="00C04F65"/>
    <w:pPr>
      <w:numPr>
        <w:ilvl w:val="1"/>
        <w:numId w:val="41"/>
      </w:numPr>
      <w:outlineLvl w:val="1"/>
    </w:pPr>
    <w:rPr>
      <w:sz w:val="20"/>
    </w:rPr>
  </w:style>
  <w:style w:type="paragraph" w:customStyle="1" w:styleId="AltSH3Ashurst">
    <w:name w:val="AltSH3Ashurst"/>
    <w:basedOn w:val="NormalAshurst"/>
    <w:uiPriority w:val="45"/>
    <w:rsid w:val="004A5215"/>
    <w:pPr>
      <w:numPr>
        <w:ilvl w:val="2"/>
        <w:numId w:val="41"/>
      </w:numPr>
      <w:spacing w:after="220" w:line="264" w:lineRule="auto"/>
      <w:jc w:val="both"/>
      <w:outlineLvl w:val="2"/>
    </w:pPr>
  </w:style>
  <w:style w:type="paragraph" w:customStyle="1" w:styleId="AltSH4Ashurst">
    <w:name w:val="AltSH4Ashurst"/>
    <w:basedOn w:val="NormalAshurst"/>
    <w:uiPriority w:val="45"/>
    <w:rsid w:val="004A5215"/>
    <w:pPr>
      <w:numPr>
        <w:ilvl w:val="3"/>
        <w:numId w:val="41"/>
      </w:numPr>
      <w:spacing w:after="220" w:line="264" w:lineRule="auto"/>
      <w:jc w:val="both"/>
      <w:outlineLvl w:val="3"/>
    </w:pPr>
  </w:style>
  <w:style w:type="paragraph" w:customStyle="1" w:styleId="AltSH5Ashurst">
    <w:name w:val="AltSH5Ashurst"/>
    <w:basedOn w:val="NormalAshurst"/>
    <w:uiPriority w:val="45"/>
    <w:rsid w:val="004A5215"/>
    <w:pPr>
      <w:numPr>
        <w:ilvl w:val="4"/>
        <w:numId w:val="41"/>
      </w:numPr>
      <w:spacing w:after="220" w:line="264" w:lineRule="auto"/>
      <w:jc w:val="both"/>
      <w:outlineLvl w:val="4"/>
    </w:pPr>
  </w:style>
  <w:style w:type="paragraph" w:customStyle="1" w:styleId="AltSH6Ashurst">
    <w:name w:val="AltSH6Ashurst"/>
    <w:basedOn w:val="NormalAshurst"/>
    <w:uiPriority w:val="45"/>
    <w:rsid w:val="004A5215"/>
    <w:pPr>
      <w:numPr>
        <w:ilvl w:val="5"/>
        <w:numId w:val="41"/>
      </w:numPr>
      <w:spacing w:after="220" w:line="264" w:lineRule="auto"/>
      <w:jc w:val="both"/>
    </w:pPr>
  </w:style>
  <w:style w:type="paragraph" w:customStyle="1" w:styleId="AltSH7Ashurst">
    <w:name w:val="AltSH7Ashurst"/>
    <w:basedOn w:val="AltSH6Ashurst"/>
    <w:uiPriority w:val="45"/>
    <w:rsid w:val="00856575"/>
    <w:pPr>
      <w:numPr>
        <w:ilvl w:val="6"/>
      </w:numPr>
    </w:pPr>
  </w:style>
  <w:style w:type="paragraph" w:customStyle="1" w:styleId="AltSH8Ashurst">
    <w:name w:val="AltSH8Ashurst"/>
    <w:basedOn w:val="AltSH7Ashurst"/>
    <w:uiPriority w:val="45"/>
    <w:rsid w:val="00856575"/>
    <w:pPr>
      <w:numPr>
        <w:ilvl w:val="7"/>
      </w:numPr>
    </w:pPr>
  </w:style>
  <w:style w:type="character" w:customStyle="1" w:styleId="BaseH2AgtAdvChar">
    <w:name w:val="BaseH2_AgtAdv Char"/>
    <w:basedOn w:val="NormalAshurstChar"/>
    <w:link w:val="BaseH2AgtAdv"/>
    <w:uiPriority w:val="79"/>
    <w:rsid w:val="00754E94"/>
    <w:rPr>
      <w:rFonts w:asciiTheme="majorHAnsi" w:eastAsiaTheme="majorEastAsia" w:hAnsiTheme="majorHAnsi" w:cstheme="majorBidi"/>
      <w:color w:val="auto"/>
      <w:sz w:val="30"/>
    </w:rPr>
  </w:style>
  <w:style w:type="character" w:customStyle="1" w:styleId="CSDateAshurstChar">
    <w:name w:val="CSDateAshurst Char"/>
    <w:basedOn w:val="BaseH2AgtAdvChar"/>
    <w:link w:val="CSDateAshurst"/>
    <w:uiPriority w:val="29"/>
    <w:rsid w:val="00754E94"/>
    <w:rPr>
      <w:rFonts w:asciiTheme="majorHAnsi" w:eastAsiaTheme="majorEastAsia" w:hAnsiTheme="majorHAnsi" w:cstheme="majorBidi"/>
      <w:color w:val="auto"/>
      <w:sz w:val="30"/>
    </w:rPr>
  </w:style>
  <w:style w:type="character" w:customStyle="1" w:styleId="CSDateLeftAshurstChar">
    <w:name w:val="CSDateLeftAshurst Char"/>
    <w:basedOn w:val="CSDateAshurstChar"/>
    <w:link w:val="CSDateLeftAshurst"/>
    <w:uiPriority w:val="29"/>
    <w:rsid w:val="00754E94"/>
    <w:rPr>
      <w:rFonts w:asciiTheme="majorHAnsi" w:eastAsiaTheme="majorEastAsia" w:hAnsiTheme="majorHAnsi" w:cstheme="majorBidi"/>
      <w:color w:val="auto"/>
      <w:sz w:val="30"/>
    </w:rPr>
  </w:style>
  <w:style w:type="character" w:customStyle="1" w:styleId="BaseH1AgtChar">
    <w:name w:val="BaseH1_Agt Char"/>
    <w:basedOn w:val="NormalAshurstChar"/>
    <w:link w:val="BaseH1Agt"/>
    <w:uiPriority w:val="79"/>
    <w:rsid w:val="00754E94"/>
    <w:rPr>
      <w:rFonts w:asciiTheme="majorHAnsi" w:hAnsiTheme="majorHAnsi"/>
      <w:color w:val="FF5F49" w:themeColor="accent1"/>
      <w:sz w:val="60"/>
    </w:rPr>
  </w:style>
  <w:style w:type="character" w:customStyle="1" w:styleId="CSTitleAshurstChar">
    <w:name w:val="CSTitleAshurst Char"/>
    <w:basedOn w:val="BaseH1AgtChar"/>
    <w:link w:val="CSTitleAshurst"/>
    <w:uiPriority w:val="29"/>
    <w:rsid w:val="00A1475C"/>
    <w:rPr>
      <w:rFonts w:asciiTheme="majorHAnsi" w:hAnsiTheme="majorHAnsi"/>
      <w:color w:val="FF5F49" w:themeColor="accent1"/>
      <w:sz w:val="60"/>
      <w:szCs w:val="48"/>
    </w:rPr>
  </w:style>
  <w:style w:type="paragraph" w:customStyle="1" w:styleId="CSPartyNameAshurst">
    <w:name w:val="CSPartyNameAshurst"/>
    <w:basedOn w:val="CSSubTitleAshurst"/>
    <w:next w:val="CSPartyNameRole"/>
    <w:uiPriority w:val="1"/>
    <w:qFormat/>
    <w:rsid w:val="00EF167F"/>
    <w:pPr>
      <w:spacing w:before="320"/>
    </w:pPr>
  </w:style>
  <w:style w:type="paragraph" w:customStyle="1" w:styleId="BaseH6AgtAdv">
    <w:name w:val="BaseH6_AgtAdv"/>
    <w:basedOn w:val="NormalAshurst"/>
    <w:uiPriority w:val="79"/>
    <w:rsid w:val="00BC42AE"/>
    <w:pPr>
      <w:spacing w:after="0" w:line="240" w:lineRule="atLeast"/>
    </w:pPr>
    <w:rPr>
      <w:b/>
      <w:shd w:val="clear" w:color="auto" w:fill="FAF9F8"/>
    </w:rPr>
  </w:style>
  <w:style w:type="table" w:styleId="PlainTable2">
    <w:name w:val="Plain Table 2"/>
    <w:basedOn w:val="TableNormal"/>
    <w:uiPriority w:val="42"/>
    <w:rsid w:val="005E4F7B"/>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E71DDA"/>
    <w:pPr>
      <w:spacing w:before="80" w:after="80"/>
    </w:pPr>
    <w:rPr>
      <w:szCs w:val="20"/>
      <w:lang w:eastAsia="zh-CN"/>
    </w:rPr>
  </w:style>
  <w:style w:type="paragraph" w:customStyle="1" w:styleId="SignaturesAshurst">
    <w:name w:val="SignaturesAshurst"/>
    <w:basedOn w:val="BaseH2AgtAdv"/>
    <w:next w:val="NormalAshurst"/>
    <w:uiPriority w:val="1"/>
    <w:rsid w:val="00984802"/>
  </w:style>
  <w:style w:type="paragraph" w:customStyle="1" w:styleId="TableNum1">
    <w:name w:val="TableNum1"/>
    <w:basedOn w:val="NormalAshurst"/>
    <w:uiPriority w:val="8"/>
    <w:rsid w:val="00DF0AC3"/>
    <w:pPr>
      <w:numPr>
        <w:numId w:val="49"/>
      </w:numPr>
      <w:spacing w:before="100" w:after="100"/>
    </w:pPr>
    <w:rPr>
      <w:rFonts w:eastAsiaTheme="majorEastAsia"/>
      <w:lang w:val="en-AU" w:eastAsia="en-US"/>
    </w:rPr>
  </w:style>
  <w:style w:type="paragraph" w:customStyle="1" w:styleId="TableNum2">
    <w:name w:val="TableNum2"/>
    <w:basedOn w:val="NormalAshurst"/>
    <w:uiPriority w:val="8"/>
    <w:rsid w:val="00DF0AC3"/>
    <w:pPr>
      <w:numPr>
        <w:ilvl w:val="1"/>
        <w:numId w:val="49"/>
      </w:numPr>
      <w:spacing w:before="100" w:after="100"/>
    </w:pPr>
    <w:rPr>
      <w:lang w:val="it-IT" w:eastAsia="en-US"/>
    </w:rPr>
  </w:style>
  <w:style w:type="paragraph" w:customStyle="1" w:styleId="TableNum3">
    <w:name w:val="TableNum3"/>
    <w:basedOn w:val="NormalAshurst"/>
    <w:uiPriority w:val="8"/>
    <w:rsid w:val="001B5F8C"/>
    <w:pPr>
      <w:numPr>
        <w:ilvl w:val="2"/>
        <w:numId w:val="49"/>
      </w:numPr>
      <w:spacing w:after="240"/>
      <w:ind w:left="360"/>
      <w:contextualSpacing/>
    </w:pPr>
    <w:rPr>
      <w:lang w:val="it-IT" w:eastAsia="en-US"/>
    </w:rPr>
  </w:style>
  <w:style w:type="paragraph" w:customStyle="1" w:styleId="TableNum4">
    <w:name w:val="TableNum4"/>
    <w:basedOn w:val="NormalAshurst"/>
    <w:uiPriority w:val="8"/>
    <w:rsid w:val="00DF0AC3"/>
    <w:pPr>
      <w:numPr>
        <w:ilvl w:val="3"/>
        <w:numId w:val="49"/>
      </w:numPr>
      <w:spacing w:before="100" w:after="100"/>
    </w:pPr>
    <w:rPr>
      <w:lang w:val="it-IT" w:eastAsia="en-US"/>
    </w:rPr>
  </w:style>
  <w:style w:type="paragraph" w:customStyle="1" w:styleId="TableNum5">
    <w:name w:val="TableNum5"/>
    <w:basedOn w:val="NormalAshurst"/>
    <w:uiPriority w:val="8"/>
    <w:rsid w:val="00DF0AC3"/>
    <w:pPr>
      <w:numPr>
        <w:ilvl w:val="4"/>
        <w:numId w:val="49"/>
      </w:numPr>
      <w:spacing w:before="100" w:after="100"/>
    </w:pPr>
    <w:rPr>
      <w:lang w:val="it-IT" w:eastAsia="en-US"/>
    </w:rPr>
  </w:style>
  <w:style w:type="paragraph" w:customStyle="1" w:styleId="SchedulePartAshurstABC">
    <w:name w:val="SchedulePartAshurst_ABC"/>
    <w:basedOn w:val="Normal"/>
    <w:next w:val="NormalAshurst"/>
    <w:uiPriority w:val="9"/>
    <w:qFormat/>
    <w:rsid w:val="00920071"/>
    <w:pPr>
      <w:keepNext/>
      <w:numPr>
        <w:ilvl w:val="1"/>
        <w:numId w:val="23"/>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280C2B"/>
    <w:pPr>
      <w:numPr>
        <w:ilvl w:val="2"/>
      </w:numPr>
    </w:pPr>
  </w:style>
  <w:style w:type="paragraph" w:customStyle="1" w:styleId="TableNum6">
    <w:name w:val="TableNum6"/>
    <w:basedOn w:val="NormalAshurst"/>
    <w:uiPriority w:val="8"/>
    <w:qFormat/>
    <w:rsid w:val="00833246"/>
    <w:pPr>
      <w:numPr>
        <w:ilvl w:val="5"/>
        <w:numId w:val="49"/>
      </w:numPr>
      <w:spacing w:before="100" w:after="100"/>
    </w:pPr>
    <w:rPr>
      <w:lang w:val="en-AU"/>
    </w:rPr>
  </w:style>
  <w:style w:type="paragraph" w:customStyle="1" w:styleId="KH1Ashurst">
    <w:name w:val="KH1Ashurst"/>
    <w:basedOn w:val="NormalAshurst"/>
    <w:link w:val="KH1AshurstChar"/>
    <w:uiPriority w:val="64"/>
    <w:qFormat/>
    <w:rsid w:val="00920071"/>
    <w:pPr>
      <w:keepNext/>
      <w:numPr>
        <w:numId w:val="37"/>
      </w:numPr>
      <w:tabs>
        <w:tab w:val="num" w:pos="782"/>
      </w:tabs>
      <w:spacing w:before="120" w:after="120"/>
    </w:pPr>
    <w:rPr>
      <w:rFonts w:eastAsiaTheme="minorHAnsi"/>
      <w:b/>
      <w:bCs/>
      <w:lang w:val="en-AU" w:eastAsia="en-US"/>
    </w:rPr>
  </w:style>
  <w:style w:type="character" w:customStyle="1" w:styleId="KH1AshurstChar">
    <w:name w:val="KH1Ashurst Char"/>
    <w:basedOn w:val="NormalAshurstChar"/>
    <w:link w:val="KH1Ashurst"/>
    <w:uiPriority w:val="64"/>
    <w:rsid w:val="001A46E1"/>
    <w:rPr>
      <w:rFonts w:eastAsiaTheme="minorHAnsi"/>
      <w:b/>
      <w:bCs/>
      <w:color w:val="auto"/>
      <w:sz w:val="22"/>
      <w:lang w:val="en-AU" w:eastAsia="en-US"/>
    </w:rPr>
  </w:style>
  <w:style w:type="paragraph" w:customStyle="1" w:styleId="KH2Ashurst">
    <w:name w:val="KH2Ashurst"/>
    <w:basedOn w:val="NormalAshurst"/>
    <w:next w:val="B12Ashurst"/>
    <w:link w:val="KH2AshurstChar"/>
    <w:uiPriority w:val="64"/>
    <w:qFormat/>
    <w:rsid w:val="00920071"/>
    <w:pPr>
      <w:keepNext/>
      <w:numPr>
        <w:ilvl w:val="1"/>
        <w:numId w:val="37"/>
      </w:numPr>
      <w:tabs>
        <w:tab w:val="num" w:pos="782"/>
      </w:tabs>
      <w:spacing w:after="80"/>
    </w:pPr>
    <w:rPr>
      <w:b/>
      <w:bCs/>
      <w:lang w:val="en-AU"/>
    </w:rPr>
  </w:style>
  <w:style w:type="character" w:customStyle="1" w:styleId="KH2AshurstChar">
    <w:name w:val="KH2Ashurst Char"/>
    <w:basedOn w:val="NormalAshurstChar"/>
    <w:link w:val="KH2Ashurst"/>
    <w:uiPriority w:val="64"/>
    <w:rsid w:val="001A46E1"/>
    <w:rPr>
      <w:b/>
      <w:bCs/>
      <w:color w:val="auto"/>
      <w:sz w:val="22"/>
      <w:lang w:val="en-AU"/>
    </w:rPr>
  </w:style>
  <w:style w:type="paragraph" w:customStyle="1" w:styleId="KH3Ashurst">
    <w:name w:val="KH3Ashurst"/>
    <w:basedOn w:val="NormalAshurst"/>
    <w:link w:val="KH3AshurstChar"/>
    <w:uiPriority w:val="64"/>
    <w:qFormat/>
    <w:rsid w:val="00920071"/>
    <w:pPr>
      <w:numPr>
        <w:ilvl w:val="2"/>
        <w:numId w:val="37"/>
      </w:numPr>
      <w:ind w:left="782" w:hanging="782"/>
    </w:pPr>
    <w:rPr>
      <w:lang w:val="en-AU"/>
    </w:rPr>
  </w:style>
  <w:style w:type="character" w:customStyle="1" w:styleId="KH3AshurstChar">
    <w:name w:val="KH3Ashurst Char"/>
    <w:basedOn w:val="NormalAshurstChar"/>
    <w:link w:val="KH3Ashurst"/>
    <w:uiPriority w:val="64"/>
    <w:rsid w:val="001A46E1"/>
    <w:rPr>
      <w:color w:val="auto"/>
      <w:sz w:val="22"/>
      <w:lang w:val="en-AU"/>
    </w:rPr>
  </w:style>
  <w:style w:type="paragraph" w:customStyle="1" w:styleId="KH4Ashurst">
    <w:name w:val="KH4Ashurst"/>
    <w:basedOn w:val="NormalAshurst"/>
    <w:uiPriority w:val="64"/>
    <w:qFormat/>
    <w:rsid w:val="00920071"/>
    <w:pPr>
      <w:numPr>
        <w:ilvl w:val="3"/>
        <w:numId w:val="37"/>
      </w:numPr>
      <w:ind w:left="1406"/>
    </w:pPr>
    <w:rPr>
      <w:lang w:val="en-AU"/>
    </w:rPr>
  </w:style>
  <w:style w:type="paragraph" w:customStyle="1" w:styleId="KH5Ashurst">
    <w:name w:val="KH5Ashurst"/>
    <w:basedOn w:val="NormalAshurst"/>
    <w:uiPriority w:val="64"/>
    <w:qFormat/>
    <w:rsid w:val="00920071"/>
    <w:pPr>
      <w:numPr>
        <w:ilvl w:val="4"/>
        <w:numId w:val="37"/>
      </w:numPr>
      <w:ind w:left="2030"/>
    </w:pPr>
    <w:rPr>
      <w:lang w:val="en-AU"/>
    </w:rPr>
  </w:style>
  <w:style w:type="paragraph" w:customStyle="1" w:styleId="KH6Ashurst">
    <w:name w:val="KH6Ashurst"/>
    <w:basedOn w:val="NormalAshurst"/>
    <w:uiPriority w:val="64"/>
    <w:qFormat/>
    <w:rsid w:val="00920071"/>
    <w:pPr>
      <w:numPr>
        <w:ilvl w:val="5"/>
        <w:numId w:val="37"/>
      </w:numPr>
      <w:ind w:left="2654" w:hanging="624"/>
    </w:pPr>
    <w:rPr>
      <w:lang w:val="en-AU"/>
    </w:rPr>
  </w:style>
  <w:style w:type="character" w:customStyle="1" w:styleId="FormalPartsAshurstChar">
    <w:name w:val="FormalPartsAshurst Char"/>
    <w:basedOn w:val="NormalAshurstChar"/>
    <w:link w:val="FormalPartsAshurst"/>
    <w:uiPriority w:val="1"/>
    <w:rsid w:val="00142BD1"/>
    <w:rPr>
      <w:b/>
      <w:bCs/>
      <w:caps/>
      <w:color w:val="auto"/>
      <w:spacing w:val="20"/>
      <w:sz w:val="22"/>
    </w:rPr>
  </w:style>
  <w:style w:type="paragraph" w:customStyle="1" w:styleId="KHDocNum">
    <w:name w:val="KHDocNum"/>
    <w:basedOn w:val="CSDateAshurst"/>
    <w:link w:val="KHDocNumChar"/>
    <w:uiPriority w:val="64"/>
    <w:qFormat/>
    <w:rsid w:val="005A0987"/>
    <w:rPr>
      <w:color w:val="404040" w:themeColor="text1" w:themeTint="BF"/>
      <w:lang w:val="en-AU"/>
    </w:rPr>
  </w:style>
  <w:style w:type="character" w:customStyle="1" w:styleId="KHDocNumChar">
    <w:name w:val="KHDocNum Char"/>
    <w:basedOn w:val="CSDateAshurstChar"/>
    <w:link w:val="KHDocNum"/>
    <w:uiPriority w:val="64"/>
    <w:rsid w:val="005A0987"/>
    <w:rPr>
      <w:rFonts w:asciiTheme="majorHAnsi" w:eastAsiaTheme="majorEastAsia" w:hAnsiTheme="majorHAnsi" w:cstheme="majorBidi"/>
      <w:color w:val="404040" w:themeColor="text1" w:themeTint="BF"/>
      <w:sz w:val="30"/>
      <w:lang w:val="en-AU"/>
    </w:rPr>
  </w:style>
  <w:style w:type="paragraph" w:customStyle="1" w:styleId="KHTitle">
    <w:name w:val="KHTitle"/>
    <w:basedOn w:val="Normal"/>
    <w:link w:val="KHTitleChar"/>
    <w:uiPriority w:val="64"/>
    <w:qFormat/>
    <w:rsid w:val="00CD200C"/>
    <w:pPr>
      <w:suppressAutoHyphens/>
      <w:spacing w:line="500" w:lineRule="atLeast"/>
    </w:pPr>
    <w:rPr>
      <w:rFonts w:asciiTheme="majorHAnsi" w:hAnsiTheme="majorHAnsi"/>
      <w:color w:val="FF5F49" w:themeColor="accent1"/>
      <w:sz w:val="40"/>
    </w:rPr>
  </w:style>
  <w:style w:type="character" w:customStyle="1" w:styleId="KHTitleChar">
    <w:name w:val="KHTitle Char"/>
    <w:basedOn w:val="DefaultParagraphFont"/>
    <w:link w:val="KHTitle"/>
    <w:uiPriority w:val="64"/>
    <w:rsid w:val="00CD200C"/>
    <w:rPr>
      <w:rFonts w:asciiTheme="majorHAnsi" w:hAnsiTheme="majorHAnsi"/>
      <w:color w:val="FF5F49" w:themeColor="accent1"/>
      <w:sz w:val="40"/>
    </w:rPr>
  </w:style>
  <w:style w:type="paragraph" w:customStyle="1" w:styleId="Parties">
    <w:name w:val="Parties"/>
    <w:basedOn w:val="Normal"/>
    <w:qFormat/>
    <w:rsid w:val="00875187"/>
    <w:pPr>
      <w:tabs>
        <w:tab w:val="num" w:pos="782"/>
      </w:tabs>
      <w:spacing w:after="220" w:line="264" w:lineRule="auto"/>
      <w:ind w:left="782" w:hanging="782"/>
      <w:jc w:val="both"/>
    </w:pPr>
    <w:rPr>
      <w:rFonts w:ascii="Verdana" w:eastAsia="Times New Roman" w:hAnsi="Verdana" w:cs="Noto Naskh Arabic"/>
      <w:sz w:val="18"/>
      <w:szCs w:val="18"/>
      <w:lang w:eastAsia="en-US"/>
    </w:rPr>
  </w:style>
  <w:style w:type="paragraph" w:customStyle="1" w:styleId="FootnoteSeparatorAshurst">
    <w:name w:val="FootnoteSeparatorAshurst"/>
    <w:basedOn w:val="StandardAshurst"/>
    <w:next w:val="FootnoteText"/>
    <w:uiPriority w:val="1"/>
    <w:qFormat/>
    <w:rsid w:val="00772B53"/>
    <w:pPr>
      <w:spacing w:after="80"/>
    </w:pPr>
    <w:rPr>
      <w:color w:val="D6BB9D" w:themeColor="accent6"/>
    </w:rPr>
  </w:style>
  <w:style w:type="paragraph" w:customStyle="1" w:styleId="BaseH3AgtAdvCoral">
    <w:name w:val="BaseH3_AgtAdv Coral"/>
    <w:basedOn w:val="BaseH3AgtAdv"/>
    <w:uiPriority w:val="79"/>
    <w:qFormat/>
    <w:rsid w:val="00981326"/>
    <w:rPr>
      <w:color w:val="FF5F49" w:themeColor="accent1"/>
    </w:rPr>
  </w:style>
  <w:style w:type="paragraph" w:customStyle="1" w:styleId="BaseH1">
    <w:name w:val="BaseH1"/>
    <w:basedOn w:val="NormalAshurst"/>
    <w:link w:val="BaseH1Char"/>
    <w:uiPriority w:val="79"/>
    <w:rsid w:val="009E2576"/>
    <w:pPr>
      <w:spacing w:line="700" w:lineRule="atLeast"/>
    </w:pPr>
    <w:rPr>
      <w:rFonts w:asciiTheme="majorHAnsi" w:hAnsiTheme="majorHAnsi"/>
      <w:color w:val="FF5F49" w:themeColor="accent1"/>
      <w:sz w:val="60"/>
    </w:rPr>
  </w:style>
  <w:style w:type="character" w:customStyle="1" w:styleId="BaseH1Char">
    <w:name w:val="BaseH1 Char"/>
    <w:basedOn w:val="NormalAshurstChar"/>
    <w:link w:val="BaseH1"/>
    <w:uiPriority w:val="79"/>
    <w:rsid w:val="009E2576"/>
    <w:rPr>
      <w:rFonts w:asciiTheme="majorHAnsi" w:hAnsiTheme="majorHAnsi"/>
      <w:color w:val="FF5F49" w:themeColor="accent1"/>
      <w:sz w:val="60"/>
    </w:rPr>
  </w:style>
  <w:style w:type="paragraph" w:customStyle="1" w:styleId="BlankH1">
    <w:name w:val="Blank H1"/>
    <w:basedOn w:val="NormalAshurst"/>
    <w:next w:val="BlankH2"/>
    <w:link w:val="BlankH1Char"/>
    <w:uiPriority w:val="79"/>
    <w:rsid w:val="009E2576"/>
    <w:pPr>
      <w:spacing w:line="480" w:lineRule="atLeast"/>
    </w:pPr>
    <w:rPr>
      <w:rFonts w:asciiTheme="majorHAnsi" w:hAnsiTheme="majorHAnsi"/>
      <w:color w:val="FF5F49" w:themeColor="accent1"/>
      <w:sz w:val="40"/>
      <w:szCs w:val="40"/>
    </w:rPr>
  </w:style>
  <w:style w:type="paragraph" w:customStyle="1" w:styleId="BlankH120pt">
    <w:name w:val="Blank H1 20pt"/>
    <w:basedOn w:val="NormalAshurst"/>
    <w:uiPriority w:val="79"/>
    <w:rsid w:val="009E2576"/>
    <w:pPr>
      <w:spacing w:line="480" w:lineRule="atLeast"/>
    </w:pPr>
    <w:rPr>
      <w:rFonts w:asciiTheme="majorHAnsi" w:hAnsiTheme="majorHAnsi"/>
      <w:color w:val="FF5F49" w:themeColor="accent1"/>
      <w:sz w:val="40"/>
      <w:szCs w:val="40"/>
    </w:rPr>
  </w:style>
  <w:style w:type="character" w:customStyle="1" w:styleId="BlankH1Char">
    <w:name w:val="Blank H1 Char"/>
    <w:basedOn w:val="NormalAshurstChar"/>
    <w:link w:val="BlankH1"/>
    <w:uiPriority w:val="79"/>
    <w:rsid w:val="009E2576"/>
    <w:rPr>
      <w:rFonts w:asciiTheme="majorHAnsi" w:hAnsiTheme="majorHAnsi"/>
      <w:color w:val="FF5F49" w:themeColor="accent1"/>
      <w:sz w:val="40"/>
      <w:szCs w:val="40"/>
    </w:rPr>
  </w:style>
  <w:style w:type="paragraph" w:customStyle="1" w:styleId="BlankH2">
    <w:name w:val="Blank H2"/>
    <w:basedOn w:val="NormalAshurst"/>
    <w:next w:val="NormalAshurst"/>
    <w:link w:val="BlankH2Char"/>
    <w:uiPriority w:val="79"/>
    <w:rsid w:val="009E2576"/>
    <w:pPr>
      <w:spacing w:after="300" w:line="360" w:lineRule="atLeast"/>
    </w:pPr>
    <w:rPr>
      <w:rFonts w:asciiTheme="majorHAnsi" w:eastAsiaTheme="majorEastAsia" w:hAnsiTheme="majorHAnsi" w:cstheme="majorBidi"/>
      <w:sz w:val="30"/>
    </w:rPr>
  </w:style>
  <w:style w:type="character" w:customStyle="1" w:styleId="BlankH2Char">
    <w:name w:val="Blank H2 Char"/>
    <w:basedOn w:val="NormalAshurstChar"/>
    <w:link w:val="BlankH2"/>
    <w:uiPriority w:val="79"/>
    <w:rsid w:val="009E2576"/>
    <w:rPr>
      <w:rFonts w:asciiTheme="majorHAnsi" w:eastAsiaTheme="majorEastAsia" w:hAnsiTheme="majorHAnsi" w:cstheme="majorBidi"/>
      <w:color w:val="auto"/>
      <w:sz w:val="30"/>
    </w:rPr>
  </w:style>
  <w:style w:type="paragraph" w:customStyle="1" w:styleId="BlankH3">
    <w:name w:val="Blank H3"/>
    <w:basedOn w:val="NormalAshurst"/>
    <w:next w:val="NormalAshurst"/>
    <w:uiPriority w:val="79"/>
    <w:rsid w:val="009E2576"/>
    <w:pPr>
      <w:spacing w:line="320" w:lineRule="atLeast"/>
    </w:pPr>
    <w:rPr>
      <w:b/>
      <w:sz w:val="24"/>
    </w:rPr>
  </w:style>
  <w:style w:type="paragraph" w:customStyle="1" w:styleId="BlankH3Colour">
    <w:name w:val="Blank H3 Colour"/>
    <w:basedOn w:val="BlankH3"/>
    <w:next w:val="NormalAshurst"/>
    <w:uiPriority w:val="79"/>
    <w:qFormat/>
    <w:rsid w:val="00CA3FB2"/>
    <w:rPr>
      <w:color w:val="FF5F49" w:themeColor="accent1"/>
    </w:rPr>
  </w:style>
  <w:style w:type="paragraph" w:customStyle="1" w:styleId="BlankH5">
    <w:name w:val="Blank H5"/>
    <w:basedOn w:val="NormalAshurst"/>
    <w:next w:val="NormalAshurst"/>
    <w:uiPriority w:val="79"/>
    <w:rsid w:val="009E2576"/>
    <w:rPr>
      <w:b/>
      <w:lang w:val="en-AU"/>
    </w:rPr>
  </w:style>
  <w:style w:type="paragraph" w:customStyle="1" w:styleId="BlankH4">
    <w:name w:val="Blank H4"/>
    <w:basedOn w:val="NormalAshurst"/>
    <w:next w:val="NormalAshurst"/>
    <w:uiPriority w:val="79"/>
    <w:rsid w:val="009E2576"/>
    <w:pPr>
      <w:spacing w:after="220"/>
    </w:pPr>
    <w:rPr>
      <w:b/>
      <w:bCs/>
    </w:rPr>
  </w:style>
  <w:style w:type="paragraph" w:styleId="Revision">
    <w:name w:val="Revision"/>
    <w:hidden/>
    <w:uiPriority w:val="99"/>
    <w:semiHidden/>
    <w:rsid w:val="009E3E7D"/>
    <w:pPr>
      <w:spacing w:after="0" w:line="240" w:lineRule="auto"/>
    </w:pPr>
    <w:rPr>
      <w:color w:val="auto"/>
      <w:lang w:eastAsia="ko-KR"/>
    </w:rPr>
  </w:style>
  <w:style w:type="table" w:styleId="GridTable1Light">
    <w:name w:val="Grid Table 1 Light"/>
    <w:basedOn w:val="TableNormal"/>
    <w:uiPriority w:val="46"/>
    <w:rsid w:val="000773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rsid w:val="0063144C"/>
    <w:rPr>
      <w:color w:val="2B579A"/>
      <w:shd w:val="clear" w:color="auto" w:fill="E1DFDD"/>
    </w:rPr>
  </w:style>
  <w:style w:type="paragraph" w:customStyle="1" w:styleId="Level1">
    <w:name w:val="Level 1"/>
    <w:basedOn w:val="Normal"/>
    <w:qFormat/>
    <w:rsid w:val="004B7D26"/>
    <w:pPr>
      <w:numPr>
        <w:numId w:val="42"/>
      </w:numPr>
      <w:spacing w:after="220" w:line="240" w:lineRule="auto"/>
      <w:jc w:val="both"/>
    </w:pPr>
    <w:rPr>
      <w:rFonts w:ascii="Arial" w:eastAsia="Times New Roman" w:hAnsi="Arial" w:cs="Times New Roman"/>
      <w:szCs w:val="20"/>
      <w:lang w:eastAsia="en-GB"/>
    </w:rPr>
  </w:style>
  <w:style w:type="paragraph" w:customStyle="1" w:styleId="Level2">
    <w:name w:val="Level 2"/>
    <w:basedOn w:val="Normal"/>
    <w:qFormat/>
    <w:rsid w:val="004B7D26"/>
    <w:pPr>
      <w:numPr>
        <w:ilvl w:val="1"/>
        <w:numId w:val="42"/>
      </w:numPr>
      <w:spacing w:after="220" w:line="240" w:lineRule="auto"/>
      <w:jc w:val="both"/>
    </w:pPr>
    <w:rPr>
      <w:rFonts w:ascii="Arial" w:eastAsia="Times New Roman" w:hAnsi="Arial" w:cs="Times New Roman"/>
      <w:szCs w:val="20"/>
      <w:lang w:eastAsia="en-GB"/>
    </w:rPr>
  </w:style>
  <w:style w:type="paragraph" w:customStyle="1" w:styleId="Level3">
    <w:name w:val="Level 3"/>
    <w:basedOn w:val="Normal"/>
    <w:link w:val="Level3Char"/>
    <w:qFormat/>
    <w:rsid w:val="004B7D26"/>
    <w:pPr>
      <w:numPr>
        <w:ilvl w:val="2"/>
        <w:numId w:val="42"/>
      </w:numPr>
      <w:tabs>
        <w:tab w:val="left" w:pos="1440"/>
      </w:tabs>
      <w:spacing w:after="220" w:line="240" w:lineRule="auto"/>
      <w:jc w:val="both"/>
    </w:pPr>
    <w:rPr>
      <w:rFonts w:ascii="Arial" w:eastAsia="Times New Roman" w:hAnsi="Arial" w:cs="Times New Roman"/>
      <w:szCs w:val="20"/>
      <w:lang w:eastAsia="en-GB"/>
    </w:rPr>
  </w:style>
  <w:style w:type="paragraph" w:customStyle="1" w:styleId="Level4">
    <w:name w:val="Level 4"/>
    <w:basedOn w:val="Normal"/>
    <w:qFormat/>
    <w:rsid w:val="004B7D26"/>
    <w:pPr>
      <w:numPr>
        <w:ilvl w:val="3"/>
        <w:numId w:val="42"/>
      </w:numPr>
      <w:tabs>
        <w:tab w:val="left" w:pos="2160"/>
      </w:tabs>
      <w:spacing w:after="220" w:line="240" w:lineRule="auto"/>
      <w:jc w:val="both"/>
    </w:pPr>
    <w:rPr>
      <w:rFonts w:ascii="Arial" w:eastAsia="Times New Roman" w:hAnsi="Arial" w:cs="Times New Roman"/>
      <w:szCs w:val="20"/>
      <w:lang w:eastAsia="en-GB"/>
    </w:rPr>
  </w:style>
  <w:style w:type="paragraph" w:customStyle="1" w:styleId="Level5">
    <w:name w:val="Level 5"/>
    <w:basedOn w:val="Normal"/>
    <w:qFormat/>
    <w:rsid w:val="004B7D26"/>
    <w:pPr>
      <w:numPr>
        <w:ilvl w:val="4"/>
        <w:numId w:val="42"/>
      </w:numPr>
      <w:tabs>
        <w:tab w:val="left" w:pos="2880"/>
      </w:tabs>
      <w:spacing w:after="220" w:line="240" w:lineRule="auto"/>
      <w:jc w:val="both"/>
    </w:pPr>
    <w:rPr>
      <w:rFonts w:ascii="Arial" w:eastAsia="Times New Roman" w:hAnsi="Arial" w:cs="Times New Roman"/>
      <w:szCs w:val="20"/>
      <w:lang w:eastAsia="en-GB"/>
    </w:rPr>
  </w:style>
  <w:style w:type="paragraph" w:customStyle="1" w:styleId="Level6">
    <w:name w:val="Level 6"/>
    <w:basedOn w:val="Normal"/>
    <w:qFormat/>
    <w:rsid w:val="004B7D26"/>
    <w:pPr>
      <w:numPr>
        <w:ilvl w:val="5"/>
        <w:numId w:val="42"/>
      </w:numPr>
      <w:tabs>
        <w:tab w:val="left" w:pos="3600"/>
      </w:tabs>
      <w:spacing w:after="220" w:line="240" w:lineRule="auto"/>
      <w:jc w:val="both"/>
    </w:pPr>
    <w:rPr>
      <w:rFonts w:ascii="Arial" w:eastAsia="Times New Roman" w:hAnsi="Arial" w:cs="Times New Roman"/>
      <w:szCs w:val="20"/>
      <w:lang w:eastAsia="en-GB"/>
    </w:rPr>
  </w:style>
  <w:style w:type="paragraph" w:customStyle="1" w:styleId="Bullet1">
    <w:name w:val="Bullet 1"/>
    <w:basedOn w:val="Normal"/>
    <w:uiPriority w:val="5"/>
    <w:qFormat/>
    <w:rsid w:val="004B7D26"/>
    <w:pPr>
      <w:numPr>
        <w:numId w:val="43"/>
      </w:numPr>
      <w:spacing w:after="220" w:line="240" w:lineRule="auto"/>
      <w:jc w:val="both"/>
    </w:pPr>
    <w:rPr>
      <w:rFonts w:ascii="Arial" w:eastAsia="Times New Roman" w:hAnsi="Arial" w:cs="Times New Roman"/>
      <w:szCs w:val="20"/>
      <w:lang w:eastAsia="en-GB"/>
    </w:rPr>
  </w:style>
  <w:style w:type="paragraph" w:customStyle="1" w:styleId="Bullet2">
    <w:name w:val="Bullet 2"/>
    <w:basedOn w:val="Normal"/>
    <w:uiPriority w:val="5"/>
    <w:qFormat/>
    <w:rsid w:val="004B7D26"/>
    <w:pPr>
      <w:numPr>
        <w:ilvl w:val="1"/>
        <w:numId w:val="43"/>
      </w:numPr>
      <w:tabs>
        <w:tab w:val="left" w:pos="1440"/>
      </w:tabs>
      <w:spacing w:after="220" w:line="240" w:lineRule="auto"/>
      <w:jc w:val="both"/>
    </w:pPr>
    <w:rPr>
      <w:rFonts w:ascii="Arial" w:eastAsia="Times New Roman" w:hAnsi="Arial" w:cs="Times New Roman"/>
      <w:szCs w:val="20"/>
      <w:lang w:eastAsia="en-GB"/>
    </w:rPr>
  </w:style>
  <w:style w:type="paragraph" w:customStyle="1" w:styleId="Bullet3">
    <w:name w:val="Bullet 3"/>
    <w:basedOn w:val="Normal"/>
    <w:uiPriority w:val="5"/>
    <w:rsid w:val="004B7D26"/>
    <w:pPr>
      <w:numPr>
        <w:ilvl w:val="2"/>
        <w:numId w:val="43"/>
      </w:numPr>
      <w:tabs>
        <w:tab w:val="left" w:pos="2160"/>
      </w:tabs>
      <w:spacing w:after="220" w:line="240" w:lineRule="auto"/>
      <w:jc w:val="both"/>
    </w:pPr>
    <w:rPr>
      <w:rFonts w:ascii="Arial" w:eastAsia="Times New Roman" w:hAnsi="Arial" w:cs="Times New Roman"/>
      <w:szCs w:val="20"/>
      <w:lang w:eastAsia="en-GB"/>
    </w:rPr>
  </w:style>
  <w:style w:type="paragraph" w:customStyle="1" w:styleId="Bullet4">
    <w:name w:val="Bullet 4"/>
    <w:basedOn w:val="Normal"/>
    <w:uiPriority w:val="5"/>
    <w:rsid w:val="004B7D26"/>
    <w:pPr>
      <w:numPr>
        <w:ilvl w:val="3"/>
        <w:numId w:val="43"/>
      </w:numPr>
      <w:tabs>
        <w:tab w:val="left" w:pos="2880"/>
      </w:tabs>
      <w:spacing w:after="220" w:line="240" w:lineRule="auto"/>
      <w:jc w:val="both"/>
    </w:pPr>
    <w:rPr>
      <w:rFonts w:ascii="Arial" w:eastAsia="Times New Roman" w:hAnsi="Arial" w:cs="Times New Roman"/>
      <w:szCs w:val="20"/>
      <w:lang w:eastAsia="en-GB"/>
    </w:rPr>
  </w:style>
  <w:style w:type="paragraph" w:customStyle="1" w:styleId="Bullet5">
    <w:name w:val="Bullet 5"/>
    <w:basedOn w:val="Normal"/>
    <w:uiPriority w:val="2"/>
    <w:qFormat/>
    <w:rsid w:val="004B7D26"/>
    <w:pPr>
      <w:numPr>
        <w:ilvl w:val="4"/>
        <w:numId w:val="43"/>
      </w:numPr>
      <w:tabs>
        <w:tab w:val="left" w:pos="3600"/>
      </w:tabs>
      <w:spacing w:after="220" w:line="240" w:lineRule="auto"/>
      <w:jc w:val="both"/>
    </w:pPr>
    <w:rPr>
      <w:rFonts w:ascii="Arial" w:eastAsia="Times New Roman" w:hAnsi="Arial" w:cs="Times New Roman"/>
      <w:szCs w:val="20"/>
      <w:lang w:eastAsia="en-GB"/>
    </w:rPr>
  </w:style>
  <w:style w:type="paragraph" w:customStyle="1" w:styleId="Bullet6">
    <w:name w:val="Bullet 6"/>
    <w:basedOn w:val="Normal"/>
    <w:uiPriority w:val="2"/>
    <w:qFormat/>
    <w:rsid w:val="004B7D26"/>
    <w:pPr>
      <w:numPr>
        <w:ilvl w:val="5"/>
        <w:numId w:val="43"/>
      </w:numPr>
      <w:tabs>
        <w:tab w:val="left" w:pos="4320"/>
      </w:tabs>
      <w:spacing w:after="220" w:line="240" w:lineRule="auto"/>
      <w:jc w:val="both"/>
    </w:pPr>
    <w:rPr>
      <w:rFonts w:ascii="Arial" w:eastAsia="Times New Roman" w:hAnsi="Arial" w:cs="Times New Roman"/>
      <w:szCs w:val="20"/>
      <w:lang w:eastAsia="en-GB"/>
    </w:rPr>
  </w:style>
  <w:style w:type="paragraph" w:customStyle="1" w:styleId="Bullet7">
    <w:name w:val="Bullet 7"/>
    <w:basedOn w:val="Normal"/>
    <w:uiPriority w:val="2"/>
    <w:qFormat/>
    <w:rsid w:val="004B7D26"/>
    <w:pPr>
      <w:numPr>
        <w:ilvl w:val="6"/>
        <w:numId w:val="43"/>
      </w:numPr>
      <w:tabs>
        <w:tab w:val="left" w:pos="5040"/>
      </w:tabs>
      <w:spacing w:after="220" w:line="240" w:lineRule="auto"/>
      <w:jc w:val="both"/>
    </w:pPr>
    <w:rPr>
      <w:rFonts w:ascii="Arial" w:eastAsia="Times New Roman" w:hAnsi="Arial" w:cs="Times New Roman"/>
      <w:szCs w:val="20"/>
      <w:lang w:eastAsia="en-GB"/>
    </w:rPr>
  </w:style>
  <w:style w:type="paragraph" w:customStyle="1" w:styleId="Bullet8">
    <w:name w:val="Bullet 8"/>
    <w:basedOn w:val="Normal"/>
    <w:uiPriority w:val="2"/>
    <w:qFormat/>
    <w:rsid w:val="004B7D26"/>
    <w:pPr>
      <w:numPr>
        <w:ilvl w:val="7"/>
        <w:numId w:val="43"/>
      </w:numPr>
      <w:tabs>
        <w:tab w:val="left" w:pos="5760"/>
      </w:tabs>
      <w:spacing w:after="220" w:line="240" w:lineRule="auto"/>
      <w:jc w:val="both"/>
    </w:pPr>
    <w:rPr>
      <w:rFonts w:ascii="Arial" w:eastAsia="Times New Roman" w:hAnsi="Arial" w:cs="Times New Roman"/>
      <w:szCs w:val="20"/>
      <w:lang w:eastAsia="en-GB"/>
    </w:rPr>
  </w:style>
  <w:style w:type="paragraph" w:customStyle="1" w:styleId="Bullet9">
    <w:name w:val="Bullet 9"/>
    <w:basedOn w:val="Normal"/>
    <w:rsid w:val="004B7D26"/>
    <w:pPr>
      <w:numPr>
        <w:ilvl w:val="8"/>
        <w:numId w:val="43"/>
      </w:numPr>
      <w:tabs>
        <w:tab w:val="left" w:pos="6480"/>
      </w:tabs>
      <w:spacing w:after="220" w:line="240" w:lineRule="auto"/>
      <w:jc w:val="both"/>
    </w:pPr>
    <w:rPr>
      <w:rFonts w:ascii="Arial" w:eastAsia="Times New Roman" w:hAnsi="Arial" w:cs="Times New Roman"/>
      <w:szCs w:val="20"/>
      <w:lang w:eastAsia="en-GB"/>
    </w:rPr>
  </w:style>
  <w:style w:type="table" w:customStyle="1" w:styleId="BurgesSalmonTable">
    <w:name w:val="Burges Salmon Table"/>
    <w:basedOn w:val="TableNormal"/>
    <w:uiPriority w:val="99"/>
    <w:rsid w:val="004B7D26"/>
    <w:pPr>
      <w:spacing w:after="0" w:line="240" w:lineRule="auto"/>
    </w:pPr>
    <w:rPr>
      <w:rFonts w:ascii="Arial" w:eastAsia="Times New Roman" w:hAnsi="Arial" w:cs="Times New Roman"/>
      <w:color w:val="auto"/>
      <w:szCs w:val="20"/>
      <w:lang w:eastAsia="en-GB"/>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F9F9F9"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F9F9F9" w:themeFill="background2" w:themeFillTint="66"/>
      </w:tcPr>
    </w:tblStylePr>
    <w:tblStylePr w:type="lastRow">
      <w:rPr>
        <w:rFonts w:ascii="Arial" w:hAnsi="Arial"/>
        <w:b/>
        <w:sz w:val="20"/>
      </w:rPr>
      <w:tblPr/>
      <w:tcPr>
        <w:shd w:val="clear" w:color="auto" w:fill="F9F9F9"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Level3Char">
    <w:name w:val="Level 3 Char"/>
    <w:link w:val="Level3"/>
    <w:locked/>
    <w:rsid w:val="004B7D26"/>
    <w:rPr>
      <w:rFonts w:ascii="Arial" w:eastAsia="Times New Roman" w:hAnsi="Arial" w:cs="Times New Roman"/>
      <w:color w:val="auto"/>
      <w:szCs w:val="20"/>
      <w:lang w:eastAsia="en-GB"/>
    </w:rPr>
  </w:style>
  <w:style w:type="paragraph" w:customStyle="1" w:styleId="TLTBodyText">
    <w:name w:val="TLT Body Text"/>
    <w:basedOn w:val="Normal"/>
    <w:link w:val="TLTBodyTextChar"/>
    <w:qFormat/>
    <w:rsid w:val="004B7D26"/>
    <w:pPr>
      <w:spacing w:before="100" w:line="240" w:lineRule="auto"/>
    </w:pPr>
    <w:rPr>
      <w:rFonts w:ascii="Arial" w:eastAsia="Times New Roman" w:hAnsi="Arial" w:cs="Times New Roman"/>
      <w:lang w:eastAsia="en-GB"/>
    </w:rPr>
  </w:style>
  <w:style w:type="character" w:customStyle="1" w:styleId="TLTBodyTextChar">
    <w:name w:val="TLT Body Text Char"/>
    <w:link w:val="TLTBodyText"/>
    <w:rsid w:val="004B7D26"/>
    <w:rPr>
      <w:rFonts w:ascii="Arial" w:eastAsia="Times New Roman" w:hAnsi="Arial" w:cs="Times New Roman"/>
      <w:color w:val="auto"/>
      <w:lang w:eastAsia="en-GB"/>
    </w:rPr>
  </w:style>
  <w:style w:type="paragraph" w:customStyle="1" w:styleId="paragraph">
    <w:name w:val="paragraph"/>
    <w:basedOn w:val="Normal"/>
    <w:rsid w:val="00E44F26"/>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E44F26"/>
  </w:style>
  <w:style w:type="character" w:customStyle="1" w:styleId="eop">
    <w:name w:val="eop"/>
    <w:basedOn w:val="DefaultParagraphFont"/>
    <w:rsid w:val="00E44F26"/>
  </w:style>
  <w:style w:type="numbering" w:customStyle="1" w:styleId="ListStyle-AppendixHeading">
    <w:name w:val="_List Style - Appendix Heading"/>
    <w:uiPriority w:val="99"/>
    <w:rsid w:val="0010235B"/>
    <w:pPr>
      <w:numPr>
        <w:numId w:val="44"/>
      </w:numPr>
    </w:pPr>
  </w:style>
  <w:style w:type="character" w:customStyle="1" w:styleId="DeltaViewInsertion">
    <w:name w:val="DeltaView Insertion"/>
    <w:uiPriority w:val="99"/>
    <w:rsid w:val="00DD0A20"/>
    <w:rPr>
      <w:color w:val="0000FF"/>
      <w:u w:val="double"/>
    </w:rPr>
  </w:style>
  <w:style w:type="character" w:customStyle="1" w:styleId="DeltaViewDeletion">
    <w:name w:val="DeltaView Deletion"/>
    <w:uiPriority w:val="99"/>
    <w:rsid w:val="00DD0A20"/>
    <w:rPr>
      <w:strike/>
      <w:color w:val="FF0000"/>
    </w:rPr>
  </w:style>
  <w:style w:type="paragraph" w:customStyle="1" w:styleId="AdvChapterL2">
    <w:name w:val="AdvChapterL2"/>
    <w:basedOn w:val="Normal"/>
    <w:uiPriority w:val="29"/>
    <w:qFormat/>
    <w:rsid w:val="00DD0A20"/>
    <w:pPr>
      <w:numPr>
        <w:ilvl w:val="1"/>
        <w:numId w:val="45"/>
      </w:numPr>
    </w:pPr>
    <w:rPr>
      <w:szCs w:val="20"/>
      <w:lang w:eastAsia="zh-CN"/>
    </w:rPr>
  </w:style>
  <w:style w:type="paragraph" w:customStyle="1" w:styleId="AdvChapterL1">
    <w:name w:val="AdvChapterL1"/>
    <w:basedOn w:val="Heading1"/>
    <w:next w:val="AdvChapterL2"/>
    <w:uiPriority w:val="29"/>
    <w:qFormat/>
    <w:rsid w:val="00DD0A20"/>
    <w:pPr>
      <w:keepNext/>
      <w:pageBreakBefore/>
      <w:numPr>
        <w:numId w:val="45"/>
      </w:numPr>
      <w:suppressAutoHyphens w:val="0"/>
      <w:spacing w:before="300" w:line="360" w:lineRule="atLeast"/>
    </w:pPr>
    <w:rPr>
      <w:rFonts w:asciiTheme="majorHAnsi" w:eastAsia="DengXian" w:hAnsiTheme="majorHAnsi" w:cs="Arial"/>
      <w:bCs w:val="0"/>
      <w:kern w:val="0"/>
      <w:sz w:val="30"/>
      <w:szCs w:val="20"/>
      <w:lang w:eastAsia="zh-CN"/>
    </w:rPr>
  </w:style>
  <w:style w:type="paragraph" w:customStyle="1" w:styleId="AdvChapterL3">
    <w:name w:val="AdvChapterL3"/>
    <w:basedOn w:val="Normal"/>
    <w:uiPriority w:val="29"/>
    <w:qFormat/>
    <w:rsid w:val="00DD0A20"/>
    <w:pPr>
      <w:numPr>
        <w:ilvl w:val="2"/>
        <w:numId w:val="45"/>
      </w:numPr>
    </w:pPr>
    <w:rPr>
      <w:szCs w:val="20"/>
      <w:lang w:eastAsia="zh-CN"/>
    </w:rPr>
  </w:style>
  <w:style w:type="paragraph" w:customStyle="1" w:styleId="AdvChapterL4">
    <w:name w:val="AdvChapterL4"/>
    <w:basedOn w:val="Normal"/>
    <w:uiPriority w:val="29"/>
    <w:qFormat/>
    <w:rsid w:val="00DD0A20"/>
    <w:pPr>
      <w:numPr>
        <w:ilvl w:val="3"/>
        <w:numId w:val="45"/>
      </w:numPr>
    </w:pPr>
    <w:rPr>
      <w:szCs w:val="20"/>
      <w:lang w:eastAsia="zh-CN"/>
    </w:rPr>
  </w:style>
  <w:style w:type="paragraph" w:customStyle="1" w:styleId="AdvChapterL5">
    <w:name w:val="AdvChapterL5"/>
    <w:basedOn w:val="Normal"/>
    <w:uiPriority w:val="29"/>
    <w:qFormat/>
    <w:rsid w:val="00DD0A20"/>
    <w:pPr>
      <w:numPr>
        <w:ilvl w:val="4"/>
        <w:numId w:val="45"/>
      </w:numPr>
    </w:pPr>
    <w:rPr>
      <w:szCs w:val="20"/>
      <w:lang w:eastAsia="zh-CN"/>
    </w:rPr>
  </w:style>
  <w:style w:type="paragraph" w:customStyle="1" w:styleId="AdvChapterL6">
    <w:name w:val="AdvChapterL6"/>
    <w:basedOn w:val="Normal"/>
    <w:uiPriority w:val="29"/>
    <w:qFormat/>
    <w:rsid w:val="00DD0A20"/>
    <w:pPr>
      <w:numPr>
        <w:ilvl w:val="5"/>
        <w:numId w:val="45"/>
      </w:numPr>
    </w:pPr>
    <w:rPr>
      <w:szCs w:val="20"/>
      <w:lang w:eastAsia="zh-CN"/>
    </w:rPr>
  </w:style>
  <w:style w:type="numbering" w:customStyle="1" w:styleId="Chapternumbering">
    <w:name w:val="Chapter numbering"/>
    <w:uiPriority w:val="99"/>
    <w:rsid w:val="00DD0A20"/>
    <w:pPr>
      <w:numPr>
        <w:numId w:val="46"/>
      </w:numPr>
    </w:pPr>
  </w:style>
  <w:style w:type="character" w:customStyle="1" w:styleId="ui-provider">
    <w:name w:val="ui-provider"/>
    <w:basedOn w:val="DefaultParagraphFont"/>
    <w:rsid w:val="006C2827"/>
  </w:style>
  <w:style w:type="character" w:customStyle="1" w:styleId="apple-converted-space">
    <w:name w:val="apple-converted-space"/>
    <w:basedOn w:val="DefaultParagraphFont"/>
    <w:rsid w:val="000A49A0"/>
  </w:style>
  <w:style w:type="paragraph" w:customStyle="1" w:styleId="Standard">
    <w:name w:val="Standard"/>
    <w:rsid w:val="000F4FD6"/>
    <w:pPr>
      <w:widowControl w:val="0"/>
      <w:suppressAutoHyphens/>
      <w:autoSpaceDN w:val="0"/>
      <w:spacing w:line="276" w:lineRule="auto"/>
    </w:pPr>
    <w:rPr>
      <w:rFonts w:ascii="Calibri" w:eastAsia="Calibri" w:hAnsi="Calibri" w:cs="Calibri"/>
      <w:color w:val="auto"/>
      <w:sz w:val="22"/>
      <w:szCs w:val="22"/>
      <w:lang w:eastAsia="zh-CN" w:bidi="hi-IN"/>
    </w:rPr>
  </w:style>
  <w:style w:type="paragraph" w:customStyle="1" w:styleId="H3AshurstComplexBodyArial">
    <w:name w:val="H3Ashurst + (Complex) +Body (Arial)"/>
    <w:aliases w:val="(Latin) Bold,10 pt"/>
    <w:basedOn w:val="H4Ashurst"/>
    <w:rsid w:val="003A6A5D"/>
    <w:pPr>
      <w:numPr>
        <w:ilvl w:val="0"/>
        <w:numId w:val="0"/>
      </w:numPr>
      <w:ind w:left="1701"/>
    </w:pPr>
    <w:rPr>
      <w:sz w:val="20"/>
      <w:szCs w:val="20"/>
    </w:rPr>
  </w:style>
  <w:style w:type="paragraph" w:customStyle="1" w:styleId="AltH1AshurstBold">
    <w:name w:val="AltH1Ashurst + Bold"/>
    <w:basedOn w:val="AltH2Ashurst"/>
    <w:rsid w:val="00AD5C49"/>
  </w:style>
  <w:style w:type="character" w:customStyle="1" w:styleId="cf01">
    <w:name w:val="cf01"/>
    <w:basedOn w:val="DefaultParagraphFont"/>
    <w:rsid w:val="006F224E"/>
    <w:rPr>
      <w:rFonts w:ascii="Segoe UI" w:hAnsi="Segoe UI" w:cs="Segoe UI" w:hint="default"/>
      <w:sz w:val="18"/>
      <w:szCs w:val="18"/>
    </w:rPr>
  </w:style>
  <w:style w:type="table" w:customStyle="1" w:styleId="TableGrid10">
    <w:name w:val="Table Grid1"/>
    <w:basedOn w:val="TableNormal"/>
    <w:uiPriority w:val="39"/>
    <w:rsid w:val="00BB489F"/>
    <w:rPr>
      <w:rFonts w:ascii="Arial" w:eastAsia="DengXian"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5640"/>
    <w:rPr>
      <w:bCs/>
      <w:color w:val="auto"/>
      <w:kern w:val="32"/>
      <w:sz w:val="22"/>
    </w:rPr>
  </w:style>
  <w:style w:type="character" w:customStyle="1" w:styleId="Heading2Char">
    <w:name w:val="Heading 2 Char"/>
    <w:basedOn w:val="DefaultParagraphFont"/>
    <w:link w:val="Heading2"/>
    <w:rsid w:val="008C5640"/>
    <w:rPr>
      <w:b/>
      <w:bCs/>
      <w:iCs/>
      <w:color w:val="auto"/>
      <w:sz w:val="22"/>
    </w:rPr>
  </w:style>
  <w:style w:type="character" w:customStyle="1" w:styleId="Heading3Char">
    <w:name w:val="Heading 3 Char"/>
    <w:basedOn w:val="DefaultParagraphFont"/>
    <w:link w:val="Heading3"/>
    <w:uiPriority w:val="9"/>
    <w:rsid w:val="008C5640"/>
    <w:rPr>
      <w:bCs/>
      <w:color w:val="auto"/>
      <w:sz w:val="22"/>
    </w:rPr>
  </w:style>
  <w:style w:type="character" w:customStyle="1" w:styleId="Heading4Char">
    <w:name w:val="Heading 4 Char"/>
    <w:basedOn w:val="DefaultParagraphFont"/>
    <w:link w:val="Heading4"/>
    <w:uiPriority w:val="9"/>
    <w:rsid w:val="008C5640"/>
    <w:rPr>
      <w:bCs/>
      <w:color w:val="auto"/>
      <w:sz w:val="22"/>
    </w:rPr>
  </w:style>
  <w:style w:type="character" w:customStyle="1" w:styleId="Heading5Char">
    <w:name w:val="Heading 5 Char"/>
    <w:basedOn w:val="DefaultParagraphFont"/>
    <w:link w:val="Heading5"/>
    <w:uiPriority w:val="9"/>
    <w:rsid w:val="008C5640"/>
    <w:rPr>
      <w:bCs/>
      <w:iCs/>
      <w:color w:val="auto"/>
      <w:sz w:val="22"/>
    </w:rPr>
  </w:style>
  <w:style w:type="character" w:customStyle="1" w:styleId="Heading6Char">
    <w:name w:val="Heading 6 Char"/>
    <w:basedOn w:val="DefaultParagraphFont"/>
    <w:link w:val="Heading6"/>
    <w:uiPriority w:val="9"/>
    <w:rsid w:val="008C5640"/>
    <w:rPr>
      <w:bCs/>
      <w:color w:val="auto"/>
      <w:sz w:val="22"/>
    </w:rPr>
  </w:style>
  <w:style w:type="character" w:customStyle="1" w:styleId="Heading7Char">
    <w:name w:val="Heading 7 Char"/>
    <w:aliases w:val="Heading 7 Appendix Heading Char"/>
    <w:basedOn w:val="DefaultParagraphFont"/>
    <w:link w:val="Heading7"/>
    <w:uiPriority w:val="9"/>
    <w:rsid w:val="008C5640"/>
    <w:rPr>
      <w:b/>
      <w:color w:val="auto"/>
      <w:sz w:val="22"/>
    </w:rPr>
  </w:style>
  <w:style w:type="character" w:customStyle="1" w:styleId="Heading8Char">
    <w:name w:val="Heading 8 Char"/>
    <w:basedOn w:val="DefaultParagraphFont"/>
    <w:link w:val="Heading8"/>
    <w:uiPriority w:val="9"/>
    <w:rsid w:val="008C5640"/>
    <w:rPr>
      <w:iCs/>
      <w:color w:val="auto"/>
      <w:sz w:val="22"/>
    </w:rPr>
  </w:style>
  <w:style w:type="character" w:customStyle="1" w:styleId="Heading9Char">
    <w:name w:val="Heading 9 Char"/>
    <w:basedOn w:val="DefaultParagraphFont"/>
    <w:link w:val="Heading9"/>
    <w:uiPriority w:val="9"/>
    <w:semiHidden/>
    <w:rsid w:val="008C5640"/>
    <w:rPr>
      <w:color w:val="auto"/>
      <w:sz w:val="22"/>
    </w:rPr>
  </w:style>
  <w:style w:type="paragraph" w:customStyle="1" w:styleId="CBoldCaps">
    <w:name w:val="CBoldCaps"/>
    <w:basedOn w:val="Title"/>
    <w:uiPriority w:val="99"/>
    <w:rsid w:val="00773726"/>
    <w:pPr>
      <w:keepNext/>
      <w:suppressAutoHyphens w:val="0"/>
      <w:spacing w:after="220" w:line="264" w:lineRule="auto"/>
      <w:contextualSpacing w:val="0"/>
      <w:jc w:val="center"/>
      <w:outlineLvl w:val="0"/>
    </w:pPr>
    <w:rPr>
      <w:rFonts w:asciiTheme="minorHAnsi" w:eastAsiaTheme="minorHAnsi" w:hAnsiTheme="minorHAnsi" w:cstheme="minorBidi"/>
      <w:b/>
      <w:caps/>
      <w:color w:val="auto"/>
      <w:spacing w:val="0"/>
      <w:kern w:val="0"/>
      <w:sz w:val="18"/>
      <w:szCs w:val="18"/>
      <w:lang w:val="en-AU" w:eastAsia="en-US"/>
    </w:rPr>
  </w:style>
  <w:style w:type="paragraph" w:customStyle="1" w:styleId="LBoldCaps">
    <w:name w:val="LBoldCaps"/>
    <w:basedOn w:val="Title"/>
    <w:uiPriority w:val="99"/>
    <w:rsid w:val="00773726"/>
    <w:pPr>
      <w:keepNext/>
      <w:suppressAutoHyphens w:val="0"/>
      <w:spacing w:after="220" w:line="264" w:lineRule="auto"/>
      <w:contextualSpacing w:val="0"/>
      <w:outlineLvl w:val="0"/>
    </w:pPr>
    <w:rPr>
      <w:rFonts w:asciiTheme="minorHAnsi" w:eastAsiaTheme="minorHAnsi" w:hAnsiTheme="minorHAnsi" w:cstheme="minorBidi"/>
      <w:b/>
      <w:caps/>
      <w:color w:val="auto"/>
      <w:spacing w:val="0"/>
      <w:kern w:val="0"/>
      <w:sz w:val="18"/>
      <w:szCs w:val="18"/>
      <w:lang w:val="en-AU" w:eastAsia="en-US"/>
    </w:rPr>
  </w:style>
  <w:style w:type="paragraph" w:customStyle="1" w:styleId="Body">
    <w:name w:val="Body"/>
    <w:basedOn w:val="Normal"/>
    <w:qFormat/>
    <w:rsid w:val="0051373E"/>
    <w:pPr>
      <w:spacing w:after="220" w:line="240" w:lineRule="auto"/>
      <w:jc w:val="both"/>
    </w:pPr>
    <w:rPr>
      <w:rFonts w:ascii="Arial" w:eastAsia="Times New Roman" w:hAnsi="Arial" w:cs="Times New Roman"/>
      <w:szCs w:val="20"/>
      <w:lang w:eastAsia="en-GB"/>
    </w:rPr>
  </w:style>
  <w:style w:type="paragraph" w:customStyle="1" w:styleId="Tabletitle">
    <w:name w:val="Table title"/>
    <w:basedOn w:val="Normal"/>
    <w:autoRedefine/>
    <w:qFormat/>
    <w:rsid w:val="0070692F"/>
    <w:pPr>
      <w:framePr w:hSpace="181" w:vSpace="312" w:wrap="around" w:vAnchor="page" w:hAnchor="margin" w:y="5807"/>
      <w:spacing w:after="0" w:line="240" w:lineRule="auto"/>
      <w:suppressOverlap/>
      <w:jc w:val="center"/>
    </w:pPr>
    <w:rPr>
      <w:rFonts w:cstheme="minorHAnsi"/>
      <w:b/>
      <w:color w:val="FFFFFF" w:themeColor="background1"/>
      <w:sz w:val="22"/>
      <w:szCs w:val="18"/>
      <w:lang w:eastAsia="en-US"/>
    </w:rPr>
  </w:style>
  <w:style w:type="paragraph" w:styleId="BodyText">
    <w:name w:val="Body Text"/>
    <w:basedOn w:val="Normal"/>
    <w:link w:val="BodyTextChar"/>
    <w:rsid w:val="0070692F"/>
    <w:pPr>
      <w:spacing w:before="120" w:after="0" w:line="240" w:lineRule="auto"/>
      <w:jc w:val="both"/>
    </w:pPr>
    <w:rPr>
      <w:rFonts w:ascii="Arial" w:eastAsia="Times New Roman" w:hAnsi="Arial" w:cs="Times New Roman"/>
      <w:szCs w:val="20"/>
      <w:lang w:eastAsia="en-GB"/>
    </w:rPr>
  </w:style>
  <w:style w:type="character" w:customStyle="1" w:styleId="BodyTextChar">
    <w:name w:val="Body Text Char"/>
    <w:basedOn w:val="DefaultParagraphFont"/>
    <w:link w:val="BodyText"/>
    <w:rsid w:val="0070692F"/>
    <w:rPr>
      <w:rFonts w:ascii="Arial" w:eastAsia="Times New Roman" w:hAnsi="Arial" w:cs="Times New Roman"/>
      <w:color w:val="auto"/>
      <w:szCs w:val="20"/>
      <w:lang w:eastAsia="en-GB"/>
    </w:rPr>
  </w:style>
  <w:style w:type="table" w:customStyle="1" w:styleId="GBN2">
    <w:name w:val="GBN 2"/>
    <w:basedOn w:val="TableNormal"/>
    <w:uiPriority w:val="99"/>
    <w:rsid w:val="0070692F"/>
    <w:pPr>
      <w:spacing w:after="0" w:line="240" w:lineRule="auto"/>
    </w:pPr>
    <w:rPr>
      <w:rFonts w:eastAsiaTheme="minorHAnsi"/>
      <w:color w:val="auto"/>
      <w:sz w:val="22"/>
      <w:szCs w:val="22"/>
      <w:lang w:eastAsia="en-US"/>
    </w:rPr>
    <w:tblPr>
      <w:tblBorders>
        <w:top w:val="single" w:sz="6" w:space="0" w:color="68BDD9" w:themeColor="accent2"/>
        <w:left w:val="single" w:sz="6" w:space="0" w:color="68BDD9" w:themeColor="accent2"/>
        <w:bottom w:val="single" w:sz="6" w:space="0" w:color="68BDD9" w:themeColor="accent2"/>
        <w:right w:val="single" w:sz="6" w:space="0" w:color="68BDD9" w:themeColor="accent2"/>
        <w:insideH w:val="single" w:sz="6" w:space="0" w:color="68BDD9" w:themeColor="accent2"/>
        <w:insideV w:val="single" w:sz="6" w:space="0" w:color="68BDD9" w:themeColor="accent2"/>
      </w:tblBorders>
    </w:tblPr>
    <w:tcPr>
      <w:vAlign w:val="center"/>
    </w:tcPr>
    <w:tblStylePr w:type="firstRow">
      <w:pPr>
        <w:jc w:val="left"/>
      </w:pPr>
      <w:tblPr/>
      <w:tcPr>
        <w:shd w:val="clear" w:color="auto" w:fill="68BDD9" w:themeFill="accent2"/>
        <w:vAlign w:val="center"/>
      </w:tcPr>
    </w:tblStylePr>
  </w:style>
  <w:style w:type="paragraph" w:customStyle="1" w:styleId="DefaultText">
    <w:name w:val="Default Text"/>
    <w:basedOn w:val="Normal"/>
    <w:rsid w:val="0070692F"/>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70692F"/>
    <w:rPr>
      <w:lang w:eastAsia="en-GB"/>
    </w:rPr>
  </w:style>
  <w:style w:type="paragraph" w:customStyle="1" w:styleId="xl87">
    <w:name w:val="xl87"/>
    <w:basedOn w:val="Normal"/>
    <w:rsid w:val="007069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88">
    <w:name w:val="xl88"/>
    <w:basedOn w:val="Normal"/>
    <w:rsid w:val="0070692F"/>
    <w:pP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89">
    <w:name w:val="xl89"/>
    <w:basedOn w:val="Normal"/>
    <w:rsid w:val="007069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90">
    <w:name w:val="xl90"/>
    <w:basedOn w:val="Normal"/>
    <w:rsid w:val="0070692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91">
    <w:name w:val="xl91"/>
    <w:basedOn w:val="Normal"/>
    <w:rsid w:val="0070692F"/>
    <w:pP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92">
    <w:name w:val="xl92"/>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93">
    <w:name w:val="xl93"/>
    <w:basedOn w:val="Normal"/>
    <w:rsid w:val="007069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94">
    <w:name w:val="xl94"/>
    <w:basedOn w:val="Normal"/>
    <w:rsid w:val="0070692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95">
    <w:name w:val="xl95"/>
    <w:basedOn w:val="Normal"/>
    <w:rsid w:val="007069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96">
    <w:name w:val="xl96"/>
    <w:basedOn w:val="Normal"/>
    <w:rsid w:val="0070692F"/>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4"/>
      <w:lang w:eastAsia="en-GB"/>
    </w:rPr>
  </w:style>
  <w:style w:type="paragraph" w:customStyle="1" w:styleId="xl97">
    <w:name w:val="xl97"/>
    <w:basedOn w:val="Normal"/>
    <w:rsid w:val="0070692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98">
    <w:name w:val="xl98"/>
    <w:basedOn w:val="Normal"/>
    <w:rsid w:val="0070692F"/>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lang w:eastAsia="en-GB"/>
    </w:rPr>
  </w:style>
  <w:style w:type="paragraph" w:customStyle="1" w:styleId="xl99">
    <w:name w:val="xl99"/>
    <w:basedOn w:val="Normal"/>
    <w:rsid w:val="0070692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0">
    <w:name w:val="xl100"/>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01">
    <w:name w:val="xl101"/>
    <w:basedOn w:val="Normal"/>
    <w:rsid w:val="00706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2">
    <w:name w:val="xl102"/>
    <w:basedOn w:val="Normal"/>
    <w:rsid w:val="00706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3">
    <w:name w:val="xl103"/>
    <w:basedOn w:val="Normal"/>
    <w:rsid w:val="0070692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4">
    <w:name w:val="xl104"/>
    <w:basedOn w:val="Normal"/>
    <w:rsid w:val="0070692F"/>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5">
    <w:name w:val="xl105"/>
    <w:basedOn w:val="Normal"/>
    <w:rsid w:val="0070692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06">
    <w:name w:val="xl106"/>
    <w:basedOn w:val="Normal"/>
    <w:rsid w:val="0070692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07">
    <w:name w:val="xl107"/>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8">
    <w:name w:val="xl108"/>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09">
    <w:name w:val="xl109"/>
    <w:basedOn w:val="Normal"/>
    <w:rsid w:val="0070692F"/>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4"/>
      <w:lang w:eastAsia="en-GB"/>
    </w:rPr>
  </w:style>
  <w:style w:type="paragraph" w:customStyle="1" w:styleId="xl110">
    <w:name w:val="xl110"/>
    <w:basedOn w:val="Normal"/>
    <w:rsid w:val="0070692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11">
    <w:name w:val="xl111"/>
    <w:basedOn w:val="Normal"/>
    <w:rsid w:val="0070692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12">
    <w:name w:val="xl112"/>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13">
    <w:name w:val="xl113"/>
    <w:basedOn w:val="Normal"/>
    <w:rsid w:val="0070692F"/>
    <w:pP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14">
    <w:name w:val="xl114"/>
    <w:basedOn w:val="Normal"/>
    <w:rsid w:val="0070692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15">
    <w:name w:val="xl115"/>
    <w:basedOn w:val="Normal"/>
    <w:rsid w:val="007069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lang w:eastAsia="en-GB"/>
    </w:rPr>
  </w:style>
  <w:style w:type="paragraph" w:customStyle="1" w:styleId="xl116">
    <w:name w:val="xl116"/>
    <w:basedOn w:val="Normal"/>
    <w:rsid w:val="007069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17">
    <w:name w:val="xl117"/>
    <w:basedOn w:val="Normal"/>
    <w:rsid w:val="0070692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18">
    <w:name w:val="xl118"/>
    <w:basedOn w:val="Normal"/>
    <w:rsid w:val="007069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19">
    <w:name w:val="xl119"/>
    <w:basedOn w:val="Normal"/>
    <w:rsid w:val="0070692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0">
    <w:name w:val="xl120"/>
    <w:basedOn w:val="Normal"/>
    <w:rsid w:val="0070692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4"/>
      <w:lang w:eastAsia="en-GB"/>
    </w:rPr>
  </w:style>
  <w:style w:type="paragraph" w:customStyle="1" w:styleId="xl121">
    <w:name w:val="xl121"/>
    <w:basedOn w:val="Normal"/>
    <w:rsid w:val="007069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2">
    <w:name w:val="xl122"/>
    <w:basedOn w:val="Normal"/>
    <w:rsid w:val="0070692F"/>
    <w:pPr>
      <w:pBdr>
        <w:top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3">
    <w:name w:val="xl123"/>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u w:val="single"/>
      <w:lang w:eastAsia="en-GB"/>
    </w:rPr>
  </w:style>
  <w:style w:type="paragraph" w:customStyle="1" w:styleId="xl124">
    <w:name w:val="xl124"/>
    <w:basedOn w:val="Normal"/>
    <w:rsid w:val="007069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5">
    <w:name w:val="xl125"/>
    <w:basedOn w:val="Normal"/>
    <w:rsid w:val="0070692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6">
    <w:name w:val="xl126"/>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7">
    <w:name w:val="xl127"/>
    <w:basedOn w:val="Normal"/>
    <w:rsid w:val="00706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8">
    <w:name w:val="xl128"/>
    <w:basedOn w:val="Normal"/>
    <w:rsid w:val="007069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29">
    <w:name w:val="xl129"/>
    <w:basedOn w:val="Normal"/>
    <w:rsid w:val="007069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30">
    <w:name w:val="xl130"/>
    <w:basedOn w:val="Normal"/>
    <w:rsid w:val="0070692F"/>
    <w:pPr>
      <w:shd w:val="clear" w:color="000000" w:fill="BFBFBF"/>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xl131">
    <w:name w:val="xl131"/>
    <w:basedOn w:val="Normal"/>
    <w:rsid w:val="0070692F"/>
    <w:pPr>
      <w:pBdr>
        <w:top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xl132">
    <w:name w:val="xl132"/>
    <w:basedOn w:val="Normal"/>
    <w:rsid w:val="0070692F"/>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lang w:eastAsia="en-GB"/>
    </w:rPr>
  </w:style>
  <w:style w:type="paragraph" w:customStyle="1" w:styleId="xl133">
    <w:name w:val="xl133"/>
    <w:basedOn w:val="Normal"/>
    <w:rsid w:val="0070692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lang w:eastAsia="en-GB"/>
    </w:rPr>
  </w:style>
  <w:style w:type="paragraph" w:customStyle="1" w:styleId="xl134">
    <w:name w:val="xl134"/>
    <w:basedOn w:val="Normal"/>
    <w:rsid w:val="0070692F"/>
    <w:pPr>
      <w:spacing w:before="100" w:beforeAutospacing="1" w:after="100" w:afterAutospacing="1" w:line="240" w:lineRule="auto"/>
      <w:textAlignment w:val="center"/>
    </w:pPr>
    <w:rPr>
      <w:rFonts w:ascii="Arial" w:eastAsia="Times New Roman" w:hAnsi="Arial" w:cs="Arial"/>
      <w:sz w:val="24"/>
      <w:lang w:eastAsia="en-GB"/>
    </w:rPr>
  </w:style>
  <w:style w:type="paragraph" w:customStyle="1" w:styleId="xl135">
    <w:name w:val="xl135"/>
    <w:basedOn w:val="Normal"/>
    <w:rsid w:val="0070692F"/>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lang w:eastAsia="en-GB"/>
    </w:rPr>
  </w:style>
  <w:style w:type="paragraph" w:customStyle="1" w:styleId="xl136">
    <w:name w:val="xl136"/>
    <w:basedOn w:val="Normal"/>
    <w:rsid w:val="0070692F"/>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37">
    <w:name w:val="xl137"/>
    <w:basedOn w:val="Normal"/>
    <w:rsid w:val="007069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38">
    <w:name w:val="xl138"/>
    <w:basedOn w:val="Normal"/>
    <w:rsid w:val="0070692F"/>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lang w:eastAsia="en-GB"/>
    </w:rPr>
  </w:style>
  <w:style w:type="paragraph" w:customStyle="1" w:styleId="xl139">
    <w:name w:val="xl139"/>
    <w:basedOn w:val="Normal"/>
    <w:rsid w:val="007069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0">
    <w:name w:val="xl140"/>
    <w:basedOn w:val="Normal"/>
    <w:rsid w:val="0070692F"/>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1">
    <w:name w:val="xl141"/>
    <w:basedOn w:val="Normal"/>
    <w:rsid w:val="0070692F"/>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2">
    <w:name w:val="xl142"/>
    <w:basedOn w:val="Normal"/>
    <w:rsid w:val="0070692F"/>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3">
    <w:name w:val="xl143"/>
    <w:basedOn w:val="Normal"/>
    <w:rsid w:val="0070692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4">
    <w:name w:val="xl144"/>
    <w:basedOn w:val="Normal"/>
    <w:rsid w:val="0070692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5">
    <w:name w:val="xl145"/>
    <w:basedOn w:val="Normal"/>
    <w:rsid w:val="0070692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6">
    <w:name w:val="xl146"/>
    <w:basedOn w:val="Normal"/>
    <w:rsid w:val="0070692F"/>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7">
    <w:name w:val="xl147"/>
    <w:basedOn w:val="Normal"/>
    <w:rsid w:val="0070692F"/>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8">
    <w:name w:val="xl148"/>
    <w:basedOn w:val="Normal"/>
    <w:rsid w:val="0070692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lang w:eastAsia="en-GB"/>
    </w:rPr>
  </w:style>
  <w:style w:type="paragraph" w:customStyle="1" w:styleId="xl149">
    <w:name w:val="xl149"/>
    <w:basedOn w:val="Normal"/>
    <w:rsid w:val="0070692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36"/>
      <w:szCs w:val="36"/>
      <w:lang w:eastAsia="en-GB"/>
    </w:rPr>
  </w:style>
  <w:style w:type="paragraph" w:customStyle="1" w:styleId="xl150">
    <w:name w:val="xl150"/>
    <w:basedOn w:val="Normal"/>
    <w:rsid w:val="007069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36"/>
      <w:szCs w:val="36"/>
      <w:lang w:eastAsia="en-GB"/>
    </w:rPr>
  </w:style>
  <w:style w:type="paragraph" w:customStyle="1" w:styleId="Default">
    <w:name w:val="Default"/>
    <w:rsid w:val="0070692F"/>
    <w:pPr>
      <w:autoSpaceDE w:val="0"/>
      <w:autoSpaceDN w:val="0"/>
      <w:adjustRightInd w:val="0"/>
      <w:spacing w:after="0" w:line="240" w:lineRule="auto"/>
    </w:pPr>
    <w:rPr>
      <w:rFonts w:ascii="Arial" w:eastAsia="Times New Roman" w:hAnsi="Arial" w:cs="Arial"/>
      <w:color w:val="000000"/>
      <w:sz w:val="24"/>
      <w:lang w:eastAsia="en-GB"/>
    </w:rPr>
  </w:style>
  <w:style w:type="paragraph" w:customStyle="1" w:styleId="Numberedparagraph">
    <w:name w:val="Numbered paragraph"/>
    <w:basedOn w:val="Normal"/>
    <w:autoRedefine/>
    <w:uiPriority w:val="99"/>
    <w:qFormat/>
    <w:rsid w:val="0070692F"/>
    <w:pPr>
      <w:numPr>
        <w:numId w:val="66"/>
      </w:numPr>
      <w:tabs>
        <w:tab w:val="left" w:pos="567"/>
      </w:tabs>
      <w:spacing w:after="288" w:line="240" w:lineRule="auto"/>
      <w:ind w:left="567" w:right="11" w:hanging="425"/>
    </w:pPr>
    <w:rPr>
      <w:rFonts w:ascii="Arial" w:eastAsia="Times New Roman" w:hAnsi="Arial" w:cs="Times New Roman"/>
      <w:sz w:val="24"/>
      <w:lang w:eastAsia="en-US"/>
    </w:rPr>
  </w:style>
  <w:style w:type="paragraph" w:customStyle="1" w:styleId="Tabletitle-WhiteNormal">
    <w:name w:val="Table title - White Normal"/>
    <w:basedOn w:val="Tabletitle-BlackNormal"/>
    <w:uiPriority w:val="99"/>
    <w:rsid w:val="0070692F"/>
  </w:style>
  <w:style w:type="paragraph" w:customStyle="1" w:styleId="Tabletext-Bold">
    <w:name w:val="Table text - Bold"/>
    <w:basedOn w:val="Normal"/>
    <w:uiPriority w:val="99"/>
    <w:rsid w:val="0070692F"/>
    <w:pPr>
      <w:spacing w:after="80" w:line="240" w:lineRule="auto"/>
      <w:ind w:left="113" w:right="113"/>
    </w:pPr>
    <w:rPr>
      <w:rFonts w:ascii="Arial" w:eastAsia="Times New Roman" w:hAnsi="Arial" w:cs="Times New Roman"/>
      <w:b/>
      <w:sz w:val="22"/>
      <w:lang w:eastAsia="en-US"/>
    </w:rPr>
  </w:style>
  <w:style w:type="paragraph" w:customStyle="1" w:styleId="Tabletitle-BlackNormal">
    <w:name w:val="Table title - Black Normal"/>
    <w:basedOn w:val="Tabletext-Bold"/>
    <w:uiPriority w:val="99"/>
    <w:rsid w:val="0070692F"/>
  </w:style>
  <w:style w:type="paragraph" w:customStyle="1" w:styleId="Tabletext-Normal">
    <w:name w:val="Table text - Normal"/>
    <w:basedOn w:val="Tabletext-Bold"/>
    <w:uiPriority w:val="99"/>
    <w:rsid w:val="0070692F"/>
  </w:style>
  <w:style w:type="paragraph" w:customStyle="1" w:styleId="Tabletitle-WhiteSmall">
    <w:name w:val="Table title - White Small"/>
    <w:basedOn w:val="Tabletitle-WhiteNormal"/>
    <w:rsid w:val="0070692F"/>
  </w:style>
  <w:style w:type="paragraph" w:customStyle="1" w:styleId="Tabletext-Small">
    <w:name w:val="Table text - Small"/>
    <w:basedOn w:val="Tabletext-Normal"/>
    <w:rsid w:val="0070692F"/>
  </w:style>
  <w:style w:type="table" w:customStyle="1" w:styleId="GBN1">
    <w:name w:val="GBN 1"/>
    <w:basedOn w:val="TableNormal"/>
    <w:uiPriority w:val="99"/>
    <w:rsid w:val="0070692F"/>
    <w:pPr>
      <w:spacing w:after="0" w:line="240" w:lineRule="auto"/>
    </w:pPr>
    <w:rPr>
      <w:rFonts w:ascii="Arial" w:eastAsia="Times New Roman" w:hAnsi="Arial" w:cs="Times New Roman"/>
      <w:color w:val="auto"/>
      <w:sz w:val="22"/>
      <w:szCs w:val="22"/>
      <w:lang w:eastAsia="en-GB"/>
    </w:rPr>
    <w:tblPr>
      <w:tblBorders>
        <w:top w:val="single" w:sz="6" w:space="0" w:color="747474" w:themeColor="text2"/>
        <w:left w:val="single" w:sz="6" w:space="0" w:color="747474" w:themeColor="text2"/>
        <w:bottom w:val="single" w:sz="6" w:space="0" w:color="747474" w:themeColor="text2"/>
        <w:right w:val="single" w:sz="6" w:space="0" w:color="747474" w:themeColor="text2"/>
        <w:insideH w:val="single" w:sz="6" w:space="0" w:color="747474" w:themeColor="text2"/>
        <w:insideV w:val="single" w:sz="6" w:space="0" w:color="747474" w:themeColor="text2"/>
      </w:tblBorders>
      <w:tblCellMar>
        <w:top w:w="85" w:type="dxa"/>
        <w:bottom w:w="85" w:type="dxa"/>
      </w:tblCellMar>
    </w:tblPr>
    <w:tcPr>
      <w:shd w:val="clear" w:color="auto" w:fill="auto"/>
      <w:vAlign w:val="center"/>
    </w:tcPr>
    <w:tblStylePr w:type="firstRow">
      <w:tblPr/>
      <w:tcPr>
        <w:shd w:val="clear" w:color="auto" w:fill="FF5F49" w:themeFill="accent1"/>
      </w:tcPr>
    </w:tblStylePr>
  </w:style>
  <w:style w:type="table" w:customStyle="1" w:styleId="GBN4">
    <w:name w:val="GBN 4"/>
    <w:basedOn w:val="GBN1"/>
    <w:uiPriority w:val="99"/>
    <w:rsid w:val="0070692F"/>
    <w:tblPr>
      <w:tblBorders>
        <w:top w:val="single" w:sz="6" w:space="0" w:color="1A4960" w:themeColor="accent3"/>
        <w:left w:val="single" w:sz="6" w:space="0" w:color="1A4960" w:themeColor="accent3"/>
        <w:bottom w:val="single" w:sz="6" w:space="0" w:color="1A4960" w:themeColor="accent3"/>
        <w:right w:val="single" w:sz="6" w:space="0" w:color="1A4960" w:themeColor="accent3"/>
        <w:insideH w:val="single" w:sz="6" w:space="0" w:color="1A4960" w:themeColor="accent3"/>
        <w:insideV w:val="single" w:sz="6" w:space="0" w:color="1A4960" w:themeColor="accent3"/>
      </w:tblBorders>
    </w:tblPr>
    <w:tcPr>
      <w:shd w:val="clear" w:color="auto" w:fill="auto"/>
    </w:tcPr>
    <w:tblStylePr w:type="firstRow">
      <w:rPr>
        <w:color w:val="FFFFFF" w:themeColor="background1"/>
      </w:rPr>
      <w:tblPr/>
      <w:tcPr>
        <w:shd w:val="clear" w:color="auto" w:fill="1A4960" w:themeFill="accent3"/>
      </w:tcPr>
    </w:tblStylePr>
  </w:style>
  <w:style w:type="paragraph" w:customStyle="1" w:styleId="Notes">
    <w:name w:val="Notes"/>
    <w:basedOn w:val="Normal"/>
    <w:rsid w:val="0070692F"/>
    <w:pPr>
      <w:spacing w:after="288" w:line="240" w:lineRule="auto"/>
    </w:pPr>
    <w:rPr>
      <w:rFonts w:ascii="Arial" w:eastAsia="Times New Roman" w:hAnsi="Arial" w:cs="Times New Roman"/>
      <w:lang w:eastAsia="en-US"/>
    </w:rPr>
  </w:style>
  <w:style w:type="paragraph" w:customStyle="1" w:styleId="FrontPageHeader">
    <w:name w:val="Front Page Header"/>
    <w:basedOn w:val="Heading1"/>
    <w:link w:val="FrontPageHeaderChar"/>
    <w:rsid w:val="0070692F"/>
    <w:pPr>
      <w:keepNext/>
      <w:keepLines/>
      <w:tabs>
        <w:tab w:val="clear" w:pos="782"/>
      </w:tabs>
      <w:suppressAutoHyphens w:val="0"/>
      <w:spacing w:before="240" w:after="120" w:line="240" w:lineRule="auto"/>
      <w:ind w:left="432" w:hanging="432"/>
      <w:jc w:val="center"/>
    </w:pPr>
    <w:rPr>
      <w:rFonts w:ascii="Arial" w:eastAsia="Times New Roman" w:hAnsi="Arial" w:cs="Times New Roman"/>
      <w:b/>
      <w:bCs w:val="0"/>
      <w:color w:val="F51C00" w:themeColor="accent1" w:themeShade="BF"/>
      <w:sz w:val="32"/>
      <w:szCs w:val="48"/>
      <w:lang w:eastAsia="en-GB"/>
    </w:rPr>
  </w:style>
  <w:style w:type="character" w:customStyle="1" w:styleId="FrontPageHeaderChar">
    <w:name w:val="Front Page Header Char"/>
    <w:basedOn w:val="Heading1Char"/>
    <w:link w:val="FrontPageHeader"/>
    <w:rsid w:val="0070692F"/>
    <w:rPr>
      <w:rFonts w:ascii="Arial" w:eastAsia="Times New Roman" w:hAnsi="Arial" w:cs="Times New Roman"/>
      <w:b/>
      <w:bCs w:val="0"/>
      <w:color w:val="F51C00" w:themeColor="accent1" w:themeShade="BF"/>
      <w:kern w:val="32"/>
      <w:sz w:val="32"/>
      <w:szCs w:val="48"/>
      <w:lang w:eastAsia="en-GB"/>
    </w:rPr>
  </w:style>
  <w:style w:type="paragraph" w:customStyle="1" w:styleId="FrontPageHeader2">
    <w:name w:val="Front Page Header 2"/>
    <w:basedOn w:val="Normal"/>
    <w:link w:val="FrontPageHeader2Char"/>
    <w:qFormat/>
    <w:rsid w:val="0070692F"/>
    <w:pPr>
      <w:spacing w:before="240" w:after="240" w:line="259" w:lineRule="auto"/>
      <w:jc w:val="center"/>
    </w:pPr>
    <w:rPr>
      <w:rFonts w:ascii="Arial" w:eastAsiaTheme="minorHAnsi" w:hAnsi="Arial" w:cs="Arial"/>
      <w:b/>
      <w:color w:val="747474" w:themeColor="text2"/>
      <w:sz w:val="48"/>
      <w:szCs w:val="48"/>
      <w:lang w:eastAsia="en-US"/>
    </w:rPr>
  </w:style>
  <w:style w:type="character" w:customStyle="1" w:styleId="FrontPageHeader2Char">
    <w:name w:val="Front Page Header 2 Char"/>
    <w:basedOn w:val="DefaultParagraphFont"/>
    <w:link w:val="FrontPageHeader2"/>
    <w:rsid w:val="0070692F"/>
    <w:rPr>
      <w:rFonts w:ascii="Arial" w:eastAsiaTheme="minorHAnsi" w:hAnsi="Arial" w:cs="Arial"/>
      <w:b/>
      <w:color w:val="747474" w:themeColor="text2"/>
      <w:sz w:val="48"/>
      <w:szCs w:val="48"/>
      <w:lang w:eastAsia="en-US"/>
    </w:rPr>
  </w:style>
  <w:style w:type="table" w:customStyle="1" w:styleId="GBN3">
    <w:name w:val="GBN 3"/>
    <w:basedOn w:val="TableNormal"/>
    <w:uiPriority w:val="99"/>
    <w:rsid w:val="0070692F"/>
    <w:pPr>
      <w:spacing w:after="0" w:line="240" w:lineRule="auto"/>
    </w:pPr>
    <w:rPr>
      <w:rFonts w:eastAsiaTheme="minorHAnsi"/>
      <w:color w:val="auto"/>
      <w:sz w:val="22"/>
      <w:szCs w:val="22"/>
      <w:lang w:eastAsia="en-US"/>
    </w:rPr>
    <w:tblPr>
      <w:tblBorders>
        <w:top w:val="single" w:sz="6" w:space="0" w:color="6BC7BB" w:themeColor="accent4"/>
        <w:left w:val="single" w:sz="6" w:space="0" w:color="6BC7BB" w:themeColor="accent4"/>
        <w:bottom w:val="single" w:sz="6" w:space="0" w:color="6BC7BB" w:themeColor="accent4"/>
        <w:right w:val="single" w:sz="6" w:space="0" w:color="6BC7BB" w:themeColor="accent4"/>
        <w:insideH w:val="single" w:sz="6" w:space="0" w:color="6BC7BB" w:themeColor="accent4"/>
        <w:insideV w:val="single" w:sz="6" w:space="0" w:color="6BC7BB" w:themeColor="accent4"/>
      </w:tblBorders>
    </w:tblPr>
    <w:tcPr>
      <w:shd w:val="clear" w:color="auto" w:fill="auto"/>
      <w:vAlign w:val="center"/>
    </w:tcPr>
    <w:tblStylePr w:type="firstRow">
      <w:tblPr/>
      <w:tcPr>
        <w:shd w:val="clear" w:color="auto" w:fill="6BC7BB" w:themeFill="accent4"/>
      </w:tcPr>
    </w:tblStylePr>
  </w:style>
  <w:style w:type="table" w:styleId="GridTable1Light-Accent1">
    <w:name w:val="Grid Table 1 Light Accent 1"/>
    <w:basedOn w:val="TableNormal"/>
    <w:uiPriority w:val="46"/>
    <w:rsid w:val="0070692F"/>
    <w:pPr>
      <w:spacing w:after="0" w:line="240" w:lineRule="auto"/>
    </w:pPr>
    <w:rPr>
      <w:rFonts w:eastAsiaTheme="minorHAnsi"/>
      <w:color w:val="auto"/>
      <w:kern w:val="2"/>
      <w:sz w:val="24"/>
      <w:lang w:eastAsia="en-US"/>
      <w14:ligatures w14:val="standardContextual"/>
    </w:rPr>
    <w:tblPr>
      <w:tblStyleRowBandSize w:val="1"/>
      <w:tblStyleColBandSize w:val="1"/>
      <w:tblBorders>
        <w:top w:val="single" w:sz="4" w:space="0" w:color="FFBEB6" w:themeColor="accent1" w:themeTint="66"/>
        <w:left w:val="single" w:sz="4" w:space="0" w:color="FFBEB6" w:themeColor="accent1" w:themeTint="66"/>
        <w:bottom w:val="single" w:sz="4" w:space="0" w:color="FFBEB6" w:themeColor="accent1" w:themeTint="66"/>
        <w:right w:val="single" w:sz="4" w:space="0" w:color="FFBEB6" w:themeColor="accent1" w:themeTint="66"/>
        <w:insideH w:val="single" w:sz="4" w:space="0" w:color="FFBEB6" w:themeColor="accent1" w:themeTint="66"/>
        <w:insideV w:val="single" w:sz="4" w:space="0" w:color="FFBEB6" w:themeColor="accent1" w:themeTint="66"/>
      </w:tblBorders>
    </w:tblPr>
    <w:tblStylePr w:type="firstRow">
      <w:rPr>
        <w:b/>
        <w:bCs/>
      </w:rPr>
      <w:tblPr/>
      <w:tcPr>
        <w:tcBorders>
          <w:bottom w:val="single" w:sz="12" w:space="0" w:color="FF9E91" w:themeColor="accent1" w:themeTint="99"/>
        </w:tcBorders>
      </w:tcPr>
    </w:tblStylePr>
    <w:tblStylePr w:type="lastRow">
      <w:rPr>
        <w:b/>
        <w:bCs/>
      </w:rPr>
      <w:tblPr/>
      <w:tcPr>
        <w:tcBorders>
          <w:top w:val="double" w:sz="2" w:space="0" w:color="FF9E91" w:themeColor="accen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70692F"/>
    <w:pPr>
      <w:spacing w:after="0" w:line="240" w:lineRule="auto"/>
    </w:pPr>
    <w:rPr>
      <w:rFonts w:eastAsiaTheme="minorHAnsi"/>
      <w:color w:val="auto"/>
      <w:kern w:val="2"/>
      <w:sz w:val="24"/>
      <w:lang w:eastAsia="en-US"/>
      <w14:ligatures w14:val="standardContextual"/>
    </w:rPr>
    <w:tblPr>
      <w:tblStyleRowBandSize w:val="1"/>
      <w:tblStyleColBandSize w:val="1"/>
    </w:tblPr>
    <w:tblStylePr w:type="firstRow">
      <w:rPr>
        <w:b/>
        <w:bCs/>
      </w:rPr>
      <w:tblPr/>
      <w:tcPr>
        <w:tcBorders>
          <w:bottom w:val="single" w:sz="4" w:space="0" w:color="FF9E91" w:themeColor="accent1" w:themeTint="99"/>
        </w:tcBorders>
      </w:tcPr>
    </w:tblStylePr>
    <w:tblStylePr w:type="lastRow">
      <w:rPr>
        <w:b/>
        <w:bCs/>
      </w:rPr>
      <w:tblPr/>
      <w:tcPr>
        <w:tcBorders>
          <w:top w:val="single" w:sz="4" w:space="0" w:color="FF9E91" w:themeColor="accent1" w:themeTint="99"/>
        </w:tcBorders>
      </w:tcPr>
    </w:tblStylePr>
    <w:tblStylePr w:type="firstCol">
      <w:rPr>
        <w:b/>
        <w:bCs/>
      </w:rPr>
    </w:tblStylePr>
    <w:tblStylePr w:type="lastCol">
      <w:rPr>
        <w:b/>
        <w:bCs/>
      </w:rPr>
    </w:tblStylePr>
    <w:tblStylePr w:type="band1Vert">
      <w:tblPr/>
      <w:tcPr>
        <w:shd w:val="clear" w:color="auto" w:fill="FFDEDA" w:themeFill="accent1" w:themeFillTint="33"/>
      </w:tcPr>
    </w:tblStylePr>
    <w:tblStylePr w:type="band1Horz">
      <w:tblPr/>
      <w:tcPr>
        <w:shd w:val="clear" w:color="auto" w:fill="FFDE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408">
      <w:bodyDiv w:val="1"/>
      <w:marLeft w:val="0"/>
      <w:marRight w:val="0"/>
      <w:marTop w:val="0"/>
      <w:marBottom w:val="0"/>
      <w:divBdr>
        <w:top w:val="none" w:sz="0" w:space="0" w:color="auto"/>
        <w:left w:val="none" w:sz="0" w:space="0" w:color="auto"/>
        <w:bottom w:val="none" w:sz="0" w:space="0" w:color="auto"/>
        <w:right w:val="none" w:sz="0" w:space="0" w:color="auto"/>
      </w:divBdr>
    </w:div>
    <w:div w:id="160437863">
      <w:bodyDiv w:val="1"/>
      <w:marLeft w:val="0"/>
      <w:marRight w:val="0"/>
      <w:marTop w:val="0"/>
      <w:marBottom w:val="0"/>
      <w:divBdr>
        <w:top w:val="none" w:sz="0" w:space="0" w:color="auto"/>
        <w:left w:val="none" w:sz="0" w:space="0" w:color="auto"/>
        <w:bottom w:val="none" w:sz="0" w:space="0" w:color="auto"/>
        <w:right w:val="none" w:sz="0" w:space="0" w:color="auto"/>
      </w:divBdr>
    </w:div>
    <w:div w:id="275454154">
      <w:bodyDiv w:val="1"/>
      <w:marLeft w:val="0"/>
      <w:marRight w:val="0"/>
      <w:marTop w:val="0"/>
      <w:marBottom w:val="0"/>
      <w:divBdr>
        <w:top w:val="none" w:sz="0" w:space="0" w:color="auto"/>
        <w:left w:val="none" w:sz="0" w:space="0" w:color="auto"/>
        <w:bottom w:val="none" w:sz="0" w:space="0" w:color="auto"/>
        <w:right w:val="none" w:sz="0" w:space="0" w:color="auto"/>
      </w:divBdr>
    </w:div>
    <w:div w:id="515652050">
      <w:bodyDiv w:val="1"/>
      <w:marLeft w:val="0"/>
      <w:marRight w:val="0"/>
      <w:marTop w:val="0"/>
      <w:marBottom w:val="0"/>
      <w:divBdr>
        <w:top w:val="none" w:sz="0" w:space="0" w:color="auto"/>
        <w:left w:val="none" w:sz="0" w:space="0" w:color="auto"/>
        <w:bottom w:val="none" w:sz="0" w:space="0" w:color="auto"/>
        <w:right w:val="none" w:sz="0" w:space="0" w:color="auto"/>
      </w:divBdr>
    </w:div>
    <w:div w:id="535587682">
      <w:bodyDiv w:val="1"/>
      <w:marLeft w:val="0"/>
      <w:marRight w:val="0"/>
      <w:marTop w:val="0"/>
      <w:marBottom w:val="0"/>
      <w:divBdr>
        <w:top w:val="none" w:sz="0" w:space="0" w:color="auto"/>
        <w:left w:val="none" w:sz="0" w:space="0" w:color="auto"/>
        <w:bottom w:val="none" w:sz="0" w:space="0" w:color="auto"/>
        <w:right w:val="none" w:sz="0" w:space="0" w:color="auto"/>
      </w:divBdr>
    </w:div>
    <w:div w:id="602374076">
      <w:bodyDiv w:val="1"/>
      <w:marLeft w:val="0"/>
      <w:marRight w:val="0"/>
      <w:marTop w:val="0"/>
      <w:marBottom w:val="0"/>
      <w:divBdr>
        <w:top w:val="none" w:sz="0" w:space="0" w:color="auto"/>
        <w:left w:val="none" w:sz="0" w:space="0" w:color="auto"/>
        <w:bottom w:val="none" w:sz="0" w:space="0" w:color="auto"/>
        <w:right w:val="none" w:sz="0" w:space="0" w:color="auto"/>
      </w:divBdr>
    </w:div>
    <w:div w:id="680162137">
      <w:bodyDiv w:val="1"/>
      <w:marLeft w:val="0"/>
      <w:marRight w:val="0"/>
      <w:marTop w:val="0"/>
      <w:marBottom w:val="0"/>
      <w:divBdr>
        <w:top w:val="none" w:sz="0" w:space="0" w:color="auto"/>
        <w:left w:val="none" w:sz="0" w:space="0" w:color="auto"/>
        <w:bottom w:val="none" w:sz="0" w:space="0" w:color="auto"/>
        <w:right w:val="none" w:sz="0" w:space="0" w:color="auto"/>
      </w:divBdr>
    </w:div>
    <w:div w:id="796416138">
      <w:bodyDiv w:val="1"/>
      <w:marLeft w:val="0"/>
      <w:marRight w:val="0"/>
      <w:marTop w:val="0"/>
      <w:marBottom w:val="0"/>
      <w:divBdr>
        <w:top w:val="none" w:sz="0" w:space="0" w:color="auto"/>
        <w:left w:val="none" w:sz="0" w:space="0" w:color="auto"/>
        <w:bottom w:val="none" w:sz="0" w:space="0" w:color="auto"/>
        <w:right w:val="none" w:sz="0" w:space="0" w:color="auto"/>
      </w:divBdr>
    </w:div>
    <w:div w:id="955603237">
      <w:bodyDiv w:val="1"/>
      <w:marLeft w:val="0"/>
      <w:marRight w:val="0"/>
      <w:marTop w:val="0"/>
      <w:marBottom w:val="0"/>
      <w:divBdr>
        <w:top w:val="none" w:sz="0" w:space="0" w:color="auto"/>
        <w:left w:val="none" w:sz="0" w:space="0" w:color="auto"/>
        <w:bottom w:val="none" w:sz="0" w:space="0" w:color="auto"/>
        <w:right w:val="none" w:sz="0" w:space="0" w:color="auto"/>
      </w:divBdr>
    </w:div>
    <w:div w:id="1390880351">
      <w:bodyDiv w:val="1"/>
      <w:marLeft w:val="0"/>
      <w:marRight w:val="0"/>
      <w:marTop w:val="0"/>
      <w:marBottom w:val="0"/>
      <w:divBdr>
        <w:top w:val="none" w:sz="0" w:space="0" w:color="auto"/>
        <w:left w:val="none" w:sz="0" w:space="0" w:color="auto"/>
        <w:bottom w:val="none" w:sz="0" w:space="0" w:color="auto"/>
        <w:right w:val="none" w:sz="0" w:space="0" w:color="auto"/>
      </w:divBdr>
    </w:div>
    <w:div w:id="1726102033">
      <w:bodyDiv w:val="1"/>
      <w:marLeft w:val="0"/>
      <w:marRight w:val="0"/>
      <w:marTop w:val="0"/>
      <w:marBottom w:val="0"/>
      <w:divBdr>
        <w:top w:val="none" w:sz="0" w:space="0" w:color="auto"/>
        <w:left w:val="none" w:sz="0" w:space="0" w:color="auto"/>
        <w:bottom w:val="none" w:sz="0" w:space="0" w:color="auto"/>
        <w:right w:val="none" w:sz="0" w:space="0" w:color="auto"/>
      </w:divBdr>
    </w:div>
    <w:div w:id="1837963704">
      <w:bodyDiv w:val="1"/>
      <w:marLeft w:val="0"/>
      <w:marRight w:val="0"/>
      <w:marTop w:val="0"/>
      <w:marBottom w:val="0"/>
      <w:divBdr>
        <w:top w:val="none" w:sz="0" w:space="0" w:color="auto"/>
        <w:left w:val="none" w:sz="0" w:space="0" w:color="auto"/>
        <w:bottom w:val="none" w:sz="0" w:space="0" w:color="auto"/>
        <w:right w:val="none" w:sz="0" w:space="0" w:color="auto"/>
      </w:divBdr>
    </w:div>
    <w:div w:id="2075621074">
      <w:bodyDiv w:val="1"/>
      <w:marLeft w:val="0"/>
      <w:marRight w:val="0"/>
      <w:marTop w:val="0"/>
      <w:marBottom w:val="0"/>
      <w:divBdr>
        <w:top w:val="none" w:sz="0" w:space="0" w:color="auto"/>
        <w:left w:val="none" w:sz="0" w:space="0" w:color="auto"/>
        <w:bottom w:val="none" w:sz="0" w:space="0" w:color="auto"/>
        <w:right w:val="none" w:sz="0" w:space="0" w:color="auto"/>
      </w:divBdr>
    </w:div>
    <w:div w:id="21000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isgroup.ukp.app.jaggaer.com/"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image" Target="media/image5.emf"/><Relationship Id="rId21" Type="http://schemas.openxmlformats.org/officeDocument/2006/relationships/header" Target="header4.xml"/><Relationship Id="rId34" Type="http://schemas.openxmlformats.org/officeDocument/2006/relationships/hyperlink" Target="https://beisgroup.ukp.app.jaggaer.com/"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ssets.publishing.service.gov.uk/government/uploads/system/uploads/attachment_data/file/1163542/EFS_Guidance_Note.pdf" TargetMode="Externa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image" Target="media/image3.emf"/><Relationship Id="rId40"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mailto:customersupport@jaggaer.co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s://beisgroup.ukp.app.jaggaer.com/" TargetMode="External"/><Relationship Id="rId38"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4.dotx" TargetMode="External"/></Relationships>
</file>

<file path=word/theme/theme1.xml><?xml version="1.0" encoding="utf-8"?>
<a:theme xmlns:a="http://schemas.openxmlformats.org/drawingml/2006/main" name="Office Theme">
  <a:themeElements>
    <a:clrScheme name="Dark Sky">
      <a:dk1>
        <a:srgbClr val="000000"/>
      </a:dk1>
      <a:lt1>
        <a:srgbClr val="FFFFFF"/>
      </a:lt1>
      <a:dk2>
        <a:srgbClr val="747474"/>
      </a:dk2>
      <a:lt2>
        <a:srgbClr val="F1F2F2"/>
      </a:lt2>
      <a:accent1>
        <a:srgbClr val="FF5F49"/>
      </a:accent1>
      <a:accent2>
        <a:srgbClr val="68BDD9"/>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50d80604-f4f6-491e-8c58-5325d58c3094" xsi:nil="true"/>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67dfd3db-8e6c-4d42-96c1-aed1098cd89b</TermId>
        </TermInfo>
      </Terms>
    </m817f42addf14c9a838da36e78800043>
    <TaxCatchAll xmlns="50d80604-f4f6-491e-8c58-5325d58c3094">
      <Value>5</Value>
      <Value>3</Value>
    </TaxCatchAll>
    <_dlc_DocId xmlns="50d80604-f4f6-491e-8c58-5325d58c3094">RDXZESSFVVD3-86486555-33784</_dlc_DocId>
    <_dlc_DocIdUrl xmlns="50d80604-f4f6-491e-8c58-5325d58c3094">
      <Url>https://greatbritishnuclear.sharepoint.com/teams/Commercial/_layouts/15/DocIdRedir.aspx?ID=RDXZESSFVVD3-86486555-33784</Url>
      <Description>RDXZESSFVVD3-86486555-33784</Description>
    </_dlc_DocIdUrl>
    <_dlc_DocIdPersistId xmlns="50d80604-f4f6-491e-8c58-5325d58c3094" xsi:nil="true"/>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6.xml>��< ? x m l   v e r s i o n = " 1 . 0 "   e n c o d i n g = " u t f - 1 6 " ? > < p r o p e r t i e s   x m l n s = " h t t p : / / w w w . i m a n a g e . c o m / w o r k / x m l s c h e m a " >  
     < d o c u m e n t i d > E U S ! 4 2 5 1 6 3 6 8 5 . 2 < / d o c u m e n t i d >  
     < s e n d e r i d > J J A R R E < / s e n d e r i d >  
     < s e n d e r e m a i l > J U L I A N . J A R R E T T @ A S H U R S T . C O M < / s e n d e r e m a i l >  
     < l a s t m o d i f i e d > 2 0 2 5 - 0 7 - 0 1 T 1 5 : 2 4 : 0 0 . 0 0 0 0 0 0 0 + 0 1 : 0 0 < / l a s t m o d i f i e d >  
     < d a t a b a s e > E U S < / d a t a b a s e >  
 < / p r o p e r t i e s > 
</file>

<file path=customXml/itemProps1.xml><?xml version="1.0" encoding="utf-8"?>
<ds:datastoreItem xmlns:ds="http://schemas.openxmlformats.org/officeDocument/2006/customXml" ds:itemID="{C25CCC27-0AAD-48F5-9A24-B42DC4FEA3AE}">
  <ds:schemaRefs>
    <ds:schemaRef ds:uri="http://schemas.microsoft.com/sharepoint/v3/contenttype/forms"/>
  </ds:schemaRefs>
</ds:datastoreItem>
</file>

<file path=customXml/itemProps2.xml><?xml version="1.0" encoding="utf-8"?>
<ds:datastoreItem xmlns:ds="http://schemas.openxmlformats.org/officeDocument/2006/customXml" ds:itemID="{DE1DA54D-91A0-4A48-8D2E-65033F052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3365D-842C-48DC-B929-3AE4DB568A5F}">
  <ds:schemaRefs>
    <ds:schemaRef ds:uri="http://schemas.microsoft.com/sharepoint/events"/>
  </ds:schemaRefs>
</ds:datastoreItem>
</file>

<file path=customXml/itemProps4.xml><?xml version="1.0" encoding="utf-8"?>
<ds:datastoreItem xmlns:ds="http://schemas.openxmlformats.org/officeDocument/2006/customXml" ds:itemID="{DAB9D8B0-8CEC-476A-B6A5-72871AA58812}">
  <ds:schemaRefs>
    <ds:schemaRef ds:uri="http://schemas.openxmlformats.org/officeDocument/2006/bibliography"/>
  </ds:schemaRefs>
</ds:datastoreItem>
</file>

<file path=customXml/itemProps5.xml><?xml version="1.0" encoding="utf-8"?>
<ds:datastoreItem xmlns:ds="http://schemas.openxmlformats.org/officeDocument/2006/customXml" ds:itemID="{494463F4-C791-4486-BDC9-6B6875CED234}">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9b946a5-1b46-4ab6-a978-db85a35d3fa6"/>
    <ds:schemaRef ds:uri="50d80604-f4f6-491e-8c58-5325d58c3094"/>
  </ds:schemaRefs>
</ds:datastoreItem>
</file>

<file path=customXml/itemProps6.xml><?xml version="1.0" encoding="utf-8"?>
<ds:datastoreItem xmlns:ds="http://schemas.openxmlformats.org/officeDocument/2006/customXml" ds:itemID="{DB053C3F-4E0F-4CAD-959B-84D00EACE18B}">
  <ds:schemaRefs>
    <ds:schemaRef ds:uri="http://www.imanage.com/work/xmlschema"/>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ashWordDocBlankA4</Template>
  <TotalTime>0</TotalTime>
  <Pages>77</Pages>
  <Words>20980</Words>
  <Characters>119586</Characters>
  <Application>Microsoft Office Word</Application>
  <DocSecurity>0</DocSecurity>
  <Lines>996</Lines>
  <Paragraphs>280</Paragraphs>
  <ScaleCrop>false</ScaleCrop>
  <Company>Great British Nuclear</Company>
  <LinksUpToDate>false</LinksUpToDate>
  <CharactersWithSpaces>140286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Mederick, Andre</dc:creator>
  <cp:lastModifiedBy>Mederick, Andre</cp:lastModifiedBy>
  <cp:revision>2</cp:revision>
  <dcterms:created xsi:type="dcterms:W3CDTF">2025-07-02T07:30:00Z</dcterms:created>
  <dcterms:modified xsi:type="dcterms:W3CDTF">2025-07-02T07:30:00Z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AuthorID">
    <vt:lpwstr>SLAMBA</vt:lpwstr>
  </property>
  <property fmtid="{D5CDD505-2E9C-101B-9397-08002B2CF9AE}" pid="3" name="AshurstAuthorName">
    <vt:lpwstr>Lamba, Simran 12532</vt:lpwstr>
  </property>
  <property fmtid="{D5CDD505-2E9C-101B-9397-08002B2CF9AE}" pid="4" name="AshurstClientDescription">
    <vt:lpwstr>Department for Energy Security &amp; Net Zero</vt:lpwstr>
  </property>
  <property fmtid="{D5CDD505-2E9C-101B-9397-08002B2CF9AE}" pid="5" name="AshurstClientID">
    <vt:lpwstr>AshurstClientID</vt:lpwstr>
  </property>
  <property fmtid="{D5CDD505-2E9C-101B-9397-08002B2CF9AE}" pid="6" name="AshurstClientNumber">
    <vt:lpwstr>30022463</vt:lpwstr>
  </property>
  <property fmtid="{D5CDD505-2E9C-101B-9397-08002B2CF9AE}" pid="7" name="AshurstDocNumber">
    <vt:lpwstr>425163685</vt:lpwstr>
  </property>
  <property fmtid="{D5CDD505-2E9C-101B-9397-08002B2CF9AE}" pid="8" name="AshurstDocRef">
    <vt:lpwstr>EUS\SLAMBA\425163685.02</vt:lpwstr>
  </property>
  <property fmtid="{D5CDD505-2E9C-101B-9397-08002B2CF9AE}" pid="9" name="AshurstDocRefCoverPage">
    <vt:lpwstr>AshurstDocRefCoverPage</vt:lpwstr>
  </property>
  <property fmtid="{D5CDD505-2E9C-101B-9397-08002B2CF9AE}" pid="10" name="AshurstDocType">
    <vt:lpwstr/>
  </property>
  <property fmtid="{D5CDD505-2E9C-101B-9397-08002B2CF9AE}" pid="11" name="AshurstFeeEarnerInitials">
    <vt:lpwstr>FE Initials</vt:lpwstr>
  </property>
  <property fmtid="{D5CDD505-2E9C-101B-9397-08002B2CF9AE}" pid="12" name="AshurstFileNumber">
    <vt:lpwstr>30022463.1000-178-995</vt:lpwstr>
  </property>
  <property fmtid="{D5CDD505-2E9C-101B-9397-08002B2CF9AE}" pid="13" name="AshurstLibraryName">
    <vt:lpwstr>EUS</vt:lpwstr>
  </property>
  <property fmtid="{D5CDD505-2E9C-101B-9397-08002B2CF9AE}" pid="14" name="AshurstMatterDescription">
    <vt:lpwstr>Great British Nuclear Legal Services</vt:lpwstr>
  </property>
  <property fmtid="{D5CDD505-2E9C-101B-9397-08002B2CF9AE}" pid="15" name="AshurstMatterID">
    <vt:lpwstr>AshurstMatterID</vt:lpwstr>
  </property>
  <property fmtid="{D5CDD505-2E9C-101B-9397-08002B2CF9AE}" pid="16" name="AshurstMatterNumber">
    <vt:lpwstr>1000-178-995</vt:lpwstr>
  </property>
  <property fmtid="{D5CDD505-2E9C-101B-9397-08002B2CF9AE}" pid="17" name="AshurstNoAuthorName">
    <vt:lpwstr>0</vt:lpwstr>
  </property>
  <property fmtid="{D5CDD505-2E9C-101B-9397-08002B2CF9AE}" pid="18" name="AshurstOurRef">
    <vt:lpwstr>SLAMBA\30022463.1000-178-995</vt:lpwstr>
  </property>
  <property fmtid="{D5CDD505-2E9C-101B-9397-08002B2CF9AE}" pid="19" name="AshurstPartnerInitials">
    <vt:lpwstr>Partner Initials</vt:lpwstr>
  </property>
  <property fmtid="{D5CDD505-2E9C-101B-9397-08002B2CF9AE}" pid="20" name="AshurstTypistID">
    <vt:lpwstr/>
  </property>
  <property fmtid="{D5CDD505-2E9C-101B-9397-08002B2CF9AE}" pid="21" name="AshurstTypistName">
    <vt:lpwstr/>
  </property>
  <property fmtid="{D5CDD505-2E9C-101B-9397-08002B2CF9AE}" pid="22" name="AshurstVersionNumber">
    <vt:lpwstr/>
  </property>
  <property fmtid="{D5CDD505-2E9C-101B-9397-08002B2CF9AE}" pid="23" name="Business Unit">
    <vt:lpwstr>1;#BEIS:Corporate Services:Commercial and Operations Directorate|b75c6dd9-ca6e-4b01-bb8f-6b86ad456017</vt:lpwstr>
  </property>
  <property fmtid="{D5CDD505-2E9C-101B-9397-08002B2CF9AE}" pid="24" name="ContentTypeId">
    <vt:lpwstr>0x01010043176BF47B37A841B5B51A93767C0F460100B1922BBC079C304C9C664D9105680F5B</vt:lpwstr>
  </property>
  <property fmtid="{D5CDD505-2E9C-101B-9397-08002B2CF9AE}" pid="25" name="DMSDocType">
    <vt:lpwstr>DOC</vt:lpwstr>
  </property>
  <property fmtid="{D5CDD505-2E9C-101B-9397-08002B2CF9AE}" pid="26" name="document number">
    <vt:lpwstr>\</vt:lpwstr>
  </property>
  <property fmtid="{D5CDD505-2E9C-101B-9397-08002B2CF9AE}" pid="27" name="KIM_Activity">
    <vt:lpwstr>2;#Nuclear Projects and Development|c18390c5-44fd-4145-a218-ee22681cb1c0</vt:lpwstr>
  </property>
  <property fmtid="{D5CDD505-2E9C-101B-9397-08002B2CF9AE}" pid="28" name="KIM_Function">
    <vt:lpwstr>5;#Energy supply and security|67dfd3db-8e6c-4d42-96c1-aed1098cd89b</vt:lpwstr>
  </property>
  <property fmtid="{D5CDD505-2E9C-101B-9397-08002B2CF9AE}" pid="29" name="KIM_GovernmentBody">
    <vt:lpwstr>3;#BEIS|b386cac2-c28c-4db4-8fca-43733d0e74ef</vt:lpwstr>
  </property>
  <property fmtid="{D5CDD505-2E9C-101B-9397-08002B2CF9AE}" pid="30" name="MediaServiceImageTags">
    <vt:lpwstr/>
  </property>
  <property fmtid="{D5CDD505-2E9C-101B-9397-08002B2CF9AE}" pid="31" name="MSIP_Label_ba62f585-b40f-4ab9-bafe-39150f03d124_ActionId">
    <vt:lpwstr>de041d7e-d91e-4d68-971c-eec5313437da</vt:lpwstr>
  </property>
  <property fmtid="{D5CDD505-2E9C-101B-9397-08002B2CF9AE}" pid="32" name="MSIP_Label_ba62f585-b40f-4ab9-bafe-39150f03d124_ContentBits">
    <vt:lpwstr>0</vt:lpwstr>
  </property>
  <property fmtid="{D5CDD505-2E9C-101B-9397-08002B2CF9AE}" pid="33" name="MSIP_Label_ba62f585-b40f-4ab9-bafe-39150f03d124_Enabled">
    <vt:lpwstr>true</vt:lpwstr>
  </property>
  <property fmtid="{D5CDD505-2E9C-101B-9397-08002B2CF9AE}" pid="34" name="MSIP_Label_ba62f585-b40f-4ab9-bafe-39150f03d124_Method">
    <vt:lpwstr>Standard</vt:lpwstr>
  </property>
  <property fmtid="{D5CDD505-2E9C-101B-9397-08002B2CF9AE}" pid="35" name="MSIP_Label_ba62f585-b40f-4ab9-bafe-39150f03d124_Name">
    <vt:lpwstr>OFFICIAL</vt:lpwstr>
  </property>
  <property fmtid="{D5CDD505-2E9C-101B-9397-08002B2CF9AE}" pid="36" name="MSIP_Label_ba62f585-b40f-4ab9-bafe-39150f03d124_SetDate">
    <vt:lpwstr>2023-06-26T14:16:02Z</vt:lpwstr>
  </property>
  <property fmtid="{D5CDD505-2E9C-101B-9397-08002B2CF9AE}" pid="37" name="MSIP_Label_ba62f585-b40f-4ab9-bafe-39150f03d124_SiteId">
    <vt:lpwstr>cbac7005-02c1-43eb-b497-e6492d1b2dd8</vt:lpwstr>
  </property>
  <property fmtid="{D5CDD505-2E9C-101B-9397-08002B2CF9AE}" pid="38" name="MSIP_Label_ea60d57e-af5b-4752-ac57-3e4f28ca11dc_ActionId">
    <vt:lpwstr>9d2e4fdb-2109-4478-b4ef-675e1b054c71</vt:lpwstr>
  </property>
  <property fmtid="{D5CDD505-2E9C-101B-9397-08002B2CF9AE}" pid="39" name="MSIP_Label_ea60d57e-af5b-4752-ac57-3e4f28ca11dc_ContentBits">
    <vt:lpwstr>0</vt:lpwstr>
  </property>
  <property fmtid="{D5CDD505-2E9C-101B-9397-08002B2CF9AE}" pid="40" name="MSIP_Label_ea60d57e-af5b-4752-ac57-3e4f28ca11dc_Enabled">
    <vt:lpwstr>true</vt:lpwstr>
  </property>
  <property fmtid="{D5CDD505-2E9C-101B-9397-08002B2CF9AE}" pid="41" name="MSIP_Label_ea60d57e-af5b-4752-ac57-3e4f28ca11dc_Method">
    <vt:lpwstr>Standard</vt:lpwstr>
  </property>
  <property fmtid="{D5CDD505-2E9C-101B-9397-08002B2CF9AE}" pid="42" name="MSIP_Label_ea60d57e-af5b-4752-ac57-3e4f28ca11dc_Name">
    <vt:lpwstr>ea60d57e-af5b-4752-ac57-3e4f28ca11dc</vt:lpwstr>
  </property>
  <property fmtid="{D5CDD505-2E9C-101B-9397-08002B2CF9AE}" pid="43" name="MSIP_Label_ea60d57e-af5b-4752-ac57-3e4f28ca11dc_SetDate">
    <vt:lpwstr>2023-07-13T19:15:35Z</vt:lpwstr>
  </property>
  <property fmtid="{D5CDD505-2E9C-101B-9397-08002B2CF9AE}" pid="44" name="MSIP_Label_ea60d57e-af5b-4752-ac57-3e4f28ca11dc_SiteId">
    <vt:lpwstr>36da45f1-dd2c-4d1f-af13-5abe46b99921</vt:lpwstr>
  </property>
  <property fmtid="{D5CDD505-2E9C-101B-9397-08002B2CF9AE}" pid="45" name="_dlc_DocIdItemGuid">
    <vt:lpwstr>8db388a5-8c84-46d8-a1db-fb86854782cf</vt:lpwstr>
  </property>
  <property fmtid="{D5CDD505-2E9C-101B-9397-08002B2CF9AE}" pid="46" name="Order">
    <vt:r8>13000</vt:r8>
  </property>
  <property fmtid="{D5CDD505-2E9C-101B-9397-08002B2CF9AE}" pid="47" name="_ExtendedDescription">
    <vt:lpwstr/>
  </property>
  <property fmtid="{D5CDD505-2E9C-101B-9397-08002B2CF9AE}" pid="48" name="ClassificationContentMarkingFooterShapeIds">
    <vt:lpwstr>71100f57,2eab1060,4f271edb,25beb115,5d8e3bcc,58222e6e,69ff70f1,4cca4532,25172217</vt:lpwstr>
  </property>
  <property fmtid="{D5CDD505-2E9C-101B-9397-08002B2CF9AE}" pid="49" name="ClassificationContentMarkingFooterFontProps">
    <vt:lpwstr>#000000,10,Calibri</vt:lpwstr>
  </property>
  <property fmtid="{D5CDD505-2E9C-101B-9397-08002B2CF9AE}" pid="50" name="ClassificationContentMarkingFooterText">
    <vt:lpwstr>OFFICIAL - COMMERCIAL</vt:lpwstr>
  </property>
</Properties>
</file>