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0F305" w14:textId="04342F62" w:rsidR="00397664" w:rsidRPr="007B4836" w:rsidRDefault="00397664" w:rsidP="00397664">
      <w:pPr>
        <w:pStyle w:val="NoSpacing"/>
        <w:jc w:val="center"/>
        <w:rPr>
          <w:rFonts w:cs="Arial"/>
          <w:b/>
          <w:bCs/>
        </w:rPr>
      </w:pPr>
      <w:r w:rsidRPr="007B4836">
        <w:rPr>
          <w:rFonts w:cs="Arial"/>
          <w:b/>
          <w:bCs/>
        </w:rPr>
        <w:t>Wednesday</w:t>
      </w:r>
      <w:r w:rsidRPr="007B4836">
        <w:rPr>
          <w:rFonts w:cs="Arial"/>
          <w:b/>
          <w:bCs/>
        </w:rPr>
        <w:t xml:space="preserve"> </w:t>
      </w:r>
      <w:r w:rsidRPr="007B4836">
        <w:rPr>
          <w:rFonts w:cs="Arial"/>
          <w:b/>
          <w:bCs/>
        </w:rPr>
        <w:t>7</w:t>
      </w:r>
      <w:r w:rsidRPr="007B4836">
        <w:rPr>
          <w:rFonts w:cs="Arial"/>
          <w:b/>
          <w:bCs/>
          <w:vertAlign w:val="superscript"/>
        </w:rPr>
        <w:t>th</w:t>
      </w:r>
      <w:r w:rsidRPr="007B4836">
        <w:rPr>
          <w:rFonts w:cs="Arial"/>
          <w:b/>
          <w:bCs/>
        </w:rPr>
        <w:t xml:space="preserve"> </w:t>
      </w:r>
      <w:r w:rsidRPr="007B4836">
        <w:rPr>
          <w:rFonts w:cs="Arial"/>
          <w:b/>
          <w:bCs/>
        </w:rPr>
        <w:t>May</w:t>
      </w:r>
      <w:r w:rsidRPr="007B4836">
        <w:rPr>
          <w:rFonts w:cs="Arial"/>
          <w:b/>
          <w:bCs/>
        </w:rPr>
        <w:t xml:space="preserve"> 2025</w:t>
      </w:r>
    </w:p>
    <w:p w14:paraId="7EC7E081" w14:textId="66AF01CF" w:rsidR="00397664" w:rsidRPr="007B4836" w:rsidRDefault="00397664" w:rsidP="00397664">
      <w:pPr>
        <w:pStyle w:val="NoSpacing"/>
        <w:jc w:val="center"/>
        <w:rPr>
          <w:rFonts w:cs="Arial"/>
          <w:b/>
          <w:bCs/>
        </w:rPr>
      </w:pPr>
      <w:r w:rsidRPr="007B4836">
        <w:rPr>
          <w:rFonts w:cs="Arial"/>
          <w:b/>
          <w:bCs/>
        </w:rPr>
        <w:t xml:space="preserve">MS </w:t>
      </w:r>
      <w:r w:rsidRPr="007B4836">
        <w:rPr>
          <w:rFonts w:cs="Arial"/>
          <w:b/>
          <w:bCs/>
        </w:rPr>
        <w:t>Teams</w:t>
      </w:r>
    </w:p>
    <w:p w14:paraId="54FC9EF6" w14:textId="77777777" w:rsidR="00397664" w:rsidRPr="00405498" w:rsidRDefault="00397664" w:rsidP="00397664">
      <w:pPr>
        <w:spacing w:after="0" w:line="240" w:lineRule="auto"/>
        <w:ind w:left="-216"/>
        <w:rPr>
          <w:rFonts w:ascii="Aptos" w:eastAsia="Times New Roman" w:hAnsi="Aptos" w:cs="Arial"/>
          <w:lang w:eastAsia="en-GB"/>
        </w:rPr>
      </w:pPr>
    </w:p>
    <w:p w14:paraId="7A6B24FF" w14:textId="7C1D6EF6" w:rsidR="00397664" w:rsidRPr="00397664" w:rsidRDefault="00397664" w:rsidP="00397664">
      <w:pPr>
        <w:pStyle w:val="NoSpacing"/>
        <w:numPr>
          <w:ilvl w:val="0"/>
          <w:numId w:val="4"/>
        </w:numPr>
        <w:rPr>
          <w:b/>
          <w:bCs/>
        </w:rPr>
      </w:pPr>
      <w:r w:rsidRPr="00397664">
        <w:rPr>
          <w:b/>
          <w:bCs/>
        </w:rPr>
        <w:t>WELCOME AND INTRODUCTIONS</w:t>
      </w:r>
      <w:r w:rsidRPr="00397664">
        <w:rPr>
          <w:b/>
          <w:bCs/>
        </w:rPr>
        <w:t>:</w:t>
      </w:r>
    </w:p>
    <w:p w14:paraId="0A647B24" w14:textId="0BF61F17" w:rsidR="005D7560" w:rsidRPr="00397664" w:rsidRDefault="007A1525" w:rsidP="00397664">
      <w:pPr>
        <w:pStyle w:val="NoSpacing"/>
        <w:numPr>
          <w:ilvl w:val="0"/>
          <w:numId w:val="5"/>
        </w:numPr>
      </w:pPr>
      <w:r w:rsidRPr="00397664">
        <w:t>Introductions:</w:t>
      </w:r>
    </w:p>
    <w:p w14:paraId="6248C38C" w14:textId="6169F233" w:rsidR="00397664" w:rsidRDefault="007A1525" w:rsidP="00397664">
      <w:pPr>
        <w:pStyle w:val="NoSpacing"/>
        <w:numPr>
          <w:ilvl w:val="1"/>
          <w:numId w:val="5"/>
        </w:numPr>
      </w:pPr>
      <w:r w:rsidRPr="00397664">
        <w:t>Anna McDougall</w:t>
      </w:r>
      <w:r w:rsidR="00397664">
        <w:t>, Commissioning Manager</w:t>
      </w:r>
    </w:p>
    <w:p w14:paraId="20458CB5" w14:textId="7A6A2008" w:rsidR="00397664" w:rsidRDefault="007A1525" w:rsidP="00397664">
      <w:pPr>
        <w:pStyle w:val="NoSpacing"/>
        <w:numPr>
          <w:ilvl w:val="1"/>
          <w:numId w:val="5"/>
        </w:numPr>
      </w:pPr>
      <w:r w:rsidRPr="00397664">
        <w:t>Leanne Dykes</w:t>
      </w:r>
      <w:r w:rsidR="00397664">
        <w:t xml:space="preserve">, </w:t>
      </w:r>
      <w:r w:rsidR="007B4836">
        <w:t>Commissioning</w:t>
      </w:r>
      <w:r w:rsidR="00397664">
        <w:t xml:space="preserve"> and Contracts Officer</w:t>
      </w:r>
    </w:p>
    <w:p w14:paraId="18F8C2BA" w14:textId="2E240BFE" w:rsidR="00397664" w:rsidRPr="00397664" w:rsidRDefault="00397664" w:rsidP="00397664">
      <w:pPr>
        <w:pStyle w:val="NoSpacing"/>
        <w:numPr>
          <w:ilvl w:val="1"/>
          <w:numId w:val="5"/>
        </w:numPr>
      </w:pPr>
      <w:r w:rsidRPr="00397664">
        <w:t>Laura Thompson</w:t>
      </w:r>
      <w:r>
        <w:t>, Service Manager, Whole Life Commissioning, Early Intervention and Prevention</w:t>
      </w:r>
    </w:p>
    <w:p w14:paraId="30B5C7FE" w14:textId="77777777" w:rsidR="00397664" w:rsidRDefault="007A1525" w:rsidP="00397664">
      <w:pPr>
        <w:pStyle w:val="NoSpacing"/>
        <w:numPr>
          <w:ilvl w:val="1"/>
          <w:numId w:val="5"/>
        </w:numPr>
      </w:pPr>
      <w:r w:rsidRPr="00397664">
        <w:t xml:space="preserve">Jackie </w:t>
      </w:r>
      <w:r w:rsidR="00397664" w:rsidRPr="00397664">
        <w:t>McMenamy</w:t>
      </w:r>
      <w:r w:rsidR="00397664">
        <w:t>, Public Health Programme Manager</w:t>
      </w:r>
    </w:p>
    <w:p w14:paraId="69193F7F" w14:textId="77777777" w:rsidR="00397664" w:rsidRDefault="007A1525" w:rsidP="00397664">
      <w:pPr>
        <w:pStyle w:val="NoSpacing"/>
        <w:numPr>
          <w:ilvl w:val="1"/>
          <w:numId w:val="5"/>
        </w:numPr>
      </w:pPr>
      <w:r w:rsidRPr="00397664">
        <w:t>Annette Mercer</w:t>
      </w:r>
      <w:r w:rsidR="00397664">
        <w:t xml:space="preserve">, Public Health Programme Manager </w:t>
      </w:r>
    </w:p>
    <w:p w14:paraId="1919A454" w14:textId="270A1541" w:rsidR="007A1525" w:rsidRDefault="007A1525" w:rsidP="00397664">
      <w:pPr>
        <w:pStyle w:val="NoSpacing"/>
        <w:numPr>
          <w:ilvl w:val="1"/>
          <w:numId w:val="5"/>
        </w:numPr>
      </w:pPr>
      <w:r w:rsidRPr="00397664">
        <w:t>Eloise Pattern</w:t>
      </w:r>
      <w:r w:rsidR="00397664">
        <w:t>, STAR Procurement Officer</w:t>
      </w:r>
    </w:p>
    <w:p w14:paraId="6C358765" w14:textId="28D9D110" w:rsidR="00397664" w:rsidRPr="00397664" w:rsidRDefault="00397664" w:rsidP="00397664">
      <w:pPr>
        <w:pStyle w:val="NoSpacing"/>
        <w:numPr>
          <w:ilvl w:val="0"/>
          <w:numId w:val="4"/>
        </w:numPr>
        <w:rPr>
          <w:b/>
          <w:bCs/>
        </w:rPr>
      </w:pPr>
      <w:r w:rsidRPr="00397664">
        <w:rPr>
          <w:b/>
          <w:bCs/>
        </w:rPr>
        <w:t xml:space="preserve">HEALTHY KNOWSLEY SERVICE ENGAGEMENT PRESENTATION: </w:t>
      </w:r>
    </w:p>
    <w:p w14:paraId="1C9020BB" w14:textId="745A6252" w:rsidR="00397664" w:rsidRPr="00397664" w:rsidRDefault="00397664" w:rsidP="00397664">
      <w:pPr>
        <w:pStyle w:val="NoSpacing"/>
        <w:numPr>
          <w:ilvl w:val="0"/>
          <w:numId w:val="5"/>
        </w:numPr>
      </w:pPr>
      <w:r>
        <w:t xml:space="preserve">About Knowsley: </w:t>
      </w:r>
    </w:p>
    <w:p w14:paraId="58A79A92" w14:textId="1B14CC8F" w:rsidR="00397664" w:rsidRPr="00397664" w:rsidRDefault="00397664" w:rsidP="00397664">
      <w:pPr>
        <w:pStyle w:val="NoSpacing"/>
        <w:numPr>
          <w:ilvl w:val="1"/>
          <w:numId w:val="5"/>
        </w:numPr>
        <w:rPr>
          <w:rFonts w:ascii="Times New Roman" w:eastAsia="Times New Roman" w:hAnsi="Times New Roman" w:cs="Times New Roman"/>
          <w:kern w:val="0"/>
          <w:szCs w:val="16"/>
          <w:lang w:eastAsia="en-GB"/>
        </w:rPr>
      </w:pPr>
      <w:r w:rsidRPr="00397664">
        <w:rPr>
          <w:lang w:val="en-US" w:eastAsia="en-GB"/>
        </w:rPr>
        <w:t xml:space="preserve">Knowsley is one of six Local Authorities that </w:t>
      </w:r>
      <w:r>
        <w:rPr>
          <w:lang w:val="en-US" w:eastAsia="en-GB"/>
        </w:rPr>
        <w:t>comprise</w:t>
      </w:r>
      <w:r w:rsidRPr="00397664">
        <w:rPr>
          <w:lang w:val="en-US" w:eastAsia="en-GB"/>
        </w:rPr>
        <w:t xml:space="preserve"> the Liverpool City Region </w:t>
      </w:r>
    </w:p>
    <w:p w14:paraId="30E1C78E" w14:textId="77777777" w:rsidR="00397664" w:rsidRPr="00397664" w:rsidRDefault="00397664" w:rsidP="00397664">
      <w:pPr>
        <w:pStyle w:val="NoSpacing"/>
        <w:numPr>
          <w:ilvl w:val="1"/>
          <w:numId w:val="5"/>
        </w:numPr>
        <w:rPr>
          <w:rFonts w:ascii="Times New Roman" w:eastAsia="Times New Roman" w:hAnsi="Times New Roman" w:cs="Times New Roman"/>
          <w:kern w:val="0"/>
          <w:szCs w:val="16"/>
          <w:lang w:eastAsia="en-GB"/>
        </w:rPr>
      </w:pPr>
      <w:r w:rsidRPr="00397664">
        <w:rPr>
          <w:lang w:val="en-US" w:eastAsia="en-GB"/>
        </w:rPr>
        <w:t>Located in the heart of the North-West, between Liverpool and Manchester</w:t>
      </w:r>
    </w:p>
    <w:p w14:paraId="60B1575E" w14:textId="77777777" w:rsidR="00397664" w:rsidRPr="00397664" w:rsidRDefault="00397664" w:rsidP="00397664">
      <w:pPr>
        <w:pStyle w:val="NoSpacing"/>
        <w:numPr>
          <w:ilvl w:val="1"/>
          <w:numId w:val="5"/>
        </w:numPr>
        <w:rPr>
          <w:rFonts w:ascii="Times New Roman" w:eastAsia="Times New Roman" w:hAnsi="Times New Roman" w:cs="Times New Roman"/>
          <w:kern w:val="0"/>
          <w:szCs w:val="16"/>
          <w:lang w:eastAsia="en-GB"/>
        </w:rPr>
      </w:pPr>
      <w:r w:rsidRPr="00397664">
        <w:rPr>
          <w:lang w:val="en-US" w:eastAsia="en-GB"/>
        </w:rPr>
        <w:t xml:space="preserve">Large suburban towns and villages: Huyton, Kirkby, Prescot, Whiston, and Halewood </w:t>
      </w:r>
    </w:p>
    <w:p w14:paraId="0E71A79D" w14:textId="6B6C1747" w:rsidR="00397664" w:rsidRPr="00397664" w:rsidRDefault="00397664" w:rsidP="00397664">
      <w:pPr>
        <w:pStyle w:val="NoSpacing"/>
        <w:numPr>
          <w:ilvl w:val="1"/>
          <w:numId w:val="5"/>
        </w:numPr>
        <w:rPr>
          <w:rFonts w:ascii="Times New Roman" w:eastAsia="Times New Roman" w:hAnsi="Times New Roman" w:cs="Times New Roman"/>
          <w:kern w:val="0"/>
          <w:szCs w:val="16"/>
          <w:lang w:eastAsia="en-GB"/>
        </w:rPr>
      </w:pPr>
      <w:r w:rsidRPr="00397664">
        <w:rPr>
          <w:lang w:val="en-US" w:eastAsia="en-GB"/>
        </w:rPr>
        <w:t xml:space="preserve">Knowsley is ranked as the </w:t>
      </w:r>
      <w:r>
        <w:rPr>
          <w:lang w:val="en-US" w:eastAsia="en-GB"/>
        </w:rPr>
        <w:t xml:space="preserve">second </w:t>
      </w:r>
      <w:r w:rsidRPr="00397664">
        <w:rPr>
          <w:lang w:val="en-US" w:eastAsia="en-GB"/>
        </w:rPr>
        <w:t>most deprived area in England</w:t>
      </w:r>
    </w:p>
    <w:p w14:paraId="321B3A5F" w14:textId="179B2860" w:rsidR="00397664" w:rsidRDefault="007B4836" w:rsidP="007B4836">
      <w:pPr>
        <w:pStyle w:val="NoSpacing"/>
        <w:numPr>
          <w:ilvl w:val="0"/>
          <w:numId w:val="5"/>
        </w:numPr>
      </w:pPr>
      <w:r>
        <w:t xml:space="preserve">Excess Weight: </w:t>
      </w:r>
    </w:p>
    <w:p w14:paraId="64F6502A" w14:textId="77777777" w:rsidR="007B4836" w:rsidRPr="007B4836" w:rsidRDefault="007B4836" w:rsidP="007B4836">
      <w:pPr>
        <w:pStyle w:val="NoSpacing"/>
        <w:numPr>
          <w:ilvl w:val="1"/>
          <w:numId w:val="5"/>
        </w:numPr>
      </w:pPr>
      <w:r w:rsidRPr="007B4836">
        <w:t>Overweight and obesity is a significant public health challenge</w:t>
      </w:r>
    </w:p>
    <w:p w14:paraId="586E3B04" w14:textId="77777777" w:rsidR="007B4836" w:rsidRPr="007B4836" w:rsidRDefault="007B4836" w:rsidP="007B4836">
      <w:pPr>
        <w:pStyle w:val="NoSpacing"/>
        <w:numPr>
          <w:ilvl w:val="1"/>
          <w:numId w:val="5"/>
        </w:numPr>
      </w:pPr>
      <w:r w:rsidRPr="007B4836">
        <w:t xml:space="preserve">64% of adults in England are living with overweight or obesity </w:t>
      </w:r>
    </w:p>
    <w:p w14:paraId="17DAFE8B" w14:textId="77777777" w:rsidR="007B4836" w:rsidRPr="007B4836" w:rsidRDefault="007B4836" w:rsidP="007B4836">
      <w:pPr>
        <w:pStyle w:val="NoSpacing"/>
        <w:numPr>
          <w:ilvl w:val="1"/>
          <w:numId w:val="5"/>
        </w:numPr>
      </w:pPr>
      <w:r w:rsidRPr="007B4836">
        <w:t>22.1% of children in reception (aged 4 to 5 years) are living with overweight or obesity</w:t>
      </w:r>
    </w:p>
    <w:p w14:paraId="4763D829" w14:textId="77777777" w:rsidR="007B4836" w:rsidRPr="007B4836" w:rsidRDefault="007B4836" w:rsidP="007B4836">
      <w:pPr>
        <w:pStyle w:val="NoSpacing"/>
        <w:numPr>
          <w:ilvl w:val="1"/>
          <w:numId w:val="5"/>
        </w:numPr>
      </w:pPr>
      <w:r w:rsidRPr="007B4836">
        <w:t xml:space="preserve">Rising to 35.8% of children in year 6 (aged 10 to 11 years) living with overweight or obesity </w:t>
      </w:r>
    </w:p>
    <w:p w14:paraId="5C68898A" w14:textId="77777777" w:rsidR="007B4836" w:rsidRPr="007B4836" w:rsidRDefault="007B4836" w:rsidP="007B4836">
      <w:pPr>
        <w:pStyle w:val="NoSpacing"/>
        <w:numPr>
          <w:ilvl w:val="1"/>
          <w:numId w:val="5"/>
        </w:numPr>
      </w:pPr>
      <w:r w:rsidRPr="007B4836">
        <w:t>Strong relationship between deprivation and obesity</w:t>
      </w:r>
    </w:p>
    <w:p w14:paraId="31715B82" w14:textId="77777777" w:rsidR="007B4836" w:rsidRPr="007B4836" w:rsidRDefault="007B4836" w:rsidP="007B4836">
      <w:pPr>
        <w:pStyle w:val="NoSpacing"/>
        <w:numPr>
          <w:ilvl w:val="1"/>
          <w:numId w:val="5"/>
        </w:numPr>
      </w:pPr>
      <w:r w:rsidRPr="007B4836">
        <w:t xml:space="preserve">Clear association between parental and childhood excess weight </w:t>
      </w:r>
    </w:p>
    <w:p w14:paraId="64D0650A" w14:textId="59EFF676" w:rsidR="007B4836" w:rsidRPr="007B4836" w:rsidRDefault="007B4836" w:rsidP="007B4836">
      <w:pPr>
        <w:pStyle w:val="NoSpacing"/>
        <w:numPr>
          <w:ilvl w:val="1"/>
          <w:numId w:val="5"/>
        </w:numPr>
      </w:pPr>
      <w:r w:rsidRPr="007B4836">
        <w:t xml:space="preserve">Overweight and obesity </w:t>
      </w:r>
      <w:r>
        <w:t>increase</w:t>
      </w:r>
      <w:r w:rsidRPr="007B4836">
        <w:t xml:space="preserve"> </w:t>
      </w:r>
      <w:r>
        <w:t>people's</w:t>
      </w:r>
      <w:r w:rsidRPr="007B4836">
        <w:t xml:space="preserve"> risks of developing various health problems</w:t>
      </w:r>
      <w:r>
        <w:t>,</w:t>
      </w:r>
      <w:r w:rsidRPr="007B4836">
        <w:t xml:space="preserve"> such as Type 2 diabetes and cardiovascular disease</w:t>
      </w:r>
    </w:p>
    <w:p w14:paraId="5914DD46" w14:textId="16CA2695" w:rsidR="007B4836" w:rsidRDefault="007B4836" w:rsidP="007B4836">
      <w:pPr>
        <w:pStyle w:val="NoSpacing"/>
        <w:numPr>
          <w:ilvl w:val="0"/>
          <w:numId w:val="5"/>
        </w:numPr>
      </w:pPr>
      <w:r>
        <w:t>Excess Weight in Knowsley:</w:t>
      </w:r>
    </w:p>
    <w:p w14:paraId="2241A3A7" w14:textId="77777777" w:rsidR="007B4836" w:rsidRPr="007B4836" w:rsidRDefault="007B4836" w:rsidP="007B4836">
      <w:pPr>
        <w:pStyle w:val="NoSpacing"/>
        <w:numPr>
          <w:ilvl w:val="1"/>
          <w:numId w:val="5"/>
        </w:numPr>
      </w:pPr>
      <w:r w:rsidRPr="007B4836">
        <w:t>Significantly higher and faster rising excess weight prevalence than both nationally and regionally</w:t>
      </w:r>
    </w:p>
    <w:p w14:paraId="4B2FF125" w14:textId="77777777" w:rsidR="007B4836" w:rsidRPr="007B4836" w:rsidRDefault="007B4836" w:rsidP="007B4836">
      <w:pPr>
        <w:pStyle w:val="NoSpacing"/>
        <w:numPr>
          <w:ilvl w:val="1"/>
          <w:numId w:val="5"/>
        </w:numPr>
      </w:pPr>
      <w:r w:rsidRPr="007B4836">
        <w:t xml:space="preserve">Highest levels of overweight and obesity in the country - 73.9% of adults in Knowsley are living with overweight or obesity </w:t>
      </w:r>
    </w:p>
    <w:p w14:paraId="0942EA1E" w14:textId="77777777" w:rsidR="007B4836" w:rsidRPr="007B4836" w:rsidRDefault="007B4836" w:rsidP="007B4836">
      <w:pPr>
        <w:pStyle w:val="NoSpacing"/>
        <w:numPr>
          <w:ilvl w:val="1"/>
          <w:numId w:val="5"/>
        </w:numPr>
      </w:pPr>
      <w:r w:rsidRPr="007B4836">
        <w:t>Highest levels in the country of children living with overweight and obesity - 28.8% of children in reception (aged 4 to 5 years) are living with overweight or obesity</w:t>
      </w:r>
    </w:p>
    <w:p w14:paraId="671C33EC" w14:textId="5F1BC122" w:rsidR="007B4836" w:rsidRPr="007B4836" w:rsidRDefault="007B4836" w:rsidP="007B4836">
      <w:pPr>
        <w:pStyle w:val="NoSpacing"/>
        <w:numPr>
          <w:ilvl w:val="1"/>
          <w:numId w:val="5"/>
        </w:numPr>
      </w:pPr>
      <w:r w:rsidRPr="007B4836">
        <w:t>Rising to 45.5% of children in year 6 (age 10 to 11 years) are living with overweight or obesity</w:t>
      </w:r>
      <w:r>
        <w:t xml:space="preserve"> </w:t>
      </w:r>
      <w:r w:rsidRPr="007B4836">
        <w:rPr>
          <w:sz w:val="20"/>
          <w:szCs w:val="20"/>
        </w:rPr>
        <w:t>(NCMP, 2022/23)</w:t>
      </w:r>
    </w:p>
    <w:p w14:paraId="28E0D3A2" w14:textId="1D278D5D" w:rsidR="007B4836" w:rsidRDefault="007B4836" w:rsidP="007B4836">
      <w:pPr>
        <w:pStyle w:val="NoSpacing"/>
        <w:numPr>
          <w:ilvl w:val="0"/>
          <w:numId w:val="5"/>
        </w:numPr>
      </w:pPr>
      <w:r>
        <w:t>Oral Health:</w:t>
      </w:r>
    </w:p>
    <w:p w14:paraId="2E3BE956" w14:textId="11129357" w:rsidR="007B4836" w:rsidRPr="007B4836" w:rsidRDefault="007B4836" w:rsidP="007B4836">
      <w:pPr>
        <w:pStyle w:val="NoSpacing"/>
        <w:numPr>
          <w:ilvl w:val="1"/>
          <w:numId w:val="5"/>
        </w:numPr>
      </w:pPr>
      <w:r w:rsidRPr="007B4836">
        <w:t>Tooth decay is a significant, yet largely preventable</w:t>
      </w:r>
      <w:r w:rsidR="00C336AC">
        <w:t>,</w:t>
      </w:r>
      <w:r w:rsidRPr="007B4836">
        <w:t xml:space="preserve"> public health problem </w:t>
      </w:r>
    </w:p>
    <w:p w14:paraId="4B734DDA" w14:textId="77777777" w:rsidR="007B4836" w:rsidRPr="007B4836" w:rsidRDefault="007B4836" w:rsidP="007B4836">
      <w:pPr>
        <w:pStyle w:val="NoSpacing"/>
        <w:numPr>
          <w:ilvl w:val="1"/>
          <w:numId w:val="5"/>
        </w:numPr>
      </w:pPr>
      <w:r w:rsidRPr="007B4836">
        <w:lastRenderedPageBreak/>
        <w:t xml:space="preserve">22.4% of 5-year-old children have experience of visually obvious dental decay </w:t>
      </w:r>
    </w:p>
    <w:p w14:paraId="217E7439" w14:textId="77777777" w:rsidR="007B4836" w:rsidRPr="007B4836" w:rsidRDefault="007B4836" w:rsidP="007B4836">
      <w:pPr>
        <w:pStyle w:val="NoSpacing"/>
        <w:numPr>
          <w:ilvl w:val="1"/>
          <w:numId w:val="5"/>
        </w:numPr>
      </w:pPr>
      <w:r w:rsidRPr="007B4836">
        <w:t xml:space="preserve">Children in deprived communities have poorer oral health than those living in more affluent areas </w:t>
      </w:r>
    </w:p>
    <w:p w14:paraId="0B3D61E3" w14:textId="77777777" w:rsidR="007B4836" w:rsidRPr="007B4836" w:rsidRDefault="007B4836" w:rsidP="007B4836">
      <w:pPr>
        <w:pStyle w:val="NoSpacing"/>
        <w:numPr>
          <w:ilvl w:val="1"/>
          <w:numId w:val="5"/>
        </w:numPr>
      </w:pPr>
      <w:r w:rsidRPr="007B4836">
        <w:t xml:space="preserve">More than half of older adults who live in care homes have tooth decay, compared to 40% of over-75s who do not live in care homes </w:t>
      </w:r>
    </w:p>
    <w:p w14:paraId="4CE0F743" w14:textId="77777777" w:rsidR="007B4836" w:rsidRPr="007B4836" w:rsidRDefault="007B4836" w:rsidP="007B4836">
      <w:pPr>
        <w:pStyle w:val="NoSpacing"/>
        <w:numPr>
          <w:ilvl w:val="1"/>
          <w:numId w:val="5"/>
        </w:numPr>
      </w:pPr>
      <w:r w:rsidRPr="007B4836">
        <w:t xml:space="preserve">Prevalence of dental decay is also significantly higher in Asian or Asian British ethnic groups </w:t>
      </w:r>
    </w:p>
    <w:p w14:paraId="6D7AAF36" w14:textId="77777777" w:rsidR="007B4836" w:rsidRPr="007B4836" w:rsidRDefault="007B4836" w:rsidP="007B4836">
      <w:pPr>
        <w:pStyle w:val="NoSpacing"/>
        <w:numPr>
          <w:ilvl w:val="1"/>
          <w:numId w:val="5"/>
        </w:numPr>
      </w:pPr>
      <w:r w:rsidRPr="007B4836">
        <w:t>Dental decay remains the most common reason for hospital admissions in children aged 5 to 9, with 19,381 being admitted to hospital in 2023/24</w:t>
      </w:r>
    </w:p>
    <w:p w14:paraId="16A09DB6" w14:textId="77777777" w:rsidR="007B4836" w:rsidRPr="007B4836" w:rsidRDefault="007B4836" w:rsidP="007B4836">
      <w:pPr>
        <w:pStyle w:val="NoSpacing"/>
        <w:numPr>
          <w:ilvl w:val="1"/>
          <w:numId w:val="5"/>
        </w:numPr>
      </w:pPr>
      <w:r w:rsidRPr="007B4836">
        <w:t>Access to NHS dentistry can be challenging</w:t>
      </w:r>
    </w:p>
    <w:p w14:paraId="32E03F38" w14:textId="122A7DA2" w:rsidR="007B4836" w:rsidRDefault="007B4836" w:rsidP="007B4836">
      <w:pPr>
        <w:pStyle w:val="NoSpacing"/>
        <w:numPr>
          <w:ilvl w:val="0"/>
          <w:numId w:val="5"/>
        </w:numPr>
      </w:pPr>
      <w:r>
        <w:t>Oral Health in Knowsley:</w:t>
      </w:r>
    </w:p>
    <w:p w14:paraId="1403C6C4" w14:textId="77777777" w:rsidR="007B4836" w:rsidRPr="007B4836" w:rsidRDefault="007B4836" w:rsidP="007B4836">
      <w:pPr>
        <w:pStyle w:val="NoSpacing"/>
        <w:numPr>
          <w:ilvl w:val="1"/>
          <w:numId w:val="5"/>
        </w:numPr>
      </w:pPr>
      <w:r w:rsidRPr="007B4836">
        <w:t xml:space="preserve">Oral Health of children living in Knowsley remains a concern </w:t>
      </w:r>
    </w:p>
    <w:p w14:paraId="6FED10C9" w14:textId="77777777" w:rsidR="007B4836" w:rsidRPr="007B4836" w:rsidRDefault="007B4836" w:rsidP="007B4836">
      <w:pPr>
        <w:pStyle w:val="NoSpacing"/>
        <w:numPr>
          <w:ilvl w:val="1"/>
          <w:numId w:val="5"/>
        </w:numPr>
      </w:pPr>
      <w:r w:rsidRPr="007B4836">
        <w:t xml:space="preserve">The level of tooth decay is significantly worse than both the North West and England </w:t>
      </w:r>
    </w:p>
    <w:p w14:paraId="74A9E913" w14:textId="37FF64EB" w:rsidR="007B4836" w:rsidRPr="007B4836" w:rsidRDefault="007B4836" w:rsidP="007B4836">
      <w:pPr>
        <w:pStyle w:val="NoSpacing"/>
        <w:numPr>
          <w:ilvl w:val="1"/>
          <w:numId w:val="5"/>
        </w:numPr>
      </w:pPr>
      <w:r w:rsidRPr="007B4836">
        <w:t xml:space="preserve">35.8% of 5-year-olds in Knowsley are experiencing visually </w:t>
      </w:r>
      <w:r w:rsidRPr="007B4836">
        <w:t>obvious dental</w:t>
      </w:r>
      <w:r w:rsidRPr="007B4836">
        <w:t xml:space="preserve"> decay</w:t>
      </w:r>
    </w:p>
    <w:p w14:paraId="355F7A0F" w14:textId="77777777" w:rsidR="007B4836" w:rsidRPr="007B4836" w:rsidRDefault="007B4836" w:rsidP="007B4836">
      <w:pPr>
        <w:pStyle w:val="NoSpacing"/>
        <w:numPr>
          <w:ilvl w:val="1"/>
          <w:numId w:val="5"/>
        </w:numPr>
      </w:pPr>
      <w:r w:rsidRPr="007B4836">
        <w:t>Almost 1 in 3 adults in Knowsley has active decay</w:t>
      </w:r>
    </w:p>
    <w:p w14:paraId="2ADA6A8A" w14:textId="77777777" w:rsidR="007B4836" w:rsidRPr="007B4836" w:rsidRDefault="007B4836" w:rsidP="007B4836">
      <w:pPr>
        <w:pStyle w:val="NoSpacing"/>
        <w:numPr>
          <w:ilvl w:val="1"/>
          <w:numId w:val="5"/>
        </w:numPr>
      </w:pPr>
      <w:r w:rsidRPr="007B4836">
        <w:t xml:space="preserve">Good progress has been made locally, particularly for groups which need additional support (such as children and older people)  </w:t>
      </w:r>
    </w:p>
    <w:p w14:paraId="183608DA" w14:textId="77777777" w:rsidR="007B4836" w:rsidRPr="007B4836" w:rsidRDefault="007B4836" w:rsidP="007B4836">
      <w:pPr>
        <w:pStyle w:val="NoSpacing"/>
        <w:numPr>
          <w:ilvl w:val="1"/>
          <w:numId w:val="5"/>
        </w:numPr>
      </w:pPr>
      <w:r w:rsidRPr="007B4836">
        <w:t xml:space="preserve">210,000 dental care packs have been distributed across Cheshire and Merseyside </w:t>
      </w:r>
    </w:p>
    <w:p w14:paraId="5A129622" w14:textId="7271F005" w:rsidR="007B4836" w:rsidRDefault="007B4836" w:rsidP="007B4836">
      <w:pPr>
        <w:pStyle w:val="NoSpacing"/>
        <w:numPr>
          <w:ilvl w:val="0"/>
          <w:numId w:val="5"/>
        </w:numPr>
      </w:pPr>
      <w:r>
        <w:t>Deprivation:</w:t>
      </w:r>
    </w:p>
    <w:p w14:paraId="5310E08A" w14:textId="77777777" w:rsidR="007B4836" w:rsidRPr="007B4836" w:rsidRDefault="007B4836" w:rsidP="007B4836">
      <w:pPr>
        <w:pStyle w:val="NoSpacing"/>
        <w:numPr>
          <w:ilvl w:val="1"/>
          <w:numId w:val="5"/>
        </w:numPr>
      </w:pPr>
      <w:r w:rsidRPr="007B4836">
        <w:t>Deprivation remains a significant challenge</w:t>
      </w:r>
    </w:p>
    <w:p w14:paraId="4982F083" w14:textId="77777777" w:rsidR="007B4836" w:rsidRPr="007B4836" w:rsidRDefault="007B4836" w:rsidP="007B4836">
      <w:pPr>
        <w:pStyle w:val="NoSpacing"/>
        <w:numPr>
          <w:ilvl w:val="1"/>
          <w:numId w:val="5"/>
        </w:numPr>
      </w:pPr>
      <w:r w:rsidRPr="007B4836">
        <w:rPr>
          <w:lang w:val="en-US"/>
        </w:rPr>
        <w:t>Ranked as the 2</w:t>
      </w:r>
      <w:r w:rsidRPr="007B4836">
        <w:rPr>
          <w:vertAlign w:val="superscript"/>
          <w:lang w:val="en-US"/>
        </w:rPr>
        <w:t>nd</w:t>
      </w:r>
      <w:r w:rsidRPr="007B4836">
        <w:rPr>
          <w:lang w:val="en-US"/>
        </w:rPr>
        <w:t xml:space="preserve"> most deprived area in England</w:t>
      </w:r>
    </w:p>
    <w:p w14:paraId="3F51BE63" w14:textId="77777777" w:rsidR="007B4836" w:rsidRPr="007B4836" w:rsidRDefault="007B4836" w:rsidP="007B4836">
      <w:pPr>
        <w:pStyle w:val="NoSpacing"/>
        <w:numPr>
          <w:ilvl w:val="1"/>
          <w:numId w:val="5"/>
        </w:numPr>
      </w:pPr>
      <w:r w:rsidRPr="007B4836">
        <w:t xml:space="preserve">A high proportion of Knowsley residents reside in the 10% most deprived areas </w:t>
      </w:r>
    </w:p>
    <w:p w14:paraId="3E01ABEA" w14:textId="3000BCBA" w:rsidR="007B4836" w:rsidRPr="007B4836" w:rsidRDefault="007B4836" w:rsidP="007B4836">
      <w:pPr>
        <w:pStyle w:val="NoSpacing"/>
        <w:numPr>
          <w:ilvl w:val="1"/>
          <w:numId w:val="5"/>
        </w:numPr>
      </w:pPr>
      <w:r w:rsidRPr="007B4836">
        <w:t>Significant inequalities in oral health continue to exist</w:t>
      </w:r>
      <w:r>
        <w:t>,</w:t>
      </w:r>
      <w:r w:rsidRPr="007B4836">
        <w:t xml:space="preserve"> with children in deprived communities having poorer oral health </w:t>
      </w:r>
    </w:p>
    <w:p w14:paraId="612D0294" w14:textId="77777777" w:rsidR="007B4836" w:rsidRPr="007B4836" w:rsidRDefault="007B4836" w:rsidP="007B4836">
      <w:pPr>
        <w:pStyle w:val="NoSpacing"/>
        <w:numPr>
          <w:ilvl w:val="1"/>
          <w:numId w:val="5"/>
        </w:numPr>
      </w:pPr>
      <w:r w:rsidRPr="007B4836">
        <w:t>The latest NCMP data illustrates there are differences in areas of deprivation, particularly in year 6</w:t>
      </w:r>
    </w:p>
    <w:p w14:paraId="16C8C80D" w14:textId="77777777" w:rsidR="007B4836" w:rsidRPr="007B4836" w:rsidRDefault="007B4836" w:rsidP="007B4836">
      <w:pPr>
        <w:pStyle w:val="NoSpacing"/>
        <w:numPr>
          <w:ilvl w:val="1"/>
          <w:numId w:val="5"/>
        </w:numPr>
      </w:pPr>
      <w:r w:rsidRPr="007B4836">
        <w:t xml:space="preserve">Cherryfield (53.2%), Northwood (53.5%), Prescot South (52.4%) and Stockbridge (52%) </w:t>
      </w:r>
    </w:p>
    <w:p w14:paraId="2FAF5DDC" w14:textId="46CD0DD7" w:rsidR="007B4836" w:rsidRPr="007B4836" w:rsidRDefault="007B4836" w:rsidP="007B4836">
      <w:pPr>
        <w:pStyle w:val="NoSpacing"/>
        <w:numPr>
          <w:ilvl w:val="1"/>
          <w:numId w:val="5"/>
        </w:numPr>
      </w:pPr>
      <w:r w:rsidRPr="007B4836">
        <w:t xml:space="preserve">Here, more than half of </w:t>
      </w:r>
      <w:r>
        <w:t xml:space="preserve">the </w:t>
      </w:r>
      <w:r w:rsidRPr="007B4836">
        <w:t>children and young people in year 6 are overweight or obese</w:t>
      </w:r>
    </w:p>
    <w:p w14:paraId="75B0912B" w14:textId="54753861" w:rsidR="007B4836" w:rsidRPr="007B4836" w:rsidRDefault="007B4836" w:rsidP="007B4836">
      <w:pPr>
        <w:pStyle w:val="NoSpacing"/>
        <w:numPr>
          <w:ilvl w:val="1"/>
          <w:numId w:val="5"/>
        </w:numPr>
      </w:pPr>
      <w:r w:rsidRPr="007B4836">
        <w:t>Compared to the Knowsley average of 47.4%</w:t>
      </w:r>
      <w:r>
        <w:t xml:space="preserve"> </w:t>
      </w:r>
      <w:r w:rsidRPr="007B4836">
        <w:rPr>
          <w:sz w:val="20"/>
          <w:szCs w:val="20"/>
        </w:rPr>
        <w:t>(NCMP, 2023/24)</w:t>
      </w:r>
    </w:p>
    <w:p w14:paraId="0137D854" w14:textId="4060BEB8" w:rsidR="007B4836" w:rsidRDefault="007B4836" w:rsidP="007B4836">
      <w:pPr>
        <w:pStyle w:val="NoSpacing"/>
        <w:numPr>
          <w:ilvl w:val="0"/>
          <w:numId w:val="5"/>
        </w:numPr>
      </w:pPr>
      <w:r>
        <w:t>Current Healthy Knowsley Service:</w:t>
      </w:r>
    </w:p>
    <w:p w14:paraId="3C2C52C6" w14:textId="77777777" w:rsidR="007B4836" w:rsidRPr="007B4836" w:rsidRDefault="007B4836" w:rsidP="007B4836">
      <w:pPr>
        <w:pStyle w:val="NoSpacing"/>
        <w:numPr>
          <w:ilvl w:val="1"/>
          <w:numId w:val="5"/>
        </w:numPr>
        <w:rPr>
          <w:rFonts w:ascii="Times New Roman" w:eastAsia="Times New Roman" w:hAnsi="Times New Roman" w:cs="Times New Roman"/>
          <w:kern w:val="0"/>
          <w:lang w:eastAsia="en-GB"/>
        </w:rPr>
      </w:pPr>
      <w:r w:rsidRPr="007B4836">
        <w:rPr>
          <w:lang w:val="en-US" w:eastAsia="en-GB"/>
        </w:rPr>
        <w:t xml:space="preserve">Integrated Healthy Lifestyle Service </w:t>
      </w:r>
    </w:p>
    <w:p w14:paraId="1D4F6281" w14:textId="77777777" w:rsidR="007B4836" w:rsidRDefault="007B4836" w:rsidP="007B4836">
      <w:pPr>
        <w:pStyle w:val="NoSpacing"/>
        <w:numPr>
          <w:ilvl w:val="1"/>
          <w:numId w:val="5"/>
        </w:numPr>
        <w:rPr>
          <w:rFonts w:ascii="Times New Roman" w:eastAsia="Times New Roman" w:hAnsi="Times New Roman" w:cs="Times New Roman"/>
          <w:kern w:val="0"/>
          <w:lang w:eastAsia="en-GB"/>
        </w:rPr>
      </w:pPr>
      <w:r w:rsidRPr="007B4836">
        <w:rPr>
          <w:lang w:val="en-US" w:eastAsia="en-GB"/>
        </w:rPr>
        <w:t xml:space="preserve">Covers 7 Key Areas:  </w:t>
      </w:r>
    </w:p>
    <w:p w14:paraId="6F3DE3E6" w14:textId="6DCAEF68" w:rsidR="007B4836" w:rsidRPr="007B4836" w:rsidRDefault="007B4836" w:rsidP="007B4836">
      <w:pPr>
        <w:pStyle w:val="NoSpacing"/>
        <w:numPr>
          <w:ilvl w:val="3"/>
          <w:numId w:val="12"/>
        </w:numPr>
        <w:rPr>
          <w:rFonts w:ascii="Times New Roman" w:eastAsia="Times New Roman" w:hAnsi="Times New Roman" w:cs="Times New Roman"/>
          <w:kern w:val="0"/>
          <w:lang w:eastAsia="en-GB"/>
        </w:rPr>
      </w:pPr>
      <w:r w:rsidRPr="007B4836">
        <w:rPr>
          <w:lang w:val="en-US" w:eastAsia="en-GB"/>
        </w:rPr>
        <w:t>Healthy Knowsley Hub</w:t>
      </w:r>
    </w:p>
    <w:p w14:paraId="345CE431" w14:textId="3B43343E" w:rsidR="007B4836" w:rsidRPr="007B4836" w:rsidRDefault="007B4836" w:rsidP="007B4836">
      <w:pPr>
        <w:pStyle w:val="NoSpacing"/>
        <w:numPr>
          <w:ilvl w:val="3"/>
          <w:numId w:val="12"/>
        </w:numPr>
        <w:rPr>
          <w:rFonts w:ascii="Times New Roman" w:eastAsia="Times New Roman" w:hAnsi="Times New Roman" w:cs="Times New Roman"/>
          <w:kern w:val="0"/>
          <w:lang w:eastAsia="en-GB"/>
        </w:rPr>
      </w:pPr>
      <w:r w:rsidRPr="007B4836">
        <w:rPr>
          <w:lang w:val="en-US" w:eastAsia="en-GB"/>
        </w:rPr>
        <w:t xml:space="preserve">Health Trainers </w:t>
      </w:r>
    </w:p>
    <w:p w14:paraId="6AAB0C88" w14:textId="29361108" w:rsidR="007B4836" w:rsidRPr="007B4836" w:rsidRDefault="007B4836" w:rsidP="007B4836">
      <w:pPr>
        <w:pStyle w:val="NoSpacing"/>
        <w:numPr>
          <w:ilvl w:val="3"/>
          <w:numId w:val="12"/>
        </w:numPr>
        <w:rPr>
          <w:rFonts w:ascii="Times New Roman" w:eastAsia="Times New Roman" w:hAnsi="Times New Roman" w:cs="Times New Roman"/>
          <w:kern w:val="0"/>
          <w:lang w:eastAsia="en-GB"/>
        </w:rPr>
      </w:pPr>
      <w:r w:rsidRPr="007B4836">
        <w:rPr>
          <w:lang w:val="en-US" w:eastAsia="en-GB"/>
        </w:rPr>
        <w:t>MECC</w:t>
      </w:r>
    </w:p>
    <w:p w14:paraId="3F0CAA5A" w14:textId="793D2F5E" w:rsidR="007B4836" w:rsidRPr="007B4836" w:rsidRDefault="007B4836" w:rsidP="007B4836">
      <w:pPr>
        <w:pStyle w:val="NoSpacing"/>
        <w:numPr>
          <w:ilvl w:val="3"/>
          <w:numId w:val="12"/>
        </w:numPr>
        <w:rPr>
          <w:rFonts w:ascii="Times New Roman" w:eastAsia="Times New Roman" w:hAnsi="Times New Roman" w:cs="Times New Roman"/>
          <w:kern w:val="0"/>
          <w:lang w:eastAsia="en-GB"/>
        </w:rPr>
      </w:pPr>
      <w:r w:rsidRPr="007B4836">
        <w:rPr>
          <w:lang w:val="en-US" w:eastAsia="en-GB"/>
        </w:rPr>
        <w:t>Children and Families Programme</w:t>
      </w:r>
    </w:p>
    <w:p w14:paraId="63F01C94" w14:textId="655A05CE" w:rsidR="007B4836" w:rsidRPr="007B4836" w:rsidRDefault="007B4836" w:rsidP="007B4836">
      <w:pPr>
        <w:pStyle w:val="NoSpacing"/>
        <w:numPr>
          <w:ilvl w:val="3"/>
          <w:numId w:val="12"/>
        </w:numPr>
        <w:rPr>
          <w:rFonts w:ascii="Times New Roman" w:eastAsia="Times New Roman" w:hAnsi="Times New Roman" w:cs="Times New Roman"/>
          <w:kern w:val="0"/>
          <w:lang w:eastAsia="en-GB"/>
        </w:rPr>
      </w:pPr>
      <w:r w:rsidRPr="007B4836">
        <w:rPr>
          <w:lang w:val="en-US" w:eastAsia="en-GB"/>
        </w:rPr>
        <w:t xml:space="preserve">Adult Weight Management </w:t>
      </w:r>
    </w:p>
    <w:p w14:paraId="70BB34CE" w14:textId="77777777" w:rsidR="007B4836" w:rsidRDefault="007B4836" w:rsidP="007B4836">
      <w:pPr>
        <w:pStyle w:val="NoSpacing"/>
        <w:numPr>
          <w:ilvl w:val="3"/>
          <w:numId w:val="12"/>
        </w:numPr>
        <w:rPr>
          <w:rFonts w:ascii="Times New Roman" w:eastAsia="Times New Roman" w:hAnsi="Times New Roman" w:cs="Times New Roman"/>
          <w:kern w:val="0"/>
          <w:lang w:eastAsia="en-GB"/>
        </w:rPr>
      </w:pPr>
      <w:r w:rsidRPr="007B4836">
        <w:rPr>
          <w:lang w:val="en-US" w:eastAsia="en-GB"/>
        </w:rPr>
        <w:t>Health Check Support Service</w:t>
      </w:r>
    </w:p>
    <w:p w14:paraId="4D864B89" w14:textId="3A94923E" w:rsidR="007B4836" w:rsidRPr="007B4836" w:rsidRDefault="007B4836" w:rsidP="007B4836">
      <w:pPr>
        <w:pStyle w:val="NoSpacing"/>
        <w:numPr>
          <w:ilvl w:val="3"/>
          <w:numId w:val="12"/>
        </w:numPr>
        <w:rPr>
          <w:rFonts w:ascii="Times New Roman" w:eastAsia="Times New Roman" w:hAnsi="Times New Roman" w:cs="Times New Roman"/>
          <w:kern w:val="0"/>
          <w:lang w:eastAsia="en-GB"/>
        </w:rPr>
      </w:pPr>
      <w:r w:rsidRPr="007B4836">
        <w:rPr>
          <w:lang w:val="en-US" w:eastAsia="en-GB"/>
        </w:rPr>
        <w:lastRenderedPageBreak/>
        <w:t>Oral Health</w:t>
      </w:r>
    </w:p>
    <w:p w14:paraId="2FF1B997" w14:textId="2FE21C56" w:rsidR="007B4836" w:rsidRDefault="007B4836" w:rsidP="007B4836">
      <w:pPr>
        <w:pStyle w:val="NoSpacing"/>
        <w:numPr>
          <w:ilvl w:val="0"/>
          <w:numId w:val="13"/>
        </w:numPr>
      </w:pPr>
      <w:r>
        <w:t>Healthy Knowsley Service 2026-2023:</w:t>
      </w:r>
    </w:p>
    <w:p w14:paraId="13A40CA9" w14:textId="7831C1B3" w:rsidR="007B4836" w:rsidRPr="007B4836" w:rsidRDefault="007B4836" w:rsidP="007B4836">
      <w:pPr>
        <w:pStyle w:val="NoSpacing"/>
        <w:numPr>
          <w:ilvl w:val="1"/>
          <w:numId w:val="13"/>
        </w:numPr>
      </w:pPr>
      <w:r w:rsidRPr="007B4836">
        <w:t xml:space="preserve">Seeking to commission experienced and high-quality service </w:t>
      </w:r>
      <w:r>
        <w:t xml:space="preserve">providers </w:t>
      </w:r>
      <w:r w:rsidRPr="007B4836">
        <w:t>(s)</w:t>
      </w:r>
    </w:p>
    <w:p w14:paraId="17866DE3" w14:textId="77777777" w:rsidR="007B4836" w:rsidRPr="007B4836" w:rsidRDefault="007B4836" w:rsidP="007B4836">
      <w:pPr>
        <w:pStyle w:val="NoSpacing"/>
        <w:numPr>
          <w:ilvl w:val="1"/>
          <w:numId w:val="13"/>
        </w:numPr>
      </w:pPr>
      <w:r w:rsidRPr="007B4836">
        <w:t xml:space="preserve">To deliver an integrated healthy lifestyle service </w:t>
      </w:r>
    </w:p>
    <w:p w14:paraId="1B3263AD" w14:textId="77777777" w:rsidR="007B4836" w:rsidRPr="007B4836" w:rsidRDefault="007B4836" w:rsidP="007B4836">
      <w:pPr>
        <w:pStyle w:val="NoSpacing"/>
        <w:numPr>
          <w:ilvl w:val="1"/>
          <w:numId w:val="13"/>
        </w:numPr>
      </w:pPr>
      <w:r w:rsidRPr="007B4836">
        <w:t>Which supports the prevention and management of excess weight and improves the oral health of our residents</w:t>
      </w:r>
    </w:p>
    <w:p w14:paraId="77269EE3" w14:textId="77777777" w:rsidR="007B4836" w:rsidRPr="007B4836" w:rsidRDefault="007B4836" w:rsidP="007B4836">
      <w:pPr>
        <w:pStyle w:val="NoSpacing"/>
        <w:numPr>
          <w:ilvl w:val="1"/>
          <w:numId w:val="13"/>
        </w:numPr>
      </w:pPr>
      <w:r w:rsidRPr="007B4836">
        <w:t xml:space="preserve">Evidence-based and NICE-compliant </w:t>
      </w:r>
    </w:p>
    <w:p w14:paraId="1FAA6FC4" w14:textId="1D631FE8" w:rsidR="007B4836" w:rsidRPr="007B4836" w:rsidRDefault="007B4836" w:rsidP="007B4836">
      <w:pPr>
        <w:pStyle w:val="NoSpacing"/>
        <w:numPr>
          <w:ilvl w:val="1"/>
          <w:numId w:val="13"/>
        </w:numPr>
      </w:pPr>
      <w:r w:rsidRPr="007B4836">
        <w:t xml:space="preserve">A key element of success </w:t>
      </w:r>
      <w:r>
        <w:t>will</w:t>
      </w:r>
      <w:r w:rsidRPr="007B4836">
        <w:t xml:space="preserve"> be the ability to forge and maintain partnerships </w:t>
      </w:r>
    </w:p>
    <w:p w14:paraId="688E6B12" w14:textId="77777777" w:rsidR="007B4836" w:rsidRPr="007B4836" w:rsidRDefault="007B4836" w:rsidP="007B4836">
      <w:pPr>
        <w:pStyle w:val="NoSpacing"/>
        <w:numPr>
          <w:ilvl w:val="1"/>
          <w:numId w:val="13"/>
        </w:numPr>
      </w:pPr>
      <w:r w:rsidRPr="007B4836">
        <w:t>3 Lots</w:t>
      </w:r>
    </w:p>
    <w:p w14:paraId="3AAE8C92" w14:textId="77777777" w:rsidR="007B4836" w:rsidRPr="007B4836" w:rsidRDefault="007B4836" w:rsidP="007B4836">
      <w:pPr>
        <w:pStyle w:val="NoSpacing"/>
        <w:numPr>
          <w:ilvl w:val="1"/>
          <w:numId w:val="13"/>
        </w:numPr>
      </w:pPr>
      <w:r w:rsidRPr="007B4836">
        <w:t xml:space="preserve">4-year contract with a possible 2-year extension </w:t>
      </w:r>
    </w:p>
    <w:p w14:paraId="5553A09E" w14:textId="7A199DDD" w:rsidR="007B4836" w:rsidRPr="007B4836" w:rsidRDefault="007B4836" w:rsidP="007B4836">
      <w:pPr>
        <w:pStyle w:val="NoSpacing"/>
        <w:numPr>
          <w:ilvl w:val="1"/>
          <w:numId w:val="13"/>
        </w:numPr>
      </w:pPr>
      <w:r w:rsidRPr="007B4836">
        <w:t xml:space="preserve">The aim is that one provider will lead and </w:t>
      </w:r>
      <w:r>
        <w:t>coordinate</w:t>
      </w:r>
      <w:r w:rsidRPr="007B4836">
        <w:t xml:space="preserve"> each allotted contract</w:t>
      </w:r>
    </w:p>
    <w:p w14:paraId="0445B69A" w14:textId="73B9A4C4" w:rsidR="007B4836" w:rsidRPr="007B4836" w:rsidRDefault="007B4836" w:rsidP="007B4836">
      <w:pPr>
        <w:pStyle w:val="NoSpacing"/>
        <w:numPr>
          <w:ilvl w:val="1"/>
          <w:numId w:val="13"/>
        </w:numPr>
      </w:pPr>
      <w:r w:rsidRPr="007B4836">
        <w:t>The council will</w:t>
      </w:r>
      <w:r w:rsidR="00D172DB">
        <w:t>,</w:t>
      </w:r>
      <w:r w:rsidRPr="007B4836">
        <w:t xml:space="preserve"> however</w:t>
      </w:r>
      <w:r>
        <w:t>,</w:t>
      </w:r>
      <w:r w:rsidRPr="007B4836">
        <w:t xml:space="preserve"> welcome a collaborative approach to delivery across the different lots, i.e. subcontracting arrangements and partnerships</w:t>
      </w:r>
    </w:p>
    <w:p w14:paraId="2EA353B6" w14:textId="4EA0D0AD" w:rsidR="007B4836" w:rsidRDefault="007B4836" w:rsidP="007B4836">
      <w:pPr>
        <w:pStyle w:val="NoSpacing"/>
        <w:numPr>
          <w:ilvl w:val="0"/>
          <w:numId w:val="13"/>
        </w:numPr>
      </w:pPr>
      <w:r>
        <w:t>Services in Scope:</w:t>
      </w:r>
    </w:p>
    <w:p w14:paraId="5F940E2F" w14:textId="5CACC1E1" w:rsidR="007B4836" w:rsidRDefault="007B4836" w:rsidP="007B4836">
      <w:pPr>
        <w:pStyle w:val="NoSpacing"/>
        <w:numPr>
          <w:ilvl w:val="1"/>
          <w:numId w:val="13"/>
        </w:numPr>
      </w:pPr>
      <w:r>
        <w:t xml:space="preserve">Healthy Knowsley for Adults and Pregnant Women </w:t>
      </w:r>
    </w:p>
    <w:p w14:paraId="35630B05" w14:textId="676EE522" w:rsidR="007B4836" w:rsidRDefault="007B4836" w:rsidP="007B4836">
      <w:pPr>
        <w:pStyle w:val="NoSpacing"/>
        <w:numPr>
          <w:ilvl w:val="1"/>
          <w:numId w:val="13"/>
        </w:numPr>
      </w:pPr>
      <w:r>
        <w:t>Healthy Knowsley for Children, Young People and their Families</w:t>
      </w:r>
    </w:p>
    <w:p w14:paraId="0BC473AC" w14:textId="36095EB8" w:rsidR="007B4836" w:rsidRDefault="007B4836" w:rsidP="007B4836">
      <w:pPr>
        <w:pStyle w:val="NoSpacing"/>
        <w:numPr>
          <w:ilvl w:val="1"/>
          <w:numId w:val="13"/>
        </w:numPr>
      </w:pPr>
      <w:r>
        <w:t>Oral Health Improvement Service</w:t>
      </w:r>
    </w:p>
    <w:p w14:paraId="7037F0EB" w14:textId="745E6045" w:rsidR="007B4836" w:rsidRDefault="00297295" w:rsidP="007B4836">
      <w:pPr>
        <w:pStyle w:val="NoSpacing"/>
        <w:numPr>
          <w:ilvl w:val="0"/>
          <w:numId w:val="15"/>
        </w:numPr>
      </w:pPr>
      <w:r>
        <w:t>Indicative Finances:</w:t>
      </w:r>
    </w:p>
    <w:tbl>
      <w:tblPr>
        <w:tblStyle w:val="TableGrid"/>
        <w:tblW w:w="0" w:type="auto"/>
        <w:jc w:val="center"/>
        <w:tblLook w:val="04A0" w:firstRow="1" w:lastRow="0" w:firstColumn="1" w:lastColumn="0" w:noHBand="0" w:noVBand="1"/>
      </w:tblPr>
      <w:tblGrid>
        <w:gridCol w:w="2787"/>
        <w:gridCol w:w="2017"/>
        <w:gridCol w:w="1701"/>
      </w:tblGrid>
      <w:tr w:rsidR="00297295" w14:paraId="594BB7C0" w14:textId="77777777" w:rsidTr="00C336AC">
        <w:trPr>
          <w:jc w:val="center"/>
        </w:trPr>
        <w:tc>
          <w:tcPr>
            <w:tcW w:w="2787" w:type="dxa"/>
          </w:tcPr>
          <w:p w14:paraId="507760A4" w14:textId="70AC532E" w:rsidR="00297295" w:rsidRPr="00297295" w:rsidRDefault="00297295" w:rsidP="00297295">
            <w:pPr>
              <w:pStyle w:val="NoSpacing"/>
              <w:rPr>
                <w:b/>
                <w:bCs/>
              </w:rPr>
            </w:pPr>
            <w:r w:rsidRPr="00297295">
              <w:rPr>
                <w:b/>
                <w:bCs/>
              </w:rPr>
              <w:t>Service:</w:t>
            </w:r>
          </w:p>
        </w:tc>
        <w:tc>
          <w:tcPr>
            <w:tcW w:w="2017" w:type="dxa"/>
          </w:tcPr>
          <w:p w14:paraId="0EC35A88" w14:textId="1B98E5B3" w:rsidR="00297295" w:rsidRPr="00297295" w:rsidRDefault="00297295" w:rsidP="00297295">
            <w:pPr>
              <w:pStyle w:val="NoSpacing"/>
              <w:rPr>
                <w:b/>
                <w:bCs/>
              </w:rPr>
            </w:pPr>
            <w:r w:rsidRPr="00297295">
              <w:rPr>
                <w:b/>
                <w:bCs/>
              </w:rPr>
              <w:t>Annual Budget:</w:t>
            </w:r>
          </w:p>
        </w:tc>
        <w:tc>
          <w:tcPr>
            <w:tcW w:w="1701" w:type="dxa"/>
          </w:tcPr>
          <w:p w14:paraId="7774DCE8" w14:textId="373FFE8A" w:rsidR="00297295" w:rsidRPr="00297295" w:rsidRDefault="00297295" w:rsidP="00297295">
            <w:pPr>
              <w:pStyle w:val="NoSpacing"/>
              <w:rPr>
                <w:b/>
                <w:bCs/>
              </w:rPr>
            </w:pPr>
            <w:r w:rsidRPr="00297295">
              <w:rPr>
                <w:b/>
                <w:bCs/>
              </w:rPr>
              <w:t xml:space="preserve">Total Budget: </w:t>
            </w:r>
          </w:p>
        </w:tc>
      </w:tr>
      <w:tr w:rsidR="00297295" w14:paraId="6B92E2B9" w14:textId="77777777" w:rsidTr="00C336AC">
        <w:trPr>
          <w:jc w:val="center"/>
        </w:trPr>
        <w:tc>
          <w:tcPr>
            <w:tcW w:w="2787" w:type="dxa"/>
          </w:tcPr>
          <w:p w14:paraId="48D52A2D" w14:textId="03D3198E" w:rsidR="00297295" w:rsidRDefault="00297295" w:rsidP="00297295">
            <w:pPr>
              <w:pStyle w:val="NoSpacing"/>
            </w:pPr>
            <w:r>
              <w:t>Lot 1: Healthy Knowsley Service for Adults and Pregnant Women</w:t>
            </w:r>
          </w:p>
        </w:tc>
        <w:tc>
          <w:tcPr>
            <w:tcW w:w="2017" w:type="dxa"/>
          </w:tcPr>
          <w:p w14:paraId="34BFC9A1" w14:textId="4525FAEE" w:rsidR="00297295" w:rsidRDefault="00297295" w:rsidP="00297295">
            <w:pPr>
              <w:pStyle w:val="NoSpacing"/>
            </w:pPr>
            <w:r>
              <w:t>£658,000</w:t>
            </w:r>
          </w:p>
        </w:tc>
        <w:tc>
          <w:tcPr>
            <w:tcW w:w="1701" w:type="dxa"/>
          </w:tcPr>
          <w:p w14:paraId="3CA6F1B1" w14:textId="20AA18C0" w:rsidR="00297295" w:rsidRDefault="00297295" w:rsidP="00297295">
            <w:pPr>
              <w:pStyle w:val="NoSpacing"/>
            </w:pPr>
            <w:r>
              <w:t>£3,948,000</w:t>
            </w:r>
          </w:p>
        </w:tc>
      </w:tr>
      <w:tr w:rsidR="00297295" w14:paraId="7C25BE8E" w14:textId="77777777" w:rsidTr="00C336AC">
        <w:trPr>
          <w:jc w:val="center"/>
        </w:trPr>
        <w:tc>
          <w:tcPr>
            <w:tcW w:w="2787" w:type="dxa"/>
          </w:tcPr>
          <w:p w14:paraId="7D10C1B9" w14:textId="752CF36E" w:rsidR="00297295" w:rsidRDefault="00297295" w:rsidP="00297295">
            <w:pPr>
              <w:pStyle w:val="NoSpacing"/>
            </w:pPr>
            <w:r>
              <w:t>Lot 2: Healthy Knowsley Service for Children, Young People and Families</w:t>
            </w:r>
          </w:p>
        </w:tc>
        <w:tc>
          <w:tcPr>
            <w:tcW w:w="2017" w:type="dxa"/>
          </w:tcPr>
          <w:p w14:paraId="06E4D36B" w14:textId="1D86A1B9" w:rsidR="00297295" w:rsidRDefault="00297295" w:rsidP="00297295">
            <w:pPr>
              <w:pStyle w:val="NoSpacing"/>
            </w:pPr>
            <w:r>
              <w:t>£414,000</w:t>
            </w:r>
          </w:p>
        </w:tc>
        <w:tc>
          <w:tcPr>
            <w:tcW w:w="1701" w:type="dxa"/>
          </w:tcPr>
          <w:p w14:paraId="138F5111" w14:textId="05FB89B8" w:rsidR="00297295" w:rsidRDefault="00297295" w:rsidP="00297295">
            <w:pPr>
              <w:pStyle w:val="NoSpacing"/>
            </w:pPr>
            <w:r>
              <w:t>£2,484,000</w:t>
            </w:r>
          </w:p>
        </w:tc>
      </w:tr>
      <w:tr w:rsidR="00297295" w14:paraId="525CEF1E" w14:textId="77777777" w:rsidTr="00C336AC">
        <w:trPr>
          <w:jc w:val="center"/>
        </w:trPr>
        <w:tc>
          <w:tcPr>
            <w:tcW w:w="2787" w:type="dxa"/>
          </w:tcPr>
          <w:p w14:paraId="4F0C556E" w14:textId="22F56170" w:rsidR="00297295" w:rsidRDefault="00297295" w:rsidP="00297295">
            <w:pPr>
              <w:pStyle w:val="NoSpacing"/>
            </w:pPr>
            <w:r>
              <w:t>Lot 3: Oral Health Improvement</w:t>
            </w:r>
          </w:p>
        </w:tc>
        <w:tc>
          <w:tcPr>
            <w:tcW w:w="2017" w:type="dxa"/>
          </w:tcPr>
          <w:p w14:paraId="273642F1" w14:textId="3EE97860" w:rsidR="00297295" w:rsidRDefault="00297295" w:rsidP="00297295">
            <w:pPr>
              <w:pStyle w:val="NoSpacing"/>
            </w:pPr>
            <w:r>
              <w:t>£65,000</w:t>
            </w:r>
          </w:p>
        </w:tc>
        <w:tc>
          <w:tcPr>
            <w:tcW w:w="1701" w:type="dxa"/>
          </w:tcPr>
          <w:p w14:paraId="67B2D331" w14:textId="60A0E7AF" w:rsidR="00297295" w:rsidRDefault="00297295" w:rsidP="00297295">
            <w:pPr>
              <w:pStyle w:val="NoSpacing"/>
            </w:pPr>
            <w:r>
              <w:t>£390,000</w:t>
            </w:r>
          </w:p>
        </w:tc>
      </w:tr>
      <w:tr w:rsidR="00C336AC" w14:paraId="1DF5574C" w14:textId="77777777" w:rsidTr="00C336AC">
        <w:trPr>
          <w:jc w:val="center"/>
        </w:trPr>
        <w:tc>
          <w:tcPr>
            <w:tcW w:w="2787" w:type="dxa"/>
          </w:tcPr>
          <w:p w14:paraId="71D075A8" w14:textId="552A8107" w:rsidR="00297295" w:rsidRPr="00297295" w:rsidRDefault="00297295" w:rsidP="00297295">
            <w:pPr>
              <w:pStyle w:val="NoSpacing"/>
              <w:rPr>
                <w:b/>
                <w:bCs/>
              </w:rPr>
            </w:pPr>
            <w:r w:rsidRPr="00297295">
              <w:rPr>
                <w:b/>
                <w:bCs/>
              </w:rPr>
              <w:t>TOTAL:</w:t>
            </w:r>
          </w:p>
        </w:tc>
        <w:tc>
          <w:tcPr>
            <w:tcW w:w="2017" w:type="dxa"/>
          </w:tcPr>
          <w:p w14:paraId="653EB2BA" w14:textId="40D82D5D" w:rsidR="00297295" w:rsidRPr="00297295" w:rsidRDefault="00297295" w:rsidP="00297295">
            <w:pPr>
              <w:pStyle w:val="NoSpacing"/>
              <w:rPr>
                <w:b/>
                <w:bCs/>
              </w:rPr>
            </w:pPr>
            <w:r w:rsidRPr="00297295">
              <w:rPr>
                <w:b/>
                <w:bCs/>
              </w:rPr>
              <w:t>£1,137,000</w:t>
            </w:r>
          </w:p>
        </w:tc>
        <w:tc>
          <w:tcPr>
            <w:tcW w:w="1701" w:type="dxa"/>
          </w:tcPr>
          <w:p w14:paraId="315B7DC9" w14:textId="588E349A" w:rsidR="00297295" w:rsidRPr="00297295" w:rsidRDefault="00297295" w:rsidP="00297295">
            <w:pPr>
              <w:pStyle w:val="NoSpacing"/>
              <w:rPr>
                <w:b/>
                <w:bCs/>
              </w:rPr>
            </w:pPr>
            <w:r w:rsidRPr="00297295">
              <w:rPr>
                <w:b/>
                <w:bCs/>
              </w:rPr>
              <w:t>£6,822,000</w:t>
            </w:r>
          </w:p>
        </w:tc>
      </w:tr>
    </w:tbl>
    <w:p w14:paraId="106A5260" w14:textId="306FBF1D" w:rsidR="00297295" w:rsidRDefault="00297295" w:rsidP="00297295">
      <w:pPr>
        <w:pStyle w:val="NoSpacing"/>
        <w:numPr>
          <w:ilvl w:val="0"/>
          <w:numId w:val="15"/>
        </w:numPr>
      </w:pPr>
      <w:r>
        <w:t>Indicative Timescales:</w:t>
      </w:r>
    </w:p>
    <w:tbl>
      <w:tblPr>
        <w:tblStyle w:val="TableGrid"/>
        <w:tblW w:w="0" w:type="auto"/>
        <w:jc w:val="center"/>
        <w:tblLook w:val="04A0" w:firstRow="1" w:lastRow="0" w:firstColumn="1" w:lastColumn="0" w:noHBand="0" w:noVBand="1"/>
      </w:tblPr>
      <w:tblGrid>
        <w:gridCol w:w="2819"/>
        <w:gridCol w:w="3686"/>
      </w:tblGrid>
      <w:tr w:rsidR="00297295" w14:paraId="456DECD1" w14:textId="77777777" w:rsidTr="00C336AC">
        <w:trPr>
          <w:jc w:val="center"/>
        </w:trPr>
        <w:tc>
          <w:tcPr>
            <w:tcW w:w="2819" w:type="dxa"/>
          </w:tcPr>
          <w:p w14:paraId="39BFBA4F" w14:textId="4E6374B7" w:rsidR="00297295" w:rsidRPr="00297295" w:rsidRDefault="00297295" w:rsidP="00297295">
            <w:pPr>
              <w:pStyle w:val="NoSpacing"/>
              <w:rPr>
                <w:b/>
                <w:bCs/>
              </w:rPr>
            </w:pPr>
            <w:r w:rsidRPr="00297295">
              <w:rPr>
                <w:b/>
                <w:bCs/>
              </w:rPr>
              <w:t>Activity:</w:t>
            </w:r>
          </w:p>
        </w:tc>
        <w:tc>
          <w:tcPr>
            <w:tcW w:w="3686" w:type="dxa"/>
          </w:tcPr>
          <w:p w14:paraId="0B5B3787" w14:textId="15D4AC89" w:rsidR="00297295" w:rsidRPr="00297295" w:rsidRDefault="00297295" w:rsidP="00297295">
            <w:pPr>
              <w:pStyle w:val="NoSpacing"/>
              <w:rPr>
                <w:b/>
                <w:bCs/>
              </w:rPr>
            </w:pPr>
            <w:r w:rsidRPr="00297295">
              <w:rPr>
                <w:b/>
                <w:bCs/>
              </w:rPr>
              <w:t>Date:</w:t>
            </w:r>
          </w:p>
        </w:tc>
      </w:tr>
      <w:tr w:rsidR="00297295" w14:paraId="557F7C1E" w14:textId="77777777" w:rsidTr="00C336AC">
        <w:trPr>
          <w:jc w:val="center"/>
        </w:trPr>
        <w:tc>
          <w:tcPr>
            <w:tcW w:w="2819" w:type="dxa"/>
          </w:tcPr>
          <w:p w14:paraId="2522DF4D" w14:textId="40743424" w:rsidR="00297295" w:rsidRDefault="00297295" w:rsidP="00297295">
            <w:pPr>
              <w:pStyle w:val="NoSpacing"/>
            </w:pPr>
            <w:r>
              <w:t>Tender to be Published</w:t>
            </w:r>
          </w:p>
        </w:tc>
        <w:tc>
          <w:tcPr>
            <w:tcW w:w="3686" w:type="dxa"/>
          </w:tcPr>
          <w:p w14:paraId="45DD4A7D" w14:textId="25611D4B" w:rsidR="00297295" w:rsidRDefault="00297295" w:rsidP="00297295">
            <w:pPr>
              <w:pStyle w:val="NoSpacing"/>
            </w:pPr>
            <w:r>
              <w:t>Mid-June</w:t>
            </w:r>
          </w:p>
        </w:tc>
      </w:tr>
      <w:tr w:rsidR="00297295" w14:paraId="36F4ED08" w14:textId="77777777" w:rsidTr="00C336AC">
        <w:trPr>
          <w:jc w:val="center"/>
        </w:trPr>
        <w:tc>
          <w:tcPr>
            <w:tcW w:w="2819" w:type="dxa"/>
          </w:tcPr>
          <w:p w14:paraId="16C97B85" w14:textId="3CE6552F" w:rsidR="00297295" w:rsidRDefault="00297295" w:rsidP="00297295">
            <w:pPr>
              <w:pStyle w:val="NoSpacing"/>
            </w:pPr>
            <w:r>
              <w:t>Closing Date:</w:t>
            </w:r>
          </w:p>
        </w:tc>
        <w:tc>
          <w:tcPr>
            <w:tcW w:w="3686" w:type="dxa"/>
          </w:tcPr>
          <w:p w14:paraId="4A945104" w14:textId="2CA7A1AF" w:rsidR="00297295" w:rsidRDefault="00297295" w:rsidP="00297295">
            <w:pPr>
              <w:pStyle w:val="NoSpacing"/>
            </w:pPr>
            <w:r>
              <w:t>Mid-July</w:t>
            </w:r>
          </w:p>
        </w:tc>
      </w:tr>
      <w:tr w:rsidR="00297295" w14:paraId="4AAE779C" w14:textId="77777777" w:rsidTr="00C336AC">
        <w:trPr>
          <w:jc w:val="center"/>
        </w:trPr>
        <w:tc>
          <w:tcPr>
            <w:tcW w:w="2819" w:type="dxa"/>
          </w:tcPr>
          <w:p w14:paraId="6D3618EE" w14:textId="7F025071" w:rsidR="00297295" w:rsidRDefault="00297295" w:rsidP="00297295">
            <w:pPr>
              <w:pStyle w:val="NoSpacing"/>
            </w:pPr>
            <w:r>
              <w:t>Contract Award:</w:t>
            </w:r>
          </w:p>
        </w:tc>
        <w:tc>
          <w:tcPr>
            <w:tcW w:w="3686" w:type="dxa"/>
          </w:tcPr>
          <w:p w14:paraId="4F67582C" w14:textId="51BA5D44" w:rsidR="00297295" w:rsidRDefault="00297295" w:rsidP="00297295">
            <w:pPr>
              <w:pStyle w:val="NoSpacing"/>
            </w:pPr>
            <w:r>
              <w:t>Mid-November</w:t>
            </w:r>
          </w:p>
        </w:tc>
      </w:tr>
      <w:tr w:rsidR="00297295" w14:paraId="0A04CA09" w14:textId="77777777" w:rsidTr="00C336AC">
        <w:trPr>
          <w:jc w:val="center"/>
        </w:trPr>
        <w:tc>
          <w:tcPr>
            <w:tcW w:w="2819" w:type="dxa"/>
          </w:tcPr>
          <w:p w14:paraId="222F7D88" w14:textId="72D1473E" w:rsidR="00297295" w:rsidRDefault="00297295" w:rsidP="00297295">
            <w:pPr>
              <w:pStyle w:val="NoSpacing"/>
            </w:pPr>
            <w:r>
              <w:t>Mobilisation:</w:t>
            </w:r>
          </w:p>
        </w:tc>
        <w:tc>
          <w:tcPr>
            <w:tcW w:w="3686" w:type="dxa"/>
          </w:tcPr>
          <w:p w14:paraId="12EF866D" w14:textId="7ACE2C02" w:rsidR="00297295" w:rsidRDefault="00297295" w:rsidP="00297295">
            <w:pPr>
              <w:pStyle w:val="NoSpacing"/>
            </w:pPr>
            <w:r>
              <w:t>December – March 2026</w:t>
            </w:r>
          </w:p>
        </w:tc>
      </w:tr>
      <w:tr w:rsidR="00297295" w14:paraId="425FEA6C" w14:textId="77777777" w:rsidTr="00C336AC">
        <w:trPr>
          <w:jc w:val="center"/>
        </w:trPr>
        <w:tc>
          <w:tcPr>
            <w:tcW w:w="2819" w:type="dxa"/>
          </w:tcPr>
          <w:p w14:paraId="74C764DA" w14:textId="141982BA" w:rsidR="00297295" w:rsidRDefault="00297295" w:rsidP="00297295">
            <w:pPr>
              <w:pStyle w:val="NoSpacing"/>
            </w:pPr>
            <w:r>
              <w:t>Start Date:</w:t>
            </w:r>
          </w:p>
        </w:tc>
        <w:tc>
          <w:tcPr>
            <w:tcW w:w="3686" w:type="dxa"/>
          </w:tcPr>
          <w:p w14:paraId="2074F822" w14:textId="0B807B4E" w:rsidR="00297295" w:rsidRDefault="00297295" w:rsidP="00297295">
            <w:pPr>
              <w:pStyle w:val="NoSpacing"/>
            </w:pPr>
            <w:r>
              <w:t>April 2026</w:t>
            </w:r>
          </w:p>
        </w:tc>
      </w:tr>
      <w:tr w:rsidR="00297295" w14:paraId="56F51852" w14:textId="77777777" w:rsidTr="00C336AC">
        <w:trPr>
          <w:jc w:val="center"/>
        </w:trPr>
        <w:tc>
          <w:tcPr>
            <w:tcW w:w="2819" w:type="dxa"/>
          </w:tcPr>
          <w:p w14:paraId="5D9F1A75" w14:textId="3D3EA3A2" w:rsidR="00297295" w:rsidRDefault="00297295" w:rsidP="00297295">
            <w:pPr>
              <w:pStyle w:val="NoSpacing"/>
            </w:pPr>
            <w:r>
              <w:t>End Date:</w:t>
            </w:r>
          </w:p>
        </w:tc>
        <w:tc>
          <w:tcPr>
            <w:tcW w:w="3686" w:type="dxa"/>
          </w:tcPr>
          <w:p w14:paraId="3BC6DC10" w14:textId="2D483A14" w:rsidR="00297295" w:rsidRDefault="00297295" w:rsidP="00297295">
            <w:pPr>
              <w:pStyle w:val="NoSpacing"/>
            </w:pPr>
            <w:r>
              <w:t xml:space="preserve">March 3032 </w:t>
            </w:r>
          </w:p>
        </w:tc>
      </w:tr>
    </w:tbl>
    <w:p w14:paraId="02C640BF" w14:textId="5F155FD4" w:rsidR="00297295" w:rsidRDefault="00297295" w:rsidP="00297295">
      <w:pPr>
        <w:pStyle w:val="NoSpacing"/>
        <w:numPr>
          <w:ilvl w:val="0"/>
          <w:numId w:val="15"/>
        </w:numPr>
      </w:pPr>
      <w:r>
        <w:t xml:space="preserve">STAR Procurement </w:t>
      </w:r>
    </w:p>
    <w:p w14:paraId="6A2BFB71" w14:textId="0F28923F" w:rsidR="00297295" w:rsidRDefault="00297295" w:rsidP="00297295">
      <w:pPr>
        <w:pStyle w:val="NoSpacing"/>
        <w:numPr>
          <w:ilvl w:val="1"/>
          <w:numId w:val="15"/>
        </w:numPr>
      </w:pPr>
      <w:r>
        <w:t>Run under the new regulations, like the previous, new notices</w:t>
      </w:r>
    </w:p>
    <w:p w14:paraId="4FCD58C4" w14:textId="0149CA9F" w:rsidR="00297295" w:rsidRDefault="00297295" w:rsidP="00297295">
      <w:pPr>
        <w:pStyle w:val="NoSpacing"/>
        <w:numPr>
          <w:ilvl w:val="1"/>
          <w:numId w:val="15"/>
        </w:numPr>
      </w:pPr>
      <w:r>
        <w:t>Pre-market engagement notice</w:t>
      </w:r>
      <w:r w:rsidR="00F27703">
        <w:t xml:space="preserve"> issued</w:t>
      </w:r>
    </w:p>
    <w:p w14:paraId="25B4EECD" w14:textId="4E69B212" w:rsidR="00F27703" w:rsidRDefault="00F27703" w:rsidP="00297295">
      <w:pPr>
        <w:pStyle w:val="NoSpacing"/>
        <w:numPr>
          <w:ilvl w:val="1"/>
          <w:numId w:val="15"/>
        </w:numPr>
      </w:pPr>
      <w:r>
        <w:t xml:space="preserve">Issued on the Find a Tender Platform </w:t>
      </w:r>
    </w:p>
    <w:p w14:paraId="26297653" w14:textId="680CC1A5" w:rsidR="00F27703" w:rsidRDefault="00F27703" w:rsidP="00297295">
      <w:pPr>
        <w:pStyle w:val="NoSpacing"/>
        <w:numPr>
          <w:ilvl w:val="1"/>
          <w:numId w:val="15"/>
        </w:numPr>
      </w:pPr>
      <w:r>
        <w:t>Urge you to register on the central digital platform</w:t>
      </w:r>
    </w:p>
    <w:p w14:paraId="393ADFCB" w14:textId="6CDA3278" w:rsidR="00F27703" w:rsidRDefault="00F27703" w:rsidP="00F27703">
      <w:pPr>
        <w:pStyle w:val="NoSpacing"/>
        <w:numPr>
          <w:ilvl w:val="1"/>
          <w:numId w:val="15"/>
        </w:numPr>
      </w:pPr>
      <w:r>
        <w:lastRenderedPageBreak/>
        <w:t>Aim to go out on the 16</w:t>
      </w:r>
      <w:r w:rsidRPr="00F27703">
        <w:rPr>
          <w:vertAlign w:val="superscript"/>
        </w:rPr>
        <w:t>th of</w:t>
      </w:r>
      <w:r>
        <w:t xml:space="preserve"> June (indicative timescale) </w:t>
      </w:r>
    </w:p>
    <w:p w14:paraId="259932B6" w14:textId="378F09CE" w:rsidR="00F27703" w:rsidRDefault="00F27703" w:rsidP="00F27703">
      <w:pPr>
        <w:pStyle w:val="NoSpacing"/>
        <w:numPr>
          <w:ilvl w:val="1"/>
          <w:numId w:val="15"/>
        </w:numPr>
      </w:pPr>
      <w:r>
        <w:t xml:space="preserve">4–5-week opportunity to respond, opportunity to ask clarifications, access ITT documents </w:t>
      </w:r>
    </w:p>
    <w:p w14:paraId="1EB5343E" w14:textId="77777777" w:rsidR="00F27703" w:rsidRDefault="00F27703" w:rsidP="00F27703">
      <w:pPr>
        <w:pStyle w:val="NoSpacing"/>
        <w:rPr>
          <w:b/>
          <w:bCs/>
        </w:rPr>
      </w:pPr>
    </w:p>
    <w:p w14:paraId="42919B07" w14:textId="1CE54231" w:rsidR="00F27703" w:rsidRDefault="00F27703" w:rsidP="00F27703">
      <w:pPr>
        <w:pStyle w:val="NoSpacing"/>
        <w:ind w:left="720"/>
        <w:rPr>
          <w:b/>
          <w:bCs/>
        </w:rPr>
      </w:pPr>
      <w:r w:rsidRPr="00F27703">
        <w:rPr>
          <w:b/>
          <w:bCs/>
        </w:rPr>
        <w:t>3. QUESTIONS AND ANSWERS:</w:t>
      </w:r>
    </w:p>
    <w:p w14:paraId="1F11D48C" w14:textId="1211ED0C" w:rsidR="00F27703" w:rsidRPr="00F27703" w:rsidRDefault="00F27703" w:rsidP="00F27703">
      <w:pPr>
        <w:pStyle w:val="NoSpacing"/>
        <w:rPr>
          <w:b/>
          <w:bCs/>
        </w:rPr>
      </w:pPr>
      <w:r w:rsidRPr="00F27703">
        <w:rPr>
          <w:b/>
          <w:bCs/>
        </w:rPr>
        <w:t>1. Are the current service providers in the current arranged service model</w:t>
      </w:r>
      <w:r w:rsidR="00AA35DD">
        <w:rPr>
          <w:b/>
          <w:bCs/>
        </w:rPr>
        <w:t>,</w:t>
      </w:r>
      <w:r w:rsidRPr="00F27703">
        <w:rPr>
          <w:b/>
          <w:bCs/>
        </w:rPr>
        <w:t xml:space="preserve"> or is it an integrated model?</w:t>
      </w:r>
    </w:p>
    <w:p w14:paraId="5AD1CF7A" w14:textId="3E116E7C" w:rsidR="00F11649" w:rsidRDefault="00F27703" w:rsidP="00F27703">
      <w:pPr>
        <w:pStyle w:val="NoSpacing"/>
        <w:rPr>
          <w:lang w:val="en-US" w:eastAsia="en-GB"/>
        </w:rPr>
      </w:pPr>
      <w:r w:rsidRPr="00F27703">
        <w:t xml:space="preserve">A: The service is currently run as an integrated healthy lifestyle service, with one lead provider, which includes </w:t>
      </w:r>
      <w:r w:rsidRPr="00F27703">
        <w:rPr>
          <w:lang w:val="en-US" w:eastAsia="en-GB"/>
        </w:rPr>
        <w:t>Healthy Knowsley Hu</w:t>
      </w:r>
      <w:r w:rsidRPr="00F27703">
        <w:rPr>
          <w:lang w:val="en-US" w:eastAsia="en-GB"/>
        </w:rPr>
        <w:t xml:space="preserve">b, </w:t>
      </w:r>
      <w:r w:rsidRPr="00F27703">
        <w:rPr>
          <w:lang w:val="en-US" w:eastAsia="en-GB"/>
        </w:rPr>
        <w:t>Health Trainers</w:t>
      </w:r>
      <w:r w:rsidRPr="00F27703">
        <w:rPr>
          <w:lang w:val="en-US" w:eastAsia="en-GB"/>
        </w:rPr>
        <w:t xml:space="preserve">, </w:t>
      </w:r>
      <w:r w:rsidRPr="00F27703">
        <w:rPr>
          <w:lang w:val="en-US" w:eastAsia="en-GB"/>
        </w:rPr>
        <w:t>MECC</w:t>
      </w:r>
      <w:r w:rsidRPr="00F27703">
        <w:rPr>
          <w:rFonts w:ascii="Times New Roman" w:eastAsia="Times New Roman" w:hAnsi="Times New Roman" w:cs="Times New Roman"/>
          <w:kern w:val="0"/>
          <w:lang w:eastAsia="en-GB"/>
        </w:rPr>
        <w:t xml:space="preserve">, </w:t>
      </w:r>
      <w:r w:rsidRPr="00F27703">
        <w:rPr>
          <w:lang w:val="en-US" w:eastAsia="en-GB"/>
        </w:rPr>
        <w:t>Children and Families Programme</w:t>
      </w:r>
      <w:r w:rsidRPr="00F27703">
        <w:rPr>
          <w:rFonts w:ascii="Times New Roman" w:eastAsia="Times New Roman" w:hAnsi="Times New Roman" w:cs="Times New Roman"/>
          <w:kern w:val="0"/>
          <w:lang w:eastAsia="en-GB"/>
        </w:rPr>
        <w:t xml:space="preserve">, </w:t>
      </w:r>
      <w:r w:rsidRPr="00F27703">
        <w:rPr>
          <w:lang w:val="en-US" w:eastAsia="en-GB"/>
        </w:rPr>
        <w:t>Adult Weight Management</w:t>
      </w:r>
      <w:r w:rsidRPr="00F27703">
        <w:rPr>
          <w:lang w:val="en-US" w:eastAsia="en-GB"/>
        </w:rPr>
        <w:t xml:space="preserve">, </w:t>
      </w:r>
      <w:r w:rsidRPr="00F27703">
        <w:rPr>
          <w:lang w:val="en-US" w:eastAsia="en-GB"/>
        </w:rPr>
        <w:t>Health Check Support Service</w:t>
      </w:r>
      <w:r w:rsidRPr="00F27703">
        <w:rPr>
          <w:rFonts w:ascii="Times New Roman" w:eastAsia="Times New Roman" w:hAnsi="Times New Roman" w:cs="Times New Roman"/>
          <w:kern w:val="0"/>
          <w:lang w:eastAsia="en-GB"/>
        </w:rPr>
        <w:t xml:space="preserve">, </w:t>
      </w:r>
      <w:r w:rsidRPr="00F27703">
        <w:rPr>
          <w:rFonts w:eastAsia="Times New Roman" w:cs="Times New Roman"/>
          <w:kern w:val="0"/>
          <w:lang w:eastAsia="en-GB"/>
        </w:rPr>
        <w:t>and</w:t>
      </w:r>
      <w:r>
        <w:rPr>
          <w:rFonts w:ascii="Times New Roman" w:eastAsia="Times New Roman" w:hAnsi="Times New Roman" w:cs="Times New Roman"/>
          <w:kern w:val="0"/>
          <w:lang w:eastAsia="en-GB"/>
        </w:rPr>
        <w:t xml:space="preserve"> </w:t>
      </w:r>
      <w:r w:rsidRPr="00F27703">
        <w:rPr>
          <w:lang w:val="en-US" w:eastAsia="en-GB"/>
        </w:rPr>
        <w:t>Oral Health</w:t>
      </w:r>
      <w:r>
        <w:rPr>
          <w:lang w:val="en-US" w:eastAsia="en-GB"/>
        </w:rPr>
        <w:t xml:space="preserve">. </w:t>
      </w:r>
    </w:p>
    <w:p w14:paraId="773BADE3" w14:textId="3FF7274D" w:rsidR="00F27703" w:rsidRDefault="00F27703" w:rsidP="00F27703">
      <w:pPr>
        <w:pStyle w:val="NoSpacing"/>
        <w:rPr>
          <w:lang w:val="en-US" w:eastAsia="en-GB"/>
        </w:rPr>
      </w:pPr>
      <w:r>
        <w:rPr>
          <w:lang w:val="en-US" w:eastAsia="en-GB"/>
        </w:rPr>
        <w:t xml:space="preserve">We are now looking to move to 3 allotted </w:t>
      </w:r>
      <w:r w:rsidR="00AA35DD">
        <w:rPr>
          <w:lang w:val="en-US" w:eastAsia="en-GB"/>
        </w:rPr>
        <w:t xml:space="preserve">contracts going forward. </w:t>
      </w:r>
    </w:p>
    <w:p w14:paraId="4CDE7E1C" w14:textId="77777777" w:rsidR="00F11649" w:rsidRDefault="00F11649" w:rsidP="00F27703">
      <w:pPr>
        <w:pStyle w:val="NoSpacing"/>
        <w:rPr>
          <w:lang w:val="en-US" w:eastAsia="en-GB"/>
        </w:rPr>
      </w:pPr>
    </w:p>
    <w:p w14:paraId="599F147A" w14:textId="71119DA5" w:rsidR="00AA35DD" w:rsidRDefault="0060004A" w:rsidP="0060004A">
      <w:pPr>
        <w:pStyle w:val="NoSpacing"/>
        <w:rPr>
          <w:rFonts w:eastAsia="Times New Roman" w:cs="Times New Roman"/>
          <w:b/>
          <w:bCs/>
          <w:kern w:val="0"/>
          <w:lang w:eastAsia="en-GB"/>
        </w:rPr>
      </w:pPr>
      <w:r w:rsidRPr="0060004A">
        <w:rPr>
          <w:rFonts w:eastAsia="Times New Roman" w:cs="Times New Roman"/>
          <w:b/>
          <w:bCs/>
          <w:kern w:val="0"/>
          <w:lang w:eastAsia="en-GB"/>
        </w:rPr>
        <w:t>2.</w:t>
      </w:r>
      <w:r>
        <w:rPr>
          <w:rFonts w:eastAsia="Times New Roman" w:cs="Times New Roman"/>
          <w:b/>
          <w:bCs/>
          <w:kern w:val="0"/>
          <w:lang w:eastAsia="en-GB"/>
        </w:rPr>
        <w:t xml:space="preserve"> </w:t>
      </w:r>
      <w:r w:rsidR="00AA35DD" w:rsidRPr="00AA35DD">
        <w:rPr>
          <w:rFonts w:eastAsia="Times New Roman" w:cs="Times New Roman"/>
          <w:b/>
          <w:bCs/>
          <w:kern w:val="0"/>
          <w:lang w:eastAsia="en-GB"/>
        </w:rPr>
        <w:t>Please can you run through the indicative times again please?</w:t>
      </w:r>
    </w:p>
    <w:p w14:paraId="44AD8D74" w14:textId="308BF446" w:rsidR="0060004A" w:rsidRPr="0060004A" w:rsidRDefault="0060004A" w:rsidP="0060004A">
      <w:pPr>
        <w:pStyle w:val="NoSpacing"/>
        <w:rPr>
          <w:rFonts w:eastAsia="Times New Roman" w:cs="Times New Roman"/>
          <w:kern w:val="0"/>
          <w:lang w:eastAsia="en-GB"/>
        </w:rPr>
      </w:pPr>
      <w:r w:rsidRPr="0060004A">
        <w:rPr>
          <w:rFonts w:eastAsia="Times New Roman" w:cs="Times New Roman"/>
          <w:kern w:val="0"/>
          <w:lang w:eastAsia="en-GB"/>
        </w:rPr>
        <w:t xml:space="preserve">A: Please see below. A more detailed timeline will be provided as we go out to tender. </w:t>
      </w:r>
    </w:p>
    <w:tbl>
      <w:tblPr>
        <w:tblStyle w:val="TableGrid"/>
        <w:tblW w:w="0" w:type="auto"/>
        <w:jc w:val="center"/>
        <w:tblLook w:val="04A0" w:firstRow="1" w:lastRow="0" w:firstColumn="1" w:lastColumn="0" w:noHBand="0" w:noVBand="1"/>
      </w:tblPr>
      <w:tblGrid>
        <w:gridCol w:w="2835"/>
        <w:gridCol w:w="3119"/>
      </w:tblGrid>
      <w:tr w:rsidR="00C336AC" w14:paraId="6D0D988E" w14:textId="77777777" w:rsidTr="00C336AC">
        <w:trPr>
          <w:jc w:val="center"/>
        </w:trPr>
        <w:tc>
          <w:tcPr>
            <w:tcW w:w="2835" w:type="dxa"/>
          </w:tcPr>
          <w:p w14:paraId="73918D77" w14:textId="77777777" w:rsidR="00AA35DD" w:rsidRPr="00297295" w:rsidRDefault="00AA35DD" w:rsidP="00C41CFE">
            <w:pPr>
              <w:pStyle w:val="NoSpacing"/>
              <w:rPr>
                <w:b/>
                <w:bCs/>
              </w:rPr>
            </w:pPr>
            <w:r w:rsidRPr="00297295">
              <w:rPr>
                <w:b/>
                <w:bCs/>
              </w:rPr>
              <w:t>Activity:</w:t>
            </w:r>
          </w:p>
        </w:tc>
        <w:tc>
          <w:tcPr>
            <w:tcW w:w="3119" w:type="dxa"/>
          </w:tcPr>
          <w:p w14:paraId="31ED060B" w14:textId="77777777" w:rsidR="00AA35DD" w:rsidRPr="00297295" w:rsidRDefault="00AA35DD" w:rsidP="00C41CFE">
            <w:pPr>
              <w:pStyle w:val="NoSpacing"/>
              <w:rPr>
                <w:b/>
                <w:bCs/>
              </w:rPr>
            </w:pPr>
            <w:r w:rsidRPr="00297295">
              <w:rPr>
                <w:b/>
                <w:bCs/>
              </w:rPr>
              <w:t>Date:</w:t>
            </w:r>
          </w:p>
        </w:tc>
      </w:tr>
      <w:tr w:rsidR="00C336AC" w14:paraId="4DFF96EF" w14:textId="77777777" w:rsidTr="00C336AC">
        <w:trPr>
          <w:jc w:val="center"/>
        </w:trPr>
        <w:tc>
          <w:tcPr>
            <w:tcW w:w="2835" w:type="dxa"/>
          </w:tcPr>
          <w:p w14:paraId="3DA26125" w14:textId="77777777" w:rsidR="00AA35DD" w:rsidRDefault="00AA35DD" w:rsidP="00C41CFE">
            <w:pPr>
              <w:pStyle w:val="NoSpacing"/>
            </w:pPr>
            <w:r>
              <w:t>Tender to be Published</w:t>
            </w:r>
          </w:p>
        </w:tc>
        <w:tc>
          <w:tcPr>
            <w:tcW w:w="3119" w:type="dxa"/>
          </w:tcPr>
          <w:p w14:paraId="19758F1A" w14:textId="77777777" w:rsidR="00AA35DD" w:rsidRDefault="00AA35DD" w:rsidP="00C41CFE">
            <w:pPr>
              <w:pStyle w:val="NoSpacing"/>
            </w:pPr>
            <w:r>
              <w:t>Mid-June</w:t>
            </w:r>
          </w:p>
        </w:tc>
      </w:tr>
      <w:tr w:rsidR="00C336AC" w14:paraId="49D16504" w14:textId="77777777" w:rsidTr="00C336AC">
        <w:trPr>
          <w:jc w:val="center"/>
        </w:trPr>
        <w:tc>
          <w:tcPr>
            <w:tcW w:w="2835" w:type="dxa"/>
          </w:tcPr>
          <w:p w14:paraId="614E3B65" w14:textId="77777777" w:rsidR="00AA35DD" w:rsidRDefault="00AA35DD" w:rsidP="00C41CFE">
            <w:pPr>
              <w:pStyle w:val="NoSpacing"/>
            </w:pPr>
            <w:r>
              <w:t>Closing Date:</w:t>
            </w:r>
          </w:p>
        </w:tc>
        <w:tc>
          <w:tcPr>
            <w:tcW w:w="3119" w:type="dxa"/>
          </w:tcPr>
          <w:p w14:paraId="1149731A" w14:textId="77777777" w:rsidR="00AA35DD" w:rsidRDefault="00AA35DD" w:rsidP="00C41CFE">
            <w:pPr>
              <w:pStyle w:val="NoSpacing"/>
            </w:pPr>
            <w:r>
              <w:t>Mid-July</w:t>
            </w:r>
          </w:p>
        </w:tc>
      </w:tr>
      <w:tr w:rsidR="00C336AC" w14:paraId="59FDC8FF" w14:textId="77777777" w:rsidTr="00C336AC">
        <w:trPr>
          <w:jc w:val="center"/>
        </w:trPr>
        <w:tc>
          <w:tcPr>
            <w:tcW w:w="2835" w:type="dxa"/>
          </w:tcPr>
          <w:p w14:paraId="011D299E" w14:textId="77777777" w:rsidR="00AA35DD" w:rsidRDefault="00AA35DD" w:rsidP="00C41CFE">
            <w:pPr>
              <w:pStyle w:val="NoSpacing"/>
            </w:pPr>
            <w:r>
              <w:t>Contract Award:</w:t>
            </w:r>
          </w:p>
        </w:tc>
        <w:tc>
          <w:tcPr>
            <w:tcW w:w="3119" w:type="dxa"/>
          </w:tcPr>
          <w:p w14:paraId="56D239BC" w14:textId="77777777" w:rsidR="00AA35DD" w:rsidRDefault="00AA35DD" w:rsidP="00C41CFE">
            <w:pPr>
              <w:pStyle w:val="NoSpacing"/>
            </w:pPr>
            <w:r>
              <w:t>Mid-November</w:t>
            </w:r>
          </w:p>
        </w:tc>
      </w:tr>
      <w:tr w:rsidR="00C336AC" w14:paraId="7E697A23" w14:textId="77777777" w:rsidTr="00C336AC">
        <w:trPr>
          <w:jc w:val="center"/>
        </w:trPr>
        <w:tc>
          <w:tcPr>
            <w:tcW w:w="2835" w:type="dxa"/>
          </w:tcPr>
          <w:p w14:paraId="7814D2EC" w14:textId="77777777" w:rsidR="00AA35DD" w:rsidRDefault="00AA35DD" w:rsidP="00C41CFE">
            <w:pPr>
              <w:pStyle w:val="NoSpacing"/>
            </w:pPr>
            <w:r>
              <w:t>Mobilisation:</w:t>
            </w:r>
          </w:p>
        </w:tc>
        <w:tc>
          <w:tcPr>
            <w:tcW w:w="3119" w:type="dxa"/>
          </w:tcPr>
          <w:p w14:paraId="51ECA457" w14:textId="77777777" w:rsidR="00AA35DD" w:rsidRDefault="00AA35DD" w:rsidP="00C41CFE">
            <w:pPr>
              <w:pStyle w:val="NoSpacing"/>
            </w:pPr>
            <w:r>
              <w:t>December – March 2026</w:t>
            </w:r>
          </w:p>
        </w:tc>
      </w:tr>
      <w:tr w:rsidR="00C336AC" w14:paraId="7544A7DD" w14:textId="77777777" w:rsidTr="00C336AC">
        <w:trPr>
          <w:jc w:val="center"/>
        </w:trPr>
        <w:tc>
          <w:tcPr>
            <w:tcW w:w="2835" w:type="dxa"/>
          </w:tcPr>
          <w:p w14:paraId="2F7F9D6E" w14:textId="77777777" w:rsidR="00AA35DD" w:rsidRDefault="00AA35DD" w:rsidP="00C41CFE">
            <w:pPr>
              <w:pStyle w:val="NoSpacing"/>
            </w:pPr>
            <w:r>
              <w:t>Start Date:</w:t>
            </w:r>
          </w:p>
        </w:tc>
        <w:tc>
          <w:tcPr>
            <w:tcW w:w="3119" w:type="dxa"/>
          </w:tcPr>
          <w:p w14:paraId="4DC76398" w14:textId="77777777" w:rsidR="00AA35DD" w:rsidRDefault="00AA35DD" w:rsidP="00C41CFE">
            <w:pPr>
              <w:pStyle w:val="NoSpacing"/>
            </w:pPr>
            <w:r>
              <w:t>April 2026</w:t>
            </w:r>
          </w:p>
        </w:tc>
      </w:tr>
      <w:tr w:rsidR="00AA35DD" w14:paraId="7795E68B" w14:textId="77777777" w:rsidTr="00C336AC">
        <w:trPr>
          <w:jc w:val="center"/>
        </w:trPr>
        <w:tc>
          <w:tcPr>
            <w:tcW w:w="2835" w:type="dxa"/>
          </w:tcPr>
          <w:p w14:paraId="65E8CDD5" w14:textId="77777777" w:rsidR="00AA35DD" w:rsidRDefault="00AA35DD" w:rsidP="00C41CFE">
            <w:pPr>
              <w:pStyle w:val="NoSpacing"/>
            </w:pPr>
            <w:r>
              <w:t>End Date:</w:t>
            </w:r>
          </w:p>
        </w:tc>
        <w:tc>
          <w:tcPr>
            <w:tcW w:w="3119" w:type="dxa"/>
          </w:tcPr>
          <w:p w14:paraId="2F2D4AA8" w14:textId="77777777" w:rsidR="00AA35DD" w:rsidRDefault="00AA35DD" w:rsidP="00C41CFE">
            <w:pPr>
              <w:pStyle w:val="NoSpacing"/>
            </w:pPr>
            <w:r>
              <w:t xml:space="preserve">March 3032 </w:t>
            </w:r>
          </w:p>
        </w:tc>
      </w:tr>
    </w:tbl>
    <w:p w14:paraId="635A1E92" w14:textId="77777777" w:rsidR="00F11649" w:rsidRDefault="00F11649" w:rsidP="00AA35DD">
      <w:pPr>
        <w:pStyle w:val="NoSpacing"/>
        <w:rPr>
          <w:rFonts w:eastAsia="Times New Roman" w:cs="Times New Roman"/>
          <w:b/>
          <w:bCs/>
          <w:kern w:val="0"/>
          <w:lang w:eastAsia="en-GB"/>
        </w:rPr>
      </w:pPr>
    </w:p>
    <w:p w14:paraId="71AA3971" w14:textId="5BA851E1" w:rsidR="00AA35DD" w:rsidRDefault="00AA35DD" w:rsidP="00AA35DD">
      <w:pPr>
        <w:pStyle w:val="NoSpacing"/>
        <w:rPr>
          <w:rFonts w:eastAsia="Times New Roman" w:cs="Times New Roman"/>
          <w:b/>
          <w:bCs/>
          <w:kern w:val="0"/>
          <w:lang w:eastAsia="en-GB"/>
        </w:rPr>
      </w:pPr>
      <w:r w:rsidRPr="00AA35DD">
        <w:rPr>
          <w:rFonts w:eastAsia="Times New Roman" w:cs="Times New Roman"/>
          <w:b/>
          <w:bCs/>
          <w:kern w:val="0"/>
          <w:lang w:eastAsia="en-GB"/>
        </w:rPr>
        <w:t>3.</w:t>
      </w:r>
      <w:r>
        <w:rPr>
          <w:rFonts w:eastAsia="Times New Roman" w:cs="Times New Roman"/>
          <w:b/>
          <w:bCs/>
          <w:kern w:val="0"/>
          <w:lang w:eastAsia="en-GB"/>
        </w:rPr>
        <w:t xml:space="preserve"> Are the financial envelopes including or excluding VAT?</w:t>
      </w:r>
    </w:p>
    <w:p w14:paraId="7CAE1BBB" w14:textId="2D6B84A4" w:rsidR="00AA35DD" w:rsidRPr="00AA35DD" w:rsidRDefault="00AA35DD" w:rsidP="00AA35DD">
      <w:pPr>
        <w:pStyle w:val="NoSpacing"/>
        <w:rPr>
          <w:rFonts w:eastAsia="Times New Roman" w:cs="Times New Roman"/>
          <w:kern w:val="0"/>
          <w:lang w:eastAsia="en-GB"/>
        </w:rPr>
      </w:pPr>
      <w:r w:rsidRPr="00AA35DD">
        <w:rPr>
          <w:rFonts w:eastAsia="Times New Roman" w:cs="Times New Roman"/>
          <w:kern w:val="0"/>
          <w:lang w:eastAsia="en-GB"/>
        </w:rPr>
        <w:t xml:space="preserve">A: Including </w:t>
      </w:r>
    </w:p>
    <w:p w14:paraId="0C4F5265" w14:textId="77777777" w:rsidR="00F11649" w:rsidRDefault="00F11649" w:rsidP="00AA35DD">
      <w:pPr>
        <w:pStyle w:val="NoSpacing"/>
        <w:rPr>
          <w:rFonts w:eastAsia="Times New Roman" w:cs="Times New Roman"/>
          <w:b/>
          <w:bCs/>
          <w:kern w:val="0"/>
          <w:lang w:eastAsia="en-GB"/>
        </w:rPr>
      </w:pPr>
    </w:p>
    <w:p w14:paraId="28CF1CF7" w14:textId="1353AE38" w:rsidR="00AA35DD" w:rsidRPr="00AA35DD" w:rsidRDefault="00AA35DD" w:rsidP="00AA35DD">
      <w:pPr>
        <w:pStyle w:val="NoSpacing"/>
        <w:rPr>
          <w:rFonts w:eastAsia="Times New Roman" w:cs="Times New Roman"/>
          <w:b/>
          <w:bCs/>
          <w:kern w:val="0"/>
          <w:lang w:eastAsia="en-GB"/>
        </w:rPr>
      </w:pPr>
      <w:r w:rsidRPr="00AA35DD">
        <w:rPr>
          <w:rFonts w:eastAsia="Times New Roman" w:cs="Times New Roman"/>
          <w:b/>
          <w:bCs/>
          <w:kern w:val="0"/>
          <w:lang w:eastAsia="en-GB"/>
        </w:rPr>
        <w:t>4. Would small businesses or startups be considered as well?</w:t>
      </w:r>
    </w:p>
    <w:p w14:paraId="4BF6C7E4" w14:textId="09FF9A1F" w:rsidR="00AA35DD" w:rsidRPr="00283574" w:rsidRDefault="00F11649" w:rsidP="00AA35DD">
      <w:pPr>
        <w:pStyle w:val="NoSpacing"/>
        <w:rPr>
          <w:rFonts w:eastAsia="Times New Roman" w:cs="Times New Roman"/>
          <w:kern w:val="0"/>
          <w:lang w:eastAsia="en-GB"/>
        </w:rPr>
      </w:pPr>
      <w:r>
        <w:rPr>
          <w:rFonts w:eastAsia="Times New Roman" w:cs="Times New Roman"/>
          <w:kern w:val="0"/>
          <w:lang w:eastAsia="en-GB"/>
        </w:rPr>
        <w:t xml:space="preserve">A: </w:t>
      </w:r>
      <w:r w:rsidR="00AA35DD" w:rsidRPr="00283574">
        <w:rPr>
          <w:rFonts w:eastAsia="Times New Roman" w:cs="Times New Roman"/>
          <w:kern w:val="0"/>
          <w:lang w:eastAsia="en-GB"/>
        </w:rPr>
        <w:t xml:space="preserve">Yes, we see many opportunities for smaller businesses and the third sector in this contract, adding value at every opportunity. </w:t>
      </w:r>
    </w:p>
    <w:p w14:paraId="3C61DF88" w14:textId="3BDC5508" w:rsidR="00AA35DD" w:rsidRPr="00283574" w:rsidRDefault="00283574" w:rsidP="00AA35DD">
      <w:pPr>
        <w:pStyle w:val="NoSpacing"/>
        <w:rPr>
          <w:rFonts w:eastAsia="Times New Roman" w:cs="Times New Roman"/>
          <w:kern w:val="0"/>
          <w:lang w:eastAsia="en-GB"/>
        </w:rPr>
      </w:pPr>
      <w:r>
        <w:rPr>
          <w:rFonts w:eastAsia="Times New Roman" w:cs="Times New Roman"/>
          <w:kern w:val="0"/>
          <w:lang w:eastAsia="en-GB"/>
        </w:rPr>
        <w:t>The ITT</w:t>
      </w:r>
      <w:r w:rsidR="00AA35DD" w:rsidRPr="00283574">
        <w:rPr>
          <w:rFonts w:eastAsia="Times New Roman" w:cs="Times New Roman"/>
          <w:kern w:val="0"/>
          <w:lang w:eastAsia="en-GB"/>
        </w:rPr>
        <w:t xml:space="preserve"> will include a financial standing, and if you can prove you meet that standard, you will be able to take part. </w:t>
      </w:r>
    </w:p>
    <w:p w14:paraId="4491C5F8" w14:textId="755A4EB4" w:rsidR="00AA35DD" w:rsidRDefault="00AA35DD" w:rsidP="00AA35DD">
      <w:pPr>
        <w:pStyle w:val="NoSpacing"/>
        <w:rPr>
          <w:rFonts w:eastAsia="Times New Roman" w:cs="Times New Roman"/>
          <w:kern w:val="0"/>
          <w:lang w:eastAsia="en-GB"/>
        </w:rPr>
      </w:pPr>
      <w:r w:rsidRPr="00283574">
        <w:rPr>
          <w:rFonts w:eastAsia="Times New Roman" w:cs="Times New Roman"/>
          <w:kern w:val="0"/>
          <w:lang w:eastAsia="en-GB"/>
        </w:rPr>
        <w:t xml:space="preserve">SMES are welcome to bid, and we hope you do apply, as we see lots of opportunities for small businesses and our </w:t>
      </w:r>
      <w:r w:rsidR="00283574">
        <w:rPr>
          <w:rFonts w:eastAsia="Times New Roman" w:cs="Times New Roman"/>
          <w:kern w:val="0"/>
          <w:lang w:eastAsia="en-GB"/>
        </w:rPr>
        <w:t xml:space="preserve">wider </w:t>
      </w:r>
      <w:r w:rsidRPr="00283574">
        <w:rPr>
          <w:rFonts w:eastAsia="Times New Roman" w:cs="Times New Roman"/>
          <w:kern w:val="0"/>
          <w:lang w:eastAsia="en-GB"/>
        </w:rPr>
        <w:t>key stakeholders</w:t>
      </w:r>
      <w:r w:rsidR="00283574">
        <w:rPr>
          <w:rFonts w:eastAsia="Times New Roman" w:cs="Times New Roman"/>
          <w:kern w:val="0"/>
          <w:lang w:eastAsia="en-GB"/>
        </w:rPr>
        <w:t xml:space="preserve"> through this contract. </w:t>
      </w:r>
    </w:p>
    <w:p w14:paraId="7D01EC15" w14:textId="77777777" w:rsidR="00F11649" w:rsidRDefault="00F11649" w:rsidP="00283574">
      <w:pPr>
        <w:pStyle w:val="NoSpacing"/>
        <w:rPr>
          <w:rFonts w:eastAsia="Times New Roman" w:cs="Times New Roman"/>
          <w:b/>
          <w:bCs/>
          <w:kern w:val="0"/>
          <w:lang w:eastAsia="en-GB"/>
        </w:rPr>
      </w:pPr>
    </w:p>
    <w:p w14:paraId="66C0A71F" w14:textId="5A189B12" w:rsidR="00283574" w:rsidRDefault="00283574" w:rsidP="00283574">
      <w:pPr>
        <w:pStyle w:val="NoSpacing"/>
        <w:rPr>
          <w:rFonts w:eastAsia="Times New Roman" w:cs="Times New Roman"/>
          <w:b/>
          <w:bCs/>
          <w:kern w:val="0"/>
          <w:lang w:eastAsia="en-GB"/>
        </w:rPr>
      </w:pPr>
      <w:r w:rsidRPr="00283574">
        <w:rPr>
          <w:rFonts w:eastAsia="Times New Roman" w:cs="Times New Roman"/>
          <w:b/>
          <w:bCs/>
          <w:kern w:val="0"/>
          <w:lang w:eastAsia="en-GB"/>
        </w:rPr>
        <w:t xml:space="preserve">5. </w:t>
      </w:r>
      <w:r>
        <w:rPr>
          <w:rFonts w:eastAsia="Times New Roman" w:cs="Times New Roman"/>
          <w:b/>
          <w:bCs/>
          <w:kern w:val="0"/>
          <w:lang w:eastAsia="en-GB"/>
        </w:rPr>
        <w:t xml:space="preserve">Assuming providers can bid for more than one lot? </w:t>
      </w:r>
    </w:p>
    <w:p w14:paraId="0C6F909C" w14:textId="6E13E984" w:rsidR="00283574" w:rsidRPr="00283574" w:rsidRDefault="00F11649" w:rsidP="00283574">
      <w:pPr>
        <w:pStyle w:val="NoSpacing"/>
        <w:rPr>
          <w:rFonts w:eastAsia="Times New Roman" w:cs="Times New Roman"/>
          <w:kern w:val="0"/>
          <w:lang w:eastAsia="en-GB"/>
        </w:rPr>
      </w:pPr>
      <w:r>
        <w:rPr>
          <w:rFonts w:eastAsia="Times New Roman" w:cs="Times New Roman"/>
          <w:kern w:val="0"/>
          <w:lang w:eastAsia="en-GB"/>
        </w:rPr>
        <w:t xml:space="preserve">A: </w:t>
      </w:r>
      <w:r w:rsidR="00283574" w:rsidRPr="00283574">
        <w:rPr>
          <w:rFonts w:eastAsia="Times New Roman" w:cs="Times New Roman"/>
          <w:kern w:val="0"/>
          <w:lang w:eastAsia="en-GB"/>
        </w:rPr>
        <w:t>Yes, that would be very much welcome</w:t>
      </w:r>
      <w:r w:rsidR="00283574">
        <w:rPr>
          <w:rFonts w:eastAsia="Times New Roman" w:cs="Times New Roman"/>
          <w:kern w:val="0"/>
          <w:lang w:eastAsia="en-GB"/>
        </w:rPr>
        <w:t>d</w:t>
      </w:r>
    </w:p>
    <w:p w14:paraId="7CF5A6B9" w14:textId="77777777" w:rsidR="00F11649" w:rsidRDefault="00F11649" w:rsidP="00283574">
      <w:pPr>
        <w:pStyle w:val="NoSpacing"/>
        <w:rPr>
          <w:rFonts w:eastAsia="Times New Roman" w:cs="Times New Roman"/>
          <w:b/>
          <w:bCs/>
          <w:kern w:val="0"/>
          <w:lang w:eastAsia="en-GB"/>
        </w:rPr>
      </w:pPr>
    </w:p>
    <w:p w14:paraId="7D0472E0" w14:textId="4DCAED12" w:rsidR="00283574" w:rsidRDefault="00283574" w:rsidP="00283574">
      <w:pPr>
        <w:pStyle w:val="NoSpacing"/>
        <w:rPr>
          <w:rFonts w:eastAsia="Times New Roman" w:cs="Times New Roman"/>
          <w:b/>
          <w:bCs/>
          <w:kern w:val="0"/>
          <w:lang w:eastAsia="en-GB"/>
        </w:rPr>
      </w:pPr>
      <w:r>
        <w:rPr>
          <w:rFonts w:eastAsia="Times New Roman" w:cs="Times New Roman"/>
          <w:b/>
          <w:bCs/>
          <w:kern w:val="0"/>
          <w:lang w:eastAsia="en-GB"/>
        </w:rPr>
        <w:t>6. Please can you clarify how the lots will work for this procurement, if there is a requirement for a lead provider, and are you looking for one provider for all three lots, or can organisations submit a bid for one individual lot?</w:t>
      </w:r>
    </w:p>
    <w:p w14:paraId="7BDA0811" w14:textId="54DCE9DF" w:rsidR="00283574" w:rsidRDefault="00F11649" w:rsidP="00283574">
      <w:pPr>
        <w:pStyle w:val="NoSpacing"/>
        <w:rPr>
          <w:rFonts w:eastAsia="Times New Roman" w:cs="Times New Roman"/>
          <w:kern w:val="0"/>
          <w:lang w:eastAsia="en-GB"/>
        </w:rPr>
      </w:pPr>
      <w:r>
        <w:rPr>
          <w:rFonts w:eastAsia="Times New Roman" w:cs="Times New Roman"/>
          <w:kern w:val="0"/>
          <w:lang w:eastAsia="en-GB"/>
        </w:rPr>
        <w:t xml:space="preserve">A: </w:t>
      </w:r>
      <w:r w:rsidR="00283574" w:rsidRPr="00283574">
        <w:rPr>
          <w:rFonts w:eastAsia="Times New Roman" w:cs="Times New Roman"/>
          <w:kern w:val="0"/>
          <w:lang w:eastAsia="en-GB"/>
        </w:rPr>
        <w:t xml:space="preserve">We are very much open to </w:t>
      </w:r>
      <w:r w:rsidR="00283574">
        <w:rPr>
          <w:rFonts w:eastAsia="Times New Roman" w:cs="Times New Roman"/>
          <w:kern w:val="0"/>
          <w:lang w:eastAsia="en-GB"/>
        </w:rPr>
        <w:t xml:space="preserve">one provider delivering all three lots, or submitting for one lot, or submitting collaborative/partnership bids. </w:t>
      </w:r>
    </w:p>
    <w:p w14:paraId="09F72FFF" w14:textId="77777777" w:rsidR="00F11649" w:rsidRDefault="00F11649" w:rsidP="00283574">
      <w:pPr>
        <w:pStyle w:val="NoSpacing"/>
        <w:rPr>
          <w:rFonts w:eastAsia="Times New Roman" w:cs="Times New Roman"/>
          <w:kern w:val="0"/>
          <w:lang w:eastAsia="en-GB"/>
        </w:rPr>
      </w:pPr>
    </w:p>
    <w:p w14:paraId="572D605F" w14:textId="390F789D" w:rsidR="00F11649" w:rsidRDefault="00F11649" w:rsidP="00F11649">
      <w:pPr>
        <w:pStyle w:val="NoSpacing"/>
        <w:rPr>
          <w:rFonts w:eastAsia="Times New Roman" w:cs="Times New Roman"/>
          <w:b/>
          <w:bCs/>
          <w:kern w:val="0"/>
          <w:lang w:eastAsia="en-GB"/>
        </w:rPr>
      </w:pPr>
      <w:r w:rsidRPr="00F11649">
        <w:rPr>
          <w:rFonts w:eastAsia="Times New Roman" w:cs="Times New Roman"/>
          <w:b/>
          <w:bCs/>
          <w:kern w:val="0"/>
          <w:lang w:eastAsia="en-GB"/>
        </w:rPr>
        <w:t>7.</w:t>
      </w:r>
      <w:r>
        <w:rPr>
          <w:rFonts w:eastAsia="Times New Roman" w:cs="Times New Roman"/>
          <w:kern w:val="0"/>
          <w:lang w:eastAsia="en-GB"/>
        </w:rPr>
        <w:t xml:space="preserve"> </w:t>
      </w:r>
      <w:r>
        <w:rPr>
          <w:rFonts w:eastAsia="Times New Roman" w:cs="Times New Roman"/>
          <w:b/>
          <w:bCs/>
          <w:kern w:val="0"/>
          <w:lang w:eastAsia="en-GB"/>
        </w:rPr>
        <w:t>For Eloise – Note the ITT etc. will be published on FTC, but which platform will be used for raising clarifications, uploading docs etc. Will it be the Chest?</w:t>
      </w:r>
    </w:p>
    <w:p w14:paraId="58993E13" w14:textId="52C4547D" w:rsidR="00F11649" w:rsidRDefault="00F11649" w:rsidP="00F11649">
      <w:pPr>
        <w:pStyle w:val="NoSpacing"/>
        <w:rPr>
          <w:rFonts w:eastAsia="Times New Roman" w:cs="Times New Roman"/>
          <w:kern w:val="0"/>
          <w:lang w:eastAsia="en-GB"/>
        </w:rPr>
      </w:pPr>
      <w:r w:rsidRPr="00F11649">
        <w:rPr>
          <w:rFonts w:eastAsia="Times New Roman" w:cs="Times New Roman"/>
          <w:kern w:val="0"/>
          <w:lang w:eastAsia="en-GB"/>
        </w:rPr>
        <w:lastRenderedPageBreak/>
        <w:t xml:space="preserve">A: </w:t>
      </w:r>
      <w:r>
        <w:rPr>
          <w:rFonts w:eastAsia="Times New Roman" w:cs="Times New Roman"/>
          <w:kern w:val="0"/>
          <w:lang w:eastAsia="en-GB"/>
        </w:rPr>
        <w:t xml:space="preserve">Everything will be issued on the Chest, that’s our portal, all messages will go through here. We will issue the notice on FTS. Currently, our Chest portal is not linked to FTS. So, currently we are trying our best to link notices for easy access. </w:t>
      </w:r>
    </w:p>
    <w:p w14:paraId="3F7B8210" w14:textId="77777777" w:rsidR="00F11649" w:rsidRDefault="00F11649" w:rsidP="00F11649">
      <w:pPr>
        <w:pStyle w:val="NoSpacing"/>
        <w:rPr>
          <w:rFonts w:eastAsia="Times New Roman" w:cs="Times New Roman"/>
          <w:kern w:val="0"/>
          <w:lang w:eastAsia="en-GB"/>
        </w:rPr>
      </w:pPr>
    </w:p>
    <w:p w14:paraId="34AFB35D" w14:textId="6A021859" w:rsidR="00F11649" w:rsidRPr="00F11649" w:rsidRDefault="00F11649" w:rsidP="00F11649">
      <w:pPr>
        <w:pStyle w:val="NoSpacing"/>
        <w:rPr>
          <w:rFonts w:eastAsia="Times New Roman" w:cs="Times New Roman"/>
          <w:b/>
          <w:bCs/>
          <w:kern w:val="0"/>
          <w:lang w:eastAsia="en-GB"/>
        </w:rPr>
      </w:pPr>
      <w:r w:rsidRPr="00F11649">
        <w:rPr>
          <w:rFonts w:eastAsia="Times New Roman" w:cs="Times New Roman"/>
          <w:b/>
          <w:bCs/>
          <w:kern w:val="0"/>
          <w:lang w:eastAsia="en-GB"/>
        </w:rPr>
        <w:t>8. Will the Oral Health Improvement Service be dentist-led or DCP (nurse/therapist) led?</w:t>
      </w:r>
    </w:p>
    <w:p w14:paraId="04F923BE" w14:textId="28A2E797" w:rsidR="00F11649" w:rsidRDefault="00F11649" w:rsidP="00F11649">
      <w:pPr>
        <w:pStyle w:val="NoSpacing"/>
        <w:rPr>
          <w:rFonts w:eastAsia="Times New Roman" w:cs="Times New Roman"/>
          <w:kern w:val="0"/>
          <w:lang w:eastAsia="en-GB"/>
        </w:rPr>
      </w:pPr>
      <w:r>
        <w:rPr>
          <w:rFonts w:eastAsia="Times New Roman" w:cs="Times New Roman"/>
          <w:kern w:val="0"/>
          <w:lang w:eastAsia="en-GB"/>
        </w:rPr>
        <w:t xml:space="preserve">A: Not necessarily looking for a DCP to lead the service, we are looking for a provider with the knowledge and expertise to run and deliver an oral health improvement service. </w:t>
      </w:r>
    </w:p>
    <w:p w14:paraId="6D5C7915" w14:textId="77777777" w:rsidR="00F11649" w:rsidRDefault="00F11649" w:rsidP="00F11649">
      <w:pPr>
        <w:pStyle w:val="NoSpacing"/>
        <w:rPr>
          <w:rFonts w:eastAsia="Times New Roman" w:cs="Times New Roman"/>
          <w:kern w:val="0"/>
          <w:lang w:eastAsia="en-GB"/>
        </w:rPr>
      </w:pPr>
    </w:p>
    <w:p w14:paraId="7BD55E90" w14:textId="1E574DB7" w:rsidR="0060004A" w:rsidRDefault="0060004A" w:rsidP="0060004A">
      <w:pPr>
        <w:pStyle w:val="NoSpacing"/>
        <w:rPr>
          <w:rFonts w:eastAsia="Times New Roman" w:cs="Times New Roman"/>
          <w:b/>
          <w:bCs/>
          <w:kern w:val="0"/>
          <w:lang w:eastAsia="en-GB"/>
        </w:rPr>
      </w:pPr>
      <w:r w:rsidRPr="0060004A">
        <w:rPr>
          <w:rFonts w:eastAsia="Times New Roman" w:cs="Times New Roman"/>
          <w:b/>
          <w:bCs/>
          <w:kern w:val="0"/>
          <w:lang w:eastAsia="en-GB"/>
        </w:rPr>
        <w:t>9.</w:t>
      </w:r>
      <w:r>
        <w:rPr>
          <w:rFonts w:eastAsia="Times New Roman" w:cs="Times New Roman"/>
          <w:b/>
          <w:bCs/>
          <w:kern w:val="0"/>
          <w:lang w:eastAsia="en-GB"/>
        </w:rPr>
        <w:t xml:space="preserve"> If providers are keen to explore partnerships, would the authority be able to facilitate the sharing of provider contact details to support collaboration?</w:t>
      </w:r>
    </w:p>
    <w:p w14:paraId="54F8C64B" w14:textId="3E149202" w:rsidR="00F11649" w:rsidRDefault="00F11649" w:rsidP="00283574">
      <w:pPr>
        <w:pStyle w:val="NoSpacing"/>
        <w:rPr>
          <w:rFonts w:eastAsia="Times New Roman" w:cs="Times New Roman"/>
          <w:kern w:val="0"/>
          <w:lang w:eastAsia="en-GB"/>
        </w:rPr>
      </w:pPr>
      <w:r>
        <w:rPr>
          <w:rFonts w:eastAsia="Times New Roman" w:cs="Times New Roman"/>
          <w:kern w:val="0"/>
          <w:lang w:eastAsia="en-GB"/>
        </w:rPr>
        <w:t xml:space="preserve">A: </w:t>
      </w:r>
      <w:r w:rsidR="0060004A">
        <w:rPr>
          <w:rFonts w:eastAsia="Times New Roman" w:cs="Times New Roman"/>
          <w:kern w:val="0"/>
          <w:lang w:eastAsia="en-GB"/>
        </w:rPr>
        <w:t xml:space="preserve">Yes, a message will be put on the portal, and if you can reply to say you are happy for your details to be shared, a spreadsheet will be created. </w:t>
      </w:r>
    </w:p>
    <w:p w14:paraId="401BE9BA" w14:textId="77777777" w:rsidR="0060004A" w:rsidRDefault="0060004A" w:rsidP="00283574">
      <w:pPr>
        <w:pStyle w:val="NoSpacing"/>
        <w:rPr>
          <w:rFonts w:eastAsia="Times New Roman" w:cs="Times New Roman"/>
          <w:kern w:val="0"/>
          <w:lang w:eastAsia="en-GB"/>
        </w:rPr>
      </w:pPr>
    </w:p>
    <w:p w14:paraId="4F838886" w14:textId="6103F8C9" w:rsidR="0060004A" w:rsidRDefault="0060004A" w:rsidP="00283574">
      <w:pPr>
        <w:pStyle w:val="NoSpacing"/>
        <w:rPr>
          <w:rFonts w:eastAsia="Times New Roman" w:cs="Times New Roman"/>
          <w:b/>
          <w:bCs/>
          <w:kern w:val="0"/>
          <w:lang w:eastAsia="en-GB"/>
        </w:rPr>
      </w:pPr>
      <w:r w:rsidRPr="0060004A">
        <w:rPr>
          <w:rFonts w:eastAsia="Times New Roman" w:cs="Times New Roman"/>
          <w:b/>
          <w:bCs/>
          <w:kern w:val="0"/>
          <w:lang w:eastAsia="en-GB"/>
        </w:rPr>
        <w:t>10.</w:t>
      </w:r>
      <w:r>
        <w:rPr>
          <w:rFonts w:eastAsia="Times New Roman" w:cs="Times New Roman"/>
          <w:b/>
          <w:bCs/>
          <w:kern w:val="0"/>
          <w:lang w:eastAsia="en-GB"/>
        </w:rPr>
        <w:t xml:space="preserve"> On FTS, the estimated value was £13,000,000, and the finance slide was just over £6,000,000. There’s quite a difference. </w:t>
      </w:r>
    </w:p>
    <w:p w14:paraId="498993A1" w14:textId="22FCBA9B" w:rsidR="0060004A" w:rsidRDefault="0060004A" w:rsidP="00283574">
      <w:pPr>
        <w:pStyle w:val="NoSpacing"/>
        <w:rPr>
          <w:rFonts w:eastAsia="Times New Roman" w:cs="Times New Roman"/>
          <w:kern w:val="0"/>
          <w:lang w:eastAsia="en-GB"/>
        </w:rPr>
      </w:pPr>
      <w:r w:rsidRPr="0060004A">
        <w:rPr>
          <w:rFonts w:eastAsia="Times New Roman" w:cs="Times New Roman"/>
          <w:kern w:val="0"/>
          <w:lang w:eastAsia="en-GB"/>
        </w:rPr>
        <w:t xml:space="preserve">A: Likely to be an oversight on the FTS </w:t>
      </w:r>
    </w:p>
    <w:p w14:paraId="244DA3D8" w14:textId="77777777" w:rsidR="0060004A" w:rsidRDefault="0060004A" w:rsidP="00283574">
      <w:pPr>
        <w:pStyle w:val="NoSpacing"/>
        <w:rPr>
          <w:rFonts w:eastAsia="Times New Roman" w:cs="Times New Roman"/>
          <w:kern w:val="0"/>
          <w:lang w:eastAsia="en-GB"/>
        </w:rPr>
      </w:pPr>
    </w:p>
    <w:p w14:paraId="7D352C64" w14:textId="66CBD53F" w:rsidR="0060004A" w:rsidRPr="0060004A" w:rsidRDefault="0060004A" w:rsidP="00283574">
      <w:pPr>
        <w:pStyle w:val="NoSpacing"/>
        <w:rPr>
          <w:rFonts w:eastAsia="Times New Roman" w:cs="Times New Roman"/>
          <w:b/>
          <w:bCs/>
          <w:kern w:val="0"/>
          <w:lang w:eastAsia="en-GB"/>
        </w:rPr>
      </w:pPr>
      <w:r w:rsidRPr="0060004A">
        <w:rPr>
          <w:rFonts w:eastAsia="Times New Roman" w:cs="Times New Roman"/>
          <w:b/>
          <w:bCs/>
          <w:kern w:val="0"/>
          <w:lang w:eastAsia="en-GB"/>
        </w:rPr>
        <w:t>11. Are you able to share a breakdown of the individual lot values, please?</w:t>
      </w:r>
    </w:p>
    <w:p w14:paraId="1BC6AD8D" w14:textId="5792D28A" w:rsidR="0060004A" w:rsidRPr="0060004A" w:rsidRDefault="00C336AC" w:rsidP="00283574">
      <w:pPr>
        <w:pStyle w:val="NoSpacing"/>
        <w:rPr>
          <w:rFonts w:eastAsia="Times New Roman" w:cs="Times New Roman"/>
          <w:kern w:val="0"/>
          <w:lang w:eastAsia="en-GB"/>
        </w:rPr>
      </w:pPr>
      <w:r>
        <w:rPr>
          <w:rFonts w:eastAsia="Times New Roman" w:cs="Times New Roman"/>
          <w:kern w:val="0"/>
          <w:lang w:eastAsia="en-GB"/>
        </w:rPr>
        <w:t xml:space="preserve"> </w:t>
      </w:r>
      <w:r w:rsidR="0060004A">
        <w:rPr>
          <w:rFonts w:eastAsia="Times New Roman" w:cs="Times New Roman"/>
          <w:kern w:val="0"/>
          <w:lang w:eastAsia="en-GB"/>
        </w:rPr>
        <w:t xml:space="preserve">Please see below. We can provide more details around how this has been calculated by commissioners, if required. </w:t>
      </w:r>
    </w:p>
    <w:tbl>
      <w:tblPr>
        <w:tblStyle w:val="TableGrid"/>
        <w:tblpPr w:leftFromText="180" w:rightFromText="180" w:vertAnchor="text" w:horzAnchor="margin" w:tblpXSpec="center" w:tblpY="87"/>
        <w:tblW w:w="0" w:type="auto"/>
        <w:tblLook w:val="04A0" w:firstRow="1" w:lastRow="0" w:firstColumn="1" w:lastColumn="0" w:noHBand="0" w:noVBand="1"/>
      </w:tblPr>
      <w:tblGrid>
        <w:gridCol w:w="2787"/>
        <w:gridCol w:w="1875"/>
        <w:gridCol w:w="1701"/>
      </w:tblGrid>
      <w:tr w:rsidR="00C336AC" w14:paraId="67E74825" w14:textId="77777777" w:rsidTr="00C336AC">
        <w:tc>
          <w:tcPr>
            <w:tcW w:w="2787" w:type="dxa"/>
          </w:tcPr>
          <w:p w14:paraId="45C9D97E" w14:textId="77777777" w:rsidR="00C336AC" w:rsidRPr="00297295" w:rsidRDefault="00C336AC" w:rsidP="00C336AC">
            <w:pPr>
              <w:pStyle w:val="NoSpacing"/>
              <w:jc w:val="center"/>
              <w:rPr>
                <w:b/>
                <w:bCs/>
              </w:rPr>
            </w:pPr>
            <w:r w:rsidRPr="00297295">
              <w:rPr>
                <w:b/>
                <w:bCs/>
              </w:rPr>
              <w:t>Service:</w:t>
            </w:r>
          </w:p>
        </w:tc>
        <w:tc>
          <w:tcPr>
            <w:tcW w:w="1875" w:type="dxa"/>
          </w:tcPr>
          <w:p w14:paraId="6BA9A06C" w14:textId="77777777" w:rsidR="00C336AC" w:rsidRPr="00297295" w:rsidRDefault="00C336AC" w:rsidP="00C336AC">
            <w:pPr>
              <w:pStyle w:val="NoSpacing"/>
              <w:jc w:val="center"/>
              <w:rPr>
                <w:b/>
                <w:bCs/>
              </w:rPr>
            </w:pPr>
            <w:r w:rsidRPr="00297295">
              <w:rPr>
                <w:b/>
                <w:bCs/>
              </w:rPr>
              <w:t>Annual Budget:</w:t>
            </w:r>
          </w:p>
        </w:tc>
        <w:tc>
          <w:tcPr>
            <w:tcW w:w="1701" w:type="dxa"/>
          </w:tcPr>
          <w:p w14:paraId="657C2D6B" w14:textId="1FBF8308" w:rsidR="00C336AC" w:rsidRPr="00297295" w:rsidRDefault="00C336AC" w:rsidP="00C336AC">
            <w:pPr>
              <w:pStyle w:val="NoSpacing"/>
              <w:jc w:val="center"/>
              <w:rPr>
                <w:b/>
                <w:bCs/>
              </w:rPr>
            </w:pPr>
            <w:r w:rsidRPr="00297295">
              <w:rPr>
                <w:b/>
                <w:bCs/>
              </w:rPr>
              <w:t>Total Budget:</w:t>
            </w:r>
          </w:p>
        </w:tc>
      </w:tr>
      <w:tr w:rsidR="00C336AC" w14:paraId="2B2DEF8A" w14:textId="77777777" w:rsidTr="00C336AC">
        <w:tc>
          <w:tcPr>
            <w:tcW w:w="2787" w:type="dxa"/>
          </w:tcPr>
          <w:p w14:paraId="2EC7B153" w14:textId="77777777" w:rsidR="00C336AC" w:rsidRDefault="00C336AC" w:rsidP="00C336AC">
            <w:pPr>
              <w:pStyle w:val="NoSpacing"/>
            </w:pPr>
            <w:r>
              <w:t>Lot 1: Healthy Knowsley Service for Adults and Pregnant Women</w:t>
            </w:r>
          </w:p>
        </w:tc>
        <w:tc>
          <w:tcPr>
            <w:tcW w:w="1875" w:type="dxa"/>
          </w:tcPr>
          <w:p w14:paraId="3DEA769F" w14:textId="77777777" w:rsidR="00C336AC" w:rsidRDefault="00C336AC" w:rsidP="00C336AC">
            <w:pPr>
              <w:pStyle w:val="NoSpacing"/>
              <w:jc w:val="center"/>
            </w:pPr>
            <w:r>
              <w:t>£658,000</w:t>
            </w:r>
          </w:p>
        </w:tc>
        <w:tc>
          <w:tcPr>
            <w:tcW w:w="1701" w:type="dxa"/>
          </w:tcPr>
          <w:p w14:paraId="66D597D0" w14:textId="77777777" w:rsidR="00C336AC" w:rsidRDefault="00C336AC" w:rsidP="00C336AC">
            <w:pPr>
              <w:pStyle w:val="NoSpacing"/>
              <w:jc w:val="center"/>
            </w:pPr>
            <w:r>
              <w:t>£3,948,000</w:t>
            </w:r>
          </w:p>
        </w:tc>
      </w:tr>
      <w:tr w:rsidR="00C336AC" w14:paraId="795BE452" w14:textId="77777777" w:rsidTr="00C336AC">
        <w:tc>
          <w:tcPr>
            <w:tcW w:w="2787" w:type="dxa"/>
          </w:tcPr>
          <w:p w14:paraId="1C4B46F8" w14:textId="77777777" w:rsidR="00C336AC" w:rsidRDefault="00C336AC" w:rsidP="00C336AC">
            <w:pPr>
              <w:pStyle w:val="NoSpacing"/>
            </w:pPr>
            <w:r>
              <w:t>Lot 2: Healthy Knowsley Service for Children, Young People and Families</w:t>
            </w:r>
          </w:p>
        </w:tc>
        <w:tc>
          <w:tcPr>
            <w:tcW w:w="1875" w:type="dxa"/>
          </w:tcPr>
          <w:p w14:paraId="0EEE56AA" w14:textId="77777777" w:rsidR="00C336AC" w:rsidRDefault="00C336AC" w:rsidP="00C336AC">
            <w:pPr>
              <w:pStyle w:val="NoSpacing"/>
              <w:jc w:val="center"/>
            </w:pPr>
            <w:r>
              <w:t>£414,000</w:t>
            </w:r>
          </w:p>
        </w:tc>
        <w:tc>
          <w:tcPr>
            <w:tcW w:w="1701" w:type="dxa"/>
          </w:tcPr>
          <w:p w14:paraId="687F5E92" w14:textId="77777777" w:rsidR="00C336AC" w:rsidRDefault="00C336AC" w:rsidP="00C336AC">
            <w:pPr>
              <w:pStyle w:val="NoSpacing"/>
              <w:jc w:val="center"/>
            </w:pPr>
            <w:r>
              <w:t>£2,484,000</w:t>
            </w:r>
          </w:p>
        </w:tc>
      </w:tr>
      <w:tr w:rsidR="00C336AC" w14:paraId="01582084" w14:textId="77777777" w:rsidTr="00C336AC">
        <w:tc>
          <w:tcPr>
            <w:tcW w:w="2787" w:type="dxa"/>
          </w:tcPr>
          <w:p w14:paraId="55532376" w14:textId="77777777" w:rsidR="00C336AC" w:rsidRDefault="00C336AC" w:rsidP="00C336AC">
            <w:pPr>
              <w:pStyle w:val="NoSpacing"/>
            </w:pPr>
            <w:r>
              <w:t>Lot 3: Oral Health Improvement</w:t>
            </w:r>
          </w:p>
        </w:tc>
        <w:tc>
          <w:tcPr>
            <w:tcW w:w="1875" w:type="dxa"/>
          </w:tcPr>
          <w:p w14:paraId="71844180" w14:textId="77777777" w:rsidR="00C336AC" w:rsidRDefault="00C336AC" w:rsidP="00C336AC">
            <w:pPr>
              <w:pStyle w:val="NoSpacing"/>
              <w:jc w:val="center"/>
            </w:pPr>
            <w:r>
              <w:t>£65,000</w:t>
            </w:r>
          </w:p>
        </w:tc>
        <w:tc>
          <w:tcPr>
            <w:tcW w:w="1701" w:type="dxa"/>
          </w:tcPr>
          <w:p w14:paraId="79D1D152" w14:textId="77777777" w:rsidR="00C336AC" w:rsidRDefault="00C336AC" w:rsidP="00C336AC">
            <w:pPr>
              <w:pStyle w:val="NoSpacing"/>
              <w:jc w:val="center"/>
            </w:pPr>
            <w:r>
              <w:t>£390,000</w:t>
            </w:r>
          </w:p>
        </w:tc>
      </w:tr>
      <w:tr w:rsidR="00C336AC" w14:paraId="26C28FC2" w14:textId="77777777" w:rsidTr="00C336AC">
        <w:tc>
          <w:tcPr>
            <w:tcW w:w="2787" w:type="dxa"/>
          </w:tcPr>
          <w:p w14:paraId="2CE426D2" w14:textId="77777777" w:rsidR="00C336AC" w:rsidRPr="00297295" w:rsidRDefault="00C336AC" w:rsidP="00C336AC">
            <w:pPr>
              <w:pStyle w:val="NoSpacing"/>
              <w:rPr>
                <w:b/>
                <w:bCs/>
              </w:rPr>
            </w:pPr>
            <w:r w:rsidRPr="00297295">
              <w:rPr>
                <w:b/>
                <w:bCs/>
              </w:rPr>
              <w:t>TOTAL:</w:t>
            </w:r>
          </w:p>
        </w:tc>
        <w:tc>
          <w:tcPr>
            <w:tcW w:w="1875" w:type="dxa"/>
          </w:tcPr>
          <w:p w14:paraId="47B208FA" w14:textId="77777777" w:rsidR="00C336AC" w:rsidRPr="00297295" w:rsidRDefault="00C336AC" w:rsidP="00C336AC">
            <w:pPr>
              <w:pStyle w:val="NoSpacing"/>
              <w:jc w:val="center"/>
              <w:rPr>
                <w:b/>
                <w:bCs/>
              </w:rPr>
            </w:pPr>
            <w:r w:rsidRPr="00297295">
              <w:rPr>
                <w:b/>
                <w:bCs/>
              </w:rPr>
              <w:t>£1,137,000</w:t>
            </w:r>
          </w:p>
        </w:tc>
        <w:tc>
          <w:tcPr>
            <w:tcW w:w="1701" w:type="dxa"/>
          </w:tcPr>
          <w:p w14:paraId="140F3720" w14:textId="77777777" w:rsidR="00C336AC" w:rsidRPr="00297295" w:rsidRDefault="00C336AC" w:rsidP="00C336AC">
            <w:pPr>
              <w:pStyle w:val="NoSpacing"/>
              <w:jc w:val="center"/>
              <w:rPr>
                <w:b/>
                <w:bCs/>
              </w:rPr>
            </w:pPr>
            <w:r w:rsidRPr="00297295">
              <w:rPr>
                <w:b/>
                <w:bCs/>
              </w:rPr>
              <w:t>£6,822,000</w:t>
            </w:r>
          </w:p>
        </w:tc>
      </w:tr>
    </w:tbl>
    <w:p w14:paraId="71232860" w14:textId="77777777" w:rsidR="00C336AC" w:rsidRDefault="00C336AC" w:rsidP="00C336AC">
      <w:pPr>
        <w:pStyle w:val="NoSpacing"/>
        <w:jc w:val="center"/>
        <w:rPr>
          <w:rFonts w:eastAsia="Times New Roman" w:cs="Times New Roman"/>
          <w:b/>
          <w:bCs/>
          <w:kern w:val="0"/>
          <w:lang w:eastAsia="en-GB"/>
        </w:rPr>
      </w:pPr>
    </w:p>
    <w:p w14:paraId="22537892" w14:textId="77777777" w:rsidR="00C336AC" w:rsidRDefault="00C336AC" w:rsidP="00C336AC">
      <w:pPr>
        <w:pStyle w:val="NoSpacing"/>
        <w:jc w:val="center"/>
        <w:rPr>
          <w:rFonts w:eastAsia="Times New Roman" w:cs="Times New Roman"/>
          <w:b/>
          <w:bCs/>
          <w:kern w:val="0"/>
          <w:lang w:eastAsia="en-GB"/>
        </w:rPr>
      </w:pPr>
    </w:p>
    <w:p w14:paraId="33A7172E" w14:textId="77777777" w:rsidR="00C336AC" w:rsidRDefault="00C336AC" w:rsidP="00AA35DD">
      <w:pPr>
        <w:pStyle w:val="NoSpacing"/>
        <w:rPr>
          <w:rFonts w:eastAsia="Times New Roman" w:cs="Times New Roman"/>
          <w:b/>
          <w:bCs/>
          <w:kern w:val="0"/>
          <w:lang w:eastAsia="en-GB"/>
        </w:rPr>
      </w:pPr>
    </w:p>
    <w:p w14:paraId="6E8C377C" w14:textId="77777777" w:rsidR="00C336AC" w:rsidRDefault="00C336AC" w:rsidP="00AA35DD">
      <w:pPr>
        <w:pStyle w:val="NoSpacing"/>
        <w:rPr>
          <w:rFonts w:eastAsia="Times New Roman" w:cs="Times New Roman"/>
          <w:b/>
          <w:bCs/>
          <w:kern w:val="0"/>
          <w:lang w:eastAsia="en-GB"/>
        </w:rPr>
      </w:pPr>
    </w:p>
    <w:p w14:paraId="7C9C98CF" w14:textId="77777777" w:rsidR="00C336AC" w:rsidRDefault="00C336AC" w:rsidP="00AA35DD">
      <w:pPr>
        <w:pStyle w:val="NoSpacing"/>
        <w:rPr>
          <w:rFonts w:eastAsia="Times New Roman" w:cs="Times New Roman"/>
          <w:b/>
          <w:bCs/>
          <w:kern w:val="0"/>
          <w:lang w:eastAsia="en-GB"/>
        </w:rPr>
      </w:pPr>
    </w:p>
    <w:p w14:paraId="5BB064DC" w14:textId="77777777" w:rsidR="00C336AC" w:rsidRDefault="00C336AC" w:rsidP="00AA35DD">
      <w:pPr>
        <w:pStyle w:val="NoSpacing"/>
        <w:rPr>
          <w:rFonts w:eastAsia="Times New Roman" w:cs="Times New Roman"/>
          <w:b/>
          <w:bCs/>
          <w:kern w:val="0"/>
          <w:lang w:eastAsia="en-GB"/>
        </w:rPr>
      </w:pPr>
    </w:p>
    <w:p w14:paraId="1C720CA4" w14:textId="77777777" w:rsidR="00C336AC" w:rsidRDefault="00C336AC" w:rsidP="00AA35DD">
      <w:pPr>
        <w:pStyle w:val="NoSpacing"/>
        <w:rPr>
          <w:rFonts w:eastAsia="Times New Roman" w:cs="Times New Roman"/>
          <w:b/>
          <w:bCs/>
          <w:kern w:val="0"/>
          <w:lang w:eastAsia="en-GB"/>
        </w:rPr>
      </w:pPr>
    </w:p>
    <w:p w14:paraId="003157BB" w14:textId="77777777" w:rsidR="00C336AC" w:rsidRDefault="00C336AC" w:rsidP="00AA35DD">
      <w:pPr>
        <w:pStyle w:val="NoSpacing"/>
        <w:rPr>
          <w:rFonts w:eastAsia="Times New Roman" w:cs="Times New Roman"/>
          <w:b/>
          <w:bCs/>
          <w:kern w:val="0"/>
          <w:lang w:eastAsia="en-GB"/>
        </w:rPr>
      </w:pPr>
    </w:p>
    <w:p w14:paraId="01C62CC7" w14:textId="77777777" w:rsidR="00C336AC" w:rsidRDefault="00C336AC" w:rsidP="00AA35DD">
      <w:pPr>
        <w:pStyle w:val="NoSpacing"/>
        <w:rPr>
          <w:rFonts w:eastAsia="Times New Roman" w:cs="Times New Roman"/>
          <w:b/>
          <w:bCs/>
          <w:kern w:val="0"/>
          <w:lang w:eastAsia="en-GB"/>
        </w:rPr>
      </w:pPr>
    </w:p>
    <w:p w14:paraId="5171E89A" w14:textId="77777777" w:rsidR="00C336AC" w:rsidRDefault="00C336AC" w:rsidP="00AA35DD">
      <w:pPr>
        <w:pStyle w:val="NoSpacing"/>
        <w:rPr>
          <w:rFonts w:eastAsia="Times New Roman" w:cs="Times New Roman"/>
          <w:b/>
          <w:bCs/>
          <w:kern w:val="0"/>
          <w:lang w:eastAsia="en-GB"/>
        </w:rPr>
      </w:pPr>
    </w:p>
    <w:p w14:paraId="6EA756FE" w14:textId="77777777" w:rsidR="00C336AC" w:rsidRDefault="00C336AC" w:rsidP="00AA35DD">
      <w:pPr>
        <w:pStyle w:val="NoSpacing"/>
        <w:rPr>
          <w:rFonts w:eastAsia="Times New Roman" w:cs="Times New Roman"/>
          <w:b/>
          <w:bCs/>
          <w:kern w:val="0"/>
          <w:lang w:eastAsia="en-GB"/>
        </w:rPr>
      </w:pPr>
    </w:p>
    <w:p w14:paraId="781BA4EB" w14:textId="77777777" w:rsidR="00C336AC" w:rsidRDefault="00C336AC" w:rsidP="00AA35DD">
      <w:pPr>
        <w:pStyle w:val="NoSpacing"/>
        <w:rPr>
          <w:rFonts w:eastAsia="Times New Roman" w:cs="Times New Roman"/>
          <w:b/>
          <w:bCs/>
          <w:kern w:val="0"/>
          <w:lang w:eastAsia="en-GB"/>
        </w:rPr>
      </w:pPr>
    </w:p>
    <w:p w14:paraId="7A576717" w14:textId="77777777" w:rsidR="00C336AC" w:rsidRDefault="00C336AC" w:rsidP="00AA35DD">
      <w:pPr>
        <w:pStyle w:val="NoSpacing"/>
        <w:rPr>
          <w:rFonts w:eastAsia="Times New Roman" w:cs="Times New Roman"/>
          <w:b/>
          <w:bCs/>
          <w:kern w:val="0"/>
          <w:lang w:eastAsia="en-GB"/>
        </w:rPr>
      </w:pPr>
    </w:p>
    <w:p w14:paraId="0B924E24" w14:textId="600698AA" w:rsidR="00AA35DD" w:rsidRDefault="0060004A" w:rsidP="00AA35DD">
      <w:pPr>
        <w:pStyle w:val="NoSpacing"/>
        <w:rPr>
          <w:rFonts w:eastAsia="Times New Roman" w:cs="Times New Roman"/>
          <w:b/>
          <w:bCs/>
          <w:kern w:val="0"/>
          <w:lang w:eastAsia="en-GB"/>
        </w:rPr>
      </w:pPr>
      <w:r w:rsidRPr="0060004A">
        <w:rPr>
          <w:rFonts w:eastAsia="Times New Roman" w:cs="Times New Roman"/>
          <w:b/>
          <w:bCs/>
          <w:kern w:val="0"/>
          <w:lang w:eastAsia="en-GB"/>
        </w:rPr>
        <w:t xml:space="preserve">12. </w:t>
      </w:r>
      <w:r w:rsidR="00100C17">
        <w:rPr>
          <w:rFonts w:eastAsia="Times New Roman" w:cs="Times New Roman"/>
          <w:b/>
          <w:bCs/>
          <w:kern w:val="0"/>
          <w:lang w:eastAsia="en-GB"/>
        </w:rPr>
        <w:t>Can you explain the rationale for splitting the service into different lots in the new contract?</w:t>
      </w:r>
    </w:p>
    <w:p w14:paraId="72C7B434" w14:textId="40F040B3" w:rsidR="00100C17" w:rsidRDefault="00100C17" w:rsidP="00100C17">
      <w:pPr>
        <w:pStyle w:val="NoSpacing"/>
      </w:pPr>
      <w:r w:rsidRPr="00100C17">
        <w:rPr>
          <w:rFonts w:eastAsia="Times New Roman" w:cs="Times New Roman"/>
          <w:kern w:val="0"/>
          <w:lang w:eastAsia="en-GB"/>
        </w:rPr>
        <w:t>A:</w:t>
      </w:r>
      <w:r w:rsidRPr="00100C17">
        <w:rPr>
          <w:rFonts w:eastAsia="Times New Roman" w:cs="Times New Roman"/>
          <w:b/>
          <w:bCs/>
          <w:kern w:val="0"/>
          <w:lang w:eastAsia="en-GB"/>
        </w:rPr>
        <w:t xml:space="preserve"> </w:t>
      </w:r>
      <w:r w:rsidRPr="00100C17">
        <w:t>Knowsley has significantly higher and faster rising</w:t>
      </w:r>
      <w:r>
        <w:t xml:space="preserve"> </w:t>
      </w:r>
      <w:r w:rsidR="00D172DB">
        <w:t xml:space="preserve">rates </w:t>
      </w:r>
      <w:r>
        <w:t>of</w:t>
      </w:r>
      <w:r w:rsidRPr="00100C17">
        <w:t xml:space="preserve"> excess weight </w:t>
      </w:r>
      <w:r>
        <w:t xml:space="preserve">in both adults and </w:t>
      </w:r>
      <w:r w:rsidR="00D172DB">
        <w:t>children and</w:t>
      </w:r>
      <w:r>
        <w:t xml:space="preserve"> f</w:t>
      </w:r>
      <w:r w:rsidRPr="00100C17">
        <w:t>ollowing a large-scale review of our healthy weight and lifestyle services</w:t>
      </w:r>
      <w:r w:rsidR="00D172DB">
        <w:t>,</w:t>
      </w:r>
      <w:r>
        <w:t xml:space="preserve"> w</w:t>
      </w:r>
      <w:r w:rsidRPr="00100C17">
        <w:t>e felt our current approach was very segmented and delivered by various providers</w:t>
      </w:r>
      <w:r>
        <w:t xml:space="preserve">. </w:t>
      </w:r>
    </w:p>
    <w:p w14:paraId="58C7F587" w14:textId="04F3C7D4" w:rsidR="00100C17" w:rsidRPr="00100C17" w:rsidRDefault="00100C17" w:rsidP="00100C17">
      <w:pPr>
        <w:pStyle w:val="NoSpacing"/>
      </w:pPr>
      <w:r w:rsidRPr="00100C17">
        <w:t>We felt we needed a more integrated and aligned approach</w:t>
      </w:r>
      <w:r>
        <w:t>, t</w:t>
      </w:r>
      <w:r w:rsidRPr="00100C17">
        <w:t>aking a more proactive and whole systems approach</w:t>
      </w:r>
      <w:r w:rsidR="00D172DB">
        <w:t>.</w:t>
      </w:r>
      <w:r w:rsidRPr="00100C17">
        <w:t xml:space="preserve"> </w:t>
      </w:r>
    </w:p>
    <w:p w14:paraId="119C6ECF" w14:textId="398529D2" w:rsidR="00100C17" w:rsidRPr="0060004A" w:rsidRDefault="00100C17" w:rsidP="00100C17">
      <w:pPr>
        <w:pStyle w:val="NoSpacing"/>
        <w:rPr>
          <w:rFonts w:eastAsia="Times New Roman" w:cs="Times New Roman"/>
          <w:b/>
          <w:bCs/>
          <w:kern w:val="0"/>
          <w:lang w:eastAsia="en-GB"/>
        </w:rPr>
      </w:pPr>
      <w:r w:rsidRPr="00454FF8">
        <w:t xml:space="preserve">Due to the prevalence of both deprivation, tooth decay and excess weight, it was clear we needed to commission 3 separate </w:t>
      </w:r>
      <w:proofErr w:type="spellStart"/>
      <w:r>
        <w:t>alloted</w:t>
      </w:r>
      <w:proofErr w:type="spellEnd"/>
      <w:r w:rsidRPr="00454FF8">
        <w:t xml:space="preserve"> contracts</w:t>
      </w:r>
      <w:r>
        <w:t xml:space="preserve">. </w:t>
      </w:r>
    </w:p>
    <w:p w14:paraId="02F78E2D" w14:textId="61A69FE3" w:rsidR="00AA35DD" w:rsidRPr="00C336AC" w:rsidRDefault="00100C17" w:rsidP="00AA35DD">
      <w:pPr>
        <w:pStyle w:val="NoSpacing"/>
        <w:rPr>
          <w:rFonts w:eastAsia="Times New Roman" w:cs="Times New Roman"/>
          <w:kern w:val="0"/>
          <w:lang w:eastAsia="en-GB"/>
        </w:rPr>
      </w:pPr>
      <w:r w:rsidRPr="00C336AC">
        <w:rPr>
          <w:rFonts w:eastAsia="Times New Roman" w:cs="Times New Roman"/>
          <w:kern w:val="0"/>
          <w:lang w:eastAsia="en-GB"/>
        </w:rPr>
        <w:lastRenderedPageBreak/>
        <w:t xml:space="preserve">Our current service is primarily an adult service, historically, this is how it has been set out. The children’s service was more of an </w:t>
      </w:r>
      <w:r w:rsidR="00C336AC" w:rsidRPr="00C336AC">
        <w:rPr>
          <w:rFonts w:eastAsia="Times New Roman" w:cs="Times New Roman"/>
          <w:kern w:val="0"/>
          <w:lang w:eastAsia="en-GB"/>
        </w:rPr>
        <w:t>add-on</w:t>
      </w:r>
      <w:r w:rsidRPr="00C336AC">
        <w:rPr>
          <w:rFonts w:eastAsia="Times New Roman" w:cs="Times New Roman"/>
          <w:kern w:val="0"/>
          <w:lang w:eastAsia="en-GB"/>
        </w:rPr>
        <w:t xml:space="preserve"> a few years ago. Considering our numbers, particularly in children, children’s needs </w:t>
      </w:r>
      <w:r w:rsidR="00C336AC" w:rsidRPr="00C336AC">
        <w:rPr>
          <w:rFonts w:eastAsia="Times New Roman" w:cs="Times New Roman"/>
          <w:kern w:val="0"/>
          <w:lang w:eastAsia="en-GB"/>
        </w:rPr>
        <w:t xml:space="preserve">need </w:t>
      </w:r>
      <w:r w:rsidRPr="00C336AC">
        <w:rPr>
          <w:rFonts w:eastAsia="Times New Roman" w:cs="Times New Roman"/>
          <w:kern w:val="0"/>
          <w:lang w:eastAsia="en-GB"/>
        </w:rPr>
        <w:t xml:space="preserve">to be a central part of this service. </w:t>
      </w:r>
    </w:p>
    <w:p w14:paraId="189E1981" w14:textId="4379A6A0" w:rsidR="00100C17" w:rsidRPr="00C336AC" w:rsidRDefault="00C336AC" w:rsidP="00AA35DD">
      <w:pPr>
        <w:pStyle w:val="NoSpacing"/>
        <w:rPr>
          <w:rFonts w:eastAsia="Times New Roman" w:cs="Times New Roman"/>
          <w:kern w:val="0"/>
          <w:lang w:eastAsia="en-GB"/>
        </w:rPr>
      </w:pPr>
      <w:r w:rsidRPr="00C336AC">
        <w:rPr>
          <w:rFonts w:eastAsia="Times New Roman" w:cs="Times New Roman"/>
          <w:kern w:val="0"/>
          <w:lang w:eastAsia="en-GB"/>
        </w:rPr>
        <w:t>Also,</w:t>
      </w:r>
      <w:r w:rsidR="00100C17" w:rsidRPr="00C336AC">
        <w:rPr>
          <w:rFonts w:eastAsia="Times New Roman" w:cs="Times New Roman"/>
          <w:kern w:val="0"/>
          <w:lang w:eastAsia="en-GB"/>
        </w:rPr>
        <w:t xml:space="preserve"> healt</w:t>
      </w:r>
      <w:r w:rsidRPr="00C336AC">
        <w:rPr>
          <w:rFonts w:eastAsia="Times New Roman" w:cs="Times New Roman"/>
          <w:kern w:val="0"/>
          <w:lang w:eastAsia="en-GB"/>
        </w:rPr>
        <w:t>hy weight is a key priority of the service, with a new healthier weight strategy</w:t>
      </w:r>
      <w:r>
        <w:rPr>
          <w:rFonts w:eastAsia="Times New Roman" w:cs="Times New Roman"/>
          <w:kern w:val="0"/>
          <w:lang w:eastAsia="en-GB"/>
        </w:rPr>
        <w:t xml:space="preserve"> across the next 5 years</w:t>
      </w:r>
      <w:r w:rsidRPr="00C336AC">
        <w:rPr>
          <w:rFonts w:eastAsia="Times New Roman" w:cs="Times New Roman"/>
          <w:kern w:val="0"/>
          <w:lang w:eastAsia="en-GB"/>
        </w:rPr>
        <w:t xml:space="preserve">, and the new service will contribute to </w:t>
      </w:r>
      <w:r>
        <w:rPr>
          <w:rFonts w:eastAsia="Times New Roman" w:cs="Times New Roman"/>
          <w:kern w:val="0"/>
          <w:lang w:eastAsia="en-GB"/>
        </w:rPr>
        <w:t xml:space="preserve">some of the key outcomes, focusing on priority areas, which has also helped inform the decision. </w:t>
      </w:r>
    </w:p>
    <w:p w14:paraId="5DA72349" w14:textId="010828C5" w:rsidR="00F27703" w:rsidRDefault="00F27703" w:rsidP="00F27703">
      <w:pPr>
        <w:pStyle w:val="NoSpacing"/>
        <w:rPr>
          <w:b/>
          <w:bCs/>
        </w:rPr>
      </w:pPr>
    </w:p>
    <w:p w14:paraId="02CEDBC6" w14:textId="7E999529" w:rsidR="00C336AC" w:rsidRDefault="00C336AC" w:rsidP="00F27703">
      <w:pPr>
        <w:pStyle w:val="NoSpacing"/>
        <w:rPr>
          <w:b/>
          <w:bCs/>
        </w:rPr>
      </w:pPr>
      <w:r>
        <w:rPr>
          <w:b/>
          <w:bCs/>
        </w:rPr>
        <w:t>13. Does specialist weight management (tier 3) sit within this contract or separately?</w:t>
      </w:r>
    </w:p>
    <w:p w14:paraId="26AD1DEE" w14:textId="6BBE3F55" w:rsidR="00C336AC" w:rsidRDefault="00C336AC" w:rsidP="00F27703">
      <w:pPr>
        <w:pStyle w:val="NoSpacing"/>
      </w:pPr>
      <w:r w:rsidRPr="00C336AC">
        <w:t>A: Currently, our Specialist Adult Weight Management Service sits within the current Healthy Knowsley Service. So, we are looking to take that out of the contract</w:t>
      </w:r>
      <w:r>
        <w:t>,</w:t>
      </w:r>
      <w:r w:rsidRPr="00C336AC">
        <w:t xml:space="preserve"> and it will move over to the ICB once the new contract starts. </w:t>
      </w:r>
    </w:p>
    <w:p w14:paraId="597B23D0" w14:textId="77777777" w:rsidR="00C336AC" w:rsidRDefault="00C336AC" w:rsidP="00F27703">
      <w:pPr>
        <w:pStyle w:val="NoSpacing"/>
      </w:pPr>
    </w:p>
    <w:p w14:paraId="4C15594D" w14:textId="2B726B0E" w:rsidR="00C336AC" w:rsidRPr="00C336AC" w:rsidRDefault="00C336AC" w:rsidP="00F27703">
      <w:pPr>
        <w:pStyle w:val="NoSpacing"/>
        <w:rPr>
          <w:b/>
          <w:bCs/>
        </w:rPr>
      </w:pPr>
      <w:r w:rsidRPr="00C336AC">
        <w:rPr>
          <w:b/>
          <w:bCs/>
        </w:rPr>
        <w:t xml:space="preserve">14. Are we able to advise at this stage </w:t>
      </w:r>
      <w:r>
        <w:rPr>
          <w:b/>
          <w:bCs/>
        </w:rPr>
        <w:t>if</w:t>
      </w:r>
      <w:r w:rsidRPr="00C336AC">
        <w:rPr>
          <w:b/>
          <w:bCs/>
        </w:rPr>
        <w:t xml:space="preserve"> TUPE does apply?</w:t>
      </w:r>
    </w:p>
    <w:p w14:paraId="69AB5383" w14:textId="2EF9CCDA" w:rsidR="00C336AC" w:rsidRPr="00C336AC" w:rsidRDefault="00C336AC" w:rsidP="00F27703">
      <w:pPr>
        <w:pStyle w:val="NoSpacing"/>
      </w:pPr>
      <w:r>
        <w:t xml:space="preserve">A: Yes, we are currently working with our incumbent provider to identify any staff eligible for TUPE. Any successful providers will be expected to work collaboratively with our incumbent provider to create a smooth and positive TUPE process for staff. </w:t>
      </w:r>
    </w:p>
    <w:sectPr w:rsidR="00C336AC" w:rsidRPr="00C336A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ACE72" w14:textId="77777777" w:rsidR="00A74ED7" w:rsidRDefault="00A74ED7" w:rsidP="00397664">
      <w:pPr>
        <w:spacing w:after="0" w:line="240" w:lineRule="auto"/>
      </w:pPr>
      <w:r>
        <w:separator/>
      </w:r>
    </w:p>
  </w:endnote>
  <w:endnote w:type="continuationSeparator" w:id="0">
    <w:p w14:paraId="62BEAF3B" w14:textId="77777777" w:rsidR="00A74ED7" w:rsidRDefault="00A74ED7" w:rsidP="00397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CBB55" w14:textId="77777777" w:rsidR="00A74ED7" w:rsidRDefault="00A74ED7" w:rsidP="00397664">
      <w:pPr>
        <w:spacing w:after="0" w:line="240" w:lineRule="auto"/>
      </w:pPr>
      <w:r>
        <w:separator/>
      </w:r>
    </w:p>
  </w:footnote>
  <w:footnote w:type="continuationSeparator" w:id="0">
    <w:p w14:paraId="20D8A5F1" w14:textId="77777777" w:rsidR="00A74ED7" w:rsidRDefault="00A74ED7" w:rsidP="00397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F7987" w14:textId="338C4C5A" w:rsidR="00397664" w:rsidRDefault="00397664" w:rsidP="00397664">
    <w:pPr>
      <w:pStyle w:val="Header"/>
      <w:jc w:val="right"/>
    </w:pPr>
    <w:r>
      <w:rPr>
        <w:noProof/>
      </w:rPr>
      <w:drawing>
        <wp:inline distT="0" distB="0" distL="0" distR="0" wp14:anchorId="2859EB31" wp14:editId="475476C5">
          <wp:extent cx="1146313" cy="633775"/>
          <wp:effectExtent l="0" t="0" r="0" b="0"/>
          <wp:docPr id="1" name="Picture 1" descr="Home | Knowsle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Knowsley Counc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9607" cy="635596"/>
                  </a:xfrm>
                  <a:prstGeom prst="rect">
                    <a:avLst/>
                  </a:prstGeom>
                  <a:noFill/>
                  <a:ln>
                    <a:noFill/>
                  </a:ln>
                </pic:spPr>
              </pic:pic>
            </a:graphicData>
          </a:graphic>
        </wp:inline>
      </w:drawing>
    </w:r>
  </w:p>
  <w:p w14:paraId="41C03642" w14:textId="50EB6753" w:rsidR="00397664" w:rsidRPr="007B4836" w:rsidRDefault="00397664" w:rsidP="00397664">
    <w:pPr>
      <w:pStyle w:val="Header"/>
      <w:jc w:val="center"/>
      <w:rPr>
        <w:rFonts w:cs="Arial"/>
        <w:b/>
        <w:bCs/>
        <w:sz w:val="22"/>
        <w:szCs w:val="22"/>
      </w:rPr>
    </w:pPr>
    <w:r w:rsidRPr="007B4836">
      <w:rPr>
        <w:rFonts w:cs="Arial"/>
        <w:b/>
        <w:bCs/>
        <w:sz w:val="22"/>
        <w:szCs w:val="22"/>
      </w:rPr>
      <w:t>Healthy Knowsley Market Engagement Event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4DD"/>
    <w:multiLevelType w:val="hybridMultilevel"/>
    <w:tmpl w:val="3A260C46"/>
    <w:lvl w:ilvl="0" w:tplc="11184718">
      <w:start w:val="1"/>
      <w:numFmt w:val="decimal"/>
      <w:suff w:val="nothing"/>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093DAA"/>
    <w:multiLevelType w:val="hybridMultilevel"/>
    <w:tmpl w:val="D7742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5463D"/>
    <w:multiLevelType w:val="hybridMultilevel"/>
    <w:tmpl w:val="D01EC180"/>
    <w:lvl w:ilvl="0" w:tplc="F0463312">
      <w:start w:val="1"/>
      <w:numFmt w:val="bullet"/>
      <w:lvlText w:val="•"/>
      <w:lvlJc w:val="left"/>
      <w:pPr>
        <w:tabs>
          <w:tab w:val="num" w:pos="720"/>
        </w:tabs>
        <w:ind w:left="720" w:hanging="360"/>
      </w:pPr>
      <w:rPr>
        <w:rFonts w:ascii="Arial" w:hAnsi="Arial" w:hint="default"/>
      </w:rPr>
    </w:lvl>
    <w:lvl w:ilvl="1" w:tplc="B2AE3636" w:tentative="1">
      <w:start w:val="1"/>
      <w:numFmt w:val="bullet"/>
      <w:lvlText w:val="•"/>
      <w:lvlJc w:val="left"/>
      <w:pPr>
        <w:tabs>
          <w:tab w:val="num" w:pos="1440"/>
        </w:tabs>
        <w:ind w:left="1440" w:hanging="360"/>
      </w:pPr>
      <w:rPr>
        <w:rFonts w:ascii="Arial" w:hAnsi="Arial" w:hint="default"/>
      </w:rPr>
    </w:lvl>
    <w:lvl w:ilvl="2" w:tplc="05F62D50" w:tentative="1">
      <w:start w:val="1"/>
      <w:numFmt w:val="bullet"/>
      <w:lvlText w:val="•"/>
      <w:lvlJc w:val="left"/>
      <w:pPr>
        <w:tabs>
          <w:tab w:val="num" w:pos="2160"/>
        </w:tabs>
        <w:ind w:left="2160" w:hanging="360"/>
      </w:pPr>
      <w:rPr>
        <w:rFonts w:ascii="Arial" w:hAnsi="Arial" w:hint="default"/>
      </w:rPr>
    </w:lvl>
    <w:lvl w:ilvl="3" w:tplc="E1003812" w:tentative="1">
      <w:start w:val="1"/>
      <w:numFmt w:val="bullet"/>
      <w:lvlText w:val="•"/>
      <w:lvlJc w:val="left"/>
      <w:pPr>
        <w:tabs>
          <w:tab w:val="num" w:pos="2880"/>
        </w:tabs>
        <w:ind w:left="2880" w:hanging="360"/>
      </w:pPr>
      <w:rPr>
        <w:rFonts w:ascii="Arial" w:hAnsi="Arial" w:hint="default"/>
      </w:rPr>
    </w:lvl>
    <w:lvl w:ilvl="4" w:tplc="92928F1A" w:tentative="1">
      <w:start w:val="1"/>
      <w:numFmt w:val="bullet"/>
      <w:lvlText w:val="•"/>
      <w:lvlJc w:val="left"/>
      <w:pPr>
        <w:tabs>
          <w:tab w:val="num" w:pos="3600"/>
        </w:tabs>
        <w:ind w:left="3600" w:hanging="360"/>
      </w:pPr>
      <w:rPr>
        <w:rFonts w:ascii="Arial" w:hAnsi="Arial" w:hint="default"/>
      </w:rPr>
    </w:lvl>
    <w:lvl w:ilvl="5" w:tplc="51C67C66" w:tentative="1">
      <w:start w:val="1"/>
      <w:numFmt w:val="bullet"/>
      <w:lvlText w:val="•"/>
      <w:lvlJc w:val="left"/>
      <w:pPr>
        <w:tabs>
          <w:tab w:val="num" w:pos="4320"/>
        </w:tabs>
        <w:ind w:left="4320" w:hanging="360"/>
      </w:pPr>
      <w:rPr>
        <w:rFonts w:ascii="Arial" w:hAnsi="Arial" w:hint="default"/>
      </w:rPr>
    </w:lvl>
    <w:lvl w:ilvl="6" w:tplc="F6BEA3B2" w:tentative="1">
      <w:start w:val="1"/>
      <w:numFmt w:val="bullet"/>
      <w:lvlText w:val="•"/>
      <w:lvlJc w:val="left"/>
      <w:pPr>
        <w:tabs>
          <w:tab w:val="num" w:pos="5040"/>
        </w:tabs>
        <w:ind w:left="5040" w:hanging="360"/>
      </w:pPr>
      <w:rPr>
        <w:rFonts w:ascii="Arial" w:hAnsi="Arial" w:hint="default"/>
      </w:rPr>
    </w:lvl>
    <w:lvl w:ilvl="7" w:tplc="7D0C9D12" w:tentative="1">
      <w:start w:val="1"/>
      <w:numFmt w:val="bullet"/>
      <w:lvlText w:val="•"/>
      <w:lvlJc w:val="left"/>
      <w:pPr>
        <w:tabs>
          <w:tab w:val="num" w:pos="5760"/>
        </w:tabs>
        <w:ind w:left="5760" w:hanging="360"/>
      </w:pPr>
      <w:rPr>
        <w:rFonts w:ascii="Arial" w:hAnsi="Arial" w:hint="default"/>
      </w:rPr>
    </w:lvl>
    <w:lvl w:ilvl="8" w:tplc="4210D7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4EE22B7"/>
    <w:multiLevelType w:val="hybridMultilevel"/>
    <w:tmpl w:val="C5AE3B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C555CE"/>
    <w:multiLevelType w:val="hybridMultilevel"/>
    <w:tmpl w:val="370C19B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809000F">
      <w:start w:val="1"/>
      <w:numFmt w:val="decimal"/>
      <w:lvlText w:val="%3."/>
      <w:lvlJc w:val="left"/>
      <w:pPr>
        <w:ind w:left="720" w:hanging="360"/>
      </w:pPr>
    </w:lvl>
    <w:lvl w:ilvl="3" w:tplc="B0765494">
      <w:start w:val="1"/>
      <w:numFmt w:val="decimal"/>
      <w:lvlText w:val="%4."/>
      <w:lvlJc w:val="left"/>
      <w:pPr>
        <w:ind w:left="720" w:hanging="360"/>
      </w:pPr>
      <w:rPr>
        <w:rFonts w:asciiTheme="minorHAnsi" w:hAnsiTheme="minorHAnsi"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D0E61A1"/>
    <w:multiLevelType w:val="hybridMultilevel"/>
    <w:tmpl w:val="78500A42"/>
    <w:lvl w:ilvl="0" w:tplc="D6201714">
      <w:start w:val="1"/>
      <w:numFmt w:val="bullet"/>
      <w:lvlText w:val="•"/>
      <w:lvlJc w:val="left"/>
      <w:pPr>
        <w:tabs>
          <w:tab w:val="num" w:pos="720"/>
        </w:tabs>
        <w:ind w:left="720" w:hanging="360"/>
      </w:pPr>
      <w:rPr>
        <w:rFonts w:ascii="Arial" w:hAnsi="Arial" w:hint="default"/>
      </w:rPr>
    </w:lvl>
    <w:lvl w:ilvl="1" w:tplc="E140F8D0" w:tentative="1">
      <w:start w:val="1"/>
      <w:numFmt w:val="bullet"/>
      <w:lvlText w:val="•"/>
      <w:lvlJc w:val="left"/>
      <w:pPr>
        <w:tabs>
          <w:tab w:val="num" w:pos="1440"/>
        </w:tabs>
        <w:ind w:left="1440" w:hanging="360"/>
      </w:pPr>
      <w:rPr>
        <w:rFonts w:ascii="Arial" w:hAnsi="Arial" w:hint="default"/>
      </w:rPr>
    </w:lvl>
    <w:lvl w:ilvl="2" w:tplc="E4F072A0" w:tentative="1">
      <w:start w:val="1"/>
      <w:numFmt w:val="bullet"/>
      <w:lvlText w:val="•"/>
      <w:lvlJc w:val="left"/>
      <w:pPr>
        <w:tabs>
          <w:tab w:val="num" w:pos="2160"/>
        </w:tabs>
        <w:ind w:left="2160" w:hanging="360"/>
      </w:pPr>
      <w:rPr>
        <w:rFonts w:ascii="Arial" w:hAnsi="Arial" w:hint="default"/>
      </w:rPr>
    </w:lvl>
    <w:lvl w:ilvl="3" w:tplc="074EA2F0" w:tentative="1">
      <w:start w:val="1"/>
      <w:numFmt w:val="bullet"/>
      <w:lvlText w:val="•"/>
      <w:lvlJc w:val="left"/>
      <w:pPr>
        <w:tabs>
          <w:tab w:val="num" w:pos="2880"/>
        </w:tabs>
        <w:ind w:left="2880" w:hanging="360"/>
      </w:pPr>
      <w:rPr>
        <w:rFonts w:ascii="Arial" w:hAnsi="Arial" w:hint="default"/>
      </w:rPr>
    </w:lvl>
    <w:lvl w:ilvl="4" w:tplc="5FB66632" w:tentative="1">
      <w:start w:val="1"/>
      <w:numFmt w:val="bullet"/>
      <w:lvlText w:val="•"/>
      <w:lvlJc w:val="left"/>
      <w:pPr>
        <w:tabs>
          <w:tab w:val="num" w:pos="3600"/>
        </w:tabs>
        <w:ind w:left="3600" w:hanging="360"/>
      </w:pPr>
      <w:rPr>
        <w:rFonts w:ascii="Arial" w:hAnsi="Arial" w:hint="default"/>
      </w:rPr>
    </w:lvl>
    <w:lvl w:ilvl="5" w:tplc="20BADD74" w:tentative="1">
      <w:start w:val="1"/>
      <w:numFmt w:val="bullet"/>
      <w:lvlText w:val="•"/>
      <w:lvlJc w:val="left"/>
      <w:pPr>
        <w:tabs>
          <w:tab w:val="num" w:pos="4320"/>
        </w:tabs>
        <w:ind w:left="4320" w:hanging="360"/>
      </w:pPr>
      <w:rPr>
        <w:rFonts w:ascii="Arial" w:hAnsi="Arial" w:hint="default"/>
      </w:rPr>
    </w:lvl>
    <w:lvl w:ilvl="6" w:tplc="3DF43390" w:tentative="1">
      <w:start w:val="1"/>
      <w:numFmt w:val="bullet"/>
      <w:lvlText w:val="•"/>
      <w:lvlJc w:val="left"/>
      <w:pPr>
        <w:tabs>
          <w:tab w:val="num" w:pos="5040"/>
        </w:tabs>
        <w:ind w:left="5040" w:hanging="360"/>
      </w:pPr>
      <w:rPr>
        <w:rFonts w:ascii="Arial" w:hAnsi="Arial" w:hint="default"/>
      </w:rPr>
    </w:lvl>
    <w:lvl w:ilvl="7" w:tplc="9A5EA64C" w:tentative="1">
      <w:start w:val="1"/>
      <w:numFmt w:val="bullet"/>
      <w:lvlText w:val="•"/>
      <w:lvlJc w:val="left"/>
      <w:pPr>
        <w:tabs>
          <w:tab w:val="num" w:pos="5760"/>
        </w:tabs>
        <w:ind w:left="5760" w:hanging="360"/>
      </w:pPr>
      <w:rPr>
        <w:rFonts w:ascii="Arial" w:hAnsi="Arial" w:hint="default"/>
      </w:rPr>
    </w:lvl>
    <w:lvl w:ilvl="8" w:tplc="4BAA401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E604695"/>
    <w:multiLevelType w:val="hybridMultilevel"/>
    <w:tmpl w:val="13506780"/>
    <w:lvl w:ilvl="0" w:tplc="215647F0">
      <w:start w:val="1"/>
      <w:numFmt w:val="bullet"/>
      <w:lvlText w:val="•"/>
      <w:lvlJc w:val="left"/>
      <w:pPr>
        <w:tabs>
          <w:tab w:val="num" w:pos="720"/>
        </w:tabs>
        <w:ind w:left="720" w:hanging="360"/>
      </w:pPr>
      <w:rPr>
        <w:rFonts w:ascii="Arial" w:hAnsi="Arial" w:hint="default"/>
      </w:rPr>
    </w:lvl>
    <w:lvl w:ilvl="1" w:tplc="58E25E6A" w:tentative="1">
      <w:start w:val="1"/>
      <w:numFmt w:val="bullet"/>
      <w:lvlText w:val="•"/>
      <w:lvlJc w:val="left"/>
      <w:pPr>
        <w:tabs>
          <w:tab w:val="num" w:pos="1440"/>
        </w:tabs>
        <w:ind w:left="1440" w:hanging="360"/>
      </w:pPr>
      <w:rPr>
        <w:rFonts w:ascii="Arial" w:hAnsi="Arial" w:hint="default"/>
      </w:rPr>
    </w:lvl>
    <w:lvl w:ilvl="2" w:tplc="5FC6C278" w:tentative="1">
      <w:start w:val="1"/>
      <w:numFmt w:val="bullet"/>
      <w:lvlText w:val="•"/>
      <w:lvlJc w:val="left"/>
      <w:pPr>
        <w:tabs>
          <w:tab w:val="num" w:pos="2160"/>
        </w:tabs>
        <w:ind w:left="2160" w:hanging="360"/>
      </w:pPr>
      <w:rPr>
        <w:rFonts w:ascii="Arial" w:hAnsi="Arial" w:hint="default"/>
      </w:rPr>
    </w:lvl>
    <w:lvl w:ilvl="3" w:tplc="0E5641BE" w:tentative="1">
      <w:start w:val="1"/>
      <w:numFmt w:val="bullet"/>
      <w:lvlText w:val="•"/>
      <w:lvlJc w:val="left"/>
      <w:pPr>
        <w:tabs>
          <w:tab w:val="num" w:pos="2880"/>
        </w:tabs>
        <w:ind w:left="2880" w:hanging="360"/>
      </w:pPr>
      <w:rPr>
        <w:rFonts w:ascii="Arial" w:hAnsi="Arial" w:hint="default"/>
      </w:rPr>
    </w:lvl>
    <w:lvl w:ilvl="4" w:tplc="A4E21364" w:tentative="1">
      <w:start w:val="1"/>
      <w:numFmt w:val="bullet"/>
      <w:lvlText w:val="•"/>
      <w:lvlJc w:val="left"/>
      <w:pPr>
        <w:tabs>
          <w:tab w:val="num" w:pos="3600"/>
        </w:tabs>
        <w:ind w:left="3600" w:hanging="360"/>
      </w:pPr>
      <w:rPr>
        <w:rFonts w:ascii="Arial" w:hAnsi="Arial" w:hint="default"/>
      </w:rPr>
    </w:lvl>
    <w:lvl w:ilvl="5" w:tplc="2FF8A8E6" w:tentative="1">
      <w:start w:val="1"/>
      <w:numFmt w:val="bullet"/>
      <w:lvlText w:val="•"/>
      <w:lvlJc w:val="left"/>
      <w:pPr>
        <w:tabs>
          <w:tab w:val="num" w:pos="4320"/>
        </w:tabs>
        <w:ind w:left="4320" w:hanging="360"/>
      </w:pPr>
      <w:rPr>
        <w:rFonts w:ascii="Arial" w:hAnsi="Arial" w:hint="default"/>
      </w:rPr>
    </w:lvl>
    <w:lvl w:ilvl="6" w:tplc="F1BC7724" w:tentative="1">
      <w:start w:val="1"/>
      <w:numFmt w:val="bullet"/>
      <w:lvlText w:val="•"/>
      <w:lvlJc w:val="left"/>
      <w:pPr>
        <w:tabs>
          <w:tab w:val="num" w:pos="5040"/>
        </w:tabs>
        <w:ind w:left="5040" w:hanging="360"/>
      </w:pPr>
      <w:rPr>
        <w:rFonts w:ascii="Arial" w:hAnsi="Arial" w:hint="default"/>
      </w:rPr>
    </w:lvl>
    <w:lvl w:ilvl="7" w:tplc="3864D600" w:tentative="1">
      <w:start w:val="1"/>
      <w:numFmt w:val="bullet"/>
      <w:lvlText w:val="•"/>
      <w:lvlJc w:val="left"/>
      <w:pPr>
        <w:tabs>
          <w:tab w:val="num" w:pos="5760"/>
        </w:tabs>
        <w:ind w:left="5760" w:hanging="360"/>
      </w:pPr>
      <w:rPr>
        <w:rFonts w:ascii="Arial" w:hAnsi="Arial" w:hint="default"/>
      </w:rPr>
    </w:lvl>
    <w:lvl w:ilvl="8" w:tplc="74A68A7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28C3CF4"/>
    <w:multiLevelType w:val="hybridMultilevel"/>
    <w:tmpl w:val="844AAC7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682C82"/>
    <w:multiLevelType w:val="hybridMultilevel"/>
    <w:tmpl w:val="339A2D0A"/>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DE54F9"/>
    <w:multiLevelType w:val="hybridMultilevel"/>
    <w:tmpl w:val="5C2EB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F04F54"/>
    <w:multiLevelType w:val="hybridMultilevel"/>
    <w:tmpl w:val="E7A66B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4A66A2"/>
    <w:multiLevelType w:val="hybridMultilevel"/>
    <w:tmpl w:val="236E9F28"/>
    <w:lvl w:ilvl="0" w:tplc="356C00F6">
      <w:start w:val="1"/>
      <w:numFmt w:val="bullet"/>
      <w:lvlText w:val="•"/>
      <w:lvlJc w:val="left"/>
      <w:pPr>
        <w:tabs>
          <w:tab w:val="num" w:pos="720"/>
        </w:tabs>
        <w:ind w:left="720" w:hanging="360"/>
      </w:pPr>
      <w:rPr>
        <w:rFonts w:ascii="Arial" w:hAnsi="Arial" w:hint="default"/>
      </w:rPr>
    </w:lvl>
    <w:lvl w:ilvl="1" w:tplc="177AFE02" w:tentative="1">
      <w:start w:val="1"/>
      <w:numFmt w:val="bullet"/>
      <w:lvlText w:val="•"/>
      <w:lvlJc w:val="left"/>
      <w:pPr>
        <w:tabs>
          <w:tab w:val="num" w:pos="1440"/>
        </w:tabs>
        <w:ind w:left="1440" w:hanging="360"/>
      </w:pPr>
      <w:rPr>
        <w:rFonts w:ascii="Arial" w:hAnsi="Arial" w:hint="default"/>
      </w:rPr>
    </w:lvl>
    <w:lvl w:ilvl="2" w:tplc="3A4E2040" w:tentative="1">
      <w:start w:val="1"/>
      <w:numFmt w:val="bullet"/>
      <w:lvlText w:val="•"/>
      <w:lvlJc w:val="left"/>
      <w:pPr>
        <w:tabs>
          <w:tab w:val="num" w:pos="2160"/>
        </w:tabs>
        <w:ind w:left="2160" w:hanging="360"/>
      </w:pPr>
      <w:rPr>
        <w:rFonts w:ascii="Arial" w:hAnsi="Arial" w:hint="default"/>
      </w:rPr>
    </w:lvl>
    <w:lvl w:ilvl="3" w:tplc="AC7A48B8" w:tentative="1">
      <w:start w:val="1"/>
      <w:numFmt w:val="bullet"/>
      <w:lvlText w:val="•"/>
      <w:lvlJc w:val="left"/>
      <w:pPr>
        <w:tabs>
          <w:tab w:val="num" w:pos="2880"/>
        </w:tabs>
        <w:ind w:left="2880" w:hanging="360"/>
      </w:pPr>
      <w:rPr>
        <w:rFonts w:ascii="Arial" w:hAnsi="Arial" w:hint="default"/>
      </w:rPr>
    </w:lvl>
    <w:lvl w:ilvl="4" w:tplc="38A0A12E" w:tentative="1">
      <w:start w:val="1"/>
      <w:numFmt w:val="bullet"/>
      <w:lvlText w:val="•"/>
      <w:lvlJc w:val="left"/>
      <w:pPr>
        <w:tabs>
          <w:tab w:val="num" w:pos="3600"/>
        </w:tabs>
        <w:ind w:left="3600" w:hanging="360"/>
      </w:pPr>
      <w:rPr>
        <w:rFonts w:ascii="Arial" w:hAnsi="Arial" w:hint="default"/>
      </w:rPr>
    </w:lvl>
    <w:lvl w:ilvl="5" w:tplc="DE5867E8" w:tentative="1">
      <w:start w:val="1"/>
      <w:numFmt w:val="bullet"/>
      <w:lvlText w:val="•"/>
      <w:lvlJc w:val="left"/>
      <w:pPr>
        <w:tabs>
          <w:tab w:val="num" w:pos="4320"/>
        </w:tabs>
        <w:ind w:left="4320" w:hanging="360"/>
      </w:pPr>
      <w:rPr>
        <w:rFonts w:ascii="Arial" w:hAnsi="Arial" w:hint="default"/>
      </w:rPr>
    </w:lvl>
    <w:lvl w:ilvl="6" w:tplc="A95EEB76" w:tentative="1">
      <w:start w:val="1"/>
      <w:numFmt w:val="bullet"/>
      <w:lvlText w:val="•"/>
      <w:lvlJc w:val="left"/>
      <w:pPr>
        <w:tabs>
          <w:tab w:val="num" w:pos="5040"/>
        </w:tabs>
        <w:ind w:left="5040" w:hanging="360"/>
      </w:pPr>
      <w:rPr>
        <w:rFonts w:ascii="Arial" w:hAnsi="Arial" w:hint="default"/>
      </w:rPr>
    </w:lvl>
    <w:lvl w:ilvl="7" w:tplc="8C3C80C0" w:tentative="1">
      <w:start w:val="1"/>
      <w:numFmt w:val="bullet"/>
      <w:lvlText w:val="•"/>
      <w:lvlJc w:val="left"/>
      <w:pPr>
        <w:tabs>
          <w:tab w:val="num" w:pos="5760"/>
        </w:tabs>
        <w:ind w:left="5760" w:hanging="360"/>
      </w:pPr>
      <w:rPr>
        <w:rFonts w:ascii="Arial" w:hAnsi="Arial" w:hint="default"/>
      </w:rPr>
    </w:lvl>
    <w:lvl w:ilvl="8" w:tplc="AB3EEFB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48C3810"/>
    <w:multiLevelType w:val="hybridMultilevel"/>
    <w:tmpl w:val="F5F437C0"/>
    <w:lvl w:ilvl="0" w:tplc="1B6080AC">
      <w:start w:val="1"/>
      <w:numFmt w:val="bullet"/>
      <w:lvlText w:val="•"/>
      <w:lvlJc w:val="left"/>
      <w:pPr>
        <w:tabs>
          <w:tab w:val="num" w:pos="720"/>
        </w:tabs>
        <w:ind w:left="720" w:hanging="360"/>
      </w:pPr>
      <w:rPr>
        <w:rFonts w:ascii="Arial" w:hAnsi="Arial" w:hint="default"/>
      </w:rPr>
    </w:lvl>
    <w:lvl w:ilvl="1" w:tplc="CB88D088" w:tentative="1">
      <w:start w:val="1"/>
      <w:numFmt w:val="bullet"/>
      <w:lvlText w:val="•"/>
      <w:lvlJc w:val="left"/>
      <w:pPr>
        <w:tabs>
          <w:tab w:val="num" w:pos="1440"/>
        </w:tabs>
        <w:ind w:left="1440" w:hanging="360"/>
      </w:pPr>
      <w:rPr>
        <w:rFonts w:ascii="Arial" w:hAnsi="Arial" w:hint="default"/>
      </w:rPr>
    </w:lvl>
    <w:lvl w:ilvl="2" w:tplc="959AC65C" w:tentative="1">
      <w:start w:val="1"/>
      <w:numFmt w:val="bullet"/>
      <w:lvlText w:val="•"/>
      <w:lvlJc w:val="left"/>
      <w:pPr>
        <w:tabs>
          <w:tab w:val="num" w:pos="2160"/>
        </w:tabs>
        <w:ind w:left="2160" w:hanging="360"/>
      </w:pPr>
      <w:rPr>
        <w:rFonts w:ascii="Arial" w:hAnsi="Arial" w:hint="default"/>
      </w:rPr>
    </w:lvl>
    <w:lvl w:ilvl="3" w:tplc="53C2BCA8" w:tentative="1">
      <w:start w:val="1"/>
      <w:numFmt w:val="bullet"/>
      <w:lvlText w:val="•"/>
      <w:lvlJc w:val="left"/>
      <w:pPr>
        <w:tabs>
          <w:tab w:val="num" w:pos="2880"/>
        </w:tabs>
        <w:ind w:left="2880" w:hanging="360"/>
      </w:pPr>
      <w:rPr>
        <w:rFonts w:ascii="Arial" w:hAnsi="Arial" w:hint="default"/>
      </w:rPr>
    </w:lvl>
    <w:lvl w:ilvl="4" w:tplc="E8FCB5FE" w:tentative="1">
      <w:start w:val="1"/>
      <w:numFmt w:val="bullet"/>
      <w:lvlText w:val="•"/>
      <w:lvlJc w:val="left"/>
      <w:pPr>
        <w:tabs>
          <w:tab w:val="num" w:pos="3600"/>
        </w:tabs>
        <w:ind w:left="3600" w:hanging="360"/>
      </w:pPr>
      <w:rPr>
        <w:rFonts w:ascii="Arial" w:hAnsi="Arial" w:hint="default"/>
      </w:rPr>
    </w:lvl>
    <w:lvl w:ilvl="5" w:tplc="541C3838" w:tentative="1">
      <w:start w:val="1"/>
      <w:numFmt w:val="bullet"/>
      <w:lvlText w:val="•"/>
      <w:lvlJc w:val="left"/>
      <w:pPr>
        <w:tabs>
          <w:tab w:val="num" w:pos="4320"/>
        </w:tabs>
        <w:ind w:left="4320" w:hanging="360"/>
      </w:pPr>
      <w:rPr>
        <w:rFonts w:ascii="Arial" w:hAnsi="Arial" w:hint="default"/>
      </w:rPr>
    </w:lvl>
    <w:lvl w:ilvl="6" w:tplc="267EF2A6" w:tentative="1">
      <w:start w:val="1"/>
      <w:numFmt w:val="bullet"/>
      <w:lvlText w:val="•"/>
      <w:lvlJc w:val="left"/>
      <w:pPr>
        <w:tabs>
          <w:tab w:val="num" w:pos="5040"/>
        </w:tabs>
        <w:ind w:left="5040" w:hanging="360"/>
      </w:pPr>
      <w:rPr>
        <w:rFonts w:ascii="Arial" w:hAnsi="Arial" w:hint="default"/>
      </w:rPr>
    </w:lvl>
    <w:lvl w:ilvl="7" w:tplc="4CB65336" w:tentative="1">
      <w:start w:val="1"/>
      <w:numFmt w:val="bullet"/>
      <w:lvlText w:val="•"/>
      <w:lvlJc w:val="left"/>
      <w:pPr>
        <w:tabs>
          <w:tab w:val="num" w:pos="5760"/>
        </w:tabs>
        <w:ind w:left="5760" w:hanging="360"/>
      </w:pPr>
      <w:rPr>
        <w:rFonts w:ascii="Arial" w:hAnsi="Arial" w:hint="default"/>
      </w:rPr>
    </w:lvl>
    <w:lvl w:ilvl="8" w:tplc="9A4AA0F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FFE6AA9"/>
    <w:multiLevelType w:val="hybridMultilevel"/>
    <w:tmpl w:val="02B09820"/>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5A4757"/>
    <w:multiLevelType w:val="hybridMultilevel"/>
    <w:tmpl w:val="4490AD98"/>
    <w:lvl w:ilvl="0" w:tplc="11F2B91A">
      <w:start w:val="1"/>
      <w:numFmt w:val="bullet"/>
      <w:lvlText w:val="•"/>
      <w:lvlJc w:val="left"/>
      <w:pPr>
        <w:tabs>
          <w:tab w:val="num" w:pos="720"/>
        </w:tabs>
        <w:ind w:left="720" w:hanging="360"/>
      </w:pPr>
      <w:rPr>
        <w:rFonts w:ascii="Arial" w:hAnsi="Arial" w:hint="default"/>
      </w:rPr>
    </w:lvl>
    <w:lvl w:ilvl="1" w:tplc="B31A5986" w:tentative="1">
      <w:start w:val="1"/>
      <w:numFmt w:val="bullet"/>
      <w:lvlText w:val="•"/>
      <w:lvlJc w:val="left"/>
      <w:pPr>
        <w:tabs>
          <w:tab w:val="num" w:pos="1440"/>
        </w:tabs>
        <w:ind w:left="1440" w:hanging="360"/>
      </w:pPr>
      <w:rPr>
        <w:rFonts w:ascii="Arial" w:hAnsi="Arial" w:hint="default"/>
      </w:rPr>
    </w:lvl>
    <w:lvl w:ilvl="2" w:tplc="CB8433F4" w:tentative="1">
      <w:start w:val="1"/>
      <w:numFmt w:val="bullet"/>
      <w:lvlText w:val="•"/>
      <w:lvlJc w:val="left"/>
      <w:pPr>
        <w:tabs>
          <w:tab w:val="num" w:pos="2160"/>
        </w:tabs>
        <w:ind w:left="2160" w:hanging="360"/>
      </w:pPr>
      <w:rPr>
        <w:rFonts w:ascii="Arial" w:hAnsi="Arial" w:hint="default"/>
      </w:rPr>
    </w:lvl>
    <w:lvl w:ilvl="3" w:tplc="A9220A78" w:tentative="1">
      <w:start w:val="1"/>
      <w:numFmt w:val="bullet"/>
      <w:lvlText w:val="•"/>
      <w:lvlJc w:val="left"/>
      <w:pPr>
        <w:tabs>
          <w:tab w:val="num" w:pos="2880"/>
        </w:tabs>
        <w:ind w:left="2880" w:hanging="360"/>
      </w:pPr>
      <w:rPr>
        <w:rFonts w:ascii="Arial" w:hAnsi="Arial" w:hint="default"/>
      </w:rPr>
    </w:lvl>
    <w:lvl w:ilvl="4" w:tplc="DA6043EE" w:tentative="1">
      <w:start w:val="1"/>
      <w:numFmt w:val="bullet"/>
      <w:lvlText w:val="•"/>
      <w:lvlJc w:val="left"/>
      <w:pPr>
        <w:tabs>
          <w:tab w:val="num" w:pos="3600"/>
        </w:tabs>
        <w:ind w:left="3600" w:hanging="360"/>
      </w:pPr>
      <w:rPr>
        <w:rFonts w:ascii="Arial" w:hAnsi="Arial" w:hint="default"/>
      </w:rPr>
    </w:lvl>
    <w:lvl w:ilvl="5" w:tplc="876A6D0C" w:tentative="1">
      <w:start w:val="1"/>
      <w:numFmt w:val="bullet"/>
      <w:lvlText w:val="•"/>
      <w:lvlJc w:val="left"/>
      <w:pPr>
        <w:tabs>
          <w:tab w:val="num" w:pos="4320"/>
        </w:tabs>
        <w:ind w:left="4320" w:hanging="360"/>
      </w:pPr>
      <w:rPr>
        <w:rFonts w:ascii="Arial" w:hAnsi="Arial" w:hint="default"/>
      </w:rPr>
    </w:lvl>
    <w:lvl w:ilvl="6" w:tplc="ECFADFAE" w:tentative="1">
      <w:start w:val="1"/>
      <w:numFmt w:val="bullet"/>
      <w:lvlText w:val="•"/>
      <w:lvlJc w:val="left"/>
      <w:pPr>
        <w:tabs>
          <w:tab w:val="num" w:pos="5040"/>
        </w:tabs>
        <w:ind w:left="5040" w:hanging="360"/>
      </w:pPr>
      <w:rPr>
        <w:rFonts w:ascii="Arial" w:hAnsi="Arial" w:hint="default"/>
      </w:rPr>
    </w:lvl>
    <w:lvl w:ilvl="7" w:tplc="A500A4C0" w:tentative="1">
      <w:start w:val="1"/>
      <w:numFmt w:val="bullet"/>
      <w:lvlText w:val="•"/>
      <w:lvlJc w:val="left"/>
      <w:pPr>
        <w:tabs>
          <w:tab w:val="num" w:pos="5760"/>
        </w:tabs>
        <w:ind w:left="5760" w:hanging="360"/>
      </w:pPr>
      <w:rPr>
        <w:rFonts w:ascii="Arial" w:hAnsi="Arial" w:hint="default"/>
      </w:rPr>
    </w:lvl>
    <w:lvl w:ilvl="8" w:tplc="F2A2E9F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BEF77F0"/>
    <w:multiLevelType w:val="hybridMultilevel"/>
    <w:tmpl w:val="DDA21124"/>
    <w:lvl w:ilvl="0" w:tplc="F926AC1E">
      <w:start w:val="1"/>
      <w:numFmt w:val="decimal"/>
      <w:lvlText w:val="%1."/>
      <w:lvlJc w:val="left"/>
      <w:pPr>
        <w:ind w:left="720" w:hanging="360"/>
      </w:pPr>
      <w:rPr>
        <w:rFonts w:hint="default"/>
        <w:b/>
        <w:bCs/>
        <w:sz w:val="22"/>
        <w:szCs w:val="22"/>
      </w:rPr>
    </w:lvl>
    <w:lvl w:ilvl="1" w:tplc="08090001">
      <w:start w:val="1"/>
      <w:numFmt w:val="bullet"/>
      <w:lvlText w:val=""/>
      <w:lvlJc w:val="left"/>
      <w:pPr>
        <w:ind w:left="720" w:hanging="360"/>
      </w:pPr>
      <w:rPr>
        <w:rFonts w:ascii="Symbol" w:hAnsi="Symbol" w:hint="default"/>
      </w:rPr>
    </w:lvl>
    <w:lvl w:ilvl="2" w:tplc="12A8067C">
      <w:start w:val="1"/>
      <w:numFmt w:val="bullet"/>
      <w:lvlText w:val=""/>
      <w:lvlJc w:val="left"/>
      <w:pPr>
        <w:ind w:left="2160" w:hanging="360"/>
      </w:pPr>
      <w:rPr>
        <w:rFonts w:ascii="Wingdings" w:hAnsi="Wingdings" w:hint="default"/>
      </w:rPr>
    </w:lvl>
    <w:lvl w:ilvl="3" w:tplc="120A621C">
      <w:start w:val="1"/>
      <w:numFmt w:val="bullet"/>
      <w:lvlText w:val=""/>
      <w:lvlJc w:val="left"/>
      <w:pPr>
        <w:ind w:left="2880" w:hanging="360"/>
      </w:pPr>
      <w:rPr>
        <w:rFonts w:ascii="Symbol" w:hAnsi="Symbol" w:hint="default"/>
      </w:rPr>
    </w:lvl>
    <w:lvl w:ilvl="4" w:tplc="3778831E">
      <w:start w:val="1"/>
      <w:numFmt w:val="bullet"/>
      <w:lvlText w:val="o"/>
      <w:lvlJc w:val="left"/>
      <w:pPr>
        <w:ind w:left="3600" w:hanging="360"/>
      </w:pPr>
      <w:rPr>
        <w:rFonts w:ascii="Courier New" w:hAnsi="Courier New" w:hint="default"/>
      </w:rPr>
    </w:lvl>
    <w:lvl w:ilvl="5" w:tplc="AC722AE6">
      <w:start w:val="1"/>
      <w:numFmt w:val="bullet"/>
      <w:lvlText w:val=""/>
      <w:lvlJc w:val="left"/>
      <w:pPr>
        <w:ind w:left="4320" w:hanging="360"/>
      </w:pPr>
      <w:rPr>
        <w:rFonts w:ascii="Wingdings" w:hAnsi="Wingdings" w:hint="default"/>
      </w:rPr>
    </w:lvl>
    <w:lvl w:ilvl="6" w:tplc="480EB960">
      <w:start w:val="1"/>
      <w:numFmt w:val="bullet"/>
      <w:lvlText w:val=""/>
      <w:lvlJc w:val="left"/>
      <w:pPr>
        <w:ind w:left="5040" w:hanging="360"/>
      </w:pPr>
      <w:rPr>
        <w:rFonts w:ascii="Symbol" w:hAnsi="Symbol" w:hint="default"/>
      </w:rPr>
    </w:lvl>
    <w:lvl w:ilvl="7" w:tplc="2CDE87B2">
      <w:start w:val="1"/>
      <w:numFmt w:val="bullet"/>
      <w:lvlText w:val="o"/>
      <w:lvlJc w:val="left"/>
      <w:pPr>
        <w:ind w:left="5760" w:hanging="360"/>
      </w:pPr>
      <w:rPr>
        <w:rFonts w:ascii="Courier New" w:hAnsi="Courier New" w:hint="default"/>
      </w:rPr>
    </w:lvl>
    <w:lvl w:ilvl="8" w:tplc="2A904110">
      <w:start w:val="1"/>
      <w:numFmt w:val="bullet"/>
      <w:lvlText w:val=""/>
      <w:lvlJc w:val="left"/>
      <w:pPr>
        <w:ind w:left="6480" w:hanging="360"/>
      </w:pPr>
      <w:rPr>
        <w:rFonts w:ascii="Wingdings" w:hAnsi="Wingdings" w:hint="default"/>
      </w:rPr>
    </w:lvl>
  </w:abstractNum>
  <w:abstractNum w:abstractNumId="16" w15:restartNumberingAfterBreak="0">
    <w:nsid w:val="74FE7C67"/>
    <w:multiLevelType w:val="hybridMultilevel"/>
    <w:tmpl w:val="15B07D4A"/>
    <w:lvl w:ilvl="0" w:tplc="0809000F">
      <w:start w:val="1"/>
      <w:numFmt w:val="decimal"/>
      <w:lvlText w:val="%1."/>
      <w:lvlJc w:val="left"/>
      <w:pPr>
        <w:ind w:left="720" w:hanging="360"/>
      </w:pPr>
      <w:rPr>
        <w:rFonts w:hint="default"/>
      </w:rPr>
    </w:lvl>
    <w:lvl w:ilvl="1" w:tplc="005885EC">
      <w:start w:val="1"/>
      <w:numFmt w:val="decimal"/>
      <w:lvlText w:val="%2."/>
      <w:lvlJc w:val="left"/>
      <w:pPr>
        <w:ind w:left="1440" w:hanging="360"/>
      </w:pPr>
      <w:rPr>
        <w:rFonts w:asciiTheme="minorHAnsi" w:eastAsiaTheme="minorHAnsi" w:hAnsiTheme="minorHAnsi"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9B573D7"/>
    <w:multiLevelType w:val="hybridMultilevel"/>
    <w:tmpl w:val="C2C8F54C"/>
    <w:lvl w:ilvl="0" w:tplc="0566942E">
      <w:start w:val="1"/>
      <w:numFmt w:val="bullet"/>
      <w:lvlText w:val="•"/>
      <w:lvlJc w:val="left"/>
      <w:pPr>
        <w:tabs>
          <w:tab w:val="num" w:pos="720"/>
        </w:tabs>
        <w:ind w:left="720" w:hanging="360"/>
      </w:pPr>
      <w:rPr>
        <w:rFonts w:ascii="Arial" w:hAnsi="Arial" w:hint="default"/>
      </w:rPr>
    </w:lvl>
    <w:lvl w:ilvl="1" w:tplc="198A49D2" w:tentative="1">
      <w:start w:val="1"/>
      <w:numFmt w:val="bullet"/>
      <w:lvlText w:val="•"/>
      <w:lvlJc w:val="left"/>
      <w:pPr>
        <w:tabs>
          <w:tab w:val="num" w:pos="1440"/>
        </w:tabs>
        <w:ind w:left="1440" w:hanging="360"/>
      </w:pPr>
      <w:rPr>
        <w:rFonts w:ascii="Arial" w:hAnsi="Arial" w:hint="default"/>
      </w:rPr>
    </w:lvl>
    <w:lvl w:ilvl="2" w:tplc="90104CAE" w:tentative="1">
      <w:start w:val="1"/>
      <w:numFmt w:val="bullet"/>
      <w:lvlText w:val="•"/>
      <w:lvlJc w:val="left"/>
      <w:pPr>
        <w:tabs>
          <w:tab w:val="num" w:pos="2160"/>
        </w:tabs>
        <w:ind w:left="2160" w:hanging="360"/>
      </w:pPr>
      <w:rPr>
        <w:rFonts w:ascii="Arial" w:hAnsi="Arial" w:hint="default"/>
      </w:rPr>
    </w:lvl>
    <w:lvl w:ilvl="3" w:tplc="3FCE2026" w:tentative="1">
      <w:start w:val="1"/>
      <w:numFmt w:val="bullet"/>
      <w:lvlText w:val="•"/>
      <w:lvlJc w:val="left"/>
      <w:pPr>
        <w:tabs>
          <w:tab w:val="num" w:pos="2880"/>
        </w:tabs>
        <w:ind w:left="2880" w:hanging="360"/>
      </w:pPr>
      <w:rPr>
        <w:rFonts w:ascii="Arial" w:hAnsi="Arial" w:hint="default"/>
      </w:rPr>
    </w:lvl>
    <w:lvl w:ilvl="4" w:tplc="C1C8BDE8" w:tentative="1">
      <w:start w:val="1"/>
      <w:numFmt w:val="bullet"/>
      <w:lvlText w:val="•"/>
      <w:lvlJc w:val="left"/>
      <w:pPr>
        <w:tabs>
          <w:tab w:val="num" w:pos="3600"/>
        </w:tabs>
        <w:ind w:left="3600" w:hanging="360"/>
      </w:pPr>
      <w:rPr>
        <w:rFonts w:ascii="Arial" w:hAnsi="Arial" w:hint="default"/>
      </w:rPr>
    </w:lvl>
    <w:lvl w:ilvl="5" w:tplc="E640B8A2" w:tentative="1">
      <w:start w:val="1"/>
      <w:numFmt w:val="bullet"/>
      <w:lvlText w:val="•"/>
      <w:lvlJc w:val="left"/>
      <w:pPr>
        <w:tabs>
          <w:tab w:val="num" w:pos="4320"/>
        </w:tabs>
        <w:ind w:left="4320" w:hanging="360"/>
      </w:pPr>
      <w:rPr>
        <w:rFonts w:ascii="Arial" w:hAnsi="Arial" w:hint="default"/>
      </w:rPr>
    </w:lvl>
    <w:lvl w:ilvl="6" w:tplc="C5C22B5E" w:tentative="1">
      <w:start w:val="1"/>
      <w:numFmt w:val="bullet"/>
      <w:lvlText w:val="•"/>
      <w:lvlJc w:val="left"/>
      <w:pPr>
        <w:tabs>
          <w:tab w:val="num" w:pos="5040"/>
        </w:tabs>
        <w:ind w:left="5040" w:hanging="360"/>
      </w:pPr>
      <w:rPr>
        <w:rFonts w:ascii="Arial" w:hAnsi="Arial" w:hint="default"/>
      </w:rPr>
    </w:lvl>
    <w:lvl w:ilvl="7" w:tplc="1B525F1E" w:tentative="1">
      <w:start w:val="1"/>
      <w:numFmt w:val="bullet"/>
      <w:lvlText w:val="•"/>
      <w:lvlJc w:val="left"/>
      <w:pPr>
        <w:tabs>
          <w:tab w:val="num" w:pos="5760"/>
        </w:tabs>
        <w:ind w:left="5760" w:hanging="360"/>
      </w:pPr>
      <w:rPr>
        <w:rFonts w:ascii="Arial" w:hAnsi="Arial" w:hint="default"/>
      </w:rPr>
    </w:lvl>
    <w:lvl w:ilvl="8" w:tplc="5A6A09A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A60794B"/>
    <w:multiLevelType w:val="hybridMultilevel"/>
    <w:tmpl w:val="059EF116"/>
    <w:lvl w:ilvl="0" w:tplc="B076549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C360280"/>
    <w:multiLevelType w:val="hybridMultilevel"/>
    <w:tmpl w:val="46CC7B04"/>
    <w:lvl w:ilvl="0" w:tplc="A6D83578">
      <w:start w:val="1"/>
      <w:numFmt w:val="bullet"/>
      <w:lvlText w:val="•"/>
      <w:lvlJc w:val="left"/>
      <w:pPr>
        <w:tabs>
          <w:tab w:val="num" w:pos="720"/>
        </w:tabs>
        <w:ind w:left="720" w:hanging="360"/>
      </w:pPr>
      <w:rPr>
        <w:rFonts w:ascii="Arial" w:hAnsi="Arial" w:hint="default"/>
      </w:rPr>
    </w:lvl>
    <w:lvl w:ilvl="1" w:tplc="A5B80132" w:tentative="1">
      <w:start w:val="1"/>
      <w:numFmt w:val="bullet"/>
      <w:lvlText w:val="•"/>
      <w:lvlJc w:val="left"/>
      <w:pPr>
        <w:tabs>
          <w:tab w:val="num" w:pos="1440"/>
        </w:tabs>
        <w:ind w:left="1440" w:hanging="360"/>
      </w:pPr>
      <w:rPr>
        <w:rFonts w:ascii="Arial" w:hAnsi="Arial" w:hint="default"/>
      </w:rPr>
    </w:lvl>
    <w:lvl w:ilvl="2" w:tplc="1D8287D2" w:tentative="1">
      <w:start w:val="1"/>
      <w:numFmt w:val="bullet"/>
      <w:lvlText w:val="•"/>
      <w:lvlJc w:val="left"/>
      <w:pPr>
        <w:tabs>
          <w:tab w:val="num" w:pos="2160"/>
        </w:tabs>
        <w:ind w:left="2160" w:hanging="360"/>
      </w:pPr>
      <w:rPr>
        <w:rFonts w:ascii="Arial" w:hAnsi="Arial" w:hint="default"/>
      </w:rPr>
    </w:lvl>
    <w:lvl w:ilvl="3" w:tplc="E82EAC46" w:tentative="1">
      <w:start w:val="1"/>
      <w:numFmt w:val="bullet"/>
      <w:lvlText w:val="•"/>
      <w:lvlJc w:val="left"/>
      <w:pPr>
        <w:tabs>
          <w:tab w:val="num" w:pos="2880"/>
        </w:tabs>
        <w:ind w:left="2880" w:hanging="360"/>
      </w:pPr>
      <w:rPr>
        <w:rFonts w:ascii="Arial" w:hAnsi="Arial" w:hint="default"/>
      </w:rPr>
    </w:lvl>
    <w:lvl w:ilvl="4" w:tplc="9BD271D4" w:tentative="1">
      <w:start w:val="1"/>
      <w:numFmt w:val="bullet"/>
      <w:lvlText w:val="•"/>
      <w:lvlJc w:val="left"/>
      <w:pPr>
        <w:tabs>
          <w:tab w:val="num" w:pos="3600"/>
        </w:tabs>
        <w:ind w:left="3600" w:hanging="360"/>
      </w:pPr>
      <w:rPr>
        <w:rFonts w:ascii="Arial" w:hAnsi="Arial" w:hint="default"/>
      </w:rPr>
    </w:lvl>
    <w:lvl w:ilvl="5" w:tplc="52B8ABE8" w:tentative="1">
      <w:start w:val="1"/>
      <w:numFmt w:val="bullet"/>
      <w:lvlText w:val="•"/>
      <w:lvlJc w:val="left"/>
      <w:pPr>
        <w:tabs>
          <w:tab w:val="num" w:pos="4320"/>
        </w:tabs>
        <w:ind w:left="4320" w:hanging="360"/>
      </w:pPr>
      <w:rPr>
        <w:rFonts w:ascii="Arial" w:hAnsi="Arial" w:hint="default"/>
      </w:rPr>
    </w:lvl>
    <w:lvl w:ilvl="6" w:tplc="7AF6C46A" w:tentative="1">
      <w:start w:val="1"/>
      <w:numFmt w:val="bullet"/>
      <w:lvlText w:val="•"/>
      <w:lvlJc w:val="left"/>
      <w:pPr>
        <w:tabs>
          <w:tab w:val="num" w:pos="5040"/>
        </w:tabs>
        <w:ind w:left="5040" w:hanging="360"/>
      </w:pPr>
      <w:rPr>
        <w:rFonts w:ascii="Arial" w:hAnsi="Arial" w:hint="default"/>
      </w:rPr>
    </w:lvl>
    <w:lvl w:ilvl="7" w:tplc="AFFCFE46" w:tentative="1">
      <w:start w:val="1"/>
      <w:numFmt w:val="bullet"/>
      <w:lvlText w:val="•"/>
      <w:lvlJc w:val="left"/>
      <w:pPr>
        <w:tabs>
          <w:tab w:val="num" w:pos="5760"/>
        </w:tabs>
        <w:ind w:left="5760" w:hanging="360"/>
      </w:pPr>
      <w:rPr>
        <w:rFonts w:ascii="Arial" w:hAnsi="Arial" w:hint="default"/>
      </w:rPr>
    </w:lvl>
    <w:lvl w:ilvl="8" w:tplc="77D47140" w:tentative="1">
      <w:start w:val="1"/>
      <w:numFmt w:val="bullet"/>
      <w:lvlText w:val="•"/>
      <w:lvlJc w:val="left"/>
      <w:pPr>
        <w:tabs>
          <w:tab w:val="num" w:pos="6480"/>
        </w:tabs>
        <w:ind w:left="6480" w:hanging="360"/>
      </w:pPr>
      <w:rPr>
        <w:rFonts w:ascii="Arial" w:hAnsi="Arial" w:hint="default"/>
      </w:rPr>
    </w:lvl>
  </w:abstractNum>
  <w:num w:numId="1" w16cid:durableId="2113236914">
    <w:abstractNumId w:val="2"/>
  </w:num>
  <w:num w:numId="2" w16cid:durableId="1143887729">
    <w:abstractNumId w:val="15"/>
  </w:num>
  <w:num w:numId="3" w16cid:durableId="95491329">
    <w:abstractNumId w:val="1"/>
  </w:num>
  <w:num w:numId="4" w16cid:durableId="2121022303">
    <w:abstractNumId w:val="16"/>
  </w:num>
  <w:num w:numId="5" w16cid:durableId="1526676375">
    <w:abstractNumId w:val="10"/>
  </w:num>
  <w:num w:numId="6" w16cid:durableId="2078744939">
    <w:abstractNumId w:val="12"/>
  </w:num>
  <w:num w:numId="7" w16cid:durableId="1323436274">
    <w:abstractNumId w:val="5"/>
  </w:num>
  <w:num w:numId="8" w16cid:durableId="1527401942">
    <w:abstractNumId w:val="14"/>
  </w:num>
  <w:num w:numId="9" w16cid:durableId="1765951827">
    <w:abstractNumId w:val="11"/>
  </w:num>
  <w:num w:numId="10" w16cid:durableId="1746026167">
    <w:abstractNumId w:val="6"/>
  </w:num>
  <w:num w:numId="11" w16cid:durableId="226456372">
    <w:abstractNumId w:val="19"/>
  </w:num>
  <w:num w:numId="12" w16cid:durableId="451096525">
    <w:abstractNumId w:val="4"/>
  </w:num>
  <w:num w:numId="13" w16cid:durableId="1440492388">
    <w:abstractNumId w:val="8"/>
  </w:num>
  <w:num w:numId="14" w16cid:durableId="1102993643">
    <w:abstractNumId w:val="17"/>
  </w:num>
  <w:num w:numId="15" w16cid:durableId="448010815">
    <w:abstractNumId w:val="3"/>
  </w:num>
  <w:num w:numId="16" w16cid:durableId="1280532939">
    <w:abstractNumId w:val="18"/>
  </w:num>
  <w:num w:numId="17" w16cid:durableId="191501192">
    <w:abstractNumId w:val="13"/>
  </w:num>
  <w:num w:numId="18" w16cid:durableId="622351406">
    <w:abstractNumId w:val="7"/>
  </w:num>
  <w:num w:numId="19" w16cid:durableId="1612736428">
    <w:abstractNumId w:val="0"/>
  </w:num>
  <w:num w:numId="20" w16cid:durableId="7225561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560"/>
    <w:rsid w:val="00100C17"/>
    <w:rsid w:val="00283574"/>
    <w:rsid w:val="00297295"/>
    <w:rsid w:val="00317432"/>
    <w:rsid w:val="00397664"/>
    <w:rsid w:val="005D7560"/>
    <w:rsid w:val="0060004A"/>
    <w:rsid w:val="007A1525"/>
    <w:rsid w:val="007B4836"/>
    <w:rsid w:val="00860499"/>
    <w:rsid w:val="00892175"/>
    <w:rsid w:val="00973A91"/>
    <w:rsid w:val="00A74ED7"/>
    <w:rsid w:val="00AA35DD"/>
    <w:rsid w:val="00C336AC"/>
    <w:rsid w:val="00D172DB"/>
    <w:rsid w:val="00F11649"/>
    <w:rsid w:val="00F277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E28BB7"/>
  <w15:chartTrackingRefBased/>
  <w15:docId w15:val="{17BAE7DC-6612-472B-81A2-ED5E509C6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75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75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75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75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75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75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75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75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75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5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75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75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75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75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75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75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75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7560"/>
    <w:rPr>
      <w:rFonts w:eastAsiaTheme="majorEastAsia" w:cstheme="majorBidi"/>
      <w:color w:val="272727" w:themeColor="text1" w:themeTint="D8"/>
    </w:rPr>
  </w:style>
  <w:style w:type="paragraph" w:styleId="Title">
    <w:name w:val="Title"/>
    <w:basedOn w:val="Normal"/>
    <w:next w:val="Normal"/>
    <w:link w:val="TitleChar"/>
    <w:uiPriority w:val="10"/>
    <w:qFormat/>
    <w:rsid w:val="005D75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75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75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75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7560"/>
    <w:pPr>
      <w:spacing w:before="160"/>
      <w:jc w:val="center"/>
    </w:pPr>
    <w:rPr>
      <w:i/>
      <w:iCs/>
      <w:color w:val="404040" w:themeColor="text1" w:themeTint="BF"/>
    </w:rPr>
  </w:style>
  <w:style w:type="character" w:customStyle="1" w:styleId="QuoteChar">
    <w:name w:val="Quote Char"/>
    <w:basedOn w:val="DefaultParagraphFont"/>
    <w:link w:val="Quote"/>
    <w:uiPriority w:val="29"/>
    <w:rsid w:val="005D7560"/>
    <w:rPr>
      <w:i/>
      <w:iCs/>
      <w:color w:val="404040" w:themeColor="text1" w:themeTint="BF"/>
    </w:rPr>
  </w:style>
  <w:style w:type="paragraph" w:styleId="ListParagraph">
    <w:name w:val="List Paragraph"/>
    <w:basedOn w:val="Normal"/>
    <w:uiPriority w:val="34"/>
    <w:qFormat/>
    <w:rsid w:val="005D7560"/>
    <w:pPr>
      <w:ind w:left="720"/>
      <w:contextualSpacing/>
    </w:pPr>
  </w:style>
  <w:style w:type="character" w:styleId="IntenseEmphasis">
    <w:name w:val="Intense Emphasis"/>
    <w:basedOn w:val="DefaultParagraphFont"/>
    <w:uiPriority w:val="21"/>
    <w:qFormat/>
    <w:rsid w:val="005D7560"/>
    <w:rPr>
      <w:i/>
      <w:iCs/>
      <w:color w:val="0F4761" w:themeColor="accent1" w:themeShade="BF"/>
    </w:rPr>
  </w:style>
  <w:style w:type="paragraph" w:styleId="IntenseQuote">
    <w:name w:val="Intense Quote"/>
    <w:basedOn w:val="Normal"/>
    <w:next w:val="Normal"/>
    <w:link w:val="IntenseQuoteChar"/>
    <w:uiPriority w:val="30"/>
    <w:qFormat/>
    <w:rsid w:val="005D75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7560"/>
    <w:rPr>
      <w:i/>
      <w:iCs/>
      <w:color w:val="0F4761" w:themeColor="accent1" w:themeShade="BF"/>
    </w:rPr>
  </w:style>
  <w:style w:type="character" w:styleId="IntenseReference">
    <w:name w:val="Intense Reference"/>
    <w:basedOn w:val="DefaultParagraphFont"/>
    <w:uiPriority w:val="32"/>
    <w:qFormat/>
    <w:rsid w:val="005D7560"/>
    <w:rPr>
      <w:b/>
      <w:bCs/>
      <w:smallCaps/>
      <w:color w:val="0F4761" w:themeColor="accent1" w:themeShade="BF"/>
      <w:spacing w:val="5"/>
    </w:rPr>
  </w:style>
  <w:style w:type="paragraph" w:styleId="Header">
    <w:name w:val="header"/>
    <w:basedOn w:val="Normal"/>
    <w:link w:val="HeaderChar"/>
    <w:uiPriority w:val="99"/>
    <w:unhideWhenUsed/>
    <w:rsid w:val="003976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7664"/>
  </w:style>
  <w:style w:type="paragraph" w:styleId="Footer">
    <w:name w:val="footer"/>
    <w:basedOn w:val="Normal"/>
    <w:link w:val="FooterChar"/>
    <w:uiPriority w:val="99"/>
    <w:unhideWhenUsed/>
    <w:rsid w:val="003976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7664"/>
  </w:style>
  <w:style w:type="paragraph" w:styleId="NoSpacing">
    <w:name w:val="No Spacing"/>
    <w:uiPriority w:val="1"/>
    <w:qFormat/>
    <w:rsid w:val="00397664"/>
    <w:pPr>
      <w:spacing w:after="0" w:line="240" w:lineRule="auto"/>
    </w:pPr>
  </w:style>
  <w:style w:type="paragraph" w:styleId="NormalWeb">
    <w:name w:val="Normal (Web)"/>
    <w:basedOn w:val="Normal"/>
    <w:uiPriority w:val="99"/>
    <w:semiHidden/>
    <w:unhideWhenUsed/>
    <w:rsid w:val="007B483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297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8223">
      <w:bodyDiv w:val="1"/>
      <w:marLeft w:val="0"/>
      <w:marRight w:val="0"/>
      <w:marTop w:val="0"/>
      <w:marBottom w:val="0"/>
      <w:divBdr>
        <w:top w:val="none" w:sz="0" w:space="0" w:color="auto"/>
        <w:left w:val="none" w:sz="0" w:space="0" w:color="auto"/>
        <w:bottom w:val="none" w:sz="0" w:space="0" w:color="auto"/>
        <w:right w:val="none" w:sz="0" w:space="0" w:color="auto"/>
      </w:divBdr>
      <w:divsChild>
        <w:div w:id="1464499101">
          <w:marLeft w:val="360"/>
          <w:marRight w:val="0"/>
          <w:marTop w:val="200"/>
          <w:marBottom w:val="0"/>
          <w:divBdr>
            <w:top w:val="none" w:sz="0" w:space="0" w:color="auto"/>
            <w:left w:val="none" w:sz="0" w:space="0" w:color="auto"/>
            <w:bottom w:val="none" w:sz="0" w:space="0" w:color="auto"/>
            <w:right w:val="none" w:sz="0" w:space="0" w:color="auto"/>
          </w:divBdr>
        </w:div>
        <w:div w:id="1207525333">
          <w:marLeft w:val="360"/>
          <w:marRight w:val="0"/>
          <w:marTop w:val="200"/>
          <w:marBottom w:val="0"/>
          <w:divBdr>
            <w:top w:val="none" w:sz="0" w:space="0" w:color="auto"/>
            <w:left w:val="none" w:sz="0" w:space="0" w:color="auto"/>
            <w:bottom w:val="none" w:sz="0" w:space="0" w:color="auto"/>
            <w:right w:val="none" w:sz="0" w:space="0" w:color="auto"/>
          </w:divBdr>
        </w:div>
      </w:divsChild>
    </w:div>
    <w:div w:id="293945623">
      <w:bodyDiv w:val="1"/>
      <w:marLeft w:val="0"/>
      <w:marRight w:val="0"/>
      <w:marTop w:val="0"/>
      <w:marBottom w:val="0"/>
      <w:divBdr>
        <w:top w:val="none" w:sz="0" w:space="0" w:color="auto"/>
        <w:left w:val="none" w:sz="0" w:space="0" w:color="auto"/>
        <w:bottom w:val="none" w:sz="0" w:space="0" w:color="auto"/>
        <w:right w:val="none" w:sz="0" w:space="0" w:color="auto"/>
      </w:divBdr>
      <w:divsChild>
        <w:div w:id="1995991969">
          <w:marLeft w:val="360"/>
          <w:marRight w:val="0"/>
          <w:marTop w:val="200"/>
          <w:marBottom w:val="0"/>
          <w:divBdr>
            <w:top w:val="none" w:sz="0" w:space="0" w:color="auto"/>
            <w:left w:val="none" w:sz="0" w:space="0" w:color="auto"/>
            <w:bottom w:val="none" w:sz="0" w:space="0" w:color="auto"/>
            <w:right w:val="none" w:sz="0" w:space="0" w:color="auto"/>
          </w:divBdr>
        </w:div>
        <w:div w:id="1614970743">
          <w:marLeft w:val="360"/>
          <w:marRight w:val="0"/>
          <w:marTop w:val="200"/>
          <w:marBottom w:val="0"/>
          <w:divBdr>
            <w:top w:val="none" w:sz="0" w:space="0" w:color="auto"/>
            <w:left w:val="none" w:sz="0" w:space="0" w:color="auto"/>
            <w:bottom w:val="none" w:sz="0" w:space="0" w:color="auto"/>
            <w:right w:val="none" w:sz="0" w:space="0" w:color="auto"/>
          </w:divBdr>
        </w:div>
        <w:div w:id="931204682">
          <w:marLeft w:val="360"/>
          <w:marRight w:val="0"/>
          <w:marTop w:val="200"/>
          <w:marBottom w:val="0"/>
          <w:divBdr>
            <w:top w:val="none" w:sz="0" w:space="0" w:color="auto"/>
            <w:left w:val="none" w:sz="0" w:space="0" w:color="auto"/>
            <w:bottom w:val="none" w:sz="0" w:space="0" w:color="auto"/>
            <w:right w:val="none" w:sz="0" w:space="0" w:color="auto"/>
          </w:divBdr>
        </w:div>
        <w:div w:id="82384280">
          <w:marLeft w:val="360"/>
          <w:marRight w:val="0"/>
          <w:marTop w:val="200"/>
          <w:marBottom w:val="0"/>
          <w:divBdr>
            <w:top w:val="none" w:sz="0" w:space="0" w:color="auto"/>
            <w:left w:val="none" w:sz="0" w:space="0" w:color="auto"/>
            <w:bottom w:val="none" w:sz="0" w:space="0" w:color="auto"/>
            <w:right w:val="none" w:sz="0" w:space="0" w:color="auto"/>
          </w:divBdr>
        </w:div>
        <w:div w:id="1498956527">
          <w:marLeft w:val="360"/>
          <w:marRight w:val="0"/>
          <w:marTop w:val="200"/>
          <w:marBottom w:val="0"/>
          <w:divBdr>
            <w:top w:val="none" w:sz="0" w:space="0" w:color="auto"/>
            <w:left w:val="none" w:sz="0" w:space="0" w:color="auto"/>
            <w:bottom w:val="none" w:sz="0" w:space="0" w:color="auto"/>
            <w:right w:val="none" w:sz="0" w:space="0" w:color="auto"/>
          </w:divBdr>
        </w:div>
        <w:div w:id="1110272730">
          <w:marLeft w:val="360"/>
          <w:marRight w:val="0"/>
          <w:marTop w:val="200"/>
          <w:marBottom w:val="0"/>
          <w:divBdr>
            <w:top w:val="none" w:sz="0" w:space="0" w:color="auto"/>
            <w:left w:val="none" w:sz="0" w:space="0" w:color="auto"/>
            <w:bottom w:val="none" w:sz="0" w:space="0" w:color="auto"/>
            <w:right w:val="none" w:sz="0" w:space="0" w:color="auto"/>
          </w:divBdr>
        </w:div>
        <w:div w:id="1277104973">
          <w:marLeft w:val="360"/>
          <w:marRight w:val="0"/>
          <w:marTop w:val="200"/>
          <w:marBottom w:val="0"/>
          <w:divBdr>
            <w:top w:val="none" w:sz="0" w:space="0" w:color="auto"/>
            <w:left w:val="none" w:sz="0" w:space="0" w:color="auto"/>
            <w:bottom w:val="none" w:sz="0" w:space="0" w:color="auto"/>
            <w:right w:val="none" w:sz="0" w:space="0" w:color="auto"/>
          </w:divBdr>
        </w:div>
      </w:divsChild>
    </w:div>
    <w:div w:id="766778749">
      <w:bodyDiv w:val="1"/>
      <w:marLeft w:val="0"/>
      <w:marRight w:val="0"/>
      <w:marTop w:val="0"/>
      <w:marBottom w:val="0"/>
      <w:divBdr>
        <w:top w:val="none" w:sz="0" w:space="0" w:color="auto"/>
        <w:left w:val="none" w:sz="0" w:space="0" w:color="auto"/>
        <w:bottom w:val="none" w:sz="0" w:space="0" w:color="auto"/>
        <w:right w:val="none" w:sz="0" w:space="0" w:color="auto"/>
      </w:divBdr>
      <w:divsChild>
        <w:div w:id="928542523">
          <w:marLeft w:val="360"/>
          <w:marRight w:val="0"/>
          <w:marTop w:val="200"/>
          <w:marBottom w:val="0"/>
          <w:divBdr>
            <w:top w:val="none" w:sz="0" w:space="0" w:color="auto"/>
            <w:left w:val="none" w:sz="0" w:space="0" w:color="auto"/>
            <w:bottom w:val="none" w:sz="0" w:space="0" w:color="auto"/>
            <w:right w:val="none" w:sz="0" w:space="0" w:color="auto"/>
          </w:divBdr>
        </w:div>
        <w:div w:id="340661862">
          <w:marLeft w:val="360"/>
          <w:marRight w:val="0"/>
          <w:marTop w:val="200"/>
          <w:marBottom w:val="0"/>
          <w:divBdr>
            <w:top w:val="none" w:sz="0" w:space="0" w:color="auto"/>
            <w:left w:val="none" w:sz="0" w:space="0" w:color="auto"/>
            <w:bottom w:val="none" w:sz="0" w:space="0" w:color="auto"/>
            <w:right w:val="none" w:sz="0" w:space="0" w:color="auto"/>
          </w:divBdr>
        </w:div>
        <w:div w:id="542210592">
          <w:marLeft w:val="360"/>
          <w:marRight w:val="0"/>
          <w:marTop w:val="200"/>
          <w:marBottom w:val="0"/>
          <w:divBdr>
            <w:top w:val="none" w:sz="0" w:space="0" w:color="auto"/>
            <w:left w:val="none" w:sz="0" w:space="0" w:color="auto"/>
            <w:bottom w:val="none" w:sz="0" w:space="0" w:color="auto"/>
            <w:right w:val="none" w:sz="0" w:space="0" w:color="auto"/>
          </w:divBdr>
        </w:div>
        <w:div w:id="2048411043">
          <w:marLeft w:val="360"/>
          <w:marRight w:val="0"/>
          <w:marTop w:val="200"/>
          <w:marBottom w:val="0"/>
          <w:divBdr>
            <w:top w:val="none" w:sz="0" w:space="0" w:color="auto"/>
            <w:left w:val="none" w:sz="0" w:space="0" w:color="auto"/>
            <w:bottom w:val="none" w:sz="0" w:space="0" w:color="auto"/>
            <w:right w:val="none" w:sz="0" w:space="0" w:color="auto"/>
          </w:divBdr>
        </w:div>
        <w:div w:id="446580253">
          <w:marLeft w:val="360"/>
          <w:marRight w:val="0"/>
          <w:marTop w:val="200"/>
          <w:marBottom w:val="0"/>
          <w:divBdr>
            <w:top w:val="none" w:sz="0" w:space="0" w:color="auto"/>
            <w:left w:val="none" w:sz="0" w:space="0" w:color="auto"/>
            <w:bottom w:val="none" w:sz="0" w:space="0" w:color="auto"/>
            <w:right w:val="none" w:sz="0" w:space="0" w:color="auto"/>
          </w:divBdr>
        </w:div>
        <w:div w:id="2074354080">
          <w:marLeft w:val="360"/>
          <w:marRight w:val="0"/>
          <w:marTop w:val="200"/>
          <w:marBottom w:val="0"/>
          <w:divBdr>
            <w:top w:val="none" w:sz="0" w:space="0" w:color="auto"/>
            <w:left w:val="none" w:sz="0" w:space="0" w:color="auto"/>
            <w:bottom w:val="none" w:sz="0" w:space="0" w:color="auto"/>
            <w:right w:val="none" w:sz="0" w:space="0" w:color="auto"/>
          </w:divBdr>
        </w:div>
        <w:div w:id="1519929614">
          <w:marLeft w:val="360"/>
          <w:marRight w:val="0"/>
          <w:marTop w:val="200"/>
          <w:marBottom w:val="0"/>
          <w:divBdr>
            <w:top w:val="none" w:sz="0" w:space="0" w:color="auto"/>
            <w:left w:val="none" w:sz="0" w:space="0" w:color="auto"/>
            <w:bottom w:val="none" w:sz="0" w:space="0" w:color="auto"/>
            <w:right w:val="none" w:sz="0" w:space="0" w:color="auto"/>
          </w:divBdr>
        </w:div>
      </w:divsChild>
    </w:div>
    <w:div w:id="1318653672">
      <w:bodyDiv w:val="1"/>
      <w:marLeft w:val="0"/>
      <w:marRight w:val="0"/>
      <w:marTop w:val="0"/>
      <w:marBottom w:val="0"/>
      <w:divBdr>
        <w:top w:val="none" w:sz="0" w:space="0" w:color="auto"/>
        <w:left w:val="none" w:sz="0" w:space="0" w:color="auto"/>
        <w:bottom w:val="none" w:sz="0" w:space="0" w:color="auto"/>
        <w:right w:val="none" w:sz="0" w:space="0" w:color="auto"/>
      </w:divBdr>
      <w:divsChild>
        <w:div w:id="74479896">
          <w:marLeft w:val="360"/>
          <w:marRight w:val="0"/>
          <w:marTop w:val="200"/>
          <w:marBottom w:val="0"/>
          <w:divBdr>
            <w:top w:val="none" w:sz="0" w:space="0" w:color="auto"/>
            <w:left w:val="none" w:sz="0" w:space="0" w:color="auto"/>
            <w:bottom w:val="none" w:sz="0" w:space="0" w:color="auto"/>
            <w:right w:val="none" w:sz="0" w:space="0" w:color="auto"/>
          </w:divBdr>
        </w:div>
        <w:div w:id="281107821">
          <w:marLeft w:val="360"/>
          <w:marRight w:val="0"/>
          <w:marTop w:val="200"/>
          <w:marBottom w:val="0"/>
          <w:divBdr>
            <w:top w:val="none" w:sz="0" w:space="0" w:color="auto"/>
            <w:left w:val="none" w:sz="0" w:space="0" w:color="auto"/>
            <w:bottom w:val="none" w:sz="0" w:space="0" w:color="auto"/>
            <w:right w:val="none" w:sz="0" w:space="0" w:color="auto"/>
          </w:divBdr>
        </w:div>
        <w:div w:id="1015153344">
          <w:marLeft w:val="360"/>
          <w:marRight w:val="0"/>
          <w:marTop w:val="200"/>
          <w:marBottom w:val="0"/>
          <w:divBdr>
            <w:top w:val="none" w:sz="0" w:space="0" w:color="auto"/>
            <w:left w:val="none" w:sz="0" w:space="0" w:color="auto"/>
            <w:bottom w:val="none" w:sz="0" w:space="0" w:color="auto"/>
            <w:right w:val="none" w:sz="0" w:space="0" w:color="auto"/>
          </w:divBdr>
        </w:div>
        <w:div w:id="881288261">
          <w:marLeft w:val="360"/>
          <w:marRight w:val="0"/>
          <w:marTop w:val="200"/>
          <w:marBottom w:val="0"/>
          <w:divBdr>
            <w:top w:val="none" w:sz="0" w:space="0" w:color="auto"/>
            <w:left w:val="none" w:sz="0" w:space="0" w:color="auto"/>
            <w:bottom w:val="none" w:sz="0" w:space="0" w:color="auto"/>
            <w:right w:val="none" w:sz="0" w:space="0" w:color="auto"/>
          </w:divBdr>
        </w:div>
        <w:div w:id="682516315">
          <w:marLeft w:val="360"/>
          <w:marRight w:val="0"/>
          <w:marTop w:val="200"/>
          <w:marBottom w:val="0"/>
          <w:divBdr>
            <w:top w:val="none" w:sz="0" w:space="0" w:color="auto"/>
            <w:left w:val="none" w:sz="0" w:space="0" w:color="auto"/>
            <w:bottom w:val="none" w:sz="0" w:space="0" w:color="auto"/>
            <w:right w:val="none" w:sz="0" w:space="0" w:color="auto"/>
          </w:divBdr>
        </w:div>
        <w:div w:id="2121994846">
          <w:marLeft w:val="360"/>
          <w:marRight w:val="0"/>
          <w:marTop w:val="200"/>
          <w:marBottom w:val="0"/>
          <w:divBdr>
            <w:top w:val="none" w:sz="0" w:space="0" w:color="auto"/>
            <w:left w:val="none" w:sz="0" w:space="0" w:color="auto"/>
            <w:bottom w:val="none" w:sz="0" w:space="0" w:color="auto"/>
            <w:right w:val="none" w:sz="0" w:space="0" w:color="auto"/>
          </w:divBdr>
        </w:div>
        <w:div w:id="1329864072">
          <w:marLeft w:val="360"/>
          <w:marRight w:val="0"/>
          <w:marTop w:val="200"/>
          <w:marBottom w:val="0"/>
          <w:divBdr>
            <w:top w:val="none" w:sz="0" w:space="0" w:color="auto"/>
            <w:left w:val="none" w:sz="0" w:space="0" w:color="auto"/>
            <w:bottom w:val="none" w:sz="0" w:space="0" w:color="auto"/>
            <w:right w:val="none" w:sz="0" w:space="0" w:color="auto"/>
          </w:divBdr>
        </w:div>
        <w:div w:id="1696811872">
          <w:marLeft w:val="360"/>
          <w:marRight w:val="0"/>
          <w:marTop w:val="200"/>
          <w:marBottom w:val="0"/>
          <w:divBdr>
            <w:top w:val="none" w:sz="0" w:space="0" w:color="auto"/>
            <w:left w:val="none" w:sz="0" w:space="0" w:color="auto"/>
            <w:bottom w:val="none" w:sz="0" w:space="0" w:color="auto"/>
            <w:right w:val="none" w:sz="0" w:space="0" w:color="auto"/>
          </w:divBdr>
        </w:div>
        <w:div w:id="814487068">
          <w:marLeft w:val="360"/>
          <w:marRight w:val="0"/>
          <w:marTop w:val="200"/>
          <w:marBottom w:val="0"/>
          <w:divBdr>
            <w:top w:val="none" w:sz="0" w:space="0" w:color="auto"/>
            <w:left w:val="none" w:sz="0" w:space="0" w:color="auto"/>
            <w:bottom w:val="none" w:sz="0" w:space="0" w:color="auto"/>
            <w:right w:val="none" w:sz="0" w:space="0" w:color="auto"/>
          </w:divBdr>
        </w:div>
      </w:divsChild>
    </w:div>
    <w:div w:id="1344824245">
      <w:bodyDiv w:val="1"/>
      <w:marLeft w:val="0"/>
      <w:marRight w:val="0"/>
      <w:marTop w:val="0"/>
      <w:marBottom w:val="0"/>
      <w:divBdr>
        <w:top w:val="none" w:sz="0" w:space="0" w:color="auto"/>
        <w:left w:val="none" w:sz="0" w:space="0" w:color="auto"/>
        <w:bottom w:val="none" w:sz="0" w:space="0" w:color="auto"/>
        <w:right w:val="none" w:sz="0" w:space="0" w:color="auto"/>
      </w:divBdr>
    </w:div>
    <w:div w:id="1381637141">
      <w:bodyDiv w:val="1"/>
      <w:marLeft w:val="0"/>
      <w:marRight w:val="0"/>
      <w:marTop w:val="0"/>
      <w:marBottom w:val="0"/>
      <w:divBdr>
        <w:top w:val="none" w:sz="0" w:space="0" w:color="auto"/>
        <w:left w:val="none" w:sz="0" w:space="0" w:color="auto"/>
        <w:bottom w:val="none" w:sz="0" w:space="0" w:color="auto"/>
        <w:right w:val="none" w:sz="0" w:space="0" w:color="auto"/>
      </w:divBdr>
      <w:divsChild>
        <w:div w:id="1566137098">
          <w:marLeft w:val="360"/>
          <w:marRight w:val="0"/>
          <w:marTop w:val="200"/>
          <w:marBottom w:val="0"/>
          <w:divBdr>
            <w:top w:val="none" w:sz="0" w:space="0" w:color="auto"/>
            <w:left w:val="none" w:sz="0" w:space="0" w:color="auto"/>
            <w:bottom w:val="none" w:sz="0" w:space="0" w:color="auto"/>
            <w:right w:val="none" w:sz="0" w:space="0" w:color="auto"/>
          </w:divBdr>
        </w:div>
        <w:div w:id="732630006">
          <w:marLeft w:val="360"/>
          <w:marRight w:val="0"/>
          <w:marTop w:val="200"/>
          <w:marBottom w:val="0"/>
          <w:divBdr>
            <w:top w:val="none" w:sz="0" w:space="0" w:color="auto"/>
            <w:left w:val="none" w:sz="0" w:space="0" w:color="auto"/>
            <w:bottom w:val="none" w:sz="0" w:space="0" w:color="auto"/>
            <w:right w:val="none" w:sz="0" w:space="0" w:color="auto"/>
          </w:divBdr>
        </w:div>
        <w:div w:id="593250136">
          <w:marLeft w:val="360"/>
          <w:marRight w:val="0"/>
          <w:marTop w:val="200"/>
          <w:marBottom w:val="0"/>
          <w:divBdr>
            <w:top w:val="none" w:sz="0" w:space="0" w:color="auto"/>
            <w:left w:val="none" w:sz="0" w:space="0" w:color="auto"/>
            <w:bottom w:val="none" w:sz="0" w:space="0" w:color="auto"/>
            <w:right w:val="none" w:sz="0" w:space="0" w:color="auto"/>
          </w:divBdr>
        </w:div>
        <w:div w:id="183598382">
          <w:marLeft w:val="360"/>
          <w:marRight w:val="0"/>
          <w:marTop w:val="200"/>
          <w:marBottom w:val="0"/>
          <w:divBdr>
            <w:top w:val="none" w:sz="0" w:space="0" w:color="auto"/>
            <w:left w:val="none" w:sz="0" w:space="0" w:color="auto"/>
            <w:bottom w:val="none" w:sz="0" w:space="0" w:color="auto"/>
            <w:right w:val="none" w:sz="0" w:space="0" w:color="auto"/>
          </w:divBdr>
        </w:div>
        <w:div w:id="2103600490">
          <w:marLeft w:val="360"/>
          <w:marRight w:val="0"/>
          <w:marTop w:val="200"/>
          <w:marBottom w:val="0"/>
          <w:divBdr>
            <w:top w:val="none" w:sz="0" w:space="0" w:color="auto"/>
            <w:left w:val="none" w:sz="0" w:space="0" w:color="auto"/>
            <w:bottom w:val="none" w:sz="0" w:space="0" w:color="auto"/>
            <w:right w:val="none" w:sz="0" w:space="0" w:color="auto"/>
          </w:divBdr>
        </w:div>
        <w:div w:id="2095974399">
          <w:marLeft w:val="360"/>
          <w:marRight w:val="0"/>
          <w:marTop w:val="200"/>
          <w:marBottom w:val="0"/>
          <w:divBdr>
            <w:top w:val="none" w:sz="0" w:space="0" w:color="auto"/>
            <w:left w:val="none" w:sz="0" w:space="0" w:color="auto"/>
            <w:bottom w:val="none" w:sz="0" w:space="0" w:color="auto"/>
            <w:right w:val="none" w:sz="0" w:space="0" w:color="auto"/>
          </w:divBdr>
        </w:div>
      </w:divsChild>
    </w:div>
    <w:div w:id="1685937776">
      <w:bodyDiv w:val="1"/>
      <w:marLeft w:val="0"/>
      <w:marRight w:val="0"/>
      <w:marTop w:val="0"/>
      <w:marBottom w:val="0"/>
      <w:divBdr>
        <w:top w:val="none" w:sz="0" w:space="0" w:color="auto"/>
        <w:left w:val="none" w:sz="0" w:space="0" w:color="auto"/>
        <w:bottom w:val="none" w:sz="0" w:space="0" w:color="auto"/>
        <w:right w:val="none" w:sz="0" w:space="0" w:color="auto"/>
      </w:divBdr>
      <w:divsChild>
        <w:div w:id="1572158948">
          <w:marLeft w:val="360"/>
          <w:marRight w:val="0"/>
          <w:marTop w:val="200"/>
          <w:marBottom w:val="0"/>
          <w:divBdr>
            <w:top w:val="none" w:sz="0" w:space="0" w:color="auto"/>
            <w:left w:val="none" w:sz="0" w:space="0" w:color="auto"/>
            <w:bottom w:val="none" w:sz="0" w:space="0" w:color="auto"/>
            <w:right w:val="none" w:sz="0" w:space="0" w:color="auto"/>
          </w:divBdr>
        </w:div>
        <w:div w:id="1159927917">
          <w:marLeft w:val="360"/>
          <w:marRight w:val="0"/>
          <w:marTop w:val="200"/>
          <w:marBottom w:val="0"/>
          <w:divBdr>
            <w:top w:val="none" w:sz="0" w:space="0" w:color="auto"/>
            <w:left w:val="none" w:sz="0" w:space="0" w:color="auto"/>
            <w:bottom w:val="none" w:sz="0" w:space="0" w:color="auto"/>
            <w:right w:val="none" w:sz="0" w:space="0" w:color="auto"/>
          </w:divBdr>
        </w:div>
        <w:div w:id="441267390">
          <w:marLeft w:val="360"/>
          <w:marRight w:val="0"/>
          <w:marTop w:val="200"/>
          <w:marBottom w:val="0"/>
          <w:divBdr>
            <w:top w:val="none" w:sz="0" w:space="0" w:color="auto"/>
            <w:left w:val="none" w:sz="0" w:space="0" w:color="auto"/>
            <w:bottom w:val="none" w:sz="0" w:space="0" w:color="auto"/>
            <w:right w:val="none" w:sz="0" w:space="0" w:color="auto"/>
          </w:divBdr>
        </w:div>
        <w:div w:id="1487749120">
          <w:marLeft w:val="360"/>
          <w:marRight w:val="0"/>
          <w:marTop w:val="200"/>
          <w:marBottom w:val="0"/>
          <w:divBdr>
            <w:top w:val="none" w:sz="0" w:space="0" w:color="auto"/>
            <w:left w:val="none" w:sz="0" w:space="0" w:color="auto"/>
            <w:bottom w:val="none" w:sz="0" w:space="0" w:color="auto"/>
            <w:right w:val="none" w:sz="0" w:space="0" w:color="auto"/>
          </w:divBdr>
        </w:div>
      </w:divsChild>
    </w:div>
    <w:div w:id="1832939305">
      <w:bodyDiv w:val="1"/>
      <w:marLeft w:val="0"/>
      <w:marRight w:val="0"/>
      <w:marTop w:val="0"/>
      <w:marBottom w:val="0"/>
      <w:divBdr>
        <w:top w:val="none" w:sz="0" w:space="0" w:color="auto"/>
        <w:left w:val="none" w:sz="0" w:space="0" w:color="auto"/>
        <w:bottom w:val="none" w:sz="0" w:space="0" w:color="auto"/>
        <w:right w:val="none" w:sz="0" w:space="0" w:color="auto"/>
      </w:divBdr>
      <w:divsChild>
        <w:div w:id="1952591352">
          <w:marLeft w:val="360"/>
          <w:marRight w:val="0"/>
          <w:marTop w:val="200"/>
          <w:marBottom w:val="0"/>
          <w:divBdr>
            <w:top w:val="none" w:sz="0" w:space="0" w:color="auto"/>
            <w:left w:val="none" w:sz="0" w:space="0" w:color="auto"/>
            <w:bottom w:val="none" w:sz="0" w:space="0" w:color="auto"/>
            <w:right w:val="none" w:sz="0" w:space="0" w:color="auto"/>
          </w:divBdr>
        </w:div>
        <w:div w:id="1331451199">
          <w:marLeft w:val="360"/>
          <w:marRight w:val="0"/>
          <w:marTop w:val="200"/>
          <w:marBottom w:val="0"/>
          <w:divBdr>
            <w:top w:val="none" w:sz="0" w:space="0" w:color="auto"/>
            <w:left w:val="none" w:sz="0" w:space="0" w:color="auto"/>
            <w:bottom w:val="none" w:sz="0" w:space="0" w:color="auto"/>
            <w:right w:val="none" w:sz="0" w:space="0" w:color="auto"/>
          </w:divBdr>
        </w:div>
        <w:div w:id="1235508539">
          <w:marLeft w:val="360"/>
          <w:marRight w:val="0"/>
          <w:marTop w:val="200"/>
          <w:marBottom w:val="0"/>
          <w:divBdr>
            <w:top w:val="none" w:sz="0" w:space="0" w:color="auto"/>
            <w:left w:val="none" w:sz="0" w:space="0" w:color="auto"/>
            <w:bottom w:val="none" w:sz="0" w:space="0" w:color="auto"/>
            <w:right w:val="none" w:sz="0" w:space="0" w:color="auto"/>
          </w:divBdr>
        </w:div>
        <w:div w:id="518592753">
          <w:marLeft w:val="360"/>
          <w:marRight w:val="0"/>
          <w:marTop w:val="200"/>
          <w:marBottom w:val="0"/>
          <w:divBdr>
            <w:top w:val="none" w:sz="0" w:space="0" w:color="auto"/>
            <w:left w:val="none" w:sz="0" w:space="0" w:color="auto"/>
            <w:bottom w:val="none" w:sz="0" w:space="0" w:color="auto"/>
            <w:right w:val="none" w:sz="0" w:space="0" w:color="auto"/>
          </w:divBdr>
        </w:div>
      </w:divsChild>
    </w:div>
    <w:div w:id="1846820415">
      <w:bodyDiv w:val="1"/>
      <w:marLeft w:val="0"/>
      <w:marRight w:val="0"/>
      <w:marTop w:val="0"/>
      <w:marBottom w:val="0"/>
      <w:divBdr>
        <w:top w:val="none" w:sz="0" w:space="0" w:color="auto"/>
        <w:left w:val="none" w:sz="0" w:space="0" w:color="auto"/>
        <w:bottom w:val="none" w:sz="0" w:space="0" w:color="auto"/>
        <w:right w:val="none" w:sz="0" w:space="0" w:color="auto"/>
      </w:divBdr>
      <w:divsChild>
        <w:div w:id="1781870431">
          <w:marLeft w:val="360"/>
          <w:marRight w:val="0"/>
          <w:marTop w:val="200"/>
          <w:marBottom w:val="0"/>
          <w:divBdr>
            <w:top w:val="none" w:sz="0" w:space="0" w:color="auto"/>
            <w:left w:val="none" w:sz="0" w:space="0" w:color="auto"/>
            <w:bottom w:val="none" w:sz="0" w:space="0" w:color="auto"/>
            <w:right w:val="none" w:sz="0" w:space="0" w:color="auto"/>
          </w:divBdr>
        </w:div>
        <w:div w:id="1368336295">
          <w:marLeft w:val="360"/>
          <w:marRight w:val="0"/>
          <w:marTop w:val="200"/>
          <w:marBottom w:val="0"/>
          <w:divBdr>
            <w:top w:val="none" w:sz="0" w:space="0" w:color="auto"/>
            <w:left w:val="none" w:sz="0" w:space="0" w:color="auto"/>
            <w:bottom w:val="none" w:sz="0" w:space="0" w:color="auto"/>
            <w:right w:val="none" w:sz="0" w:space="0" w:color="auto"/>
          </w:divBdr>
        </w:div>
        <w:div w:id="2008055760">
          <w:marLeft w:val="360"/>
          <w:marRight w:val="0"/>
          <w:marTop w:val="200"/>
          <w:marBottom w:val="0"/>
          <w:divBdr>
            <w:top w:val="none" w:sz="0" w:space="0" w:color="auto"/>
            <w:left w:val="none" w:sz="0" w:space="0" w:color="auto"/>
            <w:bottom w:val="none" w:sz="0" w:space="0" w:color="auto"/>
            <w:right w:val="none" w:sz="0" w:space="0" w:color="auto"/>
          </w:divBdr>
        </w:div>
        <w:div w:id="1917325482">
          <w:marLeft w:val="360"/>
          <w:marRight w:val="0"/>
          <w:marTop w:val="200"/>
          <w:marBottom w:val="0"/>
          <w:divBdr>
            <w:top w:val="none" w:sz="0" w:space="0" w:color="auto"/>
            <w:left w:val="none" w:sz="0" w:space="0" w:color="auto"/>
            <w:bottom w:val="none" w:sz="0" w:space="0" w:color="auto"/>
            <w:right w:val="none" w:sz="0" w:space="0" w:color="auto"/>
          </w:divBdr>
        </w:div>
        <w:div w:id="1176072056">
          <w:marLeft w:val="360"/>
          <w:marRight w:val="0"/>
          <w:marTop w:val="200"/>
          <w:marBottom w:val="0"/>
          <w:divBdr>
            <w:top w:val="none" w:sz="0" w:space="0" w:color="auto"/>
            <w:left w:val="none" w:sz="0" w:space="0" w:color="auto"/>
            <w:bottom w:val="none" w:sz="0" w:space="0" w:color="auto"/>
            <w:right w:val="none" w:sz="0" w:space="0" w:color="auto"/>
          </w:divBdr>
        </w:div>
        <w:div w:id="57100037">
          <w:marLeft w:val="360"/>
          <w:marRight w:val="0"/>
          <w:marTop w:val="200"/>
          <w:marBottom w:val="0"/>
          <w:divBdr>
            <w:top w:val="none" w:sz="0" w:space="0" w:color="auto"/>
            <w:left w:val="none" w:sz="0" w:space="0" w:color="auto"/>
            <w:bottom w:val="none" w:sz="0" w:space="0" w:color="auto"/>
            <w:right w:val="none" w:sz="0" w:space="0" w:color="auto"/>
          </w:divBdr>
        </w:div>
        <w:div w:id="249390985">
          <w:marLeft w:val="360"/>
          <w:marRight w:val="0"/>
          <w:marTop w:val="200"/>
          <w:marBottom w:val="0"/>
          <w:divBdr>
            <w:top w:val="none" w:sz="0" w:space="0" w:color="auto"/>
            <w:left w:val="none" w:sz="0" w:space="0" w:color="auto"/>
            <w:bottom w:val="none" w:sz="0" w:space="0" w:color="auto"/>
            <w:right w:val="none" w:sz="0" w:space="0" w:color="auto"/>
          </w:divBdr>
        </w:div>
        <w:div w:id="190533127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6B9B2A6BCCA41B9083DF33B041AC2" ma:contentTypeVersion="3" ma:contentTypeDescription="Create a new document." ma:contentTypeScope="" ma:versionID="c144fcd0ef0e3183ccdde2e762eb47d8">
  <xsd:schema xmlns:xsd="http://www.w3.org/2001/XMLSchema" xmlns:xs="http://www.w3.org/2001/XMLSchema" xmlns:p="http://schemas.microsoft.com/office/2006/metadata/properties" xmlns:ns2="99ce7ba1-5322-4107-99bc-cf8b54ef55f3" targetNamespace="http://schemas.microsoft.com/office/2006/metadata/properties" ma:root="true" ma:fieldsID="ebe08becfa3f48322539b87af15ef3cf" ns2:_="">
    <xsd:import namespace="99ce7ba1-5322-4107-99bc-cf8b54ef55f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ce7ba1-5322-4107-99bc-cf8b54ef5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E86E48-561E-4658-8E30-C83E8A55F4C2}"/>
</file>

<file path=customXml/itemProps2.xml><?xml version="1.0" encoding="utf-8"?>
<ds:datastoreItem xmlns:ds="http://schemas.openxmlformats.org/officeDocument/2006/customXml" ds:itemID="{098DEDC5-E057-4A49-9726-94E891D27F7F}"/>
</file>

<file path=customXml/itemProps3.xml><?xml version="1.0" encoding="utf-8"?>
<ds:datastoreItem xmlns:ds="http://schemas.openxmlformats.org/officeDocument/2006/customXml" ds:itemID="{0595174D-5956-41B0-8D86-E771C8623696}"/>
</file>

<file path=docProps/app.xml><?xml version="1.0" encoding="utf-8"?>
<Properties xmlns="http://schemas.openxmlformats.org/officeDocument/2006/extended-properties" xmlns:vt="http://schemas.openxmlformats.org/officeDocument/2006/docPropsVTypes">
  <Template>Normal</Template>
  <TotalTime>180</TotalTime>
  <Pages>6</Pages>
  <Words>1781</Words>
  <Characters>9207</Characters>
  <Application>Microsoft Office Word</Application>
  <DocSecurity>0</DocSecurity>
  <Lines>287</Lines>
  <Paragraphs>180</Paragraphs>
  <ScaleCrop>false</ScaleCrop>
  <HeadingPairs>
    <vt:vector size="2" baseType="variant">
      <vt:variant>
        <vt:lpstr>Title</vt:lpstr>
      </vt:variant>
      <vt:variant>
        <vt:i4>1</vt:i4>
      </vt:variant>
    </vt:vector>
  </HeadingPairs>
  <TitlesOfParts>
    <vt:vector size="1" baseType="lpstr">
      <vt:lpstr/>
    </vt:vector>
  </TitlesOfParts>
  <Company>Knowsley Metropolitan Borough Council</Company>
  <LinksUpToDate>false</LinksUpToDate>
  <CharactersWithSpaces>10886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Dykes, Leanne</dc:creator>
  <cp:keywords/>
  <dc:description/>
  <cp:lastModifiedBy>Dykes, Leanne</cp:lastModifiedBy>
  <cp:revision>2</cp:revision>
  <dcterms:created xsi:type="dcterms:W3CDTF">2025-05-07T14:45:00Z</dcterms:created>
  <dcterms:modified xsi:type="dcterms:W3CDTF">2025-05-07T17:47:00Z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4cf702c0-72ab-4315-92e1-86258a9ae3eb</vt:lpwstr>
  </property>
  <property fmtid="{D5CDD505-2E9C-101B-9397-08002B2CF9AE}" pid="3" name="ContentTypeId">
    <vt:lpwstr>0x0101001606B9B2A6BCCA41B9083DF33B041AC2</vt:lpwstr>
  </property>
</Properties>
</file>