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168A1805" w:rsidR="00FC6860" w:rsidRPr="00574B16" w:rsidRDefault="00533FBF" w:rsidP="003A16E9">
          <w:pPr>
            <w:pStyle w:val="Heading1"/>
            <w:rPr>
              <w:rStyle w:val="chrSubTitle"/>
              <w:color w:val="B1173B"/>
            </w:rPr>
          </w:pPr>
          <w:r>
            <w:rPr>
              <w:rStyle w:val="chrSubTitle"/>
              <w:color w:val="B1173B"/>
            </w:rPr>
            <w:t>External Board Effectiveness Review 2025/26</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6-30T00:00:00Z">
          <w:dateFormat w:val="dd MMMM yyyy"/>
          <w:lid w:val="en-GB"/>
          <w:storeMappedDataAs w:val="dateTime"/>
          <w:calendar w:val="gregorian"/>
        </w:date>
      </w:sdtPr>
      <w:sdtEndPr/>
      <w:sdtContent>
        <w:p w14:paraId="38D7D855" w14:textId="470710BD" w:rsidR="00FC6860" w:rsidRDefault="007417AA" w:rsidP="003A16E9">
          <w:pPr>
            <w:pStyle w:val="Date"/>
          </w:pPr>
          <w:r>
            <w:rPr>
              <w:bCs/>
            </w:rPr>
            <w:t>30 June 2025</w:t>
          </w:r>
        </w:p>
      </w:sdtContent>
    </w:sdt>
    <w:p w14:paraId="512B2E87" w14:textId="77777777" w:rsidR="003E5612" w:rsidRDefault="003E5612" w:rsidP="003E5612"/>
    <w:p w14:paraId="23C9059D" w14:textId="77777777" w:rsidR="00B16020" w:rsidRDefault="003E5612" w:rsidP="000B6CFD">
      <w:pPr>
        <w:pStyle w:val="NormalBulletround"/>
        <w:rPr>
          <w:b/>
          <w:bCs/>
          <w:color w:val="B1173B"/>
        </w:rPr>
      </w:pPr>
      <w:r w:rsidRPr="00B16020">
        <w:rPr>
          <w:b/>
          <w:bCs/>
        </w:rPr>
        <w:t xml:space="preserve">CPV Code: </w:t>
      </w:r>
      <w:r w:rsidR="00B16020" w:rsidRPr="00B16020">
        <w:rPr>
          <w:b/>
          <w:bCs/>
          <w:color w:val="B1173B"/>
        </w:rPr>
        <w:t>793130000</w:t>
      </w:r>
    </w:p>
    <w:p w14:paraId="772A8C9F" w14:textId="5B52A7DF" w:rsidR="003E5612" w:rsidRPr="00574B16" w:rsidRDefault="003E5612" w:rsidP="003E5612">
      <w:pPr>
        <w:pStyle w:val="NormalBulletround"/>
        <w:rPr>
          <w:b/>
          <w:bCs/>
          <w:color w:val="B1173B"/>
        </w:rPr>
      </w:pPr>
      <w:r w:rsidRPr="003E5612">
        <w:rPr>
          <w:b/>
          <w:bCs/>
        </w:rPr>
        <w:t>Supplementary Code:</w:t>
      </w:r>
      <w:r w:rsidRPr="00574B16">
        <w:rPr>
          <w:b/>
          <w:bCs/>
          <w:color w:val="B1173B"/>
        </w:rPr>
        <w:t xml:space="preserve"> </w:t>
      </w:r>
      <w:r w:rsidR="00B16020" w:rsidRPr="00B16020">
        <w:rPr>
          <w:b/>
          <w:bCs/>
          <w:color w:val="B1173B"/>
        </w:rPr>
        <w:t>79410000</w:t>
      </w:r>
    </w:p>
    <w:p w14:paraId="60F6998D" w14:textId="060BE31C" w:rsidR="003E5612" w:rsidRPr="00B16020" w:rsidRDefault="003E5612" w:rsidP="003A16E9">
      <w:pPr>
        <w:pStyle w:val="NormalBulletround"/>
        <w:rPr>
          <w:b/>
          <w:color w:val="B1173B"/>
        </w:rPr>
        <w:sectPr w:rsidR="003E5612" w:rsidRPr="00B16020" w:rsidSect="00FC6860">
          <w:headerReference w:type="even" r:id="rId13"/>
          <w:headerReference w:type="default" r:id="rId14"/>
          <w:footerReference w:type="even" r:id="rId15"/>
          <w:footerReference w:type="default" r:id="rId16"/>
          <w:headerReference w:type="first" r:id="rId17"/>
          <w:footerReference w:type="first" r:id="rId18"/>
          <w:pgSz w:w="11906" w:h="16838" w:code="9"/>
          <w:pgMar w:top="5443" w:right="1134" w:bottom="1134" w:left="1134" w:header="709" w:footer="709" w:gutter="0"/>
          <w:pgNumType w:start="1"/>
          <w:cols w:space="708"/>
          <w:titlePg/>
          <w:docGrid w:linePitch="360"/>
        </w:sectPr>
      </w:pPr>
      <w:r w:rsidRPr="003E5612">
        <w:rPr>
          <w:b/>
          <w:bCs/>
        </w:rPr>
        <w:t>Tender Reference:</w:t>
      </w:r>
      <w:r w:rsidRPr="1694ACAD">
        <w:rPr>
          <w:b/>
          <w:color w:val="B1173B" w:themeColor="accent1"/>
        </w:rPr>
        <w:t xml:space="preserve"> </w:t>
      </w:r>
      <w:r w:rsidR="00B16020">
        <w:rPr>
          <w:b/>
          <w:bCs/>
          <w:color w:val="B1173B" w:themeColor="accent1"/>
        </w:rPr>
        <w:t>ORR/CT/25-16</w:t>
      </w:r>
    </w:p>
    <w:p w14:paraId="6F6DAD95" w14:textId="77777777" w:rsidR="00FC6860" w:rsidRDefault="00FC6860" w:rsidP="003A16E9">
      <w:pPr>
        <w:pStyle w:val="Heading2NoToc"/>
      </w:pPr>
      <w:r>
        <w:lastRenderedPageBreak/>
        <w:t>Contents</w:t>
      </w:r>
    </w:p>
    <w:p w14:paraId="39B78BAD" w14:textId="121955B3" w:rsidR="002D469D" w:rsidRDefault="00FC6860">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99326931" w:history="1">
        <w:r w:rsidR="002D469D" w:rsidRPr="00A45A4D">
          <w:rPr>
            <w:rStyle w:val="Hyperlink"/>
          </w:rPr>
          <w:t>Purpose of the document</w:t>
        </w:r>
        <w:r w:rsidR="002D469D">
          <w:rPr>
            <w:webHidden/>
          </w:rPr>
          <w:tab/>
        </w:r>
        <w:r w:rsidR="002D469D">
          <w:rPr>
            <w:webHidden/>
          </w:rPr>
          <w:fldChar w:fldCharType="begin"/>
        </w:r>
        <w:r w:rsidR="002D469D">
          <w:rPr>
            <w:webHidden/>
          </w:rPr>
          <w:instrText xml:space="preserve"> PAGEREF _Toc199326931 \h </w:instrText>
        </w:r>
        <w:r w:rsidR="002D469D">
          <w:rPr>
            <w:webHidden/>
          </w:rPr>
        </w:r>
        <w:r w:rsidR="002D469D">
          <w:rPr>
            <w:webHidden/>
          </w:rPr>
          <w:fldChar w:fldCharType="separate"/>
        </w:r>
        <w:r w:rsidR="002D469D">
          <w:rPr>
            <w:webHidden/>
          </w:rPr>
          <w:t>5</w:t>
        </w:r>
        <w:r w:rsidR="002D469D">
          <w:rPr>
            <w:webHidden/>
          </w:rPr>
          <w:fldChar w:fldCharType="end"/>
        </w:r>
      </w:hyperlink>
    </w:p>
    <w:p w14:paraId="51763893" w14:textId="245099F0" w:rsidR="002D469D" w:rsidRDefault="002D469D">
      <w:pPr>
        <w:pStyle w:val="TOC1"/>
        <w:rPr>
          <w:rFonts w:asciiTheme="minorHAnsi" w:eastAsiaTheme="minorEastAsia" w:hAnsiTheme="minorHAnsi"/>
          <w:b w:val="0"/>
          <w:bCs w:val="0"/>
          <w:color w:val="auto"/>
          <w:kern w:val="2"/>
          <w:szCs w:val="24"/>
          <w:lang w:eastAsia="en-GB"/>
          <w14:ligatures w14:val="standardContextual"/>
        </w:rPr>
      </w:pPr>
      <w:hyperlink w:anchor="_Toc199326932" w:history="1">
        <w:r w:rsidRPr="00A45A4D">
          <w:rPr>
            <w:rStyle w:val="Hyperlink"/>
          </w:rPr>
          <w:t>1.</w:t>
        </w:r>
        <w:r>
          <w:rPr>
            <w:rFonts w:asciiTheme="minorHAnsi" w:eastAsiaTheme="minorEastAsia" w:hAnsiTheme="minorHAnsi"/>
            <w:b w:val="0"/>
            <w:bCs w:val="0"/>
            <w:color w:val="auto"/>
            <w:kern w:val="2"/>
            <w:szCs w:val="24"/>
            <w:lang w:eastAsia="en-GB"/>
            <w14:ligatures w14:val="standardContextual"/>
          </w:rPr>
          <w:tab/>
        </w:r>
        <w:r w:rsidRPr="00A45A4D">
          <w:rPr>
            <w:rStyle w:val="Hyperlink"/>
          </w:rPr>
          <w:t>Introduction to the Office of Rail and Road</w:t>
        </w:r>
        <w:r>
          <w:rPr>
            <w:webHidden/>
          </w:rPr>
          <w:tab/>
        </w:r>
        <w:r>
          <w:rPr>
            <w:webHidden/>
          </w:rPr>
          <w:fldChar w:fldCharType="begin"/>
        </w:r>
        <w:r>
          <w:rPr>
            <w:webHidden/>
          </w:rPr>
          <w:instrText xml:space="preserve"> PAGEREF _Toc199326932 \h </w:instrText>
        </w:r>
        <w:r>
          <w:rPr>
            <w:webHidden/>
          </w:rPr>
        </w:r>
        <w:r>
          <w:rPr>
            <w:webHidden/>
          </w:rPr>
          <w:fldChar w:fldCharType="separate"/>
        </w:r>
        <w:r>
          <w:rPr>
            <w:webHidden/>
          </w:rPr>
          <w:t>6</w:t>
        </w:r>
        <w:r>
          <w:rPr>
            <w:webHidden/>
          </w:rPr>
          <w:fldChar w:fldCharType="end"/>
        </w:r>
      </w:hyperlink>
    </w:p>
    <w:p w14:paraId="3F65393E" w14:textId="0D849819"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33" w:history="1">
        <w:r w:rsidRPr="00A45A4D">
          <w:rPr>
            <w:rStyle w:val="Hyperlink"/>
            <w:noProof/>
          </w:rPr>
          <w:t>Our strategic objectives</w:t>
        </w:r>
        <w:r>
          <w:rPr>
            <w:noProof/>
            <w:webHidden/>
          </w:rPr>
          <w:tab/>
        </w:r>
        <w:r>
          <w:rPr>
            <w:noProof/>
            <w:webHidden/>
          </w:rPr>
          <w:fldChar w:fldCharType="begin"/>
        </w:r>
        <w:r>
          <w:rPr>
            <w:noProof/>
            <w:webHidden/>
          </w:rPr>
          <w:instrText xml:space="preserve"> PAGEREF _Toc199326933 \h </w:instrText>
        </w:r>
        <w:r>
          <w:rPr>
            <w:noProof/>
            <w:webHidden/>
          </w:rPr>
        </w:r>
        <w:r>
          <w:rPr>
            <w:noProof/>
            <w:webHidden/>
          </w:rPr>
          <w:fldChar w:fldCharType="separate"/>
        </w:r>
        <w:r>
          <w:rPr>
            <w:noProof/>
            <w:webHidden/>
          </w:rPr>
          <w:t>6</w:t>
        </w:r>
        <w:r>
          <w:rPr>
            <w:noProof/>
            <w:webHidden/>
          </w:rPr>
          <w:fldChar w:fldCharType="end"/>
        </w:r>
      </w:hyperlink>
    </w:p>
    <w:p w14:paraId="2951D132" w14:textId="49C01CC6"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34" w:history="1">
        <w:r w:rsidRPr="00A45A4D">
          <w:rPr>
            <w:rStyle w:val="Hyperlink"/>
            <w:noProof/>
          </w:rPr>
          <w:t>Supplying ORR</w:t>
        </w:r>
        <w:r>
          <w:rPr>
            <w:noProof/>
            <w:webHidden/>
          </w:rPr>
          <w:tab/>
        </w:r>
        <w:r>
          <w:rPr>
            <w:noProof/>
            <w:webHidden/>
          </w:rPr>
          <w:fldChar w:fldCharType="begin"/>
        </w:r>
        <w:r>
          <w:rPr>
            <w:noProof/>
            <w:webHidden/>
          </w:rPr>
          <w:instrText xml:space="preserve"> PAGEREF _Toc199326934 \h </w:instrText>
        </w:r>
        <w:r>
          <w:rPr>
            <w:noProof/>
            <w:webHidden/>
          </w:rPr>
        </w:r>
        <w:r>
          <w:rPr>
            <w:noProof/>
            <w:webHidden/>
          </w:rPr>
          <w:fldChar w:fldCharType="separate"/>
        </w:r>
        <w:r>
          <w:rPr>
            <w:noProof/>
            <w:webHidden/>
          </w:rPr>
          <w:t>6</w:t>
        </w:r>
        <w:r>
          <w:rPr>
            <w:noProof/>
            <w:webHidden/>
          </w:rPr>
          <w:fldChar w:fldCharType="end"/>
        </w:r>
      </w:hyperlink>
    </w:p>
    <w:p w14:paraId="42D3448E" w14:textId="67C599A2" w:rsidR="002D469D" w:rsidRDefault="002D469D">
      <w:pPr>
        <w:pStyle w:val="TOC1"/>
        <w:rPr>
          <w:rFonts w:asciiTheme="minorHAnsi" w:eastAsiaTheme="minorEastAsia" w:hAnsiTheme="minorHAnsi"/>
          <w:b w:val="0"/>
          <w:bCs w:val="0"/>
          <w:color w:val="auto"/>
          <w:kern w:val="2"/>
          <w:szCs w:val="24"/>
          <w:lang w:eastAsia="en-GB"/>
          <w14:ligatures w14:val="standardContextual"/>
        </w:rPr>
      </w:pPr>
      <w:hyperlink w:anchor="_Toc199326935" w:history="1">
        <w:r w:rsidRPr="00A45A4D">
          <w:rPr>
            <w:rStyle w:val="Hyperlink"/>
          </w:rPr>
          <w:t>Small and Medium Enterprises</w:t>
        </w:r>
        <w:r>
          <w:rPr>
            <w:webHidden/>
          </w:rPr>
          <w:tab/>
        </w:r>
        <w:r>
          <w:rPr>
            <w:webHidden/>
          </w:rPr>
          <w:fldChar w:fldCharType="begin"/>
        </w:r>
        <w:r>
          <w:rPr>
            <w:webHidden/>
          </w:rPr>
          <w:instrText xml:space="preserve"> PAGEREF _Toc199326935 \h </w:instrText>
        </w:r>
        <w:r>
          <w:rPr>
            <w:webHidden/>
          </w:rPr>
        </w:r>
        <w:r>
          <w:rPr>
            <w:webHidden/>
          </w:rPr>
          <w:fldChar w:fldCharType="separate"/>
        </w:r>
        <w:r>
          <w:rPr>
            <w:webHidden/>
          </w:rPr>
          <w:t>8</w:t>
        </w:r>
        <w:r>
          <w:rPr>
            <w:webHidden/>
          </w:rPr>
          <w:fldChar w:fldCharType="end"/>
        </w:r>
      </w:hyperlink>
    </w:p>
    <w:p w14:paraId="3DF9C9D0" w14:textId="6897F8FD" w:rsidR="002D469D" w:rsidRDefault="002D469D">
      <w:pPr>
        <w:pStyle w:val="TOC1"/>
        <w:rPr>
          <w:rFonts w:asciiTheme="minorHAnsi" w:eastAsiaTheme="minorEastAsia" w:hAnsiTheme="minorHAnsi"/>
          <w:b w:val="0"/>
          <w:bCs w:val="0"/>
          <w:color w:val="auto"/>
          <w:kern w:val="2"/>
          <w:szCs w:val="24"/>
          <w:lang w:eastAsia="en-GB"/>
          <w14:ligatures w14:val="standardContextual"/>
        </w:rPr>
      </w:pPr>
      <w:hyperlink w:anchor="_Toc199326936" w:history="1">
        <w:r w:rsidRPr="00A45A4D">
          <w:rPr>
            <w:rStyle w:val="Hyperlink"/>
          </w:rPr>
          <w:t>2.</w:t>
        </w:r>
        <w:r>
          <w:rPr>
            <w:rFonts w:asciiTheme="minorHAnsi" w:eastAsiaTheme="minorEastAsia" w:hAnsiTheme="minorHAnsi"/>
            <w:b w:val="0"/>
            <w:bCs w:val="0"/>
            <w:color w:val="auto"/>
            <w:kern w:val="2"/>
            <w:szCs w:val="24"/>
            <w:lang w:eastAsia="en-GB"/>
            <w14:ligatures w14:val="standardContextual"/>
          </w:rPr>
          <w:tab/>
        </w:r>
        <w:r w:rsidRPr="00A45A4D">
          <w:rPr>
            <w:rStyle w:val="Hyperlink"/>
          </w:rPr>
          <w:t>Statement of Requirement</w:t>
        </w:r>
        <w:r>
          <w:rPr>
            <w:webHidden/>
          </w:rPr>
          <w:tab/>
        </w:r>
        <w:r>
          <w:rPr>
            <w:webHidden/>
          </w:rPr>
          <w:fldChar w:fldCharType="begin"/>
        </w:r>
        <w:r>
          <w:rPr>
            <w:webHidden/>
          </w:rPr>
          <w:instrText xml:space="preserve"> PAGEREF _Toc199326936 \h </w:instrText>
        </w:r>
        <w:r>
          <w:rPr>
            <w:webHidden/>
          </w:rPr>
        </w:r>
        <w:r>
          <w:rPr>
            <w:webHidden/>
          </w:rPr>
          <w:fldChar w:fldCharType="separate"/>
        </w:r>
        <w:r>
          <w:rPr>
            <w:webHidden/>
          </w:rPr>
          <w:t>10</w:t>
        </w:r>
        <w:r>
          <w:rPr>
            <w:webHidden/>
          </w:rPr>
          <w:fldChar w:fldCharType="end"/>
        </w:r>
      </w:hyperlink>
    </w:p>
    <w:p w14:paraId="32BFFC51" w14:textId="2AD18584"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37" w:history="1">
        <w:r w:rsidRPr="00A45A4D">
          <w:rPr>
            <w:rStyle w:val="Hyperlink"/>
            <w:noProof/>
          </w:rPr>
          <w:t>2.1 Background of the project</w:t>
        </w:r>
        <w:r>
          <w:rPr>
            <w:noProof/>
            <w:webHidden/>
          </w:rPr>
          <w:tab/>
        </w:r>
        <w:r>
          <w:rPr>
            <w:noProof/>
            <w:webHidden/>
          </w:rPr>
          <w:fldChar w:fldCharType="begin"/>
        </w:r>
        <w:r>
          <w:rPr>
            <w:noProof/>
            <w:webHidden/>
          </w:rPr>
          <w:instrText xml:space="preserve"> PAGEREF _Toc199326937 \h </w:instrText>
        </w:r>
        <w:r>
          <w:rPr>
            <w:noProof/>
            <w:webHidden/>
          </w:rPr>
        </w:r>
        <w:r>
          <w:rPr>
            <w:noProof/>
            <w:webHidden/>
          </w:rPr>
          <w:fldChar w:fldCharType="separate"/>
        </w:r>
        <w:r>
          <w:rPr>
            <w:noProof/>
            <w:webHidden/>
          </w:rPr>
          <w:t>10</w:t>
        </w:r>
        <w:r>
          <w:rPr>
            <w:noProof/>
            <w:webHidden/>
          </w:rPr>
          <w:fldChar w:fldCharType="end"/>
        </w:r>
      </w:hyperlink>
    </w:p>
    <w:p w14:paraId="0A3F7B68" w14:textId="616B6DE4"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38" w:history="1">
        <w:r w:rsidRPr="00A45A4D">
          <w:rPr>
            <w:rStyle w:val="Hyperlink"/>
            <w:noProof/>
          </w:rPr>
          <w:t>2.2 Project Objectives and Scope</w:t>
        </w:r>
        <w:r>
          <w:rPr>
            <w:noProof/>
            <w:webHidden/>
          </w:rPr>
          <w:tab/>
        </w:r>
        <w:r>
          <w:rPr>
            <w:noProof/>
            <w:webHidden/>
          </w:rPr>
          <w:fldChar w:fldCharType="begin"/>
        </w:r>
        <w:r>
          <w:rPr>
            <w:noProof/>
            <w:webHidden/>
          </w:rPr>
          <w:instrText xml:space="preserve"> PAGEREF _Toc199326938 \h </w:instrText>
        </w:r>
        <w:r>
          <w:rPr>
            <w:noProof/>
            <w:webHidden/>
          </w:rPr>
        </w:r>
        <w:r>
          <w:rPr>
            <w:noProof/>
            <w:webHidden/>
          </w:rPr>
          <w:fldChar w:fldCharType="separate"/>
        </w:r>
        <w:r>
          <w:rPr>
            <w:noProof/>
            <w:webHidden/>
          </w:rPr>
          <w:t>11</w:t>
        </w:r>
        <w:r>
          <w:rPr>
            <w:noProof/>
            <w:webHidden/>
          </w:rPr>
          <w:fldChar w:fldCharType="end"/>
        </w:r>
      </w:hyperlink>
    </w:p>
    <w:p w14:paraId="406DFF4D" w14:textId="6D32B54D"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39" w:history="1">
        <w:r w:rsidRPr="00A45A4D">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_Toc199326939 \h </w:instrText>
        </w:r>
        <w:r>
          <w:rPr>
            <w:noProof/>
            <w:webHidden/>
          </w:rPr>
        </w:r>
        <w:r>
          <w:rPr>
            <w:noProof/>
            <w:webHidden/>
          </w:rPr>
          <w:fldChar w:fldCharType="separate"/>
        </w:r>
        <w:r>
          <w:rPr>
            <w:noProof/>
            <w:webHidden/>
          </w:rPr>
          <w:t>16</w:t>
        </w:r>
        <w:r>
          <w:rPr>
            <w:noProof/>
            <w:webHidden/>
          </w:rPr>
          <w:fldChar w:fldCharType="end"/>
        </w:r>
      </w:hyperlink>
    </w:p>
    <w:p w14:paraId="56E8017E" w14:textId="6DD4ADAE"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40" w:history="1">
        <w:r w:rsidRPr="00A45A4D">
          <w:rPr>
            <w:rStyle w:val="Hyperlink"/>
            <w:noProof/>
          </w:rPr>
          <w:t>2.4 Project Timescales</w:t>
        </w:r>
        <w:r>
          <w:rPr>
            <w:noProof/>
            <w:webHidden/>
          </w:rPr>
          <w:tab/>
        </w:r>
        <w:r>
          <w:rPr>
            <w:noProof/>
            <w:webHidden/>
          </w:rPr>
          <w:fldChar w:fldCharType="begin"/>
        </w:r>
        <w:r>
          <w:rPr>
            <w:noProof/>
            <w:webHidden/>
          </w:rPr>
          <w:instrText xml:space="preserve"> PAGEREF _Toc199326940 \h </w:instrText>
        </w:r>
        <w:r>
          <w:rPr>
            <w:noProof/>
            <w:webHidden/>
          </w:rPr>
        </w:r>
        <w:r>
          <w:rPr>
            <w:noProof/>
            <w:webHidden/>
          </w:rPr>
          <w:fldChar w:fldCharType="separate"/>
        </w:r>
        <w:r>
          <w:rPr>
            <w:noProof/>
            <w:webHidden/>
          </w:rPr>
          <w:t>18</w:t>
        </w:r>
        <w:r>
          <w:rPr>
            <w:noProof/>
            <w:webHidden/>
          </w:rPr>
          <w:fldChar w:fldCharType="end"/>
        </w:r>
      </w:hyperlink>
    </w:p>
    <w:p w14:paraId="1D8E146B" w14:textId="4AFF59A0"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41" w:history="1">
        <w:r w:rsidRPr="00A45A4D">
          <w:rPr>
            <w:rStyle w:val="Hyperlink"/>
            <w:noProof/>
          </w:rPr>
          <w:t>2.5 Budget and Payment Schedule</w:t>
        </w:r>
        <w:r>
          <w:rPr>
            <w:noProof/>
            <w:webHidden/>
          </w:rPr>
          <w:tab/>
        </w:r>
        <w:r>
          <w:rPr>
            <w:noProof/>
            <w:webHidden/>
          </w:rPr>
          <w:fldChar w:fldCharType="begin"/>
        </w:r>
        <w:r>
          <w:rPr>
            <w:noProof/>
            <w:webHidden/>
          </w:rPr>
          <w:instrText xml:space="preserve"> PAGEREF _Toc199326941 \h </w:instrText>
        </w:r>
        <w:r>
          <w:rPr>
            <w:noProof/>
            <w:webHidden/>
          </w:rPr>
        </w:r>
        <w:r>
          <w:rPr>
            <w:noProof/>
            <w:webHidden/>
          </w:rPr>
          <w:fldChar w:fldCharType="separate"/>
        </w:r>
        <w:r>
          <w:rPr>
            <w:noProof/>
            <w:webHidden/>
          </w:rPr>
          <w:t>19</w:t>
        </w:r>
        <w:r>
          <w:rPr>
            <w:noProof/>
            <w:webHidden/>
          </w:rPr>
          <w:fldChar w:fldCharType="end"/>
        </w:r>
      </w:hyperlink>
    </w:p>
    <w:p w14:paraId="6EB217F2" w14:textId="70D6370E"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42" w:history="1">
        <w:r w:rsidRPr="00A45A4D">
          <w:rPr>
            <w:rStyle w:val="Hyperlink"/>
            <w:noProof/>
          </w:rPr>
          <w:t>2.6 Further project related information for bidders</w:t>
        </w:r>
        <w:r>
          <w:rPr>
            <w:noProof/>
            <w:webHidden/>
          </w:rPr>
          <w:tab/>
        </w:r>
        <w:r>
          <w:rPr>
            <w:noProof/>
            <w:webHidden/>
          </w:rPr>
          <w:fldChar w:fldCharType="begin"/>
        </w:r>
        <w:r>
          <w:rPr>
            <w:noProof/>
            <w:webHidden/>
          </w:rPr>
          <w:instrText xml:space="preserve"> PAGEREF _Toc199326942 \h </w:instrText>
        </w:r>
        <w:r>
          <w:rPr>
            <w:noProof/>
            <w:webHidden/>
          </w:rPr>
        </w:r>
        <w:r>
          <w:rPr>
            <w:noProof/>
            <w:webHidden/>
          </w:rPr>
          <w:fldChar w:fldCharType="separate"/>
        </w:r>
        <w:r>
          <w:rPr>
            <w:noProof/>
            <w:webHidden/>
          </w:rPr>
          <w:t>19</w:t>
        </w:r>
        <w:r>
          <w:rPr>
            <w:noProof/>
            <w:webHidden/>
          </w:rPr>
          <w:fldChar w:fldCharType="end"/>
        </w:r>
      </w:hyperlink>
    </w:p>
    <w:p w14:paraId="414D9F44" w14:textId="4812BA2A" w:rsidR="002D469D" w:rsidRDefault="002D469D">
      <w:pPr>
        <w:pStyle w:val="TOC1"/>
        <w:rPr>
          <w:rFonts w:asciiTheme="minorHAnsi" w:eastAsiaTheme="minorEastAsia" w:hAnsiTheme="minorHAnsi"/>
          <w:b w:val="0"/>
          <w:bCs w:val="0"/>
          <w:color w:val="auto"/>
          <w:kern w:val="2"/>
          <w:szCs w:val="24"/>
          <w:lang w:eastAsia="en-GB"/>
          <w14:ligatures w14:val="standardContextual"/>
        </w:rPr>
      </w:pPr>
      <w:hyperlink w:anchor="_Toc199326943" w:history="1">
        <w:r w:rsidRPr="00A45A4D">
          <w:rPr>
            <w:rStyle w:val="Hyperlink"/>
          </w:rPr>
          <w:t>3.</w:t>
        </w:r>
        <w:r>
          <w:rPr>
            <w:rFonts w:asciiTheme="minorHAnsi" w:eastAsiaTheme="minorEastAsia" w:hAnsiTheme="minorHAnsi"/>
            <w:b w:val="0"/>
            <w:bCs w:val="0"/>
            <w:color w:val="auto"/>
            <w:kern w:val="2"/>
            <w:szCs w:val="24"/>
            <w:lang w:eastAsia="en-GB"/>
            <w14:ligatures w14:val="standardContextual"/>
          </w:rPr>
          <w:tab/>
        </w:r>
        <w:r w:rsidRPr="00A45A4D">
          <w:rPr>
            <w:rStyle w:val="Hyperlink"/>
          </w:rPr>
          <w:t>Tender Response and Evaluation Criteria</w:t>
        </w:r>
        <w:r>
          <w:rPr>
            <w:webHidden/>
          </w:rPr>
          <w:tab/>
        </w:r>
        <w:r>
          <w:rPr>
            <w:webHidden/>
          </w:rPr>
          <w:fldChar w:fldCharType="begin"/>
        </w:r>
        <w:r>
          <w:rPr>
            <w:webHidden/>
          </w:rPr>
          <w:instrText xml:space="preserve"> PAGEREF _Toc199326943 \h </w:instrText>
        </w:r>
        <w:r>
          <w:rPr>
            <w:webHidden/>
          </w:rPr>
        </w:r>
        <w:r>
          <w:rPr>
            <w:webHidden/>
          </w:rPr>
          <w:fldChar w:fldCharType="separate"/>
        </w:r>
        <w:r>
          <w:rPr>
            <w:webHidden/>
          </w:rPr>
          <w:t>21</w:t>
        </w:r>
        <w:r>
          <w:rPr>
            <w:webHidden/>
          </w:rPr>
          <w:fldChar w:fldCharType="end"/>
        </w:r>
      </w:hyperlink>
    </w:p>
    <w:p w14:paraId="59E3D363" w14:textId="4693AD40"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44" w:history="1">
        <w:r w:rsidRPr="00A45A4D">
          <w:rPr>
            <w:rStyle w:val="Hyperlink"/>
            <w:noProof/>
          </w:rPr>
          <w:t>3.1 The Tender Response</w:t>
        </w:r>
        <w:r>
          <w:rPr>
            <w:noProof/>
            <w:webHidden/>
          </w:rPr>
          <w:tab/>
        </w:r>
        <w:r>
          <w:rPr>
            <w:noProof/>
            <w:webHidden/>
          </w:rPr>
          <w:fldChar w:fldCharType="begin"/>
        </w:r>
        <w:r>
          <w:rPr>
            <w:noProof/>
            <w:webHidden/>
          </w:rPr>
          <w:instrText xml:space="preserve"> PAGEREF _Toc199326944 \h </w:instrText>
        </w:r>
        <w:r>
          <w:rPr>
            <w:noProof/>
            <w:webHidden/>
          </w:rPr>
        </w:r>
        <w:r>
          <w:rPr>
            <w:noProof/>
            <w:webHidden/>
          </w:rPr>
          <w:fldChar w:fldCharType="separate"/>
        </w:r>
        <w:r>
          <w:rPr>
            <w:noProof/>
            <w:webHidden/>
          </w:rPr>
          <w:t>21</w:t>
        </w:r>
        <w:r>
          <w:rPr>
            <w:noProof/>
            <w:webHidden/>
          </w:rPr>
          <w:fldChar w:fldCharType="end"/>
        </w:r>
      </w:hyperlink>
    </w:p>
    <w:p w14:paraId="14315515" w14:textId="3E975486"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45" w:history="1">
        <w:r w:rsidRPr="00A45A4D">
          <w:rPr>
            <w:rStyle w:val="Hyperlink"/>
            <w:noProof/>
          </w:rPr>
          <w:t>3.2 Evaluation Criteria</w:t>
        </w:r>
        <w:r>
          <w:rPr>
            <w:noProof/>
            <w:webHidden/>
          </w:rPr>
          <w:tab/>
        </w:r>
        <w:r>
          <w:rPr>
            <w:noProof/>
            <w:webHidden/>
          </w:rPr>
          <w:fldChar w:fldCharType="begin"/>
        </w:r>
        <w:r>
          <w:rPr>
            <w:noProof/>
            <w:webHidden/>
          </w:rPr>
          <w:instrText xml:space="preserve"> PAGEREF _Toc199326945 \h </w:instrText>
        </w:r>
        <w:r>
          <w:rPr>
            <w:noProof/>
            <w:webHidden/>
          </w:rPr>
        </w:r>
        <w:r>
          <w:rPr>
            <w:noProof/>
            <w:webHidden/>
          </w:rPr>
          <w:fldChar w:fldCharType="separate"/>
        </w:r>
        <w:r>
          <w:rPr>
            <w:noProof/>
            <w:webHidden/>
          </w:rPr>
          <w:t>22</w:t>
        </w:r>
        <w:r>
          <w:rPr>
            <w:noProof/>
            <w:webHidden/>
          </w:rPr>
          <w:fldChar w:fldCharType="end"/>
        </w:r>
      </w:hyperlink>
    </w:p>
    <w:p w14:paraId="4399D17B" w14:textId="0206763B" w:rsidR="002D469D" w:rsidRDefault="002D469D">
      <w:pPr>
        <w:pStyle w:val="TOC1"/>
        <w:rPr>
          <w:rFonts w:asciiTheme="minorHAnsi" w:eastAsiaTheme="minorEastAsia" w:hAnsiTheme="minorHAnsi"/>
          <w:b w:val="0"/>
          <w:bCs w:val="0"/>
          <w:color w:val="auto"/>
          <w:kern w:val="2"/>
          <w:szCs w:val="24"/>
          <w:lang w:eastAsia="en-GB"/>
          <w14:ligatures w14:val="standardContextual"/>
        </w:rPr>
      </w:pPr>
      <w:hyperlink w:anchor="_Toc199326946" w:history="1">
        <w:r w:rsidRPr="00A45A4D">
          <w:rPr>
            <w:rStyle w:val="Hyperlink"/>
          </w:rPr>
          <w:t>4.</w:t>
        </w:r>
        <w:r>
          <w:rPr>
            <w:rFonts w:asciiTheme="minorHAnsi" w:eastAsiaTheme="minorEastAsia" w:hAnsiTheme="minorHAnsi"/>
            <w:b w:val="0"/>
            <w:bCs w:val="0"/>
            <w:color w:val="auto"/>
            <w:kern w:val="2"/>
            <w:szCs w:val="24"/>
            <w:lang w:eastAsia="en-GB"/>
            <w14:ligatures w14:val="standardContextual"/>
          </w:rPr>
          <w:tab/>
        </w:r>
        <w:r w:rsidRPr="00A45A4D">
          <w:rPr>
            <w:rStyle w:val="Hyperlink"/>
          </w:rPr>
          <w:t>Procurement Procedures</w:t>
        </w:r>
        <w:r>
          <w:rPr>
            <w:webHidden/>
          </w:rPr>
          <w:tab/>
        </w:r>
        <w:r>
          <w:rPr>
            <w:webHidden/>
          </w:rPr>
          <w:fldChar w:fldCharType="begin"/>
        </w:r>
        <w:r>
          <w:rPr>
            <w:webHidden/>
          </w:rPr>
          <w:instrText xml:space="preserve"> PAGEREF _Toc199326946 \h </w:instrText>
        </w:r>
        <w:r>
          <w:rPr>
            <w:webHidden/>
          </w:rPr>
        </w:r>
        <w:r>
          <w:rPr>
            <w:webHidden/>
          </w:rPr>
          <w:fldChar w:fldCharType="separate"/>
        </w:r>
        <w:r>
          <w:rPr>
            <w:webHidden/>
          </w:rPr>
          <w:t>27</w:t>
        </w:r>
        <w:r>
          <w:rPr>
            <w:webHidden/>
          </w:rPr>
          <w:fldChar w:fldCharType="end"/>
        </w:r>
      </w:hyperlink>
    </w:p>
    <w:p w14:paraId="7F064721" w14:textId="55282862"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47" w:history="1">
        <w:r w:rsidRPr="00A45A4D">
          <w:rPr>
            <w:rStyle w:val="Hyperlink"/>
            <w:noProof/>
          </w:rPr>
          <w:t>Tendering Timetable</w:t>
        </w:r>
        <w:r>
          <w:rPr>
            <w:noProof/>
            <w:webHidden/>
          </w:rPr>
          <w:tab/>
        </w:r>
        <w:r>
          <w:rPr>
            <w:noProof/>
            <w:webHidden/>
          </w:rPr>
          <w:fldChar w:fldCharType="begin"/>
        </w:r>
        <w:r>
          <w:rPr>
            <w:noProof/>
            <w:webHidden/>
          </w:rPr>
          <w:instrText xml:space="preserve"> PAGEREF _Toc199326947 \h </w:instrText>
        </w:r>
        <w:r>
          <w:rPr>
            <w:noProof/>
            <w:webHidden/>
          </w:rPr>
        </w:r>
        <w:r>
          <w:rPr>
            <w:noProof/>
            <w:webHidden/>
          </w:rPr>
          <w:fldChar w:fldCharType="separate"/>
        </w:r>
        <w:r>
          <w:rPr>
            <w:noProof/>
            <w:webHidden/>
          </w:rPr>
          <w:t>27</w:t>
        </w:r>
        <w:r>
          <w:rPr>
            <w:noProof/>
            <w:webHidden/>
          </w:rPr>
          <w:fldChar w:fldCharType="end"/>
        </w:r>
      </w:hyperlink>
    </w:p>
    <w:p w14:paraId="2EE3A8F6" w14:textId="45DE249A" w:rsidR="002D469D" w:rsidRDefault="002D469D">
      <w:pPr>
        <w:pStyle w:val="TOC2"/>
        <w:tabs>
          <w:tab w:val="right" w:pos="9628"/>
        </w:tabs>
        <w:rPr>
          <w:rFonts w:asciiTheme="minorHAnsi" w:eastAsiaTheme="minorEastAsia" w:hAnsiTheme="minorHAnsi"/>
          <w:noProof/>
          <w:kern w:val="2"/>
          <w:szCs w:val="24"/>
          <w:lang w:eastAsia="en-GB"/>
          <w14:ligatures w14:val="standardContextual"/>
        </w:rPr>
      </w:pPr>
      <w:hyperlink w:anchor="_Toc199326948" w:history="1">
        <w:r w:rsidRPr="00A45A4D">
          <w:rPr>
            <w:rStyle w:val="Hyperlink"/>
            <w:noProof/>
          </w:rPr>
          <w:t>Tendering Instructions and Guidance</w:t>
        </w:r>
        <w:r>
          <w:rPr>
            <w:noProof/>
            <w:webHidden/>
          </w:rPr>
          <w:tab/>
        </w:r>
        <w:r>
          <w:rPr>
            <w:noProof/>
            <w:webHidden/>
          </w:rPr>
          <w:fldChar w:fldCharType="begin"/>
        </w:r>
        <w:r>
          <w:rPr>
            <w:noProof/>
            <w:webHidden/>
          </w:rPr>
          <w:instrText xml:space="preserve"> PAGEREF _Toc199326948 \h </w:instrText>
        </w:r>
        <w:r>
          <w:rPr>
            <w:noProof/>
            <w:webHidden/>
          </w:rPr>
        </w:r>
        <w:r>
          <w:rPr>
            <w:noProof/>
            <w:webHidden/>
          </w:rPr>
          <w:fldChar w:fldCharType="separate"/>
        </w:r>
        <w:r>
          <w:rPr>
            <w:noProof/>
            <w:webHidden/>
          </w:rPr>
          <w:t>27</w:t>
        </w:r>
        <w:r>
          <w:rPr>
            <w:noProof/>
            <w:webHidden/>
          </w:rPr>
          <w:fldChar w:fldCharType="end"/>
        </w:r>
      </w:hyperlink>
    </w:p>
    <w:p w14:paraId="6B48D324" w14:textId="6ED5B577" w:rsidR="00FC6860" w:rsidRDefault="00FC6860" w:rsidP="003A16E9">
      <w:pPr>
        <w:sectPr w:rsidR="00FC6860" w:rsidSect="003A16E9">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2" w:name="_Toc199326931"/>
      <w:r>
        <w:lastRenderedPageBreak/>
        <w:t>Purpose of the document</w:t>
      </w:r>
      <w:bookmarkEnd w:id="2"/>
    </w:p>
    <w:p w14:paraId="5CB061E3" w14:textId="45CD446F" w:rsidR="00A02455" w:rsidRDefault="00A02455" w:rsidP="00A02455">
      <w:r>
        <w:t xml:space="preserve">The purpose of this document is to invite proposals for </w:t>
      </w:r>
      <w:r w:rsidR="00533FBF">
        <w:rPr>
          <w:b/>
          <w:bCs/>
          <w:color w:val="B1173B"/>
        </w:rPr>
        <w:t>the external board effectiveness review</w:t>
      </w:r>
      <w:r w:rsidRPr="00574B16">
        <w:rPr>
          <w:color w:val="B1173B"/>
        </w:rPr>
        <w:t xml:space="preserve"> </w:t>
      </w:r>
      <w:r w:rsidR="00533FBF">
        <w:t xml:space="preserve">of </w:t>
      </w:r>
      <w:r>
        <w:t>the Office of Rail and Road (ORR).</w:t>
      </w:r>
    </w:p>
    <w:p w14:paraId="75A839A6" w14:textId="77777777" w:rsidR="00A02455" w:rsidRDefault="00A02455" w:rsidP="00A02455">
      <w:r>
        <w:t>This document contains the following sections:</w:t>
      </w:r>
    </w:p>
    <w:p w14:paraId="51B87CA1" w14:textId="0B9312F1" w:rsidR="00A02455" w:rsidRDefault="00A02455" w:rsidP="00414116">
      <w:pPr>
        <w:pStyle w:val="NormalBulletnumber"/>
        <w:numPr>
          <w:ilvl w:val="3"/>
          <w:numId w:val="14"/>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3" w:name="_Toc199326932"/>
      <w:r>
        <w:lastRenderedPageBreak/>
        <w:t>Introduction to the Office of Rail and Road</w:t>
      </w:r>
      <w:bookmarkEnd w:id="3"/>
    </w:p>
    <w:p w14:paraId="0EC8CF73" w14:textId="43DF4A85"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r w:rsidR="7C5E8705">
        <w:t>five-year</w:t>
      </w:r>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4" w:name="_Toc199326933"/>
      <w:r>
        <w:t>Our strategic objectives</w:t>
      </w:r>
      <w:bookmarkEnd w:id="4"/>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0C6B5C39" w:rsidR="00490915" w:rsidRDefault="00490915" w:rsidP="00490915">
      <w:pPr>
        <w:pStyle w:val="Heading4"/>
      </w:pPr>
      <w:r>
        <w:t xml:space="preserve">4. Better </w:t>
      </w:r>
      <w:r w:rsidR="7E67BEBF">
        <w:t>h</w:t>
      </w:r>
      <w:r>
        <w:t>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5" w:name="_Toc199326934"/>
      <w:r>
        <w:t>Supplying ORR</w:t>
      </w:r>
      <w:bookmarkEnd w:id="5"/>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5"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6" w:name="_Toc199326935"/>
      <w:r>
        <w:lastRenderedPageBreak/>
        <w:t>Small and Medium Enterprises</w:t>
      </w:r>
      <w:bookmarkEnd w:id="6"/>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Pr="004E4C3B" w:rsidRDefault="00F20E70" w:rsidP="00F20E70">
      <w:pPr>
        <w:pStyle w:val="Heading2"/>
      </w:pPr>
      <w:bookmarkStart w:id="7" w:name="_Toc199326936"/>
      <w:r w:rsidRPr="004E4C3B">
        <w:lastRenderedPageBreak/>
        <w:t>Statement of Requirement</w:t>
      </w:r>
      <w:bookmarkEnd w:id="7"/>
    </w:p>
    <w:p w14:paraId="0C918979" w14:textId="4CE3B4F2" w:rsidR="00F20E70" w:rsidRDefault="00F20E70" w:rsidP="00F20E70">
      <w:pPr>
        <w:pStyle w:val="Heading3"/>
      </w:pPr>
      <w:bookmarkStart w:id="8" w:name="_Toc199326937"/>
      <w:r>
        <w:t>2.1 Background of the project</w:t>
      </w:r>
      <w:bookmarkEnd w:id="8"/>
    </w:p>
    <w:p w14:paraId="5730F0FC" w14:textId="7F6721A1" w:rsidR="00025BD9" w:rsidRDefault="00025BD9" w:rsidP="118D2B5B">
      <w:pPr>
        <w:pStyle w:val="SingleNum"/>
      </w:pPr>
      <w:r>
        <w:t xml:space="preserve">The Office of Rail and Road (ORR) is an independent statutory body, with powers vested by Parliament in its governing board. ORR is the health and safety and economic regulator for the rail industry in Great Britain and has regulatory oversight of England's strategic road network. It holds Network Rail, National Highways, and </w:t>
      </w:r>
      <w:r w:rsidR="3FAE63F7">
        <w:t>London St. Pancras Highspeed</w:t>
      </w:r>
      <w:r>
        <w:t xml:space="preserve"> to account for efficiency, performance, and delivery; protects user interests on both rail and road; and ensures the rail industry operates competitively and fairly. ORR also plays a key role in improving the rail passenger experience in the consumer areas for which it has regulatory responsibility. Additionally, it has economic regulatory functions in relation to railways in Northern Ireland and the UK section of the Channel Tunnel.</w:t>
      </w:r>
    </w:p>
    <w:p w14:paraId="1C6852D7" w14:textId="5CE83BDC" w:rsidR="00025BD9" w:rsidRDefault="00025BD9" w:rsidP="000B6CFD">
      <w:pPr>
        <w:pStyle w:val="SingleNum"/>
      </w:pPr>
      <w:r>
        <w:t xml:space="preserve">ORR operates under a unique legal framework that defines its constitution, staffing, financial arrangements, and conflict of interest provisions. The legislation also requires ORR to set and publish its own board procedures (available </w:t>
      </w:r>
      <w:hyperlink r:id="rId26" w:history="1">
        <w:r w:rsidRPr="00025BD9">
          <w:rPr>
            <w:rStyle w:val="Hyperlink"/>
          </w:rPr>
          <w:t>here</w:t>
        </w:r>
      </w:hyperlink>
      <w:r>
        <w:t xml:space="preserve">). </w:t>
      </w:r>
    </w:p>
    <w:p w14:paraId="693EBAF9" w14:textId="1B0139DC" w:rsidR="00025BD9" w:rsidRDefault="00025BD9" w:rsidP="00025BD9">
      <w:pPr>
        <w:pStyle w:val="SingleNum"/>
      </w:pPr>
      <w:r>
        <w:t>ORR holds a distinctive position within government as a non-ministerial department accountable directly to Parliament. It is staffed by civil servants, and its board members are appointed by the Secretary of State for Transport. Once appointed, board members can only be removed under limited statutory circumstances - an arrangement that reinforces the organisation’s independence from ministerial direction.</w:t>
      </w:r>
    </w:p>
    <w:p w14:paraId="2B18E7FE" w14:textId="37246435" w:rsidR="00025BD9" w:rsidRDefault="00025BD9" w:rsidP="00025BD9">
      <w:pPr>
        <w:pStyle w:val="SingleNum"/>
      </w:pPr>
      <w:r>
        <w:t>In line with best practice and the Corporate Governance Code for Central Government Departments (2017), ORR undertakes an independent board effectiveness review every three years, supplemented by annual internal reviews. The most recent external review was completed in March 2023, and its broadly positive findings are publicly available on ORR’s website (</w:t>
      </w:r>
      <w:hyperlink r:id="rId27" w:history="1">
        <w:r w:rsidRPr="00025BD9">
          <w:rPr>
            <w:rStyle w:val="Hyperlink"/>
          </w:rPr>
          <w:t>here</w:t>
        </w:r>
      </w:hyperlink>
      <w:r>
        <w:t>).</w:t>
      </w:r>
    </w:p>
    <w:p w14:paraId="19F212EA" w14:textId="66EB404A" w:rsidR="00025BD9" w:rsidRDefault="00025BD9" w:rsidP="00025BD9">
      <w:pPr>
        <w:pStyle w:val="SingleNum"/>
      </w:pPr>
      <w:r>
        <w:t xml:space="preserve">ORR has recently welcomed a new non-executive board member and is currently in the process of recruiting two additional non-executives, with appointments expected in autumn 2025. The board also includes two executive members: the Chief Executive and the </w:t>
      </w:r>
      <w:r w:rsidR="58DD224C">
        <w:t>Director of Railway Safety</w:t>
      </w:r>
      <w:r>
        <w:t>.</w:t>
      </w:r>
    </w:p>
    <w:p w14:paraId="16BDBECA" w14:textId="77777777" w:rsidR="00025BD9" w:rsidRDefault="00025BD9" w:rsidP="00025BD9">
      <w:pPr>
        <w:pStyle w:val="SingleNum"/>
      </w:pPr>
      <w:r>
        <w:t>Board and executive relationships are widely regarded as constructive, with clearly defined roles, mutual respect, and a high degree of trust. ORR also maintains strong, professional relationships with its key stakeholders.</w:t>
      </w:r>
    </w:p>
    <w:p w14:paraId="10F06086" w14:textId="00F7D814" w:rsidR="00025BD9" w:rsidRDefault="00025BD9" w:rsidP="00025BD9">
      <w:pPr>
        <w:pStyle w:val="SingleNum"/>
      </w:pPr>
      <w:r>
        <w:lastRenderedPageBreak/>
        <w:t xml:space="preserve">ORR’s </w:t>
      </w:r>
      <w:r w:rsidR="45A54D76">
        <w:t>B</w:t>
      </w:r>
      <w:r>
        <w:t>oard holds its meetings primarily in person</w:t>
      </w:r>
      <w:r w:rsidR="4AFB752D">
        <w:t xml:space="preserve"> (in London)</w:t>
      </w:r>
      <w:r>
        <w:t>, with virtual attendance permitted by exception. In addition to its regular meetings, the Board undertakes regional site visits and hosts stakeholder dinners at least twice a year. It also holds an annual strategy day to support long-term strategic planning and engagement.</w:t>
      </w:r>
    </w:p>
    <w:p w14:paraId="56ADC05E" w14:textId="77777777" w:rsidR="00025BD9" w:rsidRDefault="00025BD9" w:rsidP="00025BD9">
      <w:pPr>
        <w:pStyle w:val="SingleNum"/>
      </w:pPr>
      <w:r>
        <w:t>ORR’s operating environment continues to evolve. The Government is currently progressing reforms to the rail sector, which are expected to shape ORR’s future role. At the same time, ORR continues to drive performance improvements through its strategic roads oversight of National Highways, all within the broader context of civil service reform and fiscal constraint.</w:t>
      </w:r>
    </w:p>
    <w:p w14:paraId="6E6A5EDB" w14:textId="49327F10" w:rsidR="00025BD9" w:rsidRDefault="00025BD9" w:rsidP="00F20E70">
      <w:pPr>
        <w:pStyle w:val="SingleNum"/>
      </w:pPr>
      <w:r>
        <w:t>This invitation to tender seeks to appoint an experienced external consultancy to conduct the next triennial board effectiveness review, ensuring that ORR continues to meet the highest standards of governance, accountability, and strategic leadership.</w:t>
      </w:r>
    </w:p>
    <w:p w14:paraId="74919ACA" w14:textId="3F4252AC" w:rsidR="00F20E70" w:rsidRDefault="00F20E70" w:rsidP="00F20E70">
      <w:pPr>
        <w:pStyle w:val="Heading3"/>
      </w:pPr>
      <w:bookmarkStart w:id="9" w:name="_Toc199326938"/>
      <w:r>
        <w:t>2.2 Project Objectives and Scope</w:t>
      </w:r>
      <w:bookmarkEnd w:id="9"/>
    </w:p>
    <w:p w14:paraId="256BAE42" w14:textId="77777777" w:rsidR="00414116" w:rsidRPr="00F957AC" w:rsidRDefault="00414116" w:rsidP="00414116">
      <w:pPr>
        <w:rPr>
          <w:b/>
          <w:bCs/>
        </w:rPr>
      </w:pPr>
      <w:r w:rsidRPr="00F957AC">
        <w:rPr>
          <w:b/>
          <w:bCs/>
        </w:rPr>
        <w:t>What does the project set out to achieve</w:t>
      </w:r>
      <w:r>
        <w:rPr>
          <w:b/>
          <w:bCs/>
        </w:rPr>
        <w:t>?</w:t>
      </w:r>
    </w:p>
    <w:p w14:paraId="2F08D326" w14:textId="77777777" w:rsidR="00414116" w:rsidRDefault="00414116" w:rsidP="00414116">
      <w:pPr>
        <w:pStyle w:val="SingleNum"/>
      </w:pPr>
      <w:r w:rsidRPr="00481062">
        <w:t xml:space="preserve">The primary purpose of this board effectiveness review is to assess how well the ORR Board is fulfilling its governance responsibilities in support of the organisation’s strategic objectives, public accountability, and delivery of value to </w:t>
      </w:r>
      <w:r>
        <w:t>the taxpayer</w:t>
      </w:r>
      <w:r w:rsidRPr="00481062">
        <w:t xml:space="preserve">. </w:t>
      </w:r>
    </w:p>
    <w:p w14:paraId="009922FD" w14:textId="77777777" w:rsidR="00414116" w:rsidRDefault="00414116" w:rsidP="00414116">
      <w:pPr>
        <w:pStyle w:val="SingleNum"/>
      </w:pPr>
      <w:r w:rsidRPr="00481062">
        <w:t>The review will provide an independent evaluation of the Board’s structures, behaviours, and performance, with a view to strengthening strategic oversight, enhancing decision-making, and ensuring the Board is equipped to lead the organisation through a period of significant external change. It will also support continuous improvement by identifying opportunities to enhance board capability, stakeholder engagement, and the effectiveness of governance processes.</w:t>
      </w:r>
    </w:p>
    <w:p w14:paraId="0DDFF0A5" w14:textId="77777777" w:rsidR="00414116" w:rsidRPr="00F957AC" w:rsidRDefault="00414116" w:rsidP="00414116">
      <w:pPr>
        <w:spacing w:after="160" w:line="259" w:lineRule="auto"/>
        <w:rPr>
          <w:b/>
          <w:bCs/>
        </w:rPr>
      </w:pPr>
      <w:r w:rsidRPr="00F957AC">
        <w:rPr>
          <w:b/>
          <w:bCs/>
        </w:rPr>
        <w:t>What are the key tasks</w:t>
      </w:r>
      <w:r>
        <w:rPr>
          <w:b/>
          <w:bCs/>
        </w:rPr>
        <w:t>?</w:t>
      </w:r>
    </w:p>
    <w:p w14:paraId="631FAE46" w14:textId="77777777" w:rsidR="00414116" w:rsidRPr="00F957AC" w:rsidRDefault="00414116" w:rsidP="00414116">
      <w:pPr>
        <w:pStyle w:val="SingleNum"/>
      </w:pPr>
      <w:r w:rsidRPr="00F957AC">
        <w:t>The project should: </w:t>
      </w:r>
    </w:p>
    <w:p w14:paraId="516DB1F2" w14:textId="77777777" w:rsidR="00414116" w:rsidRDefault="00414116" w:rsidP="00414116">
      <w:pPr>
        <w:numPr>
          <w:ilvl w:val="0"/>
          <w:numId w:val="21"/>
        </w:numPr>
        <w:spacing w:after="160" w:line="259" w:lineRule="auto"/>
      </w:pPr>
      <w:r>
        <w:t xml:space="preserve">assess the Board’s current effectiveness, including its composition, capabilities, behaviours, and approach to decision-making, with a view to identifying strengths and areas for </w:t>
      </w:r>
      <w:proofErr w:type="gramStart"/>
      <w:r>
        <w:t>development;</w:t>
      </w:r>
      <w:proofErr w:type="gramEnd"/>
    </w:p>
    <w:p w14:paraId="78507278" w14:textId="77777777" w:rsidR="00414116" w:rsidRDefault="00414116" w:rsidP="00414116">
      <w:pPr>
        <w:numPr>
          <w:ilvl w:val="0"/>
          <w:numId w:val="21"/>
        </w:numPr>
        <w:spacing w:after="160" w:line="259" w:lineRule="auto"/>
      </w:pPr>
      <w:r>
        <w:t>support the Board in enhancing its ways of working, reinforcing practices that promote high-quality governance, strategic oversight, and long-term organisational success; and</w:t>
      </w:r>
    </w:p>
    <w:p w14:paraId="41445277" w14:textId="77777777" w:rsidR="00414116" w:rsidRPr="00F957AC" w:rsidRDefault="00414116" w:rsidP="00414116">
      <w:pPr>
        <w:numPr>
          <w:ilvl w:val="0"/>
          <w:numId w:val="21"/>
        </w:numPr>
        <w:spacing w:after="160" w:line="259" w:lineRule="auto"/>
      </w:pPr>
      <w:r>
        <w:lastRenderedPageBreak/>
        <w:t>fulfil ORR’s commitment to conduct a triennial board effectiveness review, in line with good governance standards and public sector expectations.</w:t>
      </w:r>
      <w:r w:rsidRPr="00F957AC">
        <w:t>  </w:t>
      </w:r>
    </w:p>
    <w:p w14:paraId="751C7638" w14:textId="77777777" w:rsidR="00414116" w:rsidRDefault="00414116" w:rsidP="00414116">
      <w:pPr>
        <w:rPr>
          <w:b/>
          <w:bCs/>
        </w:rPr>
      </w:pPr>
      <w:r w:rsidRPr="00F957AC">
        <w:rPr>
          <w:b/>
          <w:bCs/>
        </w:rPr>
        <w:t>What is included within the scope of the project</w:t>
      </w:r>
      <w:r>
        <w:rPr>
          <w:b/>
          <w:bCs/>
        </w:rPr>
        <w:t>?</w:t>
      </w:r>
    </w:p>
    <w:p w14:paraId="5FF03E20" w14:textId="77777777" w:rsidR="00414116" w:rsidRDefault="00414116" w:rsidP="00414116">
      <w:pPr>
        <w:pStyle w:val="SingleNum"/>
      </w:pPr>
      <w:r w:rsidRPr="00481062">
        <w:t xml:space="preserve">ORR’s Board is commissioning an independent board effectiveness review that draws on recognised best practice, including </w:t>
      </w:r>
      <w:hyperlink r:id="rId28" w:history="1">
        <w:r w:rsidRPr="00481062">
          <w:rPr>
            <w:rStyle w:val="Hyperlink"/>
          </w:rPr>
          <w:t>guidance from the Financial Reporting Council (FRC)</w:t>
        </w:r>
      </w:hyperlink>
      <w:r>
        <w:tab/>
      </w:r>
      <w:r w:rsidRPr="00481062">
        <w:t xml:space="preserve"> and </w:t>
      </w:r>
      <w:hyperlink r:id="rId29" w:history="1">
        <w:r w:rsidRPr="00481062">
          <w:rPr>
            <w:rStyle w:val="Hyperlink"/>
          </w:rPr>
          <w:t>relevant government frameworks</w:t>
        </w:r>
      </w:hyperlink>
      <w:r w:rsidRPr="00481062">
        <w:t xml:space="preserve">. </w:t>
      </w:r>
    </w:p>
    <w:p w14:paraId="1E8C2E2A" w14:textId="77777777" w:rsidR="00414116" w:rsidRDefault="00414116" w:rsidP="00414116">
      <w:pPr>
        <w:pStyle w:val="SingleNum"/>
      </w:pPr>
      <w:r w:rsidRPr="00481062">
        <w:t>The appointed reviewer will be expected to consider how best to integrate these complementary approaches in a way that supports the Board’s ongoing development and strengthens its readiness to respond to the evolving political, regulatory, and operational landscape.</w:t>
      </w:r>
    </w:p>
    <w:p w14:paraId="02D3C140" w14:textId="77777777" w:rsidR="00414116" w:rsidRPr="00F957AC" w:rsidRDefault="00414116" w:rsidP="00414116">
      <w:pPr>
        <w:pStyle w:val="SingleNum"/>
      </w:pPr>
      <w:r>
        <w:t xml:space="preserve">The Board is </w:t>
      </w:r>
      <w:r w:rsidRPr="00F957AC">
        <w:t xml:space="preserve">seeking an external partner to carry out a review of </w:t>
      </w:r>
      <w:r>
        <w:t xml:space="preserve">board performance and </w:t>
      </w:r>
      <w:r w:rsidRPr="00F957AC">
        <w:t>effectiveness to explore</w:t>
      </w:r>
      <w:r>
        <w:t xml:space="preserve"> the following proposed objectives</w:t>
      </w:r>
      <w:r w:rsidRPr="00F957AC">
        <w:t>:  </w:t>
      </w:r>
    </w:p>
    <w:p w14:paraId="10A96C60" w14:textId="77777777" w:rsidR="00414116" w:rsidRPr="00A35AE8" w:rsidRDefault="00414116" w:rsidP="00414116">
      <w:pPr>
        <w:pStyle w:val="ListParagraph"/>
        <w:numPr>
          <w:ilvl w:val="0"/>
          <w:numId w:val="22"/>
        </w:numPr>
        <w:spacing w:after="160" w:line="259" w:lineRule="auto"/>
      </w:pPr>
      <w:r w:rsidRPr="00A35AE8">
        <w:rPr>
          <w:b/>
          <w:bCs/>
        </w:rPr>
        <w:t>Governance Effectiveness</w:t>
      </w:r>
      <w:r w:rsidRPr="00A35AE8">
        <w:t>: Assess the board’s fulfilment of its governance responsibilities, including opportunities to modernise structures and processes to support continuous improvement.</w:t>
      </w:r>
    </w:p>
    <w:p w14:paraId="4EAF543A" w14:textId="77777777" w:rsidR="00414116" w:rsidRPr="00A35AE8" w:rsidRDefault="00414116" w:rsidP="00414116">
      <w:pPr>
        <w:numPr>
          <w:ilvl w:val="0"/>
          <w:numId w:val="22"/>
        </w:numPr>
        <w:spacing w:after="160" w:line="259" w:lineRule="auto"/>
      </w:pPr>
      <w:r w:rsidRPr="00A35AE8">
        <w:rPr>
          <w:b/>
          <w:bCs/>
        </w:rPr>
        <w:t>Strategic Leadership in Transformation</w:t>
      </w:r>
      <w:r w:rsidRPr="00A35AE8">
        <w:t>: Evaluate the board’s effectiveness in providing strategic oversight and challenge during a period of significant external change (e.g. rail reform, regulatory system evolution), ensuring that:</w:t>
      </w:r>
    </w:p>
    <w:p w14:paraId="373F0C23" w14:textId="77777777" w:rsidR="00414116" w:rsidRPr="00A35AE8" w:rsidRDefault="00414116" w:rsidP="00414116">
      <w:pPr>
        <w:numPr>
          <w:ilvl w:val="1"/>
          <w:numId w:val="22"/>
        </w:numPr>
        <w:spacing w:after="160" w:line="259" w:lineRule="auto"/>
      </w:pPr>
      <w:r w:rsidRPr="00A35AE8">
        <w:t>regulatory activities are proportionate, streamlined, and reduce unnecessary burdens and complexity; and</w:t>
      </w:r>
    </w:p>
    <w:p w14:paraId="08C1771B" w14:textId="77777777" w:rsidR="00414116" w:rsidRPr="00A35AE8" w:rsidRDefault="00414116" w:rsidP="00414116">
      <w:pPr>
        <w:pStyle w:val="ListParagraph"/>
        <w:numPr>
          <w:ilvl w:val="1"/>
          <w:numId w:val="22"/>
        </w:numPr>
        <w:spacing w:after="160" w:line="259" w:lineRule="auto"/>
        <w:contextualSpacing w:val="0"/>
      </w:pPr>
      <w:r w:rsidRPr="00A35AE8">
        <w:t>the organisation delivers clear, timely, and consistent regulatory signals that reduce uncertainty and support confident decision-making in industry.</w:t>
      </w:r>
    </w:p>
    <w:p w14:paraId="0102F8DD" w14:textId="77777777" w:rsidR="00414116" w:rsidRPr="00A35AE8" w:rsidRDefault="00414116" w:rsidP="00414116">
      <w:pPr>
        <w:pStyle w:val="ListParagraph"/>
        <w:numPr>
          <w:ilvl w:val="0"/>
          <w:numId w:val="22"/>
        </w:numPr>
        <w:spacing w:after="160" w:line="259" w:lineRule="auto"/>
      </w:pPr>
      <w:r w:rsidRPr="00A35AE8">
        <w:rPr>
          <w:b/>
          <w:bCs/>
        </w:rPr>
        <w:t>Board–Executive Dynamics</w:t>
      </w:r>
      <w:r w:rsidRPr="00A35AE8">
        <w:t>: Review the strength of the board–executive relationship, focusing on interpersonal dynamics, collaboration, and communication to support effective leadership and delivery.</w:t>
      </w:r>
    </w:p>
    <w:p w14:paraId="6A11F6A5" w14:textId="77777777" w:rsidR="00414116" w:rsidRPr="00A35AE8" w:rsidRDefault="00414116" w:rsidP="00414116">
      <w:pPr>
        <w:numPr>
          <w:ilvl w:val="0"/>
          <w:numId w:val="22"/>
        </w:numPr>
        <w:spacing w:after="160" w:line="259" w:lineRule="auto"/>
      </w:pPr>
      <w:r w:rsidRPr="00A35AE8">
        <w:rPr>
          <w:b/>
          <w:bCs/>
        </w:rPr>
        <w:t>Stakeholder Confidence and Influence</w:t>
      </w:r>
      <w:r w:rsidRPr="00A35AE8">
        <w:t>: Examine how the board manages key relationships and external perceptions, including its credibility, influence, and engagement with stakeholders and partners.</w:t>
      </w:r>
    </w:p>
    <w:p w14:paraId="4E301945" w14:textId="77777777" w:rsidR="00414116" w:rsidRPr="00A35AE8" w:rsidRDefault="00414116" w:rsidP="00414116">
      <w:pPr>
        <w:numPr>
          <w:ilvl w:val="0"/>
          <w:numId w:val="22"/>
        </w:numPr>
        <w:spacing w:after="160" w:line="259" w:lineRule="auto"/>
      </w:pPr>
      <w:r w:rsidRPr="00A35AE8">
        <w:rPr>
          <w:b/>
          <w:bCs/>
        </w:rPr>
        <w:t>Board Capability and Composition</w:t>
      </w:r>
      <w:r w:rsidRPr="00A35AE8">
        <w:t>: Identify any capability gaps of skills, experience and perspectives that may impact effective governance and strategic oversight to ensure the board remains fit for purpose in a changing regulatory and sectoral context.</w:t>
      </w:r>
    </w:p>
    <w:p w14:paraId="26463EA4" w14:textId="77777777" w:rsidR="00414116" w:rsidRPr="00A35AE8" w:rsidRDefault="00414116" w:rsidP="00414116">
      <w:pPr>
        <w:pStyle w:val="ListParagraph"/>
        <w:numPr>
          <w:ilvl w:val="0"/>
          <w:numId w:val="22"/>
        </w:numPr>
        <w:spacing w:after="160" w:line="259" w:lineRule="auto"/>
      </w:pPr>
      <w:r w:rsidRPr="00A35AE8">
        <w:rPr>
          <w:b/>
          <w:bCs/>
        </w:rPr>
        <w:t>Audit and Risk Oversight</w:t>
      </w:r>
      <w:r w:rsidRPr="00A35AE8">
        <w:t>: Assess the performance of the board’s audit and risk committee, including its oversight of emerging risks (e.g. cyber security), and its ability to ensure proportionate risk management and challenge excessive risk aversion.</w:t>
      </w:r>
    </w:p>
    <w:p w14:paraId="6FDDD37F" w14:textId="77777777" w:rsidR="00414116" w:rsidRPr="00F957AC" w:rsidRDefault="00414116" w:rsidP="00414116">
      <w:pPr>
        <w:spacing w:after="160" w:line="259" w:lineRule="auto"/>
      </w:pPr>
      <w:r w:rsidRPr="00F957AC">
        <w:rPr>
          <w:b/>
          <w:bCs/>
        </w:rPr>
        <w:lastRenderedPageBreak/>
        <w:t>What is excluded from the scope of the project</w:t>
      </w:r>
      <w:r>
        <w:rPr>
          <w:b/>
          <w:bCs/>
        </w:rPr>
        <w:t>?</w:t>
      </w:r>
      <w:r w:rsidRPr="00F957AC">
        <w:t> </w:t>
      </w:r>
    </w:p>
    <w:p w14:paraId="2C0798A3" w14:textId="77777777" w:rsidR="00414116" w:rsidRDefault="00414116" w:rsidP="00414116">
      <w:pPr>
        <w:pStyle w:val="SingleNum"/>
      </w:pPr>
      <w:r>
        <w:t>The board effectiveness review is intended to focus on governance, strategic oversight, and board dynamics. The following areas are explicitly excluded from the scope of this project:</w:t>
      </w:r>
    </w:p>
    <w:p w14:paraId="3A777577" w14:textId="77777777" w:rsidR="00414116" w:rsidRDefault="00414116" w:rsidP="00414116">
      <w:pPr>
        <w:pStyle w:val="ListParagraph"/>
        <w:numPr>
          <w:ilvl w:val="0"/>
          <w:numId w:val="23"/>
        </w:numPr>
        <w:spacing w:after="160" w:line="259" w:lineRule="auto"/>
        <w:contextualSpacing w:val="0"/>
      </w:pPr>
      <w:r w:rsidRPr="00E21022">
        <w:rPr>
          <w:b/>
          <w:bCs/>
        </w:rPr>
        <w:t>Individual performance appraisals</w:t>
      </w:r>
      <w:r>
        <w:t xml:space="preserve"> of board members or executives, which are managed through separate internal processes.</w:t>
      </w:r>
    </w:p>
    <w:p w14:paraId="13E21E51" w14:textId="77777777" w:rsidR="00414116" w:rsidRDefault="00414116" w:rsidP="00414116">
      <w:pPr>
        <w:pStyle w:val="ListParagraph"/>
        <w:numPr>
          <w:ilvl w:val="0"/>
          <w:numId w:val="23"/>
        </w:numPr>
        <w:spacing w:after="160" w:line="259" w:lineRule="auto"/>
        <w:contextualSpacing w:val="0"/>
      </w:pPr>
      <w:r w:rsidRPr="00E21022">
        <w:rPr>
          <w:b/>
          <w:bCs/>
        </w:rPr>
        <w:t>Operational or departmental reviews</w:t>
      </w:r>
      <w:r>
        <w:t>, including assessments of day-to-day management or delivery functions.</w:t>
      </w:r>
    </w:p>
    <w:p w14:paraId="64B1B2DC" w14:textId="77777777" w:rsidR="00414116" w:rsidRDefault="00414116" w:rsidP="00414116">
      <w:pPr>
        <w:pStyle w:val="ListParagraph"/>
        <w:numPr>
          <w:ilvl w:val="0"/>
          <w:numId w:val="23"/>
        </w:numPr>
        <w:spacing w:after="160" w:line="259" w:lineRule="auto"/>
        <w:contextualSpacing w:val="0"/>
      </w:pPr>
      <w:r w:rsidRPr="00E21022">
        <w:rPr>
          <w:b/>
          <w:bCs/>
        </w:rPr>
        <w:t>Legal, financial, or compliance audits</w:t>
      </w:r>
      <w:r>
        <w:t>, which fall under the remit of other assurance mechanisms.</w:t>
      </w:r>
    </w:p>
    <w:p w14:paraId="10278CEC" w14:textId="77777777" w:rsidR="00414116" w:rsidRDefault="00414116" w:rsidP="00414116">
      <w:pPr>
        <w:pStyle w:val="ListParagraph"/>
        <w:numPr>
          <w:ilvl w:val="0"/>
          <w:numId w:val="23"/>
        </w:numPr>
        <w:spacing w:after="160" w:line="259" w:lineRule="auto"/>
        <w:contextualSpacing w:val="0"/>
      </w:pPr>
      <w:r w:rsidRPr="00E21022">
        <w:rPr>
          <w:b/>
          <w:bCs/>
        </w:rPr>
        <w:t>Remuneration or HR policy reviews</w:t>
      </w:r>
      <w:r>
        <w:t>, unless directly relevant to board governance or effectiveness.</w:t>
      </w:r>
    </w:p>
    <w:p w14:paraId="5855FBE5" w14:textId="77777777" w:rsidR="00414116" w:rsidRDefault="00414116" w:rsidP="00414116">
      <w:pPr>
        <w:pStyle w:val="ListParagraph"/>
        <w:numPr>
          <w:ilvl w:val="0"/>
          <w:numId w:val="23"/>
        </w:numPr>
        <w:spacing w:after="160" w:line="259" w:lineRule="auto"/>
        <w:contextualSpacing w:val="0"/>
      </w:pPr>
      <w:r w:rsidRPr="00E21022">
        <w:rPr>
          <w:b/>
          <w:bCs/>
        </w:rPr>
        <w:t>Internal risk management processes</w:t>
      </w:r>
      <w:r>
        <w:t>, including the design and implementation of risk frameworks, which are outside the scope of this review.</w:t>
      </w:r>
    </w:p>
    <w:p w14:paraId="75AD68F0" w14:textId="77777777" w:rsidR="00414116" w:rsidRDefault="00414116" w:rsidP="00414116">
      <w:pPr>
        <w:pStyle w:val="ListParagraph"/>
        <w:numPr>
          <w:ilvl w:val="0"/>
          <w:numId w:val="23"/>
        </w:numPr>
        <w:spacing w:after="160" w:line="259" w:lineRule="auto"/>
        <w:contextualSpacing w:val="0"/>
      </w:pPr>
      <w:r w:rsidRPr="00E21022">
        <w:rPr>
          <w:b/>
          <w:bCs/>
        </w:rPr>
        <w:t>Implementation of recommendations arising from the review</w:t>
      </w:r>
      <w:r>
        <w:t>, which will be the responsibility of ORR following the final report.</w:t>
      </w:r>
    </w:p>
    <w:p w14:paraId="189FBCD8" w14:textId="77777777" w:rsidR="00414116" w:rsidRDefault="00414116" w:rsidP="00414116">
      <w:pPr>
        <w:pStyle w:val="ListParagraph"/>
        <w:numPr>
          <w:ilvl w:val="0"/>
          <w:numId w:val="23"/>
        </w:numPr>
        <w:spacing w:after="160" w:line="259" w:lineRule="auto"/>
        <w:contextualSpacing w:val="0"/>
      </w:pPr>
      <w:r w:rsidRPr="00E21022">
        <w:rPr>
          <w:b/>
          <w:bCs/>
        </w:rPr>
        <w:t>Technical assessments of rail or road sector performance</w:t>
      </w:r>
      <w:r>
        <w:t>, beyond the board’s role in overseeing and responding to such matters.</w:t>
      </w:r>
    </w:p>
    <w:p w14:paraId="431C7579" w14:textId="77777777" w:rsidR="00414116" w:rsidRDefault="00414116" w:rsidP="00414116">
      <w:pPr>
        <w:pStyle w:val="ListParagraph"/>
        <w:numPr>
          <w:ilvl w:val="0"/>
          <w:numId w:val="23"/>
        </w:numPr>
        <w:spacing w:after="160" w:line="259" w:lineRule="auto"/>
        <w:contextualSpacing w:val="0"/>
      </w:pPr>
      <w:r w:rsidRPr="00E21022">
        <w:rPr>
          <w:b/>
          <w:bCs/>
        </w:rPr>
        <w:t>Broader stakeholder engagement strategies</w:t>
      </w:r>
      <w:r>
        <w:t>, except where they relate to the board’s role in managing key relationships and external perceptions.</w:t>
      </w:r>
    </w:p>
    <w:p w14:paraId="35D375FB" w14:textId="77777777" w:rsidR="00414116" w:rsidRPr="00F957AC" w:rsidRDefault="00414116" w:rsidP="00414116">
      <w:pPr>
        <w:spacing w:after="160" w:line="259" w:lineRule="auto"/>
        <w:rPr>
          <w:b/>
          <w:bCs/>
        </w:rPr>
      </w:pPr>
      <w:r w:rsidRPr="00F957AC">
        <w:rPr>
          <w:b/>
          <w:bCs/>
        </w:rPr>
        <w:t>What will the outcome of the project be</w:t>
      </w:r>
      <w:r>
        <w:rPr>
          <w:b/>
          <w:bCs/>
        </w:rPr>
        <w:t>?</w:t>
      </w:r>
    </w:p>
    <w:p w14:paraId="0C61DB8E" w14:textId="77777777" w:rsidR="00414116" w:rsidRDefault="00414116" w:rsidP="00414116">
      <w:pPr>
        <w:pStyle w:val="SingleNum"/>
      </w:pPr>
      <w:r>
        <w:t>The board effectiveness review will result in a set of evidence-based findings and recommendations that directly support the ORR Board in delivering against its governance and strategic responsibilities. The review should enable the Board to:</w:t>
      </w:r>
    </w:p>
    <w:p w14:paraId="213080FF" w14:textId="77777777" w:rsidR="00414116" w:rsidRDefault="00414116" w:rsidP="00414116">
      <w:pPr>
        <w:pStyle w:val="ListParagraph"/>
        <w:numPr>
          <w:ilvl w:val="0"/>
          <w:numId w:val="24"/>
        </w:numPr>
        <w:spacing w:after="160" w:line="259" w:lineRule="auto"/>
        <w:contextualSpacing w:val="0"/>
      </w:pPr>
      <w:r>
        <w:t xml:space="preserve">Strengthen its governance effectiveness by identifying opportunities to modernise structures, streamline processes, and embed a culture of continuous </w:t>
      </w:r>
      <w:proofErr w:type="gramStart"/>
      <w:r>
        <w:t>improvement;</w:t>
      </w:r>
      <w:proofErr w:type="gramEnd"/>
    </w:p>
    <w:p w14:paraId="5CD18922" w14:textId="77777777" w:rsidR="00414116" w:rsidRDefault="00414116" w:rsidP="00414116">
      <w:pPr>
        <w:pStyle w:val="ListParagraph"/>
        <w:numPr>
          <w:ilvl w:val="0"/>
          <w:numId w:val="24"/>
        </w:numPr>
        <w:spacing w:after="160" w:line="259" w:lineRule="auto"/>
        <w:contextualSpacing w:val="0"/>
      </w:pPr>
      <w:r>
        <w:t xml:space="preserve">Enhance its strategic leadership during a period of significant external transformation, ensuring it is confident in setting direction, responsive to change, and able to oversee proportionate, growth-enabling </w:t>
      </w:r>
      <w:proofErr w:type="gramStart"/>
      <w:r>
        <w:t>regulation;</w:t>
      </w:r>
      <w:proofErr w:type="gramEnd"/>
    </w:p>
    <w:p w14:paraId="6D86B6AA" w14:textId="77777777" w:rsidR="00414116" w:rsidRDefault="00414116" w:rsidP="00414116">
      <w:pPr>
        <w:pStyle w:val="ListParagraph"/>
        <w:numPr>
          <w:ilvl w:val="0"/>
          <w:numId w:val="24"/>
        </w:numPr>
        <w:spacing w:after="160" w:line="259" w:lineRule="auto"/>
        <w:contextualSpacing w:val="0"/>
      </w:pPr>
      <w:r>
        <w:t xml:space="preserve">Foster a cohesive and informed board culture, where members are well-briefed, aligned around a shared purpose, and able to engage in constructive challenge and </w:t>
      </w:r>
      <w:proofErr w:type="gramStart"/>
      <w:r>
        <w:t>decision-making;</w:t>
      </w:r>
      <w:proofErr w:type="gramEnd"/>
    </w:p>
    <w:p w14:paraId="641A8560" w14:textId="77777777" w:rsidR="00414116" w:rsidRDefault="00414116" w:rsidP="00414116">
      <w:pPr>
        <w:pStyle w:val="ListParagraph"/>
        <w:numPr>
          <w:ilvl w:val="0"/>
          <w:numId w:val="24"/>
        </w:numPr>
        <w:spacing w:after="160" w:line="259" w:lineRule="auto"/>
        <w:contextualSpacing w:val="0"/>
      </w:pPr>
      <w:r>
        <w:t xml:space="preserve">Reinforce effective board–executive dynamics, promoting open communication, mutual trust, and collaborative </w:t>
      </w:r>
      <w:proofErr w:type="gramStart"/>
      <w:r>
        <w:t>leadership;</w:t>
      </w:r>
      <w:proofErr w:type="gramEnd"/>
    </w:p>
    <w:p w14:paraId="687BAA2F" w14:textId="77777777" w:rsidR="00414116" w:rsidRDefault="00414116" w:rsidP="00414116">
      <w:pPr>
        <w:pStyle w:val="ListParagraph"/>
        <w:numPr>
          <w:ilvl w:val="0"/>
          <w:numId w:val="24"/>
        </w:numPr>
        <w:spacing w:after="160" w:line="259" w:lineRule="auto"/>
        <w:contextualSpacing w:val="0"/>
      </w:pPr>
      <w:r>
        <w:lastRenderedPageBreak/>
        <w:t>Build stakeholder confidence, through credible, transparent engagement and a clear understanding of how the Board is perceived externally; and</w:t>
      </w:r>
    </w:p>
    <w:p w14:paraId="6B3CC602" w14:textId="77777777" w:rsidR="00414116" w:rsidRDefault="00414116" w:rsidP="00414116">
      <w:pPr>
        <w:pStyle w:val="ListParagraph"/>
        <w:numPr>
          <w:ilvl w:val="0"/>
          <w:numId w:val="24"/>
        </w:numPr>
        <w:spacing w:after="160" w:line="259" w:lineRule="auto"/>
        <w:contextualSpacing w:val="0"/>
      </w:pPr>
      <w:r>
        <w:t>Ensure the Board’s composition remains fit for purpose, with the right mix of skills, experience, and perspectives to meet current and future challenges, including effective oversight of emerging risks and proportionate risk management.</w:t>
      </w:r>
    </w:p>
    <w:p w14:paraId="15851B03" w14:textId="77777777" w:rsidR="00414116" w:rsidRDefault="00414116" w:rsidP="00414116">
      <w:pPr>
        <w:rPr>
          <w:b/>
          <w:bCs/>
        </w:rPr>
      </w:pPr>
      <w:r w:rsidRPr="00F957AC">
        <w:rPr>
          <w:b/>
          <w:bCs/>
        </w:rPr>
        <w:t>How long do we anticipate the project taking</w:t>
      </w:r>
      <w:r>
        <w:rPr>
          <w:b/>
          <w:bCs/>
        </w:rPr>
        <w:t>?</w:t>
      </w:r>
    </w:p>
    <w:p w14:paraId="2E6A054D" w14:textId="77777777" w:rsidR="00414116" w:rsidRPr="00414116" w:rsidRDefault="00414116" w:rsidP="00414116">
      <w:pPr>
        <w:pStyle w:val="SingleNum"/>
      </w:pPr>
      <w:r w:rsidRPr="00414116">
        <w:t>Indicative timescales are as follows, whilst subject to modification and agreement with any appointed consultant:</w:t>
      </w:r>
    </w:p>
    <w:tbl>
      <w:tblPr>
        <w:tblW w:w="0" w:type="auto"/>
        <w:tblCellSpacing w:w="15" w:type="dxa"/>
        <w:tblInd w:w="712" w:type="dxa"/>
        <w:shd w:val="clear" w:color="auto" w:fill="FAFAFA"/>
        <w:tblCellMar>
          <w:top w:w="15" w:type="dxa"/>
          <w:left w:w="15" w:type="dxa"/>
          <w:bottom w:w="15" w:type="dxa"/>
          <w:right w:w="15" w:type="dxa"/>
        </w:tblCellMar>
        <w:tblLook w:val="04A0" w:firstRow="1" w:lastRow="0" w:firstColumn="1" w:lastColumn="0" w:noHBand="0" w:noVBand="1"/>
      </w:tblPr>
      <w:tblGrid>
        <w:gridCol w:w="3685"/>
        <w:gridCol w:w="4595"/>
      </w:tblGrid>
      <w:tr w:rsidR="00414116" w:rsidRPr="00AB457B" w14:paraId="6D351A03" w14:textId="77777777" w:rsidTr="000B6CFD">
        <w:trPr>
          <w:tblHeader/>
          <w:tblCellSpacing w:w="15" w:type="dxa"/>
        </w:trPr>
        <w:tc>
          <w:tcPr>
            <w:tcW w:w="3640"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45A3231" w14:textId="77777777" w:rsidR="00414116" w:rsidRPr="00AB457B" w:rsidRDefault="00414116" w:rsidP="000B6CFD">
            <w:pPr>
              <w:rPr>
                <w:rFonts w:cs="Arial"/>
                <w:b/>
                <w:bCs/>
                <w:iCs/>
                <w:sz w:val="20"/>
                <w:szCs w:val="20"/>
              </w:rPr>
            </w:pPr>
            <w:r w:rsidRPr="00AB457B">
              <w:rPr>
                <w:rFonts w:cs="Arial"/>
                <w:b/>
                <w:bCs/>
                <w:iCs/>
                <w:sz w:val="20"/>
                <w:szCs w:val="20"/>
              </w:rPr>
              <w:t>Phase</w:t>
            </w:r>
          </w:p>
        </w:tc>
        <w:tc>
          <w:tcPr>
            <w:tcW w:w="4550" w:type="dxa"/>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34445C4" w14:textId="77777777" w:rsidR="00414116" w:rsidRPr="00AB457B" w:rsidRDefault="00414116" w:rsidP="000B6CFD">
            <w:pPr>
              <w:rPr>
                <w:rFonts w:cs="Arial"/>
                <w:b/>
                <w:bCs/>
                <w:iCs/>
                <w:sz w:val="20"/>
                <w:szCs w:val="20"/>
              </w:rPr>
            </w:pPr>
            <w:r w:rsidRPr="00AB457B">
              <w:rPr>
                <w:rFonts w:cs="Arial"/>
                <w:b/>
                <w:bCs/>
                <w:iCs/>
                <w:sz w:val="20"/>
                <w:szCs w:val="20"/>
              </w:rPr>
              <w:t>Timeline</w:t>
            </w:r>
          </w:p>
        </w:tc>
      </w:tr>
      <w:tr w:rsidR="00414116" w:rsidRPr="00AB457B" w14:paraId="667EEC23" w14:textId="77777777" w:rsidTr="000B6CFD">
        <w:trPr>
          <w:tblCellSpacing w:w="15" w:type="dxa"/>
        </w:trPr>
        <w:tc>
          <w:tcPr>
            <w:tcW w:w="3640"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933CC92" w14:textId="77777777" w:rsidR="00414116" w:rsidRPr="00AB457B" w:rsidRDefault="00414116" w:rsidP="000B6CFD">
            <w:pPr>
              <w:rPr>
                <w:rFonts w:cs="Arial"/>
                <w:iCs/>
                <w:sz w:val="20"/>
                <w:szCs w:val="20"/>
              </w:rPr>
            </w:pPr>
            <w:r w:rsidRPr="00AB457B">
              <w:rPr>
                <w:rFonts w:cs="Arial"/>
                <w:iCs/>
                <w:sz w:val="20"/>
                <w:szCs w:val="20"/>
              </w:rPr>
              <w:t>Onboarding/briefing of consultancy</w:t>
            </w:r>
          </w:p>
        </w:tc>
        <w:tc>
          <w:tcPr>
            <w:tcW w:w="455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433BC199" w14:textId="77777777" w:rsidR="00414116" w:rsidRPr="00AB457B" w:rsidRDefault="00414116" w:rsidP="000B6CFD">
            <w:pPr>
              <w:rPr>
                <w:rFonts w:cs="Arial"/>
                <w:iCs/>
                <w:sz w:val="20"/>
                <w:szCs w:val="20"/>
              </w:rPr>
            </w:pPr>
            <w:r w:rsidRPr="00AB457B">
              <w:rPr>
                <w:rFonts w:cs="Arial"/>
                <w:iCs/>
                <w:sz w:val="20"/>
                <w:szCs w:val="20"/>
              </w:rPr>
              <w:t>2 weeks</w:t>
            </w:r>
          </w:p>
        </w:tc>
      </w:tr>
      <w:tr w:rsidR="00414116" w:rsidRPr="00AB457B" w14:paraId="21D45699" w14:textId="77777777" w:rsidTr="000B6CFD">
        <w:trPr>
          <w:tblCellSpacing w:w="15" w:type="dxa"/>
        </w:trPr>
        <w:tc>
          <w:tcPr>
            <w:tcW w:w="3640"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E35E796" w14:textId="77777777" w:rsidR="00414116" w:rsidRPr="00AB457B" w:rsidRDefault="00414116" w:rsidP="000B6CFD">
            <w:pPr>
              <w:rPr>
                <w:rFonts w:cs="Arial"/>
                <w:iCs/>
                <w:sz w:val="20"/>
                <w:szCs w:val="20"/>
              </w:rPr>
            </w:pPr>
            <w:r w:rsidRPr="00AB457B">
              <w:rPr>
                <w:rFonts w:cs="Arial"/>
                <w:iCs/>
                <w:sz w:val="20"/>
                <w:szCs w:val="20"/>
              </w:rPr>
              <w:t>Planning and document review</w:t>
            </w:r>
          </w:p>
        </w:tc>
        <w:tc>
          <w:tcPr>
            <w:tcW w:w="455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65023C68" w14:textId="77777777" w:rsidR="00414116" w:rsidRPr="00AB457B" w:rsidRDefault="00414116" w:rsidP="000B6CFD">
            <w:pPr>
              <w:rPr>
                <w:rFonts w:cs="Arial"/>
                <w:iCs/>
                <w:sz w:val="20"/>
                <w:szCs w:val="20"/>
              </w:rPr>
            </w:pPr>
            <w:r w:rsidRPr="00AB457B">
              <w:rPr>
                <w:rFonts w:cs="Arial"/>
                <w:iCs/>
                <w:sz w:val="20"/>
                <w:szCs w:val="20"/>
              </w:rPr>
              <w:t>3 weeks</w:t>
            </w:r>
          </w:p>
        </w:tc>
      </w:tr>
      <w:tr w:rsidR="00414116" w:rsidRPr="00AB457B" w14:paraId="094466B5" w14:textId="77777777" w:rsidTr="000B6CFD">
        <w:trPr>
          <w:tblCellSpacing w:w="15" w:type="dxa"/>
        </w:trPr>
        <w:tc>
          <w:tcPr>
            <w:tcW w:w="3640"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6A0AE5E0" w14:textId="77777777" w:rsidR="00414116" w:rsidRPr="00AB457B" w:rsidRDefault="00414116" w:rsidP="000B6CFD">
            <w:pPr>
              <w:rPr>
                <w:rFonts w:cs="Arial"/>
                <w:iCs/>
                <w:sz w:val="20"/>
                <w:szCs w:val="20"/>
              </w:rPr>
            </w:pPr>
            <w:r w:rsidRPr="00AB457B">
              <w:rPr>
                <w:rFonts w:cs="Arial"/>
                <w:iCs/>
                <w:sz w:val="20"/>
                <w:szCs w:val="20"/>
              </w:rPr>
              <w:t>Fieldwork (</w:t>
            </w:r>
            <w:proofErr w:type="spellStart"/>
            <w:r w:rsidRPr="00AB457B">
              <w:rPr>
                <w:rFonts w:cs="Arial"/>
                <w:iCs/>
                <w:sz w:val="20"/>
                <w:szCs w:val="20"/>
              </w:rPr>
              <w:t>eg</w:t>
            </w:r>
            <w:proofErr w:type="spellEnd"/>
            <w:r w:rsidRPr="00AB457B">
              <w:rPr>
                <w:rFonts w:cs="Arial"/>
                <w:iCs/>
                <w:sz w:val="20"/>
                <w:szCs w:val="20"/>
              </w:rPr>
              <w:t xml:space="preserve"> surveys, observations)</w:t>
            </w:r>
          </w:p>
        </w:tc>
        <w:tc>
          <w:tcPr>
            <w:tcW w:w="455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3F21A85A" w14:textId="77777777" w:rsidR="00414116" w:rsidRPr="00AB457B" w:rsidRDefault="00414116" w:rsidP="000B6CFD">
            <w:pPr>
              <w:rPr>
                <w:rFonts w:cs="Arial"/>
                <w:iCs/>
                <w:sz w:val="20"/>
                <w:szCs w:val="20"/>
              </w:rPr>
            </w:pPr>
            <w:r w:rsidRPr="00AB457B">
              <w:rPr>
                <w:rFonts w:cs="Arial"/>
                <w:iCs/>
                <w:sz w:val="20"/>
                <w:szCs w:val="20"/>
              </w:rPr>
              <w:t>5 weeks</w:t>
            </w:r>
          </w:p>
        </w:tc>
      </w:tr>
      <w:tr w:rsidR="00414116" w:rsidRPr="00AB457B" w14:paraId="2CC74261" w14:textId="77777777" w:rsidTr="000B6CFD">
        <w:trPr>
          <w:tblCellSpacing w:w="15" w:type="dxa"/>
        </w:trPr>
        <w:tc>
          <w:tcPr>
            <w:tcW w:w="3640"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024D159" w14:textId="77777777" w:rsidR="00414116" w:rsidRPr="00AB457B" w:rsidRDefault="00414116" w:rsidP="000B6CFD">
            <w:pPr>
              <w:rPr>
                <w:rFonts w:cs="Arial"/>
                <w:iCs/>
                <w:sz w:val="20"/>
                <w:szCs w:val="20"/>
              </w:rPr>
            </w:pPr>
            <w:r w:rsidRPr="00AB457B">
              <w:rPr>
                <w:rFonts w:cs="Arial"/>
                <w:iCs/>
                <w:sz w:val="20"/>
                <w:szCs w:val="20"/>
              </w:rPr>
              <w:t>Analysis and drafting of report</w:t>
            </w:r>
          </w:p>
        </w:tc>
        <w:tc>
          <w:tcPr>
            <w:tcW w:w="455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3F800186" w14:textId="77777777" w:rsidR="00414116" w:rsidRPr="00AB457B" w:rsidRDefault="00414116" w:rsidP="000B6CFD">
            <w:pPr>
              <w:rPr>
                <w:rFonts w:cs="Arial"/>
                <w:iCs/>
                <w:sz w:val="20"/>
                <w:szCs w:val="20"/>
              </w:rPr>
            </w:pPr>
            <w:r w:rsidRPr="00AB457B">
              <w:rPr>
                <w:rFonts w:cs="Arial"/>
                <w:iCs/>
                <w:sz w:val="20"/>
                <w:szCs w:val="20"/>
              </w:rPr>
              <w:t>3 weeks</w:t>
            </w:r>
          </w:p>
        </w:tc>
      </w:tr>
      <w:tr w:rsidR="00414116" w:rsidRPr="00AB457B" w14:paraId="51526489" w14:textId="77777777" w:rsidTr="000B6CFD">
        <w:trPr>
          <w:tblCellSpacing w:w="15" w:type="dxa"/>
        </w:trPr>
        <w:tc>
          <w:tcPr>
            <w:tcW w:w="3640"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34A4EC3" w14:textId="77777777" w:rsidR="00414116" w:rsidRPr="00AB457B" w:rsidRDefault="00414116" w:rsidP="000B6CFD">
            <w:pPr>
              <w:rPr>
                <w:rFonts w:cs="Arial"/>
                <w:iCs/>
                <w:sz w:val="20"/>
                <w:szCs w:val="20"/>
              </w:rPr>
            </w:pPr>
            <w:r w:rsidRPr="00AB457B">
              <w:rPr>
                <w:rFonts w:cs="Arial"/>
                <w:iCs/>
                <w:sz w:val="20"/>
                <w:szCs w:val="20"/>
              </w:rPr>
              <w:t>Chair’s review and feedback</w:t>
            </w:r>
          </w:p>
        </w:tc>
        <w:tc>
          <w:tcPr>
            <w:tcW w:w="455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04BC92A5" w14:textId="77777777" w:rsidR="00414116" w:rsidRPr="00AB457B" w:rsidRDefault="00414116" w:rsidP="000B6CFD">
            <w:pPr>
              <w:rPr>
                <w:rFonts w:cs="Arial"/>
                <w:iCs/>
                <w:sz w:val="20"/>
                <w:szCs w:val="20"/>
              </w:rPr>
            </w:pPr>
            <w:r w:rsidRPr="00AB457B">
              <w:rPr>
                <w:rFonts w:cs="Arial"/>
                <w:iCs/>
                <w:sz w:val="20"/>
                <w:szCs w:val="20"/>
              </w:rPr>
              <w:t>2 weeks</w:t>
            </w:r>
          </w:p>
        </w:tc>
      </w:tr>
      <w:tr w:rsidR="00414116" w:rsidRPr="00AB457B" w14:paraId="0C273599" w14:textId="77777777" w:rsidTr="000B6CFD">
        <w:trPr>
          <w:tblCellSpacing w:w="15" w:type="dxa"/>
        </w:trPr>
        <w:tc>
          <w:tcPr>
            <w:tcW w:w="3640" w:type="dxa"/>
            <w:tcBorders>
              <w:left w:val="single" w:sz="6" w:space="0" w:color="E6E6E6"/>
              <w:bottom w:val="single" w:sz="6" w:space="0" w:color="E6E6E6"/>
              <w:right w:val="single" w:sz="6" w:space="0" w:color="E6E6E6"/>
            </w:tcBorders>
            <w:shd w:val="clear" w:color="auto" w:fill="FAFAFA"/>
            <w:tcMar>
              <w:top w:w="120" w:type="dxa"/>
              <w:left w:w="180" w:type="dxa"/>
              <w:bottom w:w="90" w:type="dxa"/>
              <w:right w:w="120" w:type="dxa"/>
            </w:tcMar>
            <w:hideMark/>
          </w:tcPr>
          <w:p w14:paraId="60E7B622" w14:textId="77777777" w:rsidR="00414116" w:rsidRPr="00AB457B" w:rsidRDefault="00414116" w:rsidP="000B6CFD">
            <w:pPr>
              <w:rPr>
                <w:rFonts w:cs="Arial"/>
                <w:iCs/>
                <w:sz w:val="20"/>
                <w:szCs w:val="20"/>
              </w:rPr>
            </w:pPr>
            <w:r w:rsidRPr="00AB457B">
              <w:rPr>
                <w:rFonts w:cs="Arial"/>
                <w:iCs/>
                <w:sz w:val="20"/>
                <w:szCs w:val="20"/>
              </w:rPr>
              <w:t>Final reporting and board presentation</w:t>
            </w:r>
          </w:p>
        </w:tc>
        <w:tc>
          <w:tcPr>
            <w:tcW w:w="4550" w:type="dxa"/>
            <w:tcBorders>
              <w:bottom w:val="single" w:sz="6" w:space="0" w:color="E6E6E6"/>
              <w:right w:val="single" w:sz="6" w:space="0" w:color="E6E6E6"/>
            </w:tcBorders>
            <w:shd w:val="clear" w:color="auto" w:fill="FAFAFA"/>
            <w:tcMar>
              <w:top w:w="120" w:type="dxa"/>
              <w:left w:w="180" w:type="dxa"/>
              <w:bottom w:w="90" w:type="dxa"/>
              <w:right w:w="120" w:type="dxa"/>
            </w:tcMar>
            <w:hideMark/>
          </w:tcPr>
          <w:p w14:paraId="34431271" w14:textId="77777777" w:rsidR="00414116" w:rsidRPr="00AB457B" w:rsidRDefault="00414116" w:rsidP="000B6CFD">
            <w:pPr>
              <w:rPr>
                <w:rFonts w:cs="Arial"/>
                <w:iCs/>
                <w:sz w:val="20"/>
                <w:szCs w:val="20"/>
              </w:rPr>
            </w:pPr>
            <w:r w:rsidRPr="00AB457B">
              <w:rPr>
                <w:rFonts w:cs="Arial"/>
                <w:iCs/>
                <w:sz w:val="20"/>
                <w:szCs w:val="20"/>
              </w:rPr>
              <w:t>2 weeks</w:t>
            </w:r>
          </w:p>
        </w:tc>
      </w:tr>
    </w:tbl>
    <w:p w14:paraId="573FD911" w14:textId="77777777" w:rsidR="00414116" w:rsidRPr="00F957AC" w:rsidRDefault="00414116" w:rsidP="00414116">
      <w:pPr>
        <w:rPr>
          <w:b/>
          <w:bCs/>
        </w:rPr>
      </w:pPr>
    </w:p>
    <w:p w14:paraId="47773AA4" w14:textId="77777777" w:rsidR="00414116" w:rsidRDefault="00414116" w:rsidP="00414116">
      <w:pPr>
        <w:rPr>
          <w:b/>
          <w:bCs/>
        </w:rPr>
      </w:pPr>
      <w:r w:rsidRPr="00F957AC">
        <w:rPr>
          <w:b/>
          <w:bCs/>
        </w:rPr>
        <w:t>What constraints does the project have</w:t>
      </w:r>
      <w:r>
        <w:rPr>
          <w:b/>
          <w:bCs/>
        </w:rPr>
        <w:t>?</w:t>
      </w:r>
    </w:p>
    <w:p w14:paraId="44117AC6" w14:textId="77777777" w:rsidR="00414116" w:rsidRPr="00993416" w:rsidRDefault="00414116" w:rsidP="00414116">
      <w:pPr>
        <w:pStyle w:val="SingleNum"/>
      </w:pPr>
      <w:r w:rsidRPr="00993416">
        <w:t>While the board effectiveness review is intended to be comprehensive and insightful, the project will operate within the following constraints:</w:t>
      </w:r>
    </w:p>
    <w:p w14:paraId="6D9FC58F" w14:textId="6B844F51" w:rsidR="00414116" w:rsidRPr="00993416" w:rsidRDefault="00414116" w:rsidP="00414116">
      <w:pPr>
        <w:numPr>
          <w:ilvl w:val="0"/>
          <w:numId w:val="25"/>
        </w:numPr>
        <w:spacing w:after="160" w:line="259" w:lineRule="auto"/>
      </w:pPr>
      <w:r w:rsidRPr="118D2B5B">
        <w:rPr>
          <w:b/>
          <w:bCs/>
        </w:rPr>
        <w:t>Time and Resource Availability</w:t>
      </w:r>
      <w:r>
        <w:t>: The review must be completed within a defined timeframe. This includes time for planning, fieldwork, analysis, and reporting. Scheduling interviews, observations, and feedback sessions with board members and senior executives may be challenging due to their existing commitments and availability.</w:t>
      </w:r>
    </w:p>
    <w:p w14:paraId="256AF1AB" w14:textId="77777777" w:rsidR="00414116" w:rsidRPr="00993416" w:rsidRDefault="00414116" w:rsidP="00414116">
      <w:pPr>
        <w:numPr>
          <w:ilvl w:val="0"/>
          <w:numId w:val="25"/>
        </w:numPr>
        <w:spacing w:after="160" w:line="259" w:lineRule="auto"/>
      </w:pPr>
      <w:r w:rsidRPr="00993416">
        <w:rPr>
          <w:b/>
          <w:bCs/>
        </w:rPr>
        <w:lastRenderedPageBreak/>
        <w:t>Access to Information</w:t>
      </w:r>
      <w:r w:rsidRPr="00993416">
        <w:t xml:space="preserve">: The reviewer may have restricted access to certain confidential or sensitive materials. </w:t>
      </w:r>
    </w:p>
    <w:p w14:paraId="12C5E432" w14:textId="77777777" w:rsidR="00414116" w:rsidRPr="00993416" w:rsidRDefault="00414116" w:rsidP="00414116">
      <w:pPr>
        <w:numPr>
          <w:ilvl w:val="0"/>
          <w:numId w:val="25"/>
        </w:numPr>
        <w:spacing w:after="160" w:line="259" w:lineRule="auto"/>
      </w:pPr>
      <w:r w:rsidRPr="00993416">
        <w:rPr>
          <w:b/>
          <w:bCs/>
        </w:rPr>
        <w:t>Scope Limitations</w:t>
      </w:r>
      <w:r w:rsidRPr="00993416">
        <w:t>: The review will focus on board-level governance and strategic oversight. It will not include:</w:t>
      </w:r>
    </w:p>
    <w:p w14:paraId="4CD0190C" w14:textId="77777777" w:rsidR="00414116" w:rsidRPr="00993416" w:rsidRDefault="00414116" w:rsidP="00414116">
      <w:pPr>
        <w:numPr>
          <w:ilvl w:val="1"/>
          <w:numId w:val="25"/>
        </w:numPr>
        <w:spacing w:after="160" w:line="259" w:lineRule="auto"/>
      </w:pPr>
      <w:r w:rsidRPr="00993416">
        <w:t xml:space="preserve">Individual performance </w:t>
      </w:r>
      <w:proofErr w:type="gramStart"/>
      <w:r w:rsidRPr="00993416">
        <w:t>appraisals;</w:t>
      </w:r>
      <w:proofErr w:type="gramEnd"/>
    </w:p>
    <w:p w14:paraId="665DB4C1" w14:textId="77777777" w:rsidR="00414116" w:rsidRPr="00993416" w:rsidRDefault="00414116" w:rsidP="00414116">
      <w:pPr>
        <w:numPr>
          <w:ilvl w:val="1"/>
          <w:numId w:val="25"/>
        </w:numPr>
        <w:spacing w:after="160" w:line="259" w:lineRule="auto"/>
      </w:pPr>
      <w:r w:rsidRPr="00993416">
        <w:t xml:space="preserve">Operational or departmental </w:t>
      </w:r>
      <w:proofErr w:type="gramStart"/>
      <w:r w:rsidRPr="00993416">
        <w:t>reviews;</w:t>
      </w:r>
      <w:proofErr w:type="gramEnd"/>
    </w:p>
    <w:p w14:paraId="33EC3053" w14:textId="77777777" w:rsidR="00414116" w:rsidRPr="00993416" w:rsidRDefault="00414116" w:rsidP="00414116">
      <w:pPr>
        <w:numPr>
          <w:ilvl w:val="1"/>
          <w:numId w:val="25"/>
        </w:numPr>
        <w:spacing w:after="160" w:line="259" w:lineRule="auto"/>
      </w:pPr>
      <w:r w:rsidRPr="00993416">
        <w:t xml:space="preserve">Legal, financial, or compliance </w:t>
      </w:r>
      <w:proofErr w:type="gramStart"/>
      <w:r w:rsidRPr="00993416">
        <w:t>audits;</w:t>
      </w:r>
      <w:proofErr w:type="gramEnd"/>
    </w:p>
    <w:p w14:paraId="07069C53" w14:textId="77777777" w:rsidR="00414116" w:rsidRPr="00993416" w:rsidRDefault="00414116" w:rsidP="00414116">
      <w:pPr>
        <w:numPr>
          <w:ilvl w:val="1"/>
          <w:numId w:val="25"/>
        </w:numPr>
        <w:spacing w:after="160" w:line="259" w:lineRule="auto"/>
      </w:pPr>
      <w:r w:rsidRPr="00993416">
        <w:t xml:space="preserve">Internal risk management processes or </w:t>
      </w:r>
      <w:proofErr w:type="gramStart"/>
      <w:r w:rsidRPr="00993416">
        <w:t>frameworks;</w:t>
      </w:r>
      <w:proofErr w:type="gramEnd"/>
    </w:p>
    <w:p w14:paraId="23A7CA29" w14:textId="77777777" w:rsidR="00414116" w:rsidRPr="00993416" w:rsidRDefault="00414116" w:rsidP="00414116">
      <w:pPr>
        <w:numPr>
          <w:ilvl w:val="1"/>
          <w:numId w:val="25"/>
        </w:numPr>
        <w:spacing w:after="160" w:line="259" w:lineRule="auto"/>
      </w:pPr>
      <w:r w:rsidRPr="00993416">
        <w:t xml:space="preserve">Implementation of </w:t>
      </w:r>
      <w:proofErr w:type="gramStart"/>
      <w:r w:rsidRPr="00993416">
        <w:t>recommendations;</w:t>
      </w:r>
      <w:proofErr w:type="gramEnd"/>
    </w:p>
    <w:p w14:paraId="77034E99" w14:textId="77777777" w:rsidR="00414116" w:rsidRPr="00993416" w:rsidRDefault="00414116" w:rsidP="00414116">
      <w:pPr>
        <w:numPr>
          <w:ilvl w:val="1"/>
          <w:numId w:val="25"/>
        </w:numPr>
        <w:spacing w:after="160" w:line="259" w:lineRule="auto"/>
      </w:pPr>
      <w:r w:rsidRPr="00993416">
        <w:t xml:space="preserve">Technical assessments of sector performance beyond the board’s oversight </w:t>
      </w:r>
      <w:proofErr w:type="gramStart"/>
      <w:r w:rsidRPr="00993416">
        <w:t>role;</w:t>
      </w:r>
      <w:proofErr w:type="gramEnd"/>
    </w:p>
    <w:p w14:paraId="54EB3D44" w14:textId="77777777" w:rsidR="00414116" w:rsidRPr="00993416" w:rsidRDefault="00414116" w:rsidP="00414116">
      <w:pPr>
        <w:numPr>
          <w:ilvl w:val="1"/>
          <w:numId w:val="25"/>
        </w:numPr>
        <w:spacing w:after="160" w:line="259" w:lineRule="auto"/>
      </w:pPr>
      <w:r w:rsidRPr="00993416">
        <w:t>Broader stakeholder engagement strategies not directly related to board governance.</w:t>
      </w:r>
    </w:p>
    <w:p w14:paraId="5F9A32F1" w14:textId="77777777" w:rsidR="00414116" w:rsidRPr="00993416" w:rsidRDefault="00414116" w:rsidP="00414116">
      <w:pPr>
        <w:numPr>
          <w:ilvl w:val="0"/>
          <w:numId w:val="25"/>
        </w:numPr>
        <w:spacing w:after="160" w:line="259" w:lineRule="auto"/>
      </w:pPr>
      <w:r w:rsidRPr="00993416">
        <w:rPr>
          <w:b/>
          <w:bCs/>
        </w:rPr>
        <w:t>Subjectivity of Input</w:t>
      </w:r>
      <w:r w:rsidRPr="00993416">
        <w:t>: Much of the review will rely on qualitative data, such as interviews and surveys, which may be influenced by personal perceptions or recent experiences.</w:t>
      </w:r>
    </w:p>
    <w:p w14:paraId="39A12E34" w14:textId="77777777" w:rsidR="00414116" w:rsidRPr="00993416" w:rsidRDefault="00414116" w:rsidP="00414116">
      <w:pPr>
        <w:numPr>
          <w:ilvl w:val="0"/>
          <w:numId w:val="25"/>
        </w:numPr>
        <w:spacing w:after="160" w:line="259" w:lineRule="auto"/>
      </w:pPr>
      <w:r w:rsidRPr="00993416">
        <w:rPr>
          <w:b/>
          <w:bCs/>
        </w:rPr>
        <w:t>Organisational Sensitivities</w:t>
      </w:r>
      <w:r w:rsidRPr="00993416">
        <w:t>: The review may touch on sensitive issues such as board dynamics, leadership style, or capability gaps, which could affect openness or receptiveness to findings.</w:t>
      </w:r>
    </w:p>
    <w:p w14:paraId="777654E2" w14:textId="77777777" w:rsidR="00414116" w:rsidRPr="00993416" w:rsidRDefault="00414116" w:rsidP="00414116">
      <w:pPr>
        <w:numPr>
          <w:ilvl w:val="0"/>
          <w:numId w:val="25"/>
        </w:numPr>
        <w:spacing w:after="160" w:line="259" w:lineRule="auto"/>
      </w:pPr>
      <w:r w:rsidRPr="00993416">
        <w:rPr>
          <w:b/>
          <w:bCs/>
        </w:rPr>
        <w:t>External Change and Uncertainty</w:t>
      </w:r>
      <w:r w:rsidRPr="00993416">
        <w:t>: Ongoing reforms and political developments may create a fluid context, making it challenging to assess board effectiveness against a stable baseline.</w:t>
      </w:r>
    </w:p>
    <w:p w14:paraId="11A353B2" w14:textId="77777777" w:rsidR="00414116" w:rsidRDefault="00414116" w:rsidP="00414116">
      <w:pPr>
        <w:rPr>
          <w:b/>
          <w:bCs/>
        </w:rPr>
      </w:pPr>
      <w:r w:rsidRPr="00F957AC">
        <w:rPr>
          <w:b/>
          <w:bCs/>
        </w:rPr>
        <w:t>What are the security requirements particularly if the supplier will be processing personal data or accessing the ORR network in any capacity</w:t>
      </w:r>
      <w:r>
        <w:rPr>
          <w:b/>
          <w:bCs/>
        </w:rPr>
        <w:t>?</w:t>
      </w:r>
    </w:p>
    <w:p w14:paraId="41CE953A" w14:textId="77777777" w:rsidR="00414116" w:rsidRPr="00993416" w:rsidRDefault="00414116" w:rsidP="00414116">
      <w:pPr>
        <w:pStyle w:val="SingleNum"/>
      </w:pPr>
      <w:r w:rsidRPr="00993416">
        <w:t>Suppliers must adhere to robust security standards to protect the confidentiality, integrity, and availability of ORR data and systems. Where the supplier will be processing personal data or accessing the ORR network in any capacity, the following requirements will apply:</w:t>
      </w:r>
    </w:p>
    <w:p w14:paraId="2D3FA970" w14:textId="77777777" w:rsidR="00414116" w:rsidRPr="00993416" w:rsidRDefault="00414116" w:rsidP="00414116">
      <w:pPr>
        <w:numPr>
          <w:ilvl w:val="0"/>
          <w:numId w:val="26"/>
        </w:numPr>
        <w:spacing w:after="160" w:line="259" w:lineRule="auto"/>
      </w:pPr>
      <w:r w:rsidRPr="00993416">
        <w:rPr>
          <w:b/>
          <w:bCs/>
        </w:rPr>
        <w:t>Data Protection Compliance</w:t>
      </w:r>
      <w:r w:rsidRPr="00993416">
        <w:t>: The supplier must comply with all applicable data protection legislation, including the UK General Data Protection Regulation (UK GDPR) and the Data Protection Act 2018. This includes ensuring appropriate technical and organisational measures are in place to safeguard personal data.</w:t>
      </w:r>
    </w:p>
    <w:p w14:paraId="7E53FF95" w14:textId="77777777" w:rsidR="00414116" w:rsidRPr="00993416" w:rsidRDefault="00414116" w:rsidP="00414116">
      <w:pPr>
        <w:numPr>
          <w:ilvl w:val="0"/>
          <w:numId w:val="26"/>
        </w:numPr>
        <w:spacing w:after="160" w:line="259" w:lineRule="auto"/>
      </w:pPr>
      <w:r w:rsidRPr="00993416">
        <w:rPr>
          <w:b/>
          <w:bCs/>
        </w:rPr>
        <w:t>Information Security Standards</w:t>
      </w:r>
      <w:r w:rsidRPr="00993416">
        <w:t>: Suppliers are expected to operate in line with recognised information security standards. Evidence of certification or equivalent controls may be requested.</w:t>
      </w:r>
    </w:p>
    <w:p w14:paraId="7780E56C" w14:textId="77777777" w:rsidR="00414116" w:rsidRPr="00993416" w:rsidRDefault="00414116" w:rsidP="00414116">
      <w:pPr>
        <w:numPr>
          <w:ilvl w:val="0"/>
          <w:numId w:val="26"/>
        </w:numPr>
        <w:spacing w:after="160" w:line="259" w:lineRule="auto"/>
      </w:pPr>
      <w:r w:rsidRPr="00993416">
        <w:rPr>
          <w:b/>
          <w:bCs/>
        </w:rPr>
        <w:lastRenderedPageBreak/>
        <w:t>Access Controls</w:t>
      </w:r>
      <w:r w:rsidRPr="00993416">
        <w:t>: Any access to ORR systems, networks, or data must be strictly controlled and limited to authorised personnel only. Access will be granted on a need-to-know basis and must be removed promptly when no longer required.</w:t>
      </w:r>
    </w:p>
    <w:p w14:paraId="26EE4876" w14:textId="77777777" w:rsidR="00414116" w:rsidRPr="00993416" w:rsidRDefault="00414116" w:rsidP="00414116">
      <w:pPr>
        <w:numPr>
          <w:ilvl w:val="0"/>
          <w:numId w:val="26"/>
        </w:numPr>
        <w:spacing w:after="160" w:line="259" w:lineRule="auto"/>
      </w:pPr>
      <w:r w:rsidRPr="00993416">
        <w:rPr>
          <w:b/>
          <w:bCs/>
        </w:rPr>
        <w:t>Confidentiality Agreements</w:t>
      </w:r>
      <w:r w:rsidRPr="00993416">
        <w:t>: All personnel involved in the project must sign appropriate confidentiality or non-disclosure agreements, if required by ORR.</w:t>
      </w:r>
    </w:p>
    <w:p w14:paraId="1E5EA3D2" w14:textId="77777777" w:rsidR="00414116" w:rsidRPr="00993416" w:rsidRDefault="00414116" w:rsidP="00414116">
      <w:pPr>
        <w:numPr>
          <w:ilvl w:val="0"/>
          <w:numId w:val="26"/>
        </w:numPr>
        <w:spacing w:after="160" w:line="259" w:lineRule="auto"/>
      </w:pPr>
      <w:r w:rsidRPr="00993416">
        <w:rPr>
          <w:b/>
          <w:bCs/>
        </w:rPr>
        <w:t>Secure Data Handling</w:t>
      </w:r>
      <w:r w:rsidRPr="00993416">
        <w:t xml:space="preserve">: Personal and sensitive data must be stored, processed, and transmitted securely. </w:t>
      </w:r>
    </w:p>
    <w:p w14:paraId="2FBF77AC" w14:textId="77777777" w:rsidR="00414116" w:rsidRPr="00993416" w:rsidRDefault="00414116" w:rsidP="00414116">
      <w:pPr>
        <w:numPr>
          <w:ilvl w:val="0"/>
          <w:numId w:val="26"/>
        </w:numPr>
        <w:spacing w:after="160" w:line="259" w:lineRule="auto"/>
      </w:pPr>
      <w:r w:rsidRPr="00993416">
        <w:rPr>
          <w:b/>
          <w:bCs/>
        </w:rPr>
        <w:t>Use of ORR Systems</w:t>
      </w:r>
      <w:r w:rsidRPr="00993416">
        <w:t>: If access to ORR’s internal systems or networks is required, this must be pre-approved and will be subject to ORR’s IT security policies and monitoring.</w:t>
      </w:r>
    </w:p>
    <w:p w14:paraId="5F5EC6CB" w14:textId="77777777" w:rsidR="00414116" w:rsidRPr="00993416" w:rsidRDefault="00414116" w:rsidP="00414116">
      <w:pPr>
        <w:numPr>
          <w:ilvl w:val="0"/>
          <w:numId w:val="26"/>
        </w:numPr>
        <w:spacing w:after="160" w:line="259" w:lineRule="auto"/>
      </w:pPr>
      <w:r w:rsidRPr="00993416">
        <w:rPr>
          <w:b/>
          <w:bCs/>
        </w:rPr>
        <w:t>Incident Reporting</w:t>
      </w:r>
      <w:r w:rsidRPr="00993416">
        <w:t>: The supplier must have procedures in place for identifying, managing, and reporting security incidents or data breaches. Any incidents affecting ORR data must be reported immediately.</w:t>
      </w:r>
    </w:p>
    <w:p w14:paraId="31DAEC18" w14:textId="5CB1B83C" w:rsidR="00414116" w:rsidRPr="00414116" w:rsidRDefault="00414116" w:rsidP="00414116">
      <w:pPr>
        <w:pStyle w:val="SingleNum"/>
      </w:pPr>
      <w:r w:rsidRPr="00993416">
        <w:t>Failure to meet these requirements may result in termination of the contract or other remedial action.</w:t>
      </w:r>
    </w:p>
    <w:p w14:paraId="69A75C90" w14:textId="4E7D31A8" w:rsidR="003F3CB0" w:rsidRDefault="003F3CB0" w:rsidP="003F3CB0">
      <w:pPr>
        <w:pStyle w:val="Heading3"/>
      </w:pPr>
      <w:bookmarkStart w:id="10" w:name="_Toc199326939"/>
      <w:r w:rsidRPr="003F3CB0">
        <w:t>2.3 Project Outputs, Deliverables and Contract Management</w:t>
      </w:r>
      <w:bookmarkEnd w:id="10"/>
    </w:p>
    <w:p w14:paraId="480D8983" w14:textId="77777777" w:rsidR="00DB02EF" w:rsidRDefault="00DB02EF" w:rsidP="00DB02EF">
      <w:pPr>
        <w:pStyle w:val="Heading4"/>
      </w:pPr>
      <w:r>
        <w:t>Outputs and Deliverables</w:t>
      </w:r>
    </w:p>
    <w:p w14:paraId="2C91ACC8" w14:textId="77777777" w:rsidR="00AB457B" w:rsidRDefault="00AB457B" w:rsidP="00AB457B">
      <w:pPr>
        <w:pStyle w:val="SingleNum"/>
      </w:pPr>
      <w:r>
        <w:t>The supplier will be expected to deliver the following outputs as part of the board effectiveness review:</w:t>
      </w:r>
    </w:p>
    <w:p w14:paraId="6B9E305F" w14:textId="6DA875A6" w:rsidR="00AB457B" w:rsidRDefault="00AB457B" w:rsidP="00AB457B">
      <w:pPr>
        <w:pStyle w:val="NormalBulletround"/>
      </w:pPr>
      <w:r w:rsidRPr="00AB457B">
        <w:rPr>
          <w:b/>
          <w:bCs/>
        </w:rPr>
        <w:t>Project Plan</w:t>
      </w:r>
      <w:r>
        <w:t xml:space="preserve">: A detailed project plan should be submitted with the proposal, outlining key milestones, methods, and timelines. If awarded the contract, the supplier will be responsible for keeping the plan </w:t>
      </w:r>
      <w:proofErr w:type="gramStart"/>
      <w:r>
        <w:t>up-to-date</w:t>
      </w:r>
      <w:proofErr w:type="gramEnd"/>
      <w:r>
        <w:t xml:space="preserve"> throughout the project.</w:t>
      </w:r>
    </w:p>
    <w:p w14:paraId="36F9CA4C" w14:textId="77777777" w:rsidR="00AB457B" w:rsidRDefault="00AB457B" w:rsidP="00AB457B">
      <w:pPr>
        <w:pStyle w:val="NormalBulletround"/>
      </w:pPr>
      <w:r w:rsidRPr="00AB457B">
        <w:rPr>
          <w:b/>
          <w:bCs/>
        </w:rPr>
        <w:t>Survey and Analysis</w:t>
      </w:r>
      <w:r>
        <w:t>: Design and administration of a confidential survey to gather insights from board members and stakeholders. The results should be analysed and integrated into the final report.</w:t>
      </w:r>
    </w:p>
    <w:p w14:paraId="4A90ECB8" w14:textId="2C3A1888" w:rsidR="00AB457B" w:rsidRPr="00AB457B" w:rsidRDefault="00AB457B" w:rsidP="00AB457B">
      <w:pPr>
        <w:pStyle w:val="NormalBulletround"/>
      </w:pPr>
      <w:r w:rsidRPr="00AB457B">
        <w:rPr>
          <w:b/>
          <w:bCs/>
        </w:rPr>
        <w:t>Board Observation Session(s)</w:t>
      </w:r>
      <w:r w:rsidRPr="00AB457B">
        <w:t>: The supplier will observe at least one full board meeting (and committee meeting) to assess boardroom behaviours, interactions, and decision-making in practice. Observations should be conducted discreetly and professionally, with findings integrated into the final report.</w:t>
      </w:r>
    </w:p>
    <w:p w14:paraId="2EB2A3CD" w14:textId="77777777" w:rsidR="00AB457B" w:rsidRDefault="00AB457B" w:rsidP="00AB457B">
      <w:pPr>
        <w:pStyle w:val="NormalBulletround"/>
      </w:pPr>
      <w:r w:rsidRPr="00AB457B">
        <w:rPr>
          <w:b/>
          <w:bCs/>
        </w:rPr>
        <w:lastRenderedPageBreak/>
        <w:t>Interim Findings Report and Presentation</w:t>
      </w:r>
      <w:r>
        <w:t>: A draft report summarising emerging themes, initial observations, and areas for further exploration. This should be accompanied by a presentation to the ORR Chair and/or Board to allow for feedback prior to finalisation.</w:t>
      </w:r>
    </w:p>
    <w:p w14:paraId="1642A98C" w14:textId="72B65AD6" w:rsidR="00AB457B" w:rsidRDefault="00AB457B" w:rsidP="00AB457B">
      <w:pPr>
        <w:pStyle w:val="NormalBulletround"/>
      </w:pPr>
      <w:r w:rsidRPr="00AB457B">
        <w:rPr>
          <w:b/>
          <w:bCs/>
        </w:rPr>
        <w:t>Final Board Effectiveness Report and Presentation</w:t>
      </w:r>
      <w:r>
        <w:t>: A comprehensive report setting out findings, analysis, and evidence-based recommendations aligned with the review objectives. The final report should be presented to the Board and/or relevant committees.</w:t>
      </w:r>
    </w:p>
    <w:p w14:paraId="166F0A92" w14:textId="77777777" w:rsidR="00AB457B" w:rsidRDefault="00AB457B" w:rsidP="00AB457B">
      <w:pPr>
        <w:pStyle w:val="NormalBulletround"/>
      </w:pPr>
      <w:r w:rsidRPr="00AB457B">
        <w:rPr>
          <w:b/>
          <w:bCs/>
        </w:rPr>
        <w:t>Board Workshop</w:t>
      </w:r>
      <w:r>
        <w:t>: A facilitated session with the Board to reflect on the findings, explore key themes, and support collective understanding and ownership of the recommendations.</w:t>
      </w:r>
    </w:p>
    <w:p w14:paraId="30DFB785" w14:textId="439A37DA" w:rsidR="00DB02EF" w:rsidRDefault="00DB02EF" w:rsidP="00DB02EF">
      <w:pPr>
        <w:pStyle w:val="Heading4"/>
      </w:pPr>
      <w:r>
        <w:t>Contract Management Requirements</w:t>
      </w:r>
    </w:p>
    <w:p w14:paraId="474F128B" w14:textId="77777777" w:rsidR="00FE6382" w:rsidRDefault="00FE6382" w:rsidP="00FE6382">
      <w:pPr>
        <w:pStyle w:val="SingleNum"/>
      </w:pPr>
      <w:r>
        <w:t>The successful supplier will be expected to work closely with ORR to ensure the board effectiveness review is delivered to a high standard, on time, and within scope. To support this, the following contract management and reporting arrangements will apply:</w:t>
      </w:r>
    </w:p>
    <w:p w14:paraId="41E7E8A5" w14:textId="77777777" w:rsidR="00FE6382" w:rsidRPr="00FE6382" w:rsidRDefault="00FE6382" w:rsidP="00FE6382">
      <w:pPr>
        <w:pStyle w:val="SingleNum"/>
        <w:numPr>
          <w:ilvl w:val="0"/>
          <w:numId w:val="0"/>
        </w:numPr>
        <w:ind w:left="567"/>
        <w:rPr>
          <w:u w:val="single"/>
        </w:rPr>
      </w:pPr>
      <w:r w:rsidRPr="00FE6382">
        <w:rPr>
          <w:u w:val="single"/>
        </w:rPr>
        <w:t>Contract Management Approach</w:t>
      </w:r>
    </w:p>
    <w:p w14:paraId="78D4ECC9" w14:textId="5AC9E256" w:rsidR="00FE6382" w:rsidRDefault="00FE6382" w:rsidP="00FE6382">
      <w:pPr>
        <w:pStyle w:val="SingleNum"/>
      </w:pPr>
      <w:r>
        <w:t>ORR will appoint a named project lead (the Board Secretary) who will act as the primary point of contact for the supplier.</w:t>
      </w:r>
    </w:p>
    <w:p w14:paraId="1B8CDBF9" w14:textId="77777777" w:rsidR="00FE6382" w:rsidRDefault="00FE6382" w:rsidP="00FE6382">
      <w:pPr>
        <w:pStyle w:val="SingleNum"/>
      </w:pPr>
      <w:r>
        <w:t>Regular progress meetings will be held—fortnightly by default, with flexibility for weekly or monthly check-ins depending on the phase of the project. These meetings may be held remotely or in person, as appropriate.</w:t>
      </w:r>
    </w:p>
    <w:p w14:paraId="05DFAA2A" w14:textId="77777777" w:rsidR="00FE6382" w:rsidRDefault="00FE6382" w:rsidP="00FE6382">
      <w:pPr>
        <w:pStyle w:val="SingleNum"/>
      </w:pPr>
      <w:r>
        <w:t>A kick-off meeting will be scheduled at the start of the contract to agree the project plan, key milestones, and communication protocols.</w:t>
      </w:r>
    </w:p>
    <w:p w14:paraId="708FC467" w14:textId="77777777" w:rsidR="00FE6382" w:rsidRDefault="00FE6382" w:rsidP="00FE6382">
      <w:pPr>
        <w:pStyle w:val="SingleNum"/>
      </w:pPr>
      <w:r>
        <w:t>A close-out meeting will be held at the end of the project to review outcomes, lessons learned, and next steps.</w:t>
      </w:r>
    </w:p>
    <w:p w14:paraId="566E97A1" w14:textId="77777777" w:rsidR="00FE6382" w:rsidRPr="00FE6382" w:rsidRDefault="00FE6382" w:rsidP="00FE6382">
      <w:pPr>
        <w:pStyle w:val="SingleNum"/>
        <w:numPr>
          <w:ilvl w:val="0"/>
          <w:numId w:val="0"/>
        </w:numPr>
        <w:ind w:left="567"/>
        <w:rPr>
          <w:u w:val="single"/>
        </w:rPr>
      </w:pPr>
      <w:r w:rsidRPr="00FE6382">
        <w:rPr>
          <w:u w:val="single"/>
        </w:rPr>
        <w:t>Reporting and Management Information</w:t>
      </w:r>
    </w:p>
    <w:p w14:paraId="6BBBF133" w14:textId="77777777" w:rsidR="00FE6382" w:rsidRDefault="00FE6382" w:rsidP="00FE6382">
      <w:pPr>
        <w:pStyle w:val="SingleNum"/>
      </w:pPr>
      <w:r>
        <w:t>The supplier will be required to provide a brief written progress update ahead of each scheduled meeting, summarising:</w:t>
      </w:r>
    </w:p>
    <w:p w14:paraId="24211915" w14:textId="77777777" w:rsidR="00FE6382" w:rsidRDefault="00FE6382" w:rsidP="00FE6382">
      <w:pPr>
        <w:pStyle w:val="SingleNum"/>
        <w:numPr>
          <w:ilvl w:val="0"/>
          <w:numId w:val="30"/>
        </w:numPr>
        <w:tabs>
          <w:tab w:val="clear" w:pos="567"/>
          <w:tab w:val="num" w:pos="1260"/>
        </w:tabs>
        <w:ind w:left="1170"/>
      </w:pPr>
      <w:r>
        <w:t>Activities completed</w:t>
      </w:r>
    </w:p>
    <w:p w14:paraId="24CBEF4E" w14:textId="77777777" w:rsidR="00FE6382" w:rsidRDefault="00FE6382" w:rsidP="00FE6382">
      <w:pPr>
        <w:pStyle w:val="SingleNum"/>
        <w:numPr>
          <w:ilvl w:val="0"/>
          <w:numId w:val="30"/>
        </w:numPr>
        <w:tabs>
          <w:tab w:val="clear" w:pos="567"/>
          <w:tab w:val="num" w:pos="1260"/>
        </w:tabs>
        <w:ind w:left="1170"/>
      </w:pPr>
      <w:r>
        <w:t>Any emerging findings or risks</w:t>
      </w:r>
    </w:p>
    <w:p w14:paraId="3EA85169" w14:textId="77777777" w:rsidR="00FE6382" w:rsidRDefault="00FE6382" w:rsidP="00FE6382">
      <w:pPr>
        <w:pStyle w:val="SingleNum"/>
        <w:numPr>
          <w:ilvl w:val="0"/>
          <w:numId w:val="30"/>
        </w:numPr>
        <w:tabs>
          <w:tab w:val="clear" w:pos="567"/>
          <w:tab w:val="num" w:pos="1260"/>
        </w:tabs>
        <w:ind w:left="1170"/>
      </w:pPr>
      <w:r>
        <w:lastRenderedPageBreak/>
        <w:t>Planned next steps</w:t>
      </w:r>
    </w:p>
    <w:p w14:paraId="5A480D53" w14:textId="77777777" w:rsidR="00FE6382" w:rsidRDefault="00FE6382" w:rsidP="00FE6382">
      <w:pPr>
        <w:pStyle w:val="SingleNum"/>
        <w:numPr>
          <w:ilvl w:val="0"/>
          <w:numId w:val="30"/>
        </w:numPr>
        <w:tabs>
          <w:tab w:val="clear" w:pos="567"/>
          <w:tab w:val="num" w:pos="1260"/>
        </w:tabs>
        <w:ind w:left="1170"/>
      </w:pPr>
      <w:r>
        <w:t>Any support or decisions required from ORR</w:t>
      </w:r>
    </w:p>
    <w:p w14:paraId="1933FD60" w14:textId="77777777" w:rsidR="00FE6382" w:rsidRDefault="00FE6382" w:rsidP="00FE6382">
      <w:pPr>
        <w:pStyle w:val="SingleNum"/>
      </w:pPr>
      <w:r>
        <w:t>A project plan must be submitted with the proposal and maintained throughout the contract, updated as needed to reflect progress or changes.</w:t>
      </w:r>
    </w:p>
    <w:p w14:paraId="7A8C05A4" w14:textId="77777777" w:rsidR="00FE6382" w:rsidRPr="00FE6382" w:rsidRDefault="00FE6382" w:rsidP="00FE6382">
      <w:pPr>
        <w:pStyle w:val="SingleNum"/>
        <w:numPr>
          <w:ilvl w:val="0"/>
          <w:numId w:val="0"/>
        </w:numPr>
        <w:ind w:left="567"/>
        <w:rPr>
          <w:u w:val="single"/>
        </w:rPr>
      </w:pPr>
      <w:r w:rsidRPr="00FE6382">
        <w:rPr>
          <w:u w:val="single"/>
        </w:rPr>
        <w:t>Performance Monitoring</w:t>
      </w:r>
    </w:p>
    <w:p w14:paraId="68C16680" w14:textId="77777777" w:rsidR="00FE6382" w:rsidRDefault="00FE6382" w:rsidP="00FE6382">
      <w:pPr>
        <w:pStyle w:val="SingleNum"/>
      </w:pPr>
      <w:r>
        <w:t>Given the short-term and focused nature of this project, formal Key Performance Indicators (KPIs) or Service Level Agreements (SLAs) will not be required. However, ORR will monitor performance against the following expectations:</w:t>
      </w:r>
    </w:p>
    <w:p w14:paraId="5EA59921" w14:textId="77777777" w:rsidR="00FE6382" w:rsidRDefault="00FE6382" w:rsidP="00FE6382">
      <w:pPr>
        <w:pStyle w:val="SingleNum"/>
        <w:numPr>
          <w:ilvl w:val="0"/>
          <w:numId w:val="30"/>
        </w:numPr>
        <w:tabs>
          <w:tab w:val="clear" w:pos="567"/>
          <w:tab w:val="num" w:pos="1260"/>
        </w:tabs>
        <w:ind w:left="1170"/>
      </w:pPr>
      <w:r>
        <w:t>Delivery of agreed outputs to time and quality</w:t>
      </w:r>
    </w:p>
    <w:p w14:paraId="11F07BF4" w14:textId="77777777" w:rsidR="00FE6382" w:rsidRDefault="00FE6382" w:rsidP="00FE6382">
      <w:pPr>
        <w:pStyle w:val="SingleNum"/>
        <w:numPr>
          <w:ilvl w:val="0"/>
          <w:numId w:val="30"/>
        </w:numPr>
        <w:tabs>
          <w:tab w:val="clear" w:pos="567"/>
          <w:tab w:val="num" w:pos="1260"/>
        </w:tabs>
        <w:ind w:left="1170"/>
      </w:pPr>
      <w:r>
        <w:t>Responsiveness to feedback and requests for clarification</w:t>
      </w:r>
    </w:p>
    <w:p w14:paraId="51D007DF" w14:textId="77777777" w:rsidR="00FE6382" w:rsidRDefault="00FE6382" w:rsidP="00FE6382">
      <w:pPr>
        <w:pStyle w:val="SingleNum"/>
        <w:numPr>
          <w:ilvl w:val="0"/>
          <w:numId w:val="30"/>
        </w:numPr>
        <w:tabs>
          <w:tab w:val="clear" w:pos="567"/>
          <w:tab w:val="num" w:pos="1260"/>
        </w:tabs>
        <w:ind w:left="1170"/>
      </w:pPr>
      <w:r>
        <w:t>Professional conduct and discretion, particularly during interviews and observations</w:t>
      </w:r>
    </w:p>
    <w:p w14:paraId="34CAD3BF" w14:textId="77777777" w:rsidR="00FE6382" w:rsidRDefault="00FE6382" w:rsidP="00FE6382">
      <w:pPr>
        <w:pStyle w:val="SingleNum"/>
        <w:numPr>
          <w:ilvl w:val="0"/>
          <w:numId w:val="30"/>
        </w:numPr>
        <w:tabs>
          <w:tab w:val="clear" w:pos="567"/>
          <w:tab w:val="num" w:pos="1260"/>
        </w:tabs>
        <w:ind w:left="1170"/>
      </w:pPr>
      <w:r>
        <w:t>Adherence to data protection and confidentiality requirements</w:t>
      </w:r>
    </w:p>
    <w:p w14:paraId="4079335A" w14:textId="5D16B4A0" w:rsidR="00FE6382" w:rsidRDefault="00FE6382" w:rsidP="00FE6382">
      <w:pPr>
        <w:pStyle w:val="SingleNum"/>
      </w:pPr>
      <w:r>
        <w:t>Should any significant issues arise, ORR reserves the right to escalate concerns and agree remedial actions with the supplier.</w:t>
      </w:r>
    </w:p>
    <w:p w14:paraId="04B3E568" w14:textId="77777777" w:rsidR="00FE6382" w:rsidRPr="00FE6382" w:rsidRDefault="00FE6382" w:rsidP="00FE6382">
      <w:pPr>
        <w:pStyle w:val="SingleNum"/>
        <w:numPr>
          <w:ilvl w:val="0"/>
          <w:numId w:val="0"/>
        </w:numPr>
        <w:ind w:left="567"/>
        <w:rPr>
          <w:u w:val="single"/>
        </w:rPr>
      </w:pPr>
      <w:r w:rsidRPr="00FE6382">
        <w:rPr>
          <w:u w:val="single"/>
        </w:rPr>
        <w:t>Roles and Responsibilities</w:t>
      </w:r>
    </w:p>
    <w:p w14:paraId="047474DE" w14:textId="77777777" w:rsidR="00FE6382" w:rsidRDefault="00FE6382" w:rsidP="00FE6382">
      <w:pPr>
        <w:pStyle w:val="SingleNum"/>
      </w:pPr>
      <w:r>
        <w:t>ORR will provide access to relevant documentation, coordinate scheduling with board members and stakeholders, and offer timely feedback on draft outputs.</w:t>
      </w:r>
    </w:p>
    <w:p w14:paraId="01F2982B" w14:textId="02B410F7" w:rsidR="00FE6382" w:rsidRPr="00FE6382" w:rsidRDefault="00FE6382" w:rsidP="00FE6382">
      <w:pPr>
        <w:pStyle w:val="SingleNum"/>
      </w:pPr>
      <w:r>
        <w:t>The supplier will be responsible for managing the delivery of all agreed outputs, maintaining regular communication, and ensuring that all work is conducted in line with the agreed scope and standards.</w:t>
      </w:r>
    </w:p>
    <w:p w14:paraId="75F8969E" w14:textId="18013AB0" w:rsidR="00D6160E" w:rsidRDefault="00AF7AF9" w:rsidP="00AF7AF9">
      <w:pPr>
        <w:pStyle w:val="Heading3"/>
      </w:pPr>
      <w:bookmarkStart w:id="11" w:name="_Toc199326940"/>
      <w:r>
        <w:t>2.4 Project Timescales</w:t>
      </w:r>
      <w:bookmarkEnd w:id="11"/>
    </w:p>
    <w:p w14:paraId="2BF5DF65" w14:textId="21FD6045" w:rsidR="00261C58" w:rsidRPr="00261C58" w:rsidRDefault="00E134F4" w:rsidP="00261C58">
      <w:r>
        <w:t xml:space="preserve">A </w:t>
      </w:r>
      <w:r w:rsidR="00AF7AF9">
        <w:t>provisional project timetable is as follows:</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4371"/>
        <w:gridCol w:w="5251"/>
      </w:tblGrid>
      <w:tr w:rsidR="00E134F4" w:rsidRPr="00261C58" w14:paraId="113F2382" w14:textId="77777777" w:rsidTr="118D2B5B">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1287EFE0" w14:textId="77777777" w:rsidR="00261C58" w:rsidRPr="00261C58" w:rsidRDefault="00261C58" w:rsidP="00261C58">
            <w:pPr>
              <w:rPr>
                <w:b/>
                <w:bCs/>
              </w:rPr>
            </w:pPr>
            <w:r w:rsidRPr="00261C58">
              <w:rPr>
                <w:b/>
                <w:bCs/>
              </w:rPr>
              <w:lastRenderedPageBreak/>
              <w:t>Milestone / Activity</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40A111C" w14:textId="77777777" w:rsidR="00261C58" w:rsidRPr="00261C58" w:rsidRDefault="00261C58" w:rsidP="00261C58">
            <w:pPr>
              <w:rPr>
                <w:b/>
                <w:bCs/>
              </w:rPr>
            </w:pPr>
            <w:r w:rsidRPr="00261C58">
              <w:rPr>
                <w:b/>
                <w:bCs/>
              </w:rPr>
              <w:t>Target Date</w:t>
            </w:r>
          </w:p>
        </w:tc>
      </w:tr>
      <w:tr w:rsidR="00E134F4" w:rsidRPr="00261C58" w14:paraId="7FDEC676" w14:textId="77777777" w:rsidTr="118D2B5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3E41FEE1" w14:textId="77777777" w:rsidR="00261C58" w:rsidRPr="00261C58" w:rsidRDefault="00261C58" w:rsidP="00261C58">
            <w:r w:rsidRPr="00261C58">
              <w:t>Start-up meeting and commencement</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04DBD09D" w14:textId="61717376" w:rsidR="00261C58" w:rsidRPr="00261C58" w:rsidRDefault="46AC080F" w:rsidP="118D2B5B">
            <w:pPr>
              <w:rPr>
                <w:b/>
                <w:bCs/>
              </w:rPr>
            </w:pPr>
            <w:r>
              <w:t>W</w:t>
            </w:r>
            <w:r w:rsidR="393A62C0">
              <w:t xml:space="preserve">eek commencing </w:t>
            </w:r>
            <w:r w:rsidR="0B3F5CD7" w:rsidRPr="118D2B5B">
              <w:rPr>
                <w:b/>
                <w:bCs/>
              </w:rPr>
              <w:t xml:space="preserve">25 August </w:t>
            </w:r>
            <w:r w:rsidR="393A62C0" w:rsidRPr="118D2B5B">
              <w:rPr>
                <w:b/>
                <w:bCs/>
              </w:rPr>
              <w:t>2025</w:t>
            </w:r>
          </w:p>
        </w:tc>
      </w:tr>
      <w:tr w:rsidR="00E134F4" w:rsidRPr="00261C58" w14:paraId="50CDB6B2" w14:textId="77777777" w:rsidTr="118D2B5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1CA4EAB9" w14:textId="4594D71E" w:rsidR="00261C58" w:rsidRPr="00261C58" w:rsidRDefault="00261C58" w:rsidP="00261C58">
            <w:r w:rsidRPr="00261C58">
              <w:t xml:space="preserve">Board </w:t>
            </w:r>
            <w:r w:rsidR="00E134F4">
              <w:t xml:space="preserve">and committee </w:t>
            </w:r>
            <w:r w:rsidRPr="00261C58">
              <w:t>observation sessions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7DCD8755" w14:textId="2DD61405" w:rsidR="00261C58" w:rsidRPr="00261C58" w:rsidRDefault="00261C58" w:rsidP="00261C58">
            <w:r w:rsidRPr="00261C58">
              <w:t xml:space="preserve">Between </w:t>
            </w:r>
            <w:r w:rsidR="00250568">
              <w:rPr>
                <w:b/>
                <w:bCs/>
              </w:rPr>
              <w:t>September</w:t>
            </w:r>
            <w:r w:rsidRPr="00261C58">
              <w:rPr>
                <w:b/>
                <w:bCs/>
              </w:rPr>
              <w:t xml:space="preserve"> and </w:t>
            </w:r>
            <w:r w:rsidR="00250568">
              <w:rPr>
                <w:b/>
                <w:bCs/>
              </w:rPr>
              <w:t xml:space="preserve">November </w:t>
            </w:r>
            <w:r w:rsidRPr="00261C58">
              <w:t>(exact dates to be agreed)</w:t>
            </w:r>
          </w:p>
        </w:tc>
      </w:tr>
      <w:tr w:rsidR="00E134F4" w:rsidRPr="00261C58" w14:paraId="4AD8D52C" w14:textId="77777777" w:rsidTr="118D2B5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72B6488" w14:textId="77777777" w:rsidR="00261C58" w:rsidRPr="00261C58" w:rsidRDefault="00261C58" w:rsidP="00261C58">
            <w:r w:rsidRPr="00261C58">
              <w:t>Submission of draft report</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46BC8F78" w14:textId="4940FDE5" w:rsidR="00261C58" w:rsidRPr="00261C58" w:rsidRDefault="00261C58" w:rsidP="00261C58">
            <w:r w:rsidRPr="00261C58">
              <w:t xml:space="preserve">By </w:t>
            </w:r>
            <w:r w:rsidR="00E134F4">
              <w:rPr>
                <w:b/>
                <w:bCs/>
              </w:rPr>
              <w:t>mid-</w:t>
            </w:r>
            <w:r w:rsidR="00250568">
              <w:rPr>
                <w:b/>
                <w:bCs/>
              </w:rPr>
              <w:t>December</w:t>
            </w:r>
            <w:r w:rsidRPr="00261C58">
              <w:rPr>
                <w:b/>
                <w:bCs/>
              </w:rPr>
              <w:t xml:space="preserve"> 202</w:t>
            </w:r>
            <w:r w:rsidR="00250568">
              <w:rPr>
                <w:b/>
                <w:bCs/>
              </w:rPr>
              <w:t>5</w:t>
            </w:r>
          </w:p>
        </w:tc>
      </w:tr>
      <w:tr w:rsidR="00E134F4" w:rsidRPr="00261C58" w14:paraId="412A2050" w14:textId="77777777" w:rsidTr="118D2B5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B76C602" w14:textId="77777777" w:rsidR="00261C58" w:rsidRPr="00261C58" w:rsidRDefault="00261C58" w:rsidP="00261C58">
            <w:r w:rsidRPr="00261C58">
              <w:t>Chair’s review and feedback</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6973071" w14:textId="18E33172" w:rsidR="00261C58" w:rsidRPr="00261C58" w:rsidRDefault="00261C58" w:rsidP="00261C58">
            <w:r w:rsidRPr="00261C58">
              <w:t xml:space="preserve">By </w:t>
            </w:r>
            <w:r w:rsidR="00250568">
              <w:rPr>
                <w:b/>
                <w:bCs/>
              </w:rPr>
              <w:t>early</w:t>
            </w:r>
            <w:r w:rsidR="00E134F4">
              <w:rPr>
                <w:b/>
                <w:bCs/>
              </w:rPr>
              <w:t>-</w:t>
            </w:r>
            <w:r w:rsidRPr="00261C58">
              <w:rPr>
                <w:b/>
                <w:bCs/>
              </w:rPr>
              <w:t>January 2026</w:t>
            </w:r>
          </w:p>
        </w:tc>
      </w:tr>
      <w:tr w:rsidR="00E134F4" w:rsidRPr="00261C58" w14:paraId="7297B58B" w14:textId="77777777" w:rsidTr="118D2B5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08267EEC" w14:textId="77777777" w:rsidR="00261C58" w:rsidRPr="00261C58" w:rsidRDefault="00261C58" w:rsidP="00261C58">
            <w:r w:rsidRPr="00261C58">
              <w:t>Submission of final report and recommendations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47DFDFC0" w14:textId="336524A6" w:rsidR="00261C58" w:rsidRPr="00261C58" w:rsidRDefault="00261C58" w:rsidP="00261C58">
            <w:r w:rsidRPr="00261C58">
              <w:t xml:space="preserve">By </w:t>
            </w:r>
            <w:r w:rsidR="0019403B">
              <w:rPr>
                <w:b/>
                <w:bCs/>
              </w:rPr>
              <w:t>mid</w:t>
            </w:r>
            <w:r w:rsidR="00E134F4">
              <w:rPr>
                <w:b/>
                <w:bCs/>
              </w:rPr>
              <w:t>-</w:t>
            </w:r>
            <w:r w:rsidR="0019403B">
              <w:rPr>
                <w:b/>
                <w:bCs/>
              </w:rPr>
              <w:t xml:space="preserve">January </w:t>
            </w:r>
            <w:r w:rsidRPr="00261C58">
              <w:rPr>
                <w:b/>
                <w:bCs/>
              </w:rPr>
              <w:t>2026</w:t>
            </w:r>
          </w:p>
        </w:tc>
      </w:tr>
      <w:tr w:rsidR="00E134F4" w:rsidRPr="00261C58" w14:paraId="630C83B8" w14:textId="77777777" w:rsidTr="118D2B5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411C8BCF" w14:textId="77777777" w:rsidR="00261C58" w:rsidRPr="00261C58" w:rsidRDefault="00261C58" w:rsidP="00261C58">
            <w:r w:rsidRPr="00261C58">
              <w:t>Final presentation to the Board</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7F2C56D7" w14:textId="69D3A6A9" w:rsidR="00261C58" w:rsidRPr="00261C58" w:rsidRDefault="0019403B" w:rsidP="00261C58">
            <w:r>
              <w:rPr>
                <w:b/>
                <w:bCs/>
              </w:rPr>
              <w:t xml:space="preserve">27 January </w:t>
            </w:r>
            <w:r w:rsidR="00261C58" w:rsidRPr="00261C58">
              <w:rPr>
                <w:b/>
                <w:bCs/>
              </w:rPr>
              <w:t>2026</w:t>
            </w:r>
          </w:p>
        </w:tc>
      </w:tr>
    </w:tbl>
    <w:p w14:paraId="6BAAA67D" w14:textId="77777777" w:rsidR="00261C58" w:rsidRDefault="00261C58" w:rsidP="00AF7AF9"/>
    <w:p w14:paraId="76E3EE61" w14:textId="420F91D1" w:rsidR="00AF7AF9" w:rsidRDefault="00AF7AF9" w:rsidP="00AF7AF9">
      <w:pPr>
        <w:pStyle w:val="Heading3"/>
      </w:pPr>
      <w:bookmarkStart w:id="12" w:name="_Toc199326941"/>
      <w:r w:rsidRPr="00AF7AF9">
        <w:t>2.5 Budget and Payment Schedule</w:t>
      </w:r>
      <w:bookmarkEnd w:id="12"/>
    </w:p>
    <w:p w14:paraId="7D86A410" w14:textId="4DEB82E3" w:rsidR="00D401C8" w:rsidRDefault="00D401C8" w:rsidP="00D401C8">
      <w:r>
        <w:t>The maximum budget for this piece of work is £</w:t>
      </w:r>
      <w:r w:rsidR="00A94C61">
        <w:t>30,000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3" w:name="_Toc199326942"/>
      <w:r w:rsidRPr="00AF7AF9">
        <w:t>2.6 Further project related information for bidders</w:t>
      </w:r>
      <w:bookmarkEnd w:id="13"/>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lastRenderedPageBreak/>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2761B668" w:rsidR="00C26E3E" w:rsidRDefault="00C26E3E" w:rsidP="008640BB">
      <w:pPr>
        <w:pStyle w:val="Heading4"/>
      </w:pPr>
      <w:r>
        <w:t>Sub-Contractors</w:t>
      </w:r>
    </w:p>
    <w:p w14:paraId="53ECB42C" w14:textId="05F79F37" w:rsidR="00C26E3E" w:rsidRDefault="00C26E3E" w:rsidP="008640BB">
      <w:pPr>
        <w:keepNext/>
      </w:pPr>
      <w:r>
        <w:t>Contractors may use sub-contractors subject to the following:</w:t>
      </w:r>
    </w:p>
    <w:p w14:paraId="3AC8D3CD" w14:textId="2C32567E"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2DBF43C4"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59DCCEE9"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Pr="004E4C3B" w:rsidRDefault="001768F1" w:rsidP="001768F1">
      <w:pPr>
        <w:pStyle w:val="Heading2"/>
      </w:pPr>
      <w:bookmarkStart w:id="14" w:name="_Toc199326943"/>
      <w:r w:rsidRPr="004E4C3B">
        <w:lastRenderedPageBreak/>
        <w:t>Tender Response and Evaluation Criteria</w:t>
      </w:r>
      <w:bookmarkEnd w:id="14"/>
    </w:p>
    <w:p w14:paraId="6C9F4B20" w14:textId="5CFF035D" w:rsidR="001768F1" w:rsidRDefault="001768F1" w:rsidP="001768F1">
      <w:pPr>
        <w:pStyle w:val="Heading3"/>
      </w:pPr>
      <w:bookmarkStart w:id="15" w:name="_Toc199326944"/>
      <w:r>
        <w:t>3.1 The Tender Response</w:t>
      </w:r>
      <w:bookmarkEnd w:id="15"/>
    </w:p>
    <w:p w14:paraId="33A2C61B" w14:textId="24EDC7D4" w:rsidR="001768F1" w:rsidRDefault="001768F1" w:rsidP="001768F1">
      <w:r>
        <w:t>The proposals for this project should include an outline of how bidders will meet the requirement outlined in section (ii) “Statement of Requirement”. The following information should be included</w:t>
      </w:r>
      <w:r w:rsidR="004E4C3B">
        <w:t>:</w:t>
      </w:r>
    </w:p>
    <w:p w14:paraId="0696CABC" w14:textId="13E563FF" w:rsidR="001768F1" w:rsidRPr="001E7C87" w:rsidRDefault="001768F1" w:rsidP="00414116">
      <w:pPr>
        <w:pStyle w:val="NormalBulletalpha"/>
        <w:numPr>
          <w:ilvl w:val="1"/>
          <w:numId w:val="15"/>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65269C02" w:rsidR="001768F1" w:rsidRDefault="001768F1" w:rsidP="001E7C87">
      <w:pPr>
        <w:pStyle w:val="NormalBullet-"/>
      </w:pPr>
      <w:r>
        <w:t>Some relevant examples of previous work that bidders have carried out (</w:t>
      </w:r>
      <w:proofErr w:type="spellStart"/>
      <w:r>
        <w:t>eg.</w:t>
      </w:r>
      <w:proofErr w:type="spellEnd"/>
      <w:r>
        <w:t xml:space="preserve"> case studies)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lastRenderedPageBreak/>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6" w:name="_Toc199326945"/>
      <w:r>
        <w:t>3.2 Evaluation Criteria</w:t>
      </w:r>
      <w:bookmarkEnd w:id="16"/>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68AD589B" w:rsidR="001F4F0C" w:rsidRPr="00FF2534" w:rsidRDefault="00621979" w:rsidP="003A16E9">
      <w:pPr>
        <w:pStyle w:val="NormalBulletround"/>
        <w:rPr>
          <w:b/>
          <w:bCs/>
          <w:color w:val="FF0000"/>
        </w:rPr>
      </w:pPr>
      <w:bookmarkStart w:id="17" w:name="_Hlk174010684"/>
      <w:r w:rsidRPr="008E5039">
        <w:t>Submission</w:t>
      </w:r>
      <w:r w:rsidR="001F4F0C" w:rsidRPr="008E5039">
        <w:t xml:space="preserve"> </w:t>
      </w:r>
      <w:r w:rsidRPr="008E5039">
        <w:t xml:space="preserve">of </w:t>
      </w:r>
      <w:r w:rsidR="001F4F0C" w:rsidRPr="008E5039">
        <w:t>Cyber Essentials</w:t>
      </w:r>
      <w:r w:rsidR="00250568">
        <w:t xml:space="preserve"> certification (or equivalent)</w:t>
      </w:r>
      <w:r w:rsidR="00250568" w:rsidRPr="00FF2534">
        <w:rPr>
          <w:b/>
          <w:bCs/>
          <w:color w:val="FF0000"/>
        </w:rPr>
        <w:t xml:space="preserve"> </w:t>
      </w:r>
    </w:p>
    <w:bookmarkEnd w:id="17"/>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2A664AE7" w:rsidR="005C29ED" w:rsidRDefault="005C29ED" w:rsidP="00D61976">
      <w:pPr>
        <w:pStyle w:val="Heading4"/>
      </w:pPr>
      <w:r>
        <w:t>Methodology</w:t>
      </w:r>
      <w:r w:rsidR="00D32D16">
        <w:t xml:space="preserve"> (30%)</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414116">
      <w:pPr>
        <w:pStyle w:val="NormalBulletalpha"/>
        <w:numPr>
          <w:ilvl w:val="1"/>
          <w:numId w:val="16"/>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414116">
      <w:pPr>
        <w:pStyle w:val="NormalBulletalpha"/>
        <w:numPr>
          <w:ilvl w:val="1"/>
          <w:numId w:val="16"/>
        </w:numPr>
      </w:pPr>
      <w:r>
        <w:lastRenderedPageBreak/>
        <w:t>Explain how your organisation will work in partnership with ORR’s project manager to ensure that the requirement is met</w:t>
      </w:r>
    </w:p>
    <w:p w14:paraId="5A025B94" w14:textId="4A20F6C2" w:rsidR="005C29ED" w:rsidRDefault="005C29ED" w:rsidP="00414116">
      <w:pPr>
        <w:pStyle w:val="NormalBulletalpha"/>
        <w:numPr>
          <w:ilvl w:val="1"/>
          <w:numId w:val="16"/>
        </w:numPr>
      </w:pPr>
      <w:r>
        <w:t xml:space="preserve">Explain how your organisation will engage with external </w:t>
      </w:r>
      <w:proofErr w:type="gramStart"/>
      <w:r>
        <w:t>stakeholders;</w:t>
      </w:r>
      <w:proofErr w:type="gramEnd"/>
    </w:p>
    <w:p w14:paraId="278014BC" w14:textId="18C8C191" w:rsidR="005C29ED" w:rsidRDefault="005C29ED" w:rsidP="00414116">
      <w:pPr>
        <w:pStyle w:val="NormalBulletalpha"/>
        <w:numPr>
          <w:ilvl w:val="1"/>
          <w:numId w:val="16"/>
        </w:numPr>
      </w:pPr>
      <w:r>
        <w:t>Outline how the proposed approach utilises innovative consultation methodologies to develop a diverse and comprehensive evidence-base</w:t>
      </w:r>
    </w:p>
    <w:p w14:paraId="09DB644F" w14:textId="742AEA3C" w:rsidR="005C29ED" w:rsidRDefault="005C29ED" w:rsidP="00350594">
      <w:pPr>
        <w:pStyle w:val="Heading4"/>
      </w:pPr>
      <w:r>
        <w:t>Delivery</w:t>
      </w:r>
      <w:r w:rsidR="00D32D16">
        <w:t xml:space="preserve"> (30%)</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414116">
      <w:pPr>
        <w:pStyle w:val="NormalBulletalpha"/>
        <w:numPr>
          <w:ilvl w:val="1"/>
          <w:numId w:val="17"/>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29513F7D" w:rsidR="005C29ED" w:rsidRPr="00374BAE" w:rsidRDefault="005C29ED" w:rsidP="00350594">
      <w:pPr>
        <w:pStyle w:val="Heading4"/>
        <w:rPr>
          <w:color w:val="B1173B"/>
        </w:rPr>
      </w:pPr>
      <w:r>
        <w:t>Experience</w:t>
      </w:r>
      <w:r w:rsidR="00D32D16">
        <w:t xml:space="preserve"> (10%)</w:t>
      </w:r>
      <w:r>
        <w:t xml:space="preserve"> </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414116">
      <w:pPr>
        <w:pStyle w:val="NormalBulletalpha"/>
        <w:numPr>
          <w:ilvl w:val="1"/>
          <w:numId w:val="18"/>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414116">
      <w:pPr>
        <w:pStyle w:val="NormalBulletalpha"/>
        <w:numPr>
          <w:ilvl w:val="1"/>
          <w:numId w:val="18"/>
        </w:numPr>
      </w:pPr>
      <w:r>
        <w:t>Highlight the organisation’s relevant experience for this project, submitting examples of similar projects.</w:t>
      </w:r>
    </w:p>
    <w:p w14:paraId="370476F8" w14:textId="3B7A047D" w:rsidR="005C29ED" w:rsidRDefault="005C29ED" w:rsidP="00350594">
      <w:pPr>
        <w:pStyle w:val="Heading4"/>
      </w:pPr>
      <w:r>
        <w:t>Cost / Value for money</w:t>
      </w:r>
      <w:r w:rsidR="00D32D16">
        <w:t xml:space="preserve"> (30%)</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w:t>
            </w:r>
            <w:r w:rsidRPr="00757472">
              <w:rPr>
                <w:rFonts w:eastAsia="Calibri" w:cs="Arial"/>
                <w:sz w:val="22"/>
                <w:shd w:val="clear" w:color="auto" w:fill="FFFFFF"/>
                <w:lang w:val="en-US"/>
              </w:rPr>
              <w:lastRenderedPageBreak/>
              <w:t xml:space="preserve">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w:t>
            </w:r>
            <w:proofErr w:type="gramStart"/>
            <w:r w:rsidRPr="00757472">
              <w:rPr>
                <w:rFonts w:eastAsia="Calibri" w:cs="Arial"/>
                <w:sz w:val="22"/>
                <w:lang w:val="en-US" w:eastAsia="en-GB"/>
              </w:rPr>
              <w:t>few</w:t>
            </w:r>
            <w:proofErr w:type="gramEnd"/>
            <w:r w:rsidRPr="00757472">
              <w:rPr>
                <w:rFonts w:eastAsia="Calibri" w:cs="Arial"/>
                <w:sz w:val="22"/>
                <w:lang w:val="en-US" w:eastAsia="en-GB"/>
              </w:rPr>
              <w:t xml:space="preserve">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8" w:name="_Toc199326946"/>
      <w:r w:rsidRPr="002D3643">
        <w:lastRenderedPageBreak/>
        <w:t xml:space="preserve">Procurement </w:t>
      </w:r>
      <w:r>
        <w:t>P</w:t>
      </w:r>
      <w:r w:rsidRPr="002D3643">
        <w:t>rocedures</w:t>
      </w:r>
      <w:bookmarkEnd w:id="18"/>
      <w:r w:rsidRPr="002D3643">
        <w:t xml:space="preserve"> </w:t>
      </w:r>
    </w:p>
    <w:p w14:paraId="038D890E" w14:textId="77777777" w:rsidR="00400432" w:rsidRDefault="00400432" w:rsidP="00400432">
      <w:pPr>
        <w:pStyle w:val="Heading3"/>
      </w:pPr>
      <w:bookmarkStart w:id="19" w:name="_Toc199326947"/>
      <w:r>
        <w:t>Tendering Timetable</w:t>
      </w:r>
      <w:bookmarkEnd w:id="19"/>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118D2B5B">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118D2B5B">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28D4094E" w:rsidR="00400432" w:rsidRPr="00400432" w:rsidRDefault="00903B57" w:rsidP="00400432">
            <w:pPr>
              <w:pStyle w:val="TblText"/>
            </w:pPr>
            <w:r>
              <w:t>30</w:t>
            </w:r>
            <w:r w:rsidR="001D7877">
              <w:t xml:space="preserve"> </w:t>
            </w:r>
            <w:r w:rsidR="00250568">
              <w:t xml:space="preserve">June </w:t>
            </w:r>
            <w:r w:rsidR="001D7877">
              <w:t>2025</w:t>
            </w:r>
          </w:p>
        </w:tc>
      </w:tr>
      <w:tr w:rsidR="00400432" w:rsidRPr="00400432" w14:paraId="42283B80" w14:textId="77777777" w:rsidTr="118D2B5B">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5B92BFC4" w:rsidR="00400432" w:rsidRPr="00400432" w:rsidRDefault="00250568" w:rsidP="00400432">
            <w:pPr>
              <w:pStyle w:val="TblText"/>
            </w:pPr>
            <w:r>
              <w:t xml:space="preserve">10 July </w:t>
            </w:r>
            <w:r w:rsidR="001D7877" w:rsidRPr="001D7877">
              <w:t>2025, 1</w:t>
            </w:r>
            <w:r w:rsidR="001D7877">
              <w:t>3</w:t>
            </w:r>
            <w:r w:rsidR="001D7877" w:rsidRPr="001D7877">
              <w:t>:00 hrs</w:t>
            </w:r>
          </w:p>
        </w:tc>
      </w:tr>
      <w:tr w:rsidR="00400432" w:rsidRPr="00400432" w14:paraId="66301268" w14:textId="77777777" w:rsidTr="118D2B5B">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1026AA55" w:rsidR="00400432" w:rsidRPr="00400432" w:rsidRDefault="00250568" w:rsidP="00400432">
            <w:pPr>
              <w:pStyle w:val="TblText"/>
            </w:pPr>
            <w:r>
              <w:t xml:space="preserve">24 July </w:t>
            </w:r>
            <w:r w:rsidR="001D7877" w:rsidRPr="001D7877">
              <w:t>2025, 1</w:t>
            </w:r>
            <w:r w:rsidR="001D7877">
              <w:t>3</w:t>
            </w:r>
            <w:r w:rsidR="001D7877" w:rsidRPr="001D7877">
              <w:t>:00 hrs</w:t>
            </w:r>
          </w:p>
        </w:tc>
      </w:tr>
      <w:tr w:rsidR="00400432" w:rsidRPr="00400432" w14:paraId="2D3D0936" w14:textId="77777777" w:rsidTr="118D2B5B">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374C5F0E" w:rsidR="00400432" w:rsidRPr="00400432" w:rsidRDefault="00250568" w:rsidP="00400432">
            <w:pPr>
              <w:pStyle w:val="TblText"/>
            </w:pPr>
            <w:r>
              <w:t xml:space="preserve">15 August </w:t>
            </w:r>
            <w:r w:rsidR="001D7877" w:rsidRPr="001D7877">
              <w:t>2025</w:t>
            </w:r>
          </w:p>
        </w:tc>
      </w:tr>
      <w:tr w:rsidR="00400432" w:rsidRPr="00400432" w14:paraId="3E83975E" w14:textId="77777777" w:rsidTr="118D2B5B">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4FCB04E1" w:rsidR="00400432" w:rsidRPr="00400432" w:rsidRDefault="319DFBED" w:rsidP="00400432">
            <w:pPr>
              <w:pStyle w:val="TblText"/>
            </w:pPr>
            <w:r>
              <w:t xml:space="preserve">w/c </w:t>
            </w:r>
            <w:r w:rsidR="2F62B789">
              <w:t>25</w:t>
            </w:r>
            <w:r>
              <w:t xml:space="preserve"> </w:t>
            </w:r>
            <w:r w:rsidR="5E04BF68">
              <w:t>August</w:t>
            </w:r>
            <w:r w:rsidR="00250568">
              <w:t xml:space="preserve"> </w:t>
            </w:r>
            <w:r>
              <w:t>2025</w:t>
            </w:r>
          </w:p>
        </w:tc>
      </w:tr>
    </w:tbl>
    <w:p w14:paraId="3DFADB3D" w14:textId="77777777" w:rsidR="00433557" w:rsidRDefault="00433557" w:rsidP="000A0438">
      <w:pPr>
        <w:pStyle w:val="Heading3"/>
      </w:pPr>
      <w:bookmarkStart w:id="20" w:name="_Toc199326948"/>
      <w:r>
        <w:t>Tendering Instructions and Guidance</w:t>
      </w:r>
      <w:bookmarkEnd w:id="20"/>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1" w:name="_Hlk187308838"/>
      <w:r>
        <w:t>Submission Process</w:t>
      </w:r>
    </w:p>
    <w:bookmarkEnd w:id="21"/>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3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lastRenderedPageBreak/>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31"/>
          <w:headerReference w:type="default" r:id="rId32"/>
          <w:headerReference w:type="first" r:id="rId33"/>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7519FEBF">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35"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36">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7" w:history="1">
        <w:r w:rsidR="008F0B87" w:rsidRPr="00C9621C">
          <w:rPr>
            <w:rStyle w:val="Hyperlink"/>
          </w:rPr>
          <w:t>procurementteam@orr.gov.uk</w:t>
        </w:r>
      </w:hyperlink>
      <w:r w:rsidR="008F0B87">
        <w:t xml:space="preserve"> </w:t>
      </w:r>
    </w:p>
    <w:sectPr w:rsidR="00D25F7E" w:rsidRPr="00D25F7E" w:rsidSect="00D25F7E">
      <w:headerReference w:type="even" r:id="rId38"/>
      <w:headerReference w:type="default" r:id="rId39"/>
      <w:footerReference w:type="even" r:id="rId40"/>
      <w:footerReference w:type="default" r:id="rId41"/>
      <w:headerReference w:type="first" r:id="rId42"/>
      <w:footerReference w:type="first" r:id="rId43"/>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3711" w14:textId="77777777" w:rsidR="00142694" w:rsidRDefault="00142694" w:rsidP="00555585">
      <w:pPr>
        <w:spacing w:after="0" w:line="240" w:lineRule="auto"/>
      </w:pPr>
      <w:r>
        <w:separator/>
      </w:r>
    </w:p>
  </w:endnote>
  <w:endnote w:type="continuationSeparator" w:id="0">
    <w:p w14:paraId="6D031A19" w14:textId="77777777" w:rsidR="00142694" w:rsidRDefault="00142694" w:rsidP="00555585">
      <w:pPr>
        <w:spacing w:after="0" w:line="240" w:lineRule="auto"/>
      </w:pPr>
      <w:r>
        <w:continuationSeparator/>
      </w:r>
    </w:p>
  </w:endnote>
  <w:endnote w:type="continuationNotice" w:id="1">
    <w:p w14:paraId="33B2B4A5"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9254" w14:textId="77777777" w:rsidR="005177BA" w:rsidRDefault="00517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0" w:name="_Hlk65150515"/>
    <w:bookmarkStart w:id="1"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FD04" w14:textId="77777777" w:rsidR="00142694" w:rsidRDefault="00142694" w:rsidP="00555585">
      <w:pPr>
        <w:spacing w:after="0" w:line="240" w:lineRule="auto"/>
      </w:pPr>
      <w:r>
        <w:separator/>
      </w:r>
    </w:p>
  </w:footnote>
  <w:footnote w:type="continuationSeparator" w:id="0">
    <w:p w14:paraId="1319844A" w14:textId="77777777" w:rsidR="00142694" w:rsidRDefault="00142694" w:rsidP="00555585">
      <w:pPr>
        <w:spacing w:after="0" w:line="240" w:lineRule="auto"/>
      </w:pPr>
      <w:r>
        <w:continuationSeparator/>
      </w:r>
    </w:p>
  </w:footnote>
  <w:footnote w:type="continuationNotice" w:id="1">
    <w:p w14:paraId="4D4E748C"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2D8F" w14:textId="7744F8F9" w:rsidR="005177BA" w:rsidRDefault="005177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3B4EEAA6" w:rsidR="00FC6860" w:rsidRDefault="00FC68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5D8CB8C5" w:rsidR="00852E5A" w:rsidRPr="00FC6860" w:rsidRDefault="00852E5A" w:rsidP="00FC68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152804DA"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2C106CEF" w:rsidR="00FC6860" w:rsidRDefault="00FC6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388C3E76"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CC01254" w:rsidR="00FC6860" w:rsidRDefault="00FC68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00DB" w14:textId="6F8C2A75"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0D2FC5B3"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600EBB13" w:rsidR="00FC6860" w:rsidRDefault="00FC68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302BA36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FD3A" w14:textId="6F45B3C7" w:rsidR="005177BA" w:rsidRDefault="00517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2" w15:restartNumberingAfterBreak="0">
    <w:nsid w:val="118439F5"/>
    <w:multiLevelType w:val="multilevel"/>
    <w:tmpl w:val="0B3EB1C4"/>
    <w:numStyleLink w:val="ORRBoxed"/>
  </w:abstractNum>
  <w:abstractNum w:abstractNumId="3" w15:restartNumberingAfterBreak="0">
    <w:nsid w:val="138756B1"/>
    <w:multiLevelType w:val="multilevel"/>
    <w:tmpl w:val="D79C245A"/>
    <w:numStyleLink w:val="ORRNormalList"/>
  </w:abstractNum>
  <w:abstractNum w:abstractNumId="4"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1336443"/>
    <w:multiLevelType w:val="multilevel"/>
    <w:tmpl w:val="FEF47FD2"/>
    <w:numStyleLink w:val="ORRSummary"/>
  </w:abstractNum>
  <w:abstractNum w:abstractNumId="7" w15:restartNumberingAfterBreak="0">
    <w:nsid w:val="2508640F"/>
    <w:multiLevelType w:val="hybridMultilevel"/>
    <w:tmpl w:val="9A94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114C0"/>
    <w:multiLevelType w:val="multilevel"/>
    <w:tmpl w:val="79BE0A5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8F7AE8"/>
    <w:multiLevelType w:val="multilevel"/>
    <w:tmpl w:val="F226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8165F0"/>
    <w:multiLevelType w:val="multilevel"/>
    <w:tmpl w:val="C568D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4211A3"/>
    <w:multiLevelType w:val="hybridMultilevel"/>
    <w:tmpl w:val="849E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4"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5"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6" w15:restartNumberingAfterBreak="0">
    <w:nsid w:val="68BD5682"/>
    <w:multiLevelType w:val="multilevel"/>
    <w:tmpl w:val="EAD453D0"/>
    <w:numStyleLink w:val="NumbListHighlight"/>
  </w:abstractNum>
  <w:abstractNum w:abstractNumId="17"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726E4574"/>
    <w:multiLevelType w:val="multilevel"/>
    <w:tmpl w:val="67D4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1B3A82"/>
    <w:multiLevelType w:val="multilevel"/>
    <w:tmpl w:val="AE4AF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DA5CB4"/>
    <w:multiLevelType w:val="multilevel"/>
    <w:tmpl w:val="6B204466"/>
    <w:numStyleLink w:val="ORRAnnex"/>
  </w:abstractNum>
  <w:num w:numId="1" w16cid:durableId="1643778289">
    <w:abstractNumId w:val="14"/>
  </w:num>
  <w:num w:numId="2" w16cid:durableId="170343250">
    <w:abstractNumId w:val="17"/>
  </w:num>
  <w:num w:numId="3" w16cid:durableId="615990203">
    <w:abstractNumId w:val="4"/>
  </w:num>
  <w:num w:numId="4" w16cid:durableId="1539008159">
    <w:abstractNumId w:val="13"/>
  </w:num>
  <w:num w:numId="5" w16cid:durableId="1334801291">
    <w:abstractNumId w:val="5"/>
  </w:num>
  <w:num w:numId="6" w16cid:durableId="1708795862">
    <w:abstractNumId w:val="6"/>
  </w:num>
  <w:num w:numId="7" w16cid:durableId="1432780497">
    <w:abstractNumId w:val="2"/>
  </w:num>
  <w:num w:numId="8" w16cid:durableId="35012236">
    <w:abstractNumId w:val="1"/>
  </w:num>
  <w:num w:numId="9" w16cid:durableId="711077664">
    <w:abstractNumId w:val="0"/>
  </w:num>
  <w:num w:numId="10" w16cid:durableId="435447028">
    <w:abstractNumId w:val="15"/>
  </w:num>
  <w:num w:numId="11" w16cid:durableId="891042484">
    <w:abstractNumId w:val="16"/>
  </w:num>
  <w:num w:numId="12" w16cid:durableId="50661355">
    <w:abstractNumId w:val="3"/>
  </w:num>
  <w:num w:numId="13" w16cid:durableId="558327301">
    <w:abstractNumId w:val="20"/>
  </w:num>
  <w:num w:numId="14" w16cid:durableId="42141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526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3521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8127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435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68570">
    <w:abstractNumId w:val="12"/>
  </w:num>
  <w:num w:numId="20" w16cid:durableId="1731421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5842873">
    <w:abstractNumId w:val="18"/>
  </w:num>
  <w:num w:numId="22" w16cid:durableId="295183985">
    <w:abstractNumId w:val="19"/>
  </w:num>
  <w:num w:numId="23" w16cid:durableId="603541787">
    <w:abstractNumId w:val="11"/>
  </w:num>
  <w:num w:numId="24" w16cid:durableId="568417406">
    <w:abstractNumId w:val="7"/>
  </w:num>
  <w:num w:numId="25" w16cid:durableId="1396125921">
    <w:abstractNumId w:val="10"/>
  </w:num>
  <w:num w:numId="26" w16cid:durableId="1628929399">
    <w:abstractNumId w:val="9"/>
  </w:num>
  <w:num w:numId="27" w16cid:durableId="905459076">
    <w:abstractNumId w:val="3"/>
  </w:num>
  <w:num w:numId="28" w16cid:durableId="2042046457">
    <w:abstractNumId w:val="3"/>
  </w:num>
  <w:num w:numId="29" w16cid:durableId="2030134276">
    <w:abstractNumId w:val="3"/>
  </w:num>
  <w:num w:numId="30" w16cid:durableId="772286647">
    <w:abstractNumId w:val="8"/>
  </w:num>
  <w:num w:numId="31" w16cid:durableId="22048265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2210B"/>
    <w:rsid w:val="00025BD9"/>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B6CFD"/>
    <w:rsid w:val="000C2704"/>
    <w:rsid w:val="000C7B66"/>
    <w:rsid w:val="000D2970"/>
    <w:rsid w:val="000E135E"/>
    <w:rsid w:val="000E1CFC"/>
    <w:rsid w:val="000E5AB1"/>
    <w:rsid w:val="000E5E49"/>
    <w:rsid w:val="000F4554"/>
    <w:rsid w:val="000F5529"/>
    <w:rsid w:val="000F70BB"/>
    <w:rsid w:val="000F7BB6"/>
    <w:rsid w:val="001012B6"/>
    <w:rsid w:val="00102F62"/>
    <w:rsid w:val="00120892"/>
    <w:rsid w:val="0012193D"/>
    <w:rsid w:val="0012424B"/>
    <w:rsid w:val="00124D1D"/>
    <w:rsid w:val="00137015"/>
    <w:rsid w:val="00141746"/>
    <w:rsid w:val="00142694"/>
    <w:rsid w:val="001526A6"/>
    <w:rsid w:val="0015405F"/>
    <w:rsid w:val="00155088"/>
    <w:rsid w:val="0015625B"/>
    <w:rsid w:val="00156D5F"/>
    <w:rsid w:val="00157E4C"/>
    <w:rsid w:val="00160B26"/>
    <w:rsid w:val="00162B03"/>
    <w:rsid w:val="001659DD"/>
    <w:rsid w:val="00167308"/>
    <w:rsid w:val="00171E62"/>
    <w:rsid w:val="00175A76"/>
    <w:rsid w:val="001768F1"/>
    <w:rsid w:val="00180E47"/>
    <w:rsid w:val="001858EB"/>
    <w:rsid w:val="0019403B"/>
    <w:rsid w:val="00194E09"/>
    <w:rsid w:val="00195C79"/>
    <w:rsid w:val="001A00F0"/>
    <w:rsid w:val="001A1058"/>
    <w:rsid w:val="001A3E58"/>
    <w:rsid w:val="001A45E7"/>
    <w:rsid w:val="001B3FD8"/>
    <w:rsid w:val="001B54A7"/>
    <w:rsid w:val="001B551F"/>
    <w:rsid w:val="001B5A48"/>
    <w:rsid w:val="001B62CD"/>
    <w:rsid w:val="001B71F8"/>
    <w:rsid w:val="001C149F"/>
    <w:rsid w:val="001C60A4"/>
    <w:rsid w:val="001D1536"/>
    <w:rsid w:val="001D590D"/>
    <w:rsid w:val="001D5DF3"/>
    <w:rsid w:val="001D7877"/>
    <w:rsid w:val="001E23F4"/>
    <w:rsid w:val="001E7C87"/>
    <w:rsid w:val="001F1140"/>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3770B"/>
    <w:rsid w:val="00240410"/>
    <w:rsid w:val="002459ED"/>
    <w:rsid w:val="00250568"/>
    <w:rsid w:val="0025242F"/>
    <w:rsid w:val="00257BE5"/>
    <w:rsid w:val="00261C58"/>
    <w:rsid w:val="00272200"/>
    <w:rsid w:val="00276C64"/>
    <w:rsid w:val="00282136"/>
    <w:rsid w:val="0028433A"/>
    <w:rsid w:val="00286CF2"/>
    <w:rsid w:val="0028735A"/>
    <w:rsid w:val="0029283C"/>
    <w:rsid w:val="00293D38"/>
    <w:rsid w:val="00296626"/>
    <w:rsid w:val="00297104"/>
    <w:rsid w:val="002B7995"/>
    <w:rsid w:val="002C5A50"/>
    <w:rsid w:val="002C6E70"/>
    <w:rsid w:val="002D0E5B"/>
    <w:rsid w:val="002D2997"/>
    <w:rsid w:val="002D3609"/>
    <w:rsid w:val="002D3643"/>
    <w:rsid w:val="002D469D"/>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5FBB"/>
    <w:rsid w:val="0035753E"/>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6815"/>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116"/>
    <w:rsid w:val="00414896"/>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6327"/>
    <w:rsid w:val="0048300B"/>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4C3B"/>
    <w:rsid w:val="004E57B7"/>
    <w:rsid w:val="004E5ACC"/>
    <w:rsid w:val="004E60C0"/>
    <w:rsid w:val="004F2AE4"/>
    <w:rsid w:val="004F6111"/>
    <w:rsid w:val="005066A9"/>
    <w:rsid w:val="005165AD"/>
    <w:rsid w:val="005177BA"/>
    <w:rsid w:val="00526956"/>
    <w:rsid w:val="00532B91"/>
    <w:rsid w:val="00533FBF"/>
    <w:rsid w:val="00534962"/>
    <w:rsid w:val="00536EB2"/>
    <w:rsid w:val="00544099"/>
    <w:rsid w:val="00546AF7"/>
    <w:rsid w:val="00555585"/>
    <w:rsid w:val="005612F3"/>
    <w:rsid w:val="005635FA"/>
    <w:rsid w:val="00574B16"/>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42F0"/>
    <w:rsid w:val="006316B1"/>
    <w:rsid w:val="00632A37"/>
    <w:rsid w:val="00636173"/>
    <w:rsid w:val="00637198"/>
    <w:rsid w:val="00640445"/>
    <w:rsid w:val="00645EB9"/>
    <w:rsid w:val="006465D2"/>
    <w:rsid w:val="0065616A"/>
    <w:rsid w:val="006562DE"/>
    <w:rsid w:val="0066567C"/>
    <w:rsid w:val="006701F0"/>
    <w:rsid w:val="00673F42"/>
    <w:rsid w:val="00680F51"/>
    <w:rsid w:val="00683A4B"/>
    <w:rsid w:val="00683F80"/>
    <w:rsid w:val="00691342"/>
    <w:rsid w:val="00696275"/>
    <w:rsid w:val="006A063F"/>
    <w:rsid w:val="006A6751"/>
    <w:rsid w:val="006B10E9"/>
    <w:rsid w:val="006B198C"/>
    <w:rsid w:val="006B27E0"/>
    <w:rsid w:val="006C004C"/>
    <w:rsid w:val="006C02BD"/>
    <w:rsid w:val="006C15DB"/>
    <w:rsid w:val="006C39C5"/>
    <w:rsid w:val="006C74D3"/>
    <w:rsid w:val="006C7602"/>
    <w:rsid w:val="006D1DD8"/>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391A"/>
    <w:rsid w:val="00734AF8"/>
    <w:rsid w:val="007417AA"/>
    <w:rsid w:val="00745B89"/>
    <w:rsid w:val="00745F36"/>
    <w:rsid w:val="00752063"/>
    <w:rsid w:val="00755F22"/>
    <w:rsid w:val="0075633E"/>
    <w:rsid w:val="0075674E"/>
    <w:rsid w:val="00756E0D"/>
    <w:rsid w:val="00757472"/>
    <w:rsid w:val="00760514"/>
    <w:rsid w:val="00762C46"/>
    <w:rsid w:val="00765B68"/>
    <w:rsid w:val="007679D8"/>
    <w:rsid w:val="00773068"/>
    <w:rsid w:val="007830BE"/>
    <w:rsid w:val="00785937"/>
    <w:rsid w:val="00790401"/>
    <w:rsid w:val="00790AD2"/>
    <w:rsid w:val="0079264A"/>
    <w:rsid w:val="00796755"/>
    <w:rsid w:val="00796E71"/>
    <w:rsid w:val="007979A7"/>
    <w:rsid w:val="00797F75"/>
    <w:rsid w:val="007A1F12"/>
    <w:rsid w:val="007B1555"/>
    <w:rsid w:val="007C43C1"/>
    <w:rsid w:val="007D5014"/>
    <w:rsid w:val="007E246D"/>
    <w:rsid w:val="007E2744"/>
    <w:rsid w:val="007E2967"/>
    <w:rsid w:val="007E4EC4"/>
    <w:rsid w:val="007E6E4B"/>
    <w:rsid w:val="007F3F24"/>
    <w:rsid w:val="007F4B75"/>
    <w:rsid w:val="007F6498"/>
    <w:rsid w:val="007F6B18"/>
    <w:rsid w:val="00804350"/>
    <w:rsid w:val="00806042"/>
    <w:rsid w:val="008122F2"/>
    <w:rsid w:val="008145A2"/>
    <w:rsid w:val="0081555F"/>
    <w:rsid w:val="0081639D"/>
    <w:rsid w:val="008174A6"/>
    <w:rsid w:val="00826F5D"/>
    <w:rsid w:val="008277B1"/>
    <w:rsid w:val="00831EE0"/>
    <w:rsid w:val="008342A5"/>
    <w:rsid w:val="0083798F"/>
    <w:rsid w:val="00841B8C"/>
    <w:rsid w:val="008422F2"/>
    <w:rsid w:val="00845EDF"/>
    <w:rsid w:val="008475B8"/>
    <w:rsid w:val="00847BC7"/>
    <w:rsid w:val="00851E44"/>
    <w:rsid w:val="00852E5A"/>
    <w:rsid w:val="00855FA9"/>
    <w:rsid w:val="00856DAD"/>
    <w:rsid w:val="008624E2"/>
    <w:rsid w:val="008640BB"/>
    <w:rsid w:val="008667A9"/>
    <w:rsid w:val="00873479"/>
    <w:rsid w:val="0087426B"/>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5039"/>
    <w:rsid w:val="008E61DF"/>
    <w:rsid w:val="008F04E0"/>
    <w:rsid w:val="008F0B87"/>
    <w:rsid w:val="008F18B3"/>
    <w:rsid w:val="008F1A0A"/>
    <w:rsid w:val="008F676D"/>
    <w:rsid w:val="00900502"/>
    <w:rsid w:val="00901C9A"/>
    <w:rsid w:val="0090243F"/>
    <w:rsid w:val="00903B57"/>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575CF"/>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136"/>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2DE5"/>
    <w:rsid w:val="00A3724D"/>
    <w:rsid w:val="00A37A9B"/>
    <w:rsid w:val="00A4008F"/>
    <w:rsid w:val="00A404D5"/>
    <w:rsid w:val="00A42FBD"/>
    <w:rsid w:val="00A457DC"/>
    <w:rsid w:val="00A5113C"/>
    <w:rsid w:val="00A525B9"/>
    <w:rsid w:val="00A56662"/>
    <w:rsid w:val="00A575FC"/>
    <w:rsid w:val="00A66AC8"/>
    <w:rsid w:val="00A67863"/>
    <w:rsid w:val="00A70557"/>
    <w:rsid w:val="00A739EA"/>
    <w:rsid w:val="00A73FDA"/>
    <w:rsid w:val="00A77317"/>
    <w:rsid w:val="00A90826"/>
    <w:rsid w:val="00A93476"/>
    <w:rsid w:val="00A94C61"/>
    <w:rsid w:val="00A95FB0"/>
    <w:rsid w:val="00AB3000"/>
    <w:rsid w:val="00AB457B"/>
    <w:rsid w:val="00AB6599"/>
    <w:rsid w:val="00AB7230"/>
    <w:rsid w:val="00AC3D1E"/>
    <w:rsid w:val="00AC3F17"/>
    <w:rsid w:val="00AC580D"/>
    <w:rsid w:val="00AD488B"/>
    <w:rsid w:val="00AD59C0"/>
    <w:rsid w:val="00AE1221"/>
    <w:rsid w:val="00AF205E"/>
    <w:rsid w:val="00AF41B0"/>
    <w:rsid w:val="00AF59D8"/>
    <w:rsid w:val="00AF5A70"/>
    <w:rsid w:val="00AF7AF9"/>
    <w:rsid w:val="00B017A5"/>
    <w:rsid w:val="00B04D1F"/>
    <w:rsid w:val="00B04FB8"/>
    <w:rsid w:val="00B05F0F"/>
    <w:rsid w:val="00B0622B"/>
    <w:rsid w:val="00B111AB"/>
    <w:rsid w:val="00B16020"/>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46A3"/>
    <w:rsid w:val="00BA010D"/>
    <w:rsid w:val="00BA3E54"/>
    <w:rsid w:val="00BA75AF"/>
    <w:rsid w:val="00BB3195"/>
    <w:rsid w:val="00BD1EDB"/>
    <w:rsid w:val="00BE1FE1"/>
    <w:rsid w:val="00BE2981"/>
    <w:rsid w:val="00BF056F"/>
    <w:rsid w:val="00BF2BC5"/>
    <w:rsid w:val="00BF321E"/>
    <w:rsid w:val="00BF3BAC"/>
    <w:rsid w:val="00BF50D6"/>
    <w:rsid w:val="00C00032"/>
    <w:rsid w:val="00C0435C"/>
    <w:rsid w:val="00C129B9"/>
    <w:rsid w:val="00C12DE6"/>
    <w:rsid w:val="00C15B7B"/>
    <w:rsid w:val="00C23E57"/>
    <w:rsid w:val="00C260C9"/>
    <w:rsid w:val="00C26E3E"/>
    <w:rsid w:val="00C32699"/>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1073"/>
    <w:rsid w:val="00C8418E"/>
    <w:rsid w:val="00C84CC1"/>
    <w:rsid w:val="00C91699"/>
    <w:rsid w:val="00C97CC2"/>
    <w:rsid w:val="00C97F2B"/>
    <w:rsid w:val="00CA080B"/>
    <w:rsid w:val="00CA25B2"/>
    <w:rsid w:val="00CA2A88"/>
    <w:rsid w:val="00CB359C"/>
    <w:rsid w:val="00CC0085"/>
    <w:rsid w:val="00CC20E7"/>
    <w:rsid w:val="00CC21C9"/>
    <w:rsid w:val="00CC51FF"/>
    <w:rsid w:val="00CD62FF"/>
    <w:rsid w:val="00CD784B"/>
    <w:rsid w:val="00CE2434"/>
    <w:rsid w:val="00CE4C99"/>
    <w:rsid w:val="00CE5EE2"/>
    <w:rsid w:val="00CE7358"/>
    <w:rsid w:val="00D00048"/>
    <w:rsid w:val="00D0044E"/>
    <w:rsid w:val="00D0706A"/>
    <w:rsid w:val="00D07E76"/>
    <w:rsid w:val="00D10D3A"/>
    <w:rsid w:val="00D2010B"/>
    <w:rsid w:val="00D20E23"/>
    <w:rsid w:val="00D21C2C"/>
    <w:rsid w:val="00D2517B"/>
    <w:rsid w:val="00D25F7E"/>
    <w:rsid w:val="00D27573"/>
    <w:rsid w:val="00D3030F"/>
    <w:rsid w:val="00D3273A"/>
    <w:rsid w:val="00D32D16"/>
    <w:rsid w:val="00D401C8"/>
    <w:rsid w:val="00D40E5E"/>
    <w:rsid w:val="00D416AD"/>
    <w:rsid w:val="00D42F12"/>
    <w:rsid w:val="00D435F4"/>
    <w:rsid w:val="00D477C4"/>
    <w:rsid w:val="00D55AD3"/>
    <w:rsid w:val="00D55BB5"/>
    <w:rsid w:val="00D6141A"/>
    <w:rsid w:val="00D6160E"/>
    <w:rsid w:val="00D61976"/>
    <w:rsid w:val="00D643F1"/>
    <w:rsid w:val="00D7043B"/>
    <w:rsid w:val="00D7062B"/>
    <w:rsid w:val="00D70ECD"/>
    <w:rsid w:val="00D72E79"/>
    <w:rsid w:val="00D735B7"/>
    <w:rsid w:val="00D776B6"/>
    <w:rsid w:val="00D8563F"/>
    <w:rsid w:val="00D92143"/>
    <w:rsid w:val="00D93B65"/>
    <w:rsid w:val="00D94CF5"/>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7C76"/>
    <w:rsid w:val="00E10006"/>
    <w:rsid w:val="00E104D1"/>
    <w:rsid w:val="00E11F8B"/>
    <w:rsid w:val="00E134F4"/>
    <w:rsid w:val="00E1699D"/>
    <w:rsid w:val="00E25F9C"/>
    <w:rsid w:val="00E27807"/>
    <w:rsid w:val="00E31153"/>
    <w:rsid w:val="00E360E5"/>
    <w:rsid w:val="00E3647D"/>
    <w:rsid w:val="00E450CC"/>
    <w:rsid w:val="00E46FDA"/>
    <w:rsid w:val="00E507FC"/>
    <w:rsid w:val="00E54EEF"/>
    <w:rsid w:val="00E5669C"/>
    <w:rsid w:val="00E61A8D"/>
    <w:rsid w:val="00E63058"/>
    <w:rsid w:val="00E638CC"/>
    <w:rsid w:val="00E63CEB"/>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E6382"/>
    <w:rsid w:val="00FF09BF"/>
    <w:rsid w:val="00FF2534"/>
    <w:rsid w:val="05C4E335"/>
    <w:rsid w:val="0B3F5CD7"/>
    <w:rsid w:val="0D42C668"/>
    <w:rsid w:val="0E673090"/>
    <w:rsid w:val="10548F0B"/>
    <w:rsid w:val="118D2B5B"/>
    <w:rsid w:val="1694ACAD"/>
    <w:rsid w:val="1992C158"/>
    <w:rsid w:val="19C2306D"/>
    <w:rsid w:val="1CC04985"/>
    <w:rsid w:val="1CD0A1E8"/>
    <w:rsid w:val="2276548F"/>
    <w:rsid w:val="22A89246"/>
    <w:rsid w:val="2A710B16"/>
    <w:rsid w:val="2D5F9543"/>
    <w:rsid w:val="2F62B789"/>
    <w:rsid w:val="2F6A2320"/>
    <w:rsid w:val="319DFBED"/>
    <w:rsid w:val="33611A11"/>
    <w:rsid w:val="35CCEA0A"/>
    <w:rsid w:val="36224BEA"/>
    <w:rsid w:val="36D3BFE8"/>
    <w:rsid w:val="3814867E"/>
    <w:rsid w:val="393A62C0"/>
    <w:rsid w:val="3AFD77F4"/>
    <w:rsid w:val="3B2EAC1D"/>
    <w:rsid w:val="3BDF0851"/>
    <w:rsid w:val="3E452429"/>
    <w:rsid w:val="3FAE63F7"/>
    <w:rsid w:val="45A54D76"/>
    <w:rsid w:val="46AC080F"/>
    <w:rsid w:val="49F518E0"/>
    <w:rsid w:val="4AFB752D"/>
    <w:rsid w:val="4CC7374A"/>
    <w:rsid w:val="4E03BA8E"/>
    <w:rsid w:val="567EF6F8"/>
    <w:rsid w:val="585483FF"/>
    <w:rsid w:val="58DD224C"/>
    <w:rsid w:val="5E04BF68"/>
    <w:rsid w:val="6F209C80"/>
    <w:rsid w:val="748E2E55"/>
    <w:rsid w:val="74B3C0C4"/>
    <w:rsid w:val="77A3F6D2"/>
    <w:rsid w:val="79340FDD"/>
    <w:rsid w:val="7C5E8705"/>
    <w:rsid w:val="7E67BE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48D15AF2-1270-45CB-864A-CB517520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8"/>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6"/>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8"/>
      </w:numPr>
    </w:pPr>
  </w:style>
  <w:style w:type="paragraph" w:customStyle="1" w:styleId="Bulletround">
    <w:name w:val="Bullet (round)"/>
    <w:aliases w:val="Bullet (square)"/>
    <w:basedOn w:val="Normal"/>
    <w:uiPriority w:val="10"/>
    <w:qFormat/>
    <w:rsid w:val="00534962"/>
    <w:pPr>
      <w:numPr>
        <w:ilvl w:val="5"/>
        <w:numId w:val="8"/>
      </w:numPr>
    </w:pPr>
  </w:style>
  <w:style w:type="paragraph" w:customStyle="1" w:styleId="Bullet-">
    <w:name w:val="Bullet (-)"/>
    <w:basedOn w:val="Normal"/>
    <w:uiPriority w:val="11"/>
    <w:qFormat/>
    <w:rsid w:val="00534962"/>
    <w:pPr>
      <w:numPr>
        <w:ilvl w:val="6"/>
        <w:numId w:val="8"/>
      </w:numPr>
    </w:pPr>
  </w:style>
  <w:style w:type="paragraph" w:customStyle="1" w:styleId="Bulletalpha">
    <w:name w:val="Bullet (alpha)"/>
    <w:basedOn w:val="Normal"/>
    <w:uiPriority w:val="11"/>
    <w:qFormat/>
    <w:rsid w:val="00534962"/>
    <w:pPr>
      <w:numPr>
        <w:ilvl w:val="2"/>
        <w:numId w:val="8"/>
      </w:numPr>
    </w:pPr>
  </w:style>
  <w:style w:type="paragraph" w:customStyle="1" w:styleId="Bulletroman">
    <w:name w:val="Bullet (roman)"/>
    <w:basedOn w:val="Normal"/>
    <w:uiPriority w:val="11"/>
    <w:qFormat/>
    <w:rsid w:val="00534962"/>
    <w:pPr>
      <w:numPr>
        <w:ilvl w:val="3"/>
        <w:numId w:val="8"/>
      </w:numPr>
    </w:pPr>
  </w:style>
  <w:style w:type="paragraph" w:customStyle="1" w:styleId="NormalBulletround">
    <w:name w:val="Normal Bullet (round)"/>
    <w:aliases w:val="Normal Bullet (square)"/>
    <w:basedOn w:val="Normal"/>
    <w:uiPriority w:val="4"/>
    <w:qFormat/>
    <w:rsid w:val="0021141B"/>
    <w:pPr>
      <w:numPr>
        <w:ilvl w:val="4"/>
        <w:numId w:val="12"/>
      </w:numPr>
    </w:pPr>
  </w:style>
  <w:style w:type="paragraph" w:customStyle="1" w:styleId="NormalBullet-">
    <w:name w:val="Normal Bullet (-)"/>
    <w:basedOn w:val="Normal"/>
    <w:uiPriority w:val="5"/>
    <w:qFormat/>
    <w:rsid w:val="0021141B"/>
    <w:pPr>
      <w:numPr>
        <w:ilvl w:val="5"/>
        <w:numId w:val="12"/>
      </w:numPr>
    </w:pPr>
  </w:style>
  <w:style w:type="paragraph" w:customStyle="1" w:styleId="NormalBulletalpha">
    <w:name w:val="Normal Bullet (alpha)"/>
    <w:basedOn w:val="Normal"/>
    <w:uiPriority w:val="5"/>
    <w:qFormat/>
    <w:rsid w:val="0021141B"/>
    <w:pPr>
      <w:numPr>
        <w:ilvl w:val="1"/>
        <w:numId w:val="12"/>
      </w:numPr>
    </w:pPr>
  </w:style>
  <w:style w:type="paragraph" w:customStyle="1" w:styleId="NormalBulletroman">
    <w:name w:val="Normal Bullet (roman)"/>
    <w:basedOn w:val="Normal"/>
    <w:uiPriority w:val="5"/>
    <w:qFormat/>
    <w:rsid w:val="0021141B"/>
    <w:pPr>
      <w:numPr>
        <w:ilvl w:val="2"/>
        <w:numId w:val="12"/>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7"/>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8"/>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8"/>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2"/>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8"/>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1"/>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9"/>
      </w:numPr>
    </w:pPr>
  </w:style>
  <w:style w:type="paragraph" w:customStyle="1" w:styleId="HighlightPurpleWide">
    <w:name w:val="HighlightPurpleWide"/>
    <w:basedOn w:val="Normal"/>
    <w:uiPriority w:val="15"/>
    <w:qFormat/>
    <w:rsid w:val="00894D7D"/>
    <w:pPr>
      <w:numPr>
        <w:ilvl w:val="1"/>
        <w:numId w:val="11"/>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1"/>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13"/>
      </w:numPr>
    </w:pPr>
  </w:style>
  <w:style w:type="paragraph" w:customStyle="1" w:styleId="AnnexParagraph">
    <w:name w:val="Annex Paragraph"/>
    <w:basedOn w:val="Normal"/>
    <w:uiPriority w:val="22"/>
    <w:qFormat/>
    <w:rsid w:val="008A25C5"/>
    <w:pPr>
      <w:numPr>
        <w:ilvl w:val="1"/>
        <w:numId w:val="13"/>
      </w:numPr>
    </w:pPr>
  </w:style>
  <w:style w:type="numbering" w:customStyle="1" w:styleId="ORRAnnex">
    <w:name w:val="ORRAnnex"/>
    <w:uiPriority w:val="99"/>
    <w:rsid w:val="008A25C5"/>
    <w:pPr>
      <w:numPr>
        <w:numId w:val="10"/>
      </w:numPr>
    </w:pPr>
  </w:style>
  <w:style w:type="paragraph" w:customStyle="1" w:styleId="AnnexBulletAlpha">
    <w:name w:val="Annex Bullet (Alpha)"/>
    <w:basedOn w:val="Normal"/>
    <w:uiPriority w:val="24"/>
    <w:qFormat/>
    <w:rsid w:val="008A25C5"/>
    <w:pPr>
      <w:numPr>
        <w:ilvl w:val="2"/>
        <w:numId w:val="13"/>
      </w:numPr>
    </w:pPr>
  </w:style>
  <w:style w:type="paragraph" w:customStyle="1" w:styleId="AnnexBulletroman">
    <w:name w:val="Annex Bullet (roman)"/>
    <w:basedOn w:val="Normal"/>
    <w:uiPriority w:val="24"/>
    <w:qFormat/>
    <w:rsid w:val="008A25C5"/>
    <w:pPr>
      <w:numPr>
        <w:ilvl w:val="3"/>
        <w:numId w:val="13"/>
      </w:numPr>
    </w:pPr>
  </w:style>
  <w:style w:type="paragraph" w:customStyle="1" w:styleId="AnnexBulletnumber">
    <w:name w:val="Annex Bullet (number)"/>
    <w:basedOn w:val="Normal"/>
    <w:uiPriority w:val="25"/>
    <w:qFormat/>
    <w:rsid w:val="008A25C5"/>
    <w:pPr>
      <w:numPr>
        <w:ilvl w:val="4"/>
        <w:numId w:val="13"/>
      </w:numPr>
    </w:pPr>
  </w:style>
  <w:style w:type="paragraph" w:customStyle="1" w:styleId="AnnexBulletround">
    <w:name w:val="Annex Bullet (round)"/>
    <w:basedOn w:val="Normal"/>
    <w:uiPriority w:val="23"/>
    <w:qFormat/>
    <w:rsid w:val="008A25C5"/>
    <w:pPr>
      <w:numPr>
        <w:ilvl w:val="5"/>
        <w:numId w:val="13"/>
      </w:numPr>
    </w:pPr>
  </w:style>
  <w:style w:type="paragraph" w:customStyle="1" w:styleId="AnnexBullet-">
    <w:name w:val="Annex Bullet (-)"/>
    <w:basedOn w:val="Normal"/>
    <w:uiPriority w:val="24"/>
    <w:qFormat/>
    <w:rsid w:val="008A25C5"/>
    <w:pPr>
      <w:numPr>
        <w:ilvl w:val="6"/>
        <w:numId w:val="13"/>
      </w:numPr>
    </w:pPr>
  </w:style>
  <w:style w:type="paragraph" w:customStyle="1" w:styleId="AnnexTableTitle">
    <w:name w:val="Annex TableTitle"/>
    <w:basedOn w:val="Normal"/>
    <w:next w:val="AnnexParagraph"/>
    <w:uiPriority w:val="18"/>
    <w:qFormat/>
    <w:rsid w:val="008A25C5"/>
    <w:pPr>
      <w:numPr>
        <w:ilvl w:val="7"/>
        <w:numId w:val="13"/>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2"/>
      </w:numPr>
    </w:pPr>
    <w:rPr>
      <w:b/>
    </w:rPr>
  </w:style>
  <w:style w:type="paragraph" w:customStyle="1" w:styleId="NormalFigureTitle">
    <w:name w:val="Normal FigureTitle"/>
    <w:basedOn w:val="Normal"/>
    <w:next w:val="Normal"/>
    <w:uiPriority w:val="26"/>
    <w:qFormat/>
    <w:rsid w:val="0021141B"/>
    <w:pPr>
      <w:keepNext/>
      <w:keepLines/>
      <w:numPr>
        <w:ilvl w:val="7"/>
        <w:numId w:val="12"/>
      </w:numPr>
    </w:pPr>
    <w:rPr>
      <w:b/>
    </w:rPr>
  </w:style>
  <w:style w:type="paragraph" w:customStyle="1" w:styleId="AnnexFigureTitle">
    <w:name w:val="Annex FigureTitle"/>
    <w:basedOn w:val="Normal"/>
    <w:next w:val="Normal"/>
    <w:uiPriority w:val="26"/>
    <w:rsid w:val="008A25C5"/>
    <w:pPr>
      <w:keepNext/>
      <w:keepLines/>
      <w:numPr>
        <w:ilvl w:val="8"/>
        <w:numId w:val="13"/>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9"/>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9"/>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9"/>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533F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9313">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412047075">
      <w:bodyDiv w:val="1"/>
      <w:marLeft w:val="0"/>
      <w:marRight w:val="0"/>
      <w:marTop w:val="0"/>
      <w:marBottom w:val="0"/>
      <w:divBdr>
        <w:top w:val="none" w:sz="0" w:space="0" w:color="auto"/>
        <w:left w:val="none" w:sz="0" w:space="0" w:color="auto"/>
        <w:bottom w:val="none" w:sz="0" w:space="0" w:color="auto"/>
        <w:right w:val="none" w:sz="0" w:space="0" w:color="auto"/>
      </w:divBdr>
    </w:div>
    <w:div w:id="1937787921">
      <w:bodyDiv w:val="1"/>
      <w:marLeft w:val="0"/>
      <w:marRight w:val="0"/>
      <w:marTop w:val="0"/>
      <w:marBottom w:val="0"/>
      <w:divBdr>
        <w:top w:val="none" w:sz="0" w:space="0" w:color="auto"/>
        <w:left w:val="none" w:sz="0" w:space="0" w:color="auto"/>
        <w:bottom w:val="none" w:sz="0" w:space="0" w:color="auto"/>
        <w:right w:val="none" w:sz="0" w:space="0" w:color="auto"/>
      </w:divBdr>
    </w:div>
    <w:div w:id="196977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orr.gov.uk/sites/default/files/2024-03/orr-board-rules-of-procedure.pdf" TargetMode="External"/><Relationship Id="rId39" Type="http://schemas.openxmlformats.org/officeDocument/2006/relationships/header" Target="header11.xml"/><Relationship Id="rId21" Type="http://schemas.openxmlformats.org/officeDocument/2006/relationships/footer" Target="footer4.xml"/><Relationship Id="rId34" Type="http://schemas.openxmlformats.org/officeDocument/2006/relationships/image" Target="media/image5.png"/><Relationship Id="rId42" Type="http://schemas.openxmlformats.org/officeDocument/2006/relationships/header" Target="header1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gov.uk/government/publications/arms-length-body-boards-guidance-on-reviews-and-appraisals/board-effectiveness-reviews-principles-and-resources-for-arms-length-bodies-and-sponsoring-departm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yperlink" Target="mailto:procurementteam@orr.gov.uk" TargetMode="External"/><Relationship Id="rId40" Type="http://schemas.openxmlformats.org/officeDocument/2006/relationships/footer" Target="footer7.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frc.org.uk/library/standards-codes-policy/corporate-governance/corporate-governance-code-guidance/" TargetMode="External"/><Relationship Id="rId36" Type="http://schemas.openxmlformats.org/officeDocument/2006/relationships/hyperlink" Target="https://www.find-tender.service.gov.uk/Search"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orr.gov.uk/sites/default/files/2023-04/orr-board-effectiveness-review-march-2023.pdf" TargetMode="External"/><Relationship Id="rId30" Type="http://schemas.openxmlformats.org/officeDocument/2006/relationships/hyperlink" Target="https://www.orr.gov.uk/media/23638" TargetMode="External"/><Relationship Id="rId35" Type="http://schemas.openxmlformats.org/officeDocument/2006/relationships/hyperlink" Target="http:\\www.nationalarchives.gov.uk/doc/open-government-licence/version/3" TargetMode="External"/><Relationship Id="rId43" Type="http://schemas.openxmlformats.org/officeDocument/2006/relationships/footer" Target="footer9.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 TargetMode="External"/><Relationship Id="rId33" Type="http://schemas.openxmlformats.org/officeDocument/2006/relationships/header" Target="header9.xml"/><Relationship Id="rId38" Type="http://schemas.openxmlformats.org/officeDocument/2006/relationships/header" Target="header10.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57E4C"/>
    <w:rsid w:val="001D34EA"/>
    <w:rsid w:val="0023770B"/>
    <w:rsid w:val="00282136"/>
    <w:rsid w:val="003D684E"/>
    <w:rsid w:val="00465309"/>
    <w:rsid w:val="005722FE"/>
    <w:rsid w:val="005A6A23"/>
    <w:rsid w:val="005F52F5"/>
    <w:rsid w:val="00696275"/>
    <w:rsid w:val="006C74D3"/>
    <w:rsid w:val="00744C96"/>
    <w:rsid w:val="007479A0"/>
    <w:rsid w:val="007C3F77"/>
    <w:rsid w:val="008342A5"/>
    <w:rsid w:val="00843948"/>
    <w:rsid w:val="0084777F"/>
    <w:rsid w:val="00912431"/>
    <w:rsid w:val="009575CF"/>
    <w:rsid w:val="00974DB7"/>
    <w:rsid w:val="00976386"/>
    <w:rsid w:val="009E0644"/>
    <w:rsid w:val="00A235F4"/>
    <w:rsid w:val="00A257DF"/>
    <w:rsid w:val="00A32DE5"/>
    <w:rsid w:val="00A72823"/>
    <w:rsid w:val="00BB3195"/>
    <w:rsid w:val="00BF5479"/>
    <w:rsid w:val="00C016C2"/>
    <w:rsid w:val="00C37018"/>
    <w:rsid w:val="00CB22F7"/>
    <w:rsid w:val="00CD784B"/>
    <w:rsid w:val="00D750C2"/>
    <w:rsid w:val="00D94CF5"/>
    <w:rsid w:val="00DD58E4"/>
    <w:rsid w:val="00DE0FCF"/>
    <w:rsid w:val="00E27807"/>
    <w:rsid w:val="00E63CEB"/>
    <w:rsid w:val="00E81AAE"/>
    <w:rsid w:val="00E94B75"/>
    <w:rsid w:val="00F06A05"/>
    <w:rsid w:val="00F1040F"/>
    <w:rsid w:val="00F2759E"/>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D04F484A6E104A95673714F86E78A5" ma:contentTypeVersion="8" ma:contentTypeDescription="Create a new document." ma:contentTypeScope="" ma:versionID="265c6d4b69ed283d09aabbe2cec005fe">
  <xsd:schema xmlns:xsd="http://www.w3.org/2001/XMLSchema" xmlns:xs="http://www.w3.org/2001/XMLSchema" xmlns:p="http://schemas.microsoft.com/office/2006/metadata/properties" xmlns:ns2="8c40d62b-48ee-4c03-b4ce-a46c307f900f" xmlns:ns3="f729e764-86cb-467a-ab98-7dac974b0a85" targetNamespace="http://schemas.microsoft.com/office/2006/metadata/properties" ma:root="true" ma:fieldsID="9ba4d3dbe8adf8d760b3d49d7b065eec" ns2:_="" ns3:_="">
    <xsd:import namespace="8c40d62b-48ee-4c03-b4ce-a46c307f900f"/>
    <xsd:import namespace="f729e764-86cb-467a-ab98-7dac974b0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d62b-48ee-4c03-b4ce-a46c307f9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9e764-86cb-467a-ab98-7dac974b0a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3.xml><?xml version="1.0" encoding="utf-8"?>
<ds:datastoreItem xmlns:ds="http://schemas.openxmlformats.org/officeDocument/2006/customXml" ds:itemID="{7FCA799E-E242-4408-8603-24007EAEC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d62b-48ee-4c03-b4ce-a46c307f900f"/>
    <ds:schemaRef ds:uri="f729e764-86cb-467a-ab98-7dac974b0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9F098-06E9-45AD-BA8E-B54AD9FD2F94}">
  <ds:schemaRefs>
    <ds:schemaRef ds:uri="http://purl.org/dc/terms/"/>
    <ds:schemaRef ds:uri="f729e764-86cb-467a-ab98-7dac974b0a85"/>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c40d62b-48ee-4c03-b4ce-a46c307f900f"/>
    <ds:schemaRef ds:uri="http://purl.org/dc/elements/1.1/"/>
  </ds:schemaRefs>
</ds:datastoreItem>
</file>

<file path=customXml/itemProps5.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6.xml><?xml version="1.0" encoding="utf-8"?>
<ds:datastoreItem xmlns:ds="http://schemas.openxmlformats.org/officeDocument/2006/customXml" ds:itemID="{88DA9525-2FC6-48F2-8C14-DD69A8E1B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Long Report</Template>
  <TotalTime>0</TotalTime>
  <Pages>29</Pages>
  <Words>6454</Words>
  <Characters>36788</Characters>
  <Application>Microsoft Office Word</Application>
  <DocSecurity>0</DocSecurity>
  <Lines>2452</Lines>
  <Paragraphs>1394</Paragraphs>
  <ScaleCrop>false</ScaleCrop>
  <Company>HP</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External Board Effectiveness Review 2025/26</dc:subject>
  <dc:creator>Angeriz-Santos, Paula</dc:creator>
  <cp:keywords/>
  <dc:description/>
  <cp:lastModifiedBy>Dinkele, Harriet</cp:lastModifiedBy>
  <cp:revision>2</cp:revision>
  <cp:lastPrinted>2021-02-24T15:29:00Z</cp:lastPrinted>
  <dcterms:created xsi:type="dcterms:W3CDTF">2025-06-30T09:55:00Z</dcterms:created>
  <dcterms:modified xsi:type="dcterms:W3CDTF">2025-06-30T09:55:00Z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0x010100D4D04F484A6E104A95673714F86E78A5</vt:lpwstr>
  </property>
</Properties>
</file>