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F3C8C" w14:textId="009D2B1A" w:rsidR="00682204" w:rsidRDefault="00873BC1">
      <w:r>
        <w:rPr>
          <w:noProof/>
        </w:rPr>
        <w:drawing>
          <wp:inline distT="0" distB="0" distL="0" distR="0" wp14:anchorId="1BFCDB86" wp14:editId="60FAEC5F">
            <wp:extent cx="2484165" cy="1244009"/>
            <wp:effectExtent l="0" t="0" r="0" b="0"/>
            <wp:docPr id="4" name="Picture 4" descr="HM Revenue &amp; Customs - Independent Adviser - Customer Experience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4165" cy="1244009"/>
                    </a:xfrm>
                    <a:prstGeom prst="rect">
                      <a:avLst/>
                    </a:prstGeom>
                  </pic:spPr>
                </pic:pic>
              </a:graphicData>
            </a:graphic>
          </wp:inline>
        </w:drawing>
      </w:r>
    </w:p>
    <w:p w14:paraId="45D70796" w14:textId="654AEA1E" w:rsidR="00F3270D" w:rsidRPr="00F3270D" w:rsidRDefault="00F3270D" w:rsidP="00F3270D"/>
    <w:p w14:paraId="06047EEF" w14:textId="758637DD" w:rsidR="00F3270D" w:rsidRPr="00F3270D" w:rsidRDefault="00F3270D" w:rsidP="00F3270D"/>
    <w:p w14:paraId="391A1D76" w14:textId="5ADBA6A7" w:rsidR="00F3270D" w:rsidRDefault="00F3270D" w:rsidP="00F3270D"/>
    <w:p w14:paraId="37954D14" w14:textId="75BACE21" w:rsidR="00D35E29" w:rsidRDefault="00D35E29" w:rsidP="00F3270D"/>
    <w:p w14:paraId="1A82CE56" w14:textId="273286F2" w:rsidR="00D35E29" w:rsidRDefault="00D35E29" w:rsidP="00F3270D"/>
    <w:p w14:paraId="586FB340" w14:textId="503C8713" w:rsidR="00D35E29" w:rsidRDefault="00D35E29" w:rsidP="00F3270D"/>
    <w:p w14:paraId="3D16C22A" w14:textId="77777777" w:rsidR="00D35E29" w:rsidRPr="000C16AF" w:rsidRDefault="00D35E29" w:rsidP="000C16AF">
      <w:pPr>
        <w:tabs>
          <w:tab w:val="left" w:pos="3330"/>
        </w:tabs>
        <w:jc w:val="center"/>
        <w:rPr>
          <w:rFonts w:cs="Arial"/>
          <w:b/>
          <w:color w:val="009999"/>
          <w:sz w:val="32"/>
          <w:szCs w:val="32"/>
        </w:rPr>
      </w:pPr>
    </w:p>
    <w:p w14:paraId="78D22DEC" w14:textId="77777777" w:rsidR="008A6D09" w:rsidRPr="000C16AF" w:rsidRDefault="008A6D09" w:rsidP="008A6D09">
      <w:pPr>
        <w:tabs>
          <w:tab w:val="left" w:pos="3330"/>
        </w:tabs>
        <w:jc w:val="center"/>
        <w:rPr>
          <w:rFonts w:cs="Arial"/>
          <w:b/>
          <w:color w:val="009999"/>
          <w:sz w:val="32"/>
          <w:szCs w:val="32"/>
        </w:rPr>
      </w:pPr>
      <w:r w:rsidRPr="000C16AF">
        <w:rPr>
          <w:rFonts w:cs="Arial"/>
          <w:b/>
          <w:color w:val="009999"/>
          <w:sz w:val="32"/>
          <w:szCs w:val="32"/>
        </w:rPr>
        <w:t>His Majesty’s Revenue &amp; Customs (HMRC)</w:t>
      </w:r>
    </w:p>
    <w:p w14:paraId="0F711ABE" w14:textId="77777777" w:rsidR="008A6D09" w:rsidRPr="000C16AF" w:rsidRDefault="008A6D09" w:rsidP="008A6D09">
      <w:pPr>
        <w:tabs>
          <w:tab w:val="left" w:pos="3330"/>
        </w:tabs>
        <w:jc w:val="center"/>
        <w:rPr>
          <w:rFonts w:cs="Arial"/>
          <w:b/>
          <w:color w:val="009999"/>
          <w:sz w:val="32"/>
          <w:szCs w:val="32"/>
        </w:rPr>
      </w:pPr>
    </w:p>
    <w:p w14:paraId="011BB788" w14:textId="77777777" w:rsidR="008A6D09" w:rsidRPr="000C16AF" w:rsidRDefault="008A6D09" w:rsidP="008A6D09">
      <w:pPr>
        <w:tabs>
          <w:tab w:val="left" w:pos="3330"/>
        </w:tabs>
        <w:jc w:val="center"/>
        <w:rPr>
          <w:rFonts w:cs="Arial"/>
          <w:b/>
          <w:color w:val="009999"/>
          <w:sz w:val="32"/>
          <w:szCs w:val="32"/>
        </w:rPr>
      </w:pPr>
      <w:r w:rsidRPr="000C16AF">
        <w:rPr>
          <w:rFonts w:cs="Arial"/>
          <w:b/>
          <w:color w:val="009999"/>
          <w:sz w:val="32"/>
          <w:szCs w:val="32"/>
        </w:rPr>
        <w:t>Tender Instructions, Conditions of Participation, Procurement Specific Questionnaire and Evaluation Criteria</w:t>
      </w:r>
    </w:p>
    <w:p w14:paraId="3238B059" w14:textId="63DDD3DB" w:rsidR="00D44979" w:rsidRDefault="00A621A8" w:rsidP="00D44979">
      <w:pPr>
        <w:tabs>
          <w:tab w:val="left" w:pos="3330"/>
        </w:tabs>
        <w:jc w:val="center"/>
        <w:rPr>
          <w:rFonts w:cs="Arial"/>
          <w:b/>
          <w:color w:val="009999"/>
          <w:sz w:val="32"/>
          <w:szCs w:val="32"/>
        </w:rPr>
      </w:pPr>
      <w:r w:rsidRPr="000C16AF">
        <w:rPr>
          <w:rFonts w:cs="Arial"/>
          <w:b/>
          <w:color w:val="009999"/>
          <w:sz w:val="32"/>
          <w:szCs w:val="32"/>
        </w:rPr>
        <w:t>For</w:t>
      </w:r>
      <w:r w:rsidR="004766C0" w:rsidRPr="000C16AF">
        <w:rPr>
          <w:rFonts w:cs="Arial"/>
          <w:b/>
          <w:color w:val="009999"/>
          <w:sz w:val="32"/>
          <w:szCs w:val="32"/>
        </w:rPr>
        <w:t xml:space="preserve"> a Procurement for</w:t>
      </w:r>
      <w:r w:rsidRPr="000C16AF">
        <w:rPr>
          <w:rFonts w:cs="Arial"/>
          <w:b/>
          <w:color w:val="009999"/>
          <w:sz w:val="32"/>
          <w:szCs w:val="32"/>
        </w:rPr>
        <w:t xml:space="preserve"> the </w:t>
      </w:r>
      <w:r w:rsidR="00727AC4" w:rsidRPr="000C16AF">
        <w:rPr>
          <w:rFonts w:cs="Arial"/>
          <w:b/>
          <w:color w:val="009999"/>
          <w:sz w:val="32"/>
          <w:szCs w:val="32"/>
        </w:rPr>
        <w:t xml:space="preserve">provision of </w:t>
      </w:r>
    </w:p>
    <w:p w14:paraId="31773B08" w14:textId="77777777" w:rsidR="004A59C2" w:rsidRPr="000C16AF" w:rsidRDefault="004A59C2" w:rsidP="00D44979">
      <w:pPr>
        <w:tabs>
          <w:tab w:val="left" w:pos="3330"/>
        </w:tabs>
        <w:jc w:val="center"/>
        <w:rPr>
          <w:rFonts w:cs="Arial"/>
          <w:b/>
          <w:color w:val="009999"/>
          <w:sz w:val="32"/>
          <w:szCs w:val="32"/>
        </w:rPr>
      </w:pPr>
    </w:p>
    <w:p w14:paraId="43D2093E" w14:textId="501569B3" w:rsidR="00D44979" w:rsidRPr="000C16AF" w:rsidRDefault="00CD3128" w:rsidP="00D44979">
      <w:pPr>
        <w:tabs>
          <w:tab w:val="left" w:pos="3330"/>
        </w:tabs>
        <w:jc w:val="center"/>
        <w:rPr>
          <w:rFonts w:cs="Arial"/>
          <w:b/>
          <w:color w:val="009999"/>
          <w:sz w:val="32"/>
          <w:szCs w:val="32"/>
        </w:rPr>
      </w:pPr>
      <w:proofErr w:type="spellStart"/>
      <w:r w:rsidRPr="000C16AF">
        <w:rPr>
          <w:rFonts w:cs="Arial"/>
          <w:b/>
          <w:color w:val="009999"/>
          <w:sz w:val="32"/>
          <w:szCs w:val="32"/>
        </w:rPr>
        <w:t>Hyperscaler</w:t>
      </w:r>
      <w:proofErr w:type="spellEnd"/>
      <w:r w:rsidRPr="000C16AF">
        <w:rPr>
          <w:rFonts w:cs="Arial"/>
          <w:b/>
          <w:color w:val="009999"/>
          <w:sz w:val="32"/>
          <w:szCs w:val="32"/>
        </w:rPr>
        <w:t xml:space="preserve"> Services to enable </w:t>
      </w:r>
      <w:r w:rsidR="0038067B" w:rsidRPr="000C16AF">
        <w:rPr>
          <w:rFonts w:cs="Arial"/>
          <w:b/>
          <w:color w:val="009999"/>
          <w:sz w:val="32"/>
          <w:szCs w:val="32"/>
        </w:rPr>
        <w:t>Data Centre</w:t>
      </w:r>
      <w:r w:rsidR="00727AC4" w:rsidRPr="000C16AF">
        <w:rPr>
          <w:rFonts w:cs="Arial"/>
          <w:b/>
          <w:color w:val="009999"/>
          <w:sz w:val="32"/>
          <w:szCs w:val="32"/>
        </w:rPr>
        <w:t xml:space="preserve"> </w:t>
      </w:r>
      <w:r w:rsidR="0038067B" w:rsidRPr="000C16AF">
        <w:rPr>
          <w:rFonts w:cs="Arial"/>
          <w:b/>
          <w:color w:val="009999"/>
          <w:sz w:val="32"/>
          <w:szCs w:val="32"/>
        </w:rPr>
        <w:t>Exit</w:t>
      </w:r>
    </w:p>
    <w:p w14:paraId="6BB9713A" w14:textId="77777777" w:rsidR="00D44979" w:rsidRPr="00690B7F" w:rsidRDefault="00D44979" w:rsidP="00D44979">
      <w:pPr>
        <w:tabs>
          <w:tab w:val="left" w:pos="3330"/>
        </w:tabs>
        <w:jc w:val="center"/>
        <w:rPr>
          <w:rFonts w:cs="Arial"/>
          <w:b/>
          <w:sz w:val="32"/>
          <w:szCs w:val="32"/>
        </w:rPr>
      </w:pPr>
    </w:p>
    <w:p w14:paraId="75765E7C" w14:textId="1FE773AC" w:rsidR="00D44979" w:rsidRPr="00690B7F" w:rsidRDefault="00D44979" w:rsidP="00D44979">
      <w:pPr>
        <w:tabs>
          <w:tab w:val="left" w:pos="3330"/>
        </w:tabs>
        <w:jc w:val="center"/>
        <w:rPr>
          <w:rFonts w:cs="Arial"/>
          <w:b/>
          <w:sz w:val="32"/>
          <w:szCs w:val="32"/>
        </w:rPr>
      </w:pPr>
      <w:r>
        <w:rPr>
          <w:rFonts w:cs="Arial"/>
          <w:b/>
          <w:color w:val="009999"/>
          <w:sz w:val="32"/>
          <w:szCs w:val="32"/>
        </w:rPr>
        <w:t>(</w:t>
      </w:r>
      <w:r w:rsidR="00C10A81">
        <w:rPr>
          <w:rFonts w:cs="Arial"/>
          <w:b/>
          <w:color w:val="009999"/>
          <w:sz w:val="32"/>
          <w:szCs w:val="32"/>
        </w:rPr>
        <w:t>P</w:t>
      </w:r>
      <w:r w:rsidR="00DC7577">
        <w:rPr>
          <w:rFonts w:cs="Arial"/>
          <w:b/>
          <w:color w:val="009999"/>
          <w:sz w:val="32"/>
          <w:szCs w:val="32"/>
        </w:rPr>
        <w:t>rocurement Act</w:t>
      </w:r>
      <w:r w:rsidR="00C10A81">
        <w:rPr>
          <w:rFonts w:cs="Arial"/>
          <w:b/>
          <w:color w:val="009999"/>
          <w:sz w:val="32"/>
          <w:szCs w:val="32"/>
        </w:rPr>
        <w:t xml:space="preserve"> 2023</w:t>
      </w:r>
      <w:r>
        <w:rPr>
          <w:rFonts w:cs="Arial"/>
          <w:b/>
          <w:color w:val="009999"/>
          <w:sz w:val="32"/>
          <w:szCs w:val="32"/>
        </w:rPr>
        <w:t>)</w:t>
      </w:r>
    </w:p>
    <w:p w14:paraId="5913B794" w14:textId="77777777" w:rsidR="00D44979" w:rsidRPr="00690B7F" w:rsidRDefault="00D44979" w:rsidP="00D44979">
      <w:pPr>
        <w:tabs>
          <w:tab w:val="left" w:pos="3330"/>
        </w:tabs>
        <w:jc w:val="center"/>
        <w:rPr>
          <w:rFonts w:cs="Arial"/>
          <w:b/>
          <w:sz w:val="32"/>
          <w:szCs w:val="32"/>
        </w:rPr>
      </w:pPr>
    </w:p>
    <w:p w14:paraId="64767E68" w14:textId="55DA5EDC" w:rsidR="00D44979" w:rsidRPr="002F3203" w:rsidRDefault="00D3365B" w:rsidP="00D44979">
      <w:pPr>
        <w:tabs>
          <w:tab w:val="left" w:pos="3330"/>
        </w:tabs>
        <w:jc w:val="center"/>
        <w:rPr>
          <w:rFonts w:cs="Arial"/>
          <w:b/>
          <w:color w:val="009999"/>
          <w:sz w:val="32"/>
          <w:szCs w:val="32"/>
        </w:rPr>
      </w:pPr>
      <w:r w:rsidRPr="002F3203">
        <w:rPr>
          <w:rFonts w:cs="Arial"/>
          <w:b/>
          <w:color w:val="009999"/>
          <w:sz w:val="32"/>
          <w:szCs w:val="32"/>
        </w:rPr>
        <w:t xml:space="preserve">June </w:t>
      </w:r>
      <w:r w:rsidR="00E04FD0" w:rsidRPr="002F3203">
        <w:rPr>
          <w:rFonts w:cs="Arial"/>
          <w:b/>
          <w:color w:val="009999"/>
          <w:sz w:val="32"/>
          <w:szCs w:val="32"/>
        </w:rPr>
        <w:t>2025</w:t>
      </w:r>
    </w:p>
    <w:p w14:paraId="005A0579" w14:textId="1890A96F" w:rsidR="002E0E22" w:rsidRDefault="002E0E22" w:rsidP="00B56B5F">
      <w:pPr>
        <w:tabs>
          <w:tab w:val="left" w:pos="3330"/>
        </w:tabs>
        <w:jc w:val="center"/>
        <w:rPr>
          <w:rFonts w:cs="Arial"/>
          <w:b/>
          <w:color w:val="FF0000"/>
          <w:sz w:val="32"/>
          <w:szCs w:val="32"/>
        </w:rPr>
      </w:pPr>
    </w:p>
    <w:p w14:paraId="00C0BCD4" w14:textId="5A3C334F" w:rsidR="002E0E22" w:rsidRDefault="002E0E22" w:rsidP="00B56B5F">
      <w:pPr>
        <w:tabs>
          <w:tab w:val="left" w:pos="3330"/>
        </w:tabs>
        <w:jc w:val="center"/>
        <w:rPr>
          <w:rFonts w:cs="Arial"/>
          <w:b/>
          <w:color w:val="FF0000"/>
          <w:sz w:val="32"/>
          <w:szCs w:val="32"/>
        </w:rPr>
      </w:pPr>
    </w:p>
    <w:p w14:paraId="3A97EB15" w14:textId="71225B2B" w:rsidR="002E0E22" w:rsidRDefault="002E0E22" w:rsidP="00B56B5F">
      <w:pPr>
        <w:tabs>
          <w:tab w:val="left" w:pos="3330"/>
        </w:tabs>
        <w:jc w:val="center"/>
        <w:rPr>
          <w:rFonts w:cs="Arial"/>
          <w:b/>
          <w:color w:val="FF0000"/>
          <w:sz w:val="32"/>
          <w:szCs w:val="32"/>
        </w:rPr>
      </w:pPr>
    </w:p>
    <w:p w14:paraId="4E1078F5" w14:textId="68FD1E0D" w:rsidR="002E0E22" w:rsidRDefault="002E0E22" w:rsidP="00B56B5F">
      <w:pPr>
        <w:tabs>
          <w:tab w:val="left" w:pos="3330"/>
        </w:tabs>
        <w:jc w:val="center"/>
        <w:rPr>
          <w:rFonts w:cs="Arial"/>
          <w:b/>
          <w:color w:val="FF0000"/>
          <w:sz w:val="32"/>
          <w:szCs w:val="32"/>
        </w:rPr>
      </w:pPr>
    </w:p>
    <w:p w14:paraId="0299CC19" w14:textId="77777777" w:rsidR="004E6F17" w:rsidRPr="0067157E" w:rsidRDefault="004E6F17" w:rsidP="004E6F17">
      <w:pPr>
        <w:pageBreakBefore/>
        <w:tabs>
          <w:tab w:val="left" w:pos="3330"/>
        </w:tabs>
        <w:rPr>
          <w:rFonts w:cs="Arial"/>
          <w:b/>
          <w:color w:val="009999"/>
          <w:sz w:val="28"/>
          <w:szCs w:val="28"/>
        </w:rPr>
      </w:pPr>
      <w:r w:rsidRPr="0067157E">
        <w:rPr>
          <w:rFonts w:cs="Arial"/>
          <w:b/>
          <w:color w:val="009999"/>
          <w:sz w:val="28"/>
          <w:szCs w:val="28"/>
        </w:rPr>
        <w:t>CONTENTS</w:t>
      </w:r>
    </w:p>
    <w:sdt>
      <w:sdtPr>
        <w:rPr>
          <w:rFonts w:eastAsiaTheme="minorEastAsia" w:cstheme="minorBidi"/>
          <w:bCs w:val="0"/>
          <w:kern w:val="0"/>
          <w:szCs w:val="22"/>
          <w:lang w:eastAsia="en-US"/>
        </w:rPr>
        <w:id w:val="-144359684"/>
        <w:docPartObj>
          <w:docPartGallery w:val="Table of Contents"/>
          <w:docPartUnique/>
        </w:docPartObj>
      </w:sdtPr>
      <w:sdtEndPr>
        <w:rPr>
          <w:b/>
          <w:bCs/>
        </w:rPr>
      </w:sdtEndPr>
      <w:sdtContent>
        <w:p w14:paraId="4108BBA6" w14:textId="01F94DBA" w:rsidR="00E53D2B" w:rsidRDefault="00FE2B36" w:rsidP="00E53D2B">
          <w:pPr>
            <w:pStyle w:val="TOC1"/>
            <w:rPr>
              <w:rFonts w:asciiTheme="minorHAnsi" w:eastAsiaTheme="minorEastAsia" w:hAnsiTheme="minorHAnsi" w:cstheme="minorBidi"/>
              <w:bCs w:val="0"/>
              <w:noProof/>
              <w:kern w:val="2"/>
              <w:szCs w:val="22"/>
              <w14:ligatures w14:val="standardContextual"/>
            </w:rPr>
          </w:pPr>
          <w:r>
            <w:fldChar w:fldCharType="begin"/>
          </w:r>
          <w:r>
            <w:instrText xml:space="preserve"> TOC \t "Head 2,1" </w:instrText>
          </w:r>
          <w:r>
            <w:fldChar w:fldCharType="separate"/>
          </w:r>
          <w:r w:rsidR="00E53D2B" w:rsidRPr="00AE218B">
            <w:rPr>
              <w:b/>
              <w:noProof/>
              <w:color w:val="009999"/>
            </w:rPr>
            <w:t>1</w:t>
          </w:r>
          <w:r w:rsidR="00E53D2B">
            <w:rPr>
              <w:rFonts w:asciiTheme="minorHAnsi" w:eastAsiaTheme="minorEastAsia" w:hAnsiTheme="minorHAnsi" w:cstheme="minorBidi"/>
              <w:bCs w:val="0"/>
              <w:noProof/>
              <w:kern w:val="2"/>
              <w:szCs w:val="22"/>
              <w14:ligatures w14:val="standardContextual"/>
            </w:rPr>
            <w:tab/>
          </w:r>
          <w:r w:rsidR="00E53D2B" w:rsidRPr="00AE218B">
            <w:rPr>
              <w:b/>
              <w:noProof/>
              <w:color w:val="009999"/>
            </w:rPr>
            <w:t>ABOUT HMRC</w:t>
          </w:r>
          <w:r w:rsidR="00E53D2B">
            <w:rPr>
              <w:noProof/>
            </w:rPr>
            <w:tab/>
          </w:r>
          <w:r w:rsidR="00E53D2B">
            <w:rPr>
              <w:noProof/>
            </w:rPr>
            <w:fldChar w:fldCharType="begin"/>
          </w:r>
          <w:r w:rsidR="00E53D2B">
            <w:rPr>
              <w:noProof/>
            </w:rPr>
            <w:instrText xml:space="preserve"> PAGEREF _Toc201679592 \h </w:instrText>
          </w:r>
          <w:r w:rsidR="00E53D2B">
            <w:rPr>
              <w:noProof/>
            </w:rPr>
          </w:r>
          <w:r w:rsidR="00E53D2B">
            <w:rPr>
              <w:noProof/>
            </w:rPr>
            <w:fldChar w:fldCharType="separate"/>
          </w:r>
          <w:r w:rsidR="009636CC">
            <w:rPr>
              <w:noProof/>
            </w:rPr>
            <w:t>3</w:t>
          </w:r>
          <w:r w:rsidR="00E53D2B">
            <w:rPr>
              <w:noProof/>
            </w:rPr>
            <w:fldChar w:fldCharType="end"/>
          </w:r>
        </w:p>
        <w:p w14:paraId="4E1DC636" w14:textId="0D1A6FB1" w:rsidR="00E53D2B" w:rsidRDefault="00E53D2B" w:rsidP="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2</w:t>
          </w:r>
          <w:r>
            <w:rPr>
              <w:rFonts w:asciiTheme="minorHAnsi" w:eastAsiaTheme="minorEastAsia" w:hAnsiTheme="minorHAnsi" w:cstheme="minorBidi"/>
              <w:bCs w:val="0"/>
              <w:noProof/>
              <w:kern w:val="2"/>
              <w:szCs w:val="22"/>
              <w14:ligatures w14:val="standardContextual"/>
            </w:rPr>
            <w:tab/>
          </w:r>
          <w:r w:rsidRPr="00AE218B">
            <w:rPr>
              <w:b/>
              <w:noProof/>
              <w:color w:val="009999"/>
            </w:rPr>
            <w:t>TENDER OVERVIEW</w:t>
          </w:r>
          <w:r>
            <w:rPr>
              <w:noProof/>
            </w:rPr>
            <w:tab/>
          </w:r>
          <w:r>
            <w:rPr>
              <w:noProof/>
            </w:rPr>
            <w:fldChar w:fldCharType="begin"/>
          </w:r>
          <w:r>
            <w:rPr>
              <w:noProof/>
            </w:rPr>
            <w:instrText xml:space="preserve"> PAGEREF _Toc201679596 \h </w:instrText>
          </w:r>
          <w:r>
            <w:rPr>
              <w:noProof/>
            </w:rPr>
          </w:r>
          <w:r>
            <w:rPr>
              <w:noProof/>
            </w:rPr>
            <w:fldChar w:fldCharType="separate"/>
          </w:r>
          <w:r w:rsidR="009636CC">
            <w:rPr>
              <w:noProof/>
            </w:rPr>
            <w:t>4</w:t>
          </w:r>
          <w:r>
            <w:rPr>
              <w:noProof/>
            </w:rPr>
            <w:fldChar w:fldCharType="end"/>
          </w:r>
        </w:p>
        <w:p w14:paraId="1BE38671" w14:textId="698BE05A" w:rsidR="00E53D2B" w:rsidRDefault="00E53D2B" w:rsidP="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3</w:t>
          </w:r>
          <w:r>
            <w:rPr>
              <w:rFonts w:asciiTheme="minorHAnsi" w:eastAsiaTheme="minorEastAsia" w:hAnsiTheme="minorHAnsi" w:cstheme="minorBidi"/>
              <w:bCs w:val="0"/>
              <w:noProof/>
              <w:kern w:val="2"/>
              <w:szCs w:val="22"/>
              <w14:ligatures w14:val="standardContextual"/>
            </w:rPr>
            <w:tab/>
          </w:r>
          <w:r w:rsidRPr="00AE218B">
            <w:rPr>
              <w:b/>
              <w:noProof/>
              <w:color w:val="009999"/>
            </w:rPr>
            <w:t>TENDER TIMETABLE</w:t>
          </w:r>
          <w:r>
            <w:rPr>
              <w:noProof/>
            </w:rPr>
            <w:tab/>
          </w:r>
          <w:r>
            <w:rPr>
              <w:noProof/>
            </w:rPr>
            <w:fldChar w:fldCharType="begin"/>
          </w:r>
          <w:r>
            <w:rPr>
              <w:noProof/>
            </w:rPr>
            <w:instrText xml:space="preserve"> PAGEREF _Toc201679605 \h </w:instrText>
          </w:r>
          <w:r>
            <w:rPr>
              <w:noProof/>
            </w:rPr>
          </w:r>
          <w:r>
            <w:rPr>
              <w:noProof/>
            </w:rPr>
            <w:fldChar w:fldCharType="separate"/>
          </w:r>
          <w:r w:rsidR="009636CC">
            <w:rPr>
              <w:noProof/>
            </w:rPr>
            <w:t>4</w:t>
          </w:r>
          <w:r>
            <w:rPr>
              <w:noProof/>
            </w:rPr>
            <w:fldChar w:fldCharType="end"/>
          </w:r>
        </w:p>
        <w:p w14:paraId="73F6BC66" w14:textId="217282E1" w:rsidR="00E53D2B" w:rsidRDefault="00E53D2B" w:rsidP="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4</w:t>
          </w:r>
          <w:r>
            <w:rPr>
              <w:rFonts w:asciiTheme="minorHAnsi" w:eastAsiaTheme="minorEastAsia" w:hAnsiTheme="minorHAnsi" w:cstheme="minorBidi"/>
              <w:bCs w:val="0"/>
              <w:noProof/>
              <w:kern w:val="2"/>
              <w:szCs w:val="22"/>
              <w14:ligatures w14:val="standardContextual"/>
            </w:rPr>
            <w:tab/>
          </w:r>
          <w:r w:rsidRPr="00AE218B">
            <w:rPr>
              <w:b/>
              <w:noProof/>
              <w:color w:val="009999"/>
            </w:rPr>
            <w:t>TENDER SUBMISSIONS, CONTACT DETAILS AND QUERIES</w:t>
          </w:r>
          <w:r>
            <w:rPr>
              <w:noProof/>
            </w:rPr>
            <w:tab/>
          </w:r>
          <w:r>
            <w:rPr>
              <w:noProof/>
            </w:rPr>
            <w:fldChar w:fldCharType="begin"/>
          </w:r>
          <w:r>
            <w:rPr>
              <w:noProof/>
            </w:rPr>
            <w:instrText xml:space="preserve"> PAGEREF _Toc201679610 \h </w:instrText>
          </w:r>
          <w:r>
            <w:rPr>
              <w:noProof/>
            </w:rPr>
          </w:r>
          <w:r>
            <w:rPr>
              <w:noProof/>
            </w:rPr>
            <w:fldChar w:fldCharType="separate"/>
          </w:r>
          <w:r w:rsidR="009636CC">
            <w:rPr>
              <w:noProof/>
            </w:rPr>
            <w:t>7</w:t>
          </w:r>
          <w:r>
            <w:rPr>
              <w:noProof/>
            </w:rPr>
            <w:fldChar w:fldCharType="end"/>
          </w:r>
        </w:p>
        <w:p w14:paraId="62A8FF2E" w14:textId="2EEEA484" w:rsidR="00E53D2B" w:rsidRDefault="00E53D2B" w:rsidP="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5</w:t>
          </w:r>
          <w:r>
            <w:rPr>
              <w:rFonts w:asciiTheme="minorHAnsi" w:eastAsiaTheme="minorEastAsia" w:hAnsiTheme="minorHAnsi" w:cstheme="minorBidi"/>
              <w:bCs w:val="0"/>
              <w:noProof/>
              <w:kern w:val="2"/>
              <w:szCs w:val="22"/>
              <w14:ligatures w14:val="standardContextual"/>
            </w:rPr>
            <w:tab/>
          </w:r>
          <w:r w:rsidRPr="00AE218B">
            <w:rPr>
              <w:b/>
              <w:noProof/>
              <w:color w:val="009999"/>
            </w:rPr>
            <w:t>CONFIDENTIALITY</w:t>
          </w:r>
          <w:r>
            <w:rPr>
              <w:noProof/>
            </w:rPr>
            <w:tab/>
          </w:r>
          <w:r>
            <w:rPr>
              <w:noProof/>
            </w:rPr>
            <w:fldChar w:fldCharType="begin"/>
          </w:r>
          <w:r>
            <w:rPr>
              <w:noProof/>
            </w:rPr>
            <w:instrText xml:space="preserve"> PAGEREF _Toc201679643 \h </w:instrText>
          </w:r>
          <w:r>
            <w:rPr>
              <w:noProof/>
            </w:rPr>
          </w:r>
          <w:r>
            <w:rPr>
              <w:noProof/>
            </w:rPr>
            <w:fldChar w:fldCharType="separate"/>
          </w:r>
          <w:r w:rsidR="009636CC">
            <w:rPr>
              <w:noProof/>
            </w:rPr>
            <w:t>11</w:t>
          </w:r>
          <w:r>
            <w:rPr>
              <w:noProof/>
            </w:rPr>
            <w:fldChar w:fldCharType="end"/>
          </w:r>
        </w:p>
        <w:p w14:paraId="085273FC" w14:textId="32951BF6"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6</w:t>
          </w:r>
          <w:r>
            <w:rPr>
              <w:rFonts w:asciiTheme="minorHAnsi" w:eastAsiaTheme="minorEastAsia" w:hAnsiTheme="minorHAnsi" w:cstheme="minorBidi"/>
              <w:bCs w:val="0"/>
              <w:noProof/>
              <w:kern w:val="2"/>
              <w:szCs w:val="22"/>
              <w14:ligatures w14:val="standardContextual"/>
            </w:rPr>
            <w:tab/>
          </w:r>
          <w:r w:rsidRPr="00AE218B">
            <w:rPr>
              <w:b/>
              <w:noProof/>
              <w:color w:val="009999"/>
            </w:rPr>
            <w:t>FREEDOM OF INFORMATION ACT AND ENVIRONMENTAL INFORMATION REGULATIONS</w:t>
          </w:r>
          <w:r>
            <w:rPr>
              <w:noProof/>
            </w:rPr>
            <w:tab/>
          </w:r>
          <w:r>
            <w:rPr>
              <w:noProof/>
            </w:rPr>
            <w:fldChar w:fldCharType="begin"/>
          </w:r>
          <w:r>
            <w:rPr>
              <w:noProof/>
            </w:rPr>
            <w:instrText xml:space="preserve"> PAGEREF _Toc201679646 \h </w:instrText>
          </w:r>
          <w:r>
            <w:rPr>
              <w:noProof/>
            </w:rPr>
          </w:r>
          <w:r>
            <w:rPr>
              <w:noProof/>
            </w:rPr>
            <w:fldChar w:fldCharType="separate"/>
          </w:r>
          <w:r w:rsidR="009636CC">
            <w:rPr>
              <w:noProof/>
            </w:rPr>
            <w:t>12</w:t>
          </w:r>
          <w:r>
            <w:rPr>
              <w:noProof/>
            </w:rPr>
            <w:fldChar w:fldCharType="end"/>
          </w:r>
        </w:p>
        <w:p w14:paraId="5E385014" w14:textId="4E01D46B"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7</w:t>
          </w:r>
          <w:r>
            <w:rPr>
              <w:rFonts w:asciiTheme="minorHAnsi" w:eastAsiaTheme="minorEastAsia" w:hAnsiTheme="minorHAnsi" w:cstheme="minorBidi"/>
              <w:bCs w:val="0"/>
              <w:noProof/>
              <w:kern w:val="2"/>
              <w:szCs w:val="22"/>
              <w14:ligatures w14:val="standardContextual"/>
            </w:rPr>
            <w:tab/>
          </w:r>
          <w:r w:rsidRPr="00AE218B">
            <w:rPr>
              <w:b/>
              <w:noProof/>
              <w:color w:val="009999"/>
            </w:rPr>
            <w:t>TENDERER CONDUCT AND CONFLICTS OF INTEREST</w:t>
          </w:r>
          <w:r>
            <w:rPr>
              <w:noProof/>
            </w:rPr>
            <w:tab/>
          </w:r>
          <w:r>
            <w:rPr>
              <w:noProof/>
            </w:rPr>
            <w:fldChar w:fldCharType="begin"/>
          </w:r>
          <w:r>
            <w:rPr>
              <w:noProof/>
            </w:rPr>
            <w:instrText xml:space="preserve"> PAGEREF _Toc201679647 \h </w:instrText>
          </w:r>
          <w:r>
            <w:rPr>
              <w:noProof/>
            </w:rPr>
          </w:r>
          <w:r>
            <w:rPr>
              <w:noProof/>
            </w:rPr>
            <w:fldChar w:fldCharType="separate"/>
          </w:r>
          <w:r w:rsidR="009636CC">
            <w:rPr>
              <w:noProof/>
            </w:rPr>
            <w:t>12</w:t>
          </w:r>
          <w:r>
            <w:rPr>
              <w:noProof/>
            </w:rPr>
            <w:fldChar w:fldCharType="end"/>
          </w:r>
        </w:p>
        <w:p w14:paraId="1F84A296" w14:textId="0281CD2A" w:rsidR="00E53D2B" w:rsidRDefault="00E53D2B" w:rsidP="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8</w:t>
          </w:r>
          <w:r>
            <w:rPr>
              <w:rFonts w:asciiTheme="minorHAnsi" w:eastAsiaTheme="minorEastAsia" w:hAnsiTheme="minorHAnsi" w:cstheme="minorBidi"/>
              <w:bCs w:val="0"/>
              <w:noProof/>
              <w:kern w:val="2"/>
              <w:szCs w:val="22"/>
              <w14:ligatures w14:val="standardContextual"/>
            </w:rPr>
            <w:tab/>
          </w:r>
          <w:r w:rsidRPr="00AE218B">
            <w:rPr>
              <w:b/>
              <w:noProof/>
              <w:color w:val="009999"/>
            </w:rPr>
            <w:t>WARNINGS AND DISCLAIMERS</w:t>
          </w:r>
          <w:r>
            <w:rPr>
              <w:noProof/>
            </w:rPr>
            <w:tab/>
          </w:r>
          <w:r>
            <w:rPr>
              <w:noProof/>
            </w:rPr>
            <w:fldChar w:fldCharType="begin"/>
          </w:r>
          <w:r>
            <w:rPr>
              <w:noProof/>
            </w:rPr>
            <w:instrText xml:space="preserve"> PAGEREF _Toc201679648 \h </w:instrText>
          </w:r>
          <w:r>
            <w:rPr>
              <w:noProof/>
            </w:rPr>
          </w:r>
          <w:r>
            <w:rPr>
              <w:noProof/>
            </w:rPr>
            <w:fldChar w:fldCharType="separate"/>
          </w:r>
          <w:r w:rsidR="009636CC">
            <w:rPr>
              <w:noProof/>
            </w:rPr>
            <w:t>14</w:t>
          </w:r>
          <w:r>
            <w:rPr>
              <w:noProof/>
            </w:rPr>
            <w:fldChar w:fldCharType="end"/>
          </w:r>
        </w:p>
        <w:p w14:paraId="3E5E1B86" w14:textId="02AA119B"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9</w:t>
          </w:r>
          <w:r>
            <w:rPr>
              <w:rFonts w:asciiTheme="minorHAnsi" w:eastAsiaTheme="minorEastAsia" w:hAnsiTheme="minorHAnsi" w:cstheme="minorBidi"/>
              <w:bCs w:val="0"/>
              <w:noProof/>
              <w:kern w:val="2"/>
              <w:szCs w:val="22"/>
              <w14:ligatures w14:val="standardContextual"/>
            </w:rPr>
            <w:tab/>
          </w:r>
          <w:r w:rsidRPr="00AE218B">
            <w:rPr>
              <w:b/>
              <w:noProof/>
              <w:color w:val="009999"/>
            </w:rPr>
            <w:t>TUPE REQUIREMENTS</w:t>
          </w:r>
          <w:r>
            <w:rPr>
              <w:noProof/>
            </w:rPr>
            <w:tab/>
          </w:r>
          <w:r>
            <w:rPr>
              <w:noProof/>
            </w:rPr>
            <w:fldChar w:fldCharType="begin"/>
          </w:r>
          <w:r>
            <w:rPr>
              <w:noProof/>
            </w:rPr>
            <w:instrText xml:space="preserve"> PAGEREF _Toc201679651 \h </w:instrText>
          </w:r>
          <w:r>
            <w:rPr>
              <w:noProof/>
            </w:rPr>
          </w:r>
          <w:r>
            <w:rPr>
              <w:noProof/>
            </w:rPr>
            <w:fldChar w:fldCharType="separate"/>
          </w:r>
          <w:r w:rsidR="009636CC">
            <w:rPr>
              <w:noProof/>
            </w:rPr>
            <w:t>14</w:t>
          </w:r>
          <w:r>
            <w:rPr>
              <w:noProof/>
            </w:rPr>
            <w:fldChar w:fldCharType="end"/>
          </w:r>
        </w:p>
        <w:p w14:paraId="3B52C503" w14:textId="1E66C622"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10</w:t>
          </w:r>
          <w:r>
            <w:rPr>
              <w:rFonts w:asciiTheme="minorHAnsi" w:eastAsiaTheme="minorEastAsia" w:hAnsiTheme="minorHAnsi" w:cstheme="minorBidi"/>
              <w:bCs w:val="0"/>
              <w:noProof/>
              <w:kern w:val="2"/>
              <w:szCs w:val="22"/>
              <w14:ligatures w14:val="standardContextual"/>
            </w:rPr>
            <w:tab/>
          </w:r>
          <w:r w:rsidRPr="00AE218B">
            <w:rPr>
              <w:b/>
              <w:noProof/>
              <w:color w:val="009999"/>
            </w:rPr>
            <w:t>SOCIAL VALUE</w:t>
          </w:r>
          <w:r>
            <w:rPr>
              <w:noProof/>
            </w:rPr>
            <w:tab/>
          </w:r>
          <w:r>
            <w:rPr>
              <w:noProof/>
            </w:rPr>
            <w:fldChar w:fldCharType="begin"/>
          </w:r>
          <w:r>
            <w:rPr>
              <w:noProof/>
            </w:rPr>
            <w:instrText xml:space="preserve"> PAGEREF _Toc201679652 \h </w:instrText>
          </w:r>
          <w:r>
            <w:rPr>
              <w:noProof/>
            </w:rPr>
          </w:r>
          <w:r>
            <w:rPr>
              <w:noProof/>
            </w:rPr>
            <w:fldChar w:fldCharType="separate"/>
          </w:r>
          <w:r w:rsidR="009636CC">
            <w:rPr>
              <w:noProof/>
            </w:rPr>
            <w:t>14</w:t>
          </w:r>
          <w:r>
            <w:rPr>
              <w:noProof/>
            </w:rPr>
            <w:fldChar w:fldCharType="end"/>
          </w:r>
        </w:p>
        <w:p w14:paraId="715CDC0E" w14:textId="0DC46A45"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11</w:t>
          </w:r>
          <w:r>
            <w:rPr>
              <w:rFonts w:asciiTheme="minorHAnsi" w:eastAsiaTheme="minorEastAsia" w:hAnsiTheme="minorHAnsi" w:cstheme="minorBidi"/>
              <w:bCs w:val="0"/>
              <w:noProof/>
              <w:kern w:val="2"/>
              <w:szCs w:val="22"/>
              <w14:ligatures w14:val="standardContextual"/>
            </w:rPr>
            <w:tab/>
          </w:r>
          <w:r w:rsidRPr="00AE218B">
            <w:rPr>
              <w:b/>
              <w:noProof/>
              <w:color w:val="009999"/>
            </w:rPr>
            <w:t>KEY PERFORMANCE INDICATORS (“KPIs”)</w:t>
          </w:r>
          <w:r>
            <w:rPr>
              <w:noProof/>
            </w:rPr>
            <w:tab/>
          </w:r>
          <w:r>
            <w:rPr>
              <w:noProof/>
            </w:rPr>
            <w:fldChar w:fldCharType="begin"/>
          </w:r>
          <w:r>
            <w:rPr>
              <w:noProof/>
            </w:rPr>
            <w:instrText xml:space="preserve"> PAGEREF _Toc201679653 \h </w:instrText>
          </w:r>
          <w:r>
            <w:rPr>
              <w:noProof/>
            </w:rPr>
          </w:r>
          <w:r>
            <w:rPr>
              <w:noProof/>
            </w:rPr>
            <w:fldChar w:fldCharType="separate"/>
          </w:r>
          <w:r w:rsidR="009636CC">
            <w:rPr>
              <w:noProof/>
            </w:rPr>
            <w:t>14</w:t>
          </w:r>
          <w:r>
            <w:rPr>
              <w:noProof/>
            </w:rPr>
            <w:fldChar w:fldCharType="end"/>
          </w:r>
        </w:p>
        <w:p w14:paraId="1272E85E" w14:textId="4458EEF9"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12</w:t>
          </w:r>
          <w:r>
            <w:rPr>
              <w:rFonts w:asciiTheme="minorHAnsi" w:eastAsiaTheme="minorEastAsia" w:hAnsiTheme="minorHAnsi" w:cstheme="minorBidi"/>
              <w:bCs w:val="0"/>
              <w:noProof/>
              <w:kern w:val="2"/>
              <w:szCs w:val="22"/>
              <w14:ligatures w14:val="standardContextual"/>
            </w:rPr>
            <w:tab/>
          </w:r>
          <w:r w:rsidRPr="00AE218B">
            <w:rPr>
              <w:b/>
              <w:noProof/>
              <w:color w:val="009999"/>
            </w:rPr>
            <w:t>TENDER EVALUATION METHODOLOGY</w:t>
          </w:r>
          <w:r>
            <w:rPr>
              <w:noProof/>
            </w:rPr>
            <w:tab/>
          </w:r>
          <w:r>
            <w:rPr>
              <w:noProof/>
            </w:rPr>
            <w:fldChar w:fldCharType="begin"/>
          </w:r>
          <w:r>
            <w:rPr>
              <w:noProof/>
            </w:rPr>
            <w:instrText xml:space="preserve"> PAGEREF _Toc201679654 \h </w:instrText>
          </w:r>
          <w:r>
            <w:rPr>
              <w:noProof/>
            </w:rPr>
          </w:r>
          <w:r>
            <w:rPr>
              <w:noProof/>
            </w:rPr>
            <w:fldChar w:fldCharType="separate"/>
          </w:r>
          <w:r w:rsidR="009636CC">
            <w:rPr>
              <w:noProof/>
            </w:rPr>
            <w:t>15</w:t>
          </w:r>
          <w:r>
            <w:rPr>
              <w:noProof/>
            </w:rPr>
            <w:fldChar w:fldCharType="end"/>
          </w:r>
        </w:p>
        <w:p w14:paraId="5D492B8C" w14:textId="4FEB8E3E"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ANNEX 1 – PROCESS BREAKDOWN</w:t>
          </w:r>
          <w:r>
            <w:rPr>
              <w:noProof/>
            </w:rPr>
            <w:tab/>
          </w:r>
          <w:r>
            <w:rPr>
              <w:noProof/>
            </w:rPr>
            <w:fldChar w:fldCharType="begin"/>
          </w:r>
          <w:r>
            <w:rPr>
              <w:noProof/>
            </w:rPr>
            <w:instrText xml:space="preserve"> PAGEREF _Toc201679655 \h </w:instrText>
          </w:r>
          <w:r>
            <w:rPr>
              <w:noProof/>
            </w:rPr>
          </w:r>
          <w:r>
            <w:rPr>
              <w:noProof/>
            </w:rPr>
            <w:fldChar w:fldCharType="separate"/>
          </w:r>
          <w:r w:rsidR="009636CC">
            <w:rPr>
              <w:noProof/>
            </w:rPr>
            <w:t>24</w:t>
          </w:r>
          <w:r>
            <w:rPr>
              <w:noProof/>
            </w:rPr>
            <w:fldChar w:fldCharType="end"/>
          </w:r>
        </w:p>
        <w:p w14:paraId="5B188C0C" w14:textId="53AB45F3"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ANNEX 2 – OUTLINE SERVICES DESCRIPTION</w:t>
          </w:r>
          <w:r>
            <w:rPr>
              <w:noProof/>
            </w:rPr>
            <w:tab/>
          </w:r>
          <w:r>
            <w:rPr>
              <w:noProof/>
            </w:rPr>
            <w:fldChar w:fldCharType="begin"/>
          </w:r>
          <w:r>
            <w:rPr>
              <w:noProof/>
            </w:rPr>
            <w:instrText xml:space="preserve"> PAGEREF _Toc201679656 \h </w:instrText>
          </w:r>
          <w:r>
            <w:rPr>
              <w:noProof/>
            </w:rPr>
          </w:r>
          <w:r>
            <w:rPr>
              <w:noProof/>
            </w:rPr>
            <w:fldChar w:fldCharType="separate"/>
          </w:r>
          <w:r w:rsidR="009636CC">
            <w:rPr>
              <w:noProof/>
            </w:rPr>
            <w:t>27</w:t>
          </w:r>
          <w:r>
            <w:rPr>
              <w:noProof/>
            </w:rPr>
            <w:fldChar w:fldCharType="end"/>
          </w:r>
        </w:p>
        <w:p w14:paraId="57C1A1AB" w14:textId="6C7BBA6B"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ANNEX 3 – TERMS &amp; CONDITIONS</w:t>
          </w:r>
          <w:r>
            <w:rPr>
              <w:noProof/>
            </w:rPr>
            <w:tab/>
          </w:r>
          <w:r>
            <w:rPr>
              <w:noProof/>
            </w:rPr>
            <w:fldChar w:fldCharType="begin"/>
          </w:r>
          <w:r>
            <w:rPr>
              <w:noProof/>
            </w:rPr>
            <w:instrText xml:space="preserve"> PAGEREF _Toc201679657 \h </w:instrText>
          </w:r>
          <w:r>
            <w:rPr>
              <w:noProof/>
            </w:rPr>
          </w:r>
          <w:r>
            <w:rPr>
              <w:noProof/>
            </w:rPr>
            <w:fldChar w:fldCharType="separate"/>
          </w:r>
          <w:r w:rsidR="009636CC">
            <w:rPr>
              <w:noProof/>
            </w:rPr>
            <w:t>32</w:t>
          </w:r>
          <w:r>
            <w:rPr>
              <w:noProof/>
            </w:rPr>
            <w:fldChar w:fldCharType="end"/>
          </w:r>
        </w:p>
        <w:p w14:paraId="3A63F9E2" w14:textId="0E0A496E"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ANNEX 4 – DEFINITIONS AND ABBREVIATIONS</w:t>
          </w:r>
          <w:r>
            <w:rPr>
              <w:noProof/>
            </w:rPr>
            <w:tab/>
          </w:r>
          <w:r>
            <w:rPr>
              <w:noProof/>
            </w:rPr>
            <w:fldChar w:fldCharType="begin"/>
          </w:r>
          <w:r>
            <w:rPr>
              <w:noProof/>
            </w:rPr>
            <w:instrText xml:space="preserve"> PAGEREF _Toc201679658 \h </w:instrText>
          </w:r>
          <w:r>
            <w:rPr>
              <w:noProof/>
            </w:rPr>
          </w:r>
          <w:r>
            <w:rPr>
              <w:noProof/>
            </w:rPr>
            <w:fldChar w:fldCharType="separate"/>
          </w:r>
          <w:r w:rsidR="009636CC">
            <w:rPr>
              <w:noProof/>
            </w:rPr>
            <w:t>33</w:t>
          </w:r>
          <w:r>
            <w:rPr>
              <w:noProof/>
            </w:rPr>
            <w:fldChar w:fldCharType="end"/>
          </w:r>
        </w:p>
        <w:p w14:paraId="287627FF" w14:textId="603F4C1F" w:rsidR="00E53D2B" w:rsidRDefault="00E53D2B">
          <w:pPr>
            <w:pStyle w:val="TOC1"/>
            <w:rPr>
              <w:noProof/>
            </w:rPr>
          </w:pPr>
          <w:r w:rsidRPr="00AE218B">
            <w:rPr>
              <w:b/>
              <w:noProof/>
              <w:color w:val="009999"/>
            </w:rPr>
            <w:t>ANNEX 5 – SECURITY QUESTIONNAIRE</w:t>
          </w:r>
          <w:r>
            <w:rPr>
              <w:noProof/>
            </w:rPr>
            <w:tab/>
          </w:r>
          <w:r>
            <w:rPr>
              <w:noProof/>
            </w:rPr>
            <w:fldChar w:fldCharType="begin"/>
          </w:r>
          <w:r>
            <w:rPr>
              <w:noProof/>
            </w:rPr>
            <w:instrText xml:space="preserve"> PAGEREF _Toc201679659 \h </w:instrText>
          </w:r>
          <w:r>
            <w:rPr>
              <w:noProof/>
            </w:rPr>
          </w:r>
          <w:r>
            <w:rPr>
              <w:noProof/>
            </w:rPr>
            <w:fldChar w:fldCharType="separate"/>
          </w:r>
          <w:r w:rsidR="009636CC">
            <w:rPr>
              <w:noProof/>
            </w:rPr>
            <w:t>34</w:t>
          </w:r>
          <w:r>
            <w:rPr>
              <w:noProof/>
            </w:rPr>
            <w:fldChar w:fldCharType="end"/>
          </w:r>
        </w:p>
        <w:p w14:paraId="32EB69D8" w14:textId="056003B9" w:rsidR="00321EB9" w:rsidRDefault="00321EB9" w:rsidP="00321EB9">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 xml:space="preserve">ANNEX </w:t>
          </w:r>
          <w:r>
            <w:rPr>
              <w:b/>
              <w:noProof/>
              <w:color w:val="009999"/>
            </w:rPr>
            <w:t>6</w:t>
          </w:r>
          <w:r w:rsidRPr="00AE218B">
            <w:rPr>
              <w:b/>
              <w:noProof/>
              <w:color w:val="009999"/>
            </w:rPr>
            <w:t xml:space="preserve"> </w:t>
          </w:r>
          <w:r w:rsidRPr="00916E2B">
            <w:rPr>
              <w:b/>
              <w:noProof/>
              <w:color w:val="009999"/>
              <w:szCs w:val="22"/>
            </w:rPr>
            <w:t xml:space="preserve">– </w:t>
          </w:r>
          <w:r w:rsidRPr="009129BC">
            <w:rPr>
              <w:rFonts w:cs="Arial"/>
              <w:b/>
              <w:bCs w:val="0"/>
              <w:noProof/>
              <w:color w:val="009999"/>
              <w:szCs w:val="22"/>
            </w:rPr>
            <w:t>FINANCIAL CAPACITY METRIC DEFINITIONS</w:t>
          </w:r>
          <w:r w:rsidRPr="00916E2B">
            <w:rPr>
              <w:noProof/>
              <w:szCs w:val="22"/>
            </w:rPr>
            <w:tab/>
          </w:r>
          <w:r w:rsidR="00344BCF">
            <w:rPr>
              <w:noProof/>
              <w:szCs w:val="22"/>
            </w:rPr>
            <w:t>35</w:t>
          </w:r>
        </w:p>
        <w:p w14:paraId="57E933C2" w14:textId="0EEB6E62"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SCHEDULE 1: PROCUREMENT SPECIFIC QUESTIONNAIRE (PSQ) GUIDANCE AND EVALUATION CRITERIA</w:t>
          </w:r>
          <w:r>
            <w:rPr>
              <w:noProof/>
            </w:rPr>
            <w:tab/>
          </w:r>
          <w:r>
            <w:rPr>
              <w:noProof/>
            </w:rPr>
            <w:fldChar w:fldCharType="begin"/>
          </w:r>
          <w:r>
            <w:rPr>
              <w:noProof/>
            </w:rPr>
            <w:instrText xml:space="preserve"> PAGEREF _Toc201679660 \h </w:instrText>
          </w:r>
          <w:r>
            <w:rPr>
              <w:noProof/>
            </w:rPr>
          </w:r>
          <w:r>
            <w:rPr>
              <w:noProof/>
            </w:rPr>
            <w:fldChar w:fldCharType="separate"/>
          </w:r>
          <w:r w:rsidR="009636CC">
            <w:rPr>
              <w:noProof/>
            </w:rPr>
            <w:t>38</w:t>
          </w:r>
          <w:r>
            <w:rPr>
              <w:noProof/>
            </w:rPr>
            <w:fldChar w:fldCharType="end"/>
          </w:r>
        </w:p>
        <w:p w14:paraId="28737651" w14:textId="1BFDFA60"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SCHEDULE 2: PSQ RESPONSE GUIDANCE</w:t>
          </w:r>
          <w:r>
            <w:rPr>
              <w:noProof/>
            </w:rPr>
            <w:tab/>
          </w:r>
          <w:r>
            <w:rPr>
              <w:noProof/>
            </w:rPr>
            <w:fldChar w:fldCharType="begin"/>
          </w:r>
          <w:r>
            <w:rPr>
              <w:noProof/>
            </w:rPr>
            <w:instrText xml:space="preserve"> PAGEREF _Toc201679661 \h </w:instrText>
          </w:r>
          <w:r>
            <w:rPr>
              <w:noProof/>
            </w:rPr>
          </w:r>
          <w:r>
            <w:rPr>
              <w:noProof/>
            </w:rPr>
            <w:fldChar w:fldCharType="separate"/>
          </w:r>
          <w:r w:rsidR="009636CC">
            <w:rPr>
              <w:noProof/>
            </w:rPr>
            <w:t>68</w:t>
          </w:r>
          <w:r>
            <w:rPr>
              <w:noProof/>
            </w:rPr>
            <w:fldChar w:fldCharType="end"/>
          </w:r>
        </w:p>
        <w:p w14:paraId="708EB6EC" w14:textId="7AF718F3" w:rsidR="00E53D2B" w:rsidRDefault="00E53D2B">
          <w:pPr>
            <w:pStyle w:val="TOC1"/>
            <w:rPr>
              <w:rFonts w:asciiTheme="minorHAnsi" w:eastAsiaTheme="minorEastAsia" w:hAnsiTheme="minorHAnsi" w:cstheme="minorBidi"/>
              <w:bCs w:val="0"/>
              <w:noProof/>
              <w:kern w:val="2"/>
              <w:szCs w:val="22"/>
              <w14:ligatures w14:val="standardContextual"/>
            </w:rPr>
          </w:pPr>
          <w:r w:rsidRPr="00AE218B">
            <w:rPr>
              <w:b/>
              <w:noProof/>
              <w:color w:val="009999"/>
            </w:rPr>
            <w:t>SCHEDULE 3: PSQ EVALUATION GUIDANCE AND CRITERIA</w:t>
          </w:r>
          <w:r>
            <w:rPr>
              <w:noProof/>
            </w:rPr>
            <w:tab/>
          </w:r>
          <w:r>
            <w:rPr>
              <w:noProof/>
            </w:rPr>
            <w:fldChar w:fldCharType="begin"/>
          </w:r>
          <w:r>
            <w:rPr>
              <w:noProof/>
            </w:rPr>
            <w:instrText xml:space="preserve"> PAGEREF _Toc201679662 \h </w:instrText>
          </w:r>
          <w:r>
            <w:rPr>
              <w:noProof/>
            </w:rPr>
          </w:r>
          <w:r>
            <w:rPr>
              <w:noProof/>
            </w:rPr>
            <w:fldChar w:fldCharType="separate"/>
          </w:r>
          <w:r w:rsidR="009636CC">
            <w:rPr>
              <w:noProof/>
            </w:rPr>
            <w:t>69</w:t>
          </w:r>
          <w:r>
            <w:rPr>
              <w:noProof/>
            </w:rPr>
            <w:fldChar w:fldCharType="end"/>
          </w:r>
        </w:p>
        <w:p w14:paraId="61CC33AB" w14:textId="2E0C7019" w:rsidR="00FE2B36" w:rsidRDefault="00FE2B36" w:rsidP="00FE2B36">
          <w:pPr>
            <w:rPr>
              <w:rFonts w:eastAsiaTheme="minorEastAsia"/>
              <w:b/>
              <w:bCs/>
            </w:rPr>
          </w:pPr>
          <w:r>
            <w:rPr>
              <w:rFonts w:eastAsia="Times New Roman" w:cs="Times New Roman"/>
              <w:kern w:val="28"/>
              <w:szCs w:val="24"/>
              <w:lang w:eastAsia="en-GB"/>
            </w:rPr>
            <w:fldChar w:fldCharType="end"/>
          </w:r>
        </w:p>
      </w:sdtContent>
    </w:sdt>
    <w:p w14:paraId="5176CAC3" w14:textId="554D8636" w:rsidR="002E0E22" w:rsidRDefault="002E0E22" w:rsidP="00F31C17">
      <w:pPr>
        <w:tabs>
          <w:tab w:val="left" w:pos="3330"/>
        </w:tabs>
        <w:jc w:val="both"/>
        <w:rPr>
          <w:rFonts w:cs="Arial"/>
          <w:b/>
          <w:color w:val="FF0000"/>
          <w:sz w:val="32"/>
          <w:szCs w:val="32"/>
        </w:rPr>
      </w:pPr>
    </w:p>
    <w:p w14:paraId="1A22AAA0" w14:textId="3EF869E8" w:rsidR="002E0E22" w:rsidRDefault="002E0E22" w:rsidP="00B56B5F">
      <w:pPr>
        <w:tabs>
          <w:tab w:val="left" w:pos="3330"/>
        </w:tabs>
        <w:jc w:val="center"/>
        <w:rPr>
          <w:rFonts w:cs="Arial"/>
          <w:b/>
          <w:color w:val="FF0000"/>
          <w:sz w:val="32"/>
          <w:szCs w:val="32"/>
        </w:rPr>
      </w:pPr>
    </w:p>
    <w:p w14:paraId="5B03C272" w14:textId="3A476F19" w:rsidR="002E0E22" w:rsidRDefault="002E0E22" w:rsidP="00B56B5F">
      <w:pPr>
        <w:tabs>
          <w:tab w:val="left" w:pos="3330"/>
        </w:tabs>
        <w:jc w:val="center"/>
        <w:rPr>
          <w:rFonts w:cs="Arial"/>
          <w:b/>
          <w:color w:val="FF0000"/>
          <w:sz w:val="32"/>
          <w:szCs w:val="32"/>
        </w:rPr>
      </w:pPr>
    </w:p>
    <w:p w14:paraId="65FE9E7E" w14:textId="63DB4E55" w:rsidR="002E0E22" w:rsidRDefault="002E0E22" w:rsidP="00AC14B7">
      <w:pPr>
        <w:tabs>
          <w:tab w:val="left" w:pos="3330"/>
        </w:tabs>
        <w:rPr>
          <w:rFonts w:cs="Arial"/>
          <w:b/>
          <w:color w:val="FF0000"/>
          <w:sz w:val="32"/>
          <w:szCs w:val="32"/>
        </w:rPr>
      </w:pPr>
    </w:p>
    <w:p w14:paraId="2FD309EE" w14:textId="40A955C5" w:rsidR="00F56BE9" w:rsidRPr="002473C2" w:rsidRDefault="00F56BE9" w:rsidP="007B347E">
      <w:pPr>
        <w:pStyle w:val="Head2"/>
        <w:numPr>
          <w:ilvl w:val="0"/>
          <w:numId w:val="6"/>
        </w:numPr>
        <w:spacing w:before="240"/>
        <w:rPr>
          <w:bCs/>
          <w:szCs w:val="28"/>
        </w:rPr>
      </w:pPr>
      <w:bookmarkStart w:id="0" w:name="_Toc201679592"/>
      <w:r w:rsidRPr="00A951A0">
        <w:rPr>
          <w:b/>
          <w:bCs/>
          <w:color w:val="009999"/>
          <w:sz w:val="28"/>
          <w:szCs w:val="28"/>
        </w:rPr>
        <w:t>ABOUT HMRC</w:t>
      </w:r>
      <w:bookmarkEnd w:id="0"/>
    </w:p>
    <w:p w14:paraId="11C36685" w14:textId="0AA8DB3F" w:rsidR="00EF0D78" w:rsidRPr="00EF0D78" w:rsidRDefault="00E01904" w:rsidP="007B347E">
      <w:pPr>
        <w:pStyle w:val="Head2"/>
        <w:numPr>
          <w:ilvl w:val="1"/>
          <w:numId w:val="6"/>
        </w:numPr>
        <w:jc w:val="both"/>
      </w:pPr>
      <w:bookmarkStart w:id="1" w:name="_Toc201679016"/>
      <w:bookmarkStart w:id="2" w:name="_Toc201679593"/>
      <w:r>
        <w:t>HM Revenue &amp; Customs (</w:t>
      </w:r>
      <w:r w:rsidR="00DA2878">
        <w:t>“</w:t>
      </w:r>
      <w:r>
        <w:t>HMRC</w:t>
      </w:r>
      <w:r w:rsidR="00DA2878">
        <w:t>”</w:t>
      </w:r>
      <w:r w:rsidR="00645DE2">
        <w:t xml:space="preserve"> or, in this </w:t>
      </w:r>
      <w:r w:rsidR="003833E5">
        <w:t xml:space="preserve">Condition of Participation </w:t>
      </w:r>
      <w:r w:rsidR="00DD56C1">
        <w:t>(CoP) document</w:t>
      </w:r>
      <w:r w:rsidR="00645DE2">
        <w:t xml:space="preserve"> “we”</w:t>
      </w:r>
      <w:r>
        <w:t xml:space="preserve">) </w:t>
      </w:r>
      <w:r w:rsidR="00C317D6">
        <w:t xml:space="preserve">is </w:t>
      </w:r>
      <w:r w:rsidR="00EF0D78" w:rsidRPr="00EF0D78">
        <w:t>the UK’s tax, payments and customs authority</w:t>
      </w:r>
      <w:r>
        <w:t>. We</w:t>
      </w:r>
      <w:r w:rsidR="00EF0D78" w:rsidRPr="00EF0D78">
        <w:t xml:space="preserve"> have a vital purpose</w:t>
      </w:r>
      <w:r w:rsidR="00DB5FD4">
        <w:t>:</w:t>
      </w:r>
      <w:r>
        <w:t xml:space="preserve"> to </w:t>
      </w:r>
      <w:r w:rsidR="00EF0D78" w:rsidRPr="00EF0D78">
        <w:t>collect the money that pays for the UK’s public services and help families and individuals with targeted financial support.</w:t>
      </w:r>
      <w:bookmarkEnd w:id="1"/>
      <w:bookmarkEnd w:id="2"/>
    </w:p>
    <w:p w14:paraId="1040C141" w14:textId="43072E7B" w:rsidR="00EF0D78" w:rsidRDefault="00EF0D78" w:rsidP="007B347E">
      <w:pPr>
        <w:pStyle w:val="Head2"/>
        <w:numPr>
          <w:ilvl w:val="1"/>
          <w:numId w:val="6"/>
        </w:numPr>
        <w:jc w:val="both"/>
      </w:pPr>
      <w:bookmarkStart w:id="3" w:name="_Toc201679017"/>
      <w:bookmarkStart w:id="4" w:name="_Toc201679594"/>
      <w:r w:rsidRPr="00EF0D78">
        <w:t>We do this by being impartial and increasingly effective and efficient in our administration. We help the honest majority to get their tax right and make it hard for the dishonest minority to cheat the system.</w:t>
      </w:r>
      <w:bookmarkEnd w:id="3"/>
      <w:bookmarkEnd w:id="4"/>
    </w:p>
    <w:p w14:paraId="058693A5" w14:textId="476FAD9D" w:rsidR="00F33D9B" w:rsidRPr="00F33D9B" w:rsidRDefault="00F33D9B" w:rsidP="007B347E">
      <w:pPr>
        <w:pStyle w:val="Head2"/>
        <w:numPr>
          <w:ilvl w:val="1"/>
          <w:numId w:val="6"/>
        </w:numPr>
        <w:jc w:val="both"/>
      </w:pPr>
      <w:bookmarkStart w:id="5" w:name="_Toc201679018"/>
      <w:bookmarkStart w:id="6" w:name="_Toc201679595"/>
      <w:r>
        <w:t>Key responsibilities of HMRC include:</w:t>
      </w:r>
      <w:bookmarkEnd w:id="5"/>
      <w:bookmarkEnd w:id="6"/>
    </w:p>
    <w:p w14:paraId="16DAD552" w14:textId="7E1282F2" w:rsidR="00F33D9B" w:rsidRPr="00F33D9B" w:rsidRDefault="00F33D9B" w:rsidP="007B347E">
      <w:pPr>
        <w:pStyle w:val="ListParagraph"/>
        <w:numPr>
          <w:ilvl w:val="0"/>
          <w:numId w:val="1"/>
        </w:numPr>
        <w:ind w:left="1066" w:hanging="357"/>
        <w:contextualSpacing w:val="0"/>
        <w:jc w:val="both"/>
      </w:pPr>
      <w:r w:rsidRPr="00F33D9B">
        <w:t xml:space="preserve">safeguarding the flow of money to the Exchequer through our collection, </w:t>
      </w:r>
      <w:proofErr w:type="gramStart"/>
      <w:r w:rsidRPr="00F33D9B">
        <w:t>compliance</w:t>
      </w:r>
      <w:proofErr w:type="gramEnd"/>
      <w:r w:rsidRPr="00F33D9B">
        <w:t xml:space="preserve"> and enforcement activities</w:t>
      </w:r>
    </w:p>
    <w:p w14:paraId="64365CFD" w14:textId="763C3036" w:rsidR="00F33D9B" w:rsidRPr="00F33D9B" w:rsidRDefault="003439DF" w:rsidP="007B347E">
      <w:pPr>
        <w:pStyle w:val="ListParagraph"/>
        <w:numPr>
          <w:ilvl w:val="0"/>
          <w:numId w:val="1"/>
        </w:numPr>
        <w:ind w:left="1066" w:hanging="357"/>
        <w:contextualSpacing w:val="0"/>
        <w:jc w:val="both"/>
      </w:pPr>
      <w:r>
        <w:t>ensuring</w:t>
      </w:r>
      <w:r w:rsidR="00F33D9B" w:rsidRPr="00F33D9B">
        <w:t xml:space="preserve"> money is available to fund the UK’s public </w:t>
      </w:r>
      <w:proofErr w:type="gramStart"/>
      <w:r w:rsidR="00F33D9B" w:rsidRPr="00F33D9B">
        <w:t>services</w:t>
      </w:r>
      <w:proofErr w:type="gramEnd"/>
    </w:p>
    <w:p w14:paraId="149A4A94" w14:textId="3A10B902" w:rsidR="00F33D9B" w:rsidRPr="00F33D9B" w:rsidRDefault="00F33D9B" w:rsidP="007B347E">
      <w:pPr>
        <w:pStyle w:val="ListParagraph"/>
        <w:numPr>
          <w:ilvl w:val="0"/>
          <w:numId w:val="1"/>
        </w:numPr>
        <w:ind w:left="1066" w:hanging="357"/>
        <w:contextualSpacing w:val="0"/>
        <w:jc w:val="both"/>
      </w:pPr>
      <w:r w:rsidRPr="00F33D9B">
        <w:t>facilitat</w:t>
      </w:r>
      <w:r w:rsidR="003439DF">
        <w:t>ing</w:t>
      </w:r>
      <w:r w:rsidRPr="00F33D9B">
        <w:t xml:space="preserve"> legitimate international trade, protect</w:t>
      </w:r>
      <w:r w:rsidR="00D93072">
        <w:t>ing</w:t>
      </w:r>
      <w:r w:rsidRPr="00F33D9B">
        <w:t xml:space="preserve"> the UK’s fiscal, economic, </w:t>
      </w:r>
      <w:proofErr w:type="gramStart"/>
      <w:r w:rsidRPr="00F33D9B">
        <w:t>social</w:t>
      </w:r>
      <w:proofErr w:type="gramEnd"/>
      <w:r w:rsidRPr="00F33D9B">
        <w:t xml:space="preserve"> and physical security before and at the border, and collect</w:t>
      </w:r>
      <w:r w:rsidR="00502168">
        <w:t>ing</w:t>
      </w:r>
      <w:r w:rsidRPr="00F33D9B">
        <w:t xml:space="preserve"> UK trade statistics</w:t>
      </w:r>
    </w:p>
    <w:p w14:paraId="7E2BBC1F" w14:textId="57B898CE" w:rsidR="00F33D9B" w:rsidRPr="00F33D9B" w:rsidRDefault="00F33D9B" w:rsidP="007B347E">
      <w:pPr>
        <w:pStyle w:val="ListParagraph"/>
        <w:numPr>
          <w:ilvl w:val="0"/>
          <w:numId w:val="1"/>
        </w:numPr>
        <w:ind w:left="1066" w:hanging="357"/>
        <w:contextualSpacing w:val="0"/>
        <w:jc w:val="both"/>
      </w:pPr>
      <w:r w:rsidRPr="00F33D9B">
        <w:t>administer</w:t>
      </w:r>
      <w:r w:rsidR="003439DF">
        <w:t>ing</w:t>
      </w:r>
      <w:r w:rsidRPr="00F33D9B">
        <w:t xml:space="preserve"> Statutory Payments such as statutory sick pay and statutory maternity pay</w:t>
      </w:r>
    </w:p>
    <w:p w14:paraId="6EDCDF7B" w14:textId="61C0EFC0" w:rsidR="00F33D9B" w:rsidRPr="00F33D9B" w:rsidRDefault="00F33D9B" w:rsidP="007B347E">
      <w:pPr>
        <w:pStyle w:val="ListParagraph"/>
        <w:numPr>
          <w:ilvl w:val="0"/>
          <w:numId w:val="1"/>
        </w:numPr>
        <w:ind w:left="1066" w:hanging="357"/>
        <w:contextualSpacing w:val="0"/>
        <w:jc w:val="both"/>
      </w:pPr>
      <w:r w:rsidRPr="00F33D9B">
        <w:t>help</w:t>
      </w:r>
      <w:r w:rsidR="003439DF">
        <w:t>ing</w:t>
      </w:r>
      <w:r w:rsidRPr="00F33D9B">
        <w:t xml:space="preserve"> families and individuals with targeted financial support through payment of tax credits</w:t>
      </w:r>
    </w:p>
    <w:p w14:paraId="2A765304" w14:textId="20CA25A1" w:rsidR="00F33D9B" w:rsidRPr="00F33D9B" w:rsidRDefault="00F33D9B" w:rsidP="007B347E">
      <w:pPr>
        <w:pStyle w:val="ListParagraph"/>
        <w:numPr>
          <w:ilvl w:val="0"/>
          <w:numId w:val="1"/>
        </w:numPr>
        <w:ind w:left="1066" w:hanging="357"/>
        <w:contextualSpacing w:val="0"/>
        <w:jc w:val="both"/>
      </w:pPr>
      <w:r w:rsidRPr="00F33D9B">
        <w:t>administer</w:t>
      </w:r>
      <w:r w:rsidR="003439DF">
        <w:t>ing</w:t>
      </w:r>
      <w:r w:rsidRPr="00F33D9B">
        <w:t xml:space="preserve"> Child Benefit</w:t>
      </w:r>
    </w:p>
    <w:p w14:paraId="0740304D" w14:textId="751217B5" w:rsidR="00307C76" w:rsidRPr="00307C76" w:rsidRDefault="00F33D9B" w:rsidP="007B347E">
      <w:pPr>
        <w:pStyle w:val="ListParagraph"/>
        <w:numPr>
          <w:ilvl w:val="0"/>
          <w:numId w:val="1"/>
        </w:numPr>
        <w:ind w:left="1066" w:hanging="357"/>
        <w:contextualSpacing w:val="0"/>
        <w:jc w:val="both"/>
      </w:pPr>
      <w:r w:rsidRPr="00F33D9B">
        <w:t>administer</w:t>
      </w:r>
      <w:r w:rsidR="009514B8">
        <w:t>ing</w:t>
      </w:r>
      <w:r w:rsidRPr="00F33D9B">
        <w:t xml:space="preserve"> the </w:t>
      </w:r>
      <w:hyperlink r:id="rId13" w:history="1">
        <w:r w:rsidRPr="00307C76">
          <w:rPr>
            <w:color w:val="0000FF"/>
            <w:u w:val="single"/>
          </w:rPr>
          <w:t>Government Banking Service</w:t>
        </w:r>
      </w:hyperlink>
      <w:r w:rsidR="002D279D" w:rsidRPr="00307C76">
        <w:rPr>
          <w:color w:val="0000FF"/>
          <w:u w:val="single"/>
        </w:rPr>
        <w:t>.</w:t>
      </w:r>
    </w:p>
    <w:p w14:paraId="01F4661E" w14:textId="77777777" w:rsidR="00307C76" w:rsidRDefault="00C57F31" w:rsidP="007B347E">
      <w:pPr>
        <w:pStyle w:val="ListParagraph"/>
        <w:numPr>
          <w:ilvl w:val="1"/>
          <w:numId w:val="6"/>
        </w:numPr>
        <w:contextualSpacing w:val="0"/>
        <w:jc w:val="both"/>
      </w:pPr>
      <w:r>
        <w:t xml:space="preserve">To aid with the delivery </w:t>
      </w:r>
      <w:r w:rsidR="00D02A6A">
        <w:t xml:space="preserve">of HMRC services, we </w:t>
      </w:r>
      <w:r w:rsidR="00D8570F">
        <w:t xml:space="preserve">engage with </w:t>
      </w:r>
      <w:r w:rsidR="00546D14">
        <w:t>supplie</w:t>
      </w:r>
      <w:r w:rsidR="00F44C6E">
        <w:t>r</w:t>
      </w:r>
      <w:r w:rsidR="00546D14">
        <w:t>s to deliver</w:t>
      </w:r>
      <w:r w:rsidR="007F58B8">
        <w:t xml:space="preserve"> </w:t>
      </w:r>
      <w:r w:rsidR="00B02C65">
        <w:t xml:space="preserve">contracts covering a wide range of </w:t>
      </w:r>
      <w:r w:rsidR="002B2CE3">
        <w:t>requirements</w:t>
      </w:r>
      <w:r w:rsidR="00907F7A">
        <w:t>. This procurement exercise is for the provision of such a contract.</w:t>
      </w:r>
    </w:p>
    <w:p w14:paraId="5E69CF7A" w14:textId="77777777" w:rsidR="00564B9C" w:rsidRDefault="00F859F2" w:rsidP="007B347E">
      <w:pPr>
        <w:pStyle w:val="ListParagraph"/>
        <w:numPr>
          <w:ilvl w:val="1"/>
          <w:numId w:val="6"/>
        </w:numPr>
        <w:contextualSpacing w:val="0"/>
        <w:jc w:val="both"/>
      </w:pPr>
      <w:r>
        <w:t>Any contract resulting from this procurement process will be for the use of HMRC</w:t>
      </w:r>
      <w:r w:rsidR="007979E9">
        <w:t xml:space="preserve">, which includes </w:t>
      </w:r>
      <w:r w:rsidR="00E25983">
        <w:t xml:space="preserve">the </w:t>
      </w:r>
      <w:r w:rsidR="00CF1121">
        <w:t>V</w:t>
      </w:r>
      <w:r w:rsidR="00D81242">
        <w:t>aluation Office Agency (</w:t>
      </w:r>
      <w:r w:rsidR="007979E9">
        <w:t>“</w:t>
      </w:r>
      <w:r w:rsidR="00D81242">
        <w:t>VOA</w:t>
      </w:r>
      <w:r w:rsidR="007979E9">
        <w:t>”</w:t>
      </w:r>
      <w:r w:rsidR="00D81242">
        <w:t>)</w:t>
      </w:r>
      <w:r w:rsidR="00CF1121">
        <w:t xml:space="preserve"> </w:t>
      </w:r>
      <w:r w:rsidR="00A23A75">
        <w:t>as</w:t>
      </w:r>
      <w:r w:rsidR="00A66CD4">
        <w:t xml:space="preserve"> </w:t>
      </w:r>
      <w:r w:rsidR="00CF1121">
        <w:t>an executive agency of HMRC</w:t>
      </w:r>
      <w:r w:rsidR="006E47E7">
        <w:t xml:space="preserve">. </w:t>
      </w:r>
      <w:r w:rsidR="00DF37B0">
        <w:t>No</w:t>
      </w:r>
      <w:r w:rsidR="008E737C">
        <w:t xml:space="preserve"> guarantee is </w:t>
      </w:r>
      <w:r w:rsidR="006E1910">
        <w:t>given</w:t>
      </w:r>
      <w:r w:rsidR="008E737C">
        <w:t xml:space="preserve"> that the </w:t>
      </w:r>
      <w:r w:rsidR="00CD0452">
        <w:t xml:space="preserve">services </w:t>
      </w:r>
      <w:r w:rsidR="008E737C">
        <w:t xml:space="preserve">will be </w:t>
      </w:r>
      <w:r w:rsidR="00CD0452">
        <w:t xml:space="preserve">used </w:t>
      </w:r>
      <w:r w:rsidR="00C6717D">
        <w:t>by the VOA.</w:t>
      </w:r>
      <w:r w:rsidR="00821105">
        <w:t xml:space="preserve"> </w:t>
      </w:r>
    </w:p>
    <w:p w14:paraId="626D0535" w14:textId="0D4D623B" w:rsidR="0071091F" w:rsidRDefault="0071091F" w:rsidP="007B347E">
      <w:pPr>
        <w:pStyle w:val="ListParagraph"/>
        <w:numPr>
          <w:ilvl w:val="1"/>
          <w:numId w:val="6"/>
        </w:numPr>
        <w:contextualSpacing w:val="0"/>
        <w:jc w:val="both"/>
      </w:pPr>
      <w:r>
        <w:t>HMRC</w:t>
      </w:r>
      <w:r w:rsidRPr="00BF6E51">
        <w:t xml:space="preserve"> is carrying out the procurement on behalf of itself and any </w:t>
      </w:r>
      <w:proofErr w:type="gramStart"/>
      <w:r>
        <w:t>third party</w:t>
      </w:r>
      <w:proofErr w:type="gramEnd"/>
      <w:r>
        <w:t xml:space="preserve"> beneficiary </w:t>
      </w:r>
      <w:r w:rsidRPr="00BF6E51">
        <w:t xml:space="preserve">referred to in the </w:t>
      </w:r>
      <w:r w:rsidR="00692E09">
        <w:t>tender</w:t>
      </w:r>
      <w:r w:rsidR="00692E09" w:rsidRPr="00BF6E51">
        <w:t xml:space="preserve"> </w:t>
      </w:r>
      <w:r w:rsidRPr="00BF6E51">
        <w:t>notice.</w:t>
      </w:r>
      <w:r>
        <w:t xml:space="preserve"> Any su</w:t>
      </w:r>
      <w:r w:rsidRPr="00BF6E51">
        <w:t xml:space="preserve">ch </w:t>
      </w:r>
      <w:r>
        <w:t>beneficiaries</w:t>
      </w:r>
      <w:r w:rsidRPr="00BF6E51">
        <w:t xml:space="preserve"> </w:t>
      </w:r>
      <w:r>
        <w:t xml:space="preserve">will not </w:t>
      </w:r>
      <w:r w:rsidRPr="00BF6E51">
        <w:t xml:space="preserve">have </w:t>
      </w:r>
      <w:r>
        <w:t>a</w:t>
      </w:r>
      <w:r w:rsidRPr="00BF6E51">
        <w:t xml:space="preserve"> direct contractual relationship with the </w:t>
      </w:r>
      <w:r>
        <w:t>supplier in respect of the services. They will</w:t>
      </w:r>
      <w:r w:rsidRPr="00BF6E51">
        <w:t xml:space="preserve"> </w:t>
      </w:r>
      <w:r>
        <w:t xml:space="preserve">be permitted to </w:t>
      </w:r>
      <w:r w:rsidRPr="00BF6E51">
        <w:t xml:space="preserve">access the </w:t>
      </w:r>
      <w:r>
        <w:t>c</w:t>
      </w:r>
      <w:r w:rsidRPr="00BF6E51">
        <w:t xml:space="preserve">ontract through </w:t>
      </w:r>
      <w:r>
        <w:t>HMRC,</w:t>
      </w:r>
      <w:r w:rsidRPr="00BF6E51">
        <w:t xml:space="preserve"> </w:t>
      </w:r>
      <w:r>
        <w:t>but HMRC gives no guarantee that they will do so.</w:t>
      </w:r>
    </w:p>
    <w:p w14:paraId="3E71BB43" w14:textId="6177F676" w:rsidR="00F56BE9" w:rsidRPr="002473C2" w:rsidRDefault="000E6A99" w:rsidP="007B347E">
      <w:pPr>
        <w:pStyle w:val="Head2"/>
        <w:numPr>
          <w:ilvl w:val="0"/>
          <w:numId w:val="6"/>
        </w:numPr>
        <w:spacing w:before="240"/>
        <w:rPr>
          <w:bCs/>
          <w:szCs w:val="28"/>
        </w:rPr>
      </w:pPr>
      <w:bookmarkStart w:id="7" w:name="_Toc201679596"/>
      <w:r w:rsidRPr="00A951A0">
        <w:rPr>
          <w:b/>
          <w:bCs/>
          <w:color w:val="009999"/>
          <w:sz w:val="28"/>
          <w:szCs w:val="28"/>
        </w:rPr>
        <w:t>OVERVIEW</w:t>
      </w:r>
      <w:bookmarkEnd w:id="7"/>
    </w:p>
    <w:p w14:paraId="75475EDC" w14:textId="57900874" w:rsidR="00DA0FFA" w:rsidRDefault="00DA0FFA" w:rsidP="007B347E">
      <w:pPr>
        <w:pStyle w:val="Head2"/>
        <w:numPr>
          <w:ilvl w:val="1"/>
          <w:numId w:val="6"/>
        </w:numPr>
        <w:jc w:val="both"/>
      </w:pPr>
      <w:bookmarkStart w:id="8" w:name="_Toc201679020"/>
      <w:bookmarkStart w:id="9" w:name="_Toc201679597"/>
      <w:r>
        <w:t xml:space="preserve">HMRC </w:t>
      </w:r>
      <w:r w:rsidR="00EF4C0B">
        <w:t xml:space="preserve">is </w:t>
      </w:r>
      <w:r>
        <w:t xml:space="preserve">conducting this procurement process </w:t>
      </w:r>
      <w:r w:rsidR="00244FB9">
        <w:t>via</w:t>
      </w:r>
      <w:r w:rsidR="004C6605">
        <w:t xml:space="preserve"> a</w:t>
      </w:r>
      <w:r w:rsidR="001E1770">
        <w:t xml:space="preserve"> Competitive Flexible P</w:t>
      </w:r>
      <w:r w:rsidR="004C6605" w:rsidRPr="00A1525B">
        <w:t>rocedure</w:t>
      </w:r>
      <w:r w:rsidR="007B6125">
        <w:t xml:space="preserve">, </w:t>
      </w:r>
      <w:r w:rsidR="008D5822">
        <w:t>in accordance with the requirements of</w:t>
      </w:r>
      <w:r w:rsidR="007B6125">
        <w:t xml:space="preserve"> the </w:t>
      </w:r>
      <w:r w:rsidR="003F0A39">
        <w:t>Procurement Act 202</w:t>
      </w:r>
      <w:r w:rsidR="00875A40">
        <w:t>3</w:t>
      </w:r>
      <w:r w:rsidR="00244FB9">
        <w:t xml:space="preserve"> (</w:t>
      </w:r>
      <w:r w:rsidR="00875A40">
        <w:t>PA 2023</w:t>
      </w:r>
      <w:r w:rsidR="00244FB9">
        <w:t>)</w:t>
      </w:r>
      <w:r w:rsidR="00904782">
        <w:t>.</w:t>
      </w:r>
      <w:r w:rsidR="003B3072">
        <w:t xml:space="preserve"> Please </w:t>
      </w:r>
      <w:r w:rsidR="003B3072" w:rsidRPr="001F2D78">
        <w:t>s</w:t>
      </w:r>
      <w:r w:rsidR="00BB1880" w:rsidRPr="001F2D78">
        <w:t>ee Annex 1</w:t>
      </w:r>
      <w:r w:rsidR="00BB1880">
        <w:t xml:space="preserve"> to this document for the proposed </w:t>
      </w:r>
      <w:r w:rsidR="00446219">
        <w:t xml:space="preserve">outline </w:t>
      </w:r>
      <w:r w:rsidR="00BB1880">
        <w:t>tender process</w:t>
      </w:r>
      <w:r w:rsidR="000A608C">
        <w:t>.</w:t>
      </w:r>
      <w:bookmarkEnd w:id="8"/>
      <w:bookmarkEnd w:id="9"/>
    </w:p>
    <w:p w14:paraId="160BB3B9" w14:textId="4C72DBC2" w:rsidR="00F57CA4" w:rsidRPr="00A255DE" w:rsidRDefault="00CF3F90" w:rsidP="007B347E">
      <w:pPr>
        <w:pStyle w:val="Head2"/>
        <w:numPr>
          <w:ilvl w:val="1"/>
          <w:numId w:val="6"/>
        </w:numPr>
        <w:jc w:val="both"/>
      </w:pPr>
      <w:bookmarkStart w:id="10" w:name="_Toc201679021"/>
      <w:bookmarkStart w:id="11" w:name="_Toc201679598"/>
      <w:r w:rsidRPr="00A255DE">
        <w:t xml:space="preserve">The </w:t>
      </w:r>
      <w:r w:rsidR="00043006" w:rsidRPr="00A255DE">
        <w:t xml:space="preserve">contract </w:t>
      </w:r>
      <w:r w:rsidR="00210908" w:rsidRPr="00A255DE">
        <w:t xml:space="preserve">to be awarded </w:t>
      </w:r>
      <w:proofErr w:type="gramStart"/>
      <w:r w:rsidR="00210908" w:rsidRPr="00A255DE">
        <w:t>as a result of</w:t>
      </w:r>
      <w:proofErr w:type="gramEnd"/>
      <w:r w:rsidR="00043006" w:rsidRPr="00A255DE">
        <w:t xml:space="preserve"> this procurement exercise is for the provision of </w:t>
      </w:r>
      <w:proofErr w:type="spellStart"/>
      <w:r w:rsidR="00727D7D" w:rsidRPr="003F3AFE">
        <w:t>Hyperscaler</w:t>
      </w:r>
      <w:proofErr w:type="spellEnd"/>
      <w:r w:rsidR="00727D7D" w:rsidRPr="003F3AFE">
        <w:t xml:space="preserve"> Services to enable Data Centre Exit</w:t>
      </w:r>
      <w:r w:rsidR="00740931" w:rsidRPr="00A255DE">
        <w:rPr>
          <w:color w:val="FF0000"/>
        </w:rPr>
        <w:t>.</w:t>
      </w:r>
      <w:r w:rsidR="00D72556" w:rsidRPr="00A255DE">
        <w:t xml:space="preserve"> </w:t>
      </w:r>
      <w:r w:rsidR="0022269C" w:rsidRPr="00A255DE">
        <w:t xml:space="preserve">Please see </w:t>
      </w:r>
      <w:r w:rsidR="007772CB" w:rsidRPr="00771866">
        <w:t>Annex 2</w:t>
      </w:r>
      <w:r w:rsidR="007772CB" w:rsidRPr="00A255DE">
        <w:t xml:space="preserve"> for </w:t>
      </w:r>
      <w:r w:rsidR="0025467E">
        <w:t xml:space="preserve">a </w:t>
      </w:r>
      <w:proofErr w:type="gramStart"/>
      <w:r w:rsidR="00371883">
        <w:t>high level</w:t>
      </w:r>
      <w:proofErr w:type="gramEnd"/>
      <w:r w:rsidR="00371883" w:rsidRPr="00A255DE">
        <w:t xml:space="preserve"> </w:t>
      </w:r>
      <w:r w:rsidR="007772CB" w:rsidRPr="00A255DE">
        <w:t>description of the services required</w:t>
      </w:r>
      <w:r w:rsidR="001B3BD3">
        <w:t>.</w:t>
      </w:r>
      <w:bookmarkEnd w:id="10"/>
      <w:bookmarkEnd w:id="11"/>
    </w:p>
    <w:p w14:paraId="77F4625B" w14:textId="50A50F9F" w:rsidR="00057F80" w:rsidRDefault="0027496C" w:rsidP="007B347E">
      <w:pPr>
        <w:pStyle w:val="Head2"/>
        <w:numPr>
          <w:ilvl w:val="1"/>
          <w:numId w:val="6"/>
        </w:numPr>
        <w:jc w:val="both"/>
      </w:pPr>
      <w:bookmarkStart w:id="12" w:name="_Toc201679022"/>
      <w:bookmarkStart w:id="13" w:name="_Toc201679599"/>
      <w:r>
        <w:t xml:space="preserve">During the term of the contract HMRC may require </w:t>
      </w:r>
      <w:r w:rsidR="00875CB9">
        <w:t xml:space="preserve">changes to the scope of the </w:t>
      </w:r>
      <w:r w:rsidR="007053BC">
        <w:t>contract,</w:t>
      </w:r>
      <w:r w:rsidR="0066297A">
        <w:t xml:space="preserve"> for example</w:t>
      </w:r>
      <w:r w:rsidR="008D3B9A">
        <w:t xml:space="preserve"> </w:t>
      </w:r>
      <w:r w:rsidR="006F6BE4">
        <w:t>changes to the volumes</w:t>
      </w:r>
      <w:r w:rsidR="00FC08C5" w:rsidRPr="00A57EE5">
        <w:t>.</w:t>
      </w:r>
      <w:r w:rsidR="00C108F7" w:rsidRPr="00A57EE5">
        <w:t xml:space="preserve"> </w:t>
      </w:r>
      <w:r w:rsidR="000E3B5A" w:rsidRPr="003F3AFE">
        <w:t>Any services in the S</w:t>
      </w:r>
      <w:r w:rsidR="00AF7898" w:rsidRPr="003F3AFE">
        <w:t>ervices Description</w:t>
      </w:r>
      <w:r w:rsidR="00335DC3">
        <w:t xml:space="preserve"> (Annex 2)</w:t>
      </w:r>
      <w:r w:rsidR="000E3B5A" w:rsidRPr="003F3AFE">
        <w:t xml:space="preserve"> </w:t>
      </w:r>
      <w:r w:rsidR="00E71F78" w:rsidRPr="003F3AFE">
        <w:t xml:space="preserve">set out </w:t>
      </w:r>
      <w:r w:rsidR="000E3B5A" w:rsidRPr="003F3AFE">
        <w:t xml:space="preserve">as </w:t>
      </w:r>
      <w:r w:rsidR="00BD1A89" w:rsidRPr="003F3AFE">
        <w:t>“</w:t>
      </w:r>
      <w:r w:rsidR="000E3B5A" w:rsidRPr="003F3AFE">
        <w:t>Optional Services</w:t>
      </w:r>
      <w:r w:rsidR="00BD1A89" w:rsidRPr="003F3AFE">
        <w:t>”</w:t>
      </w:r>
      <w:r w:rsidR="000E3B5A" w:rsidRPr="003F3AFE">
        <w:t xml:space="preserve"> </w:t>
      </w:r>
      <w:r w:rsidR="007248B5" w:rsidRPr="003F3AFE">
        <w:t xml:space="preserve">are </w:t>
      </w:r>
      <w:r w:rsidR="00BA6247" w:rsidRPr="003F3AFE">
        <w:t xml:space="preserve">additional </w:t>
      </w:r>
      <w:r w:rsidR="00E55A16" w:rsidRPr="003F3AFE">
        <w:t xml:space="preserve">services that </w:t>
      </w:r>
      <w:r w:rsidR="00E25292" w:rsidRPr="003F3AFE">
        <w:t xml:space="preserve">the supplier will be required to provide if requested by HMRC </w:t>
      </w:r>
      <w:r w:rsidR="00735882" w:rsidRPr="003F3AFE">
        <w:t>during the lifetime of the contract</w:t>
      </w:r>
      <w:r w:rsidR="00A36207" w:rsidRPr="003F3AFE">
        <w:t>,</w:t>
      </w:r>
      <w:r w:rsidR="00A36207" w:rsidRPr="00A57EE5">
        <w:t xml:space="preserve"> in</w:t>
      </w:r>
      <w:r w:rsidR="00A36207">
        <w:t xml:space="preserve"> accordance with the contract terms</w:t>
      </w:r>
      <w:r w:rsidR="00AE45F2">
        <w:t xml:space="preserve">. </w:t>
      </w:r>
      <w:r w:rsidR="004818E2" w:rsidRPr="004818E2">
        <w:t xml:space="preserve">HMRC provides no guarantee that </w:t>
      </w:r>
      <w:r w:rsidR="008B5F54">
        <w:t>any such changes</w:t>
      </w:r>
      <w:r w:rsidR="004818E2" w:rsidRPr="004818E2">
        <w:t xml:space="preserve"> will be required or delivered under the contract.</w:t>
      </w:r>
      <w:r w:rsidR="00BD1A89">
        <w:t xml:space="preserve"> </w:t>
      </w:r>
      <w:r w:rsidR="000F563B">
        <w:t>The total value of the contract as set out in the Tender Notice includes these Optional Services.</w:t>
      </w:r>
      <w:bookmarkEnd w:id="12"/>
      <w:bookmarkEnd w:id="13"/>
    </w:p>
    <w:p w14:paraId="37074746" w14:textId="39EBC1F5" w:rsidR="00DC73B9" w:rsidRDefault="00DC73B9" w:rsidP="007B347E">
      <w:pPr>
        <w:pStyle w:val="Head2"/>
        <w:numPr>
          <w:ilvl w:val="1"/>
          <w:numId w:val="6"/>
        </w:numPr>
        <w:jc w:val="both"/>
      </w:pPr>
      <w:bookmarkStart w:id="14" w:name="_Toc201679023"/>
      <w:bookmarkStart w:id="15" w:name="_Toc201679600"/>
      <w:r>
        <w:t xml:space="preserve">The successful supplier </w:t>
      </w:r>
      <w:r w:rsidR="00C30301">
        <w:t>will be required to</w:t>
      </w:r>
      <w:r>
        <w:t xml:space="preserve"> deliver the </w:t>
      </w:r>
      <w:r w:rsidR="00CA5937">
        <w:t>services</w:t>
      </w:r>
      <w:r w:rsidR="00A82B7A">
        <w:t xml:space="preserve"> in full compliance with the </w:t>
      </w:r>
      <w:r w:rsidR="00BB06E8">
        <w:t xml:space="preserve">requirements outlined by HMRC </w:t>
      </w:r>
      <w:r w:rsidR="0000647E">
        <w:t>with</w:t>
      </w:r>
      <w:r w:rsidR="00BB06E8">
        <w:t>in the entire suite of documents included as part of this tender process</w:t>
      </w:r>
      <w:r w:rsidR="00A24005">
        <w:t xml:space="preserve"> and as they evolve during the competition</w:t>
      </w:r>
      <w:r w:rsidR="00CA5937">
        <w:t>, as will be reflected in the contract</w:t>
      </w:r>
      <w:r w:rsidR="00A24005">
        <w:t xml:space="preserve"> that is </w:t>
      </w:r>
      <w:proofErr w:type="gramStart"/>
      <w:r w:rsidR="00A24005">
        <w:t>entered into</w:t>
      </w:r>
      <w:proofErr w:type="gramEnd"/>
      <w:r w:rsidR="00BB06E8">
        <w:t>.</w:t>
      </w:r>
      <w:bookmarkEnd w:id="14"/>
      <w:bookmarkEnd w:id="15"/>
      <w:r w:rsidR="00BB06E8">
        <w:t xml:space="preserve"> </w:t>
      </w:r>
    </w:p>
    <w:p w14:paraId="0375068B" w14:textId="11DACD8F" w:rsidR="001E1D67" w:rsidRPr="00BD7173" w:rsidRDefault="00046D95" w:rsidP="007B347E">
      <w:pPr>
        <w:pStyle w:val="Head2"/>
        <w:numPr>
          <w:ilvl w:val="1"/>
          <w:numId w:val="6"/>
        </w:numPr>
        <w:jc w:val="both"/>
      </w:pPr>
      <w:bookmarkStart w:id="16" w:name="_Toc201679024"/>
      <w:bookmarkStart w:id="17" w:name="_Toc201679601"/>
      <w:r>
        <w:t xml:space="preserve">The duration of the contract </w:t>
      </w:r>
      <w:r w:rsidRPr="004768CB">
        <w:t xml:space="preserve">will be </w:t>
      </w:r>
      <w:r w:rsidR="007E6E6C" w:rsidRPr="004768CB">
        <w:t>7</w:t>
      </w:r>
      <w:r w:rsidR="000F2449" w:rsidRPr="004768CB">
        <w:t xml:space="preserve"> years</w:t>
      </w:r>
      <w:r w:rsidR="00FC0AE2" w:rsidRPr="004768CB">
        <w:t xml:space="preserve"> with </w:t>
      </w:r>
      <w:r w:rsidR="005F598B" w:rsidRPr="004768CB">
        <w:t>option</w:t>
      </w:r>
      <w:r w:rsidR="00BC1BBA" w:rsidRPr="004768CB">
        <w:t xml:space="preserve"> to extend </w:t>
      </w:r>
      <w:r w:rsidR="005F598B" w:rsidRPr="004768CB">
        <w:t xml:space="preserve">a further </w:t>
      </w:r>
      <w:r w:rsidR="00775AED" w:rsidRPr="004768CB">
        <w:t>2</w:t>
      </w:r>
      <w:r w:rsidR="005F598B" w:rsidRPr="004768CB">
        <w:t xml:space="preserve"> years</w:t>
      </w:r>
      <w:r w:rsidR="00BC1BBA" w:rsidRPr="004768CB">
        <w:t xml:space="preserve"> </w:t>
      </w:r>
      <w:r w:rsidR="00775AED" w:rsidRPr="004768CB">
        <w:t xml:space="preserve">and a further option to </w:t>
      </w:r>
      <w:r w:rsidR="00BC1BBA" w:rsidRPr="004768CB">
        <w:t xml:space="preserve">extend </w:t>
      </w:r>
      <w:r w:rsidR="00775AED" w:rsidRPr="004768CB">
        <w:t>an additional 1 year (a total of 10 years)</w:t>
      </w:r>
      <w:r w:rsidR="00DF0A7D" w:rsidRPr="004768CB">
        <w:t xml:space="preserve">, </w:t>
      </w:r>
      <w:r w:rsidR="00F55FC8" w:rsidRPr="004768CB">
        <w:t xml:space="preserve">this </w:t>
      </w:r>
      <w:r w:rsidR="00AD2086" w:rsidRPr="004768CB">
        <w:t>includes, Migration, BAU and Contract Exit</w:t>
      </w:r>
      <w:r w:rsidR="00AD2086">
        <w:t>.</w:t>
      </w:r>
      <w:bookmarkEnd w:id="16"/>
      <w:bookmarkEnd w:id="17"/>
    </w:p>
    <w:p w14:paraId="481DE8D0" w14:textId="3CBAB7B8" w:rsidR="000F788C" w:rsidRDefault="000F788C" w:rsidP="007B347E">
      <w:pPr>
        <w:pStyle w:val="Head2"/>
        <w:numPr>
          <w:ilvl w:val="1"/>
          <w:numId w:val="6"/>
        </w:numPr>
        <w:jc w:val="both"/>
      </w:pPr>
      <w:bookmarkStart w:id="18" w:name="_Toc201679025"/>
      <w:bookmarkStart w:id="19" w:name="_Toc201679602"/>
      <w:r>
        <w:t xml:space="preserve">The </w:t>
      </w:r>
      <w:r w:rsidR="00817D47">
        <w:t>approximate</w:t>
      </w:r>
      <w:r>
        <w:t xml:space="preserve"> annual</w:t>
      </w:r>
      <w:r w:rsidR="004A45B0">
        <w:t xml:space="preserve"> contract value </w:t>
      </w:r>
      <w:r w:rsidR="004A45B0" w:rsidRPr="003E246C">
        <w:rPr>
          <w:color w:val="000000" w:themeColor="text1"/>
        </w:rPr>
        <w:t xml:space="preserve">is </w:t>
      </w:r>
      <w:r w:rsidR="00F70BFC" w:rsidRPr="003E246C">
        <w:rPr>
          <w:color w:val="000000" w:themeColor="text1"/>
        </w:rPr>
        <w:t>£41.6m</w:t>
      </w:r>
      <w:r w:rsidR="004A45B0" w:rsidRPr="003E246C">
        <w:rPr>
          <w:color w:val="000000" w:themeColor="text1"/>
        </w:rPr>
        <w:t xml:space="preserve"> (</w:t>
      </w:r>
      <w:r w:rsidR="004A45B0">
        <w:t>ex</w:t>
      </w:r>
      <w:r w:rsidR="00271101">
        <w:t>cluding</w:t>
      </w:r>
      <w:r w:rsidR="004A45B0">
        <w:t xml:space="preserve"> VAT)</w:t>
      </w:r>
      <w:r w:rsidR="007D5910">
        <w:t>, with an estimated total contract value (</w:t>
      </w:r>
      <w:r w:rsidR="0071707E">
        <w:t>inclusive of any option</w:t>
      </w:r>
      <w:r w:rsidR="00C02177">
        <w:t>al term and optional service</w:t>
      </w:r>
      <w:r w:rsidR="0071707E">
        <w:t xml:space="preserve">s) </w:t>
      </w:r>
      <w:r w:rsidR="0071707E" w:rsidRPr="003E246C">
        <w:rPr>
          <w:color w:val="000000" w:themeColor="text1"/>
        </w:rPr>
        <w:t xml:space="preserve">of </w:t>
      </w:r>
      <w:r w:rsidR="00F70BFC" w:rsidRPr="003E246C">
        <w:rPr>
          <w:color w:val="000000" w:themeColor="text1"/>
        </w:rPr>
        <w:t xml:space="preserve">£416m </w:t>
      </w:r>
      <w:r w:rsidR="00ED1394">
        <w:t>(excluding VAT)</w:t>
      </w:r>
      <w:r w:rsidR="004A45B0">
        <w:t xml:space="preserve">. </w:t>
      </w:r>
      <w:bookmarkStart w:id="20" w:name="_Hlk94260873"/>
      <w:r w:rsidR="00817D47">
        <w:t>This is an estimate only</w:t>
      </w:r>
      <w:r w:rsidR="00D32F32">
        <w:t xml:space="preserve">. </w:t>
      </w:r>
      <w:r w:rsidR="00817D47">
        <w:t xml:space="preserve">HMRC provides </w:t>
      </w:r>
      <w:r w:rsidR="008F6379">
        <w:t>n</w:t>
      </w:r>
      <w:r w:rsidR="00817D47">
        <w:t xml:space="preserve">o guarantee </w:t>
      </w:r>
      <w:r w:rsidR="00C81307">
        <w:t>as to the quantity</w:t>
      </w:r>
      <w:r w:rsidR="00935166">
        <w:t xml:space="preserve"> or </w:t>
      </w:r>
      <w:r w:rsidR="00C81307">
        <w:t xml:space="preserve">value of </w:t>
      </w:r>
      <w:r w:rsidR="002D0722">
        <w:t>wor</w:t>
      </w:r>
      <w:r w:rsidR="001F71F3">
        <w:t>k</w:t>
      </w:r>
      <w:r w:rsidR="002D0722">
        <w:t xml:space="preserve"> </w:t>
      </w:r>
      <w:r w:rsidR="00C81307">
        <w:t xml:space="preserve">that will be placed with </w:t>
      </w:r>
      <w:r w:rsidR="00935166">
        <w:t xml:space="preserve">any </w:t>
      </w:r>
      <w:r w:rsidR="00C81307">
        <w:t>successful supplier</w:t>
      </w:r>
      <w:r w:rsidR="00AC5F8E">
        <w:t>. A</w:t>
      </w:r>
      <w:r w:rsidR="00D32F32">
        <w:t xml:space="preserve">ny </w:t>
      </w:r>
      <w:r w:rsidR="00071355">
        <w:t>contract val</w:t>
      </w:r>
      <w:r w:rsidR="00B41A6F">
        <w:t>u</w:t>
      </w:r>
      <w:r w:rsidR="00071355">
        <w:t>es</w:t>
      </w:r>
      <w:r w:rsidR="00B41A6F">
        <w:t>, d</w:t>
      </w:r>
      <w:r w:rsidR="00B41A6F" w:rsidRPr="00B41A6F">
        <w:t xml:space="preserve">etails of current expenditure or </w:t>
      </w:r>
      <w:r w:rsidR="00B41A6F">
        <w:t xml:space="preserve">indications of </w:t>
      </w:r>
      <w:r w:rsidR="00B41A6F" w:rsidRPr="00B41A6F">
        <w:t>potential future uptake</w:t>
      </w:r>
      <w:r w:rsidR="00B41A6F">
        <w:t xml:space="preserve"> </w:t>
      </w:r>
      <w:r w:rsidR="00D05E4F">
        <w:t xml:space="preserve">provided </w:t>
      </w:r>
      <w:r w:rsidR="00072943">
        <w:t>in this</w:t>
      </w:r>
      <w:r w:rsidR="00BF1EDF">
        <w:t xml:space="preserve"> </w:t>
      </w:r>
      <w:r w:rsidR="00C66B47">
        <w:t>document</w:t>
      </w:r>
      <w:r w:rsidR="00072943">
        <w:t xml:space="preserve"> or otherwise </w:t>
      </w:r>
      <w:r w:rsidR="00D05E4F">
        <w:t xml:space="preserve">as part of this procurement exercise </w:t>
      </w:r>
      <w:r w:rsidR="00B22576">
        <w:t>are indicative only.</w:t>
      </w:r>
      <w:bookmarkEnd w:id="18"/>
      <w:bookmarkEnd w:id="19"/>
    </w:p>
    <w:p w14:paraId="6D660DE6" w14:textId="27C23589" w:rsidR="007C6650" w:rsidRDefault="007C6650" w:rsidP="007B347E">
      <w:pPr>
        <w:pStyle w:val="Head2"/>
        <w:numPr>
          <w:ilvl w:val="1"/>
          <w:numId w:val="6"/>
        </w:numPr>
        <w:jc w:val="both"/>
      </w:pPr>
      <w:bookmarkStart w:id="21" w:name="_Toc201679026"/>
      <w:bookmarkStart w:id="22" w:name="_Toc201679603"/>
      <w:bookmarkEnd w:id="20"/>
      <w:r w:rsidRPr="007C6650">
        <w:t xml:space="preserve">The resulting contract will be awarded to a single supplier who will act as the prime contractor and accordingly be responsible for the provision of </w:t>
      </w:r>
      <w:proofErr w:type="gramStart"/>
      <w:r w:rsidRPr="007C6650">
        <w:t>all of</w:t>
      </w:r>
      <w:proofErr w:type="gramEnd"/>
      <w:r w:rsidRPr="007C6650">
        <w:t xml:space="preserve"> the services in accordance with the contract</w:t>
      </w:r>
      <w:bookmarkEnd w:id="21"/>
      <w:bookmarkEnd w:id="22"/>
      <w:r w:rsidR="00DE7F08">
        <w:t>.</w:t>
      </w:r>
    </w:p>
    <w:p w14:paraId="7FB9EF26" w14:textId="6D6C713D" w:rsidR="00852C49" w:rsidRDefault="008E6502" w:rsidP="00CD08FD">
      <w:pPr>
        <w:pStyle w:val="Head2"/>
        <w:numPr>
          <w:ilvl w:val="1"/>
          <w:numId w:val="6"/>
        </w:numPr>
        <w:jc w:val="both"/>
      </w:pPr>
      <w:bookmarkStart w:id="23" w:name="_Toc201679027"/>
      <w:bookmarkStart w:id="24" w:name="_Toc201679604"/>
      <w:r w:rsidRPr="00465633">
        <w:t xml:space="preserve">HMRC provides no guarantee it will </w:t>
      </w:r>
      <w:proofErr w:type="gramStart"/>
      <w:r w:rsidRPr="00465633">
        <w:t>enter into</w:t>
      </w:r>
      <w:proofErr w:type="gramEnd"/>
      <w:r w:rsidRPr="00465633">
        <w:t xml:space="preserve"> a</w:t>
      </w:r>
      <w:r w:rsidR="00C56179">
        <w:t>ny</w:t>
      </w:r>
      <w:r w:rsidRPr="00465633">
        <w:t xml:space="preserve"> contract resulting </w:t>
      </w:r>
      <w:r w:rsidRPr="00D97B6E">
        <w:t xml:space="preserve">from this procurement </w:t>
      </w:r>
      <w:r w:rsidR="0040440C" w:rsidRPr="00D97B6E">
        <w:t>exercise. HMRC reserves the right to cancel</w:t>
      </w:r>
      <w:r w:rsidR="0040440C" w:rsidRPr="00465633">
        <w:t xml:space="preserve"> and/or amend the requirements of this procurement process </w:t>
      </w:r>
      <w:r w:rsidR="0014675E" w:rsidRPr="00465633">
        <w:t>at any point and will not be liable to any third party should an</w:t>
      </w:r>
      <w:r w:rsidR="00174F48" w:rsidRPr="00465633">
        <w:t>y</w:t>
      </w:r>
      <w:r w:rsidR="0014675E" w:rsidRPr="00465633">
        <w:t xml:space="preserve"> such cancel</w:t>
      </w:r>
      <w:r w:rsidR="00330484">
        <w:t>l</w:t>
      </w:r>
      <w:r w:rsidR="0014675E" w:rsidRPr="00465633">
        <w:t>ation/amendment occur.</w:t>
      </w:r>
      <w:bookmarkEnd w:id="23"/>
      <w:bookmarkEnd w:id="24"/>
    </w:p>
    <w:p w14:paraId="6BABDEC6" w14:textId="77777777" w:rsidR="00732B55" w:rsidRDefault="000D432B" w:rsidP="00CD08FD">
      <w:pPr>
        <w:pStyle w:val="Head2"/>
        <w:numPr>
          <w:ilvl w:val="1"/>
          <w:numId w:val="6"/>
        </w:numPr>
        <w:jc w:val="both"/>
      </w:pPr>
      <w:r>
        <w:t xml:space="preserve">Tenderers </w:t>
      </w:r>
      <w:r w:rsidR="00403845" w:rsidRPr="00403845">
        <w:t>are required to provide their responses to the Procurement Specific Questionnaire (PSQ) published as part of this CoP document by no later than</w:t>
      </w:r>
      <w:r w:rsidR="00381392">
        <w:t xml:space="preserve"> 13:00 on</w:t>
      </w:r>
      <w:r w:rsidR="00BD5FBE">
        <w:t xml:space="preserve"> the</w:t>
      </w:r>
      <w:r w:rsidR="00D7662D">
        <w:t xml:space="preserve"> </w:t>
      </w:r>
      <w:proofErr w:type="gramStart"/>
      <w:r w:rsidR="00D7662D">
        <w:t>23</w:t>
      </w:r>
      <w:r w:rsidR="00D7662D" w:rsidRPr="009129BC">
        <w:rPr>
          <w:vertAlign w:val="superscript"/>
        </w:rPr>
        <w:t>rd</w:t>
      </w:r>
      <w:proofErr w:type="gramEnd"/>
      <w:r w:rsidR="00D7662D">
        <w:t xml:space="preserve"> July </w:t>
      </w:r>
      <w:r w:rsidR="00381392">
        <w:t>2025</w:t>
      </w:r>
      <w:r w:rsidR="00732B55">
        <w:t xml:space="preserve">. </w:t>
      </w:r>
    </w:p>
    <w:p w14:paraId="6DB84CB5" w14:textId="2720DF1F" w:rsidR="00AD0066" w:rsidRPr="00465633" w:rsidRDefault="00732B55" w:rsidP="00CD08FD">
      <w:pPr>
        <w:pStyle w:val="Head2"/>
        <w:numPr>
          <w:ilvl w:val="1"/>
          <w:numId w:val="6"/>
        </w:numPr>
        <w:jc w:val="both"/>
      </w:pPr>
      <w:r w:rsidRPr="00732B55">
        <w:t>The provision of a complete PSQ response will constitute a request to participate in the procurement process</w:t>
      </w:r>
      <w:r>
        <w:t>.</w:t>
      </w:r>
    </w:p>
    <w:p w14:paraId="25B4E138" w14:textId="094AADDB" w:rsidR="00173C5D" w:rsidRPr="00CD08FD" w:rsidRDefault="00A368F2" w:rsidP="00CD08FD">
      <w:pPr>
        <w:pStyle w:val="Head2"/>
        <w:numPr>
          <w:ilvl w:val="0"/>
          <w:numId w:val="6"/>
        </w:numPr>
        <w:spacing w:before="240"/>
        <w:rPr>
          <w:b/>
          <w:color w:val="009999"/>
          <w:sz w:val="28"/>
          <w:szCs w:val="28"/>
        </w:rPr>
      </w:pPr>
      <w:bookmarkStart w:id="25" w:name="_Toc201679605"/>
      <w:r>
        <w:rPr>
          <w:b/>
          <w:bCs/>
          <w:color w:val="009999"/>
          <w:sz w:val="28"/>
          <w:szCs w:val="28"/>
        </w:rPr>
        <w:t>PROCUREMENT</w:t>
      </w:r>
      <w:r w:rsidRPr="00173C5D">
        <w:rPr>
          <w:b/>
          <w:bCs/>
          <w:color w:val="009999"/>
          <w:sz w:val="28"/>
          <w:szCs w:val="28"/>
        </w:rPr>
        <w:t xml:space="preserve"> </w:t>
      </w:r>
      <w:r w:rsidR="003A2691" w:rsidRPr="00173C5D">
        <w:rPr>
          <w:b/>
          <w:bCs/>
          <w:color w:val="009999"/>
          <w:sz w:val="28"/>
          <w:szCs w:val="28"/>
        </w:rPr>
        <w:t>TIME</w:t>
      </w:r>
      <w:r w:rsidR="00EA3670" w:rsidRPr="00173C5D">
        <w:rPr>
          <w:b/>
          <w:bCs/>
          <w:color w:val="009999"/>
          <w:sz w:val="28"/>
          <w:szCs w:val="28"/>
        </w:rPr>
        <w:t>TABLE</w:t>
      </w:r>
      <w:bookmarkEnd w:id="25"/>
    </w:p>
    <w:p w14:paraId="3F9E68FB" w14:textId="7E069288" w:rsidR="00770703" w:rsidRDefault="00EA3670" w:rsidP="0085565B">
      <w:pPr>
        <w:pStyle w:val="Head2"/>
        <w:numPr>
          <w:ilvl w:val="1"/>
          <w:numId w:val="9"/>
        </w:numPr>
        <w:spacing w:before="240"/>
        <w:jc w:val="both"/>
      </w:pPr>
      <w:bookmarkStart w:id="26" w:name="_Toc201679029"/>
      <w:bookmarkStart w:id="27" w:name="_Toc201679606"/>
      <w:r>
        <w:t>The anticipated timetable for this procurement is outline</w:t>
      </w:r>
      <w:r w:rsidR="00E56594">
        <w:t>d</w:t>
      </w:r>
      <w:r>
        <w:t xml:space="preserve"> below. This is intended </w:t>
      </w:r>
      <w:r w:rsidR="004458A6">
        <w:t xml:space="preserve">as a guide only and </w:t>
      </w:r>
      <w:r w:rsidR="00254A17">
        <w:t>we</w:t>
      </w:r>
      <w:r w:rsidR="00906F17">
        <w:t xml:space="preserve"> reserve the right to adjust th</w:t>
      </w:r>
      <w:r w:rsidR="004D475F">
        <w:t>is</w:t>
      </w:r>
      <w:r w:rsidR="00906F17">
        <w:t xml:space="preserve"> timetable</w:t>
      </w:r>
      <w:r w:rsidR="003956DA" w:rsidRPr="00EA5732">
        <w:t xml:space="preserve">, </w:t>
      </w:r>
      <w:r w:rsidR="004D475F" w:rsidRPr="00EA5732">
        <w:t xml:space="preserve">the </w:t>
      </w:r>
      <w:r w:rsidR="003956DA" w:rsidRPr="00EA5732">
        <w:t xml:space="preserve">structure </w:t>
      </w:r>
      <w:r w:rsidR="004D475F" w:rsidRPr="00EA5732">
        <w:t>and/</w:t>
      </w:r>
      <w:r w:rsidR="003956DA" w:rsidRPr="00EA5732">
        <w:t xml:space="preserve">or </w:t>
      </w:r>
      <w:r w:rsidR="00D57BED" w:rsidRPr="00EA5732">
        <w:t xml:space="preserve">the </w:t>
      </w:r>
      <w:r w:rsidR="003956DA" w:rsidRPr="00EA5732">
        <w:t>content of the procuremen</w:t>
      </w:r>
      <w:r w:rsidR="004D475F" w:rsidRPr="00EA5732">
        <w:t>t</w:t>
      </w:r>
      <w:r w:rsidR="003956DA" w:rsidRPr="00EA5732">
        <w:t xml:space="preserve"> process</w:t>
      </w:r>
      <w:r w:rsidR="00906F17" w:rsidRPr="00EA5732">
        <w:t xml:space="preserve"> at </w:t>
      </w:r>
      <w:r w:rsidR="008A03BA">
        <w:t xml:space="preserve">any time at </w:t>
      </w:r>
      <w:r w:rsidR="007E1EF8" w:rsidRPr="00EA5732">
        <w:t>our</w:t>
      </w:r>
      <w:r w:rsidR="00191C71" w:rsidRPr="00EA5732">
        <w:t xml:space="preserve"> discretion</w:t>
      </w:r>
      <w:r w:rsidR="00E56594" w:rsidRPr="00EA5732">
        <w:t xml:space="preserve">. </w:t>
      </w:r>
      <w:r w:rsidR="00DA5E5A">
        <w:t xml:space="preserve">Additional stages may also be added </w:t>
      </w:r>
      <w:r w:rsidR="00831A7E">
        <w:t xml:space="preserve">where they are deemed appropriate.  </w:t>
      </w:r>
      <w:r w:rsidR="00254A17" w:rsidRPr="00EA5732">
        <w:t>We</w:t>
      </w:r>
      <w:r w:rsidR="00900E5B" w:rsidRPr="00EA5732">
        <w:t xml:space="preserve"> will </w:t>
      </w:r>
      <w:r w:rsidR="00900E5B" w:rsidRPr="00465633">
        <w:t>notify</w:t>
      </w:r>
      <w:r w:rsidR="00900E5B">
        <w:t xml:space="preserve"> all </w:t>
      </w:r>
      <w:r w:rsidR="00654816">
        <w:t>T</w:t>
      </w:r>
      <w:r w:rsidR="00C22F4A">
        <w:t>enderers</w:t>
      </w:r>
      <w:r w:rsidR="00900E5B">
        <w:t xml:space="preserve"> of any </w:t>
      </w:r>
      <w:r w:rsidR="007930DD">
        <w:t>changes</w:t>
      </w:r>
      <w:r w:rsidR="00902C57">
        <w:t xml:space="preserve"> to the timetable</w:t>
      </w:r>
      <w:r w:rsidR="00895E75">
        <w:t xml:space="preserve"> via the Ariba messaging function</w:t>
      </w:r>
      <w:r w:rsidR="00AC3006">
        <w:t>. Where we refer to any deadlines or dates in the tender timetable</w:t>
      </w:r>
      <w:r w:rsidR="00E90F58">
        <w:t xml:space="preserve"> </w:t>
      </w:r>
      <w:r w:rsidR="006700DB">
        <w:t>i</w:t>
      </w:r>
      <w:r w:rsidR="00341A21">
        <w:t xml:space="preserve">n this </w:t>
      </w:r>
      <w:r w:rsidR="00FF13BD">
        <w:t>document</w:t>
      </w:r>
      <w:r w:rsidR="00341A21">
        <w:t xml:space="preserve">, </w:t>
      </w:r>
      <w:r w:rsidR="007F41D4">
        <w:t>(</w:t>
      </w:r>
      <w:r w:rsidR="002F5BFF">
        <w:t>e.g.</w:t>
      </w:r>
      <w:r w:rsidR="007F41D4">
        <w:t xml:space="preserve"> </w:t>
      </w:r>
      <w:r w:rsidR="00AC078B">
        <w:t xml:space="preserve">the Clarification Deadline or Tender </w:t>
      </w:r>
      <w:r w:rsidR="006C6489">
        <w:t>Response</w:t>
      </w:r>
      <w:r w:rsidR="00AC078B">
        <w:t xml:space="preserve"> Deadline</w:t>
      </w:r>
      <w:r w:rsidR="007F41D4">
        <w:t>)</w:t>
      </w:r>
      <w:r w:rsidR="005E293E">
        <w:t xml:space="preserve">, we </w:t>
      </w:r>
      <w:r w:rsidR="00ED355F">
        <w:t>are referring to th</w:t>
      </w:r>
      <w:r w:rsidR="001E6448">
        <w:t>e</w:t>
      </w:r>
      <w:r w:rsidR="00ED355F">
        <w:t xml:space="preserve"> deadli</w:t>
      </w:r>
      <w:r w:rsidR="001920AB">
        <w:t xml:space="preserve">ne </w:t>
      </w:r>
      <w:r w:rsidR="00620B67">
        <w:t>or date</w:t>
      </w:r>
      <w:r w:rsidR="001E6448">
        <w:t xml:space="preserve"> </w:t>
      </w:r>
      <w:r w:rsidR="004F6DD6">
        <w:t xml:space="preserve">as </w:t>
      </w:r>
      <w:r w:rsidR="001E6448">
        <w:t>may have been changed in this way</w:t>
      </w:r>
      <w:r w:rsidR="00D02F6E">
        <w:t>.</w:t>
      </w:r>
      <w:bookmarkEnd w:id="26"/>
      <w:bookmarkEnd w:id="27"/>
      <w:r w:rsidR="00BA2198">
        <w:t xml:space="preserve"> </w:t>
      </w:r>
    </w:p>
    <w:p w14:paraId="5A2F21F8" w14:textId="6B6D5369" w:rsidR="006D519E" w:rsidRDefault="006D519E" w:rsidP="0085565B">
      <w:pPr>
        <w:pStyle w:val="Head2"/>
        <w:numPr>
          <w:ilvl w:val="1"/>
          <w:numId w:val="9"/>
        </w:numPr>
        <w:spacing w:before="240"/>
        <w:jc w:val="both"/>
      </w:pPr>
      <w:bookmarkStart w:id="28" w:name="_Toc201679030"/>
      <w:bookmarkStart w:id="29" w:name="_Toc201679607"/>
      <w:r>
        <w:t xml:space="preserve">Any reference to a time of day </w:t>
      </w:r>
      <w:r w:rsidR="009117FD">
        <w:t>refers</w:t>
      </w:r>
      <w:r>
        <w:t xml:space="preserve"> to</w:t>
      </w:r>
      <w:r w:rsidR="009117FD">
        <w:t xml:space="preserve"> the </w:t>
      </w:r>
      <w:r w:rsidR="00385D15">
        <w:t>local</w:t>
      </w:r>
      <w:r w:rsidR="009117FD">
        <w:t xml:space="preserve"> time in London, England</w:t>
      </w:r>
      <w:r>
        <w:t>.</w:t>
      </w:r>
      <w:bookmarkEnd w:id="28"/>
      <w:bookmarkEnd w:id="29"/>
    </w:p>
    <w:tbl>
      <w:tblPr>
        <w:tblStyle w:val="3"/>
        <w:tblW w:w="906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6227"/>
        <w:gridCol w:w="2835"/>
      </w:tblGrid>
      <w:tr w:rsidR="00562C3D" w:rsidRPr="00F414BB" w14:paraId="287C7EA6" w14:textId="77777777" w:rsidTr="00225FF7">
        <w:tc>
          <w:tcPr>
            <w:tcW w:w="6227" w:type="dxa"/>
            <w:shd w:val="clear" w:color="auto" w:fill="D9E2F3" w:themeFill="accent1" w:themeFillTint="33"/>
            <w:tcMar>
              <w:top w:w="100" w:type="dxa"/>
              <w:left w:w="100" w:type="dxa"/>
              <w:bottom w:w="100" w:type="dxa"/>
              <w:right w:w="100" w:type="dxa"/>
            </w:tcMar>
          </w:tcPr>
          <w:p w14:paraId="317C55A7" w14:textId="77777777" w:rsidR="00562C3D" w:rsidRPr="00F414BB" w:rsidRDefault="00562C3D" w:rsidP="00084E0F">
            <w:pPr>
              <w:pStyle w:val="Head2"/>
              <w:numPr>
                <w:ilvl w:val="0"/>
                <w:numId w:val="0"/>
              </w:numPr>
              <w:pBdr>
                <w:top w:val="nil"/>
                <w:left w:val="nil"/>
                <w:bottom w:val="nil"/>
                <w:right w:val="nil"/>
                <w:between w:val="nil"/>
              </w:pBdr>
              <w:jc w:val="center"/>
              <w:rPr>
                <w:rFonts w:cs="Arial"/>
                <w:b/>
                <w:bCs/>
                <w:color w:val="000000" w:themeColor="text1"/>
                <w:szCs w:val="22"/>
              </w:rPr>
            </w:pPr>
            <w:bookmarkStart w:id="30" w:name="_Toc201679031"/>
            <w:bookmarkStart w:id="31" w:name="_Toc201679608"/>
            <w:r w:rsidRPr="00F414BB">
              <w:rPr>
                <w:rFonts w:cs="Arial"/>
                <w:b/>
                <w:bCs/>
                <w:color w:val="000000" w:themeColor="text1"/>
                <w:szCs w:val="22"/>
              </w:rPr>
              <w:t>Procurement Stage</w:t>
            </w:r>
            <w:bookmarkEnd w:id="30"/>
            <w:bookmarkEnd w:id="31"/>
          </w:p>
        </w:tc>
        <w:tc>
          <w:tcPr>
            <w:tcW w:w="2835" w:type="dxa"/>
            <w:shd w:val="clear" w:color="auto" w:fill="D9E2F3" w:themeFill="accent1" w:themeFillTint="33"/>
            <w:tcMar>
              <w:top w:w="100" w:type="dxa"/>
              <w:left w:w="100" w:type="dxa"/>
              <w:bottom w:w="100" w:type="dxa"/>
              <w:right w:w="100" w:type="dxa"/>
            </w:tcMar>
          </w:tcPr>
          <w:p w14:paraId="09EEC808" w14:textId="77777777" w:rsidR="00562C3D" w:rsidRPr="00F414BB" w:rsidRDefault="00562C3D" w:rsidP="00084E0F">
            <w:pPr>
              <w:pStyle w:val="Head2"/>
              <w:numPr>
                <w:ilvl w:val="0"/>
                <w:numId w:val="0"/>
              </w:numPr>
              <w:pBdr>
                <w:top w:val="nil"/>
                <w:left w:val="nil"/>
                <w:bottom w:val="nil"/>
                <w:right w:val="nil"/>
                <w:between w:val="nil"/>
              </w:pBdr>
              <w:jc w:val="center"/>
              <w:rPr>
                <w:rFonts w:cs="Arial"/>
                <w:b/>
                <w:bCs/>
                <w:color w:val="000000" w:themeColor="text1"/>
                <w:szCs w:val="22"/>
              </w:rPr>
            </w:pPr>
            <w:bookmarkStart w:id="32" w:name="_Toc201679032"/>
            <w:bookmarkStart w:id="33" w:name="_Toc201679609"/>
            <w:r w:rsidRPr="00F414BB">
              <w:rPr>
                <w:rFonts w:cs="Arial"/>
                <w:b/>
                <w:bCs/>
                <w:color w:val="000000" w:themeColor="text1"/>
                <w:szCs w:val="22"/>
              </w:rPr>
              <w:t>Date</w:t>
            </w:r>
            <w:bookmarkEnd w:id="32"/>
            <w:bookmarkEnd w:id="33"/>
          </w:p>
        </w:tc>
      </w:tr>
      <w:tr w:rsidR="00562C3D" w:rsidRPr="00F414BB" w14:paraId="4419D4C8" w14:textId="77777777" w:rsidTr="00562C3D">
        <w:tc>
          <w:tcPr>
            <w:tcW w:w="9062" w:type="dxa"/>
            <w:gridSpan w:val="2"/>
            <w:shd w:val="clear" w:color="auto" w:fill="auto"/>
            <w:tcMar>
              <w:top w:w="100" w:type="dxa"/>
              <w:left w:w="100" w:type="dxa"/>
              <w:bottom w:w="100" w:type="dxa"/>
              <w:right w:w="100" w:type="dxa"/>
            </w:tcMar>
          </w:tcPr>
          <w:p w14:paraId="4B13726E" w14:textId="596E1A7A" w:rsidR="00562C3D" w:rsidRPr="00F414BB" w:rsidRDefault="00562C3D" w:rsidP="00084E0F">
            <w:pPr>
              <w:widowControl w:val="0"/>
              <w:pBdr>
                <w:top w:val="nil"/>
                <w:left w:val="nil"/>
                <w:bottom w:val="nil"/>
                <w:right w:val="nil"/>
                <w:between w:val="nil"/>
              </w:pBdr>
              <w:jc w:val="center"/>
              <w:rPr>
                <w:rFonts w:eastAsia="Arial" w:cs="Arial"/>
                <w:color w:val="FF0000"/>
                <w:sz w:val="22"/>
                <w:szCs w:val="22"/>
              </w:rPr>
            </w:pPr>
            <w:r w:rsidRPr="00562C3D">
              <w:rPr>
                <w:rFonts w:eastAsia="Arial" w:cs="Arial"/>
                <w:b/>
                <w:bCs/>
                <w:color w:val="000000" w:themeColor="text1"/>
                <w:sz w:val="22"/>
                <w:szCs w:val="22"/>
              </w:rPr>
              <w:t xml:space="preserve">Stage 1 – </w:t>
            </w:r>
            <w:r w:rsidR="0037477B" w:rsidRPr="0037477B">
              <w:rPr>
                <w:rFonts w:eastAsia="Arial" w:cs="Arial"/>
                <w:b/>
                <w:bCs/>
                <w:color w:val="000000" w:themeColor="text1"/>
                <w:sz w:val="22"/>
                <w:szCs w:val="22"/>
              </w:rPr>
              <w:t>Invitation to participate and submit Procurement Specific Questionnaire (PSQ)</w:t>
            </w:r>
          </w:p>
        </w:tc>
      </w:tr>
      <w:tr w:rsidR="00562C3D" w:rsidRPr="00F414BB" w14:paraId="15F4DB62" w14:textId="77777777" w:rsidTr="00225FF7">
        <w:tc>
          <w:tcPr>
            <w:tcW w:w="6227" w:type="dxa"/>
            <w:shd w:val="clear" w:color="auto" w:fill="auto"/>
            <w:tcMar>
              <w:top w:w="100" w:type="dxa"/>
              <w:left w:w="100" w:type="dxa"/>
              <w:bottom w:w="100" w:type="dxa"/>
              <w:right w:w="100" w:type="dxa"/>
            </w:tcMar>
          </w:tcPr>
          <w:p w14:paraId="2E04C8EF"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Procurement Specific Questionnaire (PSQ) Published</w:t>
            </w:r>
          </w:p>
        </w:tc>
        <w:tc>
          <w:tcPr>
            <w:tcW w:w="2835" w:type="dxa"/>
            <w:shd w:val="clear" w:color="auto" w:fill="auto"/>
            <w:tcMar>
              <w:top w:w="100" w:type="dxa"/>
              <w:left w:w="100" w:type="dxa"/>
              <w:bottom w:w="100" w:type="dxa"/>
              <w:right w:w="100" w:type="dxa"/>
            </w:tcMar>
          </w:tcPr>
          <w:p w14:paraId="089D4F38"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26/06/2025</w:t>
            </w:r>
          </w:p>
        </w:tc>
      </w:tr>
      <w:tr w:rsidR="00562C3D" w:rsidRPr="00F414BB" w14:paraId="36E80E82" w14:textId="77777777" w:rsidTr="00225FF7">
        <w:tc>
          <w:tcPr>
            <w:tcW w:w="6227" w:type="dxa"/>
            <w:shd w:val="clear" w:color="auto" w:fill="auto"/>
            <w:tcMar>
              <w:top w:w="100" w:type="dxa"/>
              <w:left w:w="100" w:type="dxa"/>
              <w:bottom w:w="100" w:type="dxa"/>
              <w:right w:w="100" w:type="dxa"/>
            </w:tcMar>
          </w:tcPr>
          <w:p w14:paraId="6D90EF61"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PSQ Clarification Deadline</w:t>
            </w:r>
          </w:p>
        </w:tc>
        <w:tc>
          <w:tcPr>
            <w:tcW w:w="2835" w:type="dxa"/>
            <w:shd w:val="clear" w:color="auto" w:fill="auto"/>
            <w:tcMar>
              <w:top w:w="100" w:type="dxa"/>
              <w:left w:w="100" w:type="dxa"/>
              <w:bottom w:w="100" w:type="dxa"/>
              <w:right w:w="100" w:type="dxa"/>
            </w:tcMar>
          </w:tcPr>
          <w:p w14:paraId="6C3C3F97"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09/07/2025</w:t>
            </w:r>
          </w:p>
          <w:p w14:paraId="5E607EA9"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 13:00</w:t>
            </w:r>
          </w:p>
        </w:tc>
      </w:tr>
      <w:tr w:rsidR="00562C3D" w:rsidRPr="00F414BB" w14:paraId="19B1E5A8" w14:textId="77777777" w:rsidTr="00225FF7">
        <w:tc>
          <w:tcPr>
            <w:tcW w:w="6227" w:type="dxa"/>
            <w:shd w:val="clear" w:color="auto" w:fill="auto"/>
            <w:tcMar>
              <w:top w:w="100" w:type="dxa"/>
              <w:left w:w="100" w:type="dxa"/>
              <w:bottom w:w="100" w:type="dxa"/>
              <w:right w:w="100" w:type="dxa"/>
            </w:tcMar>
          </w:tcPr>
          <w:p w14:paraId="7F816764" w14:textId="083D25DC"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 xml:space="preserve">Authority response deadline to </w:t>
            </w:r>
            <w:r w:rsidR="00B15A9D">
              <w:rPr>
                <w:rFonts w:eastAsia="Arial" w:cs="Arial"/>
                <w:color w:val="000000" w:themeColor="text1"/>
                <w:sz w:val="22"/>
                <w:szCs w:val="22"/>
              </w:rPr>
              <w:t>Clarification Questions (</w:t>
            </w:r>
            <w:r w:rsidRPr="00F414BB">
              <w:rPr>
                <w:rFonts w:eastAsia="Arial" w:cs="Arial"/>
                <w:color w:val="000000" w:themeColor="text1"/>
                <w:sz w:val="22"/>
                <w:szCs w:val="22"/>
              </w:rPr>
              <w:t>CQ</w:t>
            </w:r>
            <w:r w:rsidR="000E548C">
              <w:rPr>
                <w:rFonts w:eastAsia="Arial" w:cs="Arial"/>
                <w:color w:val="000000" w:themeColor="text1"/>
                <w:sz w:val="22"/>
                <w:szCs w:val="22"/>
              </w:rPr>
              <w:t>s)</w:t>
            </w:r>
          </w:p>
        </w:tc>
        <w:tc>
          <w:tcPr>
            <w:tcW w:w="2835" w:type="dxa"/>
            <w:shd w:val="clear" w:color="auto" w:fill="auto"/>
            <w:tcMar>
              <w:top w:w="100" w:type="dxa"/>
              <w:left w:w="100" w:type="dxa"/>
              <w:bottom w:w="100" w:type="dxa"/>
              <w:right w:w="100" w:type="dxa"/>
            </w:tcMar>
          </w:tcPr>
          <w:p w14:paraId="22686330"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16/07/2025</w:t>
            </w:r>
          </w:p>
        </w:tc>
      </w:tr>
      <w:tr w:rsidR="00562C3D" w:rsidRPr="00F414BB" w14:paraId="69F15CDB" w14:textId="77777777" w:rsidTr="00225FF7">
        <w:tc>
          <w:tcPr>
            <w:tcW w:w="6227" w:type="dxa"/>
            <w:shd w:val="clear" w:color="auto" w:fill="auto"/>
            <w:tcMar>
              <w:top w:w="100" w:type="dxa"/>
              <w:left w:w="100" w:type="dxa"/>
              <w:bottom w:w="100" w:type="dxa"/>
              <w:right w:w="100" w:type="dxa"/>
            </w:tcMar>
          </w:tcPr>
          <w:p w14:paraId="58C420DE"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Procurement Specific Questionnaire (PSQ) Response Deadline</w:t>
            </w:r>
          </w:p>
        </w:tc>
        <w:tc>
          <w:tcPr>
            <w:tcW w:w="2835" w:type="dxa"/>
            <w:shd w:val="clear" w:color="auto" w:fill="auto"/>
            <w:tcMar>
              <w:top w:w="100" w:type="dxa"/>
              <w:left w:w="100" w:type="dxa"/>
              <w:bottom w:w="100" w:type="dxa"/>
              <w:right w:w="100" w:type="dxa"/>
            </w:tcMar>
          </w:tcPr>
          <w:p w14:paraId="772DBF62"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23/07/2025</w:t>
            </w:r>
          </w:p>
          <w:p w14:paraId="31141188" w14:textId="0CAD0DBF"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w:t>
            </w:r>
            <w:r>
              <w:rPr>
                <w:rFonts w:eastAsia="Arial" w:cs="Arial"/>
                <w:b/>
                <w:bCs/>
                <w:sz w:val="22"/>
                <w:szCs w:val="22"/>
              </w:rPr>
              <w:t xml:space="preserve"> 13</w:t>
            </w:r>
            <w:r w:rsidRPr="00562C3D">
              <w:rPr>
                <w:rFonts w:eastAsia="Arial" w:cs="Arial"/>
                <w:b/>
                <w:bCs/>
                <w:sz w:val="22"/>
                <w:szCs w:val="22"/>
              </w:rPr>
              <w:t>:00</w:t>
            </w:r>
          </w:p>
        </w:tc>
      </w:tr>
      <w:tr w:rsidR="00562C3D" w:rsidRPr="00F414BB" w14:paraId="6BF2DE15" w14:textId="77777777" w:rsidTr="00225FF7">
        <w:tc>
          <w:tcPr>
            <w:tcW w:w="6227" w:type="dxa"/>
            <w:shd w:val="clear" w:color="auto" w:fill="auto"/>
            <w:tcMar>
              <w:top w:w="100" w:type="dxa"/>
              <w:left w:w="100" w:type="dxa"/>
              <w:bottom w:w="100" w:type="dxa"/>
              <w:right w:w="100" w:type="dxa"/>
            </w:tcMar>
          </w:tcPr>
          <w:p w14:paraId="6B841E37"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Evaluate, Moderate &amp; Generate Shortlist</w:t>
            </w:r>
          </w:p>
        </w:tc>
        <w:tc>
          <w:tcPr>
            <w:tcW w:w="2835" w:type="dxa"/>
            <w:shd w:val="clear" w:color="auto" w:fill="auto"/>
            <w:tcMar>
              <w:top w:w="100" w:type="dxa"/>
              <w:left w:w="100" w:type="dxa"/>
              <w:bottom w:w="100" w:type="dxa"/>
              <w:right w:w="100" w:type="dxa"/>
            </w:tcMar>
          </w:tcPr>
          <w:p w14:paraId="468809F5"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24/07/2025</w:t>
            </w:r>
          </w:p>
        </w:tc>
      </w:tr>
      <w:tr w:rsidR="00562C3D" w:rsidRPr="00F414BB" w14:paraId="74CE9F1F" w14:textId="77777777" w:rsidTr="00225FF7">
        <w:tc>
          <w:tcPr>
            <w:tcW w:w="6227" w:type="dxa"/>
            <w:shd w:val="clear" w:color="auto" w:fill="auto"/>
            <w:tcMar>
              <w:top w:w="100" w:type="dxa"/>
              <w:left w:w="100" w:type="dxa"/>
              <w:bottom w:w="100" w:type="dxa"/>
              <w:right w:w="100" w:type="dxa"/>
            </w:tcMar>
          </w:tcPr>
          <w:p w14:paraId="5F3EC2EA"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Shortlist Outcome Published</w:t>
            </w:r>
          </w:p>
        </w:tc>
        <w:tc>
          <w:tcPr>
            <w:tcW w:w="2835" w:type="dxa"/>
            <w:shd w:val="clear" w:color="auto" w:fill="auto"/>
            <w:tcMar>
              <w:top w:w="100" w:type="dxa"/>
              <w:left w:w="100" w:type="dxa"/>
              <w:bottom w:w="100" w:type="dxa"/>
              <w:right w:w="100" w:type="dxa"/>
            </w:tcMar>
          </w:tcPr>
          <w:p w14:paraId="05C86B72"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12/08/2025</w:t>
            </w:r>
          </w:p>
        </w:tc>
      </w:tr>
      <w:tr w:rsidR="00562C3D" w:rsidRPr="00F414BB" w14:paraId="6EF74DC1" w14:textId="77777777" w:rsidTr="00562C3D">
        <w:tc>
          <w:tcPr>
            <w:tcW w:w="9062" w:type="dxa"/>
            <w:gridSpan w:val="2"/>
            <w:shd w:val="clear" w:color="auto" w:fill="auto"/>
            <w:tcMar>
              <w:top w:w="100" w:type="dxa"/>
              <w:left w:w="100" w:type="dxa"/>
              <w:bottom w:w="100" w:type="dxa"/>
              <w:right w:w="100" w:type="dxa"/>
            </w:tcMar>
          </w:tcPr>
          <w:p w14:paraId="35BB56A2" w14:textId="3E059CD6"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Stage 2</w:t>
            </w:r>
            <w:r w:rsidR="0037477B">
              <w:rPr>
                <w:rFonts w:eastAsia="Arial" w:cs="Arial"/>
                <w:b/>
                <w:bCs/>
                <w:sz w:val="22"/>
                <w:szCs w:val="22"/>
              </w:rPr>
              <w:t xml:space="preserve"> - </w:t>
            </w:r>
            <w:r w:rsidR="0037477B" w:rsidRPr="0037477B">
              <w:rPr>
                <w:rFonts w:cs="Arial"/>
                <w:b/>
                <w:bCs/>
                <w:sz w:val="22"/>
                <w:szCs w:val="22"/>
              </w:rPr>
              <w:t>Invitation To Submit Initial Tenders (ITSIT)</w:t>
            </w:r>
          </w:p>
        </w:tc>
      </w:tr>
      <w:tr w:rsidR="00562C3D" w:rsidRPr="00F414BB" w14:paraId="31808F3C" w14:textId="77777777" w:rsidTr="00225FF7">
        <w:tc>
          <w:tcPr>
            <w:tcW w:w="6227" w:type="dxa"/>
            <w:shd w:val="clear" w:color="auto" w:fill="auto"/>
            <w:tcMar>
              <w:top w:w="100" w:type="dxa"/>
              <w:left w:w="100" w:type="dxa"/>
              <w:bottom w:w="100" w:type="dxa"/>
              <w:right w:w="100" w:type="dxa"/>
            </w:tcMar>
          </w:tcPr>
          <w:p w14:paraId="206EDB34"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Invitation to Submit Initial Tender (ITSIT) Published to Shortlisted Suppliers</w:t>
            </w:r>
          </w:p>
        </w:tc>
        <w:tc>
          <w:tcPr>
            <w:tcW w:w="2835" w:type="dxa"/>
            <w:shd w:val="clear" w:color="auto" w:fill="auto"/>
            <w:tcMar>
              <w:top w:w="100" w:type="dxa"/>
              <w:left w:w="100" w:type="dxa"/>
              <w:bottom w:w="100" w:type="dxa"/>
              <w:right w:w="100" w:type="dxa"/>
            </w:tcMar>
          </w:tcPr>
          <w:p w14:paraId="57DC178E"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14/08/2025</w:t>
            </w:r>
          </w:p>
        </w:tc>
      </w:tr>
      <w:tr w:rsidR="00562C3D" w:rsidRPr="00F414BB" w14:paraId="381CE84E" w14:textId="77777777" w:rsidTr="00225FF7">
        <w:tc>
          <w:tcPr>
            <w:tcW w:w="6227" w:type="dxa"/>
            <w:shd w:val="clear" w:color="auto" w:fill="auto"/>
            <w:tcMar>
              <w:top w:w="100" w:type="dxa"/>
              <w:left w:w="100" w:type="dxa"/>
              <w:bottom w:w="100" w:type="dxa"/>
              <w:right w:w="100" w:type="dxa"/>
            </w:tcMar>
          </w:tcPr>
          <w:p w14:paraId="2C03B2CF"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ITSIT Clarification Deadline</w:t>
            </w:r>
          </w:p>
        </w:tc>
        <w:tc>
          <w:tcPr>
            <w:tcW w:w="2835" w:type="dxa"/>
            <w:shd w:val="clear" w:color="auto" w:fill="auto"/>
            <w:tcMar>
              <w:top w:w="100" w:type="dxa"/>
              <w:left w:w="100" w:type="dxa"/>
              <w:bottom w:w="100" w:type="dxa"/>
              <w:right w:w="100" w:type="dxa"/>
            </w:tcMar>
          </w:tcPr>
          <w:p w14:paraId="24EF8A04"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27/08/2025</w:t>
            </w:r>
          </w:p>
          <w:p w14:paraId="148E74A0"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 13:00</w:t>
            </w:r>
          </w:p>
        </w:tc>
      </w:tr>
      <w:tr w:rsidR="00562C3D" w:rsidRPr="00F414BB" w14:paraId="53BE910C" w14:textId="77777777" w:rsidTr="00225FF7">
        <w:tc>
          <w:tcPr>
            <w:tcW w:w="6227" w:type="dxa"/>
            <w:shd w:val="clear" w:color="auto" w:fill="auto"/>
            <w:tcMar>
              <w:top w:w="100" w:type="dxa"/>
              <w:left w:w="100" w:type="dxa"/>
              <w:bottom w:w="100" w:type="dxa"/>
              <w:right w:w="100" w:type="dxa"/>
            </w:tcMar>
          </w:tcPr>
          <w:p w14:paraId="4808CB6E" w14:textId="209B74EB"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Authority response deadline to CQ</w:t>
            </w:r>
            <w:r w:rsidR="000E548C">
              <w:rPr>
                <w:rFonts w:eastAsia="Arial" w:cs="Arial"/>
                <w:color w:val="000000" w:themeColor="text1"/>
                <w:sz w:val="22"/>
                <w:szCs w:val="22"/>
              </w:rPr>
              <w:t>s</w:t>
            </w:r>
          </w:p>
        </w:tc>
        <w:tc>
          <w:tcPr>
            <w:tcW w:w="2835" w:type="dxa"/>
            <w:shd w:val="clear" w:color="auto" w:fill="auto"/>
            <w:tcMar>
              <w:top w:w="100" w:type="dxa"/>
              <w:left w:w="100" w:type="dxa"/>
              <w:bottom w:w="100" w:type="dxa"/>
              <w:right w:w="100" w:type="dxa"/>
            </w:tcMar>
          </w:tcPr>
          <w:p w14:paraId="147125A9"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03/09/2025</w:t>
            </w:r>
          </w:p>
        </w:tc>
      </w:tr>
      <w:tr w:rsidR="00562C3D" w:rsidRPr="00F414BB" w14:paraId="278990BE" w14:textId="77777777" w:rsidTr="00225FF7">
        <w:tc>
          <w:tcPr>
            <w:tcW w:w="6227" w:type="dxa"/>
            <w:shd w:val="clear" w:color="auto" w:fill="auto"/>
            <w:tcMar>
              <w:top w:w="100" w:type="dxa"/>
              <w:left w:w="100" w:type="dxa"/>
              <w:bottom w:w="100" w:type="dxa"/>
              <w:right w:w="100" w:type="dxa"/>
            </w:tcMar>
          </w:tcPr>
          <w:p w14:paraId="50CF4C3B"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Invitation to Submit Initial Tender (ITSIT) Response Deadline</w:t>
            </w:r>
          </w:p>
        </w:tc>
        <w:tc>
          <w:tcPr>
            <w:tcW w:w="2835" w:type="dxa"/>
            <w:shd w:val="clear" w:color="auto" w:fill="auto"/>
            <w:tcMar>
              <w:top w:w="100" w:type="dxa"/>
              <w:left w:w="100" w:type="dxa"/>
              <w:bottom w:w="100" w:type="dxa"/>
              <w:right w:w="100" w:type="dxa"/>
            </w:tcMar>
          </w:tcPr>
          <w:p w14:paraId="3BAC493A"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10/09/2025</w:t>
            </w:r>
          </w:p>
          <w:p w14:paraId="5B820F15"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 13:00</w:t>
            </w:r>
          </w:p>
        </w:tc>
      </w:tr>
      <w:tr w:rsidR="00562C3D" w:rsidRPr="00F414BB" w14:paraId="2AA0C9DD" w14:textId="77777777" w:rsidTr="00225FF7">
        <w:tc>
          <w:tcPr>
            <w:tcW w:w="6227" w:type="dxa"/>
            <w:shd w:val="clear" w:color="auto" w:fill="auto"/>
            <w:tcMar>
              <w:top w:w="100" w:type="dxa"/>
              <w:left w:w="100" w:type="dxa"/>
              <w:bottom w:w="100" w:type="dxa"/>
              <w:right w:w="100" w:type="dxa"/>
            </w:tcMar>
          </w:tcPr>
          <w:p w14:paraId="63828304"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Authority Bid Reading / Review</w:t>
            </w:r>
          </w:p>
        </w:tc>
        <w:tc>
          <w:tcPr>
            <w:tcW w:w="2835" w:type="dxa"/>
            <w:shd w:val="clear" w:color="auto" w:fill="auto"/>
            <w:tcMar>
              <w:top w:w="100" w:type="dxa"/>
              <w:left w:w="100" w:type="dxa"/>
              <w:bottom w:w="100" w:type="dxa"/>
              <w:right w:w="100" w:type="dxa"/>
            </w:tcMar>
          </w:tcPr>
          <w:p w14:paraId="20E920EC"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11/09/2025</w:t>
            </w:r>
          </w:p>
        </w:tc>
      </w:tr>
      <w:tr w:rsidR="00562C3D" w:rsidRPr="00F414BB" w14:paraId="6E9CA44C" w14:textId="77777777" w:rsidTr="00562C3D">
        <w:tc>
          <w:tcPr>
            <w:tcW w:w="9062" w:type="dxa"/>
            <w:gridSpan w:val="2"/>
            <w:shd w:val="clear" w:color="auto" w:fill="auto"/>
            <w:tcMar>
              <w:top w:w="100" w:type="dxa"/>
              <w:left w:w="100" w:type="dxa"/>
              <w:bottom w:w="100" w:type="dxa"/>
              <w:right w:w="100" w:type="dxa"/>
            </w:tcMar>
          </w:tcPr>
          <w:p w14:paraId="756CEBBD" w14:textId="33F7CACC"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Stage 3</w:t>
            </w:r>
            <w:r w:rsidR="0037477B">
              <w:rPr>
                <w:rFonts w:eastAsia="Arial" w:cs="Arial"/>
                <w:b/>
                <w:bCs/>
                <w:sz w:val="22"/>
                <w:szCs w:val="22"/>
              </w:rPr>
              <w:t xml:space="preserve"> – Invitation to Negotiate</w:t>
            </w:r>
          </w:p>
        </w:tc>
      </w:tr>
      <w:tr w:rsidR="00562C3D" w:rsidRPr="00F414BB" w14:paraId="66F35BDE" w14:textId="77777777" w:rsidTr="00225FF7">
        <w:tc>
          <w:tcPr>
            <w:tcW w:w="6227" w:type="dxa"/>
            <w:shd w:val="clear" w:color="auto" w:fill="auto"/>
            <w:tcMar>
              <w:top w:w="100" w:type="dxa"/>
              <w:left w:w="100" w:type="dxa"/>
              <w:bottom w:w="100" w:type="dxa"/>
              <w:right w:w="100" w:type="dxa"/>
            </w:tcMar>
          </w:tcPr>
          <w:p w14:paraId="0A57F485"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Negotiation Window - Start</w:t>
            </w:r>
          </w:p>
        </w:tc>
        <w:tc>
          <w:tcPr>
            <w:tcW w:w="2835" w:type="dxa"/>
            <w:shd w:val="clear" w:color="auto" w:fill="auto"/>
            <w:tcMar>
              <w:top w:w="100" w:type="dxa"/>
              <w:left w:w="100" w:type="dxa"/>
              <w:bottom w:w="100" w:type="dxa"/>
              <w:right w:w="100" w:type="dxa"/>
            </w:tcMar>
          </w:tcPr>
          <w:p w14:paraId="6B4C3DFF"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25/09/2025</w:t>
            </w:r>
          </w:p>
        </w:tc>
      </w:tr>
      <w:tr w:rsidR="00562C3D" w:rsidRPr="00F414BB" w14:paraId="3BC34BD6" w14:textId="77777777" w:rsidTr="00225FF7">
        <w:tc>
          <w:tcPr>
            <w:tcW w:w="6227" w:type="dxa"/>
            <w:shd w:val="clear" w:color="auto" w:fill="auto"/>
            <w:tcMar>
              <w:top w:w="100" w:type="dxa"/>
              <w:left w:w="100" w:type="dxa"/>
              <w:bottom w:w="100" w:type="dxa"/>
              <w:right w:w="100" w:type="dxa"/>
            </w:tcMar>
          </w:tcPr>
          <w:p w14:paraId="211833C9"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Negotiation Window - End</w:t>
            </w:r>
          </w:p>
        </w:tc>
        <w:tc>
          <w:tcPr>
            <w:tcW w:w="2835" w:type="dxa"/>
            <w:shd w:val="clear" w:color="auto" w:fill="auto"/>
            <w:tcMar>
              <w:top w:w="100" w:type="dxa"/>
              <w:left w:w="100" w:type="dxa"/>
              <w:bottom w:w="100" w:type="dxa"/>
              <w:right w:w="100" w:type="dxa"/>
            </w:tcMar>
          </w:tcPr>
          <w:p w14:paraId="38875B38"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05/11/2025</w:t>
            </w:r>
          </w:p>
        </w:tc>
      </w:tr>
      <w:tr w:rsidR="00562C3D" w:rsidRPr="00F414BB" w14:paraId="2BA9D1DF" w14:textId="77777777" w:rsidTr="00562C3D">
        <w:tc>
          <w:tcPr>
            <w:tcW w:w="9062" w:type="dxa"/>
            <w:gridSpan w:val="2"/>
            <w:shd w:val="clear" w:color="auto" w:fill="auto"/>
            <w:tcMar>
              <w:top w:w="100" w:type="dxa"/>
              <w:left w:w="100" w:type="dxa"/>
              <w:bottom w:w="100" w:type="dxa"/>
              <w:right w:w="100" w:type="dxa"/>
            </w:tcMar>
          </w:tcPr>
          <w:p w14:paraId="324567BF" w14:textId="422B1BD2" w:rsidR="00562C3D" w:rsidRPr="00562C3D" w:rsidRDefault="00562C3D" w:rsidP="0037477B">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Stage 4</w:t>
            </w:r>
            <w:r w:rsidR="0037477B">
              <w:rPr>
                <w:rFonts w:eastAsia="Arial" w:cs="Arial"/>
                <w:b/>
                <w:bCs/>
                <w:sz w:val="22"/>
                <w:szCs w:val="22"/>
              </w:rPr>
              <w:t xml:space="preserve"> – </w:t>
            </w:r>
            <w:r w:rsidR="0037477B" w:rsidRPr="0037477B">
              <w:rPr>
                <w:rFonts w:cs="Arial"/>
                <w:b/>
                <w:bCs/>
                <w:sz w:val="22"/>
                <w:szCs w:val="22"/>
              </w:rPr>
              <w:t>Invitation to Submit Final Tender (ITSFT)</w:t>
            </w:r>
          </w:p>
        </w:tc>
      </w:tr>
      <w:tr w:rsidR="00562C3D" w:rsidRPr="00F414BB" w14:paraId="16913F0F" w14:textId="77777777" w:rsidTr="00225FF7">
        <w:tc>
          <w:tcPr>
            <w:tcW w:w="6227" w:type="dxa"/>
            <w:shd w:val="clear" w:color="auto" w:fill="auto"/>
            <w:tcMar>
              <w:top w:w="100" w:type="dxa"/>
              <w:left w:w="100" w:type="dxa"/>
              <w:bottom w:w="100" w:type="dxa"/>
              <w:right w:w="100" w:type="dxa"/>
            </w:tcMar>
          </w:tcPr>
          <w:p w14:paraId="2CE5166E" w14:textId="69B1CB3C"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 xml:space="preserve">Invitation to Submit Final Tenders </w:t>
            </w:r>
            <w:r w:rsidR="0037477B">
              <w:rPr>
                <w:rFonts w:eastAsia="Arial" w:cs="Arial"/>
                <w:color w:val="000000" w:themeColor="text1"/>
                <w:sz w:val="22"/>
                <w:szCs w:val="22"/>
              </w:rPr>
              <w:t xml:space="preserve">(ITSFT) </w:t>
            </w:r>
            <w:r w:rsidR="00A0083C" w:rsidRPr="00F414BB">
              <w:rPr>
                <w:rFonts w:eastAsia="Arial" w:cs="Arial"/>
                <w:color w:val="000000" w:themeColor="text1"/>
                <w:sz w:val="22"/>
                <w:szCs w:val="22"/>
              </w:rPr>
              <w:t>Published</w:t>
            </w:r>
          </w:p>
        </w:tc>
        <w:tc>
          <w:tcPr>
            <w:tcW w:w="2835" w:type="dxa"/>
            <w:shd w:val="clear" w:color="auto" w:fill="auto"/>
            <w:tcMar>
              <w:top w:w="100" w:type="dxa"/>
              <w:left w:w="100" w:type="dxa"/>
              <w:bottom w:w="100" w:type="dxa"/>
              <w:right w:w="100" w:type="dxa"/>
            </w:tcMar>
          </w:tcPr>
          <w:p w14:paraId="6B9A3933"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12/11/2025</w:t>
            </w:r>
          </w:p>
        </w:tc>
      </w:tr>
      <w:tr w:rsidR="00562C3D" w:rsidRPr="00F414BB" w14:paraId="70999E34" w14:textId="77777777" w:rsidTr="00225FF7">
        <w:tc>
          <w:tcPr>
            <w:tcW w:w="6227" w:type="dxa"/>
            <w:shd w:val="clear" w:color="auto" w:fill="auto"/>
            <w:tcMar>
              <w:top w:w="100" w:type="dxa"/>
              <w:left w:w="100" w:type="dxa"/>
              <w:bottom w:w="100" w:type="dxa"/>
              <w:right w:w="100" w:type="dxa"/>
            </w:tcMar>
          </w:tcPr>
          <w:p w14:paraId="5D2CDAB8" w14:textId="34A9F38C"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I</w:t>
            </w:r>
            <w:r w:rsidR="005047D0">
              <w:rPr>
                <w:rFonts w:eastAsia="Arial" w:cs="Arial"/>
                <w:color w:val="000000" w:themeColor="text1"/>
                <w:sz w:val="22"/>
                <w:szCs w:val="22"/>
              </w:rPr>
              <w:t>T</w:t>
            </w:r>
            <w:r w:rsidRPr="00F414BB">
              <w:rPr>
                <w:rFonts w:eastAsia="Arial" w:cs="Arial"/>
                <w:color w:val="000000" w:themeColor="text1"/>
                <w:sz w:val="22"/>
                <w:szCs w:val="22"/>
              </w:rPr>
              <w:t>SFT Clarification Deadline</w:t>
            </w:r>
          </w:p>
        </w:tc>
        <w:tc>
          <w:tcPr>
            <w:tcW w:w="2835" w:type="dxa"/>
            <w:shd w:val="clear" w:color="auto" w:fill="auto"/>
            <w:tcMar>
              <w:top w:w="100" w:type="dxa"/>
              <w:left w:w="100" w:type="dxa"/>
              <w:bottom w:w="100" w:type="dxa"/>
              <w:right w:w="100" w:type="dxa"/>
            </w:tcMar>
          </w:tcPr>
          <w:p w14:paraId="1CCFAE7F"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19/11/2025</w:t>
            </w:r>
          </w:p>
          <w:p w14:paraId="6665F5F5"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 13:00</w:t>
            </w:r>
          </w:p>
        </w:tc>
      </w:tr>
      <w:tr w:rsidR="00562C3D" w:rsidRPr="00F414BB" w14:paraId="78586625" w14:textId="77777777" w:rsidTr="00225FF7">
        <w:tc>
          <w:tcPr>
            <w:tcW w:w="6227" w:type="dxa"/>
            <w:shd w:val="clear" w:color="auto" w:fill="auto"/>
            <w:tcMar>
              <w:top w:w="100" w:type="dxa"/>
              <w:left w:w="100" w:type="dxa"/>
              <w:bottom w:w="100" w:type="dxa"/>
              <w:right w:w="100" w:type="dxa"/>
            </w:tcMar>
          </w:tcPr>
          <w:p w14:paraId="505727CD" w14:textId="06E11140"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Authority response deadline to CQs</w:t>
            </w:r>
          </w:p>
        </w:tc>
        <w:tc>
          <w:tcPr>
            <w:tcW w:w="2835" w:type="dxa"/>
            <w:shd w:val="clear" w:color="auto" w:fill="auto"/>
            <w:tcMar>
              <w:top w:w="100" w:type="dxa"/>
              <w:left w:w="100" w:type="dxa"/>
              <w:bottom w:w="100" w:type="dxa"/>
              <w:right w:w="100" w:type="dxa"/>
            </w:tcMar>
          </w:tcPr>
          <w:p w14:paraId="3A9EC781"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26/11/2025</w:t>
            </w:r>
          </w:p>
        </w:tc>
      </w:tr>
      <w:tr w:rsidR="00562C3D" w:rsidRPr="00F414BB" w14:paraId="318D5724" w14:textId="77777777" w:rsidTr="00225FF7">
        <w:tc>
          <w:tcPr>
            <w:tcW w:w="6227" w:type="dxa"/>
            <w:shd w:val="clear" w:color="auto" w:fill="auto"/>
            <w:tcMar>
              <w:top w:w="100" w:type="dxa"/>
              <w:left w:w="100" w:type="dxa"/>
              <w:bottom w:w="100" w:type="dxa"/>
              <w:right w:w="100" w:type="dxa"/>
            </w:tcMar>
          </w:tcPr>
          <w:p w14:paraId="725381D0" w14:textId="14CACDCA"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Final Tender</w:t>
            </w:r>
            <w:r w:rsidR="00C14AB1">
              <w:rPr>
                <w:rFonts w:eastAsia="Arial" w:cs="Arial"/>
                <w:color w:val="000000" w:themeColor="text1"/>
                <w:sz w:val="22"/>
                <w:szCs w:val="22"/>
              </w:rPr>
              <w:t xml:space="preserve"> (ITSFT)</w:t>
            </w:r>
            <w:r w:rsidRPr="00F414BB">
              <w:rPr>
                <w:rFonts w:eastAsia="Arial" w:cs="Arial"/>
                <w:color w:val="000000" w:themeColor="text1"/>
                <w:sz w:val="22"/>
                <w:szCs w:val="22"/>
              </w:rPr>
              <w:t xml:space="preserve"> Response Deadline</w:t>
            </w:r>
          </w:p>
        </w:tc>
        <w:tc>
          <w:tcPr>
            <w:tcW w:w="2835" w:type="dxa"/>
            <w:shd w:val="clear" w:color="auto" w:fill="auto"/>
            <w:tcMar>
              <w:top w:w="100" w:type="dxa"/>
              <w:left w:w="100" w:type="dxa"/>
              <w:bottom w:w="100" w:type="dxa"/>
              <w:right w:w="100" w:type="dxa"/>
            </w:tcMar>
          </w:tcPr>
          <w:p w14:paraId="08A809D1"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03/12/2025</w:t>
            </w:r>
          </w:p>
        </w:tc>
      </w:tr>
      <w:tr w:rsidR="00562C3D" w:rsidRPr="00F414BB" w14:paraId="07A26A16" w14:textId="77777777" w:rsidTr="00225FF7">
        <w:tc>
          <w:tcPr>
            <w:tcW w:w="6227" w:type="dxa"/>
            <w:shd w:val="clear" w:color="auto" w:fill="auto"/>
            <w:tcMar>
              <w:top w:w="100" w:type="dxa"/>
              <w:left w:w="100" w:type="dxa"/>
              <w:bottom w:w="100" w:type="dxa"/>
              <w:right w:w="100" w:type="dxa"/>
            </w:tcMar>
          </w:tcPr>
          <w:p w14:paraId="1654CD1B"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Evaluation &amp; Moderation - Start</w:t>
            </w:r>
          </w:p>
        </w:tc>
        <w:tc>
          <w:tcPr>
            <w:tcW w:w="2835" w:type="dxa"/>
            <w:shd w:val="clear" w:color="auto" w:fill="auto"/>
            <w:tcMar>
              <w:top w:w="100" w:type="dxa"/>
              <w:left w:w="100" w:type="dxa"/>
              <w:bottom w:w="100" w:type="dxa"/>
              <w:right w:w="100" w:type="dxa"/>
            </w:tcMar>
          </w:tcPr>
          <w:p w14:paraId="4E4D5428"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04/12/2025</w:t>
            </w:r>
          </w:p>
        </w:tc>
      </w:tr>
      <w:tr w:rsidR="00562C3D" w:rsidRPr="00F414BB" w14:paraId="465D9690" w14:textId="77777777" w:rsidTr="00225FF7">
        <w:tc>
          <w:tcPr>
            <w:tcW w:w="6227" w:type="dxa"/>
            <w:shd w:val="clear" w:color="auto" w:fill="auto"/>
            <w:tcMar>
              <w:top w:w="100" w:type="dxa"/>
              <w:left w:w="100" w:type="dxa"/>
              <w:bottom w:w="100" w:type="dxa"/>
              <w:right w:w="100" w:type="dxa"/>
            </w:tcMar>
          </w:tcPr>
          <w:p w14:paraId="7CCC8283"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Evaluation &amp; Moderation - End</w:t>
            </w:r>
          </w:p>
        </w:tc>
        <w:tc>
          <w:tcPr>
            <w:tcW w:w="2835" w:type="dxa"/>
            <w:shd w:val="clear" w:color="auto" w:fill="auto"/>
            <w:tcMar>
              <w:top w:w="100" w:type="dxa"/>
              <w:left w:w="100" w:type="dxa"/>
              <w:bottom w:w="100" w:type="dxa"/>
              <w:right w:w="100" w:type="dxa"/>
            </w:tcMar>
          </w:tcPr>
          <w:p w14:paraId="4CB7E874"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09/01/2026</w:t>
            </w:r>
          </w:p>
        </w:tc>
      </w:tr>
      <w:tr w:rsidR="00562C3D" w:rsidRPr="00F414BB" w14:paraId="02EB99CB" w14:textId="77777777" w:rsidTr="00225FF7">
        <w:tc>
          <w:tcPr>
            <w:tcW w:w="6227" w:type="dxa"/>
            <w:shd w:val="clear" w:color="auto" w:fill="auto"/>
            <w:tcMar>
              <w:top w:w="100" w:type="dxa"/>
              <w:left w:w="100" w:type="dxa"/>
              <w:bottom w:w="100" w:type="dxa"/>
              <w:right w:w="100" w:type="dxa"/>
            </w:tcMar>
          </w:tcPr>
          <w:p w14:paraId="0F65E5C9"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Internal &amp; External Governance - Start</w:t>
            </w:r>
          </w:p>
        </w:tc>
        <w:tc>
          <w:tcPr>
            <w:tcW w:w="2835" w:type="dxa"/>
            <w:shd w:val="clear" w:color="auto" w:fill="auto"/>
            <w:tcMar>
              <w:top w:w="100" w:type="dxa"/>
              <w:left w:w="100" w:type="dxa"/>
              <w:bottom w:w="100" w:type="dxa"/>
              <w:right w:w="100" w:type="dxa"/>
            </w:tcMar>
          </w:tcPr>
          <w:p w14:paraId="532D10D5"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12/01/2026</w:t>
            </w:r>
          </w:p>
        </w:tc>
      </w:tr>
      <w:tr w:rsidR="00562C3D" w:rsidRPr="00F414BB" w14:paraId="57B21911" w14:textId="77777777" w:rsidTr="00225FF7">
        <w:tc>
          <w:tcPr>
            <w:tcW w:w="6227" w:type="dxa"/>
            <w:shd w:val="clear" w:color="auto" w:fill="auto"/>
            <w:tcMar>
              <w:top w:w="100" w:type="dxa"/>
              <w:left w:w="100" w:type="dxa"/>
              <w:bottom w:w="100" w:type="dxa"/>
              <w:right w:w="100" w:type="dxa"/>
            </w:tcMar>
          </w:tcPr>
          <w:p w14:paraId="2377AF21"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Internal &amp; External Governance - End</w:t>
            </w:r>
          </w:p>
        </w:tc>
        <w:tc>
          <w:tcPr>
            <w:tcW w:w="2835" w:type="dxa"/>
            <w:shd w:val="clear" w:color="auto" w:fill="auto"/>
            <w:tcMar>
              <w:top w:w="100" w:type="dxa"/>
              <w:left w:w="100" w:type="dxa"/>
              <w:bottom w:w="100" w:type="dxa"/>
              <w:right w:w="100" w:type="dxa"/>
            </w:tcMar>
          </w:tcPr>
          <w:p w14:paraId="4186492D"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10/04/2026</w:t>
            </w:r>
          </w:p>
        </w:tc>
      </w:tr>
      <w:tr w:rsidR="00562C3D" w:rsidRPr="00F414BB" w14:paraId="4CA01263" w14:textId="77777777" w:rsidTr="00225FF7">
        <w:tc>
          <w:tcPr>
            <w:tcW w:w="6227" w:type="dxa"/>
            <w:shd w:val="clear" w:color="auto" w:fill="auto"/>
            <w:tcMar>
              <w:top w:w="100" w:type="dxa"/>
              <w:left w:w="100" w:type="dxa"/>
              <w:bottom w:w="100" w:type="dxa"/>
              <w:right w:w="100" w:type="dxa"/>
            </w:tcMar>
          </w:tcPr>
          <w:p w14:paraId="66787338"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Contract Award Notification</w:t>
            </w:r>
          </w:p>
        </w:tc>
        <w:tc>
          <w:tcPr>
            <w:tcW w:w="2835" w:type="dxa"/>
            <w:shd w:val="clear" w:color="auto" w:fill="auto"/>
            <w:tcMar>
              <w:top w:w="100" w:type="dxa"/>
              <w:left w:w="100" w:type="dxa"/>
              <w:bottom w:w="100" w:type="dxa"/>
              <w:right w:w="100" w:type="dxa"/>
            </w:tcMar>
          </w:tcPr>
          <w:p w14:paraId="35E92793"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13/04/2026</w:t>
            </w:r>
          </w:p>
        </w:tc>
      </w:tr>
      <w:tr w:rsidR="00562C3D" w:rsidRPr="00F414BB" w14:paraId="6C69996F" w14:textId="77777777" w:rsidTr="00225FF7">
        <w:tc>
          <w:tcPr>
            <w:tcW w:w="6227" w:type="dxa"/>
            <w:shd w:val="clear" w:color="auto" w:fill="auto"/>
            <w:tcMar>
              <w:top w:w="100" w:type="dxa"/>
              <w:left w:w="100" w:type="dxa"/>
              <w:bottom w:w="100" w:type="dxa"/>
              <w:right w:w="100" w:type="dxa"/>
            </w:tcMar>
          </w:tcPr>
          <w:p w14:paraId="33EE2D97"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Stand Still Period – Start</w:t>
            </w:r>
          </w:p>
        </w:tc>
        <w:tc>
          <w:tcPr>
            <w:tcW w:w="2835" w:type="dxa"/>
            <w:shd w:val="clear" w:color="auto" w:fill="auto"/>
            <w:tcMar>
              <w:top w:w="100" w:type="dxa"/>
              <w:left w:w="100" w:type="dxa"/>
              <w:bottom w:w="100" w:type="dxa"/>
              <w:right w:w="100" w:type="dxa"/>
            </w:tcMar>
          </w:tcPr>
          <w:p w14:paraId="5357DA96"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13/04/2026</w:t>
            </w:r>
          </w:p>
        </w:tc>
      </w:tr>
      <w:tr w:rsidR="00562C3D" w:rsidRPr="00F414BB" w14:paraId="624506D6" w14:textId="77777777" w:rsidTr="00225FF7">
        <w:tc>
          <w:tcPr>
            <w:tcW w:w="6227" w:type="dxa"/>
            <w:shd w:val="clear" w:color="auto" w:fill="auto"/>
            <w:tcMar>
              <w:top w:w="100" w:type="dxa"/>
              <w:left w:w="100" w:type="dxa"/>
              <w:bottom w:w="100" w:type="dxa"/>
              <w:right w:w="100" w:type="dxa"/>
            </w:tcMar>
          </w:tcPr>
          <w:p w14:paraId="2A303B93"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Standstill Period – End</w:t>
            </w:r>
          </w:p>
        </w:tc>
        <w:tc>
          <w:tcPr>
            <w:tcW w:w="2835" w:type="dxa"/>
            <w:shd w:val="clear" w:color="auto" w:fill="auto"/>
            <w:tcMar>
              <w:top w:w="100" w:type="dxa"/>
              <w:left w:w="100" w:type="dxa"/>
              <w:bottom w:w="100" w:type="dxa"/>
              <w:right w:w="100" w:type="dxa"/>
            </w:tcMar>
          </w:tcPr>
          <w:p w14:paraId="176A40CF" w14:textId="2AF34FBC"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24/04/202</w:t>
            </w:r>
            <w:r w:rsidR="00BD62A2">
              <w:rPr>
                <w:rFonts w:eastAsia="Arial" w:cs="Arial"/>
                <w:b/>
                <w:bCs/>
                <w:sz w:val="22"/>
                <w:szCs w:val="22"/>
              </w:rPr>
              <w:t>6</w:t>
            </w:r>
          </w:p>
        </w:tc>
      </w:tr>
      <w:tr w:rsidR="00562C3D" w:rsidRPr="00F414BB" w14:paraId="25BB754E" w14:textId="77777777" w:rsidTr="00225FF7">
        <w:tc>
          <w:tcPr>
            <w:tcW w:w="6227" w:type="dxa"/>
            <w:shd w:val="clear" w:color="auto" w:fill="auto"/>
            <w:tcMar>
              <w:top w:w="100" w:type="dxa"/>
              <w:left w:w="100" w:type="dxa"/>
              <w:bottom w:w="100" w:type="dxa"/>
              <w:right w:w="100" w:type="dxa"/>
            </w:tcMar>
          </w:tcPr>
          <w:p w14:paraId="0D241E15" w14:textId="77777777" w:rsidR="00562C3D" w:rsidRPr="00F414BB" w:rsidRDefault="00562C3D" w:rsidP="00084E0F">
            <w:pPr>
              <w:widowControl w:val="0"/>
              <w:pBdr>
                <w:top w:val="nil"/>
                <w:left w:val="nil"/>
                <w:bottom w:val="nil"/>
                <w:right w:val="nil"/>
                <w:between w:val="nil"/>
              </w:pBdr>
              <w:rPr>
                <w:rFonts w:eastAsia="Arial" w:cs="Arial"/>
                <w:color w:val="000000" w:themeColor="text1"/>
                <w:sz w:val="22"/>
                <w:szCs w:val="22"/>
              </w:rPr>
            </w:pPr>
            <w:r w:rsidRPr="00F414BB">
              <w:rPr>
                <w:rFonts w:eastAsia="Arial" w:cs="Arial"/>
                <w:color w:val="000000" w:themeColor="text1"/>
                <w:sz w:val="22"/>
                <w:szCs w:val="22"/>
              </w:rPr>
              <w:t>Contract Award</w:t>
            </w:r>
          </w:p>
        </w:tc>
        <w:tc>
          <w:tcPr>
            <w:tcW w:w="2835" w:type="dxa"/>
            <w:shd w:val="clear" w:color="auto" w:fill="auto"/>
            <w:tcMar>
              <w:top w:w="100" w:type="dxa"/>
              <w:left w:w="100" w:type="dxa"/>
              <w:bottom w:w="100" w:type="dxa"/>
              <w:right w:w="100" w:type="dxa"/>
            </w:tcMar>
          </w:tcPr>
          <w:p w14:paraId="3DA2B30B" w14:textId="77777777" w:rsidR="00562C3D" w:rsidRPr="00562C3D" w:rsidRDefault="00562C3D" w:rsidP="00084E0F">
            <w:pPr>
              <w:widowControl w:val="0"/>
              <w:pBdr>
                <w:top w:val="nil"/>
                <w:left w:val="nil"/>
                <w:bottom w:val="nil"/>
                <w:right w:val="nil"/>
                <w:between w:val="nil"/>
              </w:pBdr>
              <w:jc w:val="center"/>
              <w:rPr>
                <w:rFonts w:eastAsia="Arial" w:cs="Arial"/>
                <w:b/>
                <w:bCs/>
                <w:sz w:val="22"/>
                <w:szCs w:val="22"/>
              </w:rPr>
            </w:pPr>
            <w:r w:rsidRPr="00562C3D">
              <w:rPr>
                <w:rFonts w:eastAsia="Arial" w:cs="Arial"/>
                <w:b/>
                <w:bCs/>
                <w:sz w:val="22"/>
                <w:szCs w:val="22"/>
              </w:rPr>
              <w:t>27/04/2026</w:t>
            </w:r>
          </w:p>
        </w:tc>
      </w:tr>
    </w:tbl>
    <w:p w14:paraId="4777843C" w14:textId="77777777" w:rsidR="000373CD" w:rsidRDefault="000373CD" w:rsidP="00562C3D"/>
    <w:p w14:paraId="251DD8C2" w14:textId="2F73A860" w:rsidR="00040866" w:rsidRPr="002473C2" w:rsidRDefault="002C6F1B" w:rsidP="0085565B">
      <w:pPr>
        <w:pStyle w:val="Head2"/>
        <w:numPr>
          <w:ilvl w:val="0"/>
          <w:numId w:val="9"/>
        </w:numPr>
        <w:spacing w:before="240"/>
        <w:rPr>
          <w:bCs/>
          <w:szCs w:val="28"/>
        </w:rPr>
      </w:pPr>
      <w:bookmarkStart w:id="34" w:name="_Ref92812528"/>
      <w:bookmarkStart w:id="35" w:name="_Toc201679610"/>
      <w:r>
        <w:rPr>
          <w:b/>
          <w:bCs/>
          <w:color w:val="009999"/>
          <w:sz w:val="28"/>
          <w:szCs w:val="28"/>
        </w:rPr>
        <w:t>RESPONSE</w:t>
      </w:r>
      <w:r w:rsidRPr="004D002F">
        <w:rPr>
          <w:b/>
          <w:bCs/>
          <w:color w:val="009999"/>
          <w:sz w:val="28"/>
          <w:szCs w:val="28"/>
        </w:rPr>
        <w:t xml:space="preserve"> </w:t>
      </w:r>
      <w:r w:rsidR="00F41936" w:rsidRPr="004D002F">
        <w:rPr>
          <w:b/>
          <w:bCs/>
          <w:color w:val="009999"/>
          <w:sz w:val="28"/>
          <w:szCs w:val="28"/>
        </w:rPr>
        <w:t>SUBMISSIONS, CONTACT DETAILS AND QUERIES</w:t>
      </w:r>
      <w:bookmarkEnd w:id="34"/>
      <w:bookmarkEnd w:id="35"/>
    </w:p>
    <w:p w14:paraId="3CB50A2E" w14:textId="43E3F3E6" w:rsidR="004359A5" w:rsidRPr="004D002F" w:rsidRDefault="004359A5" w:rsidP="0085565B">
      <w:pPr>
        <w:pStyle w:val="Head2"/>
        <w:numPr>
          <w:ilvl w:val="1"/>
          <w:numId w:val="9"/>
        </w:numPr>
        <w:spacing w:before="240"/>
        <w:rPr>
          <w:b/>
          <w:bCs/>
        </w:rPr>
      </w:pPr>
      <w:bookmarkStart w:id="36" w:name="_Toc201679034"/>
      <w:bookmarkStart w:id="37" w:name="_Toc201679611"/>
      <w:r w:rsidRPr="004D002F">
        <w:rPr>
          <w:b/>
          <w:bCs/>
        </w:rPr>
        <w:t xml:space="preserve">SAP Ariba </w:t>
      </w:r>
      <w:proofErr w:type="spellStart"/>
      <w:r w:rsidRPr="004D002F">
        <w:rPr>
          <w:b/>
          <w:bCs/>
        </w:rPr>
        <w:t>eSourcing</w:t>
      </w:r>
      <w:proofErr w:type="spellEnd"/>
      <w:r w:rsidR="00252EF4">
        <w:rPr>
          <w:b/>
          <w:bCs/>
        </w:rPr>
        <w:t>/</w:t>
      </w:r>
      <w:proofErr w:type="spellStart"/>
      <w:r w:rsidR="00252EF4">
        <w:rPr>
          <w:b/>
          <w:bCs/>
        </w:rPr>
        <w:t>eTrading</w:t>
      </w:r>
      <w:proofErr w:type="spellEnd"/>
      <w:r w:rsidRPr="004D002F">
        <w:rPr>
          <w:b/>
          <w:bCs/>
        </w:rPr>
        <w:t xml:space="preserve"> Portal</w:t>
      </w:r>
      <w:bookmarkEnd w:id="36"/>
      <w:bookmarkEnd w:id="37"/>
      <w:r w:rsidRPr="004D002F">
        <w:rPr>
          <w:b/>
          <w:bCs/>
        </w:rPr>
        <w:t xml:space="preserve"> </w:t>
      </w:r>
    </w:p>
    <w:p w14:paraId="3EF78898" w14:textId="01708417" w:rsidR="00C93A0D" w:rsidRDefault="00C93A0D" w:rsidP="0085565B">
      <w:pPr>
        <w:pStyle w:val="Head2"/>
        <w:numPr>
          <w:ilvl w:val="2"/>
          <w:numId w:val="9"/>
        </w:numPr>
        <w:spacing w:before="240"/>
        <w:jc w:val="both"/>
      </w:pPr>
      <w:bookmarkStart w:id="38" w:name="_Toc201679035"/>
      <w:bookmarkStart w:id="39" w:name="_Toc201679612"/>
      <w:r>
        <w:t xml:space="preserve">All </w:t>
      </w:r>
      <w:r w:rsidR="0074208F">
        <w:t>procurement</w:t>
      </w:r>
      <w:r w:rsidR="00513E6B">
        <w:t xml:space="preserve"> d</w:t>
      </w:r>
      <w:r>
        <w:t xml:space="preserve">ocuments </w:t>
      </w:r>
      <w:r w:rsidR="00A43DE6">
        <w:t xml:space="preserve">will be </w:t>
      </w:r>
      <w:r w:rsidR="009722BA">
        <w:t xml:space="preserve">available </w:t>
      </w:r>
      <w:r w:rsidR="00F96E91">
        <w:t>through</w:t>
      </w:r>
      <w:r w:rsidR="009722BA">
        <w:t xml:space="preserve"> the SAP Ariba </w:t>
      </w:r>
      <w:proofErr w:type="spellStart"/>
      <w:r w:rsidR="009722BA">
        <w:t>eSourcing</w:t>
      </w:r>
      <w:proofErr w:type="spellEnd"/>
      <w:r w:rsidR="009722BA">
        <w:t xml:space="preserve"> Portal (</w:t>
      </w:r>
      <w:r w:rsidR="005C759E">
        <w:t>“</w:t>
      </w:r>
      <w:r w:rsidR="009722BA">
        <w:t>Ariba</w:t>
      </w:r>
      <w:r w:rsidR="005C759E">
        <w:t>”</w:t>
      </w:r>
      <w:r w:rsidR="009722BA">
        <w:t>)</w:t>
      </w:r>
      <w:r w:rsidR="00CE0866">
        <w:t xml:space="preserve"> only</w:t>
      </w:r>
      <w:r w:rsidR="009722BA">
        <w:t>.</w:t>
      </w:r>
      <w:r w:rsidR="00AC7CF4">
        <w:t xml:space="preserve"> </w:t>
      </w:r>
      <w:r w:rsidR="00DA4F92">
        <w:t>Please ensure</w:t>
      </w:r>
      <w:r w:rsidR="00AC7CF4">
        <w:t xml:space="preserve"> you review all </w:t>
      </w:r>
      <w:r w:rsidR="00C20FCE">
        <w:t>procurement</w:t>
      </w:r>
      <w:r w:rsidR="00B81D61">
        <w:t xml:space="preserve"> </w:t>
      </w:r>
      <w:r w:rsidR="00AC7CF4">
        <w:t xml:space="preserve">documents in their entirety prior to completing your </w:t>
      </w:r>
      <w:r w:rsidR="002B51E8">
        <w:t xml:space="preserve">PSQ </w:t>
      </w:r>
      <w:r w:rsidR="00AC7CF4">
        <w:t>response.</w:t>
      </w:r>
      <w:bookmarkEnd w:id="38"/>
      <w:bookmarkEnd w:id="39"/>
    </w:p>
    <w:p w14:paraId="46AA139E" w14:textId="77777777" w:rsidR="005C1638" w:rsidRDefault="005C1638" w:rsidP="0085565B">
      <w:pPr>
        <w:pStyle w:val="Head2"/>
        <w:numPr>
          <w:ilvl w:val="2"/>
          <w:numId w:val="9"/>
        </w:numPr>
        <w:jc w:val="both"/>
        <w:rPr>
          <w:rFonts w:cs="Arial"/>
          <w:color w:val="000000"/>
        </w:rPr>
      </w:pPr>
      <w:bookmarkStart w:id="40" w:name="_Toc201679036"/>
      <w:bookmarkStart w:id="41" w:name="_Toc201679613"/>
      <w:r w:rsidRPr="0005633A">
        <w:rPr>
          <w:rFonts w:cs="Arial"/>
          <w:color w:val="000000"/>
        </w:rPr>
        <w:t xml:space="preserve">Once logged onto the system, technical guidance relating to the use of the </w:t>
      </w:r>
      <w:proofErr w:type="spellStart"/>
      <w:r w:rsidRPr="0005633A">
        <w:rPr>
          <w:rFonts w:cs="Arial"/>
          <w:color w:val="000000"/>
        </w:rPr>
        <w:t>eSourcing</w:t>
      </w:r>
      <w:proofErr w:type="spellEnd"/>
      <w:r w:rsidRPr="0005633A">
        <w:rPr>
          <w:rFonts w:cs="Arial"/>
          <w:color w:val="000000"/>
        </w:rPr>
        <w:t xml:space="preserve"> Portal can be </w:t>
      </w:r>
      <w:r w:rsidRPr="004D002F">
        <w:t>found</w:t>
      </w:r>
      <w:r w:rsidRPr="0005633A">
        <w:rPr>
          <w:rFonts w:cs="Arial"/>
          <w:color w:val="000000"/>
        </w:rPr>
        <w:t xml:space="preserve"> in the Help Centre that can be accessed via the help tab at the top of the screen</w:t>
      </w:r>
      <w:r>
        <w:rPr>
          <w:rFonts w:cs="Arial"/>
          <w:color w:val="000000"/>
        </w:rPr>
        <w:t>.</w:t>
      </w:r>
      <w:r w:rsidR="005A5F7B">
        <w:rPr>
          <w:rFonts w:cs="Arial"/>
          <w:color w:val="000000"/>
        </w:rPr>
        <w:t xml:space="preserve"> Any technical issues identified </w:t>
      </w:r>
      <w:r w:rsidR="005A5F7B" w:rsidRPr="006C3F74">
        <w:rPr>
          <w:rFonts w:cs="Arial"/>
          <w:color w:val="000000"/>
        </w:rPr>
        <w:t>with</w:t>
      </w:r>
      <w:r w:rsidR="005A5F7B">
        <w:rPr>
          <w:rFonts w:cs="Arial"/>
          <w:color w:val="000000"/>
        </w:rPr>
        <w:t xml:space="preserve"> the Ariba system should be </w:t>
      </w:r>
      <w:r w:rsidR="00A40465">
        <w:rPr>
          <w:rFonts w:cs="Arial"/>
          <w:color w:val="000000"/>
        </w:rPr>
        <w:t xml:space="preserve">raised via the instructions </w:t>
      </w:r>
      <w:r w:rsidR="009B493D">
        <w:rPr>
          <w:rFonts w:cs="Arial"/>
          <w:color w:val="000000"/>
        </w:rPr>
        <w:t xml:space="preserve">outlined in the Help Centre. HMRC accepts no liability </w:t>
      </w:r>
      <w:r w:rsidR="000E7F46">
        <w:rPr>
          <w:rFonts w:cs="Arial"/>
          <w:color w:val="000000"/>
        </w:rPr>
        <w:t xml:space="preserve">for any technical issues </w:t>
      </w:r>
      <w:r w:rsidR="00D1002E">
        <w:rPr>
          <w:rFonts w:cs="Arial"/>
          <w:color w:val="000000"/>
        </w:rPr>
        <w:t>experienced with the Ariba system.</w:t>
      </w:r>
      <w:bookmarkEnd w:id="40"/>
      <w:bookmarkEnd w:id="41"/>
    </w:p>
    <w:p w14:paraId="26F1A02E" w14:textId="327B7F81" w:rsidR="000459EA" w:rsidRDefault="00252EF4" w:rsidP="0085565B">
      <w:pPr>
        <w:pStyle w:val="Head2"/>
        <w:numPr>
          <w:ilvl w:val="2"/>
          <w:numId w:val="9"/>
        </w:numPr>
        <w:jc w:val="both"/>
        <w:rPr>
          <w:rFonts w:cs="Arial"/>
          <w:color w:val="000000"/>
        </w:rPr>
      </w:pPr>
      <w:bookmarkStart w:id="42" w:name="_Toc201679037"/>
      <w:bookmarkStart w:id="43" w:name="_Toc201679614"/>
      <w:r w:rsidRPr="00252EF4">
        <w:rPr>
          <w:rFonts w:cs="Arial"/>
          <w:color w:val="000000"/>
        </w:rPr>
        <w:t xml:space="preserve">HMRC has a “Purchase Order Mandatory Policy” and will process all purchase orders and all invoices using its </w:t>
      </w:r>
      <w:proofErr w:type="spellStart"/>
      <w:r w:rsidRPr="00252EF4">
        <w:rPr>
          <w:rFonts w:cs="Arial"/>
          <w:color w:val="000000"/>
        </w:rPr>
        <w:t>eTrading</w:t>
      </w:r>
      <w:proofErr w:type="spellEnd"/>
      <w:r w:rsidRPr="00252EF4">
        <w:rPr>
          <w:rFonts w:cs="Arial"/>
          <w:color w:val="000000"/>
        </w:rPr>
        <w:t xml:space="preserve"> system, provided by SAP Ariba. This will enable </w:t>
      </w:r>
      <w:r w:rsidR="00433587">
        <w:rPr>
          <w:rFonts w:cs="Arial"/>
          <w:color w:val="000000"/>
        </w:rPr>
        <w:t>Tenderer</w:t>
      </w:r>
      <w:r w:rsidRPr="00252EF4">
        <w:rPr>
          <w:rFonts w:cs="Arial"/>
          <w:color w:val="000000"/>
        </w:rPr>
        <w:t xml:space="preserve">s to transact (Cataloguing, Purchase Orders, Invoicing etc) with HMRC through the </w:t>
      </w:r>
      <w:proofErr w:type="spellStart"/>
      <w:r w:rsidRPr="00252EF4">
        <w:rPr>
          <w:rFonts w:cs="Arial"/>
          <w:color w:val="000000"/>
        </w:rPr>
        <w:t>eTrading</w:t>
      </w:r>
      <w:proofErr w:type="spellEnd"/>
      <w:r w:rsidRPr="00252EF4">
        <w:rPr>
          <w:rFonts w:cs="Arial"/>
          <w:color w:val="000000"/>
        </w:rPr>
        <w:t xml:space="preserve"> Portal.</w:t>
      </w:r>
      <w:bookmarkEnd w:id="42"/>
      <w:bookmarkEnd w:id="43"/>
      <w:r w:rsidRPr="00252EF4">
        <w:rPr>
          <w:rFonts w:cs="Arial"/>
          <w:color w:val="000000"/>
        </w:rPr>
        <w:t xml:space="preserve">   </w:t>
      </w:r>
    </w:p>
    <w:p w14:paraId="43AB90E4" w14:textId="43C3B897" w:rsidR="00252EF4" w:rsidRDefault="00586525" w:rsidP="0085565B">
      <w:pPr>
        <w:pStyle w:val="Head2"/>
        <w:numPr>
          <w:ilvl w:val="2"/>
          <w:numId w:val="9"/>
        </w:numPr>
        <w:jc w:val="both"/>
        <w:rPr>
          <w:rFonts w:cs="Arial"/>
          <w:color w:val="000000"/>
        </w:rPr>
      </w:pPr>
      <w:bookmarkStart w:id="44" w:name="_Toc201679038"/>
      <w:bookmarkStart w:id="45" w:name="_Toc201679615"/>
      <w:r w:rsidRPr="00586525">
        <w:rPr>
          <w:rFonts w:cs="Arial"/>
          <w:color w:val="000000"/>
        </w:rPr>
        <w:t xml:space="preserve">Successful </w:t>
      </w:r>
      <w:r w:rsidR="00F67A40">
        <w:rPr>
          <w:rFonts w:cs="Arial"/>
          <w:color w:val="000000"/>
        </w:rPr>
        <w:t>suppliers</w:t>
      </w:r>
      <w:r w:rsidRPr="00586525">
        <w:rPr>
          <w:rFonts w:cs="Arial"/>
          <w:color w:val="000000"/>
        </w:rPr>
        <w:t xml:space="preserve"> are required to register on the SAP Ariba Network </w:t>
      </w:r>
      <w:proofErr w:type="gramStart"/>
      <w:r w:rsidRPr="00586525">
        <w:rPr>
          <w:rFonts w:cs="Arial"/>
          <w:color w:val="000000"/>
        </w:rPr>
        <w:t>in order to</w:t>
      </w:r>
      <w:proofErr w:type="gramEnd"/>
      <w:r w:rsidRPr="00586525">
        <w:rPr>
          <w:rFonts w:cs="Arial"/>
          <w:color w:val="000000"/>
        </w:rPr>
        <w:t xml:space="preserve"> transact with HMRC via the e-Trading system and to ensure that they will continue to be able to receive purchase orders from and issue invoices to HMRC</w:t>
      </w:r>
      <w:r w:rsidR="00971C6A">
        <w:rPr>
          <w:rFonts w:cs="Arial"/>
          <w:color w:val="000000"/>
        </w:rPr>
        <w:t>.</w:t>
      </w:r>
      <w:bookmarkEnd w:id="44"/>
      <w:bookmarkEnd w:id="45"/>
    </w:p>
    <w:p w14:paraId="606D522D" w14:textId="0C5B4CF1" w:rsidR="00586525" w:rsidRDefault="00DC0817" w:rsidP="0085565B">
      <w:pPr>
        <w:pStyle w:val="Head2"/>
        <w:numPr>
          <w:ilvl w:val="2"/>
          <w:numId w:val="9"/>
        </w:numPr>
        <w:jc w:val="both"/>
        <w:rPr>
          <w:rFonts w:cs="Arial"/>
          <w:color w:val="000000"/>
        </w:rPr>
      </w:pPr>
      <w:bookmarkStart w:id="46" w:name="_Toc201679039"/>
      <w:bookmarkStart w:id="47" w:name="_Toc201679616"/>
      <w:r w:rsidRPr="00DC0817">
        <w:rPr>
          <w:rFonts w:cs="Arial"/>
          <w:color w:val="000000"/>
        </w:rPr>
        <w:t xml:space="preserve">Registration for HMRC’s </w:t>
      </w:r>
      <w:proofErr w:type="spellStart"/>
      <w:r w:rsidRPr="00DC0817">
        <w:rPr>
          <w:rFonts w:cs="Arial"/>
          <w:color w:val="000000"/>
        </w:rPr>
        <w:t>eTrading</w:t>
      </w:r>
      <w:proofErr w:type="spellEnd"/>
      <w:r w:rsidRPr="00DC0817">
        <w:rPr>
          <w:rFonts w:cs="Arial"/>
          <w:color w:val="000000"/>
        </w:rPr>
        <w:t xml:space="preserve"> portal is undertaken by the successful </w:t>
      </w:r>
      <w:r w:rsidR="00A13097">
        <w:rPr>
          <w:rFonts w:cs="Arial"/>
          <w:color w:val="000000"/>
        </w:rPr>
        <w:t>supplier</w:t>
      </w:r>
      <w:r w:rsidRPr="00DC0817">
        <w:rPr>
          <w:rFonts w:cs="Arial"/>
          <w:color w:val="000000"/>
        </w:rPr>
        <w:t xml:space="preserve"> following the notification of award. Instruction will be provided by HMRC. SAP Ariba will not charge suppliers to HMRC</w:t>
      </w:r>
      <w:r w:rsidR="006E2E92">
        <w:rPr>
          <w:rFonts w:cs="Arial"/>
          <w:color w:val="000000"/>
        </w:rPr>
        <w:t xml:space="preserve"> or </w:t>
      </w:r>
      <w:r w:rsidRPr="00DC0817">
        <w:rPr>
          <w:rFonts w:cs="Arial"/>
          <w:color w:val="000000"/>
        </w:rPr>
        <w:t>VOA</w:t>
      </w:r>
      <w:r w:rsidR="005C1BC9">
        <w:rPr>
          <w:rFonts w:cs="Arial"/>
          <w:color w:val="000000"/>
        </w:rPr>
        <w:t xml:space="preserve"> </w:t>
      </w:r>
      <w:r w:rsidRPr="00DC0817">
        <w:rPr>
          <w:rFonts w:cs="Arial"/>
          <w:color w:val="000000"/>
        </w:rPr>
        <w:t>to register on the SAP Ariba Network and suppliers will not incur any fees when transacting with HMRC</w:t>
      </w:r>
      <w:r w:rsidR="006E2E92">
        <w:rPr>
          <w:rFonts w:cs="Arial"/>
          <w:color w:val="000000"/>
        </w:rPr>
        <w:t xml:space="preserve"> or </w:t>
      </w:r>
      <w:r w:rsidRPr="00DC0817">
        <w:rPr>
          <w:rFonts w:cs="Arial"/>
          <w:color w:val="000000"/>
        </w:rPr>
        <w:t>VOA</w:t>
      </w:r>
      <w:r w:rsidR="005C1BC9">
        <w:rPr>
          <w:rFonts w:cs="Arial"/>
          <w:color w:val="000000"/>
        </w:rPr>
        <w:t xml:space="preserve"> </w:t>
      </w:r>
      <w:r w:rsidRPr="00DC0817">
        <w:rPr>
          <w:rFonts w:cs="Arial"/>
          <w:color w:val="000000"/>
        </w:rPr>
        <w:t xml:space="preserve">across HMRC’s </w:t>
      </w:r>
      <w:proofErr w:type="spellStart"/>
      <w:r w:rsidRPr="00DC0817">
        <w:rPr>
          <w:rFonts w:cs="Arial"/>
          <w:color w:val="000000"/>
        </w:rPr>
        <w:t>eTrading</w:t>
      </w:r>
      <w:proofErr w:type="spellEnd"/>
      <w:r w:rsidRPr="00DC0817">
        <w:rPr>
          <w:rFonts w:cs="Arial"/>
          <w:color w:val="000000"/>
        </w:rPr>
        <w:t xml:space="preserve"> system.  However</w:t>
      </w:r>
      <w:r w:rsidR="00E90EDA">
        <w:rPr>
          <w:rFonts w:cs="Arial"/>
          <w:color w:val="000000"/>
        </w:rPr>
        <w:t>,</w:t>
      </w:r>
      <w:r w:rsidRPr="00DC0817">
        <w:rPr>
          <w:rFonts w:cs="Arial"/>
          <w:color w:val="000000"/>
        </w:rPr>
        <w:t xml:space="preserve"> fees may apply when transacting with suppliers’ other customers over the SAP Ariba Network.</w:t>
      </w:r>
      <w:bookmarkEnd w:id="46"/>
      <w:bookmarkEnd w:id="47"/>
      <w:r w:rsidRPr="00DC0817">
        <w:rPr>
          <w:rFonts w:cs="Arial"/>
          <w:color w:val="000000"/>
        </w:rPr>
        <w:t xml:space="preserve">  </w:t>
      </w:r>
    </w:p>
    <w:p w14:paraId="5D4984B9" w14:textId="649F63A3" w:rsidR="00BA5550" w:rsidRDefault="00BA5550" w:rsidP="0085565B">
      <w:pPr>
        <w:pStyle w:val="Head2"/>
        <w:numPr>
          <w:ilvl w:val="2"/>
          <w:numId w:val="9"/>
        </w:numPr>
        <w:jc w:val="both"/>
        <w:rPr>
          <w:rFonts w:cs="Arial"/>
          <w:color w:val="000000"/>
        </w:rPr>
      </w:pPr>
      <w:bookmarkStart w:id="48" w:name="_Toc201679040"/>
      <w:bookmarkStart w:id="49" w:name="_Toc201679617"/>
      <w:r w:rsidRPr="00BA5550">
        <w:rPr>
          <w:rFonts w:cs="Arial"/>
          <w:color w:val="000000"/>
        </w:rPr>
        <w:t>Suppliers to HMRC</w:t>
      </w:r>
      <w:r w:rsidR="006E2E92">
        <w:rPr>
          <w:rFonts w:cs="Arial"/>
          <w:color w:val="000000"/>
        </w:rPr>
        <w:t xml:space="preserve"> or</w:t>
      </w:r>
      <w:r w:rsidR="005C1BC9">
        <w:rPr>
          <w:rFonts w:cs="Arial"/>
          <w:color w:val="000000"/>
        </w:rPr>
        <w:t xml:space="preserve"> </w:t>
      </w:r>
      <w:r w:rsidRPr="00BA5550">
        <w:rPr>
          <w:rFonts w:cs="Arial"/>
          <w:color w:val="000000"/>
        </w:rPr>
        <w:t>VOA</w:t>
      </w:r>
      <w:r w:rsidR="005C1BC9">
        <w:rPr>
          <w:rFonts w:cs="Arial"/>
          <w:color w:val="000000"/>
        </w:rPr>
        <w:t xml:space="preserve"> </w:t>
      </w:r>
      <w:r w:rsidRPr="00BA5550">
        <w:rPr>
          <w:rFonts w:cs="Arial"/>
          <w:color w:val="000000"/>
        </w:rPr>
        <w:t xml:space="preserve">are not required to invest in any additional products or services from SAP Ariba or from any other supplier </w:t>
      </w:r>
      <w:proofErr w:type="gramStart"/>
      <w:r w:rsidRPr="00BA5550">
        <w:rPr>
          <w:rFonts w:cs="Arial"/>
          <w:color w:val="000000"/>
        </w:rPr>
        <w:t>in order to</w:t>
      </w:r>
      <w:proofErr w:type="gramEnd"/>
      <w:r w:rsidRPr="00BA5550">
        <w:rPr>
          <w:rFonts w:cs="Arial"/>
          <w:color w:val="000000"/>
        </w:rPr>
        <w:t xml:space="preserve"> transact with HMRC</w:t>
      </w:r>
      <w:r w:rsidR="006E2E92">
        <w:rPr>
          <w:rFonts w:cs="Arial"/>
          <w:color w:val="000000"/>
        </w:rPr>
        <w:t xml:space="preserve"> or</w:t>
      </w:r>
      <w:r w:rsidRPr="00BA5550">
        <w:rPr>
          <w:rFonts w:cs="Arial"/>
          <w:color w:val="000000"/>
        </w:rPr>
        <w:t xml:space="preserve"> VOA</w:t>
      </w:r>
      <w:r w:rsidR="008469CA">
        <w:rPr>
          <w:rFonts w:cs="Arial"/>
          <w:color w:val="000000"/>
        </w:rPr>
        <w:t xml:space="preserve"> </w:t>
      </w:r>
      <w:r w:rsidRPr="00BA5550">
        <w:rPr>
          <w:rFonts w:cs="Arial"/>
          <w:color w:val="000000"/>
        </w:rPr>
        <w:t xml:space="preserve">using HMRC’s </w:t>
      </w:r>
      <w:proofErr w:type="spellStart"/>
      <w:r w:rsidRPr="00BA5550">
        <w:rPr>
          <w:rFonts w:cs="Arial"/>
          <w:color w:val="000000"/>
        </w:rPr>
        <w:t>eTrading</w:t>
      </w:r>
      <w:proofErr w:type="spellEnd"/>
      <w:r w:rsidRPr="00BA5550">
        <w:rPr>
          <w:rFonts w:cs="Arial"/>
          <w:color w:val="000000"/>
        </w:rPr>
        <w:t xml:space="preserve"> system.</w:t>
      </w:r>
      <w:bookmarkEnd w:id="48"/>
      <w:bookmarkEnd w:id="49"/>
      <w:r w:rsidRPr="00BA5550">
        <w:rPr>
          <w:rFonts w:cs="Arial"/>
          <w:color w:val="000000"/>
        </w:rPr>
        <w:t xml:space="preserve">   </w:t>
      </w:r>
    </w:p>
    <w:p w14:paraId="25C2A3E3" w14:textId="7DA07C54" w:rsidR="00A25654" w:rsidRPr="00BA5550" w:rsidRDefault="00A25654" w:rsidP="0085565B">
      <w:pPr>
        <w:pStyle w:val="Head2"/>
        <w:numPr>
          <w:ilvl w:val="2"/>
          <w:numId w:val="9"/>
        </w:numPr>
        <w:jc w:val="both"/>
        <w:rPr>
          <w:rFonts w:cs="Arial"/>
          <w:color w:val="000000"/>
        </w:rPr>
      </w:pPr>
      <w:bookmarkStart w:id="50" w:name="_Toc201679041"/>
      <w:bookmarkStart w:id="51" w:name="_Toc201679618"/>
      <w:r w:rsidRPr="00A25654">
        <w:rPr>
          <w:rFonts w:cs="Arial"/>
          <w:color w:val="000000"/>
        </w:rPr>
        <w:t>Payment will be made by BACS within 30 days of receipt of a valid invoice.</w:t>
      </w:r>
      <w:bookmarkEnd w:id="50"/>
      <w:bookmarkEnd w:id="51"/>
    </w:p>
    <w:p w14:paraId="5540EF6E" w14:textId="77777777" w:rsidR="00D15BA7" w:rsidRPr="004D002F" w:rsidRDefault="001D2F16" w:rsidP="0085565B">
      <w:pPr>
        <w:pStyle w:val="Head2"/>
        <w:numPr>
          <w:ilvl w:val="1"/>
          <w:numId w:val="9"/>
        </w:numPr>
        <w:jc w:val="both"/>
        <w:rPr>
          <w:b/>
          <w:bCs/>
        </w:rPr>
      </w:pPr>
      <w:bookmarkStart w:id="52" w:name="_Toc201679042"/>
      <w:bookmarkStart w:id="53" w:name="_Toc201679619"/>
      <w:r w:rsidRPr="004D002F">
        <w:rPr>
          <w:rFonts w:cs="Arial"/>
          <w:b/>
          <w:bCs/>
          <w:color w:val="000000"/>
        </w:rPr>
        <w:t>Communications</w:t>
      </w:r>
      <w:r w:rsidRPr="004D002F">
        <w:rPr>
          <w:b/>
          <w:bCs/>
        </w:rPr>
        <w:t xml:space="preserve"> and clarifications</w:t>
      </w:r>
      <w:bookmarkEnd w:id="52"/>
      <w:bookmarkEnd w:id="53"/>
    </w:p>
    <w:p w14:paraId="19BA617A" w14:textId="4BF48017" w:rsidR="00BA1FDF" w:rsidRPr="00BA1FDF" w:rsidRDefault="006B53E2" w:rsidP="0085565B">
      <w:pPr>
        <w:pStyle w:val="Head2"/>
        <w:numPr>
          <w:ilvl w:val="2"/>
          <w:numId w:val="9"/>
        </w:numPr>
        <w:jc w:val="both"/>
        <w:rPr>
          <w:rFonts w:cs="Arial"/>
          <w:color w:val="000000"/>
        </w:rPr>
      </w:pPr>
      <w:bookmarkStart w:id="54" w:name="_Toc201679043"/>
      <w:bookmarkStart w:id="55" w:name="_Toc201679620"/>
      <w:r>
        <w:rPr>
          <w:rFonts w:cs="Arial"/>
          <w:color w:val="000000"/>
        </w:rPr>
        <w:t xml:space="preserve">HMRC will </w:t>
      </w:r>
      <w:r w:rsidR="0085131B">
        <w:rPr>
          <w:rFonts w:cs="Arial"/>
          <w:color w:val="000000"/>
        </w:rPr>
        <w:t>ordinarily</w:t>
      </w:r>
      <w:r>
        <w:rPr>
          <w:rFonts w:cs="Arial"/>
          <w:color w:val="000000"/>
        </w:rPr>
        <w:t xml:space="preserve"> send </w:t>
      </w:r>
      <w:r w:rsidR="00BA1FDF" w:rsidRPr="00BA1FDF">
        <w:rPr>
          <w:rFonts w:cs="Arial"/>
          <w:color w:val="000000"/>
        </w:rPr>
        <w:t xml:space="preserve">communications or notifications </w:t>
      </w:r>
      <w:r w:rsidR="00DE3831" w:rsidRPr="00BA1FDF">
        <w:rPr>
          <w:rFonts w:cs="Arial"/>
          <w:color w:val="000000"/>
        </w:rPr>
        <w:t xml:space="preserve">to </w:t>
      </w:r>
      <w:r w:rsidR="00BC1018">
        <w:rPr>
          <w:rFonts w:cs="Arial"/>
          <w:color w:val="000000"/>
        </w:rPr>
        <w:t>T</w:t>
      </w:r>
      <w:r w:rsidR="008964E5">
        <w:rPr>
          <w:rFonts w:cs="Arial"/>
          <w:color w:val="000000"/>
        </w:rPr>
        <w:t>enderers</w:t>
      </w:r>
      <w:r w:rsidR="00DE3831" w:rsidRPr="00BA1FDF">
        <w:rPr>
          <w:rFonts w:cs="Arial"/>
          <w:color w:val="000000"/>
        </w:rPr>
        <w:t xml:space="preserve"> </w:t>
      </w:r>
      <w:r w:rsidR="00BA1FDF" w:rsidRPr="00BA1FDF">
        <w:rPr>
          <w:rFonts w:cs="Arial"/>
          <w:color w:val="000000"/>
        </w:rPr>
        <w:t xml:space="preserve">in connection with </w:t>
      </w:r>
      <w:r w:rsidR="00131BE0">
        <w:rPr>
          <w:rFonts w:cs="Arial"/>
          <w:color w:val="000000"/>
        </w:rPr>
        <w:t>this procurement exercise</w:t>
      </w:r>
      <w:r w:rsidR="00A10123">
        <w:rPr>
          <w:rFonts w:cs="Arial"/>
          <w:color w:val="000000"/>
        </w:rPr>
        <w:t xml:space="preserve"> </w:t>
      </w:r>
      <w:r w:rsidR="006C3F74">
        <w:rPr>
          <w:rFonts w:cs="Arial"/>
          <w:color w:val="000000"/>
        </w:rPr>
        <w:t>via</w:t>
      </w:r>
      <w:r w:rsidR="00BA1FDF" w:rsidRPr="00BA1FDF">
        <w:rPr>
          <w:rFonts w:cs="Arial"/>
          <w:color w:val="000000"/>
        </w:rPr>
        <w:t xml:space="preserve"> the messaging facility </w:t>
      </w:r>
      <w:r w:rsidR="006C0315">
        <w:rPr>
          <w:rFonts w:cs="Arial"/>
          <w:color w:val="000000"/>
        </w:rPr>
        <w:t>in Ariba</w:t>
      </w:r>
      <w:r w:rsidR="00BA1FDF" w:rsidRPr="00BA1FDF">
        <w:rPr>
          <w:rFonts w:cs="Arial"/>
          <w:color w:val="000000"/>
        </w:rPr>
        <w:t>.</w:t>
      </w:r>
      <w:bookmarkEnd w:id="54"/>
      <w:bookmarkEnd w:id="55"/>
      <w:r w:rsidR="00BA1FDF" w:rsidRPr="00BA1FDF">
        <w:rPr>
          <w:rFonts w:cs="Arial"/>
          <w:color w:val="000000"/>
        </w:rPr>
        <w:t xml:space="preserve"> </w:t>
      </w:r>
    </w:p>
    <w:p w14:paraId="28D1D231" w14:textId="005ED481" w:rsidR="00BA1FDF" w:rsidRPr="00762767" w:rsidRDefault="00BA1FDF" w:rsidP="0085565B">
      <w:pPr>
        <w:pStyle w:val="Head2"/>
        <w:numPr>
          <w:ilvl w:val="2"/>
          <w:numId w:val="9"/>
        </w:numPr>
        <w:jc w:val="both"/>
        <w:rPr>
          <w:rFonts w:cs="Arial"/>
          <w:color w:val="000000"/>
        </w:rPr>
      </w:pPr>
      <w:bookmarkStart w:id="56" w:name="_Toc201679044"/>
      <w:bookmarkStart w:id="57" w:name="_Toc201679621"/>
      <w:r w:rsidRPr="00BA1FDF">
        <w:rPr>
          <w:rFonts w:cs="Arial"/>
          <w:color w:val="000000"/>
        </w:rPr>
        <w:t xml:space="preserve">Communications or notifications sent via the messaging system may relate to and represent material changes to information previously provided. Accordingly, until the </w:t>
      </w:r>
      <w:r w:rsidR="00675732">
        <w:rPr>
          <w:rFonts w:cs="Arial"/>
          <w:color w:val="000000"/>
        </w:rPr>
        <w:t>procurement exercise</w:t>
      </w:r>
      <w:r w:rsidRPr="00BA1FDF">
        <w:rPr>
          <w:rFonts w:cs="Arial"/>
          <w:color w:val="000000"/>
        </w:rPr>
        <w:t xml:space="preserve"> has been fully concluded, </w:t>
      </w:r>
      <w:r w:rsidR="00BC1018">
        <w:rPr>
          <w:rFonts w:cs="Arial"/>
          <w:color w:val="000000"/>
        </w:rPr>
        <w:t>T</w:t>
      </w:r>
      <w:r w:rsidR="00BA6854">
        <w:rPr>
          <w:rFonts w:cs="Arial"/>
          <w:color w:val="000000"/>
        </w:rPr>
        <w:t>enderers</w:t>
      </w:r>
      <w:r w:rsidRPr="00BA1FDF">
        <w:rPr>
          <w:rFonts w:cs="Arial"/>
          <w:color w:val="000000"/>
        </w:rPr>
        <w:t xml:space="preserve"> </w:t>
      </w:r>
      <w:r w:rsidR="00850B59">
        <w:rPr>
          <w:rFonts w:cs="Arial"/>
          <w:color w:val="000000"/>
        </w:rPr>
        <w:t>are advised to</w:t>
      </w:r>
      <w:r w:rsidRPr="00BA1FDF">
        <w:rPr>
          <w:rFonts w:cs="Arial"/>
          <w:color w:val="000000"/>
        </w:rPr>
        <w:t xml:space="preserve"> log into the </w:t>
      </w:r>
      <w:proofErr w:type="spellStart"/>
      <w:r w:rsidRPr="00BA1FDF">
        <w:rPr>
          <w:rFonts w:cs="Arial"/>
          <w:color w:val="000000"/>
        </w:rPr>
        <w:t>eSourcing</w:t>
      </w:r>
      <w:proofErr w:type="spellEnd"/>
      <w:r w:rsidRPr="00BA1FDF">
        <w:rPr>
          <w:rFonts w:cs="Arial"/>
          <w:color w:val="000000"/>
        </w:rPr>
        <w:t xml:space="preserve"> </w:t>
      </w:r>
      <w:r w:rsidR="00D45C3A">
        <w:rPr>
          <w:rFonts w:cs="Arial"/>
          <w:color w:val="000000"/>
        </w:rPr>
        <w:t>e</w:t>
      </w:r>
      <w:r w:rsidR="00D45C3A" w:rsidRPr="00BA1FDF">
        <w:rPr>
          <w:rFonts w:cs="Arial"/>
          <w:color w:val="000000"/>
        </w:rPr>
        <w:t>vent</w:t>
      </w:r>
      <w:r w:rsidR="00D45C3A">
        <w:rPr>
          <w:rFonts w:cs="Arial"/>
          <w:color w:val="000000"/>
        </w:rPr>
        <w:t xml:space="preserve"> </w:t>
      </w:r>
      <w:r w:rsidR="008862EE">
        <w:rPr>
          <w:rFonts w:cs="Arial"/>
          <w:color w:val="000000"/>
        </w:rPr>
        <w:t xml:space="preserve">on </w:t>
      </w:r>
      <w:r w:rsidR="006C3F74">
        <w:rPr>
          <w:rFonts w:cs="Arial"/>
          <w:color w:val="000000"/>
        </w:rPr>
        <w:t>Ariba</w:t>
      </w:r>
      <w:r w:rsidRPr="00BA1FDF">
        <w:rPr>
          <w:rFonts w:cs="Arial"/>
          <w:color w:val="000000"/>
        </w:rPr>
        <w:t xml:space="preserve"> at regular </w:t>
      </w:r>
      <w:r w:rsidRPr="00762767">
        <w:rPr>
          <w:rFonts w:cs="Arial"/>
          <w:color w:val="000000"/>
        </w:rPr>
        <w:t>intervals</w:t>
      </w:r>
      <w:r w:rsidR="00653F6B" w:rsidRPr="00762767">
        <w:rPr>
          <w:rFonts w:cs="Arial"/>
          <w:color w:val="000000"/>
        </w:rPr>
        <w:t xml:space="preserve"> to check for messages from HMRC.</w:t>
      </w:r>
      <w:bookmarkEnd w:id="56"/>
      <w:bookmarkEnd w:id="57"/>
    </w:p>
    <w:p w14:paraId="5F186581" w14:textId="20CF0C73" w:rsidR="00CD0349" w:rsidRPr="00762767" w:rsidRDefault="0068213A" w:rsidP="0085565B">
      <w:pPr>
        <w:pStyle w:val="Head2"/>
        <w:numPr>
          <w:ilvl w:val="2"/>
          <w:numId w:val="9"/>
        </w:numPr>
        <w:jc w:val="both"/>
        <w:rPr>
          <w:rFonts w:cs="Arial"/>
          <w:color w:val="000000"/>
        </w:rPr>
      </w:pPr>
      <w:bookmarkStart w:id="58" w:name="_Toc201679045"/>
      <w:bookmarkStart w:id="59" w:name="_Toc201679622"/>
      <w:r w:rsidRPr="00762767">
        <w:rPr>
          <w:rFonts w:cs="Arial"/>
          <w:color w:val="000000"/>
        </w:rPr>
        <w:t>Vague</w:t>
      </w:r>
      <w:r w:rsidR="00261806">
        <w:rPr>
          <w:rFonts w:cs="Arial"/>
          <w:color w:val="000000"/>
        </w:rPr>
        <w:t xml:space="preserve">, </w:t>
      </w:r>
      <w:r w:rsidR="004A775C" w:rsidRPr="00762767">
        <w:rPr>
          <w:rFonts w:cs="Arial"/>
          <w:color w:val="000000"/>
        </w:rPr>
        <w:t>ambiguous,</w:t>
      </w:r>
      <w:r w:rsidR="00261806">
        <w:rPr>
          <w:rFonts w:cs="Arial"/>
          <w:color w:val="000000"/>
        </w:rPr>
        <w:t xml:space="preserve"> or incomplete</w:t>
      </w:r>
      <w:r w:rsidRPr="00762767">
        <w:rPr>
          <w:rFonts w:cs="Arial"/>
          <w:color w:val="000000"/>
        </w:rPr>
        <w:t xml:space="preserve"> answers are likely to score poorly or render the </w:t>
      </w:r>
      <w:r w:rsidR="00EA7E44">
        <w:rPr>
          <w:rFonts w:cs="Arial"/>
          <w:color w:val="000000"/>
        </w:rPr>
        <w:t>response submission</w:t>
      </w:r>
      <w:r w:rsidRPr="00762767">
        <w:rPr>
          <w:rFonts w:cs="Arial"/>
          <w:color w:val="000000"/>
        </w:rPr>
        <w:t xml:space="preserve"> non-compliant</w:t>
      </w:r>
      <w:r w:rsidR="00F274BD">
        <w:rPr>
          <w:rFonts w:cs="Arial"/>
          <w:color w:val="000000"/>
        </w:rPr>
        <w:t xml:space="preserve"> under paragraph 12.4 below</w:t>
      </w:r>
      <w:r w:rsidRPr="00762767">
        <w:rPr>
          <w:rFonts w:cs="Arial"/>
          <w:color w:val="000000"/>
        </w:rPr>
        <w:t xml:space="preserve">. </w:t>
      </w:r>
      <w:r w:rsidR="00CD0349" w:rsidRPr="00762767">
        <w:rPr>
          <w:rFonts w:cs="Arial"/>
          <w:color w:val="000000"/>
        </w:rPr>
        <w:t>HMRC reserves the right (but is not obliged) to seek clarification of a</w:t>
      </w:r>
      <w:r w:rsidR="00885716" w:rsidRPr="00762767">
        <w:rPr>
          <w:rFonts w:cs="Arial"/>
          <w:color w:val="000000"/>
        </w:rPr>
        <w:t>ll or any part of</w:t>
      </w:r>
      <w:r w:rsidR="00CD0349" w:rsidRPr="00762767">
        <w:rPr>
          <w:rFonts w:cs="Arial"/>
          <w:color w:val="000000"/>
        </w:rPr>
        <w:t xml:space="preserve"> a </w:t>
      </w:r>
      <w:r w:rsidR="00636492">
        <w:rPr>
          <w:rFonts w:cs="Arial"/>
          <w:color w:val="000000"/>
        </w:rPr>
        <w:t>T</w:t>
      </w:r>
      <w:r w:rsidR="00190B2E" w:rsidRPr="00762767">
        <w:rPr>
          <w:rFonts w:cs="Arial"/>
          <w:color w:val="000000"/>
        </w:rPr>
        <w:t>enderer’s</w:t>
      </w:r>
      <w:r w:rsidR="00CD0349" w:rsidRPr="00762767">
        <w:rPr>
          <w:rFonts w:cs="Arial"/>
          <w:color w:val="000000"/>
        </w:rPr>
        <w:t xml:space="preserve"> </w:t>
      </w:r>
      <w:r w:rsidR="001546DC">
        <w:rPr>
          <w:rFonts w:cs="Arial"/>
          <w:color w:val="000000"/>
        </w:rPr>
        <w:t xml:space="preserve">PSQ response or </w:t>
      </w:r>
      <w:r w:rsidR="009176E5" w:rsidRPr="00762767">
        <w:rPr>
          <w:rFonts w:cs="Arial"/>
          <w:color w:val="000000"/>
        </w:rPr>
        <w:t>t</w:t>
      </w:r>
      <w:r w:rsidR="00CD0349" w:rsidRPr="00762767">
        <w:rPr>
          <w:rFonts w:cs="Arial"/>
          <w:color w:val="000000"/>
        </w:rPr>
        <w:t>ender</w:t>
      </w:r>
      <w:r w:rsidR="00405476" w:rsidRPr="00762767">
        <w:rPr>
          <w:rFonts w:cs="Arial"/>
          <w:color w:val="000000"/>
        </w:rPr>
        <w:t xml:space="preserve"> a</w:t>
      </w:r>
      <w:r w:rsidR="00EE603B" w:rsidRPr="00762767">
        <w:rPr>
          <w:rFonts w:cs="Arial"/>
          <w:color w:val="000000"/>
        </w:rPr>
        <w:t>t</w:t>
      </w:r>
      <w:r w:rsidR="00405476" w:rsidRPr="00762767">
        <w:rPr>
          <w:rFonts w:cs="Arial"/>
          <w:color w:val="000000"/>
        </w:rPr>
        <w:t xml:space="preserve"> any time during the procurement exercise</w:t>
      </w:r>
      <w:r w:rsidR="00CD0349" w:rsidRPr="00762767">
        <w:rPr>
          <w:rFonts w:cs="Arial"/>
          <w:color w:val="000000"/>
        </w:rPr>
        <w:t xml:space="preserve">. </w:t>
      </w:r>
      <w:r w:rsidR="00433587">
        <w:rPr>
          <w:rFonts w:cs="Arial"/>
          <w:color w:val="000000"/>
        </w:rPr>
        <w:t>Tenderer</w:t>
      </w:r>
      <w:r w:rsidR="00EA7AE1" w:rsidRPr="00762767">
        <w:rPr>
          <w:rFonts w:cs="Arial"/>
          <w:color w:val="000000"/>
        </w:rPr>
        <w:t>s</w:t>
      </w:r>
      <w:r w:rsidR="00CD0349" w:rsidRPr="00762767">
        <w:rPr>
          <w:rFonts w:cs="Arial"/>
          <w:color w:val="000000"/>
        </w:rPr>
        <w:t xml:space="preserve"> </w:t>
      </w:r>
      <w:r w:rsidR="00DD6C76" w:rsidRPr="00762767">
        <w:rPr>
          <w:rFonts w:cs="Arial"/>
          <w:color w:val="000000"/>
        </w:rPr>
        <w:t xml:space="preserve">must </w:t>
      </w:r>
      <w:r w:rsidR="00CD0349" w:rsidRPr="00762767">
        <w:rPr>
          <w:rFonts w:cs="Arial"/>
          <w:color w:val="000000"/>
        </w:rPr>
        <w:t>respond to such requests promptly</w:t>
      </w:r>
      <w:bookmarkStart w:id="60" w:name="_Hlk92812040"/>
      <w:r w:rsidR="00625103">
        <w:rPr>
          <w:rFonts w:cs="Arial"/>
          <w:color w:val="000000"/>
        </w:rPr>
        <w:t xml:space="preserve"> and within any timescales</w:t>
      </w:r>
      <w:r w:rsidR="00C72D9F">
        <w:rPr>
          <w:rFonts w:cs="Arial"/>
          <w:color w:val="000000"/>
        </w:rPr>
        <w:t xml:space="preserve"> set for responses</w:t>
      </w:r>
      <w:r w:rsidR="00CD0349" w:rsidRPr="00762767">
        <w:rPr>
          <w:rFonts w:cs="Arial"/>
          <w:color w:val="000000"/>
        </w:rPr>
        <w:t>.</w:t>
      </w:r>
      <w:bookmarkEnd w:id="58"/>
      <w:bookmarkEnd w:id="59"/>
      <w:r w:rsidR="00CD0349" w:rsidRPr="00762767">
        <w:rPr>
          <w:rFonts w:cs="Arial"/>
          <w:color w:val="000000"/>
        </w:rPr>
        <w:t xml:space="preserve"> </w:t>
      </w:r>
      <w:bookmarkEnd w:id="60"/>
    </w:p>
    <w:p w14:paraId="4DAEF025" w14:textId="3545F363" w:rsidR="00034D34" w:rsidRPr="00034D34" w:rsidRDefault="00433587" w:rsidP="0085565B">
      <w:pPr>
        <w:pStyle w:val="ListParagraph"/>
        <w:numPr>
          <w:ilvl w:val="2"/>
          <w:numId w:val="9"/>
        </w:numPr>
        <w:contextualSpacing w:val="0"/>
        <w:jc w:val="both"/>
        <w:rPr>
          <w:rFonts w:cs="Arial"/>
          <w:color w:val="000000"/>
        </w:rPr>
      </w:pPr>
      <w:bookmarkStart w:id="61" w:name="_Ref92812673"/>
      <w:r>
        <w:rPr>
          <w:rFonts w:cs="Arial"/>
          <w:color w:val="000000"/>
        </w:rPr>
        <w:t>Tenderer</w:t>
      </w:r>
      <w:r w:rsidR="00816B11" w:rsidRPr="00034D34">
        <w:rPr>
          <w:rFonts w:cs="Arial"/>
          <w:color w:val="000000"/>
        </w:rPr>
        <w:t>s must submit a</w:t>
      </w:r>
      <w:r w:rsidR="00900629" w:rsidRPr="00034D34">
        <w:rPr>
          <w:rFonts w:cs="Arial"/>
          <w:color w:val="000000"/>
        </w:rPr>
        <w:t xml:space="preserve">ny queries or clarification questions </w:t>
      </w:r>
      <w:r w:rsidR="000B13EC">
        <w:rPr>
          <w:rFonts w:cs="Arial"/>
          <w:color w:val="000000"/>
        </w:rPr>
        <w:t xml:space="preserve">(CQs) </w:t>
      </w:r>
      <w:r w:rsidR="00900629" w:rsidRPr="00034D34">
        <w:rPr>
          <w:rFonts w:cs="Arial"/>
          <w:color w:val="000000"/>
        </w:rPr>
        <w:t xml:space="preserve">via the messaging system in Ariba prior to the </w:t>
      </w:r>
      <w:r w:rsidR="00BA2198" w:rsidRPr="00034D34">
        <w:rPr>
          <w:rFonts w:cs="Arial"/>
          <w:color w:val="000000"/>
        </w:rPr>
        <w:t>C</w:t>
      </w:r>
      <w:r w:rsidR="00900629" w:rsidRPr="00034D34">
        <w:rPr>
          <w:rFonts w:cs="Arial"/>
          <w:color w:val="000000"/>
        </w:rPr>
        <w:t xml:space="preserve">larification </w:t>
      </w:r>
      <w:r w:rsidR="00BA2198" w:rsidRPr="00034D34">
        <w:rPr>
          <w:rFonts w:cs="Arial"/>
          <w:color w:val="000000"/>
        </w:rPr>
        <w:t>D</w:t>
      </w:r>
      <w:r w:rsidR="00900629" w:rsidRPr="00034D34">
        <w:rPr>
          <w:rFonts w:cs="Arial"/>
          <w:color w:val="000000"/>
        </w:rPr>
        <w:t xml:space="preserve">eadline. </w:t>
      </w:r>
      <w:r w:rsidR="005D7005">
        <w:rPr>
          <w:rFonts w:cs="Arial"/>
          <w:color w:val="000000"/>
        </w:rPr>
        <w:t xml:space="preserve">Unless there are exceptional circumstances determined by HMRC, </w:t>
      </w:r>
      <w:r w:rsidR="00900629" w:rsidRPr="00034D34">
        <w:rPr>
          <w:rFonts w:cs="Arial"/>
          <w:color w:val="000000"/>
        </w:rPr>
        <w:t>HMRC will not accept or respond to any queries or clarification questions received</w:t>
      </w:r>
      <w:r w:rsidR="00DD39E6" w:rsidRPr="00034D34">
        <w:rPr>
          <w:rFonts w:cs="Arial"/>
          <w:color w:val="000000"/>
        </w:rPr>
        <w:t xml:space="preserve"> via any other method and/or received</w:t>
      </w:r>
      <w:r w:rsidR="00900629" w:rsidRPr="00034D34">
        <w:rPr>
          <w:rFonts w:cs="Arial"/>
          <w:color w:val="000000"/>
        </w:rPr>
        <w:t xml:space="preserve"> after the </w:t>
      </w:r>
      <w:r w:rsidR="00BA2198" w:rsidRPr="00034D34">
        <w:rPr>
          <w:rFonts w:cs="Arial"/>
          <w:color w:val="000000"/>
        </w:rPr>
        <w:t>C</w:t>
      </w:r>
      <w:r w:rsidR="00900629" w:rsidRPr="00034D34">
        <w:rPr>
          <w:rFonts w:cs="Arial"/>
          <w:color w:val="000000"/>
        </w:rPr>
        <w:t xml:space="preserve">larification </w:t>
      </w:r>
      <w:r w:rsidR="00BA2198" w:rsidRPr="00034D34">
        <w:rPr>
          <w:rFonts w:cs="Arial"/>
          <w:color w:val="000000"/>
        </w:rPr>
        <w:t>D</w:t>
      </w:r>
      <w:r w:rsidR="00900629" w:rsidRPr="00034D34">
        <w:rPr>
          <w:rFonts w:cs="Arial"/>
          <w:color w:val="000000"/>
        </w:rPr>
        <w:t>eadline.</w:t>
      </w:r>
      <w:bookmarkEnd w:id="61"/>
      <w:r w:rsidR="00900629" w:rsidRPr="00034D34">
        <w:rPr>
          <w:rFonts w:cs="Arial"/>
          <w:color w:val="000000"/>
        </w:rPr>
        <w:t xml:space="preserve"> </w:t>
      </w:r>
      <w:r w:rsidR="00961C4C" w:rsidRPr="00034D34">
        <w:rPr>
          <w:rFonts w:eastAsiaTheme="majorEastAsia" w:cs="Arial"/>
          <w:color w:val="000000"/>
          <w:szCs w:val="32"/>
        </w:rPr>
        <w:t>It is the</w:t>
      </w:r>
      <w:r w:rsidR="0099727D" w:rsidRPr="00034D34">
        <w:rPr>
          <w:rFonts w:eastAsiaTheme="majorEastAsia" w:cs="Arial"/>
          <w:color w:val="000000"/>
          <w:szCs w:val="32"/>
        </w:rPr>
        <w:t xml:space="preserve"> </w:t>
      </w:r>
      <w:r w:rsidR="00636492">
        <w:rPr>
          <w:rFonts w:eastAsiaTheme="majorEastAsia" w:cs="Arial"/>
          <w:color w:val="000000"/>
          <w:szCs w:val="32"/>
        </w:rPr>
        <w:t>T</w:t>
      </w:r>
      <w:r w:rsidR="0099727D" w:rsidRPr="00034D34">
        <w:rPr>
          <w:rFonts w:eastAsiaTheme="majorEastAsia" w:cs="Arial"/>
          <w:color w:val="000000"/>
          <w:szCs w:val="32"/>
        </w:rPr>
        <w:t>enderer’s</w:t>
      </w:r>
      <w:r w:rsidR="00961C4C" w:rsidRPr="00034D34">
        <w:rPr>
          <w:rFonts w:eastAsiaTheme="majorEastAsia" w:cs="Arial"/>
          <w:color w:val="000000"/>
          <w:szCs w:val="32"/>
        </w:rPr>
        <w:t xml:space="preserve"> responsibility to ensure that they have </w:t>
      </w:r>
      <w:proofErr w:type="gramStart"/>
      <w:r w:rsidR="00961C4C" w:rsidRPr="00034D34">
        <w:rPr>
          <w:rFonts w:eastAsiaTheme="majorEastAsia" w:cs="Arial"/>
          <w:color w:val="000000"/>
          <w:szCs w:val="32"/>
        </w:rPr>
        <w:t>all of</w:t>
      </w:r>
      <w:proofErr w:type="gramEnd"/>
      <w:r w:rsidR="00961C4C" w:rsidRPr="00034D34">
        <w:rPr>
          <w:rFonts w:eastAsiaTheme="majorEastAsia" w:cs="Arial"/>
          <w:color w:val="000000"/>
          <w:szCs w:val="32"/>
        </w:rPr>
        <w:t xml:space="preserve"> the information they need to prepare their </w:t>
      </w:r>
      <w:r w:rsidR="00913121">
        <w:rPr>
          <w:rFonts w:eastAsiaTheme="majorEastAsia" w:cs="Arial"/>
          <w:color w:val="000000"/>
          <w:szCs w:val="32"/>
        </w:rPr>
        <w:t xml:space="preserve">PSQ or </w:t>
      </w:r>
      <w:r w:rsidR="00961C4C" w:rsidRPr="00034D34">
        <w:rPr>
          <w:rFonts w:eastAsiaTheme="majorEastAsia" w:cs="Arial"/>
          <w:color w:val="000000"/>
          <w:szCs w:val="32"/>
        </w:rPr>
        <w:t>tender.</w:t>
      </w:r>
    </w:p>
    <w:p w14:paraId="32DFAA34" w14:textId="1276AE64" w:rsidR="00962433" w:rsidRPr="00034D34" w:rsidRDefault="00900629" w:rsidP="0085565B">
      <w:pPr>
        <w:pStyle w:val="ListParagraph"/>
        <w:numPr>
          <w:ilvl w:val="2"/>
          <w:numId w:val="9"/>
        </w:numPr>
        <w:contextualSpacing w:val="0"/>
        <w:jc w:val="both"/>
        <w:rPr>
          <w:rFonts w:cs="Arial"/>
          <w:color w:val="000000"/>
        </w:rPr>
      </w:pPr>
      <w:r w:rsidRPr="00034D34">
        <w:rPr>
          <w:rFonts w:cs="Arial"/>
          <w:color w:val="000000"/>
        </w:rPr>
        <w:t xml:space="preserve">HMRC will publish any clarification questions received and HMRC’s response to them on Ariba. </w:t>
      </w:r>
      <w:r w:rsidR="00295D72" w:rsidRPr="00034D34">
        <w:rPr>
          <w:rFonts w:cs="Arial"/>
          <w:color w:val="000000"/>
        </w:rPr>
        <w:t xml:space="preserve">As a </w:t>
      </w:r>
      <w:r w:rsidR="00433587">
        <w:rPr>
          <w:rFonts w:cs="Arial"/>
          <w:color w:val="000000"/>
        </w:rPr>
        <w:t>Tenderer</w:t>
      </w:r>
      <w:r w:rsidR="00295D72" w:rsidRPr="00034D34">
        <w:rPr>
          <w:rFonts w:cs="Arial"/>
          <w:color w:val="000000"/>
        </w:rPr>
        <w:t>, if you wish</w:t>
      </w:r>
      <w:r w:rsidRPr="00034D34">
        <w:rPr>
          <w:rFonts w:cs="Arial"/>
          <w:color w:val="000000"/>
        </w:rPr>
        <w:t xml:space="preserve"> HMRC to treat a clarification as confidential and not publish the response, </w:t>
      </w:r>
      <w:r w:rsidR="001D543D" w:rsidRPr="00034D34">
        <w:rPr>
          <w:rFonts w:cs="Arial"/>
          <w:color w:val="000000"/>
        </w:rPr>
        <w:t>you</w:t>
      </w:r>
      <w:r w:rsidRPr="00034D34">
        <w:rPr>
          <w:rFonts w:cs="Arial"/>
          <w:color w:val="000000"/>
        </w:rPr>
        <w:t xml:space="preserve"> must state this when submitting the clarification. If, in the opinion of HMRC, the clarification is not confidential, HMRC will inform the </w:t>
      </w:r>
      <w:r w:rsidR="002A6D6E">
        <w:rPr>
          <w:rFonts w:cs="Arial"/>
          <w:color w:val="000000"/>
        </w:rPr>
        <w:t>T</w:t>
      </w:r>
      <w:r w:rsidR="008A2AE4" w:rsidRPr="00034D34">
        <w:rPr>
          <w:rFonts w:cs="Arial"/>
          <w:color w:val="000000"/>
        </w:rPr>
        <w:t>enderer</w:t>
      </w:r>
      <w:r w:rsidRPr="00034D34">
        <w:rPr>
          <w:rFonts w:cs="Arial"/>
          <w:color w:val="000000"/>
        </w:rPr>
        <w:t xml:space="preserve"> who will have an opportunity to withdraw it. If the clarification is not withdrawn, the response will be issued to all </w:t>
      </w:r>
      <w:r w:rsidR="00433587">
        <w:rPr>
          <w:rFonts w:cs="Arial"/>
          <w:color w:val="000000"/>
        </w:rPr>
        <w:t>Tenderer</w:t>
      </w:r>
      <w:r w:rsidR="008A2AE4" w:rsidRPr="00034D34">
        <w:rPr>
          <w:rFonts w:cs="Arial"/>
          <w:color w:val="000000"/>
        </w:rPr>
        <w:t>s</w:t>
      </w:r>
      <w:r w:rsidRPr="00034D34">
        <w:rPr>
          <w:rFonts w:cs="Arial"/>
          <w:color w:val="000000"/>
        </w:rPr>
        <w:t>.</w:t>
      </w:r>
      <w:r w:rsidR="00602DE2" w:rsidRPr="00034D34">
        <w:rPr>
          <w:rFonts w:cs="Arial"/>
          <w:color w:val="000000"/>
        </w:rPr>
        <w:t xml:space="preserve"> </w:t>
      </w:r>
    </w:p>
    <w:p w14:paraId="5E547EFF" w14:textId="2260702B" w:rsidR="00BA2198" w:rsidRPr="009031DC" w:rsidRDefault="00594657" w:rsidP="0085565B">
      <w:pPr>
        <w:pStyle w:val="Head2"/>
        <w:numPr>
          <w:ilvl w:val="2"/>
          <w:numId w:val="9"/>
        </w:numPr>
        <w:jc w:val="both"/>
        <w:rPr>
          <w:rFonts w:cs="Arial"/>
          <w:color w:val="000000"/>
        </w:rPr>
      </w:pPr>
      <w:bookmarkStart w:id="62" w:name="_Toc201679046"/>
      <w:bookmarkStart w:id="63" w:name="_Toc201679623"/>
      <w:r w:rsidRPr="009031DC">
        <w:rPr>
          <w:rFonts w:cs="Arial"/>
          <w:color w:val="000000"/>
        </w:rPr>
        <w:t>If you consider</w:t>
      </w:r>
      <w:r w:rsidR="00A5093B" w:rsidRPr="009031DC">
        <w:rPr>
          <w:rFonts w:cs="Arial"/>
          <w:color w:val="000000"/>
        </w:rPr>
        <w:t xml:space="preserve"> that there is</w:t>
      </w:r>
      <w:r w:rsidR="00BA2198" w:rsidRPr="009031DC">
        <w:rPr>
          <w:rFonts w:cs="Arial"/>
          <w:color w:val="000000"/>
        </w:rPr>
        <w:t>:</w:t>
      </w:r>
      <w:bookmarkEnd w:id="62"/>
      <w:bookmarkEnd w:id="63"/>
    </w:p>
    <w:p w14:paraId="018DE0AA" w14:textId="494098ED" w:rsidR="00BA2198" w:rsidRPr="00BA2198" w:rsidRDefault="00A5093B" w:rsidP="0085565B">
      <w:pPr>
        <w:pStyle w:val="Head2"/>
        <w:numPr>
          <w:ilvl w:val="3"/>
          <w:numId w:val="9"/>
        </w:numPr>
        <w:jc w:val="both"/>
        <w:rPr>
          <w:rFonts w:cs="Arial"/>
          <w:color w:val="000000"/>
        </w:rPr>
      </w:pPr>
      <w:bookmarkStart w:id="64" w:name="_Toc201679047"/>
      <w:bookmarkStart w:id="65" w:name="_Toc201679624"/>
      <w:r w:rsidRPr="00BA2198">
        <w:rPr>
          <w:rFonts w:cs="Arial"/>
          <w:color w:val="000000"/>
        </w:rPr>
        <w:t xml:space="preserve">a fundamental difference between the </w:t>
      </w:r>
      <w:r w:rsidRPr="00882729">
        <w:rPr>
          <w:rFonts w:cs="Arial"/>
          <w:color w:val="000000"/>
        </w:rPr>
        <w:t xml:space="preserve">outline requirement in the </w:t>
      </w:r>
      <w:r w:rsidR="002B4B3D" w:rsidRPr="00882729">
        <w:rPr>
          <w:rFonts w:cs="Arial"/>
          <w:color w:val="000000"/>
        </w:rPr>
        <w:t>tender notice</w:t>
      </w:r>
      <w:r w:rsidR="00BA2198" w:rsidRPr="00882729">
        <w:rPr>
          <w:rFonts w:cs="Arial"/>
          <w:color w:val="000000"/>
        </w:rPr>
        <w:t xml:space="preserve"> or this </w:t>
      </w:r>
      <w:r w:rsidR="00913121">
        <w:rPr>
          <w:rFonts w:cs="Arial"/>
          <w:color w:val="000000"/>
        </w:rPr>
        <w:t xml:space="preserve">document </w:t>
      </w:r>
      <w:r w:rsidRPr="00882729">
        <w:rPr>
          <w:rFonts w:cs="Arial"/>
          <w:color w:val="000000"/>
        </w:rPr>
        <w:t xml:space="preserve">and the more detailed Services Description in the </w:t>
      </w:r>
      <w:r w:rsidR="00AB68F4" w:rsidRPr="00EB6120">
        <w:rPr>
          <w:rFonts w:cs="Arial"/>
          <w:color w:val="000000"/>
        </w:rPr>
        <w:t>D</w:t>
      </w:r>
      <w:r w:rsidRPr="00EB6120">
        <w:rPr>
          <w:rFonts w:cs="Arial"/>
          <w:color w:val="000000"/>
        </w:rPr>
        <w:t xml:space="preserve">raft </w:t>
      </w:r>
      <w:r w:rsidR="00AB68F4" w:rsidRPr="00EB6120">
        <w:rPr>
          <w:rFonts w:cs="Arial"/>
          <w:color w:val="000000"/>
        </w:rPr>
        <w:t>C</w:t>
      </w:r>
      <w:r w:rsidRPr="00EB6120">
        <w:rPr>
          <w:rFonts w:cs="Arial"/>
          <w:color w:val="000000"/>
        </w:rPr>
        <w:t>ontract</w:t>
      </w:r>
      <w:r w:rsidRPr="00882729">
        <w:rPr>
          <w:rFonts w:cs="Arial"/>
          <w:color w:val="000000"/>
        </w:rPr>
        <w:t xml:space="preserve"> o</w:t>
      </w:r>
      <w:r w:rsidR="00742EEA">
        <w:rPr>
          <w:rFonts w:cs="Arial"/>
          <w:color w:val="000000"/>
        </w:rPr>
        <w:t xml:space="preserve">r other </w:t>
      </w:r>
      <w:r w:rsidRPr="00882729">
        <w:rPr>
          <w:rFonts w:cs="Arial"/>
          <w:color w:val="000000"/>
        </w:rPr>
        <w:t>procurement documents</w:t>
      </w:r>
      <w:r w:rsidR="00BA2198" w:rsidRPr="00882729">
        <w:rPr>
          <w:rFonts w:cs="Arial"/>
          <w:color w:val="000000"/>
        </w:rPr>
        <w:t>;</w:t>
      </w:r>
      <w:r w:rsidRPr="00882729">
        <w:rPr>
          <w:rFonts w:cs="Arial"/>
          <w:color w:val="000000"/>
        </w:rPr>
        <w:t xml:space="preserve"> and/or</w:t>
      </w:r>
      <w:bookmarkEnd w:id="64"/>
      <w:bookmarkEnd w:id="65"/>
    </w:p>
    <w:p w14:paraId="186D42CA" w14:textId="64B0DE4E" w:rsidR="00BA2198" w:rsidRPr="00BA2198" w:rsidRDefault="00A5093B" w:rsidP="0085565B">
      <w:pPr>
        <w:pStyle w:val="Head2"/>
        <w:numPr>
          <w:ilvl w:val="3"/>
          <w:numId w:val="9"/>
        </w:numPr>
        <w:jc w:val="both"/>
        <w:rPr>
          <w:rFonts w:cs="Arial"/>
          <w:color w:val="000000"/>
        </w:rPr>
      </w:pPr>
      <w:bookmarkStart w:id="66" w:name="_Toc201679048"/>
      <w:bookmarkStart w:id="67" w:name="_Toc201679625"/>
      <w:r w:rsidRPr="00BA2198">
        <w:rPr>
          <w:rFonts w:cs="Arial"/>
          <w:color w:val="000000"/>
        </w:rPr>
        <w:t xml:space="preserve">a fundamental error or omission in the Services Description which affects </w:t>
      </w:r>
      <w:r w:rsidR="0094119F">
        <w:rPr>
          <w:rFonts w:cs="Arial"/>
          <w:color w:val="000000"/>
        </w:rPr>
        <w:t>your</w:t>
      </w:r>
      <w:r w:rsidRPr="00BA2198">
        <w:rPr>
          <w:rFonts w:cs="Arial"/>
          <w:color w:val="000000"/>
        </w:rPr>
        <w:t xml:space="preserve"> ability to provide the goods and/or services</w:t>
      </w:r>
      <w:r w:rsidR="00BA2198">
        <w:rPr>
          <w:rFonts w:cs="Arial"/>
          <w:color w:val="000000"/>
        </w:rPr>
        <w:t>,</w:t>
      </w:r>
      <w:bookmarkEnd w:id="66"/>
      <w:bookmarkEnd w:id="67"/>
    </w:p>
    <w:p w14:paraId="3E930BFA" w14:textId="72F8EBD2" w:rsidR="00A5093B" w:rsidRDefault="00594657" w:rsidP="00412D0C">
      <w:pPr>
        <w:ind w:left="1418"/>
      </w:pPr>
      <w:r>
        <w:t>you</w:t>
      </w:r>
      <w:r w:rsidR="00BA2198" w:rsidRPr="00BA2198">
        <w:t xml:space="preserve"> must bring this</w:t>
      </w:r>
      <w:r w:rsidR="00A5093B" w:rsidRPr="00BA2198">
        <w:t xml:space="preserve"> to </w:t>
      </w:r>
      <w:r w:rsidR="0094119F">
        <w:t>HMRC’s</w:t>
      </w:r>
      <w:r>
        <w:t xml:space="preserve"> attention</w:t>
      </w:r>
      <w:r w:rsidR="00A5093B" w:rsidRPr="00BA2198">
        <w:t xml:space="preserve"> as soon as possible and no later than the</w:t>
      </w:r>
      <w:r w:rsidR="00BA2198" w:rsidRPr="00BA2198">
        <w:t xml:space="preserve"> </w:t>
      </w:r>
      <w:r w:rsidR="00911905">
        <w:t xml:space="preserve">ITSIT </w:t>
      </w:r>
      <w:r w:rsidR="00BA2198">
        <w:t>C</w:t>
      </w:r>
      <w:r w:rsidR="00BA2198" w:rsidRPr="00BA2198">
        <w:t xml:space="preserve">larification </w:t>
      </w:r>
      <w:r w:rsidR="00BA2198">
        <w:t>D</w:t>
      </w:r>
      <w:r w:rsidR="00BA2198" w:rsidRPr="00BA2198">
        <w:t>eadline</w:t>
      </w:r>
      <w:r w:rsidR="00A5093B" w:rsidRPr="00BA2198">
        <w:t>.</w:t>
      </w:r>
    </w:p>
    <w:p w14:paraId="670F755B" w14:textId="751167A5" w:rsidR="000B7E24" w:rsidRDefault="00B0452F" w:rsidP="0085565B">
      <w:pPr>
        <w:pStyle w:val="ListParagraph"/>
        <w:numPr>
          <w:ilvl w:val="2"/>
          <w:numId w:val="9"/>
        </w:numPr>
        <w:contextualSpacing w:val="0"/>
        <w:jc w:val="both"/>
        <w:rPr>
          <w:rFonts w:cs="Arial"/>
          <w:color w:val="000000"/>
        </w:rPr>
      </w:pPr>
      <w:r w:rsidRPr="00B0452F">
        <w:rPr>
          <w:rFonts w:cs="Arial"/>
          <w:color w:val="000000"/>
        </w:rPr>
        <w:t xml:space="preserve">During </w:t>
      </w:r>
      <w:r w:rsidR="00C02177">
        <w:rPr>
          <w:rFonts w:cs="Arial"/>
          <w:color w:val="000000"/>
        </w:rPr>
        <w:t xml:space="preserve">each </w:t>
      </w:r>
      <w:r w:rsidRPr="00B0452F">
        <w:rPr>
          <w:rFonts w:cs="Arial"/>
          <w:color w:val="000000"/>
        </w:rPr>
        <w:t xml:space="preserve">evaluation phase, </w:t>
      </w:r>
      <w:r w:rsidR="00143027">
        <w:rPr>
          <w:rFonts w:cs="Arial"/>
          <w:color w:val="000000"/>
        </w:rPr>
        <w:t>HMRC</w:t>
      </w:r>
      <w:r w:rsidRPr="00B0452F">
        <w:rPr>
          <w:rFonts w:cs="Arial"/>
          <w:color w:val="000000"/>
        </w:rPr>
        <w:t xml:space="preserve"> reserves the right to seek clarification and/or verification from the </w:t>
      </w:r>
      <w:r w:rsidR="00433587">
        <w:rPr>
          <w:rFonts w:cs="Arial"/>
          <w:color w:val="000000"/>
        </w:rPr>
        <w:t>Tenderer</w:t>
      </w:r>
      <w:r w:rsidRPr="00B0452F">
        <w:rPr>
          <w:rFonts w:cs="Arial"/>
          <w:color w:val="000000"/>
        </w:rPr>
        <w:t xml:space="preserve"> of any information provided in response to any of the questions and may request further information in support of any statements made therein. The </w:t>
      </w:r>
      <w:r w:rsidR="00433587">
        <w:rPr>
          <w:rFonts w:cs="Arial"/>
          <w:color w:val="000000"/>
        </w:rPr>
        <w:t>Tenderer</w:t>
      </w:r>
      <w:r w:rsidRPr="00B0452F">
        <w:rPr>
          <w:rFonts w:cs="Arial"/>
          <w:color w:val="000000"/>
        </w:rPr>
        <w:t xml:space="preserve"> must confirm receipt of such request, </w:t>
      </w:r>
      <w:r w:rsidRPr="00CD5562">
        <w:rPr>
          <w:rFonts w:cs="Arial"/>
          <w:b/>
          <w:bCs/>
          <w:color w:val="000000"/>
          <w:u w:val="single"/>
        </w:rPr>
        <w:t>within 24 hours</w:t>
      </w:r>
      <w:r w:rsidRPr="00B0452F">
        <w:rPr>
          <w:rFonts w:cs="Arial"/>
          <w:color w:val="000000"/>
        </w:rPr>
        <w:t xml:space="preserve"> of issue and shall provide a binding response </w:t>
      </w:r>
      <w:r w:rsidRPr="00CD5562">
        <w:rPr>
          <w:rFonts w:cs="Arial"/>
          <w:b/>
          <w:bCs/>
          <w:color w:val="000000"/>
          <w:u w:val="single"/>
        </w:rPr>
        <w:t xml:space="preserve">within </w:t>
      </w:r>
      <w:r w:rsidR="000F563B">
        <w:rPr>
          <w:rFonts w:cs="Arial"/>
          <w:b/>
          <w:bCs/>
          <w:color w:val="000000"/>
          <w:u w:val="single"/>
        </w:rPr>
        <w:t>72</w:t>
      </w:r>
      <w:r w:rsidRPr="00CD5562">
        <w:rPr>
          <w:rFonts w:cs="Arial"/>
          <w:b/>
          <w:bCs/>
          <w:color w:val="000000"/>
          <w:u w:val="single"/>
        </w:rPr>
        <w:t xml:space="preserve"> hours</w:t>
      </w:r>
      <w:r w:rsidRPr="00B0452F">
        <w:rPr>
          <w:rFonts w:cs="Arial"/>
          <w:color w:val="000000"/>
        </w:rPr>
        <w:t xml:space="preserve"> of </w:t>
      </w:r>
      <w:r w:rsidR="000F563B">
        <w:rPr>
          <w:rFonts w:cs="Arial"/>
          <w:color w:val="000000"/>
        </w:rPr>
        <w:t>receiving the request</w:t>
      </w:r>
      <w:r w:rsidRPr="00B0452F">
        <w:rPr>
          <w:rFonts w:cs="Arial"/>
          <w:color w:val="000000"/>
        </w:rPr>
        <w:t xml:space="preserve">, with all responses from </w:t>
      </w:r>
      <w:r w:rsidR="00433587">
        <w:rPr>
          <w:rFonts w:cs="Arial"/>
          <w:color w:val="000000"/>
        </w:rPr>
        <w:t>Tenderer</w:t>
      </w:r>
      <w:r w:rsidRPr="00B0452F">
        <w:rPr>
          <w:rFonts w:cs="Arial"/>
          <w:color w:val="000000"/>
        </w:rPr>
        <w:t xml:space="preserve">s being submitted via </w:t>
      </w:r>
      <w:r w:rsidR="00134547">
        <w:rPr>
          <w:rFonts w:cs="Arial"/>
          <w:color w:val="000000"/>
        </w:rPr>
        <w:t>Ariba.</w:t>
      </w:r>
    </w:p>
    <w:p w14:paraId="2A131D53" w14:textId="4F40131E" w:rsidR="00975B18" w:rsidRPr="00BA2198" w:rsidRDefault="00975B18" w:rsidP="00CD5562">
      <w:pPr>
        <w:pStyle w:val="ListParagraph"/>
        <w:ind w:left="1419"/>
        <w:contextualSpacing w:val="0"/>
        <w:jc w:val="both"/>
        <w:rPr>
          <w:rFonts w:cs="Arial"/>
          <w:color w:val="000000"/>
        </w:rPr>
      </w:pPr>
      <w:r w:rsidRPr="00975B18">
        <w:rPr>
          <w:rFonts w:cs="Arial"/>
          <w:color w:val="000000"/>
        </w:rPr>
        <w:t>If the</w:t>
      </w:r>
      <w:r w:rsidR="00433587">
        <w:rPr>
          <w:rFonts w:cs="Arial"/>
          <w:color w:val="000000"/>
        </w:rPr>
        <w:t xml:space="preserve"> T</w:t>
      </w:r>
      <w:r w:rsidRPr="00975B18">
        <w:rPr>
          <w:rFonts w:cs="Arial"/>
          <w:color w:val="000000"/>
        </w:rPr>
        <w:t xml:space="preserve">enderer does not do so within the time limit set by HMRC, HMRC may exclude the </w:t>
      </w:r>
      <w:r w:rsidR="00433587">
        <w:rPr>
          <w:rFonts w:cs="Arial"/>
          <w:color w:val="000000"/>
        </w:rPr>
        <w:t>Tenderer</w:t>
      </w:r>
      <w:r w:rsidRPr="00975B18">
        <w:rPr>
          <w:rFonts w:cs="Arial"/>
          <w:color w:val="000000"/>
        </w:rPr>
        <w:t xml:space="preserve"> from the competition if the circumstances are such that the </w:t>
      </w:r>
      <w:r w:rsidR="00433587">
        <w:rPr>
          <w:rFonts w:cs="Arial"/>
          <w:color w:val="000000"/>
        </w:rPr>
        <w:t>Tenderer</w:t>
      </w:r>
      <w:r w:rsidRPr="00975B18">
        <w:rPr>
          <w:rFonts w:cs="Arial"/>
          <w:color w:val="000000"/>
        </w:rPr>
        <w:t xml:space="preserve"> remaining in the competition would distort competition or result in </w:t>
      </w:r>
      <w:r w:rsidR="00433587">
        <w:rPr>
          <w:rFonts w:cs="Arial"/>
          <w:color w:val="000000"/>
        </w:rPr>
        <w:t>Tenderer</w:t>
      </w:r>
      <w:r w:rsidR="00433587" w:rsidRPr="00975B18">
        <w:rPr>
          <w:rFonts w:cs="Arial"/>
          <w:color w:val="000000"/>
        </w:rPr>
        <w:t xml:space="preserve">s </w:t>
      </w:r>
      <w:r w:rsidRPr="00975B18">
        <w:rPr>
          <w:rFonts w:cs="Arial"/>
          <w:color w:val="000000"/>
        </w:rPr>
        <w:t>not being treated equally</w:t>
      </w:r>
      <w:r>
        <w:rPr>
          <w:rFonts w:cs="Arial"/>
          <w:color w:val="000000"/>
        </w:rPr>
        <w:t>.</w:t>
      </w:r>
    </w:p>
    <w:p w14:paraId="0D0B1B83" w14:textId="10487983" w:rsidR="00C8040E" w:rsidRPr="00232BCB" w:rsidRDefault="00C8040E" w:rsidP="0085565B">
      <w:pPr>
        <w:pStyle w:val="Head2"/>
        <w:numPr>
          <w:ilvl w:val="1"/>
          <w:numId w:val="9"/>
        </w:numPr>
        <w:jc w:val="both"/>
        <w:rPr>
          <w:rFonts w:cs="Arial"/>
          <w:b/>
          <w:color w:val="000000"/>
        </w:rPr>
      </w:pPr>
      <w:bookmarkStart w:id="68" w:name="_Toc201679049"/>
      <w:bookmarkStart w:id="69" w:name="_Toc201679626"/>
      <w:r w:rsidRPr="00232BCB">
        <w:rPr>
          <w:rFonts w:cs="Arial"/>
          <w:b/>
          <w:color w:val="000000"/>
        </w:rPr>
        <w:t xml:space="preserve">Contract </w:t>
      </w:r>
      <w:proofErr w:type="gramStart"/>
      <w:r w:rsidRPr="00232BCB">
        <w:rPr>
          <w:rFonts w:cs="Arial"/>
          <w:b/>
          <w:color w:val="000000"/>
        </w:rPr>
        <w:t>terms</w:t>
      </w:r>
      <w:bookmarkEnd w:id="68"/>
      <w:bookmarkEnd w:id="69"/>
      <w:proofErr w:type="gramEnd"/>
    </w:p>
    <w:p w14:paraId="40BB5F26" w14:textId="7BBF767F" w:rsidR="00C02177" w:rsidRPr="00BF0341" w:rsidRDefault="00C02177" w:rsidP="0085565B">
      <w:pPr>
        <w:pStyle w:val="Head2"/>
        <w:numPr>
          <w:ilvl w:val="2"/>
          <w:numId w:val="9"/>
        </w:numPr>
        <w:jc w:val="both"/>
        <w:rPr>
          <w:rFonts w:cs="Arial"/>
          <w:color w:val="000000"/>
        </w:rPr>
      </w:pPr>
      <w:bookmarkStart w:id="70" w:name="_Toc201679050"/>
      <w:bookmarkStart w:id="71" w:name="_Toc201679627"/>
      <w:r w:rsidRPr="00BF0341">
        <w:rPr>
          <w:rFonts w:cs="Arial"/>
          <w:color w:val="000000"/>
        </w:rPr>
        <w:t xml:space="preserve">HMRC proposes to use the Model Services Contract issued by the Cabinet Office (see Annex </w:t>
      </w:r>
      <w:r w:rsidR="00D27D18">
        <w:rPr>
          <w:rFonts w:cs="Arial"/>
          <w:color w:val="000000"/>
        </w:rPr>
        <w:t>3</w:t>
      </w:r>
      <w:r w:rsidRPr="00BF0341">
        <w:rPr>
          <w:rFonts w:cs="Arial"/>
          <w:color w:val="000000"/>
        </w:rPr>
        <w:t>), with a</w:t>
      </w:r>
      <w:r w:rsidR="00C40CD7" w:rsidRPr="00BF0341">
        <w:rPr>
          <w:rFonts w:cs="Arial"/>
          <w:color w:val="000000"/>
        </w:rPr>
        <w:t xml:space="preserve">mendments </w:t>
      </w:r>
      <w:r w:rsidRPr="00BF0341">
        <w:rPr>
          <w:rFonts w:cs="Arial"/>
          <w:color w:val="000000"/>
        </w:rPr>
        <w:t xml:space="preserve">to reflect the nature of the services and the proposed commercial structure. The draft contract </w:t>
      </w:r>
      <w:r w:rsidR="002B53DF" w:rsidRPr="00BF0341">
        <w:rPr>
          <w:rFonts w:cs="Arial"/>
          <w:color w:val="000000"/>
        </w:rPr>
        <w:t>(</w:t>
      </w:r>
      <w:r w:rsidRPr="00BF0341">
        <w:rPr>
          <w:rFonts w:cs="Arial"/>
          <w:color w:val="000000"/>
        </w:rPr>
        <w:t xml:space="preserve">as </w:t>
      </w:r>
      <w:r w:rsidR="00594B33" w:rsidRPr="00BF0341">
        <w:rPr>
          <w:rFonts w:cs="Arial"/>
          <w:color w:val="000000"/>
        </w:rPr>
        <w:t>amended</w:t>
      </w:r>
      <w:r w:rsidR="002B53DF" w:rsidRPr="00BF0341">
        <w:rPr>
          <w:rFonts w:cs="Arial"/>
          <w:color w:val="000000"/>
        </w:rPr>
        <w:t>)</w:t>
      </w:r>
      <w:r w:rsidRPr="00BF0341">
        <w:rPr>
          <w:rFonts w:cs="Arial"/>
          <w:color w:val="000000"/>
        </w:rPr>
        <w:t xml:space="preserve"> will be provided to </w:t>
      </w:r>
      <w:r w:rsidR="00433587" w:rsidRPr="00BF0341">
        <w:rPr>
          <w:rFonts w:cs="Arial"/>
          <w:color w:val="000000"/>
        </w:rPr>
        <w:t>Tenderer</w:t>
      </w:r>
      <w:r w:rsidRPr="00BF0341">
        <w:rPr>
          <w:rFonts w:cs="Arial"/>
          <w:color w:val="000000"/>
        </w:rPr>
        <w:t>s shortlisted to participate in Stage 2.</w:t>
      </w:r>
      <w:bookmarkEnd w:id="70"/>
      <w:bookmarkEnd w:id="71"/>
    </w:p>
    <w:p w14:paraId="7F9161F7" w14:textId="1F09634F" w:rsidR="00C02177" w:rsidRPr="00232BCB" w:rsidRDefault="00594B33" w:rsidP="0085565B">
      <w:pPr>
        <w:pStyle w:val="Head2"/>
        <w:numPr>
          <w:ilvl w:val="2"/>
          <w:numId w:val="9"/>
        </w:numPr>
        <w:jc w:val="both"/>
      </w:pPr>
      <w:bookmarkStart w:id="72" w:name="_Toc201679051"/>
      <w:bookmarkStart w:id="73" w:name="_Toc201679628"/>
      <w:r w:rsidRPr="00232BCB">
        <w:t xml:space="preserve">Furthermore, </w:t>
      </w:r>
      <w:r w:rsidR="00C02177" w:rsidRPr="00232BCB">
        <w:t xml:space="preserve">HMRC </w:t>
      </w:r>
      <w:r w:rsidR="002B53DF" w:rsidRPr="00232BCB">
        <w:t xml:space="preserve">is </w:t>
      </w:r>
      <w:r w:rsidR="00C02177" w:rsidRPr="00232BCB">
        <w:t xml:space="preserve">willing to consider and discuss </w:t>
      </w:r>
      <w:r w:rsidRPr="00232BCB">
        <w:t xml:space="preserve">with </w:t>
      </w:r>
      <w:r w:rsidR="00433587" w:rsidRPr="00232BCB">
        <w:t>Tenderer</w:t>
      </w:r>
      <w:r w:rsidRPr="00232BCB">
        <w:t xml:space="preserve">s </w:t>
      </w:r>
      <w:r w:rsidR="00C02177" w:rsidRPr="00232BCB">
        <w:t>the following categories of provisions</w:t>
      </w:r>
      <w:r w:rsidRPr="00232BCB">
        <w:t xml:space="preserve"> in the draft contract that is published at Stage 2 to shortlisted </w:t>
      </w:r>
      <w:r w:rsidR="00433587" w:rsidRPr="00232BCB">
        <w:t>Tenderer</w:t>
      </w:r>
      <w:r w:rsidRPr="00232BCB">
        <w:t>s</w:t>
      </w:r>
      <w:r w:rsidR="00C02177" w:rsidRPr="00232BCB">
        <w:t>:</w:t>
      </w:r>
      <w:bookmarkEnd w:id="72"/>
      <w:bookmarkEnd w:id="73"/>
    </w:p>
    <w:p w14:paraId="07682F67" w14:textId="60C94512" w:rsidR="00C02177" w:rsidRPr="00232BCB" w:rsidRDefault="00C02177" w:rsidP="0085565B">
      <w:pPr>
        <w:pStyle w:val="ListParagraph"/>
        <w:numPr>
          <w:ilvl w:val="0"/>
          <w:numId w:val="80"/>
        </w:numPr>
        <w:ind w:left="1070"/>
      </w:pPr>
      <w:r w:rsidRPr="00232BCB">
        <w:t xml:space="preserve">Warranties </w:t>
      </w:r>
    </w:p>
    <w:p w14:paraId="42EF40D5" w14:textId="13B22F26" w:rsidR="00C02177" w:rsidRPr="00232BCB" w:rsidRDefault="00C02177" w:rsidP="0085565B">
      <w:pPr>
        <w:pStyle w:val="ListParagraph"/>
        <w:numPr>
          <w:ilvl w:val="0"/>
          <w:numId w:val="80"/>
        </w:numPr>
        <w:ind w:left="1070"/>
      </w:pPr>
      <w:r w:rsidRPr="00232BCB">
        <w:t>Performance Indicators</w:t>
      </w:r>
    </w:p>
    <w:p w14:paraId="6B193E1A" w14:textId="14B6EE90" w:rsidR="00E61BCE" w:rsidRPr="00232BCB" w:rsidRDefault="00C02177" w:rsidP="0085565B">
      <w:pPr>
        <w:pStyle w:val="ListParagraph"/>
        <w:numPr>
          <w:ilvl w:val="0"/>
          <w:numId w:val="80"/>
        </w:numPr>
        <w:ind w:left="1070"/>
      </w:pPr>
      <w:r w:rsidRPr="00232BCB">
        <w:t>Limitations of Liability</w:t>
      </w:r>
    </w:p>
    <w:p w14:paraId="117352B7" w14:textId="1BDF9BBD" w:rsidR="00C02177" w:rsidRPr="00232BCB" w:rsidRDefault="00C02177" w:rsidP="00EB6120">
      <w:pPr>
        <w:ind w:left="350"/>
      </w:pPr>
    </w:p>
    <w:p w14:paraId="1038EEC1" w14:textId="12B51FE0" w:rsidR="00C02177" w:rsidRPr="00EC4C96" w:rsidRDefault="00C02177" w:rsidP="0085565B">
      <w:pPr>
        <w:pStyle w:val="ListParagraph"/>
        <w:numPr>
          <w:ilvl w:val="0"/>
          <w:numId w:val="80"/>
        </w:numPr>
        <w:ind w:left="1070"/>
      </w:pPr>
      <w:r w:rsidRPr="00EC4C96">
        <w:t>Audit</w:t>
      </w:r>
    </w:p>
    <w:p w14:paraId="732C2565" w14:textId="49949C61" w:rsidR="00C02177" w:rsidRPr="00EC4C96" w:rsidRDefault="00C02177" w:rsidP="0085565B">
      <w:pPr>
        <w:pStyle w:val="ListParagraph"/>
        <w:numPr>
          <w:ilvl w:val="0"/>
          <w:numId w:val="80"/>
        </w:numPr>
        <w:ind w:left="1070"/>
      </w:pPr>
      <w:r w:rsidRPr="00EC4C96">
        <w:t>Exit Management</w:t>
      </w:r>
    </w:p>
    <w:p w14:paraId="7FA3983C" w14:textId="335198AE" w:rsidR="00C02177" w:rsidRPr="00EC4C96" w:rsidRDefault="00C02177" w:rsidP="0085565B">
      <w:pPr>
        <w:pStyle w:val="ListParagraph"/>
        <w:numPr>
          <w:ilvl w:val="0"/>
          <w:numId w:val="80"/>
        </w:numPr>
        <w:ind w:left="1070"/>
      </w:pPr>
      <w:r w:rsidRPr="00EC4C96">
        <w:t>I</w:t>
      </w:r>
      <w:r w:rsidR="009B54FA">
        <w:t xml:space="preserve">ntellectual </w:t>
      </w:r>
      <w:r w:rsidRPr="00EC4C96">
        <w:t>P</w:t>
      </w:r>
      <w:r w:rsidR="00293109">
        <w:t xml:space="preserve">roperty </w:t>
      </w:r>
      <w:r w:rsidRPr="00EC4C96">
        <w:t>R</w:t>
      </w:r>
      <w:r w:rsidR="00293109">
        <w:t>ights (IPR)</w:t>
      </w:r>
    </w:p>
    <w:p w14:paraId="42144270" w14:textId="5D0F803B" w:rsidR="00C02177" w:rsidRPr="00EC4C96" w:rsidRDefault="00137520" w:rsidP="0085565B">
      <w:pPr>
        <w:pStyle w:val="ListParagraph"/>
        <w:numPr>
          <w:ilvl w:val="0"/>
          <w:numId w:val="80"/>
        </w:numPr>
        <w:ind w:left="1070"/>
      </w:pPr>
      <w:r>
        <w:t>Business Continuity and Disaster Recovery (</w:t>
      </w:r>
      <w:r w:rsidR="00C02177" w:rsidRPr="00EC4C96">
        <w:t>BCDR</w:t>
      </w:r>
      <w:r>
        <w:t>)</w:t>
      </w:r>
    </w:p>
    <w:p w14:paraId="1E459A48" w14:textId="08920A6B" w:rsidR="00C02177" w:rsidRPr="00EC4C96" w:rsidRDefault="00C02177" w:rsidP="0085565B">
      <w:pPr>
        <w:pStyle w:val="ListParagraph"/>
        <w:numPr>
          <w:ilvl w:val="0"/>
          <w:numId w:val="80"/>
        </w:numPr>
        <w:ind w:left="1070"/>
      </w:pPr>
      <w:r w:rsidRPr="00EC4C96">
        <w:t>Data Protection</w:t>
      </w:r>
    </w:p>
    <w:p w14:paraId="3477CA81" w14:textId="77777777" w:rsidR="000A6EA2" w:rsidRPr="00EC4C96" w:rsidRDefault="000A6EA2" w:rsidP="0085565B">
      <w:pPr>
        <w:pStyle w:val="ListParagraph"/>
        <w:numPr>
          <w:ilvl w:val="0"/>
          <w:numId w:val="80"/>
        </w:numPr>
        <w:ind w:left="1070"/>
        <w:rPr>
          <w:rFonts w:eastAsiaTheme="majorEastAsia"/>
          <w:szCs w:val="32"/>
        </w:rPr>
      </w:pPr>
      <w:r w:rsidRPr="00EC4C96">
        <w:rPr>
          <w:rFonts w:eastAsiaTheme="majorEastAsia"/>
          <w:szCs w:val="32"/>
        </w:rPr>
        <w:t xml:space="preserve">Implementation and Delay Payments. </w:t>
      </w:r>
    </w:p>
    <w:p w14:paraId="72A07F8A" w14:textId="77777777" w:rsidR="000A6EA2" w:rsidRPr="00EC4C96" w:rsidRDefault="000A6EA2" w:rsidP="0085565B">
      <w:pPr>
        <w:pStyle w:val="ListParagraph"/>
        <w:numPr>
          <w:ilvl w:val="0"/>
          <w:numId w:val="80"/>
        </w:numPr>
        <w:ind w:left="1070"/>
        <w:rPr>
          <w:rFonts w:eastAsiaTheme="majorEastAsia"/>
          <w:szCs w:val="32"/>
        </w:rPr>
      </w:pPr>
      <w:r w:rsidRPr="00EC4C96">
        <w:rPr>
          <w:rFonts w:eastAsiaTheme="majorEastAsia"/>
          <w:szCs w:val="32"/>
        </w:rPr>
        <w:t>Remedial Advisor</w:t>
      </w:r>
    </w:p>
    <w:p w14:paraId="1249D8AE" w14:textId="77777777" w:rsidR="000A6EA2" w:rsidRPr="00EC4C96" w:rsidRDefault="000A6EA2" w:rsidP="0085565B">
      <w:pPr>
        <w:pStyle w:val="ListParagraph"/>
        <w:numPr>
          <w:ilvl w:val="0"/>
          <w:numId w:val="80"/>
        </w:numPr>
        <w:ind w:left="1070"/>
        <w:rPr>
          <w:rFonts w:eastAsiaTheme="majorEastAsia"/>
          <w:szCs w:val="32"/>
        </w:rPr>
      </w:pPr>
      <w:r w:rsidRPr="00EC4C96">
        <w:rPr>
          <w:rFonts w:eastAsiaTheme="majorEastAsia"/>
          <w:szCs w:val="32"/>
        </w:rPr>
        <w:t>Termination Rights</w:t>
      </w:r>
    </w:p>
    <w:p w14:paraId="360A5551" w14:textId="77777777" w:rsidR="000A6EA2" w:rsidRPr="00EC4C96" w:rsidRDefault="000A6EA2" w:rsidP="0085565B">
      <w:pPr>
        <w:pStyle w:val="ListParagraph"/>
        <w:numPr>
          <w:ilvl w:val="0"/>
          <w:numId w:val="80"/>
        </w:numPr>
        <w:ind w:left="1070"/>
        <w:rPr>
          <w:rFonts w:eastAsiaTheme="majorEastAsia"/>
          <w:szCs w:val="32"/>
        </w:rPr>
      </w:pPr>
      <w:r w:rsidRPr="00EC4C96">
        <w:rPr>
          <w:rFonts w:eastAsiaTheme="majorEastAsia"/>
          <w:szCs w:val="32"/>
        </w:rPr>
        <w:t xml:space="preserve">Implementation and Delay Payments. </w:t>
      </w:r>
    </w:p>
    <w:p w14:paraId="4577D08E" w14:textId="77777777" w:rsidR="000A6EA2" w:rsidRPr="00EC4C96" w:rsidRDefault="000A6EA2" w:rsidP="0085565B">
      <w:pPr>
        <w:pStyle w:val="ListParagraph"/>
        <w:numPr>
          <w:ilvl w:val="0"/>
          <w:numId w:val="80"/>
        </w:numPr>
        <w:ind w:left="1070"/>
        <w:rPr>
          <w:rFonts w:eastAsiaTheme="majorEastAsia"/>
          <w:szCs w:val="32"/>
        </w:rPr>
      </w:pPr>
      <w:r w:rsidRPr="00EC4C96">
        <w:rPr>
          <w:rFonts w:eastAsiaTheme="majorEastAsia"/>
          <w:szCs w:val="32"/>
        </w:rPr>
        <w:t>Remedial Advisor</w:t>
      </w:r>
    </w:p>
    <w:p w14:paraId="2088A00B" w14:textId="77777777" w:rsidR="000A6EA2" w:rsidRPr="00EC4C96" w:rsidRDefault="000A6EA2" w:rsidP="0085565B">
      <w:pPr>
        <w:pStyle w:val="ListParagraph"/>
        <w:numPr>
          <w:ilvl w:val="0"/>
          <w:numId w:val="80"/>
        </w:numPr>
        <w:ind w:left="1070"/>
      </w:pPr>
      <w:r w:rsidRPr="00EC4C96">
        <w:rPr>
          <w:rFonts w:eastAsiaTheme="majorEastAsia"/>
          <w:szCs w:val="32"/>
        </w:rPr>
        <w:t>Termination Rights</w:t>
      </w:r>
    </w:p>
    <w:p w14:paraId="57D9EBDB" w14:textId="0DA94B20" w:rsidR="00A563EA" w:rsidRPr="00EC4C96" w:rsidRDefault="00A563EA" w:rsidP="0085565B">
      <w:pPr>
        <w:pStyle w:val="ListParagraph"/>
        <w:numPr>
          <w:ilvl w:val="0"/>
          <w:numId w:val="80"/>
        </w:numPr>
        <w:ind w:left="1070"/>
        <w:rPr>
          <w:rFonts w:eastAsiaTheme="majorEastAsia"/>
          <w:szCs w:val="32"/>
        </w:rPr>
      </w:pPr>
      <w:r w:rsidRPr="00EC4C96">
        <w:t xml:space="preserve">Individual Authority </w:t>
      </w:r>
      <w:r w:rsidR="00040F0A" w:rsidRPr="00EC4C96">
        <w:t>Responsibilities</w:t>
      </w:r>
    </w:p>
    <w:p w14:paraId="23DADA2B" w14:textId="716CF462" w:rsidR="00CB3CB1" w:rsidRPr="007D4406" w:rsidRDefault="00CB3CB1" w:rsidP="0085565B">
      <w:pPr>
        <w:pStyle w:val="Head2"/>
        <w:numPr>
          <w:ilvl w:val="2"/>
          <w:numId w:val="9"/>
        </w:numPr>
        <w:jc w:val="both"/>
        <w:rPr>
          <w:rFonts w:cs="Arial"/>
          <w:color w:val="000000"/>
        </w:rPr>
      </w:pPr>
      <w:bookmarkStart w:id="74" w:name="_Toc201679052"/>
      <w:bookmarkStart w:id="75" w:name="_Toc201679629"/>
      <w:r w:rsidRPr="00EB6120">
        <w:rPr>
          <w:rFonts w:cs="Arial"/>
          <w:color w:val="000000"/>
        </w:rPr>
        <w:t>HMRC does not intend to include the following categories of provisions in the draft contract:</w:t>
      </w:r>
      <w:bookmarkEnd w:id="74"/>
      <w:bookmarkEnd w:id="75"/>
    </w:p>
    <w:p w14:paraId="1DF06E2D" w14:textId="77777777" w:rsidR="00C43AFD" w:rsidRPr="007D4406" w:rsidRDefault="00CB3CB1" w:rsidP="0085565B">
      <w:pPr>
        <w:pStyle w:val="ListParagraph"/>
        <w:numPr>
          <w:ilvl w:val="0"/>
          <w:numId w:val="79"/>
        </w:numPr>
        <w:spacing w:before="100" w:beforeAutospacing="1" w:after="100" w:afterAutospacing="1" w:line="240" w:lineRule="auto"/>
        <w:rPr>
          <w:rFonts w:eastAsiaTheme="majorEastAsia" w:cs="Arial"/>
          <w:color w:val="000000"/>
          <w:szCs w:val="32"/>
        </w:rPr>
      </w:pPr>
      <w:r w:rsidRPr="007D4406">
        <w:rPr>
          <w:rFonts w:eastAsiaTheme="majorEastAsia" w:cs="Arial"/>
          <w:color w:val="000000"/>
          <w:szCs w:val="32"/>
        </w:rPr>
        <w:t>Step-in Rights</w:t>
      </w:r>
    </w:p>
    <w:p w14:paraId="2BBF83EC" w14:textId="77777777" w:rsidR="00C43AFD" w:rsidRPr="007D4406" w:rsidRDefault="00CB3CB1" w:rsidP="0085565B">
      <w:pPr>
        <w:pStyle w:val="ListParagraph"/>
        <w:numPr>
          <w:ilvl w:val="0"/>
          <w:numId w:val="79"/>
        </w:numPr>
        <w:spacing w:before="100" w:beforeAutospacing="1" w:after="100" w:afterAutospacing="1" w:line="240" w:lineRule="auto"/>
        <w:rPr>
          <w:rFonts w:eastAsiaTheme="majorEastAsia" w:cs="Arial"/>
          <w:color w:val="000000"/>
          <w:szCs w:val="32"/>
        </w:rPr>
      </w:pPr>
      <w:r w:rsidRPr="007D4406">
        <w:rPr>
          <w:rFonts w:eastAsiaTheme="majorEastAsia" w:cs="Arial"/>
          <w:color w:val="000000"/>
          <w:szCs w:val="32"/>
        </w:rPr>
        <w:t>Requirements for Power of Attorney</w:t>
      </w:r>
    </w:p>
    <w:p w14:paraId="4918021B" w14:textId="2EE48C63" w:rsidR="00414C28" w:rsidRPr="007D4406" w:rsidRDefault="00CB3CB1" w:rsidP="0085565B">
      <w:pPr>
        <w:pStyle w:val="ListParagraph"/>
        <w:numPr>
          <w:ilvl w:val="0"/>
          <w:numId w:val="79"/>
        </w:numPr>
        <w:spacing w:before="100" w:beforeAutospacing="1" w:after="100" w:afterAutospacing="1" w:line="240" w:lineRule="auto"/>
        <w:rPr>
          <w:rFonts w:cs="Arial"/>
          <w:color w:val="000000"/>
        </w:rPr>
      </w:pPr>
      <w:r w:rsidRPr="007D4406">
        <w:rPr>
          <w:rFonts w:eastAsiaTheme="majorEastAsia" w:cs="Arial"/>
          <w:color w:val="000000"/>
          <w:szCs w:val="32"/>
        </w:rPr>
        <w:t>Anticipated Savings.</w:t>
      </w:r>
    </w:p>
    <w:p w14:paraId="6F3C7C98" w14:textId="522B258A" w:rsidR="00C02177" w:rsidRPr="00C02177" w:rsidRDefault="00F63095" w:rsidP="007D4406">
      <w:pPr>
        <w:pStyle w:val="Head2"/>
        <w:numPr>
          <w:ilvl w:val="0"/>
          <w:numId w:val="0"/>
        </w:numPr>
        <w:ind w:left="792" w:hanging="432"/>
        <w:jc w:val="both"/>
        <w:rPr>
          <w:rFonts w:cs="Arial"/>
          <w:color w:val="000000"/>
        </w:rPr>
      </w:pPr>
      <w:bookmarkStart w:id="76" w:name="_Toc201679053"/>
      <w:bookmarkStart w:id="77" w:name="_Toc201679630"/>
      <w:r>
        <w:rPr>
          <w:rFonts w:cs="Arial"/>
          <w:color w:val="000000"/>
        </w:rPr>
        <w:t>(d)</w:t>
      </w:r>
      <w:r>
        <w:rPr>
          <w:rFonts w:cs="Arial"/>
          <w:color w:val="000000"/>
        </w:rPr>
        <w:tab/>
      </w:r>
      <w:r w:rsidR="00C02177" w:rsidRPr="00C02177">
        <w:rPr>
          <w:rFonts w:cs="Arial"/>
          <w:color w:val="000000"/>
        </w:rPr>
        <w:t xml:space="preserve">At the outset of the procurement process for </w:t>
      </w:r>
      <w:r w:rsidR="003879ED">
        <w:rPr>
          <w:rFonts w:cs="Arial"/>
          <w:color w:val="000000"/>
        </w:rPr>
        <w:t>S</w:t>
      </w:r>
      <w:r w:rsidR="00C02177" w:rsidRPr="00C02177">
        <w:rPr>
          <w:rFonts w:cs="Arial"/>
          <w:color w:val="000000"/>
        </w:rPr>
        <w:t xml:space="preserve">tage 1, you must familiarise yourself with the content of the </w:t>
      </w:r>
      <w:r w:rsidR="002B53DF">
        <w:rPr>
          <w:rFonts w:cs="Arial"/>
          <w:color w:val="000000"/>
        </w:rPr>
        <w:t xml:space="preserve">model services contract </w:t>
      </w:r>
      <w:r w:rsidR="00C02177" w:rsidRPr="00C02177">
        <w:rPr>
          <w:rFonts w:cs="Arial"/>
          <w:color w:val="000000"/>
        </w:rPr>
        <w:t xml:space="preserve">and, except as indicated otherwise above, assure yourself that you are prepared to agree to the various terms, </w:t>
      </w:r>
      <w:proofErr w:type="gramStart"/>
      <w:r w:rsidR="00C02177" w:rsidRPr="00C02177">
        <w:rPr>
          <w:rFonts w:cs="Arial"/>
          <w:color w:val="000000"/>
        </w:rPr>
        <w:t>conditions</w:t>
      </w:r>
      <w:proofErr w:type="gramEnd"/>
      <w:r w:rsidR="00C02177" w:rsidRPr="00C02177">
        <w:rPr>
          <w:rFonts w:cs="Arial"/>
          <w:color w:val="000000"/>
        </w:rPr>
        <w:t xml:space="preserve"> and requirements within it.</w:t>
      </w:r>
      <w:bookmarkEnd w:id="76"/>
      <w:bookmarkEnd w:id="77"/>
    </w:p>
    <w:p w14:paraId="7DABFE67" w14:textId="5A1F4DB1" w:rsidR="00DC1994" w:rsidRDefault="00F26E6C" w:rsidP="0085565B">
      <w:pPr>
        <w:pStyle w:val="Head2"/>
        <w:numPr>
          <w:ilvl w:val="1"/>
          <w:numId w:val="9"/>
        </w:numPr>
        <w:jc w:val="both"/>
        <w:rPr>
          <w:rFonts w:cs="Arial"/>
          <w:b/>
          <w:bCs/>
          <w:color w:val="000000"/>
        </w:rPr>
      </w:pPr>
      <w:bookmarkStart w:id="78" w:name="_Toc201679054"/>
      <w:bookmarkStart w:id="79" w:name="_Toc201679631"/>
      <w:r>
        <w:rPr>
          <w:rFonts w:cs="Arial"/>
          <w:b/>
          <w:bCs/>
          <w:color w:val="000000"/>
        </w:rPr>
        <w:t>PSQ</w:t>
      </w:r>
      <w:r w:rsidRPr="0029699C">
        <w:rPr>
          <w:rFonts w:cs="Arial"/>
          <w:b/>
          <w:bCs/>
          <w:color w:val="000000"/>
        </w:rPr>
        <w:t xml:space="preserve"> </w:t>
      </w:r>
      <w:r w:rsidR="0029699C" w:rsidRPr="0029699C">
        <w:rPr>
          <w:rFonts w:cs="Arial"/>
          <w:b/>
          <w:bCs/>
          <w:color w:val="000000"/>
        </w:rPr>
        <w:t>Submission</w:t>
      </w:r>
      <w:bookmarkEnd w:id="78"/>
      <w:bookmarkEnd w:id="79"/>
    </w:p>
    <w:p w14:paraId="2518BC34" w14:textId="291EA290" w:rsidR="003F4820" w:rsidRPr="00BF7F9D" w:rsidRDefault="00F26E6C" w:rsidP="0085565B">
      <w:pPr>
        <w:pStyle w:val="ListParagraph"/>
        <w:keepNext/>
        <w:numPr>
          <w:ilvl w:val="2"/>
          <w:numId w:val="9"/>
        </w:numPr>
        <w:contextualSpacing w:val="0"/>
        <w:jc w:val="both"/>
        <w:rPr>
          <w:rFonts w:cs="Arial"/>
          <w:color w:val="000000"/>
        </w:rPr>
      </w:pPr>
      <w:r>
        <w:rPr>
          <w:rFonts w:cs="Arial"/>
          <w:color w:val="000000"/>
        </w:rPr>
        <w:t>PSQ response submissions</w:t>
      </w:r>
      <w:r w:rsidRPr="007E41AB">
        <w:rPr>
          <w:rFonts w:cs="Arial"/>
          <w:color w:val="000000"/>
        </w:rPr>
        <w:t xml:space="preserve"> </w:t>
      </w:r>
      <w:r w:rsidR="0029699C" w:rsidRPr="007E41AB">
        <w:rPr>
          <w:rFonts w:cs="Arial"/>
          <w:color w:val="000000"/>
        </w:rPr>
        <w:t xml:space="preserve">(including any supporting documents) must be submitted </w:t>
      </w:r>
      <w:r w:rsidR="00A243C8">
        <w:rPr>
          <w:rFonts w:cs="Arial"/>
          <w:color w:val="000000"/>
        </w:rPr>
        <w:t xml:space="preserve">via Ariba </w:t>
      </w:r>
      <w:r w:rsidR="0029699C" w:rsidRPr="007E41AB">
        <w:rPr>
          <w:rFonts w:cs="Arial"/>
          <w:color w:val="000000"/>
        </w:rPr>
        <w:t xml:space="preserve">by the </w:t>
      </w:r>
      <w:bookmarkStart w:id="80" w:name="_Hlk92809333"/>
      <w:r w:rsidR="0029699C" w:rsidRPr="007E41AB">
        <w:rPr>
          <w:rFonts w:cs="Arial"/>
          <w:color w:val="000000"/>
        </w:rPr>
        <w:t>Tender Submission Deadline</w:t>
      </w:r>
      <w:bookmarkEnd w:id="80"/>
      <w:r w:rsidR="005C3C12">
        <w:rPr>
          <w:rFonts w:cs="Arial"/>
          <w:color w:val="000000"/>
        </w:rPr>
        <w:t>.</w:t>
      </w:r>
      <w:r w:rsidR="00124F03">
        <w:rPr>
          <w:rFonts w:cs="Arial"/>
          <w:color w:val="000000"/>
        </w:rPr>
        <w:t xml:space="preserve"> </w:t>
      </w:r>
      <w:r w:rsidR="00C57F8F">
        <w:rPr>
          <w:rFonts w:cs="Arial"/>
          <w:color w:val="000000"/>
        </w:rPr>
        <w:t>Unless there are exceptional circumstances determined by HMRC, a</w:t>
      </w:r>
      <w:r w:rsidR="0029699C" w:rsidRPr="007E41AB">
        <w:rPr>
          <w:rFonts w:cs="Arial"/>
          <w:color w:val="000000"/>
        </w:rPr>
        <w:t xml:space="preserve">ny </w:t>
      </w:r>
      <w:r w:rsidR="00C75485">
        <w:rPr>
          <w:rFonts w:cs="Arial"/>
          <w:color w:val="000000"/>
        </w:rPr>
        <w:t xml:space="preserve">response </w:t>
      </w:r>
      <w:r w:rsidR="0029699C" w:rsidRPr="007E41AB">
        <w:rPr>
          <w:rFonts w:cs="Arial"/>
          <w:color w:val="000000"/>
        </w:rPr>
        <w:t xml:space="preserve">received after this deadline will </w:t>
      </w:r>
      <w:r w:rsidR="0029699C" w:rsidRPr="00BF7F9D">
        <w:rPr>
          <w:rFonts w:cs="Arial"/>
          <w:color w:val="000000"/>
        </w:rPr>
        <w:t>not be opened or considered</w:t>
      </w:r>
      <w:r w:rsidR="004C7102">
        <w:rPr>
          <w:rFonts w:cs="Arial"/>
          <w:color w:val="000000"/>
        </w:rPr>
        <w:t xml:space="preserve"> and will be excluded from the procurement process</w:t>
      </w:r>
      <w:r w:rsidR="0029699C" w:rsidRPr="00BF7F9D">
        <w:rPr>
          <w:rFonts w:cs="Arial"/>
          <w:color w:val="000000"/>
        </w:rPr>
        <w:t xml:space="preserve">. </w:t>
      </w:r>
      <w:r w:rsidR="003F4820" w:rsidRPr="00BF7F9D">
        <w:rPr>
          <w:rFonts w:cs="Arial"/>
          <w:color w:val="000000"/>
        </w:rPr>
        <w:t xml:space="preserve">Any </w:t>
      </w:r>
      <w:r w:rsidR="00F85293">
        <w:rPr>
          <w:rFonts w:cs="Arial"/>
          <w:color w:val="000000"/>
        </w:rPr>
        <w:t xml:space="preserve">response </w:t>
      </w:r>
      <w:r w:rsidR="003F4820" w:rsidRPr="00BF7F9D">
        <w:rPr>
          <w:rFonts w:cs="Arial"/>
          <w:color w:val="000000"/>
        </w:rPr>
        <w:t>not received through Ariba will be excluded from the procurement process</w:t>
      </w:r>
      <w:r w:rsidR="00390302" w:rsidRPr="00BF7F9D">
        <w:rPr>
          <w:rFonts w:cs="Arial"/>
          <w:color w:val="000000"/>
        </w:rPr>
        <w:t>.</w:t>
      </w:r>
    </w:p>
    <w:p w14:paraId="1C5BFDF4" w14:textId="54FD8F74" w:rsidR="0037658A" w:rsidRPr="00BF7F9D" w:rsidRDefault="003969EF" w:rsidP="0085565B">
      <w:pPr>
        <w:pStyle w:val="ListParagraph"/>
        <w:keepNext/>
        <w:numPr>
          <w:ilvl w:val="2"/>
          <w:numId w:val="9"/>
        </w:numPr>
        <w:contextualSpacing w:val="0"/>
        <w:jc w:val="both"/>
        <w:rPr>
          <w:rFonts w:eastAsiaTheme="majorEastAsia" w:cs="Arial"/>
          <w:color w:val="000000"/>
          <w:szCs w:val="32"/>
        </w:rPr>
      </w:pPr>
      <w:bookmarkStart w:id="81" w:name="_Ref94604520"/>
      <w:r w:rsidRPr="00BF7F9D">
        <w:rPr>
          <w:rFonts w:eastAsiaTheme="majorEastAsia" w:cs="Arial"/>
          <w:color w:val="000000"/>
          <w:szCs w:val="32"/>
        </w:rPr>
        <w:t xml:space="preserve">It is the </w:t>
      </w:r>
      <w:r w:rsidR="00433587">
        <w:rPr>
          <w:rFonts w:eastAsiaTheme="majorEastAsia" w:cs="Arial"/>
          <w:color w:val="000000"/>
          <w:szCs w:val="32"/>
        </w:rPr>
        <w:t>Tenderer</w:t>
      </w:r>
      <w:r w:rsidR="007B2632" w:rsidRPr="00BF7F9D">
        <w:rPr>
          <w:rFonts w:eastAsiaTheme="majorEastAsia" w:cs="Arial"/>
          <w:color w:val="000000"/>
          <w:szCs w:val="32"/>
        </w:rPr>
        <w:t>’s</w:t>
      </w:r>
      <w:r w:rsidRPr="00BF7F9D">
        <w:rPr>
          <w:rFonts w:eastAsiaTheme="majorEastAsia" w:cs="Arial"/>
          <w:color w:val="000000"/>
          <w:szCs w:val="32"/>
        </w:rPr>
        <w:t xml:space="preserve"> responsibility to contact the Ariba helpdesk to resolve any problems with the electronic submission of the </w:t>
      </w:r>
      <w:r w:rsidR="00C75485">
        <w:rPr>
          <w:rFonts w:eastAsiaTheme="majorEastAsia" w:cs="Arial"/>
          <w:color w:val="000000"/>
          <w:szCs w:val="32"/>
        </w:rPr>
        <w:t>response</w:t>
      </w:r>
      <w:r w:rsidRPr="00BF7F9D">
        <w:rPr>
          <w:rFonts w:eastAsiaTheme="majorEastAsia" w:cs="Arial"/>
          <w:color w:val="000000"/>
          <w:szCs w:val="32"/>
        </w:rPr>
        <w:t xml:space="preserve">. </w:t>
      </w:r>
      <w:bookmarkEnd w:id="81"/>
    </w:p>
    <w:p w14:paraId="5C8B1310" w14:textId="21493ED5" w:rsidR="006E6173" w:rsidRDefault="006E6173" w:rsidP="009B34DC">
      <w:pPr>
        <w:pStyle w:val="ListParagraph"/>
        <w:keepNext/>
        <w:numPr>
          <w:ilvl w:val="2"/>
          <w:numId w:val="9"/>
        </w:numPr>
        <w:contextualSpacing w:val="0"/>
        <w:jc w:val="both"/>
        <w:rPr>
          <w:rFonts w:cs="Arial"/>
          <w:color w:val="000000"/>
        </w:rPr>
      </w:pPr>
      <w:r w:rsidRPr="00B2367A">
        <w:rPr>
          <w:rFonts w:cs="Arial"/>
          <w:color w:val="000000"/>
        </w:rPr>
        <w:t xml:space="preserve">Each </w:t>
      </w:r>
      <w:r w:rsidR="00433587" w:rsidRPr="00B2367A">
        <w:rPr>
          <w:rFonts w:cs="Arial"/>
          <w:color w:val="000000"/>
        </w:rPr>
        <w:t>Tenderer</w:t>
      </w:r>
      <w:r w:rsidRPr="00B2367A">
        <w:rPr>
          <w:rFonts w:cs="Arial"/>
          <w:color w:val="000000"/>
        </w:rPr>
        <w:t xml:space="preserve"> may only submit one </w:t>
      </w:r>
      <w:r w:rsidR="003F5AF4" w:rsidRPr="00B2367A">
        <w:rPr>
          <w:rFonts w:cs="Arial"/>
          <w:color w:val="000000"/>
        </w:rPr>
        <w:t>response</w:t>
      </w:r>
      <w:r w:rsidR="00F237CF" w:rsidRPr="00B2367A">
        <w:rPr>
          <w:rFonts w:cs="Arial"/>
          <w:color w:val="000000"/>
        </w:rPr>
        <w:t>.</w:t>
      </w:r>
      <w:r w:rsidRPr="00B2367A">
        <w:rPr>
          <w:rFonts w:cs="Arial"/>
          <w:color w:val="000000"/>
        </w:rPr>
        <w:t xml:space="preserve"> The </w:t>
      </w:r>
      <w:r w:rsidR="00433587" w:rsidRPr="00B2367A">
        <w:rPr>
          <w:rFonts w:cs="Arial"/>
          <w:color w:val="000000"/>
        </w:rPr>
        <w:t>Tenderer</w:t>
      </w:r>
      <w:r w:rsidRPr="00B2367A">
        <w:rPr>
          <w:rFonts w:cs="Arial"/>
          <w:color w:val="000000"/>
        </w:rPr>
        <w:t xml:space="preserve"> may modify its </w:t>
      </w:r>
      <w:r w:rsidR="003F5AF4" w:rsidRPr="00B2367A">
        <w:rPr>
          <w:rFonts w:cs="Arial"/>
          <w:color w:val="000000"/>
        </w:rPr>
        <w:t>response</w:t>
      </w:r>
      <w:r w:rsidR="003F5AF4" w:rsidRPr="00B2367A">
        <w:rPr>
          <w:rFonts w:cs="Arial"/>
          <w:color w:val="000000"/>
        </w:rPr>
        <w:t xml:space="preserve"> </w:t>
      </w:r>
      <w:r w:rsidRPr="00B2367A">
        <w:rPr>
          <w:rFonts w:cs="Arial"/>
          <w:color w:val="000000"/>
        </w:rPr>
        <w:t>after it is submitted</w:t>
      </w:r>
      <w:r w:rsidR="009B34DC">
        <w:rPr>
          <w:rFonts w:cs="Arial"/>
          <w:color w:val="000000"/>
        </w:rPr>
        <w:t>,</w:t>
      </w:r>
      <w:r w:rsidRPr="00B2367A">
        <w:rPr>
          <w:rFonts w:cs="Arial"/>
          <w:color w:val="000000"/>
        </w:rPr>
        <w:t xml:space="preserve"> provided this is prior to th</w:t>
      </w:r>
      <w:r w:rsidR="00332EA8" w:rsidRPr="00B2367A">
        <w:rPr>
          <w:rFonts w:cs="Arial"/>
          <w:color w:val="000000"/>
        </w:rPr>
        <w:t>e</w:t>
      </w:r>
      <w:r w:rsidRPr="00B2367A">
        <w:rPr>
          <w:rFonts w:cs="Arial"/>
          <w:color w:val="000000"/>
        </w:rPr>
        <w:t xml:space="preserve"> </w:t>
      </w:r>
      <w:r w:rsidR="00605F7E" w:rsidRPr="00B2367A">
        <w:rPr>
          <w:rFonts w:cs="Arial"/>
          <w:color w:val="000000"/>
        </w:rPr>
        <w:t>PSQ</w:t>
      </w:r>
      <w:r w:rsidR="00605F7E" w:rsidRPr="00B2367A">
        <w:rPr>
          <w:rFonts w:cs="Arial"/>
          <w:color w:val="000000"/>
        </w:rPr>
        <w:t xml:space="preserve"> </w:t>
      </w:r>
      <w:r w:rsidR="009058D9" w:rsidRPr="00B2367A">
        <w:rPr>
          <w:rFonts w:cs="Arial"/>
          <w:color w:val="000000"/>
        </w:rPr>
        <w:t>Response</w:t>
      </w:r>
      <w:r w:rsidRPr="00B2367A">
        <w:rPr>
          <w:rFonts w:cs="Arial"/>
          <w:color w:val="000000"/>
        </w:rPr>
        <w:t xml:space="preserve"> </w:t>
      </w:r>
      <w:r w:rsidR="009117FD" w:rsidRPr="00B2367A">
        <w:rPr>
          <w:rFonts w:cs="Arial"/>
          <w:color w:val="000000"/>
        </w:rPr>
        <w:t>D</w:t>
      </w:r>
      <w:r w:rsidRPr="00B2367A">
        <w:rPr>
          <w:rFonts w:cs="Arial"/>
          <w:color w:val="000000"/>
        </w:rPr>
        <w:t xml:space="preserve">eadline </w:t>
      </w:r>
      <w:r w:rsidR="009058D9" w:rsidRPr="00B2367A">
        <w:rPr>
          <w:rFonts w:cs="Arial"/>
          <w:color w:val="000000"/>
        </w:rPr>
        <w:t>(</w:t>
      </w:r>
      <w:r w:rsidR="00B2367A">
        <w:rPr>
          <w:rFonts w:cs="Arial"/>
          <w:color w:val="000000"/>
        </w:rPr>
        <w:t xml:space="preserve">i.e. </w:t>
      </w:r>
      <w:r w:rsidR="00B2367A" w:rsidRPr="00B2367A">
        <w:rPr>
          <w:rFonts w:cs="Arial"/>
          <w:color w:val="000000"/>
        </w:rPr>
        <w:t xml:space="preserve">no later than 13:00 on the </w:t>
      </w:r>
      <w:proofErr w:type="gramStart"/>
      <w:r w:rsidR="00B2367A" w:rsidRPr="00B2367A">
        <w:rPr>
          <w:rFonts w:cs="Arial"/>
          <w:color w:val="000000"/>
        </w:rPr>
        <w:t>23rd</w:t>
      </w:r>
      <w:proofErr w:type="gramEnd"/>
      <w:r w:rsidR="00B2367A" w:rsidRPr="00B2367A">
        <w:rPr>
          <w:rFonts w:cs="Arial"/>
          <w:color w:val="000000"/>
        </w:rPr>
        <w:t xml:space="preserve"> July 2025</w:t>
      </w:r>
      <w:r w:rsidR="00B2367A">
        <w:rPr>
          <w:rFonts w:cs="Arial"/>
          <w:color w:val="000000"/>
        </w:rPr>
        <w:t xml:space="preserve">) </w:t>
      </w:r>
      <w:r w:rsidRPr="00B2367A">
        <w:rPr>
          <w:rFonts w:cs="Arial"/>
          <w:color w:val="000000"/>
        </w:rPr>
        <w:t xml:space="preserve">and that the </w:t>
      </w:r>
      <w:r w:rsidR="00433587" w:rsidRPr="00B2367A">
        <w:rPr>
          <w:rFonts w:cs="Arial"/>
          <w:color w:val="000000"/>
        </w:rPr>
        <w:t>Tenderer</w:t>
      </w:r>
      <w:r w:rsidRPr="00B2367A">
        <w:rPr>
          <w:rFonts w:cs="Arial"/>
          <w:color w:val="000000"/>
        </w:rPr>
        <w:t xml:space="preserve"> gives written notice to </w:t>
      </w:r>
      <w:r w:rsidR="00E03019" w:rsidRPr="00B2367A">
        <w:rPr>
          <w:rFonts w:cs="Arial"/>
          <w:color w:val="000000"/>
        </w:rPr>
        <w:t>HMRC</w:t>
      </w:r>
      <w:r w:rsidRPr="00B2367A">
        <w:rPr>
          <w:rFonts w:cs="Arial"/>
          <w:color w:val="000000"/>
        </w:rPr>
        <w:t xml:space="preserve"> that a new </w:t>
      </w:r>
      <w:r w:rsidR="00605F7E" w:rsidRPr="00B2367A">
        <w:rPr>
          <w:rFonts w:cs="Arial"/>
          <w:color w:val="000000"/>
        </w:rPr>
        <w:t>response</w:t>
      </w:r>
      <w:r w:rsidR="00605F7E" w:rsidRPr="00B2367A">
        <w:rPr>
          <w:rFonts w:cs="Arial"/>
          <w:color w:val="000000"/>
        </w:rPr>
        <w:t xml:space="preserve"> </w:t>
      </w:r>
      <w:r w:rsidRPr="00B2367A">
        <w:rPr>
          <w:rFonts w:cs="Arial"/>
          <w:color w:val="000000"/>
        </w:rPr>
        <w:t>has been submitted.</w:t>
      </w:r>
      <w:r w:rsidR="00EC5068" w:rsidRPr="00B2367A">
        <w:rPr>
          <w:rFonts w:cs="Arial"/>
          <w:color w:val="000000"/>
        </w:rPr>
        <w:t xml:space="preserve"> </w:t>
      </w:r>
    </w:p>
    <w:p w14:paraId="7FAA0EE1" w14:textId="6DFCC165" w:rsidR="007E53BF" w:rsidRPr="00D7583F" w:rsidRDefault="00870245" w:rsidP="0085565B">
      <w:pPr>
        <w:pStyle w:val="ListParagraph"/>
        <w:keepNext/>
        <w:numPr>
          <w:ilvl w:val="2"/>
          <w:numId w:val="9"/>
        </w:numPr>
        <w:contextualSpacing w:val="0"/>
        <w:jc w:val="both"/>
        <w:rPr>
          <w:rFonts w:eastAsiaTheme="majorEastAsia" w:cs="Arial"/>
          <w:color w:val="000000"/>
          <w:szCs w:val="32"/>
        </w:rPr>
      </w:pPr>
      <w:r w:rsidRPr="009B34DC">
        <w:rPr>
          <w:rFonts w:cs="Arial"/>
          <w:color w:val="000000"/>
        </w:rPr>
        <w:t xml:space="preserve">As a </w:t>
      </w:r>
      <w:r w:rsidR="00433587" w:rsidRPr="009B34DC">
        <w:rPr>
          <w:rFonts w:cs="Arial"/>
          <w:color w:val="000000"/>
        </w:rPr>
        <w:t>Tenderer</w:t>
      </w:r>
      <w:r w:rsidRPr="009B34DC">
        <w:rPr>
          <w:rFonts w:cs="Arial"/>
          <w:color w:val="000000"/>
        </w:rPr>
        <w:t>, it is your</w:t>
      </w:r>
      <w:r w:rsidR="00881873" w:rsidRPr="009B34DC">
        <w:rPr>
          <w:rFonts w:cs="Arial"/>
          <w:color w:val="000000"/>
        </w:rPr>
        <w:t xml:space="preserve"> responsibility to ensure </w:t>
      </w:r>
      <w:r w:rsidR="00072A24" w:rsidRPr="009B34DC">
        <w:rPr>
          <w:rFonts w:cs="Arial"/>
          <w:color w:val="000000"/>
        </w:rPr>
        <w:t>that your</w:t>
      </w:r>
      <w:r w:rsidR="00881873" w:rsidRPr="009B34DC">
        <w:rPr>
          <w:rFonts w:cs="Arial"/>
          <w:color w:val="000000"/>
        </w:rPr>
        <w:t xml:space="preserve"> </w:t>
      </w:r>
      <w:r w:rsidR="00605F7E" w:rsidRPr="009B34DC">
        <w:rPr>
          <w:rFonts w:cs="Arial"/>
          <w:color w:val="000000"/>
        </w:rPr>
        <w:t xml:space="preserve">response </w:t>
      </w:r>
      <w:r w:rsidR="00881873" w:rsidRPr="009B34DC">
        <w:rPr>
          <w:rFonts w:cs="Arial"/>
          <w:color w:val="000000"/>
        </w:rPr>
        <w:t>documents are complete</w:t>
      </w:r>
      <w:r w:rsidR="00881873">
        <w:rPr>
          <w:rFonts w:cs="Arial"/>
        </w:rPr>
        <w:t xml:space="preserve"> and accurate prior to submission. </w:t>
      </w:r>
      <w:r w:rsidR="007E53BF">
        <w:rPr>
          <w:rFonts w:eastAsiaTheme="majorEastAsia" w:cs="Arial"/>
          <w:color w:val="000000"/>
          <w:szCs w:val="32"/>
        </w:rPr>
        <w:t>Incomplete</w:t>
      </w:r>
      <w:r w:rsidR="009F2906">
        <w:rPr>
          <w:rFonts w:eastAsiaTheme="majorEastAsia" w:cs="Arial"/>
          <w:color w:val="000000"/>
          <w:szCs w:val="32"/>
        </w:rPr>
        <w:t>, inaccurate and/or misleading information or</w:t>
      </w:r>
      <w:r w:rsidR="007E53BF">
        <w:rPr>
          <w:rFonts w:eastAsiaTheme="majorEastAsia" w:cs="Arial"/>
          <w:color w:val="000000"/>
          <w:szCs w:val="32"/>
        </w:rPr>
        <w:t xml:space="preserve"> </w:t>
      </w:r>
      <w:r w:rsidR="007E53BF" w:rsidRPr="0040438F">
        <w:rPr>
          <w:rFonts w:eastAsiaTheme="majorEastAsia" w:cs="Arial"/>
          <w:color w:val="000000"/>
          <w:szCs w:val="32"/>
        </w:rPr>
        <w:t xml:space="preserve">answers are likely to score poorly or render the </w:t>
      </w:r>
      <w:r w:rsidR="00605F7E">
        <w:rPr>
          <w:rFonts w:eastAsiaTheme="majorEastAsia" w:cs="Arial"/>
          <w:color w:val="000000"/>
          <w:szCs w:val="32"/>
        </w:rPr>
        <w:t xml:space="preserve">response </w:t>
      </w:r>
      <w:r w:rsidR="007E53BF" w:rsidRPr="0040438F">
        <w:rPr>
          <w:rFonts w:eastAsiaTheme="majorEastAsia" w:cs="Arial"/>
          <w:color w:val="000000"/>
          <w:szCs w:val="32"/>
        </w:rPr>
        <w:t>non-compliant</w:t>
      </w:r>
      <w:r w:rsidR="005B4682">
        <w:rPr>
          <w:rFonts w:eastAsiaTheme="majorEastAsia" w:cs="Arial"/>
          <w:color w:val="000000"/>
          <w:szCs w:val="32"/>
        </w:rPr>
        <w:t xml:space="preserve"> and</w:t>
      </w:r>
      <w:r w:rsidR="0056015A">
        <w:rPr>
          <w:rFonts w:eastAsiaTheme="majorEastAsia" w:cs="Arial"/>
          <w:color w:val="000000"/>
          <w:szCs w:val="32"/>
        </w:rPr>
        <w:t xml:space="preserve"> may result in HMRC </w:t>
      </w:r>
      <w:r w:rsidR="00855B0A">
        <w:rPr>
          <w:rFonts w:eastAsiaTheme="majorEastAsia" w:cs="Arial"/>
          <w:color w:val="000000"/>
          <w:szCs w:val="32"/>
        </w:rPr>
        <w:t xml:space="preserve">rejecting the </w:t>
      </w:r>
      <w:r w:rsidR="00605F7E">
        <w:rPr>
          <w:rFonts w:eastAsiaTheme="majorEastAsia" w:cs="Arial"/>
          <w:color w:val="000000"/>
          <w:szCs w:val="32"/>
        </w:rPr>
        <w:t>response</w:t>
      </w:r>
      <w:r w:rsidR="007E53BF">
        <w:rPr>
          <w:rFonts w:eastAsiaTheme="majorEastAsia" w:cs="Arial"/>
          <w:color w:val="000000"/>
          <w:szCs w:val="32"/>
        </w:rPr>
        <w:t>.</w:t>
      </w:r>
      <w:r w:rsidR="007E53BF">
        <w:t xml:space="preserve"> </w:t>
      </w:r>
    </w:p>
    <w:p w14:paraId="093121FC" w14:textId="6D9D5BEA" w:rsidR="00D05278" w:rsidRPr="00D7583F" w:rsidRDefault="00F86EF5" w:rsidP="0085565B">
      <w:pPr>
        <w:pStyle w:val="ListParagraph"/>
        <w:keepNext/>
        <w:numPr>
          <w:ilvl w:val="2"/>
          <w:numId w:val="9"/>
        </w:numPr>
        <w:contextualSpacing w:val="0"/>
        <w:jc w:val="both"/>
        <w:rPr>
          <w:rFonts w:eastAsiaTheme="majorEastAsia" w:cs="Arial"/>
          <w:color w:val="000000"/>
          <w:szCs w:val="32"/>
        </w:rPr>
      </w:pPr>
      <w:r>
        <w:rPr>
          <w:rFonts w:eastAsiaTheme="majorEastAsia" w:cs="Arial"/>
          <w:color w:val="000000"/>
          <w:szCs w:val="32"/>
        </w:rPr>
        <w:t xml:space="preserve">If any </w:t>
      </w:r>
      <w:r w:rsidR="00637B20" w:rsidRPr="0037658A">
        <w:rPr>
          <w:rFonts w:eastAsiaTheme="majorEastAsia" w:cs="Arial"/>
          <w:color w:val="000000"/>
          <w:szCs w:val="32"/>
        </w:rPr>
        <w:t xml:space="preserve">information </w:t>
      </w:r>
      <w:r w:rsidR="00BF260D">
        <w:rPr>
          <w:rFonts w:eastAsiaTheme="majorEastAsia" w:cs="Arial"/>
          <w:color w:val="000000"/>
          <w:szCs w:val="32"/>
        </w:rPr>
        <w:t>that you supply</w:t>
      </w:r>
      <w:r w:rsidR="00637B20" w:rsidRPr="0037658A">
        <w:rPr>
          <w:rFonts w:eastAsiaTheme="majorEastAsia" w:cs="Arial"/>
          <w:color w:val="000000"/>
          <w:szCs w:val="32"/>
        </w:rPr>
        <w:t xml:space="preserve"> to </w:t>
      </w:r>
      <w:r w:rsidR="00BF260D">
        <w:rPr>
          <w:rFonts w:eastAsiaTheme="majorEastAsia" w:cs="Arial"/>
          <w:color w:val="000000"/>
          <w:szCs w:val="32"/>
        </w:rPr>
        <w:t xml:space="preserve">HMRC </w:t>
      </w:r>
      <w:r w:rsidR="00637B20" w:rsidRPr="0037658A">
        <w:rPr>
          <w:rFonts w:eastAsiaTheme="majorEastAsia" w:cs="Arial"/>
          <w:color w:val="000000"/>
          <w:szCs w:val="32"/>
        </w:rPr>
        <w:t>becomes inaccurate or significantly changes at any time</w:t>
      </w:r>
      <w:r w:rsidR="004B3A45">
        <w:rPr>
          <w:rFonts w:eastAsiaTheme="majorEastAsia" w:cs="Arial"/>
          <w:color w:val="000000"/>
          <w:szCs w:val="32"/>
        </w:rPr>
        <w:t xml:space="preserve"> during the procurement exercise</w:t>
      </w:r>
      <w:r w:rsidR="00637B20">
        <w:rPr>
          <w:rFonts w:eastAsiaTheme="majorEastAsia" w:cs="Arial"/>
          <w:color w:val="000000"/>
          <w:szCs w:val="32"/>
        </w:rPr>
        <w:t xml:space="preserve">, </w:t>
      </w:r>
      <w:r>
        <w:rPr>
          <w:rFonts w:eastAsiaTheme="majorEastAsia" w:cs="Arial"/>
          <w:color w:val="000000"/>
          <w:szCs w:val="32"/>
        </w:rPr>
        <w:t>you</w:t>
      </w:r>
      <w:r w:rsidR="00637B20">
        <w:rPr>
          <w:rFonts w:eastAsiaTheme="majorEastAsia" w:cs="Arial"/>
          <w:color w:val="000000"/>
          <w:szCs w:val="32"/>
        </w:rPr>
        <w:t xml:space="preserve"> must notify HMRC</w:t>
      </w:r>
      <w:r w:rsidR="00637B20" w:rsidRPr="0037658A">
        <w:rPr>
          <w:rFonts w:eastAsiaTheme="majorEastAsia" w:cs="Arial"/>
          <w:color w:val="000000"/>
          <w:szCs w:val="32"/>
        </w:rPr>
        <w:t xml:space="preserve"> immediately together with a full explanation of</w:t>
      </w:r>
      <w:r w:rsidR="0061120C">
        <w:rPr>
          <w:rFonts w:eastAsiaTheme="majorEastAsia" w:cs="Arial"/>
          <w:color w:val="000000"/>
          <w:szCs w:val="32"/>
        </w:rPr>
        <w:t>, and reasons for,</w:t>
      </w:r>
      <w:r w:rsidR="00637B20" w:rsidRPr="0037658A">
        <w:rPr>
          <w:rFonts w:eastAsiaTheme="majorEastAsia" w:cs="Arial"/>
          <w:color w:val="000000"/>
          <w:szCs w:val="32"/>
        </w:rPr>
        <w:t xml:space="preserve"> the changes. </w:t>
      </w:r>
      <w:r w:rsidR="008143E8">
        <w:rPr>
          <w:rFonts w:eastAsiaTheme="majorEastAsia" w:cs="Arial"/>
          <w:color w:val="000000"/>
          <w:szCs w:val="32"/>
        </w:rPr>
        <w:t xml:space="preserve">This could result in HMRC </w:t>
      </w:r>
      <w:r w:rsidR="009942AA">
        <w:rPr>
          <w:rFonts w:eastAsiaTheme="majorEastAsia" w:cs="Arial"/>
          <w:color w:val="000000"/>
          <w:szCs w:val="32"/>
        </w:rPr>
        <w:t>rejecting the</w:t>
      </w:r>
      <w:r w:rsidR="00F453D9">
        <w:rPr>
          <w:rFonts w:eastAsiaTheme="majorEastAsia" w:cs="Arial"/>
          <w:color w:val="000000"/>
          <w:szCs w:val="32"/>
        </w:rPr>
        <w:t xml:space="preserve"> </w:t>
      </w:r>
      <w:r w:rsidR="00274C84">
        <w:rPr>
          <w:rFonts w:eastAsiaTheme="majorEastAsia" w:cs="Arial"/>
          <w:color w:val="000000"/>
          <w:szCs w:val="32"/>
        </w:rPr>
        <w:t>response</w:t>
      </w:r>
      <w:r w:rsidR="008143E8">
        <w:rPr>
          <w:rFonts w:eastAsiaTheme="majorEastAsia" w:cs="Arial"/>
          <w:color w:val="000000"/>
          <w:szCs w:val="32"/>
        </w:rPr>
        <w:t>, for example if</w:t>
      </w:r>
      <w:r w:rsidR="00245B9E">
        <w:rPr>
          <w:rFonts w:eastAsiaTheme="majorEastAsia" w:cs="Arial"/>
          <w:color w:val="000000"/>
          <w:szCs w:val="32"/>
        </w:rPr>
        <w:t xml:space="preserve"> </w:t>
      </w:r>
      <w:r w:rsidR="00BC29C3">
        <w:rPr>
          <w:rFonts w:eastAsiaTheme="majorEastAsia" w:cs="Arial"/>
          <w:color w:val="000000"/>
          <w:szCs w:val="32"/>
        </w:rPr>
        <w:t xml:space="preserve">the </w:t>
      </w:r>
      <w:r w:rsidR="00274C84">
        <w:rPr>
          <w:rFonts w:eastAsiaTheme="majorEastAsia" w:cs="Arial"/>
          <w:color w:val="000000"/>
          <w:szCs w:val="32"/>
        </w:rPr>
        <w:t>response</w:t>
      </w:r>
      <w:r w:rsidR="008143E8">
        <w:rPr>
          <w:rFonts w:eastAsiaTheme="majorEastAsia" w:cs="Arial"/>
          <w:color w:val="000000"/>
          <w:szCs w:val="32"/>
        </w:rPr>
        <w:t xml:space="preserve"> </w:t>
      </w:r>
      <w:r w:rsidR="00294C0B" w:rsidRPr="00294C0B">
        <w:rPr>
          <w:rFonts w:eastAsiaTheme="majorEastAsia" w:cs="Arial"/>
          <w:color w:val="000000"/>
          <w:szCs w:val="32"/>
        </w:rPr>
        <w:t xml:space="preserve">submission </w:t>
      </w:r>
      <w:r w:rsidR="00294C0B">
        <w:rPr>
          <w:rFonts w:eastAsiaTheme="majorEastAsia" w:cs="Arial"/>
          <w:color w:val="000000"/>
          <w:szCs w:val="32"/>
        </w:rPr>
        <w:t xml:space="preserve">becomes </w:t>
      </w:r>
      <w:r w:rsidR="00294C0B" w:rsidRPr="00294C0B">
        <w:rPr>
          <w:rFonts w:eastAsiaTheme="majorEastAsia" w:cs="Arial"/>
          <w:color w:val="000000"/>
          <w:szCs w:val="32"/>
        </w:rPr>
        <w:t>non-compliant under paragraph 12.4 below</w:t>
      </w:r>
      <w:r w:rsidR="00637B20" w:rsidRPr="00A95ECA">
        <w:rPr>
          <w:rFonts w:eastAsiaTheme="majorEastAsia" w:cs="Arial"/>
          <w:color w:val="000000"/>
          <w:szCs w:val="32"/>
        </w:rPr>
        <w:t>.</w:t>
      </w:r>
      <w:r w:rsidR="003E3C4B">
        <w:t xml:space="preserve"> </w:t>
      </w:r>
    </w:p>
    <w:p w14:paraId="6A0F29B1" w14:textId="7D6F6F2B" w:rsidR="00E74EE5" w:rsidRPr="00D7583F" w:rsidRDefault="002A5F16" w:rsidP="0085565B">
      <w:pPr>
        <w:pStyle w:val="ListParagraph"/>
        <w:keepNext/>
        <w:numPr>
          <w:ilvl w:val="2"/>
          <w:numId w:val="9"/>
        </w:numPr>
        <w:contextualSpacing w:val="0"/>
        <w:jc w:val="both"/>
        <w:rPr>
          <w:rFonts w:cs="Arial"/>
          <w:color w:val="000000"/>
        </w:rPr>
      </w:pPr>
      <w:r>
        <w:rPr>
          <w:rFonts w:cs="Arial"/>
        </w:rPr>
        <w:t>W</w:t>
      </w:r>
      <w:r w:rsidR="00E74EE5" w:rsidRPr="00E74EE5">
        <w:rPr>
          <w:rFonts w:cs="Arial"/>
        </w:rPr>
        <w:t xml:space="preserve">hen submitting </w:t>
      </w:r>
      <w:r w:rsidR="007822E8">
        <w:rPr>
          <w:rFonts w:cs="Arial"/>
        </w:rPr>
        <w:t xml:space="preserve">your </w:t>
      </w:r>
      <w:r w:rsidR="0059200B">
        <w:rPr>
          <w:rFonts w:cs="Arial"/>
        </w:rPr>
        <w:t>PSQ response</w:t>
      </w:r>
      <w:r w:rsidR="00DA4F92">
        <w:rPr>
          <w:rFonts w:cs="Arial"/>
        </w:rPr>
        <w:t>,</w:t>
      </w:r>
      <w:r>
        <w:rPr>
          <w:rFonts w:cs="Arial"/>
        </w:rPr>
        <w:t xml:space="preserve"> you must</w:t>
      </w:r>
      <w:r w:rsidR="00E74EE5">
        <w:rPr>
          <w:rFonts w:cs="Arial"/>
        </w:rPr>
        <w:t>:</w:t>
      </w:r>
    </w:p>
    <w:p w14:paraId="4324AF10" w14:textId="3D05D55A" w:rsidR="002635A7" w:rsidRPr="002635A7" w:rsidRDefault="00CE7184" w:rsidP="0085565B">
      <w:pPr>
        <w:pStyle w:val="ListParagraph"/>
        <w:numPr>
          <w:ilvl w:val="3"/>
          <w:numId w:val="9"/>
        </w:numPr>
        <w:contextualSpacing w:val="0"/>
        <w:jc w:val="both"/>
      </w:pPr>
      <w:r>
        <w:t>n</w:t>
      </w:r>
      <w:r w:rsidR="00881873" w:rsidRPr="00D15BA7">
        <w:t xml:space="preserve">ot provide an answer to a particular question by way of cross reference to the response for another question. </w:t>
      </w:r>
      <w:r w:rsidR="00881873">
        <w:t xml:space="preserve">HMRC </w:t>
      </w:r>
      <w:r w:rsidR="00881873" w:rsidRPr="00D15BA7">
        <w:t xml:space="preserve">will not attempt to find information within other parts of the </w:t>
      </w:r>
      <w:r w:rsidR="0059200B">
        <w:rPr>
          <w:rFonts w:eastAsiaTheme="majorEastAsia" w:cstheme="majorBidi"/>
          <w:szCs w:val="32"/>
        </w:rPr>
        <w:t>response</w:t>
      </w:r>
      <w:r w:rsidR="003E3C4B" w:rsidRPr="002635A7">
        <w:rPr>
          <w:rFonts w:eastAsiaTheme="majorEastAsia" w:cstheme="majorBidi"/>
          <w:szCs w:val="32"/>
        </w:rPr>
        <w:t xml:space="preserve"> submission</w:t>
      </w:r>
      <w:r w:rsidR="005B649B">
        <w:rPr>
          <w:rFonts w:eastAsiaTheme="majorEastAsia" w:cstheme="majorBidi"/>
          <w:szCs w:val="32"/>
        </w:rPr>
        <w:t>, even if it is cross referenced</w:t>
      </w:r>
      <w:r w:rsidR="00881873" w:rsidRPr="00D15BA7">
        <w:t>.</w:t>
      </w:r>
      <w:r w:rsidR="002635A7" w:rsidRPr="002635A7">
        <w:t xml:space="preserve"> </w:t>
      </w:r>
      <w:r w:rsidR="002635A7">
        <w:t>I</w:t>
      </w:r>
      <w:r w:rsidR="002635A7" w:rsidRPr="002635A7">
        <w:t>f no answer is provided to a question</w:t>
      </w:r>
      <w:r w:rsidR="002635A7">
        <w:t>,</w:t>
      </w:r>
      <w:r w:rsidR="002635A7" w:rsidRPr="002635A7">
        <w:t xml:space="preserve"> an auto-generated zero score will be </w:t>
      </w:r>
      <w:proofErr w:type="gramStart"/>
      <w:r w:rsidR="002635A7" w:rsidRPr="002635A7">
        <w:t>applied</w:t>
      </w:r>
      <w:r w:rsidR="000F2ECC">
        <w:t>;</w:t>
      </w:r>
      <w:proofErr w:type="gramEnd"/>
    </w:p>
    <w:p w14:paraId="5F80C7CE" w14:textId="5F5907ED" w:rsidR="00A5093B" w:rsidRPr="00FD563B" w:rsidRDefault="00CE7184" w:rsidP="0085565B">
      <w:pPr>
        <w:pStyle w:val="ListParagraph"/>
        <w:numPr>
          <w:ilvl w:val="3"/>
          <w:numId w:val="9"/>
        </w:numPr>
        <w:contextualSpacing w:val="0"/>
        <w:jc w:val="both"/>
      </w:pPr>
      <w:r>
        <w:t>s</w:t>
      </w:r>
      <w:r w:rsidR="002A5F16">
        <w:t xml:space="preserve">ubmit </w:t>
      </w:r>
      <w:r w:rsidR="00E65951">
        <w:t>your</w:t>
      </w:r>
      <w:r w:rsidR="006E6173" w:rsidRPr="00D7583F">
        <w:t xml:space="preserve"> responses and documents in English. </w:t>
      </w:r>
      <w:r w:rsidR="0059200B">
        <w:t>Responses</w:t>
      </w:r>
      <w:r w:rsidR="006E6173" w:rsidRPr="00D7583F">
        <w:t xml:space="preserve"> submitted in other languages will not be accepted.</w:t>
      </w:r>
      <w:r w:rsidR="00A5093B" w:rsidRPr="00D7583F">
        <w:t xml:space="preserve"> Proposed costs or </w:t>
      </w:r>
      <w:r w:rsidR="00A5093B" w:rsidRPr="00FD563B">
        <w:t xml:space="preserve">prices </w:t>
      </w:r>
      <w:r w:rsidR="00E65951" w:rsidRPr="00FD563B">
        <w:t>must</w:t>
      </w:r>
      <w:r w:rsidR="00A5093B" w:rsidRPr="00FD563B">
        <w:t xml:space="preserve"> be in GB Pounds/Sterling</w:t>
      </w:r>
      <w:r w:rsidR="00E65951" w:rsidRPr="00FD563B">
        <w:t xml:space="preserve"> and c</w:t>
      </w:r>
      <w:r w:rsidR="00A5093B" w:rsidRPr="00FD563B">
        <w:t xml:space="preserve">urrency fluctuations </w:t>
      </w:r>
      <w:r w:rsidR="00E65951" w:rsidRPr="00FD563B">
        <w:t>will</w:t>
      </w:r>
      <w:r w:rsidR="00A5093B" w:rsidRPr="00FD563B">
        <w:t xml:space="preserve"> be at the </w:t>
      </w:r>
      <w:r w:rsidR="00433587">
        <w:t>Tenderer</w:t>
      </w:r>
      <w:r w:rsidR="00A5093B" w:rsidRPr="00FD563B">
        <w:t>’s risk</w:t>
      </w:r>
      <w:r w:rsidRPr="00FD563B">
        <w:t>; and</w:t>
      </w:r>
    </w:p>
    <w:p w14:paraId="75000D26" w14:textId="7EFEAAA6" w:rsidR="006E6173" w:rsidRPr="0095218D" w:rsidRDefault="00CE7184" w:rsidP="0085565B">
      <w:pPr>
        <w:pStyle w:val="ListParagraph"/>
        <w:numPr>
          <w:ilvl w:val="3"/>
          <w:numId w:val="9"/>
        </w:numPr>
        <w:contextualSpacing w:val="0"/>
        <w:jc w:val="both"/>
        <w:rPr>
          <w:rFonts w:cs="Arial"/>
          <w:color w:val="000000"/>
        </w:rPr>
      </w:pPr>
      <w:r w:rsidRPr="00FD563B">
        <w:rPr>
          <w:rFonts w:cs="Arial"/>
        </w:rPr>
        <w:t>k</w:t>
      </w:r>
      <w:r w:rsidR="002A5F16" w:rsidRPr="00FD563B">
        <w:rPr>
          <w:rFonts w:cs="Arial"/>
        </w:rPr>
        <w:t xml:space="preserve">eep to the </w:t>
      </w:r>
      <w:r w:rsidR="000F2ECC">
        <w:rPr>
          <w:rFonts w:cs="Arial"/>
        </w:rPr>
        <w:t>page</w:t>
      </w:r>
      <w:r w:rsidR="002A5F16" w:rsidRPr="00FD563B">
        <w:rPr>
          <w:rFonts w:cs="Arial"/>
        </w:rPr>
        <w:t xml:space="preserve"> limit</w:t>
      </w:r>
      <w:r w:rsidR="00627F65" w:rsidRPr="00FD563B">
        <w:rPr>
          <w:rFonts w:cs="Arial"/>
        </w:rPr>
        <w:t>s stated</w:t>
      </w:r>
      <w:r w:rsidR="002A5F16" w:rsidRPr="00FD563B">
        <w:rPr>
          <w:rFonts w:cs="Arial"/>
        </w:rPr>
        <w:t xml:space="preserve">. </w:t>
      </w:r>
      <w:r w:rsidR="00E74EE5" w:rsidRPr="00FD563B">
        <w:rPr>
          <w:rFonts w:cs="Arial"/>
        </w:rPr>
        <w:t xml:space="preserve"> Any information provided </w:t>
      </w:r>
      <w:proofErr w:type="gramStart"/>
      <w:r w:rsidR="00E74EE5" w:rsidRPr="00FD563B">
        <w:rPr>
          <w:rFonts w:cs="Arial"/>
        </w:rPr>
        <w:t>in excess of</w:t>
      </w:r>
      <w:proofErr w:type="gramEnd"/>
      <w:r w:rsidR="00E74EE5" w:rsidRPr="00FD563B">
        <w:rPr>
          <w:rFonts w:cs="Arial"/>
        </w:rPr>
        <w:t xml:space="preserve"> any page or word limit, or any files provided in excess of any specified file size limit, will not be considered by the </w:t>
      </w:r>
      <w:r w:rsidR="00E74EE5" w:rsidRPr="00FD563B">
        <w:rPr>
          <w:rFonts w:eastAsiaTheme="majorEastAsia" w:cs="Arial"/>
          <w:color w:val="000000"/>
          <w:szCs w:val="32"/>
        </w:rPr>
        <w:t>evaluators</w:t>
      </w:r>
      <w:r w:rsidR="00E74EE5" w:rsidRPr="00FD563B">
        <w:rPr>
          <w:rFonts w:cs="Arial"/>
        </w:rPr>
        <w:t xml:space="preserve">. </w:t>
      </w:r>
      <w:r w:rsidR="00D36554" w:rsidRPr="00FD563B">
        <w:rPr>
          <w:rFonts w:cs="Arial"/>
        </w:rPr>
        <w:t>Unless stated otherwise, a</w:t>
      </w:r>
      <w:r w:rsidR="00E74EE5" w:rsidRPr="00FD563B">
        <w:rPr>
          <w:rFonts w:cs="Arial"/>
        </w:rPr>
        <w:t xml:space="preserve">ny images or embedded files will be </w:t>
      </w:r>
      <w:r w:rsidR="00926F75" w:rsidRPr="00FD563B">
        <w:rPr>
          <w:rFonts w:cs="Arial"/>
        </w:rPr>
        <w:t>considered</w:t>
      </w:r>
      <w:r w:rsidR="00E74EE5" w:rsidRPr="00FD563B">
        <w:rPr>
          <w:rFonts w:cs="Arial"/>
        </w:rPr>
        <w:t xml:space="preserve"> as part of word or page limits.</w:t>
      </w:r>
      <w:r w:rsidR="002635A7" w:rsidRPr="00FD563B">
        <w:t xml:space="preserve"> </w:t>
      </w:r>
      <w:r w:rsidR="002635A7" w:rsidRPr="00FD563B">
        <w:rPr>
          <w:rFonts w:cs="Arial"/>
        </w:rPr>
        <w:t>Attachments</w:t>
      </w:r>
      <w:r w:rsidR="002635A7" w:rsidRPr="002635A7">
        <w:rPr>
          <w:rFonts w:cs="Arial"/>
        </w:rPr>
        <w:t xml:space="preserve"> </w:t>
      </w:r>
      <w:r w:rsidR="002635A7">
        <w:rPr>
          <w:rFonts w:cs="Arial"/>
        </w:rPr>
        <w:t>must</w:t>
      </w:r>
      <w:r w:rsidR="002635A7" w:rsidRPr="002635A7">
        <w:rPr>
          <w:rFonts w:cs="Arial"/>
        </w:rPr>
        <w:t xml:space="preserve"> </w:t>
      </w:r>
      <w:r w:rsidR="002635A7">
        <w:rPr>
          <w:rFonts w:cs="Arial"/>
        </w:rPr>
        <w:t>only</w:t>
      </w:r>
      <w:r w:rsidR="002635A7" w:rsidRPr="002635A7">
        <w:rPr>
          <w:rFonts w:cs="Arial"/>
        </w:rPr>
        <w:t xml:space="preserve"> be submitted </w:t>
      </w:r>
      <w:r w:rsidR="002635A7">
        <w:rPr>
          <w:rFonts w:cs="Arial"/>
        </w:rPr>
        <w:t xml:space="preserve">where </w:t>
      </w:r>
      <w:r w:rsidR="002635A7" w:rsidRPr="002635A7">
        <w:rPr>
          <w:rFonts w:cs="Arial"/>
        </w:rPr>
        <w:t>a question specifically requests or permits their use</w:t>
      </w:r>
      <w:r w:rsidR="002635A7">
        <w:rPr>
          <w:rFonts w:cs="Arial"/>
        </w:rPr>
        <w:t xml:space="preserve"> and only where the </w:t>
      </w:r>
      <w:r w:rsidR="00433587">
        <w:rPr>
          <w:rFonts w:cs="Arial"/>
        </w:rPr>
        <w:t>Tenderer</w:t>
      </w:r>
      <w:r w:rsidR="002635A7">
        <w:rPr>
          <w:rFonts w:cs="Arial"/>
        </w:rPr>
        <w:t xml:space="preserve"> has indicated in </w:t>
      </w:r>
      <w:r w:rsidR="002635A7" w:rsidRPr="002635A7">
        <w:rPr>
          <w:rFonts w:cs="Arial"/>
        </w:rPr>
        <w:t>the question text field</w:t>
      </w:r>
      <w:r w:rsidR="002635A7">
        <w:rPr>
          <w:rFonts w:cs="Arial"/>
        </w:rPr>
        <w:t xml:space="preserve"> that an attachment has been submitted.</w:t>
      </w:r>
    </w:p>
    <w:p w14:paraId="07317090" w14:textId="7EF65D3E" w:rsidR="006D3A70" w:rsidRPr="00E46F08" w:rsidRDefault="00E46F08" w:rsidP="0085565B">
      <w:pPr>
        <w:pStyle w:val="Head2"/>
        <w:keepNext w:val="0"/>
        <w:keepLines w:val="0"/>
        <w:numPr>
          <w:ilvl w:val="1"/>
          <w:numId w:val="9"/>
        </w:numPr>
        <w:jc w:val="both"/>
        <w:rPr>
          <w:rStyle w:val="normaltextrun"/>
        </w:rPr>
      </w:pPr>
      <w:bookmarkStart w:id="82" w:name="_Toc201679057"/>
      <w:bookmarkStart w:id="83" w:name="_Toc201679634"/>
      <w:r>
        <w:rPr>
          <w:rStyle w:val="normaltextrun"/>
          <w:rFonts w:cs="Arial"/>
          <w:b/>
          <w:bCs/>
          <w:color w:val="000000"/>
          <w:szCs w:val="22"/>
          <w:bdr w:val="none" w:sz="0" w:space="0" w:color="auto" w:frame="1"/>
        </w:rPr>
        <w:t>Data Protection Compliance</w:t>
      </w:r>
      <w:bookmarkEnd w:id="82"/>
      <w:bookmarkEnd w:id="83"/>
    </w:p>
    <w:p w14:paraId="530D2BC9" w14:textId="393AF889" w:rsidR="003E1AB5" w:rsidRPr="003E1AB5" w:rsidRDefault="003E1AB5" w:rsidP="0085565B">
      <w:pPr>
        <w:pStyle w:val="Head2"/>
        <w:keepNext w:val="0"/>
        <w:keepLines w:val="0"/>
        <w:numPr>
          <w:ilvl w:val="2"/>
          <w:numId w:val="9"/>
        </w:numPr>
        <w:jc w:val="both"/>
        <w:rPr>
          <w:rStyle w:val="normaltextrun"/>
        </w:rPr>
      </w:pPr>
      <w:bookmarkStart w:id="84" w:name="_Toc201679058"/>
      <w:bookmarkStart w:id="85" w:name="_Toc201679635"/>
      <w:r>
        <w:rPr>
          <w:rStyle w:val="normaltextrun"/>
          <w:rFonts w:cs="Arial"/>
          <w:color w:val="000000"/>
          <w:szCs w:val="22"/>
          <w:bdr w:val="none" w:sz="0" w:space="0" w:color="auto" w:frame="1"/>
        </w:rPr>
        <w:t xml:space="preserve">HMRC reserves the right to reject a </w:t>
      </w:r>
      <w:r w:rsidR="00433587">
        <w:rPr>
          <w:rStyle w:val="normaltextrun"/>
          <w:rFonts w:cs="Arial"/>
          <w:color w:val="000000"/>
          <w:szCs w:val="22"/>
          <w:bdr w:val="none" w:sz="0" w:space="0" w:color="auto" w:frame="1"/>
        </w:rPr>
        <w:t>Tenderer</w:t>
      </w:r>
      <w:r>
        <w:rPr>
          <w:rStyle w:val="normaltextrun"/>
          <w:rFonts w:cs="Arial"/>
          <w:color w:val="000000"/>
          <w:szCs w:val="22"/>
          <w:bdr w:val="none" w:sz="0" w:space="0" w:color="auto" w:frame="1"/>
        </w:rPr>
        <w:t xml:space="preserve">’s entire </w:t>
      </w:r>
      <w:r w:rsidR="00C905DA">
        <w:rPr>
          <w:rStyle w:val="normaltextrun"/>
          <w:rFonts w:cs="Arial"/>
          <w:color w:val="000000"/>
          <w:szCs w:val="22"/>
          <w:bdr w:val="none" w:sz="0" w:space="0" w:color="auto" w:frame="1"/>
        </w:rPr>
        <w:t>PSQ response</w:t>
      </w:r>
      <w:r>
        <w:rPr>
          <w:rStyle w:val="normaltextrun"/>
          <w:rFonts w:cs="Arial"/>
          <w:color w:val="000000"/>
          <w:szCs w:val="22"/>
          <w:bdr w:val="none" w:sz="0" w:space="0" w:color="auto" w:frame="1"/>
        </w:rPr>
        <w:t xml:space="preserve"> submission that proposes the transfer of personal data outside of the UK </w:t>
      </w:r>
      <w:r w:rsidR="00017A6B">
        <w:rPr>
          <w:rStyle w:val="normaltextrun"/>
          <w:rFonts w:cs="Arial"/>
          <w:color w:val="000000"/>
          <w:szCs w:val="22"/>
          <w:bdr w:val="none" w:sz="0" w:space="0" w:color="auto" w:frame="1"/>
        </w:rPr>
        <w:t>should this be</w:t>
      </w:r>
      <w:r w:rsidR="005012E4">
        <w:rPr>
          <w:rStyle w:val="normaltextrun"/>
          <w:rFonts w:cs="Arial"/>
          <w:color w:val="000000"/>
          <w:szCs w:val="22"/>
          <w:bdr w:val="none" w:sz="0" w:space="0" w:color="auto" w:frame="1"/>
        </w:rPr>
        <w:t xml:space="preserve"> </w:t>
      </w:r>
      <w:r>
        <w:rPr>
          <w:rStyle w:val="normaltextrun"/>
          <w:rFonts w:cs="Arial"/>
          <w:color w:val="000000"/>
          <w:szCs w:val="22"/>
          <w:bdr w:val="none" w:sz="0" w:space="0" w:color="auto" w:frame="1"/>
        </w:rPr>
        <w:t>necessary for information security and/or UK GDPR compliance purposes, to be determined by HMRC at its discretion.</w:t>
      </w:r>
      <w:bookmarkEnd w:id="84"/>
      <w:bookmarkEnd w:id="85"/>
    </w:p>
    <w:p w14:paraId="4C641599" w14:textId="504ADA10" w:rsidR="00E46F08" w:rsidRDefault="00E46F08" w:rsidP="0085565B">
      <w:pPr>
        <w:pStyle w:val="Head2"/>
        <w:keepNext w:val="0"/>
        <w:keepLines w:val="0"/>
        <w:numPr>
          <w:ilvl w:val="2"/>
          <w:numId w:val="9"/>
        </w:numPr>
        <w:jc w:val="both"/>
      </w:pPr>
      <w:bookmarkStart w:id="86" w:name="_Toc201679059"/>
      <w:bookmarkStart w:id="87" w:name="_Toc201679636"/>
      <w:r>
        <w:rPr>
          <w:rStyle w:val="normaltextrun"/>
          <w:rFonts w:cs="Arial"/>
          <w:color w:val="000000"/>
          <w:szCs w:val="22"/>
          <w:bdr w:val="none" w:sz="0" w:space="0" w:color="auto" w:frame="1"/>
        </w:rPr>
        <w:t xml:space="preserve">HMRC also reserve the right to request additional information </w:t>
      </w:r>
      <w:proofErr w:type="gramStart"/>
      <w:r>
        <w:rPr>
          <w:rStyle w:val="normaltextrun"/>
          <w:rFonts w:cs="Arial"/>
          <w:color w:val="000000"/>
          <w:szCs w:val="22"/>
          <w:bdr w:val="none" w:sz="0" w:space="0" w:color="auto" w:frame="1"/>
        </w:rPr>
        <w:t>in order to</w:t>
      </w:r>
      <w:proofErr w:type="gramEnd"/>
      <w:r>
        <w:rPr>
          <w:rStyle w:val="normaltextrun"/>
          <w:rFonts w:cs="Arial"/>
          <w:color w:val="000000"/>
          <w:szCs w:val="22"/>
          <w:bdr w:val="none" w:sz="0" w:space="0" w:color="auto" w:frame="1"/>
        </w:rPr>
        <w:t xml:space="preserve"> complete the relevant data transfer risk assessments</w:t>
      </w:r>
      <w:r w:rsidR="00D955F1">
        <w:rPr>
          <w:rStyle w:val="normaltextrun"/>
          <w:rFonts w:cs="Arial"/>
          <w:color w:val="000000"/>
          <w:szCs w:val="22"/>
          <w:bdr w:val="none" w:sz="0" w:space="0" w:color="auto" w:frame="1"/>
        </w:rPr>
        <w:t xml:space="preserve"> and a</w:t>
      </w:r>
      <w:r w:rsidR="00167C2B">
        <w:rPr>
          <w:rStyle w:val="normaltextrun"/>
          <w:rFonts w:cs="Arial"/>
          <w:color w:val="000000"/>
          <w:szCs w:val="22"/>
          <w:bdr w:val="none" w:sz="0" w:space="0" w:color="auto" w:frame="1"/>
        </w:rPr>
        <w:t>ssociated</w:t>
      </w:r>
      <w:r w:rsidR="00D955F1">
        <w:rPr>
          <w:rStyle w:val="normaltextrun"/>
          <w:rFonts w:cs="Arial"/>
          <w:color w:val="000000"/>
          <w:szCs w:val="22"/>
          <w:bdr w:val="none" w:sz="0" w:space="0" w:color="auto" w:frame="1"/>
        </w:rPr>
        <w:t xml:space="preserve"> International Data </w:t>
      </w:r>
      <w:r w:rsidR="00167C2B">
        <w:rPr>
          <w:rStyle w:val="normaltextrun"/>
          <w:rFonts w:cs="Arial"/>
          <w:color w:val="000000"/>
          <w:szCs w:val="22"/>
          <w:bdr w:val="none" w:sz="0" w:space="0" w:color="auto" w:frame="1"/>
        </w:rPr>
        <w:t>Transfer Agreement (IDTA)</w:t>
      </w:r>
      <w:r>
        <w:rPr>
          <w:rStyle w:val="normaltextrun"/>
          <w:rFonts w:cs="Arial"/>
          <w:color w:val="000000"/>
          <w:szCs w:val="22"/>
          <w:bdr w:val="none" w:sz="0" w:space="0" w:color="auto" w:frame="1"/>
        </w:rPr>
        <w:t>.</w:t>
      </w:r>
      <w:bookmarkEnd w:id="86"/>
      <w:bookmarkEnd w:id="87"/>
    </w:p>
    <w:p w14:paraId="0E078EDA" w14:textId="77777777" w:rsidR="00D84CA4" w:rsidRPr="00D7583F" w:rsidRDefault="00D84CA4" w:rsidP="0085565B">
      <w:pPr>
        <w:pStyle w:val="Head2"/>
        <w:keepNext w:val="0"/>
        <w:keepLines w:val="0"/>
        <w:numPr>
          <w:ilvl w:val="1"/>
          <w:numId w:val="9"/>
        </w:numPr>
        <w:jc w:val="both"/>
        <w:rPr>
          <w:rFonts w:cs="Arial"/>
          <w:b/>
          <w:bCs/>
          <w:color w:val="000000"/>
        </w:rPr>
      </w:pPr>
      <w:bookmarkStart w:id="88" w:name="_Toc201679060"/>
      <w:bookmarkStart w:id="89" w:name="_Toc201679637"/>
      <w:r w:rsidRPr="00D7583F">
        <w:rPr>
          <w:rFonts w:cs="Arial"/>
          <w:b/>
          <w:bCs/>
          <w:color w:val="000000"/>
        </w:rPr>
        <w:t xml:space="preserve">Contract </w:t>
      </w:r>
      <w:proofErr w:type="gramStart"/>
      <w:r w:rsidRPr="00D7583F">
        <w:rPr>
          <w:rFonts w:cs="Arial"/>
          <w:b/>
          <w:bCs/>
          <w:color w:val="000000"/>
        </w:rPr>
        <w:t>award</w:t>
      </w:r>
      <w:bookmarkEnd w:id="88"/>
      <w:bookmarkEnd w:id="89"/>
      <w:proofErr w:type="gramEnd"/>
    </w:p>
    <w:p w14:paraId="7DD3F3B2" w14:textId="66CE197F" w:rsidR="00D84CA4" w:rsidRPr="005853D3" w:rsidRDefault="00A93441" w:rsidP="005853D3">
      <w:pPr>
        <w:pStyle w:val="ListParagraph"/>
        <w:numPr>
          <w:ilvl w:val="2"/>
          <w:numId w:val="9"/>
        </w:numPr>
        <w:jc w:val="both"/>
        <w:rPr>
          <w:rFonts w:eastAsiaTheme="majorEastAsia" w:cs="Arial"/>
          <w:color w:val="000000"/>
          <w:szCs w:val="32"/>
        </w:rPr>
      </w:pPr>
      <w:bookmarkStart w:id="90" w:name="_Toc201679061"/>
      <w:bookmarkStart w:id="91" w:name="_Toc201679638"/>
      <w:r w:rsidRPr="005853D3">
        <w:rPr>
          <w:rFonts w:cs="Arial"/>
          <w:color w:val="000000"/>
        </w:rPr>
        <w:t>HMRC may award the contract(s) to the successful supplier</w:t>
      </w:r>
      <w:r w:rsidR="00CD61F2" w:rsidRPr="005853D3">
        <w:rPr>
          <w:rFonts w:cs="Arial"/>
          <w:color w:val="000000"/>
        </w:rPr>
        <w:t>(s)</w:t>
      </w:r>
      <w:r w:rsidRPr="005853D3">
        <w:rPr>
          <w:rFonts w:cs="Arial"/>
          <w:color w:val="000000"/>
        </w:rPr>
        <w:t xml:space="preserve"> </w:t>
      </w:r>
      <w:r w:rsidR="008E3B42" w:rsidRPr="005853D3">
        <w:rPr>
          <w:rFonts w:cs="Arial"/>
          <w:color w:val="000000"/>
        </w:rPr>
        <w:t xml:space="preserve">that it identifies pursuant to </w:t>
      </w:r>
      <w:r w:rsidR="007C0F26" w:rsidRPr="005853D3">
        <w:rPr>
          <w:rFonts w:cs="Arial"/>
          <w:color w:val="000000"/>
        </w:rPr>
        <w:t>paragraph 12</w:t>
      </w:r>
      <w:r w:rsidR="005853D3" w:rsidRPr="005853D3">
        <w:rPr>
          <w:rFonts w:cs="Arial"/>
          <w:color w:val="000000"/>
        </w:rPr>
        <w:t>.7</w:t>
      </w:r>
      <w:r w:rsidR="005853D3" w:rsidRPr="005853D3">
        <w:t xml:space="preserve"> </w:t>
      </w:r>
      <w:r w:rsidR="005853D3">
        <w:t>entitled “</w:t>
      </w:r>
      <w:r w:rsidR="005853D3" w:rsidRPr="005853D3">
        <w:rPr>
          <w:rFonts w:eastAsiaTheme="majorEastAsia" w:cs="Arial"/>
          <w:color w:val="000000"/>
          <w:szCs w:val="32"/>
        </w:rPr>
        <w:t>Award Questionnaire</w:t>
      </w:r>
      <w:r w:rsidR="005853D3" w:rsidRPr="005853D3">
        <w:t xml:space="preserve"> </w:t>
      </w:r>
      <w:r w:rsidR="005853D3" w:rsidRPr="005853D3">
        <w:rPr>
          <w:rFonts w:eastAsiaTheme="majorEastAsia" w:cs="Arial"/>
          <w:color w:val="000000"/>
          <w:szCs w:val="32"/>
        </w:rPr>
        <w:t>– Stages 2-</w:t>
      </w:r>
      <w:proofErr w:type="gramStart"/>
      <w:r w:rsidR="005853D3" w:rsidRPr="005853D3">
        <w:rPr>
          <w:rFonts w:eastAsiaTheme="majorEastAsia" w:cs="Arial"/>
          <w:color w:val="000000"/>
          <w:szCs w:val="32"/>
        </w:rPr>
        <w:t>4</w:t>
      </w:r>
      <w:r w:rsidR="005853D3" w:rsidRPr="005853D3">
        <w:rPr>
          <w:rFonts w:eastAsiaTheme="majorEastAsia" w:cs="Arial"/>
          <w:color w:val="000000"/>
          <w:szCs w:val="32"/>
        </w:rPr>
        <w:t xml:space="preserve">”  </w:t>
      </w:r>
      <w:r w:rsidR="000D06FF" w:rsidRPr="005853D3">
        <w:rPr>
          <w:rFonts w:cs="Arial"/>
          <w:color w:val="000000"/>
        </w:rPr>
        <w:t>below</w:t>
      </w:r>
      <w:proofErr w:type="gramEnd"/>
      <w:r w:rsidR="00FE038E" w:rsidRPr="005853D3">
        <w:rPr>
          <w:rFonts w:cs="Arial"/>
          <w:color w:val="000000"/>
        </w:rPr>
        <w:t>.</w:t>
      </w:r>
      <w:bookmarkEnd w:id="90"/>
      <w:bookmarkEnd w:id="91"/>
      <w:r w:rsidR="009049DD" w:rsidRPr="005853D3">
        <w:t xml:space="preserve"> </w:t>
      </w:r>
    </w:p>
    <w:p w14:paraId="14CA7970" w14:textId="72BF1F64" w:rsidR="003B5A47" w:rsidRDefault="008F2AC7" w:rsidP="0085565B">
      <w:pPr>
        <w:pStyle w:val="Head2"/>
        <w:keepNext w:val="0"/>
        <w:keepLines w:val="0"/>
        <w:numPr>
          <w:ilvl w:val="2"/>
          <w:numId w:val="9"/>
        </w:numPr>
        <w:jc w:val="both"/>
        <w:rPr>
          <w:rFonts w:cs="Arial"/>
          <w:color w:val="000000"/>
        </w:rPr>
      </w:pPr>
      <w:bookmarkStart w:id="92" w:name="_Toc201679062"/>
      <w:bookmarkStart w:id="93" w:name="_Toc201679639"/>
      <w:r w:rsidRPr="008F2AC7">
        <w:rPr>
          <w:rFonts w:cs="Arial"/>
          <w:color w:val="000000"/>
        </w:rPr>
        <w:t xml:space="preserve">Once </w:t>
      </w:r>
      <w:r>
        <w:rPr>
          <w:rFonts w:cs="Arial"/>
          <w:color w:val="000000"/>
        </w:rPr>
        <w:t xml:space="preserve">HMRC </w:t>
      </w:r>
      <w:r w:rsidRPr="008F2AC7">
        <w:rPr>
          <w:rFonts w:cs="Arial"/>
          <w:color w:val="000000"/>
        </w:rPr>
        <w:t xml:space="preserve">has reached a decision in respect of a contract award, it will notify all </w:t>
      </w:r>
      <w:r w:rsidR="00433587">
        <w:rPr>
          <w:rFonts w:cs="Arial"/>
          <w:color w:val="000000"/>
        </w:rPr>
        <w:t>Tenderer</w:t>
      </w:r>
      <w:r>
        <w:rPr>
          <w:rFonts w:cs="Arial"/>
          <w:color w:val="000000"/>
        </w:rPr>
        <w:t>s</w:t>
      </w:r>
      <w:r w:rsidRPr="008F2AC7">
        <w:rPr>
          <w:rFonts w:cs="Arial"/>
          <w:color w:val="000000"/>
        </w:rPr>
        <w:t xml:space="preserve"> of </w:t>
      </w:r>
      <w:r w:rsidR="0048627D">
        <w:rPr>
          <w:rFonts w:cs="Arial"/>
          <w:color w:val="000000"/>
        </w:rPr>
        <w:t>the outcome of their submission</w:t>
      </w:r>
      <w:r w:rsidRPr="008F2AC7">
        <w:rPr>
          <w:rFonts w:cs="Arial"/>
          <w:color w:val="000000"/>
        </w:rPr>
        <w:t xml:space="preserve"> and provide for a standstill period in accordance with </w:t>
      </w:r>
      <w:r w:rsidR="004C44D5">
        <w:rPr>
          <w:rFonts w:cs="Arial"/>
          <w:color w:val="000000"/>
        </w:rPr>
        <w:t>PA 2023</w:t>
      </w:r>
      <w:r w:rsidRPr="008F2AC7">
        <w:rPr>
          <w:rFonts w:cs="Arial"/>
          <w:color w:val="000000"/>
        </w:rPr>
        <w:t xml:space="preserve"> before </w:t>
      </w:r>
      <w:proofErr w:type="gramStart"/>
      <w:r w:rsidRPr="008F2AC7">
        <w:rPr>
          <w:rFonts w:cs="Arial"/>
          <w:color w:val="000000"/>
        </w:rPr>
        <w:t>entering into</w:t>
      </w:r>
      <w:proofErr w:type="gramEnd"/>
      <w:r w:rsidRPr="008F2AC7">
        <w:rPr>
          <w:rFonts w:cs="Arial"/>
          <w:color w:val="000000"/>
        </w:rPr>
        <w:t xml:space="preserve"> any </w:t>
      </w:r>
      <w:r w:rsidR="002266E5">
        <w:rPr>
          <w:rFonts w:cs="Arial"/>
          <w:color w:val="000000"/>
        </w:rPr>
        <w:t>c</w:t>
      </w:r>
      <w:r w:rsidRPr="008F2AC7">
        <w:rPr>
          <w:rFonts w:cs="Arial"/>
          <w:color w:val="000000"/>
        </w:rPr>
        <w:t>ontract(s).</w:t>
      </w:r>
      <w:bookmarkEnd w:id="92"/>
      <w:bookmarkEnd w:id="93"/>
      <w:r w:rsidR="00B51437" w:rsidRPr="00B51437">
        <w:rPr>
          <w:rFonts w:cs="Arial"/>
          <w:color w:val="000000"/>
        </w:rPr>
        <w:t xml:space="preserve"> </w:t>
      </w:r>
    </w:p>
    <w:p w14:paraId="2F7709E1" w14:textId="5732515A" w:rsidR="00A46D2F" w:rsidRDefault="00B51437" w:rsidP="0085565B">
      <w:pPr>
        <w:pStyle w:val="Head2"/>
        <w:keepNext w:val="0"/>
        <w:keepLines w:val="0"/>
        <w:numPr>
          <w:ilvl w:val="2"/>
          <w:numId w:val="9"/>
        </w:numPr>
        <w:jc w:val="both"/>
        <w:rPr>
          <w:rFonts w:cs="Arial"/>
          <w:color w:val="000000"/>
        </w:rPr>
      </w:pPr>
      <w:bookmarkStart w:id="94" w:name="_Toc201679063"/>
      <w:bookmarkStart w:id="95" w:name="_Toc201679640"/>
      <w:r w:rsidRPr="00A46D2F">
        <w:rPr>
          <w:rFonts w:cs="Arial"/>
          <w:color w:val="000000"/>
        </w:rPr>
        <w:t xml:space="preserve">Contract award </w:t>
      </w:r>
      <w:r w:rsidR="00DB0AFB">
        <w:rPr>
          <w:rFonts w:cs="Arial"/>
          <w:color w:val="000000"/>
        </w:rPr>
        <w:t>will</w:t>
      </w:r>
      <w:r w:rsidR="00D27EB7">
        <w:rPr>
          <w:rFonts w:cs="Arial"/>
          <w:color w:val="000000"/>
        </w:rPr>
        <w:t xml:space="preserve"> also</w:t>
      </w:r>
      <w:r w:rsidR="00DB0AFB">
        <w:rPr>
          <w:rFonts w:cs="Arial"/>
          <w:color w:val="000000"/>
        </w:rPr>
        <w:t xml:space="preserve"> be </w:t>
      </w:r>
      <w:r w:rsidRPr="00A46D2F">
        <w:rPr>
          <w:rFonts w:cs="Arial"/>
          <w:color w:val="000000"/>
        </w:rPr>
        <w:t xml:space="preserve">subject to </w:t>
      </w:r>
      <w:r>
        <w:rPr>
          <w:rFonts w:cs="Arial"/>
          <w:color w:val="000000"/>
        </w:rPr>
        <w:t xml:space="preserve">HMRC’s </w:t>
      </w:r>
      <w:r w:rsidRPr="00A46D2F">
        <w:rPr>
          <w:rFonts w:cs="Arial"/>
          <w:color w:val="000000"/>
        </w:rPr>
        <w:t xml:space="preserve">formal approval process </w:t>
      </w:r>
      <w:r>
        <w:rPr>
          <w:rFonts w:cs="Arial"/>
          <w:color w:val="000000"/>
        </w:rPr>
        <w:t>and the successful completion of any relevant due diligence checks</w:t>
      </w:r>
      <w:r w:rsidR="00DB0AFB">
        <w:rPr>
          <w:rFonts w:cs="Arial"/>
          <w:color w:val="000000"/>
        </w:rPr>
        <w:t>.</w:t>
      </w:r>
      <w:r w:rsidRPr="00B51437">
        <w:rPr>
          <w:rFonts w:cs="Arial"/>
          <w:color w:val="000000"/>
        </w:rPr>
        <w:t xml:space="preserve"> </w:t>
      </w:r>
      <w:r w:rsidRPr="009049DD">
        <w:rPr>
          <w:rFonts w:cs="Arial"/>
          <w:color w:val="000000"/>
        </w:rPr>
        <w:t>If the relevant documentary evidence is not provided</w:t>
      </w:r>
      <w:r>
        <w:rPr>
          <w:rFonts w:cs="Arial"/>
          <w:color w:val="000000"/>
        </w:rPr>
        <w:t xml:space="preserve"> by the successful supplier</w:t>
      </w:r>
      <w:r w:rsidRPr="009049DD">
        <w:rPr>
          <w:rFonts w:cs="Arial"/>
          <w:color w:val="000000"/>
        </w:rPr>
        <w:t xml:space="preserve"> upon request and without delay</w:t>
      </w:r>
      <w:r>
        <w:rPr>
          <w:rFonts w:cs="Arial"/>
          <w:color w:val="000000"/>
        </w:rPr>
        <w:t>, HMRC</w:t>
      </w:r>
      <w:r w:rsidRPr="009049DD">
        <w:rPr>
          <w:rFonts w:cs="Arial"/>
          <w:color w:val="000000"/>
        </w:rPr>
        <w:t xml:space="preserve"> reserve</w:t>
      </w:r>
      <w:r>
        <w:rPr>
          <w:rFonts w:cs="Arial"/>
          <w:color w:val="000000"/>
        </w:rPr>
        <w:t>s</w:t>
      </w:r>
      <w:r w:rsidRPr="009049DD">
        <w:rPr>
          <w:rFonts w:cs="Arial"/>
          <w:color w:val="000000"/>
        </w:rPr>
        <w:t xml:space="preserve"> the right to amend the contract award decision and award to the next compliant </w:t>
      </w:r>
      <w:r w:rsidR="00433587">
        <w:rPr>
          <w:rFonts w:cs="Arial"/>
          <w:color w:val="000000"/>
        </w:rPr>
        <w:t>Tenderer</w:t>
      </w:r>
      <w:r w:rsidRPr="009049DD">
        <w:rPr>
          <w:rFonts w:cs="Arial"/>
          <w:color w:val="000000"/>
        </w:rPr>
        <w:t>.</w:t>
      </w:r>
      <w:bookmarkEnd w:id="94"/>
      <w:bookmarkEnd w:id="95"/>
    </w:p>
    <w:p w14:paraId="4D5B9800" w14:textId="4E4252D4" w:rsidR="00493C68" w:rsidRPr="00FB311C" w:rsidRDefault="00493C68" w:rsidP="0085565B">
      <w:pPr>
        <w:pStyle w:val="Head2"/>
        <w:keepNext w:val="0"/>
        <w:keepLines w:val="0"/>
        <w:numPr>
          <w:ilvl w:val="2"/>
          <w:numId w:val="9"/>
        </w:numPr>
        <w:jc w:val="both"/>
        <w:rPr>
          <w:rFonts w:cs="Arial"/>
          <w:color w:val="000000"/>
        </w:rPr>
      </w:pPr>
      <w:bookmarkStart w:id="96" w:name="_Toc201679064"/>
      <w:bookmarkStart w:id="97" w:name="_Toc201679641"/>
      <w:r>
        <w:rPr>
          <w:rFonts w:cs="Arial"/>
          <w:color w:val="000000"/>
        </w:rPr>
        <w:t>In addition, w</w:t>
      </w:r>
      <w:r w:rsidRPr="00E130D4">
        <w:rPr>
          <w:rFonts w:cs="Arial"/>
          <w:color w:val="000000"/>
        </w:rPr>
        <w:t>here</w:t>
      </w:r>
      <w:r>
        <w:rPr>
          <w:rFonts w:cs="Arial"/>
          <w:color w:val="000000"/>
        </w:rPr>
        <w:t xml:space="preserve"> HMRC considers</w:t>
      </w:r>
      <w:r w:rsidRPr="00E130D4">
        <w:rPr>
          <w:rFonts w:cs="Arial"/>
          <w:color w:val="000000"/>
        </w:rPr>
        <w:t xml:space="preserve"> </w:t>
      </w:r>
      <w:r>
        <w:rPr>
          <w:rFonts w:cs="Arial"/>
          <w:color w:val="000000"/>
        </w:rPr>
        <w:t xml:space="preserve">it </w:t>
      </w:r>
      <w:r w:rsidRPr="00E130D4">
        <w:rPr>
          <w:rFonts w:cs="Arial"/>
          <w:color w:val="000000"/>
        </w:rPr>
        <w:t xml:space="preserve">appropriate </w:t>
      </w:r>
      <w:proofErr w:type="gramStart"/>
      <w:r w:rsidRPr="00E130D4">
        <w:rPr>
          <w:rFonts w:cs="Arial"/>
          <w:color w:val="000000"/>
        </w:rPr>
        <w:t>on the basis of</w:t>
      </w:r>
      <w:proofErr w:type="gramEnd"/>
      <w:r w:rsidRPr="00E130D4">
        <w:rPr>
          <w:rFonts w:cs="Arial"/>
          <w:color w:val="000000"/>
        </w:rPr>
        <w:t xml:space="preserve"> a financial assessment, award of contract </w:t>
      </w:r>
      <w:r>
        <w:rPr>
          <w:rFonts w:cs="Arial"/>
          <w:color w:val="000000"/>
        </w:rPr>
        <w:t>will</w:t>
      </w:r>
      <w:r w:rsidRPr="00E130D4">
        <w:rPr>
          <w:rFonts w:cs="Arial"/>
          <w:color w:val="000000"/>
        </w:rPr>
        <w:t xml:space="preserve"> be conditional on </w:t>
      </w:r>
      <w:r>
        <w:rPr>
          <w:rFonts w:cs="Arial"/>
          <w:color w:val="000000"/>
        </w:rPr>
        <w:t>the</w:t>
      </w:r>
      <w:r w:rsidRPr="00E130D4">
        <w:rPr>
          <w:rFonts w:cs="Arial"/>
          <w:color w:val="000000"/>
        </w:rPr>
        <w:t xml:space="preserve"> successful </w:t>
      </w:r>
      <w:r w:rsidR="00433587">
        <w:rPr>
          <w:rFonts w:cs="Arial"/>
          <w:color w:val="000000"/>
        </w:rPr>
        <w:t>Tenderer</w:t>
      </w:r>
      <w:r w:rsidRPr="00E130D4">
        <w:rPr>
          <w:rFonts w:cs="Arial"/>
          <w:color w:val="000000"/>
        </w:rPr>
        <w:t xml:space="preserve"> </w:t>
      </w:r>
      <w:r>
        <w:rPr>
          <w:rFonts w:cs="Arial"/>
          <w:color w:val="000000"/>
        </w:rPr>
        <w:t>securing</w:t>
      </w:r>
      <w:r w:rsidRPr="00E130D4">
        <w:rPr>
          <w:rFonts w:cs="Arial"/>
          <w:color w:val="000000"/>
        </w:rPr>
        <w:t xml:space="preserve"> a </w:t>
      </w:r>
      <w:r>
        <w:rPr>
          <w:rFonts w:cs="Arial"/>
          <w:color w:val="000000"/>
        </w:rPr>
        <w:t xml:space="preserve">deed of guarantee in favour of HMRC from the ultimate holding company of the </w:t>
      </w:r>
      <w:r w:rsidR="00433587">
        <w:rPr>
          <w:rFonts w:cs="Arial"/>
          <w:color w:val="000000"/>
        </w:rPr>
        <w:t>Tenderer</w:t>
      </w:r>
      <w:r>
        <w:rPr>
          <w:rFonts w:cs="Arial"/>
          <w:color w:val="000000"/>
        </w:rPr>
        <w:t xml:space="preserve"> (or appropriate alternative guarantor in exceptional circumstances e.g. where the proposed guarantor is a charity whose constitution prevents them from performing this role).</w:t>
      </w:r>
      <w:bookmarkEnd w:id="96"/>
      <w:bookmarkEnd w:id="97"/>
    </w:p>
    <w:p w14:paraId="42329CA9" w14:textId="26B1537D" w:rsidR="00103B4B" w:rsidRPr="0073366A" w:rsidRDefault="00FB311C" w:rsidP="0085565B">
      <w:pPr>
        <w:pStyle w:val="Head2"/>
        <w:keepNext w:val="0"/>
        <w:keepLines w:val="0"/>
        <w:numPr>
          <w:ilvl w:val="2"/>
          <w:numId w:val="9"/>
        </w:numPr>
        <w:jc w:val="both"/>
        <w:rPr>
          <w:rFonts w:cs="Arial"/>
          <w:color w:val="000000"/>
        </w:rPr>
      </w:pPr>
      <w:bookmarkStart w:id="98" w:name="_Toc201679065"/>
      <w:bookmarkStart w:id="99" w:name="_Toc201679642"/>
      <w:r>
        <w:t xml:space="preserve">If the </w:t>
      </w:r>
      <w:r w:rsidR="00433587">
        <w:t>Tenderer</w:t>
      </w:r>
      <w:r>
        <w:t xml:space="preserve"> is a consortium, </w:t>
      </w:r>
      <w:r w:rsidR="00707C6D">
        <w:t>HMRC</w:t>
      </w:r>
      <w:r w:rsidR="00707C6D" w:rsidRPr="00B27BEB">
        <w:t xml:space="preserve"> may require the consortium to assume a specific legal form if awarded the </w:t>
      </w:r>
      <w:r w:rsidR="008B79A5">
        <w:t>c</w:t>
      </w:r>
      <w:r w:rsidR="00707C6D" w:rsidRPr="00B27BEB">
        <w:t xml:space="preserve">ontract, to the extent that a specific legal form is deemed by </w:t>
      </w:r>
      <w:r>
        <w:t>HMRC</w:t>
      </w:r>
      <w:r w:rsidR="00707C6D" w:rsidRPr="00B27BEB">
        <w:t xml:space="preserve"> as being necessary for the satisfactory performance of the </w:t>
      </w:r>
      <w:r w:rsidR="00CD61F2">
        <w:t>c</w:t>
      </w:r>
      <w:r w:rsidR="00707C6D" w:rsidRPr="00B27BEB">
        <w:t>ontract.</w:t>
      </w:r>
      <w:bookmarkEnd w:id="98"/>
      <w:bookmarkEnd w:id="99"/>
      <w:r w:rsidR="00707C6D" w:rsidRPr="001058E1">
        <w:t xml:space="preserve"> </w:t>
      </w:r>
    </w:p>
    <w:p w14:paraId="3EBE1D23" w14:textId="316B46B2" w:rsidR="00C009A8" w:rsidRPr="002473C2" w:rsidRDefault="00C009A8" w:rsidP="0085565B">
      <w:pPr>
        <w:pStyle w:val="Head2"/>
        <w:keepNext w:val="0"/>
        <w:keepLines w:val="0"/>
        <w:numPr>
          <w:ilvl w:val="0"/>
          <w:numId w:val="9"/>
        </w:numPr>
        <w:spacing w:before="240"/>
        <w:jc w:val="both"/>
        <w:rPr>
          <w:bCs/>
          <w:szCs w:val="28"/>
        </w:rPr>
      </w:pPr>
      <w:bookmarkStart w:id="100" w:name="_Ref92898474"/>
      <w:bookmarkStart w:id="101" w:name="_Toc201679643"/>
      <w:r w:rsidRPr="00D7583F">
        <w:rPr>
          <w:b/>
          <w:bCs/>
          <w:color w:val="009999"/>
          <w:sz w:val="28"/>
          <w:szCs w:val="28"/>
        </w:rPr>
        <w:t>CONFIDENTIALITY</w:t>
      </w:r>
      <w:bookmarkEnd w:id="100"/>
      <w:bookmarkEnd w:id="101"/>
    </w:p>
    <w:p w14:paraId="1E709BF0" w14:textId="420402B2" w:rsidR="00C009A8" w:rsidRDefault="00433587" w:rsidP="0085565B">
      <w:pPr>
        <w:pStyle w:val="ListParagraph"/>
        <w:numPr>
          <w:ilvl w:val="1"/>
          <w:numId w:val="9"/>
        </w:numPr>
        <w:contextualSpacing w:val="0"/>
        <w:jc w:val="both"/>
        <w:rPr>
          <w:rFonts w:cs="Arial"/>
          <w:color w:val="000000"/>
        </w:rPr>
      </w:pPr>
      <w:r>
        <w:rPr>
          <w:rFonts w:cs="Arial"/>
          <w:color w:val="000000"/>
        </w:rPr>
        <w:t>Tenderer</w:t>
      </w:r>
      <w:r w:rsidR="00C009A8" w:rsidRPr="00F91698">
        <w:rPr>
          <w:rFonts w:cs="Arial"/>
          <w:color w:val="000000"/>
        </w:rPr>
        <w:t xml:space="preserve">s must keep their </w:t>
      </w:r>
      <w:r w:rsidR="00B60356">
        <w:rPr>
          <w:rFonts w:cs="Arial"/>
          <w:color w:val="000000"/>
        </w:rPr>
        <w:t>invitation</w:t>
      </w:r>
      <w:r w:rsidR="00F9066A">
        <w:rPr>
          <w:rFonts w:cs="Arial"/>
          <w:color w:val="000000"/>
        </w:rPr>
        <w:t xml:space="preserve"> </w:t>
      </w:r>
      <w:r w:rsidR="00D85684">
        <w:rPr>
          <w:rFonts w:cs="Arial"/>
          <w:color w:val="000000"/>
        </w:rPr>
        <w:t>t</w:t>
      </w:r>
      <w:r w:rsidR="00B60356">
        <w:rPr>
          <w:rFonts w:cs="Arial"/>
          <w:color w:val="000000"/>
        </w:rPr>
        <w:t xml:space="preserve">o bid, </w:t>
      </w:r>
      <w:r w:rsidR="00C009A8" w:rsidRPr="00F91698">
        <w:rPr>
          <w:rFonts w:cs="Arial"/>
          <w:color w:val="000000"/>
        </w:rPr>
        <w:t xml:space="preserve">intention to submit, and the content of, any </w:t>
      </w:r>
      <w:r w:rsidR="009773A0">
        <w:rPr>
          <w:rFonts w:cs="Arial"/>
          <w:color w:val="000000"/>
        </w:rPr>
        <w:t>t</w:t>
      </w:r>
      <w:r w:rsidR="00C009A8" w:rsidRPr="00F91698">
        <w:rPr>
          <w:rFonts w:cs="Arial"/>
          <w:color w:val="000000"/>
        </w:rPr>
        <w:t>ender confidential from any third party</w:t>
      </w:r>
      <w:r w:rsidR="006B31E4">
        <w:rPr>
          <w:rFonts w:cs="Arial"/>
          <w:color w:val="000000"/>
        </w:rPr>
        <w:t xml:space="preserve"> </w:t>
      </w:r>
      <w:r w:rsidR="005C7211">
        <w:rPr>
          <w:rFonts w:cs="Arial"/>
          <w:color w:val="000000"/>
        </w:rPr>
        <w:t xml:space="preserve">(other than </w:t>
      </w:r>
      <w:r w:rsidR="005C7211" w:rsidRPr="005C7211">
        <w:rPr>
          <w:rFonts w:cs="Arial"/>
          <w:color w:val="000000"/>
        </w:rPr>
        <w:t>professional advisers who need to be consulted</w:t>
      </w:r>
      <w:r w:rsidR="005C7211">
        <w:rPr>
          <w:rFonts w:cs="Arial"/>
          <w:color w:val="000000"/>
        </w:rPr>
        <w:t>)</w:t>
      </w:r>
      <w:r w:rsidR="00C009A8" w:rsidRPr="00F91698">
        <w:rPr>
          <w:rFonts w:cs="Arial"/>
          <w:color w:val="000000"/>
        </w:rPr>
        <w:t xml:space="preserve">, </w:t>
      </w:r>
      <w:proofErr w:type="gramStart"/>
      <w:r w:rsidR="00C009A8" w:rsidRPr="00F91698">
        <w:rPr>
          <w:rFonts w:cs="Arial"/>
          <w:color w:val="000000"/>
        </w:rPr>
        <w:t>in order to</w:t>
      </w:r>
      <w:proofErr w:type="gramEnd"/>
      <w:r w:rsidR="00C009A8" w:rsidRPr="00F91698">
        <w:rPr>
          <w:rFonts w:cs="Arial"/>
          <w:color w:val="000000"/>
        </w:rPr>
        <w:t xml:space="preserve"> </w:t>
      </w:r>
      <w:r w:rsidR="00321345">
        <w:rPr>
          <w:rFonts w:cs="Arial"/>
          <w:color w:val="000000"/>
        </w:rPr>
        <w:t>maintain</w:t>
      </w:r>
      <w:r w:rsidR="00C009A8" w:rsidRPr="00F91698">
        <w:rPr>
          <w:rFonts w:cs="Arial"/>
          <w:color w:val="000000"/>
        </w:rPr>
        <w:t xml:space="preserve"> the competitive element of </w:t>
      </w:r>
      <w:r w:rsidR="009773A0">
        <w:rPr>
          <w:rFonts w:cs="Arial"/>
          <w:color w:val="000000"/>
        </w:rPr>
        <w:t>this procurement process</w:t>
      </w:r>
      <w:r w:rsidR="00C009A8" w:rsidRPr="00F91698">
        <w:rPr>
          <w:rFonts w:cs="Arial"/>
          <w:color w:val="000000"/>
        </w:rPr>
        <w:t>.</w:t>
      </w:r>
    </w:p>
    <w:p w14:paraId="3F0DD424" w14:textId="420B9EDC" w:rsidR="006D6AAC" w:rsidRDefault="003A6D26" w:rsidP="0085565B">
      <w:pPr>
        <w:pStyle w:val="ListParagraph"/>
        <w:numPr>
          <w:ilvl w:val="1"/>
          <w:numId w:val="9"/>
        </w:numPr>
        <w:contextualSpacing w:val="0"/>
        <w:jc w:val="both"/>
        <w:rPr>
          <w:rFonts w:cs="Arial"/>
          <w:color w:val="000000"/>
        </w:rPr>
      </w:pPr>
      <w:r w:rsidRPr="003A6D26">
        <w:rPr>
          <w:rFonts w:cs="Arial"/>
          <w:color w:val="000000"/>
        </w:rPr>
        <w:t xml:space="preserve">All information supplied by </w:t>
      </w:r>
      <w:r w:rsidR="00055D09">
        <w:rPr>
          <w:rFonts w:cs="Arial"/>
          <w:color w:val="000000"/>
        </w:rPr>
        <w:t>HMRC</w:t>
      </w:r>
      <w:r w:rsidRPr="003A6D26">
        <w:rPr>
          <w:rFonts w:cs="Arial"/>
          <w:color w:val="000000"/>
        </w:rPr>
        <w:t xml:space="preserve"> to </w:t>
      </w:r>
      <w:r w:rsidR="00433587">
        <w:rPr>
          <w:rFonts w:cs="Arial"/>
          <w:color w:val="000000"/>
        </w:rPr>
        <w:t>Tenderer</w:t>
      </w:r>
      <w:r w:rsidRPr="003A6D26">
        <w:rPr>
          <w:rFonts w:cs="Arial"/>
          <w:color w:val="000000"/>
        </w:rPr>
        <w:t xml:space="preserve">s, whether in writing or orally, is supplied on condition that it be kept confidential by the </w:t>
      </w:r>
      <w:r w:rsidR="00433587">
        <w:rPr>
          <w:rFonts w:cs="Arial"/>
          <w:color w:val="000000"/>
        </w:rPr>
        <w:t>Tenderer</w:t>
      </w:r>
      <w:r w:rsidR="00C7198A">
        <w:rPr>
          <w:rFonts w:cs="Arial"/>
          <w:color w:val="000000"/>
        </w:rPr>
        <w:t>. U</w:t>
      </w:r>
      <w:r w:rsidR="00C7198A" w:rsidRPr="003A6D26">
        <w:rPr>
          <w:rFonts w:cs="Arial"/>
          <w:color w:val="000000"/>
        </w:rPr>
        <w:t>nless the information is already in the public domain</w:t>
      </w:r>
      <w:r w:rsidR="00C7198A">
        <w:rPr>
          <w:rFonts w:cs="Arial"/>
          <w:color w:val="000000"/>
        </w:rPr>
        <w:t>,</w:t>
      </w:r>
      <w:r w:rsidR="00C7198A" w:rsidRPr="003A6D26">
        <w:rPr>
          <w:rFonts w:cs="Arial"/>
          <w:color w:val="000000"/>
        </w:rPr>
        <w:t xml:space="preserve"> </w:t>
      </w:r>
      <w:r w:rsidRPr="003A6D26">
        <w:rPr>
          <w:rFonts w:cs="Arial"/>
          <w:color w:val="000000"/>
        </w:rPr>
        <w:t xml:space="preserve">it must not be copied, reproduced, </w:t>
      </w:r>
      <w:proofErr w:type="gramStart"/>
      <w:r w:rsidRPr="003A6D26">
        <w:rPr>
          <w:rFonts w:cs="Arial"/>
          <w:color w:val="000000"/>
        </w:rPr>
        <w:t>distributed</w:t>
      </w:r>
      <w:proofErr w:type="gramEnd"/>
      <w:r w:rsidRPr="003A6D26">
        <w:rPr>
          <w:rFonts w:cs="Arial"/>
          <w:color w:val="000000"/>
        </w:rPr>
        <w:t xml:space="preserve"> or passed to any other person at any time (except to professional advisors, consortium members or sub</w:t>
      </w:r>
      <w:r w:rsidR="007F7FE4">
        <w:rPr>
          <w:rFonts w:cs="Arial"/>
          <w:color w:val="000000"/>
        </w:rPr>
        <w:t>-</w:t>
      </w:r>
      <w:r w:rsidRPr="003A6D26">
        <w:rPr>
          <w:rFonts w:cs="Arial"/>
          <w:color w:val="000000"/>
        </w:rPr>
        <w:t>contractors</w:t>
      </w:r>
      <w:r w:rsidR="00086769">
        <w:rPr>
          <w:rFonts w:cs="Arial"/>
          <w:color w:val="000000"/>
        </w:rPr>
        <w:t>, on a confidential basis,</w:t>
      </w:r>
      <w:r w:rsidRPr="003A6D26">
        <w:rPr>
          <w:rFonts w:cs="Arial"/>
          <w:color w:val="000000"/>
        </w:rPr>
        <w:t xml:space="preserve"> for the sole purpose of enabling the </w:t>
      </w:r>
      <w:r w:rsidR="00433587">
        <w:rPr>
          <w:rFonts w:cs="Arial"/>
          <w:color w:val="000000"/>
        </w:rPr>
        <w:t>Tenderer</w:t>
      </w:r>
      <w:r w:rsidRPr="003A6D26">
        <w:rPr>
          <w:rFonts w:cs="Arial"/>
          <w:color w:val="000000"/>
        </w:rPr>
        <w:t xml:space="preserve"> to submit </w:t>
      </w:r>
      <w:r w:rsidR="00876C76">
        <w:rPr>
          <w:rFonts w:cs="Arial"/>
          <w:color w:val="000000"/>
        </w:rPr>
        <w:t xml:space="preserve">or clarify </w:t>
      </w:r>
      <w:r w:rsidRPr="003A6D26">
        <w:rPr>
          <w:rFonts w:cs="Arial"/>
          <w:color w:val="000000"/>
        </w:rPr>
        <w:t xml:space="preserve">a </w:t>
      </w:r>
      <w:r w:rsidR="00143F92">
        <w:rPr>
          <w:rFonts w:cs="Arial"/>
          <w:color w:val="000000"/>
        </w:rPr>
        <w:t>t</w:t>
      </w:r>
      <w:r w:rsidRPr="003A6D26">
        <w:rPr>
          <w:rFonts w:cs="Arial"/>
          <w:color w:val="000000"/>
        </w:rPr>
        <w:t>ender</w:t>
      </w:r>
      <w:r w:rsidR="00ED5F90">
        <w:rPr>
          <w:rFonts w:cs="Arial"/>
          <w:color w:val="000000"/>
        </w:rPr>
        <w:t xml:space="preserve"> or </w:t>
      </w:r>
      <w:r w:rsidR="00ED5F90" w:rsidRPr="00ED5F90">
        <w:rPr>
          <w:rFonts w:cs="Arial"/>
          <w:color w:val="000000"/>
        </w:rPr>
        <w:t>attain sureties or quotations relating to the tender</w:t>
      </w:r>
      <w:r w:rsidRPr="003A6D26">
        <w:rPr>
          <w:rFonts w:cs="Arial"/>
          <w:color w:val="000000"/>
        </w:rPr>
        <w:t xml:space="preserve">). </w:t>
      </w:r>
    </w:p>
    <w:p w14:paraId="611AFFF5" w14:textId="1E80D258" w:rsidR="00C009A8" w:rsidRDefault="00C83845" w:rsidP="0085565B">
      <w:pPr>
        <w:pStyle w:val="ListParagraph"/>
        <w:numPr>
          <w:ilvl w:val="1"/>
          <w:numId w:val="9"/>
        </w:numPr>
        <w:contextualSpacing w:val="0"/>
        <w:jc w:val="both"/>
        <w:rPr>
          <w:rFonts w:cs="Arial"/>
          <w:color w:val="000000"/>
        </w:rPr>
      </w:pPr>
      <w:r>
        <w:rPr>
          <w:rFonts w:cs="Arial"/>
          <w:color w:val="000000"/>
        </w:rPr>
        <w:t xml:space="preserve">Although it is unlikely that </w:t>
      </w:r>
      <w:r w:rsidR="003D59A4">
        <w:rPr>
          <w:rFonts w:cs="Arial"/>
          <w:color w:val="000000"/>
        </w:rPr>
        <w:t xml:space="preserve">official secrets will be disclosed </w:t>
      </w:r>
      <w:r w:rsidR="00183156">
        <w:rPr>
          <w:rFonts w:cs="Arial"/>
          <w:color w:val="000000"/>
        </w:rPr>
        <w:t>pursuant to</w:t>
      </w:r>
      <w:r w:rsidR="008E3B19">
        <w:rPr>
          <w:rFonts w:cs="Arial"/>
          <w:color w:val="000000"/>
        </w:rPr>
        <w:t xml:space="preserve"> this </w:t>
      </w:r>
      <w:r w:rsidR="007905D9">
        <w:rPr>
          <w:rFonts w:cs="Arial"/>
          <w:color w:val="000000"/>
        </w:rPr>
        <w:t>tender</w:t>
      </w:r>
      <w:r w:rsidR="008E3B19">
        <w:rPr>
          <w:rFonts w:cs="Arial"/>
          <w:color w:val="000000"/>
        </w:rPr>
        <w:t>, please</w:t>
      </w:r>
      <w:r w:rsidR="002446A8">
        <w:rPr>
          <w:rFonts w:cs="Arial"/>
          <w:color w:val="000000"/>
        </w:rPr>
        <w:t xml:space="preserve"> also</w:t>
      </w:r>
      <w:r w:rsidR="008E3B19">
        <w:rPr>
          <w:rFonts w:cs="Arial"/>
          <w:color w:val="000000"/>
        </w:rPr>
        <w:t xml:space="preserve"> be aware of the terms of the Official Secrets Act 1989</w:t>
      </w:r>
      <w:r w:rsidR="006077A5" w:rsidRPr="00E13608">
        <w:rPr>
          <w:rFonts w:cs="Arial"/>
          <w:color w:val="000000"/>
        </w:rPr>
        <w:t>.</w:t>
      </w:r>
    </w:p>
    <w:p w14:paraId="26191C00" w14:textId="7DCFCEF1" w:rsidR="00685C14" w:rsidRPr="004D44FE" w:rsidRDefault="00C009A8" w:rsidP="0085565B">
      <w:pPr>
        <w:pStyle w:val="ListParagraph"/>
        <w:numPr>
          <w:ilvl w:val="1"/>
          <w:numId w:val="9"/>
        </w:numPr>
        <w:contextualSpacing w:val="0"/>
        <w:jc w:val="both"/>
        <w:rPr>
          <w:rFonts w:cs="Arial"/>
          <w:color w:val="000000"/>
        </w:rPr>
      </w:pPr>
      <w:r w:rsidRPr="00F5627E">
        <w:rPr>
          <w:rFonts w:cs="Arial"/>
          <w:color w:val="000000"/>
        </w:rPr>
        <w:t xml:space="preserve">All information provided by a </w:t>
      </w:r>
      <w:r w:rsidR="00433587">
        <w:rPr>
          <w:rFonts w:cs="Arial"/>
          <w:color w:val="000000"/>
        </w:rPr>
        <w:t>Tenderer</w:t>
      </w:r>
      <w:r w:rsidR="009570E8" w:rsidRPr="00F5627E">
        <w:rPr>
          <w:rFonts w:cs="Arial"/>
          <w:color w:val="000000"/>
        </w:rPr>
        <w:t xml:space="preserve"> </w:t>
      </w:r>
      <w:r w:rsidR="00201F51">
        <w:rPr>
          <w:rFonts w:cs="Arial"/>
          <w:color w:val="000000"/>
        </w:rPr>
        <w:t xml:space="preserve">as part of this procurement exercise </w:t>
      </w:r>
      <w:r w:rsidRPr="00F5627E">
        <w:rPr>
          <w:rFonts w:cs="Arial"/>
          <w:color w:val="000000"/>
        </w:rPr>
        <w:t xml:space="preserve">will be treated as “OFFICIAL” by HMRC and (except where required </w:t>
      </w:r>
      <w:r w:rsidR="00FC4082" w:rsidRPr="00F5627E">
        <w:rPr>
          <w:rFonts w:cs="Arial"/>
          <w:color w:val="000000"/>
        </w:rPr>
        <w:t xml:space="preserve">by </w:t>
      </w:r>
      <w:r w:rsidRPr="00F5627E">
        <w:rPr>
          <w:rFonts w:cs="Arial"/>
          <w:color w:val="000000"/>
        </w:rPr>
        <w:t>law</w:t>
      </w:r>
      <w:r w:rsidR="00E82FD6">
        <w:rPr>
          <w:rFonts w:cs="Arial"/>
          <w:color w:val="000000"/>
        </w:rPr>
        <w:t xml:space="preserve">, </w:t>
      </w:r>
      <w:r w:rsidR="00B34186">
        <w:rPr>
          <w:rFonts w:cs="Arial"/>
          <w:color w:val="000000"/>
        </w:rPr>
        <w:t xml:space="preserve">for example </w:t>
      </w:r>
      <w:r w:rsidR="00052332">
        <w:rPr>
          <w:rFonts w:cs="Arial"/>
          <w:color w:val="000000"/>
        </w:rPr>
        <w:t xml:space="preserve">under </w:t>
      </w:r>
      <w:r w:rsidR="00E82FD6">
        <w:rPr>
          <w:rFonts w:cs="Arial"/>
          <w:color w:val="000000"/>
        </w:rPr>
        <w:t>the FOIA or EIR</w:t>
      </w:r>
      <w:r w:rsidR="004C7F1C">
        <w:rPr>
          <w:rFonts w:cs="Arial"/>
          <w:color w:val="000000"/>
        </w:rPr>
        <w:t xml:space="preserve"> </w:t>
      </w:r>
      <w:r w:rsidR="00C37366">
        <w:rPr>
          <w:rFonts w:cs="Arial"/>
          <w:color w:val="000000"/>
        </w:rPr>
        <w:t xml:space="preserve">(see paragraph 6) </w:t>
      </w:r>
      <w:r w:rsidR="004C7F1C">
        <w:rPr>
          <w:rFonts w:cs="Arial"/>
          <w:color w:val="000000"/>
        </w:rPr>
        <w:t xml:space="preserve">or </w:t>
      </w:r>
      <w:r w:rsidR="00BD571F">
        <w:rPr>
          <w:rFonts w:cs="Arial"/>
          <w:color w:val="000000"/>
        </w:rPr>
        <w:t>public sector transparency polices (see paragraph</w:t>
      </w:r>
      <w:r w:rsidR="00B34FD1">
        <w:rPr>
          <w:rFonts w:cs="Arial"/>
          <w:color w:val="000000"/>
        </w:rPr>
        <w:t xml:space="preserve"> </w:t>
      </w:r>
      <w:r w:rsidR="00BD571F">
        <w:rPr>
          <w:rFonts w:cs="Arial"/>
          <w:color w:val="000000"/>
        </w:rPr>
        <w:t>5.6)</w:t>
      </w:r>
      <w:r w:rsidRPr="00F5627E">
        <w:rPr>
          <w:rFonts w:cs="Arial"/>
          <w:color w:val="000000"/>
        </w:rPr>
        <w:t xml:space="preserve">) will not be disclosed to a third party outside of </w:t>
      </w:r>
      <w:r w:rsidR="7712B336" w:rsidRPr="00F5627E">
        <w:rPr>
          <w:rFonts w:cs="Arial"/>
          <w:color w:val="000000"/>
        </w:rPr>
        <w:t>government</w:t>
      </w:r>
      <w:r w:rsidR="00AF261A" w:rsidRPr="00F5627E">
        <w:rPr>
          <w:rFonts w:cs="Arial"/>
          <w:color w:val="000000"/>
        </w:rPr>
        <w:t xml:space="preserve">, </w:t>
      </w:r>
      <w:r w:rsidR="00AF261A" w:rsidRPr="004D44FE">
        <w:rPr>
          <w:rFonts w:cs="Arial"/>
          <w:color w:val="000000"/>
        </w:rPr>
        <w:t>other than consultants</w:t>
      </w:r>
      <w:r w:rsidR="005F5A13" w:rsidRPr="004D44FE">
        <w:rPr>
          <w:rFonts w:cs="Arial"/>
          <w:color w:val="000000"/>
        </w:rPr>
        <w:t>/advisers</w:t>
      </w:r>
      <w:r w:rsidR="00B6442B">
        <w:rPr>
          <w:rFonts w:cs="Arial"/>
          <w:color w:val="000000"/>
        </w:rPr>
        <w:t xml:space="preserve"> approved by HMRC</w:t>
      </w:r>
      <w:r w:rsidR="005F5A13" w:rsidRPr="004D44FE">
        <w:rPr>
          <w:rFonts w:cs="Arial"/>
          <w:color w:val="000000"/>
        </w:rPr>
        <w:t>,</w:t>
      </w:r>
      <w:r w:rsidRPr="004D44FE">
        <w:rPr>
          <w:rFonts w:cs="Arial"/>
          <w:color w:val="000000"/>
        </w:rPr>
        <w:t xml:space="preserve"> without the written permission of the </w:t>
      </w:r>
      <w:r w:rsidR="00433587">
        <w:rPr>
          <w:rFonts w:cs="Arial"/>
          <w:color w:val="000000"/>
        </w:rPr>
        <w:t>Tenderer</w:t>
      </w:r>
      <w:r w:rsidRPr="004D44FE">
        <w:rPr>
          <w:rFonts w:cs="Arial"/>
          <w:color w:val="000000"/>
        </w:rPr>
        <w:t>.</w:t>
      </w:r>
    </w:p>
    <w:p w14:paraId="1455FF68" w14:textId="76FB7BD3" w:rsidR="00685C14" w:rsidRPr="004D44FE" w:rsidRDefault="006043D8" w:rsidP="0085565B">
      <w:pPr>
        <w:pStyle w:val="ListParagraph"/>
        <w:numPr>
          <w:ilvl w:val="1"/>
          <w:numId w:val="9"/>
        </w:numPr>
        <w:contextualSpacing w:val="0"/>
        <w:jc w:val="both"/>
        <w:rPr>
          <w:rFonts w:cs="Arial"/>
          <w:color w:val="000000"/>
        </w:rPr>
      </w:pPr>
      <w:r>
        <w:rPr>
          <w:rFonts w:cs="Arial"/>
          <w:color w:val="000000"/>
        </w:rPr>
        <w:t xml:space="preserve">The intention is that those </w:t>
      </w:r>
      <w:r w:rsidR="00433587">
        <w:rPr>
          <w:rFonts w:cs="Arial"/>
          <w:color w:val="000000"/>
        </w:rPr>
        <w:t>Tenderer</w:t>
      </w:r>
      <w:r>
        <w:rPr>
          <w:rFonts w:cs="Arial"/>
          <w:color w:val="000000"/>
        </w:rPr>
        <w:t xml:space="preserve">s shortlisted to proceed to Stage 2 of the procurement will be required to sign a non-disclosure agreement </w:t>
      </w:r>
      <w:proofErr w:type="gramStart"/>
      <w:r>
        <w:rPr>
          <w:rFonts w:cs="Arial"/>
          <w:color w:val="000000"/>
        </w:rPr>
        <w:t>in order to</w:t>
      </w:r>
      <w:proofErr w:type="gramEnd"/>
      <w:r>
        <w:rPr>
          <w:rFonts w:cs="Arial"/>
          <w:color w:val="000000"/>
        </w:rPr>
        <w:t xml:space="preserve"> receive confidential material which will be required at that stage of the </w:t>
      </w:r>
      <w:r w:rsidR="003321DD">
        <w:rPr>
          <w:rFonts w:cs="Arial"/>
          <w:color w:val="000000"/>
        </w:rPr>
        <w:t>procurement</w:t>
      </w:r>
      <w:r w:rsidR="00274424">
        <w:rPr>
          <w:rFonts w:cs="Arial"/>
          <w:color w:val="000000"/>
        </w:rPr>
        <w:t>.</w:t>
      </w:r>
      <w:r w:rsidR="003321DD">
        <w:rPr>
          <w:rStyle w:val="CommentReference"/>
        </w:rPr>
        <w:t xml:space="preserve"> </w:t>
      </w:r>
      <w:r w:rsidR="003321DD" w:rsidRPr="004D44FE">
        <w:rPr>
          <w:rFonts w:cs="Arial"/>
          <w:color w:val="000000"/>
        </w:rPr>
        <w:t>If</w:t>
      </w:r>
      <w:r w:rsidR="00BA16D1" w:rsidRPr="004D44FE">
        <w:rPr>
          <w:rFonts w:cs="Arial"/>
          <w:color w:val="000000"/>
        </w:rPr>
        <w:t xml:space="preserve"> there is any difference between </w:t>
      </w:r>
      <w:r w:rsidR="006726EC" w:rsidRPr="004D44FE">
        <w:rPr>
          <w:rFonts w:cs="Arial"/>
          <w:color w:val="000000"/>
        </w:rPr>
        <w:t xml:space="preserve">the provisions of that signed agreement </w:t>
      </w:r>
      <w:r w:rsidR="00BA16D1" w:rsidRPr="004D44FE">
        <w:rPr>
          <w:rFonts w:cs="Arial"/>
          <w:color w:val="000000"/>
        </w:rPr>
        <w:t xml:space="preserve">and the terms in this paragraph </w:t>
      </w:r>
      <w:r w:rsidR="00537EC7" w:rsidRPr="004D44FE">
        <w:rPr>
          <w:rFonts w:cs="Arial"/>
          <w:color w:val="000000"/>
        </w:rPr>
        <w:fldChar w:fldCharType="begin"/>
      </w:r>
      <w:r w:rsidR="00537EC7" w:rsidRPr="004D44FE">
        <w:rPr>
          <w:rFonts w:cs="Arial"/>
          <w:color w:val="000000"/>
        </w:rPr>
        <w:instrText xml:space="preserve"> REF _Ref92898474 \r \h </w:instrText>
      </w:r>
      <w:r w:rsidR="0046145E" w:rsidRPr="004D44FE">
        <w:rPr>
          <w:rFonts w:cs="Arial"/>
          <w:color w:val="000000"/>
        </w:rPr>
        <w:instrText xml:space="preserve"> \* MERGEFORMAT </w:instrText>
      </w:r>
      <w:r w:rsidR="00537EC7" w:rsidRPr="004D44FE">
        <w:rPr>
          <w:rFonts w:cs="Arial"/>
          <w:color w:val="000000"/>
        </w:rPr>
      </w:r>
      <w:r w:rsidR="00537EC7" w:rsidRPr="004D44FE">
        <w:rPr>
          <w:rFonts w:cs="Arial"/>
          <w:color w:val="000000"/>
        </w:rPr>
        <w:fldChar w:fldCharType="separate"/>
      </w:r>
      <w:r w:rsidR="00293109">
        <w:rPr>
          <w:rFonts w:cs="Arial"/>
          <w:color w:val="000000"/>
        </w:rPr>
        <w:t>5</w:t>
      </w:r>
      <w:r w:rsidR="00537EC7" w:rsidRPr="004D44FE">
        <w:rPr>
          <w:rFonts w:cs="Arial"/>
          <w:color w:val="000000"/>
        </w:rPr>
        <w:fldChar w:fldCharType="end"/>
      </w:r>
      <w:r w:rsidR="00787AC6" w:rsidRPr="004D44FE">
        <w:rPr>
          <w:rFonts w:cs="Arial"/>
          <w:color w:val="000000"/>
        </w:rPr>
        <w:t>, the provisions of that signed agreement will take precedence</w:t>
      </w:r>
      <w:r w:rsidR="00493041">
        <w:rPr>
          <w:rFonts w:cs="Arial"/>
          <w:color w:val="000000"/>
        </w:rPr>
        <w:t xml:space="preserve">. </w:t>
      </w:r>
    </w:p>
    <w:p w14:paraId="76F18DDE" w14:textId="747FDAD5" w:rsidR="00520B9C" w:rsidRDefault="00BD1A7C" w:rsidP="0085565B">
      <w:pPr>
        <w:pStyle w:val="ListParagraph"/>
        <w:numPr>
          <w:ilvl w:val="1"/>
          <w:numId w:val="9"/>
        </w:numPr>
        <w:contextualSpacing w:val="0"/>
        <w:jc w:val="both"/>
        <w:rPr>
          <w:rFonts w:cs="Arial"/>
          <w:color w:val="000000"/>
        </w:rPr>
      </w:pPr>
      <w:r w:rsidRPr="00B539A8">
        <w:rPr>
          <w:rFonts w:cs="Arial"/>
          <w:color w:val="000000"/>
        </w:rPr>
        <w:t>HMRC is also subject to various public sector transparency policies and legal requirements, including</w:t>
      </w:r>
      <w:r w:rsidR="005C0F16">
        <w:rPr>
          <w:rFonts w:cs="Arial"/>
          <w:color w:val="000000"/>
        </w:rPr>
        <w:t>, but not limited to</w:t>
      </w:r>
      <w:r w:rsidR="00520B9C">
        <w:rPr>
          <w:rFonts w:cs="Arial"/>
          <w:color w:val="000000"/>
        </w:rPr>
        <w:t xml:space="preserve">: </w:t>
      </w:r>
    </w:p>
    <w:p w14:paraId="49D1AA4B" w14:textId="050F19CF" w:rsidR="00520B9C" w:rsidRDefault="0003455B" w:rsidP="0085565B">
      <w:pPr>
        <w:pStyle w:val="Head2"/>
        <w:keepNext w:val="0"/>
        <w:keepLines w:val="0"/>
        <w:numPr>
          <w:ilvl w:val="2"/>
          <w:numId w:val="9"/>
        </w:numPr>
        <w:jc w:val="both"/>
        <w:rPr>
          <w:rFonts w:cs="Arial"/>
          <w:color w:val="000000"/>
        </w:rPr>
      </w:pPr>
      <w:bookmarkStart w:id="102" w:name="_Toc201679067"/>
      <w:bookmarkStart w:id="103" w:name="_Toc201679644"/>
      <w:r>
        <w:rPr>
          <w:rFonts w:cs="Arial"/>
          <w:color w:val="000000"/>
        </w:rPr>
        <w:t>T</w:t>
      </w:r>
      <w:r w:rsidR="00BD1A7C" w:rsidRPr="00B539A8">
        <w:rPr>
          <w:rFonts w:cs="Arial"/>
          <w:color w:val="000000"/>
        </w:rPr>
        <w:t xml:space="preserve">he </w:t>
      </w:r>
      <w:r w:rsidR="00C059A5" w:rsidRPr="00B539A8">
        <w:rPr>
          <w:rFonts w:cs="Arial"/>
          <w:color w:val="000000"/>
        </w:rPr>
        <w:t>publishing</w:t>
      </w:r>
      <w:r w:rsidR="00BD1A7C" w:rsidRPr="00B539A8">
        <w:rPr>
          <w:rFonts w:cs="Arial"/>
          <w:color w:val="000000"/>
        </w:rPr>
        <w:t xml:space="preserve"> of </w:t>
      </w:r>
      <w:r w:rsidR="00DC35CD">
        <w:rPr>
          <w:rFonts w:cs="Arial"/>
          <w:color w:val="000000"/>
        </w:rPr>
        <w:t>KPI</w:t>
      </w:r>
      <w:r w:rsidR="00007072">
        <w:rPr>
          <w:rFonts w:cs="Arial"/>
          <w:color w:val="000000"/>
        </w:rPr>
        <w:t>/</w:t>
      </w:r>
      <w:r w:rsidR="0014195A">
        <w:rPr>
          <w:rFonts w:cs="Arial"/>
          <w:color w:val="000000"/>
        </w:rPr>
        <w:t xml:space="preserve">contract </w:t>
      </w:r>
      <w:r w:rsidR="00007072">
        <w:rPr>
          <w:rFonts w:cs="Arial"/>
          <w:color w:val="000000"/>
        </w:rPr>
        <w:t xml:space="preserve">performance data in line with PA 2023 </w:t>
      </w:r>
      <w:r w:rsidR="000244B6">
        <w:rPr>
          <w:rFonts w:cs="Arial"/>
          <w:color w:val="000000"/>
        </w:rPr>
        <w:t>Section</w:t>
      </w:r>
      <w:r w:rsidR="003D520F">
        <w:rPr>
          <w:rFonts w:cs="Arial"/>
          <w:color w:val="000000"/>
        </w:rPr>
        <w:t xml:space="preserve"> </w:t>
      </w:r>
      <w:r w:rsidR="00007072">
        <w:rPr>
          <w:rFonts w:cs="Arial"/>
          <w:color w:val="000000"/>
        </w:rPr>
        <w:t>71</w:t>
      </w:r>
      <w:r w:rsidR="00757974">
        <w:rPr>
          <w:rFonts w:cs="Arial"/>
          <w:color w:val="000000"/>
        </w:rPr>
        <w:t>.</w:t>
      </w:r>
      <w:bookmarkEnd w:id="102"/>
      <w:bookmarkEnd w:id="103"/>
      <w:r w:rsidR="00520B9C">
        <w:rPr>
          <w:rFonts w:cs="Arial"/>
          <w:color w:val="000000"/>
        </w:rPr>
        <w:t xml:space="preserve"> </w:t>
      </w:r>
    </w:p>
    <w:p w14:paraId="2AB9E16E" w14:textId="27987C5F" w:rsidR="00BD1A7C" w:rsidRDefault="0003455B" w:rsidP="0085565B">
      <w:pPr>
        <w:pStyle w:val="Head2"/>
        <w:keepNext w:val="0"/>
        <w:keepLines w:val="0"/>
        <w:numPr>
          <w:ilvl w:val="2"/>
          <w:numId w:val="9"/>
        </w:numPr>
        <w:jc w:val="both"/>
        <w:rPr>
          <w:rFonts w:cs="Arial"/>
          <w:color w:val="000000"/>
        </w:rPr>
      </w:pPr>
      <w:bookmarkStart w:id="104" w:name="_Toc201679068"/>
      <w:bookmarkStart w:id="105" w:name="_Toc201679645"/>
      <w:r>
        <w:rPr>
          <w:rFonts w:cs="Arial"/>
          <w:color w:val="000000"/>
        </w:rPr>
        <w:t xml:space="preserve">The publishing of </w:t>
      </w:r>
      <w:r w:rsidR="00BD1A7C" w:rsidRPr="00B539A8">
        <w:rPr>
          <w:rFonts w:cs="Arial"/>
          <w:color w:val="000000"/>
        </w:rPr>
        <w:t>contract award notices</w:t>
      </w:r>
      <w:r w:rsidR="00B039AC">
        <w:rPr>
          <w:rFonts w:cs="Arial"/>
          <w:color w:val="000000"/>
        </w:rPr>
        <w:t xml:space="preserve"> and </w:t>
      </w:r>
      <w:r w:rsidR="007A4C9E">
        <w:rPr>
          <w:rFonts w:cs="Arial"/>
          <w:color w:val="000000"/>
        </w:rPr>
        <w:t>contract details notices</w:t>
      </w:r>
      <w:r w:rsidR="00BD1A7C" w:rsidRPr="00B539A8">
        <w:rPr>
          <w:rFonts w:cs="Arial"/>
          <w:color w:val="000000"/>
        </w:rPr>
        <w:t xml:space="preserve"> on </w:t>
      </w:r>
      <w:r w:rsidR="00CD61F2" w:rsidRPr="00B539A8">
        <w:rPr>
          <w:rFonts w:cs="Arial"/>
          <w:color w:val="000000"/>
        </w:rPr>
        <w:t>“</w:t>
      </w:r>
      <w:r w:rsidR="004C44D5">
        <w:rPr>
          <w:rFonts w:cs="Arial"/>
          <w:color w:val="000000"/>
        </w:rPr>
        <w:t>Find a Tender</w:t>
      </w:r>
      <w:r w:rsidR="00CD61F2" w:rsidRPr="00B539A8">
        <w:rPr>
          <w:rFonts w:cs="Arial"/>
          <w:color w:val="000000"/>
        </w:rPr>
        <w:t>”</w:t>
      </w:r>
      <w:r w:rsidR="00BD1A7C" w:rsidRPr="00B539A8">
        <w:rPr>
          <w:rFonts w:cs="Arial"/>
          <w:color w:val="000000"/>
        </w:rPr>
        <w:t xml:space="preserve"> </w:t>
      </w:r>
      <w:r w:rsidR="00CD61F2" w:rsidRPr="00B539A8">
        <w:rPr>
          <w:rFonts w:cs="Arial"/>
          <w:color w:val="000000"/>
        </w:rPr>
        <w:t>(</w:t>
      </w:r>
      <w:hyperlink r:id="rId14" w:history="1">
        <w:r w:rsidR="00FC1DEC">
          <w:rPr>
            <w:rStyle w:val="Hyperlink"/>
          </w:rPr>
          <w:t>https://www.gov.uk/find-tender</w:t>
        </w:r>
      </w:hyperlink>
      <w:r w:rsidR="00CD61F2" w:rsidRPr="00B539A8">
        <w:rPr>
          <w:rFonts w:cs="Arial"/>
          <w:color w:val="000000"/>
        </w:rPr>
        <w:t>)</w:t>
      </w:r>
      <w:r w:rsidR="003B75C5">
        <w:rPr>
          <w:rFonts w:cs="Arial"/>
          <w:color w:val="000000"/>
        </w:rPr>
        <w:t xml:space="preserve"> </w:t>
      </w:r>
      <w:r w:rsidR="00BD1A7C" w:rsidRPr="00B539A8">
        <w:rPr>
          <w:rFonts w:cs="Arial"/>
          <w:color w:val="000000"/>
        </w:rPr>
        <w:t>which identify the contract value and successful supplier</w:t>
      </w:r>
      <w:r w:rsidR="00AE24CB">
        <w:rPr>
          <w:rFonts w:cs="Arial"/>
          <w:color w:val="000000"/>
        </w:rPr>
        <w:t>,</w:t>
      </w:r>
      <w:r w:rsidR="00CD61F2" w:rsidRPr="00B539A8">
        <w:rPr>
          <w:rFonts w:cs="Arial"/>
          <w:color w:val="000000"/>
        </w:rPr>
        <w:t xml:space="preserve"> and the publishing of </w:t>
      </w:r>
      <w:r w:rsidR="00B539A8" w:rsidRPr="00B539A8">
        <w:rPr>
          <w:rFonts w:cs="Arial"/>
          <w:color w:val="000000"/>
        </w:rPr>
        <w:t>the awarded contract documents (</w:t>
      </w:r>
      <w:r w:rsidR="00B539A8">
        <w:rPr>
          <w:rFonts w:cs="Arial"/>
          <w:color w:val="000000"/>
        </w:rPr>
        <w:t>subject to any redactions made by HMRC</w:t>
      </w:r>
      <w:r w:rsidR="00B539A8" w:rsidRPr="00B539A8">
        <w:rPr>
          <w:rFonts w:cs="Arial"/>
          <w:color w:val="000000"/>
        </w:rPr>
        <w:t>)</w:t>
      </w:r>
      <w:r w:rsidR="00BD1A7C" w:rsidRPr="00CE3F66">
        <w:rPr>
          <w:rFonts w:cs="Arial"/>
          <w:color w:val="000000"/>
        </w:rPr>
        <w:t>.</w:t>
      </w:r>
      <w:bookmarkEnd w:id="104"/>
      <w:bookmarkEnd w:id="105"/>
    </w:p>
    <w:p w14:paraId="6C3FD303" w14:textId="54EE8188" w:rsidR="00184FAF" w:rsidRDefault="00184FAF" w:rsidP="009D7A31">
      <w:pPr>
        <w:pStyle w:val="ListParagraph"/>
        <w:ind w:left="680"/>
        <w:contextualSpacing w:val="0"/>
        <w:jc w:val="both"/>
        <w:rPr>
          <w:rFonts w:cs="Arial"/>
          <w:color w:val="000000"/>
        </w:rPr>
      </w:pPr>
      <w:r>
        <w:rPr>
          <w:rFonts w:cs="Arial"/>
          <w:color w:val="000000"/>
        </w:rPr>
        <w:t xml:space="preserve">By submitting a bid, </w:t>
      </w:r>
      <w:r w:rsidR="00433587">
        <w:rPr>
          <w:rFonts w:cs="Arial"/>
          <w:color w:val="000000"/>
        </w:rPr>
        <w:t>Tenderer</w:t>
      </w:r>
      <w:r w:rsidR="0079513D">
        <w:rPr>
          <w:rFonts w:cs="Arial"/>
          <w:color w:val="000000"/>
        </w:rPr>
        <w:t xml:space="preserve">s are confirming their agreement to HMRC publishing </w:t>
      </w:r>
      <w:r w:rsidR="00226E54">
        <w:rPr>
          <w:rFonts w:cs="Arial"/>
          <w:color w:val="000000"/>
        </w:rPr>
        <w:t>any information</w:t>
      </w:r>
      <w:r w:rsidR="001636DE">
        <w:rPr>
          <w:rFonts w:cs="Arial"/>
          <w:color w:val="000000"/>
        </w:rPr>
        <w:t xml:space="preserve"> </w:t>
      </w:r>
      <w:r w:rsidR="00226E54">
        <w:rPr>
          <w:rFonts w:cs="Arial"/>
          <w:color w:val="000000"/>
        </w:rPr>
        <w:t xml:space="preserve">required to meet </w:t>
      </w:r>
      <w:r w:rsidR="00AF2CC5">
        <w:rPr>
          <w:rFonts w:cs="Arial"/>
          <w:color w:val="000000"/>
        </w:rPr>
        <w:t>HMRC’s</w:t>
      </w:r>
      <w:r w:rsidR="007D6D0E">
        <w:rPr>
          <w:rFonts w:cs="Arial"/>
          <w:color w:val="000000"/>
        </w:rPr>
        <w:t xml:space="preserve"> </w:t>
      </w:r>
      <w:r w:rsidR="007D6D0E" w:rsidRPr="00B539A8">
        <w:rPr>
          <w:rFonts w:cs="Arial"/>
          <w:color w:val="000000"/>
        </w:rPr>
        <w:t xml:space="preserve">public sector transparency </w:t>
      </w:r>
      <w:r w:rsidR="009477E2">
        <w:rPr>
          <w:rFonts w:cs="Arial"/>
          <w:color w:val="000000"/>
        </w:rPr>
        <w:t>obligations</w:t>
      </w:r>
      <w:r w:rsidR="007D6D0E" w:rsidRPr="00B539A8">
        <w:rPr>
          <w:rFonts w:cs="Arial"/>
          <w:color w:val="000000"/>
        </w:rPr>
        <w:t xml:space="preserve"> and legal requirements</w:t>
      </w:r>
      <w:r w:rsidR="00BB1100">
        <w:rPr>
          <w:rFonts w:cs="Arial"/>
          <w:color w:val="000000"/>
        </w:rPr>
        <w:t>, including but not limited to, those outlined within PA 2023</w:t>
      </w:r>
      <w:r w:rsidR="005E4705">
        <w:rPr>
          <w:rFonts w:cs="Arial"/>
          <w:color w:val="000000"/>
        </w:rPr>
        <w:t>.</w:t>
      </w:r>
    </w:p>
    <w:p w14:paraId="00D8096B" w14:textId="7ACE23D5" w:rsidR="00851DD0" w:rsidRPr="00CE3F66" w:rsidRDefault="00433587" w:rsidP="0085565B">
      <w:pPr>
        <w:pStyle w:val="ListParagraph"/>
        <w:numPr>
          <w:ilvl w:val="1"/>
          <w:numId w:val="9"/>
        </w:numPr>
        <w:jc w:val="both"/>
        <w:rPr>
          <w:rFonts w:cs="Arial"/>
          <w:color w:val="000000"/>
        </w:rPr>
      </w:pPr>
      <w:r>
        <w:t>Tenderer</w:t>
      </w:r>
      <w:r w:rsidR="00851DD0">
        <w:t xml:space="preserve">s must read the </w:t>
      </w:r>
      <w:hyperlink r:id="rId15" w:history="1">
        <w:r w:rsidR="00851DD0" w:rsidRPr="0029442D">
          <w:rPr>
            <w:rStyle w:val="Hyperlink"/>
          </w:rPr>
          <w:t>Government Security Classifications Policy</w:t>
        </w:r>
      </w:hyperlink>
      <w:r w:rsidR="00851DD0" w:rsidRPr="0029442D">
        <w:t xml:space="preserve"> (GSCP) and follow the minimum baseline security requirements for OFFICIAL, OFFICIAL information marked OFFICIAL-SENSITIVE, SECRET or TOP SECRET outlined in the GSCP and </w:t>
      </w:r>
      <w:r w:rsidR="00851DD0">
        <w:t xml:space="preserve">within </w:t>
      </w:r>
      <w:r w:rsidR="00851DD0" w:rsidRPr="0029442D">
        <w:t xml:space="preserve">the security requirements </w:t>
      </w:r>
      <w:r w:rsidR="00851DD0">
        <w:t>s</w:t>
      </w:r>
      <w:r w:rsidR="00851DD0" w:rsidRPr="0029442D">
        <w:t xml:space="preserve">et out </w:t>
      </w:r>
      <w:r w:rsidR="00851DD0">
        <w:t>by HMRC</w:t>
      </w:r>
      <w:r w:rsidR="00851DD0" w:rsidRPr="0029442D">
        <w:t>.</w:t>
      </w:r>
      <w:r w:rsidR="00851DD0" w:rsidRPr="00CB0BA0">
        <w:t xml:space="preserve"> </w:t>
      </w:r>
      <w:r>
        <w:t>Tenderer</w:t>
      </w:r>
      <w:r w:rsidR="00851DD0">
        <w:t xml:space="preserve">s will handle and protect HMRC classified information entrusted to them, or produced by them under contract, in accordance with the GSCP. Unless HMRC stipulates more stringent requirements, the provisions of the GSCP are considered the baseline that all </w:t>
      </w:r>
      <w:r w:rsidR="0000586C">
        <w:t>suppliers</w:t>
      </w:r>
      <w:r w:rsidR="00851DD0">
        <w:t xml:space="preserve"> </w:t>
      </w:r>
      <w:r w:rsidR="0000586C">
        <w:t>must</w:t>
      </w:r>
      <w:r w:rsidR="00851DD0">
        <w:t xml:space="preserve"> meet.</w:t>
      </w:r>
    </w:p>
    <w:p w14:paraId="5456DBE4" w14:textId="35E1ECC0" w:rsidR="00C009A8" w:rsidRPr="002473C2" w:rsidRDefault="00157ADE" w:rsidP="0085565B">
      <w:pPr>
        <w:pStyle w:val="Head2"/>
        <w:numPr>
          <w:ilvl w:val="0"/>
          <w:numId w:val="9"/>
        </w:numPr>
        <w:spacing w:before="240"/>
        <w:jc w:val="both"/>
        <w:rPr>
          <w:bCs/>
          <w:szCs w:val="28"/>
        </w:rPr>
      </w:pPr>
      <w:bookmarkStart w:id="106" w:name="_Toc201679646"/>
      <w:r w:rsidRPr="00CE3F66">
        <w:rPr>
          <w:b/>
          <w:bCs/>
          <w:color w:val="009999"/>
          <w:sz w:val="28"/>
          <w:szCs w:val="28"/>
        </w:rPr>
        <w:t>FREEDOM OF INFORMATION ACT</w:t>
      </w:r>
      <w:r w:rsidR="00EA06CA" w:rsidRPr="00CE3F66">
        <w:rPr>
          <w:b/>
          <w:bCs/>
          <w:color w:val="009999"/>
          <w:sz w:val="28"/>
          <w:szCs w:val="28"/>
        </w:rPr>
        <w:t xml:space="preserve"> AND ENVIRONMENTAL INFORMATION REGULATIONS</w:t>
      </w:r>
      <w:bookmarkEnd w:id="106"/>
    </w:p>
    <w:p w14:paraId="6ED8DC21" w14:textId="1ABE6F2A" w:rsidR="00E92C3D" w:rsidRPr="00CE3F66" w:rsidRDefault="00F360F2" w:rsidP="0085565B">
      <w:pPr>
        <w:pStyle w:val="ListParagraph"/>
        <w:numPr>
          <w:ilvl w:val="1"/>
          <w:numId w:val="9"/>
        </w:numPr>
        <w:contextualSpacing w:val="0"/>
        <w:jc w:val="both"/>
        <w:rPr>
          <w:rFonts w:cs="Arial"/>
          <w:color w:val="000000"/>
        </w:rPr>
      </w:pPr>
      <w:r w:rsidRPr="00CE3F66">
        <w:rPr>
          <w:rFonts w:cs="Arial"/>
          <w:color w:val="000000"/>
        </w:rPr>
        <w:t xml:space="preserve">As a public body, </w:t>
      </w:r>
      <w:r w:rsidR="00C009A8" w:rsidRPr="00CE3F66">
        <w:rPr>
          <w:rFonts w:cs="Arial"/>
          <w:color w:val="000000"/>
        </w:rPr>
        <w:t xml:space="preserve">HMRC </w:t>
      </w:r>
      <w:r w:rsidR="00A02743">
        <w:rPr>
          <w:rFonts w:cs="Arial"/>
          <w:color w:val="000000"/>
        </w:rPr>
        <w:t>must</w:t>
      </w:r>
      <w:r w:rsidR="006F6621">
        <w:rPr>
          <w:rFonts w:cs="Arial"/>
          <w:color w:val="000000"/>
        </w:rPr>
        <w:t xml:space="preserve"> </w:t>
      </w:r>
      <w:r w:rsidR="00C009A8" w:rsidRPr="00CE3F66">
        <w:rPr>
          <w:rFonts w:cs="Arial"/>
          <w:color w:val="000000"/>
        </w:rPr>
        <w:t>meet its responsibilities under the Freedom of Information Act 2000 (</w:t>
      </w:r>
      <w:r w:rsidR="006361EC">
        <w:rPr>
          <w:rFonts w:cs="Arial"/>
          <w:color w:val="000000"/>
        </w:rPr>
        <w:t>“</w:t>
      </w:r>
      <w:r w:rsidR="00C009A8" w:rsidRPr="00CE3F66">
        <w:rPr>
          <w:rFonts w:cs="Arial"/>
          <w:color w:val="000000"/>
        </w:rPr>
        <w:t>FOIA</w:t>
      </w:r>
      <w:r w:rsidR="006361EC">
        <w:rPr>
          <w:rFonts w:cs="Arial"/>
          <w:color w:val="000000"/>
        </w:rPr>
        <w:t>”</w:t>
      </w:r>
      <w:r w:rsidR="00C009A8" w:rsidRPr="00CE3F66">
        <w:rPr>
          <w:rFonts w:cs="Arial"/>
          <w:color w:val="000000"/>
        </w:rPr>
        <w:t>)</w:t>
      </w:r>
      <w:r w:rsidR="00AD32E8" w:rsidRPr="00CE3F66">
        <w:rPr>
          <w:rFonts w:cs="Arial"/>
          <w:color w:val="000000"/>
        </w:rPr>
        <w:t xml:space="preserve"> and the</w:t>
      </w:r>
      <w:r w:rsidR="005727BA" w:rsidRPr="00CE3F66">
        <w:rPr>
          <w:rFonts w:cs="Arial"/>
          <w:color w:val="000000"/>
        </w:rPr>
        <w:t xml:space="preserve"> Environmental Information Regulations 2004 (</w:t>
      </w:r>
      <w:r w:rsidR="006361EC">
        <w:rPr>
          <w:rFonts w:cs="Arial"/>
          <w:color w:val="000000"/>
        </w:rPr>
        <w:t>“</w:t>
      </w:r>
      <w:r w:rsidR="005727BA" w:rsidRPr="00CE3F66">
        <w:rPr>
          <w:rFonts w:cs="Arial"/>
          <w:color w:val="000000"/>
        </w:rPr>
        <w:t>EIR</w:t>
      </w:r>
      <w:r w:rsidR="006361EC">
        <w:rPr>
          <w:rFonts w:cs="Arial"/>
          <w:color w:val="000000"/>
        </w:rPr>
        <w:t>”</w:t>
      </w:r>
      <w:r w:rsidR="005727BA" w:rsidRPr="00CE3F66">
        <w:rPr>
          <w:rFonts w:cs="Arial"/>
          <w:color w:val="000000"/>
        </w:rPr>
        <w:t>)</w:t>
      </w:r>
      <w:r w:rsidR="00E92C3D" w:rsidRPr="00CE3F66">
        <w:rPr>
          <w:rFonts w:cs="Arial"/>
          <w:color w:val="000000"/>
        </w:rPr>
        <w:t xml:space="preserve"> in respect of information </w:t>
      </w:r>
      <w:r w:rsidR="002803C9">
        <w:rPr>
          <w:rFonts w:cs="Arial"/>
          <w:color w:val="000000"/>
        </w:rPr>
        <w:t>that we</w:t>
      </w:r>
      <w:r w:rsidR="00E92C3D" w:rsidRPr="00CE3F66">
        <w:rPr>
          <w:rFonts w:cs="Arial"/>
          <w:color w:val="000000"/>
        </w:rPr>
        <w:t xml:space="preserve"> hold (including third party information)</w:t>
      </w:r>
      <w:r w:rsidR="00C009A8" w:rsidRPr="00CE3F66">
        <w:rPr>
          <w:rFonts w:cs="Arial"/>
          <w:color w:val="000000"/>
        </w:rPr>
        <w:t>.</w:t>
      </w:r>
    </w:p>
    <w:p w14:paraId="3474449E" w14:textId="4902B40B" w:rsidR="00C009A8" w:rsidRPr="00CE3F66" w:rsidRDefault="00C009A8" w:rsidP="0085565B">
      <w:pPr>
        <w:pStyle w:val="ListParagraph"/>
        <w:numPr>
          <w:ilvl w:val="1"/>
          <w:numId w:val="9"/>
        </w:numPr>
        <w:contextualSpacing w:val="0"/>
        <w:jc w:val="both"/>
        <w:rPr>
          <w:rFonts w:cs="Arial"/>
          <w:color w:val="000000"/>
        </w:rPr>
      </w:pPr>
      <w:r w:rsidRPr="00CE3F66">
        <w:rPr>
          <w:rFonts w:cs="Arial"/>
          <w:color w:val="000000"/>
        </w:rPr>
        <w:t xml:space="preserve">Consequently, information submitted to HMRC </w:t>
      </w:r>
      <w:r w:rsidR="0091273B" w:rsidRPr="00CE3F66">
        <w:rPr>
          <w:rFonts w:cs="Arial"/>
          <w:color w:val="000000"/>
        </w:rPr>
        <w:t xml:space="preserve">in connection with this procurement </w:t>
      </w:r>
      <w:r w:rsidRPr="00CE3F66">
        <w:rPr>
          <w:rFonts w:cs="Arial"/>
          <w:color w:val="000000"/>
        </w:rPr>
        <w:t xml:space="preserve">may be </w:t>
      </w:r>
      <w:r w:rsidR="00C95219">
        <w:rPr>
          <w:rFonts w:cs="Arial"/>
          <w:color w:val="000000"/>
        </w:rPr>
        <w:t>disclosed</w:t>
      </w:r>
      <w:r w:rsidRPr="00CE3F66">
        <w:rPr>
          <w:rFonts w:cs="Arial"/>
          <w:color w:val="000000"/>
        </w:rPr>
        <w:t xml:space="preserve"> to a third party in response to a </w:t>
      </w:r>
      <w:r w:rsidR="00D508B0" w:rsidRPr="00CE3F66">
        <w:rPr>
          <w:rFonts w:cs="Arial"/>
          <w:color w:val="000000"/>
        </w:rPr>
        <w:t>request for information under the FOIA or EIR</w:t>
      </w:r>
      <w:r w:rsidRPr="00CE3F66">
        <w:rPr>
          <w:rFonts w:cs="Arial"/>
          <w:color w:val="000000"/>
        </w:rPr>
        <w:t>.</w:t>
      </w:r>
    </w:p>
    <w:p w14:paraId="6B794414" w14:textId="39770B3D" w:rsidR="00C009A8" w:rsidRDefault="00C009A8" w:rsidP="0085565B">
      <w:pPr>
        <w:pStyle w:val="ListParagraph"/>
        <w:numPr>
          <w:ilvl w:val="1"/>
          <w:numId w:val="9"/>
        </w:numPr>
        <w:contextualSpacing w:val="0"/>
        <w:jc w:val="both"/>
        <w:rPr>
          <w:rFonts w:cs="Arial"/>
        </w:rPr>
      </w:pPr>
      <w:r>
        <w:rPr>
          <w:rFonts w:cs="Arial"/>
        </w:rPr>
        <w:t>By participating in t</w:t>
      </w:r>
      <w:r w:rsidR="00E9516B">
        <w:rPr>
          <w:rFonts w:cs="Arial"/>
        </w:rPr>
        <w:t>his procurement exercise</w:t>
      </w:r>
      <w:r w:rsidRPr="0027008D">
        <w:rPr>
          <w:rFonts w:cs="Arial"/>
        </w:rPr>
        <w:t xml:space="preserve">, </w:t>
      </w:r>
      <w:r w:rsidR="00433587">
        <w:rPr>
          <w:rFonts w:cs="Arial"/>
        </w:rPr>
        <w:t>Tenderer</w:t>
      </w:r>
      <w:r w:rsidR="002535E7">
        <w:rPr>
          <w:rFonts w:cs="Arial"/>
        </w:rPr>
        <w:t>s</w:t>
      </w:r>
      <w:r w:rsidR="002535E7" w:rsidRPr="0027008D">
        <w:rPr>
          <w:rFonts w:cs="Arial"/>
        </w:rPr>
        <w:t xml:space="preserve"> </w:t>
      </w:r>
      <w:r>
        <w:rPr>
          <w:rFonts w:cs="Arial"/>
        </w:rPr>
        <w:t>are deemed to understand</w:t>
      </w:r>
      <w:r w:rsidRPr="0027008D">
        <w:rPr>
          <w:rFonts w:cs="Arial"/>
        </w:rPr>
        <w:t xml:space="preserve"> </w:t>
      </w:r>
      <w:r>
        <w:rPr>
          <w:rFonts w:cs="Arial"/>
        </w:rPr>
        <w:t xml:space="preserve">and accept </w:t>
      </w:r>
      <w:r w:rsidRPr="0027008D">
        <w:rPr>
          <w:rFonts w:cs="Arial"/>
        </w:rPr>
        <w:t>that the</w:t>
      </w:r>
      <w:r>
        <w:rPr>
          <w:rFonts w:cs="Arial"/>
        </w:rPr>
        <w:t xml:space="preserve"> </w:t>
      </w:r>
      <w:r w:rsidRPr="00CE3F66">
        <w:rPr>
          <w:rFonts w:cs="Arial"/>
          <w:color w:val="000000" w:themeColor="text1"/>
        </w:rPr>
        <w:t>decision</w:t>
      </w:r>
      <w:r w:rsidRPr="0027008D">
        <w:rPr>
          <w:rFonts w:cs="Arial"/>
        </w:rPr>
        <w:t xml:space="preserve"> to disclose information</w:t>
      </w:r>
      <w:r>
        <w:rPr>
          <w:rFonts w:cs="Arial"/>
        </w:rPr>
        <w:t>,</w:t>
      </w:r>
      <w:r w:rsidRPr="0027008D">
        <w:rPr>
          <w:rFonts w:cs="Arial"/>
        </w:rPr>
        <w:t xml:space="preserve"> and the application of any exemptions under</w:t>
      </w:r>
      <w:r>
        <w:rPr>
          <w:rFonts w:cs="Arial"/>
        </w:rPr>
        <w:t xml:space="preserve"> the FOIA</w:t>
      </w:r>
      <w:r w:rsidR="00362456">
        <w:rPr>
          <w:rFonts w:cs="Arial"/>
        </w:rPr>
        <w:t xml:space="preserve"> or EIR</w:t>
      </w:r>
      <w:r>
        <w:rPr>
          <w:rFonts w:cs="Arial"/>
        </w:rPr>
        <w:t xml:space="preserve">, will be at HMRC’s sole discretion. HMRC </w:t>
      </w:r>
      <w:r w:rsidRPr="0027008D">
        <w:rPr>
          <w:rFonts w:cs="Arial"/>
        </w:rPr>
        <w:t>will, however,</w:t>
      </w:r>
      <w:r>
        <w:rPr>
          <w:rFonts w:cs="Arial"/>
        </w:rPr>
        <w:t xml:space="preserve"> </w:t>
      </w:r>
      <w:r w:rsidRPr="0027008D">
        <w:rPr>
          <w:rFonts w:cs="Arial"/>
        </w:rPr>
        <w:t xml:space="preserve">act reasonably and proportionately in exercising </w:t>
      </w:r>
      <w:r w:rsidR="00E13EEC">
        <w:rPr>
          <w:rFonts w:cs="Arial"/>
        </w:rPr>
        <w:t>this</w:t>
      </w:r>
      <w:r w:rsidR="00E13EEC" w:rsidRPr="0027008D">
        <w:rPr>
          <w:rFonts w:cs="Arial"/>
        </w:rPr>
        <w:t xml:space="preserve"> </w:t>
      </w:r>
      <w:r w:rsidR="008D57D3">
        <w:rPr>
          <w:rFonts w:cs="Arial"/>
        </w:rPr>
        <w:t>discretion</w:t>
      </w:r>
      <w:r w:rsidRPr="0027008D">
        <w:rPr>
          <w:rFonts w:cs="Arial"/>
        </w:rPr>
        <w:t>.</w:t>
      </w:r>
    </w:p>
    <w:p w14:paraId="26359593" w14:textId="3CAAD747" w:rsidR="00C009A8" w:rsidRPr="004D44FE" w:rsidRDefault="00D437CA" w:rsidP="0085565B">
      <w:pPr>
        <w:pStyle w:val="ListParagraph"/>
        <w:numPr>
          <w:ilvl w:val="1"/>
          <w:numId w:val="9"/>
        </w:numPr>
        <w:contextualSpacing w:val="0"/>
        <w:jc w:val="both"/>
        <w:rPr>
          <w:rFonts w:cs="Arial"/>
        </w:rPr>
      </w:pPr>
      <w:r>
        <w:rPr>
          <w:rFonts w:cs="Arial"/>
        </w:rPr>
        <w:t xml:space="preserve">As a </w:t>
      </w:r>
      <w:r w:rsidR="00433587">
        <w:rPr>
          <w:rFonts w:cs="Arial"/>
        </w:rPr>
        <w:t>Tenderer</w:t>
      </w:r>
      <w:r>
        <w:rPr>
          <w:rFonts w:cs="Arial"/>
        </w:rPr>
        <w:t xml:space="preserve">, </w:t>
      </w:r>
      <w:r w:rsidR="005A46B4">
        <w:rPr>
          <w:rFonts w:cs="Arial"/>
        </w:rPr>
        <w:t xml:space="preserve">if you </w:t>
      </w:r>
      <w:r w:rsidR="00C009A8" w:rsidRPr="007C0D3B">
        <w:rPr>
          <w:rFonts w:cs="Arial"/>
        </w:rPr>
        <w:t xml:space="preserve">consider any of the information </w:t>
      </w:r>
      <w:r w:rsidR="00167CB6">
        <w:rPr>
          <w:rFonts w:cs="Arial"/>
        </w:rPr>
        <w:t xml:space="preserve">you </w:t>
      </w:r>
      <w:r w:rsidR="00C009A8">
        <w:rPr>
          <w:rFonts w:cs="Arial"/>
        </w:rPr>
        <w:t>have submitted</w:t>
      </w:r>
      <w:r w:rsidR="00C009A8" w:rsidRPr="007C0D3B">
        <w:rPr>
          <w:rFonts w:cs="Arial"/>
        </w:rPr>
        <w:t xml:space="preserve"> </w:t>
      </w:r>
      <w:r w:rsidR="00C009A8">
        <w:rPr>
          <w:rFonts w:cs="Arial"/>
        </w:rPr>
        <w:t>to be</w:t>
      </w:r>
      <w:r w:rsidR="00C009A8" w:rsidRPr="007C0D3B">
        <w:rPr>
          <w:rFonts w:cs="Arial"/>
        </w:rPr>
        <w:t xml:space="preserve"> commercially sensitive</w:t>
      </w:r>
      <w:r w:rsidR="003D3419">
        <w:rPr>
          <w:rFonts w:cs="Arial"/>
        </w:rPr>
        <w:t xml:space="preserve"> or confidential</w:t>
      </w:r>
      <w:r w:rsidR="00C009A8" w:rsidRPr="007C0D3B">
        <w:rPr>
          <w:rFonts w:cs="Arial"/>
        </w:rPr>
        <w:t>, then an explanation (in broad terms) o</w:t>
      </w:r>
      <w:r w:rsidR="00C009A8">
        <w:rPr>
          <w:rFonts w:cs="Arial"/>
        </w:rPr>
        <w:t>f</w:t>
      </w:r>
      <w:r w:rsidR="00C009A8" w:rsidRPr="007C0D3B">
        <w:rPr>
          <w:rFonts w:cs="Arial"/>
        </w:rPr>
        <w:t xml:space="preserve"> what harm may result from disclosure if a request is received</w:t>
      </w:r>
      <w:r w:rsidR="00C009A8">
        <w:rPr>
          <w:rFonts w:cs="Arial"/>
        </w:rPr>
        <w:t>,</w:t>
      </w:r>
      <w:r w:rsidR="00C009A8" w:rsidRPr="007C0D3B">
        <w:rPr>
          <w:rFonts w:cs="Arial"/>
        </w:rPr>
        <w:t xml:space="preserve"> and the </w:t>
      </w:r>
      <w:proofErr w:type="gramStart"/>
      <w:r w:rsidR="00C009A8" w:rsidRPr="007C0D3B">
        <w:rPr>
          <w:rFonts w:cs="Arial"/>
        </w:rPr>
        <w:t>time period</w:t>
      </w:r>
      <w:proofErr w:type="gramEnd"/>
      <w:r w:rsidR="00C009A8" w:rsidRPr="007C0D3B">
        <w:rPr>
          <w:rFonts w:cs="Arial"/>
        </w:rPr>
        <w:t xml:space="preserve"> applicable to that sensitivit</w:t>
      </w:r>
      <w:r w:rsidR="00C009A8">
        <w:rPr>
          <w:rFonts w:cs="Arial"/>
        </w:rPr>
        <w:t>y, should be included in the response</w:t>
      </w:r>
      <w:r w:rsidR="00C009A8" w:rsidRPr="007C0D3B">
        <w:rPr>
          <w:rFonts w:cs="Arial"/>
        </w:rPr>
        <w:t xml:space="preserve"> to</w:t>
      </w:r>
      <w:r w:rsidR="00C009A8">
        <w:rPr>
          <w:rFonts w:cs="Arial"/>
        </w:rPr>
        <w:t xml:space="preserve"> the relevant question</w:t>
      </w:r>
      <w:r w:rsidR="001D38F5">
        <w:rPr>
          <w:rFonts w:cs="Arial"/>
        </w:rPr>
        <w:t xml:space="preserve"> in the tender questionnaire</w:t>
      </w:r>
      <w:r w:rsidR="007D0477">
        <w:rPr>
          <w:rFonts w:cs="Arial"/>
        </w:rPr>
        <w:t>.</w:t>
      </w:r>
      <w:r w:rsidR="00EB431B" w:rsidRPr="00EB431B">
        <w:t xml:space="preserve"> </w:t>
      </w:r>
      <w:r w:rsidR="005458DB">
        <w:t xml:space="preserve">HMRC </w:t>
      </w:r>
      <w:r w:rsidR="00D77F12" w:rsidRPr="00D77F12">
        <w:t xml:space="preserve">will consider this as part of any </w:t>
      </w:r>
      <w:r w:rsidR="00D77F12" w:rsidRPr="004D44FE">
        <w:t>disclosure decision but t</w:t>
      </w:r>
      <w:r w:rsidR="00EB431B" w:rsidRPr="004D44FE">
        <w:rPr>
          <w:rFonts w:cs="Arial"/>
        </w:rPr>
        <w:t xml:space="preserve">he final decision as to whether information should be disclosed </w:t>
      </w:r>
      <w:r w:rsidR="000E5663" w:rsidRPr="004D44FE">
        <w:rPr>
          <w:rFonts w:cs="Arial"/>
        </w:rPr>
        <w:t>will</w:t>
      </w:r>
      <w:r w:rsidR="00EB431B" w:rsidRPr="004D44FE">
        <w:rPr>
          <w:rFonts w:cs="Arial"/>
        </w:rPr>
        <w:t xml:space="preserve"> be HMRC’s.</w:t>
      </w:r>
    </w:p>
    <w:p w14:paraId="70B7E7DD" w14:textId="18CFD3B1" w:rsidR="00C009A8" w:rsidRPr="004D44FE" w:rsidRDefault="00C009A8" w:rsidP="0085565B">
      <w:pPr>
        <w:pStyle w:val="ListParagraph"/>
        <w:numPr>
          <w:ilvl w:val="1"/>
          <w:numId w:val="9"/>
        </w:numPr>
        <w:contextualSpacing w:val="0"/>
        <w:jc w:val="both"/>
        <w:rPr>
          <w:rFonts w:cs="Arial"/>
        </w:rPr>
      </w:pPr>
      <w:r w:rsidRPr="004D44FE">
        <w:rPr>
          <w:rFonts w:cs="Arial"/>
        </w:rPr>
        <w:t>Further information about the FOIA</w:t>
      </w:r>
      <w:r w:rsidR="005458DB" w:rsidRPr="004D44FE">
        <w:rPr>
          <w:rFonts w:cs="Arial"/>
        </w:rPr>
        <w:t xml:space="preserve"> and EIR</w:t>
      </w:r>
      <w:r w:rsidRPr="004D44FE">
        <w:rPr>
          <w:rFonts w:cs="Arial"/>
        </w:rPr>
        <w:t xml:space="preserve"> is </w:t>
      </w:r>
      <w:r w:rsidR="005458DB" w:rsidRPr="004D44FE">
        <w:rPr>
          <w:rFonts w:cs="Arial"/>
        </w:rPr>
        <w:t xml:space="preserve">available </w:t>
      </w:r>
      <w:r w:rsidRPr="004D44FE">
        <w:rPr>
          <w:rFonts w:cs="Arial"/>
        </w:rPr>
        <w:t xml:space="preserve">on the </w:t>
      </w:r>
      <w:r w:rsidR="00785A80" w:rsidRPr="004D44FE">
        <w:rPr>
          <w:rFonts w:cs="Arial"/>
        </w:rPr>
        <w:t xml:space="preserve">Information Commissioner’s Office website </w:t>
      </w:r>
      <w:hyperlink r:id="rId16" w:history="1">
        <w:r w:rsidR="00345957" w:rsidRPr="004D44FE">
          <w:rPr>
            <w:rStyle w:val="Hyperlink"/>
            <w:rFonts w:cs="Arial"/>
          </w:rPr>
          <w:t>www.ico.org.uk</w:t>
        </w:r>
      </w:hyperlink>
      <w:r w:rsidR="00E822EE" w:rsidRPr="004D44FE" w:rsidDel="00E822EE">
        <w:rPr>
          <w:rFonts w:cs="Arial"/>
        </w:rPr>
        <w:t xml:space="preserve"> </w:t>
      </w:r>
    </w:p>
    <w:p w14:paraId="1781F17C" w14:textId="5F7FEAC9" w:rsidR="00C009A8" w:rsidRPr="00CE3F66" w:rsidRDefault="00433587" w:rsidP="0085565B">
      <w:pPr>
        <w:pStyle w:val="Head2"/>
        <w:numPr>
          <w:ilvl w:val="0"/>
          <w:numId w:val="9"/>
        </w:numPr>
        <w:spacing w:before="240"/>
        <w:jc w:val="both"/>
        <w:rPr>
          <w:bCs/>
          <w:sz w:val="28"/>
          <w:szCs w:val="28"/>
        </w:rPr>
      </w:pPr>
      <w:bookmarkStart w:id="107" w:name="_Toc201679647"/>
      <w:r>
        <w:rPr>
          <w:b/>
          <w:bCs/>
          <w:color w:val="009999"/>
          <w:sz w:val="28"/>
          <w:szCs w:val="28"/>
        </w:rPr>
        <w:t>TENDERER</w:t>
      </w:r>
      <w:r w:rsidR="007C5F37">
        <w:rPr>
          <w:b/>
          <w:bCs/>
          <w:color w:val="009999"/>
          <w:sz w:val="28"/>
          <w:szCs w:val="28"/>
        </w:rPr>
        <w:t xml:space="preserve"> CONDUCT AND CONFLICTS OF INTEREST</w:t>
      </w:r>
      <w:bookmarkEnd w:id="107"/>
    </w:p>
    <w:p w14:paraId="065C00C8" w14:textId="0CB083C4" w:rsidR="005E6B7D" w:rsidRDefault="005E6B7D" w:rsidP="0085565B">
      <w:pPr>
        <w:pStyle w:val="ListParagraph"/>
        <w:numPr>
          <w:ilvl w:val="1"/>
          <w:numId w:val="9"/>
        </w:numPr>
        <w:contextualSpacing w:val="0"/>
        <w:jc w:val="both"/>
        <w:rPr>
          <w:rFonts w:cs="Arial"/>
        </w:rPr>
      </w:pPr>
      <w:r w:rsidRPr="005E6B7D">
        <w:rPr>
          <w:rFonts w:cs="Arial"/>
        </w:rPr>
        <w:t xml:space="preserve">Any attempt by </w:t>
      </w:r>
      <w:r w:rsidR="00433587">
        <w:rPr>
          <w:rFonts w:cs="Arial"/>
        </w:rPr>
        <w:t>Tenderer</w:t>
      </w:r>
      <w:r w:rsidRPr="005E6B7D">
        <w:rPr>
          <w:rFonts w:cs="Arial"/>
        </w:rPr>
        <w:t>s or their advis</w:t>
      </w:r>
      <w:r w:rsidR="00512249">
        <w:rPr>
          <w:rFonts w:cs="Arial"/>
        </w:rPr>
        <w:t>o</w:t>
      </w:r>
      <w:r w:rsidRPr="005E6B7D">
        <w:rPr>
          <w:rFonts w:cs="Arial"/>
        </w:rPr>
        <w:t xml:space="preserve">rs to </w:t>
      </w:r>
      <w:r w:rsidR="0056436A">
        <w:rPr>
          <w:rFonts w:cs="Arial"/>
        </w:rPr>
        <w:t>inapp</w:t>
      </w:r>
      <w:r w:rsidR="00A77E67">
        <w:rPr>
          <w:rFonts w:cs="Arial"/>
        </w:rPr>
        <w:t xml:space="preserve">ropriately </w:t>
      </w:r>
      <w:r w:rsidRPr="005E6B7D">
        <w:rPr>
          <w:rFonts w:cs="Arial"/>
        </w:rPr>
        <w:t>influence the contract award process in any way</w:t>
      </w:r>
      <w:r w:rsidR="00F44A37">
        <w:rPr>
          <w:rFonts w:cs="Arial"/>
        </w:rPr>
        <w:t xml:space="preserve"> (</w:t>
      </w:r>
      <w:r w:rsidR="00437DB9">
        <w:rPr>
          <w:rFonts w:cs="Arial"/>
        </w:rPr>
        <w:t>including any of the below</w:t>
      </w:r>
      <w:r w:rsidR="00F44A37">
        <w:rPr>
          <w:rFonts w:cs="Arial"/>
        </w:rPr>
        <w:t>)</w:t>
      </w:r>
      <w:r w:rsidR="00457017">
        <w:rPr>
          <w:rFonts w:cs="Arial"/>
        </w:rPr>
        <w:t xml:space="preserve"> </w:t>
      </w:r>
      <w:r w:rsidR="00A513EA">
        <w:rPr>
          <w:rFonts w:cs="Arial"/>
        </w:rPr>
        <w:t xml:space="preserve">or </w:t>
      </w:r>
      <w:r w:rsidR="00457017">
        <w:rPr>
          <w:rFonts w:cs="Arial"/>
        </w:rPr>
        <w:t>any other improper conduct</w:t>
      </w:r>
      <w:r w:rsidRPr="005E6B7D">
        <w:rPr>
          <w:rFonts w:cs="Arial"/>
        </w:rPr>
        <w:t xml:space="preserve"> </w:t>
      </w:r>
      <w:r w:rsidR="008D779C" w:rsidRPr="005E6B7D">
        <w:rPr>
          <w:rFonts w:cs="Arial"/>
        </w:rPr>
        <w:t xml:space="preserve">by </w:t>
      </w:r>
      <w:r w:rsidR="00433587">
        <w:rPr>
          <w:rFonts w:cs="Arial"/>
        </w:rPr>
        <w:t>Tenderer</w:t>
      </w:r>
      <w:r w:rsidR="008D779C" w:rsidRPr="005E6B7D">
        <w:rPr>
          <w:rFonts w:cs="Arial"/>
        </w:rPr>
        <w:t>s or their advis</w:t>
      </w:r>
      <w:r w:rsidR="008D779C">
        <w:rPr>
          <w:rFonts w:cs="Arial"/>
        </w:rPr>
        <w:t>o</w:t>
      </w:r>
      <w:r w:rsidR="008D779C" w:rsidRPr="005E6B7D">
        <w:rPr>
          <w:rFonts w:cs="Arial"/>
        </w:rPr>
        <w:t xml:space="preserve">rs </w:t>
      </w:r>
      <w:r w:rsidRPr="005E6B7D">
        <w:rPr>
          <w:rFonts w:cs="Arial"/>
        </w:rPr>
        <w:t xml:space="preserve">may result in the </w:t>
      </w:r>
      <w:r w:rsidR="00433587">
        <w:rPr>
          <w:rFonts w:cs="Arial"/>
        </w:rPr>
        <w:t>Tenderer</w:t>
      </w:r>
      <w:r w:rsidRPr="005E6B7D">
        <w:rPr>
          <w:rFonts w:cs="Arial"/>
        </w:rPr>
        <w:t xml:space="preserve"> being disqualified.</w:t>
      </w:r>
    </w:p>
    <w:p w14:paraId="6F19EC73" w14:textId="11D17C6D" w:rsidR="00C009A8" w:rsidRPr="0095094C" w:rsidRDefault="00433587" w:rsidP="0085565B">
      <w:pPr>
        <w:pStyle w:val="ListParagraph"/>
        <w:numPr>
          <w:ilvl w:val="1"/>
          <w:numId w:val="9"/>
        </w:numPr>
        <w:contextualSpacing w:val="0"/>
        <w:jc w:val="both"/>
        <w:rPr>
          <w:rFonts w:cs="Arial"/>
        </w:rPr>
      </w:pPr>
      <w:r>
        <w:rPr>
          <w:rFonts w:cs="Arial"/>
        </w:rPr>
        <w:t>Tenderer</w:t>
      </w:r>
      <w:r w:rsidR="00C009A8" w:rsidRPr="0095094C">
        <w:rPr>
          <w:rFonts w:cs="Arial"/>
        </w:rPr>
        <w:t xml:space="preserve">s must not canvass any members of the Board of HMRC, any employee of HMRC or anyone acting on HMRC’s behalf with a view to obtaining more favourable consideration. </w:t>
      </w:r>
      <w:r>
        <w:rPr>
          <w:rFonts w:cs="Arial"/>
        </w:rPr>
        <w:t>Tenderer</w:t>
      </w:r>
      <w:r w:rsidR="0095094C" w:rsidRPr="0095094C">
        <w:rPr>
          <w:rFonts w:cs="Arial"/>
        </w:rPr>
        <w:t>s must also not attempt to obtain information from any of the employees</w:t>
      </w:r>
      <w:r w:rsidR="005B5637">
        <w:rPr>
          <w:rFonts w:cs="Arial"/>
        </w:rPr>
        <w:t>, staff</w:t>
      </w:r>
      <w:r w:rsidR="007321C0">
        <w:rPr>
          <w:rFonts w:cs="Arial"/>
        </w:rPr>
        <w:t xml:space="preserve">, </w:t>
      </w:r>
      <w:proofErr w:type="gramStart"/>
      <w:r w:rsidR="007321C0">
        <w:rPr>
          <w:rFonts w:cs="Arial"/>
        </w:rPr>
        <w:t>advis</w:t>
      </w:r>
      <w:r w:rsidR="006361EC">
        <w:rPr>
          <w:rFonts w:cs="Arial"/>
        </w:rPr>
        <w:t>e</w:t>
      </w:r>
      <w:r w:rsidR="007321C0">
        <w:rPr>
          <w:rFonts w:cs="Arial"/>
        </w:rPr>
        <w:t>rs</w:t>
      </w:r>
      <w:proofErr w:type="gramEnd"/>
      <w:r w:rsidR="0095094C" w:rsidRPr="0095094C">
        <w:rPr>
          <w:rFonts w:cs="Arial"/>
        </w:rPr>
        <w:t xml:space="preserve"> or agents of </w:t>
      </w:r>
      <w:r w:rsidR="005B5637">
        <w:rPr>
          <w:rFonts w:cs="Arial"/>
        </w:rPr>
        <w:t xml:space="preserve">HMRC </w:t>
      </w:r>
      <w:r w:rsidR="0095094C" w:rsidRPr="0095094C">
        <w:rPr>
          <w:rFonts w:cs="Arial"/>
        </w:rPr>
        <w:t xml:space="preserve">concerning another </w:t>
      </w:r>
      <w:r>
        <w:rPr>
          <w:rFonts w:cs="Arial"/>
        </w:rPr>
        <w:t>Tenderer</w:t>
      </w:r>
      <w:r w:rsidR="0095094C" w:rsidRPr="0095094C">
        <w:rPr>
          <w:rFonts w:cs="Arial"/>
        </w:rPr>
        <w:t xml:space="preserve"> or </w:t>
      </w:r>
      <w:r w:rsidR="006B4B92">
        <w:rPr>
          <w:rFonts w:cs="Arial"/>
        </w:rPr>
        <w:t>t</w:t>
      </w:r>
      <w:r w:rsidR="0095094C" w:rsidRPr="0095094C">
        <w:rPr>
          <w:rFonts w:cs="Arial"/>
        </w:rPr>
        <w:t xml:space="preserve">ender. </w:t>
      </w:r>
    </w:p>
    <w:p w14:paraId="6265036E" w14:textId="3A46B5B5" w:rsidR="00C009A8" w:rsidRDefault="00C009A8" w:rsidP="0085565B">
      <w:pPr>
        <w:pStyle w:val="ListParagraph"/>
        <w:numPr>
          <w:ilvl w:val="1"/>
          <w:numId w:val="9"/>
        </w:numPr>
        <w:contextualSpacing w:val="0"/>
        <w:jc w:val="both"/>
        <w:rPr>
          <w:rFonts w:cs="Arial"/>
        </w:rPr>
      </w:pPr>
      <w:r w:rsidRPr="00D84117">
        <w:rPr>
          <w:rFonts w:cs="Arial"/>
        </w:rPr>
        <w:t>Offering an inducement in relation to a public contract may constitute a criminal offence</w:t>
      </w:r>
      <w:r w:rsidR="00E82139">
        <w:rPr>
          <w:rFonts w:cs="Arial"/>
        </w:rPr>
        <w:t>. A</w:t>
      </w:r>
      <w:r w:rsidRPr="00D84117">
        <w:rPr>
          <w:rFonts w:cs="Arial"/>
        </w:rPr>
        <w:t xml:space="preserve">ny </w:t>
      </w:r>
      <w:r w:rsidR="00433587">
        <w:rPr>
          <w:rFonts w:cs="Arial"/>
        </w:rPr>
        <w:t>Tenderer</w:t>
      </w:r>
      <w:r w:rsidR="00AE1F9C" w:rsidRPr="00D84117">
        <w:rPr>
          <w:rFonts w:cs="Arial"/>
        </w:rPr>
        <w:t xml:space="preserve"> </w:t>
      </w:r>
      <w:r w:rsidRPr="00D84117">
        <w:rPr>
          <w:rFonts w:cs="Arial"/>
        </w:rPr>
        <w:t>found offering an inducement</w:t>
      </w:r>
      <w:r w:rsidR="005521C7">
        <w:rPr>
          <w:rFonts w:cs="Arial"/>
        </w:rPr>
        <w:t xml:space="preserve">, </w:t>
      </w:r>
      <w:proofErr w:type="gramStart"/>
      <w:r w:rsidR="001C12A8">
        <w:rPr>
          <w:rFonts w:cs="Arial"/>
        </w:rPr>
        <w:t>fee</w:t>
      </w:r>
      <w:proofErr w:type="gramEnd"/>
      <w:r w:rsidR="001C12A8">
        <w:rPr>
          <w:rFonts w:cs="Arial"/>
        </w:rPr>
        <w:t xml:space="preserve"> or reward</w:t>
      </w:r>
      <w:r w:rsidRPr="00D84117">
        <w:rPr>
          <w:rFonts w:cs="Arial"/>
        </w:rPr>
        <w:t xml:space="preserve"> of any kind in relation to obtaining a contract with </w:t>
      </w:r>
      <w:r w:rsidR="00603026">
        <w:rPr>
          <w:rFonts w:cs="Arial"/>
        </w:rPr>
        <w:t>HMRC or</w:t>
      </w:r>
      <w:r w:rsidR="001008FE">
        <w:rPr>
          <w:rFonts w:cs="Arial"/>
        </w:rPr>
        <w:t xml:space="preserve"> doing anything </w:t>
      </w:r>
      <w:r w:rsidR="004C29C7">
        <w:rPr>
          <w:rFonts w:cs="Arial"/>
        </w:rPr>
        <w:t>els</w:t>
      </w:r>
      <w:r w:rsidR="003A2C3C">
        <w:rPr>
          <w:rFonts w:cs="Arial"/>
        </w:rPr>
        <w:t xml:space="preserve">e </w:t>
      </w:r>
      <w:r w:rsidR="00260734">
        <w:rPr>
          <w:rFonts w:cs="Arial"/>
        </w:rPr>
        <w:t xml:space="preserve">in </w:t>
      </w:r>
      <w:r w:rsidR="001008FE">
        <w:rPr>
          <w:rFonts w:cs="Arial"/>
        </w:rPr>
        <w:t>breach of the</w:t>
      </w:r>
      <w:r w:rsidR="001008FE" w:rsidRPr="00D84117">
        <w:rPr>
          <w:rFonts w:cs="Arial"/>
        </w:rPr>
        <w:t xml:space="preserve"> Bribery Act 2010, </w:t>
      </w:r>
      <w:r w:rsidRPr="00D84117">
        <w:rPr>
          <w:rFonts w:cs="Arial"/>
        </w:rPr>
        <w:t xml:space="preserve">will be disqualified from the </w:t>
      </w:r>
      <w:r w:rsidR="00E9765F">
        <w:rPr>
          <w:rFonts w:cs="Arial"/>
        </w:rPr>
        <w:t>procurement process</w:t>
      </w:r>
      <w:r w:rsidRPr="00C923C2">
        <w:rPr>
          <w:rFonts w:cs="Arial"/>
        </w:rPr>
        <w:t xml:space="preserve"> </w:t>
      </w:r>
      <w:r w:rsidRPr="00D84117">
        <w:rPr>
          <w:rFonts w:cs="Arial"/>
        </w:rPr>
        <w:t xml:space="preserve">and any </w:t>
      </w:r>
      <w:r w:rsidR="00E9765F">
        <w:rPr>
          <w:rFonts w:cs="Arial"/>
        </w:rPr>
        <w:t>t</w:t>
      </w:r>
      <w:r w:rsidRPr="00D84117">
        <w:rPr>
          <w:rFonts w:cs="Arial"/>
        </w:rPr>
        <w:t xml:space="preserve">ender already submitted by the </w:t>
      </w:r>
      <w:r w:rsidR="00433587">
        <w:rPr>
          <w:rFonts w:cs="Arial"/>
        </w:rPr>
        <w:t>Tenderer</w:t>
      </w:r>
      <w:r w:rsidR="00AE1F9C" w:rsidRPr="00D84117">
        <w:rPr>
          <w:rFonts w:cs="Arial"/>
        </w:rPr>
        <w:t xml:space="preserve"> </w:t>
      </w:r>
      <w:r w:rsidRPr="00D84117">
        <w:rPr>
          <w:rFonts w:cs="Arial"/>
        </w:rPr>
        <w:t xml:space="preserve">will </w:t>
      </w:r>
      <w:r w:rsidR="009562EF">
        <w:rPr>
          <w:rFonts w:cs="Arial"/>
        </w:rPr>
        <w:t>be rejected</w:t>
      </w:r>
      <w:r w:rsidRPr="00D84117">
        <w:rPr>
          <w:rFonts w:cs="Arial"/>
        </w:rPr>
        <w:t>.</w:t>
      </w:r>
    </w:p>
    <w:p w14:paraId="515323C5" w14:textId="365780CB" w:rsidR="003A2C3C" w:rsidRPr="003A2C3C" w:rsidRDefault="00433587" w:rsidP="0085565B">
      <w:pPr>
        <w:pStyle w:val="ListParagraph"/>
        <w:numPr>
          <w:ilvl w:val="1"/>
          <w:numId w:val="9"/>
        </w:numPr>
        <w:contextualSpacing w:val="0"/>
        <w:jc w:val="both"/>
        <w:rPr>
          <w:rFonts w:cs="Arial"/>
        </w:rPr>
      </w:pPr>
      <w:r>
        <w:rPr>
          <w:rFonts w:cs="Arial"/>
        </w:rPr>
        <w:t>Tenderer</w:t>
      </w:r>
      <w:r w:rsidR="003132CC">
        <w:rPr>
          <w:rFonts w:cs="Arial"/>
        </w:rPr>
        <w:t>s</w:t>
      </w:r>
      <w:r w:rsidR="003A2C3C" w:rsidRPr="003A2C3C">
        <w:rPr>
          <w:rFonts w:cs="Arial"/>
        </w:rPr>
        <w:t xml:space="preserve"> </w:t>
      </w:r>
      <w:r w:rsidR="00260734">
        <w:rPr>
          <w:rFonts w:cs="Arial"/>
        </w:rPr>
        <w:t>must</w:t>
      </w:r>
      <w:r w:rsidR="003A2C3C" w:rsidRPr="003A2C3C">
        <w:rPr>
          <w:rFonts w:cs="Arial"/>
        </w:rPr>
        <w:t xml:space="preserve"> not directly or indirectly at any time:</w:t>
      </w:r>
    </w:p>
    <w:p w14:paraId="4FA38C6E" w14:textId="77777777" w:rsidR="00182226" w:rsidRPr="003A2C3C" w:rsidRDefault="00182226" w:rsidP="0085565B">
      <w:pPr>
        <w:pStyle w:val="ListParagraph"/>
        <w:numPr>
          <w:ilvl w:val="2"/>
          <w:numId w:val="9"/>
        </w:numPr>
        <w:contextualSpacing w:val="0"/>
        <w:jc w:val="both"/>
        <w:rPr>
          <w:rFonts w:cs="Arial"/>
        </w:rPr>
      </w:pPr>
      <w:bookmarkStart w:id="108" w:name="_Ref92887559"/>
      <w:bookmarkStart w:id="109" w:name="_Ref92887525"/>
      <w:r>
        <w:rPr>
          <w:rFonts w:cs="Arial"/>
        </w:rPr>
        <w:t>de</w:t>
      </w:r>
      <w:r w:rsidRPr="003A2C3C">
        <w:rPr>
          <w:rFonts w:cs="Arial"/>
        </w:rPr>
        <w:t xml:space="preserve">vise or amend the content of </w:t>
      </w:r>
      <w:r>
        <w:rPr>
          <w:rFonts w:cs="Arial"/>
        </w:rPr>
        <w:t>their</w:t>
      </w:r>
      <w:r w:rsidRPr="003A2C3C">
        <w:rPr>
          <w:rFonts w:cs="Arial"/>
        </w:rPr>
        <w:t xml:space="preserve"> </w:t>
      </w:r>
      <w:r>
        <w:rPr>
          <w:rFonts w:cs="Arial"/>
        </w:rPr>
        <w:t>t</w:t>
      </w:r>
      <w:r w:rsidRPr="003A2C3C">
        <w:rPr>
          <w:rFonts w:cs="Arial"/>
        </w:rPr>
        <w:t xml:space="preserve">ender in accordance with any agreement or arrangement with any </w:t>
      </w:r>
      <w:r>
        <w:rPr>
          <w:rFonts w:cs="Arial"/>
        </w:rPr>
        <w:t>other person</w:t>
      </w:r>
      <w:r w:rsidRPr="003A2C3C">
        <w:rPr>
          <w:rFonts w:cs="Arial"/>
        </w:rPr>
        <w:t xml:space="preserve">, other than in good faith with a person who is a proposed partner, supplier, consortium member or provider of </w:t>
      </w:r>
      <w:proofErr w:type="gramStart"/>
      <w:r w:rsidRPr="003A2C3C">
        <w:rPr>
          <w:rFonts w:cs="Arial"/>
        </w:rPr>
        <w:t>finance</w:t>
      </w:r>
      <w:r>
        <w:rPr>
          <w:rFonts w:cs="Arial"/>
        </w:rPr>
        <w:t>;</w:t>
      </w:r>
      <w:bookmarkEnd w:id="108"/>
      <w:proofErr w:type="gramEnd"/>
    </w:p>
    <w:p w14:paraId="504F34B9" w14:textId="35056173" w:rsidR="00182226" w:rsidRDefault="00182226" w:rsidP="0085565B">
      <w:pPr>
        <w:pStyle w:val="ListParagraph"/>
        <w:numPr>
          <w:ilvl w:val="2"/>
          <w:numId w:val="9"/>
        </w:numPr>
        <w:contextualSpacing w:val="0"/>
        <w:jc w:val="both"/>
        <w:rPr>
          <w:rFonts w:cs="Arial"/>
        </w:rPr>
      </w:pPr>
      <w:bookmarkStart w:id="110" w:name="_Ref92887562"/>
      <w:r>
        <w:rPr>
          <w:rFonts w:cs="Arial"/>
        </w:rPr>
        <w:t>e</w:t>
      </w:r>
      <w:r w:rsidRPr="003A2C3C">
        <w:rPr>
          <w:rFonts w:cs="Arial"/>
        </w:rPr>
        <w:t xml:space="preserve">nter into any agreement or arrangement with any other person that has the effect of prohibiting or excluding that person from submitting a </w:t>
      </w:r>
      <w:proofErr w:type="gramStart"/>
      <w:r w:rsidR="002D3846">
        <w:rPr>
          <w:rFonts w:cs="Arial"/>
        </w:rPr>
        <w:t>t</w:t>
      </w:r>
      <w:r w:rsidRPr="003A2C3C">
        <w:rPr>
          <w:rFonts w:cs="Arial"/>
        </w:rPr>
        <w:t>ender</w:t>
      </w:r>
      <w:r>
        <w:rPr>
          <w:rFonts w:cs="Arial"/>
        </w:rPr>
        <w:t>;</w:t>
      </w:r>
      <w:bookmarkEnd w:id="110"/>
      <w:proofErr w:type="gramEnd"/>
    </w:p>
    <w:p w14:paraId="45730F4C" w14:textId="40E9F417" w:rsidR="00DD1EA8" w:rsidRPr="00B343CA" w:rsidRDefault="00DD1EA8" w:rsidP="0085565B">
      <w:pPr>
        <w:pStyle w:val="ListParagraph"/>
        <w:numPr>
          <w:ilvl w:val="2"/>
          <w:numId w:val="9"/>
        </w:numPr>
        <w:contextualSpacing w:val="0"/>
        <w:jc w:val="both"/>
        <w:rPr>
          <w:rFonts w:cs="Arial"/>
        </w:rPr>
      </w:pPr>
      <w:r w:rsidRPr="00DD1EA8">
        <w:rPr>
          <w:rFonts w:cs="Arial"/>
        </w:rPr>
        <w:t xml:space="preserve">fix or adjust the amount of </w:t>
      </w:r>
      <w:r w:rsidR="003132CC">
        <w:rPr>
          <w:rFonts w:cs="Arial"/>
        </w:rPr>
        <w:t>their</w:t>
      </w:r>
      <w:r w:rsidRPr="00DD1EA8">
        <w:rPr>
          <w:rFonts w:cs="Arial"/>
        </w:rPr>
        <w:t xml:space="preserve"> </w:t>
      </w:r>
      <w:r>
        <w:rPr>
          <w:rFonts w:cs="Arial"/>
        </w:rPr>
        <w:t>t</w:t>
      </w:r>
      <w:r w:rsidRPr="00DD1EA8">
        <w:rPr>
          <w:rFonts w:cs="Arial"/>
        </w:rPr>
        <w:t xml:space="preserve">ender by or in accordance with any </w:t>
      </w:r>
      <w:r w:rsidRPr="00B343CA">
        <w:rPr>
          <w:rFonts w:cs="Arial"/>
        </w:rPr>
        <w:t xml:space="preserve">agreement or arrangement with any other </w:t>
      </w:r>
      <w:r w:rsidR="00433587">
        <w:rPr>
          <w:rFonts w:cs="Arial"/>
        </w:rPr>
        <w:t>Tenderer</w:t>
      </w:r>
      <w:r w:rsidRPr="00B343CA">
        <w:rPr>
          <w:rFonts w:cs="Arial"/>
        </w:rPr>
        <w:t xml:space="preserve"> or consortium member of a </w:t>
      </w:r>
      <w:r w:rsidR="00433587">
        <w:rPr>
          <w:rFonts w:cs="Arial"/>
        </w:rPr>
        <w:t>Tenderer</w:t>
      </w:r>
      <w:r w:rsidRPr="00B343CA">
        <w:rPr>
          <w:rFonts w:cs="Arial"/>
        </w:rPr>
        <w:t xml:space="preserve"> (other than a member of its own consortium or supply chain</w:t>
      </w:r>
      <w:proofErr w:type="gramStart"/>
      <w:r w:rsidRPr="00B343CA">
        <w:rPr>
          <w:rFonts w:cs="Arial"/>
        </w:rPr>
        <w:t>);</w:t>
      </w:r>
      <w:bookmarkEnd w:id="109"/>
      <w:proofErr w:type="gramEnd"/>
    </w:p>
    <w:p w14:paraId="7A1F790F" w14:textId="3AB9C36E" w:rsidR="0030588A" w:rsidRPr="00CE3F66" w:rsidRDefault="0030588A" w:rsidP="0085565B">
      <w:pPr>
        <w:pStyle w:val="ListParagraph"/>
        <w:numPr>
          <w:ilvl w:val="2"/>
          <w:numId w:val="9"/>
        </w:numPr>
        <w:contextualSpacing w:val="0"/>
        <w:jc w:val="both"/>
        <w:rPr>
          <w:rFonts w:cs="Arial"/>
        </w:rPr>
      </w:pPr>
      <w:bookmarkStart w:id="111" w:name="_Ref92897825"/>
      <w:r w:rsidRPr="00B343CA">
        <w:rPr>
          <w:rFonts w:cs="Arial"/>
        </w:rPr>
        <w:t xml:space="preserve">enter into any agreement or arrangement with any other person as to the form or content of any other </w:t>
      </w:r>
      <w:r w:rsidR="00DC5874">
        <w:rPr>
          <w:rFonts w:cs="Arial"/>
        </w:rPr>
        <w:t>t</w:t>
      </w:r>
      <w:r w:rsidRPr="00B343CA">
        <w:rPr>
          <w:rFonts w:cs="Arial"/>
        </w:rPr>
        <w:t>ender</w:t>
      </w:r>
      <w:r w:rsidR="00325DD2" w:rsidRPr="00B343CA">
        <w:rPr>
          <w:rFonts w:cs="Arial"/>
        </w:rPr>
        <w:t xml:space="preserve"> or as to the amount of any tender to be submitted</w:t>
      </w:r>
      <w:r w:rsidRPr="00B343CA">
        <w:rPr>
          <w:rFonts w:cs="Arial"/>
        </w:rPr>
        <w:t>, or offer to pay any sum of money or valuable consideration to any person to effect changes to the form or content</w:t>
      </w:r>
      <w:r w:rsidR="00B343CA" w:rsidRPr="00B343CA">
        <w:rPr>
          <w:rFonts w:cs="Arial"/>
        </w:rPr>
        <w:t xml:space="preserve"> or amount</w:t>
      </w:r>
      <w:r w:rsidRPr="00B343CA">
        <w:rPr>
          <w:rFonts w:cs="Arial"/>
        </w:rPr>
        <w:t xml:space="preserve"> of any other </w:t>
      </w:r>
      <w:proofErr w:type="gramStart"/>
      <w:r w:rsidR="00051CC3" w:rsidRPr="00CE3F66">
        <w:rPr>
          <w:rFonts w:cs="Arial"/>
        </w:rPr>
        <w:t>t</w:t>
      </w:r>
      <w:r w:rsidRPr="00B343CA">
        <w:rPr>
          <w:rFonts w:cs="Arial"/>
        </w:rPr>
        <w:t>ender</w:t>
      </w:r>
      <w:r w:rsidR="00073C3E" w:rsidRPr="00CE3F66">
        <w:rPr>
          <w:rFonts w:cs="Arial"/>
        </w:rPr>
        <w:t>;</w:t>
      </w:r>
      <w:bookmarkEnd w:id="111"/>
      <w:proofErr w:type="gramEnd"/>
    </w:p>
    <w:p w14:paraId="60D5D16B" w14:textId="7D092279" w:rsidR="00657DBB" w:rsidRPr="00B343CA" w:rsidRDefault="00657DBB" w:rsidP="0085565B">
      <w:pPr>
        <w:pStyle w:val="ListParagraph"/>
        <w:numPr>
          <w:ilvl w:val="2"/>
          <w:numId w:val="9"/>
        </w:numPr>
        <w:contextualSpacing w:val="0"/>
        <w:jc w:val="both"/>
        <w:rPr>
          <w:rFonts w:cs="Arial"/>
        </w:rPr>
      </w:pPr>
      <w:r w:rsidRPr="00B343CA">
        <w:rPr>
          <w:rFonts w:cs="Arial"/>
        </w:rPr>
        <w:t xml:space="preserve">cause or induce any person to enter such agreement as is mentioned in </w:t>
      </w:r>
      <w:r>
        <w:rPr>
          <w:rFonts w:cs="Arial"/>
        </w:rPr>
        <w:t xml:space="preserve">any of </w:t>
      </w:r>
      <w:r w:rsidRPr="00B343CA">
        <w:rPr>
          <w:rFonts w:cs="Arial"/>
        </w:rPr>
        <w:t xml:space="preserve">paragraph </w:t>
      </w:r>
      <w:r w:rsidRPr="00B343CA">
        <w:rPr>
          <w:rFonts w:cs="Arial"/>
        </w:rPr>
        <w:fldChar w:fldCharType="begin"/>
      </w:r>
      <w:r w:rsidRPr="00B343CA">
        <w:rPr>
          <w:rFonts w:cs="Arial"/>
        </w:rPr>
        <w:instrText xml:space="preserve"> REF _Ref92887525 \n \h </w:instrText>
      </w:r>
      <w:r w:rsidRPr="00C20C78">
        <w:rPr>
          <w:rFonts w:cs="Arial"/>
        </w:rPr>
        <w:instrText xml:space="preserve"> \* MERGEFORMAT </w:instrText>
      </w:r>
      <w:r w:rsidRPr="00B343CA">
        <w:rPr>
          <w:rFonts w:cs="Arial"/>
        </w:rPr>
      </w:r>
      <w:r w:rsidRPr="00B343CA">
        <w:rPr>
          <w:rFonts w:cs="Arial"/>
        </w:rPr>
        <w:fldChar w:fldCharType="separate"/>
      </w:r>
      <w:r w:rsidR="00293109">
        <w:rPr>
          <w:rFonts w:cs="Arial"/>
        </w:rPr>
        <w:t>(a)</w:t>
      </w:r>
      <w:r w:rsidRPr="00B343CA">
        <w:rPr>
          <w:rFonts w:cs="Arial"/>
        </w:rPr>
        <w:fldChar w:fldCharType="end"/>
      </w:r>
      <w:r>
        <w:rPr>
          <w:rFonts w:cs="Arial"/>
        </w:rPr>
        <w:t xml:space="preserve"> to </w:t>
      </w:r>
      <w:r>
        <w:rPr>
          <w:rFonts w:cs="Arial"/>
        </w:rPr>
        <w:fldChar w:fldCharType="begin"/>
      </w:r>
      <w:r>
        <w:rPr>
          <w:rFonts w:cs="Arial"/>
        </w:rPr>
        <w:instrText xml:space="preserve"> REF _Ref92897825 \n \h </w:instrText>
      </w:r>
      <w:r w:rsidR="009D7A31">
        <w:rPr>
          <w:rFonts w:cs="Arial"/>
        </w:rPr>
        <w:instrText xml:space="preserve"> \* MERGEFORMAT </w:instrText>
      </w:r>
      <w:r>
        <w:rPr>
          <w:rFonts w:cs="Arial"/>
        </w:rPr>
      </w:r>
      <w:r>
        <w:rPr>
          <w:rFonts w:cs="Arial"/>
        </w:rPr>
        <w:fldChar w:fldCharType="separate"/>
      </w:r>
      <w:r w:rsidR="00293109">
        <w:rPr>
          <w:rFonts w:cs="Arial"/>
        </w:rPr>
        <w:t>(d)</w:t>
      </w:r>
      <w:r>
        <w:rPr>
          <w:rFonts w:cs="Arial"/>
        </w:rPr>
        <w:fldChar w:fldCharType="end"/>
      </w:r>
      <w:r>
        <w:rPr>
          <w:rFonts w:cs="Arial"/>
        </w:rPr>
        <w:t xml:space="preserve"> above </w:t>
      </w:r>
      <w:r w:rsidRPr="00B343CA">
        <w:rPr>
          <w:rFonts w:cs="Arial"/>
        </w:rPr>
        <w:t xml:space="preserve">or to inform the </w:t>
      </w:r>
      <w:r w:rsidR="00433587">
        <w:rPr>
          <w:rFonts w:cs="Arial"/>
        </w:rPr>
        <w:t>Tenderer</w:t>
      </w:r>
      <w:r w:rsidRPr="00B343CA">
        <w:rPr>
          <w:rFonts w:cs="Arial"/>
        </w:rPr>
        <w:t xml:space="preserve"> of the amount or approximate amount of any rival tender;</w:t>
      </w:r>
      <w:r w:rsidR="005857EB">
        <w:rPr>
          <w:rFonts w:cs="Arial"/>
        </w:rPr>
        <w:t xml:space="preserve"> or</w:t>
      </w:r>
    </w:p>
    <w:p w14:paraId="4E019710" w14:textId="42F08D2D" w:rsidR="00073C3E" w:rsidRPr="00B343CA" w:rsidRDefault="00073C3E" w:rsidP="0085565B">
      <w:pPr>
        <w:pStyle w:val="ListParagraph"/>
        <w:numPr>
          <w:ilvl w:val="2"/>
          <w:numId w:val="9"/>
        </w:numPr>
        <w:contextualSpacing w:val="0"/>
        <w:jc w:val="both"/>
        <w:rPr>
          <w:rFonts w:cs="Arial"/>
        </w:rPr>
      </w:pPr>
      <w:r w:rsidRPr="00B343CA">
        <w:rPr>
          <w:rFonts w:cs="Arial"/>
        </w:rPr>
        <w:t xml:space="preserve">communicate to any person other than HMRC the amount or approximate amount of its proposed </w:t>
      </w:r>
      <w:r w:rsidR="00F76545">
        <w:rPr>
          <w:rFonts w:cs="Arial"/>
        </w:rPr>
        <w:t>t</w:t>
      </w:r>
      <w:r w:rsidRPr="00B343CA">
        <w:rPr>
          <w:rFonts w:cs="Arial"/>
        </w:rPr>
        <w:t xml:space="preserve">ender (except where such disclosure is made in confidence </w:t>
      </w:r>
      <w:proofErr w:type="gramStart"/>
      <w:r w:rsidRPr="00B343CA">
        <w:rPr>
          <w:rFonts w:cs="Arial"/>
        </w:rPr>
        <w:t>in order to</w:t>
      </w:r>
      <w:proofErr w:type="gramEnd"/>
      <w:r w:rsidRPr="00B343CA">
        <w:rPr>
          <w:rFonts w:cs="Arial"/>
        </w:rPr>
        <w:t xml:space="preserve"> obtain quotations necessary for the preparation of a tender).</w:t>
      </w:r>
    </w:p>
    <w:p w14:paraId="6B606640" w14:textId="19445077" w:rsidR="00560284" w:rsidRPr="003C5D2A" w:rsidRDefault="00425ADC" w:rsidP="0085565B">
      <w:pPr>
        <w:pStyle w:val="ListParagraph"/>
        <w:numPr>
          <w:ilvl w:val="1"/>
          <w:numId w:val="9"/>
        </w:numPr>
        <w:contextualSpacing w:val="0"/>
        <w:jc w:val="both"/>
        <w:rPr>
          <w:rFonts w:cs="Arial"/>
        </w:rPr>
      </w:pPr>
      <w:r>
        <w:rPr>
          <w:rFonts w:cs="Arial"/>
        </w:rPr>
        <w:t>S</w:t>
      </w:r>
      <w:r w:rsidR="00864313" w:rsidRPr="0091798A">
        <w:rPr>
          <w:rFonts w:cs="Arial"/>
        </w:rPr>
        <w:t xml:space="preserve">uch conduct by a </w:t>
      </w:r>
      <w:r w:rsidR="00433587">
        <w:rPr>
          <w:rFonts w:cs="Arial"/>
        </w:rPr>
        <w:t>Tenderer</w:t>
      </w:r>
      <w:r w:rsidR="00864313" w:rsidRPr="0091798A">
        <w:rPr>
          <w:rFonts w:cs="Arial"/>
        </w:rPr>
        <w:t xml:space="preserve">, sub-contractor or consortium member may </w:t>
      </w:r>
      <w:r w:rsidR="0091798A" w:rsidRPr="00776E61">
        <w:rPr>
          <w:rFonts w:cs="Arial"/>
        </w:rPr>
        <w:t>also constitute a criminal offence and H</w:t>
      </w:r>
      <w:r w:rsidR="00833A94" w:rsidRPr="00776E61">
        <w:rPr>
          <w:rFonts w:cs="Arial"/>
        </w:rPr>
        <w:t>MRC may have other civil remedies available</w:t>
      </w:r>
      <w:r w:rsidR="003C5D2A">
        <w:rPr>
          <w:rFonts w:cs="Arial"/>
        </w:rPr>
        <w:t>, in addition to the</w:t>
      </w:r>
      <w:r w:rsidR="00776E61">
        <w:rPr>
          <w:rFonts w:cs="Arial"/>
        </w:rPr>
        <w:t xml:space="preserve"> right to disqualify un</w:t>
      </w:r>
      <w:r w:rsidR="003C5D2A">
        <w:rPr>
          <w:rFonts w:cs="Arial"/>
        </w:rPr>
        <w:t>der this</w:t>
      </w:r>
      <w:r w:rsidR="0091798A" w:rsidRPr="003C5D2A">
        <w:rPr>
          <w:rFonts w:cs="Arial"/>
        </w:rPr>
        <w:t xml:space="preserve"> paragraph </w:t>
      </w:r>
      <w:r w:rsidR="00560284" w:rsidRPr="003C5D2A">
        <w:rPr>
          <w:rFonts w:cs="Arial"/>
        </w:rPr>
        <w:t>7.</w:t>
      </w:r>
    </w:p>
    <w:p w14:paraId="03145C8E" w14:textId="32AFA6B8" w:rsidR="006506BC" w:rsidRDefault="00625533" w:rsidP="0085565B">
      <w:pPr>
        <w:pStyle w:val="ListParagraph"/>
        <w:numPr>
          <w:ilvl w:val="1"/>
          <w:numId w:val="9"/>
        </w:numPr>
        <w:contextualSpacing w:val="0"/>
        <w:jc w:val="both"/>
        <w:rPr>
          <w:rFonts w:cs="Arial"/>
        </w:rPr>
      </w:pPr>
      <w:r w:rsidRPr="001F3CD6">
        <w:rPr>
          <w:rFonts w:cs="Arial"/>
        </w:rPr>
        <w:t>HMRC requires that all actual or potential conflicts of interest are resolved to HMRC’s</w:t>
      </w:r>
      <w:r w:rsidR="00532244" w:rsidRPr="001F3CD6">
        <w:rPr>
          <w:rFonts w:cs="Arial"/>
        </w:rPr>
        <w:t xml:space="preserve"> satisfaction</w:t>
      </w:r>
      <w:r w:rsidRPr="001F3CD6">
        <w:rPr>
          <w:rFonts w:cs="Arial"/>
        </w:rPr>
        <w:t xml:space="preserve"> prior to the </w:t>
      </w:r>
      <w:r w:rsidR="009A0E47" w:rsidRPr="001F3CD6">
        <w:rPr>
          <w:rFonts w:cs="Arial"/>
        </w:rPr>
        <w:t xml:space="preserve">award of </w:t>
      </w:r>
      <w:r w:rsidR="00306222">
        <w:rPr>
          <w:rFonts w:cs="Arial"/>
        </w:rPr>
        <w:t xml:space="preserve">a </w:t>
      </w:r>
      <w:r w:rsidR="009A0E47" w:rsidRPr="001F3CD6">
        <w:rPr>
          <w:rFonts w:cs="Arial"/>
        </w:rPr>
        <w:t>contract</w:t>
      </w:r>
      <w:r w:rsidRPr="001F3CD6">
        <w:rPr>
          <w:rFonts w:cs="Arial"/>
        </w:rPr>
        <w:t xml:space="preserve">. </w:t>
      </w:r>
      <w:r w:rsidR="00433587">
        <w:rPr>
          <w:rFonts w:cs="Arial"/>
        </w:rPr>
        <w:t>Tenderer</w:t>
      </w:r>
      <w:r w:rsidRPr="001F3CD6">
        <w:rPr>
          <w:rFonts w:cs="Arial"/>
        </w:rPr>
        <w:t xml:space="preserve">s should inform HMRC of any actual or potential conflicts of interest (and how these will be dealt with) within </w:t>
      </w:r>
      <w:r w:rsidR="00306222">
        <w:rPr>
          <w:rFonts w:cs="Arial"/>
        </w:rPr>
        <w:t xml:space="preserve">its </w:t>
      </w:r>
      <w:r w:rsidRPr="001F3CD6">
        <w:rPr>
          <w:rFonts w:cs="Arial"/>
        </w:rPr>
        <w:t>tender</w:t>
      </w:r>
      <w:r w:rsidR="00306222">
        <w:rPr>
          <w:rFonts w:cs="Arial"/>
        </w:rPr>
        <w:t xml:space="preserve"> responses</w:t>
      </w:r>
      <w:r w:rsidRPr="001F3CD6">
        <w:rPr>
          <w:rFonts w:cs="Arial"/>
        </w:rPr>
        <w:t xml:space="preserve">. </w:t>
      </w:r>
      <w:proofErr w:type="gramStart"/>
      <w:r w:rsidRPr="001F3CD6">
        <w:rPr>
          <w:rFonts w:cs="Arial"/>
        </w:rPr>
        <w:t>In the event that</w:t>
      </w:r>
      <w:proofErr w:type="gramEnd"/>
      <w:r w:rsidRPr="001F3CD6">
        <w:rPr>
          <w:rFonts w:cs="Arial"/>
        </w:rPr>
        <w:t xml:space="preserve"> any actual or potential conflict of interest comes to a </w:t>
      </w:r>
      <w:r w:rsidR="00433587">
        <w:rPr>
          <w:rFonts w:cs="Arial"/>
        </w:rPr>
        <w:t>Tenderer</w:t>
      </w:r>
      <w:r w:rsidRPr="001F3CD6">
        <w:rPr>
          <w:rFonts w:cs="Arial"/>
        </w:rPr>
        <w:t xml:space="preserve">’s attention following the submission of its tender, the </w:t>
      </w:r>
      <w:r w:rsidR="00433587">
        <w:rPr>
          <w:rFonts w:cs="Arial"/>
        </w:rPr>
        <w:t>Tenderer</w:t>
      </w:r>
      <w:r w:rsidRPr="001F3CD6">
        <w:rPr>
          <w:rFonts w:cs="Arial"/>
        </w:rPr>
        <w:t xml:space="preserve"> </w:t>
      </w:r>
      <w:r w:rsidR="00542049" w:rsidRPr="001F3CD6">
        <w:rPr>
          <w:rFonts w:cs="Arial"/>
        </w:rPr>
        <w:t xml:space="preserve">must </w:t>
      </w:r>
      <w:r w:rsidRPr="001F3CD6">
        <w:rPr>
          <w:rFonts w:cs="Arial"/>
        </w:rPr>
        <w:t>notify HMRC immediately</w:t>
      </w:r>
      <w:r w:rsidR="00306222">
        <w:rPr>
          <w:rFonts w:cs="Arial"/>
        </w:rPr>
        <w:t xml:space="preserve"> in writing</w:t>
      </w:r>
      <w:r w:rsidRPr="001F3CD6">
        <w:rPr>
          <w:rFonts w:cs="Arial"/>
        </w:rPr>
        <w:t>.</w:t>
      </w:r>
      <w:r w:rsidR="007D2C24">
        <w:rPr>
          <w:rFonts w:cs="Arial"/>
        </w:rPr>
        <w:t xml:space="preserve"> </w:t>
      </w:r>
    </w:p>
    <w:p w14:paraId="15A4E92C" w14:textId="76739B8A" w:rsidR="00625533" w:rsidRDefault="00433587" w:rsidP="0085565B">
      <w:pPr>
        <w:pStyle w:val="ListParagraph"/>
        <w:numPr>
          <w:ilvl w:val="1"/>
          <w:numId w:val="9"/>
        </w:numPr>
        <w:contextualSpacing w:val="0"/>
        <w:jc w:val="both"/>
        <w:rPr>
          <w:rFonts w:cs="Arial"/>
        </w:rPr>
      </w:pPr>
      <w:r>
        <w:rPr>
          <w:rFonts w:cs="Arial"/>
        </w:rPr>
        <w:t>Tenderer</w:t>
      </w:r>
      <w:r w:rsidR="00605A5A">
        <w:rPr>
          <w:rFonts w:cs="Arial"/>
        </w:rPr>
        <w:t xml:space="preserve">s must notify HMRC if they </w:t>
      </w:r>
      <w:r w:rsidR="00306222">
        <w:rPr>
          <w:rFonts w:cs="Arial"/>
        </w:rPr>
        <w:t xml:space="preserve">or their sub-contractors </w:t>
      </w:r>
      <w:r w:rsidR="0001382A" w:rsidRPr="0001382A">
        <w:rPr>
          <w:rFonts w:cs="Arial"/>
        </w:rPr>
        <w:t>have or have had access to information which creates or may create a conflict of interest</w:t>
      </w:r>
      <w:r w:rsidR="00A5623F">
        <w:rPr>
          <w:rFonts w:cs="Arial"/>
        </w:rPr>
        <w:t>.</w:t>
      </w:r>
      <w:r w:rsidR="0001382A" w:rsidRPr="0001382A">
        <w:rPr>
          <w:rFonts w:cs="Arial"/>
        </w:rPr>
        <w:t xml:space="preserve"> </w:t>
      </w:r>
      <w:r w:rsidR="0061716C" w:rsidRPr="0061716C">
        <w:rPr>
          <w:rFonts w:cs="Arial"/>
        </w:rPr>
        <w:t xml:space="preserve">HMRC </w:t>
      </w:r>
      <w:r w:rsidR="0028220F">
        <w:rPr>
          <w:rFonts w:cs="Arial"/>
        </w:rPr>
        <w:t>will</w:t>
      </w:r>
      <w:r w:rsidR="0028220F" w:rsidRPr="0061716C">
        <w:rPr>
          <w:rFonts w:cs="Arial"/>
        </w:rPr>
        <w:t xml:space="preserve"> </w:t>
      </w:r>
      <w:r w:rsidR="005A5FEC">
        <w:rPr>
          <w:rFonts w:cs="Arial"/>
        </w:rPr>
        <w:t>require</w:t>
      </w:r>
      <w:r w:rsidR="005A5FEC" w:rsidRPr="0061716C">
        <w:rPr>
          <w:rFonts w:cs="Arial"/>
        </w:rPr>
        <w:t xml:space="preserve"> </w:t>
      </w:r>
      <w:r>
        <w:rPr>
          <w:rFonts w:cs="Arial"/>
        </w:rPr>
        <w:t>Tenderer</w:t>
      </w:r>
      <w:r w:rsidR="0061716C" w:rsidRPr="0061716C">
        <w:rPr>
          <w:rFonts w:cs="Arial"/>
        </w:rPr>
        <w:t>s</w:t>
      </w:r>
      <w:r w:rsidR="005D5665">
        <w:rPr>
          <w:rFonts w:cs="Arial"/>
        </w:rPr>
        <w:t xml:space="preserve"> and/or their sub-contractors</w:t>
      </w:r>
      <w:r w:rsidR="0061716C" w:rsidRPr="0061716C">
        <w:rPr>
          <w:rFonts w:cs="Arial"/>
        </w:rPr>
        <w:t xml:space="preserve"> </w:t>
      </w:r>
      <w:r w:rsidR="00306222">
        <w:rPr>
          <w:rFonts w:cs="Arial"/>
        </w:rPr>
        <w:t xml:space="preserve">(as appropriate) who have or have had access to such information </w:t>
      </w:r>
      <w:r w:rsidR="0061716C" w:rsidRPr="0061716C">
        <w:rPr>
          <w:rFonts w:cs="Arial"/>
        </w:rPr>
        <w:t xml:space="preserve">to </w:t>
      </w:r>
      <w:r w:rsidR="00306222">
        <w:rPr>
          <w:rFonts w:cs="Arial"/>
        </w:rPr>
        <w:t xml:space="preserve">enter into </w:t>
      </w:r>
      <w:r w:rsidR="0061716C" w:rsidRPr="0061716C">
        <w:rPr>
          <w:rFonts w:cs="Arial"/>
        </w:rPr>
        <w:t xml:space="preserve">an </w:t>
      </w:r>
      <w:r w:rsidR="00306222">
        <w:rPr>
          <w:rFonts w:cs="Arial"/>
        </w:rPr>
        <w:t>e</w:t>
      </w:r>
      <w:r w:rsidR="0061716C" w:rsidRPr="0061716C">
        <w:rPr>
          <w:rFonts w:cs="Arial"/>
        </w:rPr>
        <w:t xml:space="preserve">thical </w:t>
      </w:r>
      <w:r w:rsidR="00306222">
        <w:rPr>
          <w:rFonts w:cs="Arial"/>
        </w:rPr>
        <w:t>w</w:t>
      </w:r>
      <w:r w:rsidR="0061716C" w:rsidRPr="0061716C">
        <w:rPr>
          <w:rFonts w:cs="Arial"/>
        </w:rPr>
        <w:t xml:space="preserve">all </w:t>
      </w:r>
      <w:r w:rsidR="00306222">
        <w:rPr>
          <w:rFonts w:cs="Arial"/>
        </w:rPr>
        <w:t>a</w:t>
      </w:r>
      <w:r w:rsidR="0061716C" w:rsidRPr="0061716C">
        <w:rPr>
          <w:rFonts w:cs="Arial"/>
        </w:rPr>
        <w:t>greement (EWA) whe</w:t>
      </w:r>
      <w:r w:rsidR="006506BC">
        <w:rPr>
          <w:rFonts w:cs="Arial"/>
        </w:rPr>
        <w:t>re</w:t>
      </w:r>
      <w:r w:rsidR="0061716C" w:rsidRPr="0061716C">
        <w:rPr>
          <w:rFonts w:cs="Arial"/>
        </w:rPr>
        <w:t xml:space="preserve"> </w:t>
      </w:r>
      <w:r w:rsidR="00306222">
        <w:rPr>
          <w:rFonts w:cs="Arial"/>
        </w:rPr>
        <w:t xml:space="preserve">HMRC deems it </w:t>
      </w:r>
      <w:r w:rsidR="0061716C" w:rsidRPr="0061716C">
        <w:rPr>
          <w:rFonts w:cs="Arial"/>
        </w:rPr>
        <w:t xml:space="preserve">necessary </w:t>
      </w:r>
      <w:proofErr w:type="gramStart"/>
      <w:r w:rsidR="00306222">
        <w:rPr>
          <w:rFonts w:cs="Arial"/>
        </w:rPr>
        <w:t xml:space="preserve">in order </w:t>
      </w:r>
      <w:r w:rsidR="0061716C" w:rsidRPr="0061716C">
        <w:rPr>
          <w:rFonts w:cs="Arial"/>
        </w:rPr>
        <w:t>to</w:t>
      </w:r>
      <w:proofErr w:type="gramEnd"/>
      <w:r w:rsidR="0061716C" w:rsidRPr="0061716C">
        <w:rPr>
          <w:rFonts w:cs="Arial"/>
        </w:rPr>
        <w:t xml:space="preserve"> </w:t>
      </w:r>
      <w:r w:rsidR="0019514A">
        <w:rPr>
          <w:rFonts w:cs="Arial"/>
        </w:rPr>
        <w:t xml:space="preserve">help </w:t>
      </w:r>
      <w:r w:rsidR="0061716C" w:rsidRPr="0061716C">
        <w:rPr>
          <w:rFonts w:cs="Arial"/>
        </w:rPr>
        <w:t>address potential conflicts of interest.</w:t>
      </w:r>
      <w:r w:rsidR="000E7F25">
        <w:rPr>
          <w:rFonts w:cs="Arial"/>
        </w:rPr>
        <w:t xml:space="preserve"> </w:t>
      </w:r>
      <w:r w:rsidR="00530070">
        <w:rPr>
          <w:rFonts w:cs="Arial"/>
        </w:rPr>
        <w:t>Failure to</w:t>
      </w:r>
      <w:r w:rsidR="00255CBD">
        <w:rPr>
          <w:rFonts w:cs="Arial"/>
        </w:rPr>
        <w:t xml:space="preserve"> complete an EWA</w:t>
      </w:r>
      <w:r w:rsidR="00493041">
        <w:rPr>
          <w:rFonts w:cs="Arial"/>
        </w:rPr>
        <w:t xml:space="preserve">, when it has been </w:t>
      </w:r>
      <w:r w:rsidR="00493041" w:rsidRPr="00EE268E">
        <w:rPr>
          <w:rFonts w:cs="Arial"/>
        </w:rPr>
        <w:t>requ</w:t>
      </w:r>
      <w:r w:rsidR="00306222" w:rsidRPr="00EE268E">
        <w:rPr>
          <w:rFonts w:cs="Arial"/>
        </w:rPr>
        <w:t>ired</w:t>
      </w:r>
      <w:r w:rsidR="00493041" w:rsidRPr="00EE268E">
        <w:rPr>
          <w:rFonts w:cs="Arial"/>
        </w:rPr>
        <w:t>,</w:t>
      </w:r>
      <w:r w:rsidR="00255CBD" w:rsidRPr="00EE268E">
        <w:rPr>
          <w:rFonts w:cs="Arial"/>
        </w:rPr>
        <w:t xml:space="preserve"> </w:t>
      </w:r>
      <w:r w:rsidR="00E47207" w:rsidRPr="00EE268E">
        <w:rPr>
          <w:rFonts w:cs="Arial"/>
        </w:rPr>
        <w:t>will</w:t>
      </w:r>
      <w:r w:rsidR="00255CBD" w:rsidRPr="00EE268E">
        <w:rPr>
          <w:rFonts w:cs="Arial"/>
        </w:rPr>
        <w:t xml:space="preserve"> result</w:t>
      </w:r>
      <w:r w:rsidR="00255CBD">
        <w:rPr>
          <w:rFonts w:cs="Arial"/>
        </w:rPr>
        <w:t xml:space="preserve"> in exclusion from the tender</w:t>
      </w:r>
      <w:r w:rsidR="00E47207">
        <w:rPr>
          <w:rFonts w:cs="Arial"/>
        </w:rPr>
        <w:t xml:space="preserve"> process.</w:t>
      </w:r>
    </w:p>
    <w:p w14:paraId="3B98CF78" w14:textId="3A48DD32" w:rsidR="005825C0" w:rsidRDefault="005825C0" w:rsidP="0085565B">
      <w:pPr>
        <w:pStyle w:val="ListParagraph"/>
        <w:numPr>
          <w:ilvl w:val="1"/>
          <w:numId w:val="9"/>
        </w:numPr>
        <w:contextualSpacing w:val="0"/>
        <w:jc w:val="both"/>
        <w:rPr>
          <w:rFonts w:cs="Arial"/>
        </w:rPr>
      </w:pPr>
      <w:r w:rsidRPr="005825C0">
        <w:rPr>
          <w:rFonts w:cs="Arial"/>
        </w:rPr>
        <w:t xml:space="preserve">If HMRC identifies a conflict of interest that could place the </w:t>
      </w:r>
      <w:r w:rsidR="00433587">
        <w:rPr>
          <w:rFonts w:cs="Arial"/>
        </w:rPr>
        <w:t>Tenderer</w:t>
      </w:r>
      <w:r w:rsidRPr="005825C0">
        <w:rPr>
          <w:rFonts w:cs="Arial"/>
        </w:rPr>
        <w:t xml:space="preserve"> </w:t>
      </w:r>
      <w:r w:rsidR="00306222">
        <w:rPr>
          <w:rFonts w:cs="Arial"/>
        </w:rPr>
        <w:t xml:space="preserve">and/or any of its sub-contractors </w:t>
      </w:r>
      <w:r w:rsidRPr="005825C0">
        <w:rPr>
          <w:rFonts w:cs="Arial"/>
        </w:rPr>
        <w:t xml:space="preserve">at an unfair advantage or disadvantage, HMRC may require the </w:t>
      </w:r>
      <w:r w:rsidR="00433587">
        <w:rPr>
          <w:rFonts w:cs="Arial"/>
        </w:rPr>
        <w:t>Tenderer</w:t>
      </w:r>
      <w:r w:rsidRPr="005825C0">
        <w:rPr>
          <w:rFonts w:cs="Arial"/>
        </w:rPr>
        <w:t xml:space="preserve"> to take reasonable steps to mitigate this. Should the </w:t>
      </w:r>
      <w:r w:rsidR="00433587">
        <w:rPr>
          <w:rFonts w:cs="Arial"/>
        </w:rPr>
        <w:t>Tenderer</w:t>
      </w:r>
      <w:r w:rsidRPr="005825C0">
        <w:rPr>
          <w:rFonts w:cs="Arial"/>
        </w:rPr>
        <w:t xml:space="preserve"> fail to take</w:t>
      </w:r>
      <w:r w:rsidR="00EA050E">
        <w:rPr>
          <w:rFonts w:cs="Arial"/>
        </w:rPr>
        <w:t xml:space="preserve"> or fail to procure that its subcontractor takes</w:t>
      </w:r>
      <w:r w:rsidRPr="005825C0">
        <w:rPr>
          <w:rFonts w:cs="Arial"/>
        </w:rPr>
        <w:t xml:space="preserve"> the necessary mitigating steps, or if the unfair advantage cannot be avoided, HMRC reserves the right to exclude the </w:t>
      </w:r>
      <w:r w:rsidR="00433587">
        <w:rPr>
          <w:rFonts w:cs="Arial"/>
        </w:rPr>
        <w:t>Tenderer</w:t>
      </w:r>
      <w:r w:rsidRPr="005825C0">
        <w:rPr>
          <w:rFonts w:cs="Arial"/>
        </w:rPr>
        <w:t xml:space="preserve"> from the process</w:t>
      </w:r>
      <w:r w:rsidR="00BC1343">
        <w:rPr>
          <w:rFonts w:cs="Arial"/>
        </w:rPr>
        <w:t>.</w:t>
      </w:r>
    </w:p>
    <w:p w14:paraId="3CC39C2F" w14:textId="238C6F06" w:rsidR="00306222" w:rsidRDefault="00306222" w:rsidP="0085565B">
      <w:pPr>
        <w:pStyle w:val="ListParagraph"/>
        <w:numPr>
          <w:ilvl w:val="1"/>
          <w:numId w:val="9"/>
        </w:numPr>
        <w:contextualSpacing w:val="0"/>
        <w:jc w:val="both"/>
        <w:rPr>
          <w:rFonts w:cs="Arial"/>
        </w:rPr>
      </w:pPr>
      <w:r>
        <w:rPr>
          <w:rFonts w:cs="Arial"/>
        </w:rPr>
        <w:t xml:space="preserve">In carrying out this procurement HMRC is being advised by DLA Piper UK LLP and by submitting responses to HMRC at any of the stages of this procurement </w:t>
      </w:r>
      <w:r w:rsidR="00433587">
        <w:rPr>
          <w:rFonts w:cs="Arial"/>
        </w:rPr>
        <w:t>Tenderer</w:t>
      </w:r>
      <w:r>
        <w:rPr>
          <w:rFonts w:cs="Arial"/>
        </w:rPr>
        <w:t>s shall be deemed to be waiving any</w:t>
      </w:r>
      <w:r w:rsidR="00434F22">
        <w:rPr>
          <w:rFonts w:cs="Arial"/>
        </w:rPr>
        <w:t xml:space="preserve"> commercial</w:t>
      </w:r>
      <w:r>
        <w:rPr>
          <w:rFonts w:cs="Arial"/>
        </w:rPr>
        <w:t xml:space="preserve"> conflict of interest that this may </w:t>
      </w:r>
      <w:proofErr w:type="gramStart"/>
      <w:r>
        <w:rPr>
          <w:rFonts w:cs="Arial"/>
        </w:rPr>
        <w:t>pose</w:t>
      </w:r>
      <w:proofErr w:type="gramEnd"/>
      <w:r>
        <w:rPr>
          <w:rFonts w:cs="Arial"/>
        </w:rPr>
        <w:t xml:space="preserve"> and such responses shall be deemed to constitute consent to HMRC continuing to be advised by DLA Piper UK LLP. </w:t>
      </w:r>
    </w:p>
    <w:p w14:paraId="34981106" w14:textId="77777777" w:rsidR="00E90F43" w:rsidRDefault="00E90F43" w:rsidP="00CD5562">
      <w:pPr>
        <w:pStyle w:val="ListParagraph"/>
        <w:ind w:left="680"/>
        <w:contextualSpacing w:val="0"/>
        <w:jc w:val="both"/>
        <w:rPr>
          <w:rFonts w:cs="Arial"/>
        </w:rPr>
      </w:pPr>
    </w:p>
    <w:p w14:paraId="58417198" w14:textId="5B3FF92F" w:rsidR="00C009A8" w:rsidRPr="002473C2" w:rsidRDefault="00100456" w:rsidP="0085565B">
      <w:pPr>
        <w:pStyle w:val="Head2"/>
        <w:numPr>
          <w:ilvl w:val="0"/>
          <w:numId w:val="9"/>
        </w:numPr>
        <w:spacing w:before="240"/>
        <w:jc w:val="both"/>
        <w:rPr>
          <w:bCs/>
          <w:szCs w:val="28"/>
        </w:rPr>
      </w:pPr>
      <w:bookmarkStart w:id="112" w:name="_Toc201679648"/>
      <w:r w:rsidRPr="00CE3F66">
        <w:rPr>
          <w:b/>
          <w:bCs/>
          <w:color w:val="009999"/>
          <w:sz w:val="28"/>
          <w:szCs w:val="28"/>
        </w:rPr>
        <w:t>WARNING</w:t>
      </w:r>
      <w:r w:rsidR="004D3382" w:rsidRPr="00CE3F66">
        <w:rPr>
          <w:b/>
          <w:bCs/>
          <w:color w:val="009999"/>
          <w:sz w:val="28"/>
          <w:szCs w:val="28"/>
        </w:rPr>
        <w:t>S</w:t>
      </w:r>
      <w:r w:rsidRPr="00CE3F66">
        <w:rPr>
          <w:b/>
          <w:bCs/>
          <w:color w:val="009999"/>
          <w:sz w:val="28"/>
          <w:szCs w:val="28"/>
        </w:rPr>
        <w:t xml:space="preserve"> AND </w:t>
      </w:r>
      <w:r w:rsidR="00EA0885" w:rsidRPr="00CE3F66">
        <w:rPr>
          <w:b/>
          <w:bCs/>
          <w:color w:val="009999"/>
          <w:sz w:val="28"/>
          <w:szCs w:val="28"/>
        </w:rPr>
        <w:t>DISCLAIMER</w:t>
      </w:r>
      <w:r w:rsidR="004D3382" w:rsidRPr="00CE3F66">
        <w:rPr>
          <w:b/>
          <w:bCs/>
          <w:color w:val="009999"/>
          <w:sz w:val="28"/>
          <w:szCs w:val="28"/>
        </w:rPr>
        <w:t>S</w:t>
      </w:r>
      <w:bookmarkEnd w:id="112"/>
    </w:p>
    <w:p w14:paraId="31C53F0B" w14:textId="0288374D" w:rsidR="00232707" w:rsidRPr="00CE3F66" w:rsidRDefault="00232707" w:rsidP="0085565B">
      <w:pPr>
        <w:pStyle w:val="Head2"/>
        <w:numPr>
          <w:ilvl w:val="1"/>
          <w:numId w:val="9"/>
        </w:numPr>
        <w:jc w:val="both"/>
      </w:pPr>
      <w:bookmarkStart w:id="113" w:name="_Toc201679072"/>
      <w:bookmarkStart w:id="114" w:name="_Toc201679649"/>
      <w:r w:rsidRPr="00CE3F66">
        <w:t xml:space="preserve">HMRC provides no commitment or guarantee that it will award or </w:t>
      </w:r>
      <w:proofErr w:type="gramStart"/>
      <w:r w:rsidRPr="00CE3F66">
        <w:t>enter into</w:t>
      </w:r>
      <w:proofErr w:type="gramEnd"/>
      <w:r w:rsidRPr="00CE3F66">
        <w:t xml:space="preserve"> a contract as a result of this procurement exercise. HMRC reserves the right to cancel, suspend, and/or amend the requirements of</w:t>
      </w:r>
      <w:r w:rsidR="008C6E6C">
        <w:t xml:space="preserve"> </w:t>
      </w:r>
      <w:r w:rsidRPr="00CE3F66">
        <w:t>this procurement process at any point.</w:t>
      </w:r>
      <w:r w:rsidRPr="00FF7799">
        <w:t xml:space="preserve"> Nothing in this </w:t>
      </w:r>
      <w:r w:rsidR="00A35E5E">
        <w:t>Tender</w:t>
      </w:r>
      <w:r w:rsidRPr="00FF7799">
        <w:t xml:space="preserve"> or in any other communication made between HMRC and a </w:t>
      </w:r>
      <w:r w:rsidR="00433587">
        <w:t>Tenderer</w:t>
      </w:r>
      <w:r w:rsidRPr="00FF7799">
        <w:t xml:space="preserve"> constitutes a representation or agreement that a contract will be offered.</w:t>
      </w:r>
      <w:bookmarkEnd w:id="113"/>
      <w:bookmarkEnd w:id="114"/>
    </w:p>
    <w:p w14:paraId="61AFBDDE" w14:textId="78E6A1FD" w:rsidR="00C009A8" w:rsidRPr="00E13608" w:rsidRDefault="00C009A8" w:rsidP="0085565B">
      <w:pPr>
        <w:pStyle w:val="Head2"/>
        <w:numPr>
          <w:ilvl w:val="1"/>
          <w:numId w:val="9"/>
        </w:numPr>
        <w:jc w:val="both"/>
        <w:rPr>
          <w:rFonts w:cs="Arial"/>
        </w:rPr>
      </w:pPr>
      <w:bookmarkStart w:id="115" w:name="_Toc201679073"/>
      <w:bookmarkStart w:id="116" w:name="_Toc201679650"/>
      <w:r w:rsidRPr="00E13608" w:rsidDel="00E120A1">
        <w:rPr>
          <w:rFonts w:cs="Arial"/>
        </w:rPr>
        <w:t xml:space="preserve">HMRC will not be liable for any costs, expenditure, expenses, </w:t>
      </w:r>
      <w:proofErr w:type="gramStart"/>
      <w:r w:rsidRPr="00E13608" w:rsidDel="00E120A1">
        <w:rPr>
          <w:rFonts w:cs="Arial"/>
        </w:rPr>
        <w:t>work</w:t>
      </w:r>
      <w:proofErr w:type="gramEnd"/>
      <w:r w:rsidRPr="00E13608" w:rsidDel="00E120A1">
        <w:rPr>
          <w:rFonts w:cs="Arial"/>
        </w:rPr>
        <w:t xml:space="preserve"> or effort incurred by </w:t>
      </w:r>
      <w:r w:rsidR="00835696">
        <w:rPr>
          <w:rFonts w:cs="Arial"/>
        </w:rPr>
        <w:t xml:space="preserve">any </w:t>
      </w:r>
      <w:r w:rsidR="00433587">
        <w:rPr>
          <w:rFonts w:cs="Arial"/>
        </w:rPr>
        <w:t>Tenderer</w:t>
      </w:r>
      <w:r w:rsidRPr="00AE197F" w:rsidDel="00E120A1">
        <w:rPr>
          <w:rFonts w:cs="Arial"/>
        </w:rPr>
        <w:t xml:space="preserve"> in </w:t>
      </w:r>
      <w:r w:rsidR="00CD7C83">
        <w:rPr>
          <w:rFonts w:cs="Arial"/>
        </w:rPr>
        <w:t xml:space="preserve">preparing for, </w:t>
      </w:r>
      <w:r w:rsidRPr="00E13608" w:rsidDel="00E120A1">
        <w:rPr>
          <w:rFonts w:cs="Arial"/>
        </w:rPr>
        <w:t xml:space="preserve">proceeding with or participating in this </w:t>
      </w:r>
      <w:r w:rsidR="00E40B34" w:rsidRPr="00E13608" w:rsidDel="00E120A1">
        <w:rPr>
          <w:rFonts w:cs="Arial"/>
        </w:rPr>
        <w:t>procurement exercise</w:t>
      </w:r>
      <w:r w:rsidRPr="00E13608" w:rsidDel="00E120A1">
        <w:rPr>
          <w:rFonts w:cs="Arial"/>
        </w:rPr>
        <w:t xml:space="preserve">, including if the </w:t>
      </w:r>
      <w:r w:rsidR="00E40B34" w:rsidRPr="00E13608" w:rsidDel="00E120A1">
        <w:rPr>
          <w:rFonts w:cs="Arial"/>
        </w:rPr>
        <w:t>procurement exercise</w:t>
      </w:r>
      <w:r w:rsidRPr="00E13608" w:rsidDel="00E120A1">
        <w:rPr>
          <w:rFonts w:cs="Arial"/>
        </w:rPr>
        <w:t xml:space="preserve"> is terminated</w:t>
      </w:r>
      <w:r w:rsidR="00CD7C83">
        <w:rPr>
          <w:rFonts w:cs="Arial"/>
        </w:rPr>
        <w:t>, suspended</w:t>
      </w:r>
      <w:r w:rsidRPr="00E13608" w:rsidDel="00E120A1">
        <w:rPr>
          <w:rFonts w:cs="Arial"/>
        </w:rPr>
        <w:t xml:space="preserve"> or amended by HMRC. This applies regardless of whether the </w:t>
      </w:r>
      <w:r w:rsidR="00433587">
        <w:rPr>
          <w:rFonts w:cs="Arial"/>
        </w:rPr>
        <w:t>Tenderer</w:t>
      </w:r>
      <w:r w:rsidR="00CD7C83">
        <w:rPr>
          <w:rFonts w:cs="Arial"/>
        </w:rPr>
        <w:t>’s</w:t>
      </w:r>
      <w:r w:rsidR="00E40B34" w:rsidRPr="00AE197F" w:rsidDel="00E120A1">
        <w:rPr>
          <w:rFonts w:cs="Arial"/>
        </w:rPr>
        <w:t xml:space="preserve"> t</w:t>
      </w:r>
      <w:r w:rsidRPr="00AE197F" w:rsidDel="00E120A1">
        <w:rPr>
          <w:rFonts w:cs="Arial"/>
        </w:rPr>
        <w:t xml:space="preserve">ender is successful and regardless of whether HMRC makes any modifications or amendments to the </w:t>
      </w:r>
      <w:r w:rsidR="00EF51BC">
        <w:rPr>
          <w:rFonts w:cs="Arial"/>
        </w:rPr>
        <w:t>Services Description or other</w:t>
      </w:r>
      <w:r w:rsidRPr="00E13608" w:rsidDel="00E120A1">
        <w:rPr>
          <w:rFonts w:cs="Arial"/>
        </w:rPr>
        <w:t xml:space="preserve"> requirement</w:t>
      </w:r>
      <w:r w:rsidR="00EF51BC">
        <w:rPr>
          <w:rFonts w:cs="Arial"/>
        </w:rPr>
        <w:t>s</w:t>
      </w:r>
      <w:r w:rsidRPr="00E13608" w:rsidDel="00E120A1">
        <w:rPr>
          <w:rFonts w:cs="Arial"/>
        </w:rPr>
        <w:t xml:space="preserve"> </w:t>
      </w:r>
      <w:proofErr w:type="gramStart"/>
      <w:r w:rsidRPr="00E13608" w:rsidDel="00E120A1">
        <w:rPr>
          <w:rFonts w:cs="Arial"/>
        </w:rPr>
        <w:t>in the course of</w:t>
      </w:r>
      <w:proofErr w:type="gramEnd"/>
      <w:r w:rsidRPr="00E13608" w:rsidDel="00E120A1">
        <w:rPr>
          <w:rFonts w:cs="Arial"/>
        </w:rPr>
        <w:t xml:space="preserve"> the </w:t>
      </w:r>
      <w:r w:rsidR="00E40B34" w:rsidRPr="00E13608" w:rsidDel="00E120A1">
        <w:rPr>
          <w:rFonts w:cs="Arial"/>
        </w:rPr>
        <w:t>procurement exercise</w:t>
      </w:r>
      <w:r w:rsidRPr="00E13608" w:rsidDel="00E120A1">
        <w:rPr>
          <w:rFonts w:cs="Arial"/>
        </w:rPr>
        <w:t>.</w:t>
      </w:r>
      <w:bookmarkEnd w:id="115"/>
      <w:bookmarkEnd w:id="116"/>
    </w:p>
    <w:p w14:paraId="5F0B1E06" w14:textId="09E03FD7" w:rsidR="00E37086" w:rsidRDefault="002C58EE" w:rsidP="0085565B">
      <w:pPr>
        <w:pStyle w:val="ListParagraph"/>
        <w:numPr>
          <w:ilvl w:val="1"/>
          <w:numId w:val="9"/>
        </w:numPr>
        <w:contextualSpacing w:val="0"/>
        <w:jc w:val="both"/>
        <w:rPr>
          <w:rFonts w:cs="Arial"/>
          <w:color w:val="000000"/>
        </w:rPr>
      </w:pPr>
      <w:r>
        <w:rPr>
          <w:rFonts w:cs="Arial"/>
          <w:color w:val="000000"/>
        </w:rPr>
        <w:t>I</w:t>
      </w:r>
      <w:r w:rsidRPr="00E17969">
        <w:rPr>
          <w:rFonts w:cs="Arial"/>
          <w:color w:val="000000"/>
        </w:rPr>
        <w:t xml:space="preserve">f a </w:t>
      </w:r>
      <w:r w:rsidR="00433587">
        <w:rPr>
          <w:rFonts w:cs="Arial"/>
          <w:color w:val="000000"/>
        </w:rPr>
        <w:t>Tenderer</w:t>
      </w:r>
      <w:r w:rsidRPr="00E17969">
        <w:rPr>
          <w:rFonts w:cs="Arial"/>
          <w:color w:val="000000"/>
        </w:rPr>
        <w:t xml:space="preserve"> proposes to </w:t>
      </w:r>
      <w:proofErr w:type="gramStart"/>
      <w:r w:rsidRPr="00E17969">
        <w:rPr>
          <w:rFonts w:cs="Arial"/>
          <w:color w:val="000000"/>
        </w:rPr>
        <w:t>enter into</w:t>
      </w:r>
      <w:proofErr w:type="gramEnd"/>
      <w:r w:rsidRPr="00E17969">
        <w:rPr>
          <w:rFonts w:cs="Arial"/>
          <w:color w:val="000000"/>
        </w:rPr>
        <w:t xml:space="preserve"> a </w:t>
      </w:r>
      <w:r>
        <w:rPr>
          <w:rFonts w:cs="Arial"/>
          <w:color w:val="000000"/>
        </w:rPr>
        <w:t>c</w:t>
      </w:r>
      <w:r w:rsidRPr="00E17969">
        <w:rPr>
          <w:rFonts w:cs="Arial"/>
          <w:color w:val="000000"/>
        </w:rPr>
        <w:t xml:space="preserve">ontract with </w:t>
      </w:r>
      <w:r>
        <w:rPr>
          <w:rFonts w:cs="Arial"/>
          <w:color w:val="000000"/>
        </w:rPr>
        <w:t>HMRC</w:t>
      </w:r>
      <w:r w:rsidRPr="00E17969">
        <w:rPr>
          <w:rFonts w:cs="Arial"/>
          <w:color w:val="000000"/>
        </w:rPr>
        <w:t xml:space="preserve">, it must rely on its own enquiries and on the terms and conditions set out in the </w:t>
      </w:r>
      <w:r>
        <w:rPr>
          <w:rFonts w:cs="Arial"/>
          <w:color w:val="000000"/>
        </w:rPr>
        <w:t>c</w:t>
      </w:r>
      <w:r w:rsidRPr="00E17969">
        <w:rPr>
          <w:rFonts w:cs="Arial"/>
          <w:color w:val="000000"/>
        </w:rPr>
        <w:t>ontract</w:t>
      </w:r>
      <w:r w:rsidR="00DB5FDC">
        <w:rPr>
          <w:rFonts w:cs="Arial"/>
          <w:color w:val="000000"/>
        </w:rPr>
        <w:t xml:space="preserve"> </w:t>
      </w:r>
      <w:r w:rsidRPr="00E17969">
        <w:rPr>
          <w:rFonts w:cs="Arial"/>
          <w:color w:val="000000"/>
        </w:rPr>
        <w:t>(as and when finally executed)</w:t>
      </w:r>
      <w:r>
        <w:rPr>
          <w:rFonts w:cs="Arial"/>
          <w:color w:val="000000"/>
        </w:rPr>
        <w:t xml:space="preserve">. </w:t>
      </w:r>
      <w:r w:rsidR="00F30E79">
        <w:rPr>
          <w:rFonts w:cs="Arial"/>
          <w:color w:val="000000"/>
        </w:rPr>
        <w:t>HMRC</w:t>
      </w:r>
      <w:r w:rsidR="00F30E79" w:rsidRPr="003B4143">
        <w:rPr>
          <w:rFonts w:cs="Arial"/>
          <w:color w:val="000000"/>
        </w:rPr>
        <w:t xml:space="preserve"> </w:t>
      </w:r>
      <w:r w:rsidR="00F30E79">
        <w:rPr>
          <w:rFonts w:cs="Arial"/>
          <w:color w:val="000000"/>
        </w:rPr>
        <w:t xml:space="preserve">has prepared the </w:t>
      </w:r>
      <w:r w:rsidR="00E37086" w:rsidRPr="003B4143">
        <w:rPr>
          <w:rFonts w:cs="Arial"/>
          <w:color w:val="000000"/>
        </w:rPr>
        <w:t xml:space="preserve">information in </w:t>
      </w:r>
      <w:r w:rsidR="00E37086">
        <w:rPr>
          <w:rFonts w:cs="Arial"/>
          <w:color w:val="000000"/>
        </w:rPr>
        <w:t xml:space="preserve">this </w:t>
      </w:r>
      <w:r w:rsidR="00904122">
        <w:rPr>
          <w:rFonts w:cs="Arial"/>
          <w:color w:val="000000"/>
        </w:rPr>
        <w:t>Tender</w:t>
      </w:r>
      <w:r w:rsidR="00E37086" w:rsidRPr="003B4143">
        <w:rPr>
          <w:rFonts w:cs="Arial"/>
          <w:color w:val="000000"/>
        </w:rPr>
        <w:t xml:space="preserve"> in good faith</w:t>
      </w:r>
      <w:r w:rsidR="00801C7D">
        <w:rPr>
          <w:rFonts w:cs="Arial"/>
          <w:color w:val="000000"/>
        </w:rPr>
        <w:t>, h</w:t>
      </w:r>
      <w:r w:rsidR="00F30E79">
        <w:rPr>
          <w:rFonts w:cs="Arial"/>
          <w:color w:val="000000"/>
        </w:rPr>
        <w:t>owever, HMRC</w:t>
      </w:r>
      <w:r w:rsidR="00D20AA8">
        <w:rPr>
          <w:rFonts w:cs="Arial"/>
          <w:color w:val="000000"/>
        </w:rPr>
        <w:t xml:space="preserve"> and its advisors do</w:t>
      </w:r>
      <w:r w:rsidR="00892829">
        <w:rPr>
          <w:rFonts w:cs="Arial"/>
          <w:color w:val="000000"/>
        </w:rPr>
        <w:t xml:space="preserve"> not</w:t>
      </w:r>
      <w:r w:rsidR="00E37086" w:rsidRPr="00CE3F66">
        <w:rPr>
          <w:rFonts w:cs="Arial"/>
          <w:color w:val="000000"/>
        </w:rPr>
        <w:t xml:space="preserve"> accept any liability</w:t>
      </w:r>
      <w:r w:rsidR="006E68A2">
        <w:rPr>
          <w:rFonts w:cs="Arial"/>
          <w:color w:val="000000"/>
        </w:rPr>
        <w:t xml:space="preserve"> for (and do not give any express or implied warranty</w:t>
      </w:r>
      <w:r w:rsidR="00E37086" w:rsidRPr="00CE3F66">
        <w:rPr>
          <w:rFonts w:cs="Arial"/>
          <w:color w:val="000000"/>
        </w:rPr>
        <w:t xml:space="preserve"> </w:t>
      </w:r>
      <w:r w:rsidR="006E68A2">
        <w:rPr>
          <w:rFonts w:cs="Arial"/>
          <w:color w:val="000000"/>
        </w:rPr>
        <w:t xml:space="preserve">as to) </w:t>
      </w:r>
      <w:r w:rsidR="00C23FA0">
        <w:rPr>
          <w:rFonts w:cs="Arial"/>
          <w:color w:val="000000"/>
        </w:rPr>
        <w:t>the</w:t>
      </w:r>
      <w:r w:rsidR="00E37086" w:rsidRPr="00CE3F66">
        <w:rPr>
          <w:rFonts w:cs="Arial"/>
          <w:color w:val="000000"/>
        </w:rPr>
        <w:t xml:space="preserve"> accuracy, adequacy or completeness</w:t>
      </w:r>
      <w:r w:rsidR="00C23FA0">
        <w:rPr>
          <w:rFonts w:cs="Arial"/>
          <w:color w:val="000000"/>
        </w:rPr>
        <w:t xml:space="preserve"> of that information or any subsequent communication</w:t>
      </w:r>
      <w:r w:rsidR="00373173">
        <w:rPr>
          <w:rFonts w:cs="Arial"/>
          <w:color w:val="000000"/>
        </w:rPr>
        <w:t xml:space="preserve"> </w:t>
      </w:r>
      <w:r w:rsidR="00367AE7">
        <w:rPr>
          <w:rFonts w:cs="Arial"/>
          <w:color w:val="000000"/>
        </w:rPr>
        <w:t xml:space="preserve">and they </w:t>
      </w:r>
      <w:r w:rsidR="006C071B">
        <w:rPr>
          <w:rFonts w:cs="Arial"/>
          <w:color w:val="000000"/>
        </w:rPr>
        <w:t>shall</w:t>
      </w:r>
      <w:r w:rsidR="00E37086">
        <w:rPr>
          <w:rFonts w:cs="Arial"/>
          <w:color w:val="000000"/>
        </w:rPr>
        <w:t xml:space="preserve"> </w:t>
      </w:r>
      <w:r w:rsidR="00F30E79">
        <w:rPr>
          <w:rFonts w:cs="Arial"/>
          <w:color w:val="000000"/>
        </w:rPr>
        <w:t>not be</w:t>
      </w:r>
      <w:r w:rsidR="00E37086">
        <w:rPr>
          <w:rFonts w:cs="Arial"/>
          <w:color w:val="000000"/>
        </w:rPr>
        <w:t xml:space="preserve"> liable for any loss or damage </w:t>
      </w:r>
      <w:r w:rsidR="001E2826">
        <w:rPr>
          <w:rFonts w:cs="Arial"/>
          <w:color w:val="000000"/>
        </w:rPr>
        <w:t xml:space="preserve">(other than in respect of fraudulent misrepresentation) </w:t>
      </w:r>
      <w:r w:rsidR="00E37086">
        <w:rPr>
          <w:rFonts w:cs="Arial"/>
          <w:color w:val="000000"/>
        </w:rPr>
        <w:t>arising as a result of reliance on such information or communication</w:t>
      </w:r>
      <w:r w:rsidR="00F30E79">
        <w:rPr>
          <w:rFonts w:cs="Arial"/>
          <w:color w:val="000000"/>
        </w:rPr>
        <w:t>.</w:t>
      </w:r>
      <w:r w:rsidR="00E37086" w:rsidRPr="00CE3F66">
        <w:rPr>
          <w:rFonts w:cs="Arial"/>
          <w:color w:val="000000"/>
        </w:rPr>
        <w:t xml:space="preserve"> </w:t>
      </w:r>
    </w:p>
    <w:p w14:paraId="211BBECB" w14:textId="69E3684C" w:rsidR="00A32BC9" w:rsidRPr="002473C2" w:rsidRDefault="00157ADE" w:rsidP="0085565B">
      <w:pPr>
        <w:pStyle w:val="Head2"/>
        <w:numPr>
          <w:ilvl w:val="0"/>
          <w:numId w:val="9"/>
        </w:numPr>
        <w:spacing w:before="240"/>
        <w:jc w:val="both"/>
        <w:rPr>
          <w:bCs/>
          <w:szCs w:val="28"/>
        </w:rPr>
      </w:pPr>
      <w:bookmarkStart w:id="117" w:name="_Toc201679651"/>
      <w:r w:rsidRPr="00CE3F66">
        <w:rPr>
          <w:b/>
          <w:bCs/>
          <w:color w:val="009999"/>
          <w:sz w:val="28"/>
          <w:szCs w:val="28"/>
        </w:rPr>
        <w:t>TUPE REQUIREMENTS</w:t>
      </w:r>
      <w:bookmarkEnd w:id="117"/>
    </w:p>
    <w:p w14:paraId="715D9B69" w14:textId="2DB02251" w:rsidR="00A32BC9" w:rsidRPr="00A76410" w:rsidRDefault="00E34099" w:rsidP="0085565B">
      <w:pPr>
        <w:pStyle w:val="ListParagraph"/>
        <w:numPr>
          <w:ilvl w:val="1"/>
          <w:numId w:val="8"/>
        </w:numPr>
        <w:contextualSpacing w:val="0"/>
        <w:jc w:val="both"/>
        <w:rPr>
          <w:rFonts w:cs="Arial"/>
        </w:rPr>
      </w:pPr>
      <w:r>
        <w:rPr>
          <w:rFonts w:cs="Arial"/>
        </w:rPr>
        <w:t xml:space="preserve">HMRC </w:t>
      </w:r>
      <w:r w:rsidR="00AF3F2D">
        <w:rPr>
          <w:rFonts w:cs="Arial"/>
        </w:rPr>
        <w:t>anticipates that t</w:t>
      </w:r>
      <w:r w:rsidR="1730041A" w:rsidRPr="2E4CE0DB">
        <w:rPr>
          <w:rFonts w:cs="Arial"/>
        </w:rPr>
        <w:t>he Transfer of Undertakings (Protection of Employment) Regulations 2006 (</w:t>
      </w:r>
      <w:r w:rsidR="00A04D63">
        <w:rPr>
          <w:rFonts w:cs="Arial"/>
        </w:rPr>
        <w:t>“</w:t>
      </w:r>
      <w:r w:rsidR="1730041A" w:rsidRPr="2E4CE0DB">
        <w:rPr>
          <w:rFonts w:cs="Arial"/>
        </w:rPr>
        <w:t>TUPE</w:t>
      </w:r>
      <w:r w:rsidR="00A04D63">
        <w:rPr>
          <w:rFonts w:cs="Arial"/>
        </w:rPr>
        <w:t>”</w:t>
      </w:r>
      <w:r w:rsidR="1730041A" w:rsidRPr="2E4CE0DB">
        <w:rPr>
          <w:rFonts w:cs="Arial"/>
        </w:rPr>
        <w:t>)</w:t>
      </w:r>
      <w:r w:rsidR="00AF3F2D">
        <w:rPr>
          <w:rFonts w:cs="Arial"/>
        </w:rPr>
        <w:t xml:space="preserve"> will not</w:t>
      </w:r>
      <w:r w:rsidR="1730041A" w:rsidRPr="2E4CE0DB">
        <w:rPr>
          <w:rFonts w:cs="Arial"/>
        </w:rPr>
        <w:t xml:space="preserve"> apply to this contract.</w:t>
      </w:r>
      <w:r w:rsidR="00BD6E6C" w:rsidRPr="00BD6E6C">
        <w:rPr>
          <w:rFonts w:cs="Arial"/>
        </w:rPr>
        <w:t xml:space="preserve"> However</w:t>
      </w:r>
      <w:r w:rsidR="00C0563B">
        <w:rPr>
          <w:rFonts w:cs="Arial"/>
        </w:rPr>
        <w:t>,</w:t>
      </w:r>
      <w:r w:rsidR="00BD6E6C" w:rsidRPr="00BD6E6C">
        <w:rPr>
          <w:rFonts w:cs="Arial"/>
        </w:rPr>
        <w:t xml:space="preserve"> </w:t>
      </w:r>
      <w:r w:rsidR="00BD6E6C">
        <w:rPr>
          <w:rFonts w:cs="Arial"/>
        </w:rPr>
        <w:t>HMRC</w:t>
      </w:r>
      <w:r w:rsidR="00BD6E6C" w:rsidRPr="00BD6E6C">
        <w:rPr>
          <w:rFonts w:cs="Arial"/>
        </w:rPr>
        <w:t xml:space="preserve"> </w:t>
      </w:r>
      <w:r w:rsidR="00786C39">
        <w:rPr>
          <w:rFonts w:cs="Arial"/>
        </w:rPr>
        <w:t>does not give</w:t>
      </w:r>
      <w:r w:rsidR="00BD6E6C" w:rsidRPr="00BD6E6C">
        <w:rPr>
          <w:rFonts w:cs="Arial"/>
        </w:rPr>
        <w:t xml:space="preserve"> any warranty in respect of TUPE and </w:t>
      </w:r>
      <w:r w:rsidR="00433587">
        <w:rPr>
          <w:rFonts w:cs="Arial"/>
        </w:rPr>
        <w:t>Tenderer</w:t>
      </w:r>
      <w:r w:rsidR="00BD6E6C">
        <w:rPr>
          <w:rFonts w:cs="Arial"/>
        </w:rPr>
        <w:t>s</w:t>
      </w:r>
      <w:r w:rsidR="00BD6E6C" w:rsidRPr="00BD6E6C">
        <w:rPr>
          <w:rFonts w:cs="Arial"/>
        </w:rPr>
        <w:t xml:space="preserve"> should rely on their own assessment of the likelihood that TUPE might apply.</w:t>
      </w:r>
    </w:p>
    <w:p w14:paraId="5A65D3B1" w14:textId="10E6627A" w:rsidR="00A32BC9" w:rsidRPr="00CE3F66" w:rsidRDefault="6F1D5623" w:rsidP="0085565B">
      <w:pPr>
        <w:pStyle w:val="Head2"/>
        <w:numPr>
          <w:ilvl w:val="0"/>
          <w:numId w:val="8"/>
        </w:numPr>
        <w:spacing w:before="240"/>
        <w:jc w:val="both"/>
        <w:rPr>
          <w:bCs/>
          <w:szCs w:val="28"/>
        </w:rPr>
      </w:pPr>
      <w:bookmarkStart w:id="118" w:name="_Toc201679652"/>
      <w:r w:rsidRPr="00CE3F66">
        <w:rPr>
          <w:b/>
          <w:bCs/>
          <w:color w:val="009999"/>
          <w:sz w:val="28"/>
          <w:szCs w:val="28"/>
        </w:rPr>
        <w:t>SOCIAL VALUE</w:t>
      </w:r>
      <w:bookmarkEnd w:id="118"/>
      <w:r w:rsidR="4E965DF8" w:rsidRPr="00CE3F66">
        <w:rPr>
          <w:b/>
          <w:bCs/>
          <w:color w:val="009999"/>
          <w:sz w:val="28"/>
          <w:szCs w:val="28"/>
        </w:rPr>
        <w:t xml:space="preserve"> </w:t>
      </w:r>
    </w:p>
    <w:p w14:paraId="0476D479" w14:textId="4B3E60B5" w:rsidR="00A32BC9" w:rsidRDefault="6F1D5623" w:rsidP="0085565B">
      <w:pPr>
        <w:pStyle w:val="ListParagraph"/>
        <w:numPr>
          <w:ilvl w:val="1"/>
          <w:numId w:val="8"/>
        </w:numPr>
        <w:contextualSpacing w:val="0"/>
        <w:jc w:val="both"/>
        <w:rPr>
          <w:rFonts w:cs="Arial"/>
        </w:rPr>
      </w:pPr>
      <w:r w:rsidRPr="2E4CE0DB">
        <w:rPr>
          <w:rFonts w:cs="Arial"/>
        </w:rPr>
        <w:t xml:space="preserve">HMRC </w:t>
      </w:r>
      <w:r w:rsidR="00483688">
        <w:rPr>
          <w:rFonts w:cs="Arial"/>
        </w:rPr>
        <w:t>is</w:t>
      </w:r>
      <w:r w:rsidR="00483688" w:rsidRPr="2E4CE0DB">
        <w:rPr>
          <w:rFonts w:cs="Arial"/>
        </w:rPr>
        <w:t xml:space="preserve"> </w:t>
      </w:r>
      <w:r w:rsidRPr="2E4CE0DB">
        <w:rPr>
          <w:rFonts w:cs="Arial"/>
        </w:rPr>
        <w:t>committed to support</w:t>
      </w:r>
      <w:r w:rsidR="0067084C">
        <w:rPr>
          <w:rFonts w:cs="Arial"/>
        </w:rPr>
        <w:t>ing</w:t>
      </w:r>
      <w:r w:rsidRPr="2E4CE0DB">
        <w:rPr>
          <w:rFonts w:cs="Arial"/>
        </w:rPr>
        <w:t xml:space="preserve"> key social outcomes as part of its commercial activity. To help achieve this goal, procurement exercises conducted </w:t>
      </w:r>
      <w:r w:rsidR="00483688">
        <w:rPr>
          <w:rFonts w:cs="Arial"/>
        </w:rPr>
        <w:t>by</w:t>
      </w:r>
      <w:r w:rsidR="00483688" w:rsidRPr="2E4CE0DB">
        <w:rPr>
          <w:rFonts w:cs="Arial"/>
        </w:rPr>
        <w:t xml:space="preserve"> </w:t>
      </w:r>
      <w:r w:rsidRPr="2E4CE0DB">
        <w:rPr>
          <w:rFonts w:cs="Arial"/>
        </w:rPr>
        <w:t xml:space="preserve">HMRC incorporate the requirements outlined under the </w:t>
      </w:r>
      <w:hyperlink r:id="rId17" w:history="1">
        <w:r w:rsidRPr="00986F8E">
          <w:t>Government’s Social Value Model</w:t>
        </w:r>
      </w:hyperlink>
      <w:r w:rsidRPr="2E4CE0DB">
        <w:rPr>
          <w:rFonts w:cs="Arial"/>
        </w:rPr>
        <w:t xml:space="preserve"> (SVM), where in scope of </w:t>
      </w:r>
      <w:r w:rsidRPr="00986F8E">
        <w:rPr>
          <w:rFonts w:cs="Arial"/>
        </w:rPr>
        <w:t>Procurement Policy Note (PP</w:t>
      </w:r>
      <w:r w:rsidRPr="0075324B">
        <w:rPr>
          <w:rFonts w:cs="Arial"/>
        </w:rPr>
        <w:t>N)</w:t>
      </w:r>
      <w:r w:rsidR="00986F8E" w:rsidRPr="0075324B">
        <w:rPr>
          <w:rFonts w:cs="Arial"/>
        </w:rPr>
        <w:t xml:space="preserve"> </w:t>
      </w:r>
      <w:r w:rsidR="0075324B" w:rsidRPr="0075324B">
        <w:rPr>
          <w:rFonts w:cs="Arial"/>
        </w:rPr>
        <w:t>0</w:t>
      </w:r>
      <w:r w:rsidR="00293659">
        <w:rPr>
          <w:rFonts w:cs="Arial"/>
        </w:rPr>
        <w:t>02</w:t>
      </w:r>
      <w:r w:rsidR="0075324B" w:rsidRPr="0075324B">
        <w:rPr>
          <w:rStyle w:val="Hyperlink"/>
          <w:rFonts w:cs="Arial"/>
          <w:color w:val="auto"/>
          <w:u w:val="none"/>
        </w:rPr>
        <w:t>.</w:t>
      </w:r>
    </w:p>
    <w:p w14:paraId="641E3B1A" w14:textId="7ABF2957" w:rsidR="00A32BC9" w:rsidRDefault="6F1D5623" w:rsidP="0085565B">
      <w:pPr>
        <w:pStyle w:val="ListParagraph"/>
        <w:numPr>
          <w:ilvl w:val="1"/>
          <w:numId w:val="8"/>
        </w:numPr>
        <w:contextualSpacing w:val="0"/>
        <w:jc w:val="both"/>
        <w:rPr>
          <w:rFonts w:cs="Arial"/>
        </w:rPr>
      </w:pPr>
      <w:r w:rsidRPr="2E4CE0DB">
        <w:rPr>
          <w:rFonts w:cs="Arial"/>
        </w:rPr>
        <w:t xml:space="preserve">This </w:t>
      </w:r>
      <w:r w:rsidR="00D47C27">
        <w:rPr>
          <w:rFonts w:cs="Arial"/>
        </w:rPr>
        <w:t>c</w:t>
      </w:r>
      <w:r w:rsidR="00D47C27" w:rsidRPr="2E4CE0DB">
        <w:rPr>
          <w:rFonts w:cs="Arial"/>
        </w:rPr>
        <w:t xml:space="preserve">ompetitive </w:t>
      </w:r>
      <w:r w:rsidR="00D47C27">
        <w:rPr>
          <w:rFonts w:cs="Arial"/>
        </w:rPr>
        <w:t>p</w:t>
      </w:r>
      <w:r w:rsidRPr="2E4CE0DB">
        <w:rPr>
          <w:rFonts w:cs="Arial"/>
        </w:rPr>
        <w:t xml:space="preserve">rocurement </w:t>
      </w:r>
      <w:r w:rsidR="00D47C27">
        <w:rPr>
          <w:rFonts w:cs="Arial"/>
        </w:rPr>
        <w:t>e</w:t>
      </w:r>
      <w:r w:rsidR="00D47C27" w:rsidRPr="2E4CE0DB">
        <w:rPr>
          <w:rFonts w:cs="Arial"/>
        </w:rPr>
        <w:t xml:space="preserve">xercise </w:t>
      </w:r>
      <w:r w:rsidRPr="2E4CE0DB">
        <w:rPr>
          <w:rFonts w:cs="Arial"/>
        </w:rPr>
        <w:t xml:space="preserve">incorporates the requirements of PPN </w:t>
      </w:r>
      <w:r w:rsidR="00F301AB">
        <w:rPr>
          <w:rFonts w:cs="Arial"/>
        </w:rPr>
        <w:t>0</w:t>
      </w:r>
      <w:r w:rsidR="00293659">
        <w:rPr>
          <w:rFonts w:cs="Arial"/>
        </w:rPr>
        <w:t>02.</w:t>
      </w:r>
    </w:p>
    <w:p w14:paraId="37BF5527" w14:textId="603B432D" w:rsidR="00F91728" w:rsidRPr="00C15A46" w:rsidRDefault="00F91728" w:rsidP="0085565B">
      <w:pPr>
        <w:pStyle w:val="Head2"/>
        <w:numPr>
          <w:ilvl w:val="0"/>
          <w:numId w:val="8"/>
        </w:numPr>
        <w:spacing w:before="240"/>
        <w:jc w:val="both"/>
        <w:rPr>
          <w:bCs/>
          <w:szCs w:val="28"/>
        </w:rPr>
      </w:pPr>
      <w:bookmarkStart w:id="119" w:name="_Toc201679653"/>
      <w:r w:rsidRPr="00C15A46">
        <w:rPr>
          <w:b/>
          <w:bCs/>
          <w:color w:val="009999"/>
          <w:sz w:val="28"/>
          <w:szCs w:val="28"/>
        </w:rPr>
        <w:t>KEY PERFORMANCE INDICATORS</w:t>
      </w:r>
      <w:r w:rsidR="008F5A7A" w:rsidRPr="00C15A46">
        <w:rPr>
          <w:b/>
          <w:bCs/>
          <w:color w:val="009999"/>
          <w:sz w:val="28"/>
          <w:szCs w:val="28"/>
        </w:rPr>
        <w:t xml:space="preserve"> (</w:t>
      </w:r>
      <w:r w:rsidR="00D02A5D" w:rsidRPr="00C15A46">
        <w:rPr>
          <w:b/>
          <w:bCs/>
          <w:color w:val="009999"/>
          <w:sz w:val="28"/>
          <w:szCs w:val="28"/>
        </w:rPr>
        <w:t>“</w:t>
      </w:r>
      <w:r w:rsidR="008F5A7A" w:rsidRPr="00C15A46">
        <w:rPr>
          <w:b/>
          <w:bCs/>
          <w:color w:val="009999"/>
          <w:sz w:val="28"/>
          <w:szCs w:val="28"/>
        </w:rPr>
        <w:t>KPIs</w:t>
      </w:r>
      <w:r w:rsidR="00D02A5D" w:rsidRPr="00C15A46">
        <w:rPr>
          <w:b/>
          <w:bCs/>
          <w:color w:val="009999"/>
          <w:sz w:val="28"/>
          <w:szCs w:val="28"/>
        </w:rPr>
        <w:t>”</w:t>
      </w:r>
      <w:r w:rsidR="008F5A7A" w:rsidRPr="00C15A46">
        <w:rPr>
          <w:b/>
          <w:bCs/>
          <w:color w:val="009999"/>
          <w:sz w:val="28"/>
          <w:szCs w:val="28"/>
        </w:rPr>
        <w:t>)</w:t>
      </w:r>
      <w:bookmarkEnd w:id="119"/>
    </w:p>
    <w:p w14:paraId="26426148" w14:textId="0895BBBA" w:rsidR="004F283A" w:rsidRDefault="00B15008" w:rsidP="0085565B">
      <w:pPr>
        <w:pStyle w:val="ListParagraph"/>
        <w:numPr>
          <w:ilvl w:val="1"/>
          <w:numId w:val="8"/>
        </w:numPr>
        <w:contextualSpacing w:val="0"/>
        <w:jc w:val="both"/>
      </w:pPr>
      <w:r>
        <w:t xml:space="preserve">PA 2023 </w:t>
      </w:r>
      <w:r w:rsidR="006728F6">
        <w:t>Section</w:t>
      </w:r>
      <w:r>
        <w:t xml:space="preserve"> 52 requires a minimum </w:t>
      </w:r>
      <w:r w:rsidR="00384118">
        <w:t>of three KPIs</w:t>
      </w:r>
      <w:r w:rsidR="00EC72CF">
        <w:t xml:space="preserve"> to be set for contracts with a</w:t>
      </w:r>
      <w:r w:rsidR="00C76486">
        <w:t>n estimated value greater than £5 million</w:t>
      </w:r>
      <w:r w:rsidR="0049621F">
        <w:t xml:space="preserve">. These KPIs and </w:t>
      </w:r>
      <w:r w:rsidR="00C23930">
        <w:t>contract performance information</w:t>
      </w:r>
      <w:r w:rsidR="0049621F">
        <w:t xml:space="preserve"> must be published by HMRC in line with PA 2023 </w:t>
      </w:r>
      <w:r w:rsidR="006728F6">
        <w:t>Section</w:t>
      </w:r>
      <w:r w:rsidR="0049621F">
        <w:t xml:space="preserve"> 71</w:t>
      </w:r>
      <w:r w:rsidR="001331C3">
        <w:t>. HMRC also reserves the r</w:t>
      </w:r>
      <w:r w:rsidR="00A140D4">
        <w:t>ight to set</w:t>
      </w:r>
      <w:r w:rsidR="00362CF7">
        <w:t xml:space="preserve"> contractual KPIs</w:t>
      </w:r>
      <w:r w:rsidR="00A140D4">
        <w:t xml:space="preserve"> and publish </w:t>
      </w:r>
      <w:r w:rsidR="00BF7EB7">
        <w:t>contrac</w:t>
      </w:r>
      <w:r w:rsidR="0014195A">
        <w:t>t performance information</w:t>
      </w:r>
      <w:r w:rsidR="00A140D4">
        <w:t xml:space="preserve"> for contracts that fall outside the requirements of </w:t>
      </w:r>
      <w:r w:rsidR="00DB08DB">
        <w:t>Sections</w:t>
      </w:r>
      <w:r w:rsidR="00362CF7">
        <w:t xml:space="preserve"> 52 and 71.</w:t>
      </w:r>
    </w:p>
    <w:p w14:paraId="768DEEC5" w14:textId="60DC9DD3" w:rsidR="00F91728" w:rsidRPr="00C15A46" w:rsidRDefault="00F91728" w:rsidP="0085565B">
      <w:pPr>
        <w:pStyle w:val="ListParagraph"/>
        <w:numPr>
          <w:ilvl w:val="1"/>
          <w:numId w:val="8"/>
        </w:numPr>
        <w:contextualSpacing w:val="0"/>
        <w:jc w:val="both"/>
      </w:pPr>
      <w:r w:rsidRPr="00C15A46">
        <w:t xml:space="preserve">The </w:t>
      </w:r>
      <w:r w:rsidR="004D0D9B" w:rsidRPr="00C15A46">
        <w:t xml:space="preserve">initial </w:t>
      </w:r>
      <w:r w:rsidR="00FB0A00" w:rsidRPr="00C15A46">
        <w:t>KPIs</w:t>
      </w:r>
      <w:r w:rsidR="008F5A7A" w:rsidRPr="00C15A46">
        <w:t xml:space="preserve"> </w:t>
      </w:r>
      <w:r w:rsidR="004D0D9B" w:rsidRPr="00C15A46">
        <w:t xml:space="preserve">that will </w:t>
      </w:r>
      <w:r w:rsidR="004D0D9B" w:rsidRPr="00C15A46">
        <w:rPr>
          <w:rFonts w:cs="Arial"/>
        </w:rPr>
        <w:t>apply</w:t>
      </w:r>
      <w:r w:rsidR="004D0D9B" w:rsidRPr="00C15A46">
        <w:t xml:space="preserve"> to this contract</w:t>
      </w:r>
      <w:r w:rsidRPr="00C15A46">
        <w:t xml:space="preserve"> </w:t>
      </w:r>
      <w:r w:rsidR="003E01AB">
        <w:t>will be</w:t>
      </w:r>
      <w:r w:rsidR="004D0D9B" w:rsidRPr="00C15A46">
        <w:t xml:space="preserve"> </w:t>
      </w:r>
      <w:r w:rsidR="004D0D9B" w:rsidRPr="00AE43FB">
        <w:t xml:space="preserve">included </w:t>
      </w:r>
      <w:r w:rsidR="00B43CBD" w:rsidRPr="00882729">
        <w:t xml:space="preserve">within </w:t>
      </w:r>
      <w:r w:rsidR="00BD1879" w:rsidRPr="00882729">
        <w:t xml:space="preserve">the </w:t>
      </w:r>
      <w:r w:rsidR="0068407D" w:rsidRPr="003B06DC">
        <w:t>D</w:t>
      </w:r>
      <w:r w:rsidR="00BD1879" w:rsidRPr="003B06DC">
        <w:t>raft Contract</w:t>
      </w:r>
      <w:r w:rsidR="00915D11" w:rsidRPr="003B06DC">
        <w:t>,</w:t>
      </w:r>
      <w:r w:rsidR="00915D11" w:rsidRPr="003E246C">
        <w:t xml:space="preserve"> to be published as</w:t>
      </w:r>
      <w:r w:rsidR="00D320B0" w:rsidRPr="003E246C">
        <w:t xml:space="preserve"> part of the ITS</w:t>
      </w:r>
      <w:r w:rsidR="00B76A6A" w:rsidRPr="003E246C">
        <w:t>IT</w:t>
      </w:r>
      <w:r w:rsidR="00B063F7" w:rsidRPr="003E246C">
        <w:t xml:space="preserve"> stage of this procurement</w:t>
      </w:r>
      <w:r w:rsidR="001B20A6" w:rsidRPr="003E246C">
        <w:t>.</w:t>
      </w:r>
      <w:r w:rsidR="001B20A6" w:rsidRPr="00AE43FB">
        <w:t xml:space="preserve"> HMRC</w:t>
      </w:r>
      <w:r w:rsidR="001B20A6" w:rsidRPr="00C15A46">
        <w:t xml:space="preserve"> reserve</w:t>
      </w:r>
      <w:r w:rsidR="0026359A" w:rsidRPr="00C15A46">
        <w:t>s</w:t>
      </w:r>
      <w:r w:rsidR="001B20A6" w:rsidRPr="00C15A46">
        <w:t xml:space="preserve"> the right to agree additional/</w:t>
      </w:r>
      <w:r w:rsidR="00727294" w:rsidRPr="00C15A46">
        <w:t xml:space="preserve">replacement KPIs with the successful supplier </w:t>
      </w:r>
      <w:r w:rsidR="00DF3FB2" w:rsidRPr="00C15A46">
        <w:t>over</w:t>
      </w:r>
      <w:r w:rsidR="009B70B2" w:rsidRPr="00C15A46">
        <w:t xml:space="preserve"> the duration of the contract</w:t>
      </w:r>
      <w:r w:rsidR="00E175E2" w:rsidRPr="00C15A46">
        <w:t>, in accordance with the contract terms</w:t>
      </w:r>
      <w:r w:rsidR="000E6E10" w:rsidRPr="00C15A46">
        <w:t>.</w:t>
      </w:r>
    </w:p>
    <w:p w14:paraId="0E433D08" w14:textId="14942539" w:rsidR="00A32BC9" w:rsidRPr="00387F71" w:rsidRDefault="00E82324" w:rsidP="0085565B">
      <w:pPr>
        <w:pStyle w:val="Head2"/>
        <w:numPr>
          <w:ilvl w:val="0"/>
          <w:numId w:val="8"/>
        </w:numPr>
        <w:spacing w:before="240"/>
        <w:jc w:val="both"/>
        <w:rPr>
          <w:bCs/>
          <w:szCs w:val="28"/>
        </w:rPr>
      </w:pPr>
      <w:bookmarkStart w:id="120" w:name="_Ref94262412"/>
      <w:bookmarkStart w:id="121" w:name="_Ref93071005"/>
      <w:bookmarkStart w:id="122" w:name="_Toc201679654"/>
      <w:r w:rsidRPr="00387F71">
        <w:rPr>
          <w:b/>
          <w:bCs/>
          <w:color w:val="009999"/>
          <w:sz w:val="28"/>
          <w:szCs w:val="28"/>
        </w:rPr>
        <w:t>EVALUATION METHODOLOGY</w:t>
      </w:r>
      <w:bookmarkEnd w:id="120"/>
      <w:bookmarkEnd w:id="121"/>
      <w:bookmarkEnd w:id="122"/>
    </w:p>
    <w:p w14:paraId="653B65B8" w14:textId="5617EC15" w:rsidR="00373660" w:rsidRPr="00963B92" w:rsidRDefault="00775C1D" w:rsidP="0085565B">
      <w:pPr>
        <w:pStyle w:val="ListParagraph"/>
        <w:numPr>
          <w:ilvl w:val="1"/>
          <w:numId w:val="8"/>
        </w:numPr>
        <w:contextualSpacing w:val="0"/>
        <w:jc w:val="both"/>
        <w:rPr>
          <w:rFonts w:cs="Arial"/>
        </w:rPr>
      </w:pPr>
      <w:r>
        <w:rPr>
          <w:rFonts w:cs="Arial"/>
        </w:rPr>
        <w:t xml:space="preserve">The responses to the PSQ will be evaluated </w:t>
      </w:r>
      <w:r w:rsidR="005804F2">
        <w:rPr>
          <w:rFonts w:cs="Arial"/>
        </w:rPr>
        <w:t xml:space="preserve">and scored </w:t>
      </w:r>
      <w:r w:rsidR="00ED5863">
        <w:rPr>
          <w:rFonts w:cs="Arial"/>
        </w:rPr>
        <w:t xml:space="preserve">using the methodology </w:t>
      </w:r>
      <w:r w:rsidR="005804F2">
        <w:rPr>
          <w:rFonts w:cs="Arial"/>
        </w:rPr>
        <w:t xml:space="preserve">outlined below </w:t>
      </w:r>
      <w:r w:rsidR="002047FA">
        <w:rPr>
          <w:rFonts w:cs="Arial"/>
        </w:rPr>
        <w:t xml:space="preserve">in this paragraph 12 </w:t>
      </w:r>
      <w:r w:rsidR="005804F2">
        <w:rPr>
          <w:rFonts w:cs="Arial"/>
        </w:rPr>
        <w:t xml:space="preserve">and in </w:t>
      </w:r>
      <w:r w:rsidR="00A55D53">
        <w:rPr>
          <w:rFonts w:cs="Arial"/>
        </w:rPr>
        <w:t>Schedule 3</w:t>
      </w:r>
      <w:r w:rsidR="005804F2">
        <w:rPr>
          <w:rFonts w:cs="Arial"/>
        </w:rPr>
        <w:t xml:space="preserve"> of this document</w:t>
      </w:r>
      <w:r w:rsidR="00DB4052" w:rsidRPr="00387F71">
        <w:rPr>
          <w:rFonts w:cs="Arial"/>
        </w:rPr>
        <w:t xml:space="preserve">. </w:t>
      </w:r>
      <w:r w:rsidR="00373660" w:rsidRPr="00963B92">
        <w:rPr>
          <w:rFonts w:cs="Arial"/>
        </w:rPr>
        <w:t xml:space="preserve">Any contract(s) </w:t>
      </w:r>
      <w:r w:rsidR="005C71CB">
        <w:rPr>
          <w:rFonts w:cs="Arial"/>
        </w:rPr>
        <w:t>subsequently</w:t>
      </w:r>
      <w:r w:rsidR="00373660" w:rsidRPr="00963B92">
        <w:rPr>
          <w:rFonts w:cs="Arial"/>
        </w:rPr>
        <w:t xml:space="preserve"> awarded </w:t>
      </w:r>
      <w:proofErr w:type="gramStart"/>
      <w:r w:rsidR="00373660" w:rsidRPr="00963B92">
        <w:rPr>
          <w:rFonts w:cs="Arial"/>
        </w:rPr>
        <w:t>as a result of</w:t>
      </w:r>
      <w:proofErr w:type="gramEnd"/>
      <w:r w:rsidR="00373660" w:rsidRPr="00963B92">
        <w:rPr>
          <w:rFonts w:cs="Arial"/>
        </w:rPr>
        <w:t xml:space="preserve"> this procurement will be awarded on the basis of the offer that is the most advantageous</w:t>
      </w:r>
      <w:r w:rsidR="00D97E8A" w:rsidRPr="00963B92">
        <w:rPr>
          <w:rFonts w:cs="Arial"/>
        </w:rPr>
        <w:t xml:space="preserve"> tender (MAT)</w:t>
      </w:r>
      <w:r w:rsidR="00373660" w:rsidRPr="00963B92">
        <w:rPr>
          <w:rFonts w:cs="Arial"/>
        </w:rPr>
        <w:t xml:space="preserve"> to HMRC</w:t>
      </w:r>
      <w:r w:rsidR="00507BF9" w:rsidRPr="00963B92">
        <w:rPr>
          <w:rFonts w:cs="Arial"/>
        </w:rPr>
        <w:t xml:space="preserve">, based on </w:t>
      </w:r>
      <w:r w:rsidR="00A40BEB">
        <w:rPr>
          <w:rFonts w:cs="Arial"/>
        </w:rPr>
        <w:t xml:space="preserve">the </w:t>
      </w:r>
      <w:r w:rsidR="0098478B">
        <w:rPr>
          <w:rFonts w:cs="Arial"/>
        </w:rPr>
        <w:t>weighting breakdown</w:t>
      </w:r>
      <w:r w:rsidR="00507BF9" w:rsidRPr="00963B92">
        <w:rPr>
          <w:rFonts w:cs="Arial"/>
        </w:rPr>
        <w:t xml:space="preserve"> described below </w:t>
      </w:r>
      <w:r w:rsidR="00990C1D" w:rsidRPr="00963B92">
        <w:rPr>
          <w:rFonts w:cs="Arial"/>
        </w:rPr>
        <w:t xml:space="preserve">under the Award Questionnaire </w:t>
      </w:r>
      <w:r w:rsidR="00F84D38">
        <w:rPr>
          <w:rFonts w:cs="Arial"/>
        </w:rPr>
        <w:t>paragraph</w:t>
      </w:r>
      <w:r w:rsidR="00B57E2E">
        <w:rPr>
          <w:rFonts w:cs="Arial"/>
        </w:rPr>
        <w:t xml:space="preserve"> (</w:t>
      </w:r>
      <w:r w:rsidR="00476D56">
        <w:rPr>
          <w:rFonts w:cs="Arial"/>
        </w:rPr>
        <w:t>paragraph</w:t>
      </w:r>
      <w:r w:rsidR="00B57E2E">
        <w:rPr>
          <w:rFonts w:cs="Arial"/>
        </w:rPr>
        <w:t xml:space="preserve"> 12.7)</w:t>
      </w:r>
      <w:r w:rsidR="00373660" w:rsidRPr="00963B92">
        <w:rPr>
          <w:rFonts w:cs="Arial"/>
        </w:rPr>
        <w:t>.</w:t>
      </w:r>
    </w:p>
    <w:p w14:paraId="6378D9A3" w14:textId="03466991" w:rsidR="00EA050E" w:rsidRDefault="001D05C0" w:rsidP="0085565B">
      <w:pPr>
        <w:pStyle w:val="ListParagraph"/>
        <w:numPr>
          <w:ilvl w:val="1"/>
          <w:numId w:val="8"/>
        </w:numPr>
        <w:contextualSpacing w:val="0"/>
        <w:jc w:val="both"/>
        <w:rPr>
          <w:rFonts w:cs="Arial"/>
        </w:rPr>
      </w:pPr>
      <w:r w:rsidRPr="00CE7219">
        <w:rPr>
          <w:rFonts w:cs="Arial"/>
        </w:rPr>
        <w:t>Schedule 1</w:t>
      </w:r>
      <w:r w:rsidR="003F0174" w:rsidRPr="00CE7219">
        <w:rPr>
          <w:rFonts w:cs="Arial"/>
        </w:rPr>
        <w:t xml:space="preserve"> </w:t>
      </w:r>
      <w:r w:rsidRPr="00CE7219">
        <w:rPr>
          <w:rFonts w:cs="Arial"/>
        </w:rPr>
        <w:t>of</w:t>
      </w:r>
      <w:r w:rsidR="000B561B" w:rsidRPr="00CE7219">
        <w:rPr>
          <w:rFonts w:cs="Arial"/>
        </w:rPr>
        <w:t xml:space="preserve"> this </w:t>
      </w:r>
      <w:r w:rsidR="005F56D9" w:rsidRPr="00CE7219">
        <w:rPr>
          <w:rFonts w:cs="Arial"/>
        </w:rPr>
        <w:t>document</w:t>
      </w:r>
      <w:r w:rsidR="000B561B" w:rsidRPr="00CE7219">
        <w:rPr>
          <w:rFonts w:cs="Arial"/>
        </w:rPr>
        <w:t xml:space="preserve"> </w:t>
      </w:r>
      <w:r w:rsidRPr="00CE7219">
        <w:rPr>
          <w:rFonts w:cs="Arial"/>
        </w:rPr>
        <w:t>provide</w:t>
      </w:r>
      <w:r w:rsidR="00EA050E">
        <w:rPr>
          <w:rFonts w:cs="Arial"/>
        </w:rPr>
        <w:t>s</w:t>
      </w:r>
      <w:r w:rsidRPr="00CE7219">
        <w:rPr>
          <w:rFonts w:cs="Arial"/>
        </w:rPr>
        <w:t xml:space="preserve"> </w:t>
      </w:r>
      <w:r w:rsidR="00853EB7">
        <w:rPr>
          <w:rFonts w:cs="Arial"/>
        </w:rPr>
        <w:t>a complete list of</w:t>
      </w:r>
      <w:r w:rsidR="000B561B" w:rsidRPr="00CE7219">
        <w:rPr>
          <w:rFonts w:cs="Arial"/>
        </w:rPr>
        <w:t xml:space="preserve"> questions included in the</w:t>
      </w:r>
      <w:r w:rsidR="00EA050E">
        <w:rPr>
          <w:rFonts w:cs="Arial"/>
        </w:rPr>
        <w:t xml:space="preserve"> PSQ</w:t>
      </w:r>
      <w:r w:rsidR="000B561B" w:rsidRPr="00CE7219">
        <w:rPr>
          <w:rFonts w:cs="Arial"/>
        </w:rPr>
        <w:t xml:space="preserve">. </w:t>
      </w:r>
      <w:r w:rsidR="00433587">
        <w:rPr>
          <w:rFonts w:cs="Arial"/>
        </w:rPr>
        <w:t>Tenderer</w:t>
      </w:r>
      <w:r w:rsidR="000B561B" w:rsidRPr="00CE7219">
        <w:rPr>
          <w:rFonts w:cs="Arial"/>
        </w:rPr>
        <w:t>s are advised to review all evaluation criteria, questions and supporting documents carefully.</w:t>
      </w:r>
    </w:p>
    <w:p w14:paraId="7EFDF17D" w14:textId="073C7895" w:rsidR="00FA5BB7" w:rsidRDefault="00502CB2" w:rsidP="0085565B">
      <w:pPr>
        <w:pStyle w:val="ListParagraph"/>
        <w:numPr>
          <w:ilvl w:val="1"/>
          <w:numId w:val="8"/>
        </w:numPr>
        <w:contextualSpacing w:val="0"/>
        <w:jc w:val="both"/>
        <w:rPr>
          <w:rFonts w:eastAsiaTheme="majorEastAsia" w:cs="Arial"/>
          <w:color w:val="000000"/>
          <w:szCs w:val="32"/>
        </w:rPr>
      </w:pPr>
      <w:r>
        <w:rPr>
          <w:rFonts w:eastAsiaTheme="majorEastAsia" w:cs="Arial"/>
          <w:color w:val="000000"/>
          <w:szCs w:val="32"/>
        </w:rPr>
        <w:t>PSQ responses</w:t>
      </w:r>
      <w:r w:rsidRPr="00235A98">
        <w:rPr>
          <w:rFonts w:eastAsiaTheme="majorEastAsia" w:cs="Arial"/>
          <w:color w:val="000000"/>
          <w:szCs w:val="32"/>
        </w:rPr>
        <w:t xml:space="preserve"> </w:t>
      </w:r>
      <w:r w:rsidR="00FA5BB7" w:rsidRPr="00235A98">
        <w:rPr>
          <w:rFonts w:eastAsiaTheme="majorEastAsia" w:cs="Arial"/>
          <w:color w:val="000000"/>
          <w:szCs w:val="32"/>
        </w:rPr>
        <w:t xml:space="preserve">will be </w:t>
      </w:r>
      <w:r w:rsidR="00FA5BB7" w:rsidRPr="00880F26">
        <w:rPr>
          <w:rFonts w:cs="Arial"/>
        </w:rPr>
        <w:t>checked</w:t>
      </w:r>
      <w:r w:rsidR="00FA5BB7" w:rsidRPr="00235A98">
        <w:rPr>
          <w:rFonts w:eastAsiaTheme="majorEastAsia" w:cs="Arial"/>
          <w:color w:val="000000"/>
          <w:szCs w:val="32"/>
        </w:rPr>
        <w:t xml:space="preserve"> for compliance with the submission requirements set out in this </w:t>
      </w:r>
      <w:r w:rsidR="00EC1408">
        <w:rPr>
          <w:rFonts w:eastAsiaTheme="majorEastAsia" w:cs="Arial"/>
          <w:color w:val="000000"/>
          <w:szCs w:val="32"/>
        </w:rPr>
        <w:t>document</w:t>
      </w:r>
      <w:r w:rsidR="00474283">
        <w:rPr>
          <w:rStyle w:val="CommentReference"/>
        </w:rPr>
        <w:t>.</w:t>
      </w:r>
      <w:r w:rsidR="00FA5BB7" w:rsidRPr="00235A98">
        <w:rPr>
          <w:rFonts w:eastAsiaTheme="majorEastAsia" w:cs="Arial"/>
          <w:color w:val="000000"/>
          <w:szCs w:val="32"/>
        </w:rPr>
        <w:t xml:space="preserve"> If </w:t>
      </w:r>
      <w:r w:rsidR="00FA5BB7">
        <w:rPr>
          <w:rFonts w:eastAsiaTheme="majorEastAsia" w:cs="Arial"/>
          <w:color w:val="000000"/>
          <w:szCs w:val="32"/>
        </w:rPr>
        <w:t xml:space="preserve">HMRC considers a </w:t>
      </w:r>
      <w:r w:rsidR="00D07358">
        <w:rPr>
          <w:rFonts w:eastAsiaTheme="majorEastAsia" w:cs="Arial"/>
          <w:color w:val="000000"/>
          <w:szCs w:val="32"/>
        </w:rPr>
        <w:t xml:space="preserve">response </w:t>
      </w:r>
      <w:r w:rsidR="00FA5BB7">
        <w:rPr>
          <w:rFonts w:eastAsiaTheme="majorEastAsia" w:cs="Arial"/>
          <w:color w:val="000000"/>
          <w:szCs w:val="32"/>
        </w:rPr>
        <w:t>is non-compliant, HMRC</w:t>
      </w:r>
      <w:r w:rsidR="00FA5BB7" w:rsidRPr="00235A98">
        <w:rPr>
          <w:rFonts w:eastAsiaTheme="majorEastAsia" w:cs="Arial"/>
          <w:color w:val="000000"/>
          <w:szCs w:val="32"/>
        </w:rPr>
        <w:t xml:space="preserve"> </w:t>
      </w:r>
      <w:r w:rsidR="00FA5BB7">
        <w:rPr>
          <w:rFonts w:eastAsiaTheme="majorEastAsia" w:cs="Arial"/>
          <w:color w:val="000000"/>
          <w:szCs w:val="32"/>
        </w:rPr>
        <w:t>may reject</w:t>
      </w:r>
      <w:r w:rsidR="00FA5BB7" w:rsidRPr="00235A98">
        <w:rPr>
          <w:rFonts w:eastAsiaTheme="majorEastAsia" w:cs="Arial"/>
          <w:color w:val="000000"/>
          <w:szCs w:val="32"/>
        </w:rPr>
        <w:t xml:space="preserve"> the </w:t>
      </w:r>
      <w:r w:rsidR="00D07358">
        <w:rPr>
          <w:rFonts w:eastAsiaTheme="majorEastAsia" w:cs="Arial"/>
          <w:color w:val="000000"/>
          <w:szCs w:val="32"/>
        </w:rPr>
        <w:t>response.</w:t>
      </w:r>
    </w:p>
    <w:p w14:paraId="354E2764" w14:textId="32397BF9" w:rsidR="007441B4" w:rsidRDefault="002A5C53" w:rsidP="0085565B">
      <w:pPr>
        <w:pStyle w:val="ListParagraph"/>
        <w:numPr>
          <w:ilvl w:val="1"/>
          <w:numId w:val="8"/>
        </w:numPr>
        <w:contextualSpacing w:val="0"/>
        <w:jc w:val="both"/>
        <w:rPr>
          <w:rFonts w:eastAsiaTheme="majorEastAsia" w:cs="Arial"/>
          <w:color w:val="000000"/>
          <w:szCs w:val="32"/>
        </w:rPr>
      </w:pPr>
      <w:r>
        <w:rPr>
          <w:rFonts w:eastAsiaTheme="majorEastAsia" w:cs="Arial"/>
          <w:color w:val="000000"/>
          <w:szCs w:val="32"/>
        </w:rPr>
        <w:t xml:space="preserve">Unless stated otherwise </w:t>
      </w:r>
      <w:r w:rsidR="00254161">
        <w:rPr>
          <w:rFonts w:eastAsiaTheme="majorEastAsia" w:cs="Arial"/>
          <w:color w:val="000000"/>
          <w:szCs w:val="32"/>
        </w:rPr>
        <w:t>with</w:t>
      </w:r>
      <w:r>
        <w:rPr>
          <w:rFonts w:eastAsiaTheme="majorEastAsia" w:cs="Arial"/>
          <w:color w:val="000000"/>
          <w:szCs w:val="32"/>
        </w:rPr>
        <w:t xml:space="preserve">in the individual questions, </w:t>
      </w:r>
      <w:r w:rsidR="00433587">
        <w:rPr>
          <w:rFonts w:eastAsiaTheme="majorEastAsia" w:cs="Arial"/>
          <w:color w:val="000000"/>
          <w:szCs w:val="32"/>
        </w:rPr>
        <w:t>Tenderer</w:t>
      </w:r>
      <w:r>
        <w:rPr>
          <w:rFonts w:eastAsiaTheme="majorEastAsia" w:cs="Arial"/>
          <w:color w:val="000000"/>
          <w:szCs w:val="32"/>
        </w:rPr>
        <w:t xml:space="preserve">s must provide </w:t>
      </w:r>
      <w:r w:rsidR="00254161">
        <w:rPr>
          <w:rFonts w:eastAsiaTheme="majorEastAsia" w:cs="Arial"/>
          <w:color w:val="000000"/>
          <w:szCs w:val="32"/>
        </w:rPr>
        <w:t>a response</w:t>
      </w:r>
      <w:r>
        <w:rPr>
          <w:rFonts w:eastAsiaTheme="majorEastAsia" w:cs="Arial"/>
          <w:color w:val="000000"/>
          <w:szCs w:val="32"/>
        </w:rPr>
        <w:t xml:space="preserve"> </w:t>
      </w:r>
      <w:r w:rsidR="00A34364">
        <w:rPr>
          <w:rFonts w:eastAsiaTheme="majorEastAsia" w:cs="Arial"/>
          <w:color w:val="000000"/>
          <w:szCs w:val="32"/>
        </w:rPr>
        <w:t>to every question included</w:t>
      </w:r>
      <w:r w:rsidR="00254161">
        <w:rPr>
          <w:rFonts w:eastAsiaTheme="majorEastAsia" w:cs="Arial"/>
          <w:color w:val="000000"/>
          <w:szCs w:val="32"/>
        </w:rPr>
        <w:t xml:space="preserve"> </w:t>
      </w:r>
      <w:r w:rsidR="00815469">
        <w:rPr>
          <w:rFonts w:eastAsiaTheme="majorEastAsia" w:cs="Arial"/>
          <w:color w:val="000000"/>
          <w:szCs w:val="32"/>
        </w:rPr>
        <w:t xml:space="preserve">within the </w:t>
      </w:r>
      <w:r w:rsidR="00B96D03">
        <w:rPr>
          <w:rFonts w:eastAsiaTheme="majorEastAsia" w:cs="Arial"/>
          <w:color w:val="000000"/>
          <w:szCs w:val="32"/>
        </w:rPr>
        <w:t>PSQ</w:t>
      </w:r>
      <w:r w:rsidR="00254161">
        <w:rPr>
          <w:rFonts w:eastAsiaTheme="majorEastAsia" w:cs="Arial"/>
          <w:color w:val="000000"/>
          <w:szCs w:val="32"/>
        </w:rPr>
        <w:t xml:space="preserve">. HMRC reserve the right to reject </w:t>
      </w:r>
      <w:r w:rsidR="003C3A00">
        <w:rPr>
          <w:rFonts w:eastAsiaTheme="majorEastAsia" w:cs="Arial"/>
          <w:color w:val="000000"/>
          <w:szCs w:val="32"/>
        </w:rPr>
        <w:t xml:space="preserve">the </w:t>
      </w:r>
      <w:r w:rsidR="00433587">
        <w:rPr>
          <w:rFonts w:eastAsiaTheme="majorEastAsia" w:cs="Arial"/>
          <w:color w:val="000000"/>
          <w:szCs w:val="32"/>
        </w:rPr>
        <w:t>Tenderer</w:t>
      </w:r>
      <w:r w:rsidR="003C3A00">
        <w:rPr>
          <w:rFonts w:eastAsiaTheme="majorEastAsia" w:cs="Arial"/>
          <w:color w:val="000000"/>
          <w:szCs w:val="32"/>
        </w:rPr>
        <w:t xml:space="preserve">’s </w:t>
      </w:r>
      <w:r w:rsidR="00A155BD">
        <w:rPr>
          <w:rFonts w:eastAsiaTheme="majorEastAsia" w:cs="Arial"/>
          <w:color w:val="000000"/>
          <w:szCs w:val="32"/>
        </w:rPr>
        <w:t xml:space="preserve">response </w:t>
      </w:r>
      <w:r w:rsidR="003C3A00">
        <w:rPr>
          <w:rFonts w:eastAsiaTheme="majorEastAsia" w:cs="Arial"/>
          <w:color w:val="000000"/>
          <w:szCs w:val="32"/>
        </w:rPr>
        <w:t>if it contains</w:t>
      </w:r>
      <w:r w:rsidR="00867129">
        <w:rPr>
          <w:rFonts w:eastAsiaTheme="majorEastAsia" w:cs="Arial"/>
          <w:color w:val="000000"/>
          <w:szCs w:val="32"/>
        </w:rPr>
        <w:t xml:space="preserve"> any </w:t>
      </w:r>
      <w:r w:rsidR="00F82BDF">
        <w:rPr>
          <w:rFonts w:eastAsiaTheme="majorEastAsia" w:cs="Arial"/>
          <w:color w:val="000000"/>
          <w:szCs w:val="32"/>
        </w:rPr>
        <w:t>of the following</w:t>
      </w:r>
      <w:r w:rsidR="007441B4">
        <w:rPr>
          <w:rFonts w:eastAsiaTheme="majorEastAsia" w:cs="Arial"/>
          <w:color w:val="000000"/>
          <w:szCs w:val="32"/>
        </w:rPr>
        <w:t>:</w:t>
      </w:r>
    </w:p>
    <w:p w14:paraId="2315F949" w14:textId="186C2AF3" w:rsidR="000349CD" w:rsidRDefault="006D5F39" w:rsidP="0085565B">
      <w:pPr>
        <w:pStyle w:val="ListParagraph"/>
        <w:numPr>
          <w:ilvl w:val="2"/>
          <w:numId w:val="8"/>
        </w:numPr>
        <w:contextualSpacing w:val="0"/>
        <w:jc w:val="both"/>
        <w:rPr>
          <w:rFonts w:eastAsiaTheme="majorEastAsia" w:cs="Arial"/>
          <w:color w:val="000000"/>
          <w:szCs w:val="32"/>
        </w:rPr>
      </w:pPr>
      <w:r>
        <w:rPr>
          <w:rFonts w:eastAsiaTheme="majorEastAsia" w:cs="Arial"/>
          <w:color w:val="000000"/>
          <w:szCs w:val="32"/>
        </w:rPr>
        <w:t>U</w:t>
      </w:r>
      <w:r w:rsidR="00867129">
        <w:rPr>
          <w:rFonts w:eastAsiaTheme="majorEastAsia" w:cs="Arial"/>
          <w:color w:val="000000"/>
          <w:szCs w:val="32"/>
        </w:rPr>
        <w:t>nanswered</w:t>
      </w:r>
      <w:r w:rsidR="000B60E7">
        <w:rPr>
          <w:rFonts w:eastAsiaTheme="majorEastAsia" w:cs="Arial"/>
          <w:color w:val="000000"/>
          <w:szCs w:val="32"/>
        </w:rPr>
        <w:t xml:space="preserve"> questions</w:t>
      </w:r>
      <w:r>
        <w:rPr>
          <w:rFonts w:eastAsiaTheme="majorEastAsia" w:cs="Arial"/>
          <w:color w:val="000000"/>
          <w:szCs w:val="32"/>
        </w:rPr>
        <w:t xml:space="preserve"> and/or incomplete</w:t>
      </w:r>
      <w:r w:rsidR="00867129">
        <w:rPr>
          <w:rFonts w:eastAsiaTheme="majorEastAsia" w:cs="Arial"/>
          <w:color w:val="000000"/>
          <w:szCs w:val="32"/>
        </w:rPr>
        <w:t xml:space="preserve"> question</w:t>
      </w:r>
      <w:r w:rsidR="000B60E7">
        <w:rPr>
          <w:rFonts w:eastAsiaTheme="majorEastAsia" w:cs="Arial"/>
          <w:color w:val="000000"/>
          <w:szCs w:val="32"/>
        </w:rPr>
        <w:t xml:space="preserve"> responses</w:t>
      </w:r>
      <w:r w:rsidR="00B14031">
        <w:rPr>
          <w:rFonts w:eastAsiaTheme="majorEastAsia" w:cs="Arial"/>
          <w:color w:val="000000"/>
          <w:szCs w:val="32"/>
        </w:rPr>
        <w:t xml:space="preserve">; </w:t>
      </w:r>
      <w:r w:rsidR="00601869">
        <w:rPr>
          <w:rFonts w:eastAsiaTheme="majorEastAsia" w:cs="Arial"/>
          <w:color w:val="000000"/>
          <w:szCs w:val="32"/>
        </w:rPr>
        <w:t>and/</w:t>
      </w:r>
      <w:r w:rsidR="00B14031">
        <w:rPr>
          <w:rFonts w:eastAsiaTheme="majorEastAsia" w:cs="Arial"/>
          <w:color w:val="000000"/>
          <w:szCs w:val="32"/>
        </w:rPr>
        <w:t>or</w:t>
      </w:r>
      <w:r w:rsidR="001C787F">
        <w:rPr>
          <w:rFonts w:eastAsiaTheme="majorEastAsia" w:cs="Arial"/>
          <w:color w:val="000000"/>
          <w:szCs w:val="32"/>
        </w:rPr>
        <w:t xml:space="preserve"> </w:t>
      </w:r>
    </w:p>
    <w:p w14:paraId="2941E9C1" w14:textId="7456E380" w:rsidR="00C321A1" w:rsidRDefault="00C363AA" w:rsidP="0085565B">
      <w:pPr>
        <w:pStyle w:val="ListParagraph"/>
        <w:numPr>
          <w:ilvl w:val="2"/>
          <w:numId w:val="8"/>
        </w:numPr>
        <w:contextualSpacing w:val="0"/>
        <w:jc w:val="both"/>
        <w:rPr>
          <w:rFonts w:eastAsiaTheme="majorEastAsia" w:cs="Arial"/>
          <w:color w:val="000000"/>
          <w:szCs w:val="32"/>
        </w:rPr>
      </w:pPr>
      <w:r>
        <w:rPr>
          <w:rFonts w:eastAsiaTheme="majorEastAsia" w:cs="Arial"/>
          <w:color w:val="000000"/>
          <w:szCs w:val="32"/>
        </w:rPr>
        <w:t>E</w:t>
      </w:r>
      <w:r w:rsidR="002D6316">
        <w:rPr>
          <w:rFonts w:eastAsiaTheme="majorEastAsia" w:cs="Arial"/>
          <w:color w:val="000000"/>
          <w:szCs w:val="32"/>
        </w:rPr>
        <w:t>rroneous</w:t>
      </w:r>
      <w:r w:rsidR="000349CD">
        <w:rPr>
          <w:rFonts w:eastAsiaTheme="majorEastAsia" w:cs="Arial"/>
          <w:color w:val="000000"/>
          <w:szCs w:val="32"/>
        </w:rPr>
        <w:t xml:space="preserve"> and/or </w:t>
      </w:r>
      <w:r w:rsidR="00181D7C">
        <w:rPr>
          <w:rFonts w:eastAsiaTheme="majorEastAsia" w:cs="Arial"/>
          <w:color w:val="000000"/>
          <w:szCs w:val="32"/>
        </w:rPr>
        <w:t>inaccurate</w:t>
      </w:r>
      <w:r w:rsidR="002D6316">
        <w:rPr>
          <w:rFonts w:eastAsiaTheme="majorEastAsia" w:cs="Arial"/>
          <w:color w:val="000000"/>
          <w:szCs w:val="32"/>
        </w:rPr>
        <w:t xml:space="preserve"> information</w:t>
      </w:r>
      <w:r w:rsidR="00B14031">
        <w:rPr>
          <w:rFonts w:eastAsiaTheme="majorEastAsia" w:cs="Arial"/>
          <w:color w:val="000000"/>
          <w:szCs w:val="32"/>
        </w:rPr>
        <w:t>.</w:t>
      </w:r>
    </w:p>
    <w:p w14:paraId="1BD33829" w14:textId="71074281" w:rsidR="00745590" w:rsidRPr="00745590" w:rsidRDefault="00745590" w:rsidP="0085565B">
      <w:pPr>
        <w:pStyle w:val="ListParagraph"/>
        <w:numPr>
          <w:ilvl w:val="1"/>
          <w:numId w:val="8"/>
        </w:numPr>
        <w:contextualSpacing w:val="0"/>
        <w:jc w:val="both"/>
      </w:pPr>
      <w:r>
        <w:t xml:space="preserve">HMRC reserves the right to conduct further due diligence checks to determine the accuracy of the information provided by </w:t>
      </w:r>
      <w:r w:rsidR="00433587">
        <w:t>Tenderer</w:t>
      </w:r>
      <w:r w:rsidR="000A227A">
        <w:t>s</w:t>
      </w:r>
      <w:r>
        <w:t xml:space="preserve"> as part of their response. This may include, but is not limited to, checks of wider data</w:t>
      </w:r>
      <w:r w:rsidR="00702045">
        <w:t xml:space="preserve"> sources</w:t>
      </w:r>
      <w:r>
        <w:t xml:space="preserve"> (e.g. tax compliance checks) and requesting further evidence from </w:t>
      </w:r>
      <w:r w:rsidR="00433587">
        <w:t>Tenderer</w:t>
      </w:r>
      <w:r>
        <w:t>s. HMRC reserves the right to</w:t>
      </w:r>
      <w:r w:rsidR="00F274BD">
        <w:t xml:space="preserve"> reject</w:t>
      </w:r>
      <w:r>
        <w:t xml:space="preserve"> your</w:t>
      </w:r>
      <w:r w:rsidR="003C37F8">
        <w:t xml:space="preserve"> response</w:t>
      </w:r>
      <w:r>
        <w:t xml:space="preserve"> submission should you fail to provide further evidence in any timescales stipulated and/or further due diligence checks identify non-compliance with the requirements outlined </w:t>
      </w:r>
      <w:r w:rsidR="003C37F8">
        <w:t>within this</w:t>
      </w:r>
      <w:r>
        <w:t xml:space="preserve"> document</w:t>
      </w:r>
      <w:r w:rsidR="00A80AE9">
        <w:t>.</w:t>
      </w:r>
    </w:p>
    <w:p w14:paraId="6AFCEE2B" w14:textId="593A11D3" w:rsidR="00AF01C3" w:rsidRDefault="00536171" w:rsidP="0085565B">
      <w:pPr>
        <w:pStyle w:val="ListParagraph"/>
        <w:numPr>
          <w:ilvl w:val="1"/>
          <w:numId w:val="8"/>
        </w:numPr>
        <w:contextualSpacing w:val="0"/>
        <w:jc w:val="both"/>
        <w:rPr>
          <w:rFonts w:cs="Arial"/>
        </w:rPr>
      </w:pPr>
      <w:r w:rsidRPr="00536171">
        <w:rPr>
          <w:rFonts w:cs="Arial"/>
          <w:b/>
          <w:bCs/>
        </w:rPr>
        <w:t>Procurement Specific Questionnaire (“PSQ”)</w:t>
      </w:r>
      <w:r w:rsidR="00B44F1E">
        <w:rPr>
          <w:rFonts w:cs="Arial"/>
          <w:b/>
          <w:bCs/>
        </w:rPr>
        <w:t xml:space="preserve"> – Stage 1</w:t>
      </w:r>
    </w:p>
    <w:p w14:paraId="5E11FEC9" w14:textId="7EC75C76" w:rsidR="00976F01" w:rsidRPr="00387F71" w:rsidRDefault="00976F01" w:rsidP="0085565B">
      <w:pPr>
        <w:pStyle w:val="ListParagraph"/>
        <w:numPr>
          <w:ilvl w:val="2"/>
          <w:numId w:val="8"/>
        </w:numPr>
        <w:contextualSpacing w:val="0"/>
        <w:jc w:val="both"/>
        <w:rPr>
          <w:rFonts w:cs="Arial"/>
        </w:rPr>
      </w:pPr>
      <w:r w:rsidRPr="00387F71">
        <w:rPr>
          <w:rFonts w:cs="Arial"/>
        </w:rPr>
        <w:t xml:space="preserve">The Procurement Regulations 2024 require certain sections of the </w:t>
      </w:r>
      <w:r w:rsidR="00536171" w:rsidRPr="00387F71">
        <w:rPr>
          <w:rFonts w:cs="Arial"/>
        </w:rPr>
        <w:t>PSQ</w:t>
      </w:r>
      <w:r w:rsidRPr="00387F71">
        <w:rPr>
          <w:rFonts w:cs="Arial"/>
        </w:rPr>
        <w:t xml:space="preserve"> (Core Supplier Information) to be completed on the Governments Central Digital Platform (CDP), with the remainder of the questions completed directly on the Ariba eProcurement system. </w:t>
      </w:r>
    </w:p>
    <w:p w14:paraId="0233C944" w14:textId="5DE5505E" w:rsidR="00976F01" w:rsidRPr="00387F71" w:rsidRDefault="00976F01" w:rsidP="009D7A31">
      <w:pPr>
        <w:pStyle w:val="ListParagraph"/>
        <w:ind w:left="1419"/>
        <w:jc w:val="both"/>
        <w:rPr>
          <w:rFonts w:cs="Arial"/>
        </w:rPr>
      </w:pPr>
      <w:r w:rsidRPr="00387F71">
        <w:rPr>
          <w:rFonts w:cs="Arial"/>
        </w:rPr>
        <w:t xml:space="preserve">Core Supplier Information comprises basic information about the supplier (as listed in </w:t>
      </w:r>
      <w:r w:rsidR="003B57FF">
        <w:rPr>
          <w:rFonts w:cs="Arial"/>
        </w:rPr>
        <w:t>R</w:t>
      </w:r>
      <w:r w:rsidRPr="00387F71">
        <w:rPr>
          <w:rFonts w:cs="Arial"/>
        </w:rPr>
        <w:t xml:space="preserve">egulation 9 of the Procurement Regulations 2024), economic and financial standing information about the supplier (as listed in </w:t>
      </w:r>
      <w:r w:rsidR="003B57FF">
        <w:rPr>
          <w:rFonts w:cs="Arial"/>
        </w:rPr>
        <w:t>R</w:t>
      </w:r>
      <w:r w:rsidRPr="00387F71">
        <w:rPr>
          <w:rFonts w:cs="Arial"/>
        </w:rPr>
        <w:t xml:space="preserve">egulation 10), information about the supplier’s connected persons (as listed in </w:t>
      </w:r>
      <w:r w:rsidR="003B57FF">
        <w:rPr>
          <w:rFonts w:cs="Arial"/>
        </w:rPr>
        <w:t>R</w:t>
      </w:r>
      <w:r w:rsidRPr="00387F71">
        <w:rPr>
          <w:rFonts w:cs="Arial"/>
        </w:rPr>
        <w:t xml:space="preserve">egulation 11) and exclusions information about the supplier and its connected persons (as listed in </w:t>
      </w:r>
      <w:r w:rsidR="003B57FF">
        <w:rPr>
          <w:rFonts w:cs="Arial"/>
        </w:rPr>
        <w:t>R</w:t>
      </w:r>
      <w:r w:rsidRPr="00387F71">
        <w:rPr>
          <w:rFonts w:cs="Arial"/>
        </w:rPr>
        <w:t>egulation 12).</w:t>
      </w:r>
    </w:p>
    <w:p w14:paraId="553768C8" w14:textId="77777777" w:rsidR="00976F01" w:rsidRPr="00387F71" w:rsidRDefault="00976F01" w:rsidP="009D7A31">
      <w:pPr>
        <w:pStyle w:val="ListParagraph"/>
        <w:ind w:left="1419"/>
        <w:jc w:val="both"/>
        <w:rPr>
          <w:rFonts w:cs="Arial"/>
        </w:rPr>
      </w:pPr>
    </w:p>
    <w:p w14:paraId="2F94AB4D" w14:textId="2ECA1E06" w:rsidR="00976F01" w:rsidRDefault="00433587" w:rsidP="009D7A31">
      <w:pPr>
        <w:pStyle w:val="ListParagraph"/>
        <w:ind w:left="1419"/>
        <w:contextualSpacing w:val="0"/>
        <w:jc w:val="both"/>
        <w:rPr>
          <w:rFonts w:cs="Arial"/>
        </w:rPr>
      </w:pPr>
      <w:r>
        <w:rPr>
          <w:rFonts w:cs="Arial"/>
        </w:rPr>
        <w:t>Tenderer</w:t>
      </w:r>
      <w:r w:rsidR="002D2B12" w:rsidRPr="00387F71">
        <w:rPr>
          <w:rFonts w:cs="Arial"/>
        </w:rPr>
        <w:t>s</w:t>
      </w:r>
      <w:r w:rsidR="00976F01" w:rsidRPr="00387F71">
        <w:rPr>
          <w:rFonts w:cs="Arial"/>
        </w:rPr>
        <w:t xml:space="preserve"> are required to register an account with the CDP</w:t>
      </w:r>
      <w:r w:rsidR="00905FF7" w:rsidRPr="00387F71">
        <w:rPr>
          <w:rFonts w:cs="Arial"/>
        </w:rPr>
        <w:t xml:space="preserve"> (</w:t>
      </w:r>
      <w:hyperlink r:id="rId18" w:history="1">
        <w:r w:rsidR="001A79C2" w:rsidRPr="00387F71">
          <w:rPr>
            <w:rStyle w:val="Hyperlink"/>
            <w:rFonts w:cs="Arial"/>
          </w:rPr>
          <w:t>https://www.gov.uk/find-tender</w:t>
        </w:r>
      </w:hyperlink>
      <w:r w:rsidR="001A79C2" w:rsidRPr="00387F71">
        <w:rPr>
          <w:rFonts w:cs="Arial"/>
        </w:rPr>
        <w:t xml:space="preserve">) </w:t>
      </w:r>
      <w:r w:rsidR="00976F01" w:rsidRPr="00387F71">
        <w:rPr>
          <w:rFonts w:cs="Arial"/>
        </w:rPr>
        <w:t xml:space="preserve"> and complete responses to the Core Supplier Information questions directly on the CDP. Once complete, </w:t>
      </w:r>
      <w:r>
        <w:rPr>
          <w:rFonts w:cs="Arial"/>
        </w:rPr>
        <w:t>Tenderer</w:t>
      </w:r>
      <w:r w:rsidR="002D2B12" w:rsidRPr="00387F71">
        <w:rPr>
          <w:rFonts w:cs="Arial"/>
        </w:rPr>
        <w:t>s</w:t>
      </w:r>
      <w:r w:rsidR="00976F01" w:rsidRPr="00387F71">
        <w:rPr>
          <w:rFonts w:cs="Arial"/>
        </w:rPr>
        <w:t xml:space="preserve"> </w:t>
      </w:r>
      <w:r w:rsidR="006D2155">
        <w:rPr>
          <w:rFonts w:cs="Arial"/>
        </w:rPr>
        <w:t>must</w:t>
      </w:r>
      <w:r w:rsidR="006D2155" w:rsidRPr="00387F71">
        <w:rPr>
          <w:rFonts w:cs="Arial"/>
        </w:rPr>
        <w:t xml:space="preserve"> </w:t>
      </w:r>
      <w:r w:rsidR="00976F01" w:rsidRPr="00387F71">
        <w:rPr>
          <w:rFonts w:cs="Arial"/>
        </w:rPr>
        <w:t xml:space="preserve">share their responses to the questions with HMRC as part of this procurement process by providing their </w:t>
      </w:r>
      <w:r w:rsidR="001A79C2" w:rsidRPr="00387F71">
        <w:rPr>
          <w:rFonts w:cs="Arial"/>
        </w:rPr>
        <w:t>share code</w:t>
      </w:r>
      <w:r w:rsidR="00976F01" w:rsidRPr="00387F71">
        <w:rPr>
          <w:rFonts w:cs="Arial"/>
        </w:rPr>
        <w:t xml:space="preserve"> allocated by the CDP. This will allow HMRC to obtain the </w:t>
      </w:r>
      <w:r>
        <w:rPr>
          <w:rFonts w:cs="Arial"/>
        </w:rPr>
        <w:t>Tenderer</w:t>
      </w:r>
      <w:r w:rsidR="0082342B">
        <w:rPr>
          <w:rFonts w:cs="Arial"/>
        </w:rPr>
        <w:t>s</w:t>
      </w:r>
      <w:r w:rsidR="00976F01" w:rsidRPr="00387F71">
        <w:rPr>
          <w:rFonts w:cs="Arial"/>
        </w:rPr>
        <w:t xml:space="preserve"> Core Supplier Information from the CDP.</w:t>
      </w:r>
      <w:r w:rsidR="0078198F">
        <w:rPr>
          <w:rFonts w:cs="Arial"/>
        </w:rPr>
        <w:t xml:space="preserve"> Tenderers must also generate a PDF of the required information from the CDP and attach this within the appropriate section o</w:t>
      </w:r>
      <w:r w:rsidR="0078198F" w:rsidRPr="003E246C">
        <w:rPr>
          <w:rFonts w:cs="Arial"/>
          <w:color w:val="000000" w:themeColor="text1"/>
        </w:rPr>
        <w:t>f the questionnaire on Ariba</w:t>
      </w:r>
      <w:r w:rsidR="0078198F">
        <w:rPr>
          <w:rFonts w:cs="Arial"/>
          <w:color w:val="000000" w:themeColor="text1"/>
        </w:rPr>
        <w:t>.</w:t>
      </w:r>
    </w:p>
    <w:p w14:paraId="71C0E364" w14:textId="4344B53E" w:rsidR="00AF7500" w:rsidRPr="00947603" w:rsidRDefault="00DB4052" w:rsidP="00947603">
      <w:pPr>
        <w:pStyle w:val="ListParagraph"/>
        <w:numPr>
          <w:ilvl w:val="2"/>
          <w:numId w:val="8"/>
        </w:numPr>
        <w:contextualSpacing w:val="0"/>
        <w:jc w:val="both"/>
        <w:rPr>
          <w:rFonts w:cs="Arial"/>
        </w:rPr>
      </w:pPr>
      <w:r w:rsidRPr="00387F71">
        <w:rPr>
          <w:rFonts w:cs="Arial"/>
        </w:rPr>
        <w:t xml:space="preserve">The </w:t>
      </w:r>
      <w:r w:rsidR="00FD4E53" w:rsidRPr="00387F71">
        <w:rPr>
          <w:rFonts w:cs="Arial"/>
        </w:rPr>
        <w:t>PSQ</w:t>
      </w:r>
      <w:r w:rsidRPr="00387F71">
        <w:rPr>
          <w:rFonts w:cs="Arial"/>
        </w:rPr>
        <w:t xml:space="preserve"> contains questions assessing </w:t>
      </w:r>
      <w:r w:rsidR="001B35C1" w:rsidRPr="00387F71">
        <w:rPr>
          <w:rFonts w:cs="Arial"/>
        </w:rPr>
        <w:t xml:space="preserve">whether the </w:t>
      </w:r>
      <w:r w:rsidR="00433587">
        <w:rPr>
          <w:rFonts w:cs="Arial"/>
        </w:rPr>
        <w:t>Tenderer</w:t>
      </w:r>
      <w:r w:rsidR="001B35C1" w:rsidRPr="00387F71">
        <w:rPr>
          <w:rFonts w:cs="Arial"/>
        </w:rPr>
        <w:t xml:space="preserve"> meets </w:t>
      </w:r>
      <w:r w:rsidR="00C4567E" w:rsidRPr="00387F71">
        <w:rPr>
          <w:rFonts w:cs="Arial"/>
        </w:rPr>
        <w:t>HMRC’s</w:t>
      </w:r>
      <w:r w:rsidR="001B35C1" w:rsidRPr="00387F71">
        <w:rPr>
          <w:rFonts w:cs="Arial"/>
        </w:rPr>
        <w:t xml:space="preserve"> </w:t>
      </w:r>
      <w:r w:rsidRPr="00387F71">
        <w:rPr>
          <w:rFonts w:cs="Arial"/>
        </w:rPr>
        <w:t xml:space="preserve">minimum requirements </w:t>
      </w:r>
      <w:proofErr w:type="gramStart"/>
      <w:r w:rsidRPr="00387F71">
        <w:rPr>
          <w:rFonts w:cs="Arial"/>
        </w:rPr>
        <w:t>in order to</w:t>
      </w:r>
      <w:proofErr w:type="gramEnd"/>
      <w:r w:rsidRPr="00387F71">
        <w:rPr>
          <w:rFonts w:cs="Arial"/>
        </w:rPr>
        <w:t xml:space="preserve"> be considered </w:t>
      </w:r>
      <w:r w:rsidR="00327010" w:rsidRPr="00387F71">
        <w:rPr>
          <w:rFonts w:cs="Arial"/>
        </w:rPr>
        <w:t>capable of</w:t>
      </w:r>
      <w:r w:rsidRPr="00387F71">
        <w:rPr>
          <w:rFonts w:cs="Arial"/>
        </w:rPr>
        <w:t xml:space="preserve"> deliver</w:t>
      </w:r>
      <w:r w:rsidR="00327010" w:rsidRPr="00387F71">
        <w:rPr>
          <w:rFonts w:cs="Arial"/>
        </w:rPr>
        <w:t>ing</w:t>
      </w:r>
      <w:r w:rsidRPr="00387F71">
        <w:rPr>
          <w:rFonts w:cs="Arial"/>
        </w:rPr>
        <w:t xml:space="preserve"> the contract</w:t>
      </w:r>
      <w:r w:rsidR="00C4567E" w:rsidRPr="00387F71">
        <w:rPr>
          <w:rFonts w:cs="Arial"/>
        </w:rPr>
        <w:t xml:space="preserve">. </w:t>
      </w:r>
      <w:r w:rsidR="001D0E1B" w:rsidRPr="001D0E1B">
        <w:rPr>
          <w:rFonts w:cs="Arial"/>
        </w:rPr>
        <w:t>This will be evaluated on a pass/fail basis</w:t>
      </w:r>
      <w:r w:rsidR="00947603">
        <w:rPr>
          <w:rFonts w:cs="Arial"/>
        </w:rPr>
        <w:t xml:space="preserve">, according to the criteria specified in </w:t>
      </w:r>
      <w:r w:rsidR="00AF7500" w:rsidRPr="00947603">
        <w:rPr>
          <w:rFonts w:cs="Arial"/>
        </w:rPr>
        <w:t>Schedule 3 of this document.</w:t>
      </w:r>
    </w:p>
    <w:p w14:paraId="4E53EDA2" w14:textId="228AE382" w:rsidR="00C31EBB" w:rsidRDefault="002B671B" w:rsidP="0085565B">
      <w:pPr>
        <w:pStyle w:val="ListParagraph"/>
        <w:numPr>
          <w:ilvl w:val="2"/>
          <w:numId w:val="8"/>
        </w:numPr>
        <w:contextualSpacing w:val="0"/>
        <w:jc w:val="both"/>
        <w:rPr>
          <w:rFonts w:cs="Arial"/>
        </w:rPr>
      </w:pPr>
      <w:r w:rsidRPr="00387F71">
        <w:rPr>
          <w:rFonts w:cs="Arial"/>
        </w:rPr>
        <w:t xml:space="preserve">HMRC will review the answers to the </w:t>
      </w:r>
      <w:r w:rsidR="00FD4E53" w:rsidRPr="00387F71">
        <w:rPr>
          <w:rFonts w:cs="Arial"/>
        </w:rPr>
        <w:t>PSQ</w:t>
      </w:r>
      <w:r w:rsidRPr="00387F71">
        <w:rPr>
          <w:rFonts w:cs="Arial"/>
        </w:rPr>
        <w:t xml:space="preserve"> and if a </w:t>
      </w:r>
      <w:r w:rsidR="00433587">
        <w:rPr>
          <w:rFonts w:cs="Arial"/>
        </w:rPr>
        <w:t>Tenderer</w:t>
      </w:r>
      <w:r w:rsidRPr="00387F71">
        <w:rPr>
          <w:rFonts w:cs="Arial"/>
        </w:rPr>
        <w:t xml:space="preserve"> attains a </w:t>
      </w:r>
      <w:proofErr w:type="gramStart"/>
      <w:r w:rsidRPr="00387F71">
        <w:rPr>
          <w:rFonts w:cs="Arial"/>
        </w:rPr>
        <w:t>fail</w:t>
      </w:r>
      <w:proofErr w:type="gramEnd"/>
      <w:r w:rsidRPr="00387F71">
        <w:rPr>
          <w:rFonts w:cs="Arial"/>
        </w:rPr>
        <w:t xml:space="preserve"> on any question,</w:t>
      </w:r>
      <w:r w:rsidR="009C01D1">
        <w:rPr>
          <w:rFonts w:cs="Arial"/>
        </w:rPr>
        <w:t xml:space="preserve"> the response </w:t>
      </w:r>
      <w:r w:rsidR="00DB2849">
        <w:rPr>
          <w:rFonts w:cs="Arial"/>
        </w:rPr>
        <w:t>may</w:t>
      </w:r>
      <w:r w:rsidR="009C01D1">
        <w:rPr>
          <w:rFonts w:cs="Arial"/>
        </w:rPr>
        <w:t xml:space="preserve"> </w:t>
      </w:r>
      <w:r w:rsidR="00A35994" w:rsidRPr="00A35994">
        <w:rPr>
          <w:rFonts w:cs="Arial"/>
        </w:rPr>
        <w:t xml:space="preserve">be rejected and the </w:t>
      </w:r>
      <w:r w:rsidR="009C01D1">
        <w:rPr>
          <w:rFonts w:cs="Arial"/>
        </w:rPr>
        <w:t>Tenderer</w:t>
      </w:r>
      <w:r w:rsidR="00A35994" w:rsidRPr="00A35994">
        <w:rPr>
          <w:rFonts w:cs="Arial"/>
        </w:rPr>
        <w:t xml:space="preserve"> will be excluded from further consideration in the procurement process</w:t>
      </w:r>
      <w:r w:rsidR="00BA628D">
        <w:rPr>
          <w:rFonts w:cs="Arial"/>
        </w:rPr>
        <w:t>.</w:t>
      </w:r>
      <w:r w:rsidR="00DD3E79" w:rsidRPr="00387F71">
        <w:rPr>
          <w:rFonts w:cs="Arial"/>
        </w:rPr>
        <w:t xml:space="preserve"> </w:t>
      </w:r>
    </w:p>
    <w:p w14:paraId="3A7187F1" w14:textId="520A3625" w:rsidR="000946B6" w:rsidRDefault="00820BDF" w:rsidP="0085565B">
      <w:pPr>
        <w:pStyle w:val="ListParagraph"/>
        <w:numPr>
          <w:ilvl w:val="2"/>
          <w:numId w:val="8"/>
        </w:numPr>
        <w:contextualSpacing w:val="0"/>
        <w:jc w:val="both"/>
        <w:rPr>
          <w:rFonts w:cs="Arial"/>
        </w:rPr>
      </w:pPr>
      <w:r>
        <w:rPr>
          <w:rFonts w:cs="Arial"/>
        </w:rPr>
        <w:t>In addition to the questio</w:t>
      </w:r>
      <w:r w:rsidR="0005166D">
        <w:rPr>
          <w:rFonts w:cs="Arial"/>
        </w:rPr>
        <w:t xml:space="preserve">ns </w:t>
      </w:r>
      <w:r w:rsidR="00FA2F24">
        <w:rPr>
          <w:rFonts w:cs="Arial"/>
        </w:rPr>
        <w:t>within the CDP</w:t>
      </w:r>
      <w:r w:rsidR="00F2367D">
        <w:rPr>
          <w:rFonts w:cs="Arial"/>
        </w:rPr>
        <w:t xml:space="preserve">, HMRC requires </w:t>
      </w:r>
      <w:r w:rsidR="00433587">
        <w:rPr>
          <w:rFonts w:cs="Arial"/>
        </w:rPr>
        <w:t>Tenderer</w:t>
      </w:r>
      <w:r w:rsidR="00946D48">
        <w:rPr>
          <w:rFonts w:cs="Arial"/>
        </w:rPr>
        <w:t xml:space="preserve">s </w:t>
      </w:r>
      <w:r w:rsidR="0000250B">
        <w:rPr>
          <w:rFonts w:cs="Arial"/>
        </w:rPr>
        <w:t xml:space="preserve">to also </w:t>
      </w:r>
      <w:r w:rsidR="00904FEC">
        <w:rPr>
          <w:rFonts w:cs="Arial"/>
        </w:rPr>
        <w:t xml:space="preserve">respond to </w:t>
      </w:r>
      <w:r w:rsidR="00EA050E">
        <w:rPr>
          <w:rFonts w:cs="Arial"/>
        </w:rPr>
        <w:t xml:space="preserve">the </w:t>
      </w:r>
      <w:r w:rsidR="004A31E9">
        <w:rPr>
          <w:rFonts w:cs="Arial"/>
        </w:rPr>
        <w:t xml:space="preserve">additional </w:t>
      </w:r>
      <w:r w:rsidR="00EA050E">
        <w:rPr>
          <w:rFonts w:cs="Arial"/>
        </w:rPr>
        <w:t xml:space="preserve">qualitative </w:t>
      </w:r>
      <w:r w:rsidR="00904FEC">
        <w:rPr>
          <w:rFonts w:cs="Arial"/>
        </w:rPr>
        <w:t xml:space="preserve">questions </w:t>
      </w:r>
      <w:r w:rsidR="00105853">
        <w:rPr>
          <w:rFonts w:cs="Arial"/>
        </w:rPr>
        <w:t>(</w:t>
      </w:r>
      <w:r w:rsidR="00845579">
        <w:rPr>
          <w:rFonts w:cs="Arial"/>
        </w:rPr>
        <w:t>outlined in Schedule 1</w:t>
      </w:r>
      <w:r w:rsidR="00642D8E">
        <w:rPr>
          <w:rFonts w:cs="Arial"/>
        </w:rPr>
        <w:t xml:space="preserve">; </w:t>
      </w:r>
      <w:r w:rsidR="007C4284">
        <w:rPr>
          <w:rFonts w:cs="Arial"/>
        </w:rPr>
        <w:t>Questions 3.8 – 3.14)</w:t>
      </w:r>
      <w:r w:rsidR="00EA050E">
        <w:rPr>
          <w:rFonts w:cs="Arial"/>
        </w:rPr>
        <w:t xml:space="preserve"> </w:t>
      </w:r>
      <w:proofErr w:type="gramStart"/>
      <w:r w:rsidR="00EA050E">
        <w:rPr>
          <w:rFonts w:cs="Arial"/>
        </w:rPr>
        <w:t>in order to</w:t>
      </w:r>
      <w:proofErr w:type="gramEnd"/>
      <w:r w:rsidR="00EA050E">
        <w:rPr>
          <w:rFonts w:cs="Arial"/>
        </w:rPr>
        <w:t xml:space="preserve"> assess the </w:t>
      </w:r>
      <w:r w:rsidR="00433587">
        <w:rPr>
          <w:rFonts w:cs="Arial"/>
        </w:rPr>
        <w:t>Tenderer</w:t>
      </w:r>
      <w:r w:rsidR="00EA050E">
        <w:rPr>
          <w:rFonts w:cs="Arial"/>
        </w:rPr>
        <w:t>s</w:t>
      </w:r>
      <w:r w:rsidR="00541B85">
        <w:rPr>
          <w:rFonts w:cs="Arial"/>
        </w:rPr>
        <w:t>’</w:t>
      </w:r>
      <w:r w:rsidR="00EA050E">
        <w:rPr>
          <w:rFonts w:cs="Arial"/>
        </w:rPr>
        <w:t xml:space="preserve"> experience and capabilities that are specific to this procurement</w:t>
      </w:r>
      <w:r w:rsidR="00601969">
        <w:rPr>
          <w:rFonts w:cs="Arial"/>
        </w:rPr>
        <w:t>. These</w:t>
      </w:r>
      <w:r w:rsidR="007431B1">
        <w:rPr>
          <w:rFonts w:cs="Arial"/>
        </w:rPr>
        <w:t xml:space="preserve"> responses</w:t>
      </w:r>
      <w:r w:rsidR="00601969">
        <w:rPr>
          <w:rFonts w:cs="Arial"/>
        </w:rPr>
        <w:t xml:space="preserve"> </w:t>
      </w:r>
      <w:r w:rsidR="00BD6350">
        <w:rPr>
          <w:rFonts w:cs="Arial"/>
        </w:rPr>
        <w:t xml:space="preserve">must also </w:t>
      </w:r>
      <w:r w:rsidR="00601969">
        <w:rPr>
          <w:rFonts w:cs="Arial"/>
        </w:rPr>
        <w:t>be uploaded</w:t>
      </w:r>
      <w:r w:rsidR="00904FEC">
        <w:rPr>
          <w:rFonts w:cs="Arial"/>
        </w:rPr>
        <w:t xml:space="preserve"> </w:t>
      </w:r>
      <w:r w:rsidR="00BD6350">
        <w:rPr>
          <w:rFonts w:cs="Arial"/>
        </w:rPr>
        <w:t xml:space="preserve">via </w:t>
      </w:r>
      <w:r w:rsidR="00E62C2D">
        <w:rPr>
          <w:rFonts w:cs="Arial"/>
        </w:rPr>
        <w:t xml:space="preserve">the Ariba platform. Note, that responses to these questions </w:t>
      </w:r>
      <w:r w:rsidR="000B2B13">
        <w:rPr>
          <w:rFonts w:cs="Arial"/>
        </w:rPr>
        <w:t xml:space="preserve">will only </w:t>
      </w:r>
      <w:r w:rsidR="00BC0C93">
        <w:rPr>
          <w:rFonts w:cs="Arial"/>
        </w:rPr>
        <w:t>be reviewed</w:t>
      </w:r>
      <w:r w:rsidR="000B2B13">
        <w:rPr>
          <w:rFonts w:cs="Arial"/>
        </w:rPr>
        <w:t xml:space="preserve"> from </w:t>
      </w:r>
      <w:r w:rsidR="00433587">
        <w:rPr>
          <w:rFonts w:cs="Arial"/>
        </w:rPr>
        <w:t>Tenderer</w:t>
      </w:r>
      <w:r w:rsidR="000B2B13">
        <w:rPr>
          <w:rFonts w:cs="Arial"/>
        </w:rPr>
        <w:t>s that meet the Pass criteria within the CDP.</w:t>
      </w:r>
      <w:r w:rsidR="00911BEE">
        <w:rPr>
          <w:rFonts w:cs="Arial"/>
        </w:rPr>
        <w:t xml:space="preserve">  These</w:t>
      </w:r>
      <w:r w:rsidR="007431B1">
        <w:rPr>
          <w:rFonts w:cs="Arial"/>
        </w:rPr>
        <w:t xml:space="preserve"> responses</w:t>
      </w:r>
      <w:r w:rsidR="00911BEE">
        <w:rPr>
          <w:rFonts w:cs="Arial"/>
        </w:rPr>
        <w:t xml:space="preserve"> will be evaluated</w:t>
      </w:r>
      <w:r w:rsidR="009B6BC8">
        <w:rPr>
          <w:rFonts w:cs="Arial"/>
        </w:rPr>
        <w:t xml:space="preserve"> and scored</w:t>
      </w:r>
      <w:r w:rsidR="00911BEE">
        <w:rPr>
          <w:rFonts w:cs="Arial"/>
        </w:rPr>
        <w:t xml:space="preserve"> </w:t>
      </w:r>
      <w:r w:rsidR="00B97496">
        <w:rPr>
          <w:rFonts w:cs="Arial"/>
        </w:rPr>
        <w:t>using the metho</w:t>
      </w:r>
      <w:r w:rsidR="00012800">
        <w:rPr>
          <w:rFonts w:cs="Arial"/>
        </w:rPr>
        <w:t>do</w:t>
      </w:r>
      <w:r w:rsidR="00135FF6">
        <w:rPr>
          <w:rFonts w:cs="Arial"/>
        </w:rPr>
        <w:t xml:space="preserve">logy </w:t>
      </w:r>
      <w:r w:rsidR="00992891">
        <w:rPr>
          <w:rFonts w:cs="Arial"/>
        </w:rPr>
        <w:t xml:space="preserve">captured </w:t>
      </w:r>
      <w:r w:rsidR="00135FF6">
        <w:rPr>
          <w:rFonts w:cs="Arial"/>
        </w:rPr>
        <w:t>in Tabl</w:t>
      </w:r>
      <w:r w:rsidR="00752069">
        <w:rPr>
          <w:rFonts w:cs="Arial"/>
        </w:rPr>
        <w:t>e 1 and Table 2</w:t>
      </w:r>
      <w:r w:rsidR="00135FF6">
        <w:rPr>
          <w:rFonts w:cs="Arial"/>
        </w:rPr>
        <w:t xml:space="preserve"> below</w:t>
      </w:r>
      <w:r w:rsidR="0074451A">
        <w:rPr>
          <w:rFonts w:cs="Arial"/>
        </w:rPr>
        <w:t xml:space="preserve"> and used </w:t>
      </w:r>
      <w:r w:rsidR="000734F5">
        <w:rPr>
          <w:rFonts w:cs="Arial"/>
        </w:rPr>
        <w:t>to calculate the Total Weighted PSQ Score.</w:t>
      </w:r>
      <w:r w:rsidR="00BD6350">
        <w:rPr>
          <w:rFonts w:cs="Arial"/>
        </w:rPr>
        <w:t xml:space="preserve"> The </w:t>
      </w:r>
      <w:r w:rsidR="00504C10">
        <w:rPr>
          <w:rFonts w:cs="Arial"/>
        </w:rPr>
        <w:t xml:space="preserve">consensus marking procedure for these responses </w:t>
      </w:r>
      <w:r w:rsidR="00CB3465">
        <w:rPr>
          <w:rFonts w:cs="Arial"/>
        </w:rPr>
        <w:t xml:space="preserve">shall be the same as for ITSFT and </w:t>
      </w:r>
      <w:r w:rsidR="00504C10">
        <w:rPr>
          <w:rFonts w:cs="Arial"/>
        </w:rPr>
        <w:t>is outlined in parag</w:t>
      </w:r>
      <w:r w:rsidR="0091616D">
        <w:rPr>
          <w:rFonts w:cs="Arial"/>
        </w:rPr>
        <w:t xml:space="preserve">raph 12.7(d) </w:t>
      </w:r>
      <w:r w:rsidR="007166F5">
        <w:rPr>
          <w:rFonts w:cs="Arial"/>
        </w:rPr>
        <w:t>bullet</w:t>
      </w:r>
      <w:r w:rsidR="00B94ECE">
        <w:rPr>
          <w:rFonts w:cs="Arial"/>
        </w:rPr>
        <w:t>s</w:t>
      </w:r>
      <w:r w:rsidR="007166F5">
        <w:rPr>
          <w:rFonts w:cs="Arial"/>
        </w:rPr>
        <w:t xml:space="preserve"> (v) to (x).</w:t>
      </w:r>
    </w:p>
    <w:p w14:paraId="56940C79" w14:textId="3315EE73" w:rsidR="00D95406" w:rsidRPr="00387F71" w:rsidRDefault="00D95406" w:rsidP="0085565B">
      <w:pPr>
        <w:pStyle w:val="ListParagraph"/>
        <w:numPr>
          <w:ilvl w:val="2"/>
          <w:numId w:val="8"/>
        </w:numPr>
        <w:contextualSpacing w:val="0"/>
        <w:jc w:val="both"/>
        <w:rPr>
          <w:rFonts w:cs="Arial"/>
        </w:rPr>
      </w:pPr>
      <w:r>
        <w:rPr>
          <w:rFonts w:cs="Arial"/>
        </w:rPr>
        <w:t xml:space="preserve">The </w:t>
      </w:r>
      <w:r w:rsidR="00EA050E">
        <w:rPr>
          <w:rFonts w:cs="Arial"/>
        </w:rPr>
        <w:t>t</w:t>
      </w:r>
      <w:r>
        <w:rPr>
          <w:rFonts w:cs="Arial"/>
        </w:rPr>
        <w:t xml:space="preserve">hree </w:t>
      </w:r>
      <w:r w:rsidR="00EA050E">
        <w:rPr>
          <w:rFonts w:cs="Arial"/>
        </w:rPr>
        <w:t>h</w:t>
      </w:r>
      <w:r>
        <w:rPr>
          <w:rFonts w:cs="Arial"/>
        </w:rPr>
        <w:t xml:space="preserve">ighest scoring </w:t>
      </w:r>
      <w:r w:rsidR="001C77B2">
        <w:rPr>
          <w:rFonts w:cs="Arial"/>
        </w:rPr>
        <w:t xml:space="preserve">compliant </w:t>
      </w:r>
      <w:r w:rsidR="00817BC2">
        <w:rPr>
          <w:rFonts w:cs="Arial"/>
        </w:rPr>
        <w:t xml:space="preserve">submissions </w:t>
      </w:r>
      <w:r w:rsidRPr="00387F71">
        <w:rPr>
          <w:rFonts w:cs="Arial"/>
        </w:rPr>
        <w:t xml:space="preserve">that pass the PSQ stage </w:t>
      </w:r>
      <w:r w:rsidR="006D07D4">
        <w:rPr>
          <w:rFonts w:cs="Arial"/>
        </w:rPr>
        <w:t xml:space="preserve">(i.e. Tenderers with the three highest Total Weighted PSQ </w:t>
      </w:r>
      <w:r w:rsidR="009B6BC8">
        <w:rPr>
          <w:rFonts w:cs="Arial"/>
        </w:rPr>
        <w:t xml:space="preserve">Scores) </w:t>
      </w:r>
      <w:r w:rsidRPr="00387F71">
        <w:rPr>
          <w:rFonts w:cs="Arial"/>
        </w:rPr>
        <w:t>will be taken through to the award question</w:t>
      </w:r>
      <w:r w:rsidR="00212ECC">
        <w:rPr>
          <w:rFonts w:cs="Arial"/>
        </w:rPr>
        <w:t>naire</w:t>
      </w:r>
      <w:r w:rsidRPr="00387F71">
        <w:rPr>
          <w:rFonts w:cs="Arial"/>
        </w:rPr>
        <w:t xml:space="preserve"> evaluation process</w:t>
      </w:r>
      <w:r w:rsidR="005148E6">
        <w:rPr>
          <w:rFonts w:cs="Arial"/>
        </w:rPr>
        <w:t xml:space="preserve"> (Stages 2-4)</w:t>
      </w:r>
      <w:r w:rsidR="001C77B2">
        <w:rPr>
          <w:rFonts w:cs="Arial"/>
        </w:rPr>
        <w:t xml:space="preserve"> and will be invited to submit an initial tender</w:t>
      </w:r>
      <w:r w:rsidRPr="00387F71">
        <w:rPr>
          <w:rFonts w:cs="Arial"/>
        </w:rPr>
        <w:t>.</w:t>
      </w:r>
    </w:p>
    <w:p w14:paraId="24D2D02D" w14:textId="24A68345" w:rsidR="001731C6" w:rsidRDefault="001731C6" w:rsidP="0085565B">
      <w:pPr>
        <w:pStyle w:val="ListParagraph"/>
        <w:numPr>
          <w:ilvl w:val="2"/>
          <w:numId w:val="8"/>
        </w:numPr>
        <w:jc w:val="both"/>
        <w:rPr>
          <w:rFonts w:cs="Arial"/>
        </w:rPr>
      </w:pPr>
      <w:r w:rsidRPr="001731C6">
        <w:rPr>
          <w:rFonts w:cs="Arial"/>
        </w:rPr>
        <w:t xml:space="preserve">In the event of a tie in the Total Weighted PSQ Score awarded to two or more </w:t>
      </w:r>
      <w:r w:rsidR="00433587">
        <w:rPr>
          <w:rFonts w:cs="Arial"/>
        </w:rPr>
        <w:t>Tenderer</w:t>
      </w:r>
      <w:r w:rsidR="00EA050E">
        <w:rPr>
          <w:rFonts w:cs="Arial"/>
        </w:rPr>
        <w:t>s</w:t>
      </w:r>
      <w:r w:rsidRPr="001731C6">
        <w:rPr>
          <w:rFonts w:cs="Arial"/>
        </w:rPr>
        <w:t xml:space="preserve">, the order of precedence will be determined by </w:t>
      </w:r>
      <w:r w:rsidR="00956A50">
        <w:rPr>
          <w:rFonts w:cs="Arial"/>
        </w:rPr>
        <w:t xml:space="preserve">the procedure </w:t>
      </w:r>
      <w:r w:rsidR="00023AF1">
        <w:rPr>
          <w:rFonts w:cs="Arial"/>
        </w:rPr>
        <w:t>set out in paragraph (h) below</w:t>
      </w:r>
      <w:r w:rsidRPr="001731C6">
        <w:rPr>
          <w:rFonts w:cs="Arial"/>
        </w:rPr>
        <w:t>.</w:t>
      </w:r>
      <w:r w:rsidR="00023AF1">
        <w:rPr>
          <w:rFonts w:cs="Arial"/>
        </w:rPr>
        <w:t xml:space="preserve"> There will be deemed to be a tie for these purposes if two or more bidders have the same percentage score when each total overall score has been rounded to the nearest whole figure</w:t>
      </w:r>
      <w:r w:rsidR="00956A50">
        <w:rPr>
          <w:rFonts w:cs="Arial"/>
        </w:rPr>
        <w:t>. Any score with a fractional score of less than 0.5 %</w:t>
      </w:r>
      <w:r w:rsidR="00023AF1">
        <w:rPr>
          <w:rFonts w:cs="Arial"/>
        </w:rPr>
        <w:t xml:space="preserve"> </w:t>
      </w:r>
      <w:r w:rsidR="00956A50">
        <w:rPr>
          <w:rFonts w:cs="Arial"/>
        </w:rPr>
        <w:t>will be rounded down and any fractional score of 0.5 % or above will be rounded up (for example 63.4 % will be rounded down to 63 % and 62.5 % will be rounded up to 63 %).</w:t>
      </w:r>
      <w:r w:rsidR="00023AF1">
        <w:rPr>
          <w:rFonts w:cs="Arial"/>
        </w:rPr>
        <w:t xml:space="preserve">   </w:t>
      </w:r>
    </w:p>
    <w:p w14:paraId="2B873C8C" w14:textId="77777777" w:rsidR="001731C6" w:rsidRPr="001731C6" w:rsidRDefault="001731C6" w:rsidP="00CD5562">
      <w:pPr>
        <w:pStyle w:val="ListParagraph"/>
        <w:ind w:left="1419"/>
        <w:jc w:val="both"/>
        <w:rPr>
          <w:rFonts w:cs="Arial"/>
        </w:rPr>
      </w:pPr>
    </w:p>
    <w:p w14:paraId="46891F32" w14:textId="0E471F5A" w:rsidR="001731C6" w:rsidRPr="00AE2014" w:rsidRDefault="00956A50" w:rsidP="0085565B">
      <w:pPr>
        <w:pStyle w:val="ListParagraph"/>
        <w:numPr>
          <w:ilvl w:val="2"/>
          <w:numId w:val="8"/>
        </w:numPr>
        <w:jc w:val="both"/>
        <w:rPr>
          <w:rFonts w:cs="Arial"/>
        </w:rPr>
      </w:pPr>
      <w:r>
        <w:rPr>
          <w:rFonts w:cs="Arial"/>
        </w:rPr>
        <w:t>In a tie break, t</w:t>
      </w:r>
      <w:r w:rsidR="001731C6" w:rsidRPr="00AE2014">
        <w:rPr>
          <w:rFonts w:cs="Arial"/>
        </w:rPr>
        <w:t xml:space="preserve">he </w:t>
      </w:r>
      <w:r w:rsidR="00433587">
        <w:rPr>
          <w:rFonts w:cs="Arial"/>
        </w:rPr>
        <w:t>Tenderer</w:t>
      </w:r>
      <w:r w:rsidR="001731C6" w:rsidRPr="00AE2014">
        <w:rPr>
          <w:rFonts w:cs="Arial"/>
        </w:rPr>
        <w:t xml:space="preserve"> with the highest weighted score for question </w:t>
      </w:r>
      <w:r w:rsidR="005004A2">
        <w:rPr>
          <w:rFonts w:cs="Arial"/>
        </w:rPr>
        <w:t>3.8</w:t>
      </w:r>
      <w:r w:rsidR="001731C6" w:rsidRPr="00AE2014">
        <w:rPr>
          <w:rFonts w:cs="Arial"/>
        </w:rPr>
        <w:t xml:space="preserve"> will be ranked first, with all other </w:t>
      </w:r>
      <w:r>
        <w:rPr>
          <w:rFonts w:cs="Arial"/>
        </w:rPr>
        <w:t xml:space="preserve">tied </w:t>
      </w:r>
      <w:r w:rsidR="00433587">
        <w:rPr>
          <w:rFonts w:cs="Arial"/>
        </w:rPr>
        <w:t>Tenderer</w:t>
      </w:r>
      <w:r w:rsidR="00EA050E" w:rsidRPr="00AE2014">
        <w:rPr>
          <w:rFonts w:cs="Arial"/>
        </w:rPr>
        <w:t>s</w:t>
      </w:r>
      <w:r w:rsidR="001731C6" w:rsidRPr="00AE2014">
        <w:rPr>
          <w:rFonts w:cs="Arial"/>
        </w:rPr>
        <w:t xml:space="preserve"> ranked in descending order based upon the value of their weighted score for question </w:t>
      </w:r>
      <w:r w:rsidR="00AE2014" w:rsidRPr="00AE2014">
        <w:rPr>
          <w:rFonts w:cs="Arial"/>
        </w:rPr>
        <w:t>3.8</w:t>
      </w:r>
      <w:r w:rsidR="001731C6" w:rsidRPr="00AE2014">
        <w:rPr>
          <w:rFonts w:cs="Arial"/>
        </w:rPr>
        <w:t xml:space="preserve">. </w:t>
      </w:r>
      <w:proofErr w:type="gramStart"/>
      <w:r w:rsidR="001731C6" w:rsidRPr="00AE2014">
        <w:rPr>
          <w:rFonts w:cs="Arial"/>
        </w:rPr>
        <w:t>In the event that</w:t>
      </w:r>
      <w:proofErr w:type="gramEnd"/>
      <w:r w:rsidR="001731C6" w:rsidRPr="00AE2014">
        <w:rPr>
          <w:rFonts w:cs="Arial"/>
        </w:rPr>
        <w:t xml:space="preserve"> this does not resolve the tie break, the weighted score awarded for question</w:t>
      </w:r>
      <w:r w:rsidR="0034617F" w:rsidRPr="00AE2014">
        <w:rPr>
          <w:rFonts w:cs="Arial"/>
        </w:rPr>
        <w:t xml:space="preserve"> </w:t>
      </w:r>
      <w:r w:rsidR="00E363E8">
        <w:rPr>
          <w:rFonts w:cs="Arial"/>
        </w:rPr>
        <w:t>3.10</w:t>
      </w:r>
      <w:r w:rsidR="00212ECC">
        <w:rPr>
          <w:rFonts w:cs="Arial"/>
        </w:rPr>
        <w:t xml:space="preserve">.2 </w:t>
      </w:r>
      <w:r w:rsidR="001731C6" w:rsidRPr="00AE2014">
        <w:rPr>
          <w:rFonts w:cs="Arial"/>
        </w:rPr>
        <w:t xml:space="preserve">will be used to resolve the tie break, followed by question </w:t>
      </w:r>
      <w:r w:rsidR="00416594">
        <w:rPr>
          <w:rFonts w:cs="Arial"/>
        </w:rPr>
        <w:t>3.11.</w:t>
      </w:r>
    </w:p>
    <w:p w14:paraId="656125C0" w14:textId="77777777" w:rsidR="00015C0F" w:rsidRDefault="00015C0F" w:rsidP="00CD5562">
      <w:pPr>
        <w:pStyle w:val="ListParagraph"/>
        <w:ind w:left="1419"/>
        <w:contextualSpacing w:val="0"/>
        <w:jc w:val="both"/>
        <w:rPr>
          <w:rFonts w:cs="Arial"/>
        </w:rPr>
      </w:pPr>
    </w:p>
    <w:p w14:paraId="1BB99F40" w14:textId="77777777" w:rsidR="009E7B17" w:rsidRPr="000761CB" w:rsidRDefault="009E7B17" w:rsidP="009E7B17">
      <w:pPr>
        <w:pStyle w:val="Heading3"/>
        <w:jc w:val="both"/>
        <w:rPr>
          <w:rFonts w:ascii="Arial" w:hAnsi="Arial" w:cs="Arial"/>
          <w:sz w:val="22"/>
          <w:szCs w:val="22"/>
        </w:rPr>
      </w:pPr>
      <w:r w:rsidRPr="000761CB">
        <w:rPr>
          <w:rFonts w:ascii="Arial" w:hAnsi="Arial" w:cs="Arial"/>
          <w:sz w:val="22"/>
          <w:szCs w:val="22"/>
        </w:rPr>
        <w:t>Table 1: Scoring matrix for the quality criteria at PSQ Stage (Questions 3.9 – 3.14)</w:t>
      </w:r>
    </w:p>
    <w:p w14:paraId="3B1F07E2" w14:textId="77777777" w:rsidR="009E7B17" w:rsidRDefault="009E7B17" w:rsidP="009E7B17">
      <w:pPr>
        <w:jc w:val="both"/>
        <w:rPr>
          <w:rFonts w:cs="Arial"/>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51"/>
        <w:gridCol w:w="6520"/>
      </w:tblGrid>
      <w:tr w:rsidR="009E7B17" w:rsidRPr="00387F71" w14:paraId="6272BAEA" w14:textId="77777777" w:rsidTr="00084E0F">
        <w:trPr>
          <w:trHeight w:val="854"/>
        </w:trPr>
        <w:tc>
          <w:tcPr>
            <w:tcW w:w="1701" w:type="dxa"/>
            <w:shd w:val="clear" w:color="auto" w:fill="009999"/>
          </w:tcPr>
          <w:p w14:paraId="307E3455" w14:textId="77777777" w:rsidR="009E7B17" w:rsidRPr="00387F71" w:rsidRDefault="009E7B17" w:rsidP="00084E0F">
            <w:pPr>
              <w:pStyle w:val="BodyTextIndent"/>
              <w:tabs>
                <w:tab w:val="left" w:pos="0"/>
              </w:tabs>
              <w:ind w:left="0"/>
              <w:jc w:val="both"/>
              <w:rPr>
                <w:rFonts w:ascii="Arial" w:hAnsi="Arial" w:cs="Arial"/>
                <w:b/>
                <w:color w:val="FFFFFF" w:themeColor="background1"/>
                <w:sz w:val="22"/>
                <w:szCs w:val="22"/>
              </w:rPr>
            </w:pPr>
            <w:r w:rsidRPr="00387F71">
              <w:rPr>
                <w:rFonts w:ascii="Arial" w:hAnsi="Arial" w:cs="Arial"/>
                <w:b/>
                <w:color w:val="FFFFFF" w:themeColor="background1"/>
                <w:sz w:val="22"/>
                <w:szCs w:val="22"/>
              </w:rPr>
              <w:t>Assessment</w:t>
            </w:r>
          </w:p>
        </w:tc>
        <w:tc>
          <w:tcPr>
            <w:tcW w:w="851" w:type="dxa"/>
            <w:shd w:val="clear" w:color="auto" w:fill="009999"/>
          </w:tcPr>
          <w:p w14:paraId="74AA6270" w14:textId="77777777" w:rsidR="009E7B17" w:rsidRPr="00387F71" w:rsidRDefault="009E7B17" w:rsidP="00084E0F">
            <w:pPr>
              <w:pStyle w:val="BodyTextIndent"/>
              <w:tabs>
                <w:tab w:val="left" w:pos="0"/>
              </w:tabs>
              <w:ind w:left="0"/>
              <w:jc w:val="both"/>
              <w:rPr>
                <w:rFonts w:ascii="Arial" w:hAnsi="Arial" w:cs="Arial"/>
                <w:b/>
                <w:color w:val="FFFFFF" w:themeColor="background1"/>
                <w:sz w:val="22"/>
                <w:szCs w:val="22"/>
              </w:rPr>
            </w:pPr>
            <w:r w:rsidRPr="00387F71">
              <w:rPr>
                <w:rFonts w:ascii="Arial" w:hAnsi="Arial" w:cs="Arial"/>
                <w:b/>
                <w:color w:val="FFFFFF" w:themeColor="background1"/>
                <w:sz w:val="22"/>
                <w:szCs w:val="22"/>
              </w:rPr>
              <w:t>Score</w:t>
            </w:r>
          </w:p>
        </w:tc>
        <w:tc>
          <w:tcPr>
            <w:tcW w:w="6520" w:type="dxa"/>
            <w:shd w:val="clear" w:color="auto" w:fill="009999"/>
          </w:tcPr>
          <w:p w14:paraId="478F606B" w14:textId="77777777" w:rsidR="009E7B17" w:rsidRPr="00387F71" w:rsidRDefault="009E7B17" w:rsidP="00084E0F">
            <w:pPr>
              <w:pStyle w:val="BodyTextIndent"/>
              <w:tabs>
                <w:tab w:val="left" w:pos="0"/>
              </w:tabs>
              <w:ind w:left="0"/>
              <w:jc w:val="both"/>
              <w:rPr>
                <w:rFonts w:ascii="Arial" w:hAnsi="Arial" w:cs="Arial"/>
                <w:b/>
                <w:color w:val="FFFFFF" w:themeColor="background1"/>
                <w:sz w:val="22"/>
                <w:szCs w:val="22"/>
              </w:rPr>
            </w:pPr>
            <w:r w:rsidRPr="00387F71">
              <w:rPr>
                <w:rFonts w:ascii="Arial" w:hAnsi="Arial" w:cs="Arial"/>
                <w:b/>
                <w:color w:val="FFFFFF" w:themeColor="background1"/>
                <w:sz w:val="22"/>
                <w:szCs w:val="22"/>
              </w:rPr>
              <w:t>Question Criteria</w:t>
            </w:r>
          </w:p>
        </w:tc>
      </w:tr>
      <w:tr w:rsidR="009E7B17" w:rsidRPr="00387F71" w14:paraId="020C4DC9" w14:textId="77777777" w:rsidTr="00084E0F">
        <w:tc>
          <w:tcPr>
            <w:tcW w:w="1701" w:type="dxa"/>
            <w:vAlign w:val="center"/>
          </w:tcPr>
          <w:p w14:paraId="66799F3D" w14:textId="77777777" w:rsidR="009E7B17" w:rsidRPr="00387F71" w:rsidRDefault="009E7B17" w:rsidP="00084E0F">
            <w:pPr>
              <w:pStyle w:val="BodyTextIndent"/>
              <w:tabs>
                <w:tab w:val="left" w:pos="0"/>
              </w:tabs>
              <w:ind w:left="0"/>
              <w:jc w:val="center"/>
              <w:rPr>
                <w:rFonts w:ascii="Arial" w:hAnsi="Arial" w:cs="Arial"/>
                <w:bCs/>
                <w:sz w:val="22"/>
                <w:szCs w:val="22"/>
              </w:rPr>
            </w:pPr>
            <w:r w:rsidRPr="00387F71">
              <w:rPr>
                <w:rFonts w:ascii="Arial" w:hAnsi="Arial" w:cs="Arial"/>
                <w:bCs/>
                <w:sz w:val="22"/>
                <w:szCs w:val="22"/>
              </w:rPr>
              <w:t>Excellent</w:t>
            </w:r>
          </w:p>
        </w:tc>
        <w:tc>
          <w:tcPr>
            <w:tcW w:w="851" w:type="dxa"/>
            <w:vAlign w:val="center"/>
          </w:tcPr>
          <w:p w14:paraId="62DEC724" w14:textId="77777777" w:rsidR="009E7B17" w:rsidRPr="00387F71" w:rsidRDefault="009E7B17" w:rsidP="00084E0F">
            <w:pPr>
              <w:pStyle w:val="BodyTextIndent"/>
              <w:tabs>
                <w:tab w:val="left" w:pos="0"/>
              </w:tabs>
              <w:ind w:left="0"/>
              <w:jc w:val="center"/>
              <w:rPr>
                <w:rFonts w:ascii="Arial" w:hAnsi="Arial" w:cs="Arial"/>
                <w:bCs/>
                <w:sz w:val="22"/>
                <w:szCs w:val="22"/>
              </w:rPr>
            </w:pPr>
            <w:r w:rsidRPr="00387F71">
              <w:rPr>
                <w:rFonts w:ascii="Arial" w:hAnsi="Arial" w:cs="Arial"/>
                <w:bCs/>
                <w:sz w:val="22"/>
                <w:szCs w:val="22"/>
              </w:rPr>
              <w:t>100</w:t>
            </w:r>
          </w:p>
        </w:tc>
        <w:tc>
          <w:tcPr>
            <w:tcW w:w="6520" w:type="dxa"/>
          </w:tcPr>
          <w:p w14:paraId="178AA412" w14:textId="77777777" w:rsidR="009E7B17" w:rsidRPr="006A5D47" w:rsidRDefault="009E7B17" w:rsidP="00084E0F">
            <w:pPr>
              <w:pStyle w:val="BodyTextIndent"/>
              <w:tabs>
                <w:tab w:val="left" w:pos="0"/>
              </w:tabs>
              <w:ind w:left="0"/>
              <w:jc w:val="both"/>
              <w:rPr>
                <w:rFonts w:ascii="Arial" w:hAnsi="Arial" w:cs="Arial"/>
                <w:b/>
                <w:sz w:val="22"/>
                <w:szCs w:val="22"/>
                <w:u w:val="single"/>
              </w:rPr>
            </w:pPr>
            <w:r w:rsidRPr="006A5D47">
              <w:rPr>
                <w:rFonts w:ascii="Arial" w:hAnsi="Arial" w:cs="Arial"/>
                <w:b/>
                <w:sz w:val="22"/>
                <w:szCs w:val="22"/>
                <w:u w:val="single"/>
              </w:rPr>
              <w:t>The response must:</w:t>
            </w:r>
          </w:p>
          <w:p w14:paraId="3CC500E9" w14:textId="77777777" w:rsidR="009E7B17" w:rsidRDefault="009E7B17" w:rsidP="00084E0F">
            <w:pPr>
              <w:pStyle w:val="BodyTextIndent"/>
              <w:numPr>
                <w:ilvl w:val="0"/>
                <w:numId w:val="13"/>
              </w:numPr>
              <w:tabs>
                <w:tab w:val="left" w:pos="0"/>
              </w:tabs>
              <w:jc w:val="both"/>
              <w:rPr>
                <w:rFonts w:ascii="Arial" w:hAnsi="Arial" w:cs="Arial"/>
                <w:bCs/>
                <w:sz w:val="22"/>
                <w:szCs w:val="22"/>
              </w:rPr>
            </w:pPr>
            <w:r w:rsidRPr="001E6CF0">
              <w:rPr>
                <w:rFonts w:ascii="Arial" w:hAnsi="Arial" w:cs="Arial"/>
                <w:bCs/>
                <w:sz w:val="22"/>
                <w:szCs w:val="22"/>
              </w:rPr>
              <w:t xml:space="preserve">address (i.e., provide relevant commentary against) </w:t>
            </w:r>
            <w:proofErr w:type="gramStart"/>
            <w:r w:rsidRPr="001E6CF0">
              <w:rPr>
                <w:rFonts w:ascii="Arial" w:hAnsi="Arial" w:cs="Arial"/>
                <w:bCs/>
                <w:sz w:val="22"/>
                <w:szCs w:val="22"/>
              </w:rPr>
              <w:t>ALL of</w:t>
            </w:r>
            <w:proofErr w:type="gramEnd"/>
            <w:r w:rsidRPr="001E6CF0">
              <w:rPr>
                <w:rFonts w:ascii="Arial" w:hAnsi="Arial" w:cs="Arial"/>
                <w:bCs/>
                <w:sz w:val="22"/>
                <w:szCs w:val="22"/>
              </w:rPr>
              <w:t xml:space="preserve"> the Criteria and Sub-Criteria </w:t>
            </w:r>
            <w:r>
              <w:rPr>
                <w:rFonts w:ascii="Arial" w:hAnsi="Arial" w:cs="Arial"/>
                <w:bCs/>
                <w:sz w:val="22"/>
                <w:szCs w:val="22"/>
              </w:rPr>
              <w:t>and most should be</w:t>
            </w:r>
            <w:r w:rsidRPr="001E6CF0">
              <w:rPr>
                <w:rFonts w:ascii="Arial" w:hAnsi="Arial" w:cs="Arial"/>
                <w:bCs/>
                <w:sz w:val="22"/>
                <w:szCs w:val="22"/>
              </w:rPr>
              <w:t xml:space="preserve"> addressed to a</w:t>
            </w:r>
            <w:r>
              <w:rPr>
                <w:rFonts w:ascii="Arial" w:hAnsi="Arial" w:cs="Arial"/>
                <w:bCs/>
                <w:sz w:val="22"/>
                <w:szCs w:val="22"/>
              </w:rPr>
              <w:t>n excellent</w:t>
            </w:r>
            <w:r w:rsidRPr="001E6CF0">
              <w:rPr>
                <w:rFonts w:ascii="Arial" w:hAnsi="Arial" w:cs="Arial"/>
                <w:bCs/>
                <w:sz w:val="22"/>
                <w:szCs w:val="22"/>
              </w:rPr>
              <w:t xml:space="preserve"> standard and </w:t>
            </w:r>
            <w:r>
              <w:rPr>
                <w:rFonts w:ascii="Arial" w:hAnsi="Arial" w:cs="Arial"/>
                <w:bCs/>
                <w:sz w:val="22"/>
                <w:szCs w:val="22"/>
              </w:rPr>
              <w:t xml:space="preserve">comprehensive </w:t>
            </w:r>
            <w:r w:rsidRPr="001E6CF0">
              <w:rPr>
                <w:rFonts w:ascii="Arial" w:hAnsi="Arial" w:cs="Arial"/>
                <w:bCs/>
                <w:sz w:val="22"/>
                <w:szCs w:val="22"/>
              </w:rPr>
              <w:t>level of detail</w:t>
            </w:r>
            <w:r>
              <w:rPr>
                <w:rFonts w:ascii="Arial" w:hAnsi="Arial" w:cs="Arial"/>
                <w:bCs/>
                <w:sz w:val="22"/>
                <w:szCs w:val="22"/>
              </w:rPr>
              <w:t xml:space="preserve"> (one Sub Criteria can be assessed as good as long as the rest are excellent)</w:t>
            </w:r>
            <w:r w:rsidRPr="001E6CF0">
              <w:rPr>
                <w:rFonts w:ascii="Arial" w:hAnsi="Arial" w:cs="Arial"/>
                <w:bCs/>
                <w:sz w:val="22"/>
                <w:szCs w:val="22"/>
              </w:rPr>
              <w:t>;</w:t>
            </w:r>
            <w:r>
              <w:rPr>
                <w:rFonts w:ascii="Arial" w:hAnsi="Arial" w:cs="Arial"/>
                <w:bCs/>
                <w:sz w:val="22"/>
                <w:szCs w:val="22"/>
              </w:rPr>
              <w:t xml:space="preserve"> and</w:t>
            </w:r>
          </w:p>
          <w:p w14:paraId="6CC0B139" w14:textId="77777777" w:rsidR="009E7B17" w:rsidRPr="007C5AC1" w:rsidRDefault="009E7B17" w:rsidP="00084E0F">
            <w:pPr>
              <w:pStyle w:val="BodyTextIndent"/>
              <w:tabs>
                <w:tab w:val="left" w:pos="0"/>
              </w:tabs>
              <w:ind w:left="720"/>
              <w:jc w:val="both"/>
              <w:rPr>
                <w:rFonts w:ascii="Arial" w:hAnsi="Arial" w:cs="Arial"/>
                <w:bCs/>
                <w:sz w:val="22"/>
                <w:szCs w:val="22"/>
              </w:rPr>
            </w:pPr>
          </w:p>
          <w:p w14:paraId="375BDBF5" w14:textId="77777777" w:rsidR="009E7B17" w:rsidRDefault="009E7B17" w:rsidP="00084E0F">
            <w:pPr>
              <w:pStyle w:val="BodyTextIndent"/>
              <w:numPr>
                <w:ilvl w:val="0"/>
                <w:numId w:val="13"/>
              </w:numPr>
              <w:tabs>
                <w:tab w:val="left" w:pos="0"/>
              </w:tabs>
              <w:jc w:val="both"/>
              <w:rPr>
                <w:rFonts w:ascii="Arial" w:hAnsi="Arial" w:cs="Arial"/>
                <w:bCs/>
                <w:sz w:val="22"/>
                <w:szCs w:val="22"/>
              </w:rPr>
            </w:pPr>
            <w:r w:rsidRPr="00717A92">
              <w:rPr>
                <w:rFonts w:ascii="Arial" w:hAnsi="Arial" w:cs="Arial"/>
                <w:bCs/>
                <w:sz w:val="22"/>
                <w:szCs w:val="22"/>
              </w:rPr>
              <w:t xml:space="preserve">provide </w:t>
            </w:r>
            <w:r>
              <w:rPr>
                <w:rFonts w:ascii="Arial" w:hAnsi="Arial" w:cs="Arial"/>
                <w:bCs/>
                <w:sz w:val="22"/>
                <w:szCs w:val="22"/>
              </w:rPr>
              <w:t xml:space="preserve">strong </w:t>
            </w:r>
            <w:r w:rsidRPr="00717A92">
              <w:rPr>
                <w:rFonts w:ascii="Arial" w:hAnsi="Arial" w:cs="Arial"/>
                <w:bCs/>
                <w:sz w:val="22"/>
                <w:szCs w:val="22"/>
              </w:rPr>
              <w:t xml:space="preserve">evidence of </w:t>
            </w:r>
            <w:proofErr w:type="gramStart"/>
            <w:r w:rsidRPr="00717A92">
              <w:rPr>
                <w:rFonts w:ascii="Arial" w:hAnsi="Arial" w:cs="Arial"/>
                <w:bCs/>
                <w:sz w:val="22"/>
                <w:szCs w:val="22"/>
              </w:rPr>
              <w:t>past experience</w:t>
            </w:r>
            <w:proofErr w:type="gramEnd"/>
            <w:r w:rsidRPr="00717A92">
              <w:rPr>
                <w:rFonts w:ascii="Arial" w:hAnsi="Arial" w:cs="Arial"/>
                <w:bCs/>
                <w:sz w:val="22"/>
                <w:szCs w:val="22"/>
              </w:rPr>
              <w:t xml:space="preserve"> that was comparable to or of greater </w:t>
            </w:r>
            <w:r w:rsidRPr="009D230B">
              <w:rPr>
                <w:rFonts w:ascii="Arial" w:hAnsi="Arial" w:cs="Arial"/>
                <w:bCs/>
                <w:sz w:val="22"/>
                <w:szCs w:val="22"/>
              </w:rPr>
              <w:t>scale to what is required under HMRC’s</w:t>
            </w:r>
            <w:r w:rsidRPr="00717A92">
              <w:rPr>
                <w:rFonts w:ascii="Arial" w:hAnsi="Arial" w:cs="Arial"/>
                <w:bCs/>
                <w:sz w:val="22"/>
                <w:szCs w:val="22"/>
              </w:rPr>
              <w:t xml:space="preserve"> </w:t>
            </w:r>
            <w:r>
              <w:rPr>
                <w:rFonts w:ascii="Arial" w:hAnsi="Arial" w:cs="Arial"/>
                <w:bCs/>
                <w:sz w:val="22"/>
                <w:szCs w:val="22"/>
              </w:rPr>
              <w:t>Services Description</w:t>
            </w:r>
          </w:p>
          <w:p w14:paraId="5A121068" w14:textId="77777777" w:rsidR="009E7B17" w:rsidRPr="00387F71" w:rsidRDefault="009E7B17" w:rsidP="00084E0F">
            <w:pPr>
              <w:pStyle w:val="BodyTextIndent"/>
              <w:tabs>
                <w:tab w:val="left" w:pos="0"/>
              </w:tabs>
              <w:spacing w:after="0"/>
              <w:ind w:left="0"/>
              <w:jc w:val="both"/>
              <w:rPr>
                <w:rFonts w:ascii="Arial" w:hAnsi="Arial" w:cs="Arial"/>
                <w:bCs/>
                <w:sz w:val="22"/>
                <w:szCs w:val="22"/>
              </w:rPr>
            </w:pPr>
            <w:r w:rsidRPr="00142791">
              <w:rPr>
                <w:sz w:val="22"/>
                <w:szCs w:val="22"/>
              </w:rPr>
              <w:t xml:space="preserve">Overall, the response provides </w:t>
            </w:r>
            <w:r>
              <w:rPr>
                <w:sz w:val="22"/>
                <w:szCs w:val="22"/>
              </w:rPr>
              <w:t xml:space="preserve">HMRC with </w:t>
            </w:r>
            <w:r w:rsidRPr="00FC282B">
              <w:rPr>
                <w:sz w:val="22"/>
                <w:szCs w:val="22"/>
              </w:rPr>
              <w:t>a</w:t>
            </w:r>
            <w:r>
              <w:rPr>
                <w:sz w:val="22"/>
                <w:szCs w:val="22"/>
              </w:rPr>
              <w:t xml:space="preserve">n excellent </w:t>
            </w:r>
            <w:r w:rsidRPr="00FC282B">
              <w:rPr>
                <w:sz w:val="22"/>
                <w:szCs w:val="22"/>
              </w:rPr>
              <w:t xml:space="preserve">level </w:t>
            </w:r>
            <w:r w:rsidRPr="00142791">
              <w:rPr>
                <w:sz w:val="22"/>
                <w:szCs w:val="22"/>
              </w:rPr>
              <w:t xml:space="preserve">of </w:t>
            </w:r>
            <w:r w:rsidRPr="00FC282B">
              <w:rPr>
                <w:sz w:val="22"/>
                <w:szCs w:val="22"/>
              </w:rPr>
              <w:t xml:space="preserve">assurance and confidence </w:t>
            </w:r>
            <w:r w:rsidRPr="009E359B">
              <w:rPr>
                <w:rFonts w:ascii="Arial" w:hAnsi="Arial" w:cs="Arial"/>
                <w:bCs/>
                <w:sz w:val="22"/>
                <w:szCs w:val="22"/>
              </w:rPr>
              <w:t xml:space="preserve">that the </w:t>
            </w:r>
            <w:r>
              <w:rPr>
                <w:rFonts w:ascii="Arial" w:hAnsi="Arial" w:cs="Arial"/>
                <w:bCs/>
                <w:sz w:val="22"/>
                <w:szCs w:val="22"/>
              </w:rPr>
              <w:t>Tenderer</w:t>
            </w:r>
            <w:r w:rsidRPr="009E359B">
              <w:rPr>
                <w:rFonts w:ascii="Arial" w:hAnsi="Arial" w:cs="Arial"/>
                <w:bCs/>
                <w:sz w:val="22"/>
                <w:szCs w:val="22"/>
              </w:rPr>
              <w:t xml:space="preserve"> has</w:t>
            </w:r>
            <w:r>
              <w:rPr>
                <w:rFonts w:ascii="Arial" w:hAnsi="Arial" w:cs="Arial"/>
                <w:bCs/>
                <w:sz w:val="22"/>
                <w:szCs w:val="22"/>
              </w:rPr>
              <w:t xml:space="preserve"> sufficient and relevant </w:t>
            </w:r>
            <w:proofErr w:type="gramStart"/>
            <w:r w:rsidRPr="009E359B">
              <w:rPr>
                <w:rFonts w:ascii="Arial" w:hAnsi="Arial" w:cs="Arial"/>
                <w:bCs/>
                <w:sz w:val="22"/>
                <w:szCs w:val="22"/>
              </w:rPr>
              <w:t>past experience</w:t>
            </w:r>
            <w:proofErr w:type="gramEnd"/>
            <w:r w:rsidRPr="009E359B">
              <w:rPr>
                <w:rFonts w:ascii="Arial" w:hAnsi="Arial" w:cs="Arial"/>
                <w:bCs/>
                <w:sz w:val="22"/>
                <w:szCs w:val="22"/>
              </w:rPr>
              <w:t xml:space="preserve"> of delivering a </w:t>
            </w:r>
            <w:r>
              <w:rPr>
                <w:rFonts w:ascii="Arial" w:hAnsi="Arial" w:cs="Arial"/>
                <w:bCs/>
                <w:sz w:val="22"/>
                <w:szCs w:val="22"/>
              </w:rPr>
              <w:t>DCE</w:t>
            </w:r>
            <w:r w:rsidRPr="009E359B">
              <w:rPr>
                <w:rFonts w:ascii="Arial" w:hAnsi="Arial" w:cs="Arial"/>
                <w:bCs/>
                <w:sz w:val="22"/>
                <w:szCs w:val="22"/>
              </w:rPr>
              <w:t xml:space="preserve"> solution</w:t>
            </w:r>
            <w:r>
              <w:rPr>
                <w:rFonts w:ascii="Arial" w:hAnsi="Arial" w:cs="Arial"/>
                <w:bCs/>
                <w:sz w:val="22"/>
                <w:szCs w:val="22"/>
              </w:rPr>
              <w:t xml:space="preserve"> that was comparable to or of greater </w:t>
            </w:r>
            <w:r w:rsidRPr="009E359B">
              <w:rPr>
                <w:rFonts w:ascii="Arial" w:hAnsi="Arial" w:cs="Arial"/>
                <w:bCs/>
                <w:sz w:val="22"/>
                <w:szCs w:val="22"/>
              </w:rPr>
              <w:t xml:space="preserve">scale </w:t>
            </w:r>
            <w:r>
              <w:rPr>
                <w:rFonts w:ascii="Arial" w:hAnsi="Arial" w:cs="Arial"/>
                <w:bCs/>
                <w:sz w:val="22"/>
                <w:szCs w:val="22"/>
              </w:rPr>
              <w:t xml:space="preserve">and complexity to what is </w:t>
            </w:r>
            <w:r w:rsidRPr="009E359B">
              <w:rPr>
                <w:rFonts w:ascii="Arial" w:hAnsi="Arial" w:cs="Arial"/>
                <w:bCs/>
                <w:sz w:val="22"/>
                <w:szCs w:val="22"/>
              </w:rPr>
              <w:t>required</w:t>
            </w:r>
            <w:r>
              <w:rPr>
                <w:rFonts w:ascii="Arial" w:hAnsi="Arial" w:cs="Arial"/>
                <w:bCs/>
                <w:sz w:val="22"/>
                <w:szCs w:val="22"/>
              </w:rPr>
              <w:t xml:space="preserve"> under</w:t>
            </w:r>
            <w:r w:rsidRPr="00A47332">
              <w:rPr>
                <w:rFonts w:ascii="Arial" w:hAnsi="Arial" w:cs="Arial"/>
                <w:bCs/>
                <w:sz w:val="22"/>
                <w:szCs w:val="22"/>
              </w:rPr>
              <w:t xml:space="preserve"> HMRC’s </w:t>
            </w:r>
            <w:r>
              <w:rPr>
                <w:rFonts w:ascii="Arial" w:hAnsi="Arial" w:cs="Arial"/>
                <w:bCs/>
                <w:sz w:val="22"/>
                <w:szCs w:val="22"/>
              </w:rPr>
              <w:t>Services Description.</w:t>
            </w:r>
          </w:p>
        </w:tc>
      </w:tr>
      <w:tr w:rsidR="009E7B17" w:rsidRPr="00387F71" w14:paraId="3BEBD37D" w14:textId="77777777" w:rsidTr="00084E0F">
        <w:tc>
          <w:tcPr>
            <w:tcW w:w="1701" w:type="dxa"/>
            <w:vAlign w:val="center"/>
          </w:tcPr>
          <w:p w14:paraId="2D10CFFE"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Good</w:t>
            </w:r>
          </w:p>
        </w:tc>
        <w:tc>
          <w:tcPr>
            <w:tcW w:w="851" w:type="dxa"/>
            <w:vAlign w:val="center"/>
          </w:tcPr>
          <w:p w14:paraId="7908110C"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80</w:t>
            </w:r>
          </w:p>
        </w:tc>
        <w:tc>
          <w:tcPr>
            <w:tcW w:w="6520" w:type="dxa"/>
          </w:tcPr>
          <w:p w14:paraId="4582FF08" w14:textId="77777777" w:rsidR="009E7B17" w:rsidRPr="00CD5562" w:rsidRDefault="009E7B17" w:rsidP="00084E0F">
            <w:pPr>
              <w:pStyle w:val="BodyTextIndent"/>
              <w:tabs>
                <w:tab w:val="left" w:pos="0"/>
              </w:tabs>
              <w:ind w:left="0"/>
              <w:jc w:val="both"/>
              <w:rPr>
                <w:rFonts w:ascii="Arial" w:hAnsi="Arial" w:cs="Arial"/>
                <w:b/>
                <w:sz w:val="22"/>
                <w:szCs w:val="22"/>
                <w:u w:val="single"/>
              </w:rPr>
            </w:pPr>
            <w:r w:rsidRPr="00CD5562">
              <w:rPr>
                <w:rFonts w:ascii="Arial" w:hAnsi="Arial" w:cs="Arial"/>
                <w:b/>
                <w:sz w:val="22"/>
                <w:szCs w:val="22"/>
                <w:u w:val="single"/>
              </w:rPr>
              <w:t>The response must:</w:t>
            </w:r>
          </w:p>
          <w:p w14:paraId="4D7EB18B" w14:textId="77777777" w:rsidR="009E7B17" w:rsidRPr="001E6CF0" w:rsidRDefault="009E7B17" w:rsidP="00084E0F">
            <w:pPr>
              <w:pStyle w:val="BodyTextIndent"/>
              <w:numPr>
                <w:ilvl w:val="0"/>
                <w:numId w:val="15"/>
              </w:numPr>
              <w:tabs>
                <w:tab w:val="left" w:pos="0"/>
              </w:tabs>
              <w:jc w:val="both"/>
              <w:rPr>
                <w:rFonts w:ascii="Arial" w:hAnsi="Arial" w:cs="Arial"/>
                <w:bCs/>
                <w:sz w:val="22"/>
                <w:szCs w:val="22"/>
              </w:rPr>
            </w:pPr>
            <w:r w:rsidRPr="001E6CF0">
              <w:rPr>
                <w:rFonts w:ascii="Arial" w:hAnsi="Arial" w:cs="Arial"/>
                <w:bCs/>
                <w:sz w:val="22"/>
                <w:szCs w:val="22"/>
              </w:rPr>
              <w:t xml:space="preserve">address (i.e., provide relevant commentary against) </w:t>
            </w:r>
            <w:proofErr w:type="gramStart"/>
            <w:r w:rsidRPr="001E6CF0">
              <w:rPr>
                <w:rFonts w:ascii="Arial" w:hAnsi="Arial" w:cs="Arial"/>
                <w:bCs/>
                <w:sz w:val="22"/>
                <w:szCs w:val="22"/>
              </w:rPr>
              <w:t>ALL of</w:t>
            </w:r>
            <w:proofErr w:type="gramEnd"/>
            <w:r w:rsidRPr="001E6CF0">
              <w:rPr>
                <w:rFonts w:ascii="Arial" w:hAnsi="Arial" w:cs="Arial"/>
                <w:bCs/>
                <w:sz w:val="22"/>
                <w:szCs w:val="22"/>
              </w:rPr>
              <w:t xml:space="preserve"> the Criteria and Sub-Criteria as set out in the question with most addressed to at least a good standard and level of detail</w:t>
            </w:r>
            <w:r>
              <w:rPr>
                <w:rFonts w:ascii="Arial" w:hAnsi="Arial" w:cs="Arial"/>
                <w:bCs/>
                <w:sz w:val="22"/>
                <w:szCs w:val="22"/>
              </w:rPr>
              <w:t xml:space="preserve"> (one Sub Criteria can be assessed as satisfactory as long as the rest are at least assessed as good)</w:t>
            </w:r>
            <w:r w:rsidRPr="001E6CF0">
              <w:rPr>
                <w:rFonts w:ascii="Arial" w:hAnsi="Arial" w:cs="Arial"/>
                <w:bCs/>
                <w:sz w:val="22"/>
                <w:szCs w:val="22"/>
              </w:rPr>
              <w:t>;</w:t>
            </w:r>
            <w:r>
              <w:rPr>
                <w:rFonts w:ascii="Arial" w:hAnsi="Arial" w:cs="Arial"/>
                <w:bCs/>
                <w:sz w:val="22"/>
                <w:szCs w:val="22"/>
              </w:rPr>
              <w:t xml:space="preserve"> and</w:t>
            </w:r>
          </w:p>
          <w:p w14:paraId="106E00F5" w14:textId="77777777" w:rsidR="009E7B17" w:rsidRPr="001E6CF0" w:rsidRDefault="009E7B17" w:rsidP="00084E0F">
            <w:pPr>
              <w:pStyle w:val="BodyTextIndent"/>
              <w:tabs>
                <w:tab w:val="left" w:pos="0"/>
              </w:tabs>
              <w:ind w:left="720"/>
              <w:jc w:val="both"/>
              <w:rPr>
                <w:rFonts w:ascii="Arial" w:hAnsi="Arial" w:cs="Arial"/>
                <w:bCs/>
                <w:sz w:val="22"/>
                <w:szCs w:val="22"/>
              </w:rPr>
            </w:pPr>
          </w:p>
          <w:p w14:paraId="67277A36" w14:textId="77777777" w:rsidR="009E7B17" w:rsidRPr="00E636F1" w:rsidRDefault="009E7B17" w:rsidP="00084E0F">
            <w:pPr>
              <w:pStyle w:val="BodyTextIndent"/>
              <w:numPr>
                <w:ilvl w:val="0"/>
                <w:numId w:val="15"/>
              </w:numPr>
              <w:tabs>
                <w:tab w:val="left" w:pos="0"/>
              </w:tabs>
              <w:jc w:val="both"/>
              <w:rPr>
                <w:rFonts w:ascii="Arial" w:hAnsi="Arial" w:cs="Arial"/>
                <w:bCs/>
                <w:sz w:val="22"/>
                <w:szCs w:val="22"/>
              </w:rPr>
            </w:pPr>
            <w:r w:rsidRPr="00717A92">
              <w:rPr>
                <w:rFonts w:ascii="Arial" w:hAnsi="Arial" w:cs="Arial"/>
                <w:bCs/>
                <w:sz w:val="22"/>
                <w:szCs w:val="22"/>
              </w:rPr>
              <w:t xml:space="preserve">provide evidence of </w:t>
            </w:r>
            <w:proofErr w:type="gramStart"/>
            <w:r w:rsidRPr="00717A92">
              <w:rPr>
                <w:rFonts w:ascii="Arial" w:hAnsi="Arial" w:cs="Arial"/>
                <w:bCs/>
                <w:sz w:val="22"/>
                <w:szCs w:val="22"/>
              </w:rPr>
              <w:t>past experience</w:t>
            </w:r>
            <w:proofErr w:type="gramEnd"/>
            <w:r w:rsidRPr="00717A92">
              <w:rPr>
                <w:rFonts w:ascii="Arial" w:hAnsi="Arial" w:cs="Arial"/>
                <w:bCs/>
                <w:sz w:val="22"/>
                <w:szCs w:val="22"/>
              </w:rPr>
              <w:t xml:space="preserve"> that was comparable to or of greater </w:t>
            </w:r>
            <w:r w:rsidRPr="00E636F1">
              <w:rPr>
                <w:rFonts w:ascii="Arial" w:hAnsi="Arial" w:cs="Arial"/>
                <w:bCs/>
                <w:sz w:val="22"/>
                <w:szCs w:val="22"/>
              </w:rPr>
              <w:t xml:space="preserve">scale to what is required under HMRC’s </w:t>
            </w:r>
            <w:r>
              <w:rPr>
                <w:rFonts w:ascii="Arial" w:hAnsi="Arial" w:cs="Arial"/>
                <w:bCs/>
                <w:sz w:val="22"/>
                <w:szCs w:val="22"/>
              </w:rPr>
              <w:t>Services Description</w:t>
            </w:r>
          </w:p>
          <w:p w14:paraId="70886732" w14:textId="77777777" w:rsidR="009E7B17" w:rsidRPr="00387F71" w:rsidRDefault="009E7B17" w:rsidP="00084E0F">
            <w:pPr>
              <w:pStyle w:val="BodyTextIndent"/>
              <w:tabs>
                <w:tab w:val="left" w:pos="0"/>
              </w:tabs>
              <w:ind w:left="0"/>
              <w:jc w:val="both"/>
              <w:rPr>
                <w:rFonts w:ascii="Arial" w:hAnsi="Arial" w:cs="Arial"/>
                <w:bCs/>
                <w:sz w:val="22"/>
                <w:szCs w:val="22"/>
              </w:rPr>
            </w:pPr>
            <w:r w:rsidRPr="00142791">
              <w:rPr>
                <w:sz w:val="22"/>
                <w:szCs w:val="22"/>
              </w:rPr>
              <w:t xml:space="preserve">Overall, the response provides </w:t>
            </w:r>
            <w:r>
              <w:rPr>
                <w:sz w:val="22"/>
                <w:szCs w:val="22"/>
              </w:rPr>
              <w:t xml:space="preserve">HMRC with </w:t>
            </w:r>
            <w:r w:rsidRPr="00FC282B">
              <w:rPr>
                <w:sz w:val="22"/>
                <w:szCs w:val="22"/>
              </w:rPr>
              <w:t xml:space="preserve">a </w:t>
            </w:r>
            <w:r>
              <w:rPr>
                <w:sz w:val="22"/>
                <w:szCs w:val="22"/>
              </w:rPr>
              <w:t>good</w:t>
            </w:r>
            <w:r w:rsidRPr="00FC282B">
              <w:rPr>
                <w:sz w:val="22"/>
                <w:szCs w:val="22"/>
              </w:rPr>
              <w:t xml:space="preserve"> level </w:t>
            </w:r>
            <w:r w:rsidRPr="00142791">
              <w:rPr>
                <w:sz w:val="22"/>
                <w:szCs w:val="22"/>
              </w:rPr>
              <w:t xml:space="preserve">of </w:t>
            </w:r>
            <w:r w:rsidRPr="00FC282B">
              <w:rPr>
                <w:sz w:val="22"/>
                <w:szCs w:val="22"/>
              </w:rPr>
              <w:t xml:space="preserve">assurance and confidence </w:t>
            </w:r>
            <w:r w:rsidRPr="009E359B">
              <w:rPr>
                <w:rFonts w:ascii="Arial" w:hAnsi="Arial" w:cs="Arial"/>
                <w:bCs/>
                <w:sz w:val="22"/>
                <w:szCs w:val="22"/>
              </w:rPr>
              <w:t xml:space="preserve">that the </w:t>
            </w:r>
            <w:r>
              <w:rPr>
                <w:rFonts w:ascii="Arial" w:hAnsi="Arial" w:cs="Arial"/>
                <w:bCs/>
                <w:sz w:val="22"/>
                <w:szCs w:val="22"/>
              </w:rPr>
              <w:t>Tenderer</w:t>
            </w:r>
            <w:r w:rsidRPr="009E359B">
              <w:rPr>
                <w:rFonts w:ascii="Arial" w:hAnsi="Arial" w:cs="Arial"/>
                <w:bCs/>
                <w:sz w:val="22"/>
                <w:szCs w:val="22"/>
              </w:rPr>
              <w:t xml:space="preserve"> has </w:t>
            </w:r>
            <w:r>
              <w:rPr>
                <w:rFonts w:ascii="Arial" w:hAnsi="Arial" w:cs="Arial"/>
                <w:bCs/>
                <w:sz w:val="22"/>
                <w:szCs w:val="22"/>
              </w:rPr>
              <w:t xml:space="preserve">sufficient and relevant </w:t>
            </w:r>
            <w:r w:rsidRPr="009E359B">
              <w:rPr>
                <w:rFonts w:ascii="Arial" w:hAnsi="Arial" w:cs="Arial"/>
                <w:bCs/>
                <w:sz w:val="22"/>
                <w:szCs w:val="22"/>
              </w:rPr>
              <w:t xml:space="preserve">past experience of delivering a </w:t>
            </w:r>
            <w:r>
              <w:rPr>
                <w:rFonts w:ascii="Arial" w:hAnsi="Arial" w:cs="Arial"/>
                <w:bCs/>
                <w:sz w:val="22"/>
                <w:szCs w:val="22"/>
              </w:rPr>
              <w:t>DCE</w:t>
            </w:r>
            <w:r w:rsidRPr="009E359B">
              <w:rPr>
                <w:rFonts w:ascii="Arial" w:hAnsi="Arial" w:cs="Arial"/>
                <w:bCs/>
                <w:sz w:val="22"/>
                <w:szCs w:val="22"/>
              </w:rPr>
              <w:t xml:space="preserve"> solution</w:t>
            </w:r>
            <w:r>
              <w:rPr>
                <w:rFonts w:ascii="Arial" w:hAnsi="Arial" w:cs="Arial"/>
                <w:bCs/>
                <w:sz w:val="22"/>
                <w:szCs w:val="22"/>
              </w:rPr>
              <w:t xml:space="preserve"> that was comparable to or of greater </w:t>
            </w:r>
            <w:r w:rsidRPr="009E359B">
              <w:rPr>
                <w:rFonts w:ascii="Arial" w:hAnsi="Arial" w:cs="Arial"/>
                <w:bCs/>
                <w:sz w:val="22"/>
                <w:szCs w:val="22"/>
              </w:rPr>
              <w:t xml:space="preserve">scale </w:t>
            </w:r>
            <w:r>
              <w:rPr>
                <w:rFonts w:ascii="Arial" w:hAnsi="Arial" w:cs="Arial"/>
                <w:bCs/>
                <w:sz w:val="22"/>
                <w:szCs w:val="22"/>
              </w:rPr>
              <w:t xml:space="preserve">and complexity to what is </w:t>
            </w:r>
            <w:r w:rsidRPr="009E359B">
              <w:rPr>
                <w:rFonts w:ascii="Arial" w:hAnsi="Arial" w:cs="Arial"/>
                <w:bCs/>
                <w:sz w:val="22"/>
                <w:szCs w:val="22"/>
              </w:rPr>
              <w:t>required</w:t>
            </w:r>
            <w:r>
              <w:rPr>
                <w:rFonts w:ascii="Arial" w:hAnsi="Arial" w:cs="Arial"/>
                <w:bCs/>
                <w:sz w:val="22"/>
                <w:szCs w:val="22"/>
              </w:rPr>
              <w:t xml:space="preserve"> under</w:t>
            </w:r>
            <w:r w:rsidRPr="00A47332">
              <w:rPr>
                <w:rFonts w:ascii="Arial" w:hAnsi="Arial" w:cs="Arial"/>
                <w:bCs/>
                <w:sz w:val="22"/>
                <w:szCs w:val="22"/>
              </w:rPr>
              <w:t xml:space="preserve"> HMRC’s </w:t>
            </w:r>
            <w:r>
              <w:rPr>
                <w:rFonts w:ascii="Arial" w:hAnsi="Arial" w:cs="Arial"/>
                <w:bCs/>
                <w:sz w:val="22"/>
                <w:szCs w:val="22"/>
              </w:rPr>
              <w:t xml:space="preserve">Services </w:t>
            </w:r>
            <w:proofErr w:type="gramStart"/>
            <w:r>
              <w:rPr>
                <w:rFonts w:ascii="Arial" w:hAnsi="Arial" w:cs="Arial"/>
                <w:bCs/>
                <w:sz w:val="22"/>
                <w:szCs w:val="22"/>
              </w:rPr>
              <w:t>Description..</w:t>
            </w:r>
            <w:proofErr w:type="gramEnd"/>
          </w:p>
        </w:tc>
      </w:tr>
      <w:tr w:rsidR="009E7B17" w:rsidRPr="00387F71" w14:paraId="2F176880" w14:textId="77777777" w:rsidTr="00084E0F">
        <w:tc>
          <w:tcPr>
            <w:tcW w:w="1701" w:type="dxa"/>
            <w:vAlign w:val="center"/>
          </w:tcPr>
          <w:p w14:paraId="611D32A8" w14:textId="77777777" w:rsidR="009E7B17" w:rsidRPr="00387F71" w:rsidRDefault="009E7B17" w:rsidP="00084E0F">
            <w:pPr>
              <w:pStyle w:val="BodyTextIndent"/>
              <w:tabs>
                <w:tab w:val="left" w:pos="0"/>
              </w:tabs>
              <w:ind w:left="0"/>
              <w:jc w:val="center"/>
              <w:rPr>
                <w:rFonts w:ascii="Arial" w:hAnsi="Arial" w:cs="Arial"/>
                <w:bCs/>
                <w:sz w:val="22"/>
                <w:szCs w:val="22"/>
              </w:rPr>
            </w:pPr>
            <w:r w:rsidRPr="00387F71">
              <w:rPr>
                <w:rFonts w:ascii="Arial" w:hAnsi="Arial" w:cs="Arial"/>
                <w:bCs/>
                <w:sz w:val="22"/>
                <w:szCs w:val="22"/>
              </w:rPr>
              <w:t>Satisfactory</w:t>
            </w:r>
          </w:p>
        </w:tc>
        <w:tc>
          <w:tcPr>
            <w:tcW w:w="851" w:type="dxa"/>
            <w:vAlign w:val="center"/>
          </w:tcPr>
          <w:p w14:paraId="382D457A"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60</w:t>
            </w:r>
          </w:p>
        </w:tc>
        <w:tc>
          <w:tcPr>
            <w:tcW w:w="6520" w:type="dxa"/>
          </w:tcPr>
          <w:p w14:paraId="3BCF291F" w14:textId="77777777" w:rsidR="009E7B17" w:rsidRPr="00CD5562" w:rsidRDefault="009E7B17" w:rsidP="00084E0F">
            <w:pPr>
              <w:pStyle w:val="BodyTextIndent"/>
              <w:tabs>
                <w:tab w:val="left" w:pos="0"/>
              </w:tabs>
              <w:ind w:left="0"/>
              <w:jc w:val="both"/>
              <w:rPr>
                <w:rFonts w:ascii="Arial" w:hAnsi="Arial" w:cs="Arial"/>
                <w:b/>
                <w:sz w:val="22"/>
                <w:szCs w:val="22"/>
                <w:u w:val="single"/>
              </w:rPr>
            </w:pPr>
            <w:r w:rsidRPr="00CD5562">
              <w:rPr>
                <w:rFonts w:ascii="Arial" w:hAnsi="Arial" w:cs="Arial"/>
                <w:b/>
                <w:sz w:val="22"/>
                <w:szCs w:val="22"/>
                <w:u w:val="single"/>
              </w:rPr>
              <w:t>The response must:</w:t>
            </w:r>
          </w:p>
          <w:p w14:paraId="15694EE6" w14:textId="77777777" w:rsidR="009E7B17" w:rsidRPr="00553042" w:rsidRDefault="009E7B17" w:rsidP="00084E0F">
            <w:pPr>
              <w:pStyle w:val="BodyTextIndent"/>
              <w:numPr>
                <w:ilvl w:val="0"/>
                <w:numId w:val="14"/>
              </w:numPr>
              <w:tabs>
                <w:tab w:val="left" w:pos="0"/>
              </w:tabs>
              <w:jc w:val="both"/>
              <w:rPr>
                <w:rFonts w:ascii="Arial" w:hAnsi="Arial" w:cs="Arial"/>
                <w:bCs/>
                <w:sz w:val="22"/>
                <w:szCs w:val="22"/>
              </w:rPr>
            </w:pPr>
            <w:r w:rsidRPr="00553042">
              <w:rPr>
                <w:rFonts w:ascii="Arial" w:hAnsi="Arial" w:cs="Arial"/>
                <w:bCs/>
                <w:sz w:val="22"/>
                <w:szCs w:val="22"/>
              </w:rPr>
              <w:t xml:space="preserve">address (i.e., provide relevant commentary against) ALL of the Criteria and Sub-Criteria as set out in the question with </w:t>
            </w:r>
            <w:r>
              <w:rPr>
                <w:rFonts w:ascii="Arial" w:hAnsi="Arial" w:cs="Arial"/>
                <w:bCs/>
                <w:sz w:val="22"/>
                <w:szCs w:val="22"/>
              </w:rPr>
              <w:t>all</w:t>
            </w:r>
            <w:r w:rsidRPr="00553042">
              <w:rPr>
                <w:rFonts w:ascii="Arial" w:hAnsi="Arial" w:cs="Arial"/>
                <w:bCs/>
                <w:sz w:val="22"/>
                <w:szCs w:val="22"/>
              </w:rPr>
              <w:t xml:space="preserve"> addressed to at least a satisfactory standard and level of </w:t>
            </w:r>
            <w:proofErr w:type="gramStart"/>
            <w:r w:rsidRPr="00553042">
              <w:rPr>
                <w:rFonts w:ascii="Arial" w:hAnsi="Arial" w:cs="Arial"/>
                <w:bCs/>
                <w:sz w:val="22"/>
                <w:szCs w:val="22"/>
              </w:rPr>
              <w:t>detail;</w:t>
            </w:r>
            <w:proofErr w:type="gramEnd"/>
          </w:p>
          <w:p w14:paraId="04048FB8" w14:textId="77777777" w:rsidR="009E7B17" w:rsidRPr="00553042" w:rsidRDefault="009E7B17" w:rsidP="00084E0F">
            <w:pPr>
              <w:pStyle w:val="BodyTextIndent"/>
              <w:tabs>
                <w:tab w:val="left" w:pos="0"/>
              </w:tabs>
              <w:ind w:left="720"/>
              <w:jc w:val="both"/>
              <w:rPr>
                <w:rFonts w:ascii="Arial" w:hAnsi="Arial" w:cs="Arial"/>
                <w:bCs/>
                <w:sz w:val="22"/>
                <w:szCs w:val="22"/>
              </w:rPr>
            </w:pPr>
          </w:p>
          <w:p w14:paraId="3E0A483B" w14:textId="77777777" w:rsidR="009E7B17" w:rsidRPr="00717A92" w:rsidRDefault="009E7B17" w:rsidP="00084E0F">
            <w:pPr>
              <w:pStyle w:val="BodyTextIndent"/>
              <w:numPr>
                <w:ilvl w:val="0"/>
                <w:numId w:val="14"/>
              </w:numPr>
              <w:tabs>
                <w:tab w:val="left" w:pos="0"/>
              </w:tabs>
              <w:jc w:val="both"/>
              <w:rPr>
                <w:rFonts w:ascii="Arial" w:hAnsi="Arial" w:cs="Arial"/>
                <w:bCs/>
                <w:sz w:val="22"/>
                <w:szCs w:val="22"/>
              </w:rPr>
            </w:pPr>
            <w:r w:rsidRPr="00717A92">
              <w:rPr>
                <w:rFonts w:ascii="Arial" w:hAnsi="Arial" w:cs="Arial"/>
                <w:bCs/>
                <w:sz w:val="22"/>
                <w:szCs w:val="22"/>
              </w:rPr>
              <w:t xml:space="preserve">provide evidence of past experience that was comparable to or of greater </w:t>
            </w:r>
            <w:r w:rsidRPr="009D230B">
              <w:rPr>
                <w:rFonts w:ascii="Arial" w:hAnsi="Arial" w:cs="Arial"/>
                <w:bCs/>
                <w:sz w:val="22"/>
                <w:szCs w:val="22"/>
              </w:rPr>
              <w:t>scale to what is required under HMRC’s</w:t>
            </w:r>
            <w:r w:rsidRPr="00717A92">
              <w:rPr>
                <w:rFonts w:ascii="Arial" w:hAnsi="Arial" w:cs="Arial"/>
                <w:bCs/>
                <w:sz w:val="22"/>
                <w:szCs w:val="22"/>
              </w:rPr>
              <w:t xml:space="preserve"> </w:t>
            </w:r>
            <w:r>
              <w:rPr>
                <w:rFonts w:ascii="Arial" w:hAnsi="Arial" w:cs="Arial"/>
                <w:bCs/>
                <w:sz w:val="22"/>
                <w:szCs w:val="22"/>
              </w:rPr>
              <w:t>Services Description</w:t>
            </w:r>
            <w:r w:rsidRPr="00717A92">
              <w:rPr>
                <w:rFonts w:ascii="Arial" w:hAnsi="Arial" w:cs="Arial"/>
                <w:bCs/>
                <w:sz w:val="22"/>
                <w:szCs w:val="22"/>
              </w:rPr>
              <w:t xml:space="preserve">, with only minor omissions or </w:t>
            </w:r>
            <w:proofErr w:type="gramStart"/>
            <w:r w:rsidRPr="00717A92">
              <w:rPr>
                <w:rFonts w:ascii="Arial" w:hAnsi="Arial" w:cs="Arial"/>
                <w:bCs/>
                <w:sz w:val="22"/>
                <w:szCs w:val="22"/>
              </w:rPr>
              <w:t>concerns;</w:t>
            </w:r>
            <w:proofErr w:type="gramEnd"/>
          </w:p>
          <w:p w14:paraId="2B81D6BA" w14:textId="77777777" w:rsidR="009E7B17" w:rsidRPr="00387F71" w:rsidRDefault="009E7B17" w:rsidP="00084E0F">
            <w:pPr>
              <w:pStyle w:val="BodyTextIndent"/>
              <w:tabs>
                <w:tab w:val="left" w:pos="0"/>
              </w:tabs>
              <w:ind w:left="0"/>
              <w:jc w:val="both"/>
              <w:rPr>
                <w:rFonts w:ascii="Arial" w:hAnsi="Arial" w:cs="Arial"/>
                <w:bCs/>
                <w:sz w:val="22"/>
                <w:szCs w:val="22"/>
              </w:rPr>
            </w:pPr>
            <w:r w:rsidRPr="00553042">
              <w:rPr>
                <w:rFonts w:ascii="Arial" w:hAnsi="Arial" w:cs="Arial"/>
                <w:bCs/>
                <w:sz w:val="22"/>
                <w:szCs w:val="22"/>
              </w:rPr>
              <w:t xml:space="preserve">Overall, the response provides a satisfactory level of assurance and confidence </w:t>
            </w:r>
            <w:r>
              <w:rPr>
                <w:rFonts w:ascii="Arial" w:hAnsi="Arial" w:cs="Arial"/>
                <w:bCs/>
                <w:sz w:val="22"/>
                <w:szCs w:val="22"/>
              </w:rPr>
              <w:t>(</w:t>
            </w:r>
            <w:r w:rsidRPr="00553042">
              <w:rPr>
                <w:rFonts w:ascii="Arial" w:hAnsi="Arial" w:cs="Arial"/>
                <w:bCs/>
                <w:sz w:val="22"/>
                <w:szCs w:val="22"/>
              </w:rPr>
              <w:t>with only minor omissions or concerns</w:t>
            </w:r>
            <w:r>
              <w:rPr>
                <w:rFonts w:ascii="Arial" w:hAnsi="Arial" w:cs="Arial"/>
                <w:bCs/>
                <w:sz w:val="22"/>
                <w:szCs w:val="22"/>
              </w:rPr>
              <w:t>)</w:t>
            </w:r>
            <w:r w:rsidRPr="00553042">
              <w:rPr>
                <w:rFonts w:ascii="Arial" w:hAnsi="Arial" w:cs="Arial"/>
                <w:bCs/>
                <w:sz w:val="22"/>
                <w:szCs w:val="22"/>
              </w:rPr>
              <w:t xml:space="preserve">, </w:t>
            </w:r>
            <w:r w:rsidRPr="009E359B">
              <w:rPr>
                <w:rFonts w:ascii="Arial" w:hAnsi="Arial" w:cs="Arial"/>
                <w:bCs/>
                <w:sz w:val="22"/>
                <w:szCs w:val="22"/>
              </w:rPr>
              <w:t xml:space="preserve">that the </w:t>
            </w:r>
            <w:r>
              <w:rPr>
                <w:rFonts w:ascii="Arial" w:hAnsi="Arial" w:cs="Arial"/>
                <w:bCs/>
                <w:sz w:val="22"/>
                <w:szCs w:val="22"/>
              </w:rPr>
              <w:t>Tenderer</w:t>
            </w:r>
            <w:r w:rsidRPr="009E359B">
              <w:rPr>
                <w:rFonts w:ascii="Arial" w:hAnsi="Arial" w:cs="Arial"/>
                <w:bCs/>
                <w:sz w:val="22"/>
                <w:szCs w:val="22"/>
              </w:rPr>
              <w:t xml:space="preserve"> has </w:t>
            </w:r>
            <w:r>
              <w:rPr>
                <w:rFonts w:ascii="Arial" w:hAnsi="Arial" w:cs="Arial"/>
                <w:bCs/>
                <w:sz w:val="22"/>
                <w:szCs w:val="22"/>
              </w:rPr>
              <w:t xml:space="preserve">sufficient and relevant </w:t>
            </w:r>
            <w:proofErr w:type="gramStart"/>
            <w:r w:rsidRPr="009E359B">
              <w:rPr>
                <w:rFonts w:ascii="Arial" w:hAnsi="Arial" w:cs="Arial"/>
                <w:bCs/>
                <w:sz w:val="22"/>
                <w:szCs w:val="22"/>
              </w:rPr>
              <w:t>past experience</w:t>
            </w:r>
            <w:proofErr w:type="gramEnd"/>
            <w:r w:rsidRPr="009E359B">
              <w:rPr>
                <w:rFonts w:ascii="Arial" w:hAnsi="Arial" w:cs="Arial"/>
                <w:bCs/>
                <w:sz w:val="22"/>
                <w:szCs w:val="22"/>
              </w:rPr>
              <w:t xml:space="preserve"> of delivering a </w:t>
            </w:r>
            <w:r>
              <w:rPr>
                <w:rFonts w:ascii="Arial" w:hAnsi="Arial" w:cs="Arial"/>
                <w:bCs/>
                <w:sz w:val="22"/>
                <w:szCs w:val="22"/>
              </w:rPr>
              <w:t>DCE</w:t>
            </w:r>
            <w:r w:rsidRPr="009E359B">
              <w:rPr>
                <w:rFonts w:ascii="Arial" w:hAnsi="Arial" w:cs="Arial"/>
                <w:bCs/>
                <w:sz w:val="22"/>
                <w:szCs w:val="22"/>
              </w:rPr>
              <w:t xml:space="preserve"> solution</w:t>
            </w:r>
            <w:r>
              <w:rPr>
                <w:rFonts w:ascii="Arial" w:hAnsi="Arial" w:cs="Arial"/>
                <w:bCs/>
                <w:sz w:val="22"/>
                <w:szCs w:val="22"/>
              </w:rPr>
              <w:t xml:space="preserve"> that was comparable to or of greater </w:t>
            </w:r>
            <w:r w:rsidRPr="009E359B">
              <w:rPr>
                <w:rFonts w:ascii="Arial" w:hAnsi="Arial" w:cs="Arial"/>
                <w:bCs/>
                <w:sz w:val="22"/>
                <w:szCs w:val="22"/>
              </w:rPr>
              <w:t xml:space="preserve">scale </w:t>
            </w:r>
            <w:r>
              <w:rPr>
                <w:rFonts w:ascii="Arial" w:hAnsi="Arial" w:cs="Arial"/>
                <w:bCs/>
                <w:sz w:val="22"/>
                <w:szCs w:val="22"/>
              </w:rPr>
              <w:t xml:space="preserve">and complexity to what is </w:t>
            </w:r>
            <w:r w:rsidRPr="009E359B">
              <w:rPr>
                <w:rFonts w:ascii="Arial" w:hAnsi="Arial" w:cs="Arial"/>
                <w:bCs/>
                <w:sz w:val="22"/>
                <w:szCs w:val="22"/>
              </w:rPr>
              <w:t>required</w:t>
            </w:r>
            <w:r>
              <w:rPr>
                <w:rFonts w:ascii="Arial" w:hAnsi="Arial" w:cs="Arial"/>
                <w:bCs/>
                <w:sz w:val="22"/>
                <w:szCs w:val="22"/>
              </w:rPr>
              <w:t xml:space="preserve"> under</w:t>
            </w:r>
            <w:r w:rsidRPr="00A47332">
              <w:rPr>
                <w:rFonts w:ascii="Arial" w:hAnsi="Arial" w:cs="Arial"/>
                <w:bCs/>
                <w:sz w:val="22"/>
                <w:szCs w:val="22"/>
              </w:rPr>
              <w:t xml:space="preserve"> HMRC’s </w:t>
            </w:r>
            <w:r>
              <w:rPr>
                <w:rFonts w:ascii="Arial" w:hAnsi="Arial" w:cs="Arial"/>
                <w:bCs/>
                <w:sz w:val="22"/>
                <w:szCs w:val="22"/>
              </w:rPr>
              <w:t>Services Description.</w:t>
            </w:r>
          </w:p>
        </w:tc>
      </w:tr>
      <w:tr w:rsidR="009E7B17" w:rsidRPr="00387F71" w14:paraId="6B97829F" w14:textId="77777777" w:rsidTr="00084E0F">
        <w:tc>
          <w:tcPr>
            <w:tcW w:w="1701" w:type="dxa"/>
            <w:vAlign w:val="center"/>
          </w:tcPr>
          <w:p w14:paraId="3010C28E"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Limited</w:t>
            </w:r>
          </w:p>
        </w:tc>
        <w:tc>
          <w:tcPr>
            <w:tcW w:w="851" w:type="dxa"/>
            <w:vAlign w:val="center"/>
          </w:tcPr>
          <w:p w14:paraId="0E048314"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40</w:t>
            </w:r>
          </w:p>
        </w:tc>
        <w:tc>
          <w:tcPr>
            <w:tcW w:w="6520" w:type="dxa"/>
          </w:tcPr>
          <w:p w14:paraId="5E25404D" w14:textId="77777777" w:rsidR="009E7B17" w:rsidRPr="00CD5562" w:rsidRDefault="009E7B17" w:rsidP="00084E0F">
            <w:pPr>
              <w:pStyle w:val="BodyTextIndent"/>
              <w:tabs>
                <w:tab w:val="left" w:pos="0"/>
              </w:tabs>
              <w:ind w:left="0"/>
              <w:jc w:val="both"/>
              <w:rPr>
                <w:rFonts w:ascii="Arial" w:hAnsi="Arial" w:cs="Arial"/>
                <w:b/>
                <w:sz w:val="22"/>
                <w:szCs w:val="22"/>
                <w:u w:val="single"/>
              </w:rPr>
            </w:pPr>
            <w:r w:rsidRPr="00CD5562">
              <w:rPr>
                <w:rFonts w:ascii="Arial" w:hAnsi="Arial" w:cs="Arial"/>
                <w:b/>
                <w:sz w:val="22"/>
                <w:szCs w:val="22"/>
                <w:u w:val="single"/>
              </w:rPr>
              <w:t>The response must:</w:t>
            </w:r>
          </w:p>
          <w:p w14:paraId="56209FFD" w14:textId="77777777" w:rsidR="009E7B17" w:rsidRPr="00A17B3A" w:rsidRDefault="009E7B17" w:rsidP="00084E0F">
            <w:pPr>
              <w:pStyle w:val="BodyTextIndent"/>
              <w:tabs>
                <w:tab w:val="left" w:pos="0"/>
              </w:tabs>
              <w:jc w:val="both"/>
              <w:rPr>
                <w:rFonts w:ascii="Arial" w:hAnsi="Arial" w:cs="Arial"/>
                <w:bCs/>
                <w:sz w:val="22"/>
                <w:szCs w:val="22"/>
              </w:rPr>
            </w:pPr>
          </w:p>
          <w:p w14:paraId="3CA69AD5" w14:textId="77777777" w:rsidR="009E7B17" w:rsidRDefault="009E7B17" w:rsidP="00084E0F">
            <w:pPr>
              <w:pStyle w:val="BodyTextIndent"/>
              <w:tabs>
                <w:tab w:val="left" w:pos="0"/>
              </w:tabs>
              <w:ind w:left="0"/>
              <w:jc w:val="both"/>
              <w:rPr>
                <w:rFonts w:ascii="Arial" w:hAnsi="Arial" w:cs="Arial"/>
                <w:bCs/>
                <w:sz w:val="22"/>
                <w:szCs w:val="22"/>
              </w:rPr>
            </w:pPr>
            <w:r>
              <w:rPr>
                <w:rFonts w:ascii="Arial" w:hAnsi="Arial" w:cs="Arial"/>
                <w:bCs/>
                <w:sz w:val="22"/>
                <w:szCs w:val="22"/>
              </w:rPr>
              <w:t xml:space="preserve">Fail to meet the standard for a score of </w:t>
            </w:r>
            <w:proofErr w:type="gramStart"/>
            <w:r>
              <w:rPr>
                <w:rFonts w:ascii="Arial" w:hAnsi="Arial" w:cs="Arial"/>
                <w:bCs/>
                <w:sz w:val="22"/>
                <w:szCs w:val="22"/>
              </w:rPr>
              <w:t>Satisfactory</w:t>
            </w:r>
            <w:proofErr w:type="gramEnd"/>
          </w:p>
          <w:p w14:paraId="5E8EA2C3" w14:textId="77777777" w:rsidR="009E7B17" w:rsidRDefault="009E7B17" w:rsidP="00084E0F">
            <w:pPr>
              <w:pStyle w:val="BodyTextIndent"/>
              <w:tabs>
                <w:tab w:val="left" w:pos="0"/>
              </w:tabs>
              <w:ind w:left="0"/>
              <w:jc w:val="both"/>
              <w:rPr>
                <w:rFonts w:ascii="Arial" w:hAnsi="Arial" w:cs="Arial"/>
                <w:bCs/>
                <w:sz w:val="22"/>
                <w:szCs w:val="22"/>
              </w:rPr>
            </w:pPr>
            <w:r>
              <w:rPr>
                <w:rFonts w:ascii="Arial" w:hAnsi="Arial" w:cs="Arial"/>
                <w:bCs/>
                <w:sz w:val="22"/>
                <w:szCs w:val="22"/>
              </w:rPr>
              <w:t>And/or</w:t>
            </w:r>
          </w:p>
          <w:p w14:paraId="2106F453" w14:textId="77777777" w:rsidR="009E7B17" w:rsidRPr="00A17B3A" w:rsidRDefault="009E7B17" w:rsidP="00084E0F">
            <w:pPr>
              <w:pStyle w:val="BodyTextIndent"/>
              <w:tabs>
                <w:tab w:val="left" w:pos="0"/>
              </w:tabs>
              <w:ind w:left="0"/>
              <w:jc w:val="both"/>
              <w:rPr>
                <w:rFonts w:ascii="Arial" w:hAnsi="Arial" w:cs="Arial"/>
                <w:bCs/>
                <w:sz w:val="22"/>
                <w:szCs w:val="22"/>
              </w:rPr>
            </w:pPr>
            <w:r w:rsidRPr="00A17B3A">
              <w:rPr>
                <w:rFonts w:ascii="Arial" w:hAnsi="Arial" w:cs="Arial"/>
                <w:bCs/>
                <w:sz w:val="22"/>
                <w:szCs w:val="22"/>
              </w:rPr>
              <w:t xml:space="preserve">Fail to address (i.e. provides no relevant commentary against) at least one element of the Criteria or Sub-criteria in the </w:t>
            </w:r>
            <w:proofErr w:type="gramStart"/>
            <w:r w:rsidRPr="00A17B3A">
              <w:rPr>
                <w:rFonts w:ascii="Arial" w:hAnsi="Arial" w:cs="Arial"/>
                <w:bCs/>
                <w:sz w:val="22"/>
                <w:szCs w:val="22"/>
              </w:rPr>
              <w:t>question</w:t>
            </w:r>
            <w:proofErr w:type="gramEnd"/>
          </w:p>
          <w:p w14:paraId="22D7D3B2" w14:textId="77777777" w:rsidR="009E7B17" w:rsidRPr="00A17B3A" w:rsidRDefault="009E7B17" w:rsidP="00084E0F">
            <w:pPr>
              <w:pStyle w:val="BodyTextIndent"/>
              <w:tabs>
                <w:tab w:val="left" w:pos="0"/>
              </w:tabs>
              <w:ind w:left="0"/>
              <w:jc w:val="both"/>
              <w:rPr>
                <w:rFonts w:ascii="Arial" w:hAnsi="Arial" w:cs="Arial"/>
                <w:bCs/>
                <w:sz w:val="22"/>
                <w:szCs w:val="22"/>
              </w:rPr>
            </w:pPr>
            <w:r w:rsidRPr="00A17B3A">
              <w:rPr>
                <w:rFonts w:ascii="Arial" w:hAnsi="Arial" w:cs="Arial"/>
                <w:bCs/>
                <w:sz w:val="22"/>
                <w:szCs w:val="22"/>
              </w:rPr>
              <w:t>And/or</w:t>
            </w:r>
          </w:p>
          <w:p w14:paraId="4CE10857" w14:textId="77777777" w:rsidR="009E7B17" w:rsidRPr="00A17B3A" w:rsidRDefault="009E7B17" w:rsidP="00084E0F">
            <w:pPr>
              <w:pStyle w:val="BodyTextIndent"/>
              <w:tabs>
                <w:tab w:val="left" w:pos="0"/>
              </w:tabs>
              <w:ind w:left="0"/>
              <w:jc w:val="both"/>
              <w:rPr>
                <w:rFonts w:ascii="Arial" w:hAnsi="Arial" w:cs="Arial"/>
                <w:bCs/>
                <w:sz w:val="22"/>
                <w:szCs w:val="22"/>
              </w:rPr>
            </w:pPr>
            <w:r>
              <w:rPr>
                <w:rFonts w:ascii="Arial" w:hAnsi="Arial" w:cs="Arial"/>
                <w:bCs/>
                <w:sz w:val="22"/>
                <w:szCs w:val="22"/>
              </w:rPr>
              <w:t xml:space="preserve">More than half (but not all – see score of 60) </w:t>
            </w:r>
            <w:r w:rsidRPr="00A17B3A">
              <w:rPr>
                <w:rFonts w:ascii="Arial" w:hAnsi="Arial" w:cs="Arial"/>
                <w:bCs/>
                <w:sz w:val="22"/>
                <w:szCs w:val="22"/>
              </w:rPr>
              <w:t xml:space="preserve">of </w:t>
            </w:r>
            <w:r>
              <w:rPr>
                <w:rFonts w:ascii="Arial" w:hAnsi="Arial" w:cs="Arial"/>
                <w:bCs/>
                <w:sz w:val="22"/>
                <w:szCs w:val="22"/>
              </w:rPr>
              <w:t>the</w:t>
            </w:r>
            <w:r w:rsidRPr="00A17B3A">
              <w:rPr>
                <w:rFonts w:ascii="Arial" w:hAnsi="Arial" w:cs="Arial"/>
                <w:bCs/>
                <w:sz w:val="22"/>
                <w:szCs w:val="22"/>
              </w:rPr>
              <w:t xml:space="preserve"> Sub-Criteria as set out in the question were addressed to at least a satisfactory standard and level of </w:t>
            </w:r>
            <w:proofErr w:type="gramStart"/>
            <w:r w:rsidRPr="00A17B3A">
              <w:rPr>
                <w:rFonts w:ascii="Arial" w:hAnsi="Arial" w:cs="Arial"/>
                <w:bCs/>
                <w:sz w:val="22"/>
                <w:szCs w:val="22"/>
              </w:rPr>
              <w:t>detail;</w:t>
            </w:r>
            <w:proofErr w:type="gramEnd"/>
          </w:p>
          <w:p w14:paraId="7009BFAE" w14:textId="77777777" w:rsidR="009E7B17" w:rsidRPr="00A17B3A" w:rsidRDefault="009E7B17" w:rsidP="00084E0F">
            <w:pPr>
              <w:pStyle w:val="BodyTextIndent"/>
              <w:tabs>
                <w:tab w:val="left" w:pos="0"/>
              </w:tabs>
              <w:ind w:left="0"/>
              <w:jc w:val="both"/>
              <w:rPr>
                <w:rFonts w:ascii="Arial" w:hAnsi="Arial" w:cs="Arial"/>
                <w:bCs/>
                <w:sz w:val="22"/>
                <w:szCs w:val="22"/>
              </w:rPr>
            </w:pPr>
            <w:r w:rsidRPr="00A17B3A">
              <w:rPr>
                <w:rFonts w:ascii="Arial" w:hAnsi="Arial" w:cs="Arial"/>
                <w:bCs/>
                <w:sz w:val="22"/>
                <w:szCs w:val="22"/>
              </w:rPr>
              <w:t>And/or</w:t>
            </w:r>
          </w:p>
          <w:p w14:paraId="410B5A64" w14:textId="77777777" w:rsidR="009E7B17" w:rsidRPr="00387F71" w:rsidRDefault="009E7B17" w:rsidP="00084E0F">
            <w:pPr>
              <w:pStyle w:val="BodyTextIndent"/>
              <w:tabs>
                <w:tab w:val="left" w:pos="0"/>
              </w:tabs>
              <w:ind w:left="0"/>
              <w:jc w:val="both"/>
              <w:rPr>
                <w:rFonts w:ascii="Arial" w:hAnsi="Arial" w:cs="Arial"/>
                <w:bCs/>
                <w:sz w:val="22"/>
                <w:szCs w:val="22"/>
              </w:rPr>
            </w:pPr>
            <w:r w:rsidRPr="00A17B3A">
              <w:rPr>
                <w:rFonts w:ascii="Arial" w:hAnsi="Arial" w:cs="Arial"/>
                <w:bCs/>
                <w:sz w:val="22"/>
                <w:szCs w:val="22"/>
              </w:rPr>
              <w:t xml:space="preserve">The response contains numerous minor omissions or concerns (and/ or one major omission or concern) that </w:t>
            </w:r>
            <w:r>
              <w:rPr>
                <w:rFonts w:ascii="Arial" w:hAnsi="Arial" w:cs="Arial"/>
                <w:bCs/>
                <w:sz w:val="22"/>
                <w:szCs w:val="22"/>
              </w:rPr>
              <w:t xml:space="preserve">fails to </w:t>
            </w:r>
            <w:r w:rsidRPr="00A47332">
              <w:rPr>
                <w:rFonts w:ascii="Arial" w:hAnsi="Arial" w:cs="Arial"/>
                <w:bCs/>
                <w:sz w:val="22"/>
                <w:szCs w:val="22"/>
              </w:rPr>
              <w:t xml:space="preserve">provide </w:t>
            </w:r>
            <w:r w:rsidRPr="00553042">
              <w:rPr>
                <w:rFonts w:ascii="Arial" w:hAnsi="Arial" w:cs="Arial"/>
                <w:bCs/>
                <w:sz w:val="22"/>
                <w:szCs w:val="22"/>
              </w:rPr>
              <w:t>a satisfactory level of assurance and confidence</w:t>
            </w:r>
            <w:r>
              <w:rPr>
                <w:rFonts w:ascii="Arial" w:hAnsi="Arial" w:cs="Arial"/>
                <w:bCs/>
                <w:sz w:val="22"/>
                <w:szCs w:val="22"/>
              </w:rPr>
              <w:t xml:space="preserve">, that the Tenderer has sufficient and relevant </w:t>
            </w:r>
            <w:proofErr w:type="gramStart"/>
            <w:r w:rsidRPr="00A47332">
              <w:rPr>
                <w:rFonts w:ascii="Arial" w:hAnsi="Arial" w:cs="Arial"/>
                <w:bCs/>
                <w:sz w:val="22"/>
                <w:szCs w:val="22"/>
              </w:rPr>
              <w:t>past experience</w:t>
            </w:r>
            <w:proofErr w:type="gramEnd"/>
            <w:r w:rsidRPr="00A47332">
              <w:rPr>
                <w:rFonts w:ascii="Arial" w:hAnsi="Arial" w:cs="Arial"/>
                <w:bCs/>
                <w:sz w:val="22"/>
                <w:szCs w:val="22"/>
              </w:rPr>
              <w:t xml:space="preserve"> </w:t>
            </w:r>
            <w:r w:rsidRPr="009E359B">
              <w:rPr>
                <w:rFonts w:ascii="Arial" w:hAnsi="Arial" w:cs="Arial"/>
                <w:bCs/>
                <w:sz w:val="22"/>
                <w:szCs w:val="22"/>
              </w:rPr>
              <w:t xml:space="preserve">of delivering a </w:t>
            </w:r>
            <w:r>
              <w:rPr>
                <w:rFonts w:ascii="Arial" w:hAnsi="Arial" w:cs="Arial"/>
                <w:bCs/>
                <w:sz w:val="22"/>
                <w:szCs w:val="22"/>
              </w:rPr>
              <w:t>DCE</w:t>
            </w:r>
            <w:r w:rsidRPr="009E359B">
              <w:rPr>
                <w:rFonts w:ascii="Arial" w:hAnsi="Arial" w:cs="Arial"/>
                <w:bCs/>
                <w:sz w:val="22"/>
                <w:szCs w:val="22"/>
              </w:rPr>
              <w:t xml:space="preserve"> solution</w:t>
            </w:r>
            <w:r>
              <w:rPr>
                <w:rFonts w:ascii="Arial" w:hAnsi="Arial" w:cs="Arial"/>
                <w:bCs/>
                <w:sz w:val="22"/>
                <w:szCs w:val="22"/>
              </w:rPr>
              <w:t xml:space="preserve"> </w:t>
            </w:r>
            <w:r w:rsidRPr="00A47332">
              <w:rPr>
                <w:rFonts w:ascii="Arial" w:hAnsi="Arial" w:cs="Arial"/>
                <w:bCs/>
                <w:sz w:val="22"/>
                <w:szCs w:val="22"/>
              </w:rPr>
              <w:t>that was comparable to or of greater scale</w:t>
            </w:r>
            <w:r>
              <w:rPr>
                <w:rFonts w:ascii="Arial" w:hAnsi="Arial" w:cs="Arial"/>
                <w:bCs/>
                <w:sz w:val="22"/>
                <w:szCs w:val="22"/>
              </w:rPr>
              <w:t xml:space="preserve"> to what is required under</w:t>
            </w:r>
            <w:r w:rsidRPr="00A47332">
              <w:rPr>
                <w:rFonts w:ascii="Arial" w:hAnsi="Arial" w:cs="Arial"/>
                <w:bCs/>
                <w:sz w:val="22"/>
                <w:szCs w:val="22"/>
              </w:rPr>
              <w:t xml:space="preserve"> HMRC’s </w:t>
            </w:r>
            <w:r>
              <w:rPr>
                <w:rFonts w:ascii="Arial" w:hAnsi="Arial" w:cs="Arial"/>
                <w:bCs/>
                <w:sz w:val="22"/>
                <w:szCs w:val="22"/>
              </w:rPr>
              <w:t>Services Description.</w:t>
            </w:r>
          </w:p>
        </w:tc>
      </w:tr>
      <w:tr w:rsidR="009E7B17" w:rsidRPr="00387F71" w14:paraId="15BB3B06" w14:textId="77777777" w:rsidTr="00084E0F">
        <w:tc>
          <w:tcPr>
            <w:tcW w:w="1701" w:type="dxa"/>
            <w:vAlign w:val="center"/>
          </w:tcPr>
          <w:p w14:paraId="2E7AF4DD"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Very Limited</w:t>
            </w:r>
          </w:p>
        </w:tc>
        <w:tc>
          <w:tcPr>
            <w:tcW w:w="851" w:type="dxa"/>
            <w:vAlign w:val="center"/>
          </w:tcPr>
          <w:p w14:paraId="3E1099BA"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20</w:t>
            </w:r>
          </w:p>
        </w:tc>
        <w:tc>
          <w:tcPr>
            <w:tcW w:w="6520" w:type="dxa"/>
          </w:tcPr>
          <w:p w14:paraId="1DE64D70" w14:textId="77777777" w:rsidR="009E7B17" w:rsidRPr="00CD5562" w:rsidRDefault="009E7B17" w:rsidP="00084E0F">
            <w:pPr>
              <w:pStyle w:val="BodyTextIndent"/>
              <w:tabs>
                <w:tab w:val="left" w:pos="0"/>
              </w:tabs>
              <w:ind w:left="0"/>
              <w:jc w:val="both"/>
              <w:rPr>
                <w:rFonts w:ascii="Arial" w:hAnsi="Arial" w:cs="Arial"/>
                <w:b/>
                <w:sz w:val="22"/>
                <w:szCs w:val="22"/>
                <w:u w:val="single"/>
              </w:rPr>
            </w:pPr>
            <w:r w:rsidRPr="00CD5562">
              <w:rPr>
                <w:rFonts w:ascii="Arial" w:hAnsi="Arial" w:cs="Arial"/>
                <w:b/>
                <w:sz w:val="22"/>
                <w:szCs w:val="22"/>
                <w:u w:val="single"/>
              </w:rPr>
              <w:t>The response must:</w:t>
            </w:r>
          </w:p>
          <w:p w14:paraId="27358580" w14:textId="77777777" w:rsidR="009E7B17" w:rsidRPr="007C17E9" w:rsidRDefault="009E7B17" w:rsidP="00084E0F">
            <w:pPr>
              <w:pStyle w:val="BodyTextIndent"/>
              <w:tabs>
                <w:tab w:val="left" w:pos="0"/>
              </w:tabs>
              <w:jc w:val="both"/>
              <w:rPr>
                <w:rFonts w:ascii="Arial" w:hAnsi="Arial" w:cs="Arial"/>
                <w:bCs/>
                <w:sz w:val="22"/>
                <w:szCs w:val="22"/>
              </w:rPr>
            </w:pPr>
          </w:p>
          <w:p w14:paraId="4B4F41BC" w14:textId="77777777" w:rsidR="009E7B17" w:rsidRPr="007C17E9" w:rsidRDefault="009E7B17" w:rsidP="00084E0F">
            <w:pPr>
              <w:pStyle w:val="BodyTextIndent"/>
              <w:tabs>
                <w:tab w:val="left" w:pos="0"/>
              </w:tabs>
              <w:ind w:left="0"/>
              <w:jc w:val="both"/>
              <w:rPr>
                <w:rFonts w:ascii="Arial" w:hAnsi="Arial" w:cs="Arial"/>
                <w:bCs/>
                <w:sz w:val="22"/>
                <w:szCs w:val="22"/>
              </w:rPr>
            </w:pPr>
            <w:r w:rsidRPr="007C17E9">
              <w:rPr>
                <w:rFonts w:ascii="Arial" w:hAnsi="Arial" w:cs="Arial"/>
                <w:bCs/>
                <w:sz w:val="22"/>
                <w:szCs w:val="22"/>
              </w:rPr>
              <w:t xml:space="preserve">Fail to address </w:t>
            </w:r>
            <w:r w:rsidRPr="00A17B3A">
              <w:rPr>
                <w:rFonts w:ascii="Arial" w:hAnsi="Arial" w:cs="Arial"/>
                <w:bCs/>
                <w:sz w:val="22"/>
                <w:szCs w:val="22"/>
              </w:rPr>
              <w:t xml:space="preserve">(i.e. provides no relevant commentary against) </w:t>
            </w:r>
            <w:r>
              <w:rPr>
                <w:rFonts w:ascii="Arial" w:hAnsi="Arial" w:cs="Arial"/>
                <w:bCs/>
                <w:sz w:val="22"/>
                <w:szCs w:val="22"/>
              </w:rPr>
              <w:t>at least two</w:t>
            </w:r>
            <w:r w:rsidRPr="007C17E9">
              <w:rPr>
                <w:rFonts w:ascii="Arial" w:hAnsi="Arial" w:cs="Arial"/>
                <w:bCs/>
                <w:sz w:val="22"/>
                <w:szCs w:val="22"/>
              </w:rPr>
              <w:t xml:space="preserve"> of the elements of the Criteria and Sub-Criteria as set out in the </w:t>
            </w:r>
            <w:proofErr w:type="gramStart"/>
            <w:r w:rsidRPr="007C17E9">
              <w:rPr>
                <w:rFonts w:ascii="Arial" w:hAnsi="Arial" w:cs="Arial"/>
                <w:bCs/>
                <w:sz w:val="22"/>
                <w:szCs w:val="22"/>
              </w:rPr>
              <w:t>question</w:t>
            </w:r>
            <w:proofErr w:type="gramEnd"/>
          </w:p>
          <w:p w14:paraId="3A99B904" w14:textId="77777777" w:rsidR="009E7B17" w:rsidRPr="007C17E9" w:rsidRDefault="009E7B17" w:rsidP="00084E0F">
            <w:pPr>
              <w:pStyle w:val="BodyTextIndent"/>
              <w:tabs>
                <w:tab w:val="left" w:pos="0"/>
              </w:tabs>
              <w:ind w:left="0"/>
              <w:jc w:val="both"/>
              <w:rPr>
                <w:rFonts w:ascii="Arial" w:hAnsi="Arial" w:cs="Arial"/>
                <w:bCs/>
                <w:sz w:val="22"/>
                <w:szCs w:val="22"/>
              </w:rPr>
            </w:pPr>
            <w:r w:rsidRPr="007C17E9">
              <w:rPr>
                <w:rFonts w:ascii="Arial" w:hAnsi="Arial" w:cs="Arial"/>
                <w:bCs/>
                <w:sz w:val="22"/>
                <w:szCs w:val="22"/>
              </w:rPr>
              <w:t>And/or</w:t>
            </w:r>
          </w:p>
          <w:p w14:paraId="365BA1A0" w14:textId="77777777" w:rsidR="009E7B17" w:rsidRPr="007C17E9" w:rsidRDefault="009E7B17" w:rsidP="00084E0F">
            <w:pPr>
              <w:pStyle w:val="BodyTextIndent"/>
              <w:tabs>
                <w:tab w:val="left" w:pos="0"/>
              </w:tabs>
              <w:ind w:left="0"/>
              <w:jc w:val="both"/>
              <w:rPr>
                <w:rFonts w:ascii="Arial" w:hAnsi="Arial" w:cs="Arial"/>
                <w:bCs/>
                <w:sz w:val="22"/>
                <w:szCs w:val="22"/>
              </w:rPr>
            </w:pPr>
            <w:r>
              <w:rPr>
                <w:rFonts w:ascii="Arial" w:hAnsi="Arial" w:cs="Arial"/>
                <w:bCs/>
                <w:sz w:val="22"/>
                <w:szCs w:val="22"/>
              </w:rPr>
              <w:t>Less than half of the Sub-Criteria as set out in the question</w:t>
            </w:r>
            <w:r w:rsidRPr="007C17E9">
              <w:rPr>
                <w:rFonts w:ascii="Arial" w:hAnsi="Arial" w:cs="Arial"/>
                <w:bCs/>
                <w:sz w:val="22"/>
                <w:szCs w:val="22"/>
              </w:rPr>
              <w:t xml:space="preserve"> were addressed to at least a satisfactory standard and level of </w:t>
            </w:r>
            <w:proofErr w:type="gramStart"/>
            <w:r w:rsidRPr="007C17E9">
              <w:rPr>
                <w:rFonts w:ascii="Arial" w:hAnsi="Arial" w:cs="Arial"/>
                <w:bCs/>
                <w:sz w:val="22"/>
                <w:szCs w:val="22"/>
              </w:rPr>
              <w:t>detail;</w:t>
            </w:r>
            <w:proofErr w:type="gramEnd"/>
          </w:p>
          <w:p w14:paraId="7454426D" w14:textId="77777777" w:rsidR="009E7B17" w:rsidRPr="007C17E9" w:rsidRDefault="009E7B17" w:rsidP="00084E0F">
            <w:pPr>
              <w:pStyle w:val="BodyTextIndent"/>
              <w:tabs>
                <w:tab w:val="left" w:pos="0"/>
              </w:tabs>
              <w:ind w:left="0"/>
              <w:jc w:val="both"/>
              <w:rPr>
                <w:rFonts w:ascii="Arial" w:hAnsi="Arial" w:cs="Arial"/>
                <w:bCs/>
                <w:sz w:val="22"/>
                <w:szCs w:val="22"/>
              </w:rPr>
            </w:pPr>
            <w:r w:rsidRPr="007C17E9">
              <w:rPr>
                <w:rFonts w:ascii="Arial" w:hAnsi="Arial" w:cs="Arial"/>
                <w:bCs/>
                <w:sz w:val="22"/>
                <w:szCs w:val="22"/>
              </w:rPr>
              <w:t>And/or</w:t>
            </w:r>
          </w:p>
          <w:p w14:paraId="5F853E7D" w14:textId="77777777" w:rsidR="009E7B17" w:rsidRPr="00387F71" w:rsidRDefault="009E7B17" w:rsidP="00084E0F">
            <w:pPr>
              <w:pStyle w:val="BodyTextIndent"/>
              <w:tabs>
                <w:tab w:val="left" w:pos="0"/>
              </w:tabs>
              <w:ind w:left="0"/>
              <w:jc w:val="both"/>
              <w:rPr>
                <w:rFonts w:ascii="Arial" w:hAnsi="Arial" w:cs="Arial"/>
                <w:bCs/>
                <w:sz w:val="22"/>
                <w:szCs w:val="22"/>
              </w:rPr>
            </w:pPr>
            <w:r w:rsidRPr="007C17E9">
              <w:rPr>
                <w:rFonts w:ascii="Arial" w:hAnsi="Arial" w:cs="Arial"/>
                <w:bCs/>
                <w:sz w:val="22"/>
                <w:szCs w:val="22"/>
              </w:rPr>
              <w:t xml:space="preserve">Details in the response contain two or more major omissions or concerns </w:t>
            </w:r>
            <w:r>
              <w:rPr>
                <w:rFonts w:ascii="Arial" w:hAnsi="Arial" w:cs="Arial"/>
                <w:bCs/>
                <w:sz w:val="22"/>
                <w:szCs w:val="22"/>
              </w:rPr>
              <w:t xml:space="preserve">such that it </w:t>
            </w:r>
            <w:r w:rsidRPr="009E359B">
              <w:rPr>
                <w:rFonts w:ascii="Arial" w:hAnsi="Arial" w:cs="Arial"/>
                <w:bCs/>
                <w:sz w:val="22"/>
                <w:szCs w:val="22"/>
              </w:rPr>
              <w:t>provide</w:t>
            </w:r>
            <w:r>
              <w:rPr>
                <w:rFonts w:ascii="Arial" w:hAnsi="Arial" w:cs="Arial"/>
                <w:bCs/>
                <w:sz w:val="22"/>
                <w:szCs w:val="22"/>
              </w:rPr>
              <w:t>s</w:t>
            </w:r>
            <w:r w:rsidRPr="009E359B">
              <w:rPr>
                <w:rFonts w:ascii="Arial" w:hAnsi="Arial" w:cs="Arial"/>
                <w:bCs/>
                <w:sz w:val="22"/>
                <w:szCs w:val="22"/>
              </w:rPr>
              <w:t xml:space="preserve"> HMRC with </w:t>
            </w:r>
            <w:r>
              <w:rPr>
                <w:rFonts w:ascii="Arial" w:hAnsi="Arial" w:cs="Arial"/>
                <w:bCs/>
                <w:sz w:val="22"/>
                <w:szCs w:val="22"/>
              </w:rPr>
              <w:t xml:space="preserve">very limited assurance and </w:t>
            </w:r>
            <w:r w:rsidRPr="009E359B">
              <w:rPr>
                <w:rFonts w:ascii="Arial" w:hAnsi="Arial" w:cs="Arial"/>
                <w:bCs/>
                <w:sz w:val="22"/>
                <w:szCs w:val="22"/>
              </w:rPr>
              <w:t xml:space="preserve">confidence that the </w:t>
            </w:r>
            <w:r>
              <w:rPr>
                <w:rFonts w:ascii="Arial" w:hAnsi="Arial" w:cs="Arial"/>
                <w:bCs/>
                <w:sz w:val="22"/>
                <w:szCs w:val="22"/>
              </w:rPr>
              <w:t>Tenderer</w:t>
            </w:r>
            <w:r w:rsidRPr="009E359B">
              <w:rPr>
                <w:rFonts w:ascii="Arial" w:hAnsi="Arial" w:cs="Arial"/>
                <w:bCs/>
                <w:sz w:val="22"/>
                <w:szCs w:val="22"/>
              </w:rPr>
              <w:t xml:space="preserve"> has </w:t>
            </w:r>
            <w:r>
              <w:rPr>
                <w:rFonts w:ascii="Arial" w:hAnsi="Arial" w:cs="Arial"/>
                <w:bCs/>
                <w:sz w:val="22"/>
                <w:szCs w:val="22"/>
              </w:rPr>
              <w:t xml:space="preserve">sufficient and relevant </w:t>
            </w:r>
            <w:proofErr w:type="gramStart"/>
            <w:r w:rsidRPr="009E359B">
              <w:rPr>
                <w:rFonts w:ascii="Arial" w:hAnsi="Arial" w:cs="Arial"/>
                <w:bCs/>
                <w:sz w:val="22"/>
                <w:szCs w:val="22"/>
              </w:rPr>
              <w:t>past experience</w:t>
            </w:r>
            <w:proofErr w:type="gramEnd"/>
            <w:r w:rsidRPr="009E359B">
              <w:rPr>
                <w:rFonts w:ascii="Arial" w:hAnsi="Arial" w:cs="Arial"/>
                <w:bCs/>
                <w:sz w:val="22"/>
                <w:szCs w:val="22"/>
              </w:rPr>
              <w:t xml:space="preserve"> of delivering a </w:t>
            </w:r>
            <w:r>
              <w:rPr>
                <w:rFonts w:ascii="Arial" w:hAnsi="Arial" w:cs="Arial"/>
                <w:bCs/>
                <w:sz w:val="22"/>
                <w:szCs w:val="22"/>
              </w:rPr>
              <w:t>DCE</w:t>
            </w:r>
            <w:r w:rsidRPr="009E359B">
              <w:rPr>
                <w:rFonts w:ascii="Arial" w:hAnsi="Arial" w:cs="Arial"/>
                <w:bCs/>
                <w:sz w:val="22"/>
                <w:szCs w:val="22"/>
              </w:rPr>
              <w:t xml:space="preserve"> solution</w:t>
            </w:r>
            <w:r>
              <w:rPr>
                <w:rFonts w:ascii="Arial" w:hAnsi="Arial" w:cs="Arial"/>
                <w:bCs/>
                <w:sz w:val="22"/>
                <w:szCs w:val="22"/>
              </w:rPr>
              <w:t xml:space="preserve"> </w:t>
            </w:r>
            <w:r w:rsidRPr="00A47332">
              <w:rPr>
                <w:rFonts w:ascii="Arial" w:hAnsi="Arial" w:cs="Arial"/>
                <w:bCs/>
                <w:sz w:val="22"/>
                <w:szCs w:val="22"/>
              </w:rPr>
              <w:t>that was comparable to or of greater scale</w:t>
            </w:r>
            <w:r>
              <w:rPr>
                <w:rFonts w:ascii="Arial" w:hAnsi="Arial" w:cs="Arial"/>
                <w:bCs/>
                <w:sz w:val="22"/>
                <w:szCs w:val="22"/>
              </w:rPr>
              <w:t xml:space="preserve"> to what is required under</w:t>
            </w:r>
            <w:r w:rsidRPr="00A47332">
              <w:rPr>
                <w:rFonts w:ascii="Arial" w:hAnsi="Arial" w:cs="Arial"/>
                <w:bCs/>
                <w:sz w:val="22"/>
                <w:szCs w:val="22"/>
              </w:rPr>
              <w:t xml:space="preserve"> HMRC’s </w:t>
            </w:r>
            <w:r>
              <w:rPr>
                <w:rFonts w:ascii="Arial" w:hAnsi="Arial" w:cs="Arial"/>
                <w:bCs/>
                <w:sz w:val="22"/>
                <w:szCs w:val="22"/>
              </w:rPr>
              <w:t>Services Description.</w:t>
            </w:r>
            <w:r w:rsidRPr="009E359B" w:rsidDel="00F84B29">
              <w:rPr>
                <w:rFonts w:ascii="Arial" w:hAnsi="Arial" w:cs="Arial"/>
                <w:bCs/>
                <w:sz w:val="22"/>
                <w:szCs w:val="22"/>
              </w:rPr>
              <w:t xml:space="preserve"> </w:t>
            </w:r>
          </w:p>
        </w:tc>
      </w:tr>
      <w:tr w:rsidR="009E7B17" w:rsidRPr="00387F71" w14:paraId="53DAF2FC" w14:textId="77777777" w:rsidTr="00084E0F">
        <w:tc>
          <w:tcPr>
            <w:tcW w:w="1701" w:type="dxa"/>
            <w:vAlign w:val="center"/>
          </w:tcPr>
          <w:p w14:paraId="4AD40116" w14:textId="77777777" w:rsidR="009E7B17"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Unacceptable</w:t>
            </w:r>
          </w:p>
        </w:tc>
        <w:tc>
          <w:tcPr>
            <w:tcW w:w="851" w:type="dxa"/>
            <w:vAlign w:val="center"/>
          </w:tcPr>
          <w:p w14:paraId="423A93C4"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0</w:t>
            </w:r>
          </w:p>
        </w:tc>
        <w:tc>
          <w:tcPr>
            <w:tcW w:w="6520" w:type="dxa"/>
          </w:tcPr>
          <w:p w14:paraId="5C4399D2" w14:textId="77777777" w:rsidR="009E7B17" w:rsidRDefault="009E7B17" w:rsidP="00084E0F">
            <w:pPr>
              <w:pStyle w:val="BodyTextIndent"/>
              <w:tabs>
                <w:tab w:val="left" w:pos="0"/>
              </w:tabs>
              <w:ind w:left="0"/>
              <w:jc w:val="both"/>
              <w:rPr>
                <w:rFonts w:ascii="Arial" w:hAnsi="Arial" w:cs="Arial"/>
                <w:sz w:val="22"/>
                <w:szCs w:val="22"/>
              </w:rPr>
            </w:pPr>
            <w:r>
              <w:rPr>
                <w:rFonts w:ascii="Arial" w:hAnsi="Arial" w:cs="Arial"/>
                <w:sz w:val="22"/>
                <w:szCs w:val="22"/>
              </w:rPr>
              <w:t>Unacceptable response. Either the Tenderer fails to provide a response to the question</w:t>
            </w:r>
            <w:r w:rsidRPr="00387F71">
              <w:rPr>
                <w:rFonts w:ascii="Arial" w:hAnsi="Arial" w:cs="Arial"/>
                <w:sz w:val="22"/>
                <w:szCs w:val="22"/>
              </w:rPr>
              <w:t xml:space="preserve">, or there is insufficient information provided in the response such that the response is incomprehensible and/or the response is wholly inconsistent with the requirements of the question including any evaluation </w:t>
            </w:r>
            <w:proofErr w:type="gramStart"/>
            <w:r w:rsidRPr="00387F71">
              <w:rPr>
                <w:rFonts w:ascii="Arial" w:hAnsi="Arial" w:cs="Arial"/>
                <w:sz w:val="22"/>
                <w:szCs w:val="22"/>
              </w:rPr>
              <w:t>criteria</w:t>
            </w:r>
            <w:proofErr w:type="gramEnd"/>
          </w:p>
          <w:p w14:paraId="28710267" w14:textId="77777777" w:rsidR="009E7B17" w:rsidRDefault="009E7B17" w:rsidP="00084E0F">
            <w:pPr>
              <w:pStyle w:val="BodyTextIndent"/>
              <w:tabs>
                <w:tab w:val="left" w:pos="0"/>
              </w:tabs>
              <w:ind w:left="0"/>
              <w:jc w:val="both"/>
              <w:rPr>
                <w:rFonts w:ascii="Arial" w:hAnsi="Arial" w:cs="Arial"/>
                <w:sz w:val="22"/>
                <w:szCs w:val="22"/>
              </w:rPr>
            </w:pPr>
            <w:r>
              <w:rPr>
                <w:rFonts w:ascii="Arial" w:hAnsi="Arial" w:cs="Arial"/>
                <w:sz w:val="22"/>
                <w:szCs w:val="22"/>
              </w:rPr>
              <w:t>And/or</w:t>
            </w:r>
          </w:p>
          <w:p w14:paraId="1275FF97" w14:textId="77777777" w:rsidR="009E7B17" w:rsidRPr="009A08E7" w:rsidRDefault="009E7B17" w:rsidP="00084E0F">
            <w:pPr>
              <w:pStyle w:val="BodyTextIndent"/>
              <w:tabs>
                <w:tab w:val="left" w:pos="0"/>
              </w:tabs>
              <w:ind w:left="0"/>
              <w:jc w:val="both"/>
              <w:rPr>
                <w:rFonts w:ascii="Arial" w:hAnsi="Arial" w:cs="Arial"/>
                <w:sz w:val="22"/>
                <w:szCs w:val="22"/>
              </w:rPr>
            </w:pPr>
            <w:r>
              <w:rPr>
                <w:rFonts w:ascii="Arial" w:hAnsi="Arial" w:cs="Arial"/>
                <w:sz w:val="22"/>
                <w:szCs w:val="22"/>
              </w:rPr>
              <w:t>The response does not meet the threshold for a Very Limited score</w:t>
            </w:r>
            <w:r w:rsidRPr="00387F71">
              <w:rPr>
                <w:rFonts w:ascii="Arial" w:hAnsi="Arial" w:cs="Arial"/>
                <w:sz w:val="22"/>
                <w:szCs w:val="22"/>
              </w:rPr>
              <w:t>.</w:t>
            </w:r>
          </w:p>
        </w:tc>
      </w:tr>
    </w:tbl>
    <w:p w14:paraId="11A8910E" w14:textId="77777777" w:rsidR="009E7B17" w:rsidRDefault="009E7B17" w:rsidP="009E7B17">
      <w:pPr>
        <w:jc w:val="both"/>
        <w:rPr>
          <w:rFonts w:cs="Arial"/>
          <w:bCs/>
        </w:rPr>
      </w:pPr>
    </w:p>
    <w:p w14:paraId="0AD181F5" w14:textId="77777777" w:rsidR="009E7B17" w:rsidRDefault="009E7B17" w:rsidP="009E7B17">
      <w:pPr>
        <w:pStyle w:val="Heading3"/>
        <w:jc w:val="both"/>
        <w:rPr>
          <w:rFonts w:ascii="Arial" w:hAnsi="Arial" w:cs="Arial"/>
          <w:sz w:val="22"/>
          <w:szCs w:val="22"/>
        </w:rPr>
      </w:pPr>
      <w:r w:rsidRPr="000761CB">
        <w:rPr>
          <w:rFonts w:ascii="Arial" w:hAnsi="Arial" w:cs="Arial"/>
          <w:sz w:val="22"/>
          <w:szCs w:val="22"/>
        </w:rPr>
        <w:t>Table 2: Scoring matrix for the case study question (Q3.8) quality criteria at PSQ Stage</w:t>
      </w:r>
    </w:p>
    <w:p w14:paraId="22734C81" w14:textId="77777777" w:rsidR="009E7B17" w:rsidRPr="000761CB" w:rsidRDefault="009E7B17" w:rsidP="009E7B17">
      <w:pPr>
        <w:rPr>
          <w:lang w:eastAsia="en-GB"/>
        </w:rPr>
      </w:pPr>
    </w:p>
    <w:p w14:paraId="3C4AA2B1" w14:textId="77777777" w:rsidR="009E7B17" w:rsidRDefault="009E7B17" w:rsidP="009E7B17">
      <w:pPr>
        <w:jc w:val="both"/>
        <w:rPr>
          <w:rFonts w:cs="Arial"/>
          <w:bCs/>
        </w:rPr>
      </w:pPr>
      <w:r>
        <w:rPr>
          <w:rFonts w:cs="Arial"/>
          <w:bCs/>
        </w:rPr>
        <w:t>Each of the three case studies (with an equal relative PSQ weighting of 10%; 30% weighting in total) will be separately assessed against the scoring matrix in the table below:</w:t>
      </w:r>
    </w:p>
    <w:p w14:paraId="16503220" w14:textId="77777777" w:rsidR="009E7B17" w:rsidRDefault="009E7B17" w:rsidP="009E7B17">
      <w:pPr>
        <w:jc w:val="both"/>
        <w:rPr>
          <w:rFonts w:cs="Arial"/>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51"/>
        <w:gridCol w:w="6520"/>
      </w:tblGrid>
      <w:tr w:rsidR="009E7B17" w:rsidRPr="00387F71" w14:paraId="107E3D9C" w14:textId="77777777" w:rsidTr="00084E0F">
        <w:trPr>
          <w:trHeight w:val="854"/>
        </w:trPr>
        <w:tc>
          <w:tcPr>
            <w:tcW w:w="1701" w:type="dxa"/>
            <w:shd w:val="clear" w:color="auto" w:fill="009999"/>
          </w:tcPr>
          <w:p w14:paraId="1D9FB697" w14:textId="77777777" w:rsidR="009E7B17" w:rsidRPr="00387F71" w:rsidRDefault="009E7B17" w:rsidP="00084E0F">
            <w:pPr>
              <w:pStyle w:val="BodyTextIndent"/>
              <w:tabs>
                <w:tab w:val="left" w:pos="0"/>
              </w:tabs>
              <w:ind w:left="0"/>
              <w:jc w:val="both"/>
              <w:rPr>
                <w:rFonts w:ascii="Arial" w:hAnsi="Arial" w:cs="Arial"/>
                <w:b/>
                <w:color w:val="FFFFFF" w:themeColor="background1"/>
                <w:sz w:val="22"/>
                <w:szCs w:val="22"/>
              </w:rPr>
            </w:pPr>
            <w:r w:rsidRPr="00387F71">
              <w:rPr>
                <w:rFonts w:ascii="Arial" w:hAnsi="Arial" w:cs="Arial"/>
                <w:b/>
                <w:color w:val="FFFFFF" w:themeColor="background1"/>
                <w:sz w:val="22"/>
                <w:szCs w:val="22"/>
              </w:rPr>
              <w:t>Assessment</w:t>
            </w:r>
          </w:p>
        </w:tc>
        <w:tc>
          <w:tcPr>
            <w:tcW w:w="851" w:type="dxa"/>
            <w:shd w:val="clear" w:color="auto" w:fill="009999"/>
          </w:tcPr>
          <w:p w14:paraId="132C84D7" w14:textId="77777777" w:rsidR="009E7B17" w:rsidRPr="00387F71" w:rsidRDefault="009E7B17" w:rsidP="00084E0F">
            <w:pPr>
              <w:pStyle w:val="BodyTextIndent"/>
              <w:tabs>
                <w:tab w:val="left" w:pos="0"/>
              </w:tabs>
              <w:ind w:left="0"/>
              <w:jc w:val="both"/>
              <w:rPr>
                <w:rFonts w:ascii="Arial" w:hAnsi="Arial" w:cs="Arial"/>
                <w:b/>
                <w:color w:val="FFFFFF" w:themeColor="background1"/>
                <w:sz w:val="22"/>
                <w:szCs w:val="22"/>
              </w:rPr>
            </w:pPr>
            <w:r w:rsidRPr="00387F71">
              <w:rPr>
                <w:rFonts w:ascii="Arial" w:hAnsi="Arial" w:cs="Arial"/>
                <w:b/>
                <w:color w:val="FFFFFF" w:themeColor="background1"/>
                <w:sz w:val="22"/>
                <w:szCs w:val="22"/>
              </w:rPr>
              <w:t>Score</w:t>
            </w:r>
          </w:p>
        </w:tc>
        <w:tc>
          <w:tcPr>
            <w:tcW w:w="6520" w:type="dxa"/>
            <w:shd w:val="clear" w:color="auto" w:fill="009999"/>
          </w:tcPr>
          <w:p w14:paraId="2DF0F89C" w14:textId="77777777" w:rsidR="009E7B17" w:rsidRPr="00387F71" w:rsidRDefault="009E7B17" w:rsidP="00084E0F">
            <w:pPr>
              <w:pStyle w:val="BodyTextIndent"/>
              <w:tabs>
                <w:tab w:val="left" w:pos="0"/>
              </w:tabs>
              <w:ind w:left="0"/>
              <w:jc w:val="both"/>
              <w:rPr>
                <w:rFonts w:ascii="Arial" w:hAnsi="Arial" w:cs="Arial"/>
                <w:b/>
                <w:color w:val="FFFFFF" w:themeColor="background1"/>
                <w:sz w:val="22"/>
                <w:szCs w:val="22"/>
              </w:rPr>
            </w:pPr>
            <w:r w:rsidRPr="00387F71">
              <w:rPr>
                <w:rFonts w:ascii="Arial" w:hAnsi="Arial" w:cs="Arial"/>
                <w:b/>
                <w:color w:val="FFFFFF" w:themeColor="background1"/>
                <w:sz w:val="22"/>
                <w:szCs w:val="22"/>
              </w:rPr>
              <w:t>Question Criteria</w:t>
            </w:r>
          </w:p>
        </w:tc>
      </w:tr>
      <w:tr w:rsidR="009E7B17" w:rsidRPr="00387F71" w14:paraId="217A39D0" w14:textId="77777777" w:rsidTr="00084E0F">
        <w:tc>
          <w:tcPr>
            <w:tcW w:w="1701" w:type="dxa"/>
            <w:vAlign w:val="center"/>
          </w:tcPr>
          <w:p w14:paraId="560E4158" w14:textId="77777777" w:rsidR="009E7B17" w:rsidRPr="00387F71" w:rsidRDefault="009E7B17" w:rsidP="00084E0F">
            <w:pPr>
              <w:pStyle w:val="BodyTextIndent"/>
              <w:tabs>
                <w:tab w:val="left" w:pos="0"/>
              </w:tabs>
              <w:ind w:left="0"/>
              <w:jc w:val="center"/>
              <w:rPr>
                <w:rFonts w:ascii="Arial" w:hAnsi="Arial" w:cs="Arial"/>
                <w:bCs/>
                <w:sz w:val="22"/>
                <w:szCs w:val="22"/>
              </w:rPr>
            </w:pPr>
            <w:r w:rsidRPr="00387F71">
              <w:rPr>
                <w:rFonts w:ascii="Arial" w:hAnsi="Arial" w:cs="Arial"/>
                <w:bCs/>
                <w:sz w:val="22"/>
                <w:szCs w:val="22"/>
              </w:rPr>
              <w:t>Excellent</w:t>
            </w:r>
          </w:p>
        </w:tc>
        <w:tc>
          <w:tcPr>
            <w:tcW w:w="851" w:type="dxa"/>
            <w:vAlign w:val="center"/>
          </w:tcPr>
          <w:p w14:paraId="7BEDA53B" w14:textId="77777777" w:rsidR="009E7B17" w:rsidRPr="00387F71" w:rsidRDefault="009E7B17" w:rsidP="00084E0F">
            <w:pPr>
              <w:pStyle w:val="BodyTextIndent"/>
              <w:tabs>
                <w:tab w:val="left" w:pos="0"/>
              </w:tabs>
              <w:ind w:left="0"/>
              <w:jc w:val="center"/>
              <w:rPr>
                <w:rFonts w:ascii="Arial" w:hAnsi="Arial" w:cs="Arial"/>
                <w:bCs/>
                <w:sz w:val="22"/>
                <w:szCs w:val="22"/>
              </w:rPr>
            </w:pPr>
            <w:r w:rsidRPr="00387F71">
              <w:rPr>
                <w:rFonts w:ascii="Arial" w:hAnsi="Arial" w:cs="Arial"/>
                <w:bCs/>
                <w:sz w:val="22"/>
                <w:szCs w:val="22"/>
              </w:rPr>
              <w:t>100</w:t>
            </w:r>
          </w:p>
        </w:tc>
        <w:tc>
          <w:tcPr>
            <w:tcW w:w="6520" w:type="dxa"/>
          </w:tcPr>
          <w:p w14:paraId="66E8C796" w14:textId="77777777" w:rsidR="009E7B17" w:rsidRPr="006A5D47" w:rsidRDefault="009E7B17" w:rsidP="00084E0F">
            <w:pPr>
              <w:pStyle w:val="BodyTextIndent"/>
              <w:tabs>
                <w:tab w:val="left" w:pos="0"/>
              </w:tabs>
              <w:ind w:left="0"/>
              <w:jc w:val="both"/>
              <w:rPr>
                <w:rFonts w:ascii="Arial" w:hAnsi="Arial" w:cs="Arial"/>
                <w:b/>
                <w:sz w:val="22"/>
                <w:szCs w:val="22"/>
                <w:u w:val="single"/>
              </w:rPr>
            </w:pPr>
            <w:r w:rsidRPr="006A5D47">
              <w:rPr>
                <w:rFonts w:ascii="Arial" w:hAnsi="Arial" w:cs="Arial"/>
                <w:b/>
                <w:sz w:val="22"/>
                <w:szCs w:val="22"/>
                <w:u w:val="single"/>
              </w:rPr>
              <w:t xml:space="preserve">The </w:t>
            </w:r>
            <w:r>
              <w:rPr>
                <w:rFonts w:ascii="Arial" w:hAnsi="Arial" w:cs="Arial"/>
                <w:b/>
                <w:sz w:val="22"/>
                <w:szCs w:val="22"/>
                <w:u w:val="single"/>
              </w:rPr>
              <w:t>case study</w:t>
            </w:r>
            <w:r w:rsidRPr="006A5D47">
              <w:rPr>
                <w:rFonts w:ascii="Arial" w:hAnsi="Arial" w:cs="Arial"/>
                <w:b/>
                <w:sz w:val="22"/>
                <w:szCs w:val="22"/>
                <w:u w:val="single"/>
              </w:rPr>
              <w:t xml:space="preserve"> must:</w:t>
            </w:r>
          </w:p>
          <w:p w14:paraId="0B3DA8C7" w14:textId="77777777" w:rsidR="009E7B17" w:rsidRPr="007C5AC1" w:rsidRDefault="009E7B17" w:rsidP="00084E0F">
            <w:pPr>
              <w:pStyle w:val="BodyTextIndent"/>
              <w:numPr>
                <w:ilvl w:val="0"/>
                <w:numId w:val="74"/>
              </w:numPr>
              <w:tabs>
                <w:tab w:val="left" w:pos="0"/>
              </w:tabs>
              <w:jc w:val="both"/>
              <w:rPr>
                <w:rFonts w:ascii="Arial" w:hAnsi="Arial" w:cs="Arial"/>
                <w:bCs/>
                <w:sz w:val="22"/>
                <w:szCs w:val="22"/>
              </w:rPr>
            </w:pPr>
            <w:r w:rsidRPr="001E6CF0">
              <w:rPr>
                <w:rFonts w:ascii="Arial" w:hAnsi="Arial" w:cs="Arial"/>
                <w:bCs/>
                <w:sz w:val="22"/>
                <w:szCs w:val="22"/>
              </w:rPr>
              <w:t xml:space="preserve">address (i.e., provide relevant commentary against) </w:t>
            </w:r>
            <w:proofErr w:type="gramStart"/>
            <w:r w:rsidRPr="001E6CF0">
              <w:rPr>
                <w:rFonts w:ascii="Arial" w:hAnsi="Arial" w:cs="Arial"/>
                <w:bCs/>
                <w:sz w:val="22"/>
                <w:szCs w:val="22"/>
              </w:rPr>
              <w:t>ALL of</w:t>
            </w:r>
            <w:proofErr w:type="gramEnd"/>
            <w:r w:rsidRPr="001E6CF0">
              <w:rPr>
                <w:rFonts w:ascii="Arial" w:hAnsi="Arial" w:cs="Arial"/>
                <w:bCs/>
                <w:sz w:val="22"/>
                <w:szCs w:val="22"/>
              </w:rPr>
              <w:t xml:space="preserve"> the Criteria and Sub-Criteria </w:t>
            </w:r>
            <w:r>
              <w:rPr>
                <w:rFonts w:ascii="Arial" w:hAnsi="Arial" w:cs="Arial"/>
                <w:bCs/>
                <w:sz w:val="22"/>
                <w:szCs w:val="22"/>
              </w:rPr>
              <w:t>and most should be</w:t>
            </w:r>
            <w:r w:rsidRPr="001E6CF0">
              <w:rPr>
                <w:rFonts w:ascii="Arial" w:hAnsi="Arial" w:cs="Arial"/>
                <w:bCs/>
                <w:sz w:val="22"/>
                <w:szCs w:val="22"/>
              </w:rPr>
              <w:t xml:space="preserve"> addressed to a</w:t>
            </w:r>
            <w:r>
              <w:rPr>
                <w:rFonts w:ascii="Arial" w:hAnsi="Arial" w:cs="Arial"/>
                <w:bCs/>
                <w:sz w:val="22"/>
                <w:szCs w:val="22"/>
              </w:rPr>
              <w:t>n excellent</w:t>
            </w:r>
            <w:r w:rsidRPr="001E6CF0">
              <w:rPr>
                <w:rFonts w:ascii="Arial" w:hAnsi="Arial" w:cs="Arial"/>
                <w:bCs/>
                <w:sz w:val="22"/>
                <w:szCs w:val="22"/>
              </w:rPr>
              <w:t xml:space="preserve"> </w:t>
            </w:r>
            <w:r w:rsidRPr="00162EDF">
              <w:rPr>
                <w:rFonts w:ascii="Arial" w:hAnsi="Arial" w:cs="Arial"/>
                <w:bCs/>
                <w:sz w:val="22"/>
                <w:szCs w:val="22"/>
              </w:rPr>
              <w:t xml:space="preserve">standard and comprehensive level of detail </w:t>
            </w:r>
            <w:r w:rsidRPr="005224CC">
              <w:rPr>
                <w:rFonts w:ascii="Arial" w:hAnsi="Arial" w:cs="Arial"/>
                <w:sz w:val="22"/>
                <w:szCs w:val="22"/>
              </w:rPr>
              <w:t>(</w:t>
            </w:r>
            <w:r w:rsidRPr="005224CC">
              <w:rPr>
                <w:rStyle w:val="normaltextrun"/>
                <w:rFonts w:ascii="Arial" w:hAnsi="Arial" w:cs="Arial"/>
                <w:color w:val="000000"/>
                <w:sz w:val="22"/>
                <w:szCs w:val="22"/>
                <w:shd w:val="clear" w:color="auto" w:fill="FFFFFF"/>
              </w:rPr>
              <w:t>two Sub Criteria in total</w:t>
            </w:r>
            <w:r w:rsidRPr="00162EDF">
              <w:rPr>
                <w:rStyle w:val="normaltextrun"/>
                <w:rFonts w:ascii="Arial" w:hAnsi="Arial" w:cs="Arial"/>
                <w:color w:val="000000"/>
                <w:sz w:val="22"/>
                <w:szCs w:val="22"/>
                <w:shd w:val="clear" w:color="auto" w:fill="FFFFFF"/>
              </w:rPr>
              <w:t xml:space="preserve"> </w:t>
            </w:r>
            <w:r w:rsidRPr="00162EDF">
              <w:rPr>
                <w:rFonts w:ascii="Arial" w:hAnsi="Arial" w:cs="Arial"/>
                <w:bCs/>
                <w:sz w:val="22"/>
                <w:szCs w:val="22"/>
              </w:rPr>
              <w:t>can be assessed as good as long as the rest are excellent); and</w:t>
            </w:r>
          </w:p>
          <w:p w14:paraId="57808141" w14:textId="77777777" w:rsidR="009E7B17" w:rsidRDefault="009E7B17" w:rsidP="00084E0F">
            <w:pPr>
              <w:pStyle w:val="BodyTextIndent"/>
              <w:numPr>
                <w:ilvl w:val="0"/>
                <w:numId w:val="74"/>
              </w:numPr>
              <w:tabs>
                <w:tab w:val="left" w:pos="0"/>
              </w:tabs>
              <w:jc w:val="both"/>
              <w:rPr>
                <w:rFonts w:ascii="Arial" w:hAnsi="Arial" w:cs="Arial"/>
                <w:bCs/>
                <w:sz w:val="22"/>
                <w:szCs w:val="22"/>
              </w:rPr>
            </w:pPr>
            <w:r w:rsidRPr="00717A92">
              <w:rPr>
                <w:rFonts w:ascii="Arial" w:hAnsi="Arial" w:cs="Arial"/>
                <w:bCs/>
                <w:sz w:val="22"/>
                <w:szCs w:val="22"/>
              </w:rPr>
              <w:t xml:space="preserve">provide </w:t>
            </w:r>
            <w:r>
              <w:rPr>
                <w:rFonts w:ascii="Arial" w:hAnsi="Arial" w:cs="Arial"/>
                <w:bCs/>
                <w:sz w:val="22"/>
                <w:szCs w:val="22"/>
              </w:rPr>
              <w:t xml:space="preserve">strong </w:t>
            </w:r>
            <w:r w:rsidRPr="00717A92">
              <w:rPr>
                <w:rFonts w:ascii="Arial" w:hAnsi="Arial" w:cs="Arial"/>
                <w:bCs/>
                <w:sz w:val="22"/>
                <w:szCs w:val="22"/>
              </w:rPr>
              <w:t xml:space="preserve">evidence of </w:t>
            </w:r>
            <w:proofErr w:type="gramStart"/>
            <w:r w:rsidRPr="00717A92">
              <w:rPr>
                <w:rFonts w:ascii="Arial" w:hAnsi="Arial" w:cs="Arial"/>
                <w:bCs/>
                <w:sz w:val="22"/>
                <w:szCs w:val="22"/>
              </w:rPr>
              <w:t>past experience</w:t>
            </w:r>
            <w:proofErr w:type="gramEnd"/>
            <w:r w:rsidRPr="00717A92">
              <w:rPr>
                <w:rFonts w:ascii="Arial" w:hAnsi="Arial" w:cs="Arial"/>
                <w:bCs/>
                <w:sz w:val="22"/>
                <w:szCs w:val="22"/>
              </w:rPr>
              <w:t xml:space="preserve"> that was comparable to or of greater </w:t>
            </w:r>
            <w:r w:rsidRPr="009D230B">
              <w:rPr>
                <w:rFonts w:ascii="Arial" w:hAnsi="Arial" w:cs="Arial"/>
                <w:bCs/>
                <w:sz w:val="22"/>
                <w:szCs w:val="22"/>
              </w:rPr>
              <w:t>scale to what is required under HMRC’s</w:t>
            </w:r>
            <w:r w:rsidRPr="00717A92">
              <w:rPr>
                <w:rFonts w:ascii="Arial" w:hAnsi="Arial" w:cs="Arial"/>
                <w:bCs/>
                <w:sz w:val="22"/>
                <w:szCs w:val="22"/>
              </w:rPr>
              <w:t xml:space="preserve"> </w:t>
            </w:r>
            <w:r>
              <w:rPr>
                <w:rFonts w:ascii="Arial" w:hAnsi="Arial" w:cs="Arial"/>
                <w:bCs/>
                <w:sz w:val="22"/>
                <w:szCs w:val="22"/>
              </w:rPr>
              <w:t>Services Description</w:t>
            </w:r>
          </w:p>
          <w:p w14:paraId="77EB85D5" w14:textId="77777777" w:rsidR="009E7B17" w:rsidRPr="00387F71" w:rsidRDefault="009E7B17" w:rsidP="00084E0F">
            <w:pPr>
              <w:pStyle w:val="BodyTextIndent"/>
              <w:tabs>
                <w:tab w:val="left" w:pos="0"/>
              </w:tabs>
              <w:spacing w:after="0"/>
              <w:ind w:left="0"/>
              <w:jc w:val="both"/>
              <w:rPr>
                <w:rFonts w:ascii="Arial" w:hAnsi="Arial" w:cs="Arial"/>
                <w:bCs/>
                <w:sz w:val="22"/>
                <w:szCs w:val="22"/>
              </w:rPr>
            </w:pPr>
            <w:r w:rsidRPr="00142791">
              <w:rPr>
                <w:sz w:val="22"/>
                <w:szCs w:val="22"/>
              </w:rPr>
              <w:t xml:space="preserve">Overall, the response provides </w:t>
            </w:r>
            <w:r>
              <w:rPr>
                <w:sz w:val="22"/>
                <w:szCs w:val="22"/>
              </w:rPr>
              <w:t xml:space="preserve">HMRC with </w:t>
            </w:r>
            <w:r w:rsidRPr="00FC282B">
              <w:rPr>
                <w:sz w:val="22"/>
                <w:szCs w:val="22"/>
              </w:rPr>
              <w:t>a</w:t>
            </w:r>
            <w:r>
              <w:rPr>
                <w:sz w:val="22"/>
                <w:szCs w:val="22"/>
              </w:rPr>
              <w:t xml:space="preserve">n excellent </w:t>
            </w:r>
            <w:r w:rsidRPr="00FC282B">
              <w:rPr>
                <w:sz w:val="22"/>
                <w:szCs w:val="22"/>
              </w:rPr>
              <w:t xml:space="preserve">level </w:t>
            </w:r>
            <w:r w:rsidRPr="00142791">
              <w:rPr>
                <w:sz w:val="22"/>
                <w:szCs w:val="22"/>
              </w:rPr>
              <w:t xml:space="preserve">of </w:t>
            </w:r>
            <w:r w:rsidRPr="00FC282B">
              <w:rPr>
                <w:sz w:val="22"/>
                <w:szCs w:val="22"/>
              </w:rPr>
              <w:t xml:space="preserve">assurance and confidence </w:t>
            </w:r>
            <w:r w:rsidRPr="009E359B">
              <w:rPr>
                <w:rFonts w:ascii="Arial" w:hAnsi="Arial" w:cs="Arial"/>
                <w:bCs/>
                <w:sz w:val="22"/>
                <w:szCs w:val="22"/>
              </w:rPr>
              <w:t xml:space="preserve">that the </w:t>
            </w:r>
            <w:r>
              <w:rPr>
                <w:rFonts w:ascii="Arial" w:hAnsi="Arial" w:cs="Arial"/>
                <w:bCs/>
                <w:sz w:val="22"/>
                <w:szCs w:val="22"/>
              </w:rPr>
              <w:t>Tenderer</w:t>
            </w:r>
            <w:r w:rsidRPr="009E359B">
              <w:rPr>
                <w:rFonts w:ascii="Arial" w:hAnsi="Arial" w:cs="Arial"/>
                <w:bCs/>
                <w:sz w:val="22"/>
                <w:szCs w:val="22"/>
              </w:rPr>
              <w:t xml:space="preserve"> has</w:t>
            </w:r>
            <w:r>
              <w:rPr>
                <w:rFonts w:ascii="Arial" w:hAnsi="Arial" w:cs="Arial"/>
                <w:bCs/>
                <w:sz w:val="22"/>
                <w:szCs w:val="22"/>
              </w:rPr>
              <w:t xml:space="preserve"> sufficient and relevant </w:t>
            </w:r>
            <w:proofErr w:type="gramStart"/>
            <w:r w:rsidRPr="009E359B">
              <w:rPr>
                <w:rFonts w:ascii="Arial" w:hAnsi="Arial" w:cs="Arial"/>
                <w:bCs/>
                <w:sz w:val="22"/>
                <w:szCs w:val="22"/>
              </w:rPr>
              <w:t>past experience</w:t>
            </w:r>
            <w:proofErr w:type="gramEnd"/>
            <w:r w:rsidRPr="009E359B">
              <w:rPr>
                <w:rFonts w:ascii="Arial" w:hAnsi="Arial" w:cs="Arial"/>
                <w:bCs/>
                <w:sz w:val="22"/>
                <w:szCs w:val="22"/>
              </w:rPr>
              <w:t xml:space="preserve"> of delivering a </w:t>
            </w:r>
            <w:r>
              <w:rPr>
                <w:rFonts w:ascii="Arial" w:hAnsi="Arial" w:cs="Arial"/>
                <w:bCs/>
                <w:sz w:val="22"/>
                <w:szCs w:val="22"/>
              </w:rPr>
              <w:t>DCE</w:t>
            </w:r>
            <w:r w:rsidRPr="009E359B">
              <w:rPr>
                <w:rFonts w:ascii="Arial" w:hAnsi="Arial" w:cs="Arial"/>
                <w:bCs/>
                <w:sz w:val="22"/>
                <w:szCs w:val="22"/>
              </w:rPr>
              <w:t xml:space="preserve"> solution</w:t>
            </w:r>
            <w:r>
              <w:rPr>
                <w:rFonts w:ascii="Arial" w:hAnsi="Arial" w:cs="Arial"/>
                <w:bCs/>
                <w:sz w:val="22"/>
                <w:szCs w:val="22"/>
              </w:rPr>
              <w:t xml:space="preserve"> that was comparable to or of greater </w:t>
            </w:r>
            <w:r w:rsidRPr="009E359B">
              <w:rPr>
                <w:rFonts w:ascii="Arial" w:hAnsi="Arial" w:cs="Arial"/>
                <w:bCs/>
                <w:sz w:val="22"/>
                <w:szCs w:val="22"/>
              </w:rPr>
              <w:t xml:space="preserve">scale </w:t>
            </w:r>
            <w:r>
              <w:rPr>
                <w:rFonts w:ascii="Arial" w:hAnsi="Arial" w:cs="Arial"/>
                <w:bCs/>
                <w:sz w:val="22"/>
                <w:szCs w:val="22"/>
              </w:rPr>
              <w:t xml:space="preserve">and complexity to what is </w:t>
            </w:r>
            <w:r w:rsidRPr="009E359B">
              <w:rPr>
                <w:rFonts w:ascii="Arial" w:hAnsi="Arial" w:cs="Arial"/>
                <w:bCs/>
                <w:sz w:val="22"/>
                <w:szCs w:val="22"/>
              </w:rPr>
              <w:t>required</w:t>
            </w:r>
            <w:r>
              <w:rPr>
                <w:rFonts w:ascii="Arial" w:hAnsi="Arial" w:cs="Arial"/>
                <w:bCs/>
                <w:sz w:val="22"/>
                <w:szCs w:val="22"/>
              </w:rPr>
              <w:t xml:space="preserve"> under</w:t>
            </w:r>
            <w:r w:rsidRPr="00A47332">
              <w:rPr>
                <w:rFonts w:ascii="Arial" w:hAnsi="Arial" w:cs="Arial"/>
                <w:bCs/>
                <w:sz w:val="22"/>
                <w:szCs w:val="22"/>
              </w:rPr>
              <w:t xml:space="preserve"> HMRC’s </w:t>
            </w:r>
            <w:r>
              <w:rPr>
                <w:rFonts w:ascii="Arial" w:hAnsi="Arial" w:cs="Arial"/>
                <w:bCs/>
                <w:sz w:val="22"/>
                <w:szCs w:val="22"/>
              </w:rPr>
              <w:t>Services Description.</w:t>
            </w:r>
          </w:p>
        </w:tc>
      </w:tr>
      <w:tr w:rsidR="009E7B17" w:rsidRPr="00387F71" w14:paraId="160EA2C9" w14:textId="77777777" w:rsidTr="00084E0F">
        <w:tc>
          <w:tcPr>
            <w:tcW w:w="1701" w:type="dxa"/>
            <w:vAlign w:val="center"/>
          </w:tcPr>
          <w:p w14:paraId="690896BC"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Good</w:t>
            </w:r>
          </w:p>
        </w:tc>
        <w:tc>
          <w:tcPr>
            <w:tcW w:w="851" w:type="dxa"/>
            <w:vAlign w:val="center"/>
          </w:tcPr>
          <w:p w14:paraId="098B90A7"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80</w:t>
            </w:r>
          </w:p>
        </w:tc>
        <w:tc>
          <w:tcPr>
            <w:tcW w:w="6520" w:type="dxa"/>
          </w:tcPr>
          <w:p w14:paraId="4A390ECA" w14:textId="77777777" w:rsidR="009E7B17" w:rsidRPr="00CD5562" w:rsidRDefault="009E7B17" w:rsidP="00084E0F">
            <w:pPr>
              <w:pStyle w:val="BodyTextIndent"/>
              <w:tabs>
                <w:tab w:val="left" w:pos="0"/>
              </w:tabs>
              <w:ind w:left="0"/>
              <w:jc w:val="both"/>
              <w:rPr>
                <w:rFonts w:ascii="Arial" w:hAnsi="Arial" w:cs="Arial"/>
                <w:b/>
                <w:sz w:val="22"/>
                <w:szCs w:val="22"/>
                <w:u w:val="single"/>
              </w:rPr>
            </w:pPr>
            <w:r w:rsidRPr="00CD5562">
              <w:rPr>
                <w:rFonts w:ascii="Arial" w:hAnsi="Arial" w:cs="Arial"/>
                <w:b/>
                <w:sz w:val="22"/>
                <w:szCs w:val="22"/>
                <w:u w:val="single"/>
              </w:rPr>
              <w:t xml:space="preserve">The </w:t>
            </w:r>
            <w:r>
              <w:rPr>
                <w:rFonts w:ascii="Arial" w:hAnsi="Arial" w:cs="Arial"/>
                <w:b/>
                <w:sz w:val="22"/>
                <w:szCs w:val="22"/>
                <w:u w:val="single"/>
              </w:rPr>
              <w:t>case study</w:t>
            </w:r>
            <w:r w:rsidRPr="00CD5562">
              <w:rPr>
                <w:rFonts w:ascii="Arial" w:hAnsi="Arial" w:cs="Arial"/>
                <w:b/>
                <w:sz w:val="22"/>
                <w:szCs w:val="22"/>
                <w:u w:val="single"/>
              </w:rPr>
              <w:t xml:space="preserve"> must:</w:t>
            </w:r>
          </w:p>
          <w:p w14:paraId="09F93719" w14:textId="77777777" w:rsidR="009E7B17" w:rsidRPr="00EC23B0" w:rsidRDefault="009E7B17" w:rsidP="00084E0F">
            <w:pPr>
              <w:pStyle w:val="BodyTextIndent"/>
              <w:numPr>
                <w:ilvl w:val="0"/>
                <w:numId w:val="75"/>
              </w:numPr>
              <w:tabs>
                <w:tab w:val="left" w:pos="0"/>
              </w:tabs>
              <w:jc w:val="both"/>
              <w:rPr>
                <w:rFonts w:ascii="Arial" w:hAnsi="Arial" w:cs="Arial"/>
                <w:bCs/>
                <w:sz w:val="22"/>
                <w:szCs w:val="22"/>
              </w:rPr>
            </w:pPr>
            <w:r w:rsidRPr="001E6CF0">
              <w:rPr>
                <w:rFonts w:ascii="Arial" w:hAnsi="Arial" w:cs="Arial"/>
                <w:bCs/>
                <w:sz w:val="22"/>
                <w:szCs w:val="22"/>
              </w:rPr>
              <w:t xml:space="preserve">address (i.e., provide relevant commentary against) </w:t>
            </w:r>
            <w:proofErr w:type="gramStart"/>
            <w:r w:rsidRPr="001E6CF0">
              <w:rPr>
                <w:rFonts w:ascii="Arial" w:hAnsi="Arial" w:cs="Arial"/>
                <w:bCs/>
                <w:sz w:val="22"/>
                <w:szCs w:val="22"/>
              </w:rPr>
              <w:t>ALL of</w:t>
            </w:r>
            <w:proofErr w:type="gramEnd"/>
            <w:r w:rsidRPr="001E6CF0">
              <w:rPr>
                <w:rFonts w:ascii="Arial" w:hAnsi="Arial" w:cs="Arial"/>
                <w:bCs/>
                <w:sz w:val="22"/>
                <w:szCs w:val="22"/>
              </w:rPr>
              <w:t xml:space="preserve"> the Criteria and Sub-Criteria as set out in the question with most addressed to at least a good standard and level of detail</w:t>
            </w:r>
            <w:r>
              <w:rPr>
                <w:rFonts w:ascii="Arial" w:hAnsi="Arial" w:cs="Arial"/>
                <w:bCs/>
                <w:sz w:val="22"/>
                <w:szCs w:val="22"/>
              </w:rPr>
              <w:t xml:space="preserve"> (</w:t>
            </w:r>
            <w:r>
              <w:rPr>
                <w:rStyle w:val="normaltextrun"/>
                <w:rFonts w:ascii="Arial" w:hAnsi="Arial" w:cs="Arial"/>
                <w:color w:val="000000"/>
                <w:sz w:val="22"/>
                <w:szCs w:val="22"/>
                <w:shd w:val="clear" w:color="auto" w:fill="FFFFFF"/>
              </w:rPr>
              <w:t xml:space="preserve">two Criteria or Sub Criteria in total </w:t>
            </w:r>
            <w:r>
              <w:rPr>
                <w:rFonts w:ascii="Arial" w:hAnsi="Arial" w:cs="Arial"/>
                <w:bCs/>
                <w:sz w:val="22"/>
                <w:szCs w:val="22"/>
              </w:rPr>
              <w:t>can be assessed as satisfactory as long as the rest are at least assessed as good)</w:t>
            </w:r>
            <w:r w:rsidRPr="001E6CF0">
              <w:rPr>
                <w:rFonts w:ascii="Arial" w:hAnsi="Arial" w:cs="Arial"/>
                <w:bCs/>
                <w:sz w:val="22"/>
                <w:szCs w:val="22"/>
              </w:rPr>
              <w:t>;</w:t>
            </w:r>
            <w:r>
              <w:rPr>
                <w:rFonts w:ascii="Arial" w:hAnsi="Arial" w:cs="Arial"/>
                <w:bCs/>
                <w:sz w:val="22"/>
                <w:szCs w:val="22"/>
              </w:rPr>
              <w:t xml:space="preserve"> and</w:t>
            </w:r>
          </w:p>
          <w:p w14:paraId="38C37A26" w14:textId="77777777" w:rsidR="009E7B17" w:rsidRPr="00E636F1" w:rsidRDefault="009E7B17" w:rsidP="00084E0F">
            <w:pPr>
              <w:pStyle w:val="BodyTextIndent"/>
              <w:numPr>
                <w:ilvl w:val="0"/>
                <w:numId w:val="75"/>
              </w:numPr>
              <w:tabs>
                <w:tab w:val="left" w:pos="0"/>
              </w:tabs>
              <w:jc w:val="both"/>
              <w:rPr>
                <w:rFonts w:ascii="Arial" w:hAnsi="Arial" w:cs="Arial"/>
                <w:bCs/>
                <w:sz w:val="22"/>
                <w:szCs w:val="22"/>
              </w:rPr>
            </w:pPr>
            <w:r w:rsidRPr="00717A92">
              <w:rPr>
                <w:rFonts w:ascii="Arial" w:hAnsi="Arial" w:cs="Arial"/>
                <w:bCs/>
                <w:sz w:val="22"/>
                <w:szCs w:val="22"/>
              </w:rPr>
              <w:t xml:space="preserve">provide evidence of </w:t>
            </w:r>
            <w:proofErr w:type="gramStart"/>
            <w:r w:rsidRPr="00717A92">
              <w:rPr>
                <w:rFonts w:ascii="Arial" w:hAnsi="Arial" w:cs="Arial"/>
                <w:bCs/>
                <w:sz w:val="22"/>
                <w:szCs w:val="22"/>
              </w:rPr>
              <w:t>past experience</w:t>
            </w:r>
            <w:proofErr w:type="gramEnd"/>
            <w:r w:rsidRPr="00717A92">
              <w:rPr>
                <w:rFonts w:ascii="Arial" w:hAnsi="Arial" w:cs="Arial"/>
                <w:bCs/>
                <w:sz w:val="22"/>
                <w:szCs w:val="22"/>
              </w:rPr>
              <w:t xml:space="preserve"> that was comparable to or of greater </w:t>
            </w:r>
            <w:r w:rsidRPr="00E636F1">
              <w:rPr>
                <w:rFonts w:ascii="Arial" w:hAnsi="Arial" w:cs="Arial"/>
                <w:bCs/>
                <w:sz w:val="22"/>
                <w:szCs w:val="22"/>
              </w:rPr>
              <w:t xml:space="preserve">scale to what is required under HMRC’s </w:t>
            </w:r>
            <w:r>
              <w:rPr>
                <w:rFonts w:ascii="Arial" w:hAnsi="Arial" w:cs="Arial"/>
                <w:bCs/>
                <w:sz w:val="22"/>
                <w:szCs w:val="22"/>
              </w:rPr>
              <w:t>Services Description</w:t>
            </w:r>
          </w:p>
          <w:p w14:paraId="3E31C2E5" w14:textId="77777777" w:rsidR="009E7B17" w:rsidRPr="00387F71" w:rsidRDefault="009E7B17" w:rsidP="00084E0F">
            <w:pPr>
              <w:pStyle w:val="BodyTextIndent"/>
              <w:tabs>
                <w:tab w:val="left" w:pos="0"/>
              </w:tabs>
              <w:ind w:left="0"/>
              <w:jc w:val="both"/>
              <w:rPr>
                <w:rFonts w:ascii="Arial" w:hAnsi="Arial" w:cs="Arial"/>
                <w:bCs/>
                <w:sz w:val="22"/>
                <w:szCs w:val="22"/>
              </w:rPr>
            </w:pPr>
            <w:r w:rsidRPr="00142791">
              <w:rPr>
                <w:sz w:val="22"/>
                <w:szCs w:val="22"/>
              </w:rPr>
              <w:t xml:space="preserve">Overall, the response provides </w:t>
            </w:r>
            <w:r>
              <w:rPr>
                <w:sz w:val="22"/>
                <w:szCs w:val="22"/>
              </w:rPr>
              <w:t xml:space="preserve">HMRC with </w:t>
            </w:r>
            <w:r w:rsidRPr="00FC282B">
              <w:rPr>
                <w:sz w:val="22"/>
                <w:szCs w:val="22"/>
              </w:rPr>
              <w:t xml:space="preserve">a </w:t>
            </w:r>
            <w:r>
              <w:rPr>
                <w:sz w:val="22"/>
                <w:szCs w:val="22"/>
              </w:rPr>
              <w:t>good</w:t>
            </w:r>
            <w:r w:rsidRPr="00FC282B">
              <w:rPr>
                <w:sz w:val="22"/>
                <w:szCs w:val="22"/>
              </w:rPr>
              <w:t xml:space="preserve"> level </w:t>
            </w:r>
            <w:r w:rsidRPr="00142791">
              <w:rPr>
                <w:sz w:val="22"/>
                <w:szCs w:val="22"/>
              </w:rPr>
              <w:t xml:space="preserve">of </w:t>
            </w:r>
            <w:r w:rsidRPr="00FC282B">
              <w:rPr>
                <w:sz w:val="22"/>
                <w:szCs w:val="22"/>
              </w:rPr>
              <w:t xml:space="preserve">assurance and confidence </w:t>
            </w:r>
            <w:r w:rsidRPr="009E359B">
              <w:rPr>
                <w:rFonts w:ascii="Arial" w:hAnsi="Arial" w:cs="Arial"/>
                <w:bCs/>
                <w:sz w:val="22"/>
                <w:szCs w:val="22"/>
              </w:rPr>
              <w:t xml:space="preserve">that the </w:t>
            </w:r>
            <w:r>
              <w:rPr>
                <w:rFonts w:ascii="Arial" w:hAnsi="Arial" w:cs="Arial"/>
                <w:bCs/>
                <w:sz w:val="22"/>
                <w:szCs w:val="22"/>
              </w:rPr>
              <w:t>Tenderer</w:t>
            </w:r>
            <w:r w:rsidRPr="009E359B">
              <w:rPr>
                <w:rFonts w:ascii="Arial" w:hAnsi="Arial" w:cs="Arial"/>
                <w:bCs/>
                <w:sz w:val="22"/>
                <w:szCs w:val="22"/>
              </w:rPr>
              <w:t xml:space="preserve"> has </w:t>
            </w:r>
            <w:r>
              <w:rPr>
                <w:rFonts w:ascii="Arial" w:hAnsi="Arial" w:cs="Arial"/>
                <w:bCs/>
                <w:sz w:val="22"/>
                <w:szCs w:val="22"/>
              </w:rPr>
              <w:t xml:space="preserve">sufficient and relevant </w:t>
            </w:r>
            <w:proofErr w:type="gramStart"/>
            <w:r w:rsidRPr="009E359B">
              <w:rPr>
                <w:rFonts w:ascii="Arial" w:hAnsi="Arial" w:cs="Arial"/>
                <w:bCs/>
                <w:sz w:val="22"/>
                <w:szCs w:val="22"/>
              </w:rPr>
              <w:t>past experience</w:t>
            </w:r>
            <w:proofErr w:type="gramEnd"/>
            <w:r w:rsidRPr="009E359B">
              <w:rPr>
                <w:rFonts w:ascii="Arial" w:hAnsi="Arial" w:cs="Arial"/>
                <w:bCs/>
                <w:sz w:val="22"/>
                <w:szCs w:val="22"/>
              </w:rPr>
              <w:t xml:space="preserve"> of delivering a </w:t>
            </w:r>
            <w:r>
              <w:rPr>
                <w:rFonts w:ascii="Arial" w:hAnsi="Arial" w:cs="Arial"/>
                <w:bCs/>
                <w:sz w:val="22"/>
                <w:szCs w:val="22"/>
              </w:rPr>
              <w:t>DCE</w:t>
            </w:r>
            <w:r w:rsidRPr="009E359B">
              <w:rPr>
                <w:rFonts w:ascii="Arial" w:hAnsi="Arial" w:cs="Arial"/>
                <w:bCs/>
                <w:sz w:val="22"/>
                <w:szCs w:val="22"/>
              </w:rPr>
              <w:t xml:space="preserve"> solution</w:t>
            </w:r>
            <w:r>
              <w:rPr>
                <w:rFonts w:ascii="Arial" w:hAnsi="Arial" w:cs="Arial"/>
                <w:bCs/>
                <w:sz w:val="22"/>
                <w:szCs w:val="22"/>
              </w:rPr>
              <w:t xml:space="preserve"> that was comparable to or of greater </w:t>
            </w:r>
            <w:r w:rsidRPr="009E359B">
              <w:rPr>
                <w:rFonts w:ascii="Arial" w:hAnsi="Arial" w:cs="Arial"/>
                <w:bCs/>
                <w:sz w:val="22"/>
                <w:szCs w:val="22"/>
              </w:rPr>
              <w:t xml:space="preserve">scale </w:t>
            </w:r>
            <w:r>
              <w:rPr>
                <w:rFonts w:ascii="Arial" w:hAnsi="Arial" w:cs="Arial"/>
                <w:bCs/>
                <w:sz w:val="22"/>
                <w:szCs w:val="22"/>
              </w:rPr>
              <w:t xml:space="preserve">and complexity to what is </w:t>
            </w:r>
            <w:r w:rsidRPr="009E359B">
              <w:rPr>
                <w:rFonts w:ascii="Arial" w:hAnsi="Arial" w:cs="Arial"/>
                <w:bCs/>
                <w:sz w:val="22"/>
                <w:szCs w:val="22"/>
              </w:rPr>
              <w:t>required</w:t>
            </w:r>
            <w:r>
              <w:rPr>
                <w:rFonts w:ascii="Arial" w:hAnsi="Arial" w:cs="Arial"/>
                <w:bCs/>
                <w:sz w:val="22"/>
                <w:szCs w:val="22"/>
              </w:rPr>
              <w:t xml:space="preserve"> under</w:t>
            </w:r>
            <w:r w:rsidRPr="00A47332">
              <w:rPr>
                <w:rFonts w:ascii="Arial" w:hAnsi="Arial" w:cs="Arial"/>
                <w:bCs/>
                <w:sz w:val="22"/>
                <w:szCs w:val="22"/>
              </w:rPr>
              <w:t xml:space="preserve"> HMRC’s </w:t>
            </w:r>
            <w:r>
              <w:rPr>
                <w:rFonts w:ascii="Arial" w:hAnsi="Arial" w:cs="Arial"/>
                <w:bCs/>
                <w:sz w:val="22"/>
                <w:szCs w:val="22"/>
              </w:rPr>
              <w:t>Services Description.</w:t>
            </w:r>
          </w:p>
        </w:tc>
      </w:tr>
      <w:tr w:rsidR="009E7B17" w:rsidRPr="00387F71" w14:paraId="2E3AEB5F" w14:textId="77777777" w:rsidTr="00084E0F">
        <w:tc>
          <w:tcPr>
            <w:tcW w:w="1701" w:type="dxa"/>
            <w:vAlign w:val="center"/>
          </w:tcPr>
          <w:p w14:paraId="4A87B975" w14:textId="77777777" w:rsidR="009E7B17" w:rsidRPr="00387F71" w:rsidRDefault="009E7B17" w:rsidP="00084E0F">
            <w:pPr>
              <w:pStyle w:val="BodyTextIndent"/>
              <w:tabs>
                <w:tab w:val="left" w:pos="0"/>
              </w:tabs>
              <w:ind w:left="0"/>
              <w:jc w:val="center"/>
              <w:rPr>
                <w:rFonts w:ascii="Arial" w:hAnsi="Arial" w:cs="Arial"/>
                <w:bCs/>
                <w:sz w:val="22"/>
                <w:szCs w:val="22"/>
              </w:rPr>
            </w:pPr>
            <w:r w:rsidRPr="00387F71">
              <w:rPr>
                <w:rFonts w:ascii="Arial" w:hAnsi="Arial" w:cs="Arial"/>
                <w:bCs/>
                <w:sz w:val="22"/>
                <w:szCs w:val="22"/>
              </w:rPr>
              <w:t>Satisfactory</w:t>
            </w:r>
          </w:p>
        </w:tc>
        <w:tc>
          <w:tcPr>
            <w:tcW w:w="851" w:type="dxa"/>
            <w:vAlign w:val="center"/>
          </w:tcPr>
          <w:p w14:paraId="53E29F6F"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60</w:t>
            </w:r>
          </w:p>
        </w:tc>
        <w:tc>
          <w:tcPr>
            <w:tcW w:w="6520" w:type="dxa"/>
          </w:tcPr>
          <w:p w14:paraId="380B4EAD" w14:textId="77777777" w:rsidR="009E7B17" w:rsidRPr="00CD5562" w:rsidRDefault="009E7B17" w:rsidP="00084E0F">
            <w:pPr>
              <w:pStyle w:val="BodyTextIndent"/>
              <w:tabs>
                <w:tab w:val="left" w:pos="0"/>
              </w:tabs>
              <w:ind w:left="0"/>
              <w:jc w:val="both"/>
              <w:rPr>
                <w:rFonts w:ascii="Arial" w:hAnsi="Arial" w:cs="Arial"/>
                <w:b/>
                <w:sz w:val="22"/>
                <w:szCs w:val="22"/>
                <w:u w:val="single"/>
              </w:rPr>
            </w:pPr>
            <w:r w:rsidRPr="00CD5562">
              <w:rPr>
                <w:rFonts w:ascii="Arial" w:hAnsi="Arial" w:cs="Arial"/>
                <w:b/>
                <w:sz w:val="22"/>
                <w:szCs w:val="22"/>
                <w:u w:val="single"/>
              </w:rPr>
              <w:t xml:space="preserve">The </w:t>
            </w:r>
            <w:r>
              <w:rPr>
                <w:rFonts w:ascii="Arial" w:hAnsi="Arial" w:cs="Arial"/>
                <w:b/>
                <w:sz w:val="22"/>
                <w:szCs w:val="22"/>
                <w:u w:val="single"/>
              </w:rPr>
              <w:t xml:space="preserve">case study </w:t>
            </w:r>
            <w:r w:rsidRPr="00CD5562">
              <w:rPr>
                <w:rFonts w:ascii="Arial" w:hAnsi="Arial" w:cs="Arial"/>
                <w:b/>
                <w:sz w:val="22"/>
                <w:szCs w:val="22"/>
                <w:u w:val="single"/>
              </w:rPr>
              <w:t>must:</w:t>
            </w:r>
          </w:p>
          <w:p w14:paraId="24D60529" w14:textId="77777777" w:rsidR="009E7B17" w:rsidRPr="00553042" w:rsidRDefault="009E7B17" w:rsidP="00084E0F">
            <w:pPr>
              <w:pStyle w:val="BodyTextIndent"/>
              <w:numPr>
                <w:ilvl w:val="0"/>
                <w:numId w:val="76"/>
              </w:numPr>
              <w:tabs>
                <w:tab w:val="left" w:pos="0"/>
              </w:tabs>
              <w:jc w:val="both"/>
              <w:rPr>
                <w:rFonts w:ascii="Arial" w:hAnsi="Arial" w:cs="Arial"/>
                <w:bCs/>
                <w:sz w:val="22"/>
                <w:szCs w:val="22"/>
              </w:rPr>
            </w:pPr>
            <w:r w:rsidRPr="00553042">
              <w:rPr>
                <w:rFonts w:ascii="Arial" w:hAnsi="Arial" w:cs="Arial"/>
                <w:bCs/>
                <w:sz w:val="22"/>
                <w:szCs w:val="22"/>
              </w:rPr>
              <w:t xml:space="preserve">address (i.e., provide relevant commentary against) ALL of the Criteria and Sub-Criteria as set out in the question with </w:t>
            </w:r>
            <w:r>
              <w:rPr>
                <w:rFonts w:ascii="Arial" w:hAnsi="Arial" w:cs="Arial"/>
                <w:bCs/>
                <w:sz w:val="22"/>
                <w:szCs w:val="22"/>
              </w:rPr>
              <w:t>all</w:t>
            </w:r>
            <w:r w:rsidRPr="00553042">
              <w:rPr>
                <w:rFonts w:ascii="Arial" w:hAnsi="Arial" w:cs="Arial"/>
                <w:bCs/>
                <w:sz w:val="22"/>
                <w:szCs w:val="22"/>
              </w:rPr>
              <w:t xml:space="preserve"> addressed to at least a satisfactory standard and level of </w:t>
            </w:r>
            <w:proofErr w:type="gramStart"/>
            <w:r w:rsidRPr="00553042">
              <w:rPr>
                <w:rFonts w:ascii="Arial" w:hAnsi="Arial" w:cs="Arial"/>
                <w:bCs/>
                <w:sz w:val="22"/>
                <w:szCs w:val="22"/>
              </w:rPr>
              <w:t>detail;</w:t>
            </w:r>
            <w:proofErr w:type="gramEnd"/>
          </w:p>
          <w:p w14:paraId="4190C638" w14:textId="77777777" w:rsidR="009E7B17" w:rsidRPr="00717A92" w:rsidRDefault="009E7B17" w:rsidP="00084E0F">
            <w:pPr>
              <w:pStyle w:val="BodyTextIndent"/>
              <w:numPr>
                <w:ilvl w:val="0"/>
                <w:numId w:val="76"/>
              </w:numPr>
              <w:tabs>
                <w:tab w:val="left" w:pos="0"/>
              </w:tabs>
              <w:jc w:val="both"/>
              <w:rPr>
                <w:rFonts w:ascii="Arial" w:hAnsi="Arial" w:cs="Arial"/>
                <w:bCs/>
                <w:sz w:val="22"/>
                <w:szCs w:val="22"/>
              </w:rPr>
            </w:pPr>
            <w:r w:rsidRPr="00717A92">
              <w:rPr>
                <w:rFonts w:ascii="Arial" w:hAnsi="Arial" w:cs="Arial"/>
                <w:bCs/>
                <w:sz w:val="22"/>
                <w:szCs w:val="22"/>
              </w:rPr>
              <w:t xml:space="preserve">provide evidence of past experience that was comparable to or of greater </w:t>
            </w:r>
            <w:r w:rsidRPr="009D230B">
              <w:rPr>
                <w:rFonts w:ascii="Arial" w:hAnsi="Arial" w:cs="Arial"/>
                <w:bCs/>
                <w:sz w:val="22"/>
                <w:szCs w:val="22"/>
              </w:rPr>
              <w:t>scale to what is required under HMRC’s</w:t>
            </w:r>
            <w:r w:rsidRPr="00717A92">
              <w:rPr>
                <w:rFonts w:ascii="Arial" w:hAnsi="Arial" w:cs="Arial"/>
                <w:bCs/>
                <w:sz w:val="22"/>
                <w:szCs w:val="22"/>
              </w:rPr>
              <w:t xml:space="preserve"> </w:t>
            </w:r>
            <w:r>
              <w:rPr>
                <w:rFonts w:ascii="Arial" w:hAnsi="Arial" w:cs="Arial"/>
                <w:bCs/>
                <w:sz w:val="22"/>
                <w:szCs w:val="22"/>
              </w:rPr>
              <w:t>Services Description</w:t>
            </w:r>
            <w:r w:rsidRPr="00717A92">
              <w:rPr>
                <w:rFonts w:ascii="Arial" w:hAnsi="Arial" w:cs="Arial"/>
                <w:bCs/>
                <w:sz w:val="22"/>
                <w:szCs w:val="22"/>
              </w:rPr>
              <w:t xml:space="preserve">, with only minor omissions or </w:t>
            </w:r>
            <w:proofErr w:type="gramStart"/>
            <w:r w:rsidRPr="00717A92">
              <w:rPr>
                <w:rFonts w:ascii="Arial" w:hAnsi="Arial" w:cs="Arial"/>
                <w:bCs/>
                <w:sz w:val="22"/>
                <w:szCs w:val="22"/>
              </w:rPr>
              <w:t>concerns;</w:t>
            </w:r>
            <w:proofErr w:type="gramEnd"/>
          </w:p>
          <w:p w14:paraId="6A112164" w14:textId="77777777" w:rsidR="009E7B17" w:rsidRPr="00387F71" w:rsidRDefault="009E7B17" w:rsidP="00084E0F">
            <w:pPr>
              <w:pStyle w:val="BodyTextIndent"/>
              <w:tabs>
                <w:tab w:val="left" w:pos="0"/>
              </w:tabs>
              <w:ind w:left="0"/>
              <w:jc w:val="both"/>
              <w:rPr>
                <w:rFonts w:ascii="Arial" w:hAnsi="Arial" w:cs="Arial"/>
                <w:bCs/>
                <w:sz w:val="22"/>
                <w:szCs w:val="22"/>
              </w:rPr>
            </w:pPr>
            <w:r w:rsidRPr="00553042">
              <w:rPr>
                <w:rFonts w:ascii="Arial" w:hAnsi="Arial" w:cs="Arial"/>
                <w:bCs/>
                <w:sz w:val="22"/>
                <w:szCs w:val="22"/>
              </w:rPr>
              <w:t xml:space="preserve">Overall, the response provides a satisfactory level of assurance and confidence </w:t>
            </w:r>
            <w:r>
              <w:rPr>
                <w:rFonts w:ascii="Arial" w:hAnsi="Arial" w:cs="Arial"/>
                <w:bCs/>
                <w:sz w:val="22"/>
                <w:szCs w:val="22"/>
              </w:rPr>
              <w:t>(</w:t>
            </w:r>
            <w:r w:rsidRPr="00553042">
              <w:rPr>
                <w:rFonts w:ascii="Arial" w:hAnsi="Arial" w:cs="Arial"/>
                <w:bCs/>
                <w:sz w:val="22"/>
                <w:szCs w:val="22"/>
              </w:rPr>
              <w:t>with only minor omissions or concerns</w:t>
            </w:r>
            <w:r>
              <w:rPr>
                <w:rFonts w:ascii="Arial" w:hAnsi="Arial" w:cs="Arial"/>
                <w:bCs/>
                <w:sz w:val="22"/>
                <w:szCs w:val="22"/>
              </w:rPr>
              <w:t>)</w:t>
            </w:r>
            <w:r w:rsidRPr="00553042">
              <w:rPr>
                <w:rFonts w:ascii="Arial" w:hAnsi="Arial" w:cs="Arial"/>
                <w:bCs/>
                <w:sz w:val="22"/>
                <w:szCs w:val="22"/>
              </w:rPr>
              <w:t xml:space="preserve">, </w:t>
            </w:r>
            <w:r w:rsidRPr="009E359B">
              <w:rPr>
                <w:rFonts w:ascii="Arial" w:hAnsi="Arial" w:cs="Arial"/>
                <w:bCs/>
                <w:sz w:val="22"/>
                <w:szCs w:val="22"/>
              </w:rPr>
              <w:t xml:space="preserve">that the </w:t>
            </w:r>
            <w:r>
              <w:rPr>
                <w:rFonts w:ascii="Arial" w:hAnsi="Arial" w:cs="Arial"/>
                <w:bCs/>
                <w:sz w:val="22"/>
                <w:szCs w:val="22"/>
              </w:rPr>
              <w:t>Tenderer</w:t>
            </w:r>
            <w:r w:rsidRPr="009E359B">
              <w:rPr>
                <w:rFonts w:ascii="Arial" w:hAnsi="Arial" w:cs="Arial"/>
                <w:bCs/>
                <w:sz w:val="22"/>
                <w:szCs w:val="22"/>
              </w:rPr>
              <w:t xml:space="preserve"> has </w:t>
            </w:r>
            <w:r>
              <w:rPr>
                <w:rFonts w:ascii="Arial" w:hAnsi="Arial" w:cs="Arial"/>
                <w:bCs/>
                <w:sz w:val="22"/>
                <w:szCs w:val="22"/>
              </w:rPr>
              <w:t xml:space="preserve">sufficient and relevant </w:t>
            </w:r>
            <w:proofErr w:type="gramStart"/>
            <w:r w:rsidRPr="009E359B">
              <w:rPr>
                <w:rFonts w:ascii="Arial" w:hAnsi="Arial" w:cs="Arial"/>
                <w:bCs/>
                <w:sz w:val="22"/>
                <w:szCs w:val="22"/>
              </w:rPr>
              <w:t>past experience</w:t>
            </w:r>
            <w:proofErr w:type="gramEnd"/>
            <w:r w:rsidRPr="009E359B">
              <w:rPr>
                <w:rFonts w:ascii="Arial" w:hAnsi="Arial" w:cs="Arial"/>
                <w:bCs/>
                <w:sz w:val="22"/>
                <w:szCs w:val="22"/>
              </w:rPr>
              <w:t xml:space="preserve"> of delivering a </w:t>
            </w:r>
            <w:r>
              <w:rPr>
                <w:rFonts w:ascii="Arial" w:hAnsi="Arial" w:cs="Arial"/>
                <w:bCs/>
                <w:sz w:val="22"/>
                <w:szCs w:val="22"/>
              </w:rPr>
              <w:t>DCE</w:t>
            </w:r>
            <w:r w:rsidRPr="009E359B">
              <w:rPr>
                <w:rFonts w:ascii="Arial" w:hAnsi="Arial" w:cs="Arial"/>
                <w:bCs/>
                <w:sz w:val="22"/>
                <w:szCs w:val="22"/>
              </w:rPr>
              <w:t xml:space="preserve"> solution</w:t>
            </w:r>
            <w:r>
              <w:rPr>
                <w:rFonts w:ascii="Arial" w:hAnsi="Arial" w:cs="Arial"/>
                <w:bCs/>
                <w:sz w:val="22"/>
                <w:szCs w:val="22"/>
              </w:rPr>
              <w:t xml:space="preserve"> that was comparable to or of greater </w:t>
            </w:r>
            <w:r w:rsidRPr="009E359B">
              <w:rPr>
                <w:rFonts w:ascii="Arial" w:hAnsi="Arial" w:cs="Arial"/>
                <w:bCs/>
                <w:sz w:val="22"/>
                <w:szCs w:val="22"/>
              </w:rPr>
              <w:t xml:space="preserve">scale </w:t>
            </w:r>
            <w:r>
              <w:rPr>
                <w:rFonts w:ascii="Arial" w:hAnsi="Arial" w:cs="Arial"/>
                <w:bCs/>
                <w:sz w:val="22"/>
                <w:szCs w:val="22"/>
              </w:rPr>
              <w:t xml:space="preserve">and complexity to what is </w:t>
            </w:r>
            <w:r w:rsidRPr="009E359B">
              <w:rPr>
                <w:rFonts w:ascii="Arial" w:hAnsi="Arial" w:cs="Arial"/>
                <w:bCs/>
                <w:sz w:val="22"/>
                <w:szCs w:val="22"/>
              </w:rPr>
              <w:t>required</w:t>
            </w:r>
            <w:r>
              <w:rPr>
                <w:rFonts w:ascii="Arial" w:hAnsi="Arial" w:cs="Arial"/>
                <w:bCs/>
                <w:sz w:val="22"/>
                <w:szCs w:val="22"/>
              </w:rPr>
              <w:t xml:space="preserve"> under</w:t>
            </w:r>
            <w:r w:rsidRPr="00A47332">
              <w:rPr>
                <w:rFonts w:ascii="Arial" w:hAnsi="Arial" w:cs="Arial"/>
                <w:bCs/>
                <w:sz w:val="22"/>
                <w:szCs w:val="22"/>
              </w:rPr>
              <w:t xml:space="preserve"> HMRC’s </w:t>
            </w:r>
            <w:r>
              <w:rPr>
                <w:rFonts w:ascii="Arial" w:hAnsi="Arial" w:cs="Arial"/>
                <w:bCs/>
                <w:sz w:val="22"/>
                <w:szCs w:val="22"/>
              </w:rPr>
              <w:t>Services Description.</w:t>
            </w:r>
          </w:p>
        </w:tc>
      </w:tr>
      <w:tr w:rsidR="009E7B17" w:rsidRPr="00387F71" w14:paraId="467D22BF" w14:textId="77777777" w:rsidTr="00084E0F">
        <w:tc>
          <w:tcPr>
            <w:tcW w:w="1701" w:type="dxa"/>
            <w:vAlign w:val="center"/>
          </w:tcPr>
          <w:p w14:paraId="25646086"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Limited</w:t>
            </w:r>
          </w:p>
        </w:tc>
        <w:tc>
          <w:tcPr>
            <w:tcW w:w="851" w:type="dxa"/>
            <w:vAlign w:val="center"/>
          </w:tcPr>
          <w:p w14:paraId="16D7B353"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40</w:t>
            </w:r>
          </w:p>
        </w:tc>
        <w:tc>
          <w:tcPr>
            <w:tcW w:w="6520" w:type="dxa"/>
          </w:tcPr>
          <w:p w14:paraId="6C0724EE" w14:textId="77777777" w:rsidR="009E7B17" w:rsidRPr="00CD5562" w:rsidRDefault="009E7B17" w:rsidP="00084E0F">
            <w:pPr>
              <w:pStyle w:val="BodyTextIndent"/>
              <w:tabs>
                <w:tab w:val="left" w:pos="0"/>
              </w:tabs>
              <w:ind w:left="0"/>
              <w:jc w:val="both"/>
              <w:rPr>
                <w:rFonts w:ascii="Arial" w:hAnsi="Arial" w:cs="Arial"/>
                <w:b/>
                <w:sz w:val="22"/>
                <w:szCs w:val="22"/>
                <w:u w:val="single"/>
              </w:rPr>
            </w:pPr>
            <w:r w:rsidRPr="00CD5562">
              <w:rPr>
                <w:rFonts w:ascii="Arial" w:hAnsi="Arial" w:cs="Arial"/>
                <w:b/>
                <w:sz w:val="22"/>
                <w:szCs w:val="22"/>
                <w:u w:val="single"/>
              </w:rPr>
              <w:t xml:space="preserve">The </w:t>
            </w:r>
            <w:r>
              <w:rPr>
                <w:rFonts w:ascii="Arial" w:hAnsi="Arial" w:cs="Arial"/>
                <w:b/>
                <w:sz w:val="22"/>
                <w:szCs w:val="22"/>
                <w:u w:val="single"/>
              </w:rPr>
              <w:t>case study</w:t>
            </w:r>
            <w:r w:rsidRPr="00CD5562">
              <w:rPr>
                <w:rFonts w:ascii="Arial" w:hAnsi="Arial" w:cs="Arial"/>
                <w:b/>
                <w:sz w:val="22"/>
                <w:szCs w:val="22"/>
                <w:u w:val="single"/>
              </w:rPr>
              <w:t xml:space="preserve"> must:</w:t>
            </w:r>
          </w:p>
          <w:p w14:paraId="6920BDFD" w14:textId="77777777" w:rsidR="009E7B17" w:rsidRPr="00A17B3A" w:rsidRDefault="009E7B17" w:rsidP="00084E0F">
            <w:pPr>
              <w:pStyle w:val="BodyTextIndent"/>
              <w:tabs>
                <w:tab w:val="left" w:pos="0"/>
              </w:tabs>
              <w:jc w:val="both"/>
              <w:rPr>
                <w:rFonts w:ascii="Arial" w:hAnsi="Arial" w:cs="Arial"/>
                <w:bCs/>
                <w:sz w:val="22"/>
                <w:szCs w:val="22"/>
              </w:rPr>
            </w:pPr>
          </w:p>
          <w:p w14:paraId="282572BF" w14:textId="77777777" w:rsidR="009E7B17" w:rsidRPr="007B19DD" w:rsidRDefault="009E7B17" w:rsidP="00084E0F">
            <w:pPr>
              <w:pStyle w:val="BodyTextIndent"/>
              <w:tabs>
                <w:tab w:val="left" w:pos="0"/>
              </w:tabs>
              <w:ind w:left="0"/>
              <w:jc w:val="both"/>
              <w:rPr>
                <w:rFonts w:ascii="Arial" w:hAnsi="Arial" w:cs="Arial"/>
                <w:bCs/>
                <w:sz w:val="22"/>
                <w:szCs w:val="22"/>
              </w:rPr>
            </w:pPr>
            <w:r w:rsidRPr="007C3958">
              <w:rPr>
                <w:rFonts w:ascii="Arial" w:hAnsi="Arial" w:cs="Arial"/>
                <w:bCs/>
                <w:sz w:val="22"/>
                <w:szCs w:val="22"/>
              </w:rPr>
              <w:t xml:space="preserve">Fail to meet the standard for a score of </w:t>
            </w:r>
            <w:proofErr w:type="gramStart"/>
            <w:r w:rsidRPr="007C3958">
              <w:rPr>
                <w:rFonts w:ascii="Arial" w:hAnsi="Arial" w:cs="Arial"/>
                <w:bCs/>
                <w:sz w:val="22"/>
                <w:szCs w:val="22"/>
              </w:rPr>
              <w:t>Satisfactory</w:t>
            </w:r>
            <w:proofErr w:type="gramEnd"/>
          </w:p>
          <w:p w14:paraId="3FAFC913" w14:textId="77777777" w:rsidR="009E7B17" w:rsidRPr="007B19DD" w:rsidRDefault="009E7B17" w:rsidP="00084E0F">
            <w:pPr>
              <w:pStyle w:val="BodyTextIndent"/>
              <w:tabs>
                <w:tab w:val="left" w:pos="0"/>
              </w:tabs>
              <w:ind w:left="0"/>
              <w:jc w:val="both"/>
              <w:rPr>
                <w:rFonts w:ascii="Arial" w:hAnsi="Arial" w:cs="Arial"/>
                <w:bCs/>
                <w:sz w:val="22"/>
                <w:szCs w:val="22"/>
              </w:rPr>
            </w:pPr>
            <w:r w:rsidRPr="007B19DD">
              <w:rPr>
                <w:rFonts w:ascii="Arial" w:hAnsi="Arial" w:cs="Arial"/>
                <w:bCs/>
                <w:sz w:val="22"/>
                <w:szCs w:val="22"/>
              </w:rPr>
              <w:t>And/or</w:t>
            </w:r>
          </w:p>
          <w:p w14:paraId="55C1C6E0" w14:textId="77777777" w:rsidR="009E7B17" w:rsidRPr="007B19DD" w:rsidRDefault="009E7B17" w:rsidP="00084E0F">
            <w:pPr>
              <w:pStyle w:val="BodyTextIndent"/>
              <w:tabs>
                <w:tab w:val="left" w:pos="0"/>
              </w:tabs>
              <w:ind w:left="0"/>
              <w:jc w:val="both"/>
              <w:rPr>
                <w:rFonts w:ascii="Arial" w:hAnsi="Arial" w:cs="Arial"/>
                <w:bCs/>
                <w:sz w:val="22"/>
                <w:szCs w:val="22"/>
              </w:rPr>
            </w:pPr>
            <w:r w:rsidRPr="007B19DD">
              <w:rPr>
                <w:rFonts w:ascii="Arial" w:hAnsi="Arial" w:cs="Arial"/>
                <w:bCs/>
                <w:sz w:val="22"/>
                <w:szCs w:val="22"/>
              </w:rPr>
              <w:t xml:space="preserve">Fail to address (i.e. provides no relevant commentary against) at least one element of the Criteria or Sub-criteria in the </w:t>
            </w:r>
            <w:proofErr w:type="gramStart"/>
            <w:r w:rsidRPr="007B19DD">
              <w:rPr>
                <w:rFonts w:ascii="Arial" w:hAnsi="Arial" w:cs="Arial"/>
                <w:bCs/>
                <w:sz w:val="22"/>
                <w:szCs w:val="22"/>
              </w:rPr>
              <w:t>question</w:t>
            </w:r>
            <w:proofErr w:type="gramEnd"/>
          </w:p>
          <w:p w14:paraId="05F76B93" w14:textId="77777777" w:rsidR="009E7B17" w:rsidRPr="007B19DD" w:rsidRDefault="009E7B17" w:rsidP="00084E0F">
            <w:pPr>
              <w:pStyle w:val="BodyTextIndent"/>
              <w:tabs>
                <w:tab w:val="left" w:pos="0"/>
              </w:tabs>
              <w:ind w:left="0"/>
              <w:jc w:val="both"/>
              <w:rPr>
                <w:rFonts w:ascii="Arial" w:hAnsi="Arial" w:cs="Arial"/>
                <w:bCs/>
                <w:sz w:val="22"/>
                <w:szCs w:val="22"/>
              </w:rPr>
            </w:pPr>
            <w:r w:rsidRPr="007B19DD">
              <w:rPr>
                <w:rFonts w:ascii="Arial" w:hAnsi="Arial" w:cs="Arial"/>
                <w:bCs/>
                <w:sz w:val="22"/>
                <w:szCs w:val="22"/>
              </w:rPr>
              <w:t>And/or</w:t>
            </w:r>
          </w:p>
          <w:p w14:paraId="7FE6A4F7" w14:textId="77777777" w:rsidR="009E7B17" w:rsidRPr="00A17B3A" w:rsidRDefault="009E7B17" w:rsidP="00084E0F">
            <w:pPr>
              <w:pStyle w:val="BodyTextIndent"/>
              <w:tabs>
                <w:tab w:val="left" w:pos="0"/>
              </w:tabs>
              <w:ind w:left="0"/>
              <w:jc w:val="both"/>
              <w:rPr>
                <w:rFonts w:ascii="Arial" w:hAnsi="Arial" w:cs="Arial"/>
                <w:bCs/>
                <w:sz w:val="22"/>
                <w:szCs w:val="22"/>
              </w:rPr>
            </w:pPr>
            <w:r>
              <w:rPr>
                <w:rFonts w:ascii="Arial" w:hAnsi="Arial" w:cs="Arial"/>
                <w:bCs/>
                <w:sz w:val="22"/>
                <w:szCs w:val="22"/>
              </w:rPr>
              <w:t>More than</w:t>
            </w:r>
            <w:r w:rsidRPr="007C3958">
              <w:rPr>
                <w:rFonts w:ascii="Arial" w:hAnsi="Arial" w:cs="Arial"/>
                <w:bCs/>
                <w:sz w:val="22"/>
                <w:szCs w:val="22"/>
              </w:rPr>
              <w:t xml:space="preserve"> half (but not all – see score of 60)</w:t>
            </w:r>
            <w:r>
              <w:rPr>
                <w:rFonts w:ascii="Arial" w:hAnsi="Arial" w:cs="Arial"/>
                <w:bCs/>
                <w:sz w:val="22"/>
                <w:szCs w:val="22"/>
              </w:rPr>
              <w:t xml:space="preserve"> </w:t>
            </w:r>
            <w:r w:rsidRPr="00A17B3A">
              <w:rPr>
                <w:rFonts w:ascii="Arial" w:hAnsi="Arial" w:cs="Arial"/>
                <w:bCs/>
                <w:sz w:val="22"/>
                <w:szCs w:val="22"/>
              </w:rPr>
              <w:t xml:space="preserve">of </w:t>
            </w:r>
            <w:r w:rsidRPr="00162EDF">
              <w:rPr>
                <w:rFonts w:ascii="Arial" w:hAnsi="Arial" w:cs="Arial"/>
                <w:bCs/>
                <w:sz w:val="22"/>
                <w:szCs w:val="22"/>
              </w:rPr>
              <w:t xml:space="preserve">the </w:t>
            </w:r>
            <w:r w:rsidRPr="005224CC">
              <w:rPr>
                <w:rFonts w:ascii="Arial" w:hAnsi="Arial" w:cs="Arial"/>
                <w:sz w:val="22"/>
                <w:szCs w:val="22"/>
              </w:rPr>
              <w:t>Sub</w:t>
            </w:r>
            <w:r w:rsidRPr="00162EDF">
              <w:rPr>
                <w:rFonts w:ascii="Arial" w:hAnsi="Arial" w:cs="Arial"/>
                <w:bCs/>
                <w:sz w:val="22"/>
                <w:szCs w:val="22"/>
              </w:rPr>
              <w:t>-</w:t>
            </w:r>
            <w:r w:rsidRPr="00A17B3A">
              <w:rPr>
                <w:rFonts w:ascii="Arial" w:hAnsi="Arial" w:cs="Arial"/>
                <w:bCs/>
                <w:sz w:val="22"/>
                <w:szCs w:val="22"/>
              </w:rPr>
              <w:t xml:space="preserve">Criteria as set out in the question were addressed to at least a satisfactory standard and level of </w:t>
            </w:r>
            <w:proofErr w:type="gramStart"/>
            <w:r w:rsidRPr="00A17B3A">
              <w:rPr>
                <w:rFonts w:ascii="Arial" w:hAnsi="Arial" w:cs="Arial"/>
                <w:bCs/>
                <w:sz w:val="22"/>
                <w:szCs w:val="22"/>
              </w:rPr>
              <w:t>detail;</w:t>
            </w:r>
            <w:proofErr w:type="gramEnd"/>
          </w:p>
          <w:p w14:paraId="4E538B45" w14:textId="77777777" w:rsidR="009E7B17" w:rsidRPr="00A17B3A" w:rsidRDefault="009E7B17" w:rsidP="00084E0F">
            <w:pPr>
              <w:pStyle w:val="BodyTextIndent"/>
              <w:tabs>
                <w:tab w:val="left" w:pos="0"/>
              </w:tabs>
              <w:ind w:left="0"/>
              <w:jc w:val="both"/>
              <w:rPr>
                <w:rFonts w:ascii="Arial" w:hAnsi="Arial" w:cs="Arial"/>
                <w:bCs/>
                <w:sz w:val="22"/>
                <w:szCs w:val="22"/>
              </w:rPr>
            </w:pPr>
            <w:r w:rsidRPr="00A17B3A">
              <w:rPr>
                <w:rFonts w:ascii="Arial" w:hAnsi="Arial" w:cs="Arial"/>
                <w:bCs/>
                <w:sz w:val="22"/>
                <w:szCs w:val="22"/>
              </w:rPr>
              <w:t>And/or</w:t>
            </w:r>
          </w:p>
          <w:p w14:paraId="7612B380" w14:textId="77777777" w:rsidR="009E7B17" w:rsidRPr="00387F71" w:rsidRDefault="009E7B17" w:rsidP="00084E0F">
            <w:pPr>
              <w:pStyle w:val="BodyTextIndent"/>
              <w:tabs>
                <w:tab w:val="left" w:pos="0"/>
              </w:tabs>
              <w:ind w:left="0"/>
              <w:jc w:val="both"/>
              <w:rPr>
                <w:rFonts w:ascii="Arial" w:hAnsi="Arial" w:cs="Arial"/>
                <w:bCs/>
                <w:sz w:val="22"/>
                <w:szCs w:val="22"/>
              </w:rPr>
            </w:pPr>
            <w:r w:rsidRPr="00A17B3A">
              <w:rPr>
                <w:rFonts w:ascii="Arial" w:hAnsi="Arial" w:cs="Arial"/>
                <w:bCs/>
                <w:sz w:val="22"/>
                <w:szCs w:val="22"/>
              </w:rPr>
              <w:t xml:space="preserve">The response contains numerous minor omissions or concerns (and/ or one major omission or concern) that </w:t>
            </w:r>
            <w:r>
              <w:rPr>
                <w:rFonts w:ascii="Arial" w:hAnsi="Arial" w:cs="Arial"/>
                <w:bCs/>
                <w:sz w:val="22"/>
                <w:szCs w:val="22"/>
              </w:rPr>
              <w:t xml:space="preserve">fails to </w:t>
            </w:r>
            <w:r w:rsidRPr="00A47332">
              <w:rPr>
                <w:rFonts w:ascii="Arial" w:hAnsi="Arial" w:cs="Arial"/>
                <w:bCs/>
                <w:sz w:val="22"/>
                <w:szCs w:val="22"/>
              </w:rPr>
              <w:t xml:space="preserve">provide </w:t>
            </w:r>
            <w:r w:rsidRPr="00553042">
              <w:rPr>
                <w:rFonts w:ascii="Arial" w:hAnsi="Arial" w:cs="Arial"/>
                <w:bCs/>
                <w:sz w:val="22"/>
                <w:szCs w:val="22"/>
              </w:rPr>
              <w:t>a satisfactory level of assurance and confidence</w:t>
            </w:r>
            <w:r>
              <w:rPr>
                <w:rFonts w:ascii="Arial" w:hAnsi="Arial" w:cs="Arial"/>
                <w:bCs/>
                <w:sz w:val="22"/>
                <w:szCs w:val="22"/>
              </w:rPr>
              <w:t xml:space="preserve">, that the Tenderer has sufficient and relevant </w:t>
            </w:r>
            <w:proofErr w:type="gramStart"/>
            <w:r w:rsidRPr="00A47332">
              <w:rPr>
                <w:rFonts w:ascii="Arial" w:hAnsi="Arial" w:cs="Arial"/>
                <w:bCs/>
                <w:sz w:val="22"/>
                <w:szCs w:val="22"/>
              </w:rPr>
              <w:t>past experience</w:t>
            </w:r>
            <w:proofErr w:type="gramEnd"/>
            <w:r w:rsidRPr="00A47332">
              <w:rPr>
                <w:rFonts w:ascii="Arial" w:hAnsi="Arial" w:cs="Arial"/>
                <w:bCs/>
                <w:sz w:val="22"/>
                <w:szCs w:val="22"/>
              </w:rPr>
              <w:t xml:space="preserve"> </w:t>
            </w:r>
            <w:r w:rsidRPr="009E359B">
              <w:rPr>
                <w:rFonts w:ascii="Arial" w:hAnsi="Arial" w:cs="Arial"/>
                <w:bCs/>
                <w:sz w:val="22"/>
                <w:szCs w:val="22"/>
              </w:rPr>
              <w:t xml:space="preserve">of delivering a </w:t>
            </w:r>
            <w:r>
              <w:rPr>
                <w:rFonts w:ascii="Arial" w:hAnsi="Arial" w:cs="Arial"/>
                <w:bCs/>
                <w:sz w:val="22"/>
                <w:szCs w:val="22"/>
              </w:rPr>
              <w:t>DCE</w:t>
            </w:r>
            <w:r w:rsidRPr="009E359B">
              <w:rPr>
                <w:rFonts w:ascii="Arial" w:hAnsi="Arial" w:cs="Arial"/>
                <w:bCs/>
                <w:sz w:val="22"/>
                <w:szCs w:val="22"/>
              </w:rPr>
              <w:t xml:space="preserve"> solution</w:t>
            </w:r>
            <w:r>
              <w:rPr>
                <w:rFonts w:ascii="Arial" w:hAnsi="Arial" w:cs="Arial"/>
                <w:bCs/>
                <w:sz w:val="22"/>
                <w:szCs w:val="22"/>
              </w:rPr>
              <w:t xml:space="preserve"> </w:t>
            </w:r>
            <w:r w:rsidRPr="00A47332">
              <w:rPr>
                <w:rFonts w:ascii="Arial" w:hAnsi="Arial" w:cs="Arial"/>
                <w:bCs/>
                <w:sz w:val="22"/>
                <w:szCs w:val="22"/>
              </w:rPr>
              <w:t>that was comparable to or of greater scale</w:t>
            </w:r>
            <w:r>
              <w:rPr>
                <w:rFonts w:ascii="Arial" w:hAnsi="Arial" w:cs="Arial"/>
                <w:bCs/>
                <w:sz w:val="22"/>
                <w:szCs w:val="22"/>
              </w:rPr>
              <w:t xml:space="preserve"> to what is required under</w:t>
            </w:r>
            <w:r w:rsidRPr="00A47332">
              <w:rPr>
                <w:rFonts w:ascii="Arial" w:hAnsi="Arial" w:cs="Arial"/>
                <w:bCs/>
                <w:sz w:val="22"/>
                <w:szCs w:val="22"/>
              </w:rPr>
              <w:t xml:space="preserve"> HMRC’s </w:t>
            </w:r>
            <w:r>
              <w:rPr>
                <w:rFonts w:ascii="Arial" w:hAnsi="Arial" w:cs="Arial"/>
                <w:bCs/>
                <w:sz w:val="22"/>
                <w:szCs w:val="22"/>
              </w:rPr>
              <w:t>Services Description.</w:t>
            </w:r>
          </w:p>
        </w:tc>
      </w:tr>
      <w:tr w:rsidR="009E7B17" w:rsidRPr="00387F71" w14:paraId="3F71A76E" w14:textId="77777777" w:rsidTr="00084E0F">
        <w:tc>
          <w:tcPr>
            <w:tcW w:w="1701" w:type="dxa"/>
            <w:vAlign w:val="center"/>
          </w:tcPr>
          <w:p w14:paraId="49AACCEE"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Very Limited</w:t>
            </w:r>
          </w:p>
        </w:tc>
        <w:tc>
          <w:tcPr>
            <w:tcW w:w="851" w:type="dxa"/>
            <w:vAlign w:val="center"/>
          </w:tcPr>
          <w:p w14:paraId="3884B49B"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20</w:t>
            </w:r>
          </w:p>
        </w:tc>
        <w:tc>
          <w:tcPr>
            <w:tcW w:w="6520" w:type="dxa"/>
          </w:tcPr>
          <w:p w14:paraId="56117899" w14:textId="77777777" w:rsidR="009E7B17" w:rsidRPr="00CD5562" w:rsidRDefault="009E7B17" w:rsidP="00084E0F">
            <w:pPr>
              <w:pStyle w:val="BodyTextIndent"/>
              <w:tabs>
                <w:tab w:val="left" w:pos="0"/>
              </w:tabs>
              <w:ind w:left="0"/>
              <w:jc w:val="both"/>
              <w:rPr>
                <w:rFonts w:ascii="Arial" w:hAnsi="Arial" w:cs="Arial"/>
                <w:b/>
                <w:sz w:val="22"/>
                <w:szCs w:val="22"/>
                <w:u w:val="single"/>
              </w:rPr>
            </w:pPr>
            <w:r w:rsidRPr="00CD5562">
              <w:rPr>
                <w:rFonts w:ascii="Arial" w:hAnsi="Arial" w:cs="Arial"/>
                <w:b/>
                <w:sz w:val="22"/>
                <w:szCs w:val="22"/>
                <w:u w:val="single"/>
              </w:rPr>
              <w:t xml:space="preserve">The </w:t>
            </w:r>
            <w:r>
              <w:rPr>
                <w:rFonts w:ascii="Arial" w:hAnsi="Arial" w:cs="Arial"/>
                <w:b/>
                <w:sz w:val="22"/>
                <w:szCs w:val="22"/>
                <w:u w:val="single"/>
              </w:rPr>
              <w:t>case study</w:t>
            </w:r>
            <w:r w:rsidRPr="00CD5562">
              <w:rPr>
                <w:rFonts w:ascii="Arial" w:hAnsi="Arial" w:cs="Arial"/>
                <w:b/>
                <w:sz w:val="22"/>
                <w:szCs w:val="22"/>
                <w:u w:val="single"/>
              </w:rPr>
              <w:t xml:space="preserve"> must:</w:t>
            </w:r>
          </w:p>
          <w:p w14:paraId="774C5AB3" w14:textId="77777777" w:rsidR="009E7B17" w:rsidRPr="007C17E9" w:rsidRDefault="009E7B17" w:rsidP="00084E0F">
            <w:pPr>
              <w:pStyle w:val="BodyTextIndent"/>
              <w:tabs>
                <w:tab w:val="left" w:pos="0"/>
              </w:tabs>
              <w:jc w:val="both"/>
              <w:rPr>
                <w:rFonts w:ascii="Arial" w:hAnsi="Arial" w:cs="Arial"/>
                <w:bCs/>
                <w:sz w:val="22"/>
                <w:szCs w:val="22"/>
              </w:rPr>
            </w:pPr>
          </w:p>
          <w:p w14:paraId="47406C0E" w14:textId="77777777" w:rsidR="009E7B17" w:rsidRPr="007C17E9" w:rsidRDefault="009E7B17" w:rsidP="00084E0F">
            <w:pPr>
              <w:pStyle w:val="BodyTextIndent"/>
              <w:tabs>
                <w:tab w:val="left" w:pos="0"/>
              </w:tabs>
              <w:ind w:left="0"/>
              <w:jc w:val="both"/>
              <w:rPr>
                <w:rFonts w:ascii="Arial" w:hAnsi="Arial" w:cs="Arial"/>
                <w:bCs/>
                <w:sz w:val="22"/>
                <w:szCs w:val="22"/>
              </w:rPr>
            </w:pPr>
            <w:r w:rsidRPr="007C17E9">
              <w:rPr>
                <w:rFonts w:ascii="Arial" w:hAnsi="Arial" w:cs="Arial"/>
                <w:bCs/>
                <w:sz w:val="22"/>
                <w:szCs w:val="22"/>
              </w:rPr>
              <w:t xml:space="preserve">Fail to address </w:t>
            </w:r>
            <w:r w:rsidRPr="00A17B3A">
              <w:rPr>
                <w:rFonts w:ascii="Arial" w:hAnsi="Arial" w:cs="Arial"/>
                <w:bCs/>
                <w:sz w:val="22"/>
                <w:szCs w:val="22"/>
              </w:rPr>
              <w:t xml:space="preserve">(i.e. provides no relevant commentary against) </w:t>
            </w:r>
            <w:r>
              <w:rPr>
                <w:rFonts w:ascii="Arial" w:hAnsi="Arial" w:cs="Arial"/>
                <w:bCs/>
                <w:sz w:val="22"/>
                <w:szCs w:val="22"/>
              </w:rPr>
              <w:t>at least two</w:t>
            </w:r>
            <w:r w:rsidRPr="007C17E9">
              <w:rPr>
                <w:rFonts w:ascii="Arial" w:hAnsi="Arial" w:cs="Arial"/>
                <w:bCs/>
                <w:sz w:val="22"/>
                <w:szCs w:val="22"/>
              </w:rPr>
              <w:t xml:space="preserve"> of the elements of the Criteria and Sub-Criteria as set out in the </w:t>
            </w:r>
            <w:proofErr w:type="gramStart"/>
            <w:r w:rsidRPr="007C17E9">
              <w:rPr>
                <w:rFonts w:ascii="Arial" w:hAnsi="Arial" w:cs="Arial"/>
                <w:bCs/>
                <w:sz w:val="22"/>
                <w:szCs w:val="22"/>
              </w:rPr>
              <w:t>question</w:t>
            </w:r>
            <w:proofErr w:type="gramEnd"/>
          </w:p>
          <w:p w14:paraId="0D7E25A3" w14:textId="77777777" w:rsidR="009E7B17" w:rsidRPr="007C17E9" w:rsidRDefault="009E7B17" w:rsidP="00084E0F">
            <w:pPr>
              <w:pStyle w:val="BodyTextIndent"/>
              <w:tabs>
                <w:tab w:val="left" w:pos="0"/>
              </w:tabs>
              <w:ind w:left="0"/>
              <w:jc w:val="both"/>
              <w:rPr>
                <w:rFonts w:ascii="Arial" w:hAnsi="Arial" w:cs="Arial"/>
                <w:bCs/>
                <w:sz w:val="22"/>
                <w:szCs w:val="22"/>
              </w:rPr>
            </w:pPr>
            <w:r w:rsidRPr="007C17E9">
              <w:rPr>
                <w:rFonts w:ascii="Arial" w:hAnsi="Arial" w:cs="Arial"/>
                <w:bCs/>
                <w:sz w:val="22"/>
                <w:szCs w:val="22"/>
              </w:rPr>
              <w:t>And/or</w:t>
            </w:r>
          </w:p>
          <w:p w14:paraId="3B769BCE" w14:textId="77777777" w:rsidR="009E7B17" w:rsidRPr="007C17E9" w:rsidRDefault="009E7B17" w:rsidP="00084E0F">
            <w:pPr>
              <w:pStyle w:val="BodyTextIndent"/>
              <w:tabs>
                <w:tab w:val="left" w:pos="0"/>
              </w:tabs>
              <w:ind w:left="0"/>
              <w:jc w:val="both"/>
              <w:rPr>
                <w:rFonts w:ascii="Arial" w:hAnsi="Arial" w:cs="Arial"/>
                <w:bCs/>
                <w:sz w:val="22"/>
                <w:szCs w:val="22"/>
              </w:rPr>
            </w:pPr>
            <w:r>
              <w:rPr>
                <w:rFonts w:ascii="Arial" w:hAnsi="Arial" w:cs="Arial"/>
                <w:bCs/>
                <w:sz w:val="22"/>
                <w:szCs w:val="22"/>
              </w:rPr>
              <w:t>Less than half of the Sub-Criteria as set out in the question</w:t>
            </w:r>
            <w:r w:rsidRPr="007C17E9">
              <w:rPr>
                <w:rFonts w:ascii="Arial" w:hAnsi="Arial" w:cs="Arial"/>
                <w:bCs/>
                <w:sz w:val="22"/>
                <w:szCs w:val="22"/>
              </w:rPr>
              <w:t xml:space="preserve"> were addressed to at least a satisfactory standard and level of </w:t>
            </w:r>
            <w:proofErr w:type="gramStart"/>
            <w:r w:rsidRPr="007C17E9">
              <w:rPr>
                <w:rFonts w:ascii="Arial" w:hAnsi="Arial" w:cs="Arial"/>
                <w:bCs/>
                <w:sz w:val="22"/>
                <w:szCs w:val="22"/>
              </w:rPr>
              <w:t>detail;</w:t>
            </w:r>
            <w:proofErr w:type="gramEnd"/>
          </w:p>
          <w:p w14:paraId="50441383" w14:textId="77777777" w:rsidR="009E7B17" w:rsidRPr="007C17E9" w:rsidRDefault="009E7B17" w:rsidP="00084E0F">
            <w:pPr>
              <w:pStyle w:val="BodyTextIndent"/>
              <w:tabs>
                <w:tab w:val="left" w:pos="0"/>
              </w:tabs>
              <w:ind w:left="0"/>
              <w:jc w:val="both"/>
              <w:rPr>
                <w:rFonts w:ascii="Arial" w:hAnsi="Arial" w:cs="Arial"/>
                <w:bCs/>
                <w:sz w:val="22"/>
                <w:szCs w:val="22"/>
              </w:rPr>
            </w:pPr>
            <w:r w:rsidRPr="007C17E9">
              <w:rPr>
                <w:rFonts w:ascii="Arial" w:hAnsi="Arial" w:cs="Arial"/>
                <w:bCs/>
                <w:sz w:val="22"/>
                <w:szCs w:val="22"/>
              </w:rPr>
              <w:t>And/or</w:t>
            </w:r>
          </w:p>
          <w:p w14:paraId="5EAD7516" w14:textId="77777777" w:rsidR="009E7B17" w:rsidRPr="00387F71" w:rsidRDefault="009E7B17" w:rsidP="00084E0F">
            <w:pPr>
              <w:pStyle w:val="BodyTextIndent"/>
              <w:tabs>
                <w:tab w:val="left" w:pos="0"/>
              </w:tabs>
              <w:ind w:left="0"/>
              <w:jc w:val="both"/>
              <w:rPr>
                <w:rFonts w:ascii="Arial" w:hAnsi="Arial" w:cs="Arial"/>
                <w:bCs/>
                <w:sz w:val="22"/>
                <w:szCs w:val="22"/>
              </w:rPr>
            </w:pPr>
            <w:r w:rsidRPr="007C17E9">
              <w:rPr>
                <w:rFonts w:ascii="Arial" w:hAnsi="Arial" w:cs="Arial"/>
                <w:bCs/>
                <w:sz w:val="22"/>
                <w:szCs w:val="22"/>
              </w:rPr>
              <w:t xml:space="preserve">Details in the response contain two or more major omissions or concerns </w:t>
            </w:r>
            <w:r>
              <w:rPr>
                <w:rFonts w:ascii="Arial" w:hAnsi="Arial" w:cs="Arial"/>
                <w:bCs/>
                <w:sz w:val="22"/>
                <w:szCs w:val="22"/>
              </w:rPr>
              <w:t xml:space="preserve">such that it </w:t>
            </w:r>
            <w:r w:rsidRPr="009E359B">
              <w:rPr>
                <w:rFonts w:ascii="Arial" w:hAnsi="Arial" w:cs="Arial"/>
                <w:bCs/>
                <w:sz w:val="22"/>
                <w:szCs w:val="22"/>
              </w:rPr>
              <w:t>provide</w:t>
            </w:r>
            <w:r>
              <w:rPr>
                <w:rFonts w:ascii="Arial" w:hAnsi="Arial" w:cs="Arial"/>
                <w:bCs/>
                <w:sz w:val="22"/>
                <w:szCs w:val="22"/>
              </w:rPr>
              <w:t>s</w:t>
            </w:r>
            <w:r w:rsidRPr="009E359B">
              <w:rPr>
                <w:rFonts w:ascii="Arial" w:hAnsi="Arial" w:cs="Arial"/>
                <w:bCs/>
                <w:sz w:val="22"/>
                <w:szCs w:val="22"/>
              </w:rPr>
              <w:t xml:space="preserve"> HMRC with </w:t>
            </w:r>
            <w:r>
              <w:rPr>
                <w:rFonts w:ascii="Arial" w:hAnsi="Arial" w:cs="Arial"/>
                <w:bCs/>
                <w:sz w:val="22"/>
                <w:szCs w:val="22"/>
              </w:rPr>
              <w:t xml:space="preserve">very limited assurance and </w:t>
            </w:r>
            <w:r w:rsidRPr="009E359B">
              <w:rPr>
                <w:rFonts w:ascii="Arial" w:hAnsi="Arial" w:cs="Arial"/>
                <w:bCs/>
                <w:sz w:val="22"/>
                <w:szCs w:val="22"/>
              </w:rPr>
              <w:t xml:space="preserve">confidence that the </w:t>
            </w:r>
            <w:r>
              <w:rPr>
                <w:rFonts w:ascii="Arial" w:hAnsi="Arial" w:cs="Arial"/>
                <w:bCs/>
                <w:sz w:val="22"/>
                <w:szCs w:val="22"/>
              </w:rPr>
              <w:t>Tenderer</w:t>
            </w:r>
            <w:r w:rsidRPr="009E359B">
              <w:rPr>
                <w:rFonts w:ascii="Arial" w:hAnsi="Arial" w:cs="Arial"/>
                <w:bCs/>
                <w:sz w:val="22"/>
                <w:szCs w:val="22"/>
              </w:rPr>
              <w:t xml:space="preserve"> has </w:t>
            </w:r>
            <w:r>
              <w:rPr>
                <w:rFonts w:ascii="Arial" w:hAnsi="Arial" w:cs="Arial"/>
                <w:bCs/>
                <w:sz w:val="22"/>
                <w:szCs w:val="22"/>
              </w:rPr>
              <w:t xml:space="preserve">sufficient and relevant </w:t>
            </w:r>
            <w:proofErr w:type="gramStart"/>
            <w:r w:rsidRPr="009E359B">
              <w:rPr>
                <w:rFonts w:ascii="Arial" w:hAnsi="Arial" w:cs="Arial"/>
                <w:bCs/>
                <w:sz w:val="22"/>
                <w:szCs w:val="22"/>
              </w:rPr>
              <w:t>past experience</w:t>
            </w:r>
            <w:proofErr w:type="gramEnd"/>
            <w:r w:rsidRPr="009E359B">
              <w:rPr>
                <w:rFonts w:ascii="Arial" w:hAnsi="Arial" w:cs="Arial"/>
                <w:bCs/>
                <w:sz w:val="22"/>
                <w:szCs w:val="22"/>
              </w:rPr>
              <w:t xml:space="preserve"> of delivering a </w:t>
            </w:r>
            <w:r>
              <w:rPr>
                <w:rFonts w:ascii="Arial" w:hAnsi="Arial" w:cs="Arial"/>
                <w:bCs/>
                <w:sz w:val="22"/>
                <w:szCs w:val="22"/>
              </w:rPr>
              <w:t>DCE</w:t>
            </w:r>
            <w:r w:rsidRPr="009E359B">
              <w:rPr>
                <w:rFonts w:ascii="Arial" w:hAnsi="Arial" w:cs="Arial"/>
                <w:bCs/>
                <w:sz w:val="22"/>
                <w:szCs w:val="22"/>
              </w:rPr>
              <w:t xml:space="preserve"> solution</w:t>
            </w:r>
            <w:r>
              <w:rPr>
                <w:rFonts w:ascii="Arial" w:hAnsi="Arial" w:cs="Arial"/>
                <w:bCs/>
                <w:sz w:val="22"/>
                <w:szCs w:val="22"/>
              </w:rPr>
              <w:t xml:space="preserve"> </w:t>
            </w:r>
            <w:r w:rsidRPr="00A47332">
              <w:rPr>
                <w:rFonts w:ascii="Arial" w:hAnsi="Arial" w:cs="Arial"/>
                <w:bCs/>
                <w:sz w:val="22"/>
                <w:szCs w:val="22"/>
              </w:rPr>
              <w:t>that was comparable to or of greater scale</w:t>
            </w:r>
            <w:r>
              <w:rPr>
                <w:rFonts w:ascii="Arial" w:hAnsi="Arial" w:cs="Arial"/>
                <w:bCs/>
                <w:sz w:val="22"/>
                <w:szCs w:val="22"/>
              </w:rPr>
              <w:t xml:space="preserve"> to what is required under</w:t>
            </w:r>
            <w:r w:rsidRPr="00A47332">
              <w:rPr>
                <w:rFonts w:ascii="Arial" w:hAnsi="Arial" w:cs="Arial"/>
                <w:bCs/>
                <w:sz w:val="22"/>
                <w:szCs w:val="22"/>
              </w:rPr>
              <w:t xml:space="preserve"> HMRC’s </w:t>
            </w:r>
            <w:r>
              <w:rPr>
                <w:rFonts w:ascii="Arial" w:hAnsi="Arial" w:cs="Arial"/>
                <w:bCs/>
                <w:sz w:val="22"/>
                <w:szCs w:val="22"/>
              </w:rPr>
              <w:t>Services Description.</w:t>
            </w:r>
            <w:r w:rsidRPr="009E359B" w:rsidDel="00F84B29">
              <w:rPr>
                <w:rFonts w:ascii="Arial" w:hAnsi="Arial" w:cs="Arial"/>
                <w:bCs/>
                <w:sz w:val="22"/>
                <w:szCs w:val="22"/>
              </w:rPr>
              <w:t xml:space="preserve"> </w:t>
            </w:r>
          </w:p>
        </w:tc>
      </w:tr>
      <w:tr w:rsidR="009E7B17" w:rsidRPr="00387F71" w14:paraId="76CB4426" w14:textId="77777777" w:rsidTr="00084E0F">
        <w:tc>
          <w:tcPr>
            <w:tcW w:w="1701" w:type="dxa"/>
            <w:vAlign w:val="center"/>
          </w:tcPr>
          <w:p w14:paraId="06310A05" w14:textId="77777777" w:rsidR="009E7B17"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Unacceptable</w:t>
            </w:r>
          </w:p>
        </w:tc>
        <w:tc>
          <w:tcPr>
            <w:tcW w:w="851" w:type="dxa"/>
            <w:vAlign w:val="center"/>
          </w:tcPr>
          <w:p w14:paraId="225A1A3D" w14:textId="77777777" w:rsidR="009E7B17" w:rsidRPr="00387F71" w:rsidRDefault="009E7B17" w:rsidP="00084E0F">
            <w:pPr>
              <w:pStyle w:val="BodyTextIndent"/>
              <w:tabs>
                <w:tab w:val="left" w:pos="0"/>
              </w:tabs>
              <w:ind w:left="0"/>
              <w:jc w:val="center"/>
              <w:rPr>
                <w:rFonts w:ascii="Arial" w:hAnsi="Arial" w:cs="Arial"/>
                <w:bCs/>
                <w:sz w:val="22"/>
                <w:szCs w:val="22"/>
              </w:rPr>
            </w:pPr>
            <w:r>
              <w:rPr>
                <w:rFonts w:ascii="Arial" w:hAnsi="Arial" w:cs="Arial"/>
                <w:bCs/>
                <w:sz w:val="22"/>
                <w:szCs w:val="22"/>
              </w:rPr>
              <w:t>0</w:t>
            </w:r>
          </w:p>
        </w:tc>
        <w:tc>
          <w:tcPr>
            <w:tcW w:w="6520" w:type="dxa"/>
          </w:tcPr>
          <w:p w14:paraId="75AD6761" w14:textId="77777777" w:rsidR="009E7B17" w:rsidRDefault="009E7B17" w:rsidP="00084E0F">
            <w:pPr>
              <w:pStyle w:val="BodyTextIndent"/>
              <w:tabs>
                <w:tab w:val="left" w:pos="0"/>
              </w:tabs>
              <w:ind w:left="0"/>
              <w:jc w:val="both"/>
              <w:rPr>
                <w:rFonts w:ascii="Arial" w:hAnsi="Arial" w:cs="Arial"/>
                <w:sz w:val="22"/>
                <w:szCs w:val="22"/>
              </w:rPr>
            </w:pPr>
            <w:r>
              <w:rPr>
                <w:rFonts w:ascii="Arial" w:hAnsi="Arial" w:cs="Arial"/>
                <w:sz w:val="22"/>
                <w:szCs w:val="22"/>
              </w:rPr>
              <w:t>Unacceptable case study. Either the Tenderer fails to provide a response to the question</w:t>
            </w:r>
            <w:r w:rsidRPr="00387F71">
              <w:rPr>
                <w:rFonts w:ascii="Arial" w:hAnsi="Arial" w:cs="Arial"/>
                <w:sz w:val="22"/>
                <w:szCs w:val="22"/>
              </w:rPr>
              <w:t xml:space="preserve">, or there is insufficient information provided in the </w:t>
            </w:r>
            <w:r>
              <w:rPr>
                <w:rFonts w:ascii="Arial" w:hAnsi="Arial" w:cs="Arial"/>
                <w:sz w:val="22"/>
                <w:szCs w:val="22"/>
              </w:rPr>
              <w:t>case study</w:t>
            </w:r>
            <w:r w:rsidRPr="00387F71">
              <w:rPr>
                <w:rFonts w:ascii="Arial" w:hAnsi="Arial" w:cs="Arial"/>
                <w:sz w:val="22"/>
                <w:szCs w:val="22"/>
              </w:rPr>
              <w:t xml:space="preserve"> such that the response is incomprehensible and/or the </w:t>
            </w:r>
            <w:r>
              <w:rPr>
                <w:rFonts w:ascii="Arial" w:hAnsi="Arial" w:cs="Arial"/>
                <w:sz w:val="22"/>
                <w:szCs w:val="22"/>
              </w:rPr>
              <w:t>case study</w:t>
            </w:r>
            <w:r w:rsidRPr="00387F71">
              <w:rPr>
                <w:rFonts w:ascii="Arial" w:hAnsi="Arial" w:cs="Arial"/>
                <w:sz w:val="22"/>
                <w:szCs w:val="22"/>
              </w:rPr>
              <w:t xml:space="preserve"> is wholly inconsistent with the requirements of the question including any evaluation </w:t>
            </w:r>
            <w:proofErr w:type="gramStart"/>
            <w:r w:rsidRPr="00387F71">
              <w:rPr>
                <w:rFonts w:ascii="Arial" w:hAnsi="Arial" w:cs="Arial"/>
                <w:sz w:val="22"/>
                <w:szCs w:val="22"/>
              </w:rPr>
              <w:t>criteria</w:t>
            </w:r>
            <w:proofErr w:type="gramEnd"/>
          </w:p>
          <w:p w14:paraId="1863F08C" w14:textId="77777777" w:rsidR="009E7B17" w:rsidRDefault="009E7B17" w:rsidP="00084E0F">
            <w:pPr>
              <w:pStyle w:val="BodyTextIndent"/>
              <w:tabs>
                <w:tab w:val="left" w:pos="0"/>
              </w:tabs>
              <w:ind w:left="0"/>
              <w:jc w:val="both"/>
              <w:rPr>
                <w:rFonts w:ascii="Arial" w:hAnsi="Arial" w:cs="Arial"/>
                <w:sz w:val="22"/>
                <w:szCs w:val="22"/>
              </w:rPr>
            </w:pPr>
            <w:r>
              <w:rPr>
                <w:rFonts w:ascii="Arial" w:hAnsi="Arial" w:cs="Arial"/>
                <w:sz w:val="22"/>
                <w:szCs w:val="22"/>
              </w:rPr>
              <w:t>And/or</w:t>
            </w:r>
          </w:p>
          <w:p w14:paraId="4D0FEB86" w14:textId="77777777" w:rsidR="009E7B17" w:rsidRPr="009A08E7" w:rsidRDefault="009E7B17" w:rsidP="00084E0F">
            <w:pPr>
              <w:pStyle w:val="BodyTextIndent"/>
              <w:tabs>
                <w:tab w:val="left" w:pos="0"/>
              </w:tabs>
              <w:ind w:left="0"/>
              <w:jc w:val="both"/>
              <w:rPr>
                <w:rFonts w:ascii="Arial" w:hAnsi="Arial" w:cs="Arial"/>
                <w:sz w:val="22"/>
                <w:szCs w:val="22"/>
              </w:rPr>
            </w:pPr>
            <w:r>
              <w:rPr>
                <w:rFonts w:ascii="Arial" w:hAnsi="Arial" w:cs="Arial"/>
                <w:sz w:val="22"/>
                <w:szCs w:val="22"/>
              </w:rPr>
              <w:t>The response does not meet the threshold for a Very Limited score</w:t>
            </w:r>
            <w:r w:rsidRPr="00387F71">
              <w:rPr>
                <w:rFonts w:ascii="Arial" w:hAnsi="Arial" w:cs="Arial"/>
                <w:sz w:val="22"/>
                <w:szCs w:val="22"/>
              </w:rPr>
              <w:t>.</w:t>
            </w:r>
          </w:p>
        </w:tc>
      </w:tr>
    </w:tbl>
    <w:p w14:paraId="6F026927" w14:textId="77777777" w:rsidR="009E7B17" w:rsidRDefault="009E7B17" w:rsidP="009E7B17">
      <w:pPr>
        <w:jc w:val="both"/>
        <w:rPr>
          <w:rFonts w:cs="Arial"/>
          <w:bCs/>
        </w:rPr>
      </w:pPr>
    </w:p>
    <w:p w14:paraId="1A094C4B" w14:textId="77777777" w:rsidR="009E7B17" w:rsidRPr="00387F71" w:rsidRDefault="009E7B17" w:rsidP="00CD5562">
      <w:pPr>
        <w:pStyle w:val="ListParagraph"/>
        <w:ind w:left="1419"/>
        <w:contextualSpacing w:val="0"/>
        <w:jc w:val="both"/>
        <w:rPr>
          <w:rFonts w:cs="Arial"/>
        </w:rPr>
      </w:pPr>
    </w:p>
    <w:p w14:paraId="3F031DE9" w14:textId="30C783D0" w:rsidR="00DB4052" w:rsidRPr="00387F71" w:rsidRDefault="00DB4052" w:rsidP="0085565B">
      <w:pPr>
        <w:pStyle w:val="ListParagraph"/>
        <w:keepNext/>
        <w:numPr>
          <w:ilvl w:val="1"/>
          <w:numId w:val="8"/>
        </w:numPr>
        <w:contextualSpacing w:val="0"/>
        <w:jc w:val="both"/>
        <w:rPr>
          <w:rFonts w:cs="Arial"/>
          <w:b/>
          <w:bCs/>
        </w:rPr>
      </w:pPr>
      <w:r w:rsidRPr="00387F71">
        <w:rPr>
          <w:rFonts w:cs="Arial"/>
          <w:b/>
          <w:bCs/>
        </w:rPr>
        <w:t xml:space="preserve">Award </w:t>
      </w:r>
      <w:r w:rsidR="00832261" w:rsidRPr="00387F71">
        <w:rPr>
          <w:rFonts w:cs="Arial"/>
          <w:b/>
          <w:bCs/>
        </w:rPr>
        <w:t>Questionnaire</w:t>
      </w:r>
      <w:r w:rsidR="00B44F1E">
        <w:rPr>
          <w:rFonts w:cs="Arial"/>
          <w:b/>
          <w:bCs/>
        </w:rPr>
        <w:t xml:space="preserve"> – Stages 2-4</w:t>
      </w:r>
    </w:p>
    <w:p w14:paraId="6CFEFF68" w14:textId="2D043353" w:rsidR="00776EBA" w:rsidRDefault="00AA566B" w:rsidP="0085565B">
      <w:pPr>
        <w:pStyle w:val="ListParagraph"/>
        <w:numPr>
          <w:ilvl w:val="2"/>
          <w:numId w:val="8"/>
        </w:numPr>
        <w:ind w:left="1418"/>
        <w:contextualSpacing w:val="0"/>
        <w:jc w:val="both"/>
        <w:rPr>
          <w:rFonts w:cs="Arial"/>
        </w:rPr>
      </w:pPr>
      <w:r>
        <w:rPr>
          <w:rFonts w:cs="Arial"/>
        </w:rPr>
        <w:t>The Award Questionnaire is a multi-stage process</w:t>
      </w:r>
      <w:r w:rsidR="00EE1986">
        <w:rPr>
          <w:rFonts w:cs="Arial"/>
        </w:rPr>
        <w:t>:</w:t>
      </w:r>
    </w:p>
    <w:p w14:paraId="1D4362F7" w14:textId="5C949D97" w:rsidR="00EE1986" w:rsidRDefault="00433587" w:rsidP="0085565B">
      <w:pPr>
        <w:pStyle w:val="ListParagraph"/>
        <w:numPr>
          <w:ilvl w:val="3"/>
          <w:numId w:val="8"/>
        </w:numPr>
        <w:contextualSpacing w:val="0"/>
        <w:jc w:val="both"/>
        <w:rPr>
          <w:rFonts w:cs="Arial"/>
        </w:rPr>
      </w:pPr>
      <w:r>
        <w:rPr>
          <w:rFonts w:cs="Arial"/>
        </w:rPr>
        <w:t>Tenderer</w:t>
      </w:r>
      <w:r w:rsidR="00EE1986">
        <w:rPr>
          <w:rFonts w:cs="Arial"/>
        </w:rPr>
        <w:t xml:space="preserve">s are </w:t>
      </w:r>
      <w:r w:rsidR="00B07B5D">
        <w:rPr>
          <w:rFonts w:cs="Arial"/>
        </w:rPr>
        <w:t xml:space="preserve">to respond to </w:t>
      </w:r>
      <w:r w:rsidR="00E61930">
        <w:rPr>
          <w:rFonts w:cs="Arial"/>
        </w:rPr>
        <w:t>an Invitation to Submit Initial Tenders (ITSIT)</w:t>
      </w:r>
      <w:r w:rsidR="00FE3509">
        <w:rPr>
          <w:rFonts w:cs="Arial"/>
        </w:rPr>
        <w:t>.</w:t>
      </w:r>
    </w:p>
    <w:p w14:paraId="7C49AF89" w14:textId="3915A00E" w:rsidR="000802DE" w:rsidRDefault="00D82B07" w:rsidP="0085565B">
      <w:pPr>
        <w:pStyle w:val="ListParagraph"/>
        <w:numPr>
          <w:ilvl w:val="3"/>
          <w:numId w:val="8"/>
        </w:numPr>
        <w:contextualSpacing w:val="0"/>
        <w:jc w:val="both"/>
        <w:rPr>
          <w:rFonts w:cs="Arial"/>
        </w:rPr>
      </w:pPr>
      <w:r>
        <w:rPr>
          <w:rFonts w:cs="Arial"/>
        </w:rPr>
        <w:t>Submissions to the</w:t>
      </w:r>
      <w:r w:rsidR="000802DE">
        <w:rPr>
          <w:rFonts w:cs="Arial"/>
        </w:rPr>
        <w:t xml:space="preserve"> ITSIT </w:t>
      </w:r>
      <w:r>
        <w:rPr>
          <w:rFonts w:cs="Arial"/>
        </w:rPr>
        <w:t>are</w:t>
      </w:r>
      <w:r w:rsidR="000802DE">
        <w:rPr>
          <w:rFonts w:cs="Arial"/>
        </w:rPr>
        <w:t xml:space="preserve"> </w:t>
      </w:r>
      <w:r w:rsidR="00FD75EB">
        <w:rPr>
          <w:rFonts w:cs="Arial"/>
        </w:rPr>
        <w:t>not evaluated</w:t>
      </w:r>
      <w:r w:rsidR="008A5569">
        <w:rPr>
          <w:rFonts w:cs="Arial"/>
        </w:rPr>
        <w:t xml:space="preserve"> for scoring purposes</w:t>
      </w:r>
      <w:r w:rsidR="00FD75EB">
        <w:rPr>
          <w:rFonts w:cs="Arial"/>
        </w:rPr>
        <w:t xml:space="preserve"> but will form the basis of </w:t>
      </w:r>
      <w:r w:rsidR="006E4338">
        <w:rPr>
          <w:rFonts w:cs="Arial"/>
        </w:rPr>
        <w:t xml:space="preserve">detailed </w:t>
      </w:r>
      <w:r w:rsidR="003B5657">
        <w:rPr>
          <w:rFonts w:cs="Arial"/>
        </w:rPr>
        <w:t>negotiation</w:t>
      </w:r>
      <w:r w:rsidR="006E4338">
        <w:rPr>
          <w:rFonts w:cs="Arial"/>
        </w:rPr>
        <w:t xml:space="preserve">. </w:t>
      </w:r>
      <w:r w:rsidR="00CF61D0" w:rsidRPr="0020100E">
        <w:rPr>
          <w:rFonts w:cs="Arial"/>
        </w:rPr>
        <w:t>Any</w:t>
      </w:r>
      <w:r w:rsidR="00C56BC7" w:rsidRPr="0020100E">
        <w:rPr>
          <w:rFonts w:cs="Arial"/>
        </w:rPr>
        <w:t xml:space="preserve"> </w:t>
      </w:r>
      <w:r w:rsidR="00C32709" w:rsidRPr="0020100E">
        <w:rPr>
          <w:rFonts w:cs="Arial"/>
        </w:rPr>
        <w:t>submission</w:t>
      </w:r>
      <w:r w:rsidR="00625A7B" w:rsidRPr="0020100E">
        <w:rPr>
          <w:rFonts w:cs="Arial"/>
        </w:rPr>
        <w:t>s</w:t>
      </w:r>
      <w:r w:rsidR="00C32709" w:rsidRPr="0020100E">
        <w:rPr>
          <w:rFonts w:cs="Arial"/>
        </w:rPr>
        <w:t xml:space="preserve"> that </w:t>
      </w:r>
      <w:r w:rsidR="00CE623E" w:rsidRPr="0020100E">
        <w:rPr>
          <w:rFonts w:cs="Arial"/>
        </w:rPr>
        <w:t xml:space="preserve">are received that are </w:t>
      </w:r>
      <w:r w:rsidR="00000676" w:rsidRPr="0020100E">
        <w:rPr>
          <w:rFonts w:cs="Arial"/>
        </w:rPr>
        <w:t xml:space="preserve">non-compliant against </w:t>
      </w:r>
      <w:r w:rsidR="003A472D" w:rsidRPr="0020100E">
        <w:rPr>
          <w:rFonts w:cs="Arial"/>
        </w:rPr>
        <w:t>criteria defined as Non-Negotiable, may be rejected at this stage.</w:t>
      </w:r>
      <w:r w:rsidR="003A472D">
        <w:rPr>
          <w:rFonts w:cs="Arial"/>
        </w:rPr>
        <w:t xml:space="preserve"> </w:t>
      </w:r>
    </w:p>
    <w:p w14:paraId="2F6ACED4" w14:textId="081E50B4" w:rsidR="00666367" w:rsidRDefault="00745F7E" w:rsidP="0085565B">
      <w:pPr>
        <w:pStyle w:val="ListParagraph"/>
        <w:numPr>
          <w:ilvl w:val="3"/>
          <w:numId w:val="8"/>
        </w:numPr>
        <w:contextualSpacing w:val="0"/>
        <w:jc w:val="both"/>
        <w:rPr>
          <w:rFonts w:cs="Arial"/>
        </w:rPr>
      </w:pPr>
      <w:r>
        <w:rPr>
          <w:rFonts w:cs="Arial"/>
        </w:rPr>
        <w:t xml:space="preserve">Any incomplete </w:t>
      </w:r>
      <w:r w:rsidR="002875D6">
        <w:rPr>
          <w:rFonts w:cs="Arial"/>
        </w:rPr>
        <w:t>responses may be rejected at this stage</w:t>
      </w:r>
      <w:r w:rsidR="005D3D3F">
        <w:rPr>
          <w:rFonts w:cs="Arial"/>
        </w:rPr>
        <w:t>.</w:t>
      </w:r>
    </w:p>
    <w:p w14:paraId="2394A1B3" w14:textId="4CBF6CA5" w:rsidR="005D3D3F" w:rsidRDefault="005D3D3F" w:rsidP="0085565B">
      <w:pPr>
        <w:pStyle w:val="ListParagraph"/>
        <w:numPr>
          <w:ilvl w:val="3"/>
          <w:numId w:val="8"/>
        </w:numPr>
        <w:contextualSpacing w:val="0"/>
        <w:jc w:val="both"/>
        <w:rPr>
          <w:rFonts w:cs="Arial"/>
        </w:rPr>
      </w:pPr>
      <w:r>
        <w:rPr>
          <w:rFonts w:cs="Arial"/>
        </w:rPr>
        <w:t xml:space="preserve">Any responses that </w:t>
      </w:r>
      <w:r w:rsidR="00103748">
        <w:rPr>
          <w:rFonts w:cs="Arial"/>
        </w:rPr>
        <w:t xml:space="preserve">HMRC </w:t>
      </w:r>
      <w:r w:rsidR="004B3FE5">
        <w:rPr>
          <w:rFonts w:cs="Arial"/>
        </w:rPr>
        <w:t xml:space="preserve">consider to be </w:t>
      </w:r>
      <w:r w:rsidR="00A220A1">
        <w:rPr>
          <w:rFonts w:cs="Arial"/>
        </w:rPr>
        <w:t xml:space="preserve">technically or commercially </w:t>
      </w:r>
      <w:r w:rsidR="00047325">
        <w:rPr>
          <w:rFonts w:cs="Arial"/>
        </w:rPr>
        <w:t xml:space="preserve">incapable of </w:t>
      </w:r>
      <w:r w:rsidR="00D75F35">
        <w:rPr>
          <w:rFonts w:cs="Arial"/>
        </w:rPr>
        <w:t xml:space="preserve">resolving through </w:t>
      </w:r>
      <w:r w:rsidR="003B5657">
        <w:rPr>
          <w:rFonts w:cs="Arial"/>
        </w:rPr>
        <w:t>negotiation</w:t>
      </w:r>
      <w:r w:rsidR="00D75F35">
        <w:rPr>
          <w:rFonts w:cs="Arial"/>
        </w:rPr>
        <w:t xml:space="preserve"> </w:t>
      </w:r>
      <w:r w:rsidR="00B66FB4">
        <w:rPr>
          <w:rFonts w:cs="Arial"/>
        </w:rPr>
        <w:t>may be rejected at this stage</w:t>
      </w:r>
      <w:r w:rsidR="0089341C">
        <w:rPr>
          <w:rFonts w:cs="Arial"/>
        </w:rPr>
        <w:t>.</w:t>
      </w:r>
    </w:p>
    <w:p w14:paraId="4FECD761" w14:textId="401A5092" w:rsidR="003A472D" w:rsidRPr="009A63C2" w:rsidRDefault="003A472D" w:rsidP="0085565B">
      <w:pPr>
        <w:pStyle w:val="ListParagraph"/>
        <w:numPr>
          <w:ilvl w:val="3"/>
          <w:numId w:val="8"/>
        </w:numPr>
        <w:contextualSpacing w:val="0"/>
        <w:jc w:val="both"/>
        <w:rPr>
          <w:rFonts w:cs="Arial"/>
        </w:rPr>
      </w:pPr>
      <w:r>
        <w:rPr>
          <w:rFonts w:cs="Arial"/>
        </w:rPr>
        <w:t xml:space="preserve">A period </w:t>
      </w:r>
      <w:r w:rsidR="0010700F">
        <w:rPr>
          <w:rFonts w:cs="Arial"/>
        </w:rPr>
        <w:t xml:space="preserve">of detailed </w:t>
      </w:r>
      <w:r w:rsidR="003B5657">
        <w:rPr>
          <w:rFonts w:cs="Arial"/>
        </w:rPr>
        <w:t>negotiation</w:t>
      </w:r>
      <w:r w:rsidR="0010700F">
        <w:rPr>
          <w:rFonts w:cs="Arial"/>
        </w:rPr>
        <w:t xml:space="preserve"> </w:t>
      </w:r>
      <w:r w:rsidR="00666367">
        <w:rPr>
          <w:rFonts w:cs="Arial"/>
        </w:rPr>
        <w:t>will be conducted</w:t>
      </w:r>
      <w:r w:rsidR="00B66FB4">
        <w:rPr>
          <w:rFonts w:cs="Arial"/>
        </w:rPr>
        <w:t xml:space="preserve"> to refine</w:t>
      </w:r>
      <w:r w:rsidR="002F595E">
        <w:rPr>
          <w:rFonts w:cs="Arial"/>
        </w:rPr>
        <w:t xml:space="preserve"> </w:t>
      </w:r>
      <w:r w:rsidR="00B51D67">
        <w:rPr>
          <w:rFonts w:cs="Arial"/>
        </w:rPr>
        <w:t>technical and commercial solutions</w:t>
      </w:r>
      <w:r w:rsidR="008D030C">
        <w:rPr>
          <w:rFonts w:cs="Arial"/>
        </w:rPr>
        <w:t xml:space="preserve">. The period of the </w:t>
      </w:r>
      <w:r w:rsidR="003B5657">
        <w:rPr>
          <w:rFonts w:cs="Arial"/>
        </w:rPr>
        <w:t>negotiation</w:t>
      </w:r>
      <w:r w:rsidR="008D030C">
        <w:rPr>
          <w:rFonts w:cs="Arial"/>
        </w:rPr>
        <w:t xml:space="preserve"> is outlined in</w:t>
      </w:r>
      <w:r w:rsidR="00427016">
        <w:rPr>
          <w:rFonts w:cs="Arial"/>
        </w:rPr>
        <w:t xml:space="preserve"> </w:t>
      </w:r>
      <w:r w:rsidR="00732A6C">
        <w:rPr>
          <w:rFonts w:cs="Arial"/>
        </w:rPr>
        <w:t xml:space="preserve">paragraph </w:t>
      </w:r>
      <w:r w:rsidR="00CB2AD1">
        <w:rPr>
          <w:rFonts w:cs="Arial"/>
        </w:rPr>
        <w:t xml:space="preserve">3.2 </w:t>
      </w:r>
      <w:r w:rsidR="00427016">
        <w:rPr>
          <w:rFonts w:cs="Arial"/>
        </w:rPr>
        <w:t xml:space="preserve">- </w:t>
      </w:r>
      <w:r w:rsidR="00CB2AD1">
        <w:rPr>
          <w:rFonts w:cs="Arial"/>
        </w:rPr>
        <w:t xml:space="preserve">Tender </w:t>
      </w:r>
      <w:r w:rsidR="009C3320" w:rsidRPr="003F3AFE">
        <w:rPr>
          <w:rFonts w:cs="Arial"/>
        </w:rPr>
        <w:t>Timetable</w:t>
      </w:r>
      <w:r w:rsidR="008D030C">
        <w:rPr>
          <w:rFonts w:cs="Arial"/>
        </w:rPr>
        <w:t xml:space="preserve"> but may be shortened or extended at the </w:t>
      </w:r>
      <w:r w:rsidR="008D030C" w:rsidRPr="009A63C2">
        <w:rPr>
          <w:rFonts w:cs="Arial"/>
        </w:rPr>
        <w:t xml:space="preserve">discretion of HMRC.  </w:t>
      </w:r>
    </w:p>
    <w:p w14:paraId="6446CA6F" w14:textId="21FB7988" w:rsidR="00863D7B" w:rsidRPr="003E246C" w:rsidRDefault="00863D7B" w:rsidP="0085565B">
      <w:pPr>
        <w:pStyle w:val="ListParagraph"/>
        <w:numPr>
          <w:ilvl w:val="3"/>
          <w:numId w:val="8"/>
        </w:numPr>
        <w:contextualSpacing w:val="0"/>
        <w:jc w:val="both"/>
        <w:rPr>
          <w:rFonts w:cs="Arial"/>
        </w:rPr>
      </w:pPr>
      <w:r w:rsidRPr="003E246C">
        <w:rPr>
          <w:rFonts w:cs="Arial"/>
        </w:rPr>
        <w:t xml:space="preserve">Any commercial or technical </w:t>
      </w:r>
      <w:r w:rsidR="00E35D2E" w:rsidRPr="003E246C">
        <w:rPr>
          <w:rFonts w:cs="Arial"/>
        </w:rPr>
        <w:t>aspects that</w:t>
      </w:r>
      <w:r w:rsidR="00C40046" w:rsidRPr="003E246C">
        <w:rPr>
          <w:rFonts w:cs="Arial"/>
        </w:rPr>
        <w:t xml:space="preserve"> HMRC is unable to resolve with any </w:t>
      </w:r>
      <w:r w:rsidR="00433587">
        <w:rPr>
          <w:rFonts w:cs="Arial"/>
        </w:rPr>
        <w:t>Tenderer</w:t>
      </w:r>
      <w:r w:rsidR="00C40046" w:rsidRPr="003E246C">
        <w:rPr>
          <w:rFonts w:cs="Arial"/>
        </w:rPr>
        <w:t xml:space="preserve"> during the period of </w:t>
      </w:r>
      <w:r w:rsidR="003B5657">
        <w:rPr>
          <w:rFonts w:cs="Arial"/>
        </w:rPr>
        <w:t>negotiation</w:t>
      </w:r>
      <w:r w:rsidR="00C40046" w:rsidRPr="003E246C">
        <w:rPr>
          <w:rFonts w:cs="Arial"/>
        </w:rPr>
        <w:t xml:space="preserve"> may res</w:t>
      </w:r>
      <w:r w:rsidR="00285E65" w:rsidRPr="003E246C">
        <w:rPr>
          <w:rFonts w:cs="Arial"/>
        </w:rPr>
        <w:t xml:space="preserve">ult in </w:t>
      </w:r>
      <w:r w:rsidR="00CF1275" w:rsidRPr="003E246C">
        <w:rPr>
          <w:rFonts w:cs="Arial"/>
        </w:rPr>
        <w:t xml:space="preserve">rejection of the </w:t>
      </w:r>
      <w:r w:rsidR="00433587">
        <w:rPr>
          <w:rFonts w:cs="Arial"/>
        </w:rPr>
        <w:t>Tenderer</w:t>
      </w:r>
      <w:r w:rsidR="00CF1275" w:rsidRPr="003E246C">
        <w:rPr>
          <w:rFonts w:cs="Arial"/>
        </w:rPr>
        <w:t xml:space="preserve">s submission, and their </w:t>
      </w:r>
      <w:r w:rsidR="004656E1" w:rsidRPr="003E246C">
        <w:rPr>
          <w:rFonts w:cs="Arial"/>
        </w:rPr>
        <w:t xml:space="preserve">removal from the process. </w:t>
      </w:r>
    </w:p>
    <w:p w14:paraId="61786622" w14:textId="0167216F" w:rsidR="001B67B3" w:rsidRPr="003E246C" w:rsidRDefault="001B67B3" w:rsidP="0085565B">
      <w:pPr>
        <w:pStyle w:val="ListParagraph"/>
        <w:numPr>
          <w:ilvl w:val="3"/>
          <w:numId w:val="8"/>
        </w:numPr>
        <w:contextualSpacing w:val="0"/>
        <w:jc w:val="both"/>
        <w:rPr>
          <w:rFonts w:cs="Arial"/>
        </w:rPr>
      </w:pPr>
      <w:r w:rsidRPr="003E246C">
        <w:rPr>
          <w:rFonts w:cs="Arial"/>
        </w:rPr>
        <w:t xml:space="preserve">Following conclusion of the </w:t>
      </w:r>
      <w:r w:rsidR="003B5657">
        <w:rPr>
          <w:rFonts w:cs="Arial"/>
        </w:rPr>
        <w:t>negotiation</w:t>
      </w:r>
      <w:r w:rsidRPr="003E246C">
        <w:rPr>
          <w:rFonts w:cs="Arial"/>
        </w:rPr>
        <w:t xml:space="preserve"> period (</w:t>
      </w:r>
      <w:r w:rsidR="00472F3D" w:rsidRPr="003E246C">
        <w:rPr>
          <w:rFonts w:cs="Arial"/>
        </w:rPr>
        <w:t xml:space="preserve">which remains at HMRCs discretion), </w:t>
      </w:r>
      <w:r w:rsidR="00433587">
        <w:rPr>
          <w:rFonts w:cs="Arial"/>
        </w:rPr>
        <w:t>Tenderer</w:t>
      </w:r>
      <w:r w:rsidR="00802A7F" w:rsidRPr="003E246C">
        <w:rPr>
          <w:rFonts w:cs="Arial"/>
        </w:rPr>
        <w:t>s will be requested to respond to an Invitation to Submit Final Tenders (ITSFT)</w:t>
      </w:r>
      <w:r w:rsidR="00936725" w:rsidRPr="003E246C">
        <w:rPr>
          <w:rFonts w:cs="Arial"/>
        </w:rPr>
        <w:t>.</w:t>
      </w:r>
      <w:r w:rsidR="000A6DA0" w:rsidRPr="003E246C">
        <w:rPr>
          <w:rFonts w:cs="Arial"/>
        </w:rPr>
        <w:t xml:space="preserve">  </w:t>
      </w:r>
    </w:p>
    <w:p w14:paraId="26695002" w14:textId="77777777" w:rsidR="00430323" w:rsidRPr="003E246C" w:rsidRDefault="00282BAF" w:rsidP="0085565B">
      <w:pPr>
        <w:pStyle w:val="ListParagraph"/>
        <w:numPr>
          <w:ilvl w:val="3"/>
          <w:numId w:val="8"/>
        </w:numPr>
        <w:contextualSpacing w:val="0"/>
        <w:jc w:val="both"/>
        <w:rPr>
          <w:rFonts w:cs="Arial"/>
        </w:rPr>
      </w:pPr>
      <w:r w:rsidRPr="003E246C">
        <w:rPr>
          <w:rFonts w:cs="Arial"/>
        </w:rPr>
        <w:t xml:space="preserve">Responses to the ITSFT will be evaluated in accordance with </w:t>
      </w:r>
      <w:r w:rsidR="00D76B32" w:rsidRPr="003E246C">
        <w:rPr>
          <w:rFonts w:cs="Arial"/>
        </w:rPr>
        <w:t xml:space="preserve">the Technical/Commercial/Social Value </w:t>
      </w:r>
      <w:r w:rsidR="00F4735D" w:rsidRPr="003E246C">
        <w:rPr>
          <w:rFonts w:cs="Arial"/>
        </w:rPr>
        <w:t xml:space="preserve">weightings outlined </w:t>
      </w:r>
      <w:r w:rsidR="00430323" w:rsidRPr="003E246C">
        <w:rPr>
          <w:rFonts w:cs="Arial"/>
        </w:rPr>
        <w:t>below:</w:t>
      </w:r>
    </w:p>
    <w:p w14:paraId="586234B3" w14:textId="77777777" w:rsidR="00430323" w:rsidRPr="003E246C" w:rsidRDefault="00430323" w:rsidP="0085565B">
      <w:pPr>
        <w:pStyle w:val="ListParagraph"/>
        <w:numPr>
          <w:ilvl w:val="4"/>
          <w:numId w:val="8"/>
        </w:numPr>
        <w:contextualSpacing w:val="0"/>
        <w:jc w:val="both"/>
        <w:rPr>
          <w:rFonts w:cs="Arial"/>
        </w:rPr>
      </w:pPr>
      <w:r w:rsidRPr="003E246C">
        <w:rPr>
          <w:rFonts w:cs="Arial"/>
        </w:rPr>
        <w:t>Technical:</w:t>
      </w:r>
      <w:r w:rsidRPr="003E246C">
        <w:rPr>
          <w:rFonts w:cs="Arial"/>
        </w:rPr>
        <w:tab/>
        <w:t>70%</w:t>
      </w:r>
    </w:p>
    <w:p w14:paraId="30D9F852" w14:textId="77777777" w:rsidR="00430323" w:rsidRPr="003E246C" w:rsidRDefault="00430323" w:rsidP="0085565B">
      <w:pPr>
        <w:pStyle w:val="ListParagraph"/>
        <w:numPr>
          <w:ilvl w:val="4"/>
          <w:numId w:val="8"/>
        </w:numPr>
        <w:contextualSpacing w:val="0"/>
        <w:jc w:val="both"/>
        <w:rPr>
          <w:rFonts w:cs="Arial"/>
        </w:rPr>
      </w:pPr>
      <w:r w:rsidRPr="003E246C">
        <w:rPr>
          <w:rFonts w:cs="Arial"/>
        </w:rPr>
        <w:t xml:space="preserve">Commercial </w:t>
      </w:r>
      <w:r w:rsidRPr="003E246C">
        <w:rPr>
          <w:rFonts w:cs="Arial"/>
        </w:rPr>
        <w:tab/>
        <w:t>20%</w:t>
      </w:r>
    </w:p>
    <w:p w14:paraId="5F2ED90C" w14:textId="338E3391" w:rsidR="00430323" w:rsidRPr="003E246C" w:rsidRDefault="00430323" w:rsidP="0085565B">
      <w:pPr>
        <w:pStyle w:val="ListParagraph"/>
        <w:numPr>
          <w:ilvl w:val="4"/>
          <w:numId w:val="8"/>
        </w:numPr>
        <w:contextualSpacing w:val="0"/>
        <w:jc w:val="both"/>
        <w:rPr>
          <w:rFonts w:cs="Arial"/>
        </w:rPr>
      </w:pPr>
      <w:r w:rsidRPr="003E246C">
        <w:rPr>
          <w:rFonts w:cs="Arial"/>
        </w:rPr>
        <w:t xml:space="preserve">Social Value </w:t>
      </w:r>
      <w:r w:rsidRPr="003E246C">
        <w:rPr>
          <w:rFonts w:cs="Arial"/>
        </w:rPr>
        <w:tab/>
        <w:t>10%</w:t>
      </w:r>
      <w:r w:rsidR="00933A1D" w:rsidRPr="003E246C">
        <w:rPr>
          <w:rFonts w:cs="Arial"/>
        </w:rPr>
        <w:t>,</w:t>
      </w:r>
    </w:p>
    <w:p w14:paraId="72335397" w14:textId="14716C19" w:rsidR="005B1610" w:rsidRPr="00EA050E" w:rsidRDefault="007651CA" w:rsidP="003E246C">
      <w:pPr>
        <w:ind w:left="2127"/>
        <w:jc w:val="both"/>
        <w:rPr>
          <w:rFonts w:cs="Arial"/>
        </w:rPr>
      </w:pPr>
      <w:r>
        <w:rPr>
          <w:rFonts w:cs="Arial"/>
        </w:rPr>
        <w:t xml:space="preserve">The sub-criteria </w:t>
      </w:r>
      <w:r w:rsidR="00EE6BE1">
        <w:rPr>
          <w:rFonts w:cs="Arial"/>
        </w:rPr>
        <w:t>within Technical, Commercial and Social Value, will be shared with Tenderers who</w:t>
      </w:r>
      <w:r w:rsidR="00A77BFF">
        <w:rPr>
          <w:rFonts w:cs="Arial"/>
        </w:rPr>
        <w:t xml:space="preserve"> are</w:t>
      </w:r>
      <w:r w:rsidR="00EE6BE1">
        <w:rPr>
          <w:rFonts w:cs="Arial"/>
        </w:rPr>
        <w:t xml:space="preserve"> </w:t>
      </w:r>
      <w:r w:rsidR="00F728E1">
        <w:rPr>
          <w:rFonts w:cs="Arial"/>
        </w:rPr>
        <w:t>shortlist</w:t>
      </w:r>
      <w:r w:rsidR="00A77BFF">
        <w:rPr>
          <w:rFonts w:cs="Arial"/>
        </w:rPr>
        <w:t>ed</w:t>
      </w:r>
      <w:r w:rsidR="00F728E1">
        <w:rPr>
          <w:rFonts w:cs="Arial"/>
        </w:rPr>
        <w:t xml:space="preserve"> following </w:t>
      </w:r>
      <w:r w:rsidR="00737471">
        <w:rPr>
          <w:rFonts w:cs="Arial"/>
        </w:rPr>
        <w:t>Stage 1</w:t>
      </w:r>
      <w:r w:rsidR="00F728E1">
        <w:rPr>
          <w:rFonts w:cs="Arial"/>
        </w:rPr>
        <w:t xml:space="preserve">. </w:t>
      </w:r>
      <w:r w:rsidR="005D0CCD" w:rsidRPr="003E246C">
        <w:rPr>
          <w:rFonts w:cs="Arial"/>
        </w:rPr>
        <w:t>HMRC reserves the right to</w:t>
      </w:r>
      <w:r w:rsidR="005D0CCD">
        <w:rPr>
          <w:rFonts w:cs="Arial"/>
        </w:rPr>
        <w:t xml:space="preserve"> refine and</w:t>
      </w:r>
      <w:r w:rsidR="00C757CB">
        <w:rPr>
          <w:rFonts w:cs="Arial"/>
        </w:rPr>
        <w:t>/</w:t>
      </w:r>
      <w:r w:rsidR="005D0CCD">
        <w:rPr>
          <w:rFonts w:cs="Arial"/>
        </w:rPr>
        <w:t>or add to the criteria, sub-criteria and</w:t>
      </w:r>
      <w:r w:rsidR="00C757CB">
        <w:rPr>
          <w:rFonts w:cs="Arial"/>
        </w:rPr>
        <w:t>/</w:t>
      </w:r>
      <w:r w:rsidR="005D0CCD">
        <w:rPr>
          <w:rFonts w:cs="Arial"/>
        </w:rPr>
        <w:t xml:space="preserve">or weightings </w:t>
      </w:r>
      <w:r w:rsidR="00A152C0">
        <w:rPr>
          <w:rFonts w:cs="Arial"/>
        </w:rPr>
        <w:t xml:space="preserve">at any </w:t>
      </w:r>
      <w:r w:rsidR="004224F7">
        <w:rPr>
          <w:rFonts w:cs="Arial"/>
        </w:rPr>
        <w:t xml:space="preserve">subsequent stage </w:t>
      </w:r>
      <w:r w:rsidR="003D2C5D">
        <w:rPr>
          <w:rFonts w:cs="Arial"/>
        </w:rPr>
        <w:t>including for ITSFT</w:t>
      </w:r>
      <w:r w:rsidR="005D0CCD">
        <w:rPr>
          <w:rFonts w:cs="Arial"/>
        </w:rPr>
        <w:t>.</w:t>
      </w:r>
    </w:p>
    <w:p w14:paraId="4CB09AE4" w14:textId="4015F2B4" w:rsidR="00936725" w:rsidRDefault="00C42A2A" w:rsidP="003F3AFE">
      <w:pPr>
        <w:ind w:left="2127"/>
        <w:jc w:val="both"/>
        <w:rPr>
          <w:rFonts w:cs="Arial"/>
        </w:rPr>
      </w:pPr>
      <w:r w:rsidRPr="003E246C">
        <w:rPr>
          <w:rFonts w:cs="Arial"/>
        </w:rPr>
        <w:t xml:space="preserve">HMRC </w:t>
      </w:r>
      <w:r w:rsidR="00695642">
        <w:rPr>
          <w:rFonts w:cs="Arial"/>
        </w:rPr>
        <w:t xml:space="preserve">also </w:t>
      </w:r>
      <w:r w:rsidRPr="003E246C">
        <w:rPr>
          <w:rFonts w:cs="Arial"/>
        </w:rPr>
        <w:t xml:space="preserve">reserves the right to amend the stages associated with ITSFT to include tender presentations, site visits, reference calls, </w:t>
      </w:r>
      <w:r w:rsidR="0007573A" w:rsidRPr="003E246C">
        <w:rPr>
          <w:rFonts w:cs="Arial"/>
        </w:rPr>
        <w:t xml:space="preserve">additional due diligence, </w:t>
      </w:r>
      <w:r w:rsidR="00EF2880" w:rsidRPr="003E246C">
        <w:rPr>
          <w:rFonts w:cs="Arial"/>
        </w:rPr>
        <w:t xml:space="preserve">discover periods, </w:t>
      </w:r>
      <w:r w:rsidR="00F51115" w:rsidRPr="003E246C">
        <w:rPr>
          <w:rFonts w:cs="Arial"/>
        </w:rPr>
        <w:t>and proof of concepts</w:t>
      </w:r>
      <w:r w:rsidR="007C1DFC" w:rsidRPr="003E246C">
        <w:rPr>
          <w:rFonts w:cs="Arial"/>
        </w:rPr>
        <w:t>, as well as</w:t>
      </w:r>
      <w:r w:rsidRPr="003E246C">
        <w:rPr>
          <w:rFonts w:cs="Arial"/>
        </w:rPr>
        <w:t xml:space="preserve"> other potential stages to validate the submissions received from the </w:t>
      </w:r>
      <w:r w:rsidR="00433587">
        <w:rPr>
          <w:rFonts w:cs="Arial"/>
        </w:rPr>
        <w:t>Tenderer</w:t>
      </w:r>
      <w:r w:rsidRPr="003E246C">
        <w:rPr>
          <w:rFonts w:cs="Arial"/>
        </w:rPr>
        <w:t>.</w:t>
      </w:r>
      <w:r w:rsidR="007C1DFC" w:rsidRPr="003E246C">
        <w:rPr>
          <w:rFonts w:cs="Arial"/>
        </w:rPr>
        <w:t xml:space="preserve">  Any additional stages will be clearly stated within the ITSFT.</w:t>
      </w:r>
      <w:r w:rsidRPr="003E246C">
        <w:rPr>
          <w:rFonts w:cs="Arial"/>
        </w:rPr>
        <w:t xml:space="preserve"> Where necessary further commercial submissions or negotiations may be requested.</w:t>
      </w:r>
      <w:r>
        <w:rPr>
          <w:rFonts w:cs="Arial"/>
        </w:rPr>
        <w:t xml:space="preserve">  </w:t>
      </w:r>
    </w:p>
    <w:p w14:paraId="4D236BFD" w14:textId="019AA6FF" w:rsidR="0036700A" w:rsidRPr="00963B92" w:rsidRDefault="00E32BF7" w:rsidP="0085565B">
      <w:pPr>
        <w:pStyle w:val="ListParagraph"/>
        <w:numPr>
          <w:ilvl w:val="2"/>
          <w:numId w:val="8"/>
        </w:numPr>
        <w:ind w:left="1418"/>
        <w:contextualSpacing w:val="0"/>
        <w:jc w:val="both"/>
        <w:rPr>
          <w:rFonts w:cs="Arial"/>
        </w:rPr>
      </w:pPr>
      <w:r w:rsidRPr="00963B92">
        <w:rPr>
          <w:rFonts w:cs="Arial"/>
        </w:rPr>
        <w:t xml:space="preserve">HMRC will evaluate the </w:t>
      </w:r>
      <w:r w:rsidR="00433587">
        <w:rPr>
          <w:rFonts w:cs="Arial"/>
        </w:rPr>
        <w:t>Tenderer</w:t>
      </w:r>
      <w:r w:rsidRPr="00963B92">
        <w:rPr>
          <w:rFonts w:cs="Arial"/>
        </w:rPr>
        <w:t xml:space="preserve">s’ </w:t>
      </w:r>
      <w:r w:rsidR="005540EE" w:rsidRPr="00963B92">
        <w:rPr>
          <w:rFonts w:cs="Arial"/>
        </w:rPr>
        <w:t>response</w:t>
      </w:r>
      <w:r w:rsidRPr="00963B92">
        <w:rPr>
          <w:rFonts w:cs="Arial"/>
        </w:rPr>
        <w:t xml:space="preserve"> to the </w:t>
      </w:r>
      <w:r w:rsidR="008963BE" w:rsidRPr="00963B92">
        <w:rPr>
          <w:rFonts w:cs="Arial"/>
        </w:rPr>
        <w:t>A</w:t>
      </w:r>
      <w:r w:rsidRPr="00963B92">
        <w:rPr>
          <w:rFonts w:cs="Arial"/>
        </w:rPr>
        <w:t xml:space="preserve">ward </w:t>
      </w:r>
      <w:r w:rsidR="008963BE" w:rsidRPr="00963B92">
        <w:rPr>
          <w:rFonts w:cs="Arial"/>
        </w:rPr>
        <w:t>Q</w:t>
      </w:r>
      <w:r w:rsidRPr="00963B92">
        <w:rPr>
          <w:rFonts w:cs="Arial"/>
        </w:rPr>
        <w:t>uestionnaire</w:t>
      </w:r>
      <w:r w:rsidR="00251873" w:rsidRPr="00963B92">
        <w:rPr>
          <w:rFonts w:cs="Arial"/>
        </w:rPr>
        <w:t xml:space="preserve"> </w:t>
      </w:r>
      <w:proofErr w:type="gramStart"/>
      <w:r w:rsidRPr="00963B92">
        <w:rPr>
          <w:rFonts w:cs="Arial"/>
        </w:rPr>
        <w:t>in order to</w:t>
      </w:r>
      <w:proofErr w:type="gramEnd"/>
      <w:r w:rsidRPr="00963B92">
        <w:rPr>
          <w:rFonts w:cs="Arial"/>
        </w:rPr>
        <w:t xml:space="preserve"> identify the </w:t>
      </w:r>
      <w:r w:rsidR="00705E57" w:rsidRPr="00963B92">
        <w:rPr>
          <w:rFonts w:cs="Arial"/>
        </w:rPr>
        <w:t>M</w:t>
      </w:r>
      <w:r w:rsidRPr="00963B92">
        <w:rPr>
          <w:rFonts w:cs="Arial"/>
        </w:rPr>
        <w:t xml:space="preserve">ost </w:t>
      </w:r>
      <w:r w:rsidR="00705E57" w:rsidRPr="00963B92">
        <w:rPr>
          <w:rFonts w:cs="Arial"/>
        </w:rPr>
        <w:t>A</w:t>
      </w:r>
      <w:r w:rsidRPr="00963B92">
        <w:rPr>
          <w:rFonts w:cs="Arial"/>
        </w:rPr>
        <w:t xml:space="preserve">dvantageous </w:t>
      </w:r>
      <w:r w:rsidR="00705E57" w:rsidRPr="00963B92">
        <w:rPr>
          <w:rFonts w:cs="Arial"/>
        </w:rPr>
        <w:t>T</w:t>
      </w:r>
      <w:r w:rsidRPr="00963B92">
        <w:rPr>
          <w:rFonts w:cs="Arial"/>
        </w:rPr>
        <w:t>ender</w:t>
      </w:r>
      <w:r w:rsidR="00705E57" w:rsidRPr="00963B92">
        <w:rPr>
          <w:rFonts w:cs="Arial"/>
        </w:rPr>
        <w:t xml:space="preserve"> (MAT)</w:t>
      </w:r>
      <w:r w:rsidR="00693699" w:rsidRPr="00963B92">
        <w:rPr>
          <w:rFonts w:cs="Arial"/>
        </w:rPr>
        <w:t>,</w:t>
      </w:r>
      <w:r w:rsidR="00BB163A" w:rsidRPr="00963B92">
        <w:rPr>
          <w:rFonts w:cs="Arial"/>
        </w:rPr>
        <w:t xml:space="preserve"> based on </w:t>
      </w:r>
      <w:r w:rsidR="00693699" w:rsidRPr="00963B92">
        <w:rPr>
          <w:rFonts w:cs="Arial"/>
        </w:rPr>
        <w:t>the</w:t>
      </w:r>
      <w:r w:rsidR="0036700A" w:rsidRPr="00963B92">
        <w:t xml:space="preserve"> </w:t>
      </w:r>
      <w:r w:rsidR="00693699" w:rsidRPr="00963B92">
        <w:t>evaluation criteria, scoring matrix</w:t>
      </w:r>
      <w:r w:rsidR="00C02E03">
        <w:t>,</w:t>
      </w:r>
      <w:r w:rsidR="00693699" w:rsidRPr="00963B92">
        <w:t xml:space="preserve"> weighting</w:t>
      </w:r>
      <w:r w:rsidR="00FB59CE" w:rsidRPr="00963B92">
        <w:t>s</w:t>
      </w:r>
      <w:r w:rsidR="00693699" w:rsidRPr="00963B92">
        <w:t xml:space="preserve"> </w:t>
      </w:r>
      <w:r w:rsidR="00C02E03">
        <w:t xml:space="preserve">and methodology </w:t>
      </w:r>
      <w:r w:rsidR="00FB59CE" w:rsidRPr="00963B92">
        <w:t xml:space="preserve">detailed </w:t>
      </w:r>
      <w:r w:rsidR="00693699" w:rsidRPr="00963B92">
        <w:t xml:space="preserve">in this </w:t>
      </w:r>
      <w:r w:rsidR="00E64A43" w:rsidRPr="00963B92">
        <w:t>document</w:t>
      </w:r>
      <w:r w:rsidR="00933A1D">
        <w:t>, as subsequently provided and refined</w:t>
      </w:r>
      <w:r w:rsidR="0013026A">
        <w:t xml:space="preserve"> in </w:t>
      </w:r>
      <w:r w:rsidR="008A5259">
        <w:t>the ITSFT document</w:t>
      </w:r>
      <w:r w:rsidR="00693699" w:rsidRPr="00963B92">
        <w:t>.</w:t>
      </w:r>
    </w:p>
    <w:p w14:paraId="4C858FDF" w14:textId="7118FAC2" w:rsidR="00E32BF7" w:rsidRPr="00963B92" w:rsidRDefault="00E32BF7" w:rsidP="0085565B">
      <w:pPr>
        <w:pStyle w:val="ListParagraph"/>
        <w:numPr>
          <w:ilvl w:val="2"/>
          <w:numId w:val="8"/>
        </w:numPr>
        <w:contextualSpacing w:val="0"/>
        <w:jc w:val="both"/>
        <w:rPr>
          <w:rFonts w:cs="Arial"/>
          <w:bCs/>
        </w:rPr>
      </w:pPr>
      <w:r w:rsidRPr="00963B92">
        <w:rPr>
          <w:rFonts w:cs="Arial"/>
        </w:rPr>
        <w:t>Th</w:t>
      </w:r>
      <w:r w:rsidR="006C482D" w:rsidRPr="00963B92">
        <w:rPr>
          <w:rFonts w:cs="Arial"/>
        </w:rPr>
        <w:t>e Award Q</w:t>
      </w:r>
      <w:r w:rsidRPr="00963B92">
        <w:rPr>
          <w:rFonts w:cs="Arial"/>
        </w:rPr>
        <w:t xml:space="preserve">uestionnaire will </w:t>
      </w:r>
      <w:r w:rsidR="009B20B7">
        <w:rPr>
          <w:rFonts w:cs="Arial"/>
        </w:rPr>
        <w:t xml:space="preserve">only be evaluated and </w:t>
      </w:r>
      <w:r w:rsidRPr="00963B92">
        <w:rPr>
          <w:rFonts w:cs="Arial"/>
        </w:rPr>
        <w:t xml:space="preserve">scored </w:t>
      </w:r>
      <w:r w:rsidR="00CD0F21">
        <w:rPr>
          <w:rFonts w:cs="Arial"/>
        </w:rPr>
        <w:t xml:space="preserve">at the ITSFT stage.  Scoring will be </w:t>
      </w:r>
      <w:r w:rsidRPr="00963B92">
        <w:rPr>
          <w:rFonts w:cs="Arial"/>
        </w:rPr>
        <w:t xml:space="preserve">out of 100, </w:t>
      </w:r>
      <w:r w:rsidR="006874BE" w:rsidRPr="00963B92">
        <w:rPr>
          <w:rFonts w:cs="Arial"/>
        </w:rPr>
        <w:t xml:space="preserve">with the weighting split </w:t>
      </w:r>
      <w:r w:rsidR="006874BE" w:rsidRPr="00D71DBF">
        <w:rPr>
          <w:rFonts w:cs="Arial"/>
        </w:rPr>
        <w:t>across the qualitat</w:t>
      </w:r>
      <w:r w:rsidR="000F1C42" w:rsidRPr="00D71DBF">
        <w:rPr>
          <w:rFonts w:cs="Arial"/>
        </w:rPr>
        <w:t xml:space="preserve">ive questions </w:t>
      </w:r>
      <w:r w:rsidR="00F4745A" w:rsidRPr="00D71DBF">
        <w:rPr>
          <w:rFonts w:cs="Arial"/>
        </w:rPr>
        <w:t>and commercial response</w:t>
      </w:r>
      <w:r w:rsidR="00AC79B5">
        <w:rPr>
          <w:rFonts w:cs="Arial"/>
        </w:rPr>
        <w:t>.</w:t>
      </w:r>
    </w:p>
    <w:p w14:paraId="2C002CCD" w14:textId="2C482550" w:rsidR="00963B92" w:rsidRPr="00F107E1" w:rsidRDefault="00EA02A9" w:rsidP="00F301AB">
      <w:pPr>
        <w:pStyle w:val="ListParagraph"/>
        <w:ind w:left="1419"/>
        <w:contextualSpacing w:val="0"/>
        <w:jc w:val="both"/>
        <w:rPr>
          <w:rFonts w:cs="Arial"/>
          <w:bCs/>
        </w:rPr>
      </w:pPr>
      <w:r w:rsidRPr="00387F71">
        <w:t xml:space="preserve">Each question must be </w:t>
      </w:r>
      <w:proofErr w:type="gramStart"/>
      <w:r w:rsidRPr="00387F71">
        <w:t>answered in its own right</w:t>
      </w:r>
      <w:proofErr w:type="gramEnd"/>
      <w:r w:rsidRPr="00387F71">
        <w:t>. You must not answer any of the questions by cross referencing other questions or other materials, for example reports or information located on your website.</w:t>
      </w:r>
    </w:p>
    <w:p w14:paraId="6C5A93D0" w14:textId="19C2E939" w:rsidR="0036700A" w:rsidRPr="00387F71" w:rsidRDefault="0036700A" w:rsidP="0085565B">
      <w:pPr>
        <w:pStyle w:val="ListParagraph"/>
        <w:numPr>
          <w:ilvl w:val="2"/>
          <w:numId w:val="8"/>
        </w:numPr>
        <w:contextualSpacing w:val="0"/>
        <w:jc w:val="both"/>
        <w:rPr>
          <w:rFonts w:cs="Arial"/>
          <w:b/>
          <w:bCs/>
        </w:rPr>
      </w:pPr>
      <w:r w:rsidRPr="00387F71">
        <w:rPr>
          <w:rFonts w:cs="Arial"/>
          <w:b/>
          <w:bCs/>
        </w:rPr>
        <w:t>Quality Assessment</w:t>
      </w:r>
    </w:p>
    <w:p w14:paraId="32AF3A75" w14:textId="5CBEBD16" w:rsidR="00D61BBB" w:rsidRPr="00387F71" w:rsidRDefault="00635149" w:rsidP="0085565B">
      <w:pPr>
        <w:pStyle w:val="ListParagraph"/>
        <w:numPr>
          <w:ilvl w:val="3"/>
          <w:numId w:val="8"/>
        </w:numPr>
        <w:contextualSpacing w:val="0"/>
        <w:jc w:val="both"/>
        <w:rPr>
          <w:rFonts w:cs="Arial"/>
          <w:bCs/>
        </w:rPr>
      </w:pPr>
      <w:r>
        <w:rPr>
          <w:rFonts w:cs="Arial"/>
          <w:bCs/>
        </w:rPr>
        <w:t xml:space="preserve">The </w:t>
      </w:r>
      <w:r w:rsidR="00411B78">
        <w:rPr>
          <w:rFonts w:cs="Arial"/>
          <w:bCs/>
        </w:rPr>
        <w:t>t</w:t>
      </w:r>
      <w:r>
        <w:rPr>
          <w:rFonts w:cs="Arial"/>
          <w:bCs/>
        </w:rPr>
        <w:t xml:space="preserve">hree highest scoring </w:t>
      </w:r>
      <w:r w:rsidR="00433587">
        <w:rPr>
          <w:rFonts w:cs="Arial"/>
          <w:bCs/>
        </w:rPr>
        <w:t>Tenderer</w:t>
      </w:r>
      <w:r>
        <w:rPr>
          <w:rFonts w:cs="Arial"/>
          <w:bCs/>
        </w:rPr>
        <w:t>s that</w:t>
      </w:r>
      <w:r w:rsidR="00306C22" w:rsidRPr="00387F71">
        <w:rPr>
          <w:rFonts w:cs="Arial"/>
          <w:bCs/>
        </w:rPr>
        <w:t xml:space="preserve"> pass the </w:t>
      </w:r>
      <w:r w:rsidR="00062317" w:rsidRPr="00387F71">
        <w:rPr>
          <w:rFonts w:cs="Arial"/>
          <w:bCs/>
        </w:rPr>
        <w:t>PSQ</w:t>
      </w:r>
      <w:r w:rsidR="00306C22" w:rsidRPr="00387F71">
        <w:rPr>
          <w:rFonts w:cs="Arial"/>
          <w:bCs/>
        </w:rPr>
        <w:t xml:space="preserve"> stage, will proceed to </w:t>
      </w:r>
      <w:r w:rsidR="00630E80" w:rsidRPr="00CD5562">
        <w:rPr>
          <w:rFonts w:cs="Arial"/>
        </w:rPr>
        <w:t>S</w:t>
      </w:r>
      <w:r w:rsidR="00306C22" w:rsidRPr="00CD5562">
        <w:rPr>
          <w:rFonts w:cs="Arial"/>
        </w:rPr>
        <w:t>tage</w:t>
      </w:r>
      <w:r w:rsidR="00CF2E40" w:rsidRPr="00CD5562">
        <w:rPr>
          <w:rFonts w:cs="Arial"/>
        </w:rPr>
        <w:t xml:space="preserve"> 2</w:t>
      </w:r>
      <w:r w:rsidR="009B2E0C" w:rsidRPr="001058D5">
        <w:rPr>
          <w:rFonts w:cs="Arial"/>
          <w:bCs/>
        </w:rPr>
        <w:t>.</w:t>
      </w:r>
      <w:r>
        <w:rPr>
          <w:rFonts w:cs="Arial"/>
          <w:bCs/>
        </w:rPr>
        <w:t xml:space="preserve">  Should </w:t>
      </w:r>
      <w:r w:rsidR="00A74DB7">
        <w:rPr>
          <w:rFonts w:cs="Arial"/>
          <w:bCs/>
        </w:rPr>
        <w:t xml:space="preserve">the evaluation result in </w:t>
      </w:r>
      <w:r w:rsidR="00CA04F1">
        <w:rPr>
          <w:rFonts w:cs="Arial"/>
          <w:bCs/>
        </w:rPr>
        <w:t>fewer</w:t>
      </w:r>
      <w:r w:rsidR="00A74DB7">
        <w:rPr>
          <w:rFonts w:cs="Arial"/>
          <w:bCs/>
        </w:rPr>
        <w:t xml:space="preserve"> than</w:t>
      </w:r>
      <w:r w:rsidR="00B4482F">
        <w:rPr>
          <w:rFonts w:cs="Arial"/>
          <w:bCs/>
        </w:rPr>
        <w:t xml:space="preserve"> </w:t>
      </w:r>
      <w:r w:rsidR="00411B78">
        <w:rPr>
          <w:rFonts w:cs="Arial"/>
          <w:bCs/>
        </w:rPr>
        <w:t>t</w:t>
      </w:r>
      <w:r w:rsidR="00F56C25">
        <w:rPr>
          <w:rFonts w:cs="Arial"/>
          <w:bCs/>
        </w:rPr>
        <w:t xml:space="preserve">hree shortlisted responses, HMRC may </w:t>
      </w:r>
      <w:r w:rsidR="006146F9">
        <w:rPr>
          <w:rFonts w:cs="Arial"/>
          <w:bCs/>
        </w:rPr>
        <w:t xml:space="preserve">proceed with a smaller number of </w:t>
      </w:r>
      <w:r w:rsidR="00433587">
        <w:rPr>
          <w:rFonts w:cs="Arial"/>
          <w:bCs/>
        </w:rPr>
        <w:t>Tenderer</w:t>
      </w:r>
      <w:r w:rsidR="006146F9">
        <w:rPr>
          <w:rFonts w:cs="Arial"/>
          <w:bCs/>
        </w:rPr>
        <w:t>s, or may</w:t>
      </w:r>
      <w:r w:rsidR="00EF6F35">
        <w:rPr>
          <w:rFonts w:cs="Arial"/>
          <w:bCs/>
        </w:rPr>
        <w:t xml:space="preserve"> </w:t>
      </w:r>
      <w:r w:rsidR="003E05FB">
        <w:rPr>
          <w:rFonts w:cs="Arial"/>
          <w:bCs/>
        </w:rPr>
        <w:t xml:space="preserve">cancel the procurement.  </w:t>
      </w:r>
    </w:p>
    <w:p w14:paraId="7CC7CE05" w14:textId="2DBE5D84" w:rsidR="007C3EE4" w:rsidRDefault="00DC60BE" w:rsidP="0085565B">
      <w:pPr>
        <w:pStyle w:val="ListParagraph"/>
        <w:numPr>
          <w:ilvl w:val="3"/>
          <w:numId w:val="8"/>
        </w:numPr>
        <w:contextualSpacing w:val="0"/>
        <w:jc w:val="both"/>
        <w:rPr>
          <w:rFonts w:cs="Arial"/>
          <w:bCs/>
        </w:rPr>
      </w:pPr>
      <w:r>
        <w:rPr>
          <w:rFonts w:cs="Arial"/>
          <w:bCs/>
        </w:rPr>
        <w:t xml:space="preserve">Responses to the Invitation to Submit Initial Tenders (ITSIT) are not evaluated </w:t>
      </w:r>
      <w:r w:rsidR="008A5569">
        <w:rPr>
          <w:rFonts w:cs="Arial"/>
          <w:bCs/>
        </w:rPr>
        <w:t xml:space="preserve">for scoring purposes </w:t>
      </w:r>
      <w:r>
        <w:rPr>
          <w:rFonts w:cs="Arial"/>
          <w:bCs/>
        </w:rPr>
        <w:t xml:space="preserve">but will </w:t>
      </w:r>
      <w:r w:rsidR="000877EB">
        <w:rPr>
          <w:rFonts w:cs="Arial"/>
          <w:bCs/>
        </w:rPr>
        <w:t xml:space="preserve">be reviewed to </w:t>
      </w:r>
      <w:r w:rsidR="00326227">
        <w:rPr>
          <w:rFonts w:cs="Arial"/>
          <w:bCs/>
        </w:rPr>
        <w:t xml:space="preserve">prepare for detailed </w:t>
      </w:r>
      <w:r w:rsidR="003B5657">
        <w:rPr>
          <w:rFonts w:cs="Arial"/>
          <w:bCs/>
        </w:rPr>
        <w:t>negotiation</w:t>
      </w:r>
      <w:r w:rsidR="00326227">
        <w:rPr>
          <w:rFonts w:cs="Arial"/>
          <w:bCs/>
        </w:rPr>
        <w:t xml:space="preserve"> sessions with </w:t>
      </w:r>
      <w:r w:rsidR="00433587">
        <w:rPr>
          <w:rFonts w:cs="Arial"/>
          <w:bCs/>
        </w:rPr>
        <w:t>Tenderer</w:t>
      </w:r>
      <w:r w:rsidR="00326227">
        <w:rPr>
          <w:rFonts w:cs="Arial"/>
          <w:bCs/>
        </w:rPr>
        <w:t xml:space="preserve">s. </w:t>
      </w:r>
      <w:r w:rsidR="00CD2823">
        <w:rPr>
          <w:rFonts w:cs="Arial"/>
          <w:bCs/>
        </w:rPr>
        <w:t>A</w:t>
      </w:r>
      <w:r w:rsidR="00CD2823" w:rsidRPr="00695A3D">
        <w:rPr>
          <w:rFonts w:cs="Arial"/>
        </w:rPr>
        <w:t>ny submissions that are received that are non-compliant against criteria defined as Non-Negotiable, may be rejected at this stage.</w:t>
      </w:r>
    </w:p>
    <w:p w14:paraId="4F6A1F63" w14:textId="41E13F19" w:rsidR="003D4B0F" w:rsidRDefault="003D4B0F" w:rsidP="0085565B">
      <w:pPr>
        <w:pStyle w:val="ListParagraph"/>
        <w:numPr>
          <w:ilvl w:val="3"/>
          <w:numId w:val="8"/>
        </w:numPr>
        <w:contextualSpacing w:val="0"/>
        <w:jc w:val="both"/>
        <w:rPr>
          <w:rFonts w:cs="Arial"/>
          <w:bCs/>
        </w:rPr>
      </w:pPr>
      <w:r>
        <w:rPr>
          <w:rFonts w:cs="Arial"/>
          <w:bCs/>
        </w:rPr>
        <w:t xml:space="preserve">Responses to the </w:t>
      </w:r>
      <w:r w:rsidR="00363E95">
        <w:rPr>
          <w:rFonts w:cs="Arial"/>
          <w:bCs/>
        </w:rPr>
        <w:t>Invitation</w:t>
      </w:r>
      <w:r>
        <w:rPr>
          <w:rFonts w:cs="Arial"/>
          <w:bCs/>
        </w:rPr>
        <w:t xml:space="preserve"> to Submit Final Tenders (ITSFT) will be subject to formal </w:t>
      </w:r>
      <w:r w:rsidR="00514962">
        <w:rPr>
          <w:rFonts w:cs="Arial"/>
          <w:bCs/>
        </w:rPr>
        <w:t xml:space="preserve">evaluation and will be used as the basis for the final award recommendation.  Note, that additional stages may be included at the point that the ITSFT is issued to </w:t>
      </w:r>
      <w:r w:rsidR="00433587">
        <w:rPr>
          <w:rFonts w:cs="Arial"/>
          <w:bCs/>
        </w:rPr>
        <w:t>Tenderer</w:t>
      </w:r>
      <w:r w:rsidR="00514962">
        <w:rPr>
          <w:rFonts w:cs="Arial"/>
          <w:bCs/>
        </w:rPr>
        <w:t xml:space="preserve">s.   </w:t>
      </w:r>
    </w:p>
    <w:p w14:paraId="69B61E45" w14:textId="661D75B0" w:rsidR="007A5C93" w:rsidRPr="00387F71" w:rsidRDefault="0036700A" w:rsidP="0085565B">
      <w:pPr>
        <w:pStyle w:val="ListParagraph"/>
        <w:numPr>
          <w:ilvl w:val="3"/>
          <w:numId w:val="8"/>
        </w:numPr>
        <w:contextualSpacing w:val="0"/>
        <w:jc w:val="both"/>
        <w:rPr>
          <w:rFonts w:cs="Arial"/>
          <w:bCs/>
        </w:rPr>
      </w:pPr>
      <w:r w:rsidRPr="00387F71">
        <w:rPr>
          <w:rFonts w:cs="Arial"/>
          <w:bCs/>
        </w:rPr>
        <w:t xml:space="preserve">Responses to individual </w:t>
      </w:r>
      <w:r w:rsidR="00A1087F" w:rsidRPr="00387F71">
        <w:rPr>
          <w:rFonts w:cs="Arial"/>
          <w:bCs/>
        </w:rPr>
        <w:t>q</w:t>
      </w:r>
      <w:r w:rsidRPr="00387F71">
        <w:rPr>
          <w:rFonts w:cs="Arial"/>
          <w:bCs/>
        </w:rPr>
        <w:t xml:space="preserve">uality questions (other than </w:t>
      </w:r>
      <w:r w:rsidR="00933A1D">
        <w:rPr>
          <w:rFonts w:cs="Arial"/>
          <w:bCs/>
        </w:rPr>
        <w:t xml:space="preserve">any </w:t>
      </w:r>
      <w:r w:rsidRPr="00387F71">
        <w:rPr>
          <w:rFonts w:cs="Arial"/>
          <w:bCs/>
        </w:rPr>
        <w:t xml:space="preserve">pass/fail questions) will be scored in the range of 0-100 </w:t>
      </w:r>
      <w:r w:rsidR="00FA5BB7" w:rsidRPr="00387F71">
        <w:rPr>
          <w:rFonts w:cs="Arial"/>
          <w:bCs/>
        </w:rPr>
        <w:t>using</w:t>
      </w:r>
      <w:r w:rsidRPr="00387F71">
        <w:rPr>
          <w:rFonts w:cs="Arial"/>
          <w:bCs/>
        </w:rPr>
        <w:t xml:space="preserve"> the scoring matrix </w:t>
      </w:r>
      <w:r w:rsidR="00933A1D">
        <w:rPr>
          <w:rFonts w:cs="Arial"/>
          <w:bCs/>
        </w:rPr>
        <w:t xml:space="preserve">to be provided to shortlisted </w:t>
      </w:r>
      <w:r w:rsidR="00433587">
        <w:rPr>
          <w:rFonts w:cs="Arial"/>
          <w:bCs/>
        </w:rPr>
        <w:t>Tenderer</w:t>
      </w:r>
      <w:r w:rsidR="00933A1D">
        <w:rPr>
          <w:rFonts w:cs="Arial"/>
          <w:bCs/>
        </w:rPr>
        <w:t>s</w:t>
      </w:r>
      <w:r w:rsidRPr="00387F71">
        <w:rPr>
          <w:rFonts w:cs="Arial"/>
          <w:bCs/>
        </w:rPr>
        <w:t xml:space="preserve">. This matrix will be used by the evaluation </w:t>
      </w:r>
      <w:r w:rsidR="00B678E3" w:rsidRPr="00387F71">
        <w:rPr>
          <w:rFonts w:cs="Arial"/>
          <w:bCs/>
        </w:rPr>
        <w:t>panel</w:t>
      </w:r>
      <w:r w:rsidRPr="00387F71">
        <w:rPr>
          <w:rFonts w:cs="Arial"/>
          <w:bCs/>
        </w:rPr>
        <w:t xml:space="preserve"> to score individual questions, based on how well the response covers the evaluation criteria provided</w:t>
      </w:r>
      <w:r w:rsidR="00131A9D">
        <w:rPr>
          <w:rFonts w:cs="Arial"/>
          <w:bCs/>
        </w:rPr>
        <w:t>.</w:t>
      </w:r>
      <w:r w:rsidRPr="00387F71">
        <w:rPr>
          <w:rFonts w:cs="Arial"/>
          <w:bCs/>
        </w:rPr>
        <w:t xml:space="preserve"> </w:t>
      </w:r>
    </w:p>
    <w:p w14:paraId="47B764F7" w14:textId="078CF65A" w:rsidR="008D112A" w:rsidRPr="008D112A" w:rsidRDefault="00933A1D" w:rsidP="0085565B">
      <w:pPr>
        <w:pStyle w:val="ListParagraph"/>
        <w:numPr>
          <w:ilvl w:val="3"/>
          <w:numId w:val="8"/>
        </w:numPr>
        <w:jc w:val="both"/>
        <w:rPr>
          <w:rFonts w:cs="Arial"/>
          <w:bCs/>
        </w:rPr>
      </w:pPr>
      <w:r>
        <w:rPr>
          <w:rFonts w:cs="Arial"/>
          <w:bCs/>
        </w:rPr>
        <w:t>HMRC will use a c</w:t>
      </w:r>
      <w:r w:rsidR="008D112A" w:rsidRPr="008D112A">
        <w:rPr>
          <w:rFonts w:cs="Arial"/>
          <w:bCs/>
        </w:rPr>
        <w:t xml:space="preserve">onsensus </w:t>
      </w:r>
      <w:r>
        <w:rPr>
          <w:rFonts w:cs="Arial"/>
          <w:bCs/>
        </w:rPr>
        <w:t>m</w:t>
      </w:r>
      <w:r w:rsidR="008D112A" w:rsidRPr="008D112A">
        <w:rPr>
          <w:rFonts w:cs="Arial"/>
          <w:bCs/>
        </w:rPr>
        <w:t xml:space="preserve">arking </w:t>
      </w:r>
      <w:r>
        <w:rPr>
          <w:rFonts w:cs="Arial"/>
          <w:bCs/>
        </w:rPr>
        <w:t>p</w:t>
      </w:r>
      <w:r w:rsidR="008D112A" w:rsidRPr="008D112A">
        <w:rPr>
          <w:rFonts w:cs="Arial"/>
          <w:bCs/>
        </w:rPr>
        <w:t>rocedure</w:t>
      </w:r>
      <w:r>
        <w:rPr>
          <w:rFonts w:cs="Arial"/>
          <w:bCs/>
        </w:rPr>
        <w:t>, which</w:t>
      </w:r>
      <w:r w:rsidR="008D112A" w:rsidRPr="008D112A">
        <w:rPr>
          <w:rFonts w:cs="Arial"/>
          <w:bCs/>
        </w:rPr>
        <w:t xml:space="preserve"> is a two-step process, comprising of:</w:t>
      </w:r>
    </w:p>
    <w:p w14:paraId="61A92847" w14:textId="77777777" w:rsidR="008D112A" w:rsidRPr="008D112A" w:rsidRDefault="008D112A" w:rsidP="00CD5562">
      <w:pPr>
        <w:pStyle w:val="ListParagraph"/>
        <w:ind w:left="2126"/>
        <w:jc w:val="both"/>
        <w:rPr>
          <w:rFonts w:cs="Arial"/>
          <w:bCs/>
        </w:rPr>
      </w:pPr>
    </w:p>
    <w:p w14:paraId="58DDFA03" w14:textId="45D37FDC" w:rsidR="008D112A" w:rsidRDefault="007D2F0D" w:rsidP="0085565B">
      <w:pPr>
        <w:pStyle w:val="ListParagraph"/>
        <w:numPr>
          <w:ilvl w:val="4"/>
          <w:numId w:val="8"/>
        </w:numPr>
        <w:jc w:val="both"/>
        <w:rPr>
          <w:rFonts w:cs="Arial"/>
          <w:bCs/>
        </w:rPr>
      </w:pPr>
      <w:r>
        <w:rPr>
          <w:rFonts w:cs="Arial"/>
          <w:bCs/>
        </w:rPr>
        <w:t>i</w:t>
      </w:r>
      <w:r w:rsidR="008D112A" w:rsidRPr="008D112A">
        <w:rPr>
          <w:rFonts w:cs="Arial"/>
          <w:bCs/>
        </w:rPr>
        <w:t>ndependent evaluation; and</w:t>
      </w:r>
    </w:p>
    <w:p w14:paraId="5917F810" w14:textId="5B036247" w:rsidR="008D112A" w:rsidRDefault="007D2F0D" w:rsidP="0085565B">
      <w:pPr>
        <w:pStyle w:val="ListParagraph"/>
        <w:numPr>
          <w:ilvl w:val="4"/>
          <w:numId w:val="8"/>
        </w:numPr>
        <w:jc w:val="both"/>
        <w:rPr>
          <w:rFonts w:cs="Arial"/>
          <w:bCs/>
        </w:rPr>
      </w:pPr>
      <w:r>
        <w:rPr>
          <w:rFonts w:cs="Arial"/>
          <w:bCs/>
        </w:rPr>
        <w:t>g</w:t>
      </w:r>
      <w:r w:rsidR="008D112A" w:rsidRPr="008D112A">
        <w:rPr>
          <w:rFonts w:cs="Arial"/>
          <w:bCs/>
        </w:rPr>
        <w:t>roup consensus marking</w:t>
      </w:r>
      <w:r w:rsidR="00890FC2">
        <w:rPr>
          <w:rFonts w:cs="Arial"/>
          <w:bCs/>
        </w:rPr>
        <w:t xml:space="preserve"> resulting in a </w:t>
      </w:r>
      <w:r w:rsidR="008D112A" w:rsidRPr="008D112A">
        <w:rPr>
          <w:rFonts w:cs="Arial"/>
          <w:bCs/>
        </w:rPr>
        <w:t>moderation</w:t>
      </w:r>
      <w:r w:rsidR="00890FC2">
        <w:rPr>
          <w:rFonts w:cs="Arial"/>
          <w:bCs/>
        </w:rPr>
        <w:t xml:space="preserve"> score.</w:t>
      </w:r>
    </w:p>
    <w:p w14:paraId="24DAD632" w14:textId="77777777" w:rsidR="008D112A" w:rsidRPr="008D112A" w:rsidRDefault="008D112A" w:rsidP="00CD5562">
      <w:pPr>
        <w:pStyle w:val="ListParagraph"/>
        <w:ind w:left="2836"/>
        <w:jc w:val="both"/>
        <w:rPr>
          <w:rFonts w:cs="Arial"/>
          <w:bCs/>
        </w:rPr>
      </w:pPr>
    </w:p>
    <w:p w14:paraId="440B3B7A" w14:textId="283B0413" w:rsidR="00103001" w:rsidRDefault="007A5C93" w:rsidP="0085565B">
      <w:pPr>
        <w:pStyle w:val="ListParagraph"/>
        <w:numPr>
          <w:ilvl w:val="3"/>
          <w:numId w:val="8"/>
        </w:numPr>
        <w:contextualSpacing w:val="0"/>
        <w:jc w:val="both"/>
        <w:rPr>
          <w:rFonts w:cs="Arial"/>
          <w:bCs/>
        </w:rPr>
      </w:pPr>
      <w:r w:rsidRPr="00387F71">
        <w:rPr>
          <w:rFonts w:cs="Arial"/>
          <w:bCs/>
        </w:rPr>
        <w:t xml:space="preserve">To help ensure the integrity of the evaluation process, HMRC will use a panel of evaluators who will score the same question independently. </w:t>
      </w:r>
      <w:r w:rsidR="00073D73" w:rsidRPr="00073D73">
        <w:rPr>
          <w:rFonts w:cs="Arial"/>
          <w:bCs/>
        </w:rPr>
        <w:t xml:space="preserve">Each evaluator will then allocate a mark </w:t>
      </w:r>
      <w:r w:rsidR="0063028F">
        <w:rPr>
          <w:rFonts w:cs="Arial"/>
          <w:bCs/>
        </w:rPr>
        <w:t xml:space="preserve">and record </w:t>
      </w:r>
      <w:r w:rsidR="00E21E39">
        <w:rPr>
          <w:rFonts w:cs="Arial"/>
          <w:bCs/>
        </w:rPr>
        <w:t xml:space="preserve">corresponding </w:t>
      </w:r>
      <w:r w:rsidR="0063028F">
        <w:rPr>
          <w:rFonts w:cs="Arial"/>
          <w:bCs/>
        </w:rPr>
        <w:t xml:space="preserve">supporting rationale </w:t>
      </w:r>
      <w:r w:rsidR="00073D73" w:rsidRPr="00073D73">
        <w:rPr>
          <w:rFonts w:cs="Arial"/>
          <w:bCs/>
        </w:rPr>
        <w:t xml:space="preserve">for the answer in accordance with the Evaluation Criteria applicable to that question. It is not necessary that every panel member assesses every question, as subject matter resources (SMRs) may focus on specific question groupings. All individual scores are captured in the </w:t>
      </w:r>
      <w:r w:rsidR="007D2F0D">
        <w:rPr>
          <w:rFonts w:cs="Arial"/>
          <w:bCs/>
        </w:rPr>
        <w:t>e</w:t>
      </w:r>
      <w:r w:rsidR="00073D73" w:rsidRPr="00073D73">
        <w:rPr>
          <w:rFonts w:cs="Arial"/>
          <w:bCs/>
        </w:rPr>
        <w:t xml:space="preserve">valuator </w:t>
      </w:r>
      <w:r w:rsidR="007D2F0D">
        <w:rPr>
          <w:rFonts w:cs="Arial"/>
          <w:bCs/>
        </w:rPr>
        <w:t>s</w:t>
      </w:r>
      <w:r w:rsidR="00073D73" w:rsidRPr="00073D73">
        <w:rPr>
          <w:rFonts w:cs="Arial"/>
          <w:bCs/>
        </w:rPr>
        <w:t xml:space="preserve">coring </w:t>
      </w:r>
      <w:r w:rsidR="007D2F0D">
        <w:rPr>
          <w:rFonts w:cs="Arial"/>
          <w:bCs/>
        </w:rPr>
        <w:t>d</w:t>
      </w:r>
      <w:r w:rsidR="00073D73" w:rsidRPr="00073D73">
        <w:rPr>
          <w:rFonts w:cs="Arial"/>
          <w:bCs/>
        </w:rPr>
        <w:t xml:space="preserve">ocument to be discussed during the </w:t>
      </w:r>
      <w:r w:rsidR="007D2F0D">
        <w:rPr>
          <w:rFonts w:cs="Arial"/>
          <w:bCs/>
        </w:rPr>
        <w:t>m</w:t>
      </w:r>
      <w:r w:rsidR="00073D73" w:rsidRPr="00073D73">
        <w:rPr>
          <w:rFonts w:cs="Arial"/>
          <w:bCs/>
        </w:rPr>
        <w:t>oderation phase</w:t>
      </w:r>
      <w:r w:rsidR="00103001">
        <w:rPr>
          <w:rFonts w:cs="Arial"/>
          <w:bCs/>
        </w:rPr>
        <w:t>.</w:t>
      </w:r>
    </w:p>
    <w:p w14:paraId="3B3C499A" w14:textId="25FA5A4B" w:rsidR="00895067" w:rsidRDefault="007D2F0D" w:rsidP="0085565B">
      <w:pPr>
        <w:pStyle w:val="ListParagraph"/>
        <w:numPr>
          <w:ilvl w:val="3"/>
          <w:numId w:val="8"/>
        </w:numPr>
        <w:contextualSpacing w:val="0"/>
        <w:jc w:val="both"/>
        <w:rPr>
          <w:rFonts w:cs="Arial"/>
          <w:bCs/>
        </w:rPr>
      </w:pPr>
      <w:r>
        <w:rPr>
          <w:rFonts w:cs="Arial"/>
          <w:bCs/>
        </w:rPr>
        <w:t>A m</w:t>
      </w:r>
      <w:r w:rsidR="003A1749" w:rsidRPr="003A1749">
        <w:rPr>
          <w:rFonts w:cs="Arial"/>
          <w:bCs/>
        </w:rPr>
        <w:t>oderator will review the marks allocated by the individual evaluators before facilitating a group consensus marking (moderation) meeting.</w:t>
      </w:r>
      <w:r w:rsidR="00947D52">
        <w:rPr>
          <w:rFonts w:cs="Arial"/>
          <w:bCs/>
        </w:rPr>
        <w:t xml:space="preserve"> </w:t>
      </w:r>
    </w:p>
    <w:p w14:paraId="3FDE5816" w14:textId="0C71D720" w:rsidR="007A5C93" w:rsidRPr="003A1749" w:rsidRDefault="003A1749" w:rsidP="00CD5562">
      <w:pPr>
        <w:pStyle w:val="ListParagraph"/>
        <w:ind w:left="2126"/>
        <w:contextualSpacing w:val="0"/>
        <w:jc w:val="both"/>
        <w:rPr>
          <w:rFonts w:cs="Arial"/>
          <w:bCs/>
        </w:rPr>
      </w:pPr>
      <w:r w:rsidRPr="003A1749">
        <w:rPr>
          <w:rFonts w:cs="Arial"/>
          <w:bCs/>
        </w:rPr>
        <w:t xml:space="preserve">During the </w:t>
      </w:r>
      <w:r w:rsidR="007D2F0D">
        <w:rPr>
          <w:rFonts w:cs="Arial"/>
          <w:bCs/>
        </w:rPr>
        <w:t>g</w:t>
      </w:r>
      <w:r w:rsidRPr="003A1749">
        <w:rPr>
          <w:rFonts w:cs="Arial"/>
          <w:bCs/>
        </w:rPr>
        <w:t xml:space="preserve">roup consensus marking moderation meeting, the evaluators will discuss the independent marks until they reach a consensus regarding the marks that should be attributed to each </w:t>
      </w:r>
      <w:r w:rsidR="00433587">
        <w:rPr>
          <w:rFonts w:cs="Arial"/>
          <w:bCs/>
        </w:rPr>
        <w:t>Tenderer</w:t>
      </w:r>
      <w:r w:rsidR="0086106C">
        <w:rPr>
          <w:rFonts w:cs="Arial"/>
          <w:bCs/>
        </w:rPr>
        <w:t>'</w:t>
      </w:r>
      <w:r w:rsidR="007D2F0D">
        <w:rPr>
          <w:rFonts w:cs="Arial"/>
          <w:bCs/>
        </w:rPr>
        <w:t>s</w:t>
      </w:r>
      <w:r w:rsidRPr="003A1749">
        <w:rPr>
          <w:rFonts w:cs="Arial"/>
          <w:bCs/>
        </w:rPr>
        <w:t xml:space="preserve"> answer to each question. The </w:t>
      </w:r>
      <w:r w:rsidR="007D2F0D">
        <w:rPr>
          <w:rFonts w:cs="Arial"/>
          <w:bCs/>
        </w:rPr>
        <w:t>m</w:t>
      </w:r>
      <w:r w:rsidRPr="003A1749">
        <w:rPr>
          <w:rFonts w:cs="Arial"/>
          <w:bCs/>
        </w:rPr>
        <w:t>oderator will be responsible for recording consensus r</w:t>
      </w:r>
      <w:r w:rsidR="00DD0021">
        <w:rPr>
          <w:rFonts w:cs="Arial"/>
          <w:bCs/>
        </w:rPr>
        <w:t>ationale</w:t>
      </w:r>
      <w:r w:rsidRPr="003A1749">
        <w:rPr>
          <w:rFonts w:cs="Arial"/>
          <w:bCs/>
        </w:rPr>
        <w:t xml:space="preserve"> aligned to the specific evaluation criteria for each question</w:t>
      </w:r>
      <w:r w:rsidR="007B5944">
        <w:rPr>
          <w:rFonts w:cs="Arial"/>
          <w:bCs/>
        </w:rPr>
        <w:t xml:space="preserve"> and </w:t>
      </w:r>
      <w:r w:rsidR="005D6309">
        <w:rPr>
          <w:rFonts w:cs="Arial"/>
          <w:bCs/>
        </w:rPr>
        <w:t xml:space="preserve">separately </w:t>
      </w:r>
      <w:r w:rsidR="007B5944">
        <w:rPr>
          <w:rFonts w:cs="Arial"/>
          <w:bCs/>
        </w:rPr>
        <w:t>capturing</w:t>
      </w:r>
      <w:r w:rsidRPr="003A1749">
        <w:rPr>
          <w:rFonts w:cs="Arial"/>
          <w:bCs/>
        </w:rPr>
        <w:t xml:space="preserve"> </w:t>
      </w:r>
      <w:r w:rsidR="00316BDA">
        <w:rPr>
          <w:rFonts w:cs="Arial"/>
          <w:bCs/>
        </w:rPr>
        <w:t xml:space="preserve">any reasoning </w:t>
      </w:r>
      <w:r w:rsidRPr="003A1749">
        <w:rPr>
          <w:rFonts w:cs="Arial"/>
          <w:bCs/>
        </w:rPr>
        <w:t>by an evaluator where the consensus score</w:t>
      </w:r>
      <w:r w:rsidR="00472C3F">
        <w:rPr>
          <w:rFonts w:cs="Arial"/>
          <w:bCs/>
        </w:rPr>
        <w:t xml:space="preserve"> </w:t>
      </w:r>
      <w:r w:rsidRPr="003A1749">
        <w:rPr>
          <w:rFonts w:cs="Arial"/>
          <w:bCs/>
        </w:rPr>
        <w:t>differs from their original score</w:t>
      </w:r>
      <w:r w:rsidR="004023CA" w:rsidRPr="003A1749">
        <w:rPr>
          <w:rFonts w:cs="Arial"/>
          <w:bCs/>
        </w:rPr>
        <w:t>.</w:t>
      </w:r>
      <w:r w:rsidR="007A5C93" w:rsidRPr="003A1749">
        <w:rPr>
          <w:rFonts w:cs="Arial"/>
          <w:bCs/>
        </w:rPr>
        <w:t xml:space="preserve"> </w:t>
      </w:r>
    </w:p>
    <w:p w14:paraId="284247CD" w14:textId="5E709B18" w:rsidR="000467FE" w:rsidRPr="009E4B8B" w:rsidRDefault="000467FE" w:rsidP="0085565B">
      <w:pPr>
        <w:pStyle w:val="ListParagraph"/>
        <w:numPr>
          <w:ilvl w:val="3"/>
          <w:numId w:val="8"/>
        </w:numPr>
        <w:contextualSpacing w:val="0"/>
        <w:jc w:val="both"/>
        <w:rPr>
          <w:rFonts w:cs="Arial"/>
        </w:rPr>
      </w:pPr>
      <w:r w:rsidRPr="009E4B8B">
        <w:rPr>
          <w:rFonts w:cs="Arial"/>
        </w:rPr>
        <w:t>Where the discussion between relevant panel members and the moderator is unable to yield a consensus score, the evaluators and moderator will re-convene at least 24 hours’ later to undertake the process again in a re-moderation session.</w:t>
      </w:r>
      <w:r w:rsidR="00031258">
        <w:rPr>
          <w:rFonts w:cs="Arial"/>
        </w:rPr>
        <w:t xml:space="preserve"> Where a consensus is still not achieved, the moderator can take a majority consensus from the evaluators and will record the consensus rationale for that consensus from that majority. </w:t>
      </w:r>
    </w:p>
    <w:p w14:paraId="5D28EBF1" w14:textId="68256CDE" w:rsidR="0036700A" w:rsidRPr="00756EE9" w:rsidRDefault="0036700A" w:rsidP="0085565B">
      <w:pPr>
        <w:pStyle w:val="ListParagraph"/>
        <w:numPr>
          <w:ilvl w:val="3"/>
          <w:numId w:val="8"/>
        </w:numPr>
        <w:contextualSpacing w:val="0"/>
        <w:jc w:val="both"/>
        <w:rPr>
          <w:rFonts w:cs="Arial"/>
          <w:bCs/>
        </w:rPr>
      </w:pPr>
      <w:r w:rsidRPr="00756EE9">
        <w:rPr>
          <w:rFonts w:cs="Arial"/>
          <w:bCs/>
        </w:rPr>
        <w:t xml:space="preserve">The relevant question weighting will then be applied to the </w:t>
      </w:r>
      <w:r w:rsidR="00484CA5" w:rsidRPr="00756EE9">
        <w:rPr>
          <w:rFonts w:cs="Arial"/>
          <w:bCs/>
        </w:rPr>
        <w:t xml:space="preserve">moderated </w:t>
      </w:r>
      <w:r w:rsidRPr="00756EE9">
        <w:rPr>
          <w:rFonts w:cs="Arial"/>
          <w:bCs/>
        </w:rPr>
        <w:t xml:space="preserve">score </w:t>
      </w:r>
      <w:r w:rsidR="002473C2" w:rsidRPr="00756EE9">
        <w:rPr>
          <w:rFonts w:cs="Arial"/>
          <w:bCs/>
        </w:rPr>
        <w:t xml:space="preserve">to produce a </w:t>
      </w:r>
      <w:r w:rsidR="00F826AD" w:rsidRPr="00756EE9">
        <w:rPr>
          <w:rFonts w:cs="Arial"/>
          <w:bCs/>
        </w:rPr>
        <w:t>final</w:t>
      </w:r>
      <w:r w:rsidR="002473C2" w:rsidRPr="00756EE9">
        <w:rPr>
          <w:rFonts w:cs="Arial"/>
          <w:bCs/>
        </w:rPr>
        <w:t xml:space="preserve"> score</w:t>
      </w:r>
      <w:r w:rsidR="00F826AD" w:rsidRPr="00756EE9">
        <w:rPr>
          <w:rFonts w:cs="Arial"/>
          <w:bCs/>
        </w:rPr>
        <w:t xml:space="preserve"> for that question</w:t>
      </w:r>
      <w:r w:rsidR="00044DBA" w:rsidRPr="00756EE9">
        <w:rPr>
          <w:rFonts w:cs="Arial"/>
          <w:bCs/>
        </w:rPr>
        <w:t>.</w:t>
      </w:r>
      <w:r w:rsidR="0071388E" w:rsidRPr="00756EE9">
        <w:rPr>
          <w:rFonts w:cs="Arial"/>
          <w:bCs/>
        </w:rPr>
        <w:t xml:space="preserve"> </w:t>
      </w:r>
      <w:r w:rsidR="00044DBA" w:rsidRPr="00756EE9">
        <w:rPr>
          <w:rFonts w:cs="Arial"/>
          <w:bCs/>
        </w:rPr>
        <w:t>For example,</w:t>
      </w:r>
      <w:r w:rsidRPr="00756EE9">
        <w:rPr>
          <w:rFonts w:cs="Arial"/>
          <w:bCs/>
        </w:rPr>
        <w:t xml:space="preserve"> if the question </w:t>
      </w:r>
      <w:r w:rsidR="00AE2EDE">
        <w:rPr>
          <w:rFonts w:cs="Arial"/>
          <w:bCs/>
        </w:rPr>
        <w:t>had a</w:t>
      </w:r>
      <w:r w:rsidRPr="00756EE9">
        <w:rPr>
          <w:rFonts w:cs="Arial"/>
          <w:bCs/>
        </w:rPr>
        <w:t xml:space="preserve"> weigh</w:t>
      </w:r>
      <w:r w:rsidR="00AE2EDE">
        <w:rPr>
          <w:rFonts w:cs="Arial"/>
          <w:bCs/>
        </w:rPr>
        <w:t>ed</w:t>
      </w:r>
      <w:r w:rsidRPr="00756EE9">
        <w:rPr>
          <w:rFonts w:cs="Arial"/>
          <w:bCs/>
        </w:rPr>
        <w:t xml:space="preserve"> </w:t>
      </w:r>
      <w:r w:rsidR="00AE2EDE">
        <w:rPr>
          <w:rFonts w:cs="Arial"/>
          <w:bCs/>
        </w:rPr>
        <w:t xml:space="preserve">score of </w:t>
      </w:r>
      <w:r w:rsidRPr="00756EE9">
        <w:rPr>
          <w:rFonts w:cs="Arial"/>
          <w:bCs/>
        </w:rPr>
        <w:t>1</w:t>
      </w:r>
      <w:r w:rsidR="003772DC">
        <w:rPr>
          <w:rFonts w:cs="Arial"/>
          <w:bCs/>
        </w:rPr>
        <w:t>0</w:t>
      </w:r>
      <w:r w:rsidRPr="00756EE9">
        <w:rPr>
          <w:rFonts w:cs="Arial"/>
          <w:bCs/>
        </w:rPr>
        <w:t xml:space="preserve"> and the response scored </w:t>
      </w:r>
      <w:r w:rsidR="00CD7475" w:rsidRPr="00756EE9">
        <w:rPr>
          <w:rFonts w:cs="Arial"/>
          <w:bCs/>
        </w:rPr>
        <w:t>50</w:t>
      </w:r>
      <w:r w:rsidRPr="00756EE9">
        <w:rPr>
          <w:rFonts w:cs="Arial"/>
          <w:bCs/>
        </w:rPr>
        <w:t xml:space="preserve">/100, the </w:t>
      </w:r>
      <w:r w:rsidR="00433587">
        <w:rPr>
          <w:rFonts w:cs="Arial"/>
          <w:bCs/>
        </w:rPr>
        <w:t>Tenderer</w:t>
      </w:r>
      <w:r w:rsidRPr="00756EE9">
        <w:rPr>
          <w:rFonts w:cs="Arial"/>
          <w:bCs/>
        </w:rPr>
        <w:t xml:space="preserve"> would receive a weighted score of </w:t>
      </w:r>
      <w:r w:rsidR="00AE2EDE">
        <w:rPr>
          <w:rFonts w:cs="Arial"/>
          <w:bCs/>
        </w:rPr>
        <w:t>5</w:t>
      </w:r>
      <w:r w:rsidRPr="00756EE9">
        <w:rPr>
          <w:rFonts w:cs="Arial"/>
          <w:bCs/>
        </w:rPr>
        <w:t>.</w:t>
      </w:r>
    </w:p>
    <w:p w14:paraId="2DEC7F35" w14:textId="4FC7187A" w:rsidR="0071388E" w:rsidRPr="00387F71" w:rsidRDefault="0071388E" w:rsidP="0085565B">
      <w:pPr>
        <w:pStyle w:val="ListParagraph"/>
        <w:numPr>
          <w:ilvl w:val="3"/>
          <w:numId w:val="8"/>
        </w:numPr>
        <w:contextualSpacing w:val="0"/>
        <w:jc w:val="both"/>
        <w:rPr>
          <w:rFonts w:cs="Arial"/>
        </w:rPr>
      </w:pPr>
      <w:r w:rsidRPr="00387F71">
        <w:rPr>
          <w:rFonts w:cs="Arial"/>
        </w:rPr>
        <w:t xml:space="preserve">The evaluators are not permitted to assign partial scores against any of the questions (for example giving a score of </w:t>
      </w:r>
      <w:r w:rsidR="00CD7475" w:rsidRPr="00387F71">
        <w:rPr>
          <w:rFonts w:cs="Arial"/>
        </w:rPr>
        <w:t>6</w:t>
      </w:r>
      <w:r w:rsidR="00E73F95">
        <w:rPr>
          <w:rFonts w:cs="Arial"/>
        </w:rPr>
        <w:t>5</w:t>
      </w:r>
      <w:r w:rsidRPr="00387F71">
        <w:rPr>
          <w:rFonts w:cs="Arial"/>
        </w:rPr>
        <w:t xml:space="preserve">). However, any partial scores </w:t>
      </w:r>
      <w:r w:rsidR="0084304B" w:rsidRPr="00387F71">
        <w:rPr>
          <w:rFonts w:cs="Arial"/>
        </w:rPr>
        <w:t>resulting from the weighting process</w:t>
      </w:r>
      <w:r w:rsidRPr="00387F71">
        <w:rPr>
          <w:rFonts w:cs="Arial"/>
        </w:rPr>
        <w:t xml:space="preserve"> will be rounded to two decimal places.</w:t>
      </w:r>
    </w:p>
    <w:p w14:paraId="437340A5" w14:textId="3C5CF385" w:rsidR="00044DBA" w:rsidRPr="00E03ED0" w:rsidRDefault="0036700A" w:rsidP="0085565B">
      <w:pPr>
        <w:pStyle w:val="ListParagraph"/>
        <w:numPr>
          <w:ilvl w:val="3"/>
          <w:numId w:val="8"/>
        </w:numPr>
        <w:contextualSpacing w:val="0"/>
        <w:jc w:val="both"/>
        <w:rPr>
          <w:rFonts w:cs="Arial"/>
        </w:rPr>
      </w:pPr>
      <w:r w:rsidRPr="003F3AFE">
        <w:rPr>
          <w:rFonts w:cs="Arial"/>
        </w:rPr>
        <w:t xml:space="preserve">The Award Questionnaire may include pass/fail questions. If a </w:t>
      </w:r>
      <w:r w:rsidR="00433587">
        <w:rPr>
          <w:rFonts w:cs="Arial"/>
        </w:rPr>
        <w:t>Tenderer</w:t>
      </w:r>
      <w:r w:rsidRPr="003F3AFE">
        <w:rPr>
          <w:rFonts w:cs="Arial"/>
        </w:rPr>
        <w:t xml:space="preserve"> attains a </w:t>
      </w:r>
      <w:proofErr w:type="gramStart"/>
      <w:r w:rsidRPr="003F3AFE">
        <w:rPr>
          <w:rFonts w:cs="Arial"/>
        </w:rPr>
        <w:t>fail</w:t>
      </w:r>
      <w:proofErr w:type="gramEnd"/>
      <w:r w:rsidRPr="003F3AFE">
        <w:rPr>
          <w:rFonts w:cs="Arial"/>
        </w:rPr>
        <w:t xml:space="preserve"> (in line with the evaluation </w:t>
      </w:r>
      <w:r w:rsidRPr="003F3AFE">
        <w:rPr>
          <w:rFonts w:cs="Arial"/>
          <w:bCs/>
        </w:rPr>
        <w:t>criteria</w:t>
      </w:r>
      <w:r w:rsidRPr="003F3AFE">
        <w:rPr>
          <w:rFonts w:cs="Arial"/>
        </w:rPr>
        <w:t xml:space="preserve">) in </w:t>
      </w:r>
      <w:r w:rsidRPr="00760CF9">
        <w:rPr>
          <w:rFonts w:cs="Arial"/>
        </w:rPr>
        <w:t>response to any of the award questionnaire</w:t>
      </w:r>
      <w:r w:rsidR="00FA7A3F">
        <w:rPr>
          <w:rFonts w:cs="Arial"/>
        </w:rPr>
        <w:t xml:space="preserve"> pass/fail </w:t>
      </w:r>
      <w:r w:rsidRPr="00760CF9">
        <w:rPr>
          <w:rFonts w:cs="Arial"/>
        </w:rPr>
        <w:t xml:space="preserve">questions, the tender </w:t>
      </w:r>
      <w:r w:rsidRPr="00760CF9">
        <w:rPr>
          <w:rFonts w:cs="Arial"/>
          <w:bCs/>
        </w:rPr>
        <w:t>will</w:t>
      </w:r>
      <w:r w:rsidRPr="00760CF9">
        <w:rPr>
          <w:rFonts w:cs="Arial"/>
        </w:rPr>
        <w:t xml:space="preserve"> be rejected</w:t>
      </w:r>
      <w:r w:rsidR="00760CF9" w:rsidRPr="00760CF9">
        <w:rPr>
          <w:rFonts w:cs="Arial"/>
        </w:rPr>
        <w:t xml:space="preserve"> </w:t>
      </w:r>
      <w:r w:rsidR="00760CF9" w:rsidRPr="00CD5562">
        <w:rPr>
          <w:rStyle w:val="cf01"/>
          <w:rFonts w:ascii="Arial" w:hAnsi="Arial" w:cs="Arial"/>
          <w:sz w:val="22"/>
          <w:szCs w:val="22"/>
        </w:rPr>
        <w:t>(for the avoidance of doubt whenever a tender is rejected</w:t>
      </w:r>
      <w:r w:rsidR="00FA7A3F">
        <w:rPr>
          <w:rStyle w:val="cf01"/>
          <w:rFonts w:ascii="Arial" w:hAnsi="Arial" w:cs="Arial"/>
          <w:sz w:val="22"/>
          <w:szCs w:val="22"/>
        </w:rPr>
        <w:t xml:space="preserve"> within this process,</w:t>
      </w:r>
      <w:r w:rsidR="00760CF9" w:rsidRPr="00CD5562">
        <w:rPr>
          <w:rStyle w:val="cf01"/>
          <w:rFonts w:ascii="Arial" w:hAnsi="Arial" w:cs="Arial"/>
          <w:sz w:val="22"/>
          <w:szCs w:val="22"/>
        </w:rPr>
        <w:t xml:space="preserve"> the </w:t>
      </w:r>
      <w:r w:rsidR="00433587">
        <w:rPr>
          <w:rStyle w:val="cf01"/>
          <w:rFonts w:ascii="Arial" w:hAnsi="Arial" w:cs="Arial"/>
          <w:sz w:val="22"/>
          <w:szCs w:val="22"/>
        </w:rPr>
        <w:t>Tenderer</w:t>
      </w:r>
      <w:r w:rsidR="00760CF9" w:rsidRPr="00CD5562">
        <w:rPr>
          <w:rStyle w:val="cf01"/>
          <w:rFonts w:ascii="Arial" w:hAnsi="Arial" w:cs="Arial"/>
          <w:sz w:val="22"/>
          <w:szCs w:val="22"/>
        </w:rPr>
        <w:t xml:space="preserve"> is excluded from the competition)</w:t>
      </w:r>
      <w:r w:rsidRPr="00760CF9">
        <w:rPr>
          <w:rFonts w:cs="Arial"/>
        </w:rPr>
        <w:t>.</w:t>
      </w:r>
      <w:r w:rsidRPr="00E03ED0">
        <w:t xml:space="preserve"> </w:t>
      </w:r>
    </w:p>
    <w:p w14:paraId="6181A0F0" w14:textId="4491D731" w:rsidR="00D2535D" w:rsidRDefault="00D2535D" w:rsidP="0085565B">
      <w:pPr>
        <w:pStyle w:val="ListParagraph"/>
        <w:numPr>
          <w:ilvl w:val="3"/>
          <w:numId w:val="8"/>
        </w:numPr>
        <w:contextualSpacing w:val="0"/>
        <w:jc w:val="both"/>
        <w:rPr>
          <w:rFonts w:cs="Arial"/>
        </w:rPr>
      </w:pPr>
      <w:r w:rsidRPr="00963B92">
        <w:rPr>
          <w:rFonts w:cs="Arial"/>
        </w:rPr>
        <w:t xml:space="preserve">The </w:t>
      </w:r>
      <w:r w:rsidR="003F52F4" w:rsidRPr="00963B92">
        <w:rPr>
          <w:rFonts w:cs="Arial"/>
        </w:rPr>
        <w:t xml:space="preserve">weighted scores </w:t>
      </w:r>
      <w:r w:rsidR="005F6131" w:rsidRPr="00963B92">
        <w:rPr>
          <w:rFonts w:cs="Arial"/>
        </w:rPr>
        <w:t xml:space="preserve">achieved for each quality question </w:t>
      </w:r>
      <w:r w:rsidR="003F52F4" w:rsidRPr="00963B92">
        <w:rPr>
          <w:rFonts w:cs="Arial"/>
        </w:rPr>
        <w:t>will be added together, to give a total quality score out of 100</w:t>
      </w:r>
      <w:r w:rsidR="008B673B">
        <w:rPr>
          <w:rFonts w:cs="Arial"/>
        </w:rPr>
        <w:t>.</w:t>
      </w:r>
    </w:p>
    <w:p w14:paraId="6438118F" w14:textId="5191C2D0" w:rsidR="007629AD" w:rsidRPr="003F3AFE" w:rsidRDefault="007629AD" w:rsidP="0085565B">
      <w:pPr>
        <w:pStyle w:val="ListParagraph"/>
        <w:numPr>
          <w:ilvl w:val="3"/>
          <w:numId w:val="8"/>
        </w:numPr>
        <w:contextualSpacing w:val="0"/>
        <w:jc w:val="both"/>
        <w:rPr>
          <w:rFonts w:cs="Arial"/>
        </w:rPr>
      </w:pPr>
      <w:r w:rsidRPr="003F3AFE">
        <w:rPr>
          <w:rFonts w:cs="Arial"/>
        </w:rPr>
        <w:t xml:space="preserve">HMRC will reject </w:t>
      </w:r>
      <w:r w:rsidR="00322E9C" w:rsidRPr="003F3AFE">
        <w:rPr>
          <w:rFonts w:cs="Arial"/>
        </w:rPr>
        <w:t>the</w:t>
      </w:r>
      <w:r w:rsidRPr="003F3AFE">
        <w:rPr>
          <w:rFonts w:cs="Arial"/>
        </w:rPr>
        <w:t xml:space="preserve"> </w:t>
      </w:r>
      <w:r w:rsidR="00433587">
        <w:rPr>
          <w:rFonts w:cs="Arial"/>
        </w:rPr>
        <w:t>Tenderer</w:t>
      </w:r>
      <w:r w:rsidRPr="003F3AFE">
        <w:rPr>
          <w:rFonts w:cs="Arial"/>
        </w:rPr>
        <w:t xml:space="preserve">’s entire tender submission where the </w:t>
      </w:r>
      <w:r w:rsidR="00433587">
        <w:rPr>
          <w:rFonts w:cs="Arial"/>
        </w:rPr>
        <w:t>Tenderer</w:t>
      </w:r>
      <w:r w:rsidRPr="003F3AFE">
        <w:rPr>
          <w:rFonts w:cs="Arial"/>
        </w:rPr>
        <w:t>’s total quality score is below 50</w:t>
      </w:r>
      <w:r w:rsidR="00BE26E7" w:rsidRPr="003F3AFE">
        <w:rPr>
          <w:rFonts w:cs="Arial"/>
        </w:rPr>
        <w:t xml:space="preserve"> </w:t>
      </w:r>
      <w:r w:rsidR="0022741A" w:rsidRPr="003F3AFE">
        <w:rPr>
          <w:rFonts w:cs="Arial"/>
        </w:rPr>
        <w:t>unless</w:t>
      </w:r>
      <w:r w:rsidR="005D7801" w:rsidRPr="003F3AFE">
        <w:rPr>
          <w:rFonts w:cs="Arial"/>
        </w:rPr>
        <w:t xml:space="preserve"> th</w:t>
      </w:r>
      <w:r w:rsidR="00C95D04" w:rsidRPr="003F3AFE">
        <w:rPr>
          <w:rFonts w:cs="Arial"/>
        </w:rPr>
        <w:t xml:space="preserve">e </w:t>
      </w:r>
      <w:r w:rsidR="00433587">
        <w:rPr>
          <w:rFonts w:cs="Arial"/>
        </w:rPr>
        <w:t>Tenderer</w:t>
      </w:r>
      <w:r w:rsidR="00C95D04" w:rsidRPr="003F3AFE">
        <w:rPr>
          <w:rFonts w:cs="Arial"/>
        </w:rPr>
        <w:t>’s</w:t>
      </w:r>
      <w:r w:rsidR="005D7801" w:rsidRPr="003F3AFE">
        <w:rPr>
          <w:rFonts w:cs="Arial"/>
        </w:rPr>
        <w:t xml:space="preserve"> total quality score is</w:t>
      </w:r>
      <w:r w:rsidR="0098774D" w:rsidRPr="003F3AFE">
        <w:rPr>
          <w:rFonts w:cs="Arial"/>
        </w:rPr>
        <w:t xml:space="preserve"> the </w:t>
      </w:r>
      <w:r w:rsidR="00CD7935" w:rsidRPr="003F3AFE">
        <w:rPr>
          <w:rFonts w:cs="Arial"/>
        </w:rPr>
        <w:t>highest</w:t>
      </w:r>
      <w:r w:rsidR="00ED0F0B" w:rsidRPr="003F3AFE">
        <w:rPr>
          <w:rFonts w:cs="Arial"/>
        </w:rPr>
        <w:t xml:space="preserve"> or </w:t>
      </w:r>
      <w:r w:rsidR="0098774D" w:rsidRPr="003F3AFE">
        <w:rPr>
          <w:rFonts w:cs="Arial"/>
        </w:rPr>
        <w:t>second highest</w:t>
      </w:r>
      <w:r w:rsidR="00ED0F0B" w:rsidRPr="003F3AFE">
        <w:rPr>
          <w:rFonts w:cs="Arial"/>
        </w:rPr>
        <w:t xml:space="preserve"> </w:t>
      </w:r>
      <w:r w:rsidR="009E7C2F" w:rsidRPr="003F3AFE">
        <w:rPr>
          <w:rFonts w:cs="Arial"/>
        </w:rPr>
        <w:t xml:space="preserve">total quality score </w:t>
      </w:r>
      <w:r w:rsidR="00B1084B" w:rsidRPr="003F3AFE">
        <w:rPr>
          <w:rFonts w:cs="Arial"/>
        </w:rPr>
        <w:t>out of all tenders.</w:t>
      </w:r>
      <w:r w:rsidR="007B5735" w:rsidRPr="003F3AFE">
        <w:rPr>
          <w:rFonts w:cs="Arial"/>
        </w:rPr>
        <w:t xml:space="preserve"> </w:t>
      </w:r>
    </w:p>
    <w:p w14:paraId="657A014D" w14:textId="0FFB877D" w:rsidR="0036700A" w:rsidRPr="00387F71" w:rsidRDefault="0036700A" w:rsidP="0085565B">
      <w:pPr>
        <w:pStyle w:val="ListParagraph"/>
        <w:keepNext/>
        <w:numPr>
          <w:ilvl w:val="2"/>
          <w:numId w:val="8"/>
        </w:numPr>
        <w:ind w:left="1418"/>
        <w:contextualSpacing w:val="0"/>
        <w:jc w:val="both"/>
        <w:rPr>
          <w:rFonts w:cs="Arial"/>
          <w:b/>
        </w:rPr>
      </w:pPr>
      <w:r w:rsidRPr="00387F71">
        <w:rPr>
          <w:rFonts w:cs="Arial"/>
          <w:b/>
        </w:rPr>
        <w:t xml:space="preserve">Cost </w:t>
      </w:r>
      <w:r w:rsidR="003E279E" w:rsidRPr="00387F71">
        <w:rPr>
          <w:rFonts w:cs="Arial"/>
          <w:b/>
        </w:rPr>
        <w:t>Submission</w:t>
      </w:r>
    </w:p>
    <w:p w14:paraId="71561E62" w14:textId="5C851025" w:rsidR="004E126E" w:rsidRPr="00387F71" w:rsidRDefault="00433587" w:rsidP="0085565B">
      <w:pPr>
        <w:pStyle w:val="ListParagraph"/>
        <w:numPr>
          <w:ilvl w:val="3"/>
          <w:numId w:val="8"/>
        </w:numPr>
        <w:contextualSpacing w:val="0"/>
        <w:jc w:val="both"/>
        <w:rPr>
          <w:rFonts w:cs="Arial"/>
          <w:bCs/>
        </w:rPr>
      </w:pPr>
      <w:r>
        <w:rPr>
          <w:rFonts w:cs="Arial"/>
          <w:bCs/>
        </w:rPr>
        <w:t>Tenderer</w:t>
      </w:r>
      <w:r w:rsidR="00646F60" w:rsidRPr="00387F71">
        <w:rPr>
          <w:rFonts w:cs="Arial"/>
          <w:bCs/>
        </w:rPr>
        <w:t>s must c</w:t>
      </w:r>
      <w:r w:rsidR="00352B37" w:rsidRPr="00387F71">
        <w:rPr>
          <w:rFonts w:cs="Arial"/>
          <w:bCs/>
        </w:rPr>
        <w:t xml:space="preserve">omplete the cost submission </w:t>
      </w:r>
      <w:r w:rsidR="003C543D" w:rsidRPr="00387F71">
        <w:rPr>
          <w:rFonts w:cs="Arial"/>
          <w:bCs/>
        </w:rPr>
        <w:t>question/</w:t>
      </w:r>
      <w:r w:rsidR="00292B7A" w:rsidRPr="00387F71">
        <w:rPr>
          <w:rFonts w:cs="Arial"/>
          <w:bCs/>
        </w:rPr>
        <w:t xml:space="preserve">document </w:t>
      </w:r>
      <w:r w:rsidR="00352B37" w:rsidRPr="00387F71">
        <w:rPr>
          <w:rFonts w:cs="Arial"/>
          <w:bCs/>
        </w:rPr>
        <w:t>in ful</w:t>
      </w:r>
      <w:r w:rsidR="00367F67" w:rsidRPr="00387F71">
        <w:rPr>
          <w:rFonts w:cs="Arial"/>
          <w:bCs/>
        </w:rPr>
        <w:t>l</w:t>
      </w:r>
      <w:r w:rsidR="0040646E">
        <w:rPr>
          <w:rFonts w:cs="Arial"/>
          <w:bCs/>
        </w:rPr>
        <w:t xml:space="preserve"> at both ITSIT and ITSFT stage</w:t>
      </w:r>
      <w:r w:rsidR="00367F67" w:rsidRPr="00387F71">
        <w:rPr>
          <w:rFonts w:cs="Arial"/>
          <w:bCs/>
        </w:rPr>
        <w:t xml:space="preserve">. HMRC reserve the right to reject a </w:t>
      </w:r>
      <w:r>
        <w:rPr>
          <w:rFonts w:cs="Arial"/>
          <w:bCs/>
        </w:rPr>
        <w:t>Tenderer</w:t>
      </w:r>
      <w:r w:rsidR="005610BE" w:rsidRPr="00387F71">
        <w:rPr>
          <w:rFonts w:cs="Arial"/>
          <w:bCs/>
        </w:rPr>
        <w:t xml:space="preserve">’s </w:t>
      </w:r>
      <w:r w:rsidR="00E752A7" w:rsidRPr="00387F71">
        <w:rPr>
          <w:rFonts w:cs="Arial"/>
          <w:bCs/>
        </w:rPr>
        <w:t xml:space="preserve">entire tender submission </w:t>
      </w:r>
      <w:r w:rsidR="00780644">
        <w:rPr>
          <w:rFonts w:cs="Arial"/>
          <w:bCs/>
        </w:rPr>
        <w:t xml:space="preserve">at either stage </w:t>
      </w:r>
      <w:r w:rsidR="00292B7A" w:rsidRPr="00387F71">
        <w:rPr>
          <w:rFonts w:cs="Arial"/>
          <w:bCs/>
        </w:rPr>
        <w:t xml:space="preserve">where </w:t>
      </w:r>
      <w:r w:rsidR="00DC1E5E" w:rsidRPr="00387F71">
        <w:rPr>
          <w:rFonts w:cs="Arial"/>
          <w:bCs/>
        </w:rPr>
        <w:t xml:space="preserve">the cost submission </w:t>
      </w:r>
      <w:r w:rsidR="003E3BFB" w:rsidRPr="00387F71">
        <w:rPr>
          <w:rFonts w:cs="Arial"/>
          <w:bCs/>
        </w:rPr>
        <w:t>question/</w:t>
      </w:r>
      <w:r w:rsidR="00DC1E5E" w:rsidRPr="00387F71">
        <w:rPr>
          <w:rFonts w:cs="Arial"/>
          <w:bCs/>
        </w:rPr>
        <w:t xml:space="preserve">document is not fully </w:t>
      </w:r>
      <w:r w:rsidR="0057169D" w:rsidRPr="00387F71">
        <w:rPr>
          <w:rFonts w:cs="Arial"/>
          <w:bCs/>
        </w:rPr>
        <w:t>completed or</w:t>
      </w:r>
      <w:r w:rsidR="00DC1E5E" w:rsidRPr="00387F71">
        <w:rPr>
          <w:rFonts w:cs="Arial"/>
          <w:bCs/>
        </w:rPr>
        <w:t xml:space="preserve"> contains erroneous </w:t>
      </w:r>
      <w:r w:rsidR="00DC1E5E" w:rsidRPr="00760CF9">
        <w:rPr>
          <w:rFonts w:cs="Arial"/>
          <w:bCs/>
        </w:rPr>
        <w:t>information</w:t>
      </w:r>
      <w:r w:rsidR="003E4A28" w:rsidRPr="00760CF9">
        <w:rPr>
          <w:rFonts w:cs="Arial"/>
          <w:bCs/>
        </w:rPr>
        <w:t>.</w:t>
      </w:r>
      <w:r w:rsidR="00760CF9" w:rsidRPr="00760CF9">
        <w:rPr>
          <w:rFonts w:cs="Arial"/>
        </w:rPr>
        <w:t xml:space="preserve"> </w:t>
      </w:r>
      <w:r w:rsidR="00760CF9" w:rsidRPr="00CD5562">
        <w:rPr>
          <w:rStyle w:val="cf01"/>
          <w:rFonts w:ascii="Arial" w:hAnsi="Arial" w:cs="Arial"/>
          <w:sz w:val="22"/>
          <w:szCs w:val="22"/>
        </w:rPr>
        <w:t xml:space="preserve">HMRC reserves the right to clarify any point with a </w:t>
      </w:r>
      <w:r>
        <w:rPr>
          <w:rStyle w:val="cf01"/>
          <w:rFonts w:ascii="Arial" w:hAnsi="Arial" w:cs="Arial"/>
          <w:sz w:val="22"/>
          <w:szCs w:val="22"/>
        </w:rPr>
        <w:t>Tenderer</w:t>
      </w:r>
      <w:r w:rsidR="00760CF9" w:rsidRPr="00CD5562">
        <w:rPr>
          <w:rStyle w:val="cf01"/>
          <w:rFonts w:ascii="Arial" w:hAnsi="Arial" w:cs="Arial"/>
          <w:sz w:val="22"/>
          <w:szCs w:val="22"/>
        </w:rPr>
        <w:t xml:space="preserve"> where there appears to be an obvious error such that it can be corrected.</w:t>
      </w:r>
      <w:r w:rsidR="00760CF9">
        <w:rPr>
          <w:rFonts w:cs="Arial"/>
          <w:bCs/>
        </w:rPr>
        <w:t xml:space="preserve"> </w:t>
      </w:r>
    </w:p>
    <w:p w14:paraId="43EFA6A6" w14:textId="0A161B91" w:rsidR="0036700A" w:rsidRPr="00387F71" w:rsidRDefault="0036700A" w:rsidP="0085565B">
      <w:pPr>
        <w:pStyle w:val="ListParagraph"/>
        <w:numPr>
          <w:ilvl w:val="3"/>
          <w:numId w:val="8"/>
        </w:numPr>
        <w:contextualSpacing w:val="0"/>
        <w:jc w:val="both"/>
        <w:rPr>
          <w:rFonts w:cs="Arial"/>
          <w:bCs/>
        </w:rPr>
      </w:pPr>
      <w:bookmarkStart w:id="123" w:name="_Ref94108227"/>
      <w:r w:rsidRPr="00387F71">
        <w:rPr>
          <w:rFonts w:cs="Arial"/>
          <w:bCs/>
        </w:rPr>
        <w:t xml:space="preserve">HMRC may challenge any </w:t>
      </w:r>
      <w:r w:rsidR="00F945CD" w:rsidRPr="00387F71">
        <w:rPr>
          <w:rFonts w:cs="Arial"/>
          <w:bCs/>
        </w:rPr>
        <w:t>tender</w:t>
      </w:r>
      <w:r w:rsidRPr="00387F71">
        <w:rPr>
          <w:rFonts w:cs="Arial"/>
          <w:bCs/>
        </w:rPr>
        <w:t xml:space="preserve"> </w:t>
      </w:r>
      <w:r w:rsidR="009E3CE9" w:rsidRPr="00387F71">
        <w:rPr>
          <w:rFonts w:cs="Arial"/>
          <w:bCs/>
        </w:rPr>
        <w:t>that it deems</w:t>
      </w:r>
      <w:r w:rsidRPr="00387F71">
        <w:rPr>
          <w:rFonts w:cs="Arial"/>
          <w:bCs/>
        </w:rPr>
        <w:t xml:space="preserve"> to </w:t>
      </w:r>
      <w:r w:rsidR="00795280" w:rsidRPr="00387F71">
        <w:rPr>
          <w:rFonts w:cs="Arial"/>
          <w:bCs/>
        </w:rPr>
        <w:t xml:space="preserve">appear </w:t>
      </w:r>
      <w:r w:rsidRPr="00387F71">
        <w:rPr>
          <w:rFonts w:cs="Arial"/>
          <w:bCs/>
        </w:rPr>
        <w:t xml:space="preserve">abnormally low and reserves the right to reject such </w:t>
      </w:r>
      <w:r w:rsidR="00F945CD" w:rsidRPr="00387F71">
        <w:rPr>
          <w:rFonts w:cs="Arial"/>
          <w:bCs/>
        </w:rPr>
        <w:t>tenders</w:t>
      </w:r>
      <w:r w:rsidRPr="00387F71">
        <w:rPr>
          <w:rFonts w:cs="Arial"/>
          <w:bCs/>
        </w:rPr>
        <w:t xml:space="preserve"> in line with </w:t>
      </w:r>
      <w:r w:rsidR="005348BD">
        <w:rPr>
          <w:rFonts w:cs="Arial"/>
          <w:bCs/>
        </w:rPr>
        <w:t>S</w:t>
      </w:r>
      <w:r w:rsidR="00F74C4C" w:rsidRPr="00387F71">
        <w:rPr>
          <w:rFonts w:cs="Arial"/>
          <w:bCs/>
        </w:rPr>
        <w:t>ection</w:t>
      </w:r>
      <w:r w:rsidRPr="00387F71">
        <w:rPr>
          <w:rFonts w:cs="Arial"/>
          <w:bCs/>
        </w:rPr>
        <w:t xml:space="preserve"> </w:t>
      </w:r>
      <w:r w:rsidR="00ED270C" w:rsidRPr="00387F71">
        <w:rPr>
          <w:rFonts w:cs="Arial"/>
          <w:bCs/>
        </w:rPr>
        <w:t>19</w:t>
      </w:r>
      <w:r w:rsidRPr="00387F71">
        <w:rPr>
          <w:rFonts w:cs="Arial"/>
          <w:bCs/>
        </w:rPr>
        <w:t xml:space="preserve"> of </w:t>
      </w:r>
      <w:r w:rsidR="00ED270C" w:rsidRPr="00387F71">
        <w:rPr>
          <w:rFonts w:cs="Arial"/>
          <w:bCs/>
        </w:rPr>
        <w:t>PA 2023</w:t>
      </w:r>
      <w:r w:rsidRPr="00387F71">
        <w:rPr>
          <w:rFonts w:cs="Arial"/>
          <w:bCs/>
        </w:rPr>
        <w:t>.</w:t>
      </w:r>
      <w:bookmarkEnd w:id="123"/>
    </w:p>
    <w:p w14:paraId="640E2A98" w14:textId="5C90FE72" w:rsidR="00C012B2" w:rsidRPr="00387F71" w:rsidRDefault="00C012B2" w:rsidP="0085565B">
      <w:pPr>
        <w:pStyle w:val="ListParagraph"/>
        <w:numPr>
          <w:ilvl w:val="3"/>
          <w:numId w:val="8"/>
        </w:numPr>
        <w:contextualSpacing w:val="0"/>
        <w:jc w:val="both"/>
        <w:rPr>
          <w:rFonts w:cs="Arial"/>
          <w:bCs/>
        </w:rPr>
      </w:pPr>
      <w:r w:rsidRPr="00387F71">
        <w:rPr>
          <w:rFonts w:cs="Arial"/>
          <w:bCs/>
        </w:rPr>
        <w:t>Prices should be submitted excluding Value Added Tax (VAT)</w:t>
      </w:r>
      <w:r w:rsidR="005E05D5">
        <w:rPr>
          <w:rFonts w:cs="Arial"/>
          <w:bCs/>
        </w:rPr>
        <w:t>.</w:t>
      </w:r>
    </w:p>
    <w:p w14:paraId="51EF96D2" w14:textId="1FFB57B9" w:rsidR="007016B6" w:rsidRDefault="00E53862" w:rsidP="0085565B">
      <w:pPr>
        <w:pStyle w:val="ListParagraph"/>
        <w:numPr>
          <w:ilvl w:val="3"/>
          <w:numId w:val="8"/>
        </w:numPr>
        <w:contextualSpacing w:val="0"/>
        <w:jc w:val="both"/>
        <w:rPr>
          <w:rFonts w:cs="Arial"/>
          <w:bCs/>
        </w:rPr>
      </w:pPr>
      <w:r w:rsidRPr="00963B92">
        <w:rPr>
          <w:rFonts w:cs="Arial"/>
          <w:bCs/>
        </w:rPr>
        <w:t xml:space="preserve">The total cost submitted by any </w:t>
      </w:r>
      <w:r w:rsidR="00433587">
        <w:rPr>
          <w:rFonts w:cs="Arial"/>
          <w:bCs/>
        </w:rPr>
        <w:t>Tenderer</w:t>
      </w:r>
      <w:r w:rsidRPr="00963B92">
        <w:rPr>
          <w:rFonts w:cs="Arial"/>
          <w:bCs/>
        </w:rPr>
        <w:t xml:space="preserve"> </w:t>
      </w:r>
      <w:r w:rsidR="00A725C0" w:rsidRPr="00C174C1">
        <w:rPr>
          <w:rFonts w:cs="Arial"/>
          <w:b/>
          <w:u w:val="single"/>
        </w:rPr>
        <w:t>must</w:t>
      </w:r>
      <w:r w:rsidRPr="00C174C1">
        <w:rPr>
          <w:rFonts w:cs="Arial"/>
          <w:b/>
          <w:u w:val="single"/>
        </w:rPr>
        <w:t xml:space="preserve"> not </w:t>
      </w:r>
      <w:r w:rsidRPr="00C174C1">
        <w:rPr>
          <w:rFonts w:cs="Arial"/>
          <w:b/>
          <w:color w:val="000000" w:themeColor="text1"/>
          <w:u w:val="single"/>
        </w:rPr>
        <w:t xml:space="preserve">exceed </w:t>
      </w:r>
      <w:r w:rsidR="00D03816" w:rsidRPr="00C174C1">
        <w:rPr>
          <w:rFonts w:cs="Arial"/>
          <w:b/>
          <w:color w:val="000000" w:themeColor="text1"/>
          <w:u w:val="single"/>
        </w:rPr>
        <w:t>£416m</w:t>
      </w:r>
      <w:r w:rsidR="00A725C0" w:rsidRPr="00C174C1">
        <w:rPr>
          <w:rFonts w:cs="Arial"/>
          <w:b/>
          <w:color w:val="000000" w:themeColor="text1"/>
          <w:u w:val="single"/>
        </w:rPr>
        <w:t xml:space="preserve"> (</w:t>
      </w:r>
      <w:r w:rsidR="00A725C0" w:rsidRPr="00C174C1">
        <w:rPr>
          <w:rFonts w:cs="Arial"/>
          <w:b/>
          <w:u w:val="single"/>
        </w:rPr>
        <w:t>ex VAT)</w:t>
      </w:r>
      <w:r w:rsidRPr="00963B92">
        <w:rPr>
          <w:rFonts w:cs="Arial"/>
          <w:bCs/>
        </w:rPr>
        <w:t xml:space="preserve">. Any submission exceeding this amount </w:t>
      </w:r>
      <w:r w:rsidR="00C8403D">
        <w:rPr>
          <w:rFonts w:cs="Arial"/>
          <w:bCs/>
        </w:rPr>
        <w:t>may</w:t>
      </w:r>
      <w:r w:rsidR="00C8403D" w:rsidRPr="00963B92">
        <w:rPr>
          <w:rFonts w:cs="Arial"/>
          <w:bCs/>
        </w:rPr>
        <w:t xml:space="preserve"> </w:t>
      </w:r>
      <w:r w:rsidRPr="00963B92">
        <w:rPr>
          <w:rFonts w:cs="Arial"/>
          <w:bCs/>
        </w:rPr>
        <w:t xml:space="preserve">be deemed non-compliant and </w:t>
      </w:r>
      <w:r w:rsidR="005610BE" w:rsidRPr="00963B92">
        <w:rPr>
          <w:rFonts w:cs="Arial"/>
          <w:bCs/>
        </w:rPr>
        <w:t xml:space="preserve">the </w:t>
      </w:r>
      <w:r w:rsidR="00433587">
        <w:rPr>
          <w:rFonts w:cs="Arial"/>
          <w:bCs/>
        </w:rPr>
        <w:t>Tenderer</w:t>
      </w:r>
      <w:r w:rsidR="005610BE" w:rsidRPr="00963B92">
        <w:rPr>
          <w:rFonts w:cs="Arial"/>
          <w:bCs/>
        </w:rPr>
        <w:t>s entire tender submission</w:t>
      </w:r>
      <w:r w:rsidR="00A151B7" w:rsidRPr="00963B92">
        <w:rPr>
          <w:rFonts w:cs="Arial"/>
          <w:bCs/>
        </w:rPr>
        <w:t xml:space="preserve"> will be rejected</w:t>
      </w:r>
      <w:r w:rsidRPr="00963B92">
        <w:rPr>
          <w:rFonts w:cs="Arial"/>
          <w:bCs/>
        </w:rPr>
        <w:t>.</w:t>
      </w:r>
    </w:p>
    <w:p w14:paraId="411B6075" w14:textId="490BA7A1" w:rsidR="00685A7D" w:rsidRPr="003E246C" w:rsidRDefault="00E90C9C" w:rsidP="0085565B">
      <w:pPr>
        <w:pStyle w:val="ListParagraph"/>
        <w:numPr>
          <w:ilvl w:val="3"/>
          <w:numId w:val="8"/>
        </w:numPr>
        <w:contextualSpacing w:val="0"/>
        <w:jc w:val="both"/>
        <w:rPr>
          <w:rFonts w:cs="Arial"/>
          <w:bCs/>
        </w:rPr>
      </w:pPr>
      <w:r>
        <w:rPr>
          <w:rFonts w:cs="Arial"/>
          <w:bCs/>
        </w:rPr>
        <w:t>D</w:t>
      </w:r>
      <w:r w:rsidRPr="003E246C">
        <w:rPr>
          <w:rFonts w:cs="Arial"/>
          <w:bCs/>
        </w:rPr>
        <w:t xml:space="preserve">etail of the </w:t>
      </w:r>
      <w:r w:rsidR="006A76DE">
        <w:rPr>
          <w:rFonts w:cs="Arial"/>
          <w:bCs/>
        </w:rPr>
        <w:t xml:space="preserve">sub-criteria used </w:t>
      </w:r>
      <w:r w:rsidR="00075CB8">
        <w:rPr>
          <w:rFonts w:cs="Arial"/>
          <w:bCs/>
        </w:rPr>
        <w:t xml:space="preserve">to be used for the </w:t>
      </w:r>
      <w:r w:rsidRPr="003E246C">
        <w:rPr>
          <w:rFonts w:cs="Arial"/>
          <w:bCs/>
        </w:rPr>
        <w:t>commercial evaluation</w:t>
      </w:r>
      <w:r>
        <w:rPr>
          <w:rFonts w:cs="Arial"/>
          <w:bCs/>
        </w:rPr>
        <w:t xml:space="preserve"> approach</w:t>
      </w:r>
      <w:r w:rsidRPr="003E246C">
        <w:rPr>
          <w:rFonts w:cs="Arial"/>
          <w:bCs/>
        </w:rPr>
        <w:t xml:space="preserve"> </w:t>
      </w:r>
      <w:r w:rsidR="005C04F1">
        <w:rPr>
          <w:rFonts w:cs="Arial"/>
          <w:bCs/>
        </w:rPr>
        <w:t>will be provided to Tenderers shortlisted to participate in Stage 2</w:t>
      </w:r>
      <w:r w:rsidR="005E05D5">
        <w:rPr>
          <w:rFonts w:cs="Arial"/>
          <w:bCs/>
        </w:rPr>
        <w:t>.</w:t>
      </w:r>
    </w:p>
    <w:p w14:paraId="0E295D66" w14:textId="77777777" w:rsidR="00DC5F0E" w:rsidRDefault="00DC5F0E" w:rsidP="4F89C61F">
      <w:pPr>
        <w:sectPr w:rsidR="00DC5F0E" w:rsidSect="00B43CB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227" w:gutter="0"/>
          <w:cols w:space="708"/>
          <w:docGrid w:linePitch="360"/>
        </w:sectPr>
      </w:pPr>
    </w:p>
    <w:p w14:paraId="038A920F" w14:textId="21445658" w:rsidR="00704D86" w:rsidRPr="0085565B" w:rsidRDefault="0085565B" w:rsidP="0085565B">
      <w:pPr>
        <w:pStyle w:val="Head2"/>
        <w:numPr>
          <w:ilvl w:val="0"/>
          <w:numId w:val="0"/>
        </w:numPr>
        <w:spacing w:before="240"/>
        <w:jc w:val="both"/>
        <w:rPr>
          <w:b/>
          <w:bCs/>
          <w:color w:val="009999"/>
          <w:sz w:val="28"/>
          <w:szCs w:val="28"/>
        </w:rPr>
      </w:pPr>
      <w:bookmarkStart w:id="124" w:name="_Toc201679655"/>
      <w:r w:rsidRPr="0085565B">
        <w:rPr>
          <w:b/>
          <w:bCs/>
          <w:color w:val="009999"/>
          <w:sz w:val="28"/>
          <w:szCs w:val="28"/>
        </w:rPr>
        <w:t>ANNEX 1 – PROCESS BREAKDOWN</w:t>
      </w:r>
      <w:bookmarkEnd w:id="124"/>
    </w:p>
    <w:p w14:paraId="7611FCEC" w14:textId="10583996" w:rsidR="00704D86" w:rsidRPr="00D17F7E" w:rsidRDefault="001838FB" w:rsidP="001E53D0">
      <w:pPr>
        <w:pStyle w:val="BodyText1"/>
        <w:keepNext/>
        <w:jc w:val="both"/>
        <w:rPr>
          <w:rFonts w:ascii="Arial" w:hAnsi="Arial" w:cs="Arial"/>
          <w:sz w:val="22"/>
          <w:szCs w:val="22"/>
        </w:rPr>
      </w:pPr>
      <w:r>
        <w:rPr>
          <w:rFonts w:ascii="Arial" w:hAnsi="Arial" w:cs="Arial"/>
          <w:b/>
          <w:bCs/>
          <w:sz w:val="22"/>
          <w:szCs w:val="22"/>
        </w:rPr>
        <w:t>It is anticipated that this</w:t>
      </w:r>
      <w:r w:rsidR="00704D86" w:rsidRPr="00D17F7E">
        <w:rPr>
          <w:rFonts w:ascii="Arial" w:hAnsi="Arial" w:cs="Arial"/>
          <w:b/>
          <w:bCs/>
          <w:sz w:val="22"/>
          <w:szCs w:val="22"/>
        </w:rPr>
        <w:t xml:space="preserve"> competitive flexible procedure will be conducted in four (4) stages</w:t>
      </w:r>
      <w:r>
        <w:rPr>
          <w:rFonts w:ascii="Arial" w:hAnsi="Arial" w:cs="Arial"/>
          <w:b/>
          <w:bCs/>
          <w:sz w:val="22"/>
          <w:szCs w:val="22"/>
        </w:rPr>
        <w:t xml:space="preserve">, however HMRC may amend the number of stages (upwards or downwards) </w:t>
      </w:r>
      <w:r w:rsidR="003E00BD">
        <w:rPr>
          <w:rFonts w:ascii="Arial" w:hAnsi="Arial" w:cs="Arial"/>
          <w:b/>
          <w:bCs/>
          <w:sz w:val="22"/>
          <w:szCs w:val="22"/>
        </w:rPr>
        <w:t xml:space="preserve">as </w:t>
      </w:r>
      <w:r w:rsidR="00994EA3">
        <w:rPr>
          <w:rFonts w:ascii="Arial" w:hAnsi="Arial" w:cs="Arial"/>
          <w:b/>
          <w:bCs/>
          <w:sz w:val="22"/>
          <w:szCs w:val="22"/>
        </w:rPr>
        <w:t>negotiation</w:t>
      </w:r>
      <w:r w:rsidR="003E00BD">
        <w:rPr>
          <w:rFonts w:ascii="Arial" w:hAnsi="Arial" w:cs="Arial"/>
          <w:b/>
          <w:bCs/>
          <w:sz w:val="22"/>
          <w:szCs w:val="22"/>
        </w:rPr>
        <w:t xml:space="preserve"> progresses</w:t>
      </w:r>
      <w:r w:rsidR="00704D86" w:rsidRPr="00D17F7E">
        <w:rPr>
          <w:rFonts w:ascii="Arial" w:hAnsi="Arial" w:cs="Arial"/>
          <w:b/>
          <w:bCs/>
          <w:sz w:val="22"/>
          <w:szCs w:val="22"/>
        </w:rPr>
        <w:t>.</w:t>
      </w:r>
      <w:r w:rsidR="00704D86" w:rsidRPr="00D17F7E">
        <w:rPr>
          <w:rFonts w:ascii="Arial" w:hAnsi="Arial" w:cs="Arial"/>
          <w:sz w:val="22"/>
          <w:szCs w:val="22"/>
        </w:rPr>
        <w:t xml:space="preserve"> The four (4) stages are described in more detail below.</w:t>
      </w:r>
    </w:p>
    <w:p w14:paraId="2B20E1C5" w14:textId="24F8B3F4" w:rsidR="00704D86" w:rsidRDefault="00704D86" w:rsidP="001E53D0">
      <w:pPr>
        <w:pStyle w:val="Heading3"/>
        <w:jc w:val="both"/>
        <w:rPr>
          <w:rFonts w:ascii="Arial" w:hAnsi="Arial" w:cs="Arial"/>
          <w:sz w:val="22"/>
          <w:szCs w:val="22"/>
        </w:rPr>
      </w:pPr>
      <w:r w:rsidRPr="00D17F7E">
        <w:rPr>
          <w:rFonts w:ascii="Arial" w:hAnsi="Arial" w:cs="Arial"/>
          <w:sz w:val="22"/>
          <w:szCs w:val="22"/>
        </w:rPr>
        <w:t xml:space="preserve">Stage 1: Invitation to participate </w:t>
      </w:r>
      <w:r w:rsidR="00C12B45">
        <w:rPr>
          <w:rFonts w:ascii="Arial" w:hAnsi="Arial" w:cs="Arial"/>
          <w:sz w:val="22"/>
          <w:szCs w:val="22"/>
        </w:rPr>
        <w:t xml:space="preserve">and submit </w:t>
      </w:r>
      <w:r w:rsidR="00BF501A">
        <w:rPr>
          <w:rFonts w:ascii="Arial" w:hAnsi="Arial" w:cs="Arial"/>
          <w:sz w:val="22"/>
          <w:szCs w:val="22"/>
        </w:rPr>
        <w:t>Procurement Specific</w:t>
      </w:r>
      <w:r w:rsidR="006227CF">
        <w:rPr>
          <w:rFonts w:ascii="Arial" w:hAnsi="Arial" w:cs="Arial"/>
          <w:sz w:val="22"/>
          <w:szCs w:val="22"/>
        </w:rPr>
        <w:t xml:space="preserve"> </w:t>
      </w:r>
      <w:r w:rsidR="00845CA1">
        <w:rPr>
          <w:rFonts w:ascii="Arial" w:hAnsi="Arial" w:cs="Arial"/>
          <w:sz w:val="22"/>
          <w:szCs w:val="22"/>
        </w:rPr>
        <w:t>Questionnaire (PSQ</w:t>
      </w:r>
      <w:r w:rsidR="00EE52A7">
        <w:rPr>
          <w:rFonts w:ascii="Arial" w:hAnsi="Arial" w:cs="Arial"/>
          <w:sz w:val="22"/>
          <w:szCs w:val="22"/>
        </w:rPr>
        <w:t>)</w:t>
      </w:r>
    </w:p>
    <w:p w14:paraId="5600EAA2" w14:textId="77777777" w:rsidR="00C12B45" w:rsidRPr="0021551F" w:rsidRDefault="00C12B45" w:rsidP="001E53D0">
      <w:pPr>
        <w:jc w:val="both"/>
      </w:pPr>
    </w:p>
    <w:p w14:paraId="27821C1C" w14:textId="1CDC1A9C" w:rsidR="00704D86" w:rsidRPr="00D17F7E" w:rsidRDefault="00704D86" w:rsidP="0085565B">
      <w:pPr>
        <w:pStyle w:val="BodyText1"/>
        <w:numPr>
          <w:ilvl w:val="3"/>
          <w:numId w:val="11"/>
        </w:numPr>
        <w:ind w:left="357" w:hanging="357"/>
        <w:jc w:val="both"/>
        <w:rPr>
          <w:rFonts w:ascii="Arial" w:hAnsi="Arial" w:cs="Arial"/>
          <w:sz w:val="22"/>
          <w:szCs w:val="22"/>
        </w:rPr>
      </w:pPr>
      <w:r w:rsidRPr="00D17F7E">
        <w:rPr>
          <w:rFonts w:ascii="Arial" w:hAnsi="Arial" w:cs="Arial"/>
          <w:sz w:val="22"/>
          <w:szCs w:val="22"/>
        </w:rPr>
        <w:t>Stage 1 commence</w:t>
      </w:r>
      <w:r w:rsidR="00D5234D">
        <w:rPr>
          <w:rFonts w:ascii="Arial" w:hAnsi="Arial" w:cs="Arial"/>
          <w:sz w:val="22"/>
          <w:szCs w:val="22"/>
        </w:rPr>
        <w:t>s</w:t>
      </w:r>
      <w:r w:rsidRPr="00D17F7E">
        <w:rPr>
          <w:rFonts w:ascii="Arial" w:hAnsi="Arial" w:cs="Arial"/>
          <w:sz w:val="22"/>
          <w:szCs w:val="22"/>
        </w:rPr>
        <w:t xml:space="preserve"> with the issuing of a Tender </w:t>
      </w:r>
      <w:r w:rsidR="00AD583A">
        <w:rPr>
          <w:rFonts w:ascii="Arial" w:hAnsi="Arial" w:cs="Arial"/>
          <w:sz w:val="22"/>
          <w:szCs w:val="22"/>
        </w:rPr>
        <w:t xml:space="preserve">Notice </w:t>
      </w:r>
      <w:r w:rsidRPr="00D17F7E">
        <w:rPr>
          <w:rFonts w:ascii="Arial" w:hAnsi="Arial" w:cs="Arial"/>
          <w:sz w:val="22"/>
          <w:szCs w:val="22"/>
        </w:rPr>
        <w:t xml:space="preserve">and the publication of this document. </w:t>
      </w:r>
    </w:p>
    <w:p w14:paraId="457D13F8" w14:textId="25C6AF59" w:rsidR="00704D86" w:rsidRDefault="00704D86" w:rsidP="0085565B">
      <w:pPr>
        <w:pStyle w:val="BodyText1"/>
        <w:numPr>
          <w:ilvl w:val="3"/>
          <w:numId w:val="11"/>
        </w:numPr>
        <w:ind w:left="357" w:hanging="357"/>
        <w:jc w:val="both"/>
        <w:rPr>
          <w:rFonts w:ascii="Arial" w:hAnsi="Arial" w:cs="Arial"/>
          <w:sz w:val="22"/>
          <w:szCs w:val="22"/>
        </w:rPr>
      </w:pPr>
      <w:r w:rsidRPr="00D17F7E">
        <w:rPr>
          <w:rFonts w:ascii="Arial" w:hAnsi="Arial" w:cs="Arial"/>
          <w:sz w:val="22"/>
          <w:szCs w:val="22"/>
        </w:rPr>
        <w:t xml:space="preserve">This document includes a </w:t>
      </w:r>
      <w:r w:rsidR="006C3588">
        <w:rPr>
          <w:rFonts w:ascii="Arial" w:hAnsi="Arial" w:cs="Arial"/>
          <w:sz w:val="22"/>
          <w:szCs w:val="22"/>
        </w:rPr>
        <w:t>P</w:t>
      </w:r>
      <w:r w:rsidRPr="00D17F7E">
        <w:rPr>
          <w:rFonts w:ascii="Arial" w:hAnsi="Arial" w:cs="Arial"/>
          <w:sz w:val="22"/>
          <w:szCs w:val="22"/>
        </w:rPr>
        <w:t xml:space="preserve">rocurement </w:t>
      </w:r>
      <w:r w:rsidR="006C3588">
        <w:rPr>
          <w:rFonts w:ascii="Arial" w:hAnsi="Arial" w:cs="Arial"/>
          <w:sz w:val="22"/>
          <w:szCs w:val="22"/>
        </w:rPr>
        <w:t>S</w:t>
      </w:r>
      <w:r w:rsidRPr="00D17F7E">
        <w:rPr>
          <w:rFonts w:ascii="Arial" w:hAnsi="Arial" w:cs="Arial"/>
          <w:sz w:val="22"/>
          <w:szCs w:val="22"/>
        </w:rPr>
        <w:t xml:space="preserve">pecific </w:t>
      </w:r>
      <w:r w:rsidR="006C3588">
        <w:rPr>
          <w:rFonts w:ascii="Arial" w:hAnsi="Arial" w:cs="Arial"/>
          <w:sz w:val="22"/>
          <w:szCs w:val="22"/>
        </w:rPr>
        <w:t>Q</w:t>
      </w:r>
      <w:r w:rsidRPr="00D17F7E">
        <w:rPr>
          <w:rFonts w:ascii="Arial" w:hAnsi="Arial" w:cs="Arial"/>
          <w:sz w:val="22"/>
          <w:szCs w:val="22"/>
        </w:rPr>
        <w:t xml:space="preserve">uestionnaire (PSQ) at </w:t>
      </w:r>
      <w:r w:rsidRPr="00CD5562">
        <w:rPr>
          <w:rFonts w:ascii="Arial" w:hAnsi="Arial" w:cs="Arial"/>
          <w:sz w:val="22"/>
          <w:szCs w:val="22"/>
        </w:rPr>
        <w:t>Schedule 1</w:t>
      </w:r>
      <w:r w:rsidRPr="00D17F7E">
        <w:rPr>
          <w:rFonts w:ascii="Arial" w:hAnsi="Arial" w:cs="Arial"/>
          <w:sz w:val="22"/>
          <w:szCs w:val="22"/>
        </w:rPr>
        <w:t xml:space="preserve"> which all </w:t>
      </w:r>
      <w:r w:rsidR="00433587">
        <w:rPr>
          <w:rFonts w:ascii="Arial" w:hAnsi="Arial" w:cs="Arial"/>
          <w:sz w:val="22"/>
          <w:szCs w:val="22"/>
        </w:rPr>
        <w:t>Tenderer</w:t>
      </w:r>
      <w:r w:rsidR="0035292F">
        <w:rPr>
          <w:rFonts w:ascii="Arial" w:hAnsi="Arial" w:cs="Arial"/>
          <w:sz w:val="22"/>
          <w:szCs w:val="22"/>
        </w:rPr>
        <w:t xml:space="preserve">s </w:t>
      </w:r>
      <w:r w:rsidRPr="00D17F7E">
        <w:rPr>
          <w:rFonts w:ascii="Arial" w:hAnsi="Arial" w:cs="Arial"/>
          <w:sz w:val="22"/>
          <w:szCs w:val="22"/>
        </w:rPr>
        <w:t xml:space="preserve">are required to complete and return in accordance with the Procurement Timetable and instructions within this document. </w:t>
      </w:r>
    </w:p>
    <w:p w14:paraId="670CBF69" w14:textId="2F9213F7" w:rsidR="00E5799B" w:rsidRPr="00D17F7E" w:rsidRDefault="00C811B4" w:rsidP="0085565B">
      <w:pPr>
        <w:pStyle w:val="BodyText1"/>
        <w:numPr>
          <w:ilvl w:val="3"/>
          <w:numId w:val="11"/>
        </w:numPr>
        <w:ind w:left="357" w:hanging="357"/>
        <w:jc w:val="both"/>
        <w:rPr>
          <w:rFonts w:ascii="Arial" w:hAnsi="Arial" w:cs="Arial"/>
          <w:sz w:val="22"/>
          <w:szCs w:val="22"/>
        </w:rPr>
      </w:pPr>
      <w:r>
        <w:rPr>
          <w:rFonts w:ascii="Arial" w:hAnsi="Arial" w:cs="Arial"/>
          <w:sz w:val="22"/>
          <w:szCs w:val="22"/>
        </w:rPr>
        <w:t xml:space="preserve">The PSQ will be based on </w:t>
      </w:r>
      <w:r w:rsidR="007B59C8">
        <w:rPr>
          <w:rFonts w:ascii="Arial" w:hAnsi="Arial" w:cs="Arial"/>
          <w:sz w:val="22"/>
          <w:szCs w:val="22"/>
        </w:rPr>
        <w:t xml:space="preserve">a combination of Pass/Fail questions within the </w:t>
      </w:r>
      <w:r w:rsidR="00724F0D" w:rsidRPr="003F3AFE">
        <w:rPr>
          <w:rFonts w:ascii="Arial" w:hAnsi="Arial" w:cs="Arial"/>
          <w:sz w:val="22"/>
          <w:szCs w:val="22"/>
        </w:rPr>
        <w:t>Government</w:t>
      </w:r>
      <w:r w:rsidR="00994EA3">
        <w:rPr>
          <w:rFonts w:ascii="Arial" w:hAnsi="Arial" w:cs="Arial"/>
          <w:sz w:val="22"/>
          <w:szCs w:val="22"/>
        </w:rPr>
        <w:t>’</w:t>
      </w:r>
      <w:r w:rsidR="00724F0D" w:rsidRPr="003F3AFE">
        <w:rPr>
          <w:rFonts w:ascii="Arial" w:hAnsi="Arial" w:cs="Arial"/>
          <w:sz w:val="22"/>
          <w:szCs w:val="22"/>
        </w:rPr>
        <w:t>s Central Digital Platform (CDP),</w:t>
      </w:r>
      <w:r w:rsidR="00724F0D">
        <w:rPr>
          <w:rFonts w:ascii="Arial" w:hAnsi="Arial" w:cs="Arial"/>
          <w:sz w:val="22"/>
          <w:szCs w:val="22"/>
        </w:rPr>
        <w:t xml:space="preserve"> </w:t>
      </w:r>
      <w:r w:rsidR="000D5F78">
        <w:rPr>
          <w:rFonts w:ascii="Arial" w:hAnsi="Arial" w:cs="Arial"/>
          <w:sz w:val="22"/>
          <w:szCs w:val="22"/>
        </w:rPr>
        <w:t xml:space="preserve">questions that are for information only </w:t>
      </w:r>
      <w:r w:rsidR="00724F0D">
        <w:rPr>
          <w:rFonts w:ascii="Arial" w:hAnsi="Arial" w:cs="Arial"/>
          <w:sz w:val="22"/>
          <w:szCs w:val="22"/>
        </w:rPr>
        <w:t xml:space="preserve">and qualitative questions </w:t>
      </w:r>
      <w:r w:rsidR="004F7284">
        <w:rPr>
          <w:rFonts w:ascii="Arial" w:hAnsi="Arial" w:cs="Arial"/>
          <w:sz w:val="22"/>
          <w:szCs w:val="22"/>
        </w:rPr>
        <w:t xml:space="preserve">to assess </w:t>
      </w:r>
      <w:r w:rsidR="00433587">
        <w:rPr>
          <w:rFonts w:ascii="Arial" w:hAnsi="Arial" w:cs="Arial"/>
          <w:sz w:val="22"/>
          <w:szCs w:val="22"/>
        </w:rPr>
        <w:t>Tenderer</w:t>
      </w:r>
      <w:r w:rsidR="0035292F">
        <w:rPr>
          <w:rFonts w:ascii="Arial" w:hAnsi="Arial" w:cs="Arial"/>
          <w:sz w:val="22"/>
          <w:szCs w:val="22"/>
        </w:rPr>
        <w:t>s</w:t>
      </w:r>
      <w:r w:rsidR="004F7284">
        <w:rPr>
          <w:rFonts w:ascii="Arial" w:hAnsi="Arial" w:cs="Arial"/>
          <w:sz w:val="22"/>
          <w:szCs w:val="22"/>
        </w:rPr>
        <w:t xml:space="preserve"> experience and capabilities that are specific to this procurement.  </w:t>
      </w:r>
    </w:p>
    <w:p w14:paraId="6A73FAF7" w14:textId="313C0618" w:rsidR="00704D86" w:rsidRPr="00D17F7E" w:rsidRDefault="00507358" w:rsidP="0085565B">
      <w:pPr>
        <w:pStyle w:val="BodyText1"/>
        <w:numPr>
          <w:ilvl w:val="3"/>
          <w:numId w:val="11"/>
        </w:numPr>
        <w:ind w:left="357" w:hanging="357"/>
        <w:jc w:val="both"/>
        <w:rPr>
          <w:rFonts w:ascii="Arial" w:hAnsi="Arial" w:cs="Arial"/>
          <w:sz w:val="22"/>
          <w:szCs w:val="22"/>
        </w:rPr>
      </w:pPr>
      <w:r>
        <w:rPr>
          <w:rFonts w:ascii="Arial" w:hAnsi="Arial" w:cs="Arial"/>
          <w:sz w:val="22"/>
          <w:szCs w:val="22"/>
        </w:rPr>
        <w:t>HMRC</w:t>
      </w:r>
      <w:r w:rsidR="00704D86" w:rsidRPr="00D17F7E">
        <w:rPr>
          <w:rFonts w:ascii="Arial" w:hAnsi="Arial" w:cs="Arial"/>
          <w:sz w:val="22"/>
          <w:szCs w:val="22"/>
        </w:rPr>
        <w:t xml:space="preserve"> will use this stage to confirm that neither the </w:t>
      </w:r>
      <w:r w:rsidR="00433587">
        <w:rPr>
          <w:rFonts w:ascii="Arial" w:hAnsi="Arial" w:cs="Arial"/>
          <w:sz w:val="22"/>
          <w:szCs w:val="22"/>
        </w:rPr>
        <w:t>Tenderer</w:t>
      </w:r>
      <w:r w:rsidR="00704D86" w:rsidRPr="00D17F7E">
        <w:rPr>
          <w:rFonts w:ascii="Arial" w:hAnsi="Arial" w:cs="Arial"/>
          <w:sz w:val="22"/>
          <w:szCs w:val="22"/>
        </w:rPr>
        <w:t xml:space="preserve">, nor any related persons within its corporate group, associated persons relied on to meet the conditions of participation, or proposed sub-contractors are listed on the Cabinet Office debarment list.  </w:t>
      </w:r>
    </w:p>
    <w:p w14:paraId="7E6FC8D1" w14:textId="710AC746" w:rsidR="00704D86" w:rsidRPr="00D17F7E" w:rsidRDefault="00704D86" w:rsidP="0085565B">
      <w:pPr>
        <w:pStyle w:val="BodyText1"/>
        <w:numPr>
          <w:ilvl w:val="3"/>
          <w:numId w:val="11"/>
        </w:numPr>
        <w:ind w:left="357" w:hanging="357"/>
        <w:jc w:val="both"/>
        <w:rPr>
          <w:rFonts w:ascii="Arial" w:hAnsi="Arial" w:cs="Arial"/>
          <w:sz w:val="22"/>
          <w:szCs w:val="22"/>
        </w:rPr>
      </w:pPr>
      <w:r w:rsidRPr="00D17F7E">
        <w:rPr>
          <w:rFonts w:ascii="Arial" w:hAnsi="Arial" w:cs="Arial"/>
          <w:sz w:val="22"/>
          <w:szCs w:val="22"/>
        </w:rPr>
        <w:t xml:space="preserve">In addition, </w:t>
      </w:r>
      <w:r w:rsidR="00507358">
        <w:rPr>
          <w:rFonts w:ascii="Arial" w:hAnsi="Arial" w:cs="Arial"/>
          <w:sz w:val="22"/>
          <w:szCs w:val="22"/>
        </w:rPr>
        <w:t>HMRC</w:t>
      </w:r>
      <w:r w:rsidRPr="00D17F7E">
        <w:rPr>
          <w:rFonts w:ascii="Arial" w:hAnsi="Arial" w:cs="Arial"/>
          <w:sz w:val="22"/>
          <w:szCs w:val="22"/>
        </w:rPr>
        <w:t xml:space="preserve"> will consider whether any </w:t>
      </w:r>
      <w:r w:rsidR="00433587">
        <w:rPr>
          <w:rFonts w:ascii="Arial" w:hAnsi="Arial" w:cs="Arial"/>
          <w:sz w:val="22"/>
          <w:szCs w:val="22"/>
        </w:rPr>
        <w:t>Tenderer</w:t>
      </w:r>
      <w:r w:rsidRPr="00D17F7E">
        <w:rPr>
          <w:rFonts w:ascii="Arial" w:hAnsi="Arial" w:cs="Arial"/>
          <w:sz w:val="22"/>
          <w:szCs w:val="22"/>
        </w:rPr>
        <w:t xml:space="preserve"> or related persons within its corporate group, associated persons relied on to meet the conditions of participation, or proposed sub-contractors are excluded or excludable Suppliers, and before </w:t>
      </w:r>
      <w:r w:rsidR="00507358">
        <w:rPr>
          <w:rFonts w:ascii="Arial" w:hAnsi="Arial" w:cs="Arial"/>
          <w:sz w:val="22"/>
          <w:szCs w:val="22"/>
        </w:rPr>
        <w:t>HMRC</w:t>
      </w:r>
      <w:r w:rsidRPr="00D17F7E">
        <w:rPr>
          <w:rFonts w:ascii="Arial" w:hAnsi="Arial" w:cs="Arial"/>
          <w:sz w:val="22"/>
          <w:szCs w:val="22"/>
        </w:rPr>
        <w:t xml:space="preserve"> determines that a </w:t>
      </w:r>
      <w:r w:rsidR="000A3D0E">
        <w:rPr>
          <w:rFonts w:ascii="Arial" w:hAnsi="Arial" w:cs="Arial"/>
          <w:sz w:val="22"/>
          <w:szCs w:val="22"/>
        </w:rPr>
        <w:t>Tenderer</w:t>
      </w:r>
      <w:r w:rsidRPr="00D17F7E">
        <w:rPr>
          <w:rFonts w:ascii="Arial" w:hAnsi="Arial" w:cs="Arial"/>
          <w:sz w:val="22"/>
          <w:szCs w:val="22"/>
        </w:rPr>
        <w:t xml:space="preserve"> is</w:t>
      </w:r>
      <w:r w:rsidR="00283D67">
        <w:rPr>
          <w:rFonts w:ascii="Arial" w:hAnsi="Arial" w:cs="Arial"/>
          <w:sz w:val="22"/>
          <w:szCs w:val="22"/>
        </w:rPr>
        <w:t xml:space="preserve"> potentially</w:t>
      </w:r>
      <w:r w:rsidR="00760CF9">
        <w:rPr>
          <w:rFonts w:ascii="Arial" w:hAnsi="Arial" w:cs="Arial"/>
          <w:sz w:val="22"/>
          <w:szCs w:val="22"/>
        </w:rPr>
        <w:t xml:space="preserve"> to be excluded as</w:t>
      </w:r>
      <w:r w:rsidRPr="00D17F7E">
        <w:rPr>
          <w:rFonts w:ascii="Arial" w:hAnsi="Arial" w:cs="Arial"/>
          <w:sz w:val="22"/>
          <w:szCs w:val="22"/>
        </w:rPr>
        <w:t xml:space="preserve"> an excluded or excludable Supplier, it will provide the </w:t>
      </w:r>
      <w:r w:rsidR="007319C1">
        <w:rPr>
          <w:rFonts w:ascii="Arial" w:hAnsi="Arial" w:cs="Arial"/>
          <w:sz w:val="22"/>
          <w:szCs w:val="22"/>
        </w:rPr>
        <w:t>Tenderer</w:t>
      </w:r>
      <w:r w:rsidRPr="00D17F7E">
        <w:rPr>
          <w:rFonts w:ascii="Arial" w:hAnsi="Arial" w:cs="Arial"/>
          <w:sz w:val="22"/>
          <w:szCs w:val="22"/>
        </w:rPr>
        <w:t xml:space="preserve"> reasonable opportunity to make representations and provide evidence as is proportionate in the circumstances. If the </w:t>
      </w:r>
      <w:r w:rsidR="007319C1">
        <w:rPr>
          <w:rFonts w:ascii="Arial" w:hAnsi="Arial" w:cs="Arial"/>
          <w:sz w:val="22"/>
          <w:szCs w:val="22"/>
        </w:rPr>
        <w:t>Tenderer</w:t>
      </w:r>
      <w:r w:rsidRPr="00D17F7E">
        <w:rPr>
          <w:rFonts w:ascii="Arial" w:hAnsi="Arial" w:cs="Arial"/>
          <w:sz w:val="22"/>
          <w:szCs w:val="22"/>
        </w:rPr>
        <w:t xml:space="preserve"> is an excluded or excludable Supplier only by virtue of an associated person or proposed sub-contractor, </w:t>
      </w:r>
      <w:r w:rsidR="00507358">
        <w:rPr>
          <w:rFonts w:ascii="Arial" w:hAnsi="Arial" w:cs="Arial"/>
          <w:sz w:val="22"/>
          <w:szCs w:val="22"/>
        </w:rPr>
        <w:t>HMRC</w:t>
      </w:r>
      <w:r w:rsidRPr="00D17F7E">
        <w:rPr>
          <w:rFonts w:ascii="Arial" w:hAnsi="Arial" w:cs="Arial"/>
          <w:sz w:val="22"/>
          <w:szCs w:val="22"/>
        </w:rPr>
        <w:t xml:space="preserve"> will notify the </w:t>
      </w:r>
      <w:r w:rsidR="007319C1">
        <w:rPr>
          <w:rFonts w:ascii="Arial" w:hAnsi="Arial" w:cs="Arial"/>
          <w:sz w:val="22"/>
          <w:szCs w:val="22"/>
        </w:rPr>
        <w:t>Tendere</w:t>
      </w:r>
      <w:r w:rsidRPr="00D17F7E">
        <w:rPr>
          <w:rFonts w:ascii="Arial" w:hAnsi="Arial" w:cs="Arial"/>
          <w:sz w:val="22"/>
          <w:szCs w:val="22"/>
        </w:rPr>
        <w:t xml:space="preserve">r of its intention to exclude the Supplier and provide the </w:t>
      </w:r>
      <w:r w:rsidR="007319C1">
        <w:rPr>
          <w:rFonts w:ascii="Arial" w:hAnsi="Arial" w:cs="Arial"/>
          <w:sz w:val="22"/>
          <w:szCs w:val="22"/>
        </w:rPr>
        <w:t>Tenderer</w:t>
      </w:r>
      <w:r w:rsidRPr="00D17F7E">
        <w:rPr>
          <w:rFonts w:ascii="Arial" w:hAnsi="Arial" w:cs="Arial"/>
          <w:sz w:val="22"/>
          <w:szCs w:val="22"/>
        </w:rPr>
        <w:t xml:space="preserve"> with reasonable opportunity to replace the associated person or sub-contractor. If as a consequence of this process </w:t>
      </w:r>
      <w:r w:rsidR="001C6D25">
        <w:rPr>
          <w:rFonts w:ascii="Arial" w:hAnsi="Arial" w:cs="Arial"/>
          <w:sz w:val="22"/>
          <w:szCs w:val="22"/>
        </w:rPr>
        <w:t>HMRC</w:t>
      </w:r>
      <w:r w:rsidRPr="00D17F7E">
        <w:rPr>
          <w:rFonts w:ascii="Arial" w:hAnsi="Arial" w:cs="Arial"/>
          <w:sz w:val="22"/>
          <w:szCs w:val="22"/>
        </w:rPr>
        <w:t xml:space="preserve"> </w:t>
      </w:r>
      <w:r w:rsidR="00217A59">
        <w:rPr>
          <w:rFonts w:ascii="Arial" w:hAnsi="Arial" w:cs="Arial"/>
          <w:sz w:val="22"/>
          <w:szCs w:val="22"/>
        </w:rPr>
        <w:t>exclud</w:t>
      </w:r>
      <w:r w:rsidRPr="00D17F7E">
        <w:rPr>
          <w:rFonts w:ascii="Arial" w:hAnsi="Arial" w:cs="Arial"/>
          <w:sz w:val="22"/>
          <w:szCs w:val="22"/>
        </w:rPr>
        <w:t xml:space="preserve">es the </w:t>
      </w:r>
      <w:r w:rsidR="007319C1">
        <w:rPr>
          <w:rFonts w:ascii="Arial" w:hAnsi="Arial" w:cs="Arial"/>
          <w:sz w:val="22"/>
          <w:szCs w:val="22"/>
        </w:rPr>
        <w:t>Tenderer</w:t>
      </w:r>
      <w:r w:rsidRPr="00D17F7E">
        <w:rPr>
          <w:rFonts w:ascii="Arial" w:hAnsi="Arial" w:cs="Arial"/>
          <w:sz w:val="22"/>
          <w:szCs w:val="22"/>
        </w:rPr>
        <w:t xml:space="preserve"> from participating in the </w:t>
      </w:r>
      <w:proofErr w:type="gramStart"/>
      <w:r w:rsidR="00412185" w:rsidRPr="00D17F7E">
        <w:rPr>
          <w:rFonts w:ascii="Arial" w:hAnsi="Arial" w:cs="Arial"/>
          <w:sz w:val="22"/>
          <w:szCs w:val="22"/>
        </w:rPr>
        <w:t>Procurement</w:t>
      </w:r>
      <w:r w:rsidR="00412185">
        <w:rPr>
          <w:rFonts w:ascii="Arial" w:hAnsi="Arial" w:cs="Arial"/>
          <w:sz w:val="22"/>
          <w:szCs w:val="22"/>
        </w:rPr>
        <w:t>,</w:t>
      </w:r>
      <w:r w:rsidRPr="00D17F7E">
        <w:rPr>
          <w:rFonts w:ascii="Arial" w:hAnsi="Arial" w:cs="Arial"/>
          <w:sz w:val="22"/>
          <w:szCs w:val="22"/>
        </w:rPr>
        <w:t xml:space="preserve"> or</w:t>
      </w:r>
      <w:proofErr w:type="gramEnd"/>
      <w:r w:rsidRPr="00D17F7E">
        <w:rPr>
          <w:rFonts w:ascii="Arial" w:hAnsi="Arial" w:cs="Arial"/>
          <w:sz w:val="22"/>
          <w:szCs w:val="22"/>
        </w:rPr>
        <w:t xml:space="preserve"> is aware of an associated person or sub-contract</w:t>
      </w:r>
      <w:r w:rsidR="005E05D5">
        <w:rPr>
          <w:rFonts w:ascii="Arial" w:hAnsi="Arial" w:cs="Arial"/>
          <w:sz w:val="22"/>
          <w:szCs w:val="22"/>
        </w:rPr>
        <w:t>or</w:t>
      </w:r>
      <w:r w:rsidRPr="00D17F7E">
        <w:rPr>
          <w:rFonts w:ascii="Arial" w:hAnsi="Arial" w:cs="Arial"/>
          <w:sz w:val="22"/>
          <w:szCs w:val="22"/>
        </w:rPr>
        <w:t xml:space="preserve"> having been replaced, it will give notice of this fact within 30 days of its decision to the Procurement Review Unit (PRU).</w:t>
      </w:r>
    </w:p>
    <w:p w14:paraId="2177FA21" w14:textId="6D2958DF" w:rsidR="00704D86" w:rsidRPr="00D17F7E" w:rsidRDefault="001C6D25" w:rsidP="0085565B">
      <w:pPr>
        <w:pStyle w:val="BodyText1"/>
        <w:numPr>
          <w:ilvl w:val="3"/>
          <w:numId w:val="11"/>
        </w:numPr>
        <w:ind w:left="357" w:hanging="357"/>
        <w:jc w:val="both"/>
        <w:rPr>
          <w:rFonts w:ascii="Arial" w:hAnsi="Arial" w:cs="Arial"/>
          <w:sz w:val="22"/>
          <w:szCs w:val="22"/>
        </w:rPr>
      </w:pPr>
      <w:r>
        <w:rPr>
          <w:rFonts w:ascii="Arial" w:hAnsi="Arial" w:cs="Arial"/>
          <w:sz w:val="22"/>
          <w:szCs w:val="22"/>
        </w:rPr>
        <w:t>HMRC</w:t>
      </w:r>
      <w:r w:rsidR="00704D86" w:rsidRPr="00D17F7E">
        <w:rPr>
          <w:rFonts w:ascii="Arial" w:hAnsi="Arial" w:cs="Arial"/>
          <w:sz w:val="22"/>
          <w:szCs w:val="22"/>
        </w:rPr>
        <w:t xml:space="preserve"> will also undertake a review of the completed PSQ </w:t>
      </w:r>
      <w:r w:rsidR="007D2F0D">
        <w:rPr>
          <w:rFonts w:ascii="Arial" w:hAnsi="Arial" w:cs="Arial"/>
          <w:sz w:val="22"/>
          <w:szCs w:val="22"/>
        </w:rPr>
        <w:t xml:space="preserve">(and as confirmed in the </w:t>
      </w:r>
      <w:r w:rsidR="00E66364">
        <w:rPr>
          <w:rFonts w:ascii="Arial" w:hAnsi="Arial" w:cs="Arial"/>
          <w:sz w:val="22"/>
          <w:szCs w:val="22"/>
        </w:rPr>
        <w:t>detail</w:t>
      </w:r>
      <w:r w:rsidR="008C7A88">
        <w:rPr>
          <w:rFonts w:ascii="Arial" w:hAnsi="Arial" w:cs="Arial"/>
          <w:sz w:val="22"/>
          <w:szCs w:val="22"/>
        </w:rPr>
        <w:t xml:space="preserve"> provided</w:t>
      </w:r>
      <w:r w:rsidR="007D2F0D">
        <w:rPr>
          <w:rFonts w:ascii="Arial" w:hAnsi="Arial" w:cs="Arial"/>
          <w:sz w:val="22"/>
          <w:szCs w:val="22"/>
        </w:rPr>
        <w:t xml:space="preserve"> </w:t>
      </w:r>
      <w:r w:rsidR="00EE4774">
        <w:rPr>
          <w:rFonts w:ascii="Arial" w:hAnsi="Arial" w:cs="Arial"/>
          <w:sz w:val="22"/>
          <w:szCs w:val="22"/>
        </w:rPr>
        <w:t xml:space="preserve">in </w:t>
      </w:r>
      <w:r w:rsidR="007D15E3">
        <w:rPr>
          <w:rFonts w:ascii="Arial" w:hAnsi="Arial" w:cs="Arial"/>
          <w:sz w:val="22"/>
          <w:szCs w:val="22"/>
        </w:rPr>
        <w:t xml:space="preserve">paragraph </w:t>
      </w:r>
      <w:r w:rsidR="00EE4774">
        <w:rPr>
          <w:rFonts w:ascii="Arial" w:hAnsi="Arial" w:cs="Arial"/>
          <w:sz w:val="22"/>
          <w:szCs w:val="22"/>
        </w:rPr>
        <w:t>12</w:t>
      </w:r>
      <w:r w:rsidR="008C7A88">
        <w:rPr>
          <w:rFonts w:ascii="Arial" w:hAnsi="Arial" w:cs="Arial"/>
          <w:sz w:val="22"/>
          <w:szCs w:val="22"/>
        </w:rPr>
        <w:t xml:space="preserve">.4, </w:t>
      </w:r>
      <w:r w:rsidR="00704D86" w:rsidRPr="00D17F7E">
        <w:rPr>
          <w:rFonts w:ascii="Arial" w:hAnsi="Arial" w:cs="Arial"/>
          <w:sz w:val="22"/>
          <w:szCs w:val="22"/>
        </w:rPr>
        <w:t xml:space="preserve">with reference to any information held on the Central Digital Platform. Responses to any conditions of participation will be assessed in accordance with the selection process and any selection criteria as set out in the Tender Notice, PSQ and described in this document. The assessment of these responses will identify </w:t>
      </w:r>
      <w:r w:rsidR="002B1B3E">
        <w:rPr>
          <w:rFonts w:ascii="Arial" w:hAnsi="Arial" w:cs="Arial"/>
          <w:sz w:val="22"/>
          <w:szCs w:val="22"/>
        </w:rPr>
        <w:t>a maximum of</w:t>
      </w:r>
      <w:r w:rsidR="00704D86" w:rsidRPr="00D17F7E">
        <w:rPr>
          <w:rFonts w:ascii="Arial" w:hAnsi="Arial" w:cs="Arial"/>
          <w:sz w:val="22"/>
          <w:szCs w:val="22"/>
        </w:rPr>
        <w:t xml:space="preserve"> </w:t>
      </w:r>
      <w:r w:rsidR="004811FB">
        <w:rPr>
          <w:rFonts w:ascii="Arial" w:hAnsi="Arial" w:cs="Arial"/>
          <w:sz w:val="22"/>
          <w:szCs w:val="22"/>
        </w:rPr>
        <w:t>t</w:t>
      </w:r>
      <w:r w:rsidR="00E314A4">
        <w:rPr>
          <w:rFonts w:ascii="Arial" w:hAnsi="Arial" w:cs="Arial"/>
          <w:sz w:val="22"/>
          <w:szCs w:val="22"/>
        </w:rPr>
        <w:t>hree</w:t>
      </w:r>
      <w:r w:rsidR="00704D86" w:rsidRPr="00D17F7E">
        <w:rPr>
          <w:rFonts w:ascii="Arial" w:hAnsi="Arial" w:cs="Arial"/>
          <w:sz w:val="22"/>
          <w:szCs w:val="22"/>
        </w:rPr>
        <w:t xml:space="preserve"> </w:t>
      </w:r>
      <w:r w:rsidR="00A372D9">
        <w:rPr>
          <w:rFonts w:ascii="Arial" w:hAnsi="Arial" w:cs="Arial"/>
          <w:sz w:val="22"/>
          <w:szCs w:val="22"/>
        </w:rPr>
        <w:t>Tenderers</w:t>
      </w:r>
      <w:r w:rsidR="00704D86" w:rsidRPr="00D17F7E">
        <w:rPr>
          <w:rFonts w:ascii="Arial" w:hAnsi="Arial" w:cs="Arial"/>
          <w:sz w:val="22"/>
          <w:szCs w:val="22"/>
        </w:rPr>
        <w:t xml:space="preserve"> to be invited to participate in Stage 2.</w:t>
      </w:r>
      <w:r w:rsidR="004B4783">
        <w:rPr>
          <w:rFonts w:ascii="Arial" w:hAnsi="Arial" w:cs="Arial"/>
          <w:sz w:val="22"/>
          <w:szCs w:val="22"/>
        </w:rPr>
        <w:t xml:space="preserve">  Note, that the final number of </w:t>
      </w:r>
      <w:r w:rsidR="00A372D9">
        <w:rPr>
          <w:rFonts w:ascii="Arial" w:hAnsi="Arial" w:cs="Arial"/>
          <w:sz w:val="22"/>
          <w:szCs w:val="22"/>
        </w:rPr>
        <w:t>Tenderer</w:t>
      </w:r>
      <w:r w:rsidR="004B4783">
        <w:rPr>
          <w:rFonts w:ascii="Arial" w:hAnsi="Arial" w:cs="Arial"/>
          <w:sz w:val="22"/>
          <w:szCs w:val="22"/>
        </w:rPr>
        <w:t xml:space="preserve">s shortlisted to proceed is </w:t>
      </w:r>
      <w:r w:rsidR="000D4594">
        <w:rPr>
          <w:rFonts w:ascii="Arial" w:hAnsi="Arial" w:cs="Arial"/>
          <w:sz w:val="22"/>
          <w:szCs w:val="22"/>
        </w:rPr>
        <w:t xml:space="preserve">at </w:t>
      </w:r>
      <w:r w:rsidR="00F46816">
        <w:rPr>
          <w:rFonts w:ascii="Arial" w:hAnsi="Arial" w:cs="Arial"/>
          <w:sz w:val="22"/>
          <w:szCs w:val="22"/>
        </w:rPr>
        <w:t xml:space="preserve">the discretion of HMRC. </w:t>
      </w:r>
      <w:r w:rsidR="00507358">
        <w:rPr>
          <w:rFonts w:ascii="Arial" w:hAnsi="Arial" w:cs="Arial"/>
          <w:sz w:val="22"/>
          <w:szCs w:val="22"/>
        </w:rPr>
        <w:t xml:space="preserve"> </w:t>
      </w:r>
      <w:r w:rsidR="00F46816">
        <w:rPr>
          <w:rFonts w:ascii="Arial" w:hAnsi="Arial" w:cs="Arial"/>
          <w:sz w:val="22"/>
          <w:szCs w:val="22"/>
        </w:rPr>
        <w:t xml:space="preserve"> </w:t>
      </w:r>
    </w:p>
    <w:p w14:paraId="12C395BD" w14:textId="7A717832" w:rsidR="00704D86" w:rsidRPr="00D17F7E" w:rsidRDefault="00704D86" w:rsidP="0085565B">
      <w:pPr>
        <w:pStyle w:val="BodyText1"/>
        <w:numPr>
          <w:ilvl w:val="3"/>
          <w:numId w:val="11"/>
        </w:numPr>
        <w:ind w:left="357" w:hanging="357"/>
        <w:jc w:val="both"/>
        <w:rPr>
          <w:rFonts w:ascii="Arial" w:hAnsi="Arial" w:cs="Arial"/>
          <w:sz w:val="22"/>
          <w:szCs w:val="22"/>
        </w:rPr>
      </w:pPr>
      <w:r w:rsidRPr="00D17F7E">
        <w:rPr>
          <w:rFonts w:ascii="Arial" w:hAnsi="Arial" w:cs="Arial"/>
          <w:sz w:val="22"/>
          <w:szCs w:val="22"/>
        </w:rPr>
        <w:t xml:space="preserve">Stage 1 will complete with </w:t>
      </w:r>
      <w:r w:rsidR="00A372D9">
        <w:rPr>
          <w:rFonts w:ascii="Arial" w:hAnsi="Arial" w:cs="Arial"/>
          <w:sz w:val="22"/>
          <w:szCs w:val="22"/>
        </w:rPr>
        <w:t>Tenderers</w:t>
      </w:r>
      <w:r w:rsidRPr="00D17F7E">
        <w:rPr>
          <w:rFonts w:ascii="Arial" w:hAnsi="Arial" w:cs="Arial"/>
          <w:sz w:val="22"/>
          <w:szCs w:val="22"/>
        </w:rPr>
        <w:t xml:space="preserve"> being notified in writing of </w:t>
      </w:r>
      <w:proofErr w:type="gramStart"/>
      <w:r w:rsidRPr="00D17F7E">
        <w:rPr>
          <w:rFonts w:ascii="Arial" w:hAnsi="Arial" w:cs="Arial"/>
          <w:sz w:val="22"/>
          <w:szCs w:val="22"/>
        </w:rPr>
        <w:t>whether or not</w:t>
      </w:r>
      <w:proofErr w:type="gramEnd"/>
      <w:r w:rsidRPr="00D17F7E">
        <w:rPr>
          <w:rFonts w:ascii="Arial" w:hAnsi="Arial" w:cs="Arial"/>
          <w:sz w:val="22"/>
          <w:szCs w:val="22"/>
        </w:rPr>
        <w:t xml:space="preserve"> they have been successfully</w:t>
      </w:r>
      <w:r w:rsidR="008C2ED8">
        <w:rPr>
          <w:rFonts w:ascii="Arial" w:hAnsi="Arial" w:cs="Arial"/>
          <w:sz w:val="22"/>
          <w:szCs w:val="22"/>
        </w:rPr>
        <w:t xml:space="preserve"> placed in the top three and thus</w:t>
      </w:r>
      <w:r w:rsidR="00AD5269">
        <w:rPr>
          <w:rFonts w:ascii="Arial" w:hAnsi="Arial" w:cs="Arial"/>
          <w:sz w:val="22"/>
          <w:szCs w:val="22"/>
        </w:rPr>
        <w:t>,</w:t>
      </w:r>
      <w:r w:rsidRPr="00D17F7E">
        <w:rPr>
          <w:rFonts w:ascii="Arial" w:hAnsi="Arial" w:cs="Arial"/>
          <w:sz w:val="22"/>
          <w:szCs w:val="22"/>
        </w:rPr>
        <w:t xml:space="preserve"> shortlisted to participate in Stage 2. </w:t>
      </w:r>
      <w:r w:rsidR="00A372D9">
        <w:rPr>
          <w:rFonts w:ascii="Arial" w:hAnsi="Arial" w:cs="Arial"/>
          <w:sz w:val="22"/>
          <w:szCs w:val="22"/>
        </w:rPr>
        <w:t>Tenderer</w:t>
      </w:r>
      <w:r w:rsidRPr="00D17F7E">
        <w:rPr>
          <w:rFonts w:ascii="Arial" w:hAnsi="Arial" w:cs="Arial"/>
          <w:sz w:val="22"/>
          <w:szCs w:val="22"/>
        </w:rPr>
        <w:t>s not invited to Stage 2 will be provided with a written explanation of the reasons why they have not been shortlisted to participate in Stage 2.</w:t>
      </w:r>
    </w:p>
    <w:p w14:paraId="74542DA7" w14:textId="774C59A7" w:rsidR="00704D86" w:rsidRPr="00D17F7E" w:rsidRDefault="00A372D9" w:rsidP="0085565B">
      <w:pPr>
        <w:pStyle w:val="BodyText1"/>
        <w:numPr>
          <w:ilvl w:val="3"/>
          <w:numId w:val="11"/>
        </w:numPr>
        <w:ind w:left="357" w:hanging="357"/>
        <w:jc w:val="both"/>
        <w:rPr>
          <w:rFonts w:ascii="Arial" w:hAnsi="Arial" w:cs="Arial"/>
          <w:sz w:val="22"/>
          <w:szCs w:val="22"/>
        </w:rPr>
      </w:pPr>
      <w:r>
        <w:rPr>
          <w:rFonts w:ascii="Arial" w:hAnsi="Arial" w:cs="Arial"/>
          <w:sz w:val="22"/>
          <w:szCs w:val="22"/>
        </w:rPr>
        <w:t>Tenderer</w:t>
      </w:r>
      <w:r w:rsidR="00704D86" w:rsidRPr="00D17F7E">
        <w:rPr>
          <w:rFonts w:ascii="Arial" w:hAnsi="Arial" w:cs="Arial"/>
          <w:sz w:val="22"/>
          <w:szCs w:val="22"/>
        </w:rPr>
        <w:t xml:space="preserve">s should note that </w:t>
      </w:r>
      <w:r w:rsidR="001C6D25">
        <w:rPr>
          <w:rFonts w:ascii="Arial" w:hAnsi="Arial" w:cs="Arial"/>
          <w:sz w:val="22"/>
          <w:szCs w:val="22"/>
        </w:rPr>
        <w:t>HMRC</w:t>
      </w:r>
      <w:r w:rsidR="00704D86" w:rsidRPr="00D17F7E">
        <w:rPr>
          <w:rFonts w:ascii="Arial" w:hAnsi="Arial" w:cs="Arial"/>
          <w:sz w:val="22"/>
          <w:szCs w:val="22"/>
        </w:rPr>
        <w:t xml:space="preserve"> reserves the right to re-assess any response to the PSQ, </w:t>
      </w:r>
      <w:proofErr w:type="gramStart"/>
      <w:r w:rsidR="00704D86" w:rsidRPr="00D17F7E">
        <w:rPr>
          <w:rFonts w:ascii="Arial" w:hAnsi="Arial" w:cs="Arial"/>
          <w:sz w:val="22"/>
          <w:szCs w:val="22"/>
        </w:rPr>
        <w:t>in light of</w:t>
      </w:r>
      <w:proofErr w:type="gramEnd"/>
      <w:r w:rsidR="00704D86" w:rsidRPr="00D17F7E">
        <w:rPr>
          <w:rFonts w:ascii="Arial" w:hAnsi="Arial" w:cs="Arial"/>
          <w:sz w:val="22"/>
          <w:szCs w:val="22"/>
        </w:rPr>
        <w:t xml:space="preserve"> any new relevant information that comes to </w:t>
      </w:r>
      <w:r w:rsidR="001C6D25">
        <w:rPr>
          <w:rFonts w:ascii="Arial" w:hAnsi="Arial" w:cs="Arial"/>
          <w:sz w:val="22"/>
          <w:szCs w:val="22"/>
        </w:rPr>
        <w:t>HMRC</w:t>
      </w:r>
      <w:r w:rsidR="00704D86" w:rsidRPr="00D17F7E">
        <w:rPr>
          <w:rFonts w:ascii="Arial" w:hAnsi="Arial" w:cs="Arial"/>
          <w:sz w:val="22"/>
          <w:szCs w:val="22"/>
        </w:rPr>
        <w:t xml:space="preserve">’s attention. </w:t>
      </w:r>
    </w:p>
    <w:p w14:paraId="5C685022" w14:textId="2933D285" w:rsidR="00704D86" w:rsidRPr="00D17F7E" w:rsidRDefault="00704D86" w:rsidP="001E53D0">
      <w:pPr>
        <w:pStyle w:val="Heading3"/>
        <w:jc w:val="both"/>
        <w:rPr>
          <w:rFonts w:ascii="Arial" w:hAnsi="Arial" w:cs="Arial"/>
          <w:sz w:val="22"/>
          <w:szCs w:val="22"/>
        </w:rPr>
      </w:pPr>
      <w:r w:rsidRPr="00D17F7E">
        <w:rPr>
          <w:rFonts w:ascii="Arial" w:hAnsi="Arial" w:cs="Arial"/>
          <w:sz w:val="22"/>
          <w:szCs w:val="22"/>
        </w:rPr>
        <w:t xml:space="preserve">Stage 2: Invitation </w:t>
      </w:r>
      <w:r w:rsidR="000D13AD">
        <w:rPr>
          <w:rFonts w:ascii="Arial" w:hAnsi="Arial" w:cs="Arial"/>
          <w:sz w:val="22"/>
          <w:szCs w:val="22"/>
        </w:rPr>
        <w:t>T</w:t>
      </w:r>
      <w:r w:rsidRPr="00D17F7E">
        <w:rPr>
          <w:rFonts w:ascii="Arial" w:hAnsi="Arial" w:cs="Arial"/>
          <w:sz w:val="22"/>
          <w:szCs w:val="22"/>
        </w:rPr>
        <w:t xml:space="preserve">o </w:t>
      </w:r>
      <w:r w:rsidR="000D13AD">
        <w:rPr>
          <w:rFonts w:ascii="Arial" w:hAnsi="Arial" w:cs="Arial"/>
          <w:sz w:val="22"/>
          <w:szCs w:val="22"/>
        </w:rPr>
        <w:t>S</w:t>
      </w:r>
      <w:r w:rsidRPr="00D17F7E">
        <w:rPr>
          <w:rFonts w:ascii="Arial" w:hAnsi="Arial" w:cs="Arial"/>
          <w:sz w:val="22"/>
          <w:szCs w:val="22"/>
        </w:rPr>
        <w:t xml:space="preserve">ubmit </w:t>
      </w:r>
      <w:r w:rsidR="000D13AD">
        <w:rPr>
          <w:rFonts w:ascii="Arial" w:hAnsi="Arial" w:cs="Arial"/>
          <w:sz w:val="22"/>
          <w:szCs w:val="22"/>
        </w:rPr>
        <w:t>I</w:t>
      </w:r>
      <w:r w:rsidRPr="00D17F7E">
        <w:rPr>
          <w:rFonts w:ascii="Arial" w:hAnsi="Arial" w:cs="Arial"/>
          <w:sz w:val="22"/>
          <w:szCs w:val="22"/>
        </w:rPr>
        <w:t xml:space="preserve">nitial </w:t>
      </w:r>
      <w:r w:rsidR="000D13AD">
        <w:rPr>
          <w:rFonts w:ascii="Arial" w:hAnsi="Arial" w:cs="Arial"/>
          <w:sz w:val="22"/>
          <w:szCs w:val="22"/>
        </w:rPr>
        <w:t>T</w:t>
      </w:r>
      <w:r w:rsidRPr="00D17F7E">
        <w:rPr>
          <w:rFonts w:ascii="Arial" w:hAnsi="Arial" w:cs="Arial"/>
          <w:sz w:val="22"/>
          <w:szCs w:val="22"/>
        </w:rPr>
        <w:t>enders</w:t>
      </w:r>
      <w:r w:rsidR="000D13AD">
        <w:rPr>
          <w:rFonts w:ascii="Arial" w:hAnsi="Arial" w:cs="Arial"/>
          <w:sz w:val="22"/>
          <w:szCs w:val="22"/>
        </w:rPr>
        <w:t xml:space="preserve"> (ITSIT)</w:t>
      </w:r>
      <w:r w:rsidRPr="00D17F7E">
        <w:rPr>
          <w:rFonts w:ascii="Arial" w:hAnsi="Arial" w:cs="Arial"/>
          <w:sz w:val="22"/>
          <w:szCs w:val="22"/>
        </w:rPr>
        <w:t xml:space="preserve"> </w:t>
      </w:r>
    </w:p>
    <w:p w14:paraId="00E7724E" w14:textId="77777777" w:rsidR="00146A62" w:rsidRPr="00CD3B7B" w:rsidRDefault="00146A62" w:rsidP="001E53D0">
      <w:pPr>
        <w:jc w:val="both"/>
      </w:pPr>
    </w:p>
    <w:p w14:paraId="28D71AEB" w14:textId="74218D5B" w:rsidR="00704D86" w:rsidRPr="00D17F7E" w:rsidRDefault="00DE1853" w:rsidP="001E53D0">
      <w:pPr>
        <w:pStyle w:val="BodyText1"/>
        <w:ind w:left="357" w:hanging="357"/>
        <w:jc w:val="both"/>
        <w:rPr>
          <w:rFonts w:ascii="Arial" w:hAnsi="Arial" w:cs="Arial"/>
          <w:sz w:val="22"/>
          <w:szCs w:val="22"/>
        </w:rPr>
      </w:pPr>
      <w:r>
        <w:rPr>
          <w:rFonts w:ascii="Arial" w:hAnsi="Arial" w:cs="Arial"/>
          <w:sz w:val="22"/>
          <w:szCs w:val="22"/>
        </w:rPr>
        <w:t>9</w:t>
      </w:r>
      <w:r w:rsidR="00704D86" w:rsidRPr="00D17F7E">
        <w:rPr>
          <w:rFonts w:ascii="Arial" w:hAnsi="Arial" w:cs="Arial"/>
          <w:sz w:val="22"/>
          <w:szCs w:val="22"/>
        </w:rPr>
        <w:tab/>
        <w:t xml:space="preserve">Stage 2 will commence with the issuing of a letter inviting those </w:t>
      </w:r>
      <w:r w:rsidR="00393A65">
        <w:rPr>
          <w:rFonts w:ascii="Arial" w:hAnsi="Arial" w:cs="Arial"/>
          <w:sz w:val="22"/>
          <w:szCs w:val="22"/>
        </w:rPr>
        <w:t>Tenderers</w:t>
      </w:r>
      <w:r w:rsidR="00393A65" w:rsidRPr="00D17F7E">
        <w:rPr>
          <w:rFonts w:ascii="Arial" w:hAnsi="Arial" w:cs="Arial"/>
          <w:sz w:val="22"/>
          <w:szCs w:val="22"/>
        </w:rPr>
        <w:t xml:space="preserve"> </w:t>
      </w:r>
      <w:r w:rsidR="00704D86" w:rsidRPr="00D17F7E">
        <w:rPr>
          <w:rFonts w:ascii="Arial" w:hAnsi="Arial" w:cs="Arial"/>
          <w:sz w:val="22"/>
          <w:szCs w:val="22"/>
        </w:rPr>
        <w:t xml:space="preserve">which have successfully been shortlisted at Stage 1 of the Procurement to submit initial tenders. </w:t>
      </w:r>
    </w:p>
    <w:p w14:paraId="5F3078CB" w14:textId="7EE8BB39" w:rsidR="00704D86" w:rsidRPr="00D17F7E" w:rsidRDefault="006836D9" w:rsidP="001E53D0">
      <w:pPr>
        <w:pStyle w:val="BodyText1"/>
        <w:ind w:left="357" w:hanging="357"/>
        <w:jc w:val="both"/>
        <w:rPr>
          <w:rFonts w:ascii="Arial" w:hAnsi="Arial" w:cs="Arial"/>
          <w:sz w:val="22"/>
          <w:szCs w:val="22"/>
        </w:rPr>
      </w:pPr>
      <w:r>
        <w:rPr>
          <w:rFonts w:ascii="Arial" w:hAnsi="Arial" w:cs="Arial"/>
          <w:sz w:val="22"/>
          <w:szCs w:val="22"/>
        </w:rPr>
        <w:t>10</w:t>
      </w:r>
      <w:r w:rsidR="00704D86" w:rsidRPr="00D17F7E">
        <w:rPr>
          <w:rFonts w:ascii="Arial" w:hAnsi="Arial" w:cs="Arial"/>
          <w:sz w:val="22"/>
          <w:szCs w:val="22"/>
        </w:rPr>
        <w:t>.</w:t>
      </w:r>
      <w:r w:rsidR="00704D86" w:rsidRPr="00D17F7E">
        <w:rPr>
          <w:rFonts w:ascii="Arial" w:hAnsi="Arial" w:cs="Arial"/>
          <w:sz w:val="22"/>
          <w:szCs w:val="22"/>
        </w:rPr>
        <w:tab/>
        <w:t>The letter will also provide details of</w:t>
      </w:r>
      <w:r w:rsidR="0069193B">
        <w:rPr>
          <w:rFonts w:ascii="Arial" w:hAnsi="Arial" w:cs="Arial"/>
          <w:sz w:val="22"/>
          <w:szCs w:val="22"/>
        </w:rPr>
        <w:t xml:space="preserve"> the additional </w:t>
      </w:r>
      <w:r w:rsidR="00704D86" w:rsidRPr="00D17F7E">
        <w:rPr>
          <w:rFonts w:ascii="Arial" w:hAnsi="Arial" w:cs="Arial"/>
          <w:sz w:val="22"/>
          <w:szCs w:val="22"/>
        </w:rPr>
        <w:t xml:space="preserve">information made available to </w:t>
      </w:r>
      <w:r w:rsidR="00AF1F5B">
        <w:rPr>
          <w:rFonts w:ascii="Arial" w:hAnsi="Arial" w:cs="Arial"/>
          <w:sz w:val="22"/>
          <w:szCs w:val="22"/>
        </w:rPr>
        <w:t>Tenderers</w:t>
      </w:r>
      <w:r w:rsidR="00AF1F5B" w:rsidRPr="00D17F7E">
        <w:rPr>
          <w:rFonts w:ascii="Arial" w:hAnsi="Arial" w:cs="Arial"/>
          <w:sz w:val="22"/>
          <w:szCs w:val="22"/>
        </w:rPr>
        <w:t xml:space="preserve"> </w:t>
      </w:r>
      <w:r w:rsidR="00704D86" w:rsidRPr="00D17F7E">
        <w:rPr>
          <w:rFonts w:ascii="Arial" w:hAnsi="Arial" w:cs="Arial"/>
          <w:sz w:val="22"/>
          <w:szCs w:val="22"/>
        </w:rPr>
        <w:t xml:space="preserve">at this stage of the Procurement. </w:t>
      </w:r>
      <w:r w:rsidR="00FF7682">
        <w:rPr>
          <w:rFonts w:ascii="Arial" w:hAnsi="Arial" w:cs="Arial"/>
          <w:sz w:val="22"/>
          <w:szCs w:val="22"/>
        </w:rPr>
        <w:t>This will include the questions and scoring criteria for that stage of the procurement.</w:t>
      </w:r>
    </w:p>
    <w:p w14:paraId="6196F243" w14:textId="4F395B4B" w:rsidR="00704D86" w:rsidRPr="00D17F7E" w:rsidRDefault="00704D86" w:rsidP="001E53D0">
      <w:pPr>
        <w:pStyle w:val="BodyText1"/>
        <w:ind w:left="357" w:hanging="357"/>
        <w:jc w:val="both"/>
        <w:rPr>
          <w:rFonts w:ascii="Arial" w:hAnsi="Arial" w:cs="Arial"/>
          <w:sz w:val="22"/>
          <w:szCs w:val="22"/>
        </w:rPr>
      </w:pPr>
      <w:r w:rsidRPr="00D17F7E">
        <w:rPr>
          <w:rFonts w:ascii="Arial" w:hAnsi="Arial" w:cs="Arial"/>
          <w:sz w:val="22"/>
          <w:szCs w:val="22"/>
        </w:rPr>
        <w:t>1</w:t>
      </w:r>
      <w:r w:rsidR="006836D9">
        <w:rPr>
          <w:rFonts w:ascii="Arial" w:hAnsi="Arial" w:cs="Arial"/>
          <w:sz w:val="22"/>
          <w:szCs w:val="22"/>
        </w:rPr>
        <w:t>1</w:t>
      </w:r>
      <w:r w:rsidRPr="00D17F7E">
        <w:rPr>
          <w:rFonts w:ascii="Arial" w:hAnsi="Arial" w:cs="Arial"/>
          <w:sz w:val="22"/>
          <w:szCs w:val="22"/>
        </w:rPr>
        <w:t>.</w:t>
      </w:r>
      <w:r w:rsidRPr="00D17F7E">
        <w:rPr>
          <w:rFonts w:ascii="Arial" w:hAnsi="Arial" w:cs="Arial"/>
          <w:sz w:val="22"/>
          <w:szCs w:val="22"/>
        </w:rPr>
        <w:tab/>
        <w:t>Initial tenders must be submitted in accordance with the Procurement Timetable and instructions set out in this document and any additional information provided</w:t>
      </w:r>
      <w:r w:rsidR="006F745E">
        <w:rPr>
          <w:rFonts w:ascii="Arial" w:hAnsi="Arial" w:cs="Arial"/>
          <w:sz w:val="22"/>
          <w:szCs w:val="22"/>
        </w:rPr>
        <w:t xml:space="preserve"> as part of the ITSIT </w:t>
      </w:r>
      <w:r w:rsidR="00EB205A">
        <w:rPr>
          <w:rFonts w:ascii="Arial" w:hAnsi="Arial" w:cs="Arial"/>
          <w:sz w:val="22"/>
          <w:szCs w:val="22"/>
        </w:rPr>
        <w:t>documentation</w:t>
      </w:r>
      <w:r w:rsidRPr="00D17F7E">
        <w:rPr>
          <w:rFonts w:ascii="Arial" w:hAnsi="Arial" w:cs="Arial"/>
          <w:sz w:val="22"/>
          <w:szCs w:val="22"/>
        </w:rPr>
        <w:t xml:space="preserve">. </w:t>
      </w:r>
    </w:p>
    <w:p w14:paraId="76D8F178" w14:textId="0D5B223F" w:rsidR="00704D86" w:rsidRPr="006D5310" w:rsidRDefault="00704D86" w:rsidP="001E53D0">
      <w:pPr>
        <w:pStyle w:val="BodyText1"/>
        <w:ind w:left="357" w:hanging="357"/>
        <w:jc w:val="both"/>
        <w:rPr>
          <w:rFonts w:ascii="Arial" w:hAnsi="Arial" w:cs="Arial"/>
          <w:sz w:val="22"/>
          <w:szCs w:val="22"/>
        </w:rPr>
      </w:pPr>
      <w:r w:rsidRPr="00D17F7E">
        <w:rPr>
          <w:rFonts w:ascii="Arial" w:hAnsi="Arial" w:cs="Arial"/>
          <w:sz w:val="22"/>
          <w:szCs w:val="22"/>
        </w:rPr>
        <w:t>1</w:t>
      </w:r>
      <w:r w:rsidR="006836D9">
        <w:rPr>
          <w:rFonts w:ascii="Arial" w:hAnsi="Arial" w:cs="Arial"/>
          <w:sz w:val="22"/>
          <w:szCs w:val="22"/>
        </w:rPr>
        <w:t>2</w:t>
      </w:r>
      <w:r w:rsidRPr="00D17F7E">
        <w:rPr>
          <w:rFonts w:ascii="Arial" w:hAnsi="Arial" w:cs="Arial"/>
          <w:sz w:val="22"/>
          <w:szCs w:val="22"/>
        </w:rPr>
        <w:t>.</w:t>
      </w:r>
      <w:r w:rsidR="000173CF">
        <w:rPr>
          <w:rFonts w:ascii="Arial" w:hAnsi="Arial" w:cs="Arial"/>
          <w:sz w:val="22"/>
          <w:szCs w:val="22"/>
        </w:rPr>
        <w:t xml:space="preserve"> </w:t>
      </w:r>
      <w:r w:rsidRPr="006D5310">
        <w:rPr>
          <w:rFonts w:ascii="Arial" w:hAnsi="Arial" w:cs="Arial"/>
          <w:sz w:val="22"/>
          <w:szCs w:val="22"/>
        </w:rPr>
        <w:t xml:space="preserve">Following the deadline for submission of initial tenders, </w:t>
      </w:r>
      <w:r w:rsidR="001C6D25">
        <w:rPr>
          <w:rFonts w:ascii="Arial" w:hAnsi="Arial" w:cs="Arial"/>
          <w:sz w:val="22"/>
          <w:szCs w:val="22"/>
        </w:rPr>
        <w:t>HMRC</w:t>
      </w:r>
      <w:r w:rsidRPr="006D5310">
        <w:rPr>
          <w:rFonts w:ascii="Arial" w:hAnsi="Arial" w:cs="Arial"/>
          <w:sz w:val="22"/>
          <w:szCs w:val="22"/>
        </w:rPr>
        <w:t xml:space="preserve"> will assess initial tenders in accordance with the assessment process and award criteria set out in the Tender Notice and described in this document. </w:t>
      </w:r>
      <w:r w:rsidR="00036E98" w:rsidRPr="006D5310">
        <w:rPr>
          <w:rFonts w:ascii="Arial" w:hAnsi="Arial" w:cs="Arial"/>
          <w:sz w:val="22"/>
          <w:szCs w:val="22"/>
        </w:rPr>
        <w:t xml:space="preserve">Note that </w:t>
      </w:r>
      <w:r w:rsidR="00BB5CFC" w:rsidRPr="006D5310">
        <w:rPr>
          <w:rFonts w:ascii="Arial" w:hAnsi="Arial" w:cs="Arial"/>
          <w:sz w:val="22"/>
          <w:szCs w:val="22"/>
        </w:rPr>
        <w:t>although</w:t>
      </w:r>
      <w:r w:rsidR="00036E98" w:rsidRPr="006D5310">
        <w:rPr>
          <w:rFonts w:ascii="Arial" w:hAnsi="Arial" w:cs="Arial"/>
          <w:sz w:val="22"/>
          <w:szCs w:val="22"/>
        </w:rPr>
        <w:t xml:space="preserve"> Initial Tenders are not formally evaluated </w:t>
      </w:r>
      <w:r w:rsidR="007D2F0D" w:rsidRPr="006D5310">
        <w:rPr>
          <w:rFonts w:ascii="Arial" w:hAnsi="Arial" w:cs="Arial"/>
          <w:sz w:val="22"/>
          <w:szCs w:val="22"/>
        </w:rPr>
        <w:t xml:space="preserve">for scoring purposes </w:t>
      </w:r>
      <w:r w:rsidR="00036E98" w:rsidRPr="006D5310">
        <w:rPr>
          <w:rFonts w:ascii="Arial" w:hAnsi="Arial" w:cs="Arial"/>
          <w:sz w:val="22"/>
          <w:szCs w:val="22"/>
        </w:rPr>
        <w:t>or moderated</w:t>
      </w:r>
      <w:r w:rsidR="00BB5CFC" w:rsidRPr="006D5310">
        <w:rPr>
          <w:rFonts w:ascii="Arial" w:hAnsi="Arial" w:cs="Arial"/>
          <w:sz w:val="22"/>
          <w:szCs w:val="22"/>
        </w:rPr>
        <w:t xml:space="preserve">, </w:t>
      </w:r>
      <w:r w:rsidR="00D92863" w:rsidRPr="00920977">
        <w:rPr>
          <w:rFonts w:ascii="Arial" w:hAnsi="Arial" w:cs="Arial"/>
          <w:sz w:val="22"/>
          <w:szCs w:val="22"/>
        </w:rPr>
        <w:t>an</w:t>
      </w:r>
      <w:r w:rsidR="0066077E" w:rsidRPr="00920977">
        <w:rPr>
          <w:rFonts w:ascii="Arial" w:hAnsi="Arial" w:cs="Arial"/>
          <w:sz w:val="22"/>
          <w:szCs w:val="22"/>
        </w:rPr>
        <w:t>y submissions that are received that are non-compliant against criteria defined as Non-Negotiable, may be rejected at this stage.</w:t>
      </w:r>
    </w:p>
    <w:p w14:paraId="54253791" w14:textId="658A314B" w:rsidR="00704D86" w:rsidRDefault="00704D86" w:rsidP="001E53D0">
      <w:pPr>
        <w:pStyle w:val="Heading3"/>
        <w:jc w:val="both"/>
        <w:rPr>
          <w:rFonts w:ascii="Arial" w:hAnsi="Arial" w:cs="Arial"/>
          <w:sz w:val="22"/>
          <w:szCs w:val="22"/>
        </w:rPr>
      </w:pPr>
      <w:r w:rsidRPr="00D17F7E">
        <w:rPr>
          <w:rFonts w:ascii="Arial" w:hAnsi="Arial" w:cs="Arial"/>
          <w:sz w:val="22"/>
          <w:szCs w:val="22"/>
        </w:rPr>
        <w:t xml:space="preserve">Stage 3: Invitation to </w:t>
      </w:r>
      <w:r w:rsidR="00325A75">
        <w:rPr>
          <w:rFonts w:ascii="Arial" w:hAnsi="Arial" w:cs="Arial"/>
          <w:sz w:val="22"/>
          <w:szCs w:val="22"/>
        </w:rPr>
        <w:t>negotiation</w:t>
      </w:r>
    </w:p>
    <w:p w14:paraId="76618B63" w14:textId="77777777" w:rsidR="00D36ABB" w:rsidRPr="0021551F" w:rsidRDefault="00D36ABB" w:rsidP="001E53D0">
      <w:pPr>
        <w:jc w:val="both"/>
      </w:pPr>
    </w:p>
    <w:p w14:paraId="32D1A1F3" w14:textId="6E48AA60" w:rsidR="00704D86" w:rsidRPr="00D17F7E" w:rsidRDefault="00704D86" w:rsidP="001E53D0">
      <w:pPr>
        <w:pStyle w:val="BodyText1"/>
        <w:ind w:left="357" w:hanging="357"/>
        <w:jc w:val="both"/>
        <w:rPr>
          <w:rFonts w:ascii="Arial" w:hAnsi="Arial" w:cs="Arial"/>
          <w:sz w:val="22"/>
          <w:szCs w:val="22"/>
        </w:rPr>
      </w:pPr>
      <w:r w:rsidRPr="00D17F7E">
        <w:rPr>
          <w:rFonts w:ascii="Arial" w:hAnsi="Arial" w:cs="Arial"/>
          <w:sz w:val="22"/>
          <w:szCs w:val="22"/>
        </w:rPr>
        <w:t>1</w:t>
      </w:r>
      <w:r w:rsidR="006836D9">
        <w:rPr>
          <w:rFonts w:ascii="Arial" w:hAnsi="Arial" w:cs="Arial"/>
          <w:sz w:val="22"/>
          <w:szCs w:val="22"/>
        </w:rPr>
        <w:t>4</w:t>
      </w:r>
      <w:r w:rsidRPr="00D17F7E">
        <w:rPr>
          <w:rFonts w:ascii="Arial" w:hAnsi="Arial" w:cs="Arial"/>
          <w:sz w:val="22"/>
          <w:szCs w:val="22"/>
        </w:rPr>
        <w:t>.</w:t>
      </w:r>
      <w:r w:rsidRPr="00D17F7E">
        <w:rPr>
          <w:rFonts w:ascii="Arial" w:hAnsi="Arial" w:cs="Arial"/>
          <w:sz w:val="22"/>
          <w:szCs w:val="22"/>
        </w:rPr>
        <w:tab/>
        <w:t xml:space="preserve">Stage 3 will commence with the issuing of a letter inviting </w:t>
      </w:r>
      <w:r w:rsidR="00B90007">
        <w:rPr>
          <w:rFonts w:ascii="Arial" w:hAnsi="Arial" w:cs="Arial"/>
          <w:sz w:val="22"/>
          <w:szCs w:val="22"/>
        </w:rPr>
        <w:t>Tenderers</w:t>
      </w:r>
      <w:r w:rsidR="00B90007" w:rsidRPr="00D17F7E">
        <w:rPr>
          <w:rFonts w:ascii="Arial" w:hAnsi="Arial" w:cs="Arial"/>
          <w:sz w:val="22"/>
          <w:szCs w:val="22"/>
        </w:rPr>
        <w:t xml:space="preserve"> </w:t>
      </w:r>
      <w:r w:rsidRPr="00D17F7E">
        <w:rPr>
          <w:rFonts w:ascii="Arial" w:hAnsi="Arial" w:cs="Arial"/>
          <w:sz w:val="22"/>
          <w:szCs w:val="22"/>
        </w:rPr>
        <w:t xml:space="preserve">that have successfully passed Stage 2 to attend one or more negotiation meetings. </w:t>
      </w:r>
      <w:r w:rsidR="004642A3">
        <w:rPr>
          <w:rFonts w:ascii="Arial" w:hAnsi="Arial" w:cs="Arial"/>
          <w:sz w:val="22"/>
          <w:szCs w:val="22"/>
        </w:rPr>
        <w:t>The number</w:t>
      </w:r>
      <w:r w:rsidR="00DA497D">
        <w:rPr>
          <w:rFonts w:ascii="Arial" w:hAnsi="Arial" w:cs="Arial"/>
          <w:sz w:val="22"/>
          <w:szCs w:val="22"/>
        </w:rPr>
        <w:t xml:space="preserve">, </w:t>
      </w:r>
      <w:r w:rsidR="004642A3">
        <w:rPr>
          <w:rFonts w:ascii="Arial" w:hAnsi="Arial" w:cs="Arial"/>
          <w:sz w:val="22"/>
          <w:szCs w:val="22"/>
        </w:rPr>
        <w:t>sequencing</w:t>
      </w:r>
      <w:r w:rsidR="00DA497D">
        <w:rPr>
          <w:rFonts w:ascii="Arial" w:hAnsi="Arial" w:cs="Arial"/>
          <w:sz w:val="22"/>
          <w:szCs w:val="22"/>
        </w:rPr>
        <w:t>, and location</w:t>
      </w:r>
      <w:r w:rsidR="004642A3">
        <w:rPr>
          <w:rFonts w:ascii="Arial" w:hAnsi="Arial" w:cs="Arial"/>
          <w:sz w:val="22"/>
          <w:szCs w:val="22"/>
        </w:rPr>
        <w:t xml:space="preserve"> of these meetings will be determined by HMR</w:t>
      </w:r>
      <w:r w:rsidR="00DA497D">
        <w:rPr>
          <w:rFonts w:ascii="Arial" w:hAnsi="Arial" w:cs="Arial"/>
          <w:sz w:val="22"/>
          <w:szCs w:val="22"/>
        </w:rPr>
        <w:t>C and communicated to all</w:t>
      </w:r>
      <w:r w:rsidR="004141E7">
        <w:rPr>
          <w:rFonts w:ascii="Arial" w:hAnsi="Arial" w:cs="Arial"/>
          <w:sz w:val="22"/>
          <w:szCs w:val="22"/>
        </w:rPr>
        <w:t xml:space="preserve"> </w:t>
      </w:r>
      <w:r w:rsidR="00433587">
        <w:rPr>
          <w:rFonts w:ascii="Arial" w:hAnsi="Arial" w:cs="Arial"/>
          <w:sz w:val="22"/>
          <w:szCs w:val="22"/>
        </w:rPr>
        <w:t>Tenderer</w:t>
      </w:r>
      <w:r w:rsidR="00DA497D">
        <w:rPr>
          <w:rFonts w:ascii="Arial" w:hAnsi="Arial" w:cs="Arial"/>
          <w:sz w:val="22"/>
          <w:szCs w:val="22"/>
        </w:rPr>
        <w:t>s</w:t>
      </w:r>
      <w:r w:rsidR="00934278">
        <w:rPr>
          <w:rFonts w:ascii="Arial" w:hAnsi="Arial" w:cs="Arial"/>
          <w:sz w:val="22"/>
          <w:szCs w:val="22"/>
        </w:rPr>
        <w:t xml:space="preserve"> proceeding to Stage 3</w:t>
      </w:r>
      <w:r w:rsidR="00DA497D">
        <w:rPr>
          <w:rFonts w:ascii="Arial" w:hAnsi="Arial" w:cs="Arial"/>
          <w:sz w:val="22"/>
          <w:szCs w:val="22"/>
        </w:rPr>
        <w:t xml:space="preserve">.  </w:t>
      </w:r>
    </w:p>
    <w:p w14:paraId="2F3EACD0" w14:textId="756E8252" w:rsidR="00704D86" w:rsidRPr="00D17F7E" w:rsidRDefault="00704D86" w:rsidP="001E53D0">
      <w:pPr>
        <w:pStyle w:val="BodyText1"/>
        <w:ind w:left="357" w:hanging="357"/>
        <w:jc w:val="both"/>
        <w:rPr>
          <w:rFonts w:ascii="Arial" w:hAnsi="Arial" w:cs="Arial"/>
          <w:sz w:val="22"/>
          <w:szCs w:val="22"/>
        </w:rPr>
      </w:pPr>
      <w:r w:rsidRPr="00D17F7E">
        <w:rPr>
          <w:rFonts w:ascii="Arial" w:hAnsi="Arial" w:cs="Arial"/>
          <w:sz w:val="22"/>
          <w:szCs w:val="22"/>
        </w:rPr>
        <w:t>1</w:t>
      </w:r>
      <w:r w:rsidR="006836D9">
        <w:rPr>
          <w:rFonts w:ascii="Arial" w:hAnsi="Arial" w:cs="Arial"/>
          <w:sz w:val="22"/>
          <w:szCs w:val="22"/>
        </w:rPr>
        <w:t>5</w:t>
      </w:r>
      <w:r w:rsidRPr="00D17F7E">
        <w:rPr>
          <w:rFonts w:ascii="Arial" w:hAnsi="Arial" w:cs="Arial"/>
          <w:sz w:val="22"/>
          <w:szCs w:val="22"/>
        </w:rPr>
        <w:t>.</w:t>
      </w:r>
      <w:r w:rsidRPr="00D17F7E">
        <w:rPr>
          <w:rFonts w:ascii="Arial" w:hAnsi="Arial" w:cs="Arial"/>
          <w:sz w:val="22"/>
          <w:szCs w:val="22"/>
        </w:rPr>
        <w:tab/>
        <w:t xml:space="preserve">The letter will also provide details of any new information made available to </w:t>
      </w:r>
      <w:r w:rsidR="00C359D1">
        <w:rPr>
          <w:rFonts w:ascii="Arial" w:hAnsi="Arial" w:cs="Arial"/>
          <w:sz w:val="22"/>
          <w:szCs w:val="22"/>
        </w:rPr>
        <w:t>Tenderer</w:t>
      </w:r>
      <w:r w:rsidR="00C359D1" w:rsidRPr="00D17F7E">
        <w:rPr>
          <w:rFonts w:ascii="Arial" w:hAnsi="Arial" w:cs="Arial"/>
          <w:sz w:val="22"/>
          <w:szCs w:val="22"/>
        </w:rPr>
        <w:t xml:space="preserve">s </w:t>
      </w:r>
      <w:r w:rsidRPr="00D17F7E">
        <w:rPr>
          <w:rFonts w:ascii="Arial" w:hAnsi="Arial" w:cs="Arial"/>
          <w:sz w:val="22"/>
          <w:szCs w:val="22"/>
        </w:rPr>
        <w:t>at this stage in the Procurement.</w:t>
      </w:r>
    </w:p>
    <w:p w14:paraId="19EF2F73" w14:textId="15D45292" w:rsidR="0039429C" w:rsidRDefault="00704D86" w:rsidP="001E53D0">
      <w:pPr>
        <w:pStyle w:val="BodyText1"/>
        <w:ind w:left="357" w:hanging="357"/>
        <w:jc w:val="both"/>
        <w:rPr>
          <w:rFonts w:ascii="Arial" w:hAnsi="Arial" w:cs="Arial"/>
          <w:sz w:val="22"/>
          <w:szCs w:val="22"/>
        </w:rPr>
      </w:pPr>
      <w:r w:rsidRPr="00D17F7E">
        <w:rPr>
          <w:rFonts w:ascii="Arial" w:hAnsi="Arial" w:cs="Arial"/>
          <w:sz w:val="22"/>
          <w:szCs w:val="22"/>
        </w:rPr>
        <w:t>1</w:t>
      </w:r>
      <w:r w:rsidR="006836D9">
        <w:rPr>
          <w:rFonts w:ascii="Arial" w:hAnsi="Arial" w:cs="Arial"/>
          <w:sz w:val="22"/>
          <w:szCs w:val="22"/>
        </w:rPr>
        <w:t>6</w:t>
      </w:r>
      <w:r w:rsidRPr="00D17F7E">
        <w:rPr>
          <w:rFonts w:ascii="Arial" w:hAnsi="Arial" w:cs="Arial"/>
          <w:sz w:val="22"/>
          <w:szCs w:val="22"/>
        </w:rPr>
        <w:t>.</w:t>
      </w:r>
      <w:r w:rsidRPr="00D17F7E">
        <w:rPr>
          <w:rFonts w:ascii="Arial" w:hAnsi="Arial" w:cs="Arial"/>
          <w:sz w:val="22"/>
          <w:szCs w:val="22"/>
        </w:rPr>
        <w:tab/>
      </w:r>
      <w:r w:rsidR="00E16D88">
        <w:rPr>
          <w:rFonts w:ascii="Arial" w:hAnsi="Arial" w:cs="Arial"/>
          <w:sz w:val="22"/>
          <w:szCs w:val="22"/>
        </w:rPr>
        <w:t>Th</w:t>
      </w:r>
      <w:r w:rsidR="006D4F58">
        <w:rPr>
          <w:rFonts w:ascii="Arial" w:hAnsi="Arial" w:cs="Arial"/>
          <w:sz w:val="22"/>
          <w:szCs w:val="22"/>
        </w:rPr>
        <w:t>is</w:t>
      </w:r>
      <w:r w:rsidR="00E16D88">
        <w:rPr>
          <w:rFonts w:ascii="Arial" w:hAnsi="Arial" w:cs="Arial"/>
          <w:sz w:val="22"/>
          <w:szCs w:val="22"/>
        </w:rPr>
        <w:t xml:space="preserve"> period </w:t>
      </w:r>
      <w:r w:rsidR="001C49F9">
        <w:rPr>
          <w:rFonts w:ascii="Arial" w:hAnsi="Arial" w:cs="Arial"/>
          <w:sz w:val="22"/>
          <w:szCs w:val="22"/>
        </w:rPr>
        <w:t xml:space="preserve">will focus on </w:t>
      </w:r>
      <w:r w:rsidR="00804A5F">
        <w:rPr>
          <w:rFonts w:ascii="Arial" w:hAnsi="Arial" w:cs="Arial"/>
          <w:sz w:val="22"/>
          <w:szCs w:val="22"/>
        </w:rPr>
        <w:t xml:space="preserve">aspects of the </w:t>
      </w:r>
      <w:r w:rsidR="00035B4D">
        <w:rPr>
          <w:rFonts w:ascii="Arial" w:hAnsi="Arial" w:cs="Arial"/>
          <w:sz w:val="22"/>
          <w:szCs w:val="22"/>
        </w:rPr>
        <w:t>Tenderer</w:t>
      </w:r>
      <w:r w:rsidR="0046137B">
        <w:rPr>
          <w:rFonts w:ascii="Arial" w:hAnsi="Arial" w:cs="Arial"/>
          <w:sz w:val="22"/>
          <w:szCs w:val="22"/>
        </w:rPr>
        <w:t>’</w:t>
      </w:r>
      <w:r w:rsidR="00035B4D">
        <w:rPr>
          <w:rFonts w:ascii="Arial" w:hAnsi="Arial" w:cs="Arial"/>
          <w:sz w:val="22"/>
          <w:szCs w:val="22"/>
        </w:rPr>
        <w:t xml:space="preserve">s </w:t>
      </w:r>
      <w:r w:rsidR="0076056D">
        <w:rPr>
          <w:rFonts w:ascii="Arial" w:hAnsi="Arial" w:cs="Arial"/>
          <w:sz w:val="22"/>
          <w:szCs w:val="22"/>
        </w:rPr>
        <w:t xml:space="preserve">response to the </w:t>
      </w:r>
      <w:r w:rsidR="00804A5F">
        <w:rPr>
          <w:rFonts w:ascii="Arial" w:hAnsi="Arial" w:cs="Arial"/>
          <w:sz w:val="22"/>
          <w:szCs w:val="22"/>
        </w:rPr>
        <w:t xml:space="preserve">ITSIT </w:t>
      </w:r>
      <w:r w:rsidR="00F302A0">
        <w:rPr>
          <w:rFonts w:ascii="Arial" w:hAnsi="Arial" w:cs="Arial"/>
          <w:sz w:val="22"/>
          <w:szCs w:val="22"/>
        </w:rPr>
        <w:t xml:space="preserve">that HMRC requires further clarification to </w:t>
      </w:r>
      <w:r w:rsidR="001B37EB">
        <w:rPr>
          <w:rFonts w:ascii="Arial" w:hAnsi="Arial" w:cs="Arial"/>
          <w:sz w:val="22"/>
          <w:szCs w:val="22"/>
        </w:rPr>
        <w:t xml:space="preserve">improve the </w:t>
      </w:r>
      <w:r w:rsidR="0046137B">
        <w:rPr>
          <w:rFonts w:ascii="Arial" w:hAnsi="Arial" w:cs="Arial"/>
          <w:sz w:val="22"/>
          <w:szCs w:val="22"/>
        </w:rPr>
        <w:t xml:space="preserve">Tenderer’s </w:t>
      </w:r>
      <w:r w:rsidR="001B37EB">
        <w:rPr>
          <w:rFonts w:ascii="Arial" w:hAnsi="Arial" w:cs="Arial"/>
          <w:sz w:val="22"/>
          <w:szCs w:val="22"/>
        </w:rPr>
        <w:t xml:space="preserve">solution, the commercial outcome, or ensure that the </w:t>
      </w:r>
      <w:r w:rsidR="00A96344">
        <w:rPr>
          <w:rFonts w:ascii="Arial" w:hAnsi="Arial" w:cs="Arial"/>
          <w:sz w:val="22"/>
          <w:szCs w:val="22"/>
        </w:rPr>
        <w:t xml:space="preserve">Tenderer </w:t>
      </w:r>
      <w:r w:rsidR="005E42B6">
        <w:rPr>
          <w:rFonts w:ascii="Arial" w:hAnsi="Arial" w:cs="Arial"/>
          <w:sz w:val="22"/>
          <w:szCs w:val="22"/>
        </w:rPr>
        <w:t xml:space="preserve">is made aware of information that may </w:t>
      </w:r>
      <w:r w:rsidR="007E3BB4">
        <w:rPr>
          <w:rFonts w:ascii="Arial" w:hAnsi="Arial" w:cs="Arial"/>
          <w:sz w:val="22"/>
          <w:szCs w:val="22"/>
        </w:rPr>
        <w:t xml:space="preserve">reduce risk premiums or enable them to develop more innovative </w:t>
      </w:r>
      <w:r w:rsidR="0055226B">
        <w:rPr>
          <w:rFonts w:ascii="Arial" w:hAnsi="Arial" w:cs="Arial"/>
          <w:sz w:val="22"/>
          <w:szCs w:val="22"/>
        </w:rPr>
        <w:t xml:space="preserve">approaches to delivering the service. </w:t>
      </w:r>
      <w:r w:rsidR="00DE3AAF">
        <w:rPr>
          <w:rFonts w:ascii="Arial" w:hAnsi="Arial" w:cs="Arial"/>
          <w:sz w:val="22"/>
          <w:szCs w:val="22"/>
        </w:rPr>
        <w:t xml:space="preserve">There will be several workstreams operating in parallel during the period of </w:t>
      </w:r>
      <w:r w:rsidR="00150CD2">
        <w:rPr>
          <w:rFonts w:ascii="Arial" w:hAnsi="Arial" w:cs="Arial"/>
          <w:sz w:val="22"/>
          <w:szCs w:val="22"/>
        </w:rPr>
        <w:t>negotiation</w:t>
      </w:r>
      <w:r w:rsidR="00DE3AAF">
        <w:rPr>
          <w:rFonts w:ascii="Arial" w:hAnsi="Arial" w:cs="Arial"/>
          <w:sz w:val="22"/>
          <w:szCs w:val="22"/>
        </w:rPr>
        <w:t xml:space="preserve">. These </w:t>
      </w:r>
      <w:r w:rsidR="0026655F">
        <w:rPr>
          <w:rFonts w:ascii="Arial" w:hAnsi="Arial" w:cs="Arial"/>
          <w:sz w:val="22"/>
          <w:szCs w:val="22"/>
        </w:rPr>
        <w:t>will be communicated but</w:t>
      </w:r>
      <w:r w:rsidR="00DE3AAF">
        <w:rPr>
          <w:rFonts w:ascii="Arial" w:hAnsi="Arial" w:cs="Arial"/>
          <w:sz w:val="22"/>
          <w:szCs w:val="22"/>
        </w:rPr>
        <w:t xml:space="preserve"> may </w:t>
      </w:r>
      <w:r w:rsidR="004470B9">
        <w:rPr>
          <w:rFonts w:ascii="Arial" w:hAnsi="Arial" w:cs="Arial"/>
          <w:sz w:val="22"/>
          <w:szCs w:val="22"/>
        </w:rPr>
        <w:t xml:space="preserve">include </w:t>
      </w:r>
      <w:r w:rsidR="0026655F">
        <w:rPr>
          <w:rFonts w:ascii="Arial" w:hAnsi="Arial" w:cs="Arial"/>
          <w:sz w:val="22"/>
          <w:szCs w:val="22"/>
        </w:rPr>
        <w:t xml:space="preserve">(but not be limited to) </w:t>
      </w:r>
      <w:r w:rsidR="004470B9">
        <w:rPr>
          <w:rFonts w:ascii="Arial" w:hAnsi="Arial" w:cs="Arial"/>
          <w:sz w:val="22"/>
          <w:szCs w:val="22"/>
        </w:rPr>
        <w:t xml:space="preserve">Technical, Commercial, Legal, and Governance </w:t>
      </w:r>
      <w:r w:rsidR="0026655F">
        <w:rPr>
          <w:rFonts w:ascii="Arial" w:hAnsi="Arial" w:cs="Arial"/>
          <w:sz w:val="22"/>
          <w:szCs w:val="22"/>
        </w:rPr>
        <w:t>workstreams.</w:t>
      </w:r>
    </w:p>
    <w:p w14:paraId="7B8CB4C8" w14:textId="0D705B85" w:rsidR="00C17FBE" w:rsidRDefault="00704D86" w:rsidP="001E53D0">
      <w:pPr>
        <w:pStyle w:val="BodyText1"/>
        <w:ind w:left="357" w:hanging="357"/>
        <w:jc w:val="both"/>
        <w:rPr>
          <w:rFonts w:ascii="Arial" w:hAnsi="Arial" w:cs="Arial"/>
          <w:sz w:val="22"/>
          <w:szCs w:val="22"/>
        </w:rPr>
      </w:pPr>
      <w:r w:rsidRPr="00D17F7E">
        <w:rPr>
          <w:rFonts w:ascii="Arial" w:hAnsi="Arial" w:cs="Arial"/>
          <w:sz w:val="22"/>
          <w:szCs w:val="22"/>
        </w:rPr>
        <w:t>1</w:t>
      </w:r>
      <w:r w:rsidR="006836D9">
        <w:rPr>
          <w:rFonts w:ascii="Arial" w:hAnsi="Arial" w:cs="Arial"/>
          <w:sz w:val="22"/>
          <w:szCs w:val="22"/>
        </w:rPr>
        <w:t>7</w:t>
      </w:r>
      <w:r w:rsidRPr="00D17F7E">
        <w:rPr>
          <w:rFonts w:ascii="Arial" w:hAnsi="Arial" w:cs="Arial"/>
          <w:sz w:val="22"/>
          <w:szCs w:val="22"/>
        </w:rPr>
        <w:t>.</w:t>
      </w:r>
      <w:r w:rsidRPr="00D17F7E">
        <w:rPr>
          <w:rFonts w:ascii="Arial" w:hAnsi="Arial" w:cs="Arial"/>
          <w:sz w:val="22"/>
          <w:szCs w:val="22"/>
        </w:rPr>
        <w:tab/>
      </w:r>
      <w:r w:rsidR="00DF36AE">
        <w:rPr>
          <w:rFonts w:ascii="Arial" w:hAnsi="Arial" w:cs="Arial"/>
          <w:sz w:val="22"/>
          <w:szCs w:val="22"/>
        </w:rPr>
        <w:t>During th</w:t>
      </w:r>
      <w:r w:rsidR="006D4F58">
        <w:rPr>
          <w:rFonts w:ascii="Arial" w:hAnsi="Arial" w:cs="Arial"/>
          <w:sz w:val="22"/>
          <w:szCs w:val="22"/>
        </w:rPr>
        <w:t xml:space="preserve">is </w:t>
      </w:r>
      <w:r w:rsidR="00DF36AE">
        <w:rPr>
          <w:rFonts w:ascii="Arial" w:hAnsi="Arial" w:cs="Arial"/>
          <w:sz w:val="22"/>
          <w:szCs w:val="22"/>
        </w:rPr>
        <w:t xml:space="preserve">period, </w:t>
      </w:r>
      <w:r w:rsidR="00D06A60">
        <w:rPr>
          <w:rFonts w:ascii="Arial" w:hAnsi="Arial" w:cs="Arial"/>
          <w:sz w:val="22"/>
          <w:szCs w:val="22"/>
        </w:rPr>
        <w:t xml:space="preserve">the </w:t>
      </w:r>
      <w:r w:rsidR="00A728F9">
        <w:rPr>
          <w:rFonts w:ascii="Arial" w:hAnsi="Arial" w:cs="Arial"/>
          <w:sz w:val="22"/>
          <w:szCs w:val="22"/>
        </w:rPr>
        <w:t xml:space="preserve">Tenderers </w:t>
      </w:r>
      <w:r w:rsidR="00D06A60">
        <w:rPr>
          <w:rFonts w:ascii="Arial" w:hAnsi="Arial" w:cs="Arial"/>
          <w:sz w:val="22"/>
          <w:szCs w:val="22"/>
        </w:rPr>
        <w:t xml:space="preserve">may be asked </w:t>
      </w:r>
      <w:r w:rsidR="007E595A">
        <w:rPr>
          <w:rFonts w:ascii="Arial" w:hAnsi="Arial" w:cs="Arial"/>
          <w:sz w:val="22"/>
          <w:szCs w:val="22"/>
        </w:rPr>
        <w:t xml:space="preserve">for access to </w:t>
      </w:r>
      <w:r w:rsidR="0069111D">
        <w:rPr>
          <w:rFonts w:ascii="Arial" w:hAnsi="Arial" w:cs="Arial"/>
          <w:sz w:val="22"/>
          <w:szCs w:val="22"/>
        </w:rPr>
        <w:t xml:space="preserve">reference clients, </w:t>
      </w:r>
      <w:r w:rsidR="00003902">
        <w:rPr>
          <w:rFonts w:ascii="Arial" w:hAnsi="Arial" w:cs="Arial"/>
          <w:sz w:val="22"/>
          <w:szCs w:val="22"/>
        </w:rPr>
        <w:t>deliver presentations on approaches</w:t>
      </w:r>
      <w:r w:rsidR="00567CAA">
        <w:rPr>
          <w:rFonts w:ascii="Arial" w:hAnsi="Arial" w:cs="Arial"/>
          <w:sz w:val="22"/>
          <w:szCs w:val="22"/>
        </w:rPr>
        <w:t xml:space="preserve">, </w:t>
      </w:r>
      <w:r w:rsidR="00E47DA4">
        <w:rPr>
          <w:rFonts w:ascii="Arial" w:hAnsi="Arial" w:cs="Arial"/>
          <w:sz w:val="22"/>
          <w:szCs w:val="22"/>
        </w:rPr>
        <w:t xml:space="preserve">or refine </w:t>
      </w:r>
      <w:r w:rsidR="00CC5BCA">
        <w:rPr>
          <w:rFonts w:ascii="Arial" w:hAnsi="Arial" w:cs="Arial"/>
          <w:sz w:val="22"/>
          <w:szCs w:val="22"/>
        </w:rPr>
        <w:t xml:space="preserve">solutions for review by HMRC. </w:t>
      </w:r>
      <w:r w:rsidR="004A0CEF">
        <w:rPr>
          <w:rFonts w:ascii="Arial" w:hAnsi="Arial" w:cs="Arial"/>
          <w:sz w:val="22"/>
          <w:szCs w:val="22"/>
        </w:rPr>
        <w:t>Any such activity will be</w:t>
      </w:r>
      <w:r w:rsidR="0073274A">
        <w:rPr>
          <w:rFonts w:ascii="Arial" w:hAnsi="Arial" w:cs="Arial"/>
          <w:sz w:val="22"/>
          <w:szCs w:val="22"/>
        </w:rPr>
        <w:t xml:space="preserve"> to improve understanding, and improve the </w:t>
      </w:r>
      <w:r w:rsidR="00150CD2">
        <w:rPr>
          <w:rFonts w:ascii="Arial" w:hAnsi="Arial" w:cs="Arial"/>
          <w:sz w:val="22"/>
          <w:szCs w:val="22"/>
        </w:rPr>
        <w:t>Tenderer</w:t>
      </w:r>
      <w:r w:rsidR="00CC7033">
        <w:rPr>
          <w:rFonts w:ascii="Arial" w:hAnsi="Arial" w:cs="Arial"/>
          <w:sz w:val="22"/>
          <w:szCs w:val="22"/>
        </w:rPr>
        <w:t>’</w:t>
      </w:r>
      <w:r w:rsidR="0073274A">
        <w:rPr>
          <w:rFonts w:ascii="Arial" w:hAnsi="Arial" w:cs="Arial"/>
          <w:sz w:val="22"/>
          <w:szCs w:val="22"/>
        </w:rPr>
        <w:t xml:space="preserve">s </w:t>
      </w:r>
      <w:r w:rsidR="00B3481B">
        <w:rPr>
          <w:rFonts w:ascii="Arial" w:hAnsi="Arial" w:cs="Arial"/>
          <w:sz w:val="22"/>
          <w:szCs w:val="22"/>
        </w:rPr>
        <w:t xml:space="preserve">final submission, but will not be evaluated.  </w:t>
      </w:r>
    </w:p>
    <w:p w14:paraId="31853B0F" w14:textId="4D4363C7" w:rsidR="00704D86" w:rsidRPr="00D17F7E" w:rsidRDefault="00590E09" w:rsidP="001E53D0">
      <w:pPr>
        <w:pStyle w:val="BodyText1"/>
        <w:ind w:left="357" w:hanging="357"/>
        <w:jc w:val="both"/>
        <w:rPr>
          <w:rFonts w:ascii="Arial" w:hAnsi="Arial" w:cs="Arial"/>
          <w:sz w:val="22"/>
          <w:szCs w:val="22"/>
        </w:rPr>
      </w:pPr>
      <w:r>
        <w:rPr>
          <w:rFonts w:ascii="Arial" w:hAnsi="Arial" w:cs="Arial"/>
          <w:sz w:val="22"/>
          <w:szCs w:val="22"/>
        </w:rPr>
        <w:t>1</w:t>
      </w:r>
      <w:r w:rsidR="006836D9">
        <w:rPr>
          <w:rFonts w:ascii="Arial" w:hAnsi="Arial" w:cs="Arial"/>
          <w:sz w:val="22"/>
          <w:szCs w:val="22"/>
        </w:rPr>
        <w:t>8</w:t>
      </w:r>
      <w:r>
        <w:rPr>
          <w:rFonts w:ascii="Arial" w:hAnsi="Arial" w:cs="Arial"/>
          <w:sz w:val="22"/>
          <w:szCs w:val="22"/>
        </w:rPr>
        <w:t xml:space="preserve">. </w:t>
      </w:r>
      <w:r w:rsidR="00704D86" w:rsidRPr="00D17F7E">
        <w:rPr>
          <w:rFonts w:ascii="Arial" w:hAnsi="Arial" w:cs="Arial"/>
          <w:sz w:val="22"/>
          <w:szCs w:val="22"/>
        </w:rPr>
        <w:t xml:space="preserve">Stage 3 will conclude with the issuing of letters to all participating </w:t>
      </w:r>
      <w:r w:rsidR="00A728F9">
        <w:rPr>
          <w:rFonts w:ascii="Arial" w:hAnsi="Arial" w:cs="Arial"/>
          <w:sz w:val="22"/>
          <w:szCs w:val="22"/>
        </w:rPr>
        <w:t>Tenderers</w:t>
      </w:r>
      <w:r w:rsidR="00A728F9" w:rsidRPr="00D17F7E">
        <w:rPr>
          <w:rFonts w:ascii="Arial" w:hAnsi="Arial" w:cs="Arial"/>
          <w:sz w:val="22"/>
          <w:szCs w:val="22"/>
        </w:rPr>
        <w:t xml:space="preserve"> </w:t>
      </w:r>
      <w:r w:rsidR="00704D86" w:rsidRPr="00D17F7E">
        <w:rPr>
          <w:rFonts w:ascii="Arial" w:hAnsi="Arial" w:cs="Arial"/>
          <w:sz w:val="22"/>
          <w:szCs w:val="22"/>
        </w:rPr>
        <w:t>confirming the closure of negotiations.</w:t>
      </w:r>
    </w:p>
    <w:p w14:paraId="5F378A3C" w14:textId="7A06D9DC" w:rsidR="00704D86" w:rsidRPr="00D17F7E" w:rsidRDefault="00704D86" w:rsidP="001E53D0">
      <w:pPr>
        <w:pStyle w:val="Heading3"/>
        <w:jc w:val="both"/>
        <w:rPr>
          <w:rFonts w:ascii="Arial" w:hAnsi="Arial" w:cs="Arial"/>
          <w:sz w:val="22"/>
          <w:szCs w:val="22"/>
        </w:rPr>
      </w:pPr>
      <w:r w:rsidRPr="00D17F7E">
        <w:rPr>
          <w:rFonts w:ascii="Arial" w:hAnsi="Arial" w:cs="Arial"/>
          <w:sz w:val="22"/>
          <w:szCs w:val="22"/>
        </w:rPr>
        <w:t xml:space="preserve">Stage 4: Invitation to </w:t>
      </w:r>
      <w:r w:rsidR="00D80C81">
        <w:rPr>
          <w:rFonts w:ascii="Arial" w:hAnsi="Arial" w:cs="Arial"/>
          <w:sz w:val="22"/>
          <w:szCs w:val="22"/>
        </w:rPr>
        <w:t>S</w:t>
      </w:r>
      <w:r w:rsidRPr="00D17F7E">
        <w:rPr>
          <w:rFonts w:ascii="Arial" w:hAnsi="Arial" w:cs="Arial"/>
          <w:sz w:val="22"/>
          <w:szCs w:val="22"/>
        </w:rPr>
        <w:t xml:space="preserve">ubmit </w:t>
      </w:r>
      <w:r w:rsidR="00D80C81">
        <w:rPr>
          <w:rFonts w:ascii="Arial" w:hAnsi="Arial" w:cs="Arial"/>
          <w:sz w:val="22"/>
          <w:szCs w:val="22"/>
        </w:rPr>
        <w:t>F</w:t>
      </w:r>
      <w:r w:rsidRPr="00D17F7E">
        <w:rPr>
          <w:rFonts w:ascii="Arial" w:hAnsi="Arial" w:cs="Arial"/>
          <w:sz w:val="22"/>
          <w:szCs w:val="22"/>
        </w:rPr>
        <w:t xml:space="preserve">inal </w:t>
      </w:r>
      <w:r w:rsidR="00D80C81">
        <w:rPr>
          <w:rFonts w:ascii="Arial" w:hAnsi="Arial" w:cs="Arial"/>
          <w:sz w:val="22"/>
          <w:szCs w:val="22"/>
        </w:rPr>
        <w:t>T</w:t>
      </w:r>
      <w:r w:rsidRPr="00D17F7E">
        <w:rPr>
          <w:rFonts w:ascii="Arial" w:hAnsi="Arial" w:cs="Arial"/>
          <w:sz w:val="22"/>
          <w:szCs w:val="22"/>
        </w:rPr>
        <w:t>ender</w:t>
      </w:r>
      <w:r w:rsidR="00D80C81">
        <w:rPr>
          <w:rFonts w:ascii="Arial" w:hAnsi="Arial" w:cs="Arial"/>
          <w:sz w:val="22"/>
          <w:szCs w:val="22"/>
        </w:rPr>
        <w:t xml:space="preserve"> (ITSFT)</w:t>
      </w:r>
    </w:p>
    <w:p w14:paraId="2C62B58B" w14:textId="77777777" w:rsidR="003C30F7" w:rsidRDefault="003C30F7" w:rsidP="001E53D0">
      <w:pPr>
        <w:pStyle w:val="BodyText1"/>
        <w:jc w:val="both"/>
        <w:rPr>
          <w:rFonts w:ascii="Arial" w:hAnsi="Arial" w:cs="Arial"/>
          <w:sz w:val="22"/>
          <w:szCs w:val="22"/>
        </w:rPr>
      </w:pPr>
    </w:p>
    <w:p w14:paraId="70BF0D31" w14:textId="5E771254" w:rsidR="00704D86" w:rsidRPr="00D17F7E" w:rsidRDefault="00704D86" w:rsidP="001E53D0">
      <w:pPr>
        <w:pStyle w:val="BodyText1"/>
        <w:jc w:val="both"/>
        <w:rPr>
          <w:rFonts w:ascii="Arial" w:hAnsi="Arial" w:cs="Arial"/>
          <w:sz w:val="22"/>
          <w:szCs w:val="22"/>
        </w:rPr>
      </w:pPr>
      <w:r w:rsidRPr="00D17F7E">
        <w:rPr>
          <w:rFonts w:ascii="Arial" w:hAnsi="Arial" w:cs="Arial"/>
          <w:sz w:val="22"/>
          <w:szCs w:val="22"/>
        </w:rPr>
        <w:t xml:space="preserve">Stage 4 will commence with the issuing of a letter inviting </w:t>
      </w:r>
      <w:r w:rsidR="00A728F9">
        <w:rPr>
          <w:rFonts w:ascii="Arial" w:hAnsi="Arial" w:cs="Arial"/>
          <w:sz w:val="22"/>
          <w:szCs w:val="22"/>
        </w:rPr>
        <w:t>Tenderers</w:t>
      </w:r>
      <w:r w:rsidR="00A728F9" w:rsidRPr="00D17F7E">
        <w:rPr>
          <w:rFonts w:ascii="Arial" w:hAnsi="Arial" w:cs="Arial"/>
          <w:sz w:val="22"/>
          <w:szCs w:val="22"/>
        </w:rPr>
        <w:t xml:space="preserve"> </w:t>
      </w:r>
      <w:r w:rsidRPr="00D17F7E">
        <w:rPr>
          <w:rFonts w:ascii="Arial" w:hAnsi="Arial" w:cs="Arial"/>
          <w:sz w:val="22"/>
          <w:szCs w:val="22"/>
        </w:rPr>
        <w:t xml:space="preserve">that have been successfully shortlisted at Stage 3 </w:t>
      </w:r>
      <w:r w:rsidR="003C30F7">
        <w:rPr>
          <w:rFonts w:ascii="Arial" w:hAnsi="Arial" w:cs="Arial"/>
          <w:sz w:val="22"/>
          <w:szCs w:val="22"/>
        </w:rPr>
        <w:t xml:space="preserve">and they will be </w:t>
      </w:r>
      <w:r w:rsidR="00D80C81">
        <w:rPr>
          <w:rFonts w:ascii="Arial" w:hAnsi="Arial" w:cs="Arial"/>
          <w:sz w:val="22"/>
          <w:szCs w:val="22"/>
        </w:rPr>
        <w:t xml:space="preserve">invited to respond to an Invitation to Submit Final Tender (ITSFT).  </w:t>
      </w:r>
      <w:r w:rsidR="00042FA3">
        <w:rPr>
          <w:rFonts w:ascii="Arial" w:hAnsi="Arial" w:cs="Arial"/>
          <w:sz w:val="22"/>
          <w:szCs w:val="22"/>
        </w:rPr>
        <w:t xml:space="preserve"> Stage 4 will be the basis on which the final award </w:t>
      </w:r>
      <w:r w:rsidR="00015C49">
        <w:rPr>
          <w:rFonts w:ascii="Arial" w:hAnsi="Arial" w:cs="Arial"/>
          <w:sz w:val="22"/>
          <w:szCs w:val="22"/>
        </w:rPr>
        <w:t xml:space="preserve">recommendation is </w:t>
      </w:r>
      <w:r w:rsidR="00E01144">
        <w:rPr>
          <w:rFonts w:ascii="Arial" w:hAnsi="Arial" w:cs="Arial"/>
          <w:sz w:val="22"/>
          <w:szCs w:val="22"/>
        </w:rPr>
        <w:t>made and</w:t>
      </w:r>
      <w:r w:rsidR="00015C49">
        <w:rPr>
          <w:rFonts w:ascii="Arial" w:hAnsi="Arial" w:cs="Arial"/>
          <w:sz w:val="22"/>
          <w:szCs w:val="22"/>
        </w:rPr>
        <w:t xml:space="preserve"> may be subject to additional steps </w:t>
      </w:r>
      <w:r w:rsidR="00D712FD">
        <w:rPr>
          <w:rFonts w:ascii="Arial" w:hAnsi="Arial" w:cs="Arial"/>
          <w:sz w:val="22"/>
          <w:szCs w:val="22"/>
        </w:rPr>
        <w:t xml:space="preserve">to satisfy HMRC that the shortlisted </w:t>
      </w:r>
      <w:r w:rsidR="00CC7033">
        <w:rPr>
          <w:rFonts w:ascii="Arial" w:hAnsi="Arial" w:cs="Arial"/>
          <w:sz w:val="22"/>
          <w:szCs w:val="22"/>
        </w:rPr>
        <w:t xml:space="preserve">Tenderers </w:t>
      </w:r>
      <w:proofErr w:type="gramStart"/>
      <w:r w:rsidR="00D712FD">
        <w:rPr>
          <w:rFonts w:ascii="Arial" w:hAnsi="Arial" w:cs="Arial"/>
          <w:sz w:val="22"/>
          <w:szCs w:val="22"/>
        </w:rPr>
        <w:t>are capable of delivering</w:t>
      </w:r>
      <w:proofErr w:type="gramEnd"/>
      <w:r w:rsidR="00D712FD">
        <w:rPr>
          <w:rFonts w:ascii="Arial" w:hAnsi="Arial" w:cs="Arial"/>
          <w:sz w:val="22"/>
          <w:szCs w:val="22"/>
        </w:rPr>
        <w:t xml:space="preserve"> their proposed </w:t>
      </w:r>
      <w:r w:rsidR="00477A76">
        <w:rPr>
          <w:rFonts w:ascii="Arial" w:hAnsi="Arial" w:cs="Arial"/>
          <w:sz w:val="22"/>
          <w:szCs w:val="22"/>
        </w:rPr>
        <w:t xml:space="preserve">technical </w:t>
      </w:r>
      <w:r w:rsidR="00D712FD">
        <w:rPr>
          <w:rFonts w:ascii="Arial" w:hAnsi="Arial" w:cs="Arial"/>
          <w:sz w:val="22"/>
          <w:szCs w:val="22"/>
        </w:rPr>
        <w:t>solution for the most competitive</w:t>
      </w:r>
      <w:r w:rsidR="00477A76">
        <w:rPr>
          <w:rFonts w:ascii="Arial" w:hAnsi="Arial" w:cs="Arial"/>
          <w:sz w:val="22"/>
          <w:szCs w:val="22"/>
        </w:rPr>
        <w:t xml:space="preserve"> commercial offer. </w:t>
      </w:r>
      <w:r w:rsidR="00B131FC">
        <w:rPr>
          <w:rFonts w:ascii="Arial" w:hAnsi="Arial" w:cs="Arial"/>
          <w:sz w:val="22"/>
          <w:szCs w:val="22"/>
        </w:rPr>
        <w:t xml:space="preserve">Further </w:t>
      </w:r>
      <w:r w:rsidR="002E7935">
        <w:rPr>
          <w:rFonts w:ascii="Arial" w:hAnsi="Arial" w:cs="Arial"/>
          <w:sz w:val="22"/>
          <w:szCs w:val="22"/>
        </w:rPr>
        <w:t xml:space="preserve">stages may be added to further reduce risk, </w:t>
      </w:r>
      <w:r w:rsidR="003E0283">
        <w:rPr>
          <w:rFonts w:ascii="Arial" w:hAnsi="Arial" w:cs="Arial"/>
          <w:sz w:val="22"/>
          <w:szCs w:val="22"/>
        </w:rPr>
        <w:t xml:space="preserve">validate quality of proposed personnel, </w:t>
      </w:r>
      <w:r w:rsidR="00900AA1">
        <w:rPr>
          <w:rFonts w:ascii="Arial" w:hAnsi="Arial" w:cs="Arial"/>
          <w:sz w:val="22"/>
          <w:szCs w:val="22"/>
        </w:rPr>
        <w:t xml:space="preserve">iterate </w:t>
      </w:r>
      <w:r w:rsidR="00C667F8">
        <w:rPr>
          <w:rFonts w:ascii="Arial" w:hAnsi="Arial" w:cs="Arial"/>
          <w:sz w:val="22"/>
          <w:szCs w:val="22"/>
        </w:rPr>
        <w:t xml:space="preserve">plans, or </w:t>
      </w:r>
      <w:r w:rsidR="00E273D1">
        <w:rPr>
          <w:rFonts w:ascii="Arial" w:hAnsi="Arial" w:cs="Arial"/>
          <w:sz w:val="22"/>
          <w:szCs w:val="22"/>
        </w:rPr>
        <w:t xml:space="preserve">further </w:t>
      </w:r>
      <w:r w:rsidR="007D1203">
        <w:rPr>
          <w:rFonts w:ascii="Arial" w:hAnsi="Arial" w:cs="Arial"/>
          <w:sz w:val="22"/>
          <w:szCs w:val="22"/>
        </w:rPr>
        <w:t>inter</w:t>
      </w:r>
      <w:r w:rsidR="0063328D">
        <w:rPr>
          <w:rFonts w:ascii="Arial" w:hAnsi="Arial" w:cs="Arial"/>
          <w:sz w:val="22"/>
          <w:szCs w:val="22"/>
        </w:rPr>
        <w:t>rogate costs. This list is non-exhaustive and may be amended</w:t>
      </w:r>
      <w:r w:rsidR="00E01144">
        <w:rPr>
          <w:rFonts w:ascii="Arial" w:hAnsi="Arial" w:cs="Arial"/>
          <w:sz w:val="22"/>
          <w:szCs w:val="22"/>
        </w:rPr>
        <w:t xml:space="preserve">.  Details of any changes during Stage 4 will be outlined in the ITSFT document.  </w:t>
      </w:r>
      <w:r w:rsidR="00D712FD">
        <w:rPr>
          <w:rFonts w:ascii="Arial" w:hAnsi="Arial" w:cs="Arial"/>
          <w:sz w:val="22"/>
          <w:szCs w:val="22"/>
        </w:rPr>
        <w:t xml:space="preserve"> </w:t>
      </w:r>
      <w:r w:rsidRPr="00D17F7E">
        <w:rPr>
          <w:rFonts w:ascii="Arial" w:hAnsi="Arial" w:cs="Arial"/>
          <w:sz w:val="22"/>
          <w:szCs w:val="22"/>
        </w:rPr>
        <w:t xml:space="preserve"> </w:t>
      </w:r>
    </w:p>
    <w:p w14:paraId="6C69F221" w14:textId="5EFD1DC2" w:rsidR="00704D86" w:rsidRPr="00D17F7E" w:rsidRDefault="00704D86" w:rsidP="001E53D0">
      <w:pPr>
        <w:pStyle w:val="BodyText1"/>
        <w:jc w:val="both"/>
        <w:rPr>
          <w:rFonts w:ascii="Arial" w:hAnsi="Arial" w:cs="Arial"/>
          <w:sz w:val="22"/>
          <w:szCs w:val="22"/>
        </w:rPr>
      </w:pPr>
      <w:r w:rsidRPr="00D17F7E">
        <w:rPr>
          <w:rFonts w:ascii="Arial" w:hAnsi="Arial" w:cs="Arial"/>
          <w:sz w:val="22"/>
          <w:szCs w:val="22"/>
        </w:rPr>
        <w:t>Final tenders must be submitted in accordance with the timetable and instructions set out in this document and any additional information provided</w:t>
      </w:r>
      <w:r w:rsidR="0037738D">
        <w:rPr>
          <w:rFonts w:ascii="Arial" w:hAnsi="Arial" w:cs="Arial"/>
          <w:sz w:val="22"/>
          <w:szCs w:val="22"/>
        </w:rPr>
        <w:t xml:space="preserve"> </w:t>
      </w:r>
      <w:r w:rsidR="0037738D">
        <w:rPr>
          <w:rFonts w:ascii="Arial" w:hAnsi="Arial" w:cs="Arial"/>
          <w:sz w:val="22"/>
          <w:szCs w:val="22"/>
        </w:rPr>
        <w:t>as part of the ITS</w:t>
      </w:r>
      <w:r w:rsidR="0037738D">
        <w:rPr>
          <w:rFonts w:ascii="Arial" w:hAnsi="Arial" w:cs="Arial"/>
          <w:sz w:val="22"/>
          <w:szCs w:val="22"/>
        </w:rPr>
        <w:t>FT</w:t>
      </w:r>
      <w:r w:rsidR="0037738D">
        <w:rPr>
          <w:rFonts w:ascii="Arial" w:hAnsi="Arial" w:cs="Arial"/>
          <w:sz w:val="22"/>
          <w:szCs w:val="22"/>
        </w:rPr>
        <w:t xml:space="preserve"> documentation</w:t>
      </w:r>
      <w:r w:rsidRPr="00D17F7E">
        <w:rPr>
          <w:rFonts w:ascii="Arial" w:hAnsi="Arial" w:cs="Arial"/>
          <w:sz w:val="22"/>
          <w:szCs w:val="22"/>
        </w:rPr>
        <w:t xml:space="preserve">. </w:t>
      </w:r>
      <w:r w:rsidR="002468FB">
        <w:rPr>
          <w:rFonts w:ascii="Arial" w:hAnsi="Arial" w:cs="Arial"/>
          <w:sz w:val="22"/>
          <w:szCs w:val="22"/>
        </w:rPr>
        <w:t xml:space="preserve">Following receipt of </w:t>
      </w:r>
      <w:r w:rsidR="00A11E74">
        <w:rPr>
          <w:rFonts w:ascii="Arial" w:hAnsi="Arial" w:cs="Arial"/>
          <w:sz w:val="22"/>
          <w:szCs w:val="22"/>
        </w:rPr>
        <w:t>tender</w:t>
      </w:r>
      <w:r w:rsidR="002468FB">
        <w:rPr>
          <w:rFonts w:ascii="Arial" w:hAnsi="Arial" w:cs="Arial"/>
          <w:sz w:val="22"/>
          <w:szCs w:val="22"/>
        </w:rPr>
        <w:t>s</w:t>
      </w:r>
      <w:r w:rsidR="00A11E74">
        <w:rPr>
          <w:rFonts w:ascii="Arial" w:hAnsi="Arial" w:cs="Arial"/>
          <w:sz w:val="22"/>
          <w:szCs w:val="22"/>
        </w:rPr>
        <w:t xml:space="preserve">, </w:t>
      </w:r>
      <w:r w:rsidR="001C6D25">
        <w:rPr>
          <w:rFonts w:ascii="Arial" w:hAnsi="Arial" w:cs="Arial"/>
          <w:sz w:val="22"/>
          <w:szCs w:val="22"/>
        </w:rPr>
        <w:t>HMRC</w:t>
      </w:r>
      <w:r w:rsidR="00372C42">
        <w:rPr>
          <w:rFonts w:ascii="Arial" w:hAnsi="Arial" w:cs="Arial"/>
          <w:sz w:val="22"/>
          <w:szCs w:val="22"/>
        </w:rPr>
        <w:t xml:space="preserve"> will:</w:t>
      </w:r>
    </w:p>
    <w:p w14:paraId="7F1918A6" w14:textId="481EBA7F" w:rsidR="00704D86" w:rsidRPr="00D17F7E" w:rsidRDefault="00372C42" w:rsidP="0085565B">
      <w:pPr>
        <w:pStyle w:val="BodyText1"/>
        <w:numPr>
          <w:ilvl w:val="0"/>
          <w:numId w:val="31"/>
        </w:numPr>
        <w:spacing w:after="120"/>
        <w:ind w:left="426" w:hanging="426"/>
        <w:jc w:val="both"/>
        <w:rPr>
          <w:rFonts w:ascii="Arial" w:hAnsi="Arial" w:cs="Arial"/>
          <w:sz w:val="22"/>
          <w:szCs w:val="22"/>
        </w:rPr>
      </w:pPr>
      <w:proofErr w:type="gramStart"/>
      <w:r>
        <w:rPr>
          <w:rFonts w:ascii="Arial" w:hAnsi="Arial" w:cs="Arial"/>
          <w:sz w:val="22"/>
          <w:szCs w:val="22"/>
        </w:rPr>
        <w:t>C</w:t>
      </w:r>
      <w:r w:rsidR="00704D86" w:rsidRPr="00D17F7E">
        <w:rPr>
          <w:rFonts w:ascii="Arial" w:hAnsi="Arial" w:cs="Arial"/>
          <w:sz w:val="22"/>
          <w:szCs w:val="22"/>
        </w:rPr>
        <w:t>onduct an assessment of</w:t>
      </w:r>
      <w:proofErr w:type="gramEnd"/>
      <w:r w:rsidR="00704D86" w:rsidRPr="00D17F7E">
        <w:rPr>
          <w:rFonts w:ascii="Arial" w:hAnsi="Arial" w:cs="Arial"/>
          <w:sz w:val="22"/>
          <w:szCs w:val="22"/>
        </w:rPr>
        <w:t xml:space="preserve"> all final tenders in order to identify the </w:t>
      </w:r>
      <w:r w:rsidR="00A728F9">
        <w:rPr>
          <w:rFonts w:ascii="Arial" w:hAnsi="Arial" w:cs="Arial"/>
          <w:sz w:val="22"/>
          <w:szCs w:val="22"/>
        </w:rPr>
        <w:t xml:space="preserve">Tenderer </w:t>
      </w:r>
      <w:r w:rsidR="00704D86" w:rsidRPr="00D17F7E">
        <w:rPr>
          <w:rFonts w:ascii="Arial" w:hAnsi="Arial" w:cs="Arial"/>
          <w:sz w:val="22"/>
          <w:szCs w:val="22"/>
        </w:rPr>
        <w:t xml:space="preserve">which has submitted the most advantageous tender in accordance with the award criteria and </w:t>
      </w:r>
      <w:r w:rsidR="00610BBD">
        <w:rPr>
          <w:rFonts w:ascii="Arial" w:hAnsi="Arial" w:cs="Arial"/>
          <w:sz w:val="22"/>
          <w:szCs w:val="22"/>
        </w:rPr>
        <w:t>the assessment methodology</w:t>
      </w:r>
      <w:r w:rsidR="006E256D">
        <w:rPr>
          <w:rFonts w:ascii="Arial" w:hAnsi="Arial" w:cs="Arial"/>
          <w:sz w:val="22"/>
          <w:szCs w:val="22"/>
        </w:rPr>
        <w:t xml:space="preserve"> </w:t>
      </w:r>
      <w:r w:rsidR="00704D86" w:rsidRPr="00D17F7E">
        <w:rPr>
          <w:rFonts w:ascii="Arial" w:hAnsi="Arial" w:cs="Arial"/>
          <w:sz w:val="22"/>
          <w:szCs w:val="22"/>
        </w:rPr>
        <w:t>described in t</w:t>
      </w:r>
      <w:r w:rsidR="000E3A40">
        <w:rPr>
          <w:rFonts w:ascii="Arial" w:hAnsi="Arial" w:cs="Arial"/>
          <w:sz w:val="22"/>
          <w:szCs w:val="22"/>
        </w:rPr>
        <w:t>he ITSFT</w:t>
      </w:r>
      <w:r w:rsidR="00704D86" w:rsidRPr="00D17F7E">
        <w:rPr>
          <w:rFonts w:ascii="Arial" w:hAnsi="Arial" w:cs="Arial"/>
          <w:sz w:val="22"/>
          <w:szCs w:val="22"/>
        </w:rPr>
        <w:t xml:space="preserve"> document</w:t>
      </w:r>
      <w:r w:rsidR="000E3A40">
        <w:rPr>
          <w:rFonts w:ascii="Arial" w:hAnsi="Arial" w:cs="Arial"/>
          <w:sz w:val="22"/>
          <w:szCs w:val="22"/>
        </w:rPr>
        <w:t>ation</w:t>
      </w:r>
      <w:r w:rsidR="00815326">
        <w:rPr>
          <w:rFonts w:ascii="Arial" w:hAnsi="Arial" w:cs="Arial"/>
          <w:sz w:val="22"/>
          <w:szCs w:val="22"/>
        </w:rPr>
        <w:t xml:space="preserve">. </w:t>
      </w:r>
      <w:r w:rsidR="00704D86" w:rsidRPr="00D17F7E">
        <w:rPr>
          <w:rFonts w:ascii="Arial" w:hAnsi="Arial" w:cs="Arial"/>
          <w:sz w:val="22"/>
          <w:szCs w:val="22"/>
        </w:rPr>
        <w:t xml:space="preserve">In carrying out this assessment, </w:t>
      </w:r>
      <w:r w:rsidR="001C6D25">
        <w:rPr>
          <w:rFonts w:ascii="Arial" w:hAnsi="Arial" w:cs="Arial"/>
          <w:sz w:val="22"/>
          <w:szCs w:val="22"/>
        </w:rPr>
        <w:t>HMRC</w:t>
      </w:r>
      <w:r w:rsidR="00704D86" w:rsidRPr="00D17F7E">
        <w:rPr>
          <w:rFonts w:ascii="Arial" w:hAnsi="Arial" w:cs="Arial"/>
          <w:sz w:val="22"/>
          <w:szCs w:val="22"/>
        </w:rPr>
        <w:t xml:space="preserve"> may disregard a tender:</w:t>
      </w:r>
    </w:p>
    <w:p w14:paraId="00D38ED8" w14:textId="17E3CC4C" w:rsidR="00704D86" w:rsidRPr="00D17F7E" w:rsidRDefault="00704D86" w:rsidP="001E53D0">
      <w:pPr>
        <w:pStyle w:val="BodyText1"/>
        <w:spacing w:after="120"/>
        <w:ind w:left="714" w:hanging="357"/>
        <w:jc w:val="both"/>
        <w:rPr>
          <w:rFonts w:ascii="Arial" w:hAnsi="Arial" w:cs="Arial"/>
          <w:sz w:val="22"/>
          <w:szCs w:val="22"/>
        </w:rPr>
      </w:pPr>
      <w:r w:rsidRPr="00D17F7E">
        <w:rPr>
          <w:rFonts w:ascii="Arial" w:hAnsi="Arial" w:cs="Arial"/>
          <w:sz w:val="22"/>
          <w:szCs w:val="22"/>
        </w:rPr>
        <w:t>a.</w:t>
      </w:r>
      <w:r w:rsidRPr="00D17F7E">
        <w:rPr>
          <w:rFonts w:ascii="Arial" w:hAnsi="Arial" w:cs="Arial"/>
          <w:sz w:val="22"/>
          <w:szCs w:val="22"/>
        </w:rPr>
        <w:tab/>
        <w:t xml:space="preserve">from a </w:t>
      </w:r>
      <w:r w:rsidR="00BA3357">
        <w:rPr>
          <w:rFonts w:ascii="Arial" w:hAnsi="Arial" w:cs="Arial"/>
          <w:sz w:val="22"/>
          <w:szCs w:val="22"/>
        </w:rPr>
        <w:t>Tenderer</w:t>
      </w:r>
      <w:r w:rsidRPr="00D17F7E">
        <w:rPr>
          <w:rFonts w:ascii="Arial" w:hAnsi="Arial" w:cs="Arial"/>
          <w:sz w:val="22"/>
          <w:szCs w:val="22"/>
        </w:rPr>
        <w:t xml:space="preserve"> that is not a United Kingdom Supplier or a treaty state Supplier or that intends to sub-contract the performance of all or part of the Contract to a Supplier that is not a United Kingdom Supplier or a treaty state Supplier; or</w:t>
      </w:r>
    </w:p>
    <w:p w14:paraId="4F1BB5BB" w14:textId="77777777" w:rsidR="00704D86" w:rsidRPr="00D17F7E" w:rsidRDefault="00704D86" w:rsidP="001E53D0">
      <w:pPr>
        <w:pStyle w:val="BodyText1"/>
        <w:spacing w:after="120"/>
        <w:ind w:left="714" w:hanging="357"/>
        <w:jc w:val="both"/>
        <w:rPr>
          <w:rFonts w:ascii="Arial" w:hAnsi="Arial" w:cs="Arial"/>
          <w:sz w:val="22"/>
          <w:szCs w:val="22"/>
        </w:rPr>
      </w:pPr>
      <w:r w:rsidRPr="00D17F7E">
        <w:rPr>
          <w:rFonts w:ascii="Arial" w:hAnsi="Arial" w:cs="Arial"/>
          <w:sz w:val="22"/>
          <w:szCs w:val="22"/>
        </w:rPr>
        <w:t>b.</w:t>
      </w:r>
      <w:r w:rsidRPr="00D17F7E">
        <w:rPr>
          <w:rFonts w:ascii="Arial" w:hAnsi="Arial" w:cs="Arial"/>
          <w:sz w:val="22"/>
          <w:szCs w:val="22"/>
        </w:rPr>
        <w:tab/>
        <w:t xml:space="preserve">if the tender breaches a procedural requirement set out in the Tender Notice or associated tender documents; or </w:t>
      </w:r>
    </w:p>
    <w:p w14:paraId="7517A8CA" w14:textId="70488D0F" w:rsidR="00704D86" w:rsidRDefault="00704D86" w:rsidP="001E53D0">
      <w:pPr>
        <w:pStyle w:val="BodyText1"/>
        <w:ind w:left="714" w:hanging="357"/>
        <w:jc w:val="both"/>
        <w:rPr>
          <w:rFonts w:ascii="Arial" w:hAnsi="Arial" w:cs="Arial"/>
          <w:sz w:val="22"/>
          <w:szCs w:val="22"/>
        </w:rPr>
      </w:pPr>
      <w:r w:rsidRPr="00D17F7E">
        <w:rPr>
          <w:rFonts w:ascii="Arial" w:hAnsi="Arial" w:cs="Arial"/>
          <w:sz w:val="22"/>
          <w:szCs w:val="22"/>
        </w:rPr>
        <w:t>c.</w:t>
      </w:r>
      <w:r w:rsidRPr="00D17F7E">
        <w:rPr>
          <w:rFonts w:ascii="Arial" w:hAnsi="Arial" w:cs="Arial"/>
          <w:sz w:val="22"/>
          <w:szCs w:val="22"/>
        </w:rPr>
        <w:tab/>
        <w:t xml:space="preserve">if the tender offers a price that </w:t>
      </w:r>
      <w:r w:rsidR="001C6D25">
        <w:rPr>
          <w:rFonts w:ascii="Arial" w:hAnsi="Arial" w:cs="Arial"/>
          <w:sz w:val="22"/>
          <w:szCs w:val="22"/>
        </w:rPr>
        <w:t>HMRC</w:t>
      </w:r>
      <w:r w:rsidRPr="00D17F7E">
        <w:rPr>
          <w:rFonts w:ascii="Arial" w:hAnsi="Arial" w:cs="Arial"/>
          <w:sz w:val="22"/>
          <w:szCs w:val="22"/>
        </w:rPr>
        <w:t xml:space="preserve"> considers to be abnormally low for the performance of the Contract. Where </w:t>
      </w:r>
      <w:r w:rsidR="001C6D25">
        <w:rPr>
          <w:rFonts w:ascii="Arial" w:hAnsi="Arial" w:cs="Arial"/>
          <w:sz w:val="22"/>
          <w:szCs w:val="22"/>
        </w:rPr>
        <w:t>HMRC</w:t>
      </w:r>
      <w:r w:rsidRPr="00D17F7E">
        <w:rPr>
          <w:rFonts w:ascii="Arial" w:hAnsi="Arial" w:cs="Arial"/>
          <w:sz w:val="22"/>
          <w:szCs w:val="22"/>
        </w:rPr>
        <w:t xml:space="preserve"> considers that a price offered by a </w:t>
      </w:r>
      <w:r w:rsidR="00BA3357">
        <w:rPr>
          <w:rFonts w:ascii="Arial" w:hAnsi="Arial" w:cs="Arial"/>
          <w:sz w:val="22"/>
          <w:szCs w:val="22"/>
        </w:rPr>
        <w:t>Tenderer</w:t>
      </w:r>
      <w:r w:rsidR="00BA3357" w:rsidRPr="00D17F7E">
        <w:rPr>
          <w:rFonts w:ascii="Arial" w:hAnsi="Arial" w:cs="Arial"/>
          <w:sz w:val="22"/>
          <w:szCs w:val="22"/>
        </w:rPr>
        <w:t xml:space="preserve"> </w:t>
      </w:r>
      <w:r w:rsidRPr="00D17F7E">
        <w:rPr>
          <w:rFonts w:ascii="Arial" w:hAnsi="Arial" w:cs="Arial"/>
          <w:sz w:val="22"/>
          <w:szCs w:val="22"/>
        </w:rPr>
        <w:t xml:space="preserve">in its tender is abnormally low, </w:t>
      </w:r>
      <w:r w:rsidR="001C6D25">
        <w:rPr>
          <w:rFonts w:ascii="Arial" w:hAnsi="Arial" w:cs="Arial"/>
          <w:sz w:val="22"/>
          <w:szCs w:val="22"/>
        </w:rPr>
        <w:t>HMRC</w:t>
      </w:r>
      <w:r w:rsidRPr="00D17F7E">
        <w:rPr>
          <w:rFonts w:ascii="Arial" w:hAnsi="Arial" w:cs="Arial"/>
          <w:sz w:val="22"/>
          <w:szCs w:val="22"/>
        </w:rPr>
        <w:t xml:space="preserve"> will notify the </w:t>
      </w:r>
      <w:r w:rsidR="00BA3357">
        <w:rPr>
          <w:rFonts w:ascii="Arial" w:hAnsi="Arial" w:cs="Arial"/>
          <w:sz w:val="22"/>
          <w:szCs w:val="22"/>
        </w:rPr>
        <w:t>Tenderer</w:t>
      </w:r>
      <w:r w:rsidR="00BA3357" w:rsidRPr="00D17F7E" w:rsidDel="00BA3357">
        <w:rPr>
          <w:rFonts w:ascii="Arial" w:hAnsi="Arial" w:cs="Arial"/>
          <w:sz w:val="22"/>
          <w:szCs w:val="22"/>
        </w:rPr>
        <w:t xml:space="preserve"> </w:t>
      </w:r>
      <w:r w:rsidRPr="00D17F7E">
        <w:rPr>
          <w:rFonts w:ascii="Arial" w:hAnsi="Arial" w:cs="Arial"/>
          <w:sz w:val="22"/>
          <w:szCs w:val="22"/>
        </w:rPr>
        <w:t xml:space="preserve">and give the </w:t>
      </w:r>
      <w:r w:rsidR="00BA3357">
        <w:rPr>
          <w:rFonts w:ascii="Arial" w:hAnsi="Arial" w:cs="Arial"/>
          <w:sz w:val="22"/>
          <w:szCs w:val="22"/>
        </w:rPr>
        <w:t>Tenderer</w:t>
      </w:r>
      <w:r w:rsidR="00BA3357" w:rsidRPr="00D17F7E" w:rsidDel="00BA3357">
        <w:rPr>
          <w:rFonts w:ascii="Arial" w:hAnsi="Arial" w:cs="Arial"/>
          <w:sz w:val="22"/>
          <w:szCs w:val="22"/>
        </w:rPr>
        <w:t xml:space="preserve"> </w:t>
      </w:r>
      <w:r w:rsidRPr="00D17F7E">
        <w:rPr>
          <w:rFonts w:ascii="Arial" w:hAnsi="Arial" w:cs="Arial"/>
          <w:sz w:val="22"/>
          <w:szCs w:val="22"/>
        </w:rPr>
        <w:t xml:space="preserve">reasonable opportunity to demonstrate that it will be able to perform the contract for the price offered. </w:t>
      </w:r>
      <w:r w:rsidR="001C6D25">
        <w:rPr>
          <w:rFonts w:ascii="Arial" w:hAnsi="Arial" w:cs="Arial"/>
          <w:sz w:val="22"/>
          <w:szCs w:val="22"/>
        </w:rPr>
        <w:t>HMRC</w:t>
      </w:r>
      <w:r w:rsidRPr="00D17F7E">
        <w:rPr>
          <w:rFonts w:ascii="Arial" w:hAnsi="Arial" w:cs="Arial"/>
          <w:sz w:val="22"/>
          <w:szCs w:val="22"/>
        </w:rPr>
        <w:t xml:space="preserve"> will only disregard the tender if the </w:t>
      </w:r>
      <w:r w:rsidR="00BA3357">
        <w:rPr>
          <w:rFonts w:ascii="Arial" w:hAnsi="Arial" w:cs="Arial"/>
          <w:sz w:val="22"/>
          <w:szCs w:val="22"/>
        </w:rPr>
        <w:t>Tenderer</w:t>
      </w:r>
      <w:r w:rsidRPr="00D17F7E">
        <w:rPr>
          <w:rFonts w:ascii="Arial" w:hAnsi="Arial" w:cs="Arial"/>
          <w:sz w:val="22"/>
          <w:szCs w:val="22"/>
        </w:rPr>
        <w:t xml:space="preserve"> cannot satisfactorily demonstrate that it will be able to perform the Contract for the price offered.</w:t>
      </w:r>
    </w:p>
    <w:p w14:paraId="093667D8" w14:textId="5918B800" w:rsidR="0031502F" w:rsidRPr="00D17F7E" w:rsidRDefault="001C6D25" w:rsidP="0031502F">
      <w:pPr>
        <w:pStyle w:val="BodyText1"/>
        <w:spacing w:after="120"/>
        <w:ind w:firstLine="426"/>
        <w:jc w:val="both"/>
        <w:rPr>
          <w:rFonts w:ascii="Arial" w:hAnsi="Arial" w:cs="Arial"/>
          <w:sz w:val="22"/>
          <w:szCs w:val="22"/>
        </w:rPr>
      </w:pPr>
      <w:r>
        <w:rPr>
          <w:rFonts w:ascii="Arial" w:hAnsi="Arial" w:cs="Arial"/>
          <w:sz w:val="22"/>
          <w:szCs w:val="22"/>
        </w:rPr>
        <w:t>HMRC</w:t>
      </w:r>
      <w:r w:rsidR="0031502F" w:rsidRPr="00D17F7E">
        <w:rPr>
          <w:rFonts w:ascii="Arial" w:hAnsi="Arial" w:cs="Arial"/>
          <w:sz w:val="22"/>
          <w:szCs w:val="22"/>
        </w:rPr>
        <w:t xml:space="preserve"> may disregard a tender</w:t>
      </w:r>
      <w:r w:rsidR="0031502F">
        <w:rPr>
          <w:rFonts w:ascii="Arial" w:hAnsi="Arial" w:cs="Arial"/>
          <w:sz w:val="22"/>
          <w:szCs w:val="22"/>
        </w:rPr>
        <w:t xml:space="preserve"> </w:t>
      </w:r>
      <w:r w:rsidR="0031502F" w:rsidRPr="00D17F7E">
        <w:rPr>
          <w:rFonts w:ascii="Arial" w:hAnsi="Arial" w:cs="Arial"/>
          <w:sz w:val="22"/>
          <w:szCs w:val="22"/>
        </w:rPr>
        <w:t xml:space="preserve">that does not satisfy the </w:t>
      </w:r>
      <w:r w:rsidR="0031502F">
        <w:rPr>
          <w:rFonts w:ascii="Arial" w:hAnsi="Arial" w:cs="Arial"/>
          <w:sz w:val="22"/>
          <w:szCs w:val="22"/>
        </w:rPr>
        <w:t>C</w:t>
      </w:r>
      <w:r w:rsidR="0031502F" w:rsidRPr="00D17F7E">
        <w:rPr>
          <w:rFonts w:ascii="Arial" w:hAnsi="Arial" w:cs="Arial"/>
          <w:sz w:val="22"/>
          <w:szCs w:val="22"/>
        </w:rPr>
        <w:t xml:space="preserve">onditions of </w:t>
      </w:r>
      <w:r w:rsidR="0031502F">
        <w:rPr>
          <w:rFonts w:ascii="Arial" w:hAnsi="Arial" w:cs="Arial"/>
          <w:sz w:val="22"/>
          <w:szCs w:val="22"/>
        </w:rPr>
        <w:t>P</w:t>
      </w:r>
      <w:r w:rsidR="0031502F" w:rsidRPr="00D17F7E">
        <w:rPr>
          <w:rFonts w:ascii="Arial" w:hAnsi="Arial" w:cs="Arial"/>
          <w:sz w:val="22"/>
          <w:szCs w:val="22"/>
        </w:rPr>
        <w:t>articipation</w:t>
      </w:r>
      <w:r w:rsidR="0031502F">
        <w:rPr>
          <w:rFonts w:ascii="Arial" w:hAnsi="Arial" w:cs="Arial"/>
          <w:sz w:val="22"/>
          <w:szCs w:val="22"/>
        </w:rPr>
        <w:t>.</w:t>
      </w:r>
    </w:p>
    <w:p w14:paraId="27B33B3B" w14:textId="0166DA8E" w:rsidR="00704D86" w:rsidRPr="00D17F7E" w:rsidRDefault="00704D86" w:rsidP="0085565B">
      <w:pPr>
        <w:pStyle w:val="BodyText1"/>
        <w:numPr>
          <w:ilvl w:val="0"/>
          <w:numId w:val="31"/>
        </w:numPr>
        <w:spacing w:after="120"/>
        <w:ind w:left="426"/>
        <w:jc w:val="both"/>
        <w:rPr>
          <w:rFonts w:ascii="Arial" w:hAnsi="Arial" w:cs="Arial"/>
          <w:sz w:val="22"/>
          <w:szCs w:val="22"/>
        </w:rPr>
      </w:pPr>
      <w:r w:rsidRPr="00D17F7E">
        <w:rPr>
          <w:rFonts w:ascii="Arial" w:hAnsi="Arial" w:cs="Arial"/>
          <w:sz w:val="22"/>
          <w:szCs w:val="22"/>
        </w:rPr>
        <w:t xml:space="preserve">Once the assessment has concluded, </w:t>
      </w:r>
      <w:r w:rsidR="00D1243F">
        <w:rPr>
          <w:rFonts w:ascii="Arial" w:hAnsi="Arial" w:cs="Arial"/>
          <w:sz w:val="22"/>
          <w:szCs w:val="22"/>
        </w:rPr>
        <w:t>HMRC</w:t>
      </w:r>
      <w:r w:rsidRPr="00D17F7E">
        <w:rPr>
          <w:rFonts w:ascii="Arial" w:hAnsi="Arial" w:cs="Arial"/>
          <w:sz w:val="22"/>
          <w:szCs w:val="22"/>
        </w:rPr>
        <w:t xml:space="preserve"> will provide an assessment summary to all </w:t>
      </w:r>
      <w:r w:rsidR="00BA3357">
        <w:rPr>
          <w:rFonts w:ascii="Arial" w:hAnsi="Arial" w:cs="Arial"/>
          <w:sz w:val="22"/>
          <w:szCs w:val="22"/>
        </w:rPr>
        <w:t>Tenderer</w:t>
      </w:r>
      <w:r w:rsidR="00BA3357" w:rsidRPr="00D17F7E" w:rsidDel="00BA3357">
        <w:rPr>
          <w:rFonts w:ascii="Arial" w:hAnsi="Arial" w:cs="Arial"/>
          <w:sz w:val="22"/>
          <w:szCs w:val="22"/>
        </w:rPr>
        <w:t xml:space="preserve"> </w:t>
      </w:r>
      <w:r w:rsidRPr="00D17F7E">
        <w:rPr>
          <w:rFonts w:ascii="Arial" w:hAnsi="Arial" w:cs="Arial"/>
          <w:sz w:val="22"/>
          <w:szCs w:val="22"/>
        </w:rPr>
        <w:t>that submitted final tenders to:</w:t>
      </w:r>
    </w:p>
    <w:p w14:paraId="21F40500" w14:textId="1FE3C57E" w:rsidR="00704D86" w:rsidRPr="00D17F7E" w:rsidRDefault="00704D86" w:rsidP="001E53D0">
      <w:pPr>
        <w:pStyle w:val="BodyText1"/>
        <w:spacing w:after="120"/>
        <w:ind w:left="714" w:hanging="357"/>
        <w:jc w:val="both"/>
        <w:rPr>
          <w:rFonts w:ascii="Arial" w:hAnsi="Arial" w:cs="Arial"/>
          <w:sz w:val="22"/>
          <w:szCs w:val="22"/>
        </w:rPr>
      </w:pPr>
      <w:r w:rsidRPr="00D17F7E">
        <w:rPr>
          <w:rFonts w:ascii="Arial" w:hAnsi="Arial" w:cs="Arial"/>
          <w:sz w:val="22"/>
          <w:szCs w:val="22"/>
        </w:rPr>
        <w:t>a.</w:t>
      </w:r>
      <w:r w:rsidRPr="00D17F7E">
        <w:rPr>
          <w:rFonts w:ascii="Arial" w:hAnsi="Arial" w:cs="Arial"/>
          <w:sz w:val="22"/>
          <w:szCs w:val="22"/>
        </w:rPr>
        <w:tab/>
      </w:r>
      <w:proofErr w:type="gramStart"/>
      <w:r w:rsidRPr="00D17F7E">
        <w:rPr>
          <w:rFonts w:ascii="Arial" w:hAnsi="Arial" w:cs="Arial"/>
          <w:sz w:val="22"/>
          <w:szCs w:val="22"/>
        </w:rPr>
        <w:t>inform</w:t>
      </w:r>
      <w:proofErr w:type="gramEnd"/>
      <w:r w:rsidRPr="00D17F7E">
        <w:rPr>
          <w:rFonts w:ascii="Arial" w:hAnsi="Arial" w:cs="Arial"/>
          <w:sz w:val="22"/>
          <w:szCs w:val="22"/>
        </w:rPr>
        <w:t xml:space="preserve"> them whether they have been successful in being awarded the </w:t>
      </w:r>
      <w:r w:rsidR="002468FB">
        <w:rPr>
          <w:rFonts w:ascii="Arial" w:hAnsi="Arial" w:cs="Arial"/>
          <w:sz w:val="22"/>
          <w:szCs w:val="22"/>
        </w:rPr>
        <w:t>c</w:t>
      </w:r>
      <w:r w:rsidRPr="00D17F7E">
        <w:rPr>
          <w:rFonts w:ascii="Arial" w:hAnsi="Arial" w:cs="Arial"/>
          <w:sz w:val="22"/>
          <w:szCs w:val="22"/>
        </w:rPr>
        <w:t>ontract</w:t>
      </w:r>
    </w:p>
    <w:p w14:paraId="29709E2E" w14:textId="3568C9CB" w:rsidR="00704D86" w:rsidRPr="00D17F7E" w:rsidRDefault="00704D86" w:rsidP="001E53D0">
      <w:pPr>
        <w:pStyle w:val="BodyText1"/>
        <w:spacing w:after="120"/>
        <w:ind w:left="714" w:hanging="357"/>
        <w:jc w:val="both"/>
        <w:rPr>
          <w:rFonts w:ascii="Arial" w:hAnsi="Arial" w:cs="Arial"/>
          <w:sz w:val="22"/>
          <w:szCs w:val="22"/>
        </w:rPr>
      </w:pPr>
      <w:r w:rsidRPr="00D17F7E">
        <w:rPr>
          <w:rFonts w:ascii="Arial" w:hAnsi="Arial" w:cs="Arial"/>
          <w:sz w:val="22"/>
          <w:szCs w:val="22"/>
        </w:rPr>
        <w:t>b.</w:t>
      </w:r>
      <w:r w:rsidRPr="00D17F7E">
        <w:rPr>
          <w:rFonts w:ascii="Arial" w:hAnsi="Arial" w:cs="Arial"/>
          <w:sz w:val="22"/>
          <w:szCs w:val="22"/>
        </w:rPr>
        <w:tab/>
      </w:r>
      <w:proofErr w:type="gramStart"/>
      <w:r w:rsidRPr="00D17F7E">
        <w:rPr>
          <w:rFonts w:ascii="Arial" w:hAnsi="Arial" w:cs="Arial"/>
          <w:sz w:val="22"/>
          <w:szCs w:val="22"/>
        </w:rPr>
        <w:t>provide</w:t>
      </w:r>
      <w:proofErr w:type="gramEnd"/>
      <w:r w:rsidRPr="00D17F7E">
        <w:rPr>
          <w:rFonts w:ascii="Arial" w:hAnsi="Arial" w:cs="Arial"/>
          <w:sz w:val="22"/>
          <w:szCs w:val="22"/>
        </w:rPr>
        <w:t xml:space="preserve"> an explanation of the assessment of the </w:t>
      </w:r>
      <w:r w:rsidR="00BA3357">
        <w:rPr>
          <w:rFonts w:ascii="Arial" w:hAnsi="Arial" w:cs="Arial"/>
          <w:sz w:val="22"/>
          <w:szCs w:val="22"/>
        </w:rPr>
        <w:t>Tenderer</w:t>
      </w:r>
      <w:r w:rsidRPr="00D17F7E">
        <w:rPr>
          <w:rFonts w:ascii="Arial" w:hAnsi="Arial" w:cs="Arial"/>
          <w:sz w:val="22"/>
          <w:szCs w:val="22"/>
        </w:rPr>
        <w:t>’s tender against the relevant award criteria, in accordance with the requirements of the Act</w:t>
      </w:r>
    </w:p>
    <w:p w14:paraId="607101A2" w14:textId="39AC88E7" w:rsidR="00704D86" w:rsidRPr="00D17F7E" w:rsidRDefault="00704D86" w:rsidP="001E53D0">
      <w:pPr>
        <w:pStyle w:val="BodyText1"/>
        <w:ind w:left="714" w:hanging="357"/>
        <w:jc w:val="both"/>
        <w:rPr>
          <w:rFonts w:ascii="Arial" w:hAnsi="Arial" w:cs="Arial"/>
          <w:sz w:val="22"/>
          <w:szCs w:val="22"/>
        </w:rPr>
      </w:pPr>
      <w:r w:rsidRPr="00D17F7E">
        <w:rPr>
          <w:rFonts w:ascii="Arial" w:hAnsi="Arial" w:cs="Arial"/>
          <w:sz w:val="22"/>
          <w:szCs w:val="22"/>
        </w:rPr>
        <w:t>c.</w:t>
      </w:r>
      <w:r w:rsidRPr="00D17F7E">
        <w:rPr>
          <w:rFonts w:ascii="Arial" w:hAnsi="Arial" w:cs="Arial"/>
          <w:sz w:val="22"/>
          <w:szCs w:val="22"/>
        </w:rPr>
        <w:tab/>
        <w:t xml:space="preserve">where different to the </w:t>
      </w:r>
      <w:r w:rsidR="00BA3357">
        <w:rPr>
          <w:rFonts w:ascii="Arial" w:hAnsi="Arial" w:cs="Arial"/>
          <w:sz w:val="22"/>
          <w:szCs w:val="22"/>
        </w:rPr>
        <w:t>Tenderer</w:t>
      </w:r>
      <w:r w:rsidR="00BA3357" w:rsidRPr="00D17F7E" w:rsidDel="00BA3357">
        <w:rPr>
          <w:rFonts w:ascii="Arial" w:hAnsi="Arial" w:cs="Arial"/>
          <w:sz w:val="22"/>
          <w:szCs w:val="22"/>
        </w:rPr>
        <w:t xml:space="preserve"> </w:t>
      </w:r>
      <w:r w:rsidRPr="00D17F7E">
        <w:rPr>
          <w:rFonts w:ascii="Arial" w:hAnsi="Arial" w:cs="Arial"/>
          <w:sz w:val="22"/>
          <w:szCs w:val="22"/>
        </w:rPr>
        <w:t xml:space="preserve">concerned, provide information in respect of the most advantageous tender submitted, including details of the assessment of this tender against the relevant award criteria and the </w:t>
      </w:r>
      <w:r w:rsidR="00BA3357">
        <w:rPr>
          <w:rFonts w:ascii="Arial" w:hAnsi="Arial" w:cs="Arial"/>
          <w:sz w:val="22"/>
          <w:szCs w:val="22"/>
        </w:rPr>
        <w:t>Tenderer</w:t>
      </w:r>
      <w:r w:rsidRPr="00D17F7E">
        <w:rPr>
          <w:rFonts w:ascii="Arial" w:hAnsi="Arial" w:cs="Arial"/>
          <w:sz w:val="22"/>
          <w:szCs w:val="22"/>
        </w:rPr>
        <w:t xml:space="preserve">’s name </w:t>
      </w:r>
    </w:p>
    <w:p w14:paraId="6A588328" w14:textId="1F476E59" w:rsidR="00704D86" w:rsidRPr="00D17F7E" w:rsidRDefault="00704D86" w:rsidP="0085565B">
      <w:pPr>
        <w:pStyle w:val="BodyText1"/>
        <w:numPr>
          <w:ilvl w:val="0"/>
          <w:numId w:val="31"/>
        </w:numPr>
        <w:ind w:left="426"/>
        <w:jc w:val="both"/>
        <w:rPr>
          <w:rFonts w:ascii="Arial" w:hAnsi="Arial" w:cs="Arial"/>
          <w:sz w:val="22"/>
          <w:szCs w:val="22"/>
        </w:rPr>
      </w:pPr>
      <w:r w:rsidRPr="00D17F7E">
        <w:rPr>
          <w:rFonts w:ascii="Arial" w:hAnsi="Arial" w:cs="Arial"/>
          <w:sz w:val="22"/>
          <w:szCs w:val="22"/>
        </w:rPr>
        <w:t xml:space="preserve">Once the assessment summaries have been provided to the </w:t>
      </w:r>
      <w:r w:rsidR="00BA3357">
        <w:rPr>
          <w:rFonts w:ascii="Arial" w:hAnsi="Arial" w:cs="Arial"/>
          <w:sz w:val="22"/>
          <w:szCs w:val="22"/>
        </w:rPr>
        <w:t>Tenderers</w:t>
      </w:r>
      <w:r w:rsidRPr="00D17F7E">
        <w:rPr>
          <w:rFonts w:ascii="Arial" w:hAnsi="Arial" w:cs="Arial"/>
          <w:sz w:val="22"/>
          <w:szCs w:val="22"/>
        </w:rPr>
        <w:t xml:space="preserve"> that submitted final tenders, </w:t>
      </w:r>
      <w:r w:rsidR="001C6D25">
        <w:rPr>
          <w:rFonts w:ascii="Arial" w:hAnsi="Arial" w:cs="Arial"/>
          <w:sz w:val="22"/>
          <w:szCs w:val="22"/>
        </w:rPr>
        <w:t>HMRC</w:t>
      </w:r>
      <w:r w:rsidRPr="00D17F7E">
        <w:rPr>
          <w:rFonts w:ascii="Arial" w:hAnsi="Arial" w:cs="Arial"/>
          <w:sz w:val="22"/>
          <w:szCs w:val="22"/>
        </w:rPr>
        <w:t xml:space="preserve"> will also publish a contract award notice on the Central Digital Platform to commence the mandatory standstill period.</w:t>
      </w:r>
    </w:p>
    <w:p w14:paraId="60AC9788" w14:textId="30DA7BFF" w:rsidR="00704D86" w:rsidRPr="00D17F7E" w:rsidRDefault="00704D86" w:rsidP="0085565B">
      <w:pPr>
        <w:pStyle w:val="BodyText1"/>
        <w:numPr>
          <w:ilvl w:val="0"/>
          <w:numId w:val="31"/>
        </w:numPr>
        <w:ind w:left="426"/>
        <w:jc w:val="both"/>
        <w:rPr>
          <w:rFonts w:ascii="Arial" w:hAnsi="Arial" w:cs="Arial"/>
          <w:sz w:val="22"/>
          <w:szCs w:val="22"/>
        </w:rPr>
      </w:pPr>
      <w:r w:rsidRPr="00D17F7E">
        <w:rPr>
          <w:rFonts w:ascii="Arial" w:hAnsi="Arial" w:cs="Arial"/>
          <w:sz w:val="22"/>
          <w:szCs w:val="22"/>
        </w:rPr>
        <w:t xml:space="preserve">Subject to completion of the mandatory standstill period, Stage 4 will end with </w:t>
      </w:r>
      <w:r w:rsidR="001C6D25">
        <w:rPr>
          <w:rFonts w:ascii="Arial" w:hAnsi="Arial" w:cs="Arial"/>
          <w:sz w:val="22"/>
          <w:szCs w:val="22"/>
        </w:rPr>
        <w:t>HMRC</w:t>
      </w:r>
      <w:r w:rsidRPr="00D17F7E">
        <w:rPr>
          <w:rFonts w:ascii="Arial" w:hAnsi="Arial" w:cs="Arial"/>
          <w:sz w:val="22"/>
          <w:szCs w:val="22"/>
        </w:rPr>
        <w:t xml:space="preserve"> </w:t>
      </w:r>
      <w:proofErr w:type="gramStart"/>
      <w:r w:rsidRPr="00D17F7E">
        <w:rPr>
          <w:rFonts w:ascii="Arial" w:hAnsi="Arial" w:cs="Arial"/>
          <w:sz w:val="22"/>
          <w:szCs w:val="22"/>
        </w:rPr>
        <w:t>entering into</w:t>
      </w:r>
      <w:proofErr w:type="gramEnd"/>
      <w:r w:rsidRPr="00D17F7E">
        <w:rPr>
          <w:rFonts w:ascii="Arial" w:hAnsi="Arial" w:cs="Arial"/>
          <w:sz w:val="22"/>
          <w:szCs w:val="22"/>
        </w:rPr>
        <w:t xml:space="preserve"> the Contract with the preferred Supplier and publication of a Contract Details Notice on the Central Digital Platform (within 30 days of the date on which the Contract is entered into). Where appropriate, a copy of the Contract may also be published on the Central Digital Platform. </w:t>
      </w:r>
    </w:p>
    <w:p w14:paraId="6C66EF62" w14:textId="77777777" w:rsidR="00704D86" w:rsidRDefault="00704D86" w:rsidP="001E53D0">
      <w:pPr>
        <w:spacing w:after="240"/>
        <w:jc w:val="both"/>
        <w:rPr>
          <w:rFonts w:cs="Arial"/>
          <w:b/>
          <w:color w:val="009999"/>
          <w:sz w:val="28"/>
          <w:szCs w:val="28"/>
        </w:rPr>
      </w:pPr>
    </w:p>
    <w:p w14:paraId="48F63537" w14:textId="77777777" w:rsidR="00420D27" w:rsidRDefault="00420D27" w:rsidP="001E53D0">
      <w:pPr>
        <w:spacing w:after="240"/>
        <w:jc w:val="both"/>
        <w:rPr>
          <w:rFonts w:cs="Arial"/>
          <w:b/>
          <w:color w:val="009999"/>
          <w:sz w:val="28"/>
          <w:szCs w:val="28"/>
        </w:rPr>
      </w:pPr>
    </w:p>
    <w:p w14:paraId="69F6AC40" w14:textId="7E5582CD" w:rsidR="00FA5591" w:rsidRPr="0085565B" w:rsidRDefault="0085565B" w:rsidP="0085565B">
      <w:pPr>
        <w:pStyle w:val="Head2"/>
        <w:numPr>
          <w:ilvl w:val="0"/>
          <w:numId w:val="0"/>
        </w:numPr>
        <w:spacing w:before="240"/>
        <w:jc w:val="both"/>
        <w:rPr>
          <w:b/>
          <w:bCs/>
          <w:color w:val="009999"/>
          <w:sz w:val="28"/>
          <w:szCs w:val="28"/>
        </w:rPr>
      </w:pPr>
      <w:bookmarkStart w:id="125" w:name="_Toc201679656"/>
      <w:r w:rsidRPr="0085565B">
        <w:rPr>
          <w:b/>
          <w:bCs/>
          <w:color w:val="009999"/>
          <w:sz w:val="28"/>
          <w:szCs w:val="28"/>
        </w:rPr>
        <w:t>ANNEX 2 – OUTLINE SERVICES DESCRIPTION</w:t>
      </w:r>
      <w:bookmarkEnd w:id="125"/>
    </w:p>
    <w:p w14:paraId="373B0A76" w14:textId="77777777" w:rsidR="00FA5591" w:rsidRPr="00011E71" w:rsidRDefault="00FA5591" w:rsidP="00FA5591">
      <w:pPr>
        <w:pStyle w:val="BodyText1"/>
        <w:spacing w:before="240"/>
        <w:rPr>
          <w:rFonts w:ascii="Arial" w:eastAsia="MS Mincho" w:hAnsi="Arial" w:cs="Arial"/>
          <w:b/>
          <w:bCs/>
          <w:sz w:val="22"/>
          <w:szCs w:val="22"/>
          <w:u w:val="single"/>
        </w:rPr>
      </w:pPr>
      <w:r w:rsidRPr="00011E71">
        <w:rPr>
          <w:rFonts w:ascii="Arial" w:eastAsia="MS Mincho" w:hAnsi="Arial" w:cs="Arial"/>
          <w:b/>
          <w:bCs/>
          <w:sz w:val="22"/>
          <w:szCs w:val="22"/>
          <w:u w:val="single"/>
        </w:rPr>
        <w:t>INTRODUCTION &amp; BACKGROUND</w:t>
      </w:r>
    </w:p>
    <w:p w14:paraId="6F0D2A54" w14:textId="77777777" w:rsidR="00FA5591" w:rsidRPr="00011E71" w:rsidRDefault="00FA5591" w:rsidP="00A972FD">
      <w:pPr>
        <w:pStyle w:val="BodyText1"/>
        <w:spacing w:before="240"/>
        <w:jc w:val="both"/>
        <w:rPr>
          <w:rFonts w:ascii="Arial" w:eastAsia="MS Mincho" w:hAnsi="Arial" w:cs="Arial"/>
          <w:sz w:val="22"/>
          <w:szCs w:val="22"/>
        </w:rPr>
      </w:pPr>
      <w:r w:rsidRPr="00011E71">
        <w:rPr>
          <w:rFonts w:ascii="Arial" w:eastAsia="MS Mincho" w:hAnsi="Arial" w:cs="Arial"/>
          <w:sz w:val="22"/>
          <w:szCs w:val="22"/>
        </w:rPr>
        <w:t>HMRC’s IT infrastructure has been building increasing levels of technical debt due to the age of the underlying hardware and software, making modernisation a priority for the organisation.</w:t>
      </w:r>
    </w:p>
    <w:p w14:paraId="671DD412" w14:textId="77777777" w:rsidR="00FA5591" w:rsidRPr="00011E71" w:rsidRDefault="00FA5591" w:rsidP="00A972FD">
      <w:pPr>
        <w:pStyle w:val="BodyText1"/>
        <w:spacing w:before="240"/>
        <w:jc w:val="both"/>
        <w:rPr>
          <w:rFonts w:ascii="Arial" w:eastAsia="MS Mincho" w:hAnsi="Arial" w:cs="Arial"/>
          <w:sz w:val="22"/>
          <w:szCs w:val="22"/>
        </w:rPr>
      </w:pPr>
      <w:r w:rsidRPr="00011E71">
        <w:rPr>
          <w:rFonts w:ascii="Arial" w:eastAsia="MS Mincho" w:hAnsi="Arial" w:cs="Arial"/>
          <w:sz w:val="22"/>
          <w:szCs w:val="22"/>
        </w:rPr>
        <w:t>As part of our ongoing technology strategy, we have developed cloud capabilities and platforms to manage parts of our previously migrated estate. This has provided us with valuable insights, reaffirming that cloud capabilities, and their continued evolution, present a strong opportunity to advance our journey towards modernisation.</w:t>
      </w:r>
    </w:p>
    <w:p w14:paraId="7E5DA49B" w14:textId="77777777" w:rsidR="00FA5591" w:rsidRPr="00011E71" w:rsidRDefault="00FA5591" w:rsidP="00A972FD">
      <w:pPr>
        <w:pStyle w:val="BodyText1"/>
        <w:spacing w:before="240"/>
        <w:jc w:val="both"/>
        <w:rPr>
          <w:rFonts w:ascii="Arial" w:eastAsia="MS Mincho" w:hAnsi="Arial" w:cs="Arial"/>
          <w:sz w:val="22"/>
          <w:szCs w:val="22"/>
        </w:rPr>
      </w:pPr>
      <w:r w:rsidRPr="00011E71">
        <w:rPr>
          <w:rFonts w:ascii="Arial" w:eastAsia="MS Mincho" w:hAnsi="Arial" w:cs="Arial"/>
          <w:sz w:val="22"/>
          <w:szCs w:val="22"/>
        </w:rPr>
        <w:t xml:space="preserve">The Data Centre Exit (DCE) programme has identified that modern </w:t>
      </w:r>
      <w:proofErr w:type="spellStart"/>
      <w:r w:rsidRPr="00011E71">
        <w:rPr>
          <w:rFonts w:ascii="Arial" w:eastAsia="MS Mincho" w:hAnsi="Arial" w:cs="Arial"/>
          <w:sz w:val="22"/>
          <w:szCs w:val="22"/>
        </w:rPr>
        <w:t>hyperscaler</w:t>
      </w:r>
      <w:proofErr w:type="spellEnd"/>
      <w:r>
        <w:rPr>
          <w:rFonts w:ascii="Arial" w:eastAsia="MS Mincho" w:hAnsi="Arial" w:cs="Arial"/>
          <w:sz w:val="22"/>
          <w:szCs w:val="22"/>
        </w:rPr>
        <w:t xml:space="preserve"> </w:t>
      </w:r>
      <w:r w:rsidRPr="00011E71">
        <w:rPr>
          <w:rFonts w:ascii="Arial" w:eastAsia="MS Mincho" w:hAnsi="Arial" w:cs="Arial"/>
          <w:sz w:val="22"/>
          <w:szCs w:val="22"/>
        </w:rPr>
        <w:t>cloud technologies would be the preferred solution to transition to, whilst supporting HMRC's strategic objectives, without affecting business continuity or incurring an unaffordable cost of change. Furthermore, the strategy aligns with the capabilities of the market, the overall aspiration to move to the cloud, and evidence to suggest that transitioning to a cloud solution would be more scalable and cost</w:t>
      </w:r>
      <w:r>
        <w:rPr>
          <w:rFonts w:ascii="Arial" w:eastAsia="MS Mincho" w:hAnsi="Arial" w:cs="Arial"/>
          <w:sz w:val="22"/>
          <w:szCs w:val="22"/>
        </w:rPr>
        <w:t>-</w:t>
      </w:r>
      <w:r w:rsidRPr="00011E71">
        <w:rPr>
          <w:rFonts w:ascii="Arial" w:eastAsia="MS Mincho" w:hAnsi="Arial" w:cs="Arial"/>
          <w:sz w:val="22"/>
          <w:szCs w:val="22"/>
        </w:rPr>
        <w:t>effective</w:t>
      </w:r>
      <w:r>
        <w:rPr>
          <w:rFonts w:ascii="Arial" w:eastAsia="MS Mincho" w:hAnsi="Arial" w:cs="Arial"/>
          <w:sz w:val="22"/>
          <w:szCs w:val="22"/>
        </w:rPr>
        <w:t>.</w:t>
      </w:r>
    </w:p>
    <w:p w14:paraId="6980C7FD" w14:textId="09A96D8E" w:rsidR="00FA5591" w:rsidRPr="00011E71" w:rsidRDefault="00FA5591" w:rsidP="00A972FD">
      <w:pPr>
        <w:pStyle w:val="BodyText1"/>
        <w:spacing w:before="240"/>
        <w:jc w:val="both"/>
        <w:rPr>
          <w:rFonts w:ascii="Arial" w:eastAsia="MS Mincho" w:hAnsi="Arial" w:cs="Arial"/>
          <w:sz w:val="22"/>
          <w:szCs w:val="22"/>
        </w:rPr>
      </w:pPr>
      <w:r w:rsidRPr="00011E71">
        <w:rPr>
          <w:rFonts w:ascii="Arial" w:eastAsia="MS Mincho" w:hAnsi="Arial" w:cs="Arial"/>
          <w:sz w:val="22"/>
          <w:szCs w:val="22"/>
        </w:rPr>
        <w:t xml:space="preserve">The objective of the programme is to exit all services from three managed data centres and decommission any remaining infrastructure within the current contract period of the incumbent data centre hosting provider </w:t>
      </w:r>
      <w:r w:rsidRPr="00A972FD">
        <w:rPr>
          <w:rFonts w:ascii="Arial" w:eastAsia="MS Mincho" w:hAnsi="Arial" w:cs="Arial"/>
          <w:sz w:val="22"/>
          <w:szCs w:val="22"/>
        </w:rPr>
        <w:t>(June 2028).</w:t>
      </w:r>
      <w:r w:rsidRPr="00011E71">
        <w:rPr>
          <w:rFonts w:ascii="Arial" w:eastAsia="MS Mincho" w:hAnsi="Arial" w:cs="Arial"/>
          <w:sz w:val="22"/>
          <w:szCs w:val="22"/>
        </w:rPr>
        <w:t xml:space="preserve"> The scope of the technical migration </w:t>
      </w:r>
      <w:r w:rsidRPr="4738419B">
        <w:rPr>
          <w:rFonts w:ascii="Arial" w:eastAsia="MS Mincho" w:hAnsi="Arial" w:cs="Arial"/>
          <w:sz w:val="22"/>
          <w:szCs w:val="22"/>
        </w:rPr>
        <w:t xml:space="preserve">is </w:t>
      </w:r>
      <w:r>
        <w:rPr>
          <w:rFonts w:ascii="Arial" w:eastAsia="MS Mincho" w:hAnsi="Arial" w:cs="Arial"/>
          <w:sz w:val="22"/>
          <w:szCs w:val="22"/>
        </w:rPr>
        <w:t xml:space="preserve">currently all </w:t>
      </w:r>
      <w:r w:rsidRPr="00011E71">
        <w:rPr>
          <w:rFonts w:ascii="Arial" w:eastAsia="MS Mincho" w:hAnsi="Arial" w:cs="Arial"/>
          <w:sz w:val="22"/>
          <w:szCs w:val="22"/>
        </w:rPr>
        <w:t xml:space="preserve">services </w:t>
      </w:r>
      <w:r>
        <w:rPr>
          <w:rFonts w:ascii="Arial" w:eastAsia="MS Mincho" w:hAnsi="Arial" w:cs="Arial"/>
          <w:sz w:val="22"/>
          <w:szCs w:val="22"/>
        </w:rPr>
        <w:t>supported by hardware in the three data centres.</w:t>
      </w:r>
      <w:r w:rsidRPr="00011E71">
        <w:rPr>
          <w:rFonts w:ascii="Arial" w:eastAsia="MS Mincho" w:hAnsi="Arial" w:cs="Arial"/>
          <w:sz w:val="22"/>
          <w:szCs w:val="22"/>
        </w:rPr>
        <w:t xml:space="preserve"> </w:t>
      </w:r>
      <w:r>
        <w:rPr>
          <w:rFonts w:ascii="Arial" w:eastAsia="MS Mincho" w:hAnsi="Arial" w:cs="Arial"/>
          <w:sz w:val="22"/>
          <w:szCs w:val="22"/>
        </w:rPr>
        <w:t>O</w:t>
      </w:r>
      <w:r w:rsidRPr="00901204">
        <w:rPr>
          <w:rFonts w:ascii="Arial" w:eastAsia="MS Mincho" w:hAnsi="Arial" w:cs="Arial"/>
          <w:sz w:val="22"/>
          <w:szCs w:val="22"/>
        </w:rPr>
        <w:t>ther programmes may have plans to migrate</w:t>
      </w:r>
      <w:r>
        <w:rPr>
          <w:rFonts w:ascii="Arial" w:eastAsia="MS Mincho" w:hAnsi="Arial" w:cs="Arial"/>
          <w:sz w:val="22"/>
          <w:szCs w:val="22"/>
        </w:rPr>
        <w:t xml:space="preserve"> services</w:t>
      </w:r>
      <w:r w:rsidRPr="00901204">
        <w:rPr>
          <w:rFonts w:ascii="Arial" w:eastAsia="MS Mincho" w:hAnsi="Arial" w:cs="Arial"/>
          <w:sz w:val="22"/>
          <w:szCs w:val="22"/>
        </w:rPr>
        <w:t xml:space="preserve"> prior to </w:t>
      </w:r>
      <w:r>
        <w:rPr>
          <w:rFonts w:ascii="Arial" w:eastAsia="MS Mincho" w:hAnsi="Arial" w:cs="Arial"/>
          <w:sz w:val="22"/>
          <w:szCs w:val="22"/>
        </w:rPr>
        <w:t xml:space="preserve">the </w:t>
      </w:r>
      <w:r w:rsidRPr="00901204">
        <w:rPr>
          <w:rFonts w:ascii="Arial" w:eastAsia="MS Mincho" w:hAnsi="Arial" w:cs="Arial"/>
          <w:sz w:val="22"/>
          <w:szCs w:val="22"/>
        </w:rPr>
        <w:t>DCE exit date and once those programmes are confirmed</w:t>
      </w:r>
      <w:r>
        <w:rPr>
          <w:rFonts w:ascii="Arial" w:eastAsia="MS Mincho" w:hAnsi="Arial" w:cs="Arial"/>
          <w:sz w:val="22"/>
          <w:szCs w:val="22"/>
        </w:rPr>
        <w:t>,</w:t>
      </w:r>
      <w:r w:rsidRPr="00901204">
        <w:rPr>
          <w:rFonts w:ascii="Arial" w:eastAsia="MS Mincho" w:hAnsi="Arial" w:cs="Arial"/>
          <w:sz w:val="22"/>
          <w:szCs w:val="22"/>
        </w:rPr>
        <w:t xml:space="preserve"> HMRC will de-scope from DCE as appropriate.</w:t>
      </w:r>
    </w:p>
    <w:p w14:paraId="0C853484" w14:textId="77777777" w:rsidR="00FA5591" w:rsidRDefault="00FA5591" w:rsidP="00A972FD">
      <w:pPr>
        <w:pStyle w:val="BodyText1"/>
        <w:spacing w:before="240"/>
        <w:jc w:val="both"/>
        <w:rPr>
          <w:rFonts w:ascii="Arial" w:eastAsia="MS Mincho" w:hAnsi="Arial" w:cs="Arial"/>
          <w:sz w:val="22"/>
          <w:szCs w:val="22"/>
        </w:rPr>
      </w:pPr>
      <w:r w:rsidRPr="00011E71">
        <w:rPr>
          <w:rFonts w:ascii="Arial" w:eastAsia="MS Mincho" w:hAnsi="Arial" w:cs="Arial"/>
          <w:sz w:val="22"/>
          <w:szCs w:val="22"/>
        </w:rPr>
        <w:t xml:space="preserve">The procurement of a </w:t>
      </w:r>
      <w:proofErr w:type="spellStart"/>
      <w:r>
        <w:rPr>
          <w:rFonts w:ascii="Arial" w:eastAsia="MS Mincho" w:hAnsi="Arial" w:cs="Arial"/>
          <w:sz w:val="22"/>
          <w:szCs w:val="22"/>
        </w:rPr>
        <w:t>hyperscaler</w:t>
      </w:r>
      <w:proofErr w:type="spellEnd"/>
      <w:r w:rsidRPr="00011E71">
        <w:rPr>
          <w:rFonts w:ascii="Arial" w:eastAsia="MS Mincho" w:hAnsi="Arial" w:cs="Arial"/>
          <w:sz w:val="22"/>
          <w:szCs w:val="22"/>
        </w:rPr>
        <w:t xml:space="preserve"> and subsequent award will provide a vehicle to deliver the technical migration </w:t>
      </w:r>
      <w:r>
        <w:rPr>
          <w:rFonts w:ascii="Arial" w:eastAsia="MS Mincho" w:hAnsi="Arial" w:cs="Arial"/>
          <w:sz w:val="22"/>
          <w:szCs w:val="22"/>
        </w:rPr>
        <w:t xml:space="preserve">to the public cloud </w:t>
      </w:r>
      <w:r w:rsidRPr="00011E71">
        <w:rPr>
          <w:rFonts w:ascii="Arial" w:eastAsia="MS Mincho" w:hAnsi="Arial" w:cs="Arial"/>
          <w:sz w:val="22"/>
          <w:szCs w:val="22"/>
        </w:rPr>
        <w:t>of services within the scope of the programme</w:t>
      </w:r>
      <w:r>
        <w:rPr>
          <w:rFonts w:ascii="Arial" w:eastAsia="MS Mincho" w:hAnsi="Arial" w:cs="Arial"/>
          <w:sz w:val="22"/>
          <w:szCs w:val="22"/>
        </w:rPr>
        <w:t>, and their hosting for the remaining life of the contract</w:t>
      </w:r>
      <w:r w:rsidRPr="00011E71">
        <w:rPr>
          <w:rFonts w:ascii="Arial" w:eastAsia="MS Mincho" w:hAnsi="Arial" w:cs="Arial"/>
          <w:sz w:val="22"/>
          <w:szCs w:val="22"/>
        </w:rPr>
        <w:t>. The specifics of the migration plan will be confirmed during the negotiation phase of the procurement process.</w:t>
      </w:r>
      <w:r>
        <w:rPr>
          <w:rFonts w:ascii="Arial" w:eastAsia="MS Mincho" w:hAnsi="Arial" w:cs="Arial"/>
          <w:sz w:val="22"/>
          <w:szCs w:val="22"/>
        </w:rPr>
        <w:t xml:space="preserve"> </w:t>
      </w:r>
      <w:r w:rsidRPr="00011E71">
        <w:rPr>
          <w:rFonts w:ascii="Arial" w:eastAsia="MS Mincho" w:hAnsi="Arial" w:cs="Arial"/>
          <w:sz w:val="22"/>
          <w:szCs w:val="22"/>
        </w:rPr>
        <w:t xml:space="preserve">The procurement of a </w:t>
      </w:r>
      <w:proofErr w:type="spellStart"/>
      <w:r>
        <w:rPr>
          <w:rFonts w:ascii="Arial" w:eastAsia="MS Mincho" w:hAnsi="Arial" w:cs="Arial"/>
          <w:sz w:val="22"/>
          <w:szCs w:val="22"/>
        </w:rPr>
        <w:t>hyperscaler</w:t>
      </w:r>
      <w:proofErr w:type="spellEnd"/>
      <w:r w:rsidRPr="00011E71">
        <w:rPr>
          <w:rFonts w:ascii="Arial" w:eastAsia="MS Mincho" w:hAnsi="Arial" w:cs="Arial"/>
          <w:sz w:val="22"/>
          <w:szCs w:val="22"/>
        </w:rPr>
        <w:t xml:space="preserve"> will depend on meeting requirements that support an efficient, effective, and timely migration of the services within the scope, balancing cost, risk, timescale and without affecting service continuity.</w:t>
      </w:r>
    </w:p>
    <w:p w14:paraId="6D3C6C3D" w14:textId="77777777" w:rsidR="00FA5591" w:rsidRPr="00AD1BAE" w:rsidRDefault="00FA5591" w:rsidP="00A972FD">
      <w:pPr>
        <w:pStyle w:val="BodyText1"/>
        <w:spacing w:before="240"/>
        <w:jc w:val="both"/>
        <w:rPr>
          <w:rFonts w:ascii="Arial" w:eastAsia="MS Mincho" w:hAnsi="Arial" w:cs="Arial"/>
          <w:b/>
          <w:bCs/>
          <w:sz w:val="22"/>
          <w:szCs w:val="22"/>
          <w:u w:val="single"/>
        </w:rPr>
      </w:pPr>
      <w:r w:rsidRPr="00AD1BAE">
        <w:rPr>
          <w:rFonts w:ascii="Arial" w:eastAsia="MS Mincho" w:hAnsi="Arial" w:cs="Arial"/>
          <w:b/>
          <w:bCs/>
          <w:sz w:val="22"/>
          <w:szCs w:val="22"/>
          <w:u w:val="single"/>
        </w:rPr>
        <w:t>EXISTING LANDSCAPE AND KEY INFORMATION</w:t>
      </w:r>
    </w:p>
    <w:p w14:paraId="42115A85" w14:textId="77777777" w:rsidR="00FA5591" w:rsidRPr="00AD1BAE" w:rsidRDefault="00FA5591" w:rsidP="00A972FD">
      <w:pPr>
        <w:pStyle w:val="BodyText1"/>
        <w:spacing w:before="240"/>
        <w:jc w:val="both"/>
        <w:rPr>
          <w:rFonts w:ascii="Arial" w:eastAsia="MS Mincho" w:hAnsi="Arial" w:cs="Arial"/>
          <w:sz w:val="22"/>
          <w:szCs w:val="22"/>
        </w:rPr>
      </w:pPr>
      <w:r w:rsidRPr="00AD1BAE">
        <w:rPr>
          <w:rFonts w:ascii="Arial" w:eastAsia="MS Mincho" w:hAnsi="Arial" w:cs="Arial"/>
          <w:sz w:val="22"/>
          <w:szCs w:val="22"/>
        </w:rPr>
        <w:t xml:space="preserve">There are currently </w:t>
      </w:r>
      <w:proofErr w:type="gramStart"/>
      <w:r>
        <w:rPr>
          <w:rFonts w:ascii="Arial" w:eastAsia="MS Mincho" w:hAnsi="Arial" w:cs="Arial"/>
          <w:sz w:val="22"/>
          <w:szCs w:val="22"/>
        </w:rPr>
        <w:t>in excess of</w:t>
      </w:r>
      <w:proofErr w:type="gramEnd"/>
      <w:r>
        <w:rPr>
          <w:rFonts w:ascii="Arial" w:eastAsia="MS Mincho" w:hAnsi="Arial" w:cs="Arial"/>
          <w:sz w:val="22"/>
          <w:szCs w:val="22"/>
        </w:rPr>
        <w:t xml:space="preserve"> 200</w:t>
      </w:r>
      <w:r>
        <w:rPr>
          <w:rStyle w:val="FootnoteReference"/>
          <w:rFonts w:ascii="Arial" w:eastAsia="MS Mincho" w:hAnsi="Arial" w:cs="Arial"/>
          <w:sz w:val="22"/>
          <w:szCs w:val="22"/>
        </w:rPr>
        <w:footnoteReference w:id="2"/>
      </w:r>
      <w:r>
        <w:rPr>
          <w:rFonts w:ascii="Arial" w:eastAsia="MS Mincho" w:hAnsi="Arial" w:cs="Arial"/>
          <w:sz w:val="22"/>
          <w:szCs w:val="22"/>
        </w:rPr>
        <w:t xml:space="preserve"> business services, supported by</w:t>
      </w:r>
      <w:r w:rsidRPr="00AD1BAE">
        <w:rPr>
          <w:rFonts w:ascii="Arial" w:eastAsia="MS Mincho" w:hAnsi="Arial" w:cs="Arial"/>
          <w:sz w:val="22"/>
          <w:szCs w:val="22"/>
        </w:rPr>
        <w:t xml:space="preserve"> 10,286</w:t>
      </w:r>
      <w:r w:rsidRPr="00C00233">
        <w:rPr>
          <w:rFonts w:ascii="Arial" w:eastAsia="MS Mincho" w:hAnsi="Arial" w:cs="Arial"/>
          <w:sz w:val="22"/>
          <w:szCs w:val="22"/>
          <w:vertAlign w:val="superscript"/>
        </w:rPr>
        <w:t>1</w:t>
      </w:r>
      <w:r w:rsidRPr="00AD1BAE">
        <w:rPr>
          <w:rFonts w:ascii="Arial" w:eastAsia="MS Mincho" w:hAnsi="Arial" w:cs="Arial"/>
          <w:sz w:val="22"/>
          <w:szCs w:val="22"/>
        </w:rPr>
        <w:t xml:space="preserve"> physical and virtual assets within the 3 data centres. </w:t>
      </w:r>
    </w:p>
    <w:p w14:paraId="2ECA6B9F" w14:textId="77777777" w:rsidR="00FA5591" w:rsidRPr="00D526E2" w:rsidRDefault="00FA5591" w:rsidP="00A972FD">
      <w:pPr>
        <w:pStyle w:val="BodyText1"/>
        <w:spacing w:before="240"/>
        <w:jc w:val="both"/>
        <w:rPr>
          <w:rFonts w:ascii="Arial" w:eastAsia="MS Mincho" w:hAnsi="Arial" w:cs="Arial"/>
          <w:sz w:val="22"/>
          <w:szCs w:val="22"/>
        </w:rPr>
      </w:pPr>
      <w:r w:rsidRPr="00AD1BAE">
        <w:rPr>
          <w:rFonts w:ascii="Arial" w:eastAsia="MS Mincho" w:hAnsi="Arial" w:cs="Arial"/>
          <w:sz w:val="22"/>
          <w:szCs w:val="22"/>
        </w:rPr>
        <w:t>The following table describes the inventory of the data centres by operating system.</w:t>
      </w:r>
    </w:p>
    <w:tbl>
      <w:tblPr>
        <w:tblStyle w:val="TableGrid"/>
        <w:tblW w:w="0" w:type="auto"/>
        <w:tblLook w:val="04A0" w:firstRow="1" w:lastRow="0" w:firstColumn="1" w:lastColumn="0" w:noHBand="0" w:noVBand="1"/>
      </w:tblPr>
      <w:tblGrid>
        <w:gridCol w:w="4508"/>
        <w:gridCol w:w="4508"/>
      </w:tblGrid>
      <w:tr w:rsidR="00FA5591" w14:paraId="7EB4170B" w14:textId="77777777">
        <w:tc>
          <w:tcPr>
            <w:tcW w:w="4508" w:type="dxa"/>
            <w:shd w:val="clear" w:color="auto" w:fill="009999"/>
          </w:tcPr>
          <w:p w14:paraId="268F7B4B"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b/>
                <w:bCs/>
                <w:color w:val="FFFFFF" w:themeColor="background1"/>
                <w:sz w:val="22"/>
                <w:szCs w:val="22"/>
              </w:rPr>
            </w:pPr>
            <w:r w:rsidRPr="00394B32">
              <w:rPr>
                <w:rFonts w:ascii="Arial" w:eastAsia="MS Mincho" w:hAnsi="Arial" w:cs="Arial"/>
                <w:b/>
                <w:bCs/>
                <w:color w:val="FFFFFF" w:themeColor="background1"/>
                <w:sz w:val="22"/>
                <w:szCs w:val="22"/>
              </w:rPr>
              <w:t>Operating Systems</w:t>
            </w:r>
          </w:p>
        </w:tc>
        <w:tc>
          <w:tcPr>
            <w:tcW w:w="4508" w:type="dxa"/>
            <w:shd w:val="clear" w:color="auto" w:fill="009999"/>
          </w:tcPr>
          <w:p w14:paraId="6979BF7D"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b/>
                <w:bCs/>
                <w:color w:val="FFFFFF" w:themeColor="background1"/>
                <w:sz w:val="22"/>
                <w:szCs w:val="22"/>
              </w:rPr>
            </w:pPr>
            <w:r w:rsidRPr="00394B32">
              <w:rPr>
                <w:rFonts w:ascii="Arial" w:eastAsia="MS Mincho" w:hAnsi="Arial" w:cs="Arial"/>
                <w:b/>
                <w:bCs/>
                <w:color w:val="FFFFFF" w:themeColor="background1"/>
                <w:sz w:val="22"/>
                <w:szCs w:val="22"/>
              </w:rPr>
              <w:t>Estate Coverage</w:t>
            </w:r>
            <w:r w:rsidRPr="00144965">
              <w:rPr>
                <w:rFonts w:ascii="Arial" w:eastAsia="MS Mincho" w:hAnsi="Arial" w:cs="Arial"/>
                <w:b/>
                <w:bCs/>
                <w:color w:val="FFFFFF" w:themeColor="background1"/>
                <w:sz w:val="22"/>
                <w:szCs w:val="22"/>
                <w:vertAlign w:val="superscript"/>
              </w:rPr>
              <w:t>1</w:t>
            </w:r>
          </w:p>
        </w:tc>
      </w:tr>
      <w:tr w:rsidR="00FA5591" w14:paraId="51EAB80F" w14:textId="77777777">
        <w:tc>
          <w:tcPr>
            <w:tcW w:w="4508" w:type="dxa"/>
          </w:tcPr>
          <w:p w14:paraId="5DE4EBC4"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394B32">
              <w:rPr>
                <w:rFonts w:ascii="Arial" w:hAnsi="Arial" w:cs="Arial"/>
                <w:sz w:val="22"/>
                <w:szCs w:val="22"/>
              </w:rPr>
              <w:t>Windows (Various)</w:t>
            </w:r>
          </w:p>
        </w:tc>
        <w:tc>
          <w:tcPr>
            <w:tcW w:w="4508" w:type="dxa"/>
          </w:tcPr>
          <w:p w14:paraId="3235B843"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23%</w:t>
            </w:r>
          </w:p>
        </w:tc>
      </w:tr>
      <w:tr w:rsidR="00FA5591" w14:paraId="5F4B9D58" w14:textId="77777777">
        <w:tc>
          <w:tcPr>
            <w:tcW w:w="4508" w:type="dxa"/>
          </w:tcPr>
          <w:p w14:paraId="34A3E97F"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394B32">
              <w:rPr>
                <w:rFonts w:ascii="Arial" w:hAnsi="Arial" w:cs="Arial"/>
                <w:sz w:val="22"/>
                <w:szCs w:val="22"/>
              </w:rPr>
              <w:t>Oracle SunOS Solaris</w:t>
            </w:r>
          </w:p>
        </w:tc>
        <w:tc>
          <w:tcPr>
            <w:tcW w:w="4508" w:type="dxa"/>
          </w:tcPr>
          <w:p w14:paraId="0F418302"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18%</w:t>
            </w:r>
          </w:p>
        </w:tc>
      </w:tr>
      <w:tr w:rsidR="00FA5591" w14:paraId="5F158051" w14:textId="77777777">
        <w:tc>
          <w:tcPr>
            <w:tcW w:w="4508" w:type="dxa"/>
          </w:tcPr>
          <w:p w14:paraId="72E02CF4"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394B32">
              <w:rPr>
                <w:rFonts w:ascii="Arial" w:hAnsi="Arial" w:cs="Arial"/>
                <w:sz w:val="22"/>
                <w:szCs w:val="22"/>
              </w:rPr>
              <w:t>Linux (Various)</w:t>
            </w:r>
          </w:p>
        </w:tc>
        <w:tc>
          <w:tcPr>
            <w:tcW w:w="4508" w:type="dxa"/>
          </w:tcPr>
          <w:p w14:paraId="1D2993BD"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44%</w:t>
            </w:r>
          </w:p>
        </w:tc>
      </w:tr>
      <w:tr w:rsidR="00FA5591" w14:paraId="5304E931" w14:textId="77777777">
        <w:tc>
          <w:tcPr>
            <w:tcW w:w="4508" w:type="dxa"/>
          </w:tcPr>
          <w:p w14:paraId="56E88847"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394B32">
              <w:rPr>
                <w:rFonts w:ascii="Arial" w:hAnsi="Arial" w:cs="Arial"/>
                <w:sz w:val="22"/>
                <w:szCs w:val="22"/>
              </w:rPr>
              <w:t>IBM AIX</w:t>
            </w:r>
          </w:p>
        </w:tc>
        <w:tc>
          <w:tcPr>
            <w:tcW w:w="4508" w:type="dxa"/>
          </w:tcPr>
          <w:p w14:paraId="31C0F85E"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9%</w:t>
            </w:r>
          </w:p>
        </w:tc>
      </w:tr>
      <w:tr w:rsidR="00FA5591" w14:paraId="0986485C" w14:textId="77777777">
        <w:tc>
          <w:tcPr>
            <w:tcW w:w="4508" w:type="dxa"/>
          </w:tcPr>
          <w:p w14:paraId="7E72DBBB"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394B32">
              <w:rPr>
                <w:rFonts w:ascii="Arial" w:hAnsi="Arial" w:cs="Arial"/>
                <w:sz w:val="22"/>
                <w:szCs w:val="22"/>
              </w:rPr>
              <w:t>HP-UX</w:t>
            </w:r>
          </w:p>
        </w:tc>
        <w:tc>
          <w:tcPr>
            <w:tcW w:w="4508" w:type="dxa"/>
          </w:tcPr>
          <w:p w14:paraId="17649A75"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2%</w:t>
            </w:r>
          </w:p>
        </w:tc>
      </w:tr>
      <w:tr w:rsidR="00FA5591" w14:paraId="0C8780F4" w14:textId="77777777">
        <w:tc>
          <w:tcPr>
            <w:tcW w:w="4508" w:type="dxa"/>
          </w:tcPr>
          <w:p w14:paraId="7F929A54"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394B32">
              <w:rPr>
                <w:rFonts w:ascii="Arial" w:hAnsi="Arial" w:cs="Arial"/>
                <w:sz w:val="22"/>
                <w:szCs w:val="22"/>
              </w:rPr>
              <w:t>Oracle Enterprise Linux</w:t>
            </w:r>
          </w:p>
        </w:tc>
        <w:tc>
          <w:tcPr>
            <w:tcW w:w="4508" w:type="dxa"/>
          </w:tcPr>
          <w:p w14:paraId="36378F76"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1%</w:t>
            </w:r>
          </w:p>
        </w:tc>
      </w:tr>
      <w:tr w:rsidR="00FA5591" w14:paraId="4684FC54" w14:textId="77777777">
        <w:tc>
          <w:tcPr>
            <w:tcW w:w="4508" w:type="dxa"/>
          </w:tcPr>
          <w:p w14:paraId="456AD75F"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394B32">
              <w:rPr>
                <w:rFonts w:ascii="Arial" w:hAnsi="Arial" w:cs="Arial"/>
                <w:sz w:val="22"/>
                <w:szCs w:val="22"/>
              </w:rPr>
              <w:t>3rd Party Appliances</w:t>
            </w:r>
          </w:p>
        </w:tc>
        <w:tc>
          <w:tcPr>
            <w:tcW w:w="4508" w:type="dxa"/>
          </w:tcPr>
          <w:p w14:paraId="2ED54356" w14:textId="77777777" w:rsidR="00FA5591" w:rsidRPr="00394B32"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3%</w:t>
            </w:r>
          </w:p>
        </w:tc>
      </w:tr>
    </w:tbl>
    <w:p w14:paraId="76D1044B" w14:textId="77777777" w:rsidR="00FA5591" w:rsidRPr="00D526E2" w:rsidRDefault="00FA5591" w:rsidP="00FA5591">
      <w:pPr>
        <w:pStyle w:val="BodyText1"/>
        <w:spacing w:before="240"/>
        <w:rPr>
          <w:rFonts w:ascii="Arial" w:eastAsia="MS Mincho" w:hAnsi="Arial" w:cs="Arial"/>
          <w:sz w:val="22"/>
          <w:szCs w:val="22"/>
        </w:rPr>
      </w:pPr>
      <w:r w:rsidRPr="004E4C07">
        <w:rPr>
          <w:rFonts w:ascii="Arial" w:eastAsia="MS Mincho" w:hAnsi="Arial" w:cs="Arial"/>
          <w:sz w:val="22"/>
          <w:szCs w:val="22"/>
        </w:rPr>
        <w:t>The following table describes a non-exhaustive list of the inventory of the data centres by software types.</w:t>
      </w:r>
    </w:p>
    <w:tbl>
      <w:tblPr>
        <w:tblStyle w:val="TableGrid"/>
        <w:tblW w:w="0" w:type="auto"/>
        <w:tblLook w:val="04A0" w:firstRow="1" w:lastRow="0" w:firstColumn="1" w:lastColumn="0" w:noHBand="0" w:noVBand="1"/>
      </w:tblPr>
      <w:tblGrid>
        <w:gridCol w:w="4508"/>
        <w:gridCol w:w="4508"/>
      </w:tblGrid>
      <w:tr w:rsidR="00FA5591" w14:paraId="0E0376E0" w14:textId="77777777">
        <w:tc>
          <w:tcPr>
            <w:tcW w:w="4508" w:type="dxa"/>
            <w:shd w:val="clear" w:color="auto" w:fill="009999"/>
          </w:tcPr>
          <w:p w14:paraId="4B9EB306"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b/>
                <w:bCs/>
                <w:color w:val="FFFFFF" w:themeColor="background1"/>
                <w:sz w:val="22"/>
                <w:szCs w:val="22"/>
              </w:rPr>
            </w:pPr>
            <w:r w:rsidRPr="00E6207B">
              <w:rPr>
                <w:rFonts w:ascii="Arial" w:eastAsia="MS Mincho" w:hAnsi="Arial" w:cs="Arial"/>
                <w:b/>
                <w:bCs/>
                <w:color w:val="FFFFFF" w:themeColor="background1"/>
                <w:sz w:val="22"/>
                <w:szCs w:val="22"/>
              </w:rPr>
              <w:t>Vendor</w:t>
            </w:r>
          </w:p>
        </w:tc>
        <w:tc>
          <w:tcPr>
            <w:tcW w:w="4508" w:type="dxa"/>
            <w:shd w:val="clear" w:color="auto" w:fill="009999"/>
          </w:tcPr>
          <w:p w14:paraId="2246B7BC"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b/>
                <w:bCs/>
                <w:color w:val="FFFFFF" w:themeColor="background1"/>
                <w:sz w:val="22"/>
                <w:szCs w:val="22"/>
              </w:rPr>
            </w:pPr>
            <w:r w:rsidRPr="00E6207B">
              <w:rPr>
                <w:rFonts w:ascii="Arial" w:eastAsia="MS Mincho" w:hAnsi="Arial" w:cs="Arial"/>
                <w:b/>
                <w:bCs/>
                <w:color w:val="FFFFFF" w:themeColor="background1"/>
                <w:sz w:val="22"/>
                <w:szCs w:val="22"/>
              </w:rPr>
              <w:t>Products</w:t>
            </w:r>
          </w:p>
        </w:tc>
      </w:tr>
      <w:tr w:rsidR="00FA5591" w14:paraId="29242D82" w14:textId="77777777">
        <w:tc>
          <w:tcPr>
            <w:tcW w:w="4508" w:type="dxa"/>
            <w:vAlign w:val="bottom"/>
          </w:tcPr>
          <w:p w14:paraId="35F41F1B"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Apache Software Foundation</w:t>
            </w:r>
          </w:p>
        </w:tc>
        <w:tc>
          <w:tcPr>
            <w:tcW w:w="4508" w:type="dxa"/>
            <w:vAlign w:val="bottom"/>
          </w:tcPr>
          <w:p w14:paraId="715A1D55"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HTTP server</w:t>
            </w:r>
          </w:p>
        </w:tc>
      </w:tr>
      <w:tr w:rsidR="00FA5591" w14:paraId="6E71A98A" w14:textId="77777777">
        <w:tc>
          <w:tcPr>
            <w:tcW w:w="4508" w:type="dxa"/>
            <w:vAlign w:val="bottom"/>
          </w:tcPr>
          <w:p w14:paraId="6BF28FCB"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CA Gen</w:t>
            </w:r>
          </w:p>
        </w:tc>
        <w:tc>
          <w:tcPr>
            <w:tcW w:w="4508" w:type="dxa"/>
            <w:vAlign w:val="bottom"/>
          </w:tcPr>
          <w:p w14:paraId="53834818"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proofErr w:type="spellStart"/>
            <w:proofErr w:type="gramStart"/>
            <w:r w:rsidRPr="00E6207B">
              <w:rPr>
                <w:rFonts w:ascii="Arial" w:eastAsia="Calibri" w:hAnsi="Arial" w:cs="Arial"/>
                <w:color w:val="000000" w:themeColor="text1"/>
                <w:sz w:val="22"/>
                <w:szCs w:val="22"/>
              </w:rPr>
              <w:t>Advantage:Gen</w:t>
            </w:r>
            <w:proofErr w:type="spellEnd"/>
            <w:proofErr w:type="gramEnd"/>
          </w:p>
        </w:tc>
      </w:tr>
      <w:tr w:rsidR="00FA5591" w14:paraId="6AA660AF" w14:textId="77777777">
        <w:tc>
          <w:tcPr>
            <w:tcW w:w="4508" w:type="dxa"/>
            <w:vAlign w:val="bottom"/>
          </w:tcPr>
          <w:p w14:paraId="198217C2"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CGI</w:t>
            </w:r>
          </w:p>
        </w:tc>
        <w:tc>
          <w:tcPr>
            <w:tcW w:w="4508" w:type="dxa"/>
            <w:vAlign w:val="bottom"/>
          </w:tcPr>
          <w:p w14:paraId="2ED6346F"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Strata</w:t>
            </w:r>
          </w:p>
        </w:tc>
      </w:tr>
      <w:tr w:rsidR="00FA5591" w14:paraId="38421DD7" w14:textId="77777777">
        <w:tc>
          <w:tcPr>
            <w:tcW w:w="4508" w:type="dxa"/>
            <w:vAlign w:val="bottom"/>
          </w:tcPr>
          <w:p w14:paraId="0BD81C07"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Entrust</w:t>
            </w:r>
          </w:p>
        </w:tc>
        <w:tc>
          <w:tcPr>
            <w:tcW w:w="4508" w:type="dxa"/>
            <w:vAlign w:val="bottom"/>
          </w:tcPr>
          <w:p w14:paraId="7CB7F515"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proofErr w:type="spellStart"/>
            <w:r w:rsidRPr="00E6207B">
              <w:rPr>
                <w:rFonts w:ascii="Arial" w:eastAsia="Calibri" w:hAnsi="Arial" w:cs="Arial"/>
                <w:color w:val="000000" w:themeColor="text1"/>
                <w:sz w:val="22"/>
                <w:szCs w:val="22"/>
              </w:rPr>
              <w:t>GetAccess</w:t>
            </w:r>
            <w:proofErr w:type="spellEnd"/>
          </w:p>
        </w:tc>
      </w:tr>
      <w:tr w:rsidR="00FA5591" w14:paraId="7DDE3751" w14:textId="77777777">
        <w:tc>
          <w:tcPr>
            <w:tcW w:w="4508" w:type="dxa"/>
            <w:vAlign w:val="bottom"/>
          </w:tcPr>
          <w:p w14:paraId="5B7F9AA5"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IBM</w:t>
            </w:r>
          </w:p>
        </w:tc>
        <w:tc>
          <w:tcPr>
            <w:tcW w:w="4508" w:type="dxa"/>
            <w:vAlign w:val="bottom"/>
          </w:tcPr>
          <w:p w14:paraId="495C881A"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Tivoli Workload Scheduler</w:t>
            </w:r>
          </w:p>
        </w:tc>
      </w:tr>
      <w:tr w:rsidR="00FA5591" w14:paraId="692B136A" w14:textId="77777777">
        <w:tc>
          <w:tcPr>
            <w:tcW w:w="4508" w:type="dxa"/>
            <w:vAlign w:val="bottom"/>
          </w:tcPr>
          <w:p w14:paraId="50FD1184"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IBM (Was Software AG)</w:t>
            </w:r>
          </w:p>
        </w:tc>
        <w:tc>
          <w:tcPr>
            <w:tcW w:w="4508" w:type="dxa"/>
            <w:vAlign w:val="bottom"/>
          </w:tcPr>
          <w:p w14:paraId="1795CECC"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proofErr w:type="spellStart"/>
            <w:r w:rsidRPr="00E6207B">
              <w:rPr>
                <w:rFonts w:ascii="Arial" w:eastAsia="Calibri" w:hAnsi="Arial" w:cs="Arial"/>
                <w:color w:val="000000" w:themeColor="text1"/>
                <w:sz w:val="22"/>
                <w:szCs w:val="22"/>
              </w:rPr>
              <w:t>WebMethods</w:t>
            </w:r>
            <w:proofErr w:type="spellEnd"/>
          </w:p>
        </w:tc>
      </w:tr>
      <w:tr w:rsidR="00FA5591" w14:paraId="6EB5CF6D" w14:textId="77777777">
        <w:tc>
          <w:tcPr>
            <w:tcW w:w="4508" w:type="dxa"/>
            <w:vAlign w:val="bottom"/>
          </w:tcPr>
          <w:p w14:paraId="3494C943"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Informatica</w:t>
            </w:r>
          </w:p>
        </w:tc>
        <w:tc>
          <w:tcPr>
            <w:tcW w:w="4508" w:type="dxa"/>
            <w:vAlign w:val="bottom"/>
          </w:tcPr>
          <w:p w14:paraId="4AF9DD91"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PowerCenter</w:t>
            </w:r>
          </w:p>
        </w:tc>
      </w:tr>
      <w:tr w:rsidR="00FA5591" w14:paraId="6C9088CC" w14:textId="77777777">
        <w:tc>
          <w:tcPr>
            <w:tcW w:w="4508" w:type="dxa"/>
            <w:vAlign w:val="bottom"/>
          </w:tcPr>
          <w:p w14:paraId="4FE37AF0"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Micro Focus (now OpenText)</w:t>
            </w:r>
          </w:p>
        </w:tc>
        <w:tc>
          <w:tcPr>
            <w:tcW w:w="4508" w:type="dxa"/>
            <w:vAlign w:val="bottom"/>
          </w:tcPr>
          <w:p w14:paraId="64F02A38"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SOA Express</w:t>
            </w:r>
          </w:p>
        </w:tc>
      </w:tr>
      <w:tr w:rsidR="00FA5591" w14:paraId="2F2C5BC8" w14:textId="77777777">
        <w:tc>
          <w:tcPr>
            <w:tcW w:w="4508" w:type="dxa"/>
            <w:vAlign w:val="bottom"/>
          </w:tcPr>
          <w:p w14:paraId="7FDCEDDF"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Microsoft</w:t>
            </w:r>
          </w:p>
        </w:tc>
        <w:tc>
          <w:tcPr>
            <w:tcW w:w="4508" w:type="dxa"/>
            <w:vAlign w:val="bottom"/>
          </w:tcPr>
          <w:p w14:paraId="599E7647"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COBOL</w:t>
            </w:r>
          </w:p>
        </w:tc>
      </w:tr>
      <w:tr w:rsidR="00FA5591" w14:paraId="0EC0362C" w14:textId="77777777">
        <w:tc>
          <w:tcPr>
            <w:tcW w:w="4508" w:type="dxa"/>
            <w:vAlign w:val="bottom"/>
          </w:tcPr>
          <w:p w14:paraId="53C9E744"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Microsoft</w:t>
            </w:r>
          </w:p>
        </w:tc>
        <w:tc>
          <w:tcPr>
            <w:tcW w:w="4508" w:type="dxa"/>
            <w:vAlign w:val="bottom"/>
          </w:tcPr>
          <w:p w14:paraId="03B9ECDB"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.Net</w:t>
            </w:r>
          </w:p>
        </w:tc>
      </w:tr>
      <w:tr w:rsidR="00FA5591" w14:paraId="7AEF1B5F" w14:textId="77777777">
        <w:tc>
          <w:tcPr>
            <w:tcW w:w="4508" w:type="dxa"/>
            <w:vAlign w:val="bottom"/>
          </w:tcPr>
          <w:p w14:paraId="7EEAFAB1"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OpenText (Was EMC)</w:t>
            </w:r>
          </w:p>
        </w:tc>
        <w:tc>
          <w:tcPr>
            <w:tcW w:w="4508" w:type="dxa"/>
            <w:vAlign w:val="bottom"/>
          </w:tcPr>
          <w:p w14:paraId="17A047CC"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Documentum</w:t>
            </w:r>
          </w:p>
        </w:tc>
      </w:tr>
      <w:tr w:rsidR="00FA5591" w14:paraId="10629B79" w14:textId="77777777">
        <w:tc>
          <w:tcPr>
            <w:tcW w:w="4508" w:type="dxa"/>
            <w:vAlign w:val="bottom"/>
          </w:tcPr>
          <w:p w14:paraId="41FA098B"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Oracle</w:t>
            </w:r>
          </w:p>
        </w:tc>
        <w:tc>
          <w:tcPr>
            <w:tcW w:w="4508" w:type="dxa"/>
            <w:vAlign w:val="bottom"/>
          </w:tcPr>
          <w:p w14:paraId="304CE10E"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WebLogic</w:t>
            </w:r>
          </w:p>
        </w:tc>
      </w:tr>
      <w:tr w:rsidR="00FA5591" w14:paraId="59814BDF" w14:textId="77777777">
        <w:tc>
          <w:tcPr>
            <w:tcW w:w="4508" w:type="dxa"/>
            <w:vAlign w:val="bottom"/>
          </w:tcPr>
          <w:p w14:paraId="31F32C14"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Oracle</w:t>
            </w:r>
          </w:p>
        </w:tc>
        <w:tc>
          <w:tcPr>
            <w:tcW w:w="4508" w:type="dxa"/>
            <w:vAlign w:val="bottom"/>
          </w:tcPr>
          <w:p w14:paraId="58EEBACE"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Database Management System</w:t>
            </w:r>
          </w:p>
        </w:tc>
      </w:tr>
      <w:tr w:rsidR="00FA5591" w14:paraId="7566DC38" w14:textId="77777777">
        <w:tc>
          <w:tcPr>
            <w:tcW w:w="4508" w:type="dxa"/>
            <w:vAlign w:val="bottom"/>
          </w:tcPr>
          <w:p w14:paraId="50489E73"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Oracle</w:t>
            </w:r>
          </w:p>
        </w:tc>
        <w:tc>
          <w:tcPr>
            <w:tcW w:w="4508" w:type="dxa"/>
            <w:vAlign w:val="bottom"/>
          </w:tcPr>
          <w:p w14:paraId="0CF385F6"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Tuxedo</w:t>
            </w:r>
          </w:p>
        </w:tc>
      </w:tr>
      <w:tr w:rsidR="00FA5591" w14:paraId="4F4FC57B" w14:textId="77777777">
        <w:tc>
          <w:tcPr>
            <w:tcW w:w="4508" w:type="dxa"/>
            <w:vAlign w:val="bottom"/>
          </w:tcPr>
          <w:p w14:paraId="061B56D8"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Oracle</w:t>
            </w:r>
          </w:p>
        </w:tc>
        <w:tc>
          <w:tcPr>
            <w:tcW w:w="4508" w:type="dxa"/>
            <w:vAlign w:val="bottom"/>
          </w:tcPr>
          <w:p w14:paraId="61DF51BE"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proofErr w:type="spellStart"/>
            <w:r w:rsidRPr="00E6207B">
              <w:rPr>
                <w:rFonts w:ascii="Arial" w:eastAsia="Calibri" w:hAnsi="Arial" w:cs="Arial"/>
                <w:color w:val="000000" w:themeColor="text1"/>
                <w:sz w:val="22"/>
                <w:szCs w:val="22"/>
              </w:rPr>
              <w:t>Jrockit</w:t>
            </w:r>
            <w:proofErr w:type="spellEnd"/>
          </w:p>
        </w:tc>
      </w:tr>
      <w:tr w:rsidR="00FA5591" w14:paraId="27232220" w14:textId="77777777">
        <w:tc>
          <w:tcPr>
            <w:tcW w:w="4508" w:type="dxa"/>
            <w:vAlign w:val="bottom"/>
          </w:tcPr>
          <w:p w14:paraId="4257E942"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Oracle</w:t>
            </w:r>
          </w:p>
        </w:tc>
        <w:tc>
          <w:tcPr>
            <w:tcW w:w="4508" w:type="dxa"/>
            <w:vAlign w:val="bottom"/>
          </w:tcPr>
          <w:p w14:paraId="419C6031"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 xml:space="preserve">Java </w:t>
            </w:r>
            <w:proofErr w:type="spellStart"/>
            <w:r w:rsidRPr="00E6207B">
              <w:rPr>
                <w:rFonts w:ascii="Arial" w:eastAsia="Calibri" w:hAnsi="Arial" w:cs="Arial"/>
                <w:color w:val="000000" w:themeColor="text1"/>
                <w:sz w:val="22"/>
                <w:szCs w:val="22"/>
              </w:rPr>
              <w:t>RunTime</w:t>
            </w:r>
            <w:proofErr w:type="spellEnd"/>
            <w:r w:rsidRPr="00E6207B">
              <w:rPr>
                <w:rFonts w:ascii="Arial" w:eastAsia="Calibri" w:hAnsi="Arial" w:cs="Arial"/>
                <w:color w:val="000000" w:themeColor="text1"/>
                <w:sz w:val="22"/>
                <w:szCs w:val="22"/>
              </w:rPr>
              <w:t xml:space="preserve"> Environment</w:t>
            </w:r>
          </w:p>
        </w:tc>
      </w:tr>
      <w:tr w:rsidR="00FA5591" w14:paraId="0F65A06A" w14:textId="77777777">
        <w:tc>
          <w:tcPr>
            <w:tcW w:w="4508" w:type="dxa"/>
            <w:vAlign w:val="bottom"/>
          </w:tcPr>
          <w:p w14:paraId="09E0F5CD"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proofErr w:type="spellStart"/>
            <w:r w:rsidRPr="00E6207B">
              <w:rPr>
                <w:rFonts w:ascii="Arial" w:eastAsia="Calibri" w:hAnsi="Arial" w:cs="Arial"/>
                <w:color w:val="000000" w:themeColor="text1"/>
                <w:sz w:val="22"/>
                <w:szCs w:val="22"/>
              </w:rPr>
              <w:t>Pega</w:t>
            </w:r>
            <w:proofErr w:type="spellEnd"/>
          </w:p>
        </w:tc>
        <w:tc>
          <w:tcPr>
            <w:tcW w:w="4508" w:type="dxa"/>
            <w:vAlign w:val="bottom"/>
          </w:tcPr>
          <w:p w14:paraId="16427A97"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Rules Engine</w:t>
            </w:r>
          </w:p>
        </w:tc>
      </w:tr>
      <w:tr w:rsidR="00FA5591" w14:paraId="1C9E233F" w14:textId="77777777">
        <w:tc>
          <w:tcPr>
            <w:tcW w:w="4508" w:type="dxa"/>
            <w:vAlign w:val="bottom"/>
          </w:tcPr>
          <w:p w14:paraId="48C7C6C4"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Precisely</w:t>
            </w:r>
          </w:p>
        </w:tc>
        <w:tc>
          <w:tcPr>
            <w:tcW w:w="4508" w:type="dxa"/>
            <w:vAlign w:val="bottom"/>
          </w:tcPr>
          <w:p w14:paraId="33213940"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Trillium</w:t>
            </w:r>
          </w:p>
        </w:tc>
      </w:tr>
      <w:tr w:rsidR="00FA5591" w14:paraId="6EA70A6B" w14:textId="77777777">
        <w:tc>
          <w:tcPr>
            <w:tcW w:w="4508" w:type="dxa"/>
            <w:vAlign w:val="bottom"/>
          </w:tcPr>
          <w:p w14:paraId="79BAD6F0"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SAP</w:t>
            </w:r>
          </w:p>
        </w:tc>
        <w:tc>
          <w:tcPr>
            <w:tcW w:w="4508" w:type="dxa"/>
            <w:vAlign w:val="bottom"/>
          </w:tcPr>
          <w:p w14:paraId="0FD4B817"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Business Objects Suite</w:t>
            </w:r>
          </w:p>
        </w:tc>
      </w:tr>
      <w:tr w:rsidR="00FA5591" w14:paraId="5267FA91" w14:textId="77777777">
        <w:tc>
          <w:tcPr>
            <w:tcW w:w="4508" w:type="dxa"/>
            <w:vAlign w:val="bottom"/>
          </w:tcPr>
          <w:p w14:paraId="19479054"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SAS</w:t>
            </w:r>
          </w:p>
        </w:tc>
        <w:tc>
          <w:tcPr>
            <w:tcW w:w="4508" w:type="dxa"/>
            <w:vAlign w:val="bottom"/>
          </w:tcPr>
          <w:p w14:paraId="697897E4"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E6207B">
              <w:rPr>
                <w:rFonts w:ascii="Arial" w:eastAsia="Calibri" w:hAnsi="Arial" w:cs="Arial"/>
                <w:color w:val="000000" w:themeColor="text1"/>
                <w:sz w:val="22"/>
                <w:szCs w:val="22"/>
              </w:rPr>
              <w:t>Statistical Analysis Software Suite</w:t>
            </w:r>
          </w:p>
        </w:tc>
      </w:tr>
    </w:tbl>
    <w:p w14:paraId="7A04665D" w14:textId="77777777" w:rsidR="00FA5591" w:rsidRDefault="00FA5591" w:rsidP="00A972FD">
      <w:pPr>
        <w:pStyle w:val="BodyText1"/>
        <w:spacing w:before="240"/>
        <w:jc w:val="both"/>
        <w:rPr>
          <w:rFonts w:ascii="Arial" w:eastAsia="MS Mincho" w:hAnsi="Arial" w:cs="Arial"/>
          <w:sz w:val="22"/>
          <w:szCs w:val="22"/>
        </w:rPr>
      </w:pPr>
      <w:r w:rsidRPr="00717CA9">
        <w:rPr>
          <w:rFonts w:ascii="Arial" w:eastAsia="MS Mincho" w:hAnsi="Arial" w:cs="Arial"/>
          <w:sz w:val="22"/>
          <w:szCs w:val="22"/>
        </w:rPr>
        <w:t>The table below provides a count of different asset types in the data centres</w:t>
      </w:r>
      <w:r>
        <w:rPr>
          <w:rFonts w:ascii="Arial" w:eastAsia="MS Mincho" w:hAnsi="Arial" w:cs="Arial"/>
          <w:sz w:val="22"/>
          <w:szCs w:val="22"/>
        </w:rPr>
        <w:t>. We estimate that 3,354</w:t>
      </w:r>
      <w:r>
        <w:rPr>
          <w:rStyle w:val="FootnoteReference"/>
          <w:rFonts w:ascii="Arial" w:eastAsia="MS Mincho" w:hAnsi="Arial" w:cs="Arial"/>
          <w:sz w:val="22"/>
          <w:szCs w:val="22"/>
        </w:rPr>
        <w:footnoteReference w:id="3"/>
      </w:r>
      <w:r>
        <w:rPr>
          <w:rFonts w:ascii="Arial" w:eastAsia="MS Mincho" w:hAnsi="Arial" w:cs="Arial"/>
          <w:sz w:val="22"/>
          <w:szCs w:val="22"/>
        </w:rPr>
        <w:t xml:space="preserve"> of the assets host services which must be migrated, and these assets can be decommissioned once the services have been migrated. The remaining 6,937</w:t>
      </w:r>
      <w:r w:rsidRPr="00682F3C">
        <w:rPr>
          <w:rFonts w:ascii="Arial" w:eastAsia="MS Mincho" w:hAnsi="Arial" w:cs="Arial"/>
          <w:sz w:val="22"/>
          <w:szCs w:val="22"/>
          <w:vertAlign w:val="superscript"/>
        </w:rPr>
        <w:t>2</w:t>
      </w:r>
      <w:r>
        <w:rPr>
          <w:rFonts w:ascii="Arial" w:eastAsia="MS Mincho" w:hAnsi="Arial" w:cs="Arial"/>
          <w:sz w:val="22"/>
          <w:szCs w:val="22"/>
        </w:rPr>
        <w:t xml:space="preserve"> assets will need to </w:t>
      </w:r>
      <w:r w:rsidRPr="00717CA9">
        <w:rPr>
          <w:rFonts w:ascii="Arial" w:eastAsia="MS Mincho" w:hAnsi="Arial" w:cs="Arial"/>
          <w:sz w:val="22"/>
          <w:szCs w:val="22"/>
        </w:rPr>
        <w:t xml:space="preserve">be decommissioned </w:t>
      </w:r>
      <w:r>
        <w:rPr>
          <w:rFonts w:ascii="Arial" w:eastAsia="MS Mincho" w:hAnsi="Arial" w:cs="Arial"/>
          <w:sz w:val="22"/>
          <w:szCs w:val="22"/>
        </w:rPr>
        <w:t xml:space="preserve">once they are no longer in use </w:t>
      </w:r>
      <w:r w:rsidRPr="00717CA9">
        <w:rPr>
          <w:rFonts w:ascii="Arial" w:eastAsia="MS Mincho" w:hAnsi="Arial" w:cs="Arial"/>
          <w:sz w:val="22"/>
          <w:szCs w:val="22"/>
        </w:rPr>
        <w:t xml:space="preserve">(e.g. data centre infrastructure such as racks and frames). The numbers in </w:t>
      </w:r>
      <w:proofErr w:type="gramStart"/>
      <w:r w:rsidRPr="00717CA9">
        <w:rPr>
          <w:rFonts w:ascii="Arial" w:eastAsia="MS Mincho" w:hAnsi="Arial" w:cs="Arial"/>
          <w:sz w:val="22"/>
          <w:szCs w:val="22"/>
        </w:rPr>
        <w:t>all of</w:t>
      </w:r>
      <w:proofErr w:type="gramEnd"/>
      <w:r w:rsidRPr="00717CA9">
        <w:rPr>
          <w:rFonts w:ascii="Arial" w:eastAsia="MS Mincho" w:hAnsi="Arial" w:cs="Arial"/>
          <w:sz w:val="22"/>
          <w:szCs w:val="22"/>
        </w:rPr>
        <w:t xml:space="preserve"> the tables in this section are approximate and will continue to be analysed and refined by HMRC through</w:t>
      </w:r>
      <w:r>
        <w:rPr>
          <w:rFonts w:ascii="Arial" w:eastAsia="MS Mincho" w:hAnsi="Arial" w:cs="Arial"/>
          <w:sz w:val="22"/>
          <w:szCs w:val="22"/>
        </w:rPr>
        <w:t>out</w:t>
      </w:r>
      <w:r w:rsidRPr="00717CA9">
        <w:rPr>
          <w:rFonts w:ascii="Arial" w:eastAsia="MS Mincho" w:hAnsi="Arial" w:cs="Arial"/>
          <w:sz w:val="22"/>
          <w:szCs w:val="22"/>
        </w:rPr>
        <w:t xml:space="preserve"> 2025.</w:t>
      </w:r>
    </w:p>
    <w:tbl>
      <w:tblPr>
        <w:tblStyle w:val="TableGrid"/>
        <w:tblW w:w="0" w:type="auto"/>
        <w:tblLook w:val="04A0" w:firstRow="1" w:lastRow="0" w:firstColumn="1" w:lastColumn="0" w:noHBand="0" w:noVBand="1"/>
      </w:tblPr>
      <w:tblGrid>
        <w:gridCol w:w="2254"/>
        <w:gridCol w:w="2254"/>
        <w:gridCol w:w="2254"/>
        <w:gridCol w:w="2254"/>
      </w:tblGrid>
      <w:tr w:rsidR="00FA5591" w14:paraId="2FA34765" w14:textId="77777777">
        <w:tc>
          <w:tcPr>
            <w:tcW w:w="2254" w:type="dxa"/>
            <w:shd w:val="clear" w:color="auto" w:fill="009999"/>
          </w:tcPr>
          <w:p w14:paraId="15D7E7E3"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b/>
                <w:bCs/>
                <w:color w:val="FFFFFF" w:themeColor="background1"/>
                <w:sz w:val="22"/>
                <w:szCs w:val="22"/>
              </w:rPr>
            </w:pPr>
            <w:r>
              <w:rPr>
                <w:rFonts w:ascii="Arial" w:eastAsia="MS Mincho" w:hAnsi="Arial" w:cs="Arial"/>
                <w:b/>
                <w:bCs/>
                <w:color w:val="FFFFFF" w:themeColor="background1"/>
                <w:sz w:val="22"/>
                <w:szCs w:val="22"/>
              </w:rPr>
              <w:t>Asset Type</w:t>
            </w:r>
          </w:p>
        </w:tc>
        <w:tc>
          <w:tcPr>
            <w:tcW w:w="2254" w:type="dxa"/>
            <w:shd w:val="clear" w:color="auto" w:fill="009999"/>
          </w:tcPr>
          <w:p w14:paraId="16E7AABC"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b/>
                <w:bCs/>
                <w:color w:val="FFFFFF" w:themeColor="background1"/>
                <w:sz w:val="22"/>
                <w:szCs w:val="22"/>
              </w:rPr>
            </w:pPr>
            <w:r>
              <w:rPr>
                <w:rFonts w:ascii="Arial" w:eastAsia="MS Mincho" w:hAnsi="Arial" w:cs="Arial"/>
                <w:b/>
                <w:bCs/>
                <w:color w:val="FFFFFF" w:themeColor="background1"/>
                <w:sz w:val="22"/>
                <w:szCs w:val="22"/>
              </w:rPr>
              <w:t>Migration &amp; Decommissioning Scope</w:t>
            </w:r>
            <w:r w:rsidRPr="00F06BCC">
              <w:rPr>
                <w:rFonts w:ascii="Arial" w:eastAsia="MS Mincho" w:hAnsi="Arial" w:cs="Arial"/>
                <w:b/>
                <w:bCs/>
                <w:color w:val="FFFFFF" w:themeColor="background1"/>
                <w:sz w:val="22"/>
                <w:szCs w:val="22"/>
                <w:vertAlign w:val="superscript"/>
              </w:rPr>
              <w:t>2</w:t>
            </w:r>
          </w:p>
        </w:tc>
        <w:tc>
          <w:tcPr>
            <w:tcW w:w="2254" w:type="dxa"/>
            <w:shd w:val="clear" w:color="auto" w:fill="009999"/>
          </w:tcPr>
          <w:p w14:paraId="508DBBC6"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b/>
                <w:bCs/>
                <w:color w:val="FFFFFF" w:themeColor="background1"/>
                <w:sz w:val="22"/>
                <w:szCs w:val="22"/>
              </w:rPr>
            </w:pPr>
            <w:r>
              <w:rPr>
                <w:rFonts w:ascii="Arial" w:eastAsia="MS Mincho" w:hAnsi="Arial" w:cs="Arial"/>
                <w:b/>
                <w:bCs/>
                <w:color w:val="FFFFFF" w:themeColor="background1"/>
                <w:sz w:val="22"/>
                <w:szCs w:val="22"/>
              </w:rPr>
              <w:t>Decommissioning Only Scope</w:t>
            </w:r>
            <w:r w:rsidRPr="00F06BCC">
              <w:rPr>
                <w:rFonts w:ascii="Arial" w:eastAsia="MS Mincho" w:hAnsi="Arial" w:cs="Arial"/>
                <w:b/>
                <w:bCs/>
                <w:color w:val="FFFFFF" w:themeColor="background1"/>
                <w:sz w:val="22"/>
                <w:szCs w:val="22"/>
                <w:vertAlign w:val="superscript"/>
              </w:rPr>
              <w:t>2</w:t>
            </w:r>
          </w:p>
        </w:tc>
        <w:tc>
          <w:tcPr>
            <w:tcW w:w="2254" w:type="dxa"/>
            <w:shd w:val="clear" w:color="auto" w:fill="009999"/>
          </w:tcPr>
          <w:p w14:paraId="68696DB9" w14:textId="77777777" w:rsidR="00FA5591" w:rsidRPr="00E6207B"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b/>
                <w:bCs/>
                <w:color w:val="FFFFFF" w:themeColor="background1"/>
                <w:sz w:val="22"/>
                <w:szCs w:val="22"/>
              </w:rPr>
            </w:pPr>
            <w:r>
              <w:rPr>
                <w:rFonts w:ascii="Arial" w:eastAsia="MS Mincho" w:hAnsi="Arial" w:cs="Arial"/>
                <w:b/>
                <w:bCs/>
                <w:color w:val="FFFFFF" w:themeColor="background1"/>
                <w:sz w:val="22"/>
                <w:szCs w:val="22"/>
              </w:rPr>
              <w:t xml:space="preserve">Total Assets </w:t>
            </w:r>
            <w:proofErr w:type="gramStart"/>
            <w:r>
              <w:rPr>
                <w:rFonts w:ascii="Arial" w:eastAsia="MS Mincho" w:hAnsi="Arial" w:cs="Arial"/>
                <w:b/>
                <w:bCs/>
                <w:color w:val="FFFFFF" w:themeColor="background1"/>
                <w:sz w:val="22"/>
                <w:szCs w:val="22"/>
              </w:rPr>
              <w:t>To</w:t>
            </w:r>
            <w:proofErr w:type="gramEnd"/>
            <w:r>
              <w:rPr>
                <w:rFonts w:ascii="Arial" w:eastAsia="MS Mincho" w:hAnsi="Arial" w:cs="Arial"/>
                <w:b/>
                <w:bCs/>
                <w:color w:val="FFFFFF" w:themeColor="background1"/>
                <w:sz w:val="22"/>
                <w:szCs w:val="22"/>
              </w:rPr>
              <w:t xml:space="preserve"> Be Decommissioned</w:t>
            </w:r>
            <w:r w:rsidRPr="00F06BCC">
              <w:rPr>
                <w:rFonts w:ascii="Arial" w:eastAsia="MS Mincho" w:hAnsi="Arial" w:cs="Arial"/>
                <w:b/>
                <w:bCs/>
                <w:color w:val="FFFFFF" w:themeColor="background1"/>
                <w:sz w:val="22"/>
                <w:szCs w:val="22"/>
                <w:vertAlign w:val="superscript"/>
              </w:rPr>
              <w:t>2</w:t>
            </w:r>
          </w:p>
        </w:tc>
      </w:tr>
      <w:tr w:rsidR="00FA5591" w14:paraId="01B9F0F8" w14:textId="77777777">
        <w:tc>
          <w:tcPr>
            <w:tcW w:w="2254" w:type="dxa"/>
          </w:tcPr>
          <w:p w14:paraId="25F6CAD4"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0C611D">
              <w:rPr>
                <w:rFonts w:ascii="Arial" w:eastAsia="Calibri" w:hAnsi="Arial" w:cs="Arial"/>
                <w:color w:val="000000" w:themeColor="text1"/>
                <w:sz w:val="22"/>
                <w:szCs w:val="22"/>
              </w:rPr>
              <w:t>Data Centre Infrastructure</w:t>
            </w:r>
          </w:p>
        </w:tc>
        <w:tc>
          <w:tcPr>
            <w:tcW w:w="2254" w:type="dxa"/>
            <w:vAlign w:val="bottom"/>
          </w:tcPr>
          <w:p w14:paraId="07CFF864"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0</w:t>
            </w:r>
          </w:p>
        </w:tc>
        <w:tc>
          <w:tcPr>
            <w:tcW w:w="2254" w:type="dxa"/>
            <w:vAlign w:val="bottom"/>
          </w:tcPr>
          <w:p w14:paraId="5078D1D8"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1,129</w:t>
            </w:r>
          </w:p>
        </w:tc>
        <w:tc>
          <w:tcPr>
            <w:tcW w:w="2254" w:type="dxa"/>
            <w:vAlign w:val="bottom"/>
          </w:tcPr>
          <w:p w14:paraId="46172A2E"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1,129</w:t>
            </w:r>
          </w:p>
        </w:tc>
      </w:tr>
      <w:tr w:rsidR="00FA5591" w14:paraId="2726A36F" w14:textId="77777777">
        <w:tc>
          <w:tcPr>
            <w:tcW w:w="2254" w:type="dxa"/>
          </w:tcPr>
          <w:p w14:paraId="555E0DCB"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0C611D">
              <w:rPr>
                <w:rFonts w:ascii="Arial" w:eastAsia="Calibri" w:hAnsi="Arial" w:cs="Arial"/>
                <w:color w:val="000000" w:themeColor="text1"/>
                <w:sz w:val="22"/>
                <w:szCs w:val="22"/>
              </w:rPr>
              <w:t>Network</w:t>
            </w:r>
          </w:p>
        </w:tc>
        <w:tc>
          <w:tcPr>
            <w:tcW w:w="2254" w:type="dxa"/>
            <w:vAlign w:val="bottom"/>
          </w:tcPr>
          <w:p w14:paraId="14440B54"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5</w:t>
            </w:r>
          </w:p>
        </w:tc>
        <w:tc>
          <w:tcPr>
            <w:tcW w:w="2254" w:type="dxa"/>
            <w:vAlign w:val="bottom"/>
          </w:tcPr>
          <w:p w14:paraId="1173532F"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2,507</w:t>
            </w:r>
          </w:p>
        </w:tc>
        <w:tc>
          <w:tcPr>
            <w:tcW w:w="2254" w:type="dxa"/>
            <w:vAlign w:val="bottom"/>
          </w:tcPr>
          <w:p w14:paraId="104AF85C"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2,512</w:t>
            </w:r>
          </w:p>
        </w:tc>
      </w:tr>
      <w:tr w:rsidR="00FA5591" w14:paraId="693F69C8" w14:textId="77777777">
        <w:tc>
          <w:tcPr>
            <w:tcW w:w="2254" w:type="dxa"/>
          </w:tcPr>
          <w:p w14:paraId="1058B424"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0C611D">
              <w:rPr>
                <w:rFonts w:ascii="Arial" w:eastAsia="Calibri" w:hAnsi="Arial" w:cs="Arial"/>
                <w:color w:val="000000" w:themeColor="text1"/>
                <w:sz w:val="22"/>
                <w:szCs w:val="22"/>
              </w:rPr>
              <w:t>Partitions (</w:t>
            </w:r>
            <w:proofErr w:type="spellStart"/>
            <w:r w:rsidRPr="000C611D">
              <w:rPr>
                <w:rFonts w:ascii="Arial" w:eastAsia="Calibri" w:hAnsi="Arial" w:cs="Arial"/>
                <w:color w:val="000000" w:themeColor="text1"/>
                <w:sz w:val="22"/>
                <w:szCs w:val="22"/>
              </w:rPr>
              <w:t>vPars</w:t>
            </w:r>
            <w:proofErr w:type="spellEnd"/>
            <w:r w:rsidRPr="000C611D">
              <w:rPr>
                <w:rFonts w:ascii="Arial" w:eastAsia="Calibri" w:hAnsi="Arial" w:cs="Arial"/>
                <w:color w:val="000000" w:themeColor="text1"/>
                <w:sz w:val="22"/>
                <w:szCs w:val="22"/>
              </w:rPr>
              <w:t>, LPARs, SunOS)</w:t>
            </w:r>
          </w:p>
        </w:tc>
        <w:tc>
          <w:tcPr>
            <w:tcW w:w="2254" w:type="dxa"/>
            <w:vAlign w:val="bottom"/>
          </w:tcPr>
          <w:p w14:paraId="36038240"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305</w:t>
            </w:r>
          </w:p>
        </w:tc>
        <w:tc>
          <w:tcPr>
            <w:tcW w:w="2254" w:type="dxa"/>
            <w:vAlign w:val="bottom"/>
          </w:tcPr>
          <w:p w14:paraId="3FA89B6E"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105</w:t>
            </w:r>
          </w:p>
        </w:tc>
        <w:tc>
          <w:tcPr>
            <w:tcW w:w="2254" w:type="dxa"/>
            <w:vAlign w:val="bottom"/>
          </w:tcPr>
          <w:p w14:paraId="425F9E0E"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410</w:t>
            </w:r>
          </w:p>
        </w:tc>
      </w:tr>
      <w:tr w:rsidR="00FA5591" w14:paraId="1246225E" w14:textId="77777777">
        <w:tc>
          <w:tcPr>
            <w:tcW w:w="2254" w:type="dxa"/>
          </w:tcPr>
          <w:p w14:paraId="40CA10AC"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0C611D">
              <w:rPr>
                <w:rFonts w:ascii="Arial" w:eastAsia="Calibri" w:hAnsi="Arial" w:cs="Arial"/>
                <w:color w:val="000000" w:themeColor="text1"/>
                <w:sz w:val="22"/>
                <w:szCs w:val="22"/>
              </w:rPr>
              <w:t>Peripheral</w:t>
            </w:r>
          </w:p>
        </w:tc>
        <w:tc>
          <w:tcPr>
            <w:tcW w:w="2254" w:type="dxa"/>
            <w:vAlign w:val="bottom"/>
          </w:tcPr>
          <w:p w14:paraId="22EE695B"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0</w:t>
            </w:r>
          </w:p>
        </w:tc>
        <w:tc>
          <w:tcPr>
            <w:tcW w:w="2254" w:type="dxa"/>
            <w:vAlign w:val="bottom"/>
          </w:tcPr>
          <w:p w14:paraId="2F4C9DDA"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352</w:t>
            </w:r>
          </w:p>
        </w:tc>
        <w:tc>
          <w:tcPr>
            <w:tcW w:w="2254" w:type="dxa"/>
            <w:vAlign w:val="bottom"/>
          </w:tcPr>
          <w:p w14:paraId="29508D36"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352</w:t>
            </w:r>
          </w:p>
        </w:tc>
      </w:tr>
      <w:tr w:rsidR="00FA5591" w14:paraId="54E0F56D" w14:textId="77777777">
        <w:tc>
          <w:tcPr>
            <w:tcW w:w="2254" w:type="dxa"/>
          </w:tcPr>
          <w:p w14:paraId="27A12A25"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0C611D">
              <w:rPr>
                <w:rFonts w:ascii="Arial" w:eastAsia="Calibri" w:hAnsi="Arial" w:cs="Arial"/>
                <w:color w:val="000000" w:themeColor="text1"/>
                <w:sz w:val="22"/>
                <w:szCs w:val="22"/>
              </w:rPr>
              <w:t>Physical Server</w:t>
            </w:r>
          </w:p>
        </w:tc>
        <w:tc>
          <w:tcPr>
            <w:tcW w:w="2254" w:type="dxa"/>
            <w:vAlign w:val="bottom"/>
          </w:tcPr>
          <w:p w14:paraId="6CDA978B"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1,037</w:t>
            </w:r>
          </w:p>
        </w:tc>
        <w:tc>
          <w:tcPr>
            <w:tcW w:w="2254" w:type="dxa"/>
            <w:vAlign w:val="bottom"/>
          </w:tcPr>
          <w:p w14:paraId="18F4A1FD"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600</w:t>
            </w:r>
          </w:p>
        </w:tc>
        <w:tc>
          <w:tcPr>
            <w:tcW w:w="2254" w:type="dxa"/>
            <w:vAlign w:val="bottom"/>
          </w:tcPr>
          <w:p w14:paraId="7BF72F5D"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1,637</w:t>
            </w:r>
          </w:p>
        </w:tc>
      </w:tr>
      <w:tr w:rsidR="00FA5591" w14:paraId="51C7E5E6" w14:textId="77777777">
        <w:tc>
          <w:tcPr>
            <w:tcW w:w="2254" w:type="dxa"/>
          </w:tcPr>
          <w:p w14:paraId="55342D24"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0C611D">
              <w:rPr>
                <w:rFonts w:ascii="Arial" w:eastAsia="Calibri" w:hAnsi="Arial" w:cs="Arial"/>
                <w:color w:val="000000" w:themeColor="text1"/>
                <w:sz w:val="22"/>
                <w:szCs w:val="22"/>
              </w:rPr>
              <w:t>Storage</w:t>
            </w:r>
          </w:p>
        </w:tc>
        <w:tc>
          <w:tcPr>
            <w:tcW w:w="2254" w:type="dxa"/>
            <w:vAlign w:val="bottom"/>
          </w:tcPr>
          <w:p w14:paraId="4DB4900D"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0</w:t>
            </w:r>
          </w:p>
        </w:tc>
        <w:tc>
          <w:tcPr>
            <w:tcW w:w="2254" w:type="dxa"/>
            <w:vAlign w:val="bottom"/>
          </w:tcPr>
          <w:p w14:paraId="230711A0"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644</w:t>
            </w:r>
          </w:p>
        </w:tc>
        <w:tc>
          <w:tcPr>
            <w:tcW w:w="2254" w:type="dxa"/>
            <w:vAlign w:val="bottom"/>
          </w:tcPr>
          <w:p w14:paraId="613BE4DD"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644</w:t>
            </w:r>
          </w:p>
        </w:tc>
      </w:tr>
      <w:tr w:rsidR="00FA5591" w14:paraId="62ABC056" w14:textId="77777777">
        <w:tc>
          <w:tcPr>
            <w:tcW w:w="2254" w:type="dxa"/>
          </w:tcPr>
          <w:p w14:paraId="7CCB8CCE"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0C611D">
              <w:rPr>
                <w:rFonts w:ascii="Arial" w:eastAsia="Calibri" w:hAnsi="Arial" w:cs="Arial"/>
                <w:color w:val="000000" w:themeColor="text1"/>
                <w:sz w:val="22"/>
                <w:szCs w:val="22"/>
              </w:rPr>
              <w:t>Virtual Container</w:t>
            </w:r>
          </w:p>
        </w:tc>
        <w:tc>
          <w:tcPr>
            <w:tcW w:w="2254" w:type="dxa"/>
            <w:vAlign w:val="bottom"/>
          </w:tcPr>
          <w:p w14:paraId="27E5BC64"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27</w:t>
            </w:r>
          </w:p>
        </w:tc>
        <w:tc>
          <w:tcPr>
            <w:tcW w:w="2254" w:type="dxa"/>
            <w:vAlign w:val="bottom"/>
          </w:tcPr>
          <w:p w14:paraId="3378FE0E"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214</w:t>
            </w:r>
          </w:p>
        </w:tc>
        <w:tc>
          <w:tcPr>
            <w:tcW w:w="2254" w:type="dxa"/>
            <w:vAlign w:val="bottom"/>
          </w:tcPr>
          <w:p w14:paraId="43B71BA1"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241</w:t>
            </w:r>
          </w:p>
        </w:tc>
      </w:tr>
      <w:tr w:rsidR="00FA5591" w14:paraId="07AE14E4" w14:textId="77777777">
        <w:tc>
          <w:tcPr>
            <w:tcW w:w="2254" w:type="dxa"/>
          </w:tcPr>
          <w:p w14:paraId="71FE7CB4"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0C611D">
              <w:rPr>
                <w:rFonts w:ascii="Arial" w:eastAsia="Calibri" w:hAnsi="Arial" w:cs="Arial"/>
                <w:color w:val="000000" w:themeColor="text1"/>
                <w:sz w:val="22"/>
                <w:szCs w:val="22"/>
              </w:rPr>
              <w:t>Virtual Server</w:t>
            </w:r>
          </w:p>
        </w:tc>
        <w:tc>
          <w:tcPr>
            <w:tcW w:w="2254" w:type="dxa"/>
            <w:vAlign w:val="bottom"/>
          </w:tcPr>
          <w:p w14:paraId="4B0300F2"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1,980</w:t>
            </w:r>
          </w:p>
        </w:tc>
        <w:tc>
          <w:tcPr>
            <w:tcW w:w="2254" w:type="dxa"/>
            <w:vAlign w:val="bottom"/>
          </w:tcPr>
          <w:p w14:paraId="4D4831FC"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82</w:t>
            </w:r>
          </w:p>
        </w:tc>
        <w:tc>
          <w:tcPr>
            <w:tcW w:w="2254" w:type="dxa"/>
            <w:vAlign w:val="bottom"/>
          </w:tcPr>
          <w:p w14:paraId="65B263DD"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2,062</w:t>
            </w:r>
          </w:p>
        </w:tc>
      </w:tr>
      <w:tr w:rsidR="00FA5591" w14:paraId="66118E8C" w14:textId="77777777">
        <w:tc>
          <w:tcPr>
            <w:tcW w:w="2254" w:type="dxa"/>
            <w:tcBorders>
              <w:bottom w:val="double" w:sz="4" w:space="0" w:color="auto"/>
            </w:tcBorders>
          </w:tcPr>
          <w:p w14:paraId="3C642F1E"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0C611D">
              <w:rPr>
                <w:rFonts w:ascii="Arial" w:eastAsia="Calibri" w:hAnsi="Arial" w:cs="Arial"/>
                <w:color w:val="000000" w:themeColor="text1"/>
                <w:sz w:val="22"/>
                <w:szCs w:val="22"/>
              </w:rPr>
              <w:t>Already on Decommissioning Pathway</w:t>
            </w:r>
          </w:p>
        </w:tc>
        <w:tc>
          <w:tcPr>
            <w:tcW w:w="2254" w:type="dxa"/>
            <w:tcBorders>
              <w:bottom w:val="double" w:sz="4" w:space="0" w:color="auto"/>
            </w:tcBorders>
            <w:vAlign w:val="bottom"/>
          </w:tcPr>
          <w:p w14:paraId="6A7065E4"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0</w:t>
            </w:r>
          </w:p>
        </w:tc>
        <w:tc>
          <w:tcPr>
            <w:tcW w:w="2254" w:type="dxa"/>
            <w:tcBorders>
              <w:bottom w:val="double" w:sz="4" w:space="0" w:color="auto"/>
            </w:tcBorders>
            <w:vAlign w:val="bottom"/>
          </w:tcPr>
          <w:p w14:paraId="7501CD6B"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1,299</w:t>
            </w:r>
          </w:p>
        </w:tc>
        <w:tc>
          <w:tcPr>
            <w:tcW w:w="2254" w:type="dxa"/>
            <w:tcBorders>
              <w:bottom w:val="double" w:sz="4" w:space="0" w:color="auto"/>
            </w:tcBorders>
            <w:vAlign w:val="bottom"/>
          </w:tcPr>
          <w:p w14:paraId="613269CC"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1,299</w:t>
            </w:r>
          </w:p>
        </w:tc>
      </w:tr>
      <w:tr w:rsidR="00FA5591" w14:paraId="6D733CF6" w14:textId="77777777">
        <w:tc>
          <w:tcPr>
            <w:tcW w:w="2254" w:type="dxa"/>
            <w:tcBorders>
              <w:top w:val="double" w:sz="4" w:space="0" w:color="auto"/>
            </w:tcBorders>
          </w:tcPr>
          <w:p w14:paraId="4A969016"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sidRPr="000C611D">
              <w:rPr>
                <w:rFonts w:ascii="Arial" w:eastAsia="Calibri" w:hAnsi="Arial" w:cs="Arial"/>
                <w:b/>
                <w:bCs/>
                <w:color w:val="000000" w:themeColor="text1"/>
                <w:sz w:val="22"/>
                <w:szCs w:val="22"/>
              </w:rPr>
              <w:t>Totals</w:t>
            </w:r>
          </w:p>
        </w:tc>
        <w:tc>
          <w:tcPr>
            <w:tcW w:w="2254" w:type="dxa"/>
            <w:tcBorders>
              <w:top w:val="double" w:sz="4" w:space="0" w:color="auto"/>
            </w:tcBorders>
            <w:vAlign w:val="bottom"/>
          </w:tcPr>
          <w:p w14:paraId="0D22862B"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3,354</w:t>
            </w:r>
          </w:p>
        </w:tc>
        <w:tc>
          <w:tcPr>
            <w:tcW w:w="2254" w:type="dxa"/>
            <w:tcBorders>
              <w:top w:val="double" w:sz="4" w:space="0" w:color="auto"/>
            </w:tcBorders>
            <w:vAlign w:val="bottom"/>
          </w:tcPr>
          <w:p w14:paraId="0081E1DD"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6,937</w:t>
            </w:r>
          </w:p>
        </w:tc>
        <w:tc>
          <w:tcPr>
            <w:tcW w:w="2254" w:type="dxa"/>
            <w:tcBorders>
              <w:top w:val="double" w:sz="4" w:space="0" w:color="auto"/>
            </w:tcBorders>
            <w:vAlign w:val="bottom"/>
          </w:tcPr>
          <w:p w14:paraId="11C27E48" w14:textId="77777777" w:rsidR="00FA5591" w:rsidRPr="000C611D" w:rsidRDefault="00FA5591">
            <w:pPr>
              <w:pStyle w:val="BodyText1"/>
              <w:pBdr>
                <w:top w:val="none" w:sz="0" w:space="0" w:color="auto"/>
                <w:left w:val="none" w:sz="0" w:space="0" w:color="auto"/>
                <w:bottom w:val="none" w:sz="0" w:space="0" w:color="auto"/>
                <w:right w:val="none" w:sz="0" w:space="0" w:color="auto"/>
                <w:between w:val="none" w:sz="0" w:space="0" w:color="auto"/>
              </w:pBdr>
              <w:spacing w:after="0"/>
              <w:rPr>
                <w:rFonts w:ascii="Arial" w:eastAsia="MS Mincho" w:hAnsi="Arial" w:cs="Arial"/>
                <w:sz w:val="22"/>
                <w:szCs w:val="22"/>
              </w:rPr>
            </w:pPr>
            <w:r>
              <w:rPr>
                <w:rFonts w:ascii="Arial" w:eastAsia="MS Mincho" w:hAnsi="Arial" w:cs="Arial"/>
                <w:sz w:val="22"/>
                <w:szCs w:val="22"/>
              </w:rPr>
              <w:t>10,286</w:t>
            </w:r>
          </w:p>
        </w:tc>
      </w:tr>
    </w:tbl>
    <w:p w14:paraId="1830BF14" w14:textId="705DC5A8" w:rsidR="006D619F" w:rsidRPr="00CF78FD" w:rsidRDefault="006D619F" w:rsidP="006D619F">
      <w:pPr>
        <w:pStyle w:val="BodyText1"/>
        <w:keepNext/>
        <w:spacing w:before="240"/>
        <w:rPr>
          <w:rFonts w:ascii="Arial" w:eastAsia="MS Mincho" w:hAnsi="Arial" w:cs="Arial"/>
          <w:b/>
          <w:bCs/>
          <w:caps/>
          <w:sz w:val="22"/>
          <w:szCs w:val="22"/>
          <w:u w:val="single"/>
        </w:rPr>
      </w:pPr>
      <w:r w:rsidRPr="006D619F">
        <w:rPr>
          <w:rFonts w:ascii="Arial" w:eastAsia="MS Mincho" w:hAnsi="Arial" w:cs="Arial"/>
          <w:b/>
          <w:bCs/>
          <w:caps/>
          <w:sz w:val="22"/>
          <w:szCs w:val="22"/>
          <w:u w:val="single"/>
        </w:rPr>
        <w:t xml:space="preserve"> </w:t>
      </w:r>
      <w:r w:rsidRPr="00CF78FD">
        <w:rPr>
          <w:rFonts w:ascii="Arial" w:eastAsia="MS Mincho" w:hAnsi="Arial" w:cs="Arial"/>
          <w:b/>
          <w:bCs/>
          <w:caps/>
          <w:sz w:val="22"/>
          <w:szCs w:val="22"/>
          <w:u w:val="single"/>
        </w:rPr>
        <w:t>Objective</w:t>
      </w:r>
    </w:p>
    <w:p w14:paraId="211F0E7A" w14:textId="51BDF0FE" w:rsidR="006D619F" w:rsidRPr="00CF78FD" w:rsidRDefault="006D619F" w:rsidP="006D619F">
      <w:pPr>
        <w:pStyle w:val="BodyText1"/>
        <w:spacing w:before="240"/>
        <w:rPr>
          <w:rFonts w:ascii="Arial" w:eastAsia="MS Mincho" w:hAnsi="Arial" w:cs="Arial"/>
          <w:sz w:val="22"/>
          <w:szCs w:val="22"/>
        </w:rPr>
      </w:pPr>
      <w:r w:rsidRPr="00CF78FD">
        <w:rPr>
          <w:rFonts w:ascii="Arial" w:eastAsia="MS Mincho" w:hAnsi="Arial" w:cs="Arial"/>
          <w:sz w:val="22"/>
          <w:szCs w:val="22"/>
        </w:rPr>
        <w:t>The objective is to exit and close the legacy data centres by migrating all assets to the cloud as quickly as possible without disrupting the operational HMRC business and minimising the burden on HMRC staff.</w:t>
      </w:r>
    </w:p>
    <w:p w14:paraId="62A869F2" w14:textId="3F7B183E" w:rsidR="00FA5591" w:rsidRPr="009527FF" w:rsidRDefault="00FA5591" w:rsidP="00FA5591">
      <w:pPr>
        <w:pStyle w:val="BodyText1"/>
        <w:spacing w:before="240"/>
        <w:rPr>
          <w:rFonts w:ascii="Arial" w:eastAsia="MS Mincho" w:hAnsi="Arial" w:cs="Arial"/>
          <w:b/>
          <w:bCs/>
          <w:caps/>
          <w:sz w:val="22"/>
          <w:szCs w:val="22"/>
          <w:u w:val="single"/>
        </w:rPr>
      </w:pPr>
      <w:r w:rsidRPr="009527FF">
        <w:rPr>
          <w:rFonts w:ascii="Arial" w:eastAsia="MS Mincho" w:hAnsi="Arial" w:cs="Arial"/>
          <w:b/>
          <w:bCs/>
          <w:caps/>
          <w:sz w:val="22"/>
          <w:szCs w:val="22"/>
          <w:u w:val="single"/>
        </w:rPr>
        <w:t>Key Requirements</w:t>
      </w:r>
    </w:p>
    <w:p w14:paraId="71F54CA4" w14:textId="77777777" w:rsidR="00FA5591" w:rsidRPr="00811BFB" w:rsidRDefault="00FA5591" w:rsidP="0085565B">
      <w:pPr>
        <w:pStyle w:val="BodyText1"/>
        <w:numPr>
          <w:ilvl w:val="0"/>
          <w:numId w:val="32"/>
        </w:numPr>
        <w:spacing w:before="240"/>
        <w:jc w:val="both"/>
        <w:rPr>
          <w:rFonts w:ascii="Arial" w:eastAsia="MS Mincho" w:hAnsi="Arial" w:cs="Arial"/>
          <w:sz w:val="22"/>
          <w:szCs w:val="22"/>
        </w:rPr>
      </w:pPr>
      <w:r w:rsidRPr="00811BFB">
        <w:rPr>
          <w:rFonts w:ascii="Arial" w:eastAsia="MS Mincho" w:hAnsi="Arial" w:cs="Arial"/>
          <w:sz w:val="22"/>
          <w:szCs w:val="22"/>
        </w:rPr>
        <w:t>Cloud Hosting Services:</w:t>
      </w:r>
    </w:p>
    <w:p w14:paraId="6A8A26B6" w14:textId="77777777" w:rsidR="00FA5591" w:rsidRPr="00636763"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 xml:space="preserve">Provide public cloud hosting services for the period defined in the Tender </w:t>
      </w:r>
      <w:r w:rsidRPr="00636763">
        <w:rPr>
          <w:rFonts w:ascii="Arial" w:eastAsia="MS Mincho" w:hAnsi="Arial" w:cs="Arial"/>
          <w:sz w:val="22"/>
          <w:szCs w:val="22"/>
        </w:rPr>
        <w:t>Overview section, commencing on the contract award date.</w:t>
      </w:r>
    </w:p>
    <w:p w14:paraId="50FC0D20" w14:textId="1D96B590" w:rsidR="00FA5591" w:rsidRPr="00E65D90" w:rsidRDefault="00C8142E" w:rsidP="0085565B">
      <w:pPr>
        <w:pStyle w:val="BodyText1"/>
        <w:numPr>
          <w:ilvl w:val="1"/>
          <w:numId w:val="32"/>
        </w:numPr>
        <w:spacing w:after="0"/>
        <w:ind w:left="1434" w:hanging="357"/>
        <w:jc w:val="both"/>
        <w:rPr>
          <w:rFonts w:ascii="Arial" w:eastAsia="MS Mincho" w:hAnsi="Arial" w:cs="Arial"/>
          <w:sz w:val="22"/>
          <w:szCs w:val="22"/>
        </w:rPr>
      </w:pPr>
      <w:r w:rsidRPr="00C8142E">
        <w:rPr>
          <w:rFonts w:ascii="Arial" w:eastAsia="MS Mincho" w:hAnsi="Arial" w:cs="Arial"/>
          <w:sz w:val="22"/>
          <w:szCs w:val="22"/>
        </w:rPr>
        <w:t>In the case of hosting services post migration, data must reside within UK sovereign boundaries, and hosting must comply with applicable UK government security and data protection requirements</w:t>
      </w:r>
      <w:r w:rsidR="00296821">
        <w:rPr>
          <w:rFonts w:ascii="Arial" w:eastAsia="MS Mincho" w:hAnsi="Arial" w:cs="Arial"/>
          <w:sz w:val="22"/>
          <w:szCs w:val="22"/>
        </w:rPr>
        <w:t>.</w:t>
      </w:r>
    </w:p>
    <w:p w14:paraId="70906BE0" w14:textId="2A18B168" w:rsidR="00FA5591" w:rsidRPr="00811BFB" w:rsidRDefault="00FA5591" w:rsidP="0085565B">
      <w:pPr>
        <w:pStyle w:val="BodyText1"/>
        <w:numPr>
          <w:ilvl w:val="0"/>
          <w:numId w:val="32"/>
        </w:numPr>
        <w:spacing w:before="240"/>
        <w:jc w:val="both"/>
        <w:rPr>
          <w:rFonts w:ascii="Arial" w:eastAsia="MS Mincho" w:hAnsi="Arial" w:cs="Arial"/>
          <w:sz w:val="22"/>
          <w:szCs w:val="22"/>
        </w:rPr>
      </w:pPr>
      <w:r w:rsidRPr="00811BFB">
        <w:rPr>
          <w:rFonts w:ascii="Arial" w:eastAsia="MS Mincho" w:hAnsi="Arial" w:cs="Arial"/>
          <w:sz w:val="22"/>
          <w:szCs w:val="22"/>
        </w:rPr>
        <w:t>Target Cloud Platform Readiness:</w:t>
      </w:r>
    </w:p>
    <w:p w14:paraId="6F8755C0"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 xml:space="preserve">Establish a target cloud platform (either uplifting an existing platform or provisioning a new platform) designed and built to </w:t>
      </w:r>
      <w:proofErr w:type="spellStart"/>
      <w:r w:rsidRPr="00811BFB">
        <w:rPr>
          <w:rFonts w:ascii="Arial" w:eastAsia="MS Mincho" w:hAnsi="Arial" w:cs="Arial"/>
          <w:sz w:val="22"/>
          <w:szCs w:val="22"/>
        </w:rPr>
        <w:t>hyperscaler</w:t>
      </w:r>
      <w:proofErr w:type="spellEnd"/>
      <w:r w:rsidRPr="00811BFB">
        <w:rPr>
          <w:rFonts w:ascii="Arial" w:eastAsia="MS Mincho" w:hAnsi="Arial" w:cs="Arial"/>
          <w:sz w:val="22"/>
          <w:szCs w:val="22"/>
        </w:rPr>
        <w:t>, industry and security best practices.</w:t>
      </w:r>
    </w:p>
    <w:p w14:paraId="35F19DD0"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Ensure the platform is designed and built with operational, financial, data and security controls and guardrails aligned to HMRC policies and standards.</w:t>
      </w:r>
    </w:p>
    <w:p w14:paraId="1140002B"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 xml:space="preserve">Integrate the platform with HMRC identity provider, </w:t>
      </w:r>
      <w:proofErr w:type="gramStart"/>
      <w:r w:rsidRPr="00811BFB">
        <w:rPr>
          <w:rFonts w:ascii="Arial" w:eastAsia="MS Mincho" w:hAnsi="Arial" w:cs="Arial"/>
          <w:sz w:val="22"/>
          <w:szCs w:val="22"/>
        </w:rPr>
        <w:t>network</w:t>
      </w:r>
      <w:proofErr w:type="gramEnd"/>
      <w:r w:rsidRPr="00811BFB">
        <w:rPr>
          <w:rFonts w:ascii="Arial" w:eastAsia="MS Mincho" w:hAnsi="Arial" w:cs="Arial"/>
          <w:sz w:val="22"/>
          <w:szCs w:val="22"/>
        </w:rPr>
        <w:t xml:space="preserve"> and tooling (e.g. development, operational, monitoring, FinOps and security).</w:t>
      </w:r>
    </w:p>
    <w:p w14:paraId="5F532FA9" w14:textId="77777777" w:rsidR="00FA5591" w:rsidRPr="00811BFB" w:rsidRDefault="00FA5591" w:rsidP="0085565B">
      <w:pPr>
        <w:pStyle w:val="BodyText1"/>
        <w:numPr>
          <w:ilvl w:val="0"/>
          <w:numId w:val="32"/>
        </w:numPr>
        <w:spacing w:before="240"/>
        <w:jc w:val="both"/>
        <w:rPr>
          <w:rFonts w:ascii="Arial" w:eastAsia="MS Mincho" w:hAnsi="Arial" w:cs="Arial"/>
          <w:sz w:val="22"/>
          <w:szCs w:val="22"/>
        </w:rPr>
      </w:pPr>
      <w:r w:rsidRPr="00811BFB">
        <w:rPr>
          <w:rFonts w:ascii="Arial" w:eastAsia="MS Mincho" w:hAnsi="Arial" w:cs="Arial"/>
          <w:sz w:val="22"/>
          <w:szCs w:val="22"/>
        </w:rPr>
        <w:t>Migration Planning and Execution:</w:t>
      </w:r>
    </w:p>
    <w:p w14:paraId="15584F86"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Inventory analysis and migration pathway development/assignment.</w:t>
      </w:r>
    </w:p>
    <w:p w14:paraId="77EF7515"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Dependency analysis and technical wave planning.</w:t>
      </w:r>
    </w:p>
    <w:p w14:paraId="386BA9AE"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Migration readiness and planning.</w:t>
      </w:r>
    </w:p>
    <w:p w14:paraId="15594637"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Migration of all services from the legacy data centres to the cloud within 18 months commencing the contract award date.</w:t>
      </w:r>
    </w:p>
    <w:p w14:paraId="1CE762D5"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Identify services that cannot be migrated to the cloud, provide recommendations including effort and timeline to remove them from the legacy data centres, and then deliver the HMRC-approved recommendation within 18 months commencing the contract award date. Where the only viable option is to migrate to Crown Hosting, manage the migration.</w:t>
      </w:r>
    </w:p>
    <w:p w14:paraId="73C7375A"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As many services must be migrated to the cloud as possible. Migration to Crown Hosting must be minimised.</w:t>
      </w:r>
    </w:p>
    <w:p w14:paraId="3CA37DD1"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Overall programme and project management of the migration, integrating with the HMRC Data Centre Exit Programme Governance.</w:t>
      </w:r>
    </w:p>
    <w:p w14:paraId="671E9A28" w14:textId="77777777" w:rsidR="00FA5591" w:rsidRPr="00811BFB" w:rsidRDefault="00FA5591" w:rsidP="0085565B">
      <w:pPr>
        <w:pStyle w:val="BodyText1"/>
        <w:numPr>
          <w:ilvl w:val="0"/>
          <w:numId w:val="32"/>
        </w:numPr>
        <w:spacing w:before="240"/>
        <w:jc w:val="both"/>
        <w:rPr>
          <w:rFonts w:ascii="Arial" w:eastAsia="MS Mincho" w:hAnsi="Arial" w:cs="Arial"/>
          <w:sz w:val="22"/>
          <w:szCs w:val="22"/>
        </w:rPr>
      </w:pPr>
      <w:r w:rsidRPr="00811BFB">
        <w:rPr>
          <w:rFonts w:ascii="Arial" w:eastAsia="MS Mincho" w:hAnsi="Arial" w:cs="Arial"/>
          <w:sz w:val="22"/>
          <w:szCs w:val="22"/>
        </w:rPr>
        <w:t>Testing and Validation:</w:t>
      </w:r>
    </w:p>
    <w:p w14:paraId="1C0CEB91" w14:textId="77777777" w:rsidR="00FA5591" w:rsidRPr="00811BFB" w:rsidRDefault="00FA5591" w:rsidP="0085565B">
      <w:pPr>
        <w:pStyle w:val="BodyText1"/>
        <w:numPr>
          <w:ilvl w:val="1"/>
          <w:numId w:val="32"/>
        </w:numPr>
        <w:spacing w:after="0"/>
        <w:jc w:val="both"/>
        <w:rPr>
          <w:rFonts w:ascii="Arial" w:eastAsia="MS Mincho" w:hAnsi="Arial" w:cs="Arial"/>
          <w:sz w:val="22"/>
          <w:szCs w:val="22"/>
        </w:rPr>
      </w:pPr>
      <w:r w:rsidRPr="00811BFB">
        <w:rPr>
          <w:rFonts w:ascii="Arial" w:eastAsia="MS Mincho" w:hAnsi="Arial" w:cs="Arial"/>
          <w:sz w:val="22"/>
          <w:szCs w:val="22"/>
        </w:rPr>
        <w:t xml:space="preserve">To ensure the HMRC operational business is not impacted, the supplier shall plan, prepare, </w:t>
      </w:r>
      <w:proofErr w:type="gramStart"/>
      <w:r w:rsidRPr="00811BFB">
        <w:rPr>
          <w:rFonts w:ascii="Arial" w:eastAsia="MS Mincho" w:hAnsi="Arial" w:cs="Arial"/>
          <w:sz w:val="22"/>
          <w:szCs w:val="22"/>
        </w:rPr>
        <w:t>execute</w:t>
      </w:r>
      <w:proofErr w:type="gramEnd"/>
      <w:r w:rsidRPr="00811BFB">
        <w:rPr>
          <w:rFonts w:ascii="Arial" w:eastAsia="MS Mincho" w:hAnsi="Arial" w:cs="Arial"/>
          <w:sz w:val="22"/>
          <w:szCs w:val="22"/>
        </w:rPr>
        <w:t xml:space="preserve"> and evidence that the migrated service and its data been migrated successfully.</w:t>
      </w:r>
    </w:p>
    <w:p w14:paraId="36B5D6E5" w14:textId="77777777" w:rsidR="00FA5591" w:rsidRPr="00811BFB" w:rsidRDefault="00FA5591" w:rsidP="0085565B">
      <w:pPr>
        <w:pStyle w:val="BodyText1"/>
        <w:numPr>
          <w:ilvl w:val="1"/>
          <w:numId w:val="32"/>
        </w:numPr>
        <w:spacing w:after="0"/>
        <w:jc w:val="both"/>
        <w:rPr>
          <w:rFonts w:ascii="Arial" w:eastAsia="MS Mincho" w:hAnsi="Arial" w:cs="Arial"/>
          <w:sz w:val="22"/>
          <w:szCs w:val="22"/>
        </w:rPr>
      </w:pPr>
      <w:r w:rsidRPr="00811BFB">
        <w:rPr>
          <w:rFonts w:ascii="Arial" w:eastAsia="MS Mincho" w:hAnsi="Arial" w:cs="Arial"/>
          <w:sz w:val="22"/>
          <w:szCs w:val="22"/>
        </w:rPr>
        <w:t>This includes:</w:t>
      </w:r>
    </w:p>
    <w:p w14:paraId="7901D206" w14:textId="77777777" w:rsidR="00FA5591" w:rsidRPr="00811BFB" w:rsidRDefault="00FA5591" w:rsidP="0085565B">
      <w:pPr>
        <w:pStyle w:val="BodyText1"/>
        <w:numPr>
          <w:ilvl w:val="2"/>
          <w:numId w:val="32"/>
        </w:numPr>
        <w:spacing w:after="0"/>
        <w:jc w:val="both"/>
        <w:rPr>
          <w:rFonts w:ascii="Arial" w:eastAsia="MS Mincho" w:hAnsi="Arial" w:cs="Arial"/>
          <w:sz w:val="22"/>
          <w:szCs w:val="22"/>
        </w:rPr>
      </w:pPr>
      <w:r w:rsidRPr="00811BFB">
        <w:rPr>
          <w:rFonts w:ascii="Arial" w:eastAsia="MS Mincho" w:hAnsi="Arial" w:cs="Arial"/>
          <w:sz w:val="22"/>
          <w:szCs w:val="22"/>
        </w:rPr>
        <w:t xml:space="preserve">Functional and non-functional testing to confirm that all migrated </w:t>
      </w:r>
      <w:proofErr w:type="gramStart"/>
      <w:r w:rsidRPr="00811BFB">
        <w:rPr>
          <w:rFonts w:ascii="Arial" w:eastAsia="MS Mincho" w:hAnsi="Arial" w:cs="Arial"/>
          <w:sz w:val="22"/>
          <w:szCs w:val="22"/>
        </w:rPr>
        <w:t>services  operate</w:t>
      </w:r>
      <w:proofErr w:type="gramEnd"/>
      <w:r w:rsidRPr="00811BFB">
        <w:rPr>
          <w:rFonts w:ascii="Arial" w:eastAsia="MS Mincho" w:hAnsi="Arial" w:cs="Arial"/>
          <w:sz w:val="22"/>
          <w:szCs w:val="22"/>
        </w:rPr>
        <w:t xml:space="preserve"> and perform as expected.</w:t>
      </w:r>
    </w:p>
    <w:p w14:paraId="55E33148" w14:textId="77777777" w:rsidR="00FA5591" w:rsidRPr="00811BFB" w:rsidRDefault="00FA5591" w:rsidP="0085565B">
      <w:pPr>
        <w:pStyle w:val="BodyText1"/>
        <w:numPr>
          <w:ilvl w:val="2"/>
          <w:numId w:val="32"/>
        </w:numPr>
        <w:spacing w:after="0"/>
        <w:jc w:val="both"/>
        <w:rPr>
          <w:rFonts w:ascii="Arial" w:eastAsia="MS Mincho" w:hAnsi="Arial" w:cs="Arial"/>
          <w:sz w:val="22"/>
          <w:szCs w:val="22"/>
        </w:rPr>
      </w:pPr>
      <w:r w:rsidRPr="00811BFB">
        <w:rPr>
          <w:rFonts w:ascii="Arial" w:eastAsia="MS Mincho" w:hAnsi="Arial" w:cs="Arial"/>
          <w:sz w:val="22"/>
          <w:szCs w:val="22"/>
        </w:rPr>
        <w:t>Verifying that all data has been migrated accurately and completely.</w:t>
      </w:r>
    </w:p>
    <w:p w14:paraId="07E66FCD" w14:textId="77777777" w:rsidR="00FA5591" w:rsidRPr="00811BFB" w:rsidRDefault="00FA5591" w:rsidP="0085565B">
      <w:pPr>
        <w:pStyle w:val="BodyText1"/>
        <w:numPr>
          <w:ilvl w:val="2"/>
          <w:numId w:val="32"/>
        </w:numPr>
        <w:spacing w:after="0"/>
        <w:jc w:val="both"/>
        <w:rPr>
          <w:rFonts w:ascii="Arial" w:eastAsia="MS Mincho" w:hAnsi="Arial" w:cs="Arial"/>
          <w:sz w:val="22"/>
          <w:szCs w:val="22"/>
        </w:rPr>
      </w:pPr>
      <w:r w:rsidRPr="00811BFB">
        <w:rPr>
          <w:rFonts w:ascii="Arial" w:eastAsia="MS Mincho" w:hAnsi="Arial" w:cs="Arial"/>
          <w:sz w:val="22"/>
          <w:szCs w:val="22"/>
        </w:rPr>
        <w:t>Working with the programme test team to coordinate stakeholders (including HMRC business owners, IT service owners, and third-party providers) to support testing activities.</w:t>
      </w:r>
    </w:p>
    <w:p w14:paraId="2E5BBA61" w14:textId="77777777" w:rsidR="00FA5591" w:rsidRPr="00811BFB" w:rsidRDefault="00FA5591" w:rsidP="0085565B">
      <w:pPr>
        <w:pStyle w:val="BodyText1"/>
        <w:numPr>
          <w:ilvl w:val="2"/>
          <w:numId w:val="32"/>
        </w:numPr>
        <w:spacing w:after="0"/>
        <w:jc w:val="both"/>
        <w:rPr>
          <w:rFonts w:ascii="Arial" w:eastAsia="MS Mincho" w:hAnsi="Arial" w:cs="Arial"/>
          <w:sz w:val="22"/>
          <w:szCs w:val="22"/>
        </w:rPr>
      </w:pPr>
      <w:r w:rsidRPr="00811BFB">
        <w:rPr>
          <w:rFonts w:ascii="Arial" w:eastAsia="MS Mincho" w:hAnsi="Arial" w:cs="Arial"/>
          <w:sz w:val="22"/>
          <w:szCs w:val="22"/>
        </w:rPr>
        <w:t>Managing the full testing lifecycle, including:</w:t>
      </w:r>
    </w:p>
    <w:p w14:paraId="1009E9D7" w14:textId="77777777" w:rsidR="00FA5591" w:rsidRPr="00811BFB" w:rsidRDefault="00FA5591" w:rsidP="0085565B">
      <w:pPr>
        <w:pStyle w:val="BodyText1"/>
        <w:numPr>
          <w:ilvl w:val="3"/>
          <w:numId w:val="32"/>
        </w:numPr>
        <w:spacing w:after="0"/>
        <w:ind w:left="2874" w:hanging="357"/>
        <w:jc w:val="both"/>
        <w:rPr>
          <w:rFonts w:ascii="Arial" w:eastAsia="MS Mincho" w:hAnsi="Arial" w:cs="Arial"/>
          <w:sz w:val="22"/>
          <w:szCs w:val="22"/>
        </w:rPr>
      </w:pPr>
      <w:r w:rsidRPr="00811BFB">
        <w:rPr>
          <w:rFonts w:ascii="Arial" w:eastAsia="MS Mincho" w:hAnsi="Arial" w:cs="Arial"/>
          <w:sz w:val="22"/>
          <w:szCs w:val="22"/>
        </w:rPr>
        <w:t>Test planning and execution.</w:t>
      </w:r>
    </w:p>
    <w:p w14:paraId="675CA556" w14:textId="77777777" w:rsidR="00FA5591" w:rsidRPr="00811BFB" w:rsidRDefault="00FA5591" w:rsidP="0085565B">
      <w:pPr>
        <w:pStyle w:val="BodyText1"/>
        <w:numPr>
          <w:ilvl w:val="3"/>
          <w:numId w:val="32"/>
        </w:numPr>
        <w:spacing w:after="0"/>
        <w:ind w:left="2874" w:hanging="357"/>
        <w:jc w:val="both"/>
        <w:rPr>
          <w:rFonts w:ascii="Arial" w:eastAsia="MS Mincho" w:hAnsi="Arial" w:cs="Arial"/>
          <w:sz w:val="22"/>
          <w:szCs w:val="22"/>
        </w:rPr>
      </w:pPr>
      <w:r w:rsidRPr="00811BFB">
        <w:rPr>
          <w:rFonts w:ascii="Arial" w:eastAsia="MS Mincho" w:hAnsi="Arial" w:cs="Arial"/>
          <w:sz w:val="22"/>
          <w:szCs w:val="22"/>
        </w:rPr>
        <w:t>Defect resolution.</w:t>
      </w:r>
    </w:p>
    <w:p w14:paraId="683FB1FA" w14:textId="77777777" w:rsidR="00FA5591" w:rsidRPr="00811BFB" w:rsidRDefault="00FA5591" w:rsidP="0085565B">
      <w:pPr>
        <w:pStyle w:val="BodyText1"/>
        <w:numPr>
          <w:ilvl w:val="3"/>
          <w:numId w:val="32"/>
        </w:numPr>
        <w:spacing w:after="0"/>
        <w:ind w:left="2874" w:hanging="357"/>
        <w:jc w:val="both"/>
        <w:rPr>
          <w:rFonts w:ascii="Arial" w:eastAsia="MS Mincho" w:hAnsi="Arial" w:cs="Arial"/>
          <w:sz w:val="22"/>
          <w:szCs w:val="22"/>
        </w:rPr>
      </w:pPr>
      <w:r w:rsidRPr="00811BFB">
        <w:rPr>
          <w:rFonts w:ascii="Arial" w:eastAsia="MS Mincho" w:hAnsi="Arial" w:cs="Arial"/>
          <w:sz w:val="22"/>
          <w:szCs w:val="22"/>
        </w:rPr>
        <w:t>Documenting and presenting test results and evidence.</w:t>
      </w:r>
    </w:p>
    <w:p w14:paraId="6E9BA693" w14:textId="77777777" w:rsidR="00FA5591" w:rsidRPr="00811BFB" w:rsidRDefault="00FA5591" w:rsidP="0085565B">
      <w:pPr>
        <w:pStyle w:val="BodyText1"/>
        <w:numPr>
          <w:ilvl w:val="0"/>
          <w:numId w:val="32"/>
        </w:numPr>
        <w:spacing w:before="240"/>
        <w:jc w:val="both"/>
        <w:rPr>
          <w:rFonts w:ascii="Arial" w:eastAsia="MS Mincho" w:hAnsi="Arial" w:cs="Arial"/>
          <w:sz w:val="22"/>
          <w:szCs w:val="22"/>
        </w:rPr>
      </w:pPr>
      <w:r w:rsidRPr="00811BFB">
        <w:rPr>
          <w:rFonts w:ascii="Arial" w:eastAsia="MS Mincho" w:hAnsi="Arial" w:cs="Arial"/>
          <w:sz w:val="22"/>
          <w:szCs w:val="22"/>
        </w:rPr>
        <w:t>Decommissioning:</w:t>
      </w:r>
    </w:p>
    <w:p w14:paraId="64523EAD"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 xml:space="preserve">As assets are migrated, manage and coordinate HMRC teams, the legacy data centre service </w:t>
      </w:r>
      <w:proofErr w:type="gramStart"/>
      <w:r w:rsidRPr="00811BFB">
        <w:rPr>
          <w:rFonts w:ascii="Arial" w:eastAsia="MS Mincho" w:hAnsi="Arial" w:cs="Arial"/>
          <w:sz w:val="22"/>
          <w:szCs w:val="22"/>
        </w:rPr>
        <w:t>providers</w:t>
      </w:r>
      <w:proofErr w:type="gramEnd"/>
      <w:r w:rsidRPr="00811BFB">
        <w:rPr>
          <w:rFonts w:ascii="Arial" w:eastAsia="MS Mincho" w:hAnsi="Arial" w:cs="Arial"/>
          <w:sz w:val="22"/>
          <w:szCs w:val="22"/>
        </w:rPr>
        <w:t xml:space="preserve"> and other suppliers to perform controlled shut-down in the legacy data centres, i.e. soft decommissioning.</w:t>
      </w:r>
    </w:p>
    <w:p w14:paraId="423B54A1"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 xml:space="preserve">As physical assets become fully redundant in the legacy data centres, manage and coordinate with HMRC teams, the legacy data centre service </w:t>
      </w:r>
      <w:proofErr w:type="gramStart"/>
      <w:r w:rsidRPr="00811BFB">
        <w:rPr>
          <w:rFonts w:ascii="Arial" w:eastAsia="MS Mincho" w:hAnsi="Arial" w:cs="Arial"/>
          <w:sz w:val="22"/>
          <w:szCs w:val="22"/>
        </w:rPr>
        <w:t>providers</w:t>
      </w:r>
      <w:proofErr w:type="gramEnd"/>
      <w:r w:rsidRPr="00811BFB">
        <w:rPr>
          <w:rFonts w:ascii="Arial" w:eastAsia="MS Mincho" w:hAnsi="Arial" w:cs="Arial"/>
          <w:sz w:val="22"/>
          <w:szCs w:val="22"/>
        </w:rPr>
        <w:t xml:space="preserve"> and other suppliers the physical decommissioning and removal from the data centres (physical assets includes all data centre equipment).</w:t>
      </w:r>
    </w:p>
    <w:p w14:paraId="792A7FE6"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Navigate HMRC Change Management governance across the execution of steps 6a and 6b.</w:t>
      </w:r>
    </w:p>
    <w:p w14:paraId="6E798B78"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Track and report decommissioning to ensure:</w:t>
      </w:r>
    </w:p>
    <w:p w14:paraId="47E8709B" w14:textId="77777777" w:rsidR="00FA5591" w:rsidRPr="00811BFB" w:rsidRDefault="00FA5591" w:rsidP="0085565B">
      <w:pPr>
        <w:pStyle w:val="BodyText1"/>
        <w:numPr>
          <w:ilvl w:val="2"/>
          <w:numId w:val="32"/>
        </w:numPr>
        <w:spacing w:after="0"/>
        <w:jc w:val="both"/>
        <w:rPr>
          <w:rFonts w:ascii="Arial" w:eastAsia="MS Mincho" w:hAnsi="Arial" w:cs="Arial"/>
          <w:sz w:val="22"/>
          <w:szCs w:val="22"/>
        </w:rPr>
      </w:pPr>
      <w:r w:rsidRPr="00811BFB">
        <w:rPr>
          <w:rFonts w:ascii="Arial" w:eastAsia="MS Mincho" w:hAnsi="Arial" w:cs="Arial"/>
          <w:sz w:val="22"/>
          <w:szCs w:val="22"/>
        </w:rPr>
        <w:t>All assets are removed.</w:t>
      </w:r>
    </w:p>
    <w:p w14:paraId="3B34C772" w14:textId="77777777" w:rsidR="00FA5591" w:rsidRDefault="00FA5591" w:rsidP="0085565B">
      <w:pPr>
        <w:pStyle w:val="BodyText1"/>
        <w:numPr>
          <w:ilvl w:val="2"/>
          <w:numId w:val="32"/>
        </w:numPr>
        <w:spacing w:after="0"/>
        <w:jc w:val="both"/>
        <w:rPr>
          <w:rFonts w:ascii="Arial" w:eastAsia="MS Mincho" w:hAnsi="Arial" w:cs="Arial"/>
          <w:sz w:val="22"/>
          <w:szCs w:val="22"/>
        </w:rPr>
      </w:pPr>
      <w:r w:rsidRPr="00811BFB">
        <w:rPr>
          <w:rFonts w:ascii="Arial" w:eastAsia="MS Mincho" w:hAnsi="Arial" w:cs="Arial"/>
          <w:sz w:val="22"/>
          <w:szCs w:val="22"/>
        </w:rPr>
        <w:t>A full exit is achieved on time, as per the contract.</w:t>
      </w:r>
    </w:p>
    <w:p w14:paraId="5610D294" w14:textId="77777777" w:rsidR="007B7ACB" w:rsidRPr="00F25456" w:rsidRDefault="007B7ACB" w:rsidP="0085565B">
      <w:pPr>
        <w:pStyle w:val="BodyText1"/>
        <w:numPr>
          <w:ilvl w:val="0"/>
          <w:numId w:val="32"/>
        </w:numPr>
        <w:spacing w:before="240"/>
        <w:rPr>
          <w:rFonts w:ascii="Arial" w:eastAsia="MS Mincho" w:hAnsi="Arial" w:cs="Arial"/>
          <w:sz w:val="22"/>
          <w:szCs w:val="22"/>
        </w:rPr>
      </w:pPr>
      <w:r w:rsidRPr="00F25456">
        <w:rPr>
          <w:rFonts w:ascii="Arial" w:eastAsia="MS Mincho" w:hAnsi="Arial" w:cs="Arial"/>
          <w:sz w:val="22"/>
          <w:szCs w:val="22"/>
        </w:rPr>
        <w:t>Run and Operate</w:t>
      </w:r>
      <w:r>
        <w:rPr>
          <w:rFonts w:ascii="Arial" w:eastAsia="MS Mincho" w:hAnsi="Arial" w:cs="Arial"/>
          <w:sz w:val="22"/>
          <w:szCs w:val="22"/>
        </w:rPr>
        <w:t xml:space="preserve"> Platform</w:t>
      </w:r>
      <w:r w:rsidRPr="00F25456">
        <w:rPr>
          <w:rFonts w:ascii="Arial" w:eastAsia="MS Mincho" w:hAnsi="Arial" w:cs="Arial"/>
          <w:sz w:val="22"/>
          <w:szCs w:val="22"/>
        </w:rPr>
        <w:t>:</w:t>
      </w:r>
    </w:p>
    <w:p w14:paraId="5E6B4DDB" w14:textId="77777777" w:rsidR="007B7ACB" w:rsidRPr="00F25456" w:rsidRDefault="007B7ACB" w:rsidP="0085565B">
      <w:pPr>
        <w:pStyle w:val="BodyText1"/>
        <w:numPr>
          <w:ilvl w:val="1"/>
          <w:numId w:val="32"/>
        </w:numPr>
        <w:spacing w:after="0"/>
        <w:rPr>
          <w:rFonts w:ascii="Arial" w:eastAsia="MS Mincho" w:hAnsi="Arial" w:cs="Arial"/>
          <w:sz w:val="22"/>
          <w:szCs w:val="22"/>
        </w:rPr>
      </w:pPr>
      <w:r w:rsidRPr="00F25456">
        <w:rPr>
          <w:rFonts w:ascii="Arial" w:eastAsia="MS Mincho" w:hAnsi="Arial" w:cs="Arial"/>
          <w:sz w:val="22"/>
          <w:szCs w:val="22"/>
        </w:rPr>
        <w:t>Where HMRC does not have the skills or people to run and operate the cloud platform, provide ongoing support. Support includes but is not limited to:</w:t>
      </w:r>
    </w:p>
    <w:p w14:paraId="5596BF72" w14:textId="77777777" w:rsidR="007B7ACB" w:rsidRPr="00F25456" w:rsidRDefault="007B7ACB" w:rsidP="0085565B">
      <w:pPr>
        <w:pStyle w:val="BodyText1"/>
        <w:numPr>
          <w:ilvl w:val="2"/>
          <w:numId w:val="32"/>
        </w:numPr>
        <w:spacing w:after="0"/>
        <w:rPr>
          <w:rFonts w:ascii="Arial" w:eastAsia="MS Mincho" w:hAnsi="Arial" w:cs="Arial"/>
          <w:sz w:val="22"/>
          <w:szCs w:val="22"/>
        </w:rPr>
      </w:pPr>
      <w:r w:rsidRPr="00F25456">
        <w:rPr>
          <w:rFonts w:ascii="Arial" w:eastAsia="MS Mincho" w:hAnsi="Arial" w:cs="Arial"/>
          <w:sz w:val="22"/>
          <w:szCs w:val="22"/>
        </w:rPr>
        <w:t>Evergreening, upgrades and evolution of the underlying platform.</w:t>
      </w:r>
    </w:p>
    <w:p w14:paraId="133B600B" w14:textId="77777777" w:rsidR="007B7ACB" w:rsidRPr="00F25456" w:rsidRDefault="007B7ACB" w:rsidP="0085565B">
      <w:pPr>
        <w:pStyle w:val="BodyText1"/>
        <w:numPr>
          <w:ilvl w:val="2"/>
          <w:numId w:val="32"/>
        </w:numPr>
        <w:spacing w:after="0"/>
        <w:rPr>
          <w:rFonts w:ascii="Arial" w:eastAsia="MS Mincho" w:hAnsi="Arial" w:cs="Arial"/>
          <w:sz w:val="22"/>
          <w:szCs w:val="22"/>
        </w:rPr>
      </w:pPr>
      <w:r w:rsidRPr="00F25456">
        <w:rPr>
          <w:rFonts w:ascii="Arial" w:eastAsia="MS Mincho" w:hAnsi="Arial" w:cs="Arial"/>
          <w:sz w:val="22"/>
          <w:szCs w:val="22"/>
        </w:rPr>
        <w:t>Platform support; vending new cloud environments and cloud users, responding to support requests.</w:t>
      </w:r>
    </w:p>
    <w:p w14:paraId="67E0417D" w14:textId="77777777" w:rsidR="007B7ACB" w:rsidRPr="00F25456" w:rsidRDefault="007B7ACB" w:rsidP="0085565B">
      <w:pPr>
        <w:pStyle w:val="BodyText1"/>
        <w:numPr>
          <w:ilvl w:val="2"/>
          <w:numId w:val="32"/>
        </w:numPr>
        <w:spacing w:after="0"/>
        <w:rPr>
          <w:rFonts w:ascii="Arial" w:eastAsia="MS Mincho" w:hAnsi="Arial" w:cs="Arial"/>
          <w:sz w:val="22"/>
          <w:szCs w:val="22"/>
        </w:rPr>
      </w:pPr>
      <w:r w:rsidRPr="00F25456">
        <w:rPr>
          <w:rFonts w:ascii="Arial" w:eastAsia="MS Mincho" w:hAnsi="Arial" w:cs="Arial"/>
          <w:sz w:val="22"/>
          <w:szCs w:val="22"/>
        </w:rPr>
        <w:t>Security and compliance monitoring of the platform</w:t>
      </w:r>
    </w:p>
    <w:p w14:paraId="213D3ACB" w14:textId="77777777" w:rsidR="007B7ACB" w:rsidRPr="00F25456" w:rsidRDefault="007B7ACB" w:rsidP="0085565B">
      <w:pPr>
        <w:pStyle w:val="BodyText1"/>
        <w:numPr>
          <w:ilvl w:val="2"/>
          <w:numId w:val="32"/>
        </w:numPr>
        <w:spacing w:after="0"/>
        <w:rPr>
          <w:rFonts w:ascii="Arial" w:eastAsia="MS Mincho" w:hAnsi="Arial" w:cs="Arial"/>
          <w:sz w:val="22"/>
          <w:szCs w:val="22"/>
        </w:rPr>
      </w:pPr>
      <w:r w:rsidRPr="00F25456">
        <w:rPr>
          <w:rFonts w:ascii="Arial" w:eastAsia="MS Mincho" w:hAnsi="Arial" w:cs="Arial"/>
          <w:sz w:val="22"/>
          <w:szCs w:val="22"/>
        </w:rPr>
        <w:t>Incident and problem resolution.</w:t>
      </w:r>
    </w:p>
    <w:p w14:paraId="4505442E" w14:textId="77777777" w:rsidR="007B7ACB" w:rsidRPr="00F25456" w:rsidRDefault="007B7ACB" w:rsidP="0085565B">
      <w:pPr>
        <w:pStyle w:val="BodyText1"/>
        <w:numPr>
          <w:ilvl w:val="1"/>
          <w:numId w:val="32"/>
        </w:numPr>
        <w:spacing w:after="0"/>
        <w:rPr>
          <w:rFonts w:ascii="Arial" w:eastAsia="MS Mincho" w:hAnsi="Arial" w:cs="Arial"/>
          <w:sz w:val="22"/>
          <w:szCs w:val="22"/>
        </w:rPr>
      </w:pPr>
      <w:r w:rsidRPr="00F25456">
        <w:rPr>
          <w:rFonts w:ascii="Arial" w:eastAsia="MS Mincho" w:hAnsi="Arial" w:cs="Arial"/>
          <w:sz w:val="22"/>
          <w:szCs w:val="22"/>
        </w:rPr>
        <w:t>Support must be provided until an agreed transition period, where the platform will be transitioned to HMRC.</w:t>
      </w:r>
    </w:p>
    <w:p w14:paraId="761568A8" w14:textId="77777777" w:rsidR="007B7ACB" w:rsidRPr="00F25456" w:rsidRDefault="007B7ACB" w:rsidP="0085565B">
      <w:pPr>
        <w:pStyle w:val="BodyText1"/>
        <w:numPr>
          <w:ilvl w:val="1"/>
          <w:numId w:val="32"/>
        </w:numPr>
        <w:spacing w:after="0"/>
        <w:rPr>
          <w:rFonts w:ascii="Arial" w:eastAsia="MS Mincho" w:hAnsi="Arial" w:cs="Arial"/>
          <w:sz w:val="22"/>
          <w:szCs w:val="22"/>
        </w:rPr>
      </w:pPr>
      <w:r w:rsidRPr="00F25456">
        <w:rPr>
          <w:rFonts w:ascii="Arial" w:eastAsia="MS Mincho" w:hAnsi="Arial" w:cs="Arial"/>
          <w:sz w:val="22"/>
          <w:szCs w:val="22"/>
        </w:rPr>
        <w:t>HMRC must be trained and upskilled on the cloud platform as part of the transition plan.</w:t>
      </w:r>
    </w:p>
    <w:p w14:paraId="13A2E082" w14:textId="77777777" w:rsidR="00FA5591" w:rsidRPr="00811BFB" w:rsidRDefault="00FA5591" w:rsidP="0085565B">
      <w:pPr>
        <w:pStyle w:val="BodyText1"/>
        <w:numPr>
          <w:ilvl w:val="0"/>
          <w:numId w:val="32"/>
        </w:numPr>
        <w:spacing w:before="240"/>
        <w:jc w:val="both"/>
        <w:rPr>
          <w:rFonts w:ascii="Arial" w:eastAsia="MS Mincho" w:hAnsi="Arial" w:cs="Arial"/>
          <w:sz w:val="22"/>
          <w:szCs w:val="22"/>
        </w:rPr>
      </w:pPr>
      <w:r w:rsidRPr="00811BFB">
        <w:rPr>
          <w:rFonts w:ascii="Arial" w:eastAsia="MS Mincho" w:hAnsi="Arial" w:cs="Arial"/>
          <w:sz w:val="22"/>
          <w:szCs w:val="22"/>
        </w:rPr>
        <w:t>Dependencies on HMRC:</w:t>
      </w:r>
    </w:p>
    <w:p w14:paraId="6A8BA0FC" w14:textId="77777777" w:rsidR="00FA5591" w:rsidRPr="00811BFB" w:rsidRDefault="00FA5591" w:rsidP="0085565B">
      <w:pPr>
        <w:pStyle w:val="BodyText1"/>
        <w:numPr>
          <w:ilvl w:val="1"/>
          <w:numId w:val="32"/>
        </w:numPr>
        <w:spacing w:before="240"/>
        <w:jc w:val="both"/>
        <w:rPr>
          <w:rFonts w:ascii="Arial" w:eastAsia="MS Mincho" w:hAnsi="Arial" w:cs="Arial"/>
          <w:sz w:val="22"/>
          <w:szCs w:val="22"/>
        </w:rPr>
      </w:pPr>
      <w:r w:rsidRPr="00FE10D3">
        <w:rPr>
          <w:rFonts w:ascii="Arial" w:eastAsia="MS Mincho" w:hAnsi="Arial" w:cs="Arial"/>
          <w:sz w:val="22"/>
          <w:szCs w:val="22"/>
          <w:lang w:eastAsia="ja-JP"/>
        </w:rPr>
        <w:t xml:space="preserve">Deliver </w:t>
      </w:r>
      <w:r w:rsidRPr="00811BFB">
        <w:rPr>
          <w:rFonts w:ascii="Arial" w:eastAsia="MS Mincho" w:hAnsi="Arial" w:cs="Arial"/>
          <w:sz w:val="22"/>
          <w:szCs w:val="22"/>
          <w:lang w:eastAsia="ja-JP"/>
        </w:rPr>
        <w:t>subject</w:t>
      </w:r>
      <w:r w:rsidRPr="00FE10D3">
        <w:rPr>
          <w:rFonts w:ascii="Arial" w:eastAsia="MS Mincho" w:hAnsi="Arial" w:cs="Arial"/>
          <w:sz w:val="22"/>
          <w:szCs w:val="22"/>
          <w:lang w:eastAsia="ja-JP"/>
        </w:rPr>
        <w:t xml:space="preserve"> to agreed </w:t>
      </w:r>
      <w:r w:rsidRPr="00811BFB">
        <w:rPr>
          <w:rFonts w:ascii="Arial" w:eastAsia="MS Mincho" w:hAnsi="Arial" w:cs="Arial"/>
          <w:sz w:val="22"/>
          <w:szCs w:val="22"/>
        </w:rPr>
        <w:t xml:space="preserve">dependencies on HMRC </w:t>
      </w:r>
      <w:proofErr w:type="gramStart"/>
      <w:r w:rsidRPr="00811BFB">
        <w:rPr>
          <w:rFonts w:ascii="Arial" w:eastAsia="MS Mincho" w:hAnsi="Arial" w:cs="Arial"/>
          <w:sz w:val="22"/>
          <w:szCs w:val="22"/>
        </w:rPr>
        <w:t>in order to</w:t>
      </w:r>
      <w:proofErr w:type="gramEnd"/>
      <w:r w:rsidRPr="00811BFB">
        <w:rPr>
          <w:rFonts w:ascii="Arial" w:eastAsia="MS Mincho" w:hAnsi="Arial" w:cs="Arial"/>
          <w:sz w:val="22"/>
          <w:szCs w:val="22"/>
        </w:rPr>
        <w:t xml:space="preserve"> deliver a successful data centre to cloud migration programme within the timeline constraint of the programme.</w:t>
      </w:r>
    </w:p>
    <w:p w14:paraId="09ABC183" w14:textId="77777777" w:rsidR="00FA5591" w:rsidRPr="00811BFB" w:rsidRDefault="00FA5591" w:rsidP="0085565B">
      <w:pPr>
        <w:pStyle w:val="BodyText1"/>
        <w:numPr>
          <w:ilvl w:val="0"/>
          <w:numId w:val="32"/>
        </w:numPr>
        <w:spacing w:before="240"/>
        <w:jc w:val="both"/>
        <w:rPr>
          <w:rFonts w:ascii="Arial" w:eastAsia="MS Mincho" w:hAnsi="Arial" w:cs="Arial"/>
          <w:sz w:val="22"/>
          <w:szCs w:val="22"/>
        </w:rPr>
      </w:pPr>
      <w:r w:rsidRPr="00811BFB">
        <w:rPr>
          <w:rFonts w:ascii="Arial" w:eastAsia="MS Mincho" w:hAnsi="Arial" w:cs="Arial"/>
          <w:sz w:val="22"/>
          <w:szCs w:val="22"/>
        </w:rPr>
        <w:t>Guiding Principles:</w:t>
      </w:r>
    </w:p>
    <w:p w14:paraId="1D2B6987"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Minimise functional and non-functional changes to the assets when they are migrated.</w:t>
      </w:r>
    </w:p>
    <w:p w14:paraId="257C1698"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Minimise impact to the HMRC operational business.</w:t>
      </w:r>
    </w:p>
    <w:p w14:paraId="247B81B0"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Limit the burden on HMRC teams.</w:t>
      </w:r>
    </w:p>
    <w:p w14:paraId="312B06D1" w14:textId="77777777" w:rsidR="00FA5591" w:rsidRPr="00811BFB" w:rsidRDefault="00FA5591" w:rsidP="0085565B">
      <w:pPr>
        <w:pStyle w:val="BodyText1"/>
        <w:numPr>
          <w:ilvl w:val="1"/>
          <w:numId w:val="32"/>
        </w:numPr>
        <w:spacing w:after="0"/>
        <w:ind w:left="1434" w:hanging="357"/>
        <w:jc w:val="both"/>
        <w:rPr>
          <w:rFonts w:ascii="Arial" w:eastAsia="MS Mincho" w:hAnsi="Arial" w:cs="Arial"/>
          <w:sz w:val="22"/>
          <w:szCs w:val="22"/>
        </w:rPr>
      </w:pPr>
      <w:r w:rsidRPr="00811BFB">
        <w:rPr>
          <w:rFonts w:ascii="Arial" w:eastAsia="MS Mincho" w:hAnsi="Arial" w:cs="Arial"/>
          <w:sz w:val="22"/>
          <w:szCs w:val="22"/>
        </w:rPr>
        <w:t>Complete the migration within the timescales specified and decommission assets in the legacy data centre, enabling termination of the legacy data centre contract.</w:t>
      </w:r>
    </w:p>
    <w:p w14:paraId="5AB15D83" w14:textId="77777777" w:rsidR="00FA5591" w:rsidRDefault="00FA5591" w:rsidP="00FA5591">
      <w:pPr>
        <w:rPr>
          <w:rFonts w:cs="Arial"/>
          <w:b/>
          <w:color w:val="009999"/>
          <w:sz w:val="28"/>
          <w:szCs w:val="28"/>
        </w:rPr>
      </w:pPr>
      <w:r>
        <w:rPr>
          <w:rFonts w:cs="Arial"/>
          <w:b/>
          <w:color w:val="009999"/>
          <w:sz w:val="28"/>
          <w:szCs w:val="28"/>
        </w:rPr>
        <w:br w:type="page"/>
      </w:r>
    </w:p>
    <w:p w14:paraId="615D3F68" w14:textId="77777777" w:rsidR="00FA5591" w:rsidRDefault="00FA5591" w:rsidP="00FA5591">
      <w:pPr>
        <w:pStyle w:val="BodyText1"/>
        <w:spacing w:before="240"/>
        <w:rPr>
          <w:rFonts w:ascii="Arial" w:eastAsiaTheme="minorHAnsi" w:hAnsi="Arial" w:cs="Arial"/>
          <w:b/>
          <w:color w:val="000000" w:themeColor="text1"/>
          <w:sz w:val="22"/>
          <w:szCs w:val="22"/>
          <w:u w:val="single"/>
          <w:lang w:eastAsia="en-US"/>
        </w:rPr>
      </w:pPr>
      <w:r>
        <w:rPr>
          <w:rFonts w:ascii="Arial" w:eastAsiaTheme="minorHAnsi" w:hAnsi="Arial" w:cs="Arial"/>
          <w:b/>
          <w:color w:val="000000" w:themeColor="text1"/>
          <w:sz w:val="22"/>
          <w:szCs w:val="22"/>
          <w:u w:val="single"/>
          <w:lang w:eastAsia="en-US"/>
        </w:rPr>
        <w:t>OPTIONAL SERVICES</w:t>
      </w:r>
    </w:p>
    <w:p w14:paraId="51566A4C" w14:textId="19435C0F" w:rsidR="00FA5591" w:rsidRDefault="00FA5591" w:rsidP="00F96DB7">
      <w:pPr>
        <w:pStyle w:val="BodyText1"/>
        <w:spacing w:before="240"/>
        <w:jc w:val="both"/>
        <w:rPr>
          <w:rFonts w:ascii="Arial" w:eastAsiaTheme="minorHAnsi" w:hAnsi="Arial" w:cs="Arial"/>
          <w:bCs/>
          <w:color w:val="000000" w:themeColor="text1"/>
          <w:sz w:val="22"/>
          <w:szCs w:val="22"/>
          <w:lang w:eastAsia="en-US"/>
        </w:rPr>
      </w:pPr>
      <w:proofErr w:type="gramStart"/>
      <w:r>
        <w:rPr>
          <w:rFonts w:ascii="Arial" w:eastAsiaTheme="minorHAnsi" w:hAnsi="Arial" w:cs="Arial"/>
          <w:bCs/>
          <w:color w:val="000000" w:themeColor="text1"/>
          <w:sz w:val="22"/>
          <w:szCs w:val="22"/>
          <w:lang w:eastAsia="en-US"/>
        </w:rPr>
        <w:t>During the course of</w:t>
      </w:r>
      <w:proofErr w:type="gramEnd"/>
      <w:r>
        <w:rPr>
          <w:rFonts w:ascii="Arial" w:eastAsiaTheme="minorHAnsi" w:hAnsi="Arial" w:cs="Arial"/>
          <w:bCs/>
          <w:color w:val="000000" w:themeColor="text1"/>
          <w:sz w:val="22"/>
          <w:szCs w:val="22"/>
          <w:lang w:eastAsia="en-US"/>
        </w:rPr>
        <w:t xml:space="preserve"> the contract duration HMRC may have a requirement to engage the </w:t>
      </w:r>
      <w:proofErr w:type="spellStart"/>
      <w:r>
        <w:rPr>
          <w:rFonts w:ascii="Arial" w:eastAsiaTheme="minorHAnsi" w:hAnsi="Arial" w:cs="Arial"/>
          <w:bCs/>
          <w:color w:val="000000" w:themeColor="text1"/>
          <w:sz w:val="22"/>
          <w:szCs w:val="22"/>
          <w:lang w:eastAsia="en-US"/>
        </w:rPr>
        <w:t>hyperscaler</w:t>
      </w:r>
      <w:proofErr w:type="spellEnd"/>
      <w:r>
        <w:rPr>
          <w:rFonts w:ascii="Arial" w:eastAsiaTheme="minorHAnsi" w:hAnsi="Arial" w:cs="Arial"/>
          <w:bCs/>
          <w:color w:val="000000" w:themeColor="text1"/>
          <w:sz w:val="22"/>
          <w:szCs w:val="22"/>
          <w:lang w:eastAsia="en-US"/>
        </w:rPr>
        <w:t xml:space="preserve"> in additional activities which do not form part of the baseline Contract. These services are deemed to be optional and are offered solely at the discretion of HMRC. The optional services required are</w:t>
      </w:r>
      <w:r w:rsidR="00394699">
        <w:rPr>
          <w:rFonts w:ascii="Arial" w:eastAsiaTheme="minorHAnsi" w:hAnsi="Arial" w:cs="Arial"/>
          <w:bCs/>
          <w:color w:val="000000" w:themeColor="text1"/>
          <w:sz w:val="22"/>
          <w:szCs w:val="22"/>
          <w:lang w:eastAsia="en-US"/>
        </w:rPr>
        <w:t xml:space="preserve"> likel</w:t>
      </w:r>
      <w:r w:rsidR="00281E93">
        <w:rPr>
          <w:rFonts w:ascii="Arial" w:eastAsiaTheme="minorHAnsi" w:hAnsi="Arial" w:cs="Arial"/>
          <w:bCs/>
          <w:color w:val="000000" w:themeColor="text1"/>
          <w:sz w:val="22"/>
          <w:szCs w:val="22"/>
          <w:lang w:eastAsia="en-US"/>
        </w:rPr>
        <w:t xml:space="preserve">y to include but </w:t>
      </w:r>
      <w:r w:rsidR="00BF406D">
        <w:rPr>
          <w:rFonts w:ascii="Arial" w:eastAsiaTheme="minorHAnsi" w:hAnsi="Arial" w:cs="Arial"/>
          <w:bCs/>
          <w:color w:val="000000" w:themeColor="text1"/>
          <w:sz w:val="22"/>
          <w:szCs w:val="22"/>
          <w:lang w:eastAsia="en-US"/>
        </w:rPr>
        <w:t>are not</w:t>
      </w:r>
      <w:r w:rsidR="00281E93">
        <w:rPr>
          <w:rFonts w:ascii="Arial" w:eastAsiaTheme="minorHAnsi" w:hAnsi="Arial" w:cs="Arial"/>
          <w:bCs/>
          <w:color w:val="000000" w:themeColor="text1"/>
          <w:sz w:val="22"/>
          <w:szCs w:val="22"/>
          <w:lang w:eastAsia="en-US"/>
        </w:rPr>
        <w:t xml:space="preserve"> limited to</w:t>
      </w:r>
      <w:r>
        <w:rPr>
          <w:rFonts w:ascii="Arial" w:eastAsiaTheme="minorHAnsi" w:hAnsi="Arial" w:cs="Arial"/>
          <w:bCs/>
          <w:color w:val="000000" w:themeColor="text1"/>
          <w:sz w:val="22"/>
          <w:szCs w:val="22"/>
          <w:lang w:eastAsia="en-US"/>
        </w:rPr>
        <w:t>:</w:t>
      </w:r>
    </w:p>
    <w:p w14:paraId="7B38C690" w14:textId="77777777" w:rsidR="00FA5591" w:rsidRDefault="00FA5591" w:rsidP="0085565B">
      <w:pPr>
        <w:pStyle w:val="ListParagraph"/>
        <w:numPr>
          <w:ilvl w:val="0"/>
          <w:numId w:val="33"/>
        </w:numPr>
        <w:spacing w:after="0" w:line="240" w:lineRule="auto"/>
        <w:contextualSpacing w:val="0"/>
        <w:jc w:val="both"/>
        <w:rPr>
          <w:rFonts w:ascii="Calibri" w:eastAsia="Times New Roman" w:hAnsi="Calibri"/>
        </w:rPr>
      </w:pPr>
      <w:r>
        <w:rPr>
          <w:rFonts w:eastAsia="Times New Roman"/>
        </w:rPr>
        <w:t xml:space="preserve">Business Services Transformation – analysis, redesign, reengineering of migrated </w:t>
      </w:r>
      <w:proofErr w:type="gramStart"/>
      <w:r>
        <w:rPr>
          <w:rFonts w:eastAsia="Times New Roman"/>
        </w:rPr>
        <w:t>services</w:t>
      </w:r>
      <w:proofErr w:type="gramEnd"/>
      <w:r>
        <w:rPr>
          <w:rFonts w:eastAsia="Times New Roman"/>
        </w:rPr>
        <w:t xml:space="preserve"> </w:t>
      </w:r>
    </w:p>
    <w:p w14:paraId="4C26842A" w14:textId="77777777" w:rsidR="00FA5591"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 xml:space="preserve">Migration and/or transformation of existing services hosted in locations other than the three in-scope legacy data </w:t>
      </w:r>
      <w:proofErr w:type="gramStart"/>
      <w:r>
        <w:rPr>
          <w:rFonts w:eastAsia="Times New Roman"/>
        </w:rPr>
        <w:t>centres</w:t>
      </w:r>
      <w:proofErr w:type="gramEnd"/>
      <w:r>
        <w:rPr>
          <w:rFonts w:eastAsia="Times New Roman"/>
        </w:rPr>
        <w:t xml:space="preserve"> </w:t>
      </w:r>
    </w:p>
    <w:p w14:paraId="7CA910DA" w14:textId="77777777" w:rsidR="00FA5591"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 xml:space="preserve">New Business Services Development – design, develop and implement new business services and capabilities enabled by the </w:t>
      </w:r>
      <w:proofErr w:type="gramStart"/>
      <w:r>
        <w:rPr>
          <w:rFonts w:eastAsia="Times New Roman"/>
        </w:rPr>
        <w:t>Cloud</w:t>
      </w:r>
      <w:proofErr w:type="gramEnd"/>
    </w:p>
    <w:p w14:paraId="7CF873FA" w14:textId="77777777" w:rsidR="00FA5591"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Business Service roadmap development support</w:t>
      </w:r>
    </w:p>
    <w:p w14:paraId="62863687" w14:textId="77777777" w:rsidR="00FA5591"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Technology platform roadmap development support</w:t>
      </w:r>
    </w:p>
    <w:p w14:paraId="51E6CADC" w14:textId="77777777" w:rsidR="00FA5591"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 xml:space="preserve">Application modernisation and optimisation – assessment and upgrade of legacy applications to take advantage of new infrastructure capabilities, including cloud native refactoring, containerisation, API integrations etc. </w:t>
      </w:r>
    </w:p>
    <w:p w14:paraId="1E013064" w14:textId="77777777" w:rsidR="00FA5591"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Cloud network optimisation</w:t>
      </w:r>
    </w:p>
    <w:p w14:paraId="2EAA3755" w14:textId="77777777" w:rsidR="00FA5591" w:rsidRPr="004817CC"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Data archiving and purging</w:t>
      </w:r>
    </w:p>
    <w:p w14:paraId="53198AE6" w14:textId="77777777" w:rsidR="00FA5591" w:rsidRDefault="00FA5591" w:rsidP="0085565B">
      <w:pPr>
        <w:pStyle w:val="ListParagraph"/>
        <w:numPr>
          <w:ilvl w:val="0"/>
          <w:numId w:val="33"/>
        </w:numPr>
        <w:spacing w:after="0" w:line="240" w:lineRule="auto"/>
        <w:contextualSpacing w:val="0"/>
        <w:jc w:val="both"/>
        <w:rPr>
          <w:rFonts w:ascii="Calibri" w:eastAsia="Times New Roman" w:hAnsi="Calibri"/>
        </w:rPr>
      </w:pPr>
      <w:r>
        <w:rPr>
          <w:rFonts w:eastAsia="Times New Roman"/>
        </w:rPr>
        <w:t>Platform / service cost optimisation</w:t>
      </w:r>
    </w:p>
    <w:p w14:paraId="15F27D4A" w14:textId="77777777" w:rsidR="00FA5591"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 xml:space="preserve">Application and infrastructure security hardening / improvement </w:t>
      </w:r>
      <w:proofErr w:type="gramStart"/>
      <w:r>
        <w:rPr>
          <w:rFonts w:eastAsia="Times New Roman"/>
        </w:rPr>
        <w:t>works</w:t>
      </w:r>
      <w:proofErr w:type="gramEnd"/>
    </w:p>
    <w:p w14:paraId="12BD2A4C" w14:textId="77777777" w:rsidR="00FA5591"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Technical debt reduction</w:t>
      </w:r>
    </w:p>
    <w:p w14:paraId="7E0C51BD" w14:textId="77777777" w:rsidR="00FA5591"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Security improvements</w:t>
      </w:r>
    </w:p>
    <w:p w14:paraId="39A8BF57" w14:textId="77777777" w:rsidR="00FA5591"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Well-architected reviews and moderation</w:t>
      </w:r>
    </w:p>
    <w:p w14:paraId="19C133DD" w14:textId="105A9D9A" w:rsidR="00FA5591" w:rsidRDefault="00FA5591" w:rsidP="0085565B">
      <w:pPr>
        <w:pStyle w:val="ListParagraph"/>
        <w:numPr>
          <w:ilvl w:val="0"/>
          <w:numId w:val="33"/>
        </w:numPr>
        <w:spacing w:after="0" w:line="240" w:lineRule="auto"/>
        <w:contextualSpacing w:val="0"/>
        <w:jc w:val="both"/>
        <w:rPr>
          <w:rFonts w:eastAsia="Times New Roman"/>
        </w:rPr>
      </w:pPr>
      <w:r>
        <w:rPr>
          <w:rFonts w:eastAsia="Times New Roman"/>
        </w:rPr>
        <w:t xml:space="preserve">Training and upskilling of Authority </w:t>
      </w:r>
      <w:proofErr w:type="gramStart"/>
      <w:r>
        <w:rPr>
          <w:rFonts w:eastAsia="Times New Roman"/>
        </w:rPr>
        <w:t>personnel</w:t>
      </w:r>
      <w:proofErr w:type="gramEnd"/>
    </w:p>
    <w:p w14:paraId="7D8AE369" w14:textId="77777777" w:rsidR="003F0488" w:rsidRDefault="003F0488" w:rsidP="001E53D0">
      <w:pPr>
        <w:pStyle w:val="ListParagraph"/>
        <w:spacing w:after="0" w:line="240" w:lineRule="auto"/>
        <w:contextualSpacing w:val="0"/>
        <w:jc w:val="both"/>
        <w:rPr>
          <w:rFonts w:eastAsia="Times New Roman"/>
        </w:rPr>
      </w:pPr>
    </w:p>
    <w:p w14:paraId="56BC59C4" w14:textId="476B7FE9" w:rsidR="00977D19" w:rsidRDefault="00A3369B" w:rsidP="001E53D0">
      <w:pPr>
        <w:jc w:val="both"/>
        <w:rPr>
          <w:rFonts w:eastAsia="MS Mincho" w:cs="Arial"/>
          <w:b/>
          <w:caps/>
          <w:u w:val="single"/>
          <w:lang w:eastAsia="en-GB"/>
        </w:rPr>
      </w:pPr>
      <w:r>
        <w:rPr>
          <w:rFonts w:eastAsia="MS Mincho" w:cs="Arial"/>
          <w:b/>
          <w:bCs/>
          <w:caps/>
          <w:u w:val="single"/>
        </w:rPr>
        <w:br w:type="page"/>
      </w:r>
    </w:p>
    <w:p w14:paraId="67E2129F" w14:textId="0E0BECD6" w:rsidR="00704D86" w:rsidRPr="0085565B" w:rsidRDefault="0085565B" w:rsidP="0085565B">
      <w:pPr>
        <w:pStyle w:val="Head2"/>
        <w:numPr>
          <w:ilvl w:val="0"/>
          <w:numId w:val="0"/>
        </w:numPr>
        <w:spacing w:before="240"/>
        <w:jc w:val="both"/>
        <w:rPr>
          <w:b/>
          <w:bCs/>
          <w:color w:val="009999"/>
          <w:sz w:val="28"/>
          <w:szCs w:val="28"/>
        </w:rPr>
      </w:pPr>
      <w:bookmarkStart w:id="127" w:name="_Toc201679657"/>
      <w:r w:rsidRPr="0085565B">
        <w:rPr>
          <w:b/>
          <w:bCs/>
          <w:color w:val="009999"/>
          <w:sz w:val="28"/>
          <w:szCs w:val="28"/>
        </w:rPr>
        <w:t>ANNEX 3 – TERMS &amp; CONDITIONS</w:t>
      </w:r>
      <w:bookmarkEnd w:id="127"/>
    </w:p>
    <w:p w14:paraId="393EF5A2" w14:textId="7F65517B" w:rsidR="00865B9C" w:rsidRDefault="001C6D25" w:rsidP="00BF406D">
      <w:pPr>
        <w:spacing w:after="240"/>
        <w:jc w:val="both"/>
        <w:rPr>
          <w:rFonts w:cs="Arial"/>
          <w:b/>
          <w:color w:val="009999"/>
          <w:sz w:val="28"/>
          <w:szCs w:val="28"/>
        </w:rPr>
      </w:pPr>
      <w:r>
        <w:rPr>
          <w:rFonts w:cs="Arial"/>
          <w:bCs/>
          <w:color w:val="000000" w:themeColor="text1"/>
        </w:rPr>
        <w:t>HMRC</w:t>
      </w:r>
      <w:r w:rsidR="00865B9C" w:rsidRPr="00E35C03">
        <w:rPr>
          <w:rFonts w:cs="Arial"/>
          <w:bCs/>
          <w:color w:val="000000" w:themeColor="text1"/>
        </w:rPr>
        <w:t xml:space="preserve"> are proposing to </w:t>
      </w:r>
      <w:r w:rsidR="00C40CD7">
        <w:rPr>
          <w:rFonts w:cs="Arial"/>
          <w:bCs/>
          <w:color w:val="000000" w:themeColor="text1"/>
        </w:rPr>
        <w:t>c</w:t>
      </w:r>
      <w:r w:rsidR="00865B9C" w:rsidRPr="00E35C03">
        <w:rPr>
          <w:rFonts w:cs="Arial"/>
          <w:bCs/>
          <w:color w:val="000000" w:themeColor="text1"/>
        </w:rPr>
        <w:t>ontract u</w:t>
      </w:r>
      <w:r w:rsidR="00C40CD7">
        <w:rPr>
          <w:rFonts w:cs="Arial"/>
          <w:bCs/>
          <w:color w:val="000000" w:themeColor="text1"/>
        </w:rPr>
        <w:t xml:space="preserve">sing an amended version of </w:t>
      </w:r>
      <w:r w:rsidR="00865B9C" w:rsidRPr="00E35C03">
        <w:rPr>
          <w:rFonts w:cs="Arial"/>
          <w:bCs/>
          <w:color w:val="000000" w:themeColor="text1"/>
        </w:rPr>
        <w:t>the Model Services Contract</w:t>
      </w:r>
      <w:r w:rsidR="00594B33">
        <w:rPr>
          <w:rFonts w:cs="Arial"/>
          <w:bCs/>
          <w:color w:val="000000" w:themeColor="text1"/>
        </w:rPr>
        <w:t xml:space="preserve">. The </w:t>
      </w:r>
      <w:r w:rsidR="00270D8F">
        <w:rPr>
          <w:rFonts w:cs="Arial"/>
          <w:bCs/>
          <w:color w:val="000000" w:themeColor="text1"/>
        </w:rPr>
        <w:t>baseline</w:t>
      </w:r>
      <w:r w:rsidR="00594B33">
        <w:rPr>
          <w:rFonts w:cs="Arial"/>
          <w:bCs/>
          <w:color w:val="000000" w:themeColor="text1"/>
        </w:rPr>
        <w:t xml:space="preserve"> template can be found at</w:t>
      </w:r>
      <w:r w:rsidR="002E0402">
        <w:rPr>
          <w:rFonts w:cs="Arial"/>
          <w:bCs/>
          <w:color w:val="000000" w:themeColor="text1"/>
        </w:rPr>
        <w:t>:</w:t>
      </w:r>
      <w:r w:rsidR="00594B33">
        <w:rPr>
          <w:rFonts w:cs="Arial"/>
          <w:bCs/>
          <w:color w:val="000000" w:themeColor="text1"/>
        </w:rPr>
        <w:t xml:space="preserve"> </w:t>
      </w:r>
      <w:hyperlink r:id="rId25" w:history="1">
        <w:r w:rsidR="002E0402" w:rsidRPr="00EE2273">
          <w:rPr>
            <w:rStyle w:val="Hyperlink"/>
            <w:rFonts w:cs="Arial"/>
            <w:bCs/>
          </w:rPr>
          <w:t>https://www.gov.uk/government/collections/model-services-contract</w:t>
        </w:r>
      </w:hyperlink>
      <w:r w:rsidR="002E0402">
        <w:rPr>
          <w:rFonts w:cs="Arial"/>
          <w:bCs/>
          <w:color w:val="000000" w:themeColor="text1"/>
        </w:rPr>
        <w:t xml:space="preserve"> </w:t>
      </w:r>
    </w:p>
    <w:p w14:paraId="3B07CF07" w14:textId="22AE8F10" w:rsidR="00704D86" w:rsidRPr="009E1FCD" w:rsidRDefault="00E35C03" w:rsidP="001E53D0">
      <w:pPr>
        <w:spacing w:after="240"/>
        <w:jc w:val="both"/>
        <w:rPr>
          <w:rFonts w:cs="Arial"/>
          <w:bCs/>
          <w:color w:val="000000" w:themeColor="text1"/>
        </w:rPr>
      </w:pPr>
      <w:r w:rsidRPr="009E1FCD">
        <w:rPr>
          <w:rFonts w:cs="Arial"/>
          <w:bCs/>
          <w:color w:val="000000" w:themeColor="text1"/>
        </w:rPr>
        <w:t xml:space="preserve">This standard </w:t>
      </w:r>
      <w:r w:rsidR="009E1FCD" w:rsidRPr="009E1FCD">
        <w:rPr>
          <w:rFonts w:cs="Arial"/>
          <w:bCs/>
          <w:color w:val="000000" w:themeColor="text1"/>
        </w:rPr>
        <w:t>Government Contract is made up of 3 parts:</w:t>
      </w:r>
    </w:p>
    <w:p w14:paraId="7D7A500C" w14:textId="4B2E1E62" w:rsidR="009E1FCD" w:rsidRPr="009E1FCD" w:rsidRDefault="009E1FCD" w:rsidP="0085565B">
      <w:pPr>
        <w:pStyle w:val="ListParagraph"/>
        <w:numPr>
          <w:ilvl w:val="0"/>
          <w:numId w:val="12"/>
        </w:numPr>
        <w:spacing w:after="240"/>
        <w:jc w:val="both"/>
        <w:rPr>
          <w:rFonts w:cs="Arial"/>
          <w:bCs/>
          <w:color w:val="000000" w:themeColor="text1"/>
        </w:rPr>
      </w:pPr>
      <w:r w:rsidRPr="009E1FCD">
        <w:rPr>
          <w:rFonts w:cs="Arial"/>
          <w:bCs/>
          <w:color w:val="000000" w:themeColor="text1"/>
        </w:rPr>
        <w:t>Front Sheet</w:t>
      </w:r>
    </w:p>
    <w:p w14:paraId="513AE411" w14:textId="01758291" w:rsidR="009E1FCD" w:rsidRPr="009E1FCD" w:rsidRDefault="009E1FCD" w:rsidP="0085565B">
      <w:pPr>
        <w:pStyle w:val="ListParagraph"/>
        <w:numPr>
          <w:ilvl w:val="0"/>
          <w:numId w:val="12"/>
        </w:numPr>
        <w:spacing w:after="240"/>
        <w:jc w:val="both"/>
        <w:rPr>
          <w:rFonts w:cs="Arial"/>
          <w:bCs/>
          <w:color w:val="000000" w:themeColor="text1"/>
        </w:rPr>
      </w:pPr>
      <w:r w:rsidRPr="009E1FCD">
        <w:rPr>
          <w:rFonts w:cs="Arial"/>
          <w:bCs/>
          <w:color w:val="000000" w:themeColor="text1"/>
        </w:rPr>
        <w:t xml:space="preserve">Core </w:t>
      </w:r>
      <w:proofErr w:type="gramStart"/>
      <w:r w:rsidRPr="009E1FCD">
        <w:rPr>
          <w:rFonts w:cs="Arial"/>
          <w:bCs/>
          <w:color w:val="000000" w:themeColor="text1"/>
        </w:rPr>
        <w:t>terms</w:t>
      </w:r>
      <w:proofErr w:type="gramEnd"/>
    </w:p>
    <w:p w14:paraId="7559C688" w14:textId="2B895DB7" w:rsidR="009E1FCD" w:rsidRDefault="009E1FCD" w:rsidP="0085565B">
      <w:pPr>
        <w:pStyle w:val="ListParagraph"/>
        <w:numPr>
          <w:ilvl w:val="0"/>
          <w:numId w:val="12"/>
        </w:numPr>
        <w:spacing w:after="240"/>
        <w:jc w:val="both"/>
        <w:rPr>
          <w:rFonts w:cs="Arial"/>
          <w:bCs/>
          <w:color w:val="000000" w:themeColor="text1"/>
        </w:rPr>
      </w:pPr>
      <w:r w:rsidRPr="009E1FCD">
        <w:rPr>
          <w:rFonts w:cs="Arial"/>
          <w:bCs/>
          <w:color w:val="000000" w:themeColor="text1"/>
        </w:rPr>
        <w:t>Consolidated Schedules</w:t>
      </w:r>
    </w:p>
    <w:p w14:paraId="3A007D99" w14:textId="1150ADC5" w:rsidR="00594B33" w:rsidRDefault="00594B33" w:rsidP="00BF406D">
      <w:pPr>
        <w:spacing w:after="240"/>
        <w:jc w:val="both"/>
        <w:rPr>
          <w:rFonts w:cs="Arial"/>
          <w:bCs/>
          <w:color w:val="000000" w:themeColor="text1"/>
        </w:rPr>
      </w:pPr>
      <w:r>
        <w:rPr>
          <w:rFonts w:cs="Arial"/>
          <w:bCs/>
          <w:color w:val="000000" w:themeColor="text1"/>
        </w:rPr>
        <w:t xml:space="preserve">This template will be amended to reflect the nature of the services and the proposed commercial </w:t>
      </w:r>
      <w:proofErr w:type="gramStart"/>
      <w:r>
        <w:rPr>
          <w:rFonts w:cs="Arial"/>
          <w:bCs/>
          <w:color w:val="000000" w:themeColor="text1"/>
        </w:rPr>
        <w:t>structure</w:t>
      </w:r>
      <w:proofErr w:type="gramEnd"/>
      <w:r>
        <w:rPr>
          <w:rFonts w:cs="Arial"/>
          <w:bCs/>
          <w:color w:val="000000" w:themeColor="text1"/>
        </w:rPr>
        <w:t xml:space="preserve"> and it will be provide</w:t>
      </w:r>
      <w:r w:rsidR="004E56B6">
        <w:rPr>
          <w:rFonts w:cs="Arial"/>
          <w:bCs/>
          <w:color w:val="000000" w:themeColor="text1"/>
        </w:rPr>
        <w:t>d</w:t>
      </w:r>
      <w:r>
        <w:rPr>
          <w:rFonts w:cs="Arial"/>
          <w:bCs/>
          <w:color w:val="000000" w:themeColor="text1"/>
        </w:rPr>
        <w:t xml:space="preserve"> to </w:t>
      </w:r>
      <w:r w:rsidR="00433587">
        <w:rPr>
          <w:rFonts w:cs="Arial"/>
          <w:bCs/>
          <w:color w:val="000000" w:themeColor="text1"/>
        </w:rPr>
        <w:t>Tenderer</w:t>
      </w:r>
      <w:r>
        <w:rPr>
          <w:rFonts w:cs="Arial"/>
          <w:bCs/>
          <w:color w:val="000000" w:themeColor="text1"/>
        </w:rPr>
        <w:t xml:space="preserve">s shortlisted to participate in Stage 2. </w:t>
      </w:r>
    </w:p>
    <w:p w14:paraId="2DDD8793" w14:textId="05A5FBD2" w:rsidR="00594B33" w:rsidRDefault="00594B33" w:rsidP="00BF406D">
      <w:pPr>
        <w:spacing w:after="240"/>
        <w:jc w:val="both"/>
        <w:rPr>
          <w:rFonts w:cs="Arial"/>
          <w:bCs/>
          <w:color w:val="000000" w:themeColor="text1"/>
        </w:rPr>
      </w:pPr>
      <w:r>
        <w:rPr>
          <w:rFonts w:cs="Arial"/>
          <w:bCs/>
          <w:color w:val="000000" w:themeColor="text1"/>
        </w:rPr>
        <w:t xml:space="preserve">HMRC is willing to consider and discuss amendments to certain categories of provisions in the draft contract that is published at Stage 2 to shortlisted </w:t>
      </w:r>
      <w:r w:rsidR="00433587">
        <w:rPr>
          <w:rFonts w:cs="Arial"/>
          <w:bCs/>
          <w:color w:val="000000" w:themeColor="text1"/>
        </w:rPr>
        <w:t>Tenderer</w:t>
      </w:r>
      <w:r>
        <w:rPr>
          <w:rFonts w:cs="Arial"/>
          <w:bCs/>
          <w:color w:val="000000" w:themeColor="text1"/>
        </w:rPr>
        <w:t xml:space="preserve">s. Those categories are set out in paragraph 4.3 </w:t>
      </w:r>
      <w:r w:rsidR="00352C76">
        <w:rPr>
          <w:rFonts w:cs="Arial"/>
          <w:bCs/>
          <w:color w:val="000000" w:themeColor="text1"/>
        </w:rPr>
        <w:t xml:space="preserve">(Contract Terms) </w:t>
      </w:r>
      <w:r>
        <w:rPr>
          <w:rFonts w:cs="Arial"/>
          <w:bCs/>
          <w:color w:val="000000" w:themeColor="text1"/>
        </w:rPr>
        <w:t>of this document.</w:t>
      </w:r>
    </w:p>
    <w:p w14:paraId="4B20F73F" w14:textId="77777777" w:rsidR="00811BFB" w:rsidRDefault="00811BFB" w:rsidP="001E53D0">
      <w:pPr>
        <w:spacing w:after="240"/>
        <w:ind w:left="360"/>
        <w:jc w:val="both"/>
        <w:rPr>
          <w:rFonts w:cs="Arial"/>
          <w:bCs/>
          <w:color w:val="000000" w:themeColor="text1"/>
        </w:rPr>
      </w:pPr>
    </w:p>
    <w:p w14:paraId="51A885BA" w14:textId="77777777" w:rsidR="00811BFB" w:rsidRDefault="00811BFB" w:rsidP="001E53D0">
      <w:pPr>
        <w:spacing w:after="240"/>
        <w:ind w:left="360"/>
        <w:jc w:val="both"/>
        <w:rPr>
          <w:rFonts w:cs="Arial"/>
          <w:bCs/>
          <w:color w:val="000000" w:themeColor="text1"/>
        </w:rPr>
      </w:pPr>
    </w:p>
    <w:p w14:paraId="1A2CA36D" w14:textId="77777777" w:rsidR="00811BFB" w:rsidRDefault="00811BFB" w:rsidP="001E53D0">
      <w:pPr>
        <w:spacing w:after="240"/>
        <w:ind w:left="360"/>
        <w:jc w:val="both"/>
        <w:rPr>
          <w:rFonts w:cs="Arial"/>
          <w:bCs/>
          <w:color w:val="000000" w:themeColor="text1"/>
        </w:rPr>
      </w:pPr>
    </w:p>
    <w:p w14:paraId="0E2B1532" w14:textId="77777777" w:rsidR="00811BFB" w:rsidRDefault="00811BFB" w:rsidP="001E53D0">
      <w:pPr>
        <w:spacing w:after="240"/>
        <w:ind w:left="360"/>
        <w:jc w:val="both"/>
        <w:rPr>
          <w:rFonts w:cs="Arial"/>
          <w:bCs/>
          <w:color w:val="000000" w:themeColor="text1"/>
        </w:rPr>
      </w:pPr>
    </w:p>
    <w:p w14:paraId="33FDA8F6" w14:textId="77777777" w:rsidR="00811BFB" w:rsidRDefault="00811BFB" w:rsidP="001E53D0">
      <w:pPr>
        <w:spacing w:after="240"/>
        <w:ind w:left="360"/>
        <w:jc w:val="both"/>
        <w:rPr>
          <w:rFonts w:cs="Arial"/>
          <w:bCs/>
          <w:color w:val="000000" w:themeColor="text1"/>
        </w:rPr>
      </w:pPr>
    </w:p>
    <w:p w14:paraId="5D3F76F8" w14:textId="77777777" w:rsidR="00811BFB" w:rsidRDefault="00811BFB" w:rsidP="001E53D0">
      <w:pPr>
        <w:spacing w:after="240"/>
        <w:ind w:left="360"/>
        <w:jc w:val="both"/>
        <w:rPr>
          <w:rFonts w:cs="Arial"/>
          <w:bCs/>
          <w:color w:val="000000" w:themeColor="text1"/>
        </w:rPr>
      </w:pPr>
    </w:p>
    <w:p w14:paraId="4B8682EA" w14:textId="77777777" w:rsidR="00811BFB" w:rsidRDefault="00811BFB" w:rsidP="001E53D0">
      <w:pPr>
        <w:spacing w:after="240"/>
        <w:ind w:left="360"/>
        <w:jc w:val="both"/>
        <w:rPr>
          <w:rFonts w:cs="Arial"/>
          <w:bCs/>
          <w:color w:val="000000" w:themeColor="text1"/>
        </w:rPr>
      </w:pPr>
    </w:p>
    <w:p w14:paraId="0440090E" w14:textId="77777777" w:rsidR="00811BFB" w:rsidRDefault="00811BFB" w:rsidP="001E53D0">
      <w:pPr>
        <w:spacing w:after="240"/>
        <w:ind w:left="360"/>
        <w:jc w:val="both"/>
        <w:rPr>
          <w:rFonts w:cs="Arial"/>
          <w:bCs/>
          <w:color w:val="000000" w:themeColor="text1"/>
        </w:rPr>
      </w:pPr>
    </w:p>
    <w:p w14:paraId="7B4970DB" w14:textId="77777777" w:rsidR="00811BFB" w:rsidRDefault="00811BFB" w:rsidP="001E53D0">
      <w:pPr>
        <w:spacing w:after="240"/>
        <w:ind w:left="360"/>
        <w:jc w:val="both"/>
        <w:rPr>
          <w:rFonts w:cs="Arial"/>
          <w:bCs/>
          <w:color w:val="000000" w:themeColor="text1"/>
        </w:rPr>
      </w:pPr>
    </w:p>
    <w:p w14:paraId="3BE700C1" w14:textId="77777777" w:rsidR="00811BFB" w:rsidRDefault="00811BFB" w:rsidP="001E53D0">
      <w:pPr>
        <w:spacing w:after="240"/>
        <w:ind w:left="360"/>
        <w:jc w:val="both"/>
        <w:rPr>
          <w:rFonts w:cs="Arial"/>
          <w:bCs/>
          <w:color w:val="000000" w:themeColor="text1"/>
        </w:rPr>
      </w:pPr>
    </w:p>
    <w:p w14:paraId="3966DD99" w14:textId="77777777" w:rsidR="00811BFB" w:rsidRDefault="00811BFB" w:rsidP="001E53D0">
      <w:pPr>
        <w:spacing w:after="240"/>
        <w:ind w:left="360"/>
        <w:jc w:val="both"/>
        <w:rPr>
          <w:rFonts w:cs="Arial"/>
          <w:bCs/>
          <w:color w:val="000000" w:themeColor="text1"/>
        </w:rPr>
      </w:pPr>
    </w:p>
    <w:p w14:paraId="2EBB76E2" w14:textId="77777777" w:rsidR="00811BFB" w:rsidRDefault="00811BFB" w:rsidP="001E53D0">
      <w:pPr>
        <w:spacing w:after="240"/>
        <w:ind w:left="360"/>
        <w:jc w:val="both"/>
        <w:rPr>
          <w:rFonts w:cs="Arial"/>
          <w:bCs/>
          <w:color w:val="000000" w:themeColor="text1"/>
        </w:rPr>
      </w:pPr>
    </w:p>
    <w:p w14:paraId="69B7E9F8" w14:textId="77777777" w:rsidR="00811BFB" w:rsidRDefault="00811BFB" w:rsidP="001E53D0">
      <w:pPr>
        <w:spacing w:after="240"/>
        <w:ind w:left="360"/>
        <w:jc w:val="both"/>
        <w:rPr>
          <w:rFonts w:cs="Arial"/>
          <w:bCs/>
          <w:color w:val="000000" w:themeColor="text1"/>
        </w:rPr>
      </w:pPr>
    </w:p>
    <w:p w14:paraId="681FB97D" w14:textId="77777777" w:rsidR="00BF406D" w:rsidRDefault="00BF406D" w:rsidP="001E53D0">
      <w:pPr>
        <w:spacing w:after="240"/>
        <w:ind w:left="360"/>
        <w:jc w:val="both"/>
        <w:rPr>
          <w:rFonts w:cs="Arial"/>
          <w:bCs/>
          <w:color w:val="000000" w:themeColor="text1"/>
        </w:rPr>
      </w:pPr>
    </w:p>
    <w:p w14:paraId="154C046C" w14:textId="77777777" w:rsidR="00811BFB" w:rsidRDefault="00811BFB" w:rsidP="001E53D0">
      <w:pPr>
        <w:spacing w:after="240"/>
        <w:ind w:left="360"/>
        <w:jc w:val="both"/>
        <w:rPr>
          <w:rFonts w:cs="Arial"/>
          <w:bCs/>
          <w:color w:val="000000" w:themeColor="text1"/>
        </w:rPr>
      </w:pPr>
    </w:p>
    <w:p w14:paraId="06F1244A" w14:textId="77777777" w:rsidR="00811BFB" w:rsidRPr="00CD5562" w:rsidRDefault="00811BFB" w:rsidP="001E53D0">
      <w:pPr>
        <w:spacing w:after="240"/>
        <w:ind w:left="360"/>
        <w:jc w:val="both"/>
        <w:rPr>
          <w:rFonts w:cs="Arial"/>
          <w:bCs/>
          <w:color w:val="000000" w:themeColor="text1"/>
        </w:rPr>
      </w:pPr>
    </w:p>
    <w:p w14:paraId="4705C674" w14:textId="558BE9F5" w:rsidR="00C117B5" w:rsidRPr="0085565B" w:rsidRDefault="0085565B" w:rsidP="0085565B">
      <w:pPr>
        <w:pStyle w:val="Head2"/>
        <w:numPr>
          <w:ilvl w:val="0"/>
          <w:numId w:val="0"/>
        </w:numPr>
        <w:spacing w:before="240"/>
        <w:jc w:val="both"/>
        <w:rPr>
          <w:b/>
          <w:bCs/>
          <w:color w:val="009999"/>
          <w:sz w:val="28"/>
          <w:szCs w:val="28"/>
        </w:rPr>
      </w:pPr>
      <w:bookmarkStart w:id="128" w:name="_Toc201679658"/>
      <w:r w:rsidRPr="0085565B">
        <w:rPr>
          <w:b/>
          <w:bCs/>
          <w:color w:val="009999"/>
          <w:sz w:val="28"/>
          <w:szCs w:val="28"/>
        </w:rPr>
        <w:t>ANNEX 4 – DEFINITIONS AND ABBREVIATIONS</w:t>
      </w:r>
      <w:bookmarkEnd w:id="128"/>
    </w:p>
    <w:p w14:paraId="439B34C5" w14:textId="77777777" w:rsidR="00C117B5" w:rsidRDefault="00C117B5" w:rsidP="00F96DB7">
      <w:pPr>
        <w:spacing w:after="240"/>
        <w:jc w:val="both"/>
      </w:pPr>
      <w:r w:rsidRPr="00F96DB7">
        <w:rPr>
          <w:rFonts w:cs="Arial"/>
          <w:color w:val="000000" w:themeColor="text1"/>
        </w:rPr>
        <w:t>In</w:t>
      </w:r>
      <w:r w:rsidRPr="007C6650">
        <w:t xml:space="preserve"> addition to using terms defined in the </w:t>
      </w:r>
      <w:r>
        <w:t>Draft C</w:t>
      </w:r>
      <w:r w:rsidRPr="007C6650">
        <w:t>ontract, additional terms are used throughout the document only. The following is a list of these specific definitions</w:t>
      </w:r>
      <w:r>
        <w:t>:</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5104"/>
      </w:tblGrid>
      <w:tr w:rsidR="009F3B5A" w:rsidRPr="00E224AA" w14:paraId="19CF42B4" w14:textId="77777777" w:rsidTr="00084E0F">
        <w:trPr>
          <w:trHeight w:val="397"/>
          <w:tblHeader/>
          <w:jc w:val="center"/>
        </w:trPr>
        <w:tc>
          <w:tcPr>
            <w:tcW w:w="2135" w:type="pct"/>
            <w:shd w:val="clear" w:color="auto" w:fill="009999"/>
            <w:vAlign w:val="center"/>
          </w:tcPr>
          <w:p w14:paraId="3444413C" w14:textId="77777777" w:rsidR="00C117B5" w:rsidRPr="000D1BEA" w:rsidRDefault="00C117B5" w:rsidP="00084E0F">
            <w:pPr>
              <w:spacing w:after="120" w:line="276" w:lineRule="auto"/>
              <w:rPr>
                <w:rFonts w:eastAsia="MS PGothic" w:cs="Arial"/>
                <w:b/>
                <w:color w:val="FFFFFF" w:themeColor="background1"/>
              </w:rPr>
            </w:pPr>
            <w:r w:rsidRPr="000D1BEA">
              <w:rPr>
                <w:rFonts w:eastAsia="MS PGothic" w:cs="Arial"/>
                <w:b/>
                <w:color w:val="FFFFFF" w:themeColor="background1"/>
              </w:rPr>
              <w:t>Term</w:t>
            </w:r>
          </w:p>
        </w:tc>
        <w:tc>
          <w:tcPr>
            <w:tcW w:w="2865" w:type="pct"/>
            <w:shd w:val="clear" w:color="auto" w:fill="009999"/>
            <w:vAlign w:val="center"/>
          </w:tcPr>
          <w:p w14:paraId="39876234" w14:textId="77777777" w:rsidR="00C117B5" w:rsidRPr="000D1BEA" w:rsidRDefault="00C117B5" w:rsidP="00084E0F">
            <w:pPr>
              <w:spacing w:after="120" w:line="276" w:lineRule="auto"/>
              <w:rPr>
                <w:rFonts w:eastAsia="MS PGothic" w:cs="Arial"/>
                <w:b/>
                <w:color w:val="FFFFFF" w:themeColor="background1"/>
              </w:rPr>
            </w:pPr>
            <w:r w:rsidRPr="000D1BEA">
              <w:rPr>
                <w:rFonts w:eastAsia="MS PGothic" w:cs="Arial"/>
                <w:b/>
                <w:color w:val="FFFFFF" w:themeColor="background1"/>
              </w:rPr>
              <w:t>Definition</w:t>
            </w:r>
          </w:p>
        </w:tc>
      </w:tr>
      <w:tr w:rsidR="009F3B5A" w:rsidRPr="00E224AA" w14:paraId="672927FF" w14:textId="77777777" w:rsidTr="00084E0F">
        <w:trPr>
          <w:trHeight w:val="397"/>
          <w:jc w:val="center"/>
        </w:trPr>
        <w:tc>
          <w:tcPr>
            <w:tcW w:w="2135" w:type="pct"/>
          </w:tcPr>
          <w:p w14:paraId="3F3EB6C0" w14:textId="77777777" w:rsidR="00C117B5" w:rsidRPr="000D1BEA" w:rsidRDefault="00C117B5" w:rsidP="00084E0F">
            <w:pPr>
              <w:spacing w:before="120" w:after="120" w:line="276" w:lineRule="auto"/>
              <w:rPr>
                <w:rFonts w:eastAsia="MS PGothic" w:cs="Arial"/>
              </w:rPr>
            </w:pPr>
            <w:r w:rsidRPr="000D1BEA">
              <w:rPr>
                <w:rFonts w:eastAsia="MS PGothic" w:cs="Arial"/>
              </w:rPr>
              <w:t xml:space="preserve">Tenderer </w:t>
            </w:r>
          </w:p>
        </w:tc>
        <w:tc>
          <w:tcPr>
            <w:tcW w:w="2865" w:type="pct"/>
          </w:tcPr>
          <w:p w14:paraId="63F5C8E7" w14:textId="68E1671B" w:rsidR="00C117B5" w:rsidRPr="000D1BEA" w:rsidRDefault="00C117B5" w:rsidP="00084E0F">
            <w:pPr>
              <w:spacing w:before="120" w:after="120" w:line="276" w:lineRule="auto"/>
              <w:rPr>
                <w:rFonts w:eastAsia="MS PGothic" w:cs="Arial"/>
              </w:rPr>
            </w:pPr>
            <w:r w:rsidRPr="000D1BEA">
              <w:rPr>
                <w:rFonts w:eastAsia="MS PGothic" w:cs="Arial"/>
              </w:rPr>
              <w:t xml:space="preserve">The organisation or group of organisations responding to the </w:t>
            </w:r>
            <w:r>
              <w:rPr>
                <w:rFonts w:eastAsia="MS PGothic" w:cs="Arial"/>
              </w:rPr>
              <w:t xml:space="preserve">Tender </w:t>
            </w:r>
            <w:r w:rsidRPr="000D1BEA">
              <w:rPr>
                <w:rFonts w:eastAsia="MS PGothic" w:cs="Arial"/>
              </w:rPr>
              <w:t xml:space="preserve">Notice </w:t>
            </w:r>
            <w:r w:rsidR="00344BCF">
              <w:rPr>
                <w:rFonts w:eastAsia="MS PGothic" w:cs="Arial"/>
              </w:rPr>
              <w:t xml:space="preserve">and this document </w:t>
            </w:r>
            <w:r w:rsidRPr="000D1BEA">
              <w:rPr>
                <w:rFonts w:eastAsia="MS PGothic" w:cs="Arial"/>
              </w:rPr>
              <w:t>issued by</w:t>
            </w:r>
            <w:r>
              <w:rPr>
                <w:rFonts w:eastAsia="MS PGothic" w:cs="Arial"/>
              </w:rPr>
              <w:t xml:space="preserve"> HMRC</w:t>
            </w:r>
            <w:r w:rsidRPr="000D1BEA">
              <w:rPr>
                <w:rFonts w:eastAsia="MS PGothic" w:cs="Arial"/>
              </w:rPr>
              <w:t>.</w:t>
            </w:r>
          </w:p>
        </w:tc>
      </w:tr>
      <w:tr w:rsidR="009F3B5A" w:rsidRPr="00E224AA" w14:paraId="2A7AE0B2" w14:textId="77777777" w:rsidTr="00084E0F">
        <w:trPr>
          <w:trHeight w:val="397"/>
          <w:jc w:val="center"/>
        </w:trPr>
        <w:tc>
          <w:tcPr>
            <w:tcW w:w="2135" w:type="pct"/>
          </w:tcPr>
          <w:p w14:paraId="30F058EC" w14:textId="77777777" w:rsidR="00C117B5" w:rsidRPr="000D1BEA" w:rsidRDefault="00C117B5" w:rsidP="00084E0F">
            <w:pPr>
              <w:spacing w:before="120" w:after="120" w:line="276" w:lineRule="auto"/>
              <w:rPr>
                <w:rFonts w:eastAsia="MS PGothic" w:cs="Arial"/>
              </w:rPr>
            </w:pPr>
            <w:r w:rsidRPr="000D1BEA">
              <w:rPr>
                <w:rFonts w:eastAsia="MS PGothic" w:cs="Arial"/>
              </w:rPr>
              <w:t xml:space="preserve">Draft Contract </w:t>
            </w:r>
          </w:p>
        </w:tc>
        <w:tc>
          <w:tcPr>
            <w:tcW w:w="2865" w:type="pct"/>
          </w:tcPr>
          <w:p w14:paraId="0F90362C" w14:textId="77777777" w:rsidR="00C117B5" w:rsidRPr="000D1BEA" w:rsidRDefault="00C117B5" w:rsidP="00084E0F">
            <w:pPr>
              <w:spacing w:before="120" w:after="120" w:line="276" w:lineRule="auto"/>
              <w:rPr>
                <w:rFonts w:eastAsia="MS PGothic" w:cs="Arial"/>
              </w:rPr>
            </w:pPr>
            <w:r w:rsidRPr="001C67A4">
              <w:rPr>
                <w:rFonts w:eastAsia="MS PGothic" w:cs="Arial"/>
              </w:rPr>
              <w:t>HMRC proposes to use the Model Services Contract</w:t>
            </w:r>
            <w:r>
              <w:rPr>
                <w:rFonts w:eastAsia="MS PGothic" w:cs="Arial"/>
              </w:rPr>
              <w:t xml:space="preserve"> (MSC)</w:t>
            </w:r>
            <w:r w:rsidRPr="001C67A4">
              <w:rPr>
                <w:rFonts w:eastAsia="MS PGothic" w:cs="Arial"/>
              </w:rPr>
              <w:t xml:space="preserve"> issued by the Cabinet Office (see Annex 2), with amendments to reflect the nature of the services and the proposed commercial structure. The draft contract (as amended) will be provided to Tenderers shortlisted to participate in Stage 2</w:t>
            </w:r>
            <w:r>
              <w:rPr>
                <w:rFonts w:eastAsia="MS PGothic" w:cs="Arial"/>
              </w:rPr>
              <w:t>.</w:t>
            </w:r>
          </w:p>
        </w:tc>
      </w:tr>
      <w:tr w:rsidR="009F3B5A" w:rsidRPr="00E224AA" w14:paraId="2359532F" w14:textId="77777777" w:rsidTr="00084E0F">
        <w:trPr>
          <w:trHeight w:val="397"/>
          <w:jc w:val="center"/>
        </w:trPr>
        <w:tc>
          <w:tcPr>
            <w:tcW w:w="2135" w:type="pct"/>
          </w:tcPr>
          <w:p w14:paraId="470AD4AC" w14:textId="77777777" w:rsidR="00C117B5" w:rsidRPr="000D1BEA" w:rsidRDefault="00C117B5" w:rsidP="00084E0F">
            <w:pPr>
              <w:spacing w:before="120" w:after="120" w:line="276" w:lineRule="auto"/>
              <w:rPr>
                <w:rFonts w:eastAsia="MS PGothic" w:cs="Arial"/>
              </w:rPr>
            </w:pPr>
            <w:r>
              <w:rPr>
                <w:rFonts w:eastAsia="MS PGothic" w:cs="Arial"/>
              </w:rPr>
              <w:t xml:space="preserve">Tender </w:t>
            </w:r>
            <w:r w:rsidRPr="000D1BEA">
              <w:rPr>
                <w:rFonts w:eastAsia="MS PGothic" w:cs="Arial"/>
              </w:rPr>
              <w:t>Notice</w:t>
            </w:r>
          </w:p>
        </w:tc>
        <w:tc>
          <w:tcPr>
            <w:tcW w:w="2865" w:type="pct"/>
          </w:tcPr>
          <w:p w14:paraId="058D9352" w14:textId="77777777" w:rsidR="00C117B5" w:rsidRPr="000D1BEA" w:rsidRDefault="00C117B5" w:rsidP="00084E0F">
            <w:pPr>
              <w:spacing w:before="120" w:after="120" w:line="276" w:lineRule="auto"/>
              <w:rPr>
                <w:rFonts w:eastAsia="MS PGothic" w:cs="Arial"/>
              </w:rPr>
            </w:pPr>
            <w:r w:rsidRPr="000D1BEA">
              <w:rPr>
                <w:rFonts w:eastAsia="MS PGothic" w:cs="Arial"/>
              </w:rPr>
              <w:t xml:space="preserve">A document through which </w:t>
            </w:r>
            <w:r>
              <w:rPr>
                <w:rFonts w:eastAsia="MS PGothic" w:cs="Arial"/>
              </w:rPr>
              <w:t>HMRC</w:t>
            </w:r>
            <w:r w:rsidRPr="000D1BEA">
              <w:rPr>
                <w:rFonts w:eastAsia="MS PGothic" w:cs="Arial"/>
              </w:rPr>
              <w:t xml:space="preserve"> provides formal notification and information to the market about an upcoming contract.</w:t>
            </w:r>
          </w:p>
        </w:tc>
      </w:tr>
      <w:tr w:rsidR="009F3B5A" w:rsidRPr="00E224AA" w14:paraId="4155E2B3" w14:textId="77777777" w:rsidTr="00084E0F">
        <w:trPr>
          <w:trHeight w:val="397"/>
          <w:jc w:val="center"/>
        </w:trPr>
        <w:tc>
          <w:tcPr>
            <w:tcW w:w="2135" w:type="pct"/>
          </w:tcPr>
          <w:p w14:paraId="34D8F3DD" w14:textId="77777777" w:rsidR="00C117B5" w:rsidRPr="000D1BEA" w:rsidRDefault="00C117B5" w:rsidP="00084E0F">
            <w:pPr>
              <w:spacing w:before="120" w:after="120" w:line="276" w:lineRule="auto"/>
              <w:rPr>
                <w:rFonts w:eastAsia="MS PGothic" w:cs="Arial"/>
                <w:i/>
              </w:rPr>
            </w:pPr>
            <w:r w:rsidRPr="001A5237">
              <w:rPr>
                <w:rFonts w:cs="Arial"/>
                <w:color w:val="000000"/>
              </w:rPr>
              <w:t xml:space="preserve">Services Description </w:t>
            </w:r>
          </w:p>
        </w:tc>
        <w:tc>
          <w:tcPr>
            <w:tcW w:w="2865" w:type="pct"/>
          </w:tcPr>
          <w:p w14:paraId="02102B33" w14:textId="691328A3" w:rsidR="00C117B5" w:rsidRPr="000D1BEA" w:rsidRDefault="00ED066C" w:rsidP="00084E0F">
            <w:pPr>
              <w:spacing w:before="120" w:after="120" w:line="276" w:lineRule="auto"/>
              <w:rPr>
                <w:rFonts w:eastAsia="MS PGothic" w:cs="Arial"/>
              </w:rPr>
            </w:pPr>
            <w:r>
              <w:rPr>
                <w:rFonts w:eastAsia="MS PGothic" w:cs="Arial"/>
              </w:rPr>
              <w:t>The outline service description, including optional services specified in Annex 2 of this document</w:t>
            </w:r>
          </w:p>
        </w:tc>
      </w:tr>
      <w:tr w:rsidR="009F3B5A" w:rsidRPr="00E224AA" w14:paraId="6D5067F7" w14:textId="77777777" w:rsidTr="00084E0F">
        <w:trPr>
          <w:trHeight w:val="397"/>
          <w:jc w:val="center"/>
        </w:trPr>
        <w:tc>
          <w:tcPr>
            <w:tcW w:w="2135" w:type="pct"/>
          </w:tcPr>
          <w:p w14:paraId="16E6B616" w14:textId="77777777" w:rsidR="00C117B5" w:rsidRPr="000D1BEA" w:rsidRDefault="00084E0F" w:rsidP="00084E0F">
            <w:pPr>
              <w:spacing w:before="120" w:after="120" w:line="276" w:lineRule="auto"/>
              <w:rPr>
                <w:rFonts w:eastAsia="MS PGothic" w:cs="Arial"/>
              </w:rPr>
            </w:pPr>
            <w:hyperlink r:id="rId26" w:history="1">
              <w:r w:rsidR="00C117B5" w:rsidRPr="00986F8E">
                <w:t>Social Value Model</w:t>
              </w:r>
            </w:hyperlink>
            <w:r w:rsidR="00C117B5" w:rsidRPr="2E4CE0DB">
              <w:rPr>
                <w:rFonts w:cs="Arial"/>
              </w:rPr>
              <w:t xml:space="preserve"> (SVM)</w:t>
            </w:r>
            <w:r w:rsidR="00C117B5" w:rsidRPr="00803C43" w:rsidDel="001A5237">
              <w:rPr>
                <w:rFonts w:eastAsia="MS PGothic" w:cs="Arial"/>
              </w:rPr>
              <w:t xml:space="preserve"> </w:t>
            </w:r>
          </w:p>
        </w:tc>
        <w:tc>
          <w:tcPr>
            <w:tcW w:w="2865" w:type="pct"/>
          </w:tcPr>
          <w:p w14:paraId="2BE4384B" w14:textId="77777777" w:rsidR="00C117B5" w:rsidRPr="000D1BEA" w:rsidRDefault="00C117B5" w:rsidP="00084E0F">
            <w:pPr>
              <w:spacing w:before="120" w:after="120" w:line="276" w:lineRule="auto"/>
              <w:rPr>
                <w:rFonts w:eastAsia="MS PGothic" w:cs="Arial"/>
              </w:rPr>
            </w:pPr>
            <w:r w:rsidRPr="009105BD">
              <w:rPr>
                <w:rFonts w:cs="Arial"/>
              </w:rPr>
              <w:t xml:space="preserve">Social Value Model accompanies the </w:t>
            </w:r>
            <w:r>
              <w:rPr>
                <w:rFonts w:cs="Arial"/>
              </w:rPr>
              <w:t xml:space="preserve">latest </w:t>
            </w:r>
            <w:r w:rsidRPr="00986F8E">
              <w:rPr>
                <w:rFonts w:cs="Arial"/>
              </w:rPr>
              <w:t>Procurement Policy Note (PP</w:t>
            </w:r>
            <w:r w:rsidRPr="0075324B">
              <w:rPr>
                <w:rFonts w:cs="Arial"/>
              </w:rPr>
              <w:t xml:space="preserve">N) </w:t>
            </w:r>
            <w:r>
              <w:rPr>
                <w:rFonts w:cs="Arial"/>
              </w:rPr>
              <w:t>00</w:t>
            </w:r>
            <w:r w:rsidRPr="009105BD">
              <w:rPr>
                <w:rFonts w:cs="Arial"/>
              </w:rPr>
              <w:t xml:space="preserve">2 and has been updated to ensure that </w:t>
            </w:r>
            <w:r>
              <w:rPr>
                <w:rFonts w:cs="Arial"/>
              </w:rPr>
              <w:t xml:space="preserve">HMRC </w:t>
            </w:r>
            <w:r w:rsidRPr="009105BD">
              <w:rPr>
                <w:rFonts w:cs="Arial"/>
              </w:rPr>
              <w:t>can implement the government’s new National Procurement Policy Statement (NPPS)</w:t>
            </w:r>
            <w:r>
              <w:rPr>
                <w:rFonts w:cs="Arial"/>
              </w:rPr>
              <w:t xml:space="preserve">. </w:t>
            </w:r>
            <w:r w:rsidRPr="001F7881">
              <w:rPr>
                <w:rFonts w:cs="Arial"/>
              </w:rPr>
              <w:t xml:space="preserve">The PPN 002 Social Value Model is a menu of options from which </w:t>
            </w:r>
            <w:r>
              <w:rPr>
                <w:rFonts w:cs="Arial"/>
              </w:rPr>
              <w:t>HMRC will</w:t>
            </w:r>
            <w:r w:rsidRPr="001F7881">
              <w:rPr>
                <w:rFonts w:cs="Arial"/>
              </w:rPr>
              <w:t xml:space="preserve"> select the most appropriate social value outcomes and criteria for </w:t>
            </w:r>
            <w:r>
              <w:rPr>
                <w:rFonts w:cs="Arial"/>
              </w:rPr>
              <w:t>this procurement</w:t>
            </w:r>
            <w:r w:rsidRPr="001F7881">
              <w:rPr>
                <w:rFonts w:cs="Arial"/>
              </w:rPr>
              <w:t>.</w:t>
            </w:r>
          </w:p>
        </w:tc>
      </w:tr>
      <w:tr w:rsidR="009F3B5A" w:rsidRPr="00E224AA" w14:paraId="2D5BB3A4" w14:textId="77777777" w:rsidTr="00084E0F">
        <w:trPr>
          <w:trHeight w:val="397"/>
          <w:jc w:val="center"/>
        </w:trPr>
        <w:tc>
          <w:tcPr>
            <w:tcW w:w="2135" w:type="pct"/>
          </w:tcPr>
          <w:p w14:paraId="40B15CF3" w14:textId="77777777" w:rsidR="00C117B5" w:rsidRPr="000D1BEA" w:rsidRDefault="00C117B5" w:rsidP="00084E0F">
            <w:pPr>
              <w:spacing w:before="120" w:after="120" w:line="276" w:lineRule="auto"/>
              <w:rPr>
                <w:rFonts w:eastAsia="MS PGothic" w:cs="Arial"/>
              </w:rPr>
            </w:pPr>
            <w:r>
              <w:rPr>
                <w:rFonts w:eastAsia="MS PGothic" w:cs="Arial"/>
              </w:rPr>
              <w:t>Optional Services</w:t>
            </w:r>
          </w:p>
        </w:tc>
        <w:tc>
          <w:tcPr>
            <w:tcW w:w="2865" w:type="pct"/>
          </w:tcPr>
          <w:p w14:paraId="6F47B79B" w14:textId="157AB538" w:rsidR="00C117B5" w:rsidRPr="000D1BEA" w:rsidRDefault="00C117B5" w:rsidP="00084E0F">
            <w:pPr>
              <w:spacing w:before="120" w:after="120" w:line="276" w:lineRule="auto"/>
              <w:rPr>
                <w:rFonts w:eastAsia="MS PGothic" w:cs="Arial"/>
              </w:rPr>
            </w:pPr>
            <w:r>
              <w:rPr>
                <w:rFonts w:eastAsia="MS PGothic" w:cs="Arial"/>
              </w:rPr>
              <w:t>A</w:t>
            </w:r>
            <w:r w:rsidRPr="00023410">
              <w:rPr>
                <w:rFonts w:eastAsia="MS PGothic" w:cs="Arial"/>
              </w:rPr>
              <w:t>dditional services that the supplier will be required to provide if requested by HMRC during the lifetime of the contract, in accordance with the contract terms</w:t>
            </w:r>
            <w:r w:rsidR="00BB4290">
              <w:rPr>
                <w:rFonts w:eastAsia="MS PGothic" w:cs="Arial"/>
              </w:rPr>
              <w:t xml:space="preserve">. </w:t>
            </w:r>
            <w:r w:rsidR="00651802">
              <w:rPr>
                <w:rFonts w:eastAsia="MS PGothic" w:cs="Arial"/>
              </w:rPr>
              <w:t>Draft (non-exhaustive) list s</w:t>
            </w:r>
            <w:r w:rsidR="00BB4290">
              <w:rPr>
                <w:rFonts w:eastAsia="MS PGothic" w:cs="Arial"/>
              </w:rPr>
              <w:t>pecified in Annex 2 of this document</w:t>
            </w:r>
            <w:r w:rsidR="00651802">
              <w:rPr>
                <w:rFonts w:eastAsia="MS PGothic" w:cs="Arial"/>
              </w:rPr>
              <w:t>.</w:t>
            </w:r>
          </w:p>
        </w:tc>
      </w:tr>
      <w:tr w:rsidR="009F3B5A" w:rsidRPr="00E224AA" w14:paraId="27D81DDF" w14:textId="77777777" w:rsidTr="00084E0F">
        <w:trPr>
          <w:trHeight w:val="397"/>
          <w:jc w:val="center"/>
        </w:trPr>
        <w:tc>
          <w:tcPr>
            <w:tcW w:w="2135" w:type="pct"/>
          </w:tcPr>
          <w:p w14:paraId="320757A5" w14:textId="77777777" w:rsidR="00C117B5" w:rsidRPr="000D1BEA" w:rsidRDefault="00C117B5" w:rsidP="00084E0F">
            <w:pPr>
              <w:spacing w:before="120" w:after="120" w:line="276" w:lineRule="auto"/>
              <w:rPr>
                <w:rFonts w:eastAsia="MS PGothic" w:cs="Arial"/>
              </w:rPr>
            </w:pPr>
            <w:proofErr w:type="spellStart"/>
            <w:r w:rsidRPr="0005633A">
              <w:rPr>
                <w:rFonts w:cs="Arial"/>
                <w:color w:val="000000"/>
              </w:rPr>
              <w:t>eSourcing</w:t>
            </w:r>
            <w:proofErr w:type="spellEnd"/>
            <w:r w:rsidRPr="0005633A">
              <w:rPr>
                <w:rFonts w:cs="Arial"/>
                <w:color w:val="000000"/>
              </w:rPr>
              <w:t xml:space="preserve"> Portal</w:t>
            </w:r>
            <w:r>
              <w:rPr>
                <w:rFonts w:cs="Arial"/>
                <w:color w:val="000000"/>
              </w:rPr>
              <w:t xml:space="preserve"> or Ariba</w:t>
            </w:r>
          </w:p>
        </w:tc>
        <w:tc>
          <w:tcPr>
            <w:tcW w:w="2865" w:type="pct"/>
          </w:tcPr>
          <w:p w14:paraId="5EBA3034" w14:textId="1E029547" w:rsidR="00C117B5" w:rsidRPr="000D1BEA" w:rsidRDefault="00C117B5" w:rsidP="00084E0F">
            <w:pPr>
              <w:spacing w:before="120" w:after="120" w:line="276" w:lineRule="auto"/>
              <w:rPr>
                <w:rFonts w:eastAsia="MS PGothic" w:cs="Arial"/>
              </w:rPr>
            </w:pPr>
            <w:r>
              <w:rPr>
                <w:rFonts w:eastAsia="MS PGothic" w:cs="Arial"/>
              </w:rPr>
              <w:t>HMRC</w:t>
            </w:r>
            <w:r w:rsidRPr="000D1BEA">
              <w:rPr>
                <w:rFonts w:eastAsia="MS PGothic" w:cs="Arial"/>
              </w:rPr>
              <w:t xml:space="preserve">’s </w:t>
            </w:r>
            <w:proofErr w:type="spellStart"/>
            <w:r w:rsidRPr="004349F8">
              <w:rPr>
                <w:rFonts w:eastAsia="MS PGothic" w:cs="Arial"/>
              </w:rPr>
              <w:t>eSourcing</w:t>
            </w:r>
            <w:proofErr w:type="spellEnd"/>
            <w:r w:rsidRPr="004349F8">
              <w:rPr>
                <w:rFonts w:eastAsia="MS PGothic" w:cs="Arial"/>
              </w:rPr>
              <w:t xml:space="preserve"> Portal</w:t>
            </w:r>
            <w:r>
              <w:rPr>
                <w:rFonts w:eastAsia="MS PGothic" w:cs="Arial"/>
              </w:rPr>
              <w:t>, “SAP Ariba”</w:t>
            </w:r>
            <w:r w:rsidRPr="004349F8">
              <w:rPr>
                <w:rFonts w:eastAsia="MS PGothic" w:cs="Arial"/>
              </w:rPr>
              <w:t xml:space="preserve"> (“Ariba”)</w:t>
            </w:r>
            <w:r>
              <w:rPr>
                <w:rFonts w:eastAsia="MS PGothic" w:cs="Arial"/>
              </w:rPr>
              <w:t>, through which this procurement exercise will be administered and managed</w:t>
            </w:r>
            <w:r w:rsidR="00651802">
              <w:rPr>
                <w:rFonts w:eastAsia="MS PGothic" w:cs="Arial"/>
              </w:rPr>
              <w:t>.</w:t>
            </w:r>
          </w:p>
        </w:tc>
      </w:tr>
    </w:tbl>
    <w:p w14:paraId="44855757" w14:textId="77777777" w:rsidR="00BA20FF" w:rsidRDefault="00BA20FF" w:rsidP="001E53D0">
      <w:pPr>
        <w:jc w:val="both"/>
        <w:rPr>
          <w:rFonts w:cs="Arial"/>
          <w:b/>
          <w:color w:val="009999"/>
          <w:sz w:val="28"/>
          <w:szCs w:val="28"/>
        </w:rPr>
      </w:pPr>
    </w:p>
    <w:p w14:paraId="05C41291" w14:textId="04F421F7" w:rsidR="00BA20FF" w:rsidRPr="0085565B" w:rsidRDefault="0085565B" w:rsidP="0085565B">
      <w:pPr>
        <w:pStyle w:val="Head2"/>
        <w:numPr>
          <w:ilvl w:val="0"/>
          <w:numId w:val="0"/>
        </w:numPr>
        <w:spacing w:before="240"/>
        <w:jc w:val="both"/>
        <w:rPr>
          <w:b/>
          <w:bCs/>
          <w:color w:val="009999"/>
          <w:sz w:val="28"/>
          <w:szCs w:val="28"/>
        </w:rPr>
      </w:pPr>
      <w:bookmarkStart w:id="129" w:name="_Toc201679659"/>
      <w:r w:rsidRPr="0085565B">
        <w:rPr>
          <w:b/>
          <w:bCs/>
          <w:color w:val="009999"/>
          <w:sz w:val="28"/>
          <w:szCs w:val="28"/>
        </w:rPr>
        <w:t>ANNEX 5 – SECURITY QUESTIONNAIRE</w:t>
      </w:r>
      <w:bookmarkEnd w:id="129"/>
    </w:p>
    <w:bookmarkStart w:id="130" w:name="_1812275394"/>
    <w:bookmarkEnd w:id="130"/>
    <w:p w14:paraId="0CCC8D98" w14:textId="77777777" w:rsidR="00115C1A" w:rsidRDefault="00B60B85" w:rsidP="00BA20FF">
      <w:pPr>
        <w:jc w:val="both"/>
        <w:rPr>
          <w:rFonts w:cs="Arial"/>
          <w:b/>
          <w:color w:val="009999"/>
          <w:sz w:val="28"/>
          <w:szCs w:val="28"/>
        </w:rPr>
      </w:pPr>
      <w:r>
        <w:rPr>
          <w:rFonts w:cs="Arial"/>
          <w:b/>
          <w:color w:val="009999"/>
          <w:sz w:val="28"/>
          <w:szCs w:val="28"/>
        </w:rPr>
        <w:object w:dxaOrig="1504" w:dyaOrig="981" w14:anchorId="7A650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6.35pt" o:ole="">
            <v:imagedata r:id="rId27" o:title=""/>
          </v:shape>
          <o:OLEObject Type="Embed" ProgID="Word.Document.12" ShapeID="_x0000_i1025" DrawAspect="Icon" ObjectID="_1812458061" r:id="rId28">
            <o:FieldCodes>\s</o:FieldCodes>
          </o:OLEObject>
        </w:object>
      </w:r>
    </w:p>
    <w:p w14:paraId="27F01504" w14:textId="77777777" w:rsidR="00115C1A" w:rsidRDefault="00115C1A" w:rsidP="00BA20FF">
      <w:pPr>
        <w:jc w:val="both"/>
        <w:rPr>
          <w:rFonts w:cs="Arial"/>
          <w:b/>
          <w:color w:val="009999"/>
          <w:sz w:val="28"/>
          <w:szCs w:val="28"/>
        </w:rPr>
      </w:pPr>
    </w:p>
    <w:p w14:paraId="28BDE809" w14:textId="77777777" w:rsidR="00115C1A" w:rsidRDefault="00115C1A" w:rsidP="00BA20FF">
      <w:pPr>
        <w:jc w:val="both"/>
        <w:rPr>
          <w:rFonts w:cs="Arial"/>
          <w:b/>
          <w:color w:val="009999"/>
          <w:sz w:val="28"/>
          <w:szCs w:val="28"/>
        </w:rPr>
      </w:pPr>
    </w:p>
    <w:p w14:paraId="4CDEA373" w14:textId="4F6769E2" w:rsidR="00115C1A" w:rsidRPr="0066660A" w:rsidRDefault="00115C1A" w:rsidP="00115C1A">
      <w:pPr>
        <w:pStyle w:val="Head2"/>
        <w:pageBreakBefore/>
        <w:numPr>
          <w:ilvl w:val="0"/>
          <w:numId w:val="0"/>
        </w:numPr>
        <w:spacing w:before="240"/>
        <w:rPr>
          <w:rFonts w:cs="Arial"/>
          <w:b/>
          <w:color w:val="009999"/>
          <w:sz w:val="24"/>
          <w:szCs w:val="24"/>
        </w:rPr>
      </w:pPr>
      <w:bookmarkStart w:id="131" w:name="_Toc201758593"/>
      <w:r w:rsidRPr="00957A1F">
        <w:rPr>
          <w:rFonts w:cs="Arial"/>
          <w:b/>
          <w:bCs/>
          <w:color w:val="009999"/>
          <w:sz w:val="24"/>
          <w:szCs w:val="24"/>
        </w:rPr>
        <w:t xml:space="preserve">ANNEX </w:t>
      </w:r>
      <w:r>
        <w:rPr>
          <w:rFonts w:cs="Arial"/>
          <w:b/>
          <w:bCs/>
          <w:color w:val="009999"/>
          <w:sz w:val="24"/>
          <w:szCs w:val="24"/>
        </w:rPr>
        <w:t>6</w:t>
      </w:r>
      <w:r w:rsidR="000C768B">
        <w:rPr>
          <w:rFonts w:cs="Arial"/>
          <w:b/>
          <w:bCs/>
          <w:color w:val="009999"/>
          <w:sz w:val="24"/>
          <w:szCs w:val="24"/>
        </w:rPr>
        <w:t xml:space="preserve"> – </w:t>
      </w:r>
      <w:r>
        <w:rPr>
          <w:rFonts w:cs="Arial"/>
          <w:b/>
          <w:bCs/>
          <w:color w:val="009999"/>
          <w:sz w:val="24"/>
          <w:szCs w:val="24"/>
        </w:rPr>
        <w:t>FINANCIAL CAPACITY METRIC DEFINITIONS</w:t>
      </w:r>
      <w:bookmarkEnd w:id="131"/>
    </w:p>
    <w:tbl>
      <w:tblPr>
        <w:tblStyle w:val="TableGrid"/>
        <w:tblW w:w="9493" w:type="dxa"/>
        <w:tblLook w:val="04A0" w:firstRow="1" w:lastRow="0" w:firstColumn="1" w:lastColumn="0" w:noHBand="0" w:noVBand="1"/>
      </w:tblPr>
      <w:tblGrid>
        <w:gridCol w:w="3995"/>
        <w:gridCol w:w="3996"/>
        <w:gridCol w:w="1502"/>
      </w:tblGrid>
      <w:tr w:rsidR="00115C1A" w:rsidRPr="00535C34" w14:paraId="275AD751" w14:textId="77777777" w:rsidTr="009129BC">
        <w:trPr>
          <w:trHeight w:val="405"/>
          <w:tblHeader/>
        </w:trPr>
        <w:tc>
          <w:tcPr>
            <w:tcW w:w="3995" w:type="dxa"/>
            <w:shd w:val="clear" w:color="auto" w:fill="009999"/>
            <w:noWrap/>
            <w:hideMark/>
          </w:tcPr>
          <w:p w14:paraId="14316306" w14:textId="77777777" w:rsidR="00115C1A" w:rsidRPr="0088556A" w:rsidRDefault="00115C1A" w:rsidP="00511C1C">
            <w:pPr>
              <w:rPr>
                <w:b/>
                <w:color w:val="FFFFFF" w:themeColor="background1"/>
                <w:sz w:val="22"/>
                <w:szCs w:val="22"/>
              </w:rPr>
            </w:pPr>
            <w:r w:rsidRPr="0088556A">
              <w:rPr>
                <w:b/>
                <w:color w:val="FFFFFF" w:themeColor="background1"/>
                <w:sz w:val="22"/>
                <w:szCs w:val="22"/>
              </w:rPr>
              <w:t>Metric Definition (as per EFS Guidance)</w:t>
            </w:r>
          </w:p>
        </w:tc>
        <w:tc>
          <w:tcPr>
            <w:tcW w:w="3996" w:type="dxa"/>
            <w:shd w:val="clear" w:color="auto" w:fill="009999"/>
            <w:noWrap/>
            <w:hideMark/>
          </w:tcPr>
          <w:p w14:paraId="45B09467" w14:textId="77777777" w:rsidR="00115C1A" w:rsidRPr="0088556A" w:rsidRDefault="00115C1A" w:rsidP="00511C1C">
            <w:pPr>
              <w:rPr>
                <w:b/>
                <w:color w:val="FFFFFF" w:themeColor="background1"/>
                <w:sz w:val="22"/>
                <w:szCs w:val="22"/>
              </w:rPr>
            </w:pPr>
            <w:r w:rsidRPr="0088556A">
              <w:rPr>
                <w:b/>
                <w:color w:val="FFFFFF" w:themeColor="background1"/>
                <w:sz w:val="22"/>
                <w:szCs w:val="22"/>
              </w:rPr>
              <w:t>Private Limited Company/Public Listed Company</w:t>
            </w:r>
          </w:p>
        </w:tc>
        <w:tc>
          <w:tcPr>
            <w:tcW w:w="1502" w:type="dxa"/>
            <w:shd w:val="clear" w:color="auto" w:fill="009999"/>
          </w:tcPr>
          <w:p w14:paraId="223A083D" w14:textId="77777777" w:rsidR="00115C1A" w:rsidRPr="0088556A" w:rsidRDefault="00115C1A" w:rsidP="00511C1C">
            <w:pPr>
              <w:rPr>
                <w:b/>
                <w:color w:val="FFFFFF" w:themeColor="background1"/>
                <w:sz w:val="22"/>
                <w:szCs w:val="22"/>
              </w:rPr>
            </w:pPr>
            <w:r w:rsidRPr="0088556A">
              <w:rPr>
                <w:rFonts w:eastAsiaTheme="minorHAnsi" w:cstheme="minorBidi"/>
                <w:b/>
                <w:color w:val="FFFFFF" w:themeColor="background1"/>
                <w:sz w:val="22"/>
                <w:szCs w:val="22"/>
                <w:lang w:eastAsia="en-US"/>
              </w:rPr>
              <w:t>Risk Ratings</w:t>
            </w:r>
          </w:p>
        </w:tc>
      </w:tr>
      <w:tr w:rsidR="00115C1A" w:rsidRPr="00535C34" w14:paraId="731FA957" w14:textId="77777777" w:rsidTr="009129BC">
        <w:trPr>
          <w:trHeight w:val="525"/>
        </w:trPr>
        <w:tc>
          <w:tcPr>
            <w:tcW w:w="3995" w:type="dxa"/>
            <w:hideMark/>
          </w:tcPr>
          <w:p w14:paraId="6302F905" w14:textId="77777777" w:rsidR="00115C1A" w:rsidRPr="008D5524" w:rsidRDefault="00115C1A" w:rsidP="00511C1C">
            <w:pPr>
              <w:rPr>
                <w:sz w:val="22"/>
                <w:szCs w:val="22"/>
              </w:rPr>
            </w:pPr>
            <w:r w:rsidRPr="008D5524">
              <w:rPr>
                <w:sz w:val="22"/>
                <w:szCs w:val="22"/>
              </w:rPr>
              <w:t>Metric 1 - Turnover Ratio</w:t>
            </w:r>
            <w:r w:rsidRPr="008D5524">
              <w:rPr>
                <w:sz w:val="22"/>
                <w:szCs w:val="22"/>
              </w:rPr>
              <w:br/>
            </w:r>
            <w:r w:rsidRPr="008D5524">
              <w:rPr>
                <w:i/>
                <w:sz w:val="22"/>
                <w:szCs w:val="22"/>
              </w:rPr>
              <w:br/>
              <w:t>Turnover Ratio = Supplier Annual Revenue / Expected Annual Contract Value</w:t>
            </w:r>
          </w:p>
        </w:tc>
        <w:tc>
          <w:tcPr>
            <w:tcW w:w="3996" w:type="dxa"/>
            <w:hideMark/>
          </w:tcPr>
          <w:p w14:paraId="0418104F" w14:textId="77777777" w:rsidR="00115C1A" w:rsidRPr="00A72B8E" w:rsidRDefault="00115C1A" w:rsidP="00511C1C">
            <w:pPr>
              <w:rPr>
                <w:sz w:val="22"/>
                <w:szCs w:val="22"/>
              </w:rPr>
            </w:pPr>
            <w:r w:rsidRPr="00A72B8E">
              <w:rPr>
                <w:sz w:val="22"/>
                <w:szCs w:val="22"/>
              </w:rPr>
              <w:t>Turnover Ratio = Turnover / Annual Contract Value</w:t>
            </w:r>
          </w:p>
        </w:tc>
        <w:tc>
          <w:tcPr>
            <w:tcW w:w="1502" w:type="dxa"/>
          </w:tcPr>
          <w:p w14:paraId="2A3651DC" w14:textId="77777777" w:rsidR="00115C1A" w:rsidRPr="009F6376" w:rsidRDefault="00115C1A" w:rsidP="00115C1A">
            <w:pPr>
              <w:pStyle w:val="ListParagraph"/>
              <w:numPr>
                <w:ilvl w:val="0"/>
                <w:numId w:val="81"/>
              </w:numPr>
              <w:ind w:left="178" w:hanging="141"/>
              <w:rPr>
                <w:sz w:val="22"/>
                <w:szCs w:val="22"/>
              </w:rPr>
            </w:pPr>
            <w:r w:rsidRPr="009F6376">
              <w:rPr>
                <w:sz w:val="22"/>
                <w:szCs w:val="22"/>
              </w:rPr>
              <w:t>(Low Risk): Greater than 4</w:t>
            </w:r>
          </w:p>
          <w:p w14:paraId="00EF3061" w14:textId="77777777" w:rsidR="00115C1A" w:rsidRPr="008D5524" w:rsidRDefault="00115C1A" w:rsidP="00115C1A">
            <w:pPr>
              <w:pStyle w:val="ListParagraph"/>
              <w:numPr>
                <w:ilvl w:val="0"/>
                <w:numId w:val="81"/>
              </w:numPr>
              <w:ind w:left="178" w:hanging="141"/>
              <w:rPr>
                <w:sz w:val="22"/>
                <w:szCs w:val="22"/>
              </w:rPr>
            </w:pPr>
            <w:r w:rsidRPr="008D5524">
              <w:rPr>
                <w:sz w:val="22"/>
                <w:szCs w:val="22"/>
              </w:rPr>
              <w:t>(High Risk): Less than 3</w:t>
            </w:r>
          </w:p>
        </w:tc>
      </w:tr>
      <w:tr w:rsidR="00115C1A" w:rsidRPr="00535C34" w14:paraId="55220B10" w14:textId="77777777" w:rsidTr="009129BC">
        <w:trPr>
          <w:trHeight w:val="2040"/>
        </w:trPr>
        <w:tc>
          <w:tcPr>
            <w:tcW w:w="3995" w:type="dxa"/>
            <w:hideMark/>
          </w:tcPr>
          <w:p w14:paraId="20B05FFA" w14:textId="77777777" w:rsidR="00115C1A" w:rsidRPr="00A72B8E" w:rsidRDefault="00115C1A" w:rsidP="00511C1C">
            <w:pPr>
              <w:rPr>
                <w:sz w:val="22"/>
                <w:szCs w:val="22"/>
              </w:rPr>
            </w:pPr>
            <w:r w:rsidRPr="00A72B8E">
              <w:rPr>
                <w:sz w:val="22"/>
                <w:szCs w:val="22"/>
              </w:rPr>
              <w:t>Metric 2 - Operating Margin</w:t>
            </w:r>
            <w:r w:rsidRPr="00A72B8E">
              <w:rPr>
                <w:sz w:val="22"/>
                <w:szCs w:val="22"/>
              </w:rPr>
              <w:br/>
            </w:r>
            <w:r w:rsidRPr="00A72B8E">
              <w:rPr>
                <w:i/>
                <w:sz w:val="22"/>
                <w:szCs w:val="22"/>
              </w:rPr>
              <w:br/>
              <w:t>Operating Margin = Operating Profit / Revenue</w:t>
            </w:r>
          </w:p>
        </w:tc>
        <w:tc>
          <w:tcPr>
            <w:tcW w:w="3996" w:type="dxa"/>
            <w:hideMark/>
          </w:tcPr>
          <w:p w14:paraId="295EB218" w14:textId="77777777" w:rsidR="00115C1A" w:rsidRPr="00A72B8E" w:rsidRDefault="00115C1A" w:rsidP="00511C1C">
            <w:pPr>
              <w:rPr>
                <w:sz w:val="22"/>
                <w:szCs w:val="22"/>
              </w:rPr>
            </w:pPr>
            <w:r w:rsidRPr="00A72B8E">
              <w:rPr>
                <w:sz w:val="22"/>
                <w:szCs w:val="22"/>
              </w:rPr>
              <w:t xml:space="preserve">Operating Margin = (Operating profit + Exceptional and non-underlying items*) / Turnover </w:t>
            </w:r>
            <w:r w:rsidRPr="00A72B8E">
              <w:rPr>
                <w:sz w:val="22"/>
                <w:szCs w:val="22"/>
              </w:rPr>
              <w:br/>
            </w:r>
            <w:r w:rsidRPr="00A72B8E">
              <w:rPr>
                <w:sz w:val="22"/>
                <w:szCs w:val="22"/>
              </w:rPr>
              <w:br/>
            </w:r>
            <w:r w:rsidRPr="00A72B8E">
              <w:rPr>
                <w:b/>
                <w:sz w:val="22"/>
                <w:szCs w:val="22"/>
              </w:rPr>
              <w:t>Operating profit</w:t>
            </w:r>
            <w:r w:rsidRPr="00A72B8E">
              <w:rPr>
                <w:sz w:val="22"/>
                <w:szCs w:val="22"/>
              </w:rPr>
              <w:t xml:space="preserve"> is the sum of: Other operating income/expense, </w:t>
            </w:r>
            <w:proofErr w:type="gramStart"/>
            <w:r w:rsidRPr="00A72B8E">
              <w:rPr>
                <w:sz w:val="22"/>
                <w:szCs w:val="22"/>
              </w:rPr>
              <w:t>Administrative</w:t>
            </w:r>
            <w:proofErr w:type="gramEnd"/>
            <w:r w:rsidRPr="00A72B8E">
              <w:rPr>
                <w:sz w:val="22"/>
                <w:szCs w:val="22"/>
              </w:rPr>
              <w:t xml:space="preserve"> income/expense, Grant income (e.g. Government income), Impairment losses/gains and Restructuring costs.</w:t>
            </w:r>
            <w:r w:rsidRPr="00A72B8E">
              <w:rPr>
                <w:sz w:val="22"/>
                <w:szCs w:val="22"/>
              </w:rPr>
              <w:br/>
              <w:t>*Exceptional and non-underlying items are only included if value is negative.</w:t>
            </w:r>
          </w:p>
        </w:tc>
        <w:tc>
          <w:tcPr>
            <w:tcW w:w="1502" w:type="dxa"/>
          </w:tcPr>
          <w:p w14:paraId="30E30601" w14:textId="77777777" w:rsidR="00115C1A" w:rsidRPr="009F6376" w:rsidRDefault="00115C1A" w:rsidP="00115C1A">
            <w:pPr>
              <w:pStyle w:val="ListParagraph"/>
              <w:numPr>
                <w:ilvl w:val="0"/>
                <w:numId w:val="82"/>
              </w:numPr>
              <w:ind w:left="178" w:hanging="141"/>
              <w:rPr>
                <w:sz w:val="22"/>
                <w:szCs w:val="22"/>
              </w:rPr>
            </w:pPr>
            <w:r w:rsidRPr="009F6376">
              <w:rPr>
                <w:sz w:val="22"/>
                <w:szCs w:val="22"/>
              </w:rPr>
              <w:t>(Low Risk): Greater than 10%</w:t>
            </w:r>
          </w:p>
          <w:p w14:paraId="106A328D" w14:textId="77777777" w:rsidR="00115C1A" w:rsidRPr="008D5524" w:rsidRDefault="00115C1A" w:rsidP="00115C1A">
            <w:pPr>
              <w:pStyle w:val="ListParagraph"/>
              <w:numPr>
                <w:ilvl w:val="0"/>
                <w:numId w:val="82"/>
              </w:numPr>
              <w:ind w:left="178" w:hanging="141"/>
              <w:rPr>
                <w:sz w:val="22"/>
                <w:szCs w:val="22"/>
              </w:rPr>
            </w:pPr>
            <w:r w:rsidRPr="008D5524">
              <w:rPr>
                <w:sz w:val="22"/>
                <w:szCs w:val="22"/>
              </w:rPr>
              <w:t>(High Risk): Less than 5%</w:t>
            </w:r>
          </w:p>
        </w:tc>
      </w:tr>
      <w:tr w:rsidR="00115C1A" w:rsidRPr="00535C34" w14:paraId="5F735448" w14:textId="77777777" w:rsidTr="009129BC">
        <w:trPr>
          <w:trHeight w:val="699"/>
        </w:trPr>
        <w:tc>
          <w:tcPr>
            <w:tcW w:w="3995" w:type="dxa"/>
            <w:hideMark/>
          </w:tcPr>
          <w:p w14:paraId="160F355D" w14:textId="77777777" w:rsidR="00115C1A" w:rsidRPr="00A72B8E" w:rsidRDefault="00115C1A" w:rsidP="00511C1C">
            <w:pPr>
              <w:rPr>
                <w:sz w:val="22"/>
                <w:szCs w:val="22"/>
              </w:rPr>
            </w:pPr>
            <w:r w:rsidRPr="00A72B8E">
              <w:rPr>
                <w:sz w:val="22"/>
                <w:szCs w:val="22"/>
              </w:rPr>
              <w:t>Metric 3 (A) – Free Cash Flow to Net Debt Ratio</w:t>
            </w:r>
            <w:r w:rsidRPr="00A72B8E">
              <w:rPr>
                <w:sz w:val="22"/>
                <w:szCs w:val="22"/>
              </w:rPr>
              <w:br/>
            </w:r>
            <w:r w:rsidRPr="00A72B8E">
              <w:rPr>
                <w:sz w:val="22"/>
                <w:szCs w:val="22"/>
              </w:rPr>
              <w:br/>
              <w:t>(Metrics 3(A) and 3(B) are alternative measures. Metric 3(A) is more relevant to capital intensive sectors and Metric 3(B) to less capital intensive sectors.)</w:t>
            </w:r>
            <w:r w:rsidRPr="00A72B8E">
              <w:rPr>
                <w:sz w:val="22"/>
                <w:szCs w:val="22"/>
              </w:rPr>
              <w:br/>
            </w:r>
            <w:r w:rsidRPr="00A72B8E">
              <w:rPr>
                <w:sz w:val="22"/>
                <w:szCs w:val="22"/>
              </w:rPr>
              <w:br/>
            </w:r>
            <w:r w:rsidRPr="00A72B8E">
              <w:rPr>
                <w:i/>
                <w:sz w:val="22"/>
                <w:szCs w:val="22"/>
              </w:rPr>
              <w:t>Free Cash Flow to Net Debt Ratio = Free Cash Flow / Net Debt</w:t>
            </w:r>
            <w:r w:rsidRPr="00A72B8E">
              <w:rPr>
                <w:sz w:val="22"/>
                <w:szCs w:val="22"/>
              </w:rPr>
              <w:br/>
            </w:r>
            <w:r w:rsidRPr="00A72B8E">
              <w:rPr>
                <w:sz w:val="22"/>
                <w:szCs w:val="22"/>
              </w:rPr>
              <w:br/>
            </w:r>
            <w:r w:rsidRPr="00A72B8E">
              <w:rPr>
                <w:b/>
                <w:sz w:val="22"/>
                <w:szCs w:val="22"/>
              </w:rPr>
              <w:t>Definition</w:t>
            </w:r>
            <w:r w:rsidRPr="00A72B8E">
              <w:rPr>
                <w:sz w:val="22"/>
                <w:szCs w:val="22"/>
              </w:rPr>
              <w:br/>
            </w:r>
            <w:r w:rsidRPr="00A72B8E">
              <w:rPr>
                <w:i/>
                <w:sz w:val="22"/>
                <w:szCs w:val="22"/>
              </w:rPr>
              <w:t>Free Cash Flow = Net cash flow from operating activities – Capital expenditure</w:t>
            </w:r>
            <w:r w:rsidRPr="00A72B8E">
              <w:rPr>
                <w:i/>
                <w:sz w:val="22"/>
                <w:szCs w:val="22"/>
              </w:rPr>
              <w:br/>
              <w:t>Capital expenditure = Purchase of property, plant &amp; equipment + Purchase of intangible Assets</w:t>
            </w:r>
            <w:r w:rsidRPr="00A72B8E">
              <w:rPr>
                <w:i/>
                <w:sz w:val="22"/>
                <w:szCs w:val="22"/>
              </w:rPr>
              <w:br/>
            </w:r>
            <w:r w:rsidRPr="00A72B8E">
              <w:rPr>
                <w:i/>
                <w:sz w:val="22"/>
                <w:szCs w:val="22"/>
              </w:rPr>
              <w:br/>
              <w:t>Net Debt = Bank overdrafts + Loans and borrowings + Finance leases + Deferred consideration payable – Cash and cash equivalents</w:t>
            </w:r>
          </w:p>
        </w:tc>
        <w:tc>
          <w:tcPr>
            <w:tcW w:w="3996" w:type="dxa"/>
            <w:hideMark/>
          </w:tcPr>
          <w:p w14:paraId="607EEE60" w14:textId="77777777" w:rsidR="00115C1A" w:rsidRPr="00A72B8E" w:rsidRDefault="00115C1A" w:rsidP="00511C1C">
            <w:pPr>
              <w:rPr>
                <w:sz w:val="22"/>
                <w:szCs w:val="22"/>
              </w:rPr>
            </w:pPr>
            <w:r w:rsidRPr="00A72B8E">
              <w:rPr>
                <w:sz w:val="22"/>
                <w:szCs w:val="22"/>
              </w:rPr>
              <w:t>Free Cash Flow to Net Debt Ratio = Free Cash Flow / Net Debt</w:t>
            </w:r>
            <w:r w:rsidRPr="00A72B8E">
              <w:rPr>
                <w:sz w:val="22"/>
                <w:szCs w:val="22"/>
              </w:rPr>
              <w:br/>
            </w:r>
            <w:r w:rsidRPr="00A72B8E">
              <w:rPr>
                <w:sz w:val="22"/>
                <w:szCs w:val="22"/>
              </w:rPr>
              <w:br/>
              <w:t xml:space="preserve">Where </w:t>
            </w:r>
            <w:r w:rsidRPr="00A72B8E">
              <w:rPr>
                <w:b/>
                <w:sz w:val="22"/>
                <w:szCs w:val="22"/>
              </w:rPr>
              <w:t>Free Cash Flow</w:t>
            </w:r>
            <w:r w:rsidRPr="00A72B8E">
              <w:rPr>
                <w:sz w:val="22"/>
                <w:szCs w:val="22"/>
              </w:rPr>
              <w:t xml:space="preserve"> is the sum of: Net cash flow from operating activities (After working capital and tax) and Capital expenditure (Tangible and intangible).</w:t>
            </w:r>
            <w:r w:rsidRPr="00A72B8E">
              <w:rPr>
                <w:sz w:val="22"/>
                <w:szCs w:val="22"/>
              </w:rPr>
              <w:br/>
            </w:r>
            <w:r w:rsidRPr="00A72B8E">
              <w:rPr>
                <w:sz w:val="22"/>
                <w:szCs w:val="22"/>
              </w:rPr>
              <w:br/>
              <w:t xml:space="preserve">Where </w:t>
            </w:r>
            <w:r w:rsidRPr="00A72B8E">
              <w:rPr>
                <w:b/>
                <w:sz w:val="22"/>
                <w:szCs w:val="22"/>
              </w:rPr>
              <w:t>Net Debt</w:t>
            </w:r>
            <w:r w:rsidRPr="00A72B8E">
              <w:rPr>
                <w:sz w:val="22"/>
                <w:szCs w:val="22"/>
              </w:rPr>
              <w:t xml:space="preserve"> is the sum of:</w:t>
            </w:r>
            <w:r w:rsidRPr="00A72B8E">
              <w:rPr>
                <w:sz w:val="22"/>
                <w:szCs w:val="22"/>
              </w:rPr>
              <w:br/>
              <w:t>1. Current Liabilities: Loans and overdrafts, Deferred consideration, Lease liabilities, Amounts owed to group undertakings, Amounts owed to joint ventures and associates and Derivative financial instruments.</w:t>
            </w:r>
            <w:r w:rsidRPr="00A72B8E">
              <w:rPr>
                <w:sz w:val="22"/>
                <w:szCs w:val="22"/>
              </w:rPr>
              <w:br/>
              <w:t>2. Non-current liabilities: Lease liabilities, Loans and borrowings, Amounts owed to group undertakings, Amounts owed to joint ventures and associates, Deferred consideration and Derivative financial instruments.</w:t>
            </w:r>
            <w:r w:rsidRPr="00A72B8E">
              <w:rPr>
                <w:sz w:val="22"/>
                <w:szCs w:val="22"/>
              </w:rPr>
              <w:br/>
            </w:r>
            <w:r w:rsidRPr="00A72B8E">
              <w:rPr>
                <w:sz w:val="22"/>
                <w:szCs w:val="22"/>
              </w:rPr>
              <w:br/>
              <w:t>Less:</w:t>
            </w:r>
            <w:r w:rsidRPr="00A72B8E">
              <w:rPr>
                <w:sz w:val="22"/>
                <w:szCs w:val="22"/>
              </w:rPr>
              <w:br/>
            </w:r>
            <w:proofErr w:type="gramStart"/>
            <w:r w:rsidRPr="00A72B8E">
              <w:rPr>
                <w:sz w:val="22"/>
                <w:szCs w:val="22"/>
              </w:rPr>
              <w:t>1.Current</w:t>
            </w:r>
            <w:proofErr w:type="gramEnd"/>
            <w:r w:rsidRPr="00A72B8E">
              <w:rPr>
                <w:sz w:val="22"/>
                <w:szCs w:val="22"/>
              </w:rPr>
              <w:t xml:space="preserve"> Assets: Derivative financial instruments, Other current financial assets (i.e. MMFs, secured loan notes), Cash and cash equivalents (</w:t>
            </w:r>
            <w:proofErr w:type="spellStart"/>
            <w:r w:rsidRPr="00A72B8E">
              <w:rPr>
                <w:sz w:val="22"/>
                <w:szCs w:val="22"/>
              </w:rPr>
              <w:t>Incl</w:t>
            </w:r>
            <w:proofErr w:type="spellEnd"/>
            <w:r w:rsidRPr="00A72B8E">
              <w:rPr>
                <w:sz w:val="22"/>
                <w:szCs w:val="22"/>
              </w:rPr>
              <w:t xml:space="preserve"> marketable securities) and Investments.</w:t>
            </w:r>
          </w:p>
        </w:tc>
        <w:tc>
          <w:tcPr>
            <w:tcW w:w="1502" w:type="dxa"/>
          </w:tcPr>
          <w:p w14:paraId="008BBE8F" w14:textId="77777777" w:rsidR="00115C1A" w:rsidRPr="009F6376" w:rsidRDefault="00115C1A" w:rsidP="00115C1A">
            <w:pPr>
              <w:pStyle w:val="ListParagraph"/>
              <w:numPr>
                <w:ilvl w:val="0"/>
                <w:numId w:val="82"/>
              </w:numPr>
              <w:ind w:left="178" w:hanging="141"/>
              <w:rPr>
                <w:sz w:val="22"/>
                <w:szCs w:val="22"/>
              </w:rPr>
            </w:pPr>
            <w:r w:rsidRPr="009F6376">
              <w:rPr>
                <w:sz w:val="22"/>
                <w:szCs w:val="22"/>
              </w:rPr>
              <w:t>(Low Risk): Greater than 15%</w:t>
            </w:r>
          </w:p>
          <w:p w14:paraId="0C1A13B9" w14:textId="77777777" w:rsidR="00115C1A" w:rsidRPr="008D5524" w:rsidRDefault="00115C1A" w:rsidP="00115C1A">
            <w:pPr>
              <w:pStyle w:val="ListParagraph"/>
              <w:numPr>
                <w:ilvl w:val="0"/>
                <w:numId w:val="82"/>
              </w:numPr>
              <w:ind w:left="178" w:hanging="141"/>
              <w:rPr>
                <w:sz w:val="22"/>
                <w:szCs w:val="22"/>
              </w:rPr>
            </w:pPr>
            <w:r w:rsidRPr="008D5524">
              <w:rPr>
                <w:sz w:val="22"/>
                <w:szCs w:val="22"/>
              </w:rPr>
              <w:t>(High Risk): Less than 5%</w:t>
            </w:r>
          </w:p>
        </w:tc>
      </w:tr>
      <w:tr w:rsidR="00115C1A" w:rsidRPr="00535C34" w14:paraId="5EA61806" w14:textId="77777777" w:rsidTr="009129BC">
        <w:trPr>
          <w:trHeight w:val="1692"/>
        </w:trPr>
        <w:tc>
          <w:tcPr>
            <w:tcW w:w="3995" w:type="dxa"/>
            <w:hideMark/>
          </w:tcPr>
          <w:p w14:paraId="66753CB6" w14:textId="77777777" w:rsidR="00115C1A" w:rsidRPr="00A72B8E" w:rsidRDefault="00115C1A" w:rsidP="00511C1C">
            <w:pPr>
              <w:rPr>
                <w:sz w:val="22"/>
                <w:szCs w:val="22"/>
              </w:rPr>
            </w:pPr>
            <w:r w:rsidRPr="00A72B8E">
              <w:rPr>
                <w:sz w:val="22"/>
                <w:szCs w:val="22"/>
              </w:rPr>
              <w:t>Metric 3(B) – Net Debt to EBITDA Ratio</w:t>
            </w:r>
            <w:r w:rsidRPr="00A72B8E">
              <w:rPr>
                <w:sz w:val="22"/>
                <w:szCs w:val="22"/>
              </w:rPr>
              <w:br/>
            </w:r>
            <w:r w:rsidRPr="00A72B8E">
              <w:rPr>
                <w:sz w:val="22"/>
                <w:szCs w:val="22"/>
              </w:rPr>
              <w:br/>
              <w:t>(Metrics 3(A) and 3(B) are alternative measures. Metric 3(A) is more relevant to capital</w:t>
            </w:r>
            <w:r w:rsidRPr="00A72B8E">
              <w:rPr>
                <w:sz w:val="22"/>
                <w:szCs w:val="22"/>
              </w:rPr>
              <w:br/>
              <w:t xml:space="preserve">intensive sectors and Metric 3(B) to less </w:t>
            </w:r>
            <w:proofErr w:type="gramStart"/>
            <w:r w:rsidRPr="00A72B8E">
              <w:rPr>
                <w:sz w:val="22"/>
                <w:szCs w:val="22"/>
              </w:rPr>
              <w:t>capital intensive</w:t>
            </w:r>
            <w:proofErr w:type="gramEnd"/>
            <w:r w:rsidRPr="00A72B8E">
              <w:rPr>
                <w:sz w:val="22"/>
                <w:szCs w:val="22"/>
              </w:rPr>
              <w:t xml:space="preserve"> sectors.)</w:t>
            </w:r>
            <w:r w:rsidRPr="00A72B8E">
              <w:rPr>
                <w:sz w:val="22"/>
                <w:szCs w:val="22"/>
              </w:rPr>
              <w:br/>
            </w:r>
            <w:r w:rsidRPr="00A72B8E">
              <w:rPr>
                <w:sz w:val="22"/>
                <w:szCs w:val="22"/>
              </w:rPr>
              <w:br/>
            </w:r>
            <w:r w:rsidRPr="00A72B8E">
              <w:rPr>
                <w:i/>
                <w:sz w:val="22"/>
                <w:szCs w:val="22"/>
              </w:rPr>
              <w:t>Net Debt to EBITDA ratio = Net Debt / EBITDA</w:t>
            </w:r>
            <w:r w:rsidRPr="00A72B8E">
              <w:rPr>
                <w:sz w:val="22"/>
                <w:szCs w:val="22"/>
              </w:rPr>
              <w:br/>
            </w:r>
            <w:r w:rsidRPr="00A72B8E">
              <w:rPr>
                <w:sz w:val="22"/>
                <w:szCs w:val="22"/>
              </w:rPr>
              <w:br/>
            </w:r>
            <w:r w:rsidRPr="00A72B8E">
              <w:rPr>
                <w:b/>
                <w:sz w:val="22"/>
                <w:szCs w:val="22"/>
              </w:rPr>
              <w:t>Definition</w:t>
            </w:r>
            <w:r w:rsidRPr="00A72B8E">
              <w:rPr>
                <w:sz w:val="22"/>
                <w:szCs w:val="22"/>
              </w:rPr>
              <w:br/>
            </w:r>
            <w:r w:rsidRPr="00A72B8E">
              <w:rPr>
                <w:i/>
                <w:sz w:val="22"/>
                <w:szCs w:val="22"/>
              </w:rPr>
              <w:t>Net Debt = Bank overdrafts + Loans and borrowings + Finance leases + Deferred consideration payable – Cash and cash equivalents</w:t>
            </w:r>
            <w:r w:rsidRPr="00A72B8E">
              <w:rPr>
                <w:i/>
                <w:sz w:val="22"/>
                <w:szCs w:val="22"/>
              </w:rPr>
              <w:br/>
            </w:r>
            <w:r w:rsidRPr="00A72B8E">
              <w:rPr>
                <w:i/>
                <w:sz w:val="22"/>
                <w:szCs w:val="22"/>
              </w:rPr>
              <w:br/>
              <w:t>EBITDA = Operating profit + Depreciation charge + Amortisation charge</w:t>
            </w:r>
          </w:p>
        </w:tc>
        <w:tc>
          <w:tcPr>
            <w:tcW w:w="3996" w:type="dxa"/>
            <w:hideMark/>
          </w:tcPr>
          <w:p w14:paraId="3AA6FF83" w14:textId="77777777" w:rsidR="00115C1A" w:rsidRPr="00A72B8E" w:rsidRDefault="00115C1A" w:rsidP="00511C1C">
            <w:pPr>
              <w:rPr>
                <w:sz w:val="22"/>
                <w:szCs w:val="22"/>
              </w:rPr>
            </w:pPr>
            <w:r w:rsidRPr="00A72B8E">
              <w:rPr>
                <w:sz w:val="22"/>
                <w:szCs w:val="22"/>
              </w:rPr>
              <w:t>Net Debt to EBITDA Ratio = Net Debt / EBITDA</w:t>
            </w:r>
            <w:r w:rsidRPr="00A72B8E">
              <w:rPr>
                <w:sz w:val="22"/>
                <w:szCs w:val="22"/>
              </w:rPr>
              <w:br/>
            </w:r>
            <w:r w:rsidRPr="00A72B8E">
              <w:rPr>
                <w:sz w:val="22"/>
                <w:szCs w:val="22"/>
              </w:rPr>
              <w:br/>
              <w:t xml:space="preserve">Where </w:t>
            </w:r>
            <w:r w:rsidRPr="00A72B8E">
              <w:rPr>
                <w:b/>
                <w:sz w:val="22"/>
                <w:szCs w:val="22"/>
              </w:rPr>
              <w:t>Net Debt</w:t>
            </w:r>
            <w:r w:rsidRPr="00A72B8E">
              <w:rPr>
                <w:sz w:val="22"/>
                <w:szCs w:val="22"/>
              </w:rPr>
              <w:t xml:space="preserve"> is the sum of:</w:t>
            </w:r>
            <w:r w:rsidRPr="00A72B8E">
              <w:rPr>
                <w:sz w:val="22"/>
                <w:szCs w:val="22"/>
              </w:rPr>
              <w:br/>
              <w:t>1. Current Liabilities: Loans and overdrafts, Deferred consideration, Lease liabilities, Amounts owed to group undertakings, Amounts owed to joint ventures and associates and Derivative financial instruments.</w:t>
            </w:r>
            <w:r w:rsidRPr="00A72B8E">
              <w:rPr>
                <w:sz w:val="22"/>
                <w:szCs w:val="22"/>
              </w:rPr>
              <w:br/>
              <w:t>2. Non-current liabilities: Lease liabilities, Loans and borrowings, Amounts owed to group undertakings, Amounts owed to joint ventures and associates, Deferred consideration and Derivative financial instruments.</w:t>
            </w:r>
            <w:r w:rsidRPr="00A72B8E">
              <w:rPr>
                <w:sz w:val="22"/>
                <w:szCs w:val="22"/>
              </w:rPr>
              <w:br/>
            </w:r>
            <w:r w:rsidRPr="00A72B8E">
              <w:rPr>
                <w:sz w:val="22"/>
                <w:szCs w:val="22"/>
              </w:rPr>
              <w:br/>
              <w:t>Less:</w:t>
            </w:r>
            <w:r w:rsidRPr="00A72B8E">
              <w:rPr>
                <w:sz w:val="22"/>
                <w:szCs w:val="22"/>
              </w:rPr>
              <w:br/>
              <w:t>1.Current Assets: Derivative financial instruments, Other current financial assets (i.e. MMFs, secured loan notes), Cash and cash equivalents (</w:t>
            </w:r>
            <w:proofErr w:type="spellStart"/>
            <w:r w:rsidRPr="00A72B8E">
              <w:rPr>
                <w:sz w:val="22"/>
                <w:szCs w:val="22"/>
              </w:rPr>
              <w:t>Incl</w:t>
            </w:r>
            <w:proofErr w:type="spellEnd"/>
            <w:r w:rsidRPr="00A72B8E">
              <w:rPr>
                <w:sz w:val="22"/>
                <w:szCs w:val="22"/>
              </w:rPr>
              <w:t xml:space="preserve"> marketable securities) and Investments.</w:t>
            </w:r>
            <w:r w:rsidRPr="00A72B8E">
              <w:rPr>
                <w:sz w:val="22"/>
                <w:szCs w:val="22"/>
              </w:rPr>
              <w:br/>
            </w:r>
            <w:r w:rsidRPr="00A72B8E">
              <w:rPr>
                <w:sz w:val="22"/>
                <w:szCs w:val="22"/>
              </w:rPr>
              <w:br/>
              <w:t xml:space="preserve">Where </w:t>
            </w:r>
            <w:r w:rsidRPr="00A72B8E">
              <w:rPr>
                <w:b/>
                <w:sz w:val="22"/>
                <w:szCs w:val="22"/>
              </w:rPr>
              <w:t>EBITDA</w:t>
            </w:r>
            <w:r w:rsidRPr="00A72B8E">
              <w:rPr>
                <w:sz w:val="22"/>
                <w:szCs w:val="22"/>
              </w:rPr>
              <w:t xml:space="preserve"> is: Operating profit plus Exceptional and non-underlying items* less Depreciation and Amortisation.</w:t>
            </w:r>
            <w:r w:rsidRPr="00A72B8E">
              <w:rPr>
                <w:sz w:val="22"/>
                <w:szCs w:val="22"/>
              </w:rPr>
              <w:br/>
            </w:r>
            <w:r w:rsidRPr="00A72B8E">
              <w:rPr>
                <w:sz w:val="22"/>
                <w:szCs w:val="22"/>
              </w:rPr>
              <w:br/>
            </w:r>
            <w:r w:rsidRPr="00A72B8E">
              <w:rPr>
                <w:b/>
                <w:sz w:val="22"/>
                <w:szCs w:val="22"/>
              </w:rPr>
              <w:t>Operating profit</w:t>
            </w:r>
            <w:r w:rsidRPr="00A72B8E">
              <w:rPr>
                <w:sz w:val="22"/>
                <w:szCs w:val="22"/>
              </w:rPr>
              <w:t xml:space="preserve"> is the sum of: Gross profit, Other operating income/expense, Administrative income/expense, Grant income (e.g. Government income), Impairment losses/gains and Restructuring costs.</w:t>
            </w:r>
            <w:r w:rsidRPr="00A72B8E">
              <w:rPr>
                <w:sz w:val="22"/>
                <w:szCs w:val="22"/>
              </w:rPr>
              <w:br/>
              <w:t>*Exceptional and non-underlying items are included in the calculation where the value is negative.</w:t>
            </w:r>
          </w:p>
        </w:tc>
        <w:tc>
          <w:tcPr>
            <w:tcW w:w="1502" w:type="dxa"/>
          </w:tcPr>
          <w:p w14:paraId="33A525EC" w14:textId="77777777" w:rsidR="00115C1A" w:rsidRPr="00E66809" w:rsidRDefault="00115C1A" w:rsidP="00115C1A">
            <w:pPr>
              <w:pStyle w:val="ListParagraph"/>
              <w:numPr>
                <w:ilvl w:val="0"/>
                <w:numId w:val="82"/>
              </w:numPr>
              <w:ind w:left="178" w:hanging="141"/>
              <w:rPr>
                <w:rFonts w:eastAsia="Arial"/>
                <w:sz w:val="22"/>
                <w:szCs w:val="22"/>
              </w:rPr>
            </w:pPr>
            <w:r w:rsidRPr="009F6376">
              <w:rPr>
                <w:rFonts w:eastAsiaTheme="minorHAnsi" w:cstheme="minorBidi"/>
                <w:sz w:val="22"/>
                <w:szCs w:val="22"/>
              </w:rPr>
              <w:t>(Low Risk): Less than 4.0</w:t>
            </w:r>
          </w:p>
          <w:p w14:paraId="61ACA6B3" w14:textId="77777777" w:rsidR="00115C1A" w:rsidRPr="00E66809" w:rsidRDefault="00115C1A" w:rsidP="00115C1A">
            <w:pPr>
              <w:pStyle w:val="ListParagraph"/>
              <w:numPr>
                <w:ilvl w:val="0"/>
                <w:numId w:val="82"/>
              </w:numPr>
              <w:ind w:left="178" w:hanging="141"/>
              <w:rPr>
                <w:rFonts w:eastAsia="Arial"/>
                <w:sz w:val="22"/>
                <w:szCs w:val="22"/>
              </w:rPr>
            </w:pPr>
            <w:r w:rsidRPr="009F6376">
              <w:rPr>
                <w:rFonts w:eastAsiaTheme="minorHAnsi" w:cstheme="minorBidi"/>
                <w:sz w:val="22"/>
                <w:szCs w:val="22"/>
              </w:rPr>
              <w:t>(High Risk): Greater than 15</w:t>
            </w:r>
          </w:p>
          <w:p w14:paraId="3784044F" w14:textId="77777777" w:rsidR="00115C1A" w:rsidRPr="006C096D" w:rsidRDefault="00115C1A" w:rsidP="00511C1C">
            <w:pPr>
              <w:rPr>
                <w:sz w:val="22"/>
                <w:szCs w:val="22"/>
              </w:rPr>
            </w:pPr>
          </w:p>
        </w:tc>
      </w:tr>
      <w:tr w:rsidR="00115C1A" w:rsidRPr="00535C34" w14:paraId="10E55FEE" w14:textId="77777777" w:rsidTr="009129BC">
        <w:trPr>
          <w:trHeight w:val="2550"/>
        </w:trPr>
        <w:tc>
          <w:tcPr>
            <w:tcW w:w="3995" w:type="dxa"/>
            <w:hideMark/>
          </w:tcPr>
          <w:p w14:paraId="24F48967" w14:textId="77777777" w:rsidR="00115C1A" w:rsidRPr="00A72B8E" w:rsidRDefault="00115C1A" w:rsidP="00511C1C">
            <w:pPr>
              <w:rPr>
                <w:sz w:val="22"/>
                <w:szCs w:val="22"/>
              </w:rPr>
            </w:pPr>
            <w:r w:rsidRPr="00A72B8E">
              <w:rPr>
                <w:sz w:val="22"/>
                <w:szCs w:val="22"/>
              </w:rPr>
              <w:t>Metric 4 – Net Interest Paid Cover</w:t>
            </w:r>
            <w:r w:rsidRPr="00A72B8E">
              <w:rPr>
                <w:sz w:val="22"/>
                <w:szCs w:val="22"/>
              </w:rPr>
              <w:br/>
            </w:r>
            <w:r w:rsidRPr="00A72B8E">
              <w:rPr>
                <w:sz w:val="22"/>
                <w:szCs w:val="22"/>
              </w:rPr>
              <w:br/>
            </w:r>
            <w:r w:rsidRPr="00A72B8E">
              <w:rPr>
                <w:i/>
                <w:sz w:val="22"/>
                <w:szCs w:val="22"/>
              </w:rPr>
              <w:t>Net Interest Paid Cover = Earnings Before Interest and Tax / Net Interest Paid</w:t>
            </w:r>
            <w:r w:rsidRPr="00A72B8E">
              <w:rPr>
                <w:i/>
                <w:sz w:val="22"/>
                <w:szCs w:val="22"/>
              </w:rPr>
              <w:br/>
            </w:r>
            <w:r w:rsidRPr="00A72B8E">
              <w:rPr>
                <w:sz w:val="22"/>
                <w:szCs w:val="22"/>
              </w:rPr>
              <w:br/>
            </w:r>
            <w:r w:rsidRPr="00A72B8E">
              <w:rPr>
                <w:b/>
                <w:sz w:val="22"/>
                <w:szCs w:val="22"/>
              </w:rPr>
              <w:t>Definition</w:t>
            </w:r>
            <w:r w:rsidRPr="00A72B8E">
              <w:rPr>
                <w:sz w:val="22"/>
                <w:szCs w:val="22"/>
              </w:rPr>
              <w:br/>
            </w:r>
            <w:r w:rsidRPr="00A72B8E">
              <w:rPr>
                <w:i/>
                <w:sz w:val="22"/>
                <w:szCs w:val="22"/>
              </w:rPr>
              <w:t>Earnings Before Interest and Tax = Operating profit</w:t>
            </w:r>
            <w:r w:rsidRPr="00A72B8E">
              <w:rPr>
                <w:i/>
                <w:sz w:val="22"/>
                <w:szCs w:val="22"/>
              </w:rPr>
              <w:br/>
            </w:r>
            <w:r w:rsidRPr="00A72B8E">
              <w:rPr>
                <w:i/>
                <w:sz w:val="22"/>
                <w:szCs w:val="22"/>
              </w:rPr>
              <w:br/>
              <w:t>Net Interest Paid = Interest paid – Interest received</w:t>
            </w:r>
          </w:p>
        </w:tc>
        <w:tc>
          <w:tcPr>
            <w:tcW w:w="3996" w:type="dxa"/>
            <w:hideMark/>
          </w:tcPr>
          <w:p w14:paraId="54480B7C" w14:textId="77777777" w:rsidR="00115C1A" w:rsidRPr="00A72B8E" w:rsidRDefault="00115C1A" w:rsidP="00511C1C">
            <w:pPr>
              <w:rPr>
                <w:sz w:val="22"/>
                <w:szCs w:val="22"/>
              </w:rPr>
            </w:pPr>
            <w:r w:rsidRPr="00A72B8E">
              <w:rPr>
                <w:sz w:val="22"/>
                <w:szCs w:val="22"/>
              </w:rPr>
              <w:t>Net Interest Paid Cover = (Operating profit + Exceptional and non-underlying items* + Share of results of associates and joint ventures) / - (Interest Received + Interest Paid)</w:t>
            </w:r>
            <w:r w:rsidRPr="00A72B8E">
              <w:rPr>
                <w:sz w:val="22"/>
                <w:szCs w:val="22"/>
              </w:rPr>
              <w:br/>
            </w:r>
            <w:r w:rsidRPr="00A72B8E">
              <w:rPr>
                <w:sz w:val="22"/>
                <w:szCs w:val="22"/>
              </w:rPr>
              <w:br/>
            </w:r>
            <w:r w:rsidRPr="00A72B8E">
              <w:rPr>
                <w:b/>
                <w:sz w:val="22"/>
                <w:szCs w:val="22"/>
              </w:rPr>
              <w:t>Operating profit</w:t>
            </w:r>
            <w:r w:rsidRPr="00A72B8E">
              <w:rPr>
                <w:sz w:val="22"/>
                <w:szCs w:val="22"/>
              </w:rPr>
              <w:t xml:space="preserve"> is the sum of: Gross profit, Other operating income/expense, Administrative income/expense, Grant income (e.g. Government income), Impairment losses/gains and Restructuring costs.</w:t>
            </w:r>
            <w:r w:rsidRPr="00A72B8E">
              <w:rPr>
                <w:sz w:val="22"/>
                <w:szCs w:val="22"/>
              </w:rPr>
              <w:br/>
              <w:t>*Exceptional and non-underlying items are only included if value is negative.</w:t>
            </w:r>
          </w:p>
        </w:tc>
        <w:tc>
          <w:tcPr>
            <w:tcW w:w="1502" w:type="dxa"/>
          </w:tcPr>
          <w:p w14:paraId="6AED706E" w14:textId="77777777" w:rsidR="00115C1A" w:rsidRPr="00A72B8E" w:rsidRDefault="00115C1A" w:rsidP="00115C1A">
            <w:pPr>
              <w:pStyle w:val="ListParagraph"/>
              <w:numPr>
                <w:ilvl w:val="0"/>
                <w:numId w:val="82"/>
              </w:numPr>
              <w:ind w:left="178" w:hanging="141"/>
              <w:rPr>
                <w:sz w:val="22"/>
                <w:szCs w:val="22"/>
              </w:rPr>
            </w:pPr>
            <w:r w:rsidRPr="00A72B8E">
              <w:rPr>
                <w:sz w:val="22"/>
                <w:szCs w:val="22"/>
              </w:rPr>
              <w:t>(Low Risk): Greater than 4.5</w:t>
            </w:r>
          </w:p>
          <w:p w14:paraId="31FF2ABE" w14:textId="77777777" w:rsidR="00115C1A" w:rsidRPr="00FA0F6E" w:rsidRDefault="00115C1A" w:rsidP="00115C1A">
            <w:pPr>
              <w:pStyle w:val="ListParagraph"/>
              <w:numPr>
                <w:ilvl w:val="0"/>
                <w:numId w:val="82"/>
              </w:numPr>
              <w:ind w:left="178" w:hanging="141"/>
              <w:rPr>
                <w:rFonts w:eastAsiaTheme="minorHAnsi" w:cstheme="minorBidi"/>
                <w:sz w:val="22"/>
                <w:szCs w:val="22"/>
              </w:rPr>
            </w:pPr>
            <w:r w:rsidRPr="00FA0F6E">
              <w:rPr>
                <w:rFonts w:eastAsiaTheme="minorHAnsi" w:cstheme="minorBidi"/>
                <w:sz w:val="22"/>
                <w:szCs w:val="22"/>
              </w:rPr>
              <w:t>(High Risk): Less than 2.5</w:t>
            </w:r>
          </w:p>
          <w:p w14:paraId="25177B64" w14:textId="77777777" w:rsidR="00115C1A" w:rsidRPr="009F6376" w:rsidRDefault="00115C1A" w:rsidP="00511C1C">
            <w:pPr>
              <w:rPr>
                <w:sz w:val="22"/>
                <w:szCs w:val="22"/>
              </w:rPr>
            </w:pPr>
          </w:p>
        </w:tc>
      </w:tr>
      <w:tr w:rsidR="00115C1A" w:rsidRPr="00535C34" w14:paraId="6F55ED4F" w14:textId="77777777" w:rsidTr="009129BC">
        <w:trPr>
          <w:trHeight w:val="510"/>
        </w:trPr>
        <w:tc>
          <w:tcPr>
            <w:tcW w:w="3995" w:type="dxa"/>
            <w:hideMark/>
          </w:tcPr>
          <w:p w14:paraId="4A9DF491" w14:textId="77777777" w:rsidR="00115C1A" w:rsidRPr="00A72B8E" w:rsidRDefault="00115C1A" w:rsidP="00511C1C">
            <w:pPr>
              <w:rPr>
                <w:sz w:val="22"/>
                <w:szCs w:val="22"/>
              </w:rPr>
            </w:pPr>
            <w:r w:rsidRPr="00A72B8E">
              <w:rPr>
                <w:sz w:val="22"/>
                <w:szCs w:val="22"/>
              </w:rPr>
              <w:t>Metric 5 – Acid Ratio / Quick Ratio</w:t>
            </w:r>
            <w:r w:rsidRPr="00A72B8E">
              <w:rPr>
                <w:sz w:val="22"/>
                <w:szCs w:val="22"/>
              </w:rPr>
              <w:br/>
            </w:r>
            <w:r w:rsidRPr="00A72B8E">
              <w:rPr>
                <w:sz w:val="22"/>
                <w:szCs w:val="22"/>
              </w:rPr>
              <w:br/>
            </w:r>
            <w:r w:rsidRPr="00A72B8E">
              <w:rPr>
                <w:i/>
                <w:sz w:val="22"/>
                <w:szCs w:val="22"/>
              </w:rPr>
              <w:t>Acid Ratio = (Current Assets – Inventories)/ Current Liabilities</w:t>
            </w:r>
          </w:p>
        </w:tc>
        <w:tc>
          <w:tcPr>
            <w:tcW w:w="3996" w:type="dxa"/>
            <w:hideMark/>
          </w:tcPr>
          <w:p w14:paraId="28BC46FA" w14:textId="77777777" w:rsidR="00115C1A" w:rsidRPr="00A72B8E" w:rsidRDefault="00115C1A" w:rsidP="00511C1C">
            <w:pPr>
              <w:rPr>
                <w:sz w:val="22"/>
                <w:szCs w:val="22"/>
              </w:rPr>
            </w:pPr>
            <w:r w:rsidRPr="00A72B8E">
              <w:rPr>
                <w:sz w:val="22"/>
                <w:szCs w:val="22"/>
              </w:rPr>
              <w:t>Acid Ratio = (Current Assets - Stock and WIP) / Current liabilities</w:t>
            </w:r>
          </w:p>
        </w:tc>
        <w:tc>
          <w:tcPr>
            <w:tcW w:w="1502" w:type="dxa"/>
          </w:tcPr>
          <w:p w14:paraId="59FBB8AA" w14:textId="77777777" w:rsidR="00115C1A" w:rsidRPr="00A72B8E" w:rsidRDefault="00115C1A" w:rsidP="00115C1A">
            <w:pPr>
              <w:pStyle w:val="ListParagraph"/>
              <w:numPr>
                <w:ilvl w:val="0"/>
                <w:numId w:val="82"/>
              </w:numPr>
              <w:ind w:left="178" w:hanging="141"/>
              <w:rPr>
                <w:sz w:val="22"/>
                <w:szCs w:val="22"/>
              </w:rPr>
            </w:pPr>
            <w:r w:rsidRPr="00A72B8E">
              <w:rPr>
                <w:sz w:val="22"/>
                <w:szCs w:val="22"/>
              </w:rPr>
              <w:t> (Low Risk): Greater than 1</w:t>
            </w:r>
          </w:p>
          <w:p w14:paraId="28E8356A" w14:textId="77777777" w:rsidR="00115C1A" w:rsidRPr="001C6653" w:rsidRDefault="00115C1A" w:rsidP="00115C1A">
            <w:pPr>
              <w:pStyle w:val="ListParagraph"/>
              <w:numPr>
                <w:ilvl w:val="0"/>
                <w:numId w:val="82"/>
              </w:numPr>
              <w:ind w:left="178" w:hanging="141"/>
              <w:rPr>
                <w:rFonts w:eastAsiaTheme="minorHAnsi" w:cstheme="minorBidi"/>
                <w:sz w:val="22"/>
                <w:szCs w:val="22"/>
              </w:rPr>
            </w:pPr>
            <w:r w:rsidRPr="001C6653">
              <w:rPr>
                <w:rFonts w:eastAsiaTheme="minorHAnsi" w:cstheme="minorBidi"/>
                <w:sz w:val="22"/>
                <w:szCs w:val="22"/>
              </w:rPr>
              <w:t>(High Risk): Less than 0.8</w:t>
            </w:r>
          </w:p>
        </w:tc>
      </w:tr>
      <w:tr w:rsidR="00115C1A" w:rsidRPr="00535C34" w14:paraId="5C06EE7F" w14:textId="77777777" w:rsidTr="009129BC">
        <w:trPr>
          <w:trHeight w:val="4335"/>
        </w:trPr>
        <w:tc>
          <w:tcPr>
            <w:tcW w:w="3995" w:type="dxa"/>
            <w:hideMark/>
          </w:tcPr>
          <w:p w14:paraId="4E7DECAE" w14:textId="77777777" w:rsidR="00115C1A" w:rsidRPr="00A72B8E" w:rsidRDefault="00115C1A" w:rsidP="009129BC">
            <w:pPr>
              <w:pStyle w:val="ListParagraph"/>
              <w:ind w:left="178"/>
              <w:rPr>
                <w:sz w:val="22"/>
                <w:szCs w:val="22"/>
              </w:rPr>
            </w:pPr>
            <w:r w:rsidRPr="00A72B8E">
              <w:rPr>
                <w:sz w:val="22"/>
                <w:szCs w:val="22"/>
              </w:rPr>
              <w:t>Metric 6 – Group Exposure Ratio</w:t>
            </w:r>
            <w:r w:rsidRPr="00A72B8E">
              <w:rPr>
                <w:sz w:val="22"/>
                <w:szCs w:val="22"/>
              </w:rPr>
              <w:br/>
            </w:r>
            <w:r w:rsidRPr="00A72B8E">
              <w:rPr>
                <w:sz w:val="22"/>
                <w:szCs w:val="22"/>
              </w:rPr>
              <w:br/>
            </w:r>
            <w:r w:rsidRPr="00A72B8E">
              <w:rPr>
                <w:i/>
                <w:sz w:val="22"/>
                <w:szCs w:val="22"/>
              </w:rPr>
              <w:t>Group Exposure Ratio = Group Exposure / Gross Assets</w:t>
            </w:r>
            <w:r w:rsidRPr="00A72B8E">
              <w:rPr>
                <w:i/>
                <w:sz w:val="22"/>
                <w:szCs w:val="22"/>
              </w:rPr>
              <w:br/>
            </w:r>
            <w:r w:rsidRPr="00A72B8E">
              <w:rPr>
                <w:sz w:val="22"/>
                <w:szCs w:val="22"/>
              </w:rPr>
              <w:br/>
            </w:r>
            <w:r w:rsidRPr="00A72B8E">
              <w:rPr>
                <w:b/>
                <w:sz w:val="22"/>
                <w:szCs w:val="22"/>
              </w:rPr>
              <w:t>Definition</w:t>
            </w:r>
            <w:r w:rsidRPr="00A72B8E">
              <w:rPr>
                <w:sz w:val="22"/>
                <w:szCs w:val="22"/>
              </w:rPr>
              <w:br/>
            </w:r>
            <w:r w:rsidRPr="00A72B8E">
              <w:rPr>
                <w:i/>
                <w:sz w:val="22"/>
                <w:szCs w:val="22"/>
              </w:rPr>
              <w:t>Group Exposure = Balances owed by Group Undertakings + Contingent liabilities assumed in</w:t>
            </w:r>
            <w:r w:rsidRPr="00A72B8E">
              <w:rPr>
                <w:i/>
                <w:sz w:val="22"/>
                <w:szCs w:val="22"/>
              </w:rPr>
              <w:br/>
              <w:t>support of Group Undertakings</w:t>
            </w:r>
            <w:r w:rsidRPr="00A72B8E">
              <w:rPr>
                <w:i/>
                <w:sz w:val="22"/>
                <w:szCs w:val="22"/>
              </w:rPr>
              <w:br/>
            </w:r>
            <w:r w:rsidRPr="00A72B8E">
              <w:rPr>
                <w:i/>
                <w:sz w:val="22"/>
                <w:szCs w:val="22"/>
              </w:rPr>
              <w:br/>
              <w:t>Gross Assets = Fixed Assets + Current Assets</w:t>
            </w:r>
          </w:p>
        </w:tc>
        <w:tc>
          <w:tcPr>
            <w:tcW w:w="3996" w:type="dxa"/>
            <w:hideMark/>
          </w:tcPr>
          <w:p w14:paraId="4FEDA826" w14:textId="77777777" w:rsidR="00115C1A" w:rsidRPr="00A72B8E" w:rsidRDefault="00115C1A" w:rsidP="00511C1C">
            <w:pPr>
              <w:rPr>
                <w:sz w:val="22"/>
                <w:szCs w:val="22"/>
              </w:rPr>
            </w:pPr>
            <w:r w:rsidRPr="00A72B8E">
              <w:rPr>
                <w:sz w:val="22"/>
                <w:szCs w:val="22"/>
              </w:rPr>
              <w:t>Group Exposure Ratio = Group Exposure / Gross Assets</w:t>
            </w:r>
            <w:r w:rsidRPr="00A72B8E">
              <w:rPr>
                <w:sz w:val="22"/>
                <w:szCs w:val="22"/>
              </w:rPr>
              <w:br/>
            </w:r>
            <w:r w:rsidRPr="00A72B8E">
              <w:rPr>
                <w:sz w:val="22"/>
                <w:szCs w:val="22"/>
              </w:rPr>
              <w:br/>
              <w:t xml:space="preserve">Where </w:t>
            </w:r>
            <w:r w:rsidRPr="00A72B8E">
              <w:rPr>
                <w:b/>
                <w:sz w:val="22"/>
                <w:szCs w:val="22"/>
              </w:rPr>
              <w:t>Group Exposure</w:t>
            </w:r>
            <w:r w:rsidRPr="00A72B8E">
              <w:rPr>
                <w:sz w:val="22"/>
                <w:szCs w:val="22"/>
              </w:rPr>
              <w:t xml:space="preserve"> is the sum of:</w:t>
            </w:r>
            <w:r w:rsidRPr="00A72B8E">
              <w:rPr>
                <w:sz w:val="22"/>
                <w:szCs w:val="22"/>
              </w:rPr>
              <w:br/>
              <w:t>1. Other non-current assets: Amounts owed by group undertakings and Amounts owed by joint ventures and associates</w:t>
            </w:r>
            <w:r w:rsidRPr="00A72B8E">
              <w:rPr>
                <w:sz w:val="22"/>
                <w:szCs w:val="22"/>
              </w:rPr>
              <w:br/>
              <w:t>2. Current assets: Amounts owed by group undertakings and Amounts owed by joint ventures and associates</w:t>
            </w:r>
            <w:r w:rsidRPr="00A72B8E">
              <w:rPr>
                <w:sz w:val="22"/>
                <w:szCs w:val="22"/>
              </w:rPr>
              <w:br/>
              <w:t>3. Contingent liabilities in support of group undertakings (£'000s)</w:t>
            </w:r>
            <w:r w:rsidRPr="00A72B8E">
              <w:rPr>
                <w:sz w:val="22"/>
                <w:szCs w:val="22"/>
              </w:rPr>
              <w:br/>
            </w:r>
            <w:r w:rsidRPr="00A72B8E">
              <w:rPr>
                <w:sz w:val="22"/>
                <w:szCs w:val="22"/>
              </w:rPr>
              <w:br/>
              <w:t xml:space="preserve">Where </w:t>
            </w:r>
            <w:r w:rsidRPr="00A72B8E">
              <w:rPr>
                <w:b/>
                <w:sz w:val="22"/>
                <w:szCs w:val="22"/>
              </w:rPr>
              <w:t>Gross Assets</w:t>
            </w:r>
            <w:r w:rsidRPr="00A72B8E">
              <w:rPr>
                <w:sz w:val="22"/>
                <w:szCs w:val="22"/>
              </w:rPr>
              <w:t xml:space="preserve"> is the sum of: </w:t>
            </w:r>
            <w:r w:rsidRPr="00A72B8E">
              <w:rPr>
                <w:sz w:val="22"/>
                <w:szCs w:val="22"/>
              </w:rPr>
              <w:br/>
              <w:t xml:space="preserve">1. Fixed Assets: Other intangible fixed assets, Tangible fixed assets, Other fixed assets (Fixed asset investments, investment properties etc.) and </w:t>
            </w:r>
            <w:proofErr w:type="gramStart"/>
            <w:r w:rsidRPr="00A72B8E">
              <w:rPr>
                <w:sz w:val="22"/>
                <w:szCs w:val="22"/>
              </w:rPr>
              <w:t>Right</w:t>
            </w:r>
            <w:proofErr w:type="gramEnd"/>
            <w:r w:rsidRPr="00A72B8E">
              <w:rPr>
                <w:sz w:val="22"/>
                <w:szCs w:val="22"/>
              </w:rPr>
              <w:t xml:space="preserve"> of use assets</w:t>
            </w:r>
            <w:r w:rsidRPr="00A72B8E">
              <w:rPr>
                <w:sz w:val="22"/>
                <w:szCs w:val="22"/>
              </w:rPr>
              <w:br/>
              <w:t>2. Current Assets</w:t>
            </w:r>
            <w:r w:rsidRPr="00A72B8E">
              <w:rPr>
                <w:sz w:val="22"/>
                <w:szCs w:val="22"/>
              </w:rPr>
              <w:br/>
            </w:r>
            <w:r w:rsidRPr="00A72B8E">
              <w:rPr>
                <w:sz w:val="22"/>
                <w:szCs w:val="22"/>
              </w:rPr>
              <w:br/>
              <w:t>We note that Goodwill has been excluded in the calculation of gross assets.</w:t>
            </w:r>
          </w:p>
        </w:tc>
        <w:tc>
          <w:tcPr>
            <w:tcW w:w="1502" w:type="dxa"/>
          </w:tcPr>
          <w:p w14:paraId="6B58AAF2" w14:textId="77777777" w:rsidR="00115C1A" w:rsidRPr="00A72B8E" w:rsidRDefault="00115C1A" w:rsidP="00115C1A">
            <w:pPr>
              <w:pStyle w:val="ListParagraph"/>
              <w:numPr>
                <w:ilvl w:val="0"/>
                <w:numId w:val="82"/>
              </w:numPr>
              <w:ind w:left="178" w:hanging="141"/>
              <w:rPr>
                <w:sz w:val="22"/>
                <w:szCs w:val="22"/>
              </w:rPr>
            </w:pPr>
            <w:r w:rsidRPr="00A72B8E">
              <w:rPr>
                <w:sz w:val="22"/>
                <w:szCs w:val="22"/>
              </w:rPr>
              <w:t>(Low Risk): Less than 25%</w:t>
            </w:r>
          </w:p>
          <w:p w14:paraId="43A2EA65" w14:textId="77777777" w:rsidR="00115C1A" w:rsidRPr="001C6653" w:rsidRDefault="00115C1A" w:rsidP="00115C1A">
            <w:pPr>
              <w:pStyle w:val="ListParagraph"/>
              <w:numPr>
                <w:ilvl w:val="0"/>
                <w:numId w:val="82"/>
              </w:numPr>
              <w:ind w:left="178" w:hanging="141"/>
              <w:rPr>
                <w:rFonts w:eastAsiaTheme="minorHAnsi" w:cstheme="minorBidi"/>
                <w:sz w:val="22"/>
                <w:szCs w:val="22"/>
              </w:rPr>
            </w:pPr>
            <w:r w:rsidRPr="001C6653">
              <w:rPr>
                <w:rFonts w:eastAsiaTheme="minorHAnsi" w:cstheme="minorBidi"/>
                <w:sz w:val="22"/>
                <w:szCs w:val="22"/>
              </w:rPr>
              <w:t>(High Risk): More than 65%</w:t>
            </w:r>
          </w:p>
        </w:tc>
      </w:tr>
    </w:tbl>
    <w:p w14:paraId="10F854C2" w14:textId="77777777" w:rsidR="00115C1A" w:rsidRPr="00684D56" w:rsidRDefault="00115C1A" w:rsidP="00115C1A"/>
    <w:p w14:paraId="1E8214A0" w14:textId="75751BF1" w:rsidR="009553EC" w:rsidRDefault="002B3DDD" w:rsidP="00BA20FF">
      <w:pPr>
        <w:jc w:val="both"/>
        <w:rPr>
          <w:rFonts w:cs="Arial"/>
          <w:b/>
          <w:color w:val="009999"/>
          <w:sz w:val="28"/>
          <w:szCs w:val="28"/>
        </w:rPr>
      </w:pPr>
      <w:r>
        <w:rPr>
          <w:rFonts w:cs="Arial"/>
          <w:b/>
          <w:color w:val="009999"/>
          <w:sz w:val="28"/>
          <w:szCs w:val="28"/>
        </w:rPr>
        <w:br w:type="page"/>
      </w:r>
    </w:p>
    <w:p w14:paraId="4255ECB2" w14:textId="0A24332B" w:rsidR="00504695" w:rsidRPr="0085565B" w:rsidRDefault="0085565B" w:rsidP="0085565B">
      <w:pPr>
        <w:pStyle w:val="Head2"/>
        <w:numPr>
          <w:ilvl w:val="0"/>
          <w:numId w:val="0"/>
        </w:numPr>
        <w:spacing w:before="240"/>
        <w:jc w:val="both"/>
        <w:rPr>
          <w:b/>
          <w:bCs/>
          <w:color w:val="009999"/>
          <w:sz w:val="28"/>
          <w:szCs w:val="28"/>
        </w:rPr>
      </w:pPr>
      <w:bookmarkStart w:id="132" w:name="_Toc201679660"/>
      <w:r w:rsidRPr="0085565B">
        <w:rPr>
          <w:b/>
          <w:bCs/>
          <w:color w:val="009999"/>
          <w:sz w:val="28"/>
          <w:szCs w:val="28"/>
        </w:rPr>
        <w:t xml:space="preserve">SCHEDULE 1: PROCUREMENT SPECIFIC QUESTIONNAIRE (PSQ) GUIDANCE AND </w:t>
      </w:r>
      <w:r w:rsidR="00626039">
        <w:rPr>
          <w:b/>
          <w:bCs/>
          <w:color w:val="009999"/>
          <w:sz w:val="28"/>
          <w:szCs w:val="28"/>
        </w:rPr>
        <w:t>SELECTION</w:t>
      </w:r>
      <w:r w:rsidR="00626039" w:rsidRPr="0085565B">
        <w:rPr>
          <w:b/>
          <w:bCs/>
          <w:color w:val="009999"/>
          <w:sz w:val="28"/>
          <w:szCs w:val="28"/>
        </w:rPr>
        <w:t xml:space="preserve"> </w:t>
      </w:r>
      <w:r w:rsidRPr="0085565B">
        <w:rPr>
          <w:b/>
          <w:bCs/>
          <w:color w:val="009999"/>
          <w:sz w:val="28"/>
          <w:szCs w:val="28"/>
        </w:rPr>
        <w:t>CRITERIA</w:t>
      </w:r>
      <w:bookmarkEnd w:id="132"/>
    </w:p>
    <w:p w14:paraId="75664905" w14:textId="77777777" w:rsidR="00504695" w:rsidRPr="00DD3C40" w:rsidRDefault="00504695" w:rsidP="007B347E">
      <w:pPr>
        <w:pStyle w:val="ListParagraph"/>
        <w:numPr>
          <w:ilvl w:val="0"/>
          <w:numId w:val="7"/>
        </w:numPr>
        <w:contextualSpacing w:val="0"/>
        <w:jc w:val="both"/>
        <w:rPr>
          <w:rFonts w:cs="Arial"/>
          <w:b/>
        </w:rPr>
      </w:pPr>
      <w:r w:rsidRPr="00DD3C40">
        <w:rPr>
          <w:rFonts w:cs="Arial"/>
          <w:b/>
        </w:rPr>
        <w:t>Procurement Specific Questionnaire (“PSQ”)</w:t>
      </w:r>
    </w:p>
    <w:p w14:paraId="0C43A669" w14:textId="737E72CC" w:rsidR="00820F47" w:rsidRDefault="00504695" w:rsidP="00E50F53">
      <w:pPr>
        <w:pStyle w:val="ListParagraph"/>
        <w:numPr>
          <w:ilvl w:val="1"/>
          <w:numId w:val="7"/>
        </w:numPr>
        <w:jc w:val="both"/>
        <w:rPr>
          <w:rFonts w:cs="Arial"/>
        </w:rPr>
      </w:pPr>
      <w:r w:rsidRPr="00820F47">
        <w:rPr>
          <w:rFonts w:cs="Arial"/>
        </w:rPr>
        <w:t xml:space="preserve">The table at the end of this Schedule sets out </w:t>
      </w:r>
      <w:bookmarkStart w:id="133" w:name="_Hlk139273584"/>
      <w:r w:rsidR="00E50F53">
        <w:rPr>
          <w:rFonts w:cs="Arial"/>
        </w:rPr>
        <w:t>the questions</w:t>
      </w:r>
      <w:r w:rsidR="00786BBC">
        <w:rPr>
          <w:rFonts w:cs="Arial"/>
        </w:rPr>
        <w:t xml:space="preserve"> and </w:t>
      </w:r>
      <w:r w:rsidRPr="00820F47">
        <w:rPr>
          <w:rFonts w:cs="Arial"/>
        </w:rPr>
        <w:t>guidance</w:t>
      </w:r>
      <w:r w:rsidR="00E50F53">
        <w:rPr>
          <w:rFonts w:cs="Arial"/>
        </w:rPr>
        <w:t xml:space="preserve"> </w:t>
      </w:r>
      <w:r w:rsidRPr="00820F47">
        <w:rPr>
          <w:rFonts w:cs="Arial"/>
        </w:rPr>
        <w:t xml:space="preserve">for the </w:t>
      </w:r>
      <w:bookmarkEnd w:id="133"/>
      <w:r w:rsidRPr="00820F47">
        <w:rPr>
          <w:rFonts w:cs="Arial"/>
        </w:rPr>
        <w:t xml:space="preserve">PSQ. </w:t>
      </w:r>
      <w:r w:rsidR="00183415" w:rsidRPr="00183415">
        <w:rPr>
          <w:rFonts w:cs="Arial"/>
        </w:rPr>
        <w:t>Schedule 3 contains the detailed evaluation guidance and criteria for all questions in the PSQ</w:t>
      </w:r>
      <w:r w:rsidR="00183415">
        <w:rPr>
          <w:rFonts w:cs="Arial"/>
        </w:rPr>
        <w:t>.</w:t>
      </w:r>
    </w:p>
    <w:p w14:paraId="4E19F82F" w14:textId="77777777" w:rsidR="00820F47" w:rsidRPr="00820F47" w:rsidRDefault="00820F47" w:rsidP="00820F47">
      <w:pPr>
        <w:pStyle w:val="ListParagraph"/>
        <w:ind w:left="680"/>
        <w:rPr>
          <w:rFonts w:cs="Arial"/>
        </w:rPr>
      </w:pPr>
    </w:p>
    <w:p w14:paraId="1F64FDB9" w14:textId="50EE26A6" w:rsidR="00504695" w:rsidRPr="00DD3C40" w:rsidRDefault="00504695" w:rsidP="007B347E">
      <w:pPr>
        <w:pStyle w:val="ListParagraph"/>
        <w:numPr>
          <w:ilvl w:val="1"/>
          <w:numId w:val="7"/>
        </w:numPr>
        <w:contextualSpacing w:val="0"/>
        <w:jc w:val="both"/>
        <w:rPr>
          <w:rFonts w:cs="Arial"/>
        </w:rPr>
      </w:pPr>
      <w:r w:rsidRPr="00DD3C40">
        <w:rPr>
          <w:rFonts w:cs="Arial"/>
          <w:color w:val="000000"/>
        </w:rPr>
        <w:t xml:space="preserve">The PSQ has been designed to help HMRC ensure that </w:t>
      </w:r>
      <w:r w:rsidR="00A00FF8">
        <w:rPr>
          <w:rFonts w:cs="Arial"/>
          <w:color w:val="000000"/>
        </w:rPr>
        <w:t xml:space="preserve">Tenderers </w:t>
      </w:r>
      <w:r w:rsidR="00A00FF8" w:rsidRPr="00A00FF8">
        <w:rPr>
          <w:rFonts w:cs="Arial"/>
          <w:color w:val="000000"/>
        </w:rPr>
        <w:t xml:space="preserve">share the information necessary to allow HMRC to determine whether suppliers possess the legal, </w:t>
      </w:r>
      <w:proofErr w:type="gramStart"/>
      <w:r w:rsidR="00A00FF8" w:rsidRPr="00A00FF8">
        <w:rPr>
          <w:rFonts w:cs="Arial"/>
          <w:color w:val="000000"/>
        </w:rPr>
        <w:t>financial</w:t>
      </w:r>
      <w:proofErr w:type="gramEnd"/>
      <w:r w:rsidR="00A00FF8" w:rsidRPr="00A00FF8">
        <w:rPr>
          <w:rFonts w:cs="Arial"/>
          <w:color w:val="000000"/>
        </w:rPr>
        <w:t xml:space="preserve"> and technical capability to perform the contract and enable shortlisting for progression to the ITSIT stage</w:t>
      </w:r>
      <w:r w:rsidRPr="00DD3C40">
        <w:rPr>
          <w:rFonts w:cs="Arial"/>
          <w:color w:val="000000"/>
        </w:rPr>
        <w:t xml:space="preserve">. The PSQ consists of three </w:t>
      </w:r>
      <w:r w:rsidR="00E912FD">
        <w:rPr>
          <w:rFonts w:cs="Arial"/>
          <w:color w:val="000000"/>
        </w:rPr>
        <w:t xml:space="preserve">main </w:t>
      </w:r>
      <w:r w:rsidRPr="00DD3C40">
        <w:rPr>
          <w:rFonts w:cs="Arial"/>
          <w:color w:val="000000"/>
        </w:rPr>
        <w:t>parts:</w:t>
      </w:r>
    </w:p>
    <w:p w14:paraId="006671B6" w14:textId="021B8B32" w:rsidR="00504695" w:rsidRPr="00DD3C40" w:rsidRDefault="00504695" w:rsidP="007B347E">
      <w:pPr>
        <w:pStyle w:val="ListParagraph"/>
        <w:numPr>
          <w:ilvl w:val="1"/>
          <w:numId w:val="7"/>
        </w:numPr>
        <w:contextualSpacing w:val="0"/>
        <w:jc w:val="both"/>
        <w:rPr>
          <w:rFonts w:cs="Arial"/>
        </w:rPr>
      </w:pPr>
      <w:r w:rsidRPr="00DD3C40">
        <w:rPr>
          <w:rFonts w:cs="Arial"/>
          <w:b/>
          <w:bCs/>
        </w:rPr>
        <w:t>Part 1 - Core Supplier Information</w:t>
      </w:r>
      <w:r w:rsidRPr="00DD3C40">
        <w:rPr>
          <w:rFonts w:cs="Arial"/>
        </w:rPr>
        <w:t xml:space="preserve">: </w:t>
      </w:r>
      <w:r w:rsidRPr="00DD3C40">
        <w:rPr>
          <w:rFonts w:cs="Arial"/>
          <w:color w:val="000000"/>
        </w:rPr>
        <w:t>suppliers participating in procurements are required to register on the Government</w:t>
      </w:r>
      <w:r w:rsidR="00014F0A">
        <w:rPr>
          <w:rFonts w:cs="Arial"/>
          <w:color w:val="000000"/>
        </w:rPr>
        <w:t>’</w:t>
      </w:r>
      <w:r w:rsidRPr="00DD3C40">
        <w:rPr>
          <w:rFonts w:cs="Arial"/>
          <w:color w:val="000000"/>
        </w:rPr>
        <w:t xml:space="preserve">s central digital platform (CDP). Suppliers can submit their core supplier information and, where a procurement opportunity arises, share this information with </w:t>
      </w:r>
      <w:r w:rsidR="00EE7BA2">
        <w:rPr>
          <w:rFonts w:cs="Arial"/>
          <w:color w:val="000000"/>
        </w:rPr>
        <w:t>HMRC</w:t>
      </w:r>
      <w:r w:rsidRPr="00DD3C40">
        <w:rPr>
          <w:rFonts w:cs="Arial"/>
          <w:color w:val="000000"/>
        </w:rPr>
        <w:t xml:space="preserve"> via the CDP. It is free to use and will mean suppliers should no longer have to re-enter this information for each public procurement but simply ensure it is up to date and subsequently shared. The CDP is available at </w:t>
      </w:r>
      <w:hyperlink r:id="rId29" w:history="1">
        <w:r w:rsidRPr="00063504">
          <w:rPr>
            <w:rStyle w:val="Hyperlink"/>
            <w:rFonts w:cs="Arial"/>
          </w:rPr>
          <w:t>https://www.gov.uk/find-tender</w:t>
        </w:r>
      </w:hyperlink>
      <w:r>
        <w:rPr>
          <w:rFonts w:cs="Arial"/>
          <w:color w:val="000000"/>
        </w:rPr>
        <w:t xml:space="preserve">. </w:t>
      </w:r>
      <w:r w:rsidR="00F70E25">
        <w:rPr>
          <w:rFonts w:cs="Arial"/>
          <w:color w:val="000000"/>
        </w:rPr>
        <w:t xml:space="preserve">Part 1 provides confirmation that suppliers have taken these </w:t>
      </w:r>
      <w:r w:rsidR="00F70E25" w:rsidRPr="002163BC">
        <w:t>steps.</w:t>
      </w:r>
      <w:r w:rsidR="00F70E25">
        <w:t xml:space="preserve"> Please note specific guidance notes within the PSQ that require a </w:t>
      </w:r>
      <w:r w:rsidR="00661727">
        <w:t>Tenderer</w:t>
      </w:r>
      <w:r w:rsidR="00F70E25">
        <w:t xml:space="preserve"> to upload a PDF output from the CDP in response to certain questions</w:t>
      </w:r>
      <w:r w:rsidR="00661727">
        <w:t>.</w:t>
      </w:r>
    </w:p>
    <w:p w14:paraId="7524FBE0" w14:textId="77777777" w:rsidR="00504695" w:rsidRPr="00DD3C40" w:rsidRDefault="00504695" w:rsidP="007B347E">
      <w:pPr>
        <w:pStyle w:val="ListParagraph"/>
        <w:numPr>
          <w:ilvl w:val="1"/>
          <w:numId w:val="7"/>
        </w:numPr>
        <w:contextualSpacing w:val="0"/>
        <w:jc w:val="both"/>
        <w:rPr>
          <w:rFonts w:cs="Arial"/>
        </w:rPr>
      </w:pPr>
      <w:r w:rsidRPr="00DD3C40">
        <w:rPr>
          <w:rFonts w:cs="Arial"/>
          <w:b/>
          <w:bCs/>
        </w:rPr>
        <w:t>Part 2 - Additional Exclusions Information</w:t>
      </w:r>
      <w:r w:rsidRPr="00DD3C40">
        <w:rPr>
          <w:rFonts w:cs="Arial"/>
        </w:rPr>
        <w:t>: procurement legislation provides for an ‘exclusion regime’ and a published ‘debarment’ list to safeguard procurement from suppliers</w:t>
      </w:r>
      <w:r w:rsidRPr="00DD3C40">
        <w:rPr>
          <w:rFonts w:cs="Arial"/>
          <w:color w:val="000000"/>
        </w:rPr>
        <w:t xml:space="preserve"> who may pose a risk (for example, due to </w:t>
      </w:r>
      <w:r w:rsidRPr="00DD3C40">
        <w:rPr>
          <w:rFonts w:cs="Arial"/>
        </w:rPr>
        <w:t>misconduct or poor performance). Suppliers must submit their own (and their connected persons*) exclusions information via the CDP. This includes self-declarations as to whether any exclusion grounds apply to them and, if so, details about the event or conviction and what steps have been taken to prevent such circumstances from occurring again.</w:t>
      </w:r>
    </w:p>
    <w:p w14:paraId="26DFB963" w14:textId="77777777" w:rsidR="00504695" w:rsidRPr="00DD3C40" w:rsidRDefault="00504695" w:rsidP="009D7A31">
      <w:pPr>
        <w:pStyle w:val="BodyText1"/>
        <w:ind w:left="720"/>
        <w:jc w:val="both"/>
        <w:rPr>
          <w:rFonts w:ascii="Arial" w:hAnsi="Arial" w:cs="Arial"/>
          <w:i/>
          <w:iCs/>
          <w:sz w:val="22"/>
          <w:szCs w:val="22"/>
        </w:rPr>
      </w:pPr>
      <w:r w:rsidRPr="00DD3C40">
        <w:rPr>
          <w:rFonts w:ascii="Arial" w:hAnsi="Arial" w:cs="Arial"/>
          <w:i/>
          <w:iCs/>
          <w:sz w:val="22"/>
          <w:szCs w:val="22"/>
        </w:rPr>
        <w:t xml:space="preserve">*Connected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proofErr w:type="gramStart"/>
      <w:r w:rsidRPr="00DD3C40">
        <w:rPr>
          <w:rFonts w:ascii="Arial" w:hAnsi="Arial" w:cs="Arial"/>
          <w:i/>
          <w:iCs/>
          <w:sz w:val="22"/>
          <w:szCs w:val="22"/>
        </w:rPr>
        <w:t>The majority of</w:t>
      </w:r>
      <w:proofErr w:type="gramEnd"/>
      <w:r w:rsidRPr="00DD3C40">
        <w:rPr>
          <w:rFonts w:ascii="Arial" w:hAnsi="Arial" w:cs="Arial"/>
          <w:i/>
          <w:iCs/>
          <w:sz w:val="22"/>
          <w:szCs w:val="22"/>
        </w:rPr>
        <w:t xml:space="preserve"> the exclusion grounds state that they apply to the supplier or a connected person of the supplier.</w:t>
      </w:r>
    </w:p>
    <w:p w14:paraId="6FD7DA50" w14:textId="5AE43A45" w:rsidR="00504695" w:rsidRPr="00DD3C40" w:rsidRDefault="00504695" w:rsidP="007B347E">
      <w:pPr>
        <w:pStyle w:val="ListParagraph"/>
        <w:numPr>
          <w:ilvl w:val="1"/>
          <w:numId w:val="7"/>
        </w:numPr>
        <w:contextualSpacing w:val="0"/>
        <w:jc w:val="both"/>
        <w:rPr>
          <w:rFonts w:cs="Arial"/>
        </w:rPr>
      </w:pPr>
      <w:r w:rsidRPr="00DD3C40">
        <w:rPr>
          <w:rFonts w:cs="Arial"/>
        </w:rPr>
        <w:t xml:space="preserve">As </w:t>
      </w:r>
      <w:r w:rsidRPr="00DD3C40">
        <w:rPr>
          <w:rFonts w:cs="Arial"/>
          <w:color w:val="000000"/>
        </w:rPr>
        <w:t xml:space="preserve">part of </w:t>
      </w:r>
      <w:r w:rsidR="00661727">
        <w:rPr>
          <w:rFonts w:cs="Arial"/>
          <w:color w:val="000000"/>
        </w:rPr>
        <w:t>the</w:t>
      </w:r>
      <w:r w:rsidRPr="00DD3C40">
        <w:rPr>
          <w:rFonts w:cs="Arial"/>
          <w:color w:val="000000"/>
        </w:rPr>
        <w:t xml:space="preserve"> procurement, a </w:t>
      </w:r>
      <w:r w:rsidR="00661727">
        <w:rPr>
          <w:rFonts w:cs="Arial"/>
          <w:color w:val="000000"/>
        </w:rPr>
        <w:t>Tenderer</w:t>
      </w:r>
      <w:r w:rsidRPr="00DD3C40">
        <w:rPr>
          <w:rFonts w:cs="Arial"/>
          <w:color w:val="000000"/>
        </w:rPr>
        <w:t xml:space="preserve">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HMRC by ensuring that associated persons register, </w:t>
      </w:r>
      <w:proofErr w:type="gramStart"/>
      <w:r w:rsidRPr="00DD3C40">
        <w:rPr>
          <w:rFonts w:cs="Arial"/>
          <w:color w:val="000000"/>
        </w:rPr>
        <w:t>submit</w:t>
      </w:r>
      <w:proofErr w:type="gramEnd"/>
      <w:r w:rsidRPr="00DD3C40">
        <w:rPr>
          <w:rFonts w:cs="Arial"/>
          <w:color w:val="000000"/>
        </w:rPr>
        <w:t xml:space="preserve"> and share their information via the CDP (like the prime/main supplier)</w:t>
      </w:r>
      <w:r w:rsidRPr="00DD3C40">
        <w:rPr>
          <w:rFonts w:cs="Arial"/>
        </w:rPr>
        <w:t>.</w:t>
      </w:r>
    </w:p>
    <w:p w14:paraId="46DF169D" w14:textId="05160E60" w:rsidR="00504695" w:rsidRPr="00DD3C40" w:rsidRDefault="00504695" w:rsidP="007B347E">
      <w:pPr>
        <w:pStyle w:val="ListParagraph"/>
        <w:numPr>
          <w:ilvl w:val="1"/>
          <w:numId w:val="7"/>
        </w:numPr>
        <w:contextualSpacing w:val="0"/>
        <w:jc w:val="both"/>
        <w:rPr>
          <w:rFonts w:cs="Arial"/>
        </w:rPr>
      </w:pPr>
      <w:r w:rsidRPr="00DD3C40">
        <w:rPr>
          <w:rFonts w:cs="Arial"/>
        </w:rPr>
        <w:t xml:space="preserve">In </w:t>
      </w:r>
      <w:r w:rsidRPr="00DD3C40">
        <w:rPr>
          <w:rFonts w:cs="Arial"/>
          <w:color w:val="000000"/>
        </w:rPr>
        <w:t xml:space="preserve">addition to the sub-contractors who are being relied on to meet the </w:t>
      </w:r>
      <w:r w:rsidR="00661727">
        <w:rPr>
          <w:rFonts w:cs="Arial"/>
          <w:color w:val="000000"/>
        </w:rPr>
        <w:t>C</w:t>
      </w:r>
      <w:r w:rsidRPr="00DD3C40">
        <w:rPr>
          <w:rFonts w:cs="Arial"/>
          <w:color w:val="000000"/>
        </w:rPr>
        <w:t xml:space="preserve">onditions of </w:t>
      </w:r>
      <w:r w:rsidR="00661727">
        <w:rPr>
          <w:rFonts w:cs="Arial"/>
          <w:color w:val="000000"/>
        </w:rPr>
        <w:t>P</w:t>
      </w:r>
      <w:r w:rsidRPr="00DD3C40">
        <w:rPr>
          <w:rFonts w:cs="Arial"/>
          <w:color w:val="000000"/>
        </w:rPr>
        <w:t>articipation (who are associated persons), suppliers will need to share an exhaustive list of all their intended sub-contractors, which will be checked against the debarment list</w:t>
      </w:r>
      <w:r w:rsidRPr="00DD3C40">
        <w:rPr>
          <w:rFonts w:cs="Arial"/>
        </w:rPr>
        <w:t>.</w:t>
      </w:r>
    </w:p>
    <w:p w14:paraId="77736012" w14:textId="0A03BFF7" w:rsidR="00504695" w:rsidRPr="00DD3C40" w:rsidRDefault="00504695" w:rsidP="007B347E">
      <w:pPr>
        <w:pStyle w:val="ListParagraph"/>
        <w:numPr>
          <w:ilvl w:val="1"/>
          <w:numId w:val="7"/>
        </w:numPr>
        <w:contextualSpacing w:val="0"/>
        <w:jc w:val="both"/>
        <w:rPr>
          <w:rFonts w:cs="Arial"/>
        </w:rPr>
      </w:pPr>
      <w:r w:rsidRPr="00DD3C40">
        <w:rPr>
          <w:rFonts w:cs="Arial"/>
        </w:rPr>
        <w:t xml:space="preserve">If </w:t>
      </w:r>
      <w:r w:rsidRPr="00DD3C40">
        <w:rPr>
          <w:rFonts w:cs="Arial"/>
          <w:color w:val="000000"/>
        </w:rPr>
        <w:t xml:space="preserve">a sub-contractor is unknown at the start of the procurement (or brought in during it), this should be made clear by the supplier and relevant details of the sub-contractor should be provided once their identity and role is confirmed. This information should be shared with </w:t>
      </w:r>
      <w:r w:rsidR="00C44360">
        <w:rPr>
          <w:rFonts w:cs="Arial"/>
          <w:color w:val="000000"/>
        </w:rPr>
        <w:t>HMRC</w:t>
      </w:r>
      <w:r w:rsidRPr="00DD3C40">
        <w:rPr>
          <w:rFonts w:cs="Arial"/>
          <w:color w:val="000000"/>
        </w:rPr>
        <w:t xml:space="preserve"> as soon as possible and at least by final tenders</w:t>
      </w:r>
      <w:r w:rsidRPr="00DD3C40">
        <w:rPr>
          <w:rFonts w:cs="Arial"/>
        </w:rPr>
        <w:t>.</w:t>
      </w:r>
    </w:p>
    <w:p w14:paraId="203986FB" w14:textId="35120298" w:rsidR="00504695" w:rsidRPr="00DD3C40" w:rsidRDefault="00504695" w:rsidP="007B347E">
      <w:pPr>
        <w:pStyle w:val="ListParagraph"/>
        <w:numPr>
          <w:ilvl w:val="1"/>
          <w:numId w:val="7"/>
        </w:numPr>
        <w:contextualSpacing w:val="0"/>
        <w:jc w:val="both"/>
        <w:rPr>
          <w:rFonts w:cs="Arial"/>
        </w:rPr>
      </w:pPr>
      <w:r w:rsidRPr="00DD3C40">
        <w:rPr>
          <w:rFonts w:cs="Arial"/>
          <w:b/>
          <w:bCs/>
        </w:rPr>
        <w:t>Part 3 - Conditions of Participation</w:t>
      </w:r>
      <w:r w:rsidR="0046393C">
        <w:rPr>
          <w:rFonts w:cs="Arial"/>
          <w:b/>
          <w:bCs/>
        </w:rPr>
        <w:t xml:space="preserve"> (CoP)</w:t>
      </w:r>
      <w:r w:rsidRPr="00DD3C40">
        <w:rPr>
          <w:rFonts w:cs="Arial"/>
        </w:rPr>
        <w:t xml:space="preserve">: </w:t>
      </w:r>
      <w:r w:rsidR="00153C8B" w:rsidRPr="00A753AC">
        <w:rPr>
          <w:rFonts w:cs="Arial"/>
          <w:color w:val="000000"/>
        </w:rPr>
        <w:t xml:space="preserve">Conditions of Participation set by HMRC which a </w:t>
      </w:r>
      <w:r w:rsidR="00153C8B">
        <w:rPr>
          <w:rFonts w:cs="Arial"/>
          <w:color w:val="000000"/>
        </w:rPr>
        <w:t>Supplier</w:t>
      </w:r>
      <w:r w:rsidR="00153C8B" w:rsidRPr="00A753AC">
        <w:rPr>
          <w:rFonts w:cs="Arial"/>
          <w:color w:val="000000"/>
        </w:rPr>
        <w:t xml:space="preserve"> must satisfy </w:t>
      </w:r>
      <w:proofErr w:type="gramStart"/>
      <w:r w:rsidR="00153C8B" w:rsidRPr="00A753AC">
        <w:rPr>
          <w:rFonts w:cs="Arial"/>
          <w:color w:val="000000"/>
        </w:rPr>
        <w:t>in order to</w:t>
      </w:r>
      <w:proofErr w:type="gramEnd"/>
      <w:r w:rsidR="00153C8B" w:rsidRPr="00A753AC">
        <w:rPr>
          <w:rFonts w:cs="Arial"/>
          <w:color w:val="000000"/>
        </w:rPr>
        <w:t xml:space="preserve"> be awarded the contract. These conditions relate to the </w:t>
      </w:r>
      <w:r w:rsidR="00153C8B">
        <w:rPr>
          <w:rFonts w:cs="Arial"/>
          <w:color w:val="000000"/>
        </w:rPr>
        <w:t>Supplier</w:t>
      </w:r>
      <w:r w:rsidR="00153C8B" w:rsidRPr="00A753AC">
        <w:rPr>
          <w:rFonts w:cs="Arial"/>
          <w:color w:val="000000"/>
        </w:rPr>
        <w:t xml:space="preserve">’s legal, </w:t>
      </w:r>
      <w:proofErr w:type="gramStart"/>
      <w:r w:rsidR="00153C8B" w:rsidRPr="00A753AC">
        <w:rPr>
          <w:rFonts w:cs="Arial"/>
          <w:color w:val="000000"/>
        </w:rPr>
        <w:t>financial</w:t>
      </w:r>
      <w:proofErr w:type="gramEnd"/>
      <w:r w:rsidR="00153C8B" w:rsidRPr="00A753AC">
        <w:rPr>
          <w:rFonts w:cs="Arial"/>
          <w:color w:val="000000"/>
        </w:rPr>
        <w:t xml:space="preserve"> and technical capacity and and/or ability</w:t>
      </w:r>
      <w:r w:rsidRPr="00AF26EC">
        <w:rPr>
          <w:rFonts w:cs="Arial"/>
        </w:rPr>
        <w:t>.</w:t>
      </w:r>
    </w:p>
    <w:p w14:paraId="1AAE5CAA" w14:textId="77777777" w:rsidR="002714F7" w:rsidRDefault="002714F7" w:rsidP="002714F7">
      <w:pPr>
        <w:pStyle w:val="ListParagraph"/>
        <w:numPr>
          <w:ilvl w:val="1"/>
          <w:numId w:val="7"/>
        </w:numPr>
        <w:contextualSpacing w:val="0"/>
        <w:jc w:val="both"/>
        <w:rPr>
          <w:rFonts w:cs="Arial"/>
        </w:rPr>
      </w:pPr>
      <w:r>
        <w:rPr>
          <w:rFonts w:cs="Arial"/>
        </w:rPr>
        <w:t>The questions contained within this Schedule 1, in tandem with the information provided in Schedules 2 and 3, make clear whether a question is:</w:t>
      </w:r>
    </w:p>
    <w:p w14:paraId="2E25AF1D" w14:textId="77372117" w:rsidR="002714F7" w:rsidRDefault="00C709A0" w:rsidP="002714F7">
      <w:pPr>
        <w:pStyle w:val="ListParagraph"/>
        <w:numPr>
          <w:ilvl w:val="0"/>
          <w:numId w:val="10"/>
        </w:numPr>
        <w:pBdr>
          <w:top w:val="nil"/>
          <w:left w:val="nil"/>
          <w:bottom w:val="nil"/>
          <w:right w:val="nil"/>
          <w:between w:val="nil"/>
        </w:pBdr>
        <w:spacing w:after="120"/>
        <w:jc w:val="both"/>
        <w:rPr>
          <w:rFonts w:cs="Arial"/>
        </w:rPr>
      </w:pPr>
      <w:r>
        <w:rPr>
          <w:rFonts w:cs="Arial"/>
        </w:rPr>
        <w:t>f</w:t>
      </w:r>
      <w:r w:rsidR="002714F7">
        <w:rPr>
          <w:rFonts w:cs="Arial"/>
        </w:rPr>
        <w:t xml:space="preserve">or information </w:t>
      </w:r>
      <w:proofErr w:type="gramStart"/>
      <w:r w:rsidR="002714F7">
        <w:rPr>
          <w:rFonts w:cs="Arial"/>
        </w:rPr>
        <w:t>only;</w:t>
      </w:r>
      <w:proofErr w:type="gramEnd"/>
    </w:p>
    <w:p w14:paraId="76BBBEB4" w14:textId="380C4A18" w:rsidR="002714F7" w:rsidRDefault="00C709A0" w:rsidP="002714F7">
      <w:pPr>
        <w:pStyle w:val="ListParagraph"/>
        <w:numPr>
          <w:ilvl w:val="0"/>
          <w:numId w:val="10"/>
        </w:numPr>
        <w:pBdr>
          <w:top w:val="nil"/>
          <w:left w:val="nil"/>
          <w:bottom w:val="nil"/>
          <w:right w:val="nil"/>
          <w:between w:val="nil"/>
        </w:pBdr>
        <w:spacing w:after="120"/>
        <w:jc w:val="both"/>
        <w:rPr>
          <w:rFonts w:cs="Arial"/>
        </w:rPr>
      </w:pPr>
      <w:r>
        <w:rPr>
          <w:rFonts w:cs="Arial"/>
        </w:rPr>
        <w:t>t</w:t>
      </w:r>
      <w:r w:rsidR="002714F7">
        <w:rPr>
          <w:rFonts w:cs="Arial"/>
        </w:rPr>
        <w:t>o be evaluated as a pass/</w:t>
      </w:r>
      <w:proofErr w:type="gramStart"/>
      <w:r w:rsidR="002714F7">
        <w:rPr>
          <w:rFonts w:cs="Arial"/>
        </w:rPr>
        <w:t>fail</w:t>
      </w:r>
      <w:proofErr w:type="gramEnd"/>
      <w:r w:rsidR="002714F7">
        <w:rPr>
          <w:rFonts w:cs="Arial"/>
        </w:rPr>
        <w:t>; or</w:t>
      </w:r>
    </w:p>
    <w:p w14:paraId="61523EC8" w14:textId="30ECEFA2" w:rsidR="002714F7" w:rsidRDefault="002714F7" w:rsidP="002714F7">
      <w:pPr>
        <w:pStyle w:val="ListParagraph"/>
        <w:numPr>
          <w:ilvl w:val="0"/>
          <w:numId w:val="10"/>
        </w:numPr>
        <w:pBdr>
          <w:top w:val="nil"/>
          <w:left w:val="nil"/>
          <w:bottom w:val="nil"/>
          <w:right w:val="nil"/>
          <w:between w:val="nil"/>
        </w:pBdr>
        <w:spacing w:after="120"/>
        <w:jc w:val="both"/>
        <w:rPr>
          <w:rFonts w:cs="Arial"/>
        </w:rPr>
      </w:pPr>
      <w:r w:rsidRPr="002714F7">
        <w:rPr>
          <w:rFonts w:cs="Arial"/>
        </w:rPr>
        <w:t>to be evaluated by a scored evaluation</w:t>
      </w:r>
    </w:p>
    <w:p w14:paraId="76BADA2C" w14:textId="77777777" w:rsidR="002714F7" w:rsidRDefault="002714F7" w:rsidP="009129BC">
      <w:pPr>
        <w:pStyle w:val="ListParagraph"/>
        <w:spacing w:after="0"/>
        <w:ind w:left="680"/>
        <w:contextualSpacing w:val="0"/>
        <w:jc w:val="both"/>
        <w:rPr>
          <w:rFonts w:cs="Arial"/>
        </w:rPr>
      </w:pPr>
    </w:p>
    <w:p w14:paraId="3E4D1279" w14:textId="6C798B0E" w:rsidR="004A6C1C" w:rsidRPr="002714F7" w:rsidRDefault="002714F7" w:rsidP="009129BC">
      <w:pPr>
        <w:pStyle w:val="ListParagraph"/>
        <w:ind w:left="680"/>
        <w:contextualSpacing w:val="0"/>
        <w:jc w:val="both"/>
        <w:rPr>
          <w:rFonts w:cs="Arial"/>
        </w:rPr>
      </w:pPr>
      <w:r>
        <w:rPr>
          <w:rFonts w:cs="Arial"/>
        </w:rPr>
        <w:t>T</w:t>
      </w:r>
      <w:r w:rsidR="00743918" w:rsidRPr="002714F7">
        <w:rPr>
          <w:rFonts w:cs="Arial"/>
        </w:rPr>
        <w:t xml:space="preserve">hese </w:t>
      </w:r>
      <w:r w:rsidR="00C948DB">
        <w:rPr>
          <w:rFonts w:cs="Arial"/>
        </w:rPr>
        <w:t>q</w:t>
      </w:r>
      <w:r w:rsidR="00743918" w:rsidRPr="002714F7">
        <w:rPr>
          <w:rFonts w:cs="Arial"/>
        </w:rPr>
        <w:t>uestions</w:t>
      </w:r>
      <w:r w:rsidR="00497D3B" w:rsidRPr="002714F7">
        <w:rPr>
          <w:rFonts w:cs="Arial"/>
        </w:rPr>
        <w:t xml:space="preserve"> will </w:t>
      </w:r>
      <w:r w:rsidR="00975693" w:rsidRPr="002714F7">
        <w:rPr>
          <w:rFonts w:cs="Arial"/>
        </w:rPr>
        <w:t>be assessed by HMRC</w:t>
      </w:r>
      <w:r w:rsidR="00497D3B" w:rsidRPr="002714F7">
        <w:rPr>
          <w:rFonts w:cs="Arial"/>
        </w:rPr>
        <w:t xml:space="preserve"> in line with the published criteria and on completion of the a</w:t>
      </w:r>
      <w:r w:rsidR="00F830A5" w:rsidRPr="002714F7">
        <w:rPr>
          <w:rFonts w:cs="Arial"/>
        </w:rPr>
        <w:t xml:space="preserve">ssessment, </w:t>
      </w:r>
      <w:r w:rsidR="00BD0903" w:rsidRPr="002714F7">
        <w:rPr>
          <w:rFonts w:cs="Arial"/>
        </w:rPr>
        <w:t>Tenderers</w:t>
      </w:r>
      <w:r w:rsidR="006A25EE" w:rsidRPr="002714F7">
        <w:rPr>
          <w:rFonts w:cs="Arial"/>
        </w:rPr>
        <w:t xml:space="preserve"> will be ranked with the top three progressing</w:t>
      </w:r>
      <w:r w:rsidR="00E37B80" w:rsidRPr="002714F7">
        <w:rPr>
          <w:rFonts w:cs="Arial"/>
        </w:rPr>
        <w:t>.</w:t>
      </w:r>
      <w:r w:rsidR="006A25EE" w:rsidRPr="002714F7">
        <w:rPr>
          <w:rFonts w:cs="Arial"/>
        </w:rPr>
        <w:t xml:space="preserve"> </w:t>
      </w:r>
    </w:p>
    <w:p w14:paraId="34F7D8F6" w14:textId="435D8850" w:rsidR="00504695" w:rsidRPr="00DD3C40" w:rsidRDefault="00917AA5" w:rsidP="007B347E">
      <w:pPr>
        <w:pStyle w:val="ListParagraph"/>
        <w:numPr>
          <w:ilvl w:val="1"/>
          <w:numId w:val="7"/>
        </w:numPr>
        <w:contextualSpacing w:val="0"/>
        <w:jc w:val="both"/>
        <w:rPr>
          <w:rFonts w:cs="Arial"/>
        </w:rPr>
      </w:pPr>
      <w:r>
        <w:rPr>
          <w:rFonts w:cs="Arial"/>
        </w:rPr>
        <w:t>Tenderers</w:t>
      </w:r>
      <w:r w:rsidRPr="00DD3C40">
        <w:rPr>
          <w:rFonts w:cs="Arial"/>
        </w:rPr>
        <w:t xml:space="preserve"> </w:t>
      </w:r>
      <w:r w:rsidR="00504695" w:rsidRPr="00DD3C40">
        <w:rPr>
          <w:rFonts w:cs="Arial"/>
        </w:rPr>
        <w:t>should note that HMRC have legislative duties to publish certain information which relate to the supplier in their contract award notices. This information includes, but is not limited to:</w:t>
      </w:r>
    </w:p>
    <w:p w14:paraId="234B2D43" w14:textId="77777777" w:rsidR="00504695" w:rsidRPr="00DD3C40" w:rsidRDefault="00504695" w:rsidP="0085565B">
      <w:pPr>
        <w:pStyle w:val="ListParagraph"/>
        <w:numPr>
          <w:ilvl w:val="0"/>
          <w:numId w:val="10"/>
        </w:numPr>
        <w:pBdr>
          <w:top w:val="nil"/>
          <w:left w:val="nil"/>
          <w:bottom w:val="nil"/>
          <w:right w:val="nil"/>
          <w:between w:val="nil"/>
        </w:pBdr>
        <w:spacing w:after="120"/>
        <w:jc w:val="both"/>
        <w:rPr>
          <w:rFonts w:eastAsia="Arial" w:cs="Arial"/>
        </w:rPr>
      </w:pPr>
      <w:r w:rsidRPr="00DD3C40">
        <w:rPr>
          <w:rFonts w:eastAsia="Arial" w:cs="Arial"/>
        </w:rPr>
        <w:t xml:space="preserve">details of the winning supplier’s associated persons </w:t>
      </w:r>
    </w:p>
    <w:p w14:paraId="1614194B" w14:textId="77777777" w:rsidR="00504695" w:rsidRPr="00DD3C40" w:rsidRDefault="00504695" w:rsidP="0085565B">
      <w:pPr>
        <w:pStyle w:val="ListParagraph"/>
        <w:numPr>
          <w:ilvl w:val="0"/>
          <w:numId w:val="10"/>
        </w:numPr>
        <w:pBdr>
          <w:top w:val="nil"/>
          <w:left w:val="nil"/>
          <w:bottom w:val="nil"/>
          <w:right w:val="nil"/>
          <w:between w:val="nil"/>
        </w:pBdr>
        <w:spacing w:after="120"/>
        <w:jc w:val="both"/>
        <w:rPr>
          <w:rFonts w:eastAsia="Arial" w:cs="Arial"/>
        </w:rPr>
      </w:pPr>
      <w:r w:rsidRPr="00DD3C40">
        <w:rPr>
          <w:rFonts w:eastAsia="Arial" w:cs="Arial"/>
        </w:rPr>
        <w:t>details of the winning supplier’s connected person information</w:t>
      </w:r>
    </w:p>
    <w:p w14:paraId="1C1AFD55" w14:textId="065C854A" w:rsidR="00504695" w:rsidRDefault="00504695" w:rsidP="0085565B">
      <w:pPr>
        <w:pStyle w:val="ListParagraph"/>
        <w:numPr>
          <w:ilvl w:val="0"/>
          <w:numId w:val="10"/>
        </w:numPr>
        <w:pBdr>
          <w:top w:val="nil"/>
          <w:left w:val="nil"/>
          <w:bottom w:val="nil"/>
          <w:right w:val="nil"/>
          <w:between w:val="nil"/>
        </w:pBdr>
        <w:spacing w:after="120"/>
        <w:jc w:val="both"/>
        <w:rPr>
          <w:rFonts w:eastAsia="Arial" w:cs="Arial"/>
        </w:rPr>
      </w:pPr>
      <w:r w:rsidRPr="00DD3C40">
        <w:rPr>
          <w:rFonts w:eastAsia="Arial" w:cs="Arial"/>
        </w:rPr>
        <w:t xml:space="preserve">for certain procurements over £5 million, details of unsuccessful </w:t>
      </w:r>
      <w:r w:rsidR="00433587">
        <w:rPr>
          <w:rFonts w:eastAsia="Arial" w:cs="Arial"/>
        </w:rPr>
        <w:t>Tenderer</w:t>
      </w:r>
      <w:r w:rsidRPr="00DD3C40">
        <w:rPr>
          <w:rFonts w:eastAsia="Arial" w:cs="Arial"/>
        </w:rPr>
        <w:t>s</w:t>
      </w:r>
    </w:p>
    <w:p w14:paraId="52756A5D" w14:textId="77777777" w:rsidR="00504695" w:rsidRPr="00DD3C40" w:rsidRDefault="00504695" w:rsidP="009D7A31">
      <w:pPr>
        <w:pStyle w:val="ListParagraph"/>
        <w:pBdr>
          <w:top w:val="nil"/>
          <w:left w:val="nil"/>
          <w:bottom w:val="nil"/>
          <w:right w:val="nil"/>
          <w:between w:val="nil"/>
        </w:pBdr>
        <w:spacing w:after="120"/>
        <w:ind w:left="1440"/>
        <w:jc w:val="both"/>
        <w:rPr>
          <w:rFonts w:eastAsia="Arial" w:cs="Arial"/>
        </w:rPr>
      </w:pPr>
    </w:p>
    <w:p w14:paraId="7D7E4C5F" w14:textId="76432D4B" w:rsidR="00504695" w:rsidRPr="00DD3C40" w:rsidRDefault="00504695" w:rsidP="007B347E">
      <w:pPr>
        <w:pStyle w:val="ListParagraph"/>
        <w:numPr>
          <w:ilvl w:val="1"/>
          <w:numId w:val="7"/>
        </w:numPr>
        <w:contextualSpacing w:val="0"/>
        <w:jc w:val="both"/>
        <w:rPr>
          <w:rFonts w:cs="Arial"/>
        </w:rPr>
      </w:pPr>
      <w:r w:rsidRPr="00DD3C40">
        <w:rPr>
          <w:rFonts w:cs="Arial"/>
        </w:rPr>
        <w:t xml:space="preserve">Where a </w:t>
      </w:r>
      <w:r w:rsidR="00917AA5">
        <w:rPr>
          <w:rFonts w:cs="Arial"/>
        </w:rPr>
        <w:t>Tenderer</w:t>
      </w:r>
      <w:r w:rsidR="00917AA5" w:rsidRPr="00DD3C40">
        <w:rPr>
          <w:rFonts w:cs="Arial"/>
        </w:rPr>
        <w:t xml:space="preserve"> </w:t>
      </w:r>
      <w:r w:rsidRPr="00DD3C40">
        <w:rPr>
          <w:rFonts w:cs="Arial"/>
        </w:rPr>
        <w:t>is unsure or requires any clarification, they should check with HMRC.</w:t>
      </w:r>
    </w:p>
    <w:p w14:paraId="7144C980" w14:textId="772283C4" w:rsidR="00504695" w:rsidRPr="00DD3C40" w:rsidRDefault="00504695" w:rsidP="007B347E">
      <w:pPr>
        <w:pStyle w:val="ListParagraph"/>
        <w:numPr>
          <w:ilvl w:val="1"/>
          <w:numId w:val="7"/>
        </w:numPr>
        <w:contextualSpacing w:val="0"/>
        <w:jc w:val="both"/>
        <w:rPr>
          <w:rFonts w:eastAsia="Arial" w:cs="Arial"/>
          <w:color w:val="000000"/>
        </w:rPr>
      </w:pPr>
      <w:r w:rsidRPr="00DD3C40">
        <w:rPr>
          <w:rFonts w:eastAsia="Arial" w:cs="Arial"/>
          <w:color w:val="000000"/>
        </w:rPr>
        <w:t xml:space="preserve">Please ensure that all questions are completed in full, and in the format requested. If the question does not apply to you, please state ‘N/A’. </w:t>
      </w:r>
    </w:p>
    <w:p w14:paraId="76F33067" w14:textId="3C78B56C" w:rsidR="00504695" w:rsidRPr="00DD3C40" w:rsidRDefault="00504695" w:rsidP="007B347E">
      <w:pPr>
        <w:pStyle w:val="ListParagraph"/>
        <w:numPr>
          <w:ilvl w:val="1"/>
          <w:numId w:val="7"/>
        </w:numPr>
        <w:contextualSpacing w:val="0"/>
        <w:jc w:val="both"/>
        <w:rPr>
          <w:rFonts w:eastAsia="Helvetica Neue Light" w:cs="Arial"/>
        </w:rPr>
      </w:pPr>
      <w:r w:rsidRPr="00DD3C40">
        <w:rPr>
          <w:rFonts w:eastAsia="Arial" w:cs="Arial"/>
          <w:color w:val="000000"/>
        </w:rPr>
        <w:t xml:space="preserve">The Core Supplier Information must be completed on the CDP, with the remaining </w:t>
      </w:r>
      <w:r w:rsidR="00193BD2">
        <w:rPr>
          <w:rFonts w:eastAsia="Arial" w:cs="Arial"/>
          <w:color w:val="000000"/>
        </w:rPr>
        <w:t>PSQ</w:t>
      </w:r>
      <w:r w:rsidRPr="00DD3C40">
        <w:rPr>
          <w:rFonts w:eastAsia="Arial" w:cs="Arial"/>
          <w:color w:val="000000"/>
        </w:rPr>
        <w:t xml:space="preserve"> questions submitted via the Ariba eProcurement system</w:t>
      </w:r>
      <w:r w:rsidR="00EA341E">
        <w:rPr>
          <w:rFonts w:eastAsia="Arial" w:cs="Arial"/>
          <w:color w:val="000000"/>
        </w:rPr>
        <w:t>.</w:t>
      </w:r>
      <w:r w:rsidR="00860396" w:rsidRPr="00860396">
        <w:rPr>
          <w:rFonts w:eastAsia="Arial" w:cs="Arial"/>
          <w:color w:val="000000"/>
        </w:rPr>
        <w:t xml:space="preserve"> </w:t>
      </w:r>
      <w:r w:rsidR="00860396">
        <w:rPr>
          <w:rFonts w:eastAsia="Arial" w:cs="Arial"/>
          <w:color w:val="000000"/>
        </w:rPr>
        <w:t>PDF outputs from the CDP must be provided where requested within the PSQ.</w:t>
      </w:r>
    </w:p>
    <w:p w14:paraId="6A94D7D3" w14:textId="0A2D7F73" w:rsidR="00504695" w:rsidRPr="00DD3C40" w:rsidRDefault="00504695" w:rsidP="007B347E">
      <w:pPr>
        <w:pStyle w:val="ListParagraph"/>
        <w:numPr>
          <w:ilvl w:val="1"/>
          <w:numId w:val="7"/>
        </w:numPr>
        <w:contextualSpacing w:val="0"/>
        <w:jc w:val="both"/>
        <w:rPr>
          <w:rFonts w:cs="Arial"/>
        </w:rPr>
      </w:pPr>
      <w:r w:rsidRPr="00DD3C40">
        <w:rPr>
          <w:rFonts w:cs="Arial"/>
        </w:rPr>
        <w:t xml:space="preserve">If a </w:t>
      </w:r>
      <w:r w:rsidR="008F542B">
        <w:rPr>
          <w:rFonts w:cs="Arial"/>
        </w:rPr>
        <w:t>Tenderer</w:t>
      </w:r>
      <w:r w:rsidRPr="00DD3C40">
        <w:rPr>
          <w:rFonts w:cs="Arial"/>
        </w:rPr>
        <w:t xml:space="preserve">, including their connected persons or associated persons do meet any of the grounds for exclusion, there is an opportunity for the </w:t>
      </w:r>
      <w:r w:rsidR="00433587">
        <w:rPr>
          <w:rFonts w:cs="Arial"/>
        </w:rPr>
        <w:t>Tenderer</w:t>
      </w:r>
      <w:r w:rsidRPr="00DD3C40">
        <w:rPr>
          <w:rFonts w:cs="Arial"/>
        </w:rPr>
        <w:t xml:space="preserve"> to explain the background and any measures taken to rectify the situation (we call this </w:t>
      </w:r>
      <w:r w:rsidR="007048C9" w:rsidRPr="00DD3C40">
        <w:rPr>
          <w:rFonts w:cs="Arial"/>
        </w:rPr>
        <w:t>self-cleaning</w:t>
      </w:r>
      <w:r w:rsidRPr="00DD3C40">
        <w:rPr>
          <w:rFonts w:cs="Arial"/>
        </w:rPr>
        <w:t xml:space="preserve">). HMRC reserves the right to request any evidence HMRC deems appropriate to confirm the accuracy of the self-declarations made by </w:t>
      </w:r>
      <w:r w:rsidR="007048C9">
        <w:rPr>
          <w:rFonts w:cs="Arial"/>
          <w:bCs/>
        </w:rPr>
        <w:t>Tenderers</w:t>
      </w:r>
      <w:r w:rsidRPr="00DD3C40">
        <w:rPr>
          <w:rFonts w:cs="Arial"/>
        </w:rPr>
        <w:t xml:space="preserve">, at any point during the procurement process. HMRC may reject any tender where the </w:t>
      </w:r>
      <w:r w:rsidR="00433587">
        <w:rPr>
          <w:rFonts w:cs="Arial"/>
        </w:rPr>
        <w:t>Tenderer</w:t>
      </w:r>
      <w:r w:rsidRPr="00DD3C40">
        <w:rPr>
          <w:rFonts w:cs="Arial"/>
        </w:rPr>
        <w:t xml:space="preserve"> fails to provide such evidence in accordance with any timescales stipulated by HMRC and/or the evidence shows, in the opinion of HMRC, that there is a ground for exclusion.</w:t>
      </w:r>
    </w:p>
    <w:p w14:paraId="6B28B5F5" w14:textId="678CE8B1" w:rsidR="00504695" w:rsidRPr="00DD3C40" w:rsidRDefault="00504695" w:rsidP="007B347E">
      <w:pPr>
        <w:pStyle w:val="ListParagraph"/>
        <w:numPr>
          <w:ilvl w:val="1"/>
          <w:numId w:val="7"/>
        </w:numPr>
        <w:contextualSpacing w:val="0"/>
        <w:jc w:val="both"/>
        <w:rPr>
          <w:rFonts w:cs="Arial"/>
        </w:rPr>
      </w:pPr>
      <w:r w:rsidRPr="00DD3C40">
        <w:rPr>
          <w:rFonts w:cs="Arial"/>
        </w:rPr>
        <w:t xml:space="preserve">HMRC will </w:t>
      </w:r>
      <w:r w:rsidRPr="00DD3C40">
        <w:rPr>
          <w:rFonts w:cs="Arial"/>
          <w:bCs/>
        </w:rPr>
        <w:t>require</w:t>
      </w:r>
      <w:r w:rsidRPr="00DD3C40">
        <w:rPr>
          <w:rFonts w:cs="Arial"/>
        </w:rPr>
        <w:t xml:space="preserve"> that the </w:t>
      </w:r>
      <w:r w:rsidR="00433587">
        <w:rPr>
          <w:rFonts w:cs="Arial"/>
        </w:rPr>
        <w:t>Tenderer</w:t>
      </w:r>
      <w:r w:rsidRPr="00DD3C40">
        <w:rPr>
          <w:rFonts w:cs="Arial"/>
        </w:rPr>
        <w:t xml:space="preserve"> replaces an entity (e.g. associated persons or sub-contractors) who do not meet a relevant condition of participation, or in respect of which there are compulsory grounds for </w:t>
      </w:r>
      <w:r w:rsidR="009944D3" w:rsidRPr="00DD3C40">
        <w:rPr>
          <w:rFonts w:cs="Arial"/>
        </w:rPr>
        <w:t>exclusion and</w:t>
      </w:r>
      <w:r w:rsidRPr="00DD3C40">
        <w:rPr>
          <w:rFonts w:cs="Arial"/>
        </w:rPr>
        <w:t xml:space="preserve"> may require that the </w:t>
      </w:r>
      <w:r w:rsidR="00433587">
        <w:rPr>
          <w:rFonts w:cs="Arial"/>
        </w:rPr>
        <w:t>Tenderer</w:t>
      </w:r>
      <w:r w:rsidRPr="00DD3C40">
        <w:rPr>
          <w:rFonts w:cs="Arial"/>
        </w:rPr>
        <w:t xml:space="preserve"> substitutes an entity in respect of which there are discretionary grounds for exclusion</w:t>
      </w:r>
      <w:r w:rsidR="00CE5649">
        <w:rPr>
          <w:rFonts w:cs="Arial"/>
        </w:rPr>
        <w:t>.</w:t>
      </w:r>
    </w:p>
    <w:p w14:paraId="13D95EF5" w14:textId="77777777" w:rsidR="00504695" w:rsidRPr="00DD3C40" w:rsidRDefault="00504695" w:rsidP="007B347E">
      <w:pPr>
        <w:pStyle w:val="ListParagraph"/>
        <w:numPr>
          <w:ilvl w:val="1"/>
          <w:numId w:val="7"/>
        </w:numPr>
        <w:contextualSpacing w:val="0"/>
        <w:jc w:val="both"/>
        <w:rPr>
          <w:rFonts w:eastAsia="Arial" w:cs="Arial"/>
          <w:color w:val="000000"/>
        </w:rPr>
      </w:pPr>
      <w:r w:rsidRPr="00DD3C40">
        <w:rPr>
          <w:rFonts w:eastAsia="Arial" w:cs="Arial"/>
        </w:rPr>
        <w:t xml:space="preserve">HMRC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 </w:t>
      </w:r>
    </w:p>
    <w:p w14:paraId="151CA6A9" w14:textId="77777777" w:rsidR="00504695" w:rsidRPr="00DD3C40" w:rsidRDefault="00504695" w:rsidP="0085565B">
      <w:pPr>
        <w:pStyle w:val="ListParagraph"/>
        <w:numPr>
          <w:ilvl w:val="0"/>
          <w:numId w:val="10"/>
        </w:numPr>
        <w:pBdr>
          <w:top w:val="nil"/>
          <w:left w:val="nil"/>
          <w:bottom w:val="nil"/>
          <w:right w:val="nil"/>
          <w:between w:val="nil"/>
        </w:pBdr>
        <w:spacing w:after="120"/>
        <w:jc w:val="both"/>
        <w:rPr>
          <w:rFonts w:eastAsia="Arial" w:cs="Arial"/>
        </w:rPr>
      </w:pPr>
      <w:r w:rsidRPr="00DD3C40">
        <w:rPr>
          <w:rFonts w:eastAsia="Arial" w:cs="Arial"/>
        </w:rPr>
        <w:t xml:space="preserve">is registered in the UK or in a country the UK has a relevant international agreement with reciprocal rights of access to public procurement; and/or </w:t>
      </w:r>
    </w:p>
    <w:p w14:paraId="07326A14" w14:textId="77777777" w:rsidR="00504695" w:rsidRDefault="00504695" w:rsidP="0085565B">
      <w:pPr>
        <w:pStyle w:val="ListParagraph"/>
        <w:numPr>
          <w:ilvl w:val="0"/>
          <w:numId w:val="10"/>
        </w:numPr>
        <w:pBdr>
          <w:top w:val="nil"/>
          <w:left w:val="nil"/>
          <w:bottom w:val="nil"/>
          <w:right w:val="nil"/>
          <w:between w:val="nil"/>
        </w:pBdr>
        <w:spacing w:after="120"/>
        <w:jc w:val="both"/>
        <w:rPr>
          <w:rFonts w:eastAsia="Arial" w:cs="Arial"/>
        </w:rPr>
      </w:pPr>
      <w:r w:rsidRPr="00DD3C40">
        <w:rPr>
          <w:rFonts w:eastAsia="Arial" w:cs="Arial"/>
        </w:rPr>
        <w:t>has significant business operations in the UK or in a country the UK has a relevant international agreement with reciprocal rights of access to public procurement.</w:t>
      </w:r>
    </w:p>
    <w:p w14:paraId="341C3C16" w14:textId="77777777" w:rsidR="00504695" w:rsidRPr="00DD3C40" w:rsidRDefault="00504695" w:rsidP="009D7A31">
      <w:pPr>
        <w:pStyle w:val="ListParagraph"/>
        <w:pBdr>
          <w:top w:val="nil"/>
          <w:left w:val="nil"/>
          <w:bottom w:val="nil"/>
          <w:right w:val="nil"/>
          <w:between w:val="nil"/>
        </w:pBdr>
        <w:spacing w:after="120"/>
        <w:ind w:left="1440"/>
        <w:jc w:val="both"/>
        <w:rPr>
          <w:rFonts w:eastAsia="Arial" w:cs="Arial"/>
        </w:rPr>
      </w:pPr>
    </w:p>
    <w:p w14:paraId="3A39E206" w14:textId="654BF78C" w:rsidR="00504695" w:rsidRPr="00DD3C40" w:rsidRDefault="00504695" w:rsidP="007B347E">
      <w:pPr>
        <w:pStyle w:val="ListParagraph"/>
        <w:numPr>
          <w:ilvl w:val="1"/>
          <w:numId w:val="7"/>
        </w:numPr>
        <w:contextualSpacing w:val="0"/>
        <w:jc w:val="both"/>
        <w:rPr>
          <w:rFonts w:cs="Arial"/>
        </w:rPr>
      </w:pPr>
      <w:r w:rsidRPr="00DD3C40">
        <w:rPr>
          <w:rFonts w:cs="Arial"/>
        </w:rPr>
        <w:t xml:space="preserve">HMRC reserves the right to request any evidence that HMRC deems appropriate, </w:t>
      </w:r>
      <w:proofErr w:type="gramStart"/>
      <w:r w:rsidRPr="00DD3C40">
        <w:rPr>
          <w:rFonts w:cs="Arial"/>
        </w:rPr>
        <w:t>proportionate</w:t>
      </w:r>
      <w:proofErr w:type="gramEnd"/>
      <w:r w:rsidRPr="00DD3C40">
        <w:rPr>
          <w:rFonts w:cs="Arial"/>
        </w:rPr>
        <w:t xml:space="preserve"> and relevant to the procurement to confirm the accuracy of the </w:t>
      </w:r>
      <w:r w:rsidR="00433587">
        <w:rPr>
          <w:rFonts w:cs="Arial"/>
        </w:rPr>
        <w:t>Tenderer</w:t>
      </w:r>
      <w:r w:rsidRPr="00DD3C40">
        <w:rPr>
          <w:rFonts w:cs="Arial"/>
        </w:rPr>
        <w:t xml:space="preserve">s’ responses, at any point during the procurement process if necessary to ensure the proper conduct of the procedure. Failure to provide such evidence in any timescales stipulated by HMRC may result in the rejection of </w:t>
      </w:r>
      <w:r w:rsidR="000E728A">
        <w:rPr>
          <w:rFonts w:cs="Arial"/>
        </w:rPr>
        <w:t xml:space="preserve">the </w:t>
      </w:r>
      <w:r w:rsidR="00433587">
        <w:rPr>
          <w:rFonts w:cs="Arial"/>
        </w:rPr>
        <w:t>Tenderer</w:t>
      </w:r>
      <w:r w:rsidR="000E728A">
        <w:rPr>
          <w:rFonts w:cs="Arial"/>
        </w:rPr>
        <w:t>’s</w:t>
      </w:r>
      <w:r w:rsidRPr="00DD3C40">
        <w:rPr>
          <w:rFonts w:cs="Arial"/>
        </w:rPr>
        <w:t xml:space="preserve"> tender.</w:t>
      </w:r>
    </w:p>
    <w:p w14:paraId="64E038B4" w14:textId="4729D42C" w:rsidR="00504695" w:rsidRPr="00504695" w:rsidRDefault="00504695" w:rsidP="007B347E">
      <w:pPr>
        <w:pStyle w:val="ListParagraph"/>
        <w:numPr>
          <w:ilvl w:val="1"/>
          <w:numId w:val="7"/>
        </w:numPr>
        <w:contextualSpacing w:val="0"/>
        <w:jc w:val="both"/>
        <w:rPr>
          <w:rFonts w:cs="Arial"/>
        </w:rPr>
      </w:pPr>
      <w:r w:rsidRPr="00DD3C40">
        <w:rPr>
          <w:rFonts w:cs="Arial"/>
        </w:rPr>
        <w:t xml:space="preserve">If a </w:t>
      </w:r>
      <w:r w:rsidR="00433587">
        <w:rPr>
          <w:rFonts w:cs="Arial"/>
        </w:rPr>
        <w:t>Tenderer</w:t>
      </w:r>
      <w:r w:rsidRPr="00DD3C40">
        <w:rPr>
          <w:rFonts w:cs="Arial"/>
        </w:rPr>
        <w:t xml:space="preserve"> seriously misrepresents any </w:t>
      </w:r>
      <w:proofErr w:type="gramStart"/>
      <w:r w:rsidRPr="00DD3C40">
        <w:rPr>
          <w:rFonts w:cs="Arial"/>
        </w:rPr>
        <w:t>factual information</w:t>
      </w:r>
      <w:proofErr w:type="gramEnd"/>
      <w:r w:rsidRPr="00DD3C40">
        <w:rPr>
          <w:rFonts w:cs="Arial"/>
        </w:rPr>
        <w:t xml:space="preserve"> in filling in the </w:t>
      </w:r>
      <w:r w:rsidR="00FD4E53">
        <w:rPr>
          <w:rFonts w:cs="Arial"/>
        </w:rPr>
        <w:t>PSQ</w:t>
      </w:r>
      <w:r w:rsidRPr="00DD3C40">
        <w:rPr>
          <w:rFonts w:cs="Arial"/>
        </w:rPr>
        <w:t xml:space="preserve">, and so induce </w:t>
      </w:r>
      <w:r w:rsidR="00735B93">
        <w:rPr>
          <w:rFonts w:cs="Arial"/>
        </w:rPr>
        <w:t>HMRC</w:t>
      </w:r>
      <w:r w:rsidRPr="00DD3C40">
        <w:rPr>
          <w:rFonts w:cs="Arial"/>
        </w:rPr>
        <w:t xml:space="preserve"> to enter into a contract, there may be significant consequences. The </w:t>
      </w:r>
      <w:r w:rsidR="00433587">
        <w:rPr>
          <w:rFonts w:cs="Arial"/>
        </w:rPr>
        <w:t>Tenderer</w:t>
      </w:r>
      <w:r w:rsidRPr="00DD3C40">
        <w:rPr>
          <w:rFonts w:cs="Arial"/>
        </w:rPr>
        <w:t xml:space="preserve"> may be excluded from the procurement procedure, and from bidding for other contracts for three years. If a contract has been entered into the </w:t>
      </w:r>
      <w:r w:rsidR="00433587">
        <w:rPr>
          <w:rFonts w:cs="Arial"/>
        </w:rPr>
        <w:t>Tenderer</w:t>
      </w:r>
      <w:r w:rsidRPr="00DD3C40">
        <w:rPr>
          <w:rFonts w:cs="Arial"/>
        </w:rPr>
        <w:t xml:space="preserve"> may be sued for damages and the contract may be rescinded. If fraud, or fraudulent intent, can be proved, the </w:t>
      </w:r>
      <w:r w:rsidR="00433587">
        <w:rPr>
          <w:rFonts w:cs="Arial"/>
        </w:rPr>
        <w:t>Tenderer</w:t>
      </w:r>
      <w:r w:rsidRPr="00DD3C40">
        <w:rPr>
          <w:rFonts w:cs="Arial"/>
        </w:rPr>
        <w:t xml:space="preserve"> or its responsible officers may be prosecuted and convicted of the offence of fraud by false representation, and the </w:t>
      </w:r>
      <w:r w:rsidR="00433587">
        <w:rPr>
          <w:rFonts w:cs="Arial"/>
        </w:rPr>
        <w:t>Tenderer</w:t>
      </w:r>
      <w:r w:rsidRPr="00DD3C40">
        <w:rPr>
          <w:rFonts w:cs="Arial"/>
        </w:rPr>
        <w:t xml:space="preserve"> must be excluded from further procurements for five years</w:t>
      </w:r>
      <w:r>
        <w:rPr>
          <w:rFonts w:cs="Arial"/>
        </w:rPr>
        <w:t>.</w:t>
      </w:r>
    </w:p>
    <w:p w14:paraId="194B2978" w14:textId="5B216F0A" w:rsidR="00BB29C9" w:rsidRPr="00D40466" w:rsidRDefault="008D0FF8" w:rsidP="00A337CE">
      <w:pPr>
        <w:pStyle w:val="ListParagraph"/>
        <w:numPr>
          <w:ilvl w:val="0"/>
          <w:numId w:val="7"/>
        </w:numPr>
        <w:contextualSpacing w:val="0"/>
        <w:jc w:val="both"/>
        <w:rPr>
          <w:b/>
          <w:bCs/>
        </w:rPr>
      </w:pPr>
      <w:r>
        <w:rPr>
          <w:b/>
          <w:bCs/>
        </w:rPr>
        <w:t>Procurement Specific Questionnaire</w:t>
      </w:r>
      <w:r w:rsidR="007C7C9C">
        <w:rPr>
          <w:b/>
          <w:bCs/>
        </w:rPr>
        <w:t xml:space="preserve"> </w:t>
      </w:r>
      <w:r w:rsidR="007C7C9C" w:rsidRPr="00BC5E7B">
        <w:rPr>
          <w:b/>
          <w:bCs/>
        </w:rPr>
        <w:t>Evaluation Criteria</w:t>
      </w:r>
    </w:p>
    <w:p w14:paraId="55226162" w14:textId="02E6127B" w:rsidR="00BB29C9" w:rsidRDefault="00BB29C9" w:rsidP="00BB29C9">
      <w:pPr>
        <w:pStyle w:val="ListParagraph"/>
        <w:numPr>
          <w:ilvl w:val="1"/>
          <w:numId w:val="7"/>
        </w:numPr>
        <w:contextualSpacing w:val="0"/>
        <w:jc w:val="both"/>
        <w:rPr>
          <w:rFonts w:cs="Arial"/>
        </w:rPr>
      </w:pPr>
      <w:r>
        <w:rPr>
          <w:rFonts w:cs="Arial"/>
        </w:rPr>
        <w:t xml:space="preserve">The tables within this section set </w:t>
      </w:r>
      <w:r w:rsidRPr="00E538FD">
        <w:rPr>
          <w:rFonts w:cs="Arial"/>
        </w:rPr>
        <w:t xml:space="preserve">out the </w:t>
      </w:r>
      <w:r>
        <w:rPr>
          <w:rFonts w:cs="Arial"/>
        </w:rPr>
        <w:t xml:space="preserve">PSQ questions that must be responded to by </w:t>
      </w:r>
      <w:r w:rsidR="00D40466">
        <w:rPr>
          <w:rFonts w:cs="Arial"/>
        </w:rPr>
        <w:t>Tenderer</w:t>
      </w:r>
      <w:r>
        <w:rPr>
          <w:rFonts w:cs="Arial"/>
        </w:rPr>
        <w:t>s in line with the guidance provided</w:t>
      </w:r>
      <w:r w:rsidRPr="00E538FD">
        <w:rPr>
          <w:rFonts w:cs="Arial"/>
        </w:rPr>
        <w:t>.</w:t>
      </w:r>
    </w:p>
    <w:p w14:paraId="147FAB65" w14:textId="0E7F1328" w:rsidR="00CA4964" w:rsidRDefault="00F759C3" w:rsidP="00BB29C9">
      <w:pPr>
        <w:pStyle w:val="ListParagraph"/>
        <w:numPr>
          <w:ilvl w:val="1"/>
          <w:numId w:val="7"/>
        </w:numPr>
        <w:contextualSpacing w:val="0"/>
        <w:jc w:val="both"/>
        <w:rPr>
          <w:rFonts w:cs="Arial"/>
        </w:rPr>
      </w:pPr>
      <w:r>
        <w:rPr>
          <w:rFonts w:cs="Arial"/>
        </w:rPr>
        <w:t>Table</w:t>
      </w:r>
      <w:r w:rsidR="0052773D">
        <w:rPr>
          <w:rFonts w:cs="Arial"/>
        </w:rPr>
        <w:t>s</w:t>
      </w:r>
      <w:r>
        <w:rPr>
          <w:rFonts w:cs="Arial"/>
        </w:rPr>
        <w:t xml:space="preserve"> 1</w:t>
      </w:r>
      <w:r w:rsidR="0052773D">
        <w:rPr>
          <w:rFonts w:cs="Arial"/>
        </w:rPr>
        <w:t xml:space="preserve"> &amp; 2</w:t>
      </w:r>
      <w:r>
        <w:rPr>
          <w:rFonts w:cs="Arial"/>
        </w:rPr>
        <w:t xml:space="preserve"> in</w:t>
      </w:r>
      <w:r w:rsidDel="00244D1F">
        <w:rPr>
          <w:rFonts w:cs="Arial"/>
        </w:rPr>
        <w:t xml:space="preserve"> </w:t>
      </w:r>
      <w:r w:rsidR="00244D1F">
        <w:rPr>
          <w:rFonts w:cs="Arial"/>
        </w:rPr>
        <w:t>para</w:t>
      </w:r>
      <w:r w:rsidR="00387E76">
        <w:rPr>
          <w:rFonts w:cs="Arial"/>
        </w:rPr>
        <w:t>graph</w:t>
      </w:r>
      <w:r w:rsidR="00244D1F">
        <w:rPr>
          <w:rFonts w:cs="Arial"/>
        </w:rPr>
        <w:t xml:space="preserve"> </w:t>
      </w:r>
      <w:r w:rsidR="0024349B">
        <w:rPr>
          <w:rFonts w:cs="Arial"/>
        </w:rPr>
        <w:t xml:space="preserve">12 </w:t>
      </w:r>
      <w:r w:rsidR="00B33EC6">
        <w:rPr>
          <w:rFonts w:cs="Arial"/>
        </w:rPr>
        <w:t>provide the scoring matrix</w:t>
      </w:r>
      <w:r w:rsidR="00CA4964">
        <w:rPr>
          <w:rFonts w:cs="Arial"/>
        </w:rPr>
        <w:t xml:space="preserve"> and</w:t>
      </w:r>
      <w:r w:rsidR="001E2330">
        <w:rPr>
          <w:rFonts w:cs="Arial"/>
        </w:rPr>
        <w:t xml:space="preserve"> Schedule 2 provides the </w:t>
      </w:r>
      <w:r w:rsidR="00BB6534">
        <w:rPr>
          <w:rFonts w:cs="Arial"/>
        </w:rPr>
        <w:t>response guidance</w:t>
      </w:r>
      <w:r w:rsidR="00AC72C3">
        <w:rPr>
          <w:rFonts w:cs="Arial"/>
        </w:rPr>
        <w:t xml:space="preserve"> </w:t>
      </w:r>
      <w:r w:rsidR="00B33EC6">
        <w:rPr>
          <w:rFonts w:cs="Arial"/>
        </w:rPr>
        <w:t>for PSQ</w:t>
      </w:r>
      <w:r w:rsidR="00292082">
        <w:rPr>
          <w:rFonts w:cs="Arial"/>
        </w:rPr>
        <w:t xml:space="preserve"> qualitative questions</w:t>
      </w:r>
      <w:r w:rsidR="00CA4964">
        <w:rPr>
          <w:rFonts w:cs="Arial"/>
        </w:rPr>
        <w:t xml:space="preserve"> 3.8 – 3.14</w:t>
      </w:r>
      <w:r w:rsidR="00292082">
        <w:rPr>
          <w:rFonts w:cs="Arial"/>
        </w:rPr>
        <w:t xml:space="preserve">. </w:t>
      </w:r>
    </w:p>
    <w:p w14:paraId="2309EEFC" w14:textId="3901C8C3" w:rsidR="00BB29C9" w:rsidRDefault="00BB6534" w:rsidP="00BB29C9">
      <w:pPr>
        <w:pStyle w:val="ListParagraph"/>
        <w:numPr>
          <w:ilvl w:val="1"/>
          <w:numId w:val="7"/>
        </w:numPr>
        <w:contextualSpacing w:val="0"/>
        <w:jc w:val="both"/>
        <w:rPr>
          <w:rFonts w:cs="Arial"/>
        </w:rPr>
      </w:pPr>
      <w:r>
        <w:rPr>
          <w:rFonts w:cs="Arial"/>
        </w:rPr>
        <w:t xml:space="preserve">Schedule 3 </w:t>
      </w:r>
      <w:r w:rsidR="00BB29C9">
        <w:rPr>
          <w:rFonts w:cs="Arial"/>
        </w:rPr>
        <w:t>contain</w:t>
      </w:r>
      <w:r>
        <w:rPr>
          <w:rFonts w:cs="Arial"/>
        </w:rPr>
        <w:t>s</w:t>
      </w:r>
      <w:r w:rsidR="00BB29C9">
        <w:rPr>
          <w:rFonts w:cs="Arial"/>
        </w:rPr>
        <w:t xml:space="preserve"> the detailed evaluation</w:t>
      </w:r>
      <w:r w:rsidR="007B4FA7">
        <w:rPr>
          <w:rFonts w:cs="Arial"/>
        </w:rPr>
        <w:t xml:space="preserve"> </w:t>
      </w:r>
      <w:r w:rsidR="00BB29C9">
        <w:rPr>
          <w:rFonts w:cs="Arial"/>
        </w:rPr>
        <w:t>guidance</w:t>
      </w:r>
      <w:r w:rsidR="007B4FA7">
        <w:rPr>
          <w:rFonts w:cs="Arial"/>
        </w:rPr>
        <w:t xml:space="preserve"> and criteria</w:t>
      </w:r>
      <w:r w:rsidR="00BB29C9">
        <w:rPr>
          <w:rFonts w:cs="Arial"/>
        </w:rPr>
        <w:t xml:space="preserve"> for </w:t>
      </w:r>
      <w:r>
        <w:rPr>
          <w:rFonts w:cs="Arial"/>
        </w:rPr>
        <w:t xml:space="preserve">all questions </w:t>
      </w:r>
      <w:r w:rsidR="0024349B">
        <w:rPr>
          <w:rFonts w:cs="Arial"/>
        </w:rPr>
        <w:t>in the PSQ</w:t>
      </w:r>
      <w:r w:rsidR="00BB29C9">
        <w:rPr>
          <w:rFonts w:cs="Arial"/>
        </w:rPr>
        <w:t>, which should be read in conjunction with the below questions.</w:t>
      </w:r>
    </w:p>
    <w:p w14:paraId="4F21F4D1" w14:textId="7084BBDA" w:rsidR="00BB29C9" w:rsidRPr="00A62632" w:rsidRDefault="00D40466" w:rsidP="00BB29C9">
      <w:pPr>
        <w:pStyle w:val="ListParagraph"/>
        <w:numPr>
          <w:ilvl w:val="1"/>
          <w:numId w:val="7"/>
        </w:numPr>
        <w:contextualSpacing w:val="0"/>
        <w:jc w:val="both"/>
        <w:rPr>
          <w:rFonts w:cs="Arial"/>
        </w:rPr>
      </w:pPr>
      <w:r>
        <w:rPr>
          <w:rFonts w:cs="Arial"/>
        </w:rPr>
        <w:t>Tenderers</w:t>
      </w:r>
      <w:r w:rsidR="00BB29C9" w:rsidRPr="00A62632">
        <w:rPr>
          <w:rFonts w:cs="Arial"/>
        </w:rPr>
        <w:t xml:space="preserve"> must ensure that every organisation on which they will rely to meet the selection criteria completes and submits their own answers and declaration for </w:t>
      </w:r>
      <w:r w:rsidR="00BB29C9">
        <w:rPr>
          <w:rFonts w:cs="Arial"/>
        </w:rPr>
        <w:t xml:space="preserve">the preliminary questions, </w:t>
      </w:r>
      <w:r w:rsidR="003B2093">
        <w:rPr>
          <w:rFonts w:cs="Arial"/>
        </w:rPr>
        <w:t>P</w:t>
      </w:r>
      <w:r w:rsidR="00BB29C9" w:rsidRPr="00A62632">
        <w:rPr>
          <w:rFonts w:cs="Arial"/>
        </w:rPr>
        <w:t>art 1 and 2.</w:t>
      </w:r>
    </w:p>
    <w:p w14:paraId="64B9C366" w14:textId="2C41F0FC" w:rsidR="00BB29C9" w:rsidRPr="00BB5EC3" w:rsidRDefault="00BB29C9" w:rsidP="00BB29C9">
      <w:pPr>
        <w:pStyle w:val="ListParagraph"/>
        <w:numPr>
          <w:ilvl w:val="1"/>
          <w:numId w:val="7"/>
        </w:numPr>
        <w:contextualSpacing w:val="0"/>
        <w:jc w:val="both"/>
        <w:rPr>
          <w:rFonts w:cs="Arial"/>
        </w:rPr>
      </w:pPr>
      <w:r>
        <w:rPr>
          <w:rFonts w:cs="Arial"/>
        </w:rPr>
        <w:t xml:space="preserve">Note that at the point of publication, the ‘share code’ functionality of the CDP may not be operational in such a way to allow HMRC to view the information directly. Therefore, when responding to questions within the PSQ that request information be completed on the CDP, </w:t>
      </w:r>
      <w:r w:rsidR="00D40466">
        <w:rPr>
          <w:rFonts w:cs="Arial"/>
        </w:rPr>
        <w:t>Tenderers</w:t>
      </w:r>
      <w:r>
        <w:rPr>
          <w:rFonts w:cs="Arial"/>
        </w:rPr>
        <w:t xml:space="preserve"> must generate a PDF of the required information from the CDP and attach this within the appropriate section o</w:t>
      </w:r>
      <w:r w:rsidRPr="003E246C">
        <w:rPr>
          <w:rFonts w:cs="Arial"/>
          <w:color w:val="000000" w:themeColor="text1"/>
        </w:rPr>
        <w:t>f the questionnaire on Ariba.</w:t>
      </w:r>
      <w:r w:rsidR="00F838CF" w:rsidRPr="003E246C">
        <w:rPr>
          <w:rFonts w:cs="Arial"/>
          <w:color w:val="000000" w:themeColor="text1"/>
        </w:rPr>
        <w:t xml:space="preserve"> </w:t>
      </w:r>
      <w:r w:rsidR="00433587">
        <w:rPr>
          <w:rFonts w:cs="Arial"/>
          <w:color w:val="000000" w:themeColor="text1"/>
        </w:rPr>
        <w:t>Tenderer</w:t>
      </w:r>
      <w:r w:rsidR="00CD5562" w:rsidRPr="003E246C">
        <w:rPr>
          <w:rFonts w:cs="Arial"/>
          <w:color w:val="000000" w:themeColor="text1"/>
        </w:rPr>
        <w:t xml:space="preserve">s are accordingly advised to ensure they have completed responses on the CDP in good time in advance of the response deadline. </w:t>
      </w:r>
    </w:p>
    <w:p w14:paraId="458A1937" w14:textId="77777777" w:rsidR="00BB29C9" w:rsidRPr="00E84B05" w:rsidRDefault="00BB29C9" w:rsidP="00BB29C9">
      <w:pPr>
        <w:keepNext/>
        <w:keepLines/>
        <w:spacing w:after="0" w:line="276" w:lineRule="auto"/>
        <w:outlineLvl w:val="2"/>
        <w:rPr>
          <w:rFonts w:eastAsia="Arial" w:cs="Calibri"/>
          <w:b/>
        </w:rPr>
      </w:pPr>
      <w:r w:rsidRPr="00E84B05">
        <w:rPr>
          <w:rFonts w:eastAsia="Arial" w:cs="Calibri"/>
          <w:b/>
        </w:rPr>
        <w:t>Preliminary Questions</w:t>
      </w:r>
    </w:p>
    <w:p w14:paraId="5DF621CE" w14:textId="77777777" w:rsidR="00BB29C9" w:rsidRPr="00E84B05" w:rsidRDefault="00BB29C9" w:rsidP="00BB29C9">
      <w:pPr>
        <w:spacing w:after="0" w:line="276" w:lineRule="auto"/>
        <w:rPr>
          <w:rFonts w:eastAsia="Arial"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5017"/>
        <w:gridCol w:w="2870"/>
      </w:tblGrid>
      <w:tr w:rsidR="00BB29C9" w:rsidRPr="009F58F2" w14:paraId="473BB8E7" w14:textId="77777777">
        <w:tc>
          <w:tcPr>
            <w:tcW w:w="0" w:type="auto"/>
            <w:tcBorders>
              <w:top w:val="single" w:sz="6" w:space="0" w:color="000000"/>
              <w:bottom w:val="single" w:sz="6" w:space="0" w:color="000000"/>
            </w:tcBorders>
            <w:shd w:val="clear" w:color="auto" w:fill="009999"/>
          </w:tcPr>
          <w:p w14:paraId="467BB8F9" w14:textId="77777777" w:rsidR="00BB29C9" w:rsidRPr="009F58F2" w:rsidRDefault="00BB29C9">
            <w:pPr>
              <w:spacing w:after="0" w:line="276" w:lineRule="auto"/>
              <w:ind w:right="101"/>
              <w:rPr>
                <w:rFonts w:eastAsia="Times New Roman" w:cs="Calibri"/>
                <w:b/>
                <w:bCs/>
                <w:color w:val="FFFFFF" w:themeColor="background1"/>
              </w:rPr>
            </w:pPr>
            <w:r w:rsidRPr="009F58F2">
              <w:rPr>
                <w:rFonts w:eastAsia="Times New Roman" w:cs="Calibri"/>
                <w:b/>
                <w:bCs/>
                <w:color w:val="FFFFFF" w:themeColor="background1"/>
              </w:rPr>
              <w:t>Question Number</w:t>
            </w:r>
          </w:p>
        </w:tc>
        <w:tc>
          <w:tcPr>
            <w:tcW w:w="7837" w:type="dxa"/>
            <w:tcBorders>
              <w:top w:val="single" w:sz="6" w:space="0" w:color="000000"/>
              <w:bottom w:val="single" w:sz="6" w:space="0" w:color="000000"/>
            </w:tcBorders>
            <w:shd w:val="clear" w:color="auto" w:fill="009999"/>
          </w:tcPr>
          <w:p w14:paraId="1373F9D5" w14:textId="77777777" w:rsidR="00BB29C9" w:rsidRPr="009F58F2" w:rsidRDefault="00BB29C9">
            <w:pPr>
              <w:spacing w:after="0" w:line="276" w:lineRule="auto"/>
              <w:rPr>
                <w:rFonts w:eastAsia="Times New Roman" w:cs="Calibri"/>
                <w:b/>
                <w:bCs/>
                <w:color w:val="FFFFFF" w:themeColor="background1"/>
              </w:rPr>
            </w:pPr>
            <w:r w:rsidRPr="009F58F2">
              <w:rPr>
                <w:rFonts w:eastAsia="Arial" w:cs="Calibri"/>
                <w:b/>
                <w:bCs/>
                <w:color w:val="FFFFFF" w:themeColor="background1"/>
              </w:rPr>
              <w:t>Question</w:t>
            </w:r>
          </w:p>
        </w:tc>
        <w:tc>
          <w:tcPr>
            <w:tcW w:w="4734" w:type="dxa"/>
            <w:tcBorders>
              <w:top w:val="single" w:sz="6" w:space="0" w:color="000000"/>
              <w:bottom w:val="single" w:sz="6" w:space="0" w:color="000000"/>
            </w:tcBorders>
            <w:shd w:val="clear" w:color="auto" w:fill="009999"/>
          </w:tcPr>
          <w:p w14:paraId="63441DE5" w14:textId="77777777" w:rsidR="00BB29C9" w:rsidRPr="009F58F2" w:rsidRDefault="00BB29C9">
            <w:pPr>
              <w:spacing w:after="0" w:line="276" w:lineRule="auto"/>
              <w:rPr>
                <w:rFonts w:eastAsia="Times New Roman" w:cs="Calibri"/>
                <w:b/>
                <w:bCs/>
                <w:color w:val="FFFFFF" w:themeColor="background1"/>
              </w:rPr>
            </w:pPr>
            <w:r w:rsidRPr="009F58F2">
              <w:rPr>
                <w:rFonts w:eastAsia="Arial" w:cs="Calibri"/>
                <w:b/>
                <w:bCs/>
                <w:color w:val="FFFFFF" w:themeColor="background1"/>
              </w:rPr>
              <w:t>Response</w:t>
            </w:r>
          </w:p>
        </w:tc>
      </w:tr>
      <w:tr w:rsidR="00BB29C9" w:rsidRPr="009F58F2" w14:paraId="41583037" w14:textId="77777777">
        <w:tc>
          <w:tcPr>
            <w:tcW w:w="0" w:type="auto"/>
            <w:tcBorders>
              <w:top w:val="single" w:sz="6" w:space="0" w:color="000000"/>
            </w:tcBorders>
            <w:shd w:val="clear" w:color="auto" w:fill="F2F2F2" w:themeFill="background1" w:themeFillShade="F2"/>
          </w:tcPr>
          <w:p w14:paraId="5931402C" w14:textId="77777777" w:rsidR="00BB29C9" w:rsidRPr="009F58F2" w:rsidRDefault="00BB29C9">
            <w:pPr>
              <w:spacing w:after="0" w:line="276" w:lineRule="auto"/>
              <w:rPr>
                <w:rFonts w:eastAsia="Arial" w:cs="Arial"/>
                <w:b/>
                <w:bCs/>
              </w:rPr>
            </w:pPr>
            <w:r w:rsidRPr="009F58F2">
              <w:rPr>
                <w:rFonts w:eastAsia="Arial" w:cs="Arial"/>
                <w:b/>
                <w:bCs/>
              </w:rPr>
              <w:t>1.1</w:t>
            </w:r>
          </w:p>
        </w:tc>
        <w:tc>
          <w:tcPr>
            <w:tcW w:w="7837" w:type="dxa"/>
            <w:tcBorders>
              <w:top w:val="single" w:sz="6" w:space="0" w:color="000000"/>
            </w:tcBorders>
            <w:shd w:val="clear" w:color="auto" w:fill="F2F2F2" w:themeFill="background1" w:themeFillShade="F2"/>
          </w:tcPr>
          <w:p w14:paraId="5177B20C" w14:textId="77777777" w:rsidR="00BB29C9" w:rsidRPr="009F58F2" w:rsidRDefault="00BB29C9">
            <w:pPr>
              <w:spacing w:after="0" w:line="276" w:lineRule="auto"/>
              <w:rPr>
                <w:rFonts w:eastAsia="Arial" w:cs="Arial"/>
              </w:rPr>
            </w:pPr>
            <w:r w:rsidRPr="009F58F2">
              <w:rPr>
                <w:rFonts w:eastAsia="Arial" w:cs="Arial"/>
              </w:rPr>
              <w:t>What is your name?</w:t>
            </w:r>
          </w:p>
        </w:tc>
        <w:tc>
          <w:tcPr>
            <w:tcW w:w="4734" w:type="dxa"/>
            <w:tcBorders>
              <w:top w:val="single" w:sz="6" w:space="0" w:color="000000"/>
            </w:tcBorders>
          </w:tcPr>
          <w:p w14:paraId="77F65CEF" w14:textId="77777777" w:rsidR="00BB29C9" w:rsidRPr="009F58F2" w:rsidRDefault="00BB29C9">
            <w:pPr>
              <w:tabs>
                <w:tab w:val="left" w:pos="602"/>
              </w:tabs>
              <w:spacing w:after="0" w:line="276" w:lineRule="auto"/>
              <w:rPr>
                <w:rFonts w:eastAsia="Arial" w:cs="Calibri"/>
              </w:rPr>
            </w:pPr>
            <w:r w:rsidRPr="009F58F2">
              <w:rPr>
                <w:rFonts w:eastAsia="Arial" w:cs="Calibri"/>
              </w:rPr>
              <w:t>[Insert Supplier name]</w:t>
            </w:r>
          </w:p>
        </w:tc>
      </w:tr>
      <w:tr w:rsidR="00BB29C9" w:rsidRPr="009F58F2" w14:paraId="58E1D60E" w14:textId="77777777">
        <w:tc>
          <w:tcPr>
            <w:tcW w:w="0" w:type="auto"/>
            <w:tcBorders>
              <w:top w:val="single" w:sz="6" w:space="0" w:color="000000"/>
            </w:tcBorders>
            <w:shd w:val="clear" w:color="auto" w:fill="F2F2F2" w:themeFill="background1" w:themeFillShade="F2"/>
          </w:tcPr>
          <w:p w14:paraId="6F3E7D54" w14:textId="77777777" w:rsidR="00BB29C9" w:rsidRPr="009F58F2" w:rsidRDefault="00BB29C9">
            <w:pPr>
              <w:spacing w:after="0" w:line="276" w:lineRule="auto"/>
              <w:rPr>
                <w:rFonts w:eastAsia="Arial" w:cs="Arial"/>
                <w:b/>
                <w:bCs/>
              </w:rPr>
            </w:pPr>
            <w:r w:rsidRPr="009F58F2">
              <w:rPr>
                <w:rFonts w:eastAsia="Arial" w:cs="Arial"/>
                <w:b/>
                <w:bCs/>
              </w:rPr>
              <w:t>1.2</w:t>
            </w:r>
          </w:p>
        </w:tc>
        <w:tc>
          <w:tcPr>
            <w:tcW w:w="7837" w:type="dxa"/>
            <w:tcBorders>
              <w:top w:val="single" w:sz="6" w:space="0" w:color="000000"/>
            </w:tcBorders>
            <w:shd w:val="clear" w:color="auto" w:fill="F2F2F2" w:themeFill="background1" w:themeFillShade="F2"/>
          </w:tcPr>
          <w:p w14:paraId="4B5AE711" w14:textId="77777777" w:rsidR="00BB29C9" w:rsidRPr="009F58F2" w:rsidRDefault="00BB29C9">
            <w:pPr>
              <w:spacing w:after="0" w:line="276" w:lineRule="auto"/>
              <w:rPr>
                <w:rFonts w:eastAsia="Arial" w:cs="Arial"/>
              </w:rPr>
            </w:pPr>
            <w:r w:rsidRPr="009F58F2">
              <w:rPr>
                <w:rFonts w:eastAsia="Arial" w:cs="Arial"/>
              </w:rPr>
              <w:t>What is your central digital platform unique identifier?</w:t>
            </w:r>
          </w:p>
        </w:tc>
        <w:tc>
          <w:tcPr>
            <w:tcW w:w="4734" w:type="dxa"/>
            <w:tcBorders>
              <w:top w:val="single" w:sz="6" w:space="0" w:color="000000"/>
            </w:tcBorders>
          </w:tcPr>
          <w:p w14:paraId="795F5236" w14:textId="77777777" w:rsidR="00BB29C9" w:rsidRPr="009F58F2" w:rsidRDefault="00BB29C9">
            <w:pPr>
              <w:tabs>
                <w:tab w:val="left" w:pos="602"/>
              </w:tabs>
              <w:spacing w:after="0" w:line="276" w:lineRule="auto"/>
              <w:rPr>
                <w:rFonts w:eastAsia="Arial" w:cs="Calibri"/>
              </w:rPr>
            </w:pPr>
            <w:r w:rsidRPr="009F58F2">
              <w:rPr>
                <w:rFonts w:eastAsia="Arial" w:cs="Calibri"/>
              </w:rPr>
              <w:t>[Insert unique identifier]</w:t>
            </w:r>
          </w:p>
        </w:tc>
      </w:tr>
      <w:tr w:rsidR="00BB29C9" w:rsidRPr="009F58F2" w14:paraId="5EF5A3C0" w14:textId="77777777">
        <w:tc>
          <w:tcPr>
            <w:tcW w:w="0" w:type="auto"/>
            <w:tcBorders>
              <w:top w:val="single" w:sz="6" w:space="0" w:color="000000"/>
            </w:tcBorders>
            <w:shd w:val="clear" w:color="auto" w:fill="F2F2F2" w:themeFill="background1" w:themeFillShade="F2"/>
          </w:tcPr>
          <w:p w14:paraId="6ADDBB6A" w14:textId="77777777" w:rsidR="00BB29C9" w:rsidRPr="009F58F2" w:rsidRDefault="00BB29C9">
            <w:pPr>
              <w:spacing w:after="0" w:line="276" w:lineRule="auto"/>
              <w:rPr>
                <w:rFonts w:eastAsia="Times New Roman" w:cs="Arial"/>
                <w:b/>
                <w:bCs/>
              </w:rPr>
            </w:pPr>
            <w:r w:rsidRPr="009F58F2">
              <w:rPr>
                <w:rFonts w:eastAsia="Arial" w:cs="Arial"/>
                <w:b/>
                <w:bCs/>
              </w:rPr>
              <w:t>1.3</w:t>
            </w:r>
          </w:p>
        </w:tc>
        <w:tc>
          <w:tcPr>
            <w:tcW w:w="7837" w:type="dxa"/>
            <w:tcBorders>
              <w:top w:val="single" w:sz="6" w:space="0" w:color="000000"/>
            </w:tcBorders>
            <w:shd w:val="clear" w:color="auto" w:fill="F2F2F2" w:themeFill="background1" w:themeFillShade="F2"/>
          </w:tcPr>
          <w:p w14:paraId="576BB3AA" w14:textId="77777777" w:rsidR="00BB29C9" w:rsidRPr="009F58F2" w:rsidRDefault="00BB29C9">
            <w:pPr>
              <w:spacing w:after="0" w:line="276" w:lineRule="auto"/>
              <w:rPr>
                <w:rFonts w:eastAsia="Arial" w:cs="Arial"/>
              </w:rPr>
            </w:pPr>
            <w:r w:rsidRPr="009F58F2">
              <w:rPr>
                <w:rFonts w:eastAsia="Arial" w:cs="Arial"/>
              </w:rPr>
              <w:t>Please indicate if you are bidding as a single supplier (with or without sub-contractors) or as part of a group or consortium?</w:t>
            </w:r>
          </w:p>
        </w:tc>
        <w:tc>
          <w:tcPr>
            <w:tcW w:w="4734" w:type="dxa"/>
            <w:tcBorders>
              <w:top w:val="single" w:sz="6" w:space="0" w:color="000000"/>
            </w:tcBorders>
          </w:tcPr>
          <w:p w14:paraId="59D858CC" w14:textId="77777777" w:rsidR="00BB29C9" w:rsidRPr="009F58F2" w:rsidRDefault="00BB29C9">
            <w:pPr>
              <w:tabs>
                <w:tab w:val="left" w:pos="602"/>
              </w:tabs>
              <w:spacing w:after="0" w:line="276" w:lineRule="auto"/>
              <w:rPr>
                <w:rFonts w:eastAsia="Times New Roman" w:cs="Calibri"/>
              </w:rPr>
            </w:pPr>
            <w:bookmarkStart w:id="134" w:name="_4d34og8" w:colFirst="0" w:colLast="0"/>
            <w:bookmarkEnd w:id="134"/>
            <w:r w:rsidRPr="009F58F2">
              <w:rPr>
                <w:rFonts w:eastAsia="Arial" w:cs="Calibri"/>
              </w:rPr>
              <w:t xml:space="preserve">Single Supplier </w:t>
            </w:r>
            <w:r w:rsidRPr="009F58F2">
              <w:rPr>
                <w:rFonts w:eastAsia="Times New Roman" w:cs="Calibri"/>
              </w:rPr>
              <w:fldChar w:fldCharType="begin">
                <w:ffData>
                  <w:name w:val="Check1"/>
                  <w:enabled/>
                  <w:calcOnExit w:val="0"/>
                  <w:checkBox>
                    <w:sizeAuto/>
                    <w:default w:val="0"/>
                  </w:checkBox>
                </w:ffData>
              </w:fldChar>
            </w:r>
            <w:r w:rsidRPr="009F58F2">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9F58F2">
              <w:rPr>
                <w:rFonts w:eastAsia="Times New Roman" w:cs="Calibri"/>
              </w:rPr>
              <w:fldChar w:fldCharType="end"/>
            </w:r>
          </w:p>
          <w:p w14:paraId="5BD3745B" w14:textId="77777777" w:rsidR="00BB29C9" w:rsidRPr="009F58F2" w:rsidRDefault="00BB29C9">
            <w:pPr>
              <w:tabs>
                <w:tab w:val="left" w:pos="612"/>
              </w:tabs>
              <w:spacing w:after="0" w:line="276" w:lineRule="auto"/>
              <w:rPr>
                <w:rFonts w:eastAsia="Times New Roman" w:cs="Calibri"/>
              </w:rPr>
            </w:pPr>
            <w:r w:rsidRPr="009F58F2">
              <w:rPr>
                <w:rFonts w:eastAsia="Arial" w:cs="Calibri"/>
              </w:rPr>
              <w:t>Group</w:t>
            </w:r>
            <w:r w:rsidRPr="009F58F2">
              <w:rPr>
                <w:rFonts w:eastAsia="Arial" w:cs="Calibri"/>
              </w:rPr>
              <w:tab/>
            </w:r>
            <w:r w:rsidRPr="009F58F2">
              <w:rPr>
                <w:rFonts w:eastAsia="Times New Roman" w:cs="Calibri"/>
              </w:rPr>
              <w:fldChar w:fldCharType="begin">
                <w:ffData>
                  <w:name w:val="Check1"/>
                  <w:enabled/>
                  <w:calcOnExit w:val="0"/>
                  <w:checkBox>
                    <w:sizeAuto/>
                    <w:default w:val="0"/>
                  </w:checkBox>
                </w:ffData>
              </w:fldChar>
            </w:r>
            <w:r w:rsidRPr="009F58F2">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9F58F2">
              <w:rPr>
                <w:rFonts w:eastAsia="Times New Roman" w:cs="Calibri"/>
              </w:rPr>
              <w:fldChar w:fldCharType="end"/>
            </w:r>
          </w:p>
          <w:p w14:paraId="5A23B6A0" w14:textId="77777777" w:rsidR="00BB29C9" w:rsidRPr="009F58F2" w:rsidRDefault="00BB29C9">
            <w:pPr>
              <w:tabs>
                <w:tab w:val="left" w:pos="612"/>
              </w:tabs>
              <w:spacing w:after="0" w:line="276" w:lineRule="auto"/>
              <w:rPr>
                <w:rFonts w:eastAsia="Times New Roman" w:cs="Calibri"/>
              </w:rPr>
            </w:pPr>
            <w:r w:rsidRPr="009F58F2">
              <w:rPr>
                <w:rFonts w:eastAsia="Arial" w:cs="Calibri"/>
              </w:rPr>
              <w:t xml:space="preserve">Consortium </w:t>
            </w:r>
            <w:r w:rsidRPr="009F58F2">
              <w:rPr>
                <w:rFonts w:eastAsia="Times New Roman" w:cs="Calibri"/>
              </w:rPr>
              <w:fldChar w:fldCharType="begin">
                <w:ffData>
                  <w:name w:val="Check1"/>
                  <w:enabled/>
                  <w:calcOnExit w:val="0"/>
                  <w:checkBox>
                    <w:sizeAuto/>
                    <w:default w:val="0"/>
                  </w:checkBox>
                </w:ffData>
              </w:fldChar>
            </w:r>
            <w:r w:rsidRPr="009F58F2">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9F58F2">
              <w:rPr>
                <w:rFonts w:eastAsia="Times New Roman" w:cs="Calibri"/>
              </w:rPr>
              <w:fldChar w:fldCharType="end"/>
            </w:r>
          </w:p>
          <w:p w14:paraId="272203B9" w14:textId="77777777" w:rsidR="00BB29C9" w:rsidRPr="009F58F2" w:rsidRDefault="00BB29C9">
            <w:pPr>
              <w:spacing w:after="0" w:line="276" w:lineRule="auto"/>
              <w:rPr>
                <w:rFonts w:eastAsia="Times New Roman" w:cs="Calibri"/>
              </w:rPr>
            </w:pPr>
          </w:p>
        </w:tc>
      </w:tr>
      <w:tr w:rsidR="00BB29C9" w:rsidRPr="009F58F2" w14:paraId="286E649A" w14:textId="77777777">
        <w:tc>
          <w:tcPr>
            <w:tcW w:w="0" w:type="auto"/>
            <w:tcBorders>
              <w:top w:val="single" w:sz="6" w:space="0" w:color="000000"/>
              <w:bottom w:val="single" w:sz="6" w:space="0" w:color="000000"/>
            </w:tcBorders>
            <w:shd w:val="clear" w:color="auto" w:fill="F2F2F2" w:themeFill="background1" w:themeFillShade="F2"/>
          </w:tcPr>
          <w:p w14:paraId="1097EAE6" w14:textId="77777777" w:rsidR="00BB29C9" w:rsidRPr="009F58F2" w:rsidRDefault="00BB29C9">
            <w:pPr>
              <w:spacing w:after="0" w:line="276" w:lineRule="auto"/>
              <w:rPr>
                <w:rFonts w:eastAsia="Arial" w:cs="Arial"/>
                <w:b/>
                <w:bCs/>
              </w:rPr>
            </w:pPr>
            <w:r w:rsidRPr="009F58F2">
              <w:rPr>
                <w:rFonts w:eastAsia="Arial" w:cs="Arial"/>
                <w:b/>
                <w:bCs/>
              </w:rPr>
              <w:t>1.4</w:t>
            </w:r>
          </w:p>
        </w:tc>
        <w:tc>
          <w:tcPr>
            <w:tcW w:w="7837" w:type="dxa"/>
            <w:tcBorders>
              <w:top w:val="single" w:sz="6" w:space="0" w:color="000000"/>
              <w:bottom w:val="single" w:sz="6" w:space="0" w:color="000000"/>
            </w:tcBorders>
            <w:shd w:val="clear" w:color="auto" w:fill="F2F2F2" w:themeFill="background1" w:themeFillShade="F2"/>
          </w:tcPr>
          <w:p w14:paraId="2F1B2D7B" w14:textId="77777777" w:rsidR="00BB29C9" w:rsidRPr="009F58F2" w:rsidRDefault="00BB29C9">
            <w:pPr>
              <w:spacing w:after="120" w:line="276" w:lineRule="auto"/>
              <w:rPr>
                <w:rFonts w:eastAsia="Arial" w:cs="Arial"/>
              </w:rPr>
            </w:pPr>
            <w:r w:rsidRPr="009F58F2">
              <w:rPr>
                <w:rFonts w:eastAsia="Arial" w:cs="Arial"/>
              </w:rPr>
              <w:t xml:space="preserve">If you are bidding as part of a group or consortium (including where you intend to establish a legal entity to deliver the contract, or you are a subcontractor), please provide: </w:t>
            </w:r>
          </w:p>
          <w:p w14:paraId="40AC9CCD" w14:textId="77777777" w:rsidR="00BB29C9" w:rsidRPr="009F58F2" w:rsidRDefault="00BB29C9" w:rsidP="0085565B">
            <w:pPr>
              <w:pStyle w:val="Normal1"/>
              <w:numPr>
                <w:ilvl w:val="0"/>
                <w:numId w:val="19"/>
              </w:numPr>
              <w:spacing w:after="120" w:line="276" w:lineRule="auto"/>
              <w:ind w:hanging="360"/>
              <w:rPr>
                <w:rFonts w:ascii="Arial" w:eastAsia="Arial" w:hAnsi="Arial" w:cs="Arial"/>
                <w:color w:val="auto"/>
                <w:sz w:val="22"/>
                <w:szCs w:val="22"/>
              </w:rPr>
            </w:pPr>
            <w:r w:rsidRPr="009F58F2">
              <w:rPr>
                <w:rFonts w:ascii="Arial" w:eastAsia="Arial" w:hAnsi="Arial" w:cs="Arial"/>
                <w:color w:val="auto"/>
                <w:sz w:val="22"/>
                <w:szCs w:val="22"/>
              </w:rPr>
              <w:t>The name of the group/consortium</w:t>
            </w:r>
          </w:p>
          <w:p w14:paraId="39084B80" w14:textId="77777777" w:rsidR="00BB29C9" w:rsidRPr="009F58F2" w:rsidRDefault="00BB29C9" w:rsidP="0085565B">
            <w:pPr>
              <w:pStyle w:val="Normal1"/>
              <w:numPr>
                <w:ilvl w:val="0"/>
                <w:numId w:val="19"/>
              </w:numPr>
              <w:spacing w:after="120" w:line="276" w:lineRule="auto"/>
              <w:ind w:hanging="360"/>
              <w:rPr>
                <w:rFonts w:ascii="Arial" w:eastAsia="Arial" w:hAnsi="Arial" w:cs="Arial"/>
                <w:color w:val="auto"/>
                <w:sz w:val="22"/>
                <w:szCs w:val="22"/>
              </w:rPr>
            </w:pPr>
            <w:r w:rsidRPr="009F58F2">
              <w:rPr>
                <w:rFonts w:ascii="Arial" w:eastAsia="Arial" w:hAnsi="Arial" w:cs="Arial"/>
                <w:color w:val="auto"/>
                <w:sz w:val="22"/>
                <w:szCs w:val="22"/>
              </w:rPr>
              <w:t xml:space="preserve">The proposed structure of the group/consortium, including the legal structure where </w:t>
            </w:r>
            <w:proofErr w:type="gramStart"/>
            <w:r w:rsidRPr="009F58F2">
              <w:rPr>
                <w:rFonts w:ascii="Arial" w:eastAsia="Arial" w:hAnsi="Arial" w:cs="Arial"/>
                <w:color w:val="auto"/>
                <w:sz w:val="22"/>
                <w:szCs w:val="22"/>
              </w:rPr>
              <w:t>applicable</w:t>
            </w:r>
            <w:proofErr w:type="gramEnd"/>
          </w:p>
          <w:p w14:paraId="0E453DFA" w14:textId="77777777" w:rsidR="00BB29C9" w:rsidRPr="009F58F2" w:rsidRDefault="00BB29C9" w:rsidP="0085565B">
            <w:pPr>
              <w:pStyle w:val="Normal1"/>
              <w:numPr>
                <w:ilvl w:val="0"/>
                <w:numId w:val="19"/>
              </w:numPr>
              <w:spacing w:after="120" w:line="276" w:lineRule="auto"/>
              <w:ind w:hanging="360"/>
              <w:rPr>
                <w:rFonts w:ascii="Arial" w:eastAsia="Arial" w:hAnsi="Arial" w:cs="Arial"/>
                <w:color w:val="auto"/>
                <w:sz w:val="22"/>
                <w:szCs w:val="22"/>
              </w:rPr>
            </w:pPr>
            <w:r w:rsidRPr="009F58F2">
              <w:rPr>
                <w:rFonts w:ascii="Arial" w:eastAsia="Arial" w:hAnsi="Arial" w:cs="Arial"/>
                <w:color w:val="auto"/>
                <w:sz w:val="22"/>
                <w:szCs w:val="22"/>
              </w:rPr>
              <w:t>The name of the prime/lead member in the group/consortium</w:t>
            </w:r>
          </w:p>
          <w:p w14:paraId="11675672" w14:textId="77777777" w:rsidR="00BB29C9" w:rsidRPr="009F58F2" w:rsidRDefault="00BB29C9" w:rsidP="0085565B">
            <w:pPr>
              <w:pStyle w:val="Normal1"/>
              <w:numPr>
                <w:ilvl w:val="0"/>
                <w:numId w:val="19"/>
              </w:numPr>
              <w:spacing w:after="120" w:line="276" w:lineRule="auto"/>
              <w:ind w:hanging="360"/>
              <w:rPr>
                <w:rFonts w:ascii="Arial" w:eastAsia="Arial" w:hAnsi="Arial" w:cs="Arial"/>
                <w:color w:val="auto"/>
                <w:sz w:val="22"/>
                <w:szCs w:val="22"/>
              </w:rPr>
            </w:pPr>
            <w:r w:rsidRPr="009F58F2">
              <w:rPr>
                <w:rFonts w:ascii="Arial" w:eastAsia="Arial" w:hAnsi="Arial" w:cs="Arial"/>
                <w:color w:val="auto"/>
                <w:sz w:val="22"/>
                <w:szCs w:val="22"/>
              </w:rPr>
              <w:t>Your role in the group/consortium (e.g. prime/lead member, consortium member, subcontractor)</w:t>
            </w:r>
          </w:p>
          <w:p w14:paraId="446C16D9" w14:textId="77777777" w:rsidR="00BB29C9" w:rsidRPr="009F58F2" w:rsidRDefault="00BB29C9" w:rsidP="0085565B">
            <w:pPr>
              <w:pStyle w:val="Normal1"/>
              <w:numPr>
                <w:ilvl w:val="0"/>
                <w:numId w:val="19"/>
              </w:numPr>
              <w:spacing w:line="276" w:lineRule="auto"/>
              <w:ind w:left="714" w:hanging="357"/>
              <w:rPr>
                <w:rFonts w:ascii="Arial" w:eastAsia="Arial" w:hAnsi="Arial" w:cs="Arial"/>
                <w:sz w:val="22"/>
                <w:szCs w:val="22"/>
              </w:rPr>
            </w:pPr>
            <w:r w:rsidRPr="009F58F2">
              <w:rPr>
                <w:rFonts w:ascii="Arial" w:eastAsia="Arial" w:hAnsi="Arial" w:cs="Arial"/>
                <w:color w:val="auto"/>
                <w:sz w:val="22"/>
                <w:szCs w:val="22"/>
              </w:rPr>
              <w:t>Confirmation (if you are the prime/lead member in the group/consortium) whether you are relying on other consortium members to meet the selection criteria (i.e. are you relying on other consortium members for economic and technical standing and/or technical and professional ability?). If so, please confirm to which criteria this applies.</w:t>
            </w:r>
          </w:p>
        </w:tc>
        <w:tc>
          <w:tcPr>
            <w:tcW w:w="4734" w:type="dxa"/>
            <w:tcBorders>
              <w:top w:val="single" w:sz="6" w:space="0" w:color="000000"/>
              <w:bottom w:val="single" w:sz="6" w:space="0" w:color="000000"/>
            </w:tcBorders>
          </w:tcPr>
          <w:p w14:paraId="01B56EF5" w14:textId="77777777" w:rsidR="00BB29C9" w:rsidRPr="009F58F2" w:rsidRDefault="00BB29C9">
            <w:pPr>
              <w:tabs>
                <w:tab w:val="left" w:pos="602"/>
              </w:tabs>
              <w:spacing w:after="0" w:line="276" w:lineRule="auto"/>
              <w:rPr>
                <w:rFonts w:eastAsia="Arial" w:cs="Calibri"/>
              </w:rPr>
            </w:pPr>
          </w:p>
        </w:tc>
      </w:tr>
      <w:tr w:rsidR="00BB29C9" w:rsidRPr="009F58F2" w14:paraId="42780814" w14:textId="77777777">
        <w:trPr>
          <w:trHeight w:val="787"/>
        </w:trPr>
        <w:tc>
          <w:tcPr>
            <w:tcW w:w="0" w:type="auto"/>
            <w:vMerge w:val="restart"/>
            <w:tcBorders>
              <w:top w:val="single" w:sz="6" w:space="0" w:color="000000"/>
            </w:tcBorders>
            <w:shd w:val="clear" w:color="auto" w:fill="F2F2F2" w:themeFill="background1" w:themeFillShade="F2"/>
          </w:tcPr>
          <w:p w14:paraId="2E16393F" w14:textId="77777777" w:rsidR="00BB29C9" w:rsidRPr="009F58F2" w:rsidRDefault="00BB29C9">
            <w:pPr>
              <w:spacing w:after="0" w:line="276" w:lineRule="auto"/>
              <w:rPr>
                <w:rFonts w:eastAsia="Arial" w:cs="Arial"/>
                <w:b/>
                <w:bCs/>
              </w:rPr>
            </w:pPr>
            <w:r w:rsidRPr="009F58F2">
              <w:rPr>
                <w:rFonts w:eastAsia="Arial" w:cs="Arial"/>
                <w:b/>
                <w:bCs/>
              </w:rPr>
              <w:t>1.5</w:t>
            </w:r>
          </w:p>
        </w:tc>
        <w:tc>
          <w:tcPr>
            <w:tcW w:w="7837" w:type="dxa"/>
            <w:vMerge w:val="restart"/>
            <w:tcBorders>
              <w:top w:val="single" w:sz="6" w:space="0" w:color="000000"/>
            </w:tcBorders>
            <w:shd w:val="clear" w:color="auto" w:fill="F2F2F2" w:themeFill="background1" w:themeFillShade="F2"/>
          </w:tcPr>
          <w:p w14:paraId="259EF370" w14:textId="77777777" w:rsidR="00BB29C9" w:rsidRPr="009F58F2" w:rsidRDefault="00BB29C9">
            <w:pPr>
              <w:spacing w:after="0" w:line="276" w:lineRule="auto"/>
              <w:rPr>
                <w:rFonts w:eastAsia="Arial" w:cs="Calibri"/>
              </w:rPr>
            </w:pPr>
            <w:r w:rsidRPr="009F58F2">
              <w:rPr>
                <w:rFonts w:eastAsia="Arial" w:cs="Calibri"/>
              </w:rPr>
              <w:t>Are you on the debarment list?</w:t>
            </w:r>
          </w:p>
          <w:p w14:paraId="5DEDE973" w14:textId="77777777" w:rsidR="00BB29C9" w:rsidRPr="009F58F2" w:rsidRDefault="00BB29C9">
            <w:pPr>
              <w:spacing w:after="0" w:line="276" w:lineRule="auto"/>
              <w:rPr>
                <w:rFonts w:eastAsia="Arial" w:cs="Calibri"/>
              </w:rPr>
            </w:pPr>
          </w:p>
          <w:p w14:paraId="0B21D1D9" w14:textId="77777777" w:rsidR="00BB29C9" w:rsidRPr="009F58F2" w:rsidRDefault="00BB29C9">
            <w:pPr>
              <w:spacing w:after="120" w:line="276" w:lineRule="auto"/>
              <w:rPr>
                <w:rFonts w:eastAsia="Arial" w:cs="Arial"/>
              </w:rPr>
            </w:pPr>
            <w:r w:rsidRPr="009F58F2">
              <w:rPr>
                <w:rFonts w:eastAsia="Arial" w:cs="Calibri"/>
              </w:rPr>
              <w:t>If ‘Yes’, please provide details</w:t>
            </w:r>
          </w:p>
        </w:tc>
        <w:tc>
          <w:tcPr>
            <w:tcW w:w="4734" w:type="dxa"/>
            <w:tcBorders>
              <w:top w:val="single" w:sz="6" w:space="0" w:color="000000"/>
              <w:bottom w:val="single" w:sz="6" w:space="0" w:color="000000"/>
            </w:tcBorders>
          </w:tcPr>
          <w:p w14:paraId="2B7C28FB" w14:textId="77777777" w:rsidR="00BB29C9" w:rsidRPr="009F58F2" w:rsidRDefault="00BB29C9">
            <w:pPr>
              <w:tabs>
                <w:tab w:val="left" w:pos="600"/>
              </w:tabs>
              <w:spacing w:after="0" w:line="276" w:lineRule="auto"/>
              <w:rPr>
                <w:rFonts w:eastAsia="Times New Roman" w:cs="Calibri"/>
              </w:rPr>
            </w:pPr>
            <w:r w:rsidRPr="009F58F2">
              <w:rPr>
                <w:rFonts w:eastAsia="Arial" w:cs="Calibri"/>
              </w:rPr>
              <w:t>Yes</w:t>
            </w:r>
            <w:r w:rsidRPr="009F58F2">
              <w:rPr>
                <w:rFonts w:eastAsia="Menlo Regular" w:cs="Calibri"/>
              </w:rPr>
              <w:t xml:space="preserve"> </w:t>
            </w:r>
            <w:r w:rsidRPr="009F58F2">
              <w:rPr>
                <w:rFonts w:eastAsia="Menlo Regular" w:cs="Calibri"/>
              </w:rPr>
              <w:tab/>
            </w:r>
            <w:r w:rsidRPr="009F58F2">
              <w:rPr>
                <w:rFonts w:eastAsia="Times New Roman" w:cs="Calibri"/>
              </w:rPr>
              <w:fldChar w:fldCharType="begin">
                <w:ffData>
                  <w:name w:val="Check1"/>
                  <w:enabled/>
                  <w:calcOnExit w:val="0"/>
                  <w:checkBox>
                    <w:sizeAuto/>
                    <w:default w:val="0"/>
                  </w:checkBox>
                </w:ffData>
              </w:fldChar>
            </w:r>
            <w:r w:rsidRPr="009F58F2">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9F58F2">
              <w:rPr>
                <w:rFonts w:eastAsia="Times New Roman" w:cs="Calibri"/>
              </w:rPr>
              <w:fldChar w:fldCharType="end"/>
            </w:r>
          </w:p>
          <w:p w14:paraId="553CF308" w14:textId="77777777" w:rsidR="00BB29C9" w:rsidRPr="009F58F2" w:rsidRDefault="00BB29C9">
            <w:pPr>
              <w:tabs>
                <w:tab w:val="left" w:pos="600"/>
              </w:tabs>
              <w:spacing w:after="0" w:line="276" w:lineRule="auto"/>
              <w:rPr>
                <w:rFonts w:eastAsia="Times New Roman" w:cs="Calibri"/>
              </w:rPr>
            </w:pPr>
            <w:r w:rsidRPr="009F58F2">
              <w:rPr>
                <w:rFonts w:eastAsia="Arial" w:cs="Calibri"/>
              </w:rPr>
              <w:t xml:space="preserve">No </w:t>
            </w:r>
            <w:r w:rsidRPr="009F58F2">
              <w:rPr>
                <w:rFonts w:eastAsia="Arial" w:cs="Calibri"/>
              </w:rPr>
              <w:tab/>
            </w:r>
            <w:r w:rsidRPr="009F58F2">
              <w:rPr>
                <w:rFonts w:eastAsia="Times New Roman" w:cs="Calibri"/>
              </w:rPr>
              <w:fldChar w:fldCharType="begin">
                <w:ffData>
                  <w:name w:val="Check1"/>
                  <w:enabled/>
                  <w:calcOnExit w:val="0"/>
                  <w:checkBox>
                    <w:sizeAuto/>
                    <w:default w:val="0"/>
                  </w:checkBox>
                </w:ffData>
              </w:fldChar>
            </w:r>
            <w:r w:rsidRPr="009F58F2">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9F58F2">
              <w:rPr>
                <w:rFonts w:eastAsia="Times New Roman" w:cs="Calibri"/>
              </w:rPr>
              <w:fldChar w:fldCharType="end"/>
            </w:r>
          </w:p>
          <w:p w14:paraId="1E446F8C" w14:textId="77777777" w:rsidR="00BB29C9" w:rsidRPr="009F58F2" w:rsidRDefault="00BB29C9">
            <w:pPr>
              <w:tabs>
                <w:tab w:val="left" w:pos="602"/>
              </w:tabs>
              <w:spacing w:after="0" w:line="276" w:lineRule="auto"/>
              <w:rPr>
                <w:rFonts w:eastAsia="Arial" w:cs="Calibri"/>
              </w:rPr>
            </w:pPr>
          </w:p>
        </w:tc>
      </w:tr>
      <w:tr w:rsidR="00BB29C9" w:rsidRPr="009F58F2" w14:paraId="6722B71E" w14:textId="77777777">
        <w:trPr>
          <w:trHeight w:val="786"/>
        </w:trPr>
        <w:tc>
          <w:tcPr>
            <w:tcW w:w="0" w:type="auto"/>
            <w:vMerge/>
            <w:shd w:val="clear" w:color="auto" w:fill="F2F2F2" w:themeFill="background1" w:themeFillShade="F2"/>
          </w:tcPr>
          <w:p w14:paraId="11DAC647" w14:textId="77777777" w:rsidR="00BB29C9" w:rsidRPr="009F58F2" w:rsidRDefault="00BB29C9">
            <w:pPr>
              <w:spacing w:after="0" w:line="276" w:lineRule="auto"/>
              <w:rPr>
                <w:rFonts w:eastAsia="Arial" w:cs="Arial"/>
                <w:b/>
                <w:bCs/>
              </w:rPr>
            </w:pPr>
          </w:p>
        </w:tc>
        <w:tc>
          <w:tcPr>
            <w:tcW w:w="7837" w:type="dxa"/>
            <w:vMerge/>
            <w:shd w:val="clear" w:color="auto" w:fill="F2F2F2" w:themeFill="background1" w:themeFillShade="F2"/>
          </w:tcPr>
          <w:p w14:paraId="10F5518F" w14:textId="77777777" w:rsidR="00BB29C9" w:rsidRPr="009F58F2" w:rsidRDefault="00BB29C9">
            <w:pPr>
              <w:spacing w:after="0" w:line="276" w:lineRule="auto"/>
              <w:rPr>
                <w:rFonts w:eastAsia="Arial" w:cs="Calibri"/>
              </w:rPr>
            </w:pPr>
          </w:p>
        </w:tc>
        <w:tc>
          <w:tcPr>
            <w:tcW w:w="4734" w:type="dxa"/>
            <w:tcBorders>
              <w:top w:val="single" w:sz="6" w:space="0" w:color="000000"/>
            </w:tcBorders>
          </w:tcPr>
          <w:p w14:paraId="2E46A488" w14:textId="77777777" w:rsidR="00BB29C9" w:rsidRPr="009F58F2" w:rsidRDefault="00BB29C9">
            <w:pPr>
              <w:tabs>
                <w:tab w:val="left" w:pos="600"/>
              </w:tabs>
              <w:spacing w:after="0" w:line="276" w:lineRule="auto"/>
              <w:rPr>
                <w:rFonts w:eastAsia="Arial" w:cs="Calibri"/>
              </w:rPr>
            </w:pPr>
            <w:r w:rsidRPr="009F58F2">
              <w:rPr>
                <w:rFonts w:eastAsia="Arial" w:cs="Calibri"/>
              </w:rPr>
              <w:t>[Insert details here]</w:t>
            </w:r>
          </w:p>
        </w:tc>
      </w:tr>
    </w:tbl>
    <w:p w14:paraId="6F96C415" w14:textId="77777777" w:rsidR="00BB29C9" w:rsidRDefault="00BB29C9" w:rsidP="00A337CE">
      <w:pPr>
        <w:rPr>
          <w:rFonts w:cs="Arial"/>
          <w:b/>
        </w:rPr>
      </w:pPr>
    </w:p>
    <w:p w14:paraId="65DE1FCF" w14:textId="77777777" w:rsidR="00CB4763" w:rsidRPr="00E84B05" w:rsidRDefault="00CB4763" w:rsidP="00CB4763">
      <w:pPr>
        <w:keepNext/>
        <w:keepLines/>
        <w:pageBreakBefore/>
        <w:spacing w:after="0" w:line="276" w:lineRule="auto"/>
        <w:outlineLvl w:val="2"/>
        <w:rPr>
          <w:rFonts w:eastAsia="Arial" w:cs="Calibri"/>
          <w:b/>
        </w:rPr>
      </w:pPr>
      <w:r w:rsidRPr="00E84B05">
        <w:rPr>
          <w:rFonts w:eastAsia="Arial" w:cs="Calibri"/>
          <w:b/>
        </w:rPr>
        <w:t>Part 1: Confirmation of core supplier information</w:t>
      </w:r>
    </w:p>
    <w:p w14:paraId="1577311A" w14:textId="77777777" w:rsidR="00CB4763" w:rsidRPr="00E84B05" w:rsidRDefault="00CB4763" w:rsidP="00CB4763">
      <w:pPr>
        <w:spacing w:after="0" w:line="276" w:lineRule="auto"/>
        <w:rPr>
          <w:rFonts w:eastAsia="Times New Roman"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5038"/>
        <w:gridCol w:w="2849"/>
      </w:tblGrid>
      <w:tr w:rsidR="00CB4763" w:rsidRPr="00605283" w14:paraId="7FD23807" w14:textId="77777777">
        <w:tc>
          <w:tcPr>
            <w:tcW w:w="0" w:type="auto"/>
            <w:tcBorders>
              <w:top w:val="single" w:sz="6" w:space="0" w:color="000000"/>
              <w:bottom w:val="single" w:sz="6" w:space="0" w:color="000000"/>
            </w:tcBorders>
            <w:shd w:val="clear" w:color="auto" w:fill="009999"/>
          </w:tcPr>
          <w:p w14:paraId="18A37150" w14:textId="77777777" w:rsidR="00CB4763" w:rsidRPr="001439F7" w:rsidRDefault="00CB4763">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bottom w:val="single" w:sz="6" w:space="0" w:color="000000"/>
            </w:tcBorders>
            <w:shd w:val="clear" w:color="auto" w:fill="009999"/>
          </w:tcPr>
          <w:p w14:paraId="513ECCBF" w14:textId="77777777" w:rsidR="00CB4763" w:rsidRPr="001439F7" w:rsidRDefault="00CB4763">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bottom w:val="single" w:sz="6" w:space="0" w:color="000000"/>
            </w:tcBorders>
            <w:shd w:val="clear" w:color="auto" w:fill="009999"/>
          </w:tcPr>
          <w:p w14:paraId="7141AE8C" w14:textId="77777777" w:rsidR="00CB4763" w:rsidRPr="001439F7" w:rsidRDefault="00CB4763">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CB4763" w:rsidRPr="00605283" w14:paraId="25D3E4DA" w14:textId="77777777">
        <w:trPr>
          <w:trHeight w:val="6923"/>
        </w:trPr>
        <w:tc>
          <w:tcPr>
            <w:tcW w:w="0" w:type="auto"/>
            <w:vMerge w:val="restart"/>
            <w:tcBorders>
              <w:top w:val="single" w:sz="6" w:space="0" w:color="000000"/>
            </w:tcBorders>
            <w:shd w:val="clear" w:color="auto" w:fill="F2F2F2" w:themeFill="background1" w:themeFillShade="F2"/>
          </w:tcPr>
          <w:p w14:paraId="3EBC5875" w14:textId="77777777" w:rsidR="00CB4763" w:rsidRPr="00E84B05" w:rsidRDefault="00CB4763">
            <w:pPr>
              <w:spacing w:after="0" w:line="276" w:lineRule="auto"/>
              <w:rPr>
                <w:rFonts w:eastAsia="Arial" w:cs="Arial"/>
                <w:b/>
              </w:rPr>
            </w:pPr>
            <w:r w:rsidRPr="00E84B05">
              <w:rPr>
                <w:rFonts w:eastAsia="Arial" w:cs="Arial"/>
                <w:b/>
              </w:rPr>
              <w:t>1.6</w:t>
            </w:r>
          </w:p>
        </w:tc>
        <w:tc>
          <w:tcPr>
            <w:tcW w:w="7837" w:type="dxa"/>
            <w:vMerge w:val="restart"/>
            <w:tcBorders>
              <w:top w:val="single" w:sz="6" w:space="0" w:color="000000"/>
            </w:tcBorders>
            <w:shd w:val="clear" w:color="auto" w:fill="F2F2F2" w:themeFill="background1" w:themeFillShade="F2"/>
          </w:tcPr>
          <w:p w14:paraId="5A9A5A57" w14:textId="77777777" w:rsidR="00CB4763" w:rsidRPr="00E84B05" w:rsidRDefault="00CB4763">
            <w:pPr>
              <w:spacing w:after="0" w:line="276" w:lineRule="auto"/>
              <w:rPr>
                <w:rFonts w:cs="Arial"/>
              </w:rPr>
            </w:pPr>
            <w:r w:rsidRPr="00E84B05">
              <w:rPr>
                <w:rFonts w:cs="Arial"/>
              </w:rPr>
              <w:t>Regulation 6 of the Procurement Regulations 2024 (PR 2024) requires that suppliers must provide confirmation of the following:</w:t>
            </w:r>
          </w:p>
          <w:p w14:paraId="6E88B3A3" w14:textId="77777777" w:rsidR="00CB4763" w:rsidRPr="00E84B05" w:rsidRDefault="00CB4763">
            <w:pPr>
              <w:spacing w:after="0" w:line="276" w:lineRule="auto"/>
              <w:rPr>
                <w:rFonts w:cs="Arial"/>
              </w:rPr>
            </w:pPr>
          </w:p>
          <w:p w14:paraId="0D6073F9" w14:textId="77777777" w:rsidR="00CB4763" w:rsidRPr="00E84B05" w:rsidRDefault="00CB4763" w:rsidP="0085565B">
            <w:pPr>
              <w:pStyle w:val="Normal1"/>
              <w:numPr>
                <w:ilvl w:val="0"/>
                <w:numId w:val="20"/>
              </w:numPr>
              <w:spacing w:after="120" w:line="276" w:lineRule="auto"/>
              <w:ind w:hanging="360"/>
              <w:rPr>
                <w:rFonts w:ascii="Arial" w:eastAsia="Arial" w:hAnsi="Arial" w:cs="Arial"/>
                <w:color w:val="auto"/>
                <w:sz w:val="22"/>
                <w:szCs w:val="22"/>
              </w:rPr>
            </w:pPr>
            <w:r w:rsidRPr="00E84B05">
              <w:rPr>
                <w:rFonts w:ascii="Arial" w:eastAsia="Arial" w:hAnsi="Arial" w:cs="Arial"/>
                <w:color w:val="auto"/>
                <w:sz w:val="22"/>
                <w:szCs w:val="22"/>
              </w:rPr>
              <w:t xml:space="preserve">You have registered on the </w:t>
            </w:r>
            <w:proofErr w:type="gramStart"/>
            <w:r w:rsidRPr="00E84B05">
              <w:rPr>
                <w:rFonts w:ascii="Arial" w:eastAsia="Arial" w:hAnsi="Arial" w:cs="Arial"/>
                <w:color w:val="auto"/>
                <w:sz w:val="22"/>
                <w:szCs w:val="22"/>
              </w:rPr>
              <w:t>CDP</w:t>
            </w:r>
            <w:proofErr w:type="gramEnd"/>
          </w:p>
          <w:p w14:paraId="484DBF65" w14:textId="77777777" w:rsidR="00CB4763" w:rsidRPr="00E84B05" w:rsidRDefault="00CB4763" w:rsidP="0085565B">
            <w:pPr>
              <w:pStyle w:val="Normal1"/>
              <w:numPr>
                <w:ilvl w:val="0"/>
                <w:numId w:val="20"/>
              </w:numPr>
              <w:spacing w:after="120" w:line="276" w:lineRule="auto"/>
              <w:ind w:hanging="360"/>
              <w:rPr>
                <w:rFonts w:ascii="Arial" w:eastAsia="Arial" w:hAnsi="Arial" w:cs="Arial"/>
                <w:color w:val="auto"/>
                <w:sz w:val="22"/>
                <w:szCs w:val="22"/>
              </w:rPr>
            </w:pPr>
            <w:r w:rsidRPr="00E84B05">
              <w:rPr>
                <w:rFonts w:ascii="Arial" w:eastAsia="Arial" w:hAnsi="Arial" w:cs="Arial"/>
                <w:color w:val="auto"/>
                <w:sz w:val="22"/>
                <w:szCs w:val="22"/>
              </w:rPr>
              <w:t>You have submitted up-to-date core supplier information on the CDP, which includes your:</w:t>
            </w:r>
          </w:p>
          <w:p w14:paraId="69B45869" w14:textId="77777777" w:rsidR="00CB4763" w:rsidRPr="00E84B05" w:rsidRDefault="00CB4763" w:rsidP="0085565B">
            <w:pPr>
              <w:pStyle w:val="ListParagraph"/>
              <w:numPr>
                <w:ilvl w:val="1"/>
                <w:numId w:val="21"/>
              </w:numPr>
              <w:spacing w:after="0" w:line="276" w:lineRule="auto"/>
              <w:rPr>
                <w:rFonts w:eastAsia="Arial" w:cs="Arial"/>
              </w:rPr>
            </w:pPr>
            <w:r w:rsidRPr="00E84B05">
              <w:rPr>
                <w:rFonts w:eastAsia="Arial" w:cs="Arial"/>
              </w:rPr>
              <w:t>basic information (Reg 9 of PR 2024)</w:t>
            </w:r>
          </w:p>
          <w:p w14:paraId="46B0A25D" w14:textId="77777777" w:rsidR="00CB4763" w:rsidRPr="00E84B05" w:rsidRDefault="00CB4763" w:rsidP="0085565B">
            <w:pPr>
              <w:pStyle w:val="ListParagraph"/>
              <w:numPr>
                <w:ilvl w:val="1"/>
                <w:numId w:val="21"/>
              </w:numPr>
              <w:spacing w:after="0" w:line="276" w:lineRule="auto"/>
              <w:rPr>
                <w:rFonts w:eastAsia="Arial" w:cs="Arial"/>
              </w:rPr>
            </w:pPr>
            <w:r w:rsidRPr="00E84B05">
              <w:rPr>
                <w:rFonts w:eastAsia="Arial" w:cs="Arial"/>
              </w:rPr>
              <w:t xml:space="preserve">economic and financial standing (Reg 10 of PR 2024) information </w:t>
            </w:r>
          </w:p>
          <w:p w14:paraId="0151AB0C" w14:textId="77777777" w:rsidR="00CB4763" w:rsidRPr="00E84B05" w:rsidRDefault="00CB4763" w:rsidP="0085565B">
            <w:pPr>
              <w:pStyle w:val="ListParagraph"/>
              <w:numPr>
                <w:ilvl w:val="1"/>
                <w:numId w:val="21"/>
              </w:numPr>
              <w:spacing w:after="0" w:line="276" w:lineRule="auto"/>
              <w:rPr>
                <w:rFonts w:eastAsia="Arial" w:cs="Arial"/>
              </w:rPr>
            </w:pPr>
            <w:r w:rsidRPr="00E84B05">
              <w:rPr>
                <w:rFonts w:eastAsia="Arial" w:cs="Arial"/>
              </w:rPr>
              <w:t xml:space="preserve">connected person information (Reg 11 of PA 2024) </w:t>
            </w:r>
          </w:p>
          <w:p w14:paraId="351B95FF" w14:textId="4B05D7BC" w:rsidR="00CB4763" w:rsidRPr="00E84B05" w:rsidRDefault="00CB4763" w:rsidP="0085565B">
            <w:pPr>
              <w:pStyle w:val="ListParagraph"/>
              <w:numPr>
                <w:ilvl w:val="1"/>
                <w:numId w:val="21"/>
              </w:numPr>
              <w:spacing w:after="0" w:line="276" w:lineRule="auto"/>
              <w:rPr>
                <w:rFonts w:eastAsia="Arial" w:cs="Arial"/>
              </w:rPr>
            </w:pPr>
            <w:r w:rsidRPr="00E84B05">
              <w:rPr>
                <w:rFonts w:eastAsia="Arial" w:cs="Arial"/>
              </w:rPr>
              <w:t>exclusion grounds information (this includes exclusion information about the supplier and its connected persons; Reg 12 of PA 2024); and</w:t>
            </w:r>
          </w:p>
          <w:p w14:paraId="7E5618AC" w14:textId="77777777" w:rsidR="00CB4763" w:rsidRPr="00E84B05" w:rsidRDefault="00CB4763" w:rsidP="0085565B">
            <w:pPr>
              <w:pStyle w:val="Normal1"/>
              <w:numPr>
                <w:ilvl w:val="0"/>
                <w:numId w:val="20"/>
              </w:numPr>
              <w:spacing w:after="120" w:line="276" w:lineRule="auto"/>
              <w:ind w:hanging="360"/>
              <w:rPr>
                <w:rFonts w:ascii="Arial" w:eastAsia="Arial" w:hAnsi="Arial" w:cs="Arial"/>
                <w:color w:val="auto"/>
                <w:sz w:val="22"/>
                <w:szCs w:val="22"/>
              </w:rPr>
            </w:pPr>
            <w:r w:rsidRPr="00E84B05">
              <w:rPr>
                <w:rFonts w:ascii="Arial" w:eastAsia="Arial" w:hAnsi="Arial" w:cs="Arial"/>
                <w:color w:val="auto"/>
                <w:sz w:val="22"/>
                <w:szCs w:val="22"/>
              </w:rPr>
              <w:t xml:space="preserve">You have </w:t>
            </w:r>
            <w:proofErr w:type="gramStart"/>
            <w:r w:rsidRPr="00E84B05">
              <w:rPr>
                <w:rFonts w:ascii="Arial" w:eastAsia="Arial" w:hAnsi="Arial" w:cs="Arial"/>
                <w:color w:val="auto"/>
                <w:sz w:val="22"/>
                <w:szCs w:val="22"/>
              </w:rPr>
              <w:t>provided that</w:t>
            </w:r>
            <w:proofErr w:type="gramEnd"/>
            <w:r w:rsidRPr="00E84B05">
              <w:rPr>
                <w:rFonts w:ascii="Arial" w:eastAsia="Arial" w:hAnsi="Arial" w:cs="Arial"/>
                <w:color w:val="auto"/>
                <w:sz w:val="22"/>
                <w:szCs w:val="22"/>
              </w:rPr>
              <w:t xml:space="preserve"> information to the contracting authority.</w:t>
            </w:r>
          </w:p>
          <w:p w14:paraId="47FD7D4D" w14:textId="77777777" w:rsidR="00CB4763" w:rsidRPr="00E84B05" w:rsidRDefault="00CB4763">
            <w:pPr>
              <w:spacing w:after="0" w:line="276" w:lineRule="auto"/>
              <w:rPr>
                <w:rFonts w:eastAsia="Arial" w:cs="Arial"/>
              </w:rPr>
            </w:pPr>
          </w:p>
          <w:p w14:paraId="62BCCA1D" w14:textId="77777777" w:rsidR="00CB4763" w:rsidRPr="00E84B05" w:rsidRDefault="00CB4763">
            <w:pPr>
              <w:spacing w:after="0" w:line="276" w:lineRule="auto"/>
              <w:rPr>
                <w:rFonts w:eastAsia="Arial" w:cs="Arial"/>
              </w:rPr>
            </w:pPr>
            <w:r w:rsidRPr="00E84B05">
              <w:rPr>
                <w:rFonts w:eastAsia="Arial" w:cs="Arial"/>
              </w:rPr>
              <w:t xml:space="preserve">Please provide a link to your information on the CDP in response to this question and your </w:t>
            </w:r>
            <w:r w:rsidRPr="00E84B05">
              <w:rPr>
                <w:rFonts w:cs="Arial"/>
              </w:rPr>
              <w:t>unique identifier that has been accepted or allocated by the CDP.</w:t>
            </w:r>
          </w:p>
          <w:p w14:paraId="7FA29DE3" w14:textId="77777777" w:rsidR="00CB4763" w:rsidRPr="00E84B05" w:rsidRDefault="00CB4763">
            <w:pPr>
              <w:spacing w:after="0" w:line="276" w:lineRule="auto"/>
              <w:rPr>
                <w:rFonts w:eastAsia="Times New Roman" w:cs="Calibri"/>
              </w:rPr>
            </w:pPr>
          </w:p>
          <w:p w14:paraId="1C900820" w14:textId="77777777" w:rsidR="00CB4763" w:rsidRPr="00E84B05" w:rsidRDefault="00CB4763">
            <w:pPr>
              <w:keepNext/>
              <w:spacing w:after="0" w:line="276" w:lineRule="auto"/>
              <w:rPr>
                <w:rFonts w:cs="Calibri"/>
                <w:b/>
              </w:rPr>
            </w:pPr>
            <w:r w:rsidRPr="00E84B05">
              <w:rPr>
                <w:rFonts w:cs="Calibri"/>
              </w:rPr>
              <w:t>Please note that providing a ‘No’ response or failing to provide a relevant link may result in disqualification</w:t>
            </w:r>
            <w:r w:rsidRPr="00E84B05">
              <w:rPr>
                <w:rFonts w:cs="Calibri"/>
                <w:b/>
              </w:rPr>
              <w:t xml:space="preserve">. </w:t>
            </w:r>
          </w:p>
          <w:p w14:paraId="5C947470" w14:textId="77777777" w:rsidR="00CB4763" w:rsidRPr="00E84B05" w:rsidRDefault="00CB4763">
            <w:pPr>
              <w:keepNext/>
              <w:spacing w:after="0" w:line="276" w:lineRule="auto"/>
              <w:ind w:left="72"/>
              <w:rPr>
                <w:rFonts w:cs="Calibri"/>
                <w:b/>
              </w:rPr>
            </w:pPr>
          </w:p>
          <w:p w14:paraId="4643CB19" w14:textId="77777777" w:rsidR="00CB4763" w:rsidRPr="00E84B05" w:rsidRDefault="00CB4763">
            <w:pPr>
              <w:keepNext/>
              <w:spacing w:after="0" w:line="276" w:lineRule="auto"/>
              <w:rPr>
                <w:rFonts w:cs="Calibri"/>
              </w:rPr>
            </w:pPr>
            <w:r w:rsidRPr="00E84B05">
              <w:rPr>
                <w:rFonts w:cs="Calibri"/>
              </w:rPr>
              <w:t xml:space="preserve">Where a supplier is disqualified, any further quality and price submissions will not be assessed. </w:t>
            </w:r>
          </w:p>
          <w:p w14:paraId="31D352D4" w14:textId="77777777" w:rsidR="00CB4763" w:rsidRPr="00E84B05" w:rsidRDefault="00CB4763">
            <w:pPr>
              <w:keepNext/>
              <w:spacing w:after="0" w:line="276" w:lineRule="auto"/>
              <w:ind w:left="72"/>
              <w:rPr>
                <w:rFonts w:cs="Calibri"/>
                <w:b/>
              </w:rPr>
            </w:pPr>
          </w:p>
          <w:p w14:paraId="131D5334" w14:textId="79AA4C83" w:rsidR="00CB4763" w:rsidRPr="00E84B05" w:rsidRDefault="00CB4763">
            <w:pPr>
              <w:spacing w:after="0" w:line="276" w:lineRule="auto"/>
              <w:rPr>
                <w:rFonts w:eastAsia="Arial" w:cs="Arial"/>
              </w:rPr>
            </w:pPr>
            <w:r w:rsidRPr="00E84B05">
              <w:rPr>
                <w:rFonts w:cs="Calibri"/>
                <w:b/>
              </w:rPr>
              <w:t xml:space="preserve">Please note, if the CDP is not working properly during the tendering period, please indicate this within your response. </w:t>
            </w:r>
            <w:proofErr w:type="gramStart"/>
            <w:r w:rsidR="00FE1528">
              <w:rPr>
                <w:rFonts w:cs="Calibri"/>
                <w:b/>
              </w:rPr>
              <w:t>As long as</w:t>
            </w:r>
            <w:proofErr w:type="gramEnd"/>
            <w:r w:rsidR="00FE1528">
              <w:rPr>
                <w:rFonts w:cs="Calibri"/>
                <w:b/>
              </w:rPr>
              <w:t xml:space="preserve"> the information required has been provided directly to HMRC</w:t>
            </w:r>
            <w:r w:rsidR="00CD5562">
              <w:rPr>
                <w:rFonts w:cs="Calibri"/>
                <w:b/>
              </w:rPr>
              <w:t xml:space="preserve"> in the required PDF</w:t>
            </w:r>
            <w:r w:rsidR="00FE1528">
              <w:rPr>
                <w:rFonts w:cs="Calibri"/>
                <w:b/>
              </w:rPr>
              <w:t xml:space="preserve">, any issues with CDP will not lead to the disqualification of a </w:t>
            </w:r>
            <w:r w:rsidR="00433587">
              <w:rPr>
                <w:rFonts w:cs="Calibri"/>
                <w:b/>
              </w:rPr>
              <w:t>Tenderer</w:t>
            </w:r>
            <w:r w:rsidR="00FE1528">
              <w:rPr>
                <w:rFonts w:cs="Calibri"/>
                <w:b/>
              </w:rPr>
              <w:t>.</w:t>
            </w:r>
            <w:r w:rsidR="00175530">
              <w:rPr>
                <w:rFonts w:cs="Calibri"/>
                <w:b/>
              </w:rPr>
              <w:t xml:space="preserve"> </w:t>
            </w:r>
            <w:r w:rsidRPr="00E84B05">
              <w:rPr>
                <w:rFonts w:cs="Calibri"/>
                <w:b/>
              </w:rPr>
              <w:t>HMRC will request confirmation during the evaluation period that the information requested within this question is compliant.</w:t>
            </w:r>
          </w:p>
        </w:tc>
        <w:tc>
          <w:tcPr>
            <w:tcW w:w="4734" w:type="dxa"/>
            <w:tcBorders>
              <w:top w:val="single" w:sz="6" w:space="0" w:color="000000"/>
              <w:bottom w:val="single" w:sz="6" w:space="0" w:color="000000"/>
            </w:tcBorders>
          </w:tcPr>
          <w:p w14:paraId="670DB09B" w14:textId="77777777" w:rsidR="00CB4763" w:rsidRPr="00E84B05" w:rsidRDefault="00CB4763">
            <w:pPr>
              <w:tabs>
                <w:tab w:val="left" w:pos="600"/>
              </w:tabs>
              <w:spacing w:after="0" w:line="276" w:lineRule="auto"/>
              <w:rPr>
                <w:rFonts w:eastAsia="Times New Roman" w:cs="Calibri"/>
              </w:rPr>
            </w:pPr>
            <w:r w:rsidRPr="00E84B05">
              <w:rPr>
                <w:rFonts w:eastAsia="Arial" w:cs="Calibri"/>
              </w:rPr>
              <w:t>Yes</w:t>
            </w:r>
            <w:r w:rsidRPr="00E84B05">
              <w:rPr>
                <w:rFonts w:eastAsia="Menlo Regular" w:cs="Calibri"/>
              </w:rPr>
              <w:t xml:space="preserve"> </w:t>
            </w:r>
            <w:r w:rsidRPr="00E84B05">
              <w:rPr>
                <w:rFonts w:eastAsia="Menlo Regular"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133D056D" w14:textId="77777777" w:rsidR="00CB4763" w:rsidRPr="00E84B05" w:rsidRDefault="00CB4763">
            <w:pPr>
              <w:tabs>
                <w:tab w:val="left" w:pos="600"/>
              </w:tabs>
              <w:spacing w:after="0" w:line="276" w:lineRule="auto"/>
              <w:rPr>
                <w:rFonts w:eastAsia="Times New Roman" w:cs="Calibri"/>
              </w:rPr>
            </w:pPr>
            <w:r w:rsidRPr="00E84B05">
              <w:rPr>
                <w:rFonts w:eastAsia="Arial" w:cs="Calibri"/>
              </w:rPr>
              <w:t xml:space="preserve">No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2705D548" w14:textId="77777777" w:rsidR="00CB4763" w:rsidRPr="00E84B05" w:rsidRDefault="00CB4763">
            <w:pPr>
              <w:tabs>
                <w:tab w:val="left" w:pos="602"/>
              </w:tabs>
              <w:spacing w:after="0" w:line="276" w:lineRule="auto"/>
              <w:rPr>
                <w:rFonts w:eastAsia="Arial" w:cs="Calibri"/>
              </w:rPr>
            </w:pPr>
          </w:p>
        </w:tc>
      </w:tr>
      <w:tr w:rsidR="00CB4763" w:rsidRPr="00605283" w14:paraId="67469A16" w14:textId="77777777">
        <w:trPr>
          <w:trHeight w:val="6923"/>
        </w:trPr>
        <w:tc>
          <w:tcPr>
            <w:tcW w:w="0" w:type="auto"/>
            <w:vMerge/>
            <w:shd w:val="clear" w:color="auto" w:fill="F2F2F2" w:themeFill="background1" w:themeFillShade="F2"/>
          </w:tcPr>
          <w:p w14:paraId="4CFF53CA" w14:textId="77777777" w:rsidR="00CB4763" w:rsidRDefault="00CB4763">
            <w:pPr>
              <w:spacing w:after="0" w:line="276" w:lineRule="auto"/>
              <w:rPr>
                <w:rFonts w:eastAsia="Arial" w:cs="Arial"/>
                <w:b/>
                <w:bCs/>
              </w:rPr>
            </w:pPr>
          </w:p>
        </w:tc>
        <w:tc>
          <w:tcPr>
            <w:tcW w:w="7837" w:type="dxa"/>
            <w:vMerge/>
            <w:shd w:val="clear" w:color="auto" w:fill="F2F2F2" w:themeFill="background1" w:themeFillShade="F2"/>
          </w:tcPr>
          <w:p w14:paraId="7A3E48FE" w14:textId="77777777" w:rsidR="00CB4763" w:rsidRPr="008213A1" w:rsidRDefault="00CB4763">
            <w:pPr>
              <w:spacing w:after="0" w:line="276" w:lineRule="auto"/>
              <w:rPr>
                <w:rFonts w:cs="Arial"/>
              </w:rPr>
            </w:pPr>
          </w:p>
        </w:tc>
        <w:tc>
          <w:tcPr>
            <w:tcW w:w="4734" w:type="dxa"/>
            <w:tcBorders>
              <w:top w:val="single" w:sz="6" w:space="0" w:color="000000"/>
            </w:tcBorders>
          </w:tcPr>
          <w:p w14:paraId="42832598" w14:textId="77777777" w:rsidR="00CB4763" w:rsidRPr="00E84B05" w:rsidRDefault="00CB4763">
            <w:pPr>
              <w:tabs>
                <w:tab w:val="left" w:pos="600"/>
              </w:tabs>
              <w:spacing w:after="0" w:line="276" w:lineRule="auto"/>
              <w:rPr>
                <w:rFonts w:eastAsia="Arial" w:cs="Calibri"/>
              </w:rPr>
            </w:pPr>
            <w:r w:rsidRPr="00E84B05">
              <w:rPr>
                <w:rFonts w:eastAsia="Arial" w:cs="Calibri"/>
              </w:rPr>
              <w:t>[Link to your information on the CDP]</w:t>
            </w:r>
          </w:p>
          <w:p w14:paraId="3C4612A8" w14:textId="77777777" w:rsidR="00CB4763" w:rsidRPr="008213A1" w:rsidRDefault="00CB4763">
            <w:pPr>
              <w:tabs>
                <w:tab w:val="left" w:pos="600"/>
              </w:tabs>
              <w:spacing w:after="0" w:line="276" w:lineRule="auto"/>
              <w:rPr>
                <w:rFonts w:eastAsia="Arial" w:cs="Calibri"/>
              </w:rPr>
            </w:pPr>
          </w:p>
        </w:tc>
      </w:tr>
    </w:tbl>
    <w:p w14:paraId="1A921CC7" w14:textId="77777777" w:rsidR="00CB4763" w:rsidRPr="00E84B05" w:rsidRDefault="00CB4763" w:rsidP="00CB4763">
      <w:pPr>
        <w:spacing w:after="0" w:line="276" w:lineRule="auto"/>
        <w:rPr>
          <w:rFonts w:eastAsia="Times New Roman" w:cs="Calibri"/>
        </w:rPr>
      </w:pPr>
    </w:p>
    <w:p w14:paraId="7266CF83" w14:textId="77777777" w:rsidR="00CB4763" w:rsidRPr="00E84B05" w:rsidRDefault="00CB4763" w:rsidP="00CB4763">
      <w:pPr>
        <w:spacing w:after="0" w:line="276" w:lineRule="auto"/>
        <w:rPr>
          <w:rFonts w:eastAsia="Times New Roman" w:cs="Calibri"/>
        </w:rPr>
      </w:pPr>
    </w:p>
    <w:p w14:paraId="6D33D0E5" w14:textId="77777777" w:rsidR="00CB4763" w:rsidRPr="00E84B05" w:rsidRDefault="00CB4763" w:rsidP="00CB4763">
      <w:pPr>
        <w:spacing w:after="0" w:line="276" w:lineRule="auto"/>
        <w:rPr>
          <w:rFonts w:eastAsia="Times New Roman" w:cs="Calibri"/>
        </w:rPr>
      </w:pPr>
      <w:bookmarkStart w:id="135" w:name="_Toc236714002"/>
      <w:bookmarkStart w:id="136" w:name="_Toc414530192"/>
      <w:bookmarkStart w:id="137" w:name="_Toc415475604"/>
      <w:bookmarkStart w:id="138" w:name="_Toc415561556"/>
      <w:bookmarkStart w:id="139" w:name="_Toc415561669"/>
      <w:bookmarkStart w:id="140" w:name="_Toc415561746"/>
      <w:bookmarkStart w:id="141" w:name="_Toc415561815"/>
      <w:bookmarkStart w:id="142" w:name="_Toc535334461"/>
      <w:bookmarkStart w:id="143" w:name="_Toc1137241"/>
      <w:bookmarkStart w:id="144" w:name="_Toc138059342"/>
      <w:bookmarkStart w:id="145" w:name="_Hlk141451640"/>
      <w:bookmarkStart w:id="146" w:name="_Toc155975921"/>
      <w:bookmarkStart w:id="147" w:name="_Toc304290534"/>
    </w:p>
    <w:p w14:paraId="77E1C837" w14:textId="77777777" w:rsidR="00CB4763" w:rsidRPr="00E84B05" w:rsidRDefault="00CB4763" w:rsidP="00CB4763">
      <w:pPr>
        <w:keepNext/>
        <w:keepLines/>
        <w:pageBreakBefore/>
        <w:spacing w:after="0" w:line="276" w:lineRule="auto"/>
        <w:outlineLvl w:val="2"/>
        <w:rPr>
          <w:rFonts w:eastAsia="Arial" w:cs="Calibri"/>
          <w:b/>
        </w:rPr>
      </w:pPr>
      <w:bookmarkStart w:id="148" w:name="_Toc192615541"/>
      <w:bookmarkStart w:id="149" w:name="_Toc535334464"/>
      <w:bookmarkStart w:id="150" w:name="_Toc1137244"/>
      <w:bookmarkStart w:id="151" w:name="_Toc138059344"/>
      <w:bookmarkStart w:id="152" w:name="_Toc141778557"/>
      <w:bookmarkEnd w:id="135"/>
      <w:bookmarkEnd w:id="136"/>
      <w:bookmarkEnd w:id="137"/>
      <w:bookmarkEnd w:id="138"/>
      <w:bookmarkEnd w:id="139"/>
      <w:bookmarkEnd w:id="140"/>
      <w:bookmarkEnd w:id="141"/>
      <w:bookmarkEnd w:id="142"/>
      <w:bookmarkEnd w:id="143"/>
      <w:bookmarkEnd w:id="144"/>
      <w:bookmarkEnd w:id="145"/>
      <w:bookmarkEnd w:id="146"/>
      <w:bookmarkEnd w:id="147"/>
      <w:r w:rsidRPr="00E84B05">
        <w:rPr>
          <w:rFonts w:eastAsia="Arial" w:cs="Calibri"/>
          <w:b/>
        </w:rPr>
        <w:t>Part 2: Additional Exclusions Information</w:t>
      </w:r>
      <w:bookmarkEnd w:id="148"/>
    </w:p>
    <w:p w14:paraId="2BCADCE5" w14:textId="77777777" w:rsidR="00CB4763" w:rsidRPr="00E84B05" w:rsidRDefault="00CB4763" w:rsidP="00CB4763">
      <w:pPr>
        <w:spacing w:after="0" w:line="276" w:lineRule="auto"/>
        <w:rPr>
          <w:rFonts w:eastAsia="Arial" w:cs="Calibri"/>
        </w:rPr>
      </w:pPr>
    </w:p>
    <w:p w14:paraId="2088FADC" w14:textId="77777777" w:rsidR="00CB4763" w:rsidRPr="00E84B05" w:rsidRDefault="00CB4763" w:rsidP="00CB4763">
      <w:pPr>
        <w:spacing w:after="0" w:line="276" w:lineRule="auto"/>
        <w:rPr>
          <w:rFonts w:eastAsia="Arial" w:cs="Calibri"/>
          <w:b/>
          <w:u w:val="single"/>
        </w:rPr>
      </w:pPr>
      <w:bookmarkStart w:id="153" w:name="_Toc192615542"/>
      <w:r w:rsidRPr="00E84B05">
        <w:rPr>
          <w:rFonts w:eastAsia="Arial" w:cs="Calibri"/>
          <w:b/>
          <w:u w:val="single"/>
        </w:rPr>
        <w:t>Part 2A – Associated Persons</w:t>
      </w:r>
      <w:bookmarkEnd w:id="153"/>
    </w:p>
    <w:p w14:paraId="420C9034" w14:textId="77777777" w:rsidR="00CB4763" w:rsidRPr="00E84B05" w:rsidRDefault="00CB4763" w:rsidP="00CB4763">
      <w:pPr>
        <w:spacing w:after="0" w:line="276" w:lineRule="auto"/>
        <w:rPr>
          <w:rFonts w:eastAsia="Arial" w:cs="Calibri"/>
          <w:b/>
          <w:u w:val="single"/>
        </w:rPr>
      </w:pPr>
    </w:p>
    <w:bookmarkEnd w:id="149"/>
    <w:bookmarkEnd w:id="150"/>
    <w:bookmarkEnd w:id="151"/>
    <w:bookmarkEnd w:id="152"/>
    <w:p w14:paraId="77050343" w14:textId="77777777" w:rsidR="00CB4763" w:rsidRPr="00E84B05" w:rsidRDefault="00CB4763" w:rsidP="009B7123">
      <w:pPr>
        <w:spacing w:after="0" w:line="276" w:lineRule="auto"/>
        <w:jc w:val="both"/>
        <w:rPr>
          <w:rFonts w:eastAsia="Arial" w:cs="Calibri"/>
        </w:rPr>
      </w:pPr>
      <w:r w:rsidRPr="00E84B05">
        <w:rPr>
          <w:rFonts w:eastAsia="Arial" w:cs="Calibri"/>
        </w:rPr>
        <w:t>Please answer the following questions in full. Note that every organisation that forms part of your bidding group/consortium, as well as every organisation that is being relied on (including subcontractors) to meet the selection criteria must complete and submit responses to Part 1 and Part 2.</w:t>
      </w:r>
    </w:p>
    <w:p w14:paraId="165B2285" w14:textId="77777777" w:rsidR="00CB4763" w:rsidRPr="00E84B05" w:rsidRDefault="00CB4763" w:rsidP="00CB4763">
      <w:pPr>
        <w:spacing w:after="0" w:line="276" w:lineRule="auto"/>
        <w:rPr>
          <w:rFonts w:eastAsia="Arial" w:cs="Calibri"/>
        </w:rPr>
      </w:pPr>
    </w:p>
    <w:p w14:paraId="4148017D" w14:textId="77777777" w:rsidR="00CB4763" w:rsidRPr="00E84B05" w:rsidRDefault="00CB4763" w:rsidP="009B7123">
      <w:pPr>
        <w:spacing w:after="0" w:line="276" w:lineRule="auto"/>
        <w:jc w:val="both"/>
        <w:rPr>
          <w:rFonts w:eastAsia="Arial" w:cs="Calibri"/>
        </w:rPr>
      </w:pPr>
      <w:r w:rsidRPr="00E84B05">
        <w:rPr>
          <w:rFonts w:eastAsia="Arial" w:cs="Calibri"/>
        </w:rPr>
        <w:t xml:space="preserve">Associated persons are sub-contractors or consortium members who are being relied on by the prime/lead supplier to satisfy the conditions of participation in the </w:t>
      </w:r>
      <w:proofErr w:type="gramStart"/>
      <w:r w:rsidRPr="00E84B05">
        <w:rPr>
          <w:rFonts w:eastAsia="Arial" w:cs="Calibri"/>
        </w:rPr>
        <w:t>particular procurement</w:t>
      </w:r>
      <w:proofErr w:type="gramEnd"/>
      <w:r w:rsidRPr="00E84B05">
        <w:rPr>
          <w:rFonts w:eastAsia="Arial" w:cs="Calibri"/>
        </w:rPr>
        <w:t>. This does not include guarantors, even if they are relied on to meet conditions of participation.</w:t>
      </w:r>
    </w:p>
    <w:p w14:paraId="026DE298" w14:textId="77777777" w:rsidR="00CB4763" w:rsidRPr="00E84B05" w:rsidRDefault="00CB4763" w:rsidP="00CB4763">
      <w:pPr>
        <w:spacing w:after="0" w:line="276" w:lineRule="auto"/>
        <w:rPr>
          <w:rFonts w:eastAsia="Arial"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4985"/>
        <w:gridCol w:w="2902"/>
      </w:tblGrid>
      <w:tr w:rsidR="00CB4763" w:rsidRPr="00605283" w14:paraId="5AB17920" w14:textId="77777777">
        <w:tc>
          <w:tcPr>
            <w:tcW w:w="0" w:type="auto"/>
            <w:tcBorders>
              <w:top w:val="single" w:sz="6" w:space="0" w:color="000000"/>
              <w:bottom w:val="single" w:sz="6" w:space="0" w:color="000000"/>
            </w:tcBorders>
            <w:shd w:val="clear" w:color="auto" w:fill="009999"/>
          </w:tcPr>
          <w:p w14:paraId="4C9A8DF3" w14:textId="77777777" w:rsidR="00CB4763" w:rsidRPr="001439F7" w:rsidRDefault="00CB4763">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bottom w:val="single" w:sz="6" w:space="0" w:color="000000"/>
            </w:tcBorders>
            <w:shd w:val="clear" w:color="auto" w:fill="009999"/>
          </w:tcPr>
          <w:p w14:paraId="60448DFA" w14:textId="77777777" w:rsidR="00CB4763" w:rsidRPr="001439F7" w:rsidRDefault="00CB4763">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bottom w:val="single" w:sz="6" w:space="0" w:color="000000"/>
            </w:tcBorders>
            <w:shd w:val="clear" w:color="auto" w:fill="009999"/>
          </w:tcPr>
          <w:p w14:paraId="4107937A" w14:textId="77777777" w:rsidR="00CB4763" w:rsidRPr="001439F7" w:rsidRDefault="00CB4763">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CB4763" w:rsidRPr="00605283" w14:paraId="31501146" w14:textId="77777777">
        <w:trPr>
          <w:trHeight w:val="4422"/>
        </w:trPr>
        <w:tc>
          <w:tcPr>
            <w:tcW w:w="0" w:type="auto"/>
            <w:tcBorders>
              <w:top w:val="single" w:sz="6" w:space="0" w:color="000000"/>
            </w:tcBorders>
            <w:shd w:val="clear" w:color="auto" w:fill="F2F2F2" w:themeFill="background1" w:themeFillShade="F2"/>
          </w:tcPr>
          <w:p w14:paraId="6580973D" w14:textId="77777777" w:rsidR="00CB4763" w:rsidRPr="001439F7" w:rsidRDefault="00CB4763">
            <w:pPr>
              <w:spacing w:after="0" w:line="276" w:lineRule="auto"/>
              <w:rPr>
                <w:rFonts w:eastAsia="Arial" w:cs="Arial"/>
                <w:b/>
                <w:bCs/>
              </w:rPr>
            </w:pPr>
            <w:r w:rsidRPr="00E84B05">
              <w:rPr>
                <w:rFonts w:eastAsia="Arial" w:cs="Calibri"/>
                <w:b/>
              </w:rPr>
              <w:t>2.1</w:t>
            </w:r>
          </w:p>
        </w:tc>
        <w:tc>
          <w:tcPr>
            <w:tcW w:w="7837" w:type="dxa"/>
            <w:tcBorders>
              <w:top w:val="single" w:sz="6" w:space="0" w:color="000000"/>
            </w:tcBorders>
            <w:shd w:val="clear" w:color="auto" w:fill="F2F2F2" w:themeFill="background1" w:themeFillShade="F2"/>
          </w:tcPr>
          <w:p w14:paraId="1136FE77" w14:textId="77777777" w:rsidR="00CB4763" w:rsidRPr="00E84B05" w:rsidRDefault="00CB4763">
            <w:pPr>
              <w:spacing w:after="0" w:line="276" w:lineRule="auto"/>
              <w:rPr>
                <w:rFonts w:eastAsia="Arial" w:cs="Calibri"/>
              </w:rPr>
            </w:pPr>
            <w:r w:rsidRPr="00E84B05">
              <w:rPr>
                <w:rFonts w:eastAsia="Arial" w:cs="Calibri"/>
              </w:rPr>
              <w:t>Please confirm whether you will rely on any associated persons in the procurement</w:t>
            </w:r>
            <w:r w:rsidRPr="00E84B05">
              <w:t xml:space="preserve"> to satisfy the conditions of participation.</w:t>
            </w:r>
          </w:p>
          <w:p w14:paraId="05CCE603" w14:textId="77777777" w:rsidR="00CB4763" w:rsidRPr="00E84B05" w:rsidRDefault="00CB4763">
            <w:pPr>
              <w:spacing w:after="0" w:line="276" w:lineRule="auto"/>
              <w:rPr>
                <w:rFonts w:eastAsia="Arial" w:cs="Calibri"/>
              </w:rPr>
            </w:pPr>
          </w:p>
          <w:p w14:paraId="20A0BF35" w14:textId="77777777" w:rsidR="00CB4763" w:rsidRPr="00E84B05" w:rsidRDefault="00CB4763">
            <w:pPr>
              <w:spacing w:after="0" w:line="276" w:lineRule="auto"/>
              <w:rPr>
                <w:rFonts w:eastAsia="Arial" w:cs="Calibri"/>
              </w:rPr>
            </w:pPr>
            <w:r w:rsidRPr="00E84B05">
              <w:rPr>
                <w:rFonts w:eastAsia="Arial" w:cs="Calibri"/>
              </w:rPr>
              <w:t xml:space="preserve">If you have answered “No” to this question, you are confirming you will not be relying on any other entity to satisfy the conditions of participation. If this is the case, questions 2.2 – 2.4 are not applicable and do not require a response. </w:t>
            </w:r>
          </w:p>
          <w:p w14:paraId="51D41DFC" w14:textId="77777777" w:rsidR="00CB4763" w:rsidRPr="00E84B05" w:rsidRDefault="00CB4763">
            <w:pPr>
              <w:spacing w:after="0" w:line="276" w:lineRule="auto"/>
              <w:rPr>
                <w:rFonts w:eastAsia="Arial" w:cs="Calibri"/>
              </w:rPr>
            </w:pPr>
          </w:p>
          <w:p w14:paraId="518F1C32" w14:textId="77777777" w:rsidR="00CB4763" w:rsidRPr="001439F7" w:rsidRDefault="00CB4763">
            <w:pPr>
              <w:spacing w:after="0" w:line="276" w:lineRule="auto"/>
              <w:rPr>
                <w:rFonts w:eastAsia="Arial" w:cs="Arial"/>
              </w:rPr>
            </w:pPr>
            <w:r w:rsidRPr="00E84B05">
              <w:rPr>
                <w:rFonts w:eastAsia="Arial" w:cs="Calibri"/>
              </w:rPr>
              <w:t>Otherwise, you must comply with the requirements of 2.2 – 2.4 in respect of all associated persons.</w:t>
            </w:r>
          </w:p>
          <w:p w14:paraId="7A398739" w14:textId="77777777" w:rsidR="00CB4763" w:rsidRPr="001439F7" w:rsidRDefault="00CB4763">
            <w:pPr>
              <w:spacing w:after="0" w:line="276" w:lineRule="auto"/>
              <w:rPr>
                <w:rFonts w:eastAsia="Arial" w:cs="Arial"/>
              </w:rPr>
            </w:pPr>
          </w:p>
        </w:tc>
        <w:tc>
          <w:tcPr>
            <w:tcW w:w="4734" w:type="dxa"/>
            <w:tcBorders>
              <w:top w:val="single" w:sz="6" w:space="0" w:color="000000"/>
              <w:bottom w:val="single" w:sz="6" w:space="0" w:color="000000"/>
            </w:tcBorders>
          </w:tcPr>
          <w:p w14:paraId="0C05867A" w14:textId="77777777" w:rsidR="00CB4763" w:rsidRPr="00E84B05" w:rsidRDefault="00CB4763">
            <w:pPr>
              <w:spacing w:after="0" w:line="276" w:lineRule="auto"/>
              <w:rPr>
                <w:rFonts w:eastAsia="Arial" w:cs="Calibri"/>
              </w:rPr>
            </w:pPr>
            <w:r w:rsidRPr="00E84B05">
              <w:rPr>
                <w:rFonts w:eastAsia="Arial" w:cs="Calibri"/>
              </w:rPr>
              <w:t xml:space="preserve">Yes </w:t>
            </w:r>
            <w:r w:rsidRPr="00E84B05">
              <w:rPr>
                <w:rFonts w:eastAsia="Arial" w:cs="Calibri"/>
              </w:rPr>
              <w:tab/>
            </w:r>
            <w:r w:rsidRPr="00E84B05">
              <w:rPr>
                <w:rFonts w:eastAsia="Arial" w:cs="Calibri"/>
              </w:rPr>
              <w:fldChar w:fldCharType="begin">
                <w:ffData>
                  <w:name w:val="Check1"/>
                  <w:enabled/>
                  <w:calcOnExit w:val="0"/>
                  <w:checkBox>
                    <w:sizeAuto/>
                    <w:default w:val="0"/>
                  </w:checkBox>
                </w:ffData>
              </w:fldChar>
            </w:r>
            <w:r w:rsidRPr="00E84B05">
              <w:rPr>
                <w:rFonts w:eastAsia="Arial" w:cs="Calibri"/>
              </w:rPr>
              <w:instrText xml:space="preserve"> FORMCHECKBOX </w:instrText>
            </w:r>
            <w:r w:rsidR="00084E0F">
              <w:rPr>
                <w:rFonts w:eastAsia="Arial" w:cs="Calibri"/>
              </w:rPr>
            </w:r>
            <w:r w:rsidR="00084E0F">
              <w:rPr>
                <w:rFonts w:eastAsia="Arial" w:cs="Calibri"/>
              </w:rPr>
              <w:fldChar w:fldCharType="separate"/>
            </w:r>
            <w:r w:rsidRPr="00E84B05">
              <w:rPr>
                <w:rFonts w:eastAsia="Arial" w:cs="Calibri"/>
              </w:rPr>
              <w:fldChar w:fldCharType="end"/>
            </w:r>
          </w:p>
          <w:p w14:paraId="4B04B808" w14:textId="77777777" w:rsidR="00CB4763" w:rsidRPr="00E84B05" w:rsidRDefault="00CB4763">
            <w:pPr>
              <w:spacing w:after="0" w:line="276" w:lineRule="auto"/>
              <w:rPr>
                <w:rFonts w:eastAsia="Arial" w:cs="Calibri"/>
              </w:rPr>
            </w:pPr>
            <w:r w:rsidRPr="00E84B05">
              <w:rPr>
                <w:rFonts w:eastAsia="Arial" w:cs="Calibri"/>
              </w:rPr>
              <w:t xml:space="preserve">No </w:t>
            </w:r>
            <w:r w:rsidRPr="00E84B05">
              <w:rPr>
                <w:rFonts w:eastAsia="Arial" w:cs="Calibri"/>
              </w:rPr>
              <w:tab/>
            </w:r>
            <w:r w:rsidRPr="00E84B05">
              <w:rPr>
                <w:rFonts w:eastAsia="Arial" w:cs="Calibri"/>
              </w:rPr>
              <w:fldChar w:fldCharType="begin">
                <w:ffData>
                  <w:name w:val="Check1"/>
                  <w:enabled/>
                  <w:calcOnExit w:val="0"/>
                  <w:checkBox>
                    <w:sizeAuto/>
                    <w:default w:val="0"/>
                  </w:checkBox>
                </w:ffData>
              </w:fldChar>
            </w:r>
            <w:r w:rsidRPr="00E84B05">
              <w:rPr>
                <w:rFonts w:eastAsia="Arial" w:cs="Calibri"/>
              </w:rPr>
              <w:instrText xml:space="preserve"> FORMCHECKBOX </w:instrText>
            </w:r>
            <w:r w:rsidR="00084E0F">
              <w:rPr>
                <w:rFonts w:eastAsia="Arial" w:cs="Calibri"/>
              </w:rPr>
            </w:r>
            <w:r w:rsidR="00084E0F">
              <w:rPr>
                <w:rFonts w:eastAsia="Arial" w:cs="Calibri"/>
              </w:rPr>
              <w:fldChar w:fldCharType="separate"/>
            </w:r>
            <w:r w:rsidRPr="00E84B05">
              <w:rPr>
                <w:rFonts w:eastAsia="Arial" w:cs="Calibri"/>
              </w:rPr>
              <w:fldChar w:fldCharType="end"/>
            </w:r>
          </w:p>
          <w:p w14:paraId="0F14F036" w14:textId="77777777" w:rsidR="00CB4763" w:rsidRPr="00E84B05" w:rsidRDefault="00CB4763">
            <w:pPr>
              <w:tabs>
                <w:tab w:val="left" w:pos="602"/>
              </w:tabs>
              <w:spacing w:after="0" w:line="276" w:lineRule="auto"/>
              <w:rPr>
                <w:rFonts w:eastAsia="Arial" w:cs="Calibri"/>
              </w:rPr>
            </w:pPr>
          </w:p>
        </w:tc>
      </w:tr>
      <w:tr w:rsidR="00CB4763" w:rsidRPr="00605283" w14:paraId="699FFA83" w14:textId="77777777">
        <w:trPr>
          <w:trHeight w:val="1247"/>
        </w:trPr>
        <w:tc>
          <w:tcPr>
            <w:tcW w:w="0" w:type="auto"/>
            <w:shd w:val="clear" w:color="auto" w:fill="F2F2F2" w:themeFill="background1" w:themeFillShade="F2"/>
          </w:tcPr>
          <w:p w14:paraId="67B3731C" w14:textId="77777777" w:rsidR="00CB4763" w:rsidRPr="00E84B05" w:rsidRDefault="00CB4763">
            <w:pPr>
              <w:spacing w:after="0" w:line="276" w:lineRule="auto"/>
              <w:rPr>
                <w:rFonts w:eastAsia="Times New Roman" w:cs="Calibri"/>
                <w:b/>
              </w:rPr>
            </w:pPr>
            <w:r w:rsidRPr="00E84B05">
              <w:rPr>
                <w:rFonts w:eastAsia="Times New Roman" w:cs="Calibri"/>
                <w:b/>
              </w:rPr>
              <w:t>2.2</w:t>
            </w:r>
          </w:p>
        </w:tc>
        <w:tc>
          <w:tcPr>
            <w:tcW w:w="7837" w:type="dxa"/>
            <w:shd w:val="clear" w:color="auto" w:fill="F2F2F2" w:themeFill="background1" w:themeFillShade="F2"/>
          </w:tcPr>
          <w:p w14:paraId="6A53DA5A" w14:textId="77777777" w:rsidR="00CB4763" w:rsidRPr="00E84B05" w:rsidRDefault="00CB4763">
            <w:pPr>
              <w:spacing w:after="0" w:line="276" w:lineRule="auto"/>
              <w:ind w:right="306"/>
            </w:pPr>
            <w:r w:rsidRPr="00E84B05">
              <w:t>For each associated person, please confirm which condition(s) of participation you are relying on them to satisfy</w:t>
            </w:r>
          </w:p>
        </w:tc>
        <w:tc>
          <w:tcPr>
            <w:tcW w:w="4734" w:type="dxa"/>
            <w:tcBorders>
              <w:top w:val="single" w:sz="6" w:space="0" w:color="000000"/>
              <w:bottom w:val="single" w:sz="6" w:space="0" w:color="000000"/>
            </w:tcBorders>
          </w:tcPr>
          <w:p w14:paraId="2DEC9F17" w14:textId="77777777" w:rsidR="00CB4763" w:rsidRPr="00E84B05" w:rsidRDefault="00CB4763">
            <w:pPr>
              <w:spacing w:after="0" w:line="276" w:lineRule="auto"/>
              <w:rPr>
                <w:rFonts w:eastAsia="Arial" w:cs="Calibri"/>
              </w:rPr>
            </w:pPr>
            <w:r w:rsidRPr="00E84B05">
              <w:t>[Insert name of associated person(s) and brief description for each relevant condition of participation]</w:t>
            </w:r>
          </w:p>
        </w:tc>
      </w:tr>
      <w:tr w:rsidR="00CB4763" w:rsidRPr="00605283" w14:paraId="7D77BB3A" w14:textId="77777777">
        <w:trPr>
          <w:trHeight w:val="2778"/>
        </w:trPr>
        <w:tc>
          <w:tcPr>
            <w:tcW w:w="0" w:type="auto"/>
            <w:vMerge w:val="restart"/>
            <w:shd w:val="clear" w:color="auto" w:fill="F2F2F2" w:themeFill="background1" w:themeFillShade="F2"/>
          </w:tcPr>
          <w:p w14:paraId="395A6688" w14:textId="77777777" w:rsidR="00CB4763" w:rsidRDefault="00CB4763">
            <w:pPr>
              <w:spacing w:after="0" w:line="276" w:lineRule="auto"/>
              <w:rPr>
                <w:rFonts w:eastAsia="Arial" w:cs="Arial"/>
                <w:b/>
                <w:bCs/>
              </w:rPr>
            </w:pPr>
            <w:r w:rsidRPr="00E84B05">
              <w:rPr>
                <w:rFonts w:eastAsia="Times New Roman" w:cs="Calibri"/>
                <w:b/>
              </w:rPr>
              <w:t>2.3</w:t>
            </w:r>
          </w:p>
        </w:tc>
        <w:tc>
          <w:tcPr>
            <w:tcW w:w="7837" w:type="dxa"/>
            <w:vMerge w:val="restart"/>
            <w:shd w:val="clear" w:color="auto" w:fill="F2F2F2" w:themeFill="background1" w:themeFillShade="F2"/>
          </w:tcPr>
          <w:p w14:paraId="5C1C3B4F" w14:textId="77777777" w:rsidR="00CB4763" w:rsidRPr="00E84B05" w:rsidRDefault="00CB4763">
            <w:pPr>
              <w:spacing w:after="0" w:line="276" w:lineRule="auto"/>
              <w:ind w:right="306"/>
              <w:rPr>
                <w:rFonts w:eastAsia="Arial" w:cs="Calibri"/>
              </w:rPr>
            </w:pPr>
            <w:r w:rsidRPr="00E84B05">
              <w:t>Please confirm the following</w:t>
            </w:r>
            <w:r w:rsidRPr="00E84B05">
              <w:rPr>
                <w:rFonts w:eastAsia="Arial" w:cs="Calibri"/>
              </w:rPr>
              <w:t xml:space="preserve"> in respect of all associated persons:</w:t>
            </w:r>
          </w:p>
          <w:p w14:paraId="421C1F9D" w14:textId="77777777" w:rsidR="00CB4763" w:rsidRPr="00E84B05" w:rsidRDefault="00CB4763">
            <w:pPr>
              <w:spacing w:after="0" w:line="276" w:lineRule="auto"/>
              <w:ind w:right="306"/>
              <w:rPr>
                <w:rFonts w:eastAsia="Arial" w:cs="Calibri"/>
              </w:rPr>
            </w:pPr>
          </w:p>
          <w:p w14:paraId="4BF5A2AD" w14:textId="77777777" w:rsidR="00CB4763" w:rsidRPr="00E84B05" w:rsidRDefault="00CB4763" w:rsidP="0085565B">
            <w:pPr>
              <w:pStyle w:val="ListParagraph"/>
              <w:numPr>
                <w:ilvl w:val="0"/>
                <w:numId w:val="22"/>
              </w:numPr>
              <w:spacing w:after="0" w:line="276" w:lineRule="auto"/>
              <w:rPr>
                <w:rFonts w:eastAsia="Arial" w:cs="Calibri"/>
              </w:rPr>
            </w:pPr>
            <w:r w:rsidRPr="00E84B05">
              <w:rPr>
                <w:rFonts w:eastAsia="Arial" w:cs="Calibri"/>
              </w:rPr>
              <w:t xml:space="preserve">They have registered on the </w:t>
            </w:r>
            <w:proofErr w:type="gramStart"/>
            <w:r w:rsidRPr="00E84B05">
              <w:rPr>
                <w:rFonts w:eastAsia="Arial" w:cs="Calibri"/>
              </w:rPr>
              <w:t>CDP</w:t>
            </w:r>
            <w:proofErr w:type="gramEnd"/>
          </w:p>
          <w:p w14:paraId="296E9C1E" w14:textId="77777777" w:rsidR="00CB4763" w:rsidRPr="00E84B05" w:rsidRDefault="00CB4763" w:rsidP="0085565B">
            <w:pPr>
              <w:pStyle w:val="ListParagraph"/>
              <w:numPr>
                <w:ilvl w:val="0"/>
                <w:numId w:val="22"/>
              </w:numPr>
              <w:spacing w:after="0" w:line="276" w:lineRule="auto"/>
              <w:rPr>
                <w:rFonts w:eastAsia="Arial" w:cs="Calibri"/>
              </w:rPr>
            </w:pPr>
            <w:r w:rsidRPr="00E84B05">
              <w:rPr>
                <w:rFonts w:eastAsia="Arial" w:cs="Calibri"/>
              </w:rPr>
              <w:t>They have submitted up-to-date core supplier information on the CDP, which includes your:</w:t>
            </w:r>
          </w:p>
          <w:p w14:paraId="1367F980" w14:textId="77777777" w:rsidR="00CB4763" w:rsidRPr="00E84B05" w:rsidRDefault="00CB4763" w:rsidP="0085565B">
            <w:pPr>
              <w:pStyle w:val="ListParagraph"/>
              <w:numPr>
                <w:ilvl w:val="1"/>
                <w:numId w:val="22"/>
              </w:numPr>
              <w:spacing w:after="0" w:line="276" w:lineRule="auto"/>
              <w:rPr>
                <w:rFonts w:eastAsia="Arial" w:cs="Calibri"/>
              </w:rPr>
            </w:pPr>
            <w:r w:rsidRPr="00E84B05">
              <w:rPr>
                <w:rFonts w:eastAsia="Arial" w:cs="Calibri"/>
              </w:rPr>
              <w:t xml:space="preserve">basic information </w:t>
            </w:r>
          </w:p>
          <w:p w14:paraId="16DB6BBC" w14:textId="77777777" w:rsidR="00CB4763" w:rsidRPr="00E84B05" w:rsidRDefault="00CB4763" w:rsidP="0085565B">
            <w:pPr>
              <w:pStyle w:val="ListParagraph"/>
              <w:numPr>
                <w:ilvl w:val="1"/>
                <w:numId w:val="22"/>
              </w:numPr>
              <w:spacing w:after="0" w:line="276" w:lineRule="auto"/>
              <w:rPr>
                <w:rFonts w:eastAsia="Arial" w:cs="Calibri"/>
              </w:rPr>
            </w:pPr>
            <w:r w:rsidRPr="00E84B05">
              <w:rPr>
                <w:rFonts w:eastAsia="Arial" w:cs="Calibri"/>
              </w:rPr>
              <w:t xml:space="preserve">economic and financial standing information </w:t>
            </w:r>
          </w:p>
          <w:p w14:paraId="7AC0C2AA" w14:textId="77777777" w:rsidR="00CB4763" w:rsidRPr="00E84B05" w:rsidRDefault="00CB4763" w:rsidP="0085565B">
            <w:pPr>
              <w:pStyle w:val="ListParagraph"/>
              <w:numPr>
                <w:ilvl w:val="1"/>
                <w:numId w:val="22"/>
              </w:numPr>
              <w:spacing w:after="0" w:line="276" w:lineRule="auto"/>
              <w:rPr>
                <w:rFonts w:eastAsia="Arial" w:cs="Calibri"/>
              </w:rPr>
            </w:pPr>
            <w:r w:rsidRPr="00E84B05">
              <w:rPr>
                <w:rFonts w:eastAsia="Arial" w:cs="Calibri"/>
              </w:rPr>
              <w:t xml:space="preserve">connected person </w:t>
            </w:r>
            <w:proofErr w:type="gramStart"/>
            <w:r w:rsidRPr="00E84B05">
              <w:rPr>
                <w:rFonts w:eastAsia="Arial" w:cs="Calibri"/>
              </w:rPr>
              <w:t>information</w:t>
            </w:r>
            <w:proofErr w:type="gramEnd"/>
          </w:p>
          <w:p w14:paraId="4FF8FCE0" w14:textId="77777777" w:rsidR="00CB4763" w:rsidRPr="00E84B05" w:rsidRDefault="00CB4763" w:rsidP="0085565B">
            <w:pPr>
              <w:pStyle w:val="ListParagraph"/>
              <w:numPr>
                <w:ilvl w:val="1"/>
                <w:numId w:val="22"/>
              </w:numPr>
              <w:spacing w:after="0" w:line="276" w:lineRule="auto"/>
              <w:rPr>
                <w:rFonts w:eastAsia="Arial" w:cs="Calibri"/>
              </w:rPr>
            </w:pPr>
            <w:r w:rsidRPr="00E84B05">
              <w:rPr>
                <w:rFonts w:eastAsia="Arial" w:cs="Calibri"/>
              </w:rPr>
              <w:t>exclusion grounds information (this includes exclusion information about the supplier and its connected persons); and</w:t>
            </w:r>
          </w:p>
          <w:p w14:paraId="1E0A06CD" w14:textId="3C507B40" w:rsidR="00CB4763" w:rsidRPr="007B798A" w:rsidRDefault="00CB4763" w:rsidP="0085565B">
            <w:pPr>
              <w:pStyle w:val="ListParagraph"/>
              <w:numPr>
                <w:ilvl w:val="0"/>
                <w:numId w:val="22"/>
              </w:numPr>
              <w:spacing w:after="0" w:line="276" w:lineRule="auto"/>
              <w:rPr>
                <w:rFonts w:eastAsia="Arial" w:cs="Calibri"/>
              </w:rPr>
            </w:pPr>
            <w:r w:rsidRPr="00CD5562">
              <w:rPr>
                <w:rFonts w:eastAsia="Arial" w:cs="Calibri"/>
              </w:rPr>
              <w:t xml:space="preserve">You have </w:t>
            </w:r>
            <w:proofErr w:type="gramStart"/>
            <w:r w:rsidRPr="00CD5562">
              <w:rPr>
                <w:rFonts w:eastAsia="Arial" w:cs="Calibri"/>
              </w:rPr>
              <w:t>provided that</w:t>
            </w:r>
            <w:proofErr w:type="gramEnd"/>
            <w:r w:rsidRPr="00CD5562">
              <w:rPr>
                <w:rFonts w:eastAsia="Arial" w:cs="Calibri"/>
              </w:rPr>
              <w:t xml:space="preserve"> information to the contracting Authority.</w:t>
            </w:r>
          </w:p>
          <w:p w14:paraId="01B3AFC2" w14:textId="77777777" w:rsidR="00CB4763" w:rsidRPr="00E84B05" w:rsidRDefault="00CB4763">
            <w:pPr>
              <w:spacing w:after="0" w:line="276" w:lineRule="auto"/>
              <w:ind w:right="306"/>
              <w:rPr>
                <w:rFonts w:eastAsia="Arial" w:cs="Calibri"/>
              </w:rPr>
            </w:pPr>
          </w:p>
          <w:p w14:paraId="656A4B50" w14:textId="77777777" w:rsidR="00CB4763" w:rsidRPr="00E84B05" w:rsidRDefault="00CB4763">
            <w:pPr>
              <w:spacing w:after="0" w:line="276" w:lineRule="auto"/>
              <w:ind w:right="306"/>
              <w:rPr>
                <w:rFonts w:eastAsia="Arial" w:cs="Calibri"/>
              </w:rPr>
            </w:pPr>
            <w:r w:rsidRPr="00E84B05">
              <w:rPr>
                <w:rFonts w:eastAsia="Arial" w:cs="Calibri"/>
              </w:rPr>
              <w:t>Please provide a link to information concerning all associated persons on the CDP in response to this question, and unique identifiers that have been accepted or allocated by the CDP.</w:t>
            </w:r>
          </w:p>
          <w:p w14:paraId="39D831DA" w14:textId="77777777" w:rsidR="00CB4763" w:rsidRPr="00E84B05" w:rsidRDefault="00CB4763">
            <w:pPr>
              <w:spacing w:after="0" w:line="276" w:lineRule="auto"/>
              <w:ind w:right="306"/>
              <w:rPr>
                <w:rFonts w:eastAsia="Arial" w:cs="Calibri"/>
              </w:rPr>
            </w:pPr>
          </w:p>
          <w:p w14:paraId="35FD575B" w14:textId="77777777" w:rsidR="00CB4763" w:rsidRPr="00E84B05" w:rsidRDefault="00CB4763">
            <w:pPr>
              <w:spacing w:after="0" w:line="276" w:lineRule="auto"/>
              <w:ind w:right="306"/>
              <w:rPr>
                <w:rFonts w:eastAsia="Arial" w:cs="Calibri"/>
              </w:rPr>
            </w:pPr>
            <w:r w:rsidRPr="00E84B05">
              <w:rPr>
                <w:rFonts w:eastAsia="Arial" w:cs="Calibri"/>
              </w:rPr>
              <w:t xml:space="preserve">Please note that if you will be relying on associated persons to meet conditions of participation and provide a ‘No’ response or fail to provide a relevant link, this may result in disqualification. </w:t>
            </w:r>
          </w:p>
          <w:p w14:paraId="530D0BC2" w14:textId="77777777" w:rsidR="00CB4763" w:rsidRPr="00E84B05" w:rsidRDefault="00CB4763">
            <w:pPr>
              <w:spacing w:after="0" w:line="276" w:lineRule="auto"/>
              <w:ind w:right="306"/>
              <w:rPr>
                <w:rFonts w:eastAsia="Arial" w:cs="Calibri"/>
              </w:rPr>
            </w:pPr>
          </w:p>
          <w:p w14:paraId="3688F92E" w14:textId="77777777" w:rsidR="00CB4763" w:rsidRPr="00E84B05" w:rsidRDefault="00CB4763">
            <w:pPr>
              <w:spacing w:after="0" w:line="276" w:lineRule="auto"/>
              <w:ind w:right="306"/>
              <w:rPr>
                <w:rFonts w:eastAsia="Arial" w:cs="Calibri"/>
              </w:rPr>
            </w:pPr>
            <w:r w:rsidRPr="00E84B05">
              <w:rPr>
                <w:rFonts w:eastAsia="Arial" w:cs="Calibri"/>
              </w:rPr>
              <w:t xml:space="preserve">Where a supplier is disqualified, any further quality and price submissions will not be assessed. </w:t>
            </w:r>
          </w:p>
          <w:p w14:paraId="3FCC1C2C" w14:textId="77777777" w:rsidR="00CB4763" w:rsidRPr="00E84B05" w:rsidRDefault="00CB4763">
            <w:pPr>
              <w:spacing w:after="0" w:line="276" w:lineRule="auto"/>
              <w:ind w:right="306"/>
              <w:rPr>
                <w:rFonts w:eastAsia="Arial" w:cs="Calibri"/>
              </w:rPr>
            </w:pPr>
          </w:p>
          <w:p w14:paraId="1461A23F" w14:textId="41C31DA2" w:rsidR="00CB4763" w:rsidRPr="008213A1" w:rsidRDefault="00175530">
            <w:pPr>
              <w:spacing w:after="0" w:line="276" w:lineRule="auto"/>
              <w:rPr>
                <w:rFonts w:cs="Arial"/>
              </w:rPr>
            </w:pPr>
            <w:r w:rsidRPr="00E84B05">
              <w:rPr>
                <w:rFonts w:cs="Calibri"/>
                <w:b/>
              </w:rPr>
              <w:t xml:space="preserve"> Please note, if the CDP is not working properly during the tendering period, please indicate this within your response. </w:t>
            </w:r>
            <w:proofErr w:type="gramStart"/>
            <w:r>
              <w:rPr>
                <w:rFonts w:cs="Calibri"/>
                <w:b/>
              </w:rPr>
              <w:t>As long as</w:t>
            </w:r>
            <w:proofErr w:type="gramEnd"/>
            <w:r>
              <w:rPr>
                <w:rFonts w:cs="Calibri"/>
                <w:b/>
              </w:rPr>
              <w:t xml:space="preserve"> the information required has been provided directly to HMRC, any issues with CDP will not lead to the disqualification of a </w:t>
            </w:r>
            <w:r w:rsidR="00433587">
              <w:rPr>
                <w:rFonts w:cs="Calibri"/>
                <w:b/>
              </w:rPr>
              <w:t>Tenderer</w:t>
            </w:r>
            <w:r w:rsidRPr="00616DAF">
              <w:rPr>
                <w:rFonts w:cs="Calibri"/>
                <w:b/>
              </w:rPr>
              <w:t>. HMRC will request confirmation during the evaluation period that the information requested within this question is compliant.</w:t>
            </w:r>
          </w:p>
        </w:tc>
        <w:tc>
          <w:tcPr>
            <w:tcW w:w="4734" w:type="dxa"/>
            <w:tcBorders>
              <w:top w:val="single" w:sz="6" w:space="0" w:color="000000"/>
              <w:bottom w:val="single" w:sz="6" w:space="0" w:color="000000"/>
            </w:tcBorders>
          </w:tcPr>
          <w:p w14:paraId="009A11B3" w14:textId="77777777" w:rsidR="00CB4763" w:rsidRPr="00E84B05" w:rsidRDefault="00CB4763">
            <w:pPr>
              <w:spacing w:after="0" w:line="276" w:lineRule="auto"/>
              <w:rPr>
                <w:rFonts w:eastAsia="Arial" w:cs="Calibri"/>
              </w:rPr>
            </w:pPr>
            <w:r w:rsidRPr="00E84B05">
              <w:rPr>
                <w:rFonts w:eastAsia="Arial" w:cs="Calibri"/>
              </w:rPr>
              <w:t xml:space="preserve">Yes </w:t>
            </w:r>
            <w:r w:rsidRPr="00E84B05">
              <w:rPr>
                <w:rFonts w:eastAsia="Arial" w:cs="Calibri"/>
              </w:rPr>
              <w:tab/>
            </w:r>
            <w:r w:rsidRPr="00E84B05">
              <w:rPr>
                <w:rFonts w:eastAsia="Arial" w:cs="Calibri"/>
              </w:rPr>
              <w:fldChar w:fldCharType="begin">
                <w:ffData>
                  <w:name w:val="Check1"/>
                  <w:enabled/>
                  <w:calcOnExit w:val="0"/>
                  <w:checkBox>
                    <w:sizeAuto/>
                    <w:default w:val="0"/>
                  </w:checkBox>
                </w:ffData>
              </w:fldChar>
            </w:r>
            <w:r w:rsidRPr="00E84B05">
              <w:rPr>
                <w:rFonts w:eastAsia="Arial" w:cs="Calibri"/>
              </w:rPr>
              <w:instrText xml:space="preserve"> FORMCHECKBOX </w:instrText>
            </w:r>
            <w:r w:rsidR="00084E0F">
              <w:rPr>
                <w:rFonts w:eastAsia="Arial" w:cs="Calibri"/>
              </w:rPr>
            </w:r>
            <w:r w:rsidR="00084E0F">
              <w:rPr>
                <w:rFonts w:eastAsia="Arial" w:cs="Calibri"/>
              </w:rPr>
              <w:fldChar w:fldCharType="separate"/>
            </w:r>
            <w:r w:rsidRPr="00E84B05">
              <w:rPr>
                <w:rFonts w:eastAsia="Arial" w:cs="Calibri"/>
              </w:rPr>
              <w:fldChar w:fldCharType="end"/>
            </w:r>
          </w:p>
          <w:p w14:paraId="31A5A618" w14:textId="77777777" w:rsidR="00CB4763" w:rsidRPr="00E84B05" w:rsidRDefault="00CB4763">
            <w:pPr>
              <w:spacing w:after="0" w:line="276" w:lineRule="auto"/>
              <w:rPr>
                <w:rFonts w:eastAsia="Arial" w:cs="Calibri"/>
              </w:rPr>
            </w:pPr>
            <w:r w:rsidRPr="00E84B05">
              <w:rPr>
                <w:rFonts w:eastAsia="Arial" w:cs="Calibri"/>
              </w:rPr>
              <w:t xml:space="preserve">No </w:t>
            </w:r>
            <w:r w:rsidRPr="00E84B05">
              <w:rPr>
                <w:rFonts w:eastAsia="Arial" w:cs="Calibri"/>
              </w:rPr>
              <w:tab/>
            </w:r>
            <w:r w:rsidRPr="00E84B05">
              <w:rPr>
                <w:rFonts w:eastAsia="Arial" w:cs="Calibri"/>
              </w:rPr>
              <w:fldChar w:fldCharType="begin">
                <w:ffData>
                  <w:name w:val="Check1"/>
                  <w:enabled/>
                  <w:calcOnExit w:val="0"/>
                  <w:checkBox>
                    <w:sizeAuto/>
                    <w:default w:val="0"/>
                  </w:checkBox>
                </w:ffData>
              </w:fldChar>
            </w:r>
            <w:r w:rsidRPr="00E84B05">
              <w:rPr>
                <w:rFonts w:eastAsia="Arial" w:cs="Calibri"/>
              </w:rPr>
              <w:instrText xml:space="preserve"> FORMCHECKBOX </w:instrText>
            </w:r>
            <w:r w:rsidR="00084E0F">
              <w:rPr>
                <w:rFonts w:eastAsia="Arial" w:cs="Calibri"/>
              </w:rPr>
            </w:r>
            <w:r w:rsidR="00084E0F">
              <w:rPr>
                <w:rFonts w:eastAsia="Arial" w:cs="Calibri"/>
              </w:rPr>
              <w:fldChar w:fldCharType="separate"/>
            </w:r>
            <w:r w:rsidRPr="00E84B05">
              <w:rPr>
                <w:rFonts w:eastAsia="Arial" w:cs="Calibri"/>
              </w:rPr>
              <w:fldChar w:fldCharType="end"/>
            </w:r>
          </w:p>
          <w:p w14:paraId="3AE1A4B0" w14:textId="77777777" w:rsidR="00CB4763" w:rsidRPr="00E84B05" w:rsidRDefault="00CB4763">
            <w:pPr>
              <w:tabs>
                <w:tab w:val="left" w:pos="600"/>
              </w:tabs>
              <w:spacing w:after="0" w:line="276" w:lineRule="auto"/>
              <w:rPr>
                <w:rFonts w:eastAsia="Arial" w:cs="Calibri"/>
              </w:rPr>
            </w:pPr>
            <w:r w:rsidRPr="00E84B05">
              <w:rPr>
                <w:rFonts w:eastAsia="Arial" w:cs="Calibri"/>
              </w:rPr>
              <w:t xml:space="preserve">N/A </w:t>
            </w:r>
            <w:r w:rsidRPr="00E84B05">
              <w:rPr>
                <w:rFonts w:eastAsia="Arial" w:cs="Calibri"/>
              </w:rPr>
              <w:tab/>
              <w:t xml:space="preserve">  </w:t>
            </w:r>
            <w:r w:rsidRPr="00E84B05">
              <w:rPr>
                <w:rFonts w:eastAsia="Arial" w:cs="Calibri"/>
              </w:rPr>
              <w:fldChar w:fldCharType="begin">
                <w:ffData>
                  <w:name w:val="Check1"/>
                  <w:enabled/>
                  <w:calcOnExit w:val="0"/>
                  <w:checkBox>
                    <w:sizeAuto/>
                    <w:default w:val="0"/>
                  </w:checkBox>
                </w:ffData>
              </w:fldChar>
            </w:r>
            <w:r w:rsidRPr="00E84B05">
              <w:rPr>
                <w:rFonts w:eastAsia="Arial" w:cs="Calibri"/>
              </w:rPr>
              <w:instrText xml:space="preserve"> FORMCHECKBOX </w:instrText>
            </w:r>
            <w:r w:rsidR="00084E0F">
              <w:rPr>
                <w:rFonts w:eastAsia="Arial" w:cs="Calibri"/>
              </w:rPr>
            </w:r>
            <w:r w:rsidR="00084E0F">
              <w:rPr>
                <w:rFonts w:eastAsia="Arial" w:cs="Calibri"/>
              </w:rPr>
              <w:fldChar w:fldCharType="separate"/>
            </w:r>
            <w:r w:rsidRPr="00E84B05">
              <w:rPr>
                <w:rFonts w:eastAsia="Arial" w:cs="Calibri"/>
              </w:rPr>
              <w:fldChar w:fldCharType="end"/>
            </w:r>
          </w:p>
        </w:tc>
      </w:tr>
      <w:tr w:rsidR="00CB4763" w:rsidRPr="00605283" w14:paraId="20A43934" w14:textId="77777777">
        <w:trPr>
          <w:trHeight w:val="1701"/>
        </w:trPr>
        <w:tc>
          <w:tcPr>
            <w:tcW w:w="0" w:type="auto"/>
            <w:vMerge/>
            <w:shd w:val="clear" w:color="auto" w:fill="F2F2F2" w:themeFill="background1" w:themeFillShade="F2"/>
          </w:tcPr>
          <w:p w14:paraId="7556ACEF" w14:textId="77777777" w:rsidR="00CB4763" w:rsidRDefault="00CB4763">
            <w:pPr>
              <w:spacing w:after="0" w:line="276" w:lineRule="auto"/>
              <w:rPr>
                <w:rFonts w:eastAsia="Arial" w:cs="Arial"/>
                <w:b/>
                <w:bCs/>
              </w:rPr>
            </w:pPr>
          </w:p>
        </w:tc>
        <w:tc>
          <w:tcPr>
            <w:tcW w:w="7837" w:type="dxa"/>
            <w:vMerge/>
            <w:shd w:val="clear" w:color="auto" w:fill="F2F2F2" w:themeFill="background1" w:themeFillShade="F2"/>
          </w:tcPr>
          <w:p w14:paraId="19353940" w14:textId="77777777" w:rsidR="00CB4763" w:rsidRPr="008213A1" w:rsidRDefault="00CB4763">
            <w:pPr>
              <w:spacing w:after="0" w:line="276" w:lineRule="auto"/>
              <w:rPr>
                <w:rFonts w:cs="Arial"/>
              </w:rPr>
            </w:pPr>
          </w:p>
        </w:tc>
        <w:tc>
          <w:tcPr>
            <w:tcW w:w="4734" w:type="dxa"/>
            <w:tcBorders>
              <w:top w:val="single" w:sz="6" w:space="0" w:color="000000"/>
              <w:bottom w:val="single" w:sz="6" w:space="0" w:color="000000"/>
            </w:tcBorders>
          </w:tcPr>
          <w:p w14:paraId="29E1F96F" w14:textId="77777777" w:rsidR="00CB4763" w:rsidRPr="00E84B05" w:rsidRDefault="00CB4763">
            <w:pPr>
              <w:tabs>
                <w:tab w:val="left" w:pos="600"/>
              </w:tabs>
              <w:spacing w:after="0" w:line="276" w:lineRule="auto"/>
              <w:rPr>
                <w:rFonts w:eastAsia="Arial" w:cs="Calibri"/>
              </w:rPr>
            </w:pPr>
            <w:r w:rsidRPr="00E84B05">
              <w:rPr>
                <w:rFonts w:eastAsia="Arial" w:cs="Calibri"/>
              </w:rPr>
              <w:t>[Links for all associated persons information on the CDP]</w:t>
            </w:r>
          </w:p>
          <w:p w14:paraId="5D2ADF1B" w14:textId="77777777" w:rsidR="00CB4763" w:rsidRPr="00E84B05" w:rsidRDefault="00CB4763">
            <w:pPr>
              <w:tabs>
                <w:tab w:val="left" w:pos="600"/>
              </w:tabs>
              <w:spacing w:after="0" w:line="276" w:lineRule="auto"/>
              <w:rPr>
                <w:rFonts w:eastAsia="Arial" w:cs="Calibri"/>
              </w:rPr>
            </w:pPr>
          </w:p>
          <w:p w14:paraId="50BDE919" w14:textId="77777777" w:rsidR="00CB4763" w:rsidRPr="00E84B05" w:rsidRDefault="00CB4763">
            <w:pPr>
              <w:tabs>
                <w:tab w:val="left" w:pos="600"/>
              </w:tabs>
              <w:spacing w:after="0" w:line="276" w:lineRule="auto"/>
              <w:rPr>
                <w:rFonts w:eastAsia="Arial" w:cs="Calibri"/>
              </w:rPr>
            </w:pPr>
          </w:p>
        </w:tc>
      </w:tr>
      <w:tr w:rsidR="00CB4763" w:rsidRPr="00605283" w14:paraId="0D3FD020" w14:textId="77777777">
        <w:trPr>
          <w:trHeight w:val="1701"/>
        </w:trPr>
        <w:tc>
          <w:tcPr>
            <w:tcW w:w="0" w:type="auto"/>
            <w:vMerge/>
            <w:shd w:val="clear" w:color="auto" w:fill="F2F2F2" w:themeFill="background1" w:themeFillShade="F2"/>
          </w:tcPr>
          <w:p w14:paraId="5733408D" w14:textId="77777777" w:rsidR="00CB4763" w:rsidRDefault="00CB4763">
            <w:pPr>
              <w:spacing w:after="0" w:line="276" w:lineRule="auto"/>
              <w:rPr>
                <w:rFonts w:eastAsia="Arial" w:cs="Arial"/>
                <w:b/>
                <w:bCs/>
              </w:rPr>
            </w:pPr>
          </w:p>
        </w:tc>
        <w:tc>
          <w:tcPr>
            <w:tcW w:w="7837" w:type="dxa"/>
            <w:vMerge/>
            <w:shd w:val="clear" w:color="auto" w:fill="F2F2F2" w:themeFill="background1" w:themeFillShade="F2"/>
          </w:tcPr>
          <w:p w14:paraId="6440580F" w14:textId="77777777" w:rsidR="00CB4763" w:rsidRPr="008213A1" w:rsidRDefault="00CB4763">
            <w:pPr>
              <w:spacing w:after="0" w:line="276" w:lineRule="auto"/>
              <w:rPr>
                <w:rFonts w:cs="Arial"/>
              </w:rPr>
            </w:pPr>
          </w:p>
        </w:tc>
        <w:tc>
          <w:tcPr>
            <w:tcW w:w="4734" w:type="dxa"/>
            <w:tcBorders>
              <w:top w:val="single" w:sz="6" w:space="0" w:color="000000"/>
              <w:bottom w:val="single" w:sz="6" w:space="0" w:color="000000"/>
            </w:tcBorders>
          </w:tcPr>
          <w:p w14:paraId="137F1470" w14:textId="77777777" w:rsidR="00CB4763" w:rsidRPr="00E84B05" w:rsidRDefault="00CB4763">
            <w:pPr>
              <w:tabs>
                <w:tab w:val="left" w:pos="600"/>
              </w:tabs>
              <w:spacing w:after="0" w:line="276" w:lineRule="auto"/>
              <w:rPr>
                <w:rFonts w:eastAsia="Arial" w:cs="Calibri"/>
              </w:rPr>
            </w:pPr>
            <w:r w:rsidRPr="00E84B05">
              <w:rPr>
                <w:rFonts w:eastAsia="Arial" w:cs="Calibri"/>
              </w:rPr>
              <w:t>[List of each associated persons’ CDP unique identifier]</w:t>
            </w:r>
          </w:p>
        </w:tc>
      </w:tr>
      <w:tr w:rsidR="00CB4763" w:rsidRPr="00605283" w14:paraId="37310198" w14:textId="77777777">
        <w:trPr>
          <w:trHeight w:val="964"/>
        </w:trPr>
        <w:tc>
          <w:tcPr>
            <w:tcW w:w="0" w:type="auto"/>
            <w:vMerge w:val="restart"/>
            <w:shd w:val="clear" w:color="auto" w:fill="F2F2F2" w:themeFill="background1" w:themeFillShade="F2"/>
          </w:tcPr>
          <w:p w14:paraId="64202162" w14:textId="77777777" w:rsidR="00CB4763" w:rsidRDefault="00CB4763">
            <w:pPr>
              <w:spacing w:after="0" w:line="276" w:lineRule="auto"/>
              <w:rPr>
                <w:rFonts w:eastAsia="Arial" w:cs="Arial"/>
                <w:b/>
                <w:bCs/>
              </w:rPr>
            </w:pPr>
            <w:r w:rsidRPr="00E84B05">
              <w:rPr>
                <w:rFonts w:eastAsia="Times New Roman" w:cs="Calibri"/>
                <w:b/>
              </w:rPr>
              <w:t>2.4</w:t>
            </w:r>
          </w:p>
        </w:tc>
        <w:tc>
          <w:tcPr>
            <w:tcW w:w="7837" w:type="dxa"/>
            <w:vMerge w:val="restart"/>
            <w:shd w:val="clear" w:color="auto" w:fill="F2F2F2" w:themeFill="background1" w:themeFillShade="F2"/>
          </w:tcPr>
          <w:p w14:paraId="3FAD8A90" w14:textId="77777777" w:rsidR="00CB4763" w:rsidRPr="00E84B05" w:rsidRDefault="00CB4763">
            <w:pPr>
              <w:spacing w:after="0" w:line="276" w:lineRule="auto"/>
              <w:rPr>
                <w:rFonts w:eastAsia="Arial" w:cs="Calibri"/>
              </w:rPr>
            </w:pPr>
            <w:r w:rsidRPr="00E84B05">
              <w:rPr>
                <w:rFonts w:eastAsia="Arial" w:cs="Calibri"/>
              </w:rPr>
              <w:t>Please confirm if any of your associated persons are on the debarment list?</w:t>
            </w:r>
          </w:p>
          <w:p w14:paraId="7FA9879B" w14:textId="77777777" w:rsidR="00CB4763" w:rsidRPr="00E84B05" w:rsidRDefault="00CB4763">
            <w:pPr>
              <w:spacing w:after="0" w:line="276" w:lineRule="auto"/>
              <w:rPr>
                <w:rFonts w:eastAsia="Arial" w:cs="Calibri"/>
              </w:rPr>
            </w:pPr>
          </w:p>
          <w:p w14:paraId="25C44896" w14:textId="77777777" w:rsidR="00CB4763" w:rsidRPr="008213A1" w:rsidRDefault="00CB4763">
            <w:pPr>
              <w:spacing w:after="0" w:line="276" w:lineRule="auto"/>
              <w:rPr>
                <w:rFonts w:cs="Arial"/>
              </w:rPr>
            </w:pPr>
            <w:r w:rsidRPr="00E84B05">
              <w:rPr>
                <w:rFonts w:eastAsia="Arial" w:cs="Calibri"/>
              </w:rPr>
              <w:t>If ‘Yes’, please provide details</w:t>
            </w:r>
          </w:p>
        </w:tc>
        <w:tc>
          <w:tcPr>
            <w:tcW w:w="4734" w:type="dxa"/>
            <w:tcBorders>
              <w:top w:val="single" w:sz="6" w:space="0" w:color="000000"/>
              <w:bottom w:val="single" w:sz="6" w:space="0" w:color="000000"/>
            </w:tcBorders>
          </w:tcPr>
          <w:p w14:paraId="76215EF5" w14:textId="77777777" w:rsidR="00CB4763" w:rsidRPr="00E84B05" w:rsidRDefault="00CB4763">
            <w:pPr>
              <w:tabs>
                <w:tab w:val="left" w:pos="600"/>
              </w:tabs>
              <w:spacing w:after="0" w:line="276" w:lineRule="auto"/>
              <w:rPr>
                <w:rFonts w:eastAsia="Times New Roman" w:cs="Calibri"/>
              </w:rPr>
            </w:pPr>
            <w:r w:rsidRPr="00E84B05">
              <w:rPr>
                <w:rFonts w:eastAsia="Arial" w:cs="Calibri"/>
              </w:rPr>
              <w:t>Yes</w:t>
            </w:r>
            <w:r w:rsidRPr="00E84B05">
              <w:rPr>
                <w:rFonts w:eastAsia="Menlo Regular" w:cs="Calibri"/>
              </w:rPr>
              <w:t xml:space="preserve"> </w:t>
            </w:r>
            <w:r w:rsidRPr="00E84B05">
              <w:rPr>
                <w:rFonts w:eastAsia="Menlo Regular"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7944CD3E" w14:textId="77777777" w:rsidR="00CB4763" w:rsidRPr="00E84B05" w:rsidRDefault="00CB4763">
            <w:pPr>
              <w:tabs>
                <w:tab w:val="left" w:pos="600"/>
              </w:tabs>
              <w:spacing w:after="0" w:line="276" w:lineRule="auto"/>
              <w:rPr>
                <w:rFonts w:eastAsia="Times New Roman" w:cs="Calibri"/>
              </w:rPr>
            </w:pPr>
            <w:r w:rsidRPr="00E84B05">
              <w:rPr>
                <w:rFonts w:eastAsia="Arial" w:cs="Calibri"/>
              </w:rPr>
              <w:t xml:space="preserve">No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5F82C79F" w14:textId="77777777" w:rsidR="00CB4763" w:rsidRPr="00E84B05" w:rsidRDefault="00CB4763">
            <w:pPr>
              <w:tabs>
                <w:tab w:val="left" w:pos="600"/>
              </w:tabs>
              <w:spacing w:after="0" w:line="276" w:lineRule="auto"/>
              <w:rPr>
                <w:rFonts w:eastAsia="Arial" w:cs="Calibri"/>
              </w:rPr>
            </w:pPr>
          </w:p>
        </w:tc>
      </w:tr>
      <w:tr w:rsidR="00CB4763" w:rsidRPr="00605283" w14:paraId="4EFD0E93" w14:textId="77777777">
        <w:trPr>
          <w:trHeight w:val="1701"/>
        </w:trPr>
        <w:tc>
          <w:tcPr>
            <w:tcW w:w="0" w:type="auto"/>
            <w:vMerge/>
            <w:shd w:val="clear" w:color="auto" w:fill="F2F2F2" w:themeFill="background1" w:themeFillShade="F2"/>
          </w:tcPr>
          <w:p w14:paraId="6E16EE18" w14:textId="77777777" w:rsidR="00CB4763" w:rsidRDefault="00CB4763">
            <w:pPr>
              <w:spacing w:after="0" w:line="276" w:lineRule="auto"/>
              <w:rPr>
                <w:rFonts w:eastAsia="Arial" w:cs="Arial"/>
                <w:b/>
                <w:bCs/>
              </w:rPr>
            </w:pPr>
          </w:p>
        </w:tc>
        <w:tc>
          <w:tcPr>
            <w:tcW w:w="7837" w:type="dxa"/>
            <w:vMerge/>
            <w:shd w:val="clear" w:color="auto" w:fill="F2F2F2" w:themeFill="background1" w:themeFillShade="F2"/>
          </w:tcPr>
          <w:p w14:paraId="00B912AC" w14:textId="77777777" w:rsidR="00CB4763" w:rsidRPr="008213A1" w:rsidRDefault="00CB4763">
            <w:pPr>
              <w:spacing w:after="0" w:line="276" w:lineRule="auto"/>
              <w:rPr>
                <w:rFonts w:cs="Arial"/>
              </w:rPr>
            </w:pPr>
          </w:p>
        </w:tc>
        <w:tc>
          <w:tcPr>
            <w:tcW w:w="4734" w:type="dxa"/>
            <w:tcBorders>
              <w:top w:val="single" w:sz="6" w:space="0" w:color="000000"/>
              <w:bottom w:val="single" w:sz="6" w:space="0" w:color="000000"/>
            </w:tcBorders>
          </w:tcPr>
          <w:p w14:paraId="570DFF04" w14:textId="77777777" w:rsidR="00CB4763" w:rsidRPr="00E84B05" w:rsidRDefault="00CB4763">
            <w:pPr>
              <w:tabs>
                <w:tab w:val="left" w:pos="600"/>
              </w:tabs>
              <w:spacing w:after="0" w:line="276" w:lineRule="auto"/>
              <w:rPr>
                <w:rFonts w:eastAsia="Arial" w:cs="Calibri"/>
              </w:rPr>
            </w:pPr>
            <w:r w:rsidRPr="00E84B05">
              <w:rPr>
                <w:rFonts w:eastAsia="Arial" w:cs="Calibri"/>
              </w:rPr>
              <w:t>[Insert details if applicable]</w:t>
            </w:r>
          </w:p>
        </w:tc>
      </w:tr>
    </w:tbl>
    <w:p w14:paraId="5EB932BD" w14:textId="77777777" w:rsidR="00CB4763" w:rsidRDefault="00CB4763" w:rsidP="00A337CE">
      <w:pPr>
        <w:rPr>
          <w:rFonts w:cs="Arial"/>
          <w:b/>
        </w:rPr>
      </w:pPr>
    </w:p>
    <w:p w14:paraId="54908885" w14:textId="77777777" w:rsidR="00B07088" w:rsidRDefault="00B07088" w:rsidP="00CE2D2D">
      <w:pPr>
        <w:spacing w:after="0" w:line="276" w:lineRule="auto"/>
        <w:rPr>
          <w:rFonts w:eastAsia="Arial" w:cs="Calibri"/>
          <w:b/>
          <w:u w:val="single"/>
        </w:rPr>
      </w:pPr>
      <w:bookmarkStart w:id="154" w:name="_Toc192615544"/>
      <w:bookmarkStart w:id="155" w:name="_Toc464044812"/>
      <w:bookmarkStart w:id="156" w:name="_Toc535334465"/>
    </w:p>
    <w:p w14:paraId="0D443A5D" w14:textId="64816F1D" w:rsidR="00CE2D2D" w:rsidRPr="00E84B05" w:rsidRDefault="00CE2D2D" w:rsidP="00CE2D2D">
      <w:pPr>
        <w:spacing w:after="0" w:line="276" w:lineRule="auto"/>
        <w:rPr>
          <w:rFonts w:eastAsia="Arial" w:cs="Calibri"/>
          <w:b/>
          <w:u w:val="single"/>
        </w:rPr>
      </w:pPr>
      <w:r w:rsidRPr="00E84B05">
        <w:rPr>
          <w:rFonts w:eastAsia="Arial" w:cs="Calibri"/>
          <w:b/>
          <w:u w:val="single"/>
        </w:rPr>
        <w:t>Part 2B – List of all intended sub-contractors</w:t>
      </w:r>
      <w:bookmarkEnd w:id="154"/>
    </w:p>
    <w:p w14:paraId="0D7FAC6C" w14:textId="77777777" w:rsidR="00CE2D2D" w:rsidRPr="00E84B05" w:rsidRDefault="00CE2D2D" w:rsidP="00CE2D2D">
      <w:pPr>
        <w:spacing w:after="0" w:line="276" w:lineRule="auto"/>
        <w:rPr>
          <w:rFonts w:eastAsia="Times New Roman" w:cs="Calibri"/>
          <w:highlight w:val="yellow"/>
        </w:rPr>
      </w:pPr>
    </w:p>
    <w:bookmarkEnd w:id="155"/>
    <w:bookmarkEnd w:id="156"/>
    <w:p w14:paraId="76066C45" w14:textId="77777777" w:rsidR="00CE2D2D" w:rsidRPr="00E84B05" w:rsidRDefault="00CE2D2D" w:rsidP="001E53D0">
      <w:pPr>
        <w:spacing w:after="0" w:line="276" w:lineRule="auto"/>
        <w:jc w:val="both"/>
        <w:rPr>
          <w:rFonts w:eastAsia="Arial" w:cs="Calibri"/>
        </w:rPr>
      </w:pPr>
      <w:r w:rsidRPr="00E84B05">
        <w:rPr>
          <w:rFonts w:eastAsia="Arial" w:cs="Calibri"/>
        </w:rPr>
        <w:t xml:space="preserve">Under The Procurement Act 2023, HMRC must ask for details of all sub-contractors in the supply chain that a supplier intends to use to deliver the contract. This is not restricted to sub-contractors that the supplier is relying on to meet conditions of participation (who will also be associated persons) but </w:t>
      </w:r>
      <w:r w:rsidRPr="00E84B05">
        <w:rPr>
          <w:rFonts w:eastAsia="Arial" w:cs="Calibri"/>
          <w:b/>
          <w:i/>
          <w:u w:val="single"/>
        </w:rPr>
        <w:t>applies to all sub-contractors</w:t>
      </w:r>
      <w:r w:rsidRPr="00E84B05">
        <w:rPr>
          <w:rFonts w:eastAsia="Arial" w:cs="Calibri"/>
        </w:rPr>
        <w:t xml:space="preserve"> to whom the supplier intends to sub-contract the performance of all or part of the contract.</w:t>
      </w:r>
    </w:p>
    <w:p w14:paraId="6F748661" w14:textId="77777777" w:rsidR="00CE2D2D" w:rsidRDefault="00CE2D2D" w:rsidP="00CE2D2D">
      <w:pPr>
        <w:spacing w:after="0" w:line="276" w:lineRule="auto"/>
        <w:rPr>
          <w:rFonts w:eastAsia="Arial"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4951"/>
        <w:gridCol w:w="2936"/>
      </w:tblGrid>
      <w:tr w:rsidR="00CE2D2D" w:rsidRPr="00605283" w14:paraId="066353A9" w14:textId="77777777">
        <w:tc>
          <w:tcPr>
            <w:tcW w:w="0" w:type="auto"/>
            <w:tcBorders>
              <w:top w:val="single" w:sz="6" w:space="0" w:color="000000"/>
              <w:bottom w:val="single" w:sz="6" w:space="0" w:color="000000"/>
            </w:tcBorders>
            <w:shd w:val="clear" w:color="auto" w:fill="009999"/>
          </w:tcPr>
          <w:p w14:paraId="6454260E" w14:textId="77777777" w:rsidR="00CE2D2D" w:rsidRPr="001439F7" w:rsidRDefault="00CE2D2D">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bottom w:val="single" w:sz="6" w:space="0" w:color="000000"/>
            </w:tcBorders>
            <w:shd w:val="clear" w:color="auto" w:fill="009999"/>
          </w:tcPr>
          <w:p w14:paraId="0B44D9CE" w14:textId="77777777" w:rsidR="00CE2D2D" w:rsidRPr="001439F7" w:rsidRDefault="00CE2D2D">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bottom w:val="single" w:sz="6" w:space="0" w:color="000000"/>
            </w:tcBorders>
            <w:shd w:val="clear" w:color="auto" w:fill="009999"/>
          </w:tcPr>
          <w:p w14:paraId="6B646AD5" w14:textId="77777777" w:rsidR="00CE2D2D" w:rsidRPr="001439F7" w:rsidRDefault="00CE2D2D">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CE2D2D" w:rsidRPr="00605283" w14:paraId="736D57D1" w14:textId="77777777">
        <w:trPr>
          <w:trHeight w:val="1587"/>
        </w:trPr>
        <w:tc>
          <w:tcPr>
            <w:tcW w:w="0" w:type="auto"/>
            <w:tcBorders>
              <w:top w:val="single" w:sz="6" w:space="0" w:color="000000"/>
            </w:tcBorders>
            <w:shd w:val="clear" w:color="auto" w:fill="F2F2F2" w:themeFill="background1" w:themeFillShade="F2"/>
          </w:tcPr>
          <w:p w14:paraId="2B8D2BA0" w14:textId="77777777" w:rsidR="00CE2D2D" w:rsidRPr="00E84B05" w:rsidRDefault="00CE2D2D">
            <w:pPr>
              <w:spacing w:after="0" w:line="276" w:lineRule="auto"/>
              <w:rPr>
                <w:rFonts w:eastAsia="Arial" w:cs="Arial"/>
                <w:b/>
              </w:rPr>
            </w:pPr>
            <w:r w:rsidRPr="00E84B05">
              <w:rPr>
                <w:rFonts w:eastAsia="Arial" w:cs="Arial"/>
                <w:b/>
              </w:rPr>
              <w:t>2.5</w:t>
            </w:r>
          </w:p>
        </w:tc>
        <w:tc>
          <w:tcPr>
            <w:tcW w:w="7837" w:type="dxa"/>
            <w:tcBorders>
              <w:top w:val="single" w:sz="6" w:space="0" w:color="000000"/>
            </w:tcBorders>
            <w:shd w:val="clear" w:color="auto" w:fill="F2F2F2" w:themeFill="background1" w:themeFillShade="F2"/>
          </w:tcPr>
          <w:p w14:paraId="61CF5990" w14:textId="77777777" w:rsidR="00CE2D2D" w:rsidRPr="00E84B05" w:rsidRDefault="00CE2D2D">
            <w:pPr>
              <w:spacing w:after="0" w:line="276" w:lineRule="auto"/>
              <w:rPr>
                <w:rFonts w:eastAsia="Arial" w:cs="Calibri"/>
              </w:rPr>
            </w:pPr>
            <w:r w:rsidRPr="00E84B05">
              <w:rPr>
                <w:rFonts w:eastAsia="Arial" w:cs="Calibri"/>
              </w:rPr>
              <w:t xml:space="preserve">Please provide: </w:t>
            </w:r>
          </w:p>
          <w:p w14:paraId="6AABCB3E" w14:textId="77777777" w:rsidR="00CE2D2D" w:rsidRPr="00E84B05" w:rsidRDefault="00CE2D2D" w:rsidP="0085565B">
            <w:pPr>
              <w:pStyle w:val="ListParagraph"/>
              <w:numPr>
                <w:ilvl w:val="0"/>
                <w:numId w:val="23"/>
              </w:numPr>
              <w:spacing w:after="0" w:line="276" w:lineRule="auto"/>
              <w:rPr>
                <w:rFonts w:eastAsia="Arial" w:cs="Calibri"/>
              </w:rPr>
            </w:pPr>
            <w:r w:rsidRPr="00E84B05">
              <w:rPr>
                <w:rFonts w:eastAsia="Arial" w:cs="Calibri"/>
              </w:rPr>
              <w:t>a list of all suppliers who you intend to sub-contract the performance of all or part of the contract to (either directly or in your wider supply chain</w:t>
            </w:r>
            <w:proofErr w:type="gramStart"/>
            <w:r w:rsidRPr="00E84B05">
              <w:rPr>
                <w:rFonts w:eastAsia="Arial" w:cs="Calibri"/>
              </w:rPr>
              <w:t>);</w:t>
            </w:r>
            <w:proofErr w:type="gramEnd"/>
          </w:p>
          <w:p w14:paraId="5BA0F2DF" w14:textId="77777777" w:rsidR="00CE2D2D" w:rsidRPr="00E84B05" w:rsidRDefault="00CE2D2D" w:rsidP="0085565B">
            <w:pPr>
              <w:pStyle w:val="ListParagraph"/>
              <w:numPr>
                <w:ilvl w:val="0"/>
                <w:numId w:val="23"/>
              </w:numPr>
              <w:spacing w:after="0" w:line="276" w:lineRule="auto"/>
              <w:rPr>
                <w:rFonts w:eastAsia="Arial" w:cs="Calibri"/>
              </w:rPr>
            </w:pPr>
            <w:r w:rsidRPr="00E84B05">
              <w:rPr>
                <w:rFonts w:eastAsia="Arial" w:cs="Calibri"/>
              </w:rPr>
              <w:t xml:space="preserve">their unique identifier (if they are registered on the CDP), or otherwise, a Companies House number, charity number, VAT registration number, or </w:t>
            </w:r>
            <w:proofErr w:type="gramStart"/>
            <w:r w:rsidRPr="00E84B05">
              <w:rPr>
                <w:rFonts w:eastAsia="Arial" w:cs="Calibri"/>
              </w:rPr>
              <w:t>equivalent;</w:t>
            </w:r>
            <w:proofErr w:type="gramEnd"/>
          </w:p>
          <w:p w14:paraId="48923DB0" w14:textId="77777777" w:rsidR="00CE2D2D" w:rsidRPr="00E84B05" w:rsidRDefault="00CE2D2D" w:rsidP="0085565B">
            <w:pPr>
              <w:pStyle w:val="ListParagraph"/>
              <w:numPr>
                <w:ilvl w:val="0"/>
                <w:numId w:val="23"/>
              </w:numPr>
              <w:spacing w:after="0" w:line="276" w:lineRule="auto"/>
              <w:rPr>
                <w:rFonts w:eastAsia="Arial" w:cs="Calibri"/>
              </w:rPr>
            </w:pPr>
            <w:r w:rsidRPr="00E84B05">
              <w:rPr>
                <w:rFonts w:eastAsia="Arial" w:cs="Calibri"/>
              </w:rPr>
              <w:t xml:space="preserve">a brief description of their intended role in the performance of the contract, including any known </w:t>
            </w:r>
            <w:proofErr w:type="gramStart"/>
            <w:r w:rsidRPr="00E84B05">
              <w:rPr>
                <w:rFonts w:eastAsia="Arial" w:cs="Calibri"/>
              </w:rPr>
              <w:t>deliverables;</w:t>
            </w:r>
            <w:proofErr w:type="gramEnd"/>
          </w:p>
          <w:p w14:paraId="2D555943" w14:textId="77777777" w:rsidR="00CE2D2D" w:rsidRPr="00E84B05" w:rsidRDefault="00CE2D2D" w:rsidP="0085565B">
            <w:pPr>
              <w:pStyle w:val="ListParagraph"/>
              <w:numPr>
                <w:ilvl w:val="0"/>
                <w:numId w:val="23"/>
              </w:numPr>
              <w:spacing w:after="120" w:line="276" w:lineRule="auto"/>
              <w:rPr>
                <w:rFonts w:eastAsia="Times New Roman" w:cs="Calibri"/>
              </w:rPr>
            </w:pPr>
            <w:r w:rsidRPr="00E84B05">
              <w:rPr>
                <w:rFonts w:eastAsia="Times New Roman" w:cs="Calibri"/>
              </w:rPr>
              <w:t>The approximate % of contractual obligations assigned to each subcontractor, if known; and</w:t>
            </w:r>
          </w:p>
          <w:p w14:paraId="3E4E2E64" w14:textId="77777777" w:rsidR="00CE2D2D" w:rsidRPr="00E84B05" w:rsidRDefault="00CE2D2D" w:rsidP="0085565B">
            <w:pPr>
              <w:pStyle w:val="ListParagraph"/>
              <w:numPr>
                <w:ilvl w:val="0"/>
                <w:numId w:val="23"/>
              </w:numPr>
              <w:spacing w:after="120" w:line="276" w:lineRule="auto"/>
              <w:rPr>
                <w:rFonts w:eastAsia="Times New Roman" w:cs="Calibri"/>
              </w:rPr>
            </w:pPr>
            <w:r w:rsidRPr="00E84B05">
              <w:rPr>
                <w:rFonts w:eastAsia="Times New Roman" w:cs="Calibri"/>
              </w:rPr>
              <w:t>Their SME status (Yes/No).</w:t>
            </w:r>
          </w:p>
          <w:p w14:paraId="58567E01" w14:textId="77777777" w:rsidR="00CE2D2D" w:rsidRPr="00E84B05" w:rsidRDefault="00CE2D2D">
            <w:pPr>
              <w:spacing w:after="0" w:line="276" w:lineRule="auto"/>
              <w:rPr>
                <w:rFonts w:eastAsia="Arial" w:cs="Calibri"/>
              </w:rPr>
            </w:pPr>
          </w:p>
          <w:p w14:paraId="092CD7BD" w14:textId="77777777" w:rsidR="00CE2D2D" w:rsidRPr="00E84B05" w:rsidRDefault="00CE2D2D">
            <w:pPr>
              <w:spacing w:after="0" w:line="276" w:lineRule="auto"/>
              <w:rPr>
                <w:rFonts w:eastAsia="Arial" w:cs="Calibri"/>
              </w:rPr>
            </w:pPr>
            <w:r w:rsidRPr="00E84B05">
              <w:rPr>
                <w:rFonts w:eastAsia="Arial" w:cs="Calibri"/>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185D2C4E" w14:textId="77777777" w:rsidR="00CE2D2D" w:rsidRPr="00E84B05" w:rsidRDefault="00CE2D2D">
            <w:pPr>
              <w:spacing w:after="0" w:line="276" w:lineRule="auto"/>
              <w:rPr>
                <w:rFonts w:eastAsia="Arial" w:cs="Calibri"/>
              </w:rPr>
            </w:pPr>
          </w:p>
          <w:p w14:paraId="49795A1E" w14:textId="77777777" w:rsidR="00CE2D2D" w:rsidRPr="001439F7" w:rsidRDefault="00CE2D2D">
            <w:pPr>
              <w:spacing w:after="0" w:line="276" w:lineRule="auto"/>
              <w:rPr>
                <w:rFonts w:eastAsia="Arial" w:cs="Arial"/>
              </w:rPr>
            </w:pPr>
            <w:r w:rsidRPr="00E84B05">
              <w:rPr>
                <w:rFonts w:eastAsia="Arial" w:cs="Calibri"/>
              </w:rPr>
              <w:t>Please note that if you are not intending to sub-contract the performance of all or part of the contract, then this question and Q2.6 are not applicable.</w:t>
            </w:r>
          </w:p>
        </w:tc>
        <w:tc>
          <w:tcPr>
            <w:tcW w:w="4734" w:type="dxa"/>
            <w:tcBorders>
              <w:top w:val="single" w:sz="6" w:space="0" w:color="000000"/>
              <w:bottom w:val="single" w:sz="6" w:space="0" w:color="000000"/>
            </w:tcBorders>
          </w:tcPr>
          <w:p w14:paraId="4F830A10" w14:textId="77777777" w:rsidR="00CE2D2D" w:rsidRPr="00E84B05" w:rsidRDefault="00CE2D2D">
            <w:pPr>
              <w:spacing w:after="0" w:line="276" w:lineRule="auto"/>
              <w:rPr>
                <w:rFonts w:eastAsia="Arial" w:cs="Calibri"/>
              </w:rPr>
            </w:pPr>
            <w:r w:rsidRPr="00E84B05">
              <w:rPr>
                <w:rFonts w:eastAsia="Arial" w:cs="Calibri"/>
              </w:rPr>
              <w:t xml:space="preserve">N/A </w:t>
            </w:r>
            <w:r w:rsidRPr="00E84B05">
              <w:rPr>
                <w:rFonts w:eastAsia="Arial" w:cs="Calibri"/>
              </w:rPr>
              <w:tab/>
            </w:r>
            <w:r w:rsidRPr="00E84B05">
              <w:rPr>
                <w:rFonts w:eastAsia="Arial" w:cs="Calibri"/>
              </w:rPr>
              <w:fldChar w:fldCharType="begin">
                <w:ffData>
                  <w:name w:val="Check1"/>
                  <w:enabled/>
                  <w:calcOnExit w:val="0"/>
                  <w:checkBox>
                    <w:sizeAuto/>
                    <w:default w:val="0"/>
                  </w:checkBox>
                </w:ffData>
              </w:fldChar>
            </w:r>
            <w:r w:rsidRPr="00E84B05">
              <w:rPr>
                <w:rFonts w:eastAsia="Arial" w:cs="Calibri"/>
              </w:rPr>
              <w:instrText xml:space="preserve"> FORMCHECKBOX </w:instrText>
            </w:r>
            <w:r w:rsidR="00084E0F">
              <w:rPr>
                <w:rFonts w:eastAsia="Arial" w:cs="Calibri"/>
              </w:rPr>
            </w:r>
            <w:r w:rsidR="00084E0F">
              <w:rPr>
                <w:rFonts w:eastAsia="Arial" w:cs="Calibri"/>
              </w:rPr>
              <w:fldChar w:fldCharType="separate"/>
            </w:r>
            <w:r w:rsidRPr="00E84B05">
              <w:rPr>
                <w:rFonts w:eastAsia="Arial" w:cs="Calibri"/>
              </w:rPr>
              <w:fldChar w:fldCharType="end"/>
            </w:r>
          </w:p>
          <w:p w14:paraId="7125E77E" w14:textId="77777777" w:rsidR="00CE2D2D" w:rsidRPr="00E84B05" w:rsidRDefault="00CE2D2D">
            <w:pPr>
              <w:spacing w:after="0" w:line="276" w:lineRule="auto"/>
              <w:rPr>
                <w:rFonts w:eastAsia="Arial" w:cs="Calibri"/>
              </w:rPr>
            </w:pPr>
          </w:p>
          <w:p w14:paraId="562ECB40" w14:textId="77777777" w:rsidR="00CE2D2D" w:rsidRPr="00E84B05" w:rsidRDefault="00CE2D2D">
            <w:pPr>
              <w:spacing w:after="0" w:line="276" w:lineRule="auto"/>
              <w:rPr>
                <w:rFonts w:eastAsia="Arial" w:cs="Calibri"/>
              </w:rPr>
            </w:pPr>
            <w:r w:rsidRPr="00E84B05">
              <w:rPr>
                <w:rFonts w:eastAsia="Arial" w:cs="Calibri"/>
              </w:rPr>
              <w:t>Or</w:t>
            </w:r>
          </w:p>
          <w:p w14:paraId="5C384777" w14:textId="77777777" w:rsidR="00CE2D2D" w:rsidRPr="00E84B05" w:rsidRDefault="00CE2D2D">
            <w:pPr>
              <w:spacing w:after="0" w:line="276" w:lineRule="auto"/>
              <w:rPr>
                <w:rFonts w:eastAsia="Arial" w:cs="Calibri"/>
              </w:rPr>
            </w:pPr>
          </w:p>
          <w:p w14:paraId="761A8BAD" w14:textId="77777777" w:rsidR="00CE2D2D" w:rsidRPr="00E84B05" w:rsidRDefault="00CE2D2D">
            <w:pPr>
              <w:tabs>
                <w:tab w:val="left" w:pos="602"/>
              </w:tabs>
              <w:spacing w:after="0" w:line="276" w:lineRule="auto"/>
              <w:rPr>
                <w:rFonts w:eastAsia="Arial" w:cs="Calibri"/>
              </w:rPr>
            </w:pPr>
            <w:r w:rsidRPr="00E84B05">
              <w:rPr>
                <w:rFonts w:eastAsia="Arial" w:cs="Calibri"/>
              </w:rPr>
              <w:t>[provide the information as requested in the question]</w:t>
            </w:r>
          </w:p>
        </w:tc>
      </w:tr>
      <w:tr w:rsidR="00CE2D2D" w:rsidRPr="00605283" w14:paraId="50F30F0E" w14:textId="77777777">
        <w:trPr>
          <w:trHeight w:val="170"/>
        </w:trPr>
        <w:tc>
          <w:tcPr>
            <w:tcW w:w="0" w:type="auto"/>
            <w:vMerge w:val="restart"/>
            <w:shd w:val="clear" w:color="auto" w:fill="F2F2F2" w:themeFill="background1" w:themeFillShade="F2"/>
          </w:tcPr>
          <w:p w14:paraId="44CEE363" w14:textId="77777777" w:rsidR="00CE2D2D" w:rsidRPr="00E84B05" w:rsidRDefault="00CE2D2D">
            <w:pPr>
              <w:spacing w:after="0" w:line="276" w:lineRule="auto"/>
              <w:rPr>
                <w:rFonts w:eastAsia="Arial" w:cs="Arial"/>
                <w:b/>
              </w:rPr>
            </w:pPr>
            <w:r w:rsidRPr="00E84B05">
              <w:rPr>
                <w:rFonts w:eastAsia="Arial" w:cs="Arial"/>
                <w:b/>
              </w:rPr>
              <w:t>2.6</w:t>
            </w:r>
          </w:p>
          <w:p w14:paraId="4FF62D8C" w14:textId="77777777" w:rsidR="00CE2D2D" w:rsidRPr="00E84B05" w:rsidRDefault="00CE2D2D">
            <w:pPr>
              <w:spacing w:after="0" w:line="276" w:lineRule="auto"/>
              <w:rPr>
                <w:rFonts w:eastAsia="Arial" w:cs="Arial"/>
                <w:b/>
              </w:rPr>
            </w:pPr>
          </w:p>
        </w:tc>
        <w:tc>
          <w:tcPr>
            <w:tcW w:w="7837" w:type="dxa"/>
            <w:vMerge w:val="restart"/>
            <w:shd w:val="clear" w:color="auto" w:fill="F2F2F2" w:themeFill="background1" w:themeFillShade="F2"/>
          </w:tcPr>
          <w:p w14:paraId="323E32DF" w14:textId="77777777" w:rsidR="00CE2D2D" w:rsidRPr="00E84B05" w:rsidRDefault="00CE2D2D">
            <w:pPr>
              <w:spacing w:after="0" w:line="276" w:lineRule="auto"/>
              <w:rPr>
                <w:rFonts w:eastAsia="Arial" w:cs="Calibri"/>
              </w:rPr>
            </w:pPr>
            <w:r w:rsidRPr="00E84B05">
              <w:rPr>
                <w:rFonts w:eastAsia="Arial" w:cs="Calibri"/>
              </w:rPr>
              <w:t>Please confirm if any intended sub-contractor is on the debarment list?</w:t>
            </w:r>
          </w:p>
          <w:p w14:paraId="173254C7" w14:textId="77777777" w:rsidR="00CE2D2D" w:rsidRPr="00E84B05" w:rsidRDefault="00CE2D2D">
            <w:pPr>
              <w:spacing w:after="0" w:line="276" w:lineRule="auto"/>
              <w:rPr>
                <w:rFonts w:eastAsia="Arial" w:cs="Calibri"/>
              </w:rPr>
            </w:pPr>
          </w:p>
          <w:p w14:paraId="00EB1FE0" w14:textId="77777777" w:rsidR="00CE2D2D" w:rsidRPr="00E84B05" w:rsidRDefault="00CE2D2D">
            <w:pPr>
              <w:spacing w:after="0" w:line="276" w:lineRule="auto"/>
              <w:ind w:right="306"/>
            </w:pPr>
            <w:r w:rsidRPr="00E84B05">
              <w:rPr>
                <w:rFonts w:eastAsia="Arial" w:cs="Calibri"/>
              </w:rPr>
              <w:t>If ‘Yes’, please provide details</w:t>
            </w:r>
          </w:p>
        </w:tc>
        <w:tc>
          <w:tcPr>
            <w:tcW w:w="4734" w:type="dxa"/>
            <w:tcBorders>
              <w:top w:val="single" w:sz="6" w:space="0" w:color="000000"/>
              <w:bottom w:val="single" w:sz="6" w:space="0" w:color="000000"/>
            </w:tcBorders>
          </w:tcPr>
          <w:p w14:paraId="57329616" w14:textId="77777777" w:rsidR="00CE2D2D" w:rsidRPr="00E84B05" w:rsidRDefault="00CE2D2D">
            <w:pPr>
              <w:tabs>
                <w:tab w:val="left" w:pos="600"/>
              </w:tabs>
              <w:spacing w:after="0" w:line="276" w:lineRule="auto"/>
              <w:rPr>
                <w:rFonts w:eastAsia="Times New Roman" w:cs="Calibri"/>
              </w:rPr>
            </w:pPr>
            <w:r w:rsidRPr="00E84B05">
              <w:rPr>
                <w:rFonts w:eastAsia="Arial" w:cs="Calibri"/>
              </w:rPr>
              <w:t>Yes</w:t>
            </w:r>
            <w:r w:rsidRPr="00E84B05">
              <w:rPr>
                <w:rFonts w:eastAsia="Menlo Regular" w:cs="Calibri"/>
              </w:rPr>
              <w:t xml:space="preserve"> </w:t>
            </w:r>
            <w:r w:rsidRPr="00E84B05">
              <w:rPr>
                <w:rFonts w:eastAsia="Menlo Regular"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4AB4AF4C" w14:textId="77777777" w:rsidR="00CE2D2D" w:rsidRPr="00E84B05" w:rsidRDefault="00CE2D2D">
            <w:pPr>
              <w:tabs>
                <w:tab w:val="left" w:pos="600"/>
              </w:tabs>
              <w:spacing w:after="0" w:line="276" w:lineRule="auto"/>
              <w:rPr>
                <w:rFonts w:eastAsia="Times New Roman" w:cs="Calibri"/>
              </w:rPr>
            </w:pPr>
            <w:r w:rsidRPr="00E84B05">
              <w:rPr>
                <w:rFonts w:eastAsia="Arial" w:cs="Calibri"/>
              </w:rPr>
              <w:t xml:space="preserve">No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10B5CBBB" w14:textId="77777777" w:rsidR="00CE2D2D" w:rsidRPr="00E84B05" w:rsidRDefault="00CE2D2D">
            <w:pPr>
              <w:spacing w:after="0" w:line="276" w:lineRule="auto"/>
              <w:rPr>
                <w:rFonts w:eastAsia="Arial" w:cs="Calibri"/>
              </w:rPr>
            </w:pPr>
            <w:r w:rsidRPr="00E84B05">
              <w:rPr>
                <w:rFonts w:eastAsia="Arial" w:cs="Calibri"/>
              </w:rPr>
              <w:t xml:space="preserve">N/A   </w:t>
            </w:r>
            <w:r w:rsidRPr="00E84B05">
              <w:rPr>
                <w:rFonts w:eastAsia="Arial" w:cs="Calibri"/>
              </w:rPr>
              <w:fldChar w:fldCharType="begin">
                <w:ffData>
                  <w:name w:val="Check1"/>
                  <w:enabled/>
                  <w:calcOnExit w:val="0"/>
                  <w:checkBox>
                    <w:sizeAuto/>
                    <w:default w:val="0"/>
                  </w:checkBox>
                </w:ffData>
              </w:fldChar>
            </w:r>
            <w:r w:rsidRPr="00E84B05">
              <w:rPr>
                <w:rFonts w:eastAsia="Arial" w:cs="Calibri"/>
              </w:rPr>
              <w:instrText xml:space="preserve"> FORMCHECKBOX </w:instrText>
            </w:r>
            <w:r w:rsidR="00084E0F">
              <w:rPr>
                <w:rFonts w:eastAsia="Arial" w:cs="Calibri"/>
              </w:rPr>
            </w:r>
            <w:r w:rsidR="00084E0F">
              <w:rPr>
                <w:rFonts w:eastAsia="Arial" w:cs="Calibri"/>
              </w:rPr>
              <w:fldChar w:fldCharType="separate"/>
            </w:r>
            <w:r w:rsidRPr="00E84B05">
              <w:rPr>
                <w:rFonts w:eastAsia="Arial" w:cs="Calibri"/>
              </w:rPr>
              <w:fldChar w:fldCharType="end"/>
            </w:r>
          </w:p>
          <w:p w14:paraId="29558599" w14:textId="77777777" w:rsidR="00CE2D2D" w:rsidRPr="00E84B05" w:rsidRDefault="00CE2D2D">
            <w:pPr>
              <w:spacing w:after="0" w:line="276" w:lineRule="auto"/>
              <w:rPr>
                <w:rFonts w:eastAsia="Arial" w:cs="Calibri"/>
              </w:rPr>
            </w:pPr>
          </w:p>
        </w:tc>
      </w:tr>
      <w:tr w:rsidR="00CE2D2D" w:rsidRPr="00605283" w14:paraId="2C9589BF" w14:textId="77777777">
        <w:trPr>
          <w:trHeight w:val="2154"/>
        </w:trPr>
        <w:tc>
          <w:tcPr>
            <w:tcW w:w="0" w:type="auto"/>
            <w:vMerge/>
            <w:shd w:val="clear" w:color="auto" w:fill="F2F2F2" w:themeFill="background1" w:themeFillShade="F2"/>
          </w:tcPr>
          <w:p w14:paraId="17956913" w14:textId="77777777" w:rsidR="00CE2D2D" w:rsidRPr="00E84B05" w:rsidRDefault="00CE2D2D">
            <w:pPr>
              <w:spacing w:after="0" w:line="276" w:lineRule="auto"/>
              <w:rPr>
                <w:rFonts w:eastAsia="Arial" w:cs="Arial"/>
                <w:b/>
              </w:rPr>
            </w:pPr>
          </w:p>
        </w:tc>
        <w:tc>
          <w:tcPr>
            <w:tcW w:w="7837" w:type="dxa"/>
            <w:vMerge/>
            <w:shd w:val="clear" w:color="auto" w:fill="F2F2F2" w:themeFill="background1" w:themeFillShade="F2"/>
          </w:tcPr>
          <w:p w14:paraId="59ECC156" w14:textId="77777777" w:rsidR="00CE2D2D" w:rsidRPr="008213A1" w:rsidRDefault="00CE2D2D">
            <w:pPr>
              <w:spacing w:after="0" w:line="276" w:lineRule="auto"/>
              <w:rPr>
                <w:rFonts w:cs="Arial"/>
              </w:rPr>
            </w:pPr>
          </w:p>
        </w:tc>
        <w:tc>
          <w:tcPr>
            <w:tcW w:w="4734" w:type="dxa"/>
            <w:tcBorders>
              <w:top w:val="single" w:sz="6" w:space="0" w:color="000000"/>
              <w:bottom w:val="single" w:sz="6" w:space="0" w:color="000000"/>
            </w:tcBorders>
          </w:tcPr>
          <w:p w14:paraId="6AC1EC5D" w14:textId="77777777" w:rsidR="00CE2D2D" w:rsidRPr="00E84B05" w:rsidRDefault="00CE2D2D">
            <w:pPr>
              <w:tabs>
                <w:tab w:val="left" w:pos="600"/>
              </w:tabs>
              <w:spacing w:after="0" w:line="276" w:lineRule="auto"/>
              <w:rPr>
                <w:rFonts w:eastAsia="Arial" w:cs="Calibri"/>
              </w:rPr>
            </w:pPr>
            <w:r w:rsidRPr="00E84B05">
              <w:rPr>
                <w:rFonts w:eastAsia="Arial" w:cs="Calibri"/>
              </w:rPr>
              <w:t>[Insert details if applicable]</w:t>
            </w:r>
          </w:p>
        </w:tc>
      </w:tr>
    </w:tbl>
    <w:p w14:paraId="7FD235AE" w14:textId="77777777" w:rsidR="00CE2D2D" w:rsidRDefault="00CE2D2D" w:rsidP="00CE2D2D">
      <w:pPr>
        <w:spacing w:after="0" w:line="276" w:lineRule="auto"/>
        <w:rPr>
          <w:rFonts w:eastAsia="Arial" w:cs="Calibri"/>
        </w:rPr>
      </w:pPr>
    </w:p>
    <w:p w14:paraId="788E9818" w14:textId="77777777" w:rsidR="00DA1D27" w:rsidRPr="00E84B05" w:rsidRDefault="00DA1D27" w:rsidP="00DA1D27">
      <w:pPr>
        <w:keepNext/>
        <w:keepLines/>
        <w:pageBreakBefore/>
        <w:spacing w:after="0" w:line="276" w:lineRule="auto"/>
        <w:outlineLvl w:val="2"/>
        <w:rPr>
          <w:rFonts w:eastAsia="Arial" w:cs="Calibri"/>
          <w:b/>
        </w:rPr>
      </w:pPr>
      <w:bookmarkStart w:id="157" w:name="_Toc192615546"/>
      <w:r w:rsidRPr="00E84B05">
        <w:rPr>
          <w:rFonts w:eastAsia="Arial" w:cs="Calibri"/>
          <w:b/>
        </w:rPr>
        <w:t>Part 3: Questions Relating to the Conditions of Participation</w:t>
      </w:r>
      <w:bookmarkEnd w:id="157"/>
    </w:p>
    <w:p w14:paraId="116DB952" w14:textId="77777777" w:rsidR="00DA1D27" w:rsidRPr="00E84B05" w:rsidRDefault="00DA1D27" w:rsidP="00DA1D27">
      <w:pPr>
        <w:spacing w:after="0" w:line="276" w:lineRule="auto"/>
        <w:rPr>
          <w:rFonts w:eastAsia="Arial" w:cs="Calibri"/>
          <w:b/>
          <w:u w:val="single"/>
        </w:rPr>
      </w:pPr>
      <w:bookmarkStart w:id="158" w:name="_Toc192615547"/>
    </w:p>
    <w:p w14:paraId="396B4825" w14:textId="77777777" w:rsidR="00DA1D27" w:rsidRPr="00E84B05" w:rsidRDefault="00DA1D27" w:rsidP="00DA1D27">
      <w:pPr>
        <w:spacing w:after="0" w:line="276" w:lineRule="auto"/>
        <w:rPr>
          <w:rFonts w:eastAsia="Arial" w:cs="Calibri"/>
          <w:b/>
          <w:u w:val="single"/>
        </w:rPr>
      </w:pPr>
      <w:r w:rsidRPr="00E84B05">
        <w:rPr>
          <w:rFonts w:eastAsia="Arial" w:cs="Calibri"/>
          <w:b/>
          <w:u w:val="single"/>
        </w:rPr>
        <w:t>Part 3A – Standard Questions</w:t>
      </w:r>
      <w:bookmarkEnd w:id="158"/>
    </w:p>
    <w:p w14:paraId="63BB869C" w14:textId="77777777" w:rsidR="00DA1D27" w:rsidRPr="00E84B05" w:rsidRDefault="00DA1D27" w:rsidP="00DA1D27">
      <w:pPr>
        <w:spacing w:after="0" w:line="276" w:lineRule="auto"/>
        <w:rPr>
          <w:rFonts w:eastAsia="Arial" w:cs="Calibri"/>
          <w:b/>
          <w:u w:val="single"/>
        </w:rPr>
      </w:pPr>
    </w:p>
    <w:p w14:paraId="2C280057" w14:textId="77777777" w:rsidR="00DA1D27" w:rsidRPr="00E84B05" w:rsidRDefault="00DA1D27" w:rsidP="00DA1D27">
      <w:pPr>
        <w:spacing w:after="0" w:line="276" w:lineRule="auto"/>
        <w:rPr>
          <w:rFonts w:eastAsia="Arial" w:cs="Calibri"/>
          <w:b/>
        </w:rPr>
      </w:pPr>
      <w:r w:rsidRPr="00E84B05">
        <w:rPr>
          <w:rFonts w:eastAsia="Arial" w:cs="Calibri"/>
          <w:b/>
        </w:rPr>
        <w:t>Financial Capacity</w:t>
      </w:r>
    </w:p>
    <w:p w14:paraId="15A1D224" w14:textId="77777777" w:rsidR="00DA1D27" w:rsidRPr="00E84B05" w:rsidRDefault="00DA1D27" w:rsidP="00DA1D27">
      <w:pPr>
        <w:spacing w:after="0" w:line="276" w:lineRule="auto"/>
        <w:rPr>
          <w:rFonts w:eastAsia="Arial" w:cs="Calibri"/>
          <w:b/>
          <w:u w:val="single"/>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5001"/>
        <w:gridCol w:w="2886"/>
      </w:tblGrid>
      <w:tr w:rsidR="00DA1D27" w:rsidRPr="00605283" w14:paraId="48254645" w14:textId="77777777" w:rsidTr="00FB6B80">
        <w:tc>
          <w:tcPr>
            <w:tcW w:w="0" w:type="auto"/>
            <w:tcBorders>
              <w:top w:val="single" w:sz="6" w:space="0" w:color="000000"/>
              <w:bottom w:val="single" w:sz="6" w:space="0" w:color="000000"/>
            </w:tcBorders>
            <w:shd w:val="clear" w:color="auto" w:fill="009999"/>
          </w:tcPr>
          <w:p w14:paraId="7C075BF5" w14:textId="77777777" w:rsidR="00DA1D27" w:rsidRPr="001439F7" w:rsidRDefault="00DA1D27" w:rsidP="00FB6B80">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bottom w:val="single" w:sz="6" w:space="0" w:color="000000"/>
            </w:tcBorders>
            <w:shd w:val="clear" w:color="auto" w:fill="009999"/>
          </w:tcPr>
          <w:p w14:paraId="415FBEA4" w14:textId="77777777" w:rsidR="00DA1D27" w:rsidRPr="001439F7" w:rsidRDefault="00DA1D27" w:rsidP="00FB6B80">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bottom w:val="single" w:sz="6" w:space="0" w:color="000000"/>
            </w:tcBorders>
            <w:shd w:val="clear" w:color="auto" w:fill="009999"/>
          </w:tcPr>
          <w:p w14:paraId="11215E24" w14:textId="77777777" w:rsidR="00DA1D27" w:rsidRPr="001439F7" w:rsidRDefault="00DA1D27" w:rsidP="00FB6B80">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DA1D27" w:rsidRPr="00605283" w14:paraId="2B7B7521" w14:textId="77777777" w:rsidTr="00FB6B80">
        <w:trPr>
          <w:trHeight w:val="1587"/>
        </w:trPr>
        <w:tc>
          <w:tcPr>
            <w:tcW w:w="0" w:type="auto"/>
            <w:tcBorders>
              <w:top w:val="single" w:sz="6" w:space="0" w:color="000000"/>
            </w:tcBorders>
            <w:shd w:val="clear" w:color="auto" w:fill="F2F2F2" w:themeFill="background1" w:themeFillShade="F2"/>
          </w:tcPr>
          <w:p w14:paraId="5905B1F0" w14:textId="77777777" w:rsidR="00DA1D27" w:rsidRPr="00E84B05" w:rsidRDefault="00DA1D27" w:rsidP="00FB6B80">
            <w:pPr>
              <w:spacing w:after="0" w:line="276" w:lineRule="auto"/>
              <w:rPr>
                <w:rFonts w:eastAsia="Arial" w:cs="Arial"/>
                <w:b/>
              </w:rPr>
            </w:pPr>
            <w:r w:rsidRPr="00E84B05">
              <w:rPr>
                <w:rFonts w:eastAsia="Arial" w:cs="Arial"/>
                <w:b/>
              </w:rPr>
              <w:t>3.1</w:t>
            </w:r>
          </w:p>
        </w:tc>
        <w:tc>
          <w:tcPr>
            <w:tcW w:w="7837" w:type="dxa"/>
            <w:tcBorders>
              <w:top w:val="single" w:sz="6" w:space="0" w:color="000000"/>
            </w:tcBorders>
            <w:shd w:val="clear" w:color="auto" w:fill="F2F2F2" w:themeFill="background1" w:themeFillShade="F2"/>
            <w:vAlign w:val="center"/>
          </w:tcPr>
          <w:p w14:paraId="4A881B1B" w14:textId="77777777" w:rsidR="00DA1D27" w:rsidRPr="00E84B05" w:rsidRDefault="00DA1D27" w:rsidP="00FB6B80">
            <w:pPr>
              <w:widowControl w:val="0"/>
              <w:tabs>
                <w:tab w:val="left" w:pos="0"/>
              </w:tabs>
              <w:overflowPunct w:val="0"/>
              <w:autoSpaceDE w:val="0"/>
              <w:autoSpaceDN w:val="0"/>
              <w:adjustRightInd w:val="0"/>
              <w:spacing w:before="120" w:after="120"/>
              <w:jc w:val="both"/>
              <w:rPr>
                <w:rFonts w:cs="Arial"/>
              </w:rPr>
            </w:pPr>
            <w:r>
              <w:rPr>
                <w:rFonts w:cs="Arial"/>
              </w:rPr>
              <w:t>Supplier</w:t>
            </w:r>
            <w:r w:rsidRPr="00E84B05">
              <w:rPr>
                <w:rFonts w:cs="Arial"/>
              </w:rPr>
              <w:t>s must provide at least one of the following:</w:t>
            </w:r>
          </w:p>
          <w:p w14:paraId="6284A942" w14:textId="77777777" w:rsidR="00DA1D27" w:rsidRPr="00E84B05" w:rsidRDefault="00DA1D27" w:rsidP="00FB6B80">
            <w:pPr>
              <w:pStyle w:val="ListParagraph"/>
              <w:widowControl w:val="0"/>
              <w:numPr>
                <w:ilvl w:val="0"/>
                <w:numId w:val="5"/>
              </w:numPr>
              <w:tabs>
                <w:tab w:val="left" w:pos="0"/>
              </w:tabs>
              <w:overflowPunct w:val="0"/>
              <w:autoSpaceDE w:val="0"/>
              <w:autoSpaceDN w:val="0"/>
              <w:adjustRightInd w:val="0"/>
              <w:jc w:val="both"/>
              <w:rPr>
                <w:rFonts w:cs="Arial"/>
              </w:rPr>
            </w:pPr>
            <w:r w:rsidRPr="00E84B05">
              <w:rPr>
                <w:rFonts w:cs="Arial"/>
              </w:rPr>
              <w:t>A copy of your detailed accounts (audited if required by law) for the last two years (or most recent financial year if trading for less than 2 years); or</w:t>
            </w:r>
          </w:p>
          <w:p w14:paraId="165E29A3" w14:textId="77777777" w:rsidR="00DA1D27" w:rsidRPr="00E84B05" w:rsidRDefault="00DA1D27" w:rsidP="00FB6B80">
            <w:pPr>
              <w:pStyle w:val="ListParagraph"/>
              <w:widowControl w:val="0"/>
              <w:tabs>
                <w:tab w:val="left" w:pos="0"/>
              </w:tabs>
              <w:overflowPunct w:val="0"/>
              <w:autoSpaceDE w:val="0"/>
              <w:autoSpaceDN w:val="0"/>
              <w:adjustRightInd w:val="0"/>
              <w:jc w:val="both"/>
              <w:rPr>
                <w:rFonts w:cs="Arial"/>
              </w:rPr>
            </w:pPr>
          </w:p>
          <w:p w14:paraId="357011D4" w14:textId="77777777" w:rsidR="00DA1D27" w:rsidRPr="00E84B05" w:rsidRDefault="00DA1D27" w:rsidP="00FB6B80">
            <w:pPr>
              <w:pStyle w:val="ListParagraph"/>
              <w:widowControl w:val="0"/>
              <w:numPr>
                <w:ilvl w:val="0"/>
                <w:numId w:val="5"/>
              </w:numPr>
              <w:tabs>
                <w:tab w:val="left" w:pos="0"/>
              </w:tabs>
              <w:overflowPunct w:val="0"/>
              <w:autoSpaceDE w:val="0"/>
              <w:autoSpaceDN w:val="0"/>
              <w:adjustRightInd w:val="0"/>
              <w:jc w:val="both"/>
              <w:rPr>
                <w:rFonts w:cs="Arial"/>
              </w:rPr>
            </w:pPr>
            <w:r w:rsidRPr="00E84B05">
              <w:rPr>
                <w:rFonts w:cs="Arial"/>
              </w:rPr>
              <w:t>A statement of your annual turnover, Profit and Loss Account/Income Statement, Balance Sheet/Statement of Financial Position and Statement of Cash Flow for the most recent year of trading and a bank letter outlining the current cash and credit facility position; or</w:t>
            </w:r>
          </w:p>
          <w:p w14:paraId="2768D406" w14:textId="77777777" w:rsidR="00DA1D27" w:rsidRPr="00E84B05" w:rsidRDefault="00DA1D27" w:rsidP="00FB6B80">
            <w:pPr>
              <w:pStyle w:val="ListParagraph"/>
              <w:jc w:val="both"/>
              <w:rPr>
                <w:rFonts w:cs="Arial"/>
              </w:rPr>
            </w:pPr>
          </w:p>
          <w:p w14:paraId="669C1066" w14:textId="77777777" w:rsidR="00DA1D27" w:rsidRPr="00CD20E0" w:rsidRDefault="00DA1D27" w:rsidP="00FB6B80">
            <w:pPr>
              <w:pStyle w:val="ListParagraph"/>
              <w:numPr>
                <w:ilvl w:val="0"/>
                <w:numId w:val="5"/>
              </w:numPr>
              <w:jc w:val="both"/>
              <w:rPr>
                <w:rFonts w:eastAsia="Arial" w:cs="Arial"/>
              </w:rPr>
            </w:pPr>
            <w:r w:rsidRPr="00E84B05">
              <w:rPr>
                <w:rFonts w:cs="Arial"/>
              </w:rPr>
              <w:t>Alternative information to evidence economic and financial standing (e.g. forecast financial statements and a statement of funding provided by the owners and/or the bank, charity accruals accounts or an alternative means of demonstrating financial status).</w:t>
            </w:r>
          </w:p>
          <w:p w14:paraId="0C2E016F" w14:textId="77777777" w:rsidR="00CD20E0" w:rsidRPr="00CD20E0" w:rsidRDefault="00CD20E0" w:rsidP="00CD20E0">
            <w:pPr>
              <w:pStyle w:val="ListParagraph"/>
              <w:rPr>
                <w:rFonts w:eastAsia="Arial" w:cs="Arial"/>
              </w:rPr>
            </w:pPr>
          </w:p>
          <w:p w14:paraId="7B9AB421" w14:textId="53BD743D" w:rsidR="00DA1D27" w:rsidRPr="00E84B05" w:rsidRDefault="00CD20E0" w:rsidP="00CD20E0">
            <w:pPr>
              <w:jc w:val="both"/>
              <w:rPr>
                <w:rFonts w:eastAsia="Arial" w:cs="Arial"/>
              </w:rPr>
            </w:pPr>
            <w:r>
              <w:rPr>
                <w:rFonts w:eastAsia="Arial" w:cs="Arial"/>
              </w:rPr>
              <w:t xml:space="preserve">Note: At any point during the procurement process, HMRC may request that the Supplier </w:t>
            </w:r>
            <w:r>
              <w:rPr>
                <w:rFonts w:cs="Arial"/>
              </w:rPr>
              <w:t xml:space="preserve">and if applicable, organisations in their supply chain and / or consortium, </w:t>
            </w:r>
            <w:r>
              <w:rPr>
                <w:rFonts w:eastAsia="Arial" w:cs="Arial"/>
              </w:rPr>
              <w:t>provides further information to verify their financial capacity.</w:t>
            </w:r>
          </w:p>
        </w:tc>
        <w:tc>
          <w:tcPr>
            <w:tcW w:w="4734" w:type="dxa"/>
            <w:tcBorders>
              <w:top w:val="single" w:sz="6" w:space="0" w:color="000000"/>
              <w:bottom w:val="single" w:sz="6" w:space="0" w:color="000000"/>
            </w:tcBorders>
          </w:tcPr>
          <w:p w14:paraId="78FD60E7" w14:textId="77777777" w:rsidR="00DA1D27" w:rsidRPr="00E84B05" w:rsidRDefault="00DA1D27" w:rsidP="00FB6B80">
            <w:pPr>
              <w:tabs>
                <w:tab w:val="left" w:pos="602"/>
              </w:tabs>
              <w:spacing w:after="0" w:line="276" w:lineRule="auto"/>
              <w:rPr>
                <w:rFonts w:eastAsia="Arial" w:cs="Calibri"/>
              </w:rPr>
            </w:pPr>
            <w:r w:rsidRPr="00E84B05">
              <w:rPr>
                <w:rFonts w:eastAsia="Arial" w:cs="Calibri"/>
              </w:rPr>
              <w:t>[Attach information requested]</w:t>
            </w:r>
          </w:p>
        </w:tc>
      </w:tr>
      <w:tr w:rsidR="00DA1D27" w:rsidRPr="00605283" w14:paraId="23BFF991" w14:textId="77777777" w:rsidTr="00FB6B80">
        <w:trPr>
          <w:trHeight w:val="3965"/>
        </w:trPr>
        <w:tc>
          <w:tcPr>
            <w:tcW w:w="0" w:type="auto"/>
            <w:vMerge w:val="restart"/>
            <w:shd w:val="clear" w:color="auto" w:fill="F2F2F2" w:themeFill="background1" w:themeFillShade="F2"/>
          </w:tcPr>
          <w:p w14:paraId="3A494C87" w14:textId="77777777" w:rsidR="00DA1D27" w:rsidRPr="00E84B05" w:rsidRDefault="00DA1D27" w:rsidP="00FB6B80">
            <w:pPr>
              <w:spacing w:after="0" w:line="276" w:lineRule="auto"/>
              <w:rPr>
                <w:rFonts w:eastAsia="Arial" w:cs="Arial"/>
                <w:b/>
              </w:rPr>
            </w:pPr>
            <w:r w:rsidRPr="00E84B05">
              <w:rPr>
                <w:rFonts w:eastAsia="Arial" w:cs="Arial"/>
                <w:b/>
              </w:rPr>
              <w:t>3.2</w:t>
            </w:r>
          </w:p>
        </w:tc>
        <w:tc>
          <w:tcPr>
            <w:tcW w:w="7837" w:type="dxa"/>
            <w:vMerge w:val="restart"/>
            <w:shd w:val="clear" w:color="auto" w:fill="F2F2F2" w:themeFill="background1" w:themeFillShade="F2"/>
          </w:tcPr>
          <w:p w14:paraId="2909B335" w14:textId="77777777" w:rsidR="00DA1D27" w:rsidRPr="00E84B05" w:rsidRDefault="00DA1D27" w:rsidP="00FB6B80">
            <w:pPr>
              <w:spacing w:after="0" w:line="276" w:lineRule="auto"/>
              <w:rPr>
                <w:rFonts w:cs="Arial"/>
              </w:rPr>
            </w:pPr>
            <w:r w:rsidRPr="00E84B05">
              <w:rPr>
                <w:rFonts w:cs="Arial"/>
              </w:rPr>
              <w:t>Are you relying on another supplier to act as a guarantor?</w:t>
            </w:r>
          </w:p>
          <w:p w14:paraId="742CBBC3" w14:textId="77777777" w:rsidR="00DA1D27" w:rsidRPr="00E84B05" w:rsidRDefault="00DA1D27" w:rsidP="00FB6B80">
            <w:pPr>
              <w:spacing w:after="0" w:line="276" w:lineRule="auto"/>
              <w:rPr>
                <w:rFonts w:cs="Arial"/>
              </w:rPr>
            </w:pPr>
          </w:p>
          <w:p w14:paraId="732C1AED" w14:textId="77777777" w:rsidR="00DA1D27" w:rsidRPr="00E84B05" w:rsidRDefault="00DA1D27" w:rsidP="00FB6B80">
            <w:pPr>
              <w:spacing w:after="0" w:line="276" w:lineRule="auto"/>
              <w:rPr>
                <w:rFonts w:cs="Arial"/>
              </w:rPr>
            </w:pPr>
            <w:r w:rsidRPr="00E84B05">
              <w:rPr>
                <w:rFonts w:cs="Arial"/>
              </w:rPr>
              <w:t>If so, please provide their name and one of the following:</w:t>
            </w:r>
          </w:p>
          <w:p w14:paraId="7E11F64C" w14:textId="77777777" w:rsidR="00DA1D27" w:rsidRPr="00E84B05" w:rsidRDefault="00DA1D27" w:rsidP="00FB6B80">
            <w:pPr>
              <w:spacing w:after="0" w:line="276" w:lineRule="auto"/>
              <w:rPr>
                <w:rFonts w:cs="Arial"/>
              </w:rPr>
            </w:pPr>
          </w:p>
          <w:p w14:paraId="1222B9B9" w14:textId="77777777" w:rsidR="00DA1D27" w:rsidRPr="00E84B05" w:rsidRDefault="00DA1D27" w:rsidP="00FB6B80">
            <w:pPr>
              <w:pStyle w:val="ListParagraph"/>
              <w:widowControl w:val="0"/>
              <w:numPr>
                <w:ilvl w:val="0"/>
                <w:numId w:val="5"/>
              </w:numPr>
              <w:tabs>
                <w:tab w:val="left" w:pos="0"/>
              </w:tabs>
              <w:overflowPunct w:val="0"/>
              <w:autoSpaceDE w:val="0"/>
              <w:autoSpaceDN w:val="0"/>
              <w:adjustRightInd w:val="0"/>
              <w:jc w:val="both"/>
              <w:rPr>
                <w:rFonts w:cs="Arial"/>
              </w:rPr>
            </w:pPr>
            <w:r w:rsidRPr="00E84B05">
              <w:rPr>
                <w:rFonts w:cs="Arial"/>
              </w:rPr>
              <w:t>A copy of their detailed accounts (audited if required by law) for the last two years (or most recent financial year if trading for less than 2 years); or</w:t>
            </w:r>
          </w:p>
          <w:p w14:paraId="593BA846" w14:textId="77777777" w:rsidR="00DA1D27" w:rsidRPr="00E84B05" w:rsidRDefault="00DA1D27" w:rsidP="00FB6B80">
            <w:pPr>
              <w:pStyle w:val="ListParagraph"/>
              <w:widowControl w:val="0"/>
              <w:tabs>
                <w:tab w:val="left" w:pos="0"/>
              </w:tabs>
              <w:overflowPunct w:val="0"/>
              <w:autoSpaceDE w:val="0"/>
              <w:autoSpaceDN w:val="0"/>
              <w:adjustRightInd w:val="0"/>
              <w:jc w:val="both"/>
              <w:rPr>
                <w:rFonts w:cs="Arial"/>
              </w:rPr>
            </w:pPr>
          </w:p>
          <w:p w14:paraId="60B37CDD" w14:textId="77777777" w:rsidR="00DA1D27" w:rsidRPr="00E84B05" w:rsidRDefault="00DA1D27" w:rsidP="00FB6B80">
            <w:pPr>
              <w:pStyle w:val="ListParagraph"/>
              <w:widowControl w:val="0"/>
              <w:numPr>
                <w:ilvl w:val="0"/>
                <w:numId w:val="5"/>
              </w:numPr>
              <w:tabs>
                <w:tab w:val="left" w:pos="0"/>
              </w:tabs>
              <w:overflowPunct w:val="0"/>
              <w:autoSpaceDE w:val="0"/>
              <w:autoSpaceDN w:val="0"/>
              <w:adjustRightInd w:val="0"/>
              <w:jc w:val="both"/>
              <w:rPr>
                <w:rFonts w:cs="Arial"/>
              </w:rPr>
            </w:pPr>
            <w:r w:rsidRPr="00E84B05">
              <w:rPr>
                <w:rFonts w:cs="Arial"/>
              </w:rPr>
              <w:t>A statement of their annual turnover, Profit and Loss Account/Income Statement, Balance Sheet/Statement of Financial Position and Statement of Cash Flow for the most recent year of trading and a bank letter outlining the current cash and credit facility position; or</w:t>
            </w:r>
          </w:p>
          <w:p w14:paraId="60CA18A7" w14:textId="77777777" w:rsidR="00DA1D27" w:rsidRPr="00E84B05" w:rsidRDefault="00DA1D27" w:rsidP="00FB6B80">
            <w:pPr>
              <w:pStyle w:val="ListParagraph"/>
              <w:jc w:val="both"/>
              <w:rPr>
                <w:rFonts w:cs="Arial"/>
              </w:rPr>
            </w:pPr>
          </w:p>
          <w:p w14:paraId="4420ADDD" w14:textId="77777777" w:rsidR="00DA1D27" w:rsidRPr="00E84B05" w:rsidRDefault="00DA1D27" w:rsidP="00FB6B80">
            <w:pPr>
              <w:pStyle w:val="ListParagraph"/>
              <w:numPr>
                <w:ilvl w:val="0"/>
                <w:numId w:val="5"/>
              </w:numPr>
              <w:jc w:val="both"/>
              <w:rPr>
                <w:rFonts w:cs="Arial"/>
              </w:rPr>
            </w:pPr>
            <w:r w:rsidRPr="00E84B05">
              <w:rPr>
                <w:rFonts w:cs="Arial"/>
              </w:rPr>
              <w:t>Alternative information to evidence economic and financial standing (e.g. forecast financial statements and a statement of funding provided by the owners and/or the bank, charity accruals accounts or an alternative means of demonstrating financial status).</w:t>
            </w:r>
          </w:p>
          <w:p w14:paraId="34BAC00B" w14:textId="77777777" w:rsidR="00DA1D27" w:rsidRPr="008213A1" w:rsidRDefault="00DA1D27" w:rsidP="00FB6B80">
            <w:pPr>
              <w:spacing w:after="0" w:line="276" w:lineRule="auto"/>
              <w:rPr>
                <w:rFonts w:cs="Arial"/>
              </w:rPr>
            </w:pPr>
          </w:p>
        </w:tc>
        <w:tc>
          <w:tcPr>
            <w:tcW w:w="4734" w:type="dxa"/>
            <w:tcBorders>
              <w:top w:val="single" w:sz="6" w:space="0" w:color="000000"/>
              <w:bottom w:val="single" w:sz="6" w:space="0" w:color="000000"/>
            </w:tcBorders>
          </w:tcPr>
          <w:p w14:paraId="7B6627C8" w14:textId="77777777" w:rsidR="00DA1D27" w:rsidRPr="00E84B05" w:rsidRDefault="00DA1D27" w:rsidP="00FB6B80">
            <w:pPr>
              <w:tabs>
                <w:tab w:val="left" w:pos="600"/>
              </w:tabs>
              <w:spacing w:after="0" w:line="276" w:lineRule="auto"/>
              <w:rPr>
                <w:rFonts w:eastAsia="Times New Roman" w:cs="Calibri"/>
              </w:rPr>
            </w:pPr>
            <w:r w:rsidRPr="00E84B05">
              <w:rPr>
                <w:rFonts w:eastAsia="Arial" w:cs="Calibri"/>
              </w:rPr>
              <w:t>Yes</w:t>
            </w:r>
            <w:r w:rsidRPr="00E84B05">
              <w:rPr>
                <w:rFonts w:eastAsia="Menlo Regular" w:cs="Calibri"/>
              </w:rPr>
              <w:t xml:space="preserve"> </w:t>
            </w:r>
            <w:r w:rsidRPr="00E84B05">
              <w:rPr>
                <w:rFonts w:eastAsia="Menlo Regular"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19110FEE" w14:textId="77777777" w:rsidR="00DA1D27" w:rsidRPr="00E84B05" w:rsidRDefault="00DA1D27" w:rsidP="00FB6B80">
            <w:pPr>
              <w:tabs>
                <w:tab w:val="left" w:pos="600"/>
              </w:tabs>
              <w:spacing w:after="0" w:line="276" w:lineRule="auto"/>
              <w:rPr>
                <w:rFonts w:eastAsia="Times New Roman" w:cs="Calibri"/>
              </w:rPr>
            </w:pPr>
            <w:r w:rsidRPr="00E84B05">
              <w:rPr>
                <w:rFonts w:eastAsia="Arial" w:cs="Calibri"/>
              </w:rPr>
              <w:t xml:space="preserve">No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3E9CE312" w14:textId="77777777" w:rsidR="00DA1D27" w:rsidRPr="00E84B05" w:rsidRDefault="00DA1D27" w:rsidP="00FB6B80">
            <w:pPr>
              <w:tabs>
                <w:tab w:val="left" w:pos="600"/>
              </w:tabs>
              <w:spacing w:after="0" w:line="276" w:lineRule="auto"/>
              <w:rPr>
                <w:rFonts w:eastAsia="Arial" w:cs="Calibri"/>
              </w:rPr>
            </w:pPr>
          </w:p>
        </w:tc>
      </w:tr>
      <w:tr w:rsidR="00DA1D27" w:rsidRPr="00605283" w14:paraId="61C4E28D" w14:textId="77777777" w:rsidTr="00FB6B80">
        <w:trPr>
          <w:trHeight w:val="2494"/>
        </w:trPr>
        <w:tc>
          <w:tcPr>
            <w:tcW w:w="0" w:type="auto"/>
            <w:vMerge/>
            <w:shd w:val="clear" w:color="auto" w:fill="F2F2F2" w:themeFill="background1" w:themeFillShade="F2"/>
          </w:tcPr>
          <w:p w14:paraId="16D5E2DB" w14:textId="77777777" w:rsidR="00DA1D27" w:rsidRPr="00E84B05" w:rsidRDefault="00DA1D27" w:rsidP="00FB6B80">
            <w:pPr>
              <w:spacing w:after="0" w:line="276" w:lineRule="auto"/>
              <w:rPr>
                <w:rFonts w:eastAsia="Arial" w:cs="Arial"/>
                <w:b/>
              </w:rPr>
            </w:pPr>
          </w:p>
        </w:tc>
        <w:tc>
          <w:tcPr>
            <w:tcW w:w="7837" w:type="dxa"/>
            <w:vMerge/>
            <w:shd w:val="clear" w:color="auto" w:fill="F2F2F2" w:themeFill="background1" w:themeFillShade="F2"/>
          </w:tcPr>
          <w:p w14:paraId="266CA15C" w14:textId="77777777" w:rsidR="00DA1D27" w:rsidRPr="00E84B05" w:rsidRDefault="00DA1D27" w:rsidP="00FB6B80">
            <w:pPr>
              <w:spacing w:after="0" w:line="276" w:lineRule="auto"/>
              <w:rPr>
                <w:rFonts w:cs="Arial"/>
              </w:rPr>
            </w:pPr>
          </w:p>
        </w:tc>
        <w:tc>
          <w:tcPr>
            <w:tcW w:w="4734" w:type="dxa"/>
            <w:tcBorders>
              <w:top w:val="single" w:sz="6" w:space="0" w:color="000000"/>
              <w:bottom w:val="single" w:sz="6" w:space="0" w:color="000000"/>
            </w:tcBorders>
          </w:tcPr>
          <w:p w14:paraId="307709EF" w14:textId="77777777" w:rsidR="00DA1D27" w:rsidRPr="00E84B05" w:rsidRDefault="00DA1D27" w:rsidP="00FB6B80">
            <w:pPr>
              <w:tabs>
                <w:tab w:val="left" w:pos="600"/>
              </w:tabs>
              <w:spacing w:after="0" w:line="276" w:lineRule="auto"/>
              <w:rPr>
                <w:rFonts w:eastAsia="Arial" w:cs="Calibri"/>
              </w:rPr>
            </w:pPr>
            <w:r w:rsidRPr="00E84B05">
              <w:rPr>
                <w:rFonts w:eastAsia="Arial" w:cs="Calibri"/>
              </w:rPr>
              <w:t>[Attach information requested if ‘Yes’]</w:t>
            </w:r>
          </w:p>
        </w:tc>
      </w:tr>
      <w:tr w:rsidR="00DA1D27" w:rsidRPr="00605283" w14:paraId="3C21837D" w14:textId="77777777" w:rsidTr="00FB6B80">
        <w:trPr>
          <w:trHeight w:val="2494"/>
        </w:trPr>
        <w:tc>
          <w:tcPr>
            <w:tcW w:w="0" w:type="auto"/>
            <w:shd w:val="clear" w:color="auto" w:fill="F2F2F2" w:themeFill="background1" w:themeFillShade="F2"/>
          </w:tcPr>
          <w:p w14:paraId="5934150F" w14:textId="77777777" w:rsidR="00DA1D27" w:rsidRPr="00E84B05" w:rsidRDefault="00DA1D27" w:rsidP="00FB6B80">
            <w:pPr>
              <w:spacing w:after="0" w:line="276" w:lineRule="auto"/>
              <w:rPr>
                <w:rFonts w:eastAsia="Arial" w:cs="Arial"/>
                <w:b/>
                <w:highlight w:val="yellow"/>
              </w:rPr>
            </w:pPr>
            <w:r w:rsidRPr="004474F7">
              <w:rPr>
                <w:rFonts w:eastAsia="Arial" w:cs="Arial"/>
                <w:b/>
              </w:rPr>
              <w:t>3.3</w:t>
            </w:r>
          </w:p>
        </w:tc>
        <w:tc>
          <w:tcPr>
            <w:tcW w:w="7837" w:type="dxa"/>
            <w:shd w:val="clear" w:color="auto" w:fill="F2F2F2" w:themeFill="background1" w:themeFillShade="F2"/>
          </w:tcPr>
          <w:p w14:paraId="3E18D87C" w14:textId="77777777" w:rsidR="00DA1D27" w:rsidRPr="004474F7" w:rsidRDefault="00DA1D27" w:rsidP="00FB6B80">
            <w:pPr>
              <w:widowControl w:val="0"/>
              <w:overflowPunct w:val="0"/>
              <w:autoSpaceDE w:val="0"/>
              <w:autoSpaceDN w:val="0"/>
              <w:adjustRightInd w:val="0"/>
              <w:spacing w:before="120" w:after="120" w:line="240" w:lineRule="auto"/>
              <w:jc w:val="both"/>
              <w:rPr>
                <w:rFonts w:cs="Arial"/>
              </w:rPr>
            </w:pPr>
            <w:r w:rsidRPr="004474F7">
              <w:rPr>
                <w:rFonts w:cs="Arial"/>
              </w:rPr>
              <w:t>Please confirm whether you already have, or can commit to obtain, prior to the commencement of the contract, the minimum levels of insurance cover indicated below:</w:t>
            </w:r>
          </w:p>
          <w:p w14:paraId="5A35E66F" w14:textId="77777777" w:rsidR="00DA1D27" w:rsidRPr="004474F7" w:rsidRDefault="00DA1D27" w:rsidP="00FB6B80">
            <w:pPr>
              <w:widowControl w:val="0"/>
              <w:overflowPunct w:val="0"/>
              <w:autoSpaceDE w:val="0"/>
              <w:autoSpaceDN w:val="0"/>
              <w:adjustRightInd w:val="0"/>
              <w:spacing w:before="120" w:after="120" w:line="240" w:lineRule="auto"/>
              <w:jc w:val="both"/>
              <w:rPr>
                <w:rFonts w:eastAsia="Times New Roman" w:cs="Arial"/>
                <w:lang w:eastAsia="en-GB"/>
              </w:rPr>
            </w:pPr>
          </w:p>
          <w:p w14:paraId="3484E3FB" w14:textId="77777777" w:rsidR="000B1779" w:rsidRPr="000B1779" w:rsidRDefault="000B1779" w:rsidP="0085565B">
            <w:pPr>
              <w:pStyle w:val="ListParagraph"/>
              <w:numPr>
                <w:ilvl w:val="0"/>
                <w:numId w:val="63"/>
              </w:numPr>
              <w:spacing w:after="0" w:line="276" w:lineRule="auto"/>
              <w:rPr>
                <w:rFonts w:cs="Arial"/>
              </w:rPr>
            </w:pPr>
            <w:r w:rsidRPr="000B1779">
              <w:rPr>
                <w:rFonts w:cs="Arial"/>
              </w:rPr>
              <w:t>Employer’s (Compulsory) Liability Insurance - £10 million</w:t>
            </w:r>
          </w:p>
          <w:p w14:paraId="692AE794" w14:textId="77777777" w:rsidR="000B1779" w:rsidRPr="000B1779" w:rsidRDefault="000B1779" w:rsidP="0085565B">
            <w:pPr>
              <w:pStyle w:val="ListParagraph"/>
              <w:numPr>
                <w:ilvl w:val="0"/>
                <w:numId w:val="63"/>
              </w:numPr>
              <w:spacing w:after="0" w:line="276" w:lineRule="auto"/>
              <w:rPr>
                <w:rFonts w:cs="Arial"/>
              </w:rPr>
            </w:pPr>
            <w:r w:rsidRPr="000B1779">
              <w:rPr>
                <w:rFonts w:cs="Arial"/>
              </w:rPr>
              <w:t>Professional Indemnity Insurance - £10 million</w:t>
            </w:r>
          </w:p>
          <w:p w14:paraId="2E02F8FA" w14:textId="77777777" w:rsidR="000B1779" w:rsidRPr="000B1779" w:rsidRDefault="000B1779" w:rsidP="0085565B">
            <w:pPr>
              <w:pStyle w:val="ListParagraph"/>
              <w:numPr>
                <w:ilvl w:val="0"/>
                <w:numId w:val="63"/>
              </w:numPr>
              <w:spacing w:after="0" w:line="276" w:lineRule="auto"/>
              <w:rPr>
                <w:rFonts w:cs="Arial"/>
              </w:rPr>
            </w:pPr>
            <w:r w:rsidRPr="000B1779">
              <w:rPr>
                <w:rFonts w:cs="Arial"/>
              </w:rPr>
              <w:t>Cyber Liability Insurance - £20 million</w:t>
            </w:r>
          </w:p>
          <w:p w14:paraId="43164AFD" w14:textId="77777777" w:rsidR="000B1779" w:rsidRPr="004845CB" w:rsidRDefault="000B1779" w:rsidP="000B1779">
            <w:pPr>
              <w:spacing w:after="0" w:line="276" w:lineRule="auto"/>
              <w:rPr>
                <w:rFonts w:cs="Arial"/>
              </w:rPr>
            </w:pPr>
          </w:p>
          <w:p w14:paraId="729E33E1" w14:textId="4947A047" w:rsidR="000B1779" w:rsidRPr="004474F7" w:rsidRDefault="000B1779" w:rsidP="000B1779">
            <w:pPr>
              <w:spacing w:after="0" w:line="276" w:lineRule="auto"/>
              <w:rPr>
                <w:rFonts w:cs="Arial"/>
              </w:rPr>
            </w:pPr>
            <w:r w:rsidRPr="004845CB">
              <w:rPr>
                <w:rFonts w:cs="Arial"/>
              </w:rPr>
              <w:t>Note that the above insurance levels are subject to confirmation and the full insurance requirements will be confirmed within the ITSIT and/or ITSFT documentation.</w:t>
            </w:r>
          </w:p>
          <w:p w14:paraId="1252F0C3" w14:textId="77777777" w:rsidR="00DA1D27" w:rsidRPr="004474F7" w:rsidRDefault="00DA1D27" w:rsidP="00FB6B80">
            <w:pPr>
              <w:spacing w:after="0" w:line="276" w:lineRule="auto"/>
              <w:rPr>
                <w:rFonts w:cs="Arial"/>
              </w:rPr>
            </w:pPr>
          </w:p>
          <w:p w14:paraId="12EB34D2" w14:textId="77777777" w:rsidR="00DA1D27" w:rsidRPr="004474F7" w:rsidRDefault="00DA1D27" w:rsidP="00FB6B80">
            <w:pPr>
              <w:spacing w:after="0" w:line="276" w:lineRule="auto"/>
              <w:rPr>
                <w:rFonts w:cs="Arial"/>
              </w:rPr>
            </w:pPr>
            <w:r w:rsidRPr="004474F7">
              <w:rPr>
                <w:rFonts w:cs="Arial"/>
              </w:rPr>
              <w:t>Note that the above insurance levels are subject to confirmation and the full insurance requirements will be confirmed within the ITSIT and/or ITSFT documentation.</w:t>
            </w:r>
          </w:p>
        </w:tc>
        <w:tc>
          <w:tcPr>
            <w:tcW w:w="4734" w:type="dxa"/>
            <w:tcBorders>
              <w:top w:val="single" w:sz="6" w:space="0" w:color="000000"/>
              <w:bottom w:val="single" w:sz="6" w:space="0" w:color="000000"/>
            </w:tcBorders>
          </w:tcPr>
          <w:p w14:paraId="645616CE" w14:textId="77777777" w:rsidR="00DA1D27" w:rsidRPr="00E84B05" w:rsidRDefault="00DA1D27" w:rsidP="00FB6B80">
            <w:pPr>
              <w:tabs>
                <w:tab w:val="left" w:pos="600"/>
              </w:tabs>
              <w:spacing w:after="0" w:line="276" w:lineRule="auto"/>
              <w:rPr>
                <w:rFonts w:eastAsia="Times New Roman" w:cs="Calibri"/>
              </w:rPr>
            </w:pPr>
            <w:r w:rsidRPr="00E84B05">
              <w:rPr>
                <w:rFonts w:eastAsia="Arial" w:cs="Calibri"/>
              </w:rPr>
              <w:t>Yes</w:t>
            </w:r>
            <w:r w:rsidRPr="00E84B05">
              <w:rPr>
                <w:rFonts w:eastAsia="Menlo Regular" w:cs="Calibri"/>
              </w:rPr>
              <w:t xml:space="preserve"> </w:t>
            </w:r>
            <w:r w:rsidRPr="00E84B05">
              <w:rPr>
                <w:rFonts w:eastAsia="Menlo Regular"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55B5D7B8" w14:textId="77777777" w:rsidR="00DA1D27" w:rsidRPr="00E84B05" w:rsidRDefault="00DA1D27" w:rsidP="00FB6B80">
            <w:pPr>
              <w:tabs>
                <w:tab w:val="left" w:pos="600"/>
              </w:tabs>
              <w:spacing w:after="0" w:line="276" w:lineRule="auto"/>
              <w:rPr>
                <w:rFonts w:eastAsia="Arial" w:cs="Calibri"/>
              </w:rPr>
            </w:pPr>
            <w:r w:rsidRPr="00E84B05">
              <w:rPr>
                <w:rFonts w:eastAsia="Arial" w:cs="Calibri"/>
              </w:rPr>
              <w:t xml:space="preserve">No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tc>
      </w:tr>
    </w:tbl>
    <w:p w14:paraId="6CBE1D7C" w14:textId="77777777" w:rsidR="00DA1D27" w:rsidRPr="00E84B05" w:rsidRDefault="00DA1D27" w:rsidP="00DA1D27">
      <w:pPr>
        <w:pageBreakBefore/>
        <w:spacing w:after="0" w:line="276" w:lineRule="auto"/>
        <w:rPr>
          <w:rFonts w:eastAsia="Arial" w:cs="Calibri"/>
          <w:b/>
        </w:rPr>
      </w:pPr>
      <w:r w:rsidRPr="00E84B05">
        <w:rPr>
          <w:rFonts w:eastAsia="Arial" w:cs="Calibri"/>
          <w:b/>
        </w:rPr>
        <w:t>Legal Capacity</w:t>
      </w:r>
    </w:p>
    <w:p w14:paraId="547E1E66" w14:textId="77777777" w:rsidR="00DA1D27" w:rsidRPr="00E84B05" w:rsidRDefault="00DA1D27" w:rsidP="00DA1D27">
      <w:pPr>
        <w:spacing w:after="0" w:line="276" w:lineRule="auto"/>
        <w:rPr>
          <w:rFonts w:eastAsia="Arial" w:cs="Calibri"/>
          <w:b/>
          <w:u w:val="single"/>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4962"/>
        <w:gridCol w:w="2925"/>
      </w:tblGrid>
      <w:tr w:rsidR="00DA1D27" w:rsidRPr="00605283" w14:paraId="5204BFF6" w14:textId="77777777" w:rsidTr="00FB6B80">
        <w:tc>
          <w:tcPr>
            <w:tcW w:w="0" w:type="auto"/>
            <w:tcBorders>
              <w:top w:val="single" w:sz="6" w:space="0" w:color="000000"/>
              <w:bottom w:val="single" w:sz="6" w:space="0" w:color="000000"/>
            </w:tcBorders>
            <w:shd w:val="clear" w:color="auto" w:fill="009999"/>
          </w:tcPr>
          <w:p w14:paraId="05610EBE" w14:textId="77777777" w:rsidR="00DA1D27" w:rsidRPr="001439F7" w:rsidRDefault="00DA1D27" w:rsidP="00FB6B80">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bottom w:val="single" w:sz="6" w:space="0" w:color="000000"/>
            </w:tcBorders>
            <w:shd w:val="clear" w:color="auto" w:fill="009999"/>
          </w:tcPr>
          <w:p w14:paraId="777F40C6" w14:textId="77777777" w:rsidR="00DA1D27" w:rsidRPr="001439F7" w:rsidRDefault="00DA1D27" w:rsidP="00FB6B80">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bottom w:val="single" w:sz="6" w:space="0" w:color="000000"/>
            </w:tcBorders>
            <w:shd w:val="clear" w:color="auto" w:fill="009999"/>
          </w:tcPr>
          <w:p w14:paraId="67E4DD25" w14:textId="77777777" w:rsidR="00DA1D27" w:rsidRPr="001439F7" w:rsidRDefault="00DA1D27" w:rsidP="00FB6B80">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DA1D27" w:rsidRPr="00605283" w14:paraId="4ECB0A75" w14:textId="77777777" w:rsidTr="00FB6B80">
        <w:trPr>
          <w:trHeight w:val="4592"/>
        </w:trPr>
        <w:tc>
          <w:tcPr>
            <w:tcW w:w="0" w:type="auto"/>
            <w:vMerge w:val="restart"/>
            <w:tcBorders>
              <w:top w:val="single" w:sz="6" w:space="0" w:color="000000"/>
            </w:tcBorders>
            <w:shd w:val="clear" w:color="auto" w:fill="F2F2F2" w:themeFill="background1" w:themeFillShade="F2"/>
          </w:tcPr>
          <w:p w14:paraId="1B45334F" w14:textId="77777777" w:rsidR="00DA1D27" w:rsidRPr="00E84B05" w:rsidRDefault="00DA1D27" w:rsidP="00FB6B80">
            <w:pPr>
              <w:spacing w:after="0" w:line="276" w:lineRule="auto"/>
              <w:rPr>
                <w:rFonts w:eastAsia="Arial" w:cs="Arial"/>
                <w:b/>
              </w:rPr>
            </w:pPr>
            <w:r w:rsidRPr="00E84B05">
              <w:rPr>
                <w:rFonts w:eastAsia="Arial" w:cs="Arial"/>
                <w:b/>
              </w:rPr>
              <w:t>3.4</w:t>
            </w:r>
          </w:p>
        </w:tc>
        <w:tc>
          <w:tcPr>
            <w:tcW w:w="7837" w:type="dxa"/>
            <w:vMerge w:val="restart"/>
            <w:tcBorders>
              <w:top w:val="single" w:sz="6" w:space="0" w:color="000000"/>
            </w:tcBorders>
            <w:shd w:val="clear" w:color="auto" w:fill="F2F2F2" w:themeFill="background1" w:themeFillShade="F2"/>
          </w:tcPr>
          <w:p w14:paraId="48CE299A" w14:textId="77777777" w:rsidR="00DA1D27" w:rsidRPr="00E84B05" w:rsidRDefault="00DA1D27" w:rsidP="00FB6B80">
            <w:pPr>
              <w:widowControl w:val="0"/>
              <w:spacing w:after="0" w:line="276" w:lineRule="auto"/>
            </w:pPr>
            <w:r w:rsidRPr="00E84B05">
              <w:t xml:space="preserve">Please confirm that you have in place, or that you will have in place by the award of the contract, the human and technical resources to perform the contract to ensure compliance with the UK General Data Protection Regulation and to ensure the protection of the rights of data </w:t>
            </w:r>
            <w:proofErr w:type="gramStart"/>
            <w:r w:rsidRPr="00E84B05">
              <w:t>subjects</w:t>
            </w:r>
            <w:proofErr w:type="gramEnd"/>
          </w:p>
          <w:p w14:paraId="281ED2DC" w14:textId="77777777" w:rsidR="00DA1D27" w:rsidRPr="00E84B05" w:rsidRDefault="00DA1D27" w:rsidP="00FB6B80">
            <w:pPr>
              <w:widowControl w:val="0"/>
              <w:spacing w:after="0" w:line="276" w:lineRule="auto"/>
              <w:rPr>
                <w:b/>
              </w:rPr>
            </w:pPr>
          </w:p>
          <w:p w14:paraId="418C1A90" w14:textId="77777777" w:rsidR="00DA1D27" w:rsidRPr="00E84B05" w:rsidRDefault="00DA1D27" w:rsidP="00FB6B80">
            <w:pPr>
              <w:widowControl w:val="0"/>
              <w:spacing w:after="120"/>
            </w:pPr>
            <w:r w:rsidRPr="00E84B05">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36E3DB95" w14:textId="77777777" w:rsidR="00DA1D27" w:rsidRPr="00E84B05" w:rsidRDefault="00DA1D27" w:rsidP="00FB6B80">
            <w:pPr>
              <w:pStyle w:val="ListParagraph"/>
              <w:widowControl w:val="0"/>
              <w:numPr>
                <w:ilvl w:val="0"/>
                <w:numId w:val="5"/>
              </w:numPr>
              <w:tabs>
                <w:tab w:val="left" w:pos="0"/>
              </w:tabs>
              <w:overflowPunct w:val="0"/>
              <w:autoSpaceDE w:val="0"/>
              <w:autoSpaceDN w:val="0"/>
              <w:adjustRightInd w:val="0"/>
              <w:jc w:val="both"/>
              <w:rPr>
                <w:rFonts w:eastAsia="Arial" w:cs="Arial"/>
              </w:rPr>
            </w:pPr>
            <w:r w:rsidRPr="00E84B05">
              <w:rPr>
                <w:rFonts w:eastAsia="Arial" w:cs="Arial"/>
              </w:rPr>
              <w:t>to ensure ongoing confidentiality, integrity, availability and resilience of processing systems and services</w:t>
            </w:r>
          </w:p>
          <w:p w14:paraId="5E6BB1BA" w14:textId="77777777" w:rsidR="00DA1D27" w:rsidRPr="00E84B05" w:rsidRDefault="00DA1D27" w:rsidP="00FB6B80">
            <w:pPr>
              <w:pStyle w:val="ListParagraph"/>
              <w:widowControl w:val="0"/>
              <w:numPr>
                <w:ilvl w:val="0"/>
                <w:numId w:val="5"/>
              </w:numPr>
              <w:tabs>
                <w:tab w:val="left" w:pos="0"/>
              </w:tabs>
              <w:overflowPunct w:val="0"/>
              <w:autoSpaceDE w:val="0"/>
              <w:autoSpaceDN w:val="0"/>
              <w:adjustRightInd w:val="0"/>
              <w:jc w:val="both"/>
              <w:rPr>
                <w:rFonts w:eastAsia="Arial" w:cs="Arial"/>
              </w:rPr>
            </w:pPr>
            <w:r w:rsidRPr="00E84B05">
              <w:rPr>
                <w:rFonts w:eastAsia="Arial" w:cs="Arial"/>
              </w:rPr>
              <w:t xml:space="preserve">to comply with the rights of data subjects in respect of receiving privacy information, and access, rectification, </w:t>
            </w:r>
            <w:proofErr w:type="gramStart"/>
            <w:r w:rsidRPr="00E84B05">
              <w:rPr>
                <w:rFonts w:eastAsia="Arial" w:cs="Arial"/>
              </w:rPr>
              <w:t>deletion</w:t>
            </w:r>
            <w:proofErr w:type="gramEnd"/>
            <w:r w:rsidRPr="00E84B05">
              <w:rPr>
                <w:rFonts w:eastAsia="Arial" w:cs="Arial"/>
              </w:rPr>
              <w:t xml:space="preserve"> and portability of personal data</w:t>
            </w:r>
          </w:p>
          <w:p w14:paraId="648E1B2A" w14:textId="77777777" w:rsidR="00DA1D27" w:rsidRPr="00E84B05" w:rsidRDefault="00DA1D27" w:rsidP="00FB6B80">
            <w:pPr>
              <w:pStyle w:val="ListParagraph"/>
              <w:widowControl w:val="0"/>
              <w:numPr>
                <w:ilvl w:val="0"/>
                <w:numId w:val="5"/>
              </w:numPr>
              <w:tabs>
                <w:tab w:val="left" w:pos="0"/>
              </w:tabs>
              <w:overflowPunct w:val="0"/>
              <w:autoSpaceDE w:val="0"/>
              <w:autoSpaceDN w:val="0"/>
              <w:adjustRightInd w:val="0"/>
              <w:jc w:val="both"/>
              <w:rPr>
                <w:rFonts w:eastAsia="Arial" w:cs="Arial"/>
              </w:rPr>
            </w:pPr>
            <w:r w:rsidRPr="00E84B05">
              <w:rPr>
                <w:rFonts w:eastAsia="Arial" w:cs="Arial"/>
              </w:rPr>
              <w:t xml:space="preserve">to ensure that any consent-based processing meets standards of active, informed consent, and that such consents are recorded and </w:t>
            </w:r>
            <w:proofErr w:type="gramStart"/>
            <w:r w:rsidRPr="00E84B05">
              <w:rPr>
                <w:rFonts w:eastAsia="Arial" w:cs="Arial"/>
              </w:rPr>
              <w:t>auditable</w:t>
            </w:r>
            <w:proofErr w:type="gramEnd"/>
          </w:p>
          <w:p w14:paraId="3AB4F7FE" w14:textId="77777777" w:rsidR="00DA1D27" w:rsidRPr="00E84B05" w:rsidRDefault="00DA1D27" w:rsidP="00FB6B80">
            <w:pPr>
              <w:pStyle w:val="ListParagraph"/>
              <w:widowControl w:val="0"/>
              <w:numPr>
                <w:ilvl w:val="0"/>
                <w:numId w:val="5"/>
              </w:numPr>
              <w:tabs>
                <w:tab w:val="left" w:pos="0"/>
              </w:tabs>
              <w:overflowPunct w:val="0"/>
              <w:autoSpaceDE w:val="0"/>
              <w:autoSpaceDN w:val="0"/>
              <w:adjustRightInd w:val="0"/>
              <w:jc w:val="both"/>
              <w:rPr>
                <w:rFonts w:eastAsia="Arial" w:cs="Arial"/>
              </w:rPr>
            </w:pPr>
            <w:r w:rsidRPr="00E84B05">
              <w:rPr>
                <w:rFonts w:eastAsia="Arial" w:cs="Arial"/>
              </w:rPr>
              <w:t>to ensure legal safeguards are in place to legitimise transfers of personal data outside the UK (if such transfers will take place)</w:t>
            </w:r>
          </w:p>
          <w:p w14:paraId="4B9AAE07" w14:textId="77777777" w:rsidR="00DA1D27" w:rsidRPr="00E84B05" w:rsidRDefault="00DA1D27" w:rsidP="00FB6B80">
            <w:pPr>
              <w:pStyle w:val="ListParagraph"/>
              <w:widowControl w:val="0"/>
              <w:numPr>
                <w:ilvl w:val="0"/>
                <w:numId w:val="5"/>
              </w:numPr>
              <w:tabs>
                <w:tab w:val="left" w:pos="0"/>
              </w:tabs>
              <w:overflowPunct w:val="0"/>
              <w:autoSpaceDE w:val="0"/>
              <w:autoSpaceDN w:val="0"/>
              <w:adjustRightInd w:val="0"/>
              <w:jc w:val="both"/>
            </w:pPr>
            <w:r w:rsidRPr="00E84B05">
              <w:rPr>
                <w:rFonts w:eastAsia="Arial" w:cs="Arial"/>
              </w:rPr>
              <w:t>to maintain records of personal data processing activities</w:t>
            </w:r>
            <w:r w:rsidRPr="00E84B05">
              <w:t xml:space="preserve"> </w:t>
            </w:r>
          </w:p>
          <w:p w14:paraId="08132BD2" w14:textId="77777777" w:rsidR="00DA1D27" w:rsidRPr="00E84B05" w:rsidRDefault="00DA1D27" w:rsidP="00FB6B80">
            <w:pPr>
              <w:pStyle w:val="ListParagraph"/>
              <w:widowControl w:val="0"/>
              <w:numPr>
                <w:ilvl w:val="0"/>
                <w:numId w:val="5"/>
              </w:numPr>
              <w:tabs>
                <w:tab w:val="left" w:pos="0"/>
              </w:tabs>
              <w:overflowPunct w:val="0"/>
              <w:autoSpaceDE w:val="0"/>
              <w:autoSpaceDN w:val="0"/>
              <w:adjustRightInd w:val="0"/>
              <w:jc w:val="both"/>
              <w:rPr>
                <w:rFonts w:eastAsia="Arial" w:cs="Arial"/>
              </w:rPr>
            </w:pPr>
            <w:r w:rsidRPr="00E84B05">
              <w:t>to regularly test, assess and evaluate the effectiveness of the above measures</w:t>
            </w:r>
          </w:p>
        </w:tc>
        <w:tc>
          <w:tcPr>
            <w:tcW w:w="4734" w:type="dxa"/>
            <w:tcBorders>
              <w:top w:val="single" w:sz="6" w:space="0" w:color="000000"/>
              <w:bottom w:val="single" w:sz="6" w:space="0" w:color="000000"/>
            </w:tcBorders>
          </w:tcPr>
          <w:p w14:paraId="6284D2A1" w14:textId="77777777" w:rsidR="00DA1D27" w:rsidRPr="00E84B05" w:rsidRDefault="00DA1D27" w:rsidP="00FB6B80">
            <w:pPr>
              <w:tabs>
                <w:tab w:val="left" w:pos="594"/>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color w:val="2B579A"/>
                <w:shd w:val="clear" w:color="auto" w:fill="E6E6E6"/>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color w:val="2B579A"/>
                <w:shd w:val="clear" w:color="auto" w:fill="E6E6E6"/>
              </w:rPr>
            </w:r>
            <w:r w:rsidR="00084E0F">
              <w:rPr>
                <w:rFonts w:eastAsia="Times New Roman" w:cs="Calibri"/>
                <w:color w:val="2B579A"/>
                <w:shd w:val="clear" w:color="auto" w:fill="E6E6E6"/>
              </w:rPr>
              <w:fldChar w:fldCharType="separate"/>
            </w:r>
            <w:r w:rsidRPr="00E84B05">
              <w:rPr>
                <w:rFonts w:eastAsia="Times New Roman" w:cs="Calibri"/>
                <w:color w:val="2B579A"/>
                <w:shd w:val="clear" w:color="auto" w:fill="E6E6E6"/>
              </w:rPr>
              <w:fldChar w:fldCharType="end"/>
            </w:r>
          </w:p>
          <w:p w14:paraId="1C91654C" w14:textId="77777777" w:rsidR="00DA1D27" w:rsidRPr="00E84B05" w:rsidRDefault="00DA1D27" w:rsidP="00FB6B80">
            <w:pPr>
              <w:tabs>
                <w:tab w:val="left" w:pos="602"/>
              </w:tabs>
              <w:spacing w:after="0" w:line="276" w:lineRule="auto"/>
              <w:rPr>
                <w:rFonts w:cs="Calibri"/>
                <w:color w:val="2B579A"/>
                <w:shd w:val="clear" w:color="auto" w:fill="E6E6E6"/>
              </w:rPr>
            </w:pPr>
            <w:r w:rsidRPr="00E84B05">
              <w:rPr>
                <w:rFonts w:eastAsia="Arial" w:cs="Calibri"/>
              </w:rPr>
              <w:t xml:space="preserve">No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p w14:paraId="10E7E34A" w14:textId="77777777" w:rsidR="00DA1D27" w:rsidRPr="00E84B05" w:rsidRDefault="00DA1D27" w:rsidP="00FB6B80">
            <w:pPr>
              <w:tabs>
                <w:tab w:val="left" w:pos="602"/>
              </w:tabs>
              <w:spacing w:after="0" w:line="276" w:lineRule="auto"/>
              <w:rPr>
                <w:rFonts w:cs="Calibri"/>
                <w:color w:val="2B579A"/>
                <w:shd w:val="clear" w:color="auto" w:fill="E6E6E6"/>
              </w:rPr>
            </w:pPr>
          </w:p>
          <w:p w14:paraId="2B0736B8" w14:textId="77777777" w:rsidR="00DA1D27" w:rsidRPr="00E84B05" w:rsidRDefault="00DA1D27" w:rsidP="00FB6B80">
            <w:pPr>
              <w:tabs>
                <w:tab w:val="left" w:pos="602"/>
              </w:tabs>
              <w:spacing w:after="0" w:line="276" w:lineRule="auto"/>
              <w:rPr>
                <w:rFonts w:eastAsia="Arial" w:cs="Calibri"/>
              </w:rPr>
            </w:pPr>
          </w:p>
        </w:tc>
      </w:tr>
      <w:tr w:rsidR="00DA1D27" w:rsidRPr="00605283" w14:paraId="26E1EA77" w14:textId="77777777" w:rsidTr="00FB6B80">
        <w:trPr>
          <w:trHeight w:val="5251"/>
        </w:trPr>
        <w:tc>
          <w:tcPr>
            <w:tcW w:w="0" w:type="auto"/>
            <w:vMerge/>
            <w:shd w:val="clear" w:color="auto" w:fill="F2F2F2" w:themeFill="background1" w:themeFillShade="F2"/>
          </w:tcPr>
          <w:p w14:paraId="5E5D0DA2" w14:textId="77777777" w:rsidR="00DA1D27" w:rsidRPr="00E84B05" w:rsidRDefault="00DA1D27" w:rsidP="00FB6B80">
            <w:pPr>
              <w:spacing w:after="0" w:line="276" w:lineRule="auto"/>
              <w:rPr>
                <w:rFonts w:eastAsia="Arial" w:cs="Arial"/>
                <w:b/>
              </w:rPr>
            </w:pPr>
          </w:p>
        </w:tc>
        <w:tc>
          <w:tcPr>
            <w:tcW w:w="7837" w:type="dxa"/>
            <w:vMerge/>
            <w:shd w:val="clear" w:color="auto" w:fill="F2F2F2" w:themeFill="background1" w:themeFillShade="F2"/>
          </w:tcPr>
          <w:p w14:paraId="32E0E59B" w14:textId="77777777" w:rsidR="00DA1D27" w:rsidRPr="00E84B05" w:rsidRDefault="00DA1D27" w:rsidP="00FB6B80">
            <w:pPr>
              <w:widowControl w:val="0"/>
              <w:spacing w:after="0" w:line="276" w:lineRule="auto"/>
            </w:pPr>
          </w:p>
        </w:tc>
        <w:tc>
          <w:tcPr>
            <w:tcW w:w="4734" w:type="dxa"/>
            <w:tcBorders>
              <w:top w:val="single" w:sz="6" w:space="0" w:color="000000"/>
              <w:bottom w:val="single" w:sz="6" w:space="0" w:color="000000"/>
            </w:tcBorders>
          </w:tcPr>
          <w:p w14:paraId="78D53868" w14:textId="77777777" w:rsidR="00DA1D27" w:rsidRPr="00E84B05" w:rsidRDefault="00DA1D27" w:rsidP="00FB6B80">
            <w:pPr>
              <w:tabs>
                <w:tab w:val="left" w:pos="594"/>
              </w:tabs>
              <w:spacing w:after="0" w:line="276" w:lineRule="auto"/>
              <w:rPr>
                <w:rFonts w:eastAsia="Arial" w:cs="Calibri"/>
              </w:rPr>
            </w:pPr>
            <w:r w:rsidRPr="00E84B05">
              <w:rPr>
                <w:rFonts w:eastAsia="Arial" w:cs="Calibri"/>
              </w:rPr>
              <w:t>[Insert details]</w:t>
            </w:r>
          </w:p>
        </w:tc>
      </w:tr>
    </w:tbl>
    <w:p w14:paraId="43EC944C" w14:textId="77777777" w:rsidR="00DA1D27" w:rsidRPr="00E84B05" w:rsidRDefault="00DA1D27" w:rsidP="00DA1D27">
      <w:pPr>
        <w:spacing w:after="0" w:line="276" w:lineRule="auto"/>
        <w:rPr>
          <w:rFonts w:eastAsia="Arial" w:cs="Calibri"/>
        </w:rPr>
      </w:pPr>
    </w:p>
    <w:p w14:paraId="50AC2EDC" w14:textId="77777777" w:rsidR="00DA1D27" w:rsidRDefault="00DA1D27" w:rsidP="00CE2D2D">
      <w:pPr>
        <w:spacing w:after="0" w:line="276" w:lineRule="auto"/>
        <w:rPr>
          <w:rFonts w:eastAsia="Arial" w:cs="Calibri"/>
        </w:rPr>
      </w:pPr>
    </w:p>
    <w:p w14:paraId="17C68938" w14:textId="77777777" w:rsidR="0037350F" w:rsidRPr="00E84B05" w:rsidRDefault="0037350F" w:rsidP="0037350F">
      <w:pPr>
        <w:pageBreakBefore/>
        <w:spacing w:after="0" w:line="276" w:lineRule="auto"/>
        <w:rPr>
          <w:rFonts w:eastAsia="Arial" w:cs="Calibri"/>
          <w:b/>
        </w:rPr>
      </w:pPr>
      <w:r w:rsidRPr="00E84B05">
        <w:rPr>
          <w:rFonts w:eastAsia="Arial" w:cs="Calibri"/>
          <w:b/>
        </w:rPr>
        <w:t>Technical Ability</w:t>
      </w:r>
    </w:p>
    <w:p w14:paraId="368AE390" w14:textId="77777777" w:rsidR="0037350F" w:rsidRPr="00E84B05" w:rsidRDefault="0037350F" w:rsidP="0037350F">
      <w:pPr>
        <w:spacing w:after="0" w:line="276" w:lineRule="auto"/>
        <w:rPr>
          <w:rFonts w:eastAsia="Arial" w:cs="Calibri"/>
          <w:b/>
          <w:u w:val="single"/>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163"/>
        <w:gridCol w:w="4877"/>
        <w:gridCol w:w="1460"/>
      </w:tblGrid>
      <w:tr w:rsidR="0037350F" w:rsidRPr="00605283" w14:paraId="0E56CB5B" w14:textId="77777777" w:rsidTr="008F3A64">
        <w:tc>
          <w:tcPr>
            <w:tcW w:w="0" w:type="auto"/>
            <w:tcBorders>
              <w:top w:val="single" w:sz="6" w:space="0" w:color="000000" w:themeColor="text1"/>
              <w:bottom w:val="single" w:sz="6" w:space="0" w:color="000000" w:themeColor="text1"/>
            </w:tcBorders>
            <w:shd w:val="clear" w:color="auto" w:fill="009999"/>
          </w:tcPr>
          <w:p w14:paraId="0948EA53" w14:textId="77777777" w:rsidR="0037350F" w:rsidRPr="001439F7" w:rsidRDefault="0037350F">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4877" w:type="dxa"/>
            <w:tcBorders>
              <w:top w:val="single" w:sz="6" w:space="0" w:color="000000" w:themeColor="text1"/>
              <w:bottom w:val="single" w:sz="6" w:space="0" w:color="000000" w:themeColor="text1"/>
            </w:tcBorders>
            <w:shd w:val="clear" w:color="auto" w:fill="009999"/>
          </w:tcPr>
          <w:p w14:paraId="4D5231EA" w14:textId="77777777" w:rsidR="0037350F" w:rsidRPr="001439F7" w:rsidRDefault="0037350F">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1460" w:type="dxa"/>
            <w:tcBorders>
              <w:top w:val="single" w:sz="6" w:space="0" w:color="000000" w:themeColor="text1"/>
              <w:bottom w:val="single" w:sz="6" w:space="0" w:color="000000" w:themeColor="text1"/>
            </w:tcBorders>
            <w:shd w:val="clear" w:color="auto" w:fill="009999"/>
          </w:tcPr>
          <w:p w14:paraId="6551CDF3" w14:textId="77777777" w:rsidR="0037350F" w:rsidRPr="001439F7" w:rsidRDefault="0037350F">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37350F" w:rsidRPr="00605283" w14:paraId="0CF0E6E0" w14:textId="77777777" w:rsidTr="008F3A64">
        <w:trPr>
          <w:trHeight w:val="1993"/>
        </w:trPr>
        <w:tc>
          <w:tcPr>
            <w:tcW w:w="0" w:type="auto"/>
            <w:vMerge w:val="restart"/>
            <w:tcBorders>
              <w:top w:val="single" w:sz="6" w:space="0" w:color="000000" w:themeColor="text1"/>
            </w:tcBorders>
            <w:shd w:val="clear" w:color="auto" w:fill="F2F2F2" w:themeFill="background1" w:themeFillShade="F2"/>
          </w:tcPr>
          <w:p w14:paraId="32C42100" w14:textId="622A6D35" w:rsidR="0037350F" w:rsidRPr="00E84B05" w:rsidRDefault="0037350F">
            <w:pPr>
              <w:spacing w:after="0" w:line="276" w:lineRule="auto"/>
              <w:rPr>
                <w:rFonts w:eastAsia="Arial" w:cs="Arial"/>
                <w:b/>
              </w:rPr>
            </w:pPr>
            <w:r w:rsidRPr="00E84B05">
              <w:rPr>
                <w:rFonts w:eastAsia="Arial" w:cs="Arial"/>
                <w:b/>
              </w:rPr>
              <w:t>3.5</w:t>
            </w:r>
          </w:p>
        </w:tc>
        <w:tc>
          <w:tcPr>
            <w:tcW w:w="4877" w:type="dxa"/>
            <w:vMerge w:val="restart"/>
            <w:tcBorders>
              <w:top w:val="single" w:sz="6" w:space="0" w:color="000000" w:themeColor="text1"/>
            </w:tcBorders>
            <w:shd w:val="clear" w:color="auto" w:fill="F2F2F2" w:themeFill="background1" w:themeFillShade="F2"/>
          </w:tcPr>
          <w:p w14:paraId="4768E857" w14:textId="592AAE3B" w:rsidR="00B41BD5" w:rsidRDefault="00B41BD5" w:rsidP="00B41BD5">
            <w:pPr>
              <w:rPr>
                <w:rFonts w:ascii="Aptos" w:hAnsi="Aptos"/>
              </w:rPr>
            </w:pPr>
            <w:r>
              <w:t xml:space="preserve">Does your organisation </w:t>
            </w:r>
            <w:r>
              <w:rPr>
                <w:i/>
                <w:iCs/>
              </w:rPr>
              <w:t>own</w:t>
            </w:r>
            <w:r>
              <w:t xml:space="preserve">, </w:t>
            </w:r>
            <w:r>
              <w:rPr>
                <w:i/>
                <w:iCs/>
              </w:rPr>
              <w:t>operate</w:t>
            </w:r>
            <w:r>
              <w:t xml:space="preserve">, and </w:t>
            </w:r>
            <w:r>
              <w:rPr>
                <w:i/>
                <w:iCs/>
              </w:rPr>
              <w:t>have full control and accountability</w:t>
            </w:r>
            <w:r>
              <w:t xml:space="preserve"> for a hyperscale cloud infrastructure platform that offers IaaS (Infrastructure-as-a-Service) capabilities?</w:t>
            </w:r>
          </w:p>
          <w:p w14:paraId="1EA62BBF" w14:textId="77777777" w:rsidR="00B41BD5" w:rsidRDefault="00B41BD5" w:rsidP="00B41BD5">
            <w:r>
              <w:t>Please confirm that:</w:t>
            </w:r>
          </w:p>
          <w:p w14:paraId="6DAA5DF5" w14:textId="77777777" w:rsidR="008A130B" w:rsidRDefault="00B41BD5" w:rsidP="00F249F3">
            <w:pPr>
              <w:ind w:left="705" w:firstLine="283"/>
            </w:pPr>
            <w:r>
              <w:br/>
              <w:t>a. You are the legal and operational entity responsible for the infrastructure platform’s development, roadmap, and service delivery.</w:t>
            </w:r>
          </w:p>
          <w:p w14:paraId="20CBADA9" w14:textId="77777777" w:rsidR="008A130B" w:rsidRDefault="00B41BD5" w:rsidP="00B41BD5">
            <w:pPr>
              <w:ind w:left="720"/>
            </w:pPr>
            <w:r>
              <w:br/>
              <w:t>b. You do not primarily resell, broker, or act as an intermediary for another organisation’s cloud services.</w:t>
            </w:r>
          </w:p>
          <w:p w14:paraId="53B923CE" w14:textId="77777777" w:rsidR="008A130B" w:rsidRDefault="00B41BD5" w:rsidP="00B41BD5">
            <w:pPr>
              <w:ind w:left="720"/>
            </w:pPr>
            <w:r>
              <w:br/>
              <w:t xml:space="preserve">c. You operate </w:t>
            </w:r>
            <w:proofErr w:type="gramStart"/>
            <w:r>
              <w:t>globally-distributed</w:t>
            </w:r>
            <w:proofErr w:type="gramEnd"/>
            <w:r>
              <w:t xml:space="preserve"> hyperscale data centres under your own brand and authority.</w:t>
            </w:r>
          </w:p>
          <w:p w14:paraId="00FEE0D7" w14:textId="77777777" w:rsidR="008A130B" w:rsidRDefault="00B41BD5" w:rsidP="00B41BD5">
            <w:pPr>
              <w:ind w:left="720"/>
            </w:pPr>
            <w:r>
              <w:br/>
              <w:t>d. Your platform provides native compute, storage, and networking services as part of your IaaS offering.</w:t>
            </w:r>
          </w:p>
          <w:p w14:paraId="67E90591" w14:textId="27472F97" w:rsidR="00B41BD5" w:rsidRDefault="00B41BD5" w:rsidP="00B41BD5">
            <w:pPr>
              <w:ind w:left="720"/>
            </w:pPr>
            <w:r>
              <w:br/>
              <w:t xml:space="preserve">e. You hold all relevant certifications and regulatory compliance responsibilities directly </w:t>
            </w:r>
            <w:r w:rsidDel="003B528A">
              <w:t>(</w:t>
            </w:r>
            <w:r w:rsidR="003B528A">
              <w:t>including but not limited to:</w:t>
            </w:r>
            <w:r>
              <w:t xml:space="preserve"> ISO, SOC, GDPR, Cyber Essentials).</w:t>
            </w:r>
          </w:p>
          <w:p w14:paraId="45D8D201" w14:textId="77777777" w:rsidR="00B811D0" w:rsidRDefault="00B41BD5" w:rsidP="00B41BD5">
            <w:pPr>
              <w:rPr>
                <w:b/>
                <w:bCs/>
              </w:rPr>
            </w:pPr>
            <w:r>
              <w:rPr>
                <w:b/>
                <w:bCs/>
              </w:rPr>
              <w:t>Clarification:</w:t>
            </w:r>
          </w:p>
          <w:p w14:paraId="758465A3" w14:textId="4810C16A" w:rsidR="00B41BD5" w:rsidRDefault="00B41BD5" w:rsidP="00B41BD5">
            <w:pPr>
              <w:rPr>
                <w:i/>
                <w:iCs/>
              </w:rPr>
            </w:pPr>
            <w:r>
              <w:br/>
            </w:r>
            <w:r>
              <w:rPr>
                <w:i/>
                <w:iCs/>
              </w:rPr>
              <w:t>For the purposes of this question, "</w:t>
            </w:r>
            <w:proofErr w:type="spellStart"/>
            <w:r>
              <w:rPr>
                <w:i/>
                <w:iCs/>
              </w:rPr>
              <w:t>hyperscaler</w:t>
            </w:r>
            <w:proofErr w:type="spellEnd"/>
            <w:r>
              <w:rPr>
                <w:i/>
                <w:iCs/>
              </w:rPr>
              <w:t xml:space="preserve">" refers to an organisation that directly owns and operates large-scale public cloud infrastructure, including data centres, service orchestration, network fabric, and the associate software stack. Resellers, managed service providers, or entities offering white-labelled cloud services sourced from third-party </w:t>
            </w:r>
            <w:proofErr w:type="spellStart"/>
            <w:r>
              <w:rPr>
                <w:i/>
                <w:iCs/>
              </w:rPr>
              <w:t>hyperscalers</w:t>
            </w:r>
            <w:proofErr w:type="spellEnd"/>
            <w:r>
              <w:rPr>
                <w:i/>
                <w:iCs/>
              </w:rPr>
              <w:t xml:space="preserve"> do not meet this definition and will not be considered further.</w:t>
            </w:r>
          </w:p>
          <w:p w14:paraId="188991E2" w14:textId="0F27E1CE" w:rsidR="0037350F" w:rsidRPr="00192DA7" w:rsidRDefault="0037350F">
            <w:pPr>
              <w:widowControl w:val="0"/>
              <w:tabs>
                <w:tab w:val="left" w:pos="0"/>
              </w:tabs>
              <w:overflowPunct w:val="0"/>
              <w:autoSpaceDE w:val="0"/>
              <w:autoSpaceDN w:val="0"/>
              <w:adjustRightInd w:val="0"/>
              <w:spacing w:before="120" w:after="120"/>
              <w:jc w:val="both"/>
              <w:rPr>
                <w:rFonts w:cs="Arial"/>
              </w:rPr>
            </w:pPr>
            <w:r>
              <w:rPr>
                <w:rFonts w:cs="Arial"/>
              </w:rPr>
              <w:t xml:space="preserve">To achieve a Pass the </w:t>
            </w:r>
            <w:r w:rsidR="00433587">
              <w:rPr>
                <w:rFonts w:cs="Arial"/>
              </w:rPr>
              <w:t>Tenderer</w:t>
            </w:r>
            <w:r>
              <w:rPr>
                <w:rFonts w:cs="Arial"/>
              </w:rPr>
              <w:t xml:space="preserve"> must satisfy all elements listed.</w:t>
            </w:r>
          </w:p>
          <w:p w14:paraId="70AE3EA6" w14:textId="77777777" w:rsidR="0037350F" w:rsidRPr="00E84B05" w:rsidRDefault="0037350F">
            <w:pPr>
              <w:widowControl w:val="0"/>
              <w:tabs>
                <w:tab w:val="left" w:pos="0"/>
              </w:tabs>
              <w:overflowPunct w:val="0"/>
              <w:autoSpaceDE w:val="0"/>
              <w:autoSpaceDN w:val="0"/>
              <w:adjustRightInd w:val="0"/>
              <w:jc w:val="both"/>
              <w:rPr>
                <w:rFonts w:eastAsia="Arial" w:cs="Arial"/>
              </w:rPr>
            </w:pPr>
          </w:p>
        </w:tc>
        <w:tc>
          <w:tcPr>
            <w:tcW w:w="1460" w:type="dxa"/>
            <w:tcBorders>
              <w:top w:val="single" w:sz="6" w:space="0" w:color="000000" w:themeColor="text1"/>
              <w:bottom w:val="single" w:sz="6" w:space="0" w:color="000000" w:themeColor="text1"/>
            </w:tcBorders>
          </w:tcPr>
          <w:p w14:paraId="67A6654E" w14:textId="77777777" w:rsidR="0037350F" w:rsidRPr="00E84B05" w:rsidRDefault="0037350F">
            <w:pPr>
              <w:tabs>
                <w:tab w:val="left" w:pos="594"/>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color w:val="2B579A"/>
                <w:shd w:val="clear" w:color="auto" w:fill="E6E6E6"/>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color w:val="2B579A"/>
                <w:shd w:val="clear" w:color="auto" w:fill="E6E6E6"/>
              </w:rPr>
            </w:r>
            <w:r w:rsidR="00084E0F">
              <w:rPr>
                <w:rFonts w:eastAsia="Times New Roman" w:cs="Calibri"/>
                <w:color w:val="2B579A"/>
                <w:shd w:val="clear" w:color="auto" w:fill="E6E6E6"/>
              </w:rPr>
              <w:fldChar w:fldCharType="separate"/>
            </w:r>
            <w:r w:rsidRPr="00E84B05">
              <w:rPr>
                <w:rFonts w:eastAsia="Times New Roman" w:cs="Calibri"/>
                <w:color w:val="2B579A"/>
                <w:shd w:val="clear" w:color="auto" w:fill="E6E6E6"/>
              </w:rPr>
              <w:fldChar w:fldCharType="end"/>
            </w:r>
          </w:p>
          <w:p w14:paraId="75895D0A" w14:textId="77777777" w:rsidR="0037350F" w:rsidRDefault="0037350F">
            <w:pPr>
              <w:tabs>
                <w:tab w:val="left" w:pos="602"/>
              </w:tabs>
              <w:spacing w:after="0" w:line="276" w:lineRule="auto"/>
              <w:rPr>
                <w:rFonts w:cs="Calibri"/>
                <w:color w:val="2B579A"/>
                <w:shd w:val="clear" w:color="auto" w:fill="E6E6E6"/>
              </w:rPr>
            </w:pPr>
            <w:r w:rsidRPr="00E84B05">
              <w:rPr>
                <w:rFonts w:eastAsia="Arial" w:cs="Calibri"/>
              </w:rPr>
              <w:t xml:space="preserve">No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p w14:paraId="31C34491" w14:textId="77777777" w:rsidR="0037350F" w:rsidRDefault="0037350F">
            <w:pPr>
              <w:tabs>
                <w:tab w:val="left" w:pos="602"/>
              </w:tabs>
              <w:spacing w:after="0" w:line="276" w:lineRule="auto"/>
              <w:rPr>
                <w:rFonts w:eastAsia="Arial" w:cs="Calibri"/>
                <w:color w:val="2B579A"/>
                <w:shd w:val="clear" w:color="auto" w:fill="E6E6E6"/>
              </w:rPr>
            </w:pPr>
          </w:p>
          <w:p w14:paraId="2B2A32F0" w14:textId="77777777" w:rsidR="0037350F" w:rsidRPr="00E84B05" w:rsidRDefault="0037350F">
            <w:pPr>
              <w:tabs>
                <w:tab w:val="left" w:pos="602"/>
              </w:tabs>
              <w:spacing w:after="0" w:line="276" w:lineRule="auto"/>
              <w:rPr>
                <w:rFonts w:eastAsia="Arial" w:cs="Calibri"/>
              </w:rPr>
            </w:pPr>
          </w:p>
        </w:tc>
      </w:tr>
      <w:tr w:rsidR="0037350F" w:rsidRPr="002B147A" w14:paraId="3B6EC23A" w14:textId="77777777" w:rsidTr="008F3A64">
        <w:trPr>
          <w:trHeight w:val="1992"/>
        </w:trPr>
        <w:tc>
          <w:tcPr>
            <w:tcW w:w="0" w:type="auto"/>
            <w:vMerge/>
          </w:tcPr>
          <w:p w14:paraId="10D5D002" w14:textId="77777777" w:rsidR="0037350F" w:rsidRPr="004B5745" w:rsidRDefault="0037350F">
            <w:pPr>
              <w:spacing w:after="0" w:line="276" w:lineRule="auto"/>
              <w:rPr>
                <w:rFonts w:eastAsia="Arial" w:cs="Arial"/>
                <w:b/>
                <w:bCs/>
              </w:rPr>
            </w:pPr>
          </w:p>
        </w:tc>
        <w:tc>
          <w:tcPr>
            <w:tcW w:w="4877" w:type="dxa"/>
            <w:vMerge/>
          </w:tcPr>
          <w:p w14:paraId="75998BC7" w14:textId="77777777" w:rsidR="0037350F" w:rsidRPr="004B5745" w:rsidRDefault="0037350F">
            <w:pPr>
              <w:widowControl w:val="0"/>
              <w:overflowPunct w:val="0"/>
              <w:autoSpaceDE w:val="0"/>
              <w:autoSpaceDN w:val="0"/>
              <w:adjustRightInd w:val="0"/>
              <w:spacing w:before="120" w:after="120"/>
              <w:jc w:val="both"/>
              <w:rPr>
                <w:rFonts w:cs="Arial"/>
                <w:b/>
              </w:rPr>
            </w:pPr>
          </w:p>
        </w:tc>
        <w:tc>
          <w:tcPr>
            <w:tcW w:w="1460" w:type="dxa"/>
            <w:tcBorders>
              <w:top w:val="single" w:sz="6" w:space="0" w:color="000000" w:themeColor="text1"/>
              <w:bottom w:val="single" w:sz="6" w:space="0" w:color="000000" w:themeColor="text1"/>
            </w:tcBorders>
          </w:tcPr>
          <w:p w14:paraId="1E945432" w14:textId="77777777" w:rsidR="0037350F" w:rsidRPr="004B5745" w:rsidRDefault="0037350F">
            <w:pPr>
              <w:tabs>
                <w:tab w:val="left" w:pos="594"/>
              </w:tabs>
              <w:spacing w:after="0" w:line="276" w:lineRule="auto"/>
              <w:rPr>
                <w:rFonts w:eastAsia="Arial" w:cs="Calibri"/>
              </w:rPr>
            </w:pPr>
            <w:r>
              <w:rPr>
                <w:rFonts w:eastAsia="Arial" w:cs="Calibri"/>
              </w:rPr>
              <w:t>[If you have entered a ‘no’ response, include further details here]</w:t>
            </w:r>
          </w:p>
        </w:tc>
      </w:tr>
      <w:tr w:rsidR="0037350F" w:rsidRPr="00605283" w14:paraId="08D7E32C" w14:textId="77777777" w:rsidTr="008F3A64">
        <w:trPr>
          <w:trHeight w:val="2144"/>
        </w:trPr>
        <w:tc>
          <w:tcPr>
            <w:tcW w:w="0" w:type="auto"/>
            <w:vMerge w:val="restart"/>
            <w:tcBorders>
              <w:top w:val="single" w:sz="6" w:space="0" w:color="000000" w:themeColor="text1"/>
            </w:tcBorders>
            <w:shd w:val="clear" w:color="auto" w:fill="F2F2F2" w:themeFill="background1" w:themeFillShade="F2"/>
          </w:tcPr>
          <w:p w14:paraId="231E1086" w14:textId="77777777" w:rsidR="0037350F" w:rsidRPr="00E84B05" w:rsidRDefault="0037350F">
            <w:pPr>
              <w:spacing w:after="0" w:line="276" w:lineRule="auto"/>
              <w:rPr>
                <w:rFonts w:eastAsia="Arial" w:cs="Arial"/>
                <w:b/>
              </w:rPr>
            </w:pPr>
            <w:r w:rsidRPr="00E84B05">
              <w:rPr>
                <w:rFonts w:eastAsia="Arial" w:cs="Arial"/>
                <w:b/>
              </w:rPr>
              <w:t>3.6</w:t>
            </w:r>
          </w:p>
        </w:tc>
        <w:tc>
          <w:tcPr>
            <w:tcW w:w="4877" w:type="dxa"/>
            <w:vMerge w:val="restart"/>
            <w:tcBorders>
              <w:top w:val="single" w:sz="6" w:space="0" w:color="000000" w:themeColor="text1"/>
            </w:tcBorders>
            <w:shd w:val="clear" w:color="auto" w:fill="F2F2F2" w:themeFill="background1" w:themeFillShade="F2"/>
          </w:tcPr>
          <w:p w14:paraId="536CBC45" w14:textId="5EFD2B2D" w:rsidR="0037350F" w:rsidRPr="00E84B05" w:rsidRDefault="001C6D25">
            <w:pPr>
              <w:widowControl w:val="0"/>
              <w:overflowPunct w:val="0"/>
              <w:autoSpaceDE w:val="0"/>
              <w:autoSpaceDN w:val="0"/>
              <w:adjustRightInd w:val="0"/>
              <w:spacing w:before="120" w:after="120"/>
              <w:jc w:val="both"/>
              <w:rPr>
                <w:rFonts w:cs="Arial"/>
              </w:rPr>
            </w:pPr>
            <w:r>
              <w:rPr>
                <w:rFonts w:cs="Arial"/>
              </w:rPr>
              <w:t>HMRC</w:t>
            </w:r>
            <w:r w:rsidR="0037350F" w:rsidRPr="00E84B05">
              <w:rPr>
                <w:rFonts w:cs="Arial"/>
              </w:rPr>
              <w:t xml:space="preserve"> requires </w:t>
            </w:r>
            <w:r w:rsidR="0037350F">
              <w:rPr>
                <w:rFonts w:cs="Arial"/>
              </w:rPr>
              <w:t xml:space="preserve">that the </w:t>
            </w:r>
            <w:r w:rsidR="00433587">
              <w:rPr>
                <w:rFonts w:cs="Arial"/>
              </w:rPr>
              <w:t>Tenderer</w:t>
            </w:r>
            <w:r w:rsidR="0037350F">
              <w:rPr>
                <w:rFonts w:cs="Arial"/>
              </w:rPr>
              <w:t xml:space="preserve"> holds</w:t>
            </w:r>
            <w:r w:rsidR="0037350F" w:rsidRPr="00E84B05">
              <w:rPr>
                <w:rFonts w:cs="Arial"/>
              </w:rPr>
              <w:t xml:space="preserve"> </w:t>
            </w:r>
            <w:r w:rsidR="00F11C53">
              <w:rPr>
                <w:rFonts w:cs="Arial"/>
              </w:rPr>
              <w:t xml:space="preserve">accreditation to </w:t>
            </w:r>
            <w:r w:rsidR="0037350F" w:rsidRPr="00E84B05">
              <w:rPr>
                <w:rFonts w:cs="Arial"/>
              </w:rPr>
              <w:t xml:space="preserve">the following standards. </w:t>
            </w:r>
          </w:p>
          <w:p w14:paraId="0D7F89DF" w14:textId="0B11B41D" w:rsidR="0037350F" w:rsidRPr="00E84B05" w:rsidRDefault="0037350F" w:rsidP="0037350F">
            <w:pPr>
              <w:pStyle w:val="ListParagraph"/>
              <w:widowControl w:val="0"/>
              <w:numPr>
                <w:ilvl w:val="0"/>
                <w:numId w:val="5"/>
              </w:numPr>
              <w:tabs>
                <w:tab w:val="left" w:pos="0"/>
              </w:tabs>
              <w:overflowPunct w:val="0"/>
              <w:autoSpaceDE w:val="0"/>
              <w:autoSpaceDN w:val="0"/>
              <w:adjustRightInd w:val="0"/>
              <w:jc w:val="both"/>
              <w:rPr>
                <w:rFonts w:eastAsia="Arial" w:cs="Arial"/>
              </w:rPr>
            </w:pPr>
            <w:r>
              <w:rPr>
                <w:rFonts w:eastAsia="Arial" w:cs="Arial"/>
              </w:rPr>
              <w:t>ISO 27001</w:t>
            </w:r>
          </w:p>
          <w:p w14:paraId="70D8EB94" w14:textId="77777777" w:rsidR="0037350F" w:rsidRPr="00E84B05" w:rsidRDefault="0037350F" w:rsidP="0037350F">
            <w:pPr>
              <w:pStyle w:val="ListParagraph"/>
              <w:widowControl w:val="0"/>
              <w:numPr>
                <w:ilvl w:val="0"/>
                <w:numId w:val="5"/>
              </w:numPr>
              <w:tabs>
                <w:tab w:val="left" w:pos="0"/>
              </w:tabs>
              <w:overflowPunct w:val="0"/>
              <w:autoSpaceDE w:val="0"/>
              <w:autoSpaceDN w:val="0"/>
              <w:adjustRightInd w:val="0"/>
              <w:jc w:val="both"/>
              <w:rPr>
                <w:rFonts w:eastAsia="Arial" w:cs="Arial"/>
              </w:rPr>
            </w:pPr>
            <w:r w:rsidRPr="00E84B05">
              <w:rPr>
                <w:rFonts w:eastAsia="Arial" w:cs="Arial"/>
              </w:rPr>
              <w:t>Cyber Essentials Plus standards.</w:t>
            </w:r>
          </w:p>
          <w:p w14:paraId="4CD2761D" w14:textId="22A4F8E0" w:rsidR="0037350F" w:rsidRDefault="0037350F">
            <w:pPr>
              <w:widowControl w:val="0"/>
              <w:tabs>
                <w:tab w:val="left" w:pos="0"/>
              </w:tabs>
              <w:overflowPunct w:val="0"/>
              <w:autoSpaceDE w:val="0"/>
              <w:autoSpaceDN w:val="0"/>
              <w:adjustRightInd w:val="0"/>
              <w:jc w:val="both"/>
              <w:rPr>
                <w:rFonts w:eastAsia="Arial" w:cs="Arial"/>
              </w:rPr>
            </w:pPr>
            <w:r w:rsidRPr="00E84B05">
              <w:rPr>
                <w:rFonts w:eastAsia="Arial" w:cs="Arial"/>
              </w:rPr>
              <w:t xml:space="preserve">Please confirm that your </w:t>
            </w:r>
            <w:r>
              <w:rPr>
                <w:rFonts w:eastAsia="Arial" w:cs="Arial"/>
              </w:rPr>
              <w:t>Organisation</w:t>
            </w:r>
            <w:r w:rsidRPr="00E84B05">
              <w:rPr>
                <w:rFonts w:eastAsia="Arial" w:cs="Arial"/>
              </w:rPr>
              <w:t xml:space="preserve"> will </w:t>
            </w:r>
            <w:r w:rsidR="0001440E">
              <w:rPr>
                <w:rFonts w:eastAsia="Arial" w:cs="Arial"/>
              </w:rPr>
              <w:t>hold</w:t>
            </w:r>
            <w:r w:rsidRPr="00E84B05">
              <w:rPr>
                <w:rFonts w:eastAsia="Arial" w:cs="Arial"/>
              </w:rPr>
              <w:t xml:space="preserve"> the above standards at the time of contract signature.</w:t>
            </w:r>
          </w:p>
          <w:p w14:paraId="410A1F5C" w14:textId="5617F771" w:rsidR="0037350F" w:rsidRPr="00E84B05" w:rsidRDefault="0037350F">
            <w:pPr>
              <w:widowControl w:val="0"/>
              <w:tabs>
                <w:tab w:val="left" w:pos="0"/>
              </w:tabs>
              <w:overflowPunct w:val="0"/>
              <w:autoSpaceDE w:val="0"/>
              <w:autoSpaceDN w:val="0"/>
              <w:adjustRightInd w:val="0"/>
              <w:jc w:val="both"/>
              <w:rPr>
                <w:rFonts w:eastAsia="Arial" w:cs="Arial"/>
              </w:rPr>
            </w:pPr>
            <w:r w:rsidRPr="00D74499">
              <w:rPr>
                <w:rFonts w:eastAsia="Arial" w:cs="Arial"/>
              </w:rPr>
              <w:t xml:space="preserve">Where you have responded ‘no’, please confirm which of the above standards you do not </w:t>
            </w:r>
            <w:r w:rsidR="00D535FF">
              <w:rPr>
                <w:rFonts w:eastAsia="Arial" w:cs="Arial"/>
              </w:rPr>
              <w:t>hold</w:t>
            </w:r>
            <w:r w:rsidRPr="00D74499">
              <w:rPr>
                <w:rFonts w:eastAsia="Arial" w:cs="Arial"/>
              </w:rPr>
              <w:t xml:space="preserve"> along with an explanation detailing mitigations as to why this is the case</w:t>
            </w:r>
            <w:r w:rsidR="008232E5" w:rsidRPr="00D74499">
              <w:rPr>
                <w:rFonts w:eastAsia="Arial" w:cs="Arial"/>
              </w:rPr>
              <w:t xml:space="preserve"> including whether the </w:t>
            </w:r>
            <w:r w:rsidR="00433587">
              <w:rPr>
                <w:rFonts w:eastAsia="Arial" w:cs="Arial"/>
              </w:rPr>
              <w:t>Tenderer</w:t>
            </w:r>
            <w:r w:rsidR="008232E5" w:rsidRPr="00D74499">
              <w:rPr>
                <w:rFonts w:eastAsia="Arial" w:cs="Arial"/>
              </w:rPr>
              <w:t xml:space="preserve"> believes it holds equivalent standards which will be considered in assessing any mitigations proposed</w:t>
            </w:r>
            <w:r w:rsidRPr="00D74499">
              <w:rPr>
                <w:rFonts w:eastAsia="Arial" w:cs="Arial"/>
              </w:rPr>
              <w:t>.</w:t>
            </w:r>
          </w:p>
        </w:tc>
        <w:tc>
          <w:tcPr>
            <w:tcW w:w="1460" w:type="dxa"/>
            <w:tcBorders>
              <w:top w:val="single" w:sz="6" w:space="0" w:color="000000" w:themeColor="text1"/>
              <w:bottom w:val="single" w:sz="6" w:space="0" w:color="000000" w:themeColor="text1"/>
            </w:tcBorders>
          </w:tcPr>
          <w:p w14:paraId="3C61EAAF" w14:textId="77777777" w:rsidR="0037350F" w:rsidRPr="00E84B05" w:rsidRDefault="0037350F">
            <w:pPr>
              <w:tabs>
                <w:tab w:val="left" w:pos="594"/>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color w:val="2B579A"/>
                <w:shd w:val="clear" w:color="auto" w:fill="E6E6E6"/>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color w:val="2B579A"/>
                <w:shd w:val="clear" w:color="auto" w:fill="E6E6E6"/>
              </w:rPr>
            </w:r>
            <w:r w:rsidR="00084E0F">
              <w:rPr>
                <w:rFonts w:eastAsia="Times New Roman" w:cs="Calibri"/>
                <w:color w:val="2B579A"/>
                <w:shd w:val="clear" w:color="auto" w:fill="E6E6E6"/>
              </w:rPr>
              <w:fldChar w:fldCharType="separate"/>
            </w:r>
            <w:r w:rsidRPr="00E84B05">
              <w:rPr>
                <w:rFonts w:eastAsia="Times New Roman" w:cs="Calibri"/>
                <w:color w:val="2B579A"/>
                <w:shd w:val="clear" w:color="auto" w:fill="E6E6E6"/>
              </w:rPr>
              <w:fldChar w:fldCharType="end"/>
            </w:r>
          </w:p>
          <w:p w14:paraId="13750262" w14:textId="77777777" w:rsidR="0037350F" w:rsidRDefault="0037350F">
            <w:pPr>
              <w:tabs>
                <w:tab w:val="left" w:pos="602"/>
              </w:tabs>
              <w:spacing w:after="0" w:line="276" w:lineRule="auto"/>
              <w:rPr>
                <w:rFonts w:cs="Calibri"/>
                <w:color w:val="2B579A"/>
                <w:shd w:val="clear" w:color="auto" w:fill="E6E6E6"/>
              </w:rPr>
            </w:pPr>
            <w:r w:rsidRPr="00E84B05">
              <w:rPr>
                <w:rFonts w:eastAsia="Arial" w:cs="Calibri"/>
              </w:rPr>
              <w:t xml:space="preserve">No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p w14:paraId="0AE93608" w14:textId="77777777" w:rsidR="0037350F" w:rsidRDefault="0037350F">
            <w:pPr>
              <w:tabs>
                <w:tab w:val="left" w:pos="602"/>
              </w:tabs>
              <w:spacing w:after="0" w:line="276" w:lineRule="auto"/>
              <w:rPr>
                <w:rFonts w:cs="Calibri"/>
                <w:color w:val="2B579A"/>
                <w:shd w:val="clear" w:color="auto" w:fill="E6E6E6"/>
              </w:rPr>
            </w:pPr>
          </w:p>
          <w:p w14:paraId="2FCA8EE0" w14:textId="77777777" w:rsidR="0037350F" w:rsidRPr="00E84B05" w:rsidRDefault="0037350F">
            <w:pPr>
              <w:tabs>
                <w:tab w:val="left" w:pos="602"/>
              </w:tabs>
              <w:spacing w:after="0" w:line="276" w:lineRule="auto"/>
              <w:rPr>
                <w:rFonts w:eastAsia="Arial" w:cs="Calibri"/>
              </w:rPr>
            </w:pPr>
          </w:p>
        </w:tc>
      </w:tr>
      <w:tr w:rsidR="0037350F" w:rsidRPr="002B147A" w14:paraId="499912B5" w14:textId="77777777" w:rsidTr="009B7123">
        <w:trPr>
          <w:trHeight w:val="2482"/>
        </w:trPr>
        <w:tc>
          <w:tcPr>
            <w:tcW w:w="0" w:type="auto"/>
            <w:vMerge/>
          </w:tcPr>
          <w:p w14:paraId="5D32C083" w14:textId="77777777" w:rsidR="0037350F" w:rsidRPr="003C39E7" w:rsidRDefault="0037350F">
            <w:pPr>
              <w:spacing w:after="0" w:line="276" w:lineRule="auto"/>
              <w:rPr>
                <w:rFonts w:eastAsia="Arial" w:cs="Arial"/>
                <w:b/>
                <w:bCs/>
              </w:rPr>
            </w:pPr>
          </w:p>
        </w:tc>
        <w:tc>
          <w:tcPr>
            <w:tcW w:w="4877" w:type="dxa"/>
            <w:vMerge/>
          </w:tcPr>
          <w:p w14:paraId="7F103DE6" w14:textId="77777777" w:rsidR="0037350F" w:rsidRPr="003C39E7" w:rsidRDefault="0037350F">
            <w:pPr>
              <w:widowControl w:val="0"/>
              <w:overflowPunct w:val="0"/>
              <w:autoSpaceDE w:val="0"/>
              <w:autoSpaceDN w:val="0"/>
              <w:adjustRightInd w:val="0"/>
              <w:spacing w:before="120" w:after="120"/>
              <w:jc w:val="both"/>
              <w:rPr>
                <w:rFonts w:cs="Arial"/>
                <w:b/>
                <w:bCs/>
              </w:rPr>
            </w:pPr>
          </w:p>
        </w:tc>
        <w:tc>
          <w:tcPr>
            <w:tcW w:w="1460" w:type="dxa"/>
            <w:tcBorders>
              <w:top w:val="single" w:sz="6" w:space="0" w:color="000000" w:themeColor="text1"/>
              <w:bottom w:val="single" w:sz="6" w:space="0" w:color="000000" w:themeColor="text1"/>
            </w:tcBorders>
          </w:tcPr>
          <w:p w14:paraId="2D23985E" w14:textId="77777777" w:rsidR="0037350F" w:rsidRPr="003C39E7" w:rsidRDefault="0037350F">
            <w:pPr>
              <w:tabs>
                <w:tab w:val="left" w:pos="594"/>
              </w:tabs>
              <w:spacing w:after="0" w:line="276" w:lineRule="auto"/>
              <w:rPr>
                <w:rFonts w:eastAsia="Arial" w:cs="Calibri"/>
              </w:rPr>
            </w:pPr>
            <w:r>
              <w:rPr>
                <w:rFonts w:eastAsia="Arial" w:cs="Calibri"/>
              </w:rPr>
              <w:t>[If you have entered a ‘no’ response, include further details here]</w:t>
            </w:r>
          </w:p>
        </w:tc>
      </w:tr>
      <w:tr w:rsidR="008F3A64" w:rsidRPr="00605283" w14:paraId="64F3B1FF" w14:textId="77777777" w:rsidTr="008F3A64">
        <w:trPr>
          <w:trHeight w:val="6863"/>
        </w:trPr>
        <w:tc>
          <w:tcPr>
            <w:tcW w:w="0" w:type="auto"/>
            <w:tcBorders>
              <w:top w:val="single" w:sz="6" w:space="0" w:color="000000" w:themeColor="text1"/>
            </w:tcBorders>
            <w:shd w:val="clear" w:color="auto" w:fill="F2F2F2" w:themeFill="background1" w:themeFillShade="F2"/>
          </w:tcPr>
          <w:p w14:paraId="106F8B50" w14:textId="77777777" w:rsidR="008F3A64" w:rsidRPr="00E84B05" w:rsidRDefault="008F3A64">
            <w:pPr>
              <w:spacing w:after="0" w:line="276" w:lineRule="auto"/>
              <w:rPr>
                <w:rFonts w:eastAsia="Arial" w:cs="Arial"/>
                <w:b/>
              </w:rPr>
            </w:pPr>
            <w:r w:rsidRPr="00E84B05">
              <w:rPr>
                <w:rFonts w:eastAsia="Arial" w:cs="Arial"/>
                <w:b/>
              </w:rPr>
              <w:t>3.7</w:t>
            </w:r>
          </w:p>
        </w:tc>
        <w:tc>
          <w:tcPr>
            <w:tcW w:w="4877" w:type="dxa"/>
            <w:tcBorders>
              <w:top w:val="single" w:sz="6" w:space="0" w:color="000000" w:themeColor="text1"/>
            </w:tcBorders>
            <w:shd w:val="clear" w:color="auto" w:fill="F2F2F2" w:themeFill="background1" w:themeFillShade="F2"/>
            <w:vAlign w:val="center"/>
          </w:tcPr>
          <w:p w14:paraId="4743FE45" w14:textId="197FA8E5" w:rsidR="008F3A64" w:rsidRDefault="008F3A64" w:rsidP="2EEE4445">
            <w:pPr>
              <w:widowControl w:val="0"/>
              <w:overflowPunct w:val="0"/>
              <w:autoSpaceDE w:val="0"/>
              <w:autoSpaceDN w:val="0"/>
              <w:adjustRightInd w:val="0"/>
              <w:jc w:val="both"/>
              <w:rPr>
                <w:rFonts w:eastAsia="Arial" w:cs="Arial"/>
              </w:rPr>
            </w:pPr>
            <w:r>
              <w:rPr>
                <w:rFonts w:eastAsia="Arial" w:cs="Arial"/>
              </w:rPr>
              <w:t>In the case of hosting services post migration, data must reside within UK sovereign boundaries, and hosting must comply with applicable UK government security and data protection requirements.</w:t>
            </w:r>
          </w:p>
          <w:p w14:paraId="22404292" w14:textId="56AFCEA6" w:rsidR="008F3A64" w:rsidRPr="00E84B05" w:rsidRDefault="008F3A64" w:rsidP="2EEE4445">
            <w:pPr>
              <w:widowControl w:val="0"/>
              <w:overflowPunct w:val="0"/>
              <w:autoSpaceDE w:val="0"/>
              <w:autoSpaceDN w:val="0"/>
              <w:adjustRightInd w:val="0"/>
              <w:jc w:val="both"/>
              <w:rPr>
                <w:rFonts w:eastAsia="Arial" w:cs="Arial"/>
              </w:rPr>
            </w:pPr>
            <w:r>
              <w:rPr>
                <w:rFonts w:eastAsia="Arial" w:cs="Arial"/>
              </w:rPr>
              <w:t>Please confirm that your organisation, and your proposed sub-contractors, can fulfil the above requirements, utilising resource, who, where necessary</w:t>
            </w:r>
            <w:r w:rsidR="0001532B">
              <w:rPr>
                <w:rFonts w:eastAsia="Arial" w:cs="Arial"/>
              </w:rPr>
              <w:t xml:space="preserve"> at HMRC’s request</w:t>
            </w:r>
            <w:r>
              <w:rPr>
                <w:rFonts w:eastAsia="Arial" w:cs="Arial"/>
              </w:rPr>
              <w:t>, can achieve SC level clearance</w:t>
            </w:r>
            <w:r w:rsidR="007D2BE6">
              <w:rPr>
                <w:rFonts w:eastAsia="Arial" w:cs="Arial"/>
              </w:rPr>
              <w:t>.</w:t>
            </w:r>
          </w:p>
        </w:tc>
        <w:tc>
          <w:tcPr>
            <w:tcW w:w="1460" w:type="dxa"/>
            <w:tcBorders>
              <w:top w:val="single" w:sz="6" w:space="0" w:color="000000" w:themeColor="text1"/>
            </w:tcBorders>
          </w:tcPr>
          <w:p w14:paraId="1646B1F5" w14:textId="77777777" w:rsidR="008F3A64" w:rsidRPr="00E84B05" w:rsidRDefault="008F3A64">
            <w:pPr>
              <w:tabs>
                <w:tab w:val="left" w:pos="594"/>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color w:val="2B579A"/>
                <w:shd w:val="clear" w:color="auto" w:fill="E6E6E6"/>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color w:val="2B579A"/>
                <w:shd w:val="clear" w:color="auto" w:fill="E6E6E6"/>
              </w:rPr>
            </w:r>
            <w:r w:rsidR="00084E0F">
              <w:rPr>
                <w:rFonts w:eastAsia="Times New Roman" w:cs="Calibri"/>
                <w:color w:val="2B579A"/>
                <w:shd w:val="clear" w:color="auto" w:fill="E6E6E6"/>
              </w:rPr>
              <w:fldChar w:fldCharType="separate"/>
            </w:r>
            <w:r w:rsidRPr="00E84B05">
              <w:rPr>
                <w:rFonts w:eastAsia="Times New Roman" w:cs="Calibri"/>
                <w:color w:val="2B579A"/>
                <w:shd w:val="clear" w:color="auto" w:fill="E6E6E6"/>
              </w:rPr>
              <w:fldChar w:fldCharType="end"/>
            </w:r>
          </w:p>
          <w:p w14:paraId="23B15417" w14:textId="2795DF61" w:rsidR="008F3A64" w:rsidRPr="009B7123" w:rsidRDefault="008F3A64" w:rsidP="00084E0F">
            <w:pPr>
              <w:tabs>
                <w:tab w:val="left" w:pos="594"/>
              </w:tabs>
              <w:spacing w:after="0" w:line="276" w:lineRule="auto"/>
              <w:rPr>
                <w:rFonts w:cs="Calibri"/>
                <w:color w:val="2B579A"/>
                <w:shd w:val="clear" w:color="auto" w:fill="E6E6E6"/>
              </w:rPr>
            </w:pPr>
            <w:r w:rsidRPr="00E84B05">
              <w:rPr>
                <w:rFonts w:eastAsia="Arial" w:cs="Calibri"/>
              </w:rPr>
              <w:t xml:space="preserve">No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tc>
      </w:tr>
      <w:tr w:rsidR="0037350F" w:rsidRPr="00605283" w14:paraId="7E82C2FF" w14:textId="77777777" w:rsidTr="008F3A64">
        <w:trPr>
          <w:trHeight w:val="5208"/>
        </w:trPr>
        <w:tc>
          <w:tcPr>
            <w:tcW w:w="0" w:type="auto"/>
            <w:vMerge w:val="restart"/>
            <w:tcBorders>
              <w:top w:val="single" w:sz="6" w:space="0" w:color="000000" w:themeColor="text1"/>
            </w:tcBorders>
            <w:shd w:val="clear" w:color="auto" w:fill="F2F2F2" w:themeFill="background1" w:themeFillShade="F2"/>
          </w:tcPr>
          <w:p w14:paraId="7785EBC7" w14:textId="77777777" w:rsidR="0037350F" w:rsidRPr="00E84B05" w:rsidRDefault="0037350F">
            <w:pPr>
              <w:spacing w:after="0" w:line="276" w:lineRule="auto"/>
              <w:rPr>
                <w:rFonts w:eastAsia="Arial" w:cs="Arial"/>
                <w:b/>
              </w:rPr>
            </w:pPr>
            <w:r w:rsidRPr="00E84B05">
              <w:rPr>
                <w:rFonts w:eastAsia="Arial" w:cs="Arial"/>
                <w:b/>
              </w:rPr>
              <w:t>3.8</w:t>
            </w:r>
          </w:p>
        </w:tc>
        <w:tc>
          <w:tcPr>
            <w:tcW w:w="4877" w:type="dxa"/>
            <w:vMerge w:val="restart"/>
            <w:tcBorders>
              <w:top w:val="single" w:sz="6" w:space="0" w:color="000000" w:themeColor="text1"/>
            </w:tcBorders>
            <w:shd w:val="clear" w:color="auto" w:fill="F2F2F2" w:themeFill="background1" w:themeFillShade="F2"/>
            <w:vAlign w:val="center"/>
          </w:tcPr>
          <w:p w14:paraId="67B31F49" w14:textId="77777777" w:rsidR="0037350F" w:rsidRDefault="0037350F">
            <w:pPr>
              <w:widowControl w:val="0"/>
              <w:tabs>
                <w:tab w:val="left" w:pos="0"/>
              </w:tabs>
              <w:overflowPunct w:val="0"/>
              <w:autoSpaceDE w:val="0"/>
              <w:autoSpaceDN w:val="0"/>
              <w:adjustRightInd w:val="0"/>
              <w:spacing w:before="120" w:after="120"/>
              <w:rPr>
                <w:rFonts w:cs="Arial"/>
                <w:b/>
                <w:bCs/>
              </w:rPr>
            </w:pPr>
            <w:r w:rsidRPr="00C326FA">
              <w:rPr>
                <w:rFonts w:cs="Arial"/>
                <w:b/>
                <w:bCs/>
              </w:rPr>
              <w:t xml:space="preserve">Relevant Case Studies – Data Centre Exit to Public </w:t>
            </w:r>
            <w:r w:rsidRPr="001D272D">
              <w:rPr>
                <w:rFonts w:cs="Arial"/>
                <w:b/>
                <w:bCs/>
              </w:rPr>
              <w:t>Cloud</w:t>
            </w:r>
          </w:p>
          <w:p w14:paraId="52004EF5" w14:textId="58197BD4" w:rsidR="000E558F" w:rsidRPr="000E558F" w:rsidRDefault="000E558F">
            <w:pPr>
              <w:widowControl w:val="0"/>
              <w:tabs>
                <w:tab w:val="left" w:pos="0"/>
              </w:tabs>
              <w:overflowPunct w:val="0"/>
              <w:autoSpaceDE w:val="0"/>
              <w:autoSpaceDN w:val="0"/>
              <w:adjustRightInd w:val="0"/>
              <w:spacing w:before="120" w:after="120"/>
              <w:rPr>
                <w:rFonts w:cs="Arial"/>
                <w:b/>
                <w:bCs/>
              </w:rPr>
            </w:pPr>
            <w:r w:rsidRPr="000E558F">
              <w:rPr>
                <w:rFonts w:cs="Arial"/>
                <w:b/>
                <w:bCs/>
              </w:rPr>
              <w:t xml:space="preserve">Criteria </w:t>
            </w:r>
          </w:p>
          <w:p w14:paraId="5DC4263C" w14:textId="36F148CD" w:rsidR="0037350F" w:rsidRDefault="0037350F">
            <w:pPr>
              <w:widowControl w:val="0"/>
              <w:tabs>
                <w:tab w:val="left" w:pos="0"/>
              </w:tabs>
              <w:overflowPunct w:val="0"/>
              <w:autoSpaceDE w:val="0"/>
              <w:autoSpaceDN w:val="0"/>
              <w:adjustRightInd w:val="0"/>
              <w:spacing w:before="120" w:after="120"/>
              <w:rPr>
                <w:rFonts w:cs="Arial"/>
              </w:rPr>
            </w:pPr>
            <w:r w:rsidRPr="001D272D">
              <w:rPr>
                <w:rFonts w:cs="Arial"/>
              </w:rPr>
              <w:t xml:space="preserve">Please provide </w:t>
            </w:r>
            <w:r>
              <w:rPr>
                <w:rFonts w:cs="Arial"/>
              </w:rPr>
              <w:t>THREE [3]</w:t>
            </w:r>
            <w:r w:rsidRPr="001D272D">
              <w:rPr>
                <w:rFonts w:cs="Arial"/>
              </w:rPr>
              <w:t xml:space="preserve"> case studies of </w:t>
            </w:r>
            <w:r w:rsidR="00E403EF" w:rsidRPr="002C759B">
              <w:rPr>
                <w:rFonts w:cs="Arial"/>
              </w:rPr>
              <w:t>migrations</w:t>
            </w:r>
            <w:r w:rsidR="00E403EF">
              <w:rPr>
                <w:rFonts w:cs="Arial"/>
              </w:rPr>
              <w:t xml:space="preserve"> to a public cloud</w:t>
            </w:r>
            <w:r w:rsidRPr="001D272D">
              <w:rPr>
                <w:rFonts w:cs="Arial"/>
              </w:rPr>
              <w:t xml:space="preserve"> that your organisation has successfully delivered as the lead / prime contractor</w:t>
            </w:r>
            <w:r>
              <w:rPr>
                <w:rFonts w:cs="Arial"/>
              </w:rPr>
              <w:t>.</w:t>
            </w:r>
            <w:r w:rsidR="00E403EF">
              <w:rPr>
                <w:rFonts w:cs="Arial"/>
              </w:rPr>
              <w:t xml:space="preserve">  </w:t>
            </w:r>
          </w:p>
          <w:p w14:paraId="27A64862" w14:textId="4D780502" w:rsidR="00910126" w:rsidRPr="00910126" w:rsidRDefault="00910126" w:rsidP="003E246C">
            <w:pPr>
              <w:spacing w:after="0" w:line="240" w:lineRule="auto"/>
              <w:rPr>
                <w:rFonts w:cs="Arial"/>
              </w:rPr>
            </w:pPr>
            <w:r w:rsidRPr="00910126">
              <w:rPr>
                <w:rFonts w:cs="Arial"/>
              </w:rPr>
              <w:t xml:space="preserve">All three of your case studies must have concluded the migration </w:t>
            </w:r>
            <w:r w:rsidR="000A539F">
              <w:rPr>
                <w:rFonts w:cs="Arial"/>
              </w:rPr>
              <w:t xml:space="preserve">element </w:t>
            </w:r>
            <w:r w:rsidRPr="00910126">
              <w:rPr>
                <w:rFonts w:cs="Arial"/>
              </w:rPr>
              <w:t>within the past three years</w:t>
            </w:r>
            <w:r w:rsidR="006E72D7">
              <w:rPr>
                <w:rFonts w:cs="Arial"/>
              </w:rPr>
              <w:t xml:space="preserve"> and</w:t>
            </w:r>
            <w:r w:rsidRPr="00910126">
              <w:rPr>
                <w:rFonts w:cs="Arial"/>
              </w:rPr>
              <w:t xml:space="preserve"> specifically focused on the exit from a data centre environment to a public cloud infrastructure.</w:t>
            </w:r>
          </w:p>
          <w:p w14:paraId="48FBA928" w14:textId="77777777" w:rsidR="0037350F" w:rsidRDefault="0037350F">
            <w:pPr>
              <w:widowControl w:val="0"/>
              <w:tabs>
                <w:tab w:val="left" w:pos="0"/>
              </w:tabs>
              <w:overflowPunct w:val="0"/>
              <w:autoSpaceDE w:val="0"/>
              <w:autoSpaceDN w:val="0"/>
              <w:adjustRightInd w:val="0"/>
              <w:spacing w:before="120" w:after="120"/>
              <w:rPr>
                <w:rFonts w:cs="Arial"/>
              </w:rPr>
            </w:pPr>
          </w:p>
          <w:p w14:paraId="76714CFE" w14:textId="53BFAE53" w:rsidR="00920BFE" w:rsidRPr="000760DC" w:rsidRDefault="00920BFE">
            <w:pPr>
              <w:widowControl w:val="0"/>
              <w:tabs>
                <w:tab w:val="left" w:pos="0"/>
              </w:tabs>
              <w:overflowPunct w:val="0"/>
              <w:autoSpaceDE w:val="0"/>
              <w:autoSpaceDN w:val="0"/>
              <w:adjustRightInd w:val="0"/>
              <w:spacing w:before="120" w:after="120"/>
              <w:rPr>
                <w:rFonts w:cs="Arial"/>
                <w:b/>
                <w:bCs/>
              </w:rPr>
            </w:pPr>
            <w:r w:rsidRPr="000760DC">
              <w:rPr>
                <w:rFonts w:cs="Arial"/>
                <w:b/>
                <w:bCs/>
              </w:rPr>
              <w:t>Sub-Criteria</w:t>
            </w:r>
          </w:p>
          <w:p w14:paraId="799549CE" w14:textId="77777777" w:rsidR="0037350F" w:rsidRPr="001D272D" w:rsidRDefault="0037350F">
            <w:pPr>
              <w:widowControl w:val="0"/>
              <w:tabs>
                <w:tab w:val="left" w:pos="0"/>
              </w:tabs>
              <w:overflowPunct w:val="0"/>
              <w:autoSpaceDE w:val="0"/>
              <w:autoSpaceDN w:val="0"/>
              <w:adjustRightInd w:val="0"/>
              <w:spacing w:before="120" w:after="120"/>
              <w:rPr>
                <w:rFonts w:cs="Arial"/>
              </w:rPr>
            </w:pPr>
            <w:r w:rsidRPr="001D272D">
              <w:rPr>
                <w:rFonts w:cs="Arial"/>
              </w:rPr>
              <w:t xml:space="preserve">Your response </w:t>
            </w:r>
            <w:r>
              <w:rPr>
                <w:rFonts w:cs="Arial"/>
              </w:rPr>
              <w:t>must address</w:t>
            </w:r>
            <w:r w:rsidRPr="001D272D">
              <w:rPr>
                <w:rFonts w:cs="Arial"/>
              </w:rPr>
              <w:t xml:space="preserve"> the following</w:t>
            </w:r>
            <w:r>
              <w:rPr>
                <w:rFonts w:cs="Arial"/>
              </w:rPr>
              <w:t xml:space="preserve"> sub-criteria</w:t>
            </w:r>
            <w:r w:rsidRPr="001D272D">
              <w:rPr>
                <w:rFonts w:cs="Arial"/>
              </w:rPr>
              <w:t xml:space="preserve"> </w:t>
            </w:r>
            <w:r w:rsidRPr="00E84B05">
              <w:rPr>
                <w:rFonts w:cs="Arial"/>
                <w:b/>
                <w:bCs/>
                <w:u w:val="single"/>
              </w:rPr>
              <w:t>FOR EACH CASE STUDY</w:t>
            </w:r>
            <w:r w:rsidRPr="001D272D">
              <w:rPr>
                <w:rFonts w:cs="Arial"/>
              </w:rPr>
              <w:t>:</w:t>
            </w:r>
          </w:p>
          <w:p w14:paraId="6F3D61B7" w14:textId="77777777" w:rsidR="0037350F" w:rsidRPr="001D272D" w:rsidRDefault="0037350F" w:rsidP="0085565B">
            <w:pPr>
              <w:pStyle w:val="ListParagraph"/>
              <w:widowControl w:val="0"/>
              <w:numPr>
                <w:ilvl w:val="0"/>
                <w:numId w:val="18"/>
              </w:numPr>
              <w:tabs>
                <w:tab w:val="left" w:pos="0"/>
              </w:tabs>
              <w:overflowPunct w:val="0"/>
              <w:autoSpaceDE w:val="0"/>
              <w:autoSpaceDN w:val="0"/>
              <w:adjustRightInd w:val="0"/>
              <w:spacing w:before="120" w:after="120" w:line="240" w:lineRule="auto"/>
              <w:rPr>
                <w:rFonts w:cs="Arial"/>
              </w:rPr>
            </w:pPr>
            <w:r>
              <w:rPr>
                <w:rFonts w:cs="Arial"/>
              </w:rPr>
              <w:t>Provide a p</w:t>
            </w:r>
            <w:r w:rsidRPr="001D272D">
              <w:rPr>
                <w:rFonts w:cs="Arial"/>
              </w:rPr>
              <w:t xml:space="preserve">roject </w:t>
            </w:r>
            <w:r>
              <w:rPr>
                <w:rFonts w:cs="Arial"/>
              </w:rPr>
              <w:t>s</w:t>
            </w:r>
            <w:r w:rsidRPr="001D272D">
              <w:rPr>
                <w:rFonts w:cs="Arial"/>
              </w:rPr>
              <w:t xml:space="preserve">ummary, including sector, </w:t>
            </w:r>
            <w:proofErr w:type="gramStart"/>
            <w:r w:rsidRPr="001D272D">
              <w:rPr>
                <w:rFonts w:cs="Arial"/>
              </w:rPr>
              <w:t>geography</w:t>
            </w:r>
            <w:proofErr w:type="gramEnd"/>
            <w:r w:rsidRPr="001D272D">
              <w:rPr>
                <w:rFonts w:cs="Arial"/>
              </w:rPr>
              <w:t xml:space="preserve"> and the scale of migration.</w:t>
            </w:r>
          </w:p>
          <w:p w14:paraId="20DA8951" w14:textId="76B5A7C9" w:rsidR="0037350F" w:rsidRPr="001D272D" w:rsidRDefault="0037350F" w:rsidP="0085565B">
            <w:pPr>
              <w:pStyle w:val="ListParagraph"/>
              <w:widowControl w:val="0"/>
              <w:numPr>
                <w:ilvl w:val="0"/>
                <w:numId w:val="18"/>
              </w:numPr>
              <w:tabs>
                <w:tab w:val="left" w:pos="0"/>
              </w:tabs>
              <w:overflowPunct w:val="0"/>
              <w:autoSpaceDE w:val="0"/>
              <w:autoSpaceDN w:val="0"/>
              <w:adjustRightInd w:val="0"/>
              <w:spacing w:before="120" w:after="120" w:line="240" w:lineRule="auto"/>
              <w:rPr>
                <w:rFonts w:cs="Arial"/>
              </w:rPr>
            </w:pPr>
            <w:r>
              <w:rPr>
                <w:rFonts w:cs="Arial"/>
              </w:rPr>
              <w:t xml:space="preserve">Demonstrate </w:t>
            </w:r>
            <w:r w:rsidRPr="00465E71">
              <w:rPr>
                <w:rFonts w:cs="Arial"/>
              </w:rPr>
              <w:t xml:space="preserve">relevance to </w:t>
            </w:r>
            <w:r w:rsidRPr="003E246C">
              <w:rPr>
                <w:rFonts w:cs="Arial"/>
              </w:rPr>
              <w:t>HMRC</w:t>
            </w:r>
            <w:r w:rsidRPr="001D272D">
              <w:rPr>
                <w:rFonts w:cs="Arial"/>
              </w:rPr>
              <w:t xml:space="preserve"> (completion of a similar migration of a similar size and scale within less than 2 years)</w:t>
            </w:r>
          </w:p>
          <w:p w14:paraId="7AD2A830" w14:textId="77777777" w:rsidR="0037350F" w:rsidRPr="001D272D" w:rsidRDefault="0037350F" w:rsidP="0085565B">
            <w:pPr>
              <w:pStyle w:val="ListParagraph"/>
              <w:widowControl w:val="0"/>
              <w:numPr>
                <w:ilvl w:val="0"/>
                <w:numId w:val="18"/>
              </w:numPr>
              <w:tabs>
                <w:tab w:val="left" w:pos="0"/>
              </w:tabs>
              <w:overflowPunct w:val="0"/>
              <w:autoSpaceDE w:val="0"/>
              <w:autoSpaceDN w:val="0"/>
              <w:adjustRightInd w:val="0"/>
              <w:spacing w:before="120" w:after="120" w:line="240" w:lineRule="auto"/>
              <w:rPr>
                <w:rFonts w:cs="Arial"/>
              </w:rPr>
            </w:pPr>
            <w:r>
              <w:rPr>
                <w:rFonts w:cs="Arial"/>
              </w:rPr>
              <w:t>Articulate your s</w:t>
            </w:r>
            <w:r w:rsidRPr="001D272D">
              <w:rPr>
                <w:rFonts w:cs="Arial"/>
              </w:rPr>
              <w:t xml:space="preserve">cope &amp; </w:t>
            </w:r>
            <w:r>
              <w:rPr>
                <w:rFonts w:cs="Arial"/>
              </w:rPr>
              <w:t>y</w:t>
            </w:r>
            <w:r w:rsidRPr="001D272D">
              <w:rPr>
                <w:rFonts w:cs="Arial"/>
              </w:rPr>
              <w:t xml:space="preserve">our </w:t>
            </w:r>
            <w:proofErr w:type="gramStart"/>
            <w:r>
              <w:rPr>
                <w:rFonts w:cs="Arial"/>
              </w:rPr>
              <w:t>r</w:t>
            </w:r>
            <w:r w:rsidRPr="001D272D">
              <w:rPr>
                <w:rFonts w:cs="Arial"/>
              </w:rPr>
              <w:t>esponsibilities</w:t>
            </w:r>
            <w:proofErr w:type="gramEnd"/>
          </w:p>
          <w:p w14:paraId="7E8B2960" w14:textId="4740D7EC" w:rsidR="0037350F" w:rsidRPr="001D272D" w:rsidRDefault="0037350F" w:rsidP="0085565B">
            <w:pPr>
              <w:pStyle w:val="ListParagraph"/>
              <w:widowControl w:val="0"/>
              <w:numPr>
                <w:ilvl w:val="0"/>
                <w:numId w:val="18"/>
              </w:numPr>
              <w:tabs>
                <w:tab w:val="left" w:pos="0"/>
              </w:tabs>
              <w:overflowPunct w:val="0"/>
              <w:autoSpaceDE w:val="0"/>
              <w:autoSpaceDN w:val="0"/>
              <w:adjustRightInd w:val="0"/>
              <w:spacing w:before="120" w:after="120" w:line="240" w:lineRule="auto"/>
              <w:rPr>
                <w:rFonts w:cs="Arial"/>
              </w:rPr>
            </w:pPr>
            <w:r>
              <w:rPr>
                <w:rFonts w:cs="Arial"/>
              </w:rPr>
              <w:t>Describe t</w:t>
            </w:r>
            <w:r w:rsidRPr="001D272D">
              <w:rPr>
                <w:rFonts w:cs="Arial"/>
              </w:rPr>
              <w:t xml:space="preserve">he legacy </w:t>
            </w:r>
            <w:r w:rsidR="00E403EF">
              <w:rPr>
                <w:rFonts w:cs="Arial"/>
              </w:rPr>
              <w:t>t</w:t>
            </w:r>
            <w:r w:rsidRPr="001D272D">
              <w:rPr>
                <w:rFonts w:cs="Arial"/>
              </w:rPr>
              <w:t xml:space="preserve">echnology </w:t>
            </w:r>
            <w:proofErr w:type="gramStart"/>
            <w:r w:rsidR="00E403EF">
              <w:rPr>
                <w:rFonts w:cs="Arial"/>
              </w:rPr>
              <w:t>l</w:t>
            </w:r>
            <w:r w:rsidRPr="001D272D">
              <w:rPr>
                <w:rFonts w:cs="Arial"/>
              </w:rPr>
              <w:t>andscape</w:t>
            </w:r>
            <w:proofErr w:type="gramEnd"/>
          </w:p>
          <w:p w14:paraId="3BBF5677" w14:textId="09FB858E" w:rsidR="0037350F" w:rsidRDefault="0037350F" w:rsidP="0085565B">
            <w:pPr>
              <w:pStyle w:val="ListParagraph"/>
              <w:widowControl w:val="0"/>
              <w:numPr>
                <w:ilvl w:val="0"/>
                <w:numId w:val="18"/>
              </w:numPr>
              <w:tabs>
                <w:tab w:val="left" w:pos="0"/>
              </w:tabs>
              <w:overflowPunct w:val="0"/>
              <w:autoSpaceDE w:val="0"/>
              <w:autoSpaceDN w:val="0"/>
              <w:adjustRightInd w:val="0"/>
              <w:spacing w:before="120" w:after="120" w:line="240" w:lineRule="auto"/>
              <w:rPr>
                <w:rFonts w:cs="Arial"/>
              </w:rPr>
            </w:pPr>
            <w:r>
              <w:rPr>
                <w:rFonts w:cs="Arial"/>
              </w:rPr>
              <w:t>Provide the t</w:t>
            </w:r>
            <w:r w:rsidRPr="001D272D">
              <w:rPr>
                <w:rFonts w:cs="Arial"/>
              </w:rPr>
              <w:t xml:space="preserve">imeframe </w:t>
            </w:r>
            <w:r>
              <w:rPr>
                <w:rFonts w:cs="Arial"/>
              </w:rPr>
              <w:t xml:space="preserve">including the original </w:t>
            </w:r>
            <w:r w:rsidRPr="001D272D">
              <w:rPr>
                <w:rFonts w:cs="Arial"/>
              </w:rPr>
              <w:t xml:space="preserve">ambition vs </w:t>
            </w:r>
            <w:r>
              <w:rPr>
                <w:rFonts w:cs="Arial"/>
              </w:rPr>
              <w:t xml:space="preserve">what was </w:t>
            </w:r>
            <w:r w:rsidRPr="001D272D">
              <w:rPr>
                <w:rFonts w:cs="Arial"/>
              </w:rPr>
              <w:t>achieved</w:t>
            </w:r>
            <w:r w:rsidR="007F5783">
              <w:rPr>
                <w:rFonts w:cs="Arial"/>
              </w:rPr>
              <w:t xml:space="preserve">, along with any circumstances that led to a variation in </w:t>
            </w:r>
            <w:r w:rsidR="00D91450">
              <w:rPr>
                <w:rFonts w:cs="Arial"/>
              </w:rPr>
              <w:t>the timeline.</w:t>
            </w:r>
            <w:r w:rsidR="006E05FB">
              <w:rPr>
                <w:rFonts w:cs="Arial"/>
              </w:rPr>
              <w:t xml:space="preserve"> </w:t>
            </w:r>
          </w:p>
          <w:p w14:paraId="3664E02F" w14:textId="587AE52C" w:rsidR="0037350F" w:rsidRDefault="0037350F" w:rsidP="0085565B">
            <w:pPr>
              <w:pStyle w:val="ListParagraph"/>
              <w:widowControl w:val="0"/>
              <w:numPr>
                <w:ilvl w:val="0"/>
                <w:numId w:val="18"/>
              </w:numPr>
              <w:tabs>
                <w:tab w:val="left" w:pos="0"/>
              </w:tabs>
              <w:overflowPunct w:val="0"/>
              <w:autoSpaceDE w:val="0"/>
              <w:autoSpaceDN w:val="0"/>
              <w:adjustRightInd w:val="0"/>
              <w:spacing w:before="120" w:after="120" w:line="240" w:lineRule="auto"/>
              <w:rPr>
                <w:rFonts w:cs="Arial"/>
              </w:rPr>
            </w:pPr>
            <w:r>
              <w:rPr>
                <w:rFonts w:cs="Arial"/>
              </w:rPr>
              <w:t xml:space="preserve">Articulate the challenges encountered </w:t>
            </w:r>
            <w:r w:rsidR="00AC76C9">
              <w:rPr>
                <w:rFonts w:cs="Arial"/>
              </w:rPr>
              <w:t xml:space="preserve">by your organisation and the client </w:t>
            </w:r>
            <w:r w:rsidR="00A60297">
              <w:rPr>
                <w:rFonts w:cs="Arial"/>
              </w:rPr>
              <w:t xml:space="preserve">organisation </w:t>
            </w:r>
            <w:r>
              <w:rPr>
                <w:rFonts w:cs="Arial"/>
              </w:rPr>
              <w:t xml:space="preserve">during the contract term and how these were </w:t>
            </w:r>
            <w:proofErr w:type="gramStart"/>
            <w:r>
              <w:rPr>
                <w:rFonts w:cs="Arial"/>
              </w:rPr>
              <w:t>overcome</w:t>
            </w:r>
            <w:proofErr w:type="gramEnd"/>
          </w:p>
          <w:p w14:paraId="1E68BDFE" w14:textId="6A580EF4" w:rsidR="00876715" w:rsidRPr="00876715" w:rsidRDefault="00876715" w:rsidP="0085565B">
            <w:pPr>
              <w:pStyle w:val="ListParagraph"/>
              <w:widowControl w:val="0"/>
              <w:numPr>
                <w:ilvl w:val="0"/>
                <w:numId w:val="18"/>
              </w:numPr>
              <w:tabs>
                <w:tab w:val="left" w:pos="0"/>
              </w:tabs>
              <w:overflowPunct w:val="0"/>
              <w:autoSpaceDE w:val="0"/>
              <w:autoSpaceDN w:val="0"/>
              <w:adjustRightInd w:val="0"/>
              <w:spacing w:after="120"/>
              <w:rPr>
                <w:rFonts w:cs="Arial"/>
              </w:rPr>
            </w:pPr>
            <w:r w:rsidRPr="00876715">
              <w:rPr>
                <w:rFonts w:cs="Arial"/>
              </w:rPr>
              <w:t>Summarise how long-term hosting was delivered post-migration, including SLAs, support coverage, and service continuity.</w:t>
            </w:r>
          </w:p>
          <w:p w14:paraId="334D73DE" w14:textId="18B905DF" w:rsidR="00876715" w:rsidRPr="00876715" w:rsidRDefault="00876715" w:rsidP="0085565B">
            <w:pPr>
              <w:pStyle w:val="ListParagraph"/>
              <w:widowControl w:val="0"/>
              <w:numPr>
                <w:ilvl w:val="0"/>
                <w:numId w:val="18"/>
              </w:numPr>
              <w:tabs>
                <w:tab w:val="left" w:pos="0"/>
              </w:tabs>
              <w:overflowPunct w:val="0"/>
              <w:autoSpaceDE w:val="0"/>
              <w:autoSpaceDN w:val="0"/>
              <w:adjustRightInd w:val="0"/>
              <w:spacing w:after="120"/>
              <w:rPr>
                <w:rFonts w:cs="Arial"/>
              </w:rPr>
            </w:pPr>
            <w:r w:rsidRPr="00876715">
              <w:rPr>
                <w:rFonts w:cs="Arial"/>
              </w:rPr>
              <w:t>Describe how cloud spend was managed and optimised over time, including governance, forecasting, and cost-saving measures.</w:t>
            </w:r>
          </w:p>
          <w:p w14:paraId="3D62E723" w14:textId="6EFFC918" w:rsidR="00876715" w:rsidRPr="00876715" w:rsidRDefault="00876715" w:rsidP="0085565B">
            <w:pPr>
              <w:pStyle w:val="ListParagraph"/>
              <w:widowControl w:val="0"/>
              <w:numPr>
                <w:ilvl w:val="0"/>
                <w:numId w:val="18"/>
              </w:numPr>
              <w:tabs>
                <w:tab w:val="left" w:pos="0"/>
              </w:tabs>
              <w:overflowPunct w:val="0"/>
              <w:autoSpaceDE w:val="0"/>
              <w:autoSpaceDN w:val="0"/>
              <w:adjustRightInd w:val="0"/>
              <w:spacing w:after="120"/>
              <w:rPr>
                <w:rFonts w:cs="Arial"/>
              </w:rPr>
            </w:pPr>
            <w:r w:rsidRPr="00876715">
              <w:rPr>
                <w:rFonts w:cs="Arial"/>
              </w:rPr>
              <w:t>Outline how hosting services evolved, including performance tuning, automation, and adoption of new cloud capabilities.</w:t>
            </w:r>
          </w:p>
          <w:p w14:paraId="3B5F240E" w14:textId="77777777" w:rsidR="00876715" w:rsidRPr="001D272D" w:rsidRDefault="00876715" w:rsidP="0042078E">
            <w:pPr>
              <w:pStyle w:val="ListParagraph"/>
              <w:widowControl w:val="0"/>
              <w:tabs>
                <w:tab w:val="left" w:pos="0"/>
              </w:tabs>
              <w:overflowPunct w:val="0"/>
              <w:autoSpaceDE w:val="0"/>
              <w:autoSpaceDN w:val="0"/>
              <w:adjustRightInd w:val="0"/>
              <w:spacing w:before="120" w:after="120" w:line="240" w:lineRule="auto"/>
              <w:rPr>
                <w:rFonts w:cs="Arial"/>
              </w:rPr>
            </w:pPr>
          </w:p>
          <w:p w14:paraId="56F93374" w14:textId="7249BBA0" w:rsidR="0037350F" w:rsidRDefault="0037350F">
            <w:pPr>
              <w:rPr>
                <w:rFonts w:cs="Arial"/>
              </w:rPr>
            </w:pPr>
            <w:r>
              <w:rPr>
                <w:rFonts w:cs="Arial"/>
              </w:rPr>
              <w:t>Please also provide t</w:t>
            </w:r>
            <w:r w:rsidRPr="001D272D">
              <w:rPr>
                <w:rFonts w:cs="Arial"/>
              </w:rPr>
              <w:t xml:space="preserve">he name and contact details of a senior representative from the client organisation.  HMRC will provide advance notice to </w:t>
            </w:r>
            <w:r w:rsidR="00433587">
              <w:rPr>
                <w:rFonts w:cs="Arial"/>
              </w:rPr>
              <w:t>Tenderer</w:t>
            </w:r>
            <w:r w:rsidRPr="001D272D">
              <w:rPr>
                <w:rFonts w:cs="Arial"/>
              </w:rPr>
              <w:t xml:space="preserve">s prior to </w:t>
            </w:r>
            <w:proofErr w:type="gramStart"/>
            <w:r w:rsidRPr="001D272D">
              <w:rPr>
                <w:rFonts w:cs="Arial"/>
              </w:rPr>
              <w:t>making contact with</w:t>
            </w:r>
            <w:proofErr w:type="gramEnd"/>
            <w:r w:rsidRPr="001D272D">
              <w:rPr>
                <w:rFonts w:cs="Arial"/>
              </w:rPr>
              <w:t xml:space="preserve"> any referenced organisation.  </w:t>
            </w:r>
          </w:p>
          <w:p w14:paraId="3137D4D0" w14:textId="77777777" w:rsidR="0037350F" w:rsidRPr="001D272D" w:rsidRDefault="0037350F">
            <w:pPr>
              <w:rPr>
                <w:rFonts w:cs="Arial"/>
              </w:rPr>
            </w:pPr>
          </w:p>
          <w:p w14:paraId="45EC0A13" w14:textId="32210FBC" w:rsidR="0037350F" w:rsidRDefault="0037350F">
            <w:pPr>
              <w:rPr>
                <w:rFonts w:cs="Arial"/>
              </w:rPr>
            </w:pPr>
            <w:r w:rsidRPr="001D272D">
              <w:rPr>
                <w:rFonts w:cs="Arial"/>
              </w:rPr>
              <w:t xml:space="preserve">Please note that the </w:t>
            </w:r>
            <w:r w:rsidR="00422C35">
              <w:rPr>
                <w:rFonts w:cs="Arial"/>
              </w:rPr>
              <w:t>9</w:t>
            </w:r>
            <w:r w:rsidRPr="001D272D">
              <w:rPr>
                <w:rFonts w:cs="Arial"/>
              </w:rPr>
              <w:t xml:space="preserve"> sub-criteria listed will be considered for each of the submitted case studies. Ea</w:t>
            </w:r>
            <w:r>
              <w:rPr>
                <w:rFonts w:cs="Arial"/>
              </w:rPr>
              <w:t>c</w:t>
            </w:r>
            <w:r w:rsidRPr="001D272D">
              <w:rPr>
                <w:rFonts w:cs="Arial"/>
              </w:rPr>
              <w:t xml:space="preserve">h case study has a relative weighting of </w:t>
            </w:r>
            <w:r>
              <w:rPr>
                <w:rFonts w:cs="Arial"/>
              </w:rPr>
              <w:t>33.3</w:t>
            </w:r>
            <w:r w:rsidRPr="001D272D">
              <w:rPr>
                <w:rFonts w:cs="Arial"/>
              </w:rPr>
              <w:t>% towards the question total of 30%</w:t>
            </w:r>
            <w:r w:rsidDel="003F6C1E">
              <w:rPr>
                <w:rFonts w:cs="Arial"/>
              </w:rPr>
              <w:t xml:space="preserve"> </w:t>
            </w:r>
            <w:r w:rsidR="00992A56">
              <w:rPr>
                <w:rFonts w:cs="Arial"/>
              </w:rPr>
              <w:t xml:space="preserve">(10 % of the total overall </w:t>
            </w:r>
            <w:r w:rsidR="00BC2EF4">
              <w:rPr>
                <w:rFonts w:cs="Arial"/>
              </w:rPr>
              <w:t xml:space="preserve">PSQ </w:t>
            </w:r>
            <w:r w:rsidR="00992A56">
              <w:rPr>
                <w:rFonts w:cs="Arial"/>
              </w:rPr>
              <w:t>weighting</w:t>
            </w:r>
            <w:r w:rsidR="00CC339A">
              <w:rPr>
                <w:rFonts w:cs="Arial"/>
              </w:rPr>
              <w:t xml:space="preserve"> per case study</w:t>
            </w:r>
            <w:r w:rsidR="00992A56">
              <w:rPr>
                <w:rFonts w:cs="Arial"/>
              </w:rPr>
              <w:t>)</w:t>
            </w:r>
          </w:p>
          <w:p w14:paraId="0B4B64EE" w14:textId="77777777" w:rsidR="0037350F" w:rsidRPr="00E84B05" w:rsidRDefault="0037350F">
            <w:pPr>
              <w:rPr>
                <w:rFonts w:cs="Arial"/>
                <w:b/>
                <w:bCs/>
                <w:u w:val="single"/>
              </w:rPr>
            </w:pPr>
          </w:p>
          <w:p w14:paraId="666BB2C2" w14:textId="663C798C" w:rsidR="0037350F" w:rsidRPr="00E84B05" w:rsidRDefault="0037350F">
            <w:pPr>
              <w:rPr>
                <w:rFonts w:cs="Arial"/>
                <w:b/>
                <w:bCs/>
                <w:u w:val="single"/>
              </w:rPr>
            </w:pPr>
            <w:r w:rsidRPr="00E84B05">
              <w:rPr>
                <w:rFonts w:cs="Arial"/>
                <w:b/>
                <w:bCs/>
                <w:u w:val="single"/>
              </w:rPr>
              <w:t xml:space="preserve">Response </w:t>
            </w:r>
            <w:r w:rsidR="000E558F">
              <w:rPr>
                <w:rFonts w:cs="Arial"/>
                <w:b/>
                <w:bCs/>
                <w:u w:val="single"/>
              </w:rPr>
              <w:t>requirement</w:t>
            </w:r>
            <w:r w:rsidR="00920BFE">
              <w:rPr>
                <w:rFonts w:cs="Arial"/>
                <w:b/>
                <w:bCs/>
                <w:u w:val="single"/>
              </w:rPr>
              <w:t>(</w:t>
            </w:r>
            <w:r w:rsidR="000E558F">
              <w:rPr>
                <w:rFonts w:cs="Arial"/>
                <w:b/>
                <w:bCs/>
                <w:u w:val="single"/>
              </w:rPr>
              <w:t>s</w:t>
            </w:r>
            <w:r w:rsidR="00920BFE">
              <w:rPr>
                <w:rFonts w:cs="Arial"/>
                <w:b/>
                <w:bCs/>
                <w:u w:val="single"/>
              </w:rPr>
              <w:t>)</w:t>
            </w:r>
            <w:r w:rsidR="000E558F">
              <w:rPr>
                <w:rFonts w:cs="Arial"/>
                <w:b/>
                <w:bCs/>
                <w:u w:val="single"/>
              </w:rPr>
              <w:t xml:space="preserve"> </w:t>
            </w:r>
            <w:r w:rsidRPr="00E84B05">
              <w:rPr>
                <w:rFonts w:cs="Arial"/>
                <w:b/>
                <w:bCs/>
                <w:u w:val="single"/>
              </w:rPr>
              <w:t xml:space="preserve"> </w:t>
            </w:r>
          </w:p>
          <w:p w14:paraId="4CB5B470" w14:textId="77777777" w:rsidR="0037350F" w:rsidRDefault="0037350F">
            <w:pPr>
              <w:rPr>
                <w:rFonts w:cs="Arial"/>
              </w:rPr>
            </w:pPr>
          </w:p>
          <w:p w14:paraId="0662A786" w14:textId="11CF9515" w:rsidR="0037350F" w:rsidRDefault="0037350F" w:rsidP="0085565B">
            <w:pPr>
              <w:pStyle w:val="ListParagraph"/>
              <w:numPr>
                <w:ilvl w:val="0"/>
                <w:numId w:val="17"/>
              </w:numPr>
              <w:spacing w:after="0" w:line="240" w:lineRule="auto"/>
              <w:rPr>
                <w:rFonts w:cs="Arial"/>
              </w:rPr>
            </w:pPr>
            <w:r>
              <w:rPr>
                <w:rFonts w:cs="Arial"/>
              </w:rPr>
              <w:t xml:space="preserve">Each case study should be no more than </w:t>
            </w:r>
            <w:r w:rsidR="00A76DF0">
              <w:rPr>
                <w:rFonts w:cs="Arial"/>
              </w:rPr>
              <w:t xml:space="preserve">seven </w:t>
            </w:r>
            <w:r>
              <w:rPr>
                <w:rFonts w:cs="Arial"/>
              </w:rPr>
              <w:t>[</w:t>
            </w:r>
            <w:r w:rsidR="00A76DF0">
              <w:rPr>
                <w:rFonts w:cs="Arial"/>
              </w:rPr>
              <w:t>7</w:t>
            </w:r>
            <w:r>
              <w:rPr>
                <w:rFonts w:cs="Arial"/>
              </w:rPr>
              <w:t>] PowerPoint slides</w:t>
            </w:r>
            <w:r w:rsidR="000E558F">
              <w:rPr>
                <w:rFonts w:cs="Arial"/>
              </w:rPr>
              <w:t xml:space="preserve">. </w:t>
            </w:r>
            <w:r w:rsidR="001E3292">
              <w:rPr>
                <w:rFonts w:cs="Arial"/>
              </w:rPr>
              <w:t xml:space="preserve">Subject to </w:t>
            </w:r>
            <w:r w:rsidR="001E3292" w:rsidRPr="00123CD2">
              <w:rPr>
                <w:rFonts w:cs="Arial"/>
              </w:rPr>
              <w:t xml:space="preserve">point </w:t>
            </w:r>
            <w:r w:rsidR="001E3292" w:rsidRPr="003E246C">
              <w:rPr>
                <w:rFonts w:cs="Arial"/>
              </w:rPr>
              <w:t>(ii)</w:t>
            </w:r>
            <w:r w:rsidR="001E3292" w:rsidRPr="00123CD2">
              <w:rPr>
                <w:rFonts w:cs="Arial"/>
              </w:rPr>
              <w:t xml:space="preserve"> below</w:t>
            </w:r>
            <w:r w:rsidR="001E3292">
              <w:rPr>
                <w:rFonts w:cs="Arial"/>
              </w:rPr>
              <w:t>, a</w:t>
            </w:r>
            <w:r w:rsidR="000E558F">
              <w:rPr>
                <w:rFonts w:cs="Arial"/>
              </w:rPr>
              <w:t xml:space="preserve">ny material provided </w:t>
            </w:r>
            <w:proofErr w:type="gramStart"/>
            <w:r w:rsidR="000E558F">
              <w:rPr>
                <w:rFonts w:cs="Arial"/>
              </w:rPr>
              <w:t>in excess of</w:t>
            </w:r>
            <w:proofErr w:type="gramEnd"/>
            <w:r w:rsidR="000E558F">
              <w:rPr>
                <w:rFonts w:cs="Arial"/>
              </w:rPr>
              <w:t xml:space="preserve"> </w:t>
            </w:r>
            <w:r w:rsidR="00A76DF0">
              <w:rPr>
                <w:rFonts w:cs="Arial"/>
              </w:rPr>
              <w:t xml:space="preserve">seven [7] </w:t>
            </w:r>
            <w:r w:rsidR="000E558F">
              <w:rPr>
                <w:rFonts w:cs="Arial"/>
              </w:rPr>
              <w:t>PowerPoint slides</w:t>
            </w:r>
            <w:r w:rsidR="001E3292">
              <w:rPr>
                <w:rFonts w:cs="Arial"/>
              </w:rPr>
              <w:t xml:space="preserve"> will not be evaluated. </w:t>
            </w:r>
            <w:r w:rsidR="00A76DF0">
              <w:rPr>
                <w:rFonts w:cs="Arial"/>
              </w:rPr>
              <w:t>Font style Arial, with font size no smaller than 10</w:t>
            </w:r>
          </w:p>
          <w:p w14:paraId="11C164C6" w14:textId="77777777" w:rsidR="0037350F" w:rsidRPr="00934E50" w:rsidRDefault="0037350F" w:rsidP="0085565B">
            <w:pPr>
              <w:pStyle w:val="ListParagraph"/>
              <w:numPr>
                <w:ilvl w:val="0"/>
                <w:numId w:val="17"/>
              </w:numPr>
              <w:spacing w:after="0" w:line="240" w:lineRule="auto"/>
              <w:rPr>
                <w:rFonts w:cs="Arial"/>
              </w:rPr>
            </w:pPr>
            <w:r>
              <w:rPr>
                <w:rFonts w:cs="Arial"/>
              </w:rPr>
              <w:t xml:space="preserve">Please note the contact details can be provided separately and do not contribute to the page </w:t>
            </w:r>
            <w:proofErr w:type="gramStart"/>
            <w:r>
              <w:rPr>
                <w:rFonts w:cs="Arial"/>
              </w:rPr>
              <w:t>count</w:t>
            </w:r>
            <w:proofErr w:type="gramEnd"/>
          </w:p>
          <w:p w14:paraId="4343B009" w14:textId="77777777" w:rsidR="0037350F" w:rsidRPr="00E84B05" w:rsidRDefault="0037350F">
            <w:pPr>
              <w:widowControl w:val="0"/>
              <w:overflowPunct w:val="0"/>
              <w:autoSpaceDE w:val="0"/>
              <w:autoSpaceDN w:val="0"/>
              <w:adjustRightInd w:val="0"/>
              <w:spacing w:before="120" w:after="120"/>
              <w:jc w:val="both"/>
              <w:rPr>
                <w:rFonts w:eastAsia="Arial" w:cs="Arial"/>
              </w:rPr>
            </w:pPr>
          </w:p>
        </w:tc>
        <w:tc>
          <w:tcPr>
            <w:tcW w:w="1460" w:type="dxa"/>
            <w:tcBorders>
              <w:top w:val="single" w:sz="6" w:space="0" w:color="000000" w:themeColor="text1"/>
              <w:bottom w:val="single" w:sz="6" w:space="0" w:color="000000" w:themeColor="text1"/>
            </w:tcBorders>
          </w:tcPr>
          <w:p w14:paraId="16C51447" w14:textId="77777777" w:rsidR="0037350F" w:rsidRPr="00E84B05" w:rsidRDefault="0037350F">
            <w:pPr>
              <w:widowControl w:val="0"/>
              <w:overflowPunct w:val="0"/>
              <w:autoSpaceDE w:val="0"/>
              <w:autoSpaceDN w:val="0"/>
              <w:adjustRightInd w:val="0"/>
              <w:spacing w:before="120" w:after="120"/>
              <w:jc w:val="center"/>
              <w:rPr>
                <w:rFonts w:cs="Arial"/>
                <w:b/>
              </w:rPr>
            </w:pPr>
            <w:r>
              <w:rPr>
                <w:rFonts w:cs="Arial"/>
                <w:b/>
              </w:rPr>
              <w:t>30</w:t>
            </w:r>
            <w:r w:rsidRPr="008607E6">
              <w:rPr>
                <w:rFonts w:cs="Arial"/>
                <w:b/>
              </w:rPr>
              <w:t>% Weighting</w:t>
            </w:r>
          </w:p>
          <w:p w14:paraId="21A79474" w14:textId="77777777" w:rsidR="0037350F" w:rsidRPr="00E84B05" w:rsidRDefault="0037350F">
            <w:pPr>
              <w:widowControl w:val="0"/>
              <w:tabs>
                <w:tab w:val="left" w:pos="0"/>
              </w:tabs>
              <w:overflowPunct w:val="0"/>
              <w:autoSpaceDE w:val="0"/>
              <w:autoSpaceDN w:val="0"/>
              <w:adjustRightInd w:val="0"/>
              <w:spacing w:before="120" w:after="120"/>
              <w:jc w:val="center"/>
              <w:rPr>
                <w:rFonts w:cs="Arial"/>
                <w:b/>
              </w:rPr>
            </w:pPr>
          </w:p>
          <w:p w14:paraId="34F6E382" w14:textId="4F3CFDCC" w:rsidR="0037350F" w:rsidRPr="00E84B05" w:rsidRDefault="006168B0">
            <w:pPr>
              <w:tabs>
                <w:tab w:val="left" w:pos="602"/>
              </w:tabs>
              <w:spacing w:after="0" w:line="276" w:lineRule="auto"/>
              <w:rPr>
                <w:rFonts w:eastAsia="Arial" w:cs="Calibri"/>
              </w:rPr>
            </w:pPr>
            <w:r>
              <w:rPr>
                <w:rFonts w:cs="Arial"/>
                <w:b/>
              </w:rPr>
              <w:t>M</w:t>
            </w:r>
            <w:r w:rsidRPr="00195EDC">
              <w:rPr>
                <w:rFonts w:cs="Arial"/>
                <w:b/>
                <w:bCs/>
              </w:rPr>
              <w:t>aximum</w:t>
            </w:r>
            <w:r>
              <w:rPr>
                <w:rFonts w:cs="Arial"/>
              </w:rPr>
              <w:t xml:space="preserve"> </w:t>
            </w:r>
            <w:r w:rsidR="00A76DF0">
              <w:rPr>
                <w:rFonts w:cs="Arial"/>
                <w:b/>
              </w:rPr>
              <w:t>7</w:t>
            </w:r>
            <w:r w:rsidR="00A76DF0" w:rsidRPr="008607E6">
              <w:rPr>
                <w:rFonts w:cs="Arial"/>
                <w:b/>
              </w:rPr>
              <w:t xml:space="preserve"> </w:t>
            </w:r>
            <w:r w:rsidR="0037350F" w:rsidRPr="008607E6">
              <w:rPr>
                <w:rFonts w:cs="Arial"/>
                <w:b/>
              </w:rPr>
              <w:t xml:space="preserve">Slides of PowerPoint per Case Study  </w:t>
            </w:r>
          </w:p>
        </w:tc>
      </w:tr>
      <w:tr w:rsidR="0037350F" w:rsidRPr="002B147A" w14:paraId="781B3DB0" w14:textId="77777777" w:rsidTr="008F3A64">
        <w:trPr>
          <w:trHeight w:val="5207"/>
        </w:trPr>
        <w:tc>
          <w:tcPr>
            <w:tcW w:w="0" w:type="auto"/>
            <w:vMerge/>
          </w:tcPr>
          <w:p w14:paraId="797FA97E" w14:textId="77777777" w:rsidR="0037350F" w:rsidRPr="00211799" w:rsidRDefault="0037350F">
            <w:pPr>
              <w:spacing w:after="0" w:line="276" w:lineRule="auto"/>
              <w:rPr>
                <w:rFonts w:eastAsia="Arial" w:cs="Arial"/>
                <w:b/>
                <w:bCs/>
              </w:rPr>
            </w:pPr>
          </w:p>
        </w:tc>
        <w:tc>
          <w:tcPr>
            <w:tcW w:w="4877" w:type="dxa"/>
            <w:vMerge/>
            <w:vAlign w:val="center"/>
          </w:tcPr>
          <w:p w14:paraId="31964687" w14:textId="77777777" w:rsidR="0037350F" w:rsidRPr="00211799" w:rsidRDefault="0037350F">
            <w:pPr>
              <w:widowControl w:val="0"/>
              <w:overflowPunct w:val="0"/>
              <w:autoSpaceDE w:val="0"/>
              <w:autoSpaceDN w:val="0"/>
              <w:adjustRightInd w:val="0"/>
              <w:spacing w:before="120" w:after="120"/>
              <w:jc w:val="both"/>
              <w:rPr>
                <w:rFonts w:cs="Arial"/>
                <w:b/>
                <w:bCs/>
              </w:rPr>
            </w:pPr>
          </w:p>
        </w:tc>
        <w:tc>
          <w:tcPr>
            <w:tcW w:w="1460" w:type="dxa"/>
            <w:tcBorders>
              <w:top w:val="single" w:sz="6" w:space="0" w:color="000000" w:themeColor="text1"/>
              <w:bottom w:val="single" w:sz="6" w:space="0" w:color="000000" w:themeColor="text1"/>
            </w:tcBorders>
          </w:tcPr>
          <w:p w14:paraId="6D1C7757" w14:textId="2197DDCE" w:rsidR="0037350F" w:rsidRPr="00211799" w:rsidRDefault="000570B2">
            <w:pPr>
              <w:tabs>
                <w:tab w:val="left" w:pos="594"/>
              </w:tabs>
              <w:spacing w:after="0" w:line="276" w:lineRule="auto"/>
              <w:rPr>
                <w:rFonts w:eastAsia="Arial" w:cs="Calibri"/>
              </w:rPr>
            </w:pPr>
            <w:r>
              <w:rPr>
                <w:rFonts w:eastAsia="Arial" w:cs="Calibri"/>
              </w:rPr>
              <w:t>Named Contact Information</w:t>
            </w:r>
            <w:r w:rsidR="000724F3">
              <w:rPr>
                <w:rFonts w:eastAsia="Arial" w:cs="Calibri"/>
              </w:rPr>
              <w:t xml:space="preserve">: Full name and </w:t>
            </w:r>
            <w:r w:rsidR="00827611">
              <w:rPr>
                <w:rFonts w:eastAsia="Arial" w:cs="Calibri"/>
              </w:rPr>
              <w:t>email address</w:t>
            </w:r>
          </w:p>
        </w:tc>
      </w:tr>
      <w:tr w:rsidR="0037350F" w:rsidRPr="00605283" w14:paraId="1E0ADEA7" w14:textId="77777777" w:rsidTr="008F3A64">
        <w:trPr>
          <w:trHeight w:val="4255"/>
        </w:trPr>
        <w:tc>
          <w:tcPr>
            <w:tcW w:w="0" w:type="auto"/>
            <w:vMerge w:val="restart"/>
            <w:tcBorders>
              <w:top w:val="single" w:sz="6" w:space="0" w:color="000000" w:themeColor="text1"/>
            </w:tcBorders>
            <w:shd w:val="clear" w:color="auto" w:fill="F2F2F2" w:themeFill="background1" w:themeFillShade="F2"/>
          </w:tcPr>
          <w:p w14:paraId="481A7728" w14:textId="77777777" w:rsidR="0037350F" w:rsidRPr="00E84B05" w:rsidRDefault="0037350F">
            <w:pPr>
              <w:spacing w:after="0" w:line="276" w:lineRule="auto"/>
              <w:rPr>
                <w:rFonts w:eastAsia="Arial" w:cs="Arial"/>
                <w:b/>
              </w:rPr>
            </w:pPr>
            <w:r w:rsidRPr="00E84B05">
              <w:rPr>
                <w:rFonts w:eastAsia="Arial" w:cs="Arial"/>
                <w:b/>
              </w:rPr>
              <w:t>3.9</w:t>
            </w:r>
          </w:p>
        </w:tc>
        <w:tc>
          <w:tcPr>
            <w:tcW w:w="4877" w:type="dxa"/>
            <w:vMerge w:val="restart"/>
            <w:tcBorders>
              <w:top w:val="single" w:sz="6" w:space="0" w:color="000000" w:themeColor="text1"/>
            </w:tcBorders>
            <w:shd w:val="clear" w:color="auto" w:fill="F2F2F2" w:themeFill="background1" w:themeFillShade="F2"/>
          </w:tcPr>
          <w:p w14:paraId="377C9BD2" w14:textId="77777777" w:rsidR="001E3292" w:rsidRPr="000760DC" w:rsidRDefault="001E3292">
            <w:pPr>
              <w:rPr>
                <w:b/>
                <w:bCs/>
              </w:rPr>
            </w:pPr>
            <w:r w:rsidRPr="000760DC">
              <w:rPr>
                <w:b/>
                <w:bCs/>
              </w:rPr>
              <w:t>Criteria</w:t>
            </w:r>
          </w:p>
          <w:p w14:paraId="3A5A1ADD" w14:textId="21088693" w:rsidR="0037350F" w:rsidRDefault="0037350F">
            <w:r w:rsidRPr="00564165">
              <w:t xml:space="preserve">Based on </w:t>
            </w:r>
            <w:r w:rsidR="00CF688B" w:rsidRPr="00564165">
              <w:t>Annex 2 – Services Description</w:t>
            </w:r>
            <w:r w:rsidRPr="00564165">
              <w:t xml:space="preserve">, please describe the legacy technology stacks and OS versions </w:t>
            </w:r>
            <w:r w:rsidR="004B1AF3" w:rsidRPr="00564165">
              <w:t xml:space="preserve">you have </w:t>
            </w:r>
            <w:r w:rsidR="00A118A4">
              <w:t xml:space="preserve">previously </w:t>
            </w:r>
            <w:r w:rsidR="004B1AF3" w:rsidRPr="00564165">
              <w:t xml:space="preserve">been </w:t>
            </w:r>
            <w:r w:rsidRPr="00564165">
              <w:t>able to rehost in your public cloud.</w:t>
            </w:r>
            <w:r w:rsidR="00DD5884">
              <w:t xml:space="preserve"> </w:t>
            </w:r>
            <w:r w:rsidR="000234D6">
              <w:t xml:space="preserve">HMRC expects </w:t>
            </w:r>
            <w:proofErr w:type="gramStart"/>
            <w:r w:rsidR="000234D6">
              <w:t>all of</w:t>
            </w:r>
            <w:proofErr w:type="gramEnd"/>
            <w:r w:rsidR="000234D6">
              <w:t xml:space="preserve"> these </w:t>
            </w:r>
            <w:r w:rsidR="00244E5A">
              <w:t xml:space="preserve">technology stacks and OS versions to be </w:t>
            </w:r>
            <w:r w:rsidR="00946C11">
              <w:t>migrated</w:t>
            </w:r>
            <w:r w:rsidR="008C2627">
              <w:t xml:space="preserve"> and managed.  </w:t>
            </w:r>
          </w:p>
          <w:p w14:paraId="0314C88D" w14:textId="1FFA6DBF" w:rsidR="00920BFE" w:rsidRPr="000760DC" w:rsidRDefault="00920BFE">
            <w:pPr>
              <w:rPr>
                <w:b/>
                <w:bCs/>
              </w:rPr>
            </w:pPr>
            <w:r w:rsidRPr="000760DC">
              <w:rPr>
                <w:b/>
                <w:bCs/>
              </w:rPr>
              <w:t>Sub-Criteria</w:t>
            </w:r>
          </w:p>
          <w:p w14:paraId="2DC56841" w14:textId="77777777" w:rsidR="0037350F" w:rsidRPr="00FE16AC" w:rsidRDefault="0037350F">
            <w:r w:rsidRPr="001D272D">
              <w:rPr>
                <w:rFonts w:cs="Arial"/>
              </w:rPr>
              <w:t xml:space="preserve">Your response </w:t>
            </w:r>
            <w:r>
              <w:rPr>
                <w:rFonts w:cs="Arial"/>
              </w:rPr>
              <w:t>must address</w:t>
            </w:r>
            <w:r w:rsidRPr="001D272D">
              <w:rPr>
                <w:rFonts w:cs="Arial"/>
              </w:rPr>
              <w:t xml:space="preserve"> the following</w:t>
            </w:r>
            <w:r>
              <w:rPr>
                <w:rFonts w:cs="Arial"/>
              </w:rPr>
              <w:t xml:space="preserve"> sub-criteria:</w:t>
            </w:r>
          </w:p>
          <w:p w14:paraId="093D4289" w14:textId="4EAF9F55" w:rsidR="0037350F" w:rsidRDefault="0037350F" w:rsidP="0085565B">
            <w:pPr>
              <w:pStyle w:val="ListParagraph"/>
              <w:numPr>
                <w:ilvl w:val="0"/>
                <w:numId w:val="16"/>
              </w:numPr>
              <w:spacing w:after="0" w:line="240" w:lineRule="auto"/>
            </w:pPr>
            <w:r>
              <w:t xml:space="preserve">Provide a clear description of </w:t>
            </w:r>
            <w:r w:rsidRPr="0063791F">
              <w:t xml:space="preserve">the legacy technology stacks and OS versions which you’re able to rehost in your public </w:t>
            </w:r>
            <w:proofErr w:type="gramStart"/>
            <w:r w:rsidRPr="0063791F">
              <w:t>cloud</w:t>
            </w:r>
            <w:proofErr w:type="gramEnd"/>
          </w:p>
          <w:p w14:paraId="0E2E28BC" w14:textId="741F0733" w:rsidR="0037350F" w:rsidRPr="004E5739" w:rsidRDefault="0037350F" w:rsidP="0085565B">
            <w:pPr>
              <w:pStyle w:val="ListParagraph"/>
              <w:numPr>
                <w:ilvl w:val="0"/>
                <w:numId w:val="16"/>
              </w:numPr>
              <w:spacing w:after="0" w:line="240" w:lineRule="auto"/>
            </w:pPr>
            <w:r>
              <w:t>Articulate</w:t>
            </w:r>
            <w:r w:rsidR="007E6B77">
              <w:t>, based on past experience</w:t>
            </w:r>
            <w:r w:rsidR="00F35D9C">
              <w:t>,</w:t>
            </w:r>
            <w:r>
              <w:t xml:space="preserve"> </w:t>
            </w:r>
            <w:r w:rsidRPr="004E5739">
              <w:t xml:space="preserve">where you may have gaps in your ability to successfully </w:t>
            </w:r>
            <w:proofErr w:type="gramStart"/>
            <w:r w:rsidRPr="004E5739">
              <w:t>migrate</w:t>
            </w:r>
            <w:proofErr w:type="gramEnd"/>
          </w:p>
          <w:p w14:paraId="1BDD7929" w14:textId="7C1D9BCB" w:rsidR="0037350F" w:rsidRPr="00564165" w:rsidRDefault="0037350F" w:rsidP="0085565B">
            <w:pPr>
              <w:pStyle w:val="ListParagraph"/>
              <w:numPr>
                <w:ilvl w:val="0"/>
                <w:numId w:val="16"/>
              </w:numPr>
              <w:spacing w:after="0" w:line="240" w:lineRule="auto"/>
              <w:rPr>
                <w:sz w:val="20"/>
                <w:szCs w:val="20"/>
              </w:rPr>
            </w:pPr>
            <w:r w:rsidRPr="00564165">
              <w:t>Where any gaps have been identified, provide an explanation</w:t>
            </w:r>
            <w:r w:rsidR="0044435F" w:rsidRPr="00564165">
              <w:t>, based on past experience,</w:t>
            </w:r>
            <w:r w:rsidRPr="00564165">
              <w:t xml:space="preserve"> of how you propose to address any gaps in </w:t>
            </w:r>
            <w:proofErr w:type="gramStart"/>
            <w:r w:rsidRPr="00564165">
              <w:t>capabilities</w:t>
            </w:r>
            <w:proofErr w:type="gramEnd"/>
            <w:r w:rsidRPr="00564165">
              <w:t xml:space="preserve"> </w:t>
            </w:r>
          </w:p>
          <w:p w14:paraId="1A7DCA9A" w14:textId="77777777" w:rsidR="0037350F" w:rsidRDefault="0037350F">
            <w:pPr>
              <w:rPr>
                <w:rFonts w:cs="Arial"/>
                <w:b/>
                <w:bCs/>
                <w:u w:val="single"/>
              </w:rPr>
            </w:pPr>
          </w:p>
          <w:p w14:paraId="27EDA183" w14:textId="339F796A" w:rsidR="0037350F" w:rsidRDefault="0037350F">
            <w:pPr>
              <w:rPr>
                <w:rFonts w:cs="Arial"/>
              </w:rPr>
            </w:pPr>
            <w:r w:rsidRPr="006A5D47">
              <w:rPr>
                <w:rFonts w:cs="Arial"/>
                <w:b/>
                <w:bCs/>
                <w:u w:val="single"/>
              </w:rPr>
              <w:t xml:space="preserve">Response </w:t>
            </w:r>
            <w:r w:rsidR="00920BFE">
              <w:rPr>
                <w:rFonts w:cs="Arial"/>
                <w:b/>
                <w:bCs/>
                <w:u w:val="single"/>
              </w:rPr>
              <w:t>requirement(s)</w:t>
            </w:r>
            <w:r w:rsidRPr="006A5D47">
              <w:rPr>
                <w:rFonts w:cs="Arial"/>
                <w:b/>
                <w:bCs/>
                <w:u w:val="single"/>
              </w:rPr>
              <w:t xml:space="preserve">: </w:t>
            </w:r>
          </w:p>
          <w:p w14:paraId="71EB45F1" w14:textId="200C27C8" w:rsidR="00EE1416" w:rsidRDefault="0037350F" w:rsidP="0085565B">
            <w:pPr>
              <w:pStyle w:val="ListParagraph"/>
              <w:numPr>
                <w:ilvl w:val="0"/>
                <w:numId w:val="68"/>
              </w:numPr>
              <w:spacing w:after="0" w:line="240" w:lineRule="auto"/>
              <w:rPr>
                <w:rFonts w:cs="Arial"/>
              </w:rPr>
            </w:pPr>
            <w:r>
              <w:rPr>
                <w:rFonts w:cs="Arial"/>
              </w:rPr>
              <w:t xml:space="preserve">The total </w:t>
            </w:r>
            <w:r w:rsidR="00F168BC">
              <w:rPr>
                <w:rFonts w:cs="Arial"/>
              </w:rPr>
              <w:t>response must</w:t>
            </w:r>
            <w:r w:rsidR="00826A6A">
              <w:rPr>
                <w:rFonts w:cs="Arial"/>
              </w:rPr>
              <w:t xml:space="preserve"> be within </w:t>
            </w:r>
            <w:r w:rsidR="000175DD">
              <w:rPr>
                <w:rFonts w:cs="Arial"/>
              </w:rPr>
              <w:t>three [</w:t>
            </w:r>
            <w:r w:rsidR="00826A6A">
              <w:rPr>
                <w:rFonts w:cs="Arial"/>
              </w:rPr>
              <w:t>3</w:t>
            </w:r>
            <w:r w:rsidR="000175DD">
              <w:rPr>
                <w:rFonts w:cs="Arial"/>
              </w:rPr>
              <w:t>]</w:t>
            </w:r>
            <w:r w:rsidR="00826A6A">
              <w:rPr>
                <w:rFonts w:cs="Arial"/>
              </w:rPr>
              <w:t xml:space="preserve"> sides of </w:t>
            </w:r>
            <w:r w:rsidR="00AE5773">
              <w:rPr>
                <w:rFonts w:cs="Arial"/>
              </w:rPr>
              <w:t>A</w:t>
            </w:r>
            <w:r w:rsidR="00826A6A">
              <w:rPr>
                <w:rFonts w:cs="Arial"/>
              </w:rPr>
              <w:t>4, Arial, size 1</w:t>
            </w:r>
            <w:r w:rsidR="00DD63DC">
              <w:rPr>
                <w:rFonts w:cs="Arial"/>
              </w:rPr>
              <w:t>0</w:t>
            </w:r>
            <w:r w:rsidR="00EE1416">
              <w:rPr>
                <w:rFonts w:cs="Arial"/>
              </w:rPr>
              <w:t xml:space="preserve">. Any material provided </w:t>
            </w:r>
            <w:proofErr w:type="gramStart"/>
            <w:r w:rsidR="00EE1416">
              <w:rPr>
                <w:rFonts w:cs="Arial"/>
              </w:rPr>
              <w:t>in excess of</w:t>
            </w:r>
            <w:proofErr w:type="gramEnd"/>
            <w:r w:rsidR="00EE1416">
              <w:rPr>
                <w:rFonts w:cs="Arial"/>
              </w:rPr>
              <w:t xml:space="preserve"> this page count will not be evaluated. </w:t>
            </w:r>
          </w:p>
          <w:p w14:paraId="6259DEF4" w14:textId="358C338B" w:rsidR="0037350F" w:rsidRDefault="0037350F" w:rsidP="00195EDC">
            <w:pPr>
              <w:pStyle w:val="ListParagraph"/>
              <w:spacing w:after="0" w:line="240" w:lineRule="auto"/>
              <w:rPr>
                <w:rFonts w:cs="Arial"/>
              </w:rPr>
            </w:pPr>
          </w:p>
          <w:p w14:paraId="2CCB119B" w14:textId="77777777" w:rsidR="0037350F" w:rsidRPr="00E84B05" w:rsidRDefault="0037350F">
            <w:pPr>
              <w:widowControl w:val="0"/>
              <w:overflowPunct w:val="0"/>
              <w:autoSpaceDE w:val="0"/>
              <w:autoSpaceDN w:val="0"/>
              <w:adjustRightInd w:val="0"/>
              <w:spacing w:before="120" w:after="120"/>
              <w:jc w:val="both"/>
              <w:rPr>
                <w:rFonts w:eastAsia="Arial" w:cs="Arial"/>
              </w:rPr>
            </w:pPr>
          </w:p>
        </w:tc>
        <w:tc>
          <w:tcPr>
            <w:tcW w:w="1460" w:type="dxa"/>
            <w:tcBorders>
              <w:top w:val="single" w:sz="6" w:space="0" w:color="000000" w:themeColor="text1"/>
              <w:bottom w:val="single" w:sz="6" w:space="0" w:color="000000" w:themeColor="text1"/>
            </w:tcBorders>
          </w:tcPr>
          <w:p w14:paraId="056F2E6B" w14:textId="77777777" w:rsidR="0037350F" w:rsidRPr="007C53AA" w:rsidRDefault="0037350F">
            <w:pPr>
              <w:widowControl w:val="0"/>
              <w:tabs>
                <w:tab w:val="left" w:pos="0"/>
              </w:tabs>
              <w:overflowPunct w:val="0"/>
              <w:autoSpaceDE w:val="0"/>
              <w:autoSpaceDN w:val="0"/>
              <w:adjustRightInd w:val="0"/>
              <w:spacing w:before="120" w:after="120"/>
              <w:jc w:val="center"/>
              <w:rPr>
                <w:rFonts w:cs="Arial"/>
                <w:b/>
              </w:rPr>
            </w:pPr>
            <w:r>
              <w:rPr>
                <w:rFonts w:cs="Arial"/>
                <w:b/>
              </w:rPr>
              <w:t>20</w:t>
            </w:r>
            <w:r w:rsidRPr="008607E6">
              <w:rPr>
                <w:rFonts w:cs="Arial"/>
                <w:b/>
              </w:rPr>
              <w:t>% Weighting</w:t>
            </w:r>
          </w:p>
          <w:p w14:paraId="155480D0" w14:textId="5E1EEB13" w:rsidR="0037350F" w:rsidRPr="007C53AA" w:rsidRDefault="0037350F">
            <w:pPr>
              <w:widowControl w:val="0"/>
              <w:tabs>
                <w:tab w:val="left" w:pos="0"/>
              </w:tabs>
              <w:overflowPunct w:val="0"/>
              <w:autoSpaceDE w:val="0"/>
              <w:autoSpaceDN w:val="0"/>
              <w:adjustRightInd w:val="0"/>
              <w:spacing w:before="120" w:after="120"/>
              <w:jc w:val="center"/>
              <w:rPr>
                <w:rFonts w:cs="Arial"/>
                <w:b/>
              </w:rPr>
            </w:pPr>
            <w:r>
              <w:rPr>
                <w:rFonts w:cs="Arial"/>
                <w:b/>
              </w:rPr>
              <w:t xml:space="preserve">Maximum </w:t>
            </w:r>
            <w:r w:rsidR="00F168BC">
              <w:rPr>
                <w:rFonts w:cs="Arial"/>
                <w:b/>
              </w:rPr>
              <w:t xml:space="preserve">3 sides of </w:t>
            </w:r>
            <w:r w:rsidR="00456D07">
              <w:rPr>
                <w:rFonts w:cs="Arial"/>
                <w:b/>
              </w:rPr>
              <w:t>A4</w:t>
            </w:r>
            <w:r w:rsidR="00F168BC">
              <w:rPr>
                <w:rFonts w:cs="Arial"/>
                <w:b/>
              </w:rPr>
              <w:t xml:space="preserve"> </w:t>
            </w:r>
            <w:r w:rsidR="00FF6978">
              <w:rPr>
                <w:rFonts w:cs="Arial"/>
                <w:b/>
              </w:rPr>
              <w:t>s</w:t>
            </w:r>
            <w:r w:rsidR="00F168BC">
              <w:rPr>
                <w:rFonts w:cs="Arial"/>
                <w:b/>
              </w:rPr>
              <w:t>ize 1</w:t>
            </w:r>
            <w:r w:rsidR="00956512">
              <w:rPr>
                <w:rFonts w:cs="Arial"/>
                <w:b/>
              </w:rPr>
              <w:t>0</w:t>
            </w:r>
            <w:r w:rsidR="00F168BC">
              <w:rPr>
                <w:rFonts w:cs="Arial"/>
                <w:b/>
              </w:rPr>
              <w:t xml:space="preserve"> </w:t>
            </w:r>
            <w:proofErr w:type="gramStart"/>
            <w:r w:rsidR="00F168BC">
              <w:rPr>
                <w:rFonts w:cs="Arial"/>
                <w:b/>
              </w:rPr>
              <w:t>font</w:t>
            </w:r>
            <w:proofErr w:type="gramEnd"/>
            <w:r w:rsidR="00AE30A7">
              <w:rPr>
                <w:rFonts w:cs="Arial"/>
                <w:b/>
              </w:rPr>
              <w:t>, Arial</w:t>
            </w:r>
          </w:p>
          <w:p w14:paraId="65DE590B" w14:textId="77777777" w:rsidR="0037350F" w:rsidRPr="00E84B05" w:rsidRDefault="0037350F">
            <w:pPr>
              <w:tabs>
                <w:tab w:val="left" w:pos="602"/>
              </w:tabs>
              <w:spacing w:after="0" w:line="276" w:lineRule="auto"/>
              <w:rPr>
                <w:rFonts w:eastAsia="Arial" w:cs="Calibri"/>
              </w:rPr>
            </w:pPr>
          </w:p>
        </w:tc>
      </w:tr>
      <w:tr w:rsidR="0037350F" w:rsidRPr="00605283" w14:paraId="7CDC60BE" w14:textId="77777777" w:rsidTr="008F3A64">
        <w:trPr>
          <w:trHeight w:val="1449"/>
        </w:trPr>
        <w:tc>
          <w:tcPr>
            <w:tcW w:w="0" w:type="auto"/>
            <w:vMerge/>
          </w:tcPr>
          <w:p w14:paraId="220C7679" w14:textId="77777777" w:rsidR="0037350F" w:rsidRPr="00E84B05" w:rsidRDefault="0037350F">
            <w:pPr>
              <w:spacing w:after="0" w:line="276" w:lineRule="auto"/>
              <w:rPr>
                <w:rFonts w:eastAsia="Arial" w:cs="Arial"/>
                <w:b/>
              </w:rPr>
            </w:pPr>
          </w:p>
        </w:tc>
        <w:tc>
          <w:tcPr>
            <w:tcW w:w="4877" w:type="dxa"/>
            <w:vMerge/>
          </w:tcPr>
          <w:p w14:paraId="5329D693" w14:textId="77777777" w:rsidR="0037350F" w:rsidRPr="00E84B05" w:rsidRDefault="0037350F">
            <w:pPr>
              <w:widowControl w:val="0"/>
              <w:overflowPunct w:val="0"/>
              <w:autoSpaceDE w:val="0"/>
              <w:autoSpaceDN w:val="0"/>
              <w:adjustRightInd w:val="0"/>
              <w:spacing w:before="120" w:after="120"/>
              <w:jc w:val="both"/>
              <w:rPr>
                <w:rFonts w:cs="Arial"/>
                <w:b/>
              </w:rPr>
            </w:pPr>
          </w:p>
        </w:tc>
        <w:tc>
          <w:tcPr>
            <w:tcW w:w="1460" w:type="dxa"/>
            <w:tcBorders>
              <w:top w:val="single" w:sz="6" w:space="0" w:color="000000" w:themeColor="text1"/>
              <w:bottom w:val="single" w:sz="6" w:space="0" w:color="000000" w:themeColor="text1"/>
            </w:tcBorders>
          </w:tcPr>
          <w:p w14:paraId="07199E59" w14:textId="77777777" w:rsidR="0037350F" w:rsidRPr="00E84B05" w:rsidRDefault="0037350F">
            <w:pPr>
              <w:tabs>
                <w:tab w:val="left" w:pos="602"/>
              </w:tabs>
              <w:spacing w:after="0" w:line="276" w:lineRule="auto"/>
              <w:rPr>
                <w:rFonts w:eastAsia="Arial" w:cs="Calibri"/>
              </w:rPr>
            </w:pPr>
          </w:p>
        </w:tc>
      </w:tr>
      <w:tr w:rsidR="00187EBC" w:rsidRPr="00605283" w14:paraId="381452F0" w14:textId="77777777" w:rsidTr="008F3A64">
        <w:trPr>
          <w:trHeight w:val="1449"/>
        </w:trPr>
        <w:tc>
          <w:tcPr>
            <w:tcW w:w="0" w:type="auto"/>
            <w:shd w:val="clear" w:color="auto" w:fill="F2F2F2" w:themeFill="background1" w:themeFillShade="F2"/>
          </w:tcPr>
          <w:p w14:paraId="0FEB127B" w14:textId="2888BEE1" w:rsidR="00187EBC" w:rsidRDefault="00187EBC">
            <w:pPr>
              <w:spacing w:after="0" w:line="276" w:lineRule="auto"/>
              <w:rPr>
                <w:rFonts w:eastAsia="Arial" w:cs="Arial"/>
                <w:b/>
              </w:rPr>
            </w:pPr>
            <w:r>
              <w:rPr>
                <w:rFonts w:eastAsia="Arial" w:cs="Arial"/>
                <w:b/>
              </w:rPr>
              <w:t>3.10</w:t>
            </w:r>
            <w:r w:rsidR="00697001">
              <w:rPr>
                <w:rFonts w:eastAsia="Arial" w:cs="Arial"/>
                <w:b/>
              </w:rPr>
              <w:t>.1</w:t>
            </w:r>
          </w:p>
        </w:tc>
        <w:tc>
          <w:tcPr>
            <w:tcW w:w="4877" w:type="dxa"/>
            <w:shd w:val="clear" w:color="auto" w:fill="F2F2F2" w:themeFill="background1" w:themeFillShade="F2"/>
          </w:tcPr>
          <w:p w14:paraId="46EC9276" w14:textId="7F1DFDB8" w:rsidR="00187EBC" w:rsidRPr="00DB5DFC" w:rsidRDefault="00187EBC" w:rsidP="00187EBC">
            <w:pPr>
              <w:pStyle w:val="pf0"/>
              <w:ind w:left="0"/>
              <w:rPr>
                <w:rStyle w:val="cf01"/>
                <w:rFonts w:ascii="Arial" w:hAnsi="Arial" w:cs="Arial"/>
                <w:b/>
                <w:bCs/>
                <w:sz w:val="22"/>
                <w:szCs w:val="22"/>
              </w:rPr>
            </w:pPr>
            <w:r w:rsidRPr="00DB5DFC">
              <w:rPr>
                <w:rStyle w:val="cf01"/>
                <w:rFonts w:ascii="Arial" w:hAnsi="Arial" w:cs="Arial"/>
                <w:b/>
                <w:bCs/>
                <w:sz w:val="22"/>
                <w:szCs w:val="22"/>
              </w:rPr>
              <w:t>D</w:t>
            </w:r>
            <w:r w:rsidRPr="00DB5DFC">
              <w:rPr>
                <w:rStyle w:val="cf01"/>
                <w:rFonts w:ascii="Arial" w:hAnsi="Arial"/>
                <w:b/>
                <w:bCs/>
                <w:sz w:val="22"/>
                <w:szCs w:val="22"/>
              </w:rPr>
              <w:t>isaster Recover</w:t>
            </w:r>
            <w:r w:rsidR="007443E9">
              <w:rPr>
                <w:rStyle w:val="cf01"/>
                <w:rFonts w:ascii="Arial" w:hAnsi="Arial"/>
                <w:b/>
                <w:bCs/>
                <w:sz w:val="22"/>
                <w:szCs w:val="22"/>
              </w:rPr>
              <w:t>y [1/2]</w:t>
            </w:r>
          </w:p>
          <w:p w14:paraId="7CBB9BFE" w14:textId="66136D69" w:rsidR="00187EBC" w:rsidRPr="00DB5DFC" w:rsidRDefault="00187EBC" w:rsidP="001E53D0">
            <w:pPr>
              <w:pStyle w:val="pf0"/>
              <w:ind w:left="0"/>
              <w:rPr>
                <w:rFonts w:ascii="Arial" w:hAnsi="Arial" w:cs="Arial"/>
                <w:sz w:val="22"/>
                <w:szCs w:val="22"/>
              </w:rPr>
            </w:pPr>
            <w:r w:rsidRPr="001E3292">
              <w:rPr>
                <w:rStyle w:val="cf01"/>
                <w:rFonts w:ascii="Arial" w:hAnsi="Arial" w:cs="Arial"/>
                <w:sz w:val="22"/>
                <w:szCs w:val="22"/>
              </w:rPr>
              <w:t xml:space="preserve">Please confirm whether you have </w:t>
            </w:r>
            <w:r w:rsidRPr="003E246C">
              <w:rPr>
                <w:rStyle w:val="cf01"/>
                <w:rFonts w:ascii="Arial" w:hAnsi="Arial"/>
                <w:sz w:val="22"/>
                <w:szCs w:val="22"/>
              </w:rPr>
              <w:t>and will have at the point of entry into a contract,</w:t>
            </w:r>
            <w:r w:rsidRPr="00DB5DFC">
              <w:rPr>
                <w:rStyle w:val="cf01"/>
                <w:rFonts w:ascii="Arial" w:hAnsi="Arial" w:cs="Arial"/>
                <w:sz w:val="22"/>
                <w:szCs w:val="22"/>
              </w:rPr>
              <w:t xml:space="preserve"> formal Disaster Recovery, Business Continuity, and Resilience Plans for locations and services specific to this opportunity. - Yes/No</w:t>
            </w:r>
          </w:p>
          <w:p w14:paraId="4830C2DD" w14:textId="77777777" w:rsidR="00187EBC" w:rsidRPr="00DB5DFC" w:rsidRDefault="00187EBC">
            <w:pPr>
              <w:pStyle w:val="pf0"/>
              <w:ind w:left="0"/>
              <w:rPr>
                <w:rStyle w:val="cf01"/>
                <w:rFonts w:ascii="Arial" w:hAnsi="Arial" w:cs="Arial"/>
                <w:b/>
                <w:bCs/>
                <w:sz w:val="22"/>
                <w:szCs w:val="22"/>
              </w:rPr>
            </w:pPr>
          </w:p>
        </w:tc>
        <w:tc>
          <w:tcPr>
            <w:tcW w:w="1460" w:type="dxa"/>
            <w:tcBorders>
              <w:top w:val="single" w:sz="6" w:space="0" w:color="000000" w:themeColor="text1"/>
              <w:bottom w:val="single" w:sz="6" w:space="0" w:color="000000" w:themeColor="text1"/>
            </w:tcBorders>
          </w:tcPr>
          <w:p w14:paraId="229C11A7" w14:textId="1CF2FEE1" w:rsidR="00187EBC" w:rsidRDefault="00187EBC" w:rsidP="00187EBC">
            <w:pPr>
              <w:tabs>
                <w:tab w:val="left" w:pos="594"/>
              </w:tabs>
              <w:spacing w:after="0" w:line="276" w:lineRule="auto"/>
              <w:rPr>
                <w:rFonts w:eastAsia="Arial" w:cs="Calibri"/>
              </w:rPr>
            </w:pPr>
            <w:r>
              <w:rPr>
                <w:rFonts w:eastAsia="Arial" w:cs="Calibri"/>
              </w:rPr>
              <w:t xml:space="preserve">For </w:t>
            </w:r>
            <w:r w:rsidR="00275646">
              <w:rPr>
                <w:rFonts w:eastAsia="Arial" w:cs="Calibri"/>
              </w:rPr>
              <w:t>3.10.1</w:t>
            </w:r>
            <w:r>
              <w:rPr>
                <w:rFonts w:eastAsia="Arial" w:cs="Calibri"/>
              </w:rPr>
              <w:t>:</w:t>
            </w:r>
          </w:p>
          <w:p w14:paraId="585DE68B" w14:textId="77777777" w:rsidR="00187EBC" w:rsidRDefault="00187EBC" w:rsidP="00187EBC">
            <w:pPr>
              <w:tabs>
                <w:tab w:val="left" w:pos="594"/>
              </w:tabs>
              <w:spacing w:after="0" w:line="276" w:lineRule="auto"/>
              <w:rPr>
                <w:rFonts w:eastAsia="Arial" w:cs="Calibri"/>
              </w:rPr>
            </w:pPr>
          </w:p>
          <w:p w14:paraId="25624926" w14:textId="77777777" w:rsidR="00187EBC" w:rsidRPr="00E84B05" w:rsidRDefault="00187EBC" w:rsidP="00187EBC">
            <w:pPr>
              <w:tabs>
                <w:tab w:val="left" w:pos="594"/>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color w:val="2B579A"/>
                <w:shd w:val="clear" w:color="auto" w:fill="E6E6E6"/>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color w:val="2B579A"/>
                <w:shd w:val="clear" w:color="auto" w:fill="E6E6E6"/>
              </w:rPr>
            </w:r>
            <w:r w:rsidR="00084E0F">
              <w:rPr>
                <w:rFonts w:eastAsia="Times New Roman" w:cs="Calibri"/>
                <w:color w:val="2B579A"/>
                <w:shd w:val="clear" w:color="auto" w:fill="E6E6E6"/>
              </w:rPr>
              <w:fldChar w:fldCharType="separate"/>
            </w:r>
            <w:r w:rsidRPr="00E84B05">
              <w:rPr>
                <w:rFonts w:eastAsia="Times New Roman" w:cs="Calibri"/>
                <w:color w:val="2B579A"/>
                <w:shd w:val="clear" w:color="auto" w:fill="E6E6E6"/>
              </w:rPr>
              <w:fldChar w:fldCharType="end"/>
            </w:r>
          </w:p>
          <w:p w14:paraId="469D0ACD" w14:textId="77777777" w:rsidR="00187EBC" w:rsidRDefault="00187EBC" w:rsidP="00187EBC">
            <w:pPr>
              <w:tabs>
                <w:tab w:val="left" w:pos="602"/>
              </w:tabs>
              <w:spacing w:after="0" w:line="276" w:lineRule="auto"/>
              <w:rPr>
                <w:rFonts w:cs="Calibri"/>
                <w:color w:val="2B579A"/>
                <w:shd w:val="clear" w:color="auto" w:fill="E6E6E6"/>
              </w:rPr>
            </w:pPr>
            <w:r w:rsidRPr="00E84B05">
              <w:rPr>
                <w:rFonts w:eastAsia="Arial" w:cs="Calibri"/>
              </w:rPr>
              <w:t xml:space="preserve">No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p w14:paraId="11B06B62" w14:textId="77777777" w:rsidR="00187EBC" w:rsidRDefault="00187EBC">
            <w:pPr>
              <w:tabs>
                <w:tab w:val="left" w:pos="594"/>
              </w:tabs>
              <w:spacing w:after="0" w:line="276" w:lineRule="auto"/>
              <w:rPr>
                <w:rFonts w:eastAsia="Arial" w:cs="Calibri"/>
              </w:rPr>
            </w:pPr>
          </w:p>
        </w:tc>
      </w:tr>
      <w:tr w:rsidR="0037350F" w:rsidRPr="00605283" w14:paraId="23DEC4F7" w14:textId="77777777" w:rsidTr="008F3A64">
        <w:trPr>
          <w:trHeight w:val="1449"/>
        </w:trPr>
        <w:tc>
          <w:tcPr>
            <w:tcW w:w="0" w:type="auto"/>
            <w:shd w:val="clear" w:color="auto" w:fill="F2F2F2" w:themeFill="background1" w:themeFillShade="F2"/>
          </w:tcPr>
          <w:p w14:paraId="2D7863DE" w14:textId="0CFBD8D1" w:rsidR="0037350F" w:rsidRPr="00E84B05" w:rsidRDefault="0037350F">
            <w:pPr>
              <w:spacing w:after="0" w:line="276" w:lineRule="auto"/>
              <w:rPr>
                <w:rFonts w:eastAsia="Arial" w:cs="Arial"/>
                <w:b/>
              </w:rPr>
            </w:pPr>
            <w:r>
              <w:rPr>
                <w:rFonts w:eastAsia="Arial" w:cs="Arial"/>
                <w:b/>
              </w:rPr>
              <w:t>3.10</w:t>
            </w:r>
            <w:r w:rsidR="00697001">
              <w:rPr>
                <w:rFonts w:eastAsia="Arial" w:cs="Arial"/>
                <w:b/>
              </w:rPr>
              <w:t>.2</w:t>
            </w:r>
          </w:p>
        </w:tc>
        <w:tc>
          <w:tcPr>
            <w:tcW w:w="4877" w:type="dxa"/>
            <w:shd w:val="clear" w:color="auto" w:fill="F2F2F2" w:themeFill="background1" w:themeFillShade="F2"/>
          </w:tcPr>
          <w:p w14:paraId="64AACEEA" w14:textId="4244B8BE" w:rsidR="007443E9" w:rsidRPr="00DB5DFC" w:rsidRDefault="0037350F" w:rsidP="007443E9">
            <w:pPr>
              <w:pStyle w:val="pf0"/>
              <w:ind w:left="0"/>
              <w:rPr>
                <w:rStyle w:val="cf01"/>
                <w:rFonts w:ascii="Arial" w:hAnsi="Arial" w:cs="Arial"/>
                <w:b/>
                <w:bCs/>
                <w:sz w:val="22"/>
                <w:szCs w:val="22"/>
              </w:rPr>
            </w:pPr>
            <w:r w:rsidRPr="00DB5DFC">
              <w:rPr>
                <w:rStyle w:val="cf01"/>
                <w:rFonts w:ascii="Arial" w:hAnsi="Arial" w:cs="Arial"/>
                <w:b/>
                <w:bCs/>
                <w:sz w:val="22"/>
                <w:szCs w:val="22"/>
              </w:rPr>
              <w:t>D</w:t>
            </w:r>
            <w:r w:rsidRPr="00DB5DFC">
              <w:rPr>
                <w:rStyle w:val="cf01"/>
                <w:rFonts w:ascii="Arial" w:hAnsi="Arial"/>
                <w:b/>
                <w:bCs/>
                <w:sz w:val="22"/>
                <w:szCs w:val="22"/>
              </w:rPr>
              <w:t>isaster Recovery</w:t>
            </w:r>
            <w:r w:rsidR="007443E9">
              <w:rPr>
                <w:rStyle w:val="cf01"/>
                <w:rFonts w:ascii="Arial" w:hAnsi="Arial"/>
                <w:b/>
                <w:bCs/>
                <w:sz w:val="22"/>
                <w:szCs w:val="22"/>
              </w:rPr>
              <w:t xml:space="preserve"> [</w:t>
            </w:r>
            <w:r w:rsidR="007443E9">
              <w:rPr>
                <w:rStyle w:val="cf01"/>
                <w:rFonts w:ascii="Arial" w:hAnsi="Arial" w:cs="Arial"/>
                <w:b/>
                <w:bCs/>
                <w:sz w:val="22"/>
                <w:szCs w:val="22"/>
              </w:rPr>
              <w:t>2/2]</w:t>
            </w:r>
          </w:p>
          <w:p w14:paraId="274B68C8" w14:textId="77777777" w:rsidR="007443E9" w:rsidRDefault="0037350F" w:rsidP="00187EBC">
            <w:pPr>
              <w:pStyle w:val="pf0"/>
              <w:ind w:left="0"/>
              <w:rPr>
                <w:rStyle w:val="cf01"/>
                <w:rFonts w:ascii="Arial" w:hAnsi="Arial" w:cs="Arial"/>
                <w:sz w:val="22"/>
                <w:szCs w:val="22"/>
              </w:rPr>
            </w:pPr>
            <w:r w:rsidRPr="00DB5DFC">
              <w:rPr>
                <w:rStyle w:val="cf01"/>
                <w:rFonts w:ascii="Arial" w:hAnsi="Arial" w:cs="Arial"/>
                <w:sz w:val="22"/>
                <w:szCs w:val="22"/>
              </w:rPr>
              <w:t xml:space="preserve">Given the business-critical nature of the services that are being delivered as part of this contract, HMRC requires that the appointed supplier </w:t>
            </w:r>
            <w:proofErr w:type="gramStart"/>
            <w:r w:rsidRPr="00DB5DFC">
              <w:rPr>
                <w:rStyle w:val="cf01"/>
                <w:rFonts w:ascii="Arial" w:hAnsi="Arial" w:cs="Arial"/>
                <w:sz w:val="22"/>
                <w:szCs w:val="22"/>
              </w:rPr>
              <w:t>is able to</w:t>
            </w:r>
            <w:proofErr w:type="gramEnd"/>
            <w:r w:rsidRPr="00DB5DFC">
              <w:rPr>
                <w:rStyle w:val="cf01"/>
                <w:rFonts w:ascii="Arial" w:hAnsi="Arial" w:cs="Arial"/>
                <w:sz w:val="22"/>
                <w:szCs w:val="22"/>
              </w:rPr>
              <w:t xml:space="preserve"> demonstrate that sufficient processes are in place to prevent disruptions to service delivery.</w:t>
            </w:r>
          </w:p>
          <w:p w14:paraId="0455C624" w14:textId="77777777" w:rsidR="007443E9" w:rsidRPr="000760DC" w:rsidRDefault="007443E9" w:rsidP="007443E9">
            <w:pPr>
              <w:pStyle w:val="pf0"/>
              <w:ind w:left="0"/>
              <w:rPr>
                <w:rFonts w:ascii="Arial" w:hAnsi="Arial" w:cs="Arial"/>
                <w:b/>
                <w:bCs/>
                <w:sz w:val="22"/>
                <w:szCs w:val="22"/>
              </w:rPr>
            </w:pPr>
            <w:r w:rsidRPr="000760DC">
              <w:rPr>
                <w:rFonts w:ascii="Arial" w:hAnsi="Arial" w:cs="Arial"/>
                <w:b/>
                <w:bCs/>
                <w:sz w:val="22"/>
                <w:szCs w:val="22"/>
              </w:rPr>
              <w:t>Criteria</w:t>
            </w:r>
          </w:p>
          <w:p w14:paraId="501294BF" w14:textId="016E56C7" w:rsidR="001E3292" w:rsidRDefault="0037350F" w:rsidP="00195EDC">
            <w:pPr>
              <w:pStyle w:val="pf0"/>
              <w:ind w:left="0"/>
              <w:rPr>
                <w:rStyle w:val="cf01"/>
                <w:rFonts w:ascii="Arial" w:hAnsi="Arial" w:cs="Arial"/>
                <w:sz w:val="22"/>
                <w:szCs w:val="22"/>
              </w:rPr>
            </w:pPr>
            <w:r w:rsidRPr="000D0EF7">
              <w:rPr>
                <w:rStyle w:val="cf01"/>
                <w:rFonts w:ascii="Arial" w:hAnsi="Arial" w:cs="Arial"/>
                <w:sz w:val="22"/>
                <w:szCs w:val="22"/>
              </w:rPr>
              <w:t xml:space="preserve">Please outline in no more than </w:t>
            </w:r>
            <w:r w:rsidR="00C00D92" w:rsidRPr="000D0EF7">
              <w:rPr>
                <w:rStyle w:val="cf01"/>
                <w:rFonts w:ascii="Arial" w:hAnsi="Arial" w:cs="Arial"/>
                <w:sz w:val="22"/>
                <w:szCs w:val="22"/>
              </w:rPr>
              <w:t>t</w:t>
            </w:r>
            <w:r w:rsidR="00C00D92" w:rsidRPr="000D0EF7">
              <w:rPr>
                <w:rStyle w:val="cf01"/>
                <w:rFonts w:ascii="Arial" w:hAnsi="Arial"/>
                <w:sz w:val="22"/>
                <w:szCs w:val="22"/>
              </w:rPr>
              <w:t>wo</w:t>
            </w:r>
            <w:r w:rsidRPr="000D0EF7">
              <w:rPr>
                <w:rStyle w:val="cf01"/>
                <w:rFonts w:ascii="Arial" w:hAnsi="Arial" w:cs="Arial"/>
                <w:sz w:val="22"/>
                <w:szCs w:val="22"/>
              </w:rPr>
              <w:t xml:space="preserve"> [</w:t>
            </w:r>
            <w:r w:rsidR="00C00D92" w:rsidRPr="000D0EF7">
              <w:rPr>
                <w:rStyle w:val="cf01"/>
                <w:rFonts w:ascii="Arial" w:hAnsi="Arial" w:cs="Arial"/>
                <w:sz w:val="22"/>
                <w:szCs w:val="22"/>
              </w:rPr>
              <w:t>2</w:t>
            </w:r>
            <w:r w:rsidRPr="000D0EF7">
              <w:rPr>
                <w:rStyle w:val="cf01"/>
                <w:rFonts w:ascii="Arial" w:hAnsi="Arial" w:cs="Arial"/>
                <w:sz w:val="22"/>
                <w:szCs w:val="22"/>
              </w:rPr>
              <w:t>] A4 page</w:t>
            </w:r>
            <w:r w:rsidR="00860B4C">
              <w:rPr>
                <w:rStyle w:val="cf01"/>
                <w:rFonts w:ascii="Arial" w:hAnsi="Arial" w:cs="Arial"/>
                <w:sz w:val="22"/>
                <w:szCs w:val="22"/>
              </w:rPr>
              <w:t>s</w:t>
            </w:r>
            <w:r w:rsidR="00860B4C">
              <w:rPr>
                <w:rStyle w:val="cf01"/>
                <w:rFonts w:ascii="Arial" w:hAnsi="Arial" w:cs="Arial"/>
              </w:rPr>
              <w:t>,</w:t>
            </w:r>
            <w:r w:rsidRPr="000D0EF7">
              <w:rPr>
                <w:rStyle w:val="cf01"/>
                <w:rFonts w:ascii="Arial" w:hAnsi="Arial" w:cs="Arial"/>
                <w:sz w:val="22"/>
                <w:szCs w:val="22"/>
              </w:rPr>
              <w:t xml:space="preserve"> the process</w:t>
            </w:r>
            <w:r w:rsidR="00860B4C">
              <w:rPr>
                <w:rStyle w:val="cf01"/>
                <w:rFonts w:ascii="Arial" w:hAnsi="Arial" w:cs="Arial"/>
                <w:sz w:val="22"/>
                <w:szCs w:val="22"/>
              </w:rPr>
              <w:t>e</w:t>
            </w:r>
            <w:r w:rsidR="00860B4C">
              <w:rPr>
                <w:rStyle w:val="cf01"/>
                <w:rFonts w:ascii="Arial" w:hAnsi="Arial" w:cs="Arial"/>
              </w:rPr>
              <w:t>s</w:t>
            </w:r>
            <w:r w:rsidRPr="000D0EF7">
              <w:rPr>
                <w:rStyle w:val="cf01"/>
                <w:rFonts w:ascii="Arial" w:hAnsi="Arial" w:cs="Arial"/>
                <w:sz w:val="22"/>
                <w:szCs w:val="22"/>
              </w:rPr>
              <w:t xml:space="preserve"> that your organisation</w:t>
            </w:r>
            <w:r w:rsidR="00A43D36">
              <w:rPr>
                <w:rStyle w:val="cf01"/>
                <w:rFonts w:ascii="Arial" w:hAnsi="Arial" w:cs="Arial"/>
                <w:sz w:val="22"/>
                <w:szCs w:val="22"/>
              </w:rPr>
              <w:t xml:space="preserve"> has previously undertaken </w:t>
            </w:r>
            <w:r w:rsidRPr="000D0EF7">
              <w:rPr>
                <w:rStyle w:val="cf01"/>
                <w:rFonts w:ascii="Arial" w:hAnsi="Arial" w:cs="Arial"/>
                <w:sz w:val="22"/>
                <w:szCs w:val="22"/>
              </w:rPr>
              <w:t>to ensur</w:t>
            </w:r>
            <w:r w:rsidR="00A43D36">
              <w:rPr>
                <w:rStyle w:val="cf01"/>
                <w:rFonts w:ascii="Arial" w:hAnsi="Arial" w:cs="Arial"/>
                <w:sz w:val="22"/>
                <w:szCs w:val="22"/>
              </w:rPr>
              <w:t>e</w:t>
            </w:r>
            <w:r w:rsidRPr="000D0EF7">
              <w:rPr>
                <w:rStyle w:val="cf01"/>
                <w:rFonts w:ascii="Arial" w:hAnsi="Arial" w:cs="Arial"/>
                <w:sz w:val="22"/>
                <w:szCs w:val="22"/>
              </w:rPr>
              <w:t xml:space="preserve"> that your </w:t>
            </w:r>
            <w:r w:rsidR="00F12A5D" w:rsidRPr="000D0EF7">
              <w:rPr>
                <w:rStyle w:val="cf01"/>
                <w:rFonts w:ascii="Arial" w:hAnsi="Arial" w:cs="Arial"/>
                <w:sz w:val="22"/>
                <w:szCs w:val="22"/>
              </w:rPr>
              <w:t>s</w:t>
            </w:r>
            <w:r w:rsidRPr="000D0EF7">
              <w:rPr>
                <w:rStyle w:val="cf01"/>
                <w:rFonts w:ascii="Arial" w:hAnsi="Arial" w:cs="Arial"/>
                <w:sz w:val="22"/>
                <w:szCs w:val="22"/>
              </w:rPr>
              <w:t xml:space="preserve">ervices </w:t>
            </w:r>
            <w:r w:rsidR="00F12A5D" w:rsidRPr="000D0EF7">
              <w:rPr>
                <w:rStyle w:val="cf01"/>
                <w:rFonts w:ascii="Arial" w:hAnsi="Arial" w:cs="Arial"/>
                <w:sz w:val="22"/>
                <w:szCs w:val="22"/>
              </w:rPr>
              <w:t>(</w:t>
            </w:r>
            <w:r w:rsidR="00872C7E" w:rsidRPr="000D0EF7">
              <w:rPr>
                <w:rStyle w:val="cf01"/>
                <w:rFonts w:ascii="Arial" w:hAnsi="Arial" w:cs="Arial"/>
                <w:sz w:val="22"/>
                <w:szCs w:val="22"/>
              </w:rPr>
              <w:t xml:space="preserve">being those relevant </w:t>
            </w:r>
            <w:r w:rsidR="00F12A5D" w:rsidRPr="000D0EF7">
              <w:rPr>
                <w:rStyle w:val="cf01"/>
                <w:rFonts w:ascii="Arial" w:hAnsi="Arial" w:cs="Arial"/>
                <w:sz w:val="22"/>
                <w:szCs w:val="22"/>
              </w:rPr>
              <w:t xml:space="preserve">to </w:t>
            </w:r>
            <w:r w:rsidR="00872C7E" w:rsidRPr="000D0EF7">
              <w:rPr>
                <w:rStyle w:val="cf01"/>
                <w:rFonts w:ascii="Arial" w:hAnsi="Arial" w:cs="Arial"/>
                <w:sz w:val="22"/>
                <w:szCs w:val="22"/>
              </w:rPr>
              <w:t xml:space="preserve">the scope and scale required under </w:t>
            </w:r>
            <w:r w:rsidR="00C66CAA" w:rsidRPr="000D0EF7">
              <w:rPr>
                <w:rStyle w:val="cf01"/>
                <w:rFonts w:ascii="Arial" w:hAnsi="Arial" w:cs="Arial"/>
                <w:sz w:val="22"/>
                <w:szCs w:val="22"/>
              </w:rPr>
              <w:t xml:space="preserve">Annex 2 - </w:t>
            </w:r>
            <w:r w:rsidR="00872C7E" w:rsidRPr="000D0EF7">
              <w:rPr>
                <w:rStyle w:val="cf01"/>
                <w:rFonts w:ascii="Arial" w:hAnsi="Arial" w:cs="Arial"/>
                <w:sz w:val="22"/>
                <w:szCs w:val="22"/>
              </w:rPr>
              <w:t>Services Description)</w:t>
            </w:r>
            <w:r w:rsidR="00F12A5D" w:rsidRPr="000D0EF7">
              <w:rPr>
                <w:rStyle w:val="cf01"/>
                <w:rFonts w:ascii="Arial" w:hAnsi="Arial" w:cs="Arial"/>
                <w:sz w:val="22"/>
                <w:szCs w:val="22"/>
              </w:rPr>
              <w:t xml:space="preserve"> </w:t>
            </w:r>
            <w:r w:rsidR="008F7697">
              <w:rPr>
                <w:rStyle w:val="cf01"/>
                <w:rFonts w:ascii="Arial" w:hAnsi="Arial" w:cs="Arial"/>
                <w:sz w:val="22"/>
                <w:szCs w:val="22"/>
              </w:rPr>
              <w:t>were</w:t>
            </w:r>
            <w:r w:rsidRPr="000D0EF7">
              <w:rPr>
                <w:rStyle w:val="cf01"/>
                <w:rFonts w:ascii="Arial" w:hAnsi="Arial" w:cs="Arial"/>
                <w:sz w:val="22"/>
                <w:szCs w:val="22"/>
              </w:rPr>
              <w:t xml:space="preserve"> delivered in the event of a disruption affecting your business.</w:t>
            </w:r>
            <w:r w:rsidRPr="00DB5DFC">
              <w:rPr>
                <w:rStyle w:val="cf01"/>
                <w:rFonts w:ascii="Arial" w:hAnsi="Arial" w:cs="Arial"/>
                <w:sz w:val="22"/>
                <w:szCs w:val="22"/>
              </w:rPr>
              <w:t xml:space="preserve"> </w:t>
            </w:r>
          </w:p>
          <w:p w14:paraId="041584B9" w14:textId="0465FBC3" w:rsidR="001E3292" w:rsidRPr="000760DC" w:rsidRDefault="001E3292" w:rsidP="001E3292">
            <w:pPr>
              <w:pStyle w:val="pf0"/>
              <w:rPr>
                <w:rStyle w:val="cf01"/>
                <w:rFonts w:ascii="Arial" w:hAnsi="Arial"/>
                <w:b/>
                <w:bCs/>
                <w:sz w:val="22"/>
                <w:szCs w:val="22"/>
              </w:rPr>
            </w:pPr>
            <w:r w:rsidRPr="000760DC">
              <w:rPr>
                <w:rStyle w:val="cf01"/>
                <w:rFonts w:ascii="Arial" w:hAnsi="Arial"/>
                <w:b/>
                <w:bCs/>
                <w:sz w:val="22"/>
                <w:szCs w:val="22"/>
              </w:rPr>
              <w:t>Sub</w:t>
            </w:r>
            <w:r w:rsidR="00920BFE">
              <w:rPr>
                <w:rStyle w:val="cf01"/>
                <w:rFonts w:ascii="Arial" w:hAnsi="Arial"/>
                <w:b/>
                <w:bCs/>
                <w:sz w:val="22"/>
                <w:szCs w:val="22"/>
              </w:rPr>
              <w:t>-C</w:t>
            </w:r>
            <w:r w:rsidRPr="000760DC">
              <w:rPr>
                <w:rStyle w:val="cf01"/>
                <w:rFonts w:ascii="Arial" w:hAnsi="Arial"/>
                <w:b/>
                <w:bCs/>
                <w:sz w:val="22"/>
                <w:szCs w:val="22"/>
              </w:rPr>
              <w:t>riteria</w:t>
            </w:r>
          </w:p>
          <w:p w14:paraId="66131BC8" w14:textId="08CEE435" w:rsidR="0037350F" w:rsidRDefault="0037350F" w:rsidP="000760DC">
            <w:pPr>
              <w:pStyle w:val="pf0"/>
              <w:rPr>
                <w:rStyle w:val="cf01"/>
                <w:rFonts w:ascii="Arial" w:hAnsi="Arial" w:cs="Arial"/>
                <w:sz w:val="22"/>
                <w:szCs w:val="22"/>
              </w:rPr>
            </w:pPr>
            <w:r w:rsidRPr="00DB5DFC">
              <w:rPr>
                <w:rStyle w:val="cf01"/>
                <w:rFonts w:ascii="Arial" w:hAnsi="Arial" w:cs="Arial"/>
                <w:sz w:val="22"/>
                <w:szCs w:val="22"/>
              </w:rPr>
              <w:t>Your response must:</w:t>
            </w:r>
          </w:p>
          <w:p w14:paraId="061DB7C1" w14:textId="7BE286DD" w:rsidR="0037350F" w:rsidRPr="00195EDC" w:rsidRDefault="0037350F" w:rsidP="0085565B">
            <w:pPr>
              <w:pStyle w:val="ListParagraph"/>
              <w:widowControl w:val="0"/>
              <w:numPr>
                <w:ilvl w:val="0"/>
                <w:numId w:val="64"/>
              </w:numPr>
              <w:tabs>
                <w:tab w:val="left" w:pos="0"/>
              </w:tabs>
              <w:overflowPunct w:val="0"/>
              <w:autoSpaceDE w:val="0"/>
              <w:autoSpaceDN w:val="0"/>
              <w:adjustRightInd w:val="0"/>
              <w:spacing w:before="120" w:after="120" w:line="240" w:lineRule="auto"/>
            </w:pPr>
            <w:r w:rsidRPr="00195EDC">
              <w:t xml:space="preserve">Outline the key processes that are incorporated in your Business Continuity Plan (BCP) </w:t>
            </w:r>
          </w:p>
          <w:p w14:paraId="3D1F1066" w14:textId="0D54C7DA" w:rsidR="0037350F" w:rsidRPr="00195EDC" w:rsidRDefault="0037350F" w:rsidP="0085565B">
            <w:pPr>
              <w:pStyle w:val="ListParagraph"/>
              <w:widowControl w:val="0"/>
              <w:numPr>
                <w:ilvl w:val="0"/>
                <w:numId w:val="64"/>
              </w:numPr>
              <w:tabs>
                <w:tab w:val="left" w:pos="0"/>
              </w:tabs>
              <w:overflowPunct w:val="0"/>
              <w:autoSpaceDE w:val="0"/>
              <w:autoSpaceDN w:val="0"/>
              <w:adjustRightInd w:val="0"/>
              <w:spacing w:before="120" w:after="120" w:line="240" w:lineRule="auto"/>
            </w:pPr>
            <w:r w:rsidRPr="00195EDC">
              <w:t>Articulate the key risks that exist to your business</w:t>
            </w:r>
            <w:r w:rsidR="00767DED" w:rsidRPr="00195EDC">
              <w:t xml:space="preserve"> </w:t>
            </w:r>
            <w:proofErr w:type="gramStart"/>
            <w:r w:rsidRPr="00195EDC">
              <w:t>continuity</w:t>
            </w:r>
            <w:proofErr w:type="gramEnd"/>
            <w:r w:rsidRPr="00195EDC">
              <w:t xml:space="preserve"> </w:t>
            </w:r>
            <w:r w:rsidR="00767DED" w:rsidRPr="00195EDC">
              <w:t xml:space="preserve">and which are relevant to the services being provided here </w:t>
            </w:r>
            <w:r w:rsidRPr="00195EDC">
              <w:t xml:space="preserve">and how your organisation </w:t>
            </w:r>
            <w:r w:rsidR="00F11C53">
              <w:t xml:space="preserve">has </w:t>
            </w:r>
            <w:r w:rsidRPr="00195EDC">
              <w:t>mitigate</w:t>
            </w:r>
            <w:r w:rsidR="00F11C53">
              <w:t>d</w:t>
            </w:r>
            <w:r w:rsidRPr="00195EDC">
              <w:t xml:space="preserve"> those risks</w:t>
            </w:r>
            <w:r w:rsidR="00F11C53">
              <w:t xml:space="preserve"> in the past</w:t>
            </w:r>
          </w:p>
          <w:p w14:paraId="6BC4F61D" w14:textId="31FFF712" w:rsidR="0037350F" w:rsidRPr="00195EDC" w:rsidRDefault="0037350F" w:rsidP="0085565B">
            <w:pPr>
              <w:pStyle w:val="ListParagraph"/>
              <w:widowControl w:val="0"/>
              <w:numPr>
                <w:ilvl w:val="0"/>
                <w:numId w:val="64"/>
              </w:numPr>
              <w:tabs>
                <w:tab w:val="left" w:pos="0"/>
              </w:tabs>
              <w:overflowPunct w:val="0"/>
              <w:autoSpaceDE w:val="0"/>
              <w:autoSpaceDN w:val="0"/>
              <w:adjustRightInd w:val="0"/>
              <w:spacing w:before="120" w:after="120" w:line="240" w:lineRule="auto"/>
            </w:pPr>
            <w:r w:rsidRPr="00195EDC">
              <w:t xml:space="preserve">Describe, in the event of a disruption, </w:t>
            </w:r>
            <w:r w:rsidR="00F11C53">
              <w:t xml:space="preserve">based on past experience, </w:t>
            </w:r>
            <w:r w:rsidRPr="00195EDC">
              <w:t xml:space="preserve">what the trigger point is for you to contact impacted client(s) and keep them </w:t>
            </w:r>
            <w:proofErr w:type="gramStart"/>
            <w:r w:rsidRPr="00195EDC">
              <w:t>updated</w:t>
            </w:r>
            <w:proofErr w:type="gramEnd"/>
          </w:p>
          <w:p w14:paraId="466F1DF3" w14:textId="3C1F6538" w:rsidR="0037350F" w:rsidRPr="00195EDC" w:rsidRDefault="0037350F" w:rsidP="0085565B">
            <w:pPr>
              <w:pStyle w:val="ListParagraph"/>
              <w:widowControl w:val="0"/>
              <w:numPr>
                <w:ilvl w:val="0"/>
                <w:numId w:val="64"/>
              </w:numPr>
              <w:tabs>
                <w:tab w:val="left" w:pos="0"/>
              </w:tabs>
              <w:overflowPunct w:val="0"/>
              <w:autoSpaceDE w:val="0"/>
              <w:autoSpaceDN w:val="0"/>
              <w:adjustRightInd w:val="0"/>
              <w:spacing w:before="120" w:after="120" w:line="240" w:lineRule="auto"/>
            </w:pPr>
            <w:r w:rsidRPr="00195EDC">
              <w:t xml:space="preserve">Include reference to any relevant certifications or adopted codes of </w:t>
            </w:r>
            <w:proofErr w:type="gramStart"/>
            <w:r w:rsidRPr="00195EDC">
              <w:t>practice</w:t>
            </w:r>
            <w:proofErr w:type="gramEnd"/>
          </w:p>
          <w:p w14:paraId="385F717A" w14:textId="3FFC40D8" w:rsidR="001E3292" w:rsidRPr="000760DC" w:rsidRDefault="001E3292">
            <w:pPr>
              <w:pStyle w:val="pf0"/>
              <w:rPr>
                <w:rStyle w:val="cf01"/>
                <w:rFonts w:ascii="Arial" w:hAnsi="Arial"/>
                <w:b/>
                <w:bCs/>
                <w:sz w:val="22"/>
                <w:szCs w:val="22"/>
              </w:rPr>
            </w:pPr>
            <w:r w:rsidRPr="000760DC">
              <w:rPr>
                <w:rStyle w:val="cf01"/>
                <w:rFonts w:ascii="Arial" w:hAnsi="Arial"/>
                <w:b/>
                <w:bCs/>
                <w:sz w:val="22"/>
                <w:szCs w:val="22"/>
              </w:rPr>
              <w:t>Response Requ</w:t>
            </w:r>
            <w:r w:rsidR="00920BFE" w:rsidRPr="00920BFE">
              <w:rPr>
                <w:rStyle w:val="cf01"/>
                <w:rFonts w:ascii="Arial" w:hAnsi="Arial"/>
                <w:b/>
                <w:bCs/>
                <w:sz w:val="22"/>
                <w:szCs w:val="22"/>
              </w:rPr>
              <w:t>i</w:t>
            </w:r>
            <w:r w:rsidR="00920BFE" w:rsidRPr="000760DC">
              <w:rPr>
                <w:rStyle w:val="cf01"/>
                <w:rFonts w:ascii="Arial" w:hAnsi="Arial"/>
                <w:b/>
                <w:bCs/>
                <w:sz w:val="22"/>
                <w:szCs w:val="22"/>
              </w:rPr>
              <w:t>rement(s)</w:t>
            </w:r>
          </w:p>
          <w:p w14:paraId="7E22A74C" w14:textId="1BA11954" w:rsidR="001E3292" w:rsidRPr="00DB5DFC" w:rsidRDefault="00B50827" w:rsidP="0085565B">
            <w:pPr>
              <w:pStyle w:val="ListParagraph"/>
              <w:numPr>
                <w:ilvl w:val="0"/>
                <w:numId w:val="66"/>
              </w:numPr>
              <w:spacing w:after="0" w:line="240" w:lineRule="auto"/>
              <w:rPr>
                <w:rFonts w:cs="Arial"/>
                <w:b/>
              </w:rPr>
            </w:pPr>
            <w:r>
              <w:rPr>
                <w:rFonts w:cs="Arial"/>
              </w:rPr>
              <w:t xml:space="preserve">The total response must be within </w:t>
            </w:r>
            <w:r w:rsidR="007C6141">
              <w:rPr>
                <w:rFonts w:cs="Arial"/>
              </w:rPr>
              <w:t>two [</w:t>
            </w:r>
            <w:r w:rsidR="00B6460A">
              <w:rPr>
                <w:rFonts w:cs="Arial"/>
              </w:rPr>
              <w:t>2</w:t>
            </w:r>
            <w:r w:rsidR="007C6141">
              <w:rPr>
                <w:rFonts w:cs="Arial"/>
              </w:rPr>
              <w:t>]</w:t>
            </w:r>
            <w:r>
              <w:rPr>
                <w:rFonts w:cs="Arial"/>
              </w:rPr>
              <w:t xml:space="preserve"> sides of </w:t>
            </w:r>
            <w:r w:rsidR="00456D07">
              <w:rPr>
                <w:rFonts w:cs="Arial"/>
              </w:rPr>
              <w:t>A4</w:t>
            </w:r>
            <w:r>
              <w:rPr>
                <w:rFonts w:cs="Arial"/>
              </w:rPr>
              <w:t>, Arial, size 10</w:t>
            </w:r>
            <w:r w:rsidR="00E868D1">
              <w:rPr>
                <w:rFonts w:cs="Arial"/>
              </w:rPr>
              <w:t>.</w:t>
            </w:r>
            <w:r>
              <w:rPr>
                <w:rFonts w:cs="Arial"/>
              </w:rPr>
              <w:t xml:space="preserve"> </w:t>
            </w:r>
            <w:r w:rsidR="00E868D1">
              <w:rPr>
                <w:rFonts w:cs="Arial"/>
              </w:rPr>
              <w:t xml:space="preserve">Any material provided </w:t>
            </w:r>
            <w:proofErr w:type="gramStart"/>
            <w:r w:rsidR="00E868D1">
              <w:rPr>
                <w:rFonts w:cs="Arial"/>
              </w:rPr>
              <w:t>in excess of</w:t>
            </w:r>
            <w:proofErr w:type="gramEnd"/>
            <w:r w:rsidR="00E868D1">
              <w:rPr>
                <w:rFonts w:cs="Arial"/>
              </w:rPr>
              <w:t xml:space="preserve"> this page count will not be evaluated.</w:t>
            </w:r>
            <w:r>
              <w:rPr>
                <w:rFonts w:cs="Arial"/>
              </w:rPr>
              <w:t xml:space="preserve"> </w:t>
            </w:r>
          </w:p>
        </w:tc>
        <w:tc>
          <w:tcPr>
            <w:tcW w:w="1460" w:type="dxa"/>
            <w:tcBorders>
              <w:top w:val="single" w:sz="6" w:space="0" w:color="000000" w:themeColor="text1"/>
              <w:bottom w:val="single" w:sz="6" w:space="0" w:color="000000" w:themeColor="text1"/>
            </w:tcBorders>
          </w:tcPr>
          <w:p w14:paraId="5BE730A9" w14:textId="2E06A149" w:rsidR="0037350F" w:rsidRDefault="001915EB">
            <w:pPr>
              <w:tabs>
                <w:tab w:val="left" w:pos="602"/>
              </w:tabs>
              <w:spacing w:after="0" w:line="276" w:lineRule="auto"/>
              <w:rPr>
                <w:rFonts w:eastAsia="Arial" w:cs="Calibri"/>
              </w:rPr>
            </w:pPr>
            <w:r>
              <w:rPr>
                <w:rFonts w:eastAsia="Arial" w:cs="Calibri"/>
              </w:rPr>
              <w:t xml:space="preserve">For </w:t>
            </w:r>
            <w:r w:rsidR="00275646">
              <w:rPr>
                <w:rFonts w:eastAsia="Arial" w:cs="Calibri"/>
              </w:rPr>
              <w:t>3.10.2:</w:t>
            </w:r>
          </w:p>
          <w:p w14:paraId="4F42A639" w14:textId="77777777" w:rsidR="0037350F" w:rsidRDefault="0037350F">
            <w:pPr>
              <w:tabs>
                <w:tab w:val="left" w:pos="602"/>
              </w:tabs>
              <w:spacing w:after="0" w:line="276" w:lineRule="auto"/>
              <w:rPr>
                <w:rFonts w:eastAsia="Arial" w:cs="Calibri"/>
              </w:rPr>
            </w:pPr>
          </w:p>
          <w:p w14:paraId="4AEFC8F3" w14:textId="77777777" w:rsidR="0037350F" w:rsidRDefault="0037350F">
            <w:pPr>
              <w:tabs>
                <w:tab w:val="left" w:pos="602"/>
              </w:tabs>
              <w:spacing w:after="0" w:line="276" w:lineRule="auto"/>
              <w:rPr>
                <w:rFonts w:eastAsia="Arial" w:cs="Calibri"/>
              </w:rPr>
            </w:pPr>
          </w:p>
          <w:p w14:paraId="6BFCEFDC" w14:textId="77777777" w:rsidR="0037350F" w:rsidRDefault="0037350F">
            <w:pPr>
              <w:widowControl w:val="0"/>
              <w:overflowPunct w:val="0"/>
              <w:autoSpaceDE w:val="0"/>
              <w:autoSpaceDN w:val="0"/>
              <w:adjustRightInd w:val="0"/>
              <w:spacing w:before="120" w:after="120"/>
              <w:jc w:val="center"/>
              <w:rPr>
                <w:rFonts w:cs="Arial"/>
                <w:b/>
              </w:rPr>
            </w:pPr>
            <w:r>
              <w:rPr>
                <w:rFonts w:cs="Arial"/>
                <w:b/>
              </w:rPr>
              <w:t>10% Weighting</w:t>
            </w:r>
          </w:p>
          <w:p w14:paraId="618AC61A" w14:textId="000CC959" w:rsidR="0037350F" w:rsidRPr="00E84B05" w:rsidRDefault="0037350F">
            <w:pPr>
              <w:tabs>
                <w:tab w:val="left" w:pos="602"/>
              </w:tabs>
              <w:spacing w:after="0" w:line="276" w:lineRule="auto"/>
              <w:rPr>
                <w:rFonts w:eastAsia="Arial" w:cs="Calibri"/>
              </w:rPr>
            </w:pPr>
            <w:r>
              <w:rPr>
                <w:rFonts w:cs="Arial"/>
                <w:b/>
              </w:rPr>
              <w:t xml:space="preserve">Maximum </w:t>
            </w:r>
            <w:r w:rsidR="00956512">
              <w:rPr>
                <w:rFonts w:cs="Arial"/>
                <w:b/>
              </w:rPr>
              <w:t xml:space="preserve">2 sides of </w:t>
            </w:r>
            <w:r w:rsidR="00456D07">
              <w:rPr>
                <w:rFonts w:cs="Arial"/>
                <w:b/>
              </w:rPr>
              <w:t>A4</w:t>
            </w:r>
            <w:r w:rsidR="00FF6978">
              <w:rPr>
                <w:rFonts w:cs="Arial"/>
                <w:b/>
              </w:rPr>
              <w:t>, size 10 font</w:t>
            </w:r>
            <w:r w:rsidR="00AE30A7">
              <w:rPr>
                <w:rFonts w:cs="Arial"/>
                <w:b/>
              </w:rPr>
              <w:t>, Arial</w:t>
            </w:r>
          </w:p>
        </w:tc>
      </w:tr>
      <w:tr w:rsidR="0037350F" w:rsidRPr="00605283" w14:paraId="6D39840C" w14:textId="77777777" w:rsidTr="008F3A64">
        <w:trPr>
          <w:trHeight w:val="1449"/>
        </w:trPr>
        <w:tc>
          <w:tcPr>
            <w:tcW w:w="0" w:type="auto"/>
            <w:shd w:val="clear" w:color="auto" w:fill="F2F2F2" w:themeFill="background1" w:themeFillShade="F2"/>
          </w:tcPr>
          <w:p w14:paraId="3436F253" w14:textId="77777777" w:rsidR="0037350F" w:rsidRPr="00E84B05" w:rsidRDefault="0037350F">
            <w:pPr>
              <w:spacing w:after="0" w:line="276" w:lineRule="auto"/>
              <w:rPr>
                <w:rFonts w:eastAsia="Arial" w:cs="Arial"/>
                <w:b/>
              </w:rPr>
            </w:pPr>
            <w:r w:rsidRPr="00624829">
              <w:rPr>
                <w:rFonts w:eastAsia="Arial" w:cs="Arial"/>
                <w:b/>
              </w:rPr>
              <w:t>3.11</w:t>
            </w:r>
          </w:p>
        </w:tc>
        <w:tc>
          <w:tcPr>
            <w:tcW w:w="4877" w:type="dxa"/>
            <w:shd w:val="clear" w:color="auto" w:fill="F2F2F2" w:themeFill="background1" w:themeFillShade="F2"/>
          </w:tcPr>
          <w:p w14:paraId="3AFB35A4" w14:textId="0A025874" w:rsidR="0037350F" w:rsidRPr="000760DC" w:rsidRDefault="001E3292">
            <w:pPr>
              <w:rPr>
                <w:b/>
                <w:bCs/>
              </w:rPr>
            </w:pPr>
            <w:r w:rsidRPr="000760DC">
              <w:rPr>
                <w:b/>
                <w:bCs/>
              </w:rPr>
              <w:t xml:space="preserve">Criteria </w:t>
            </w:r>
          </w:p>
          <w:p w14:paraId="1034CA72" w14:textId="41E363A8" w:rsidR="00AF1690" w:rsidRDefault="00DE5BA2" w:rsidP="0085565B">
            <w:pPr>
              <w:pStyle w:val="ListParagraph"/>
              <w:widowControl w:val="0"/>
              <w:numPr>
                <w:ilvl w:val="0"/>
                <w:numId w:val="65"/>
              </w:numPr>
              <w:tabs>
                <w:tab w:val="left" w:pos="0"/>
              </w:tabs>
              <w:overflowPunct w:val="0"/>
              <w:autoSpaceDE w:val="0"/>
              <w:autoSpaceDN w:val="0"/>
              <w:adjustRightInd w:val="0"/>
              <w:spacing w:before="120" w:after="120" w:line="240" w:lineRule="auto"/>
            </w:pPr>
            <w:r>
              <w:t>Please describe</w:t>
            </w:r>
            <w:r w:rsidR="00872C7E">
              <w:t xml:space="preserve">, by reference to experience of services </w:t>
            </w:r>
            <w:r w:rsidR="000A54A8">
              <w:t xml:space="preserve">of the same scale/ extent as required under </w:t>
            </w:r>
            <w:r w:rsidR="00135D80">
              <w:t xml:space="preserve">Annex 2 - </w:t>
            </w:r>
            <w:r w:rsidR="000A54A8">
              <w:t xml:space="preserve">Services Description, </w:t>
            </w:r>
            <w:r w:rsidR="00872C7E">
              <w:t>either</w:t>
            </w:r>
            <w:r w:rsidR="000A54A8">
              <w:t xml:space="preserve">: </w:t>
            </w:r>
          </w:p>
          <w:p w14:paraId="55C05CBF" w14:textId="77777777" w:rsidR="008D0C51" w:rsidRDefault="008D0C51" w:rsidP="008D0C51">
            <w:pPr>
              <w:pStyle w:val="ListParagraph"/>
              <w:widowControl w:val="0"/>
              <w:tabs>
                <w:tab w:val="left" w:pos="0"/>
              </w:tabs>
              <w:overflowPunct w:val="0"/>
              <w:autoSpaceDE w:val="0"/>
              <w:autoSpaceDN w:val="0"/>
              <w:adjustRightInd w:val="0"/>
              <w:spacing w:before="120" w:after="120" w:line="240" w:lineRule="auto"/>
            </w:pPr>
          </w:p>
          <w:p w14:paraId="767EE989" w14:textId="77777777" w:rsidR="00876CF2" w:rsidRDefault="00DE5BA2" w:rsidP="0085565B">
            <w:pPr>
              <w:pStyle w:val="ListParagraph"/>
              <w:widowControl w:val="0"/>
              <w:numPr>
                <w:ilvl w:val="0"/>
                <w:numId w:val="77"/>
              </w:numPr>
              <w:tabs>
                <w:tab w:val="left" w:pos="0"/>
              </w:tabs>
              <w:overflowPunct w:val="0"/>
              <w:autoSpaceDE w:val="0"/>
              <w:autoSpaceDN w:val="0"/>
              <w:adjustRightInd w:val="0"/>
              <w:spacing w:before="120" w:after="120" w:line="240" w:lineRule="auto"/>
            </w:pPr>
            <w:r>
              <w:t xml:space="preserve">your organisation’s </w:t>
            </w:r>
            <w:proofErr w:type="gramStart"/>
            <w:r w:rsidR="009B18F9">
              <w:t xml:space="preserve">past </w:t>
            </w:r>
            <w:r>
              <w:t>experience</w:t>
            </w:r>
            <w:proofErr w:type="gramEnd"/>
            <w:r>
              <w:t xml:space="preserve"> in managing a</w:t>
            </w:r>
            <w:r w:rsidR="00100A59">
              <w:t>n ecosyst</w:t>
            </w:r>
            <w:r w:rsidR="00A1170D">
              <w:t>em</w:t>
            </w:r>
            <w:r>
              <w:t xml:space="preserve"> of subcontractors in a lead/prime capacity.  Within your response, please provide details of</w:t>
            </w:r>
            <w:r w:rsidR="00841B49">
              <w:t xml:space="preserve"> </w:t>
            </w:r>
            <w:r w:rsidR="003B1906">
              <w:t>the</w:t>
            </w:r>
            <w:r>
              <w:t xml:space="preserve"> supply chain and the challenges that you faced and how these were overcome together with the outcomes delivered. </w:t>
            </w:r>
          </w:p>
          <w:p w14:paraId="03421C23" w14:textId="77777777" w:rsidR="00876CF2" w:rsidRDefault="00876CF2" w:rsidP="00876CF2">
            <w:pPr>
              <w:pStyle w:val="ListParagraph"/>
              <w:widowControl w:val="0"/>
              <w:tabs>
                <w:tab w:val="left" w:pos="0"/>
              </w:tabs>
              <w:overflowPunct w:val="0"/>
              <w:autoSpaceDE w:val="0"/>
              <w:autoSpaceDN w:val="0"/>
              <w:adjustRightInd w:val="0"/>
              <w:spacing w:before="120" w:after="120" w:line="240" w:lineRule="auto"/>
              <w:rPr>
                <w:b/>
                <w:bCs/>
              </w:rPr>
            </w:pPr>
          </w:p>
          <w:p w14:paraId="2D75B539" w14:textId="38437BFC" w:rsidR="00872C7E" w:rsidRPr="003E246C" w:rsidRDefault="00876CF2" w:rsidP="00876CF2">
            <w:pPr>
              <w:pStyle w:val="ListParagraph"/>
              <w:widowControl w:val="0"/>
              <w:tabs>
                <w:tab w:val="left" w:pos="0"/>
              </w:tabs>
              <w:overflowPunct w:val="0"/>
              <w:autoSpaceDE w:val="0"/>
              <w:autoSpaceDN w:val="0"/>
              <w:adjustRightInd w:val="0"/>
              <w:spacing w:before="120" w:after="120" w:line="240" w:lineRule="auto"/>
            </w:pPr>
            <w:r>
              <w:rPr>
                <w:b/>
                <w:bCs/>
              </w:rPr>
              <w:t>OR</w:t>
            </w:r>
            <w:r w:rsidR="00872C7E" w:rsidRPr="00225B3B">
              <w:rPr>
                <w:b/>
              </w:rPr>
              <w:t xml:space="preserve"> </w:t>
            </w:r>
          </w:p>
          <w:p w14:paraId="3C94CB6C" w14:textId="77777777" w:rsidR="00AC6C8B" w:rsidRPr="003E246C" w:rsidRDefault="00AC6C8B" w:rsidP="00AC6C8B">
            <w:pPr>
              <w:pStyle w:val="ListParagraph"/>
              <w:widowControl w:val="0"/>
              <w:tabs>
                <w:tab w:val="left" w:pos="0"/>
              </w:tabs>
              <w:overflowPunct w:val="0"/>
              <w:autoSpaceDE w:val="0"/>
              <w:autoSpaceDN w:val="0"/>
              <w:adjustRightInd w:val="0"/>
              <w:spacing w:before="120" w:after="120" w:line="240" w:lineRule="auto"/>
            </w:pPr>
          </w:p>
          <w:p w14:paraId="1B12311A" w14:textId="0B15D763" w:rsidR="00DE5BA2" w:rsidRPr="00BD0007" w:rsidRDefault="00872C7E" w:rsidP="0085565B">
            <w:pPr>
              <w:pStyle w:val="ListParagraph"/>
              <w:widowControl w:val="0"/>
              <w:numPr>
                <w:ilvl w:val="0"/>
                <w:numId w:val="77"/>
              </w:numPr>
              <w:tabs>
                <w:tab w:val="left" w:pos="0"/>
              </w:tabs>
              <w:overflowPunct w:val="0"/>
              <w:autoSpaceDE w:val="0"/>
              <w:autoSpaceDN w:val="0"/>
              <w:adjustRightInd w:val="0"/>
              <w:spacing w:before="120" w:after="120" w:line="240" w:lineRule="auto"/>
            </w:pPr>
            <w:r>
              <w:t>i</w:t>
            </w:r>
            <w:r w:rsidR="00DE5BA2">
              <w:t xml:space="preserve">f you do not </w:t>
            </w:r>
            <w:r>
              <w:t xml:space="preserve">act as a lead/ prime with one or more subcontractors </w:t>
            </w:r>
            <w:r w:rsidR="00DE5BA2">
              <w:t xml:space="preserve">please address the challenges and benefits of your </w:t>
            </w:r>
            <w:r w:rsidR="00A86215">
              <w:t xml:space="preserve">past experiences </w:t>
            </w:r>
            <w:r w:rsidR="00161931">
              <w:t xml:space="preserve">of a </w:t>
            </w:r>
            <w:r w:rsidR="00DE5BA2">
              <w:t>self-delivery approach</w:t>
            </w:r>
            <w:r w:rsidR="00AE30A7">
              <w:t>.</w:t>
            </w:r>
          </w:p>
          <w:p w14:paraId="0A615AA8" w14:textId="4218F300" w:rsidR="001E3292" w:rsidRPr="000760DC" w:rsidRDefault="001E3292">
            <w:pPr>
              <w:rPr>
                <w:b/>
                <w:bCs/>
              </w:rPr>
            </w:pPr>
            <w:r w:rsidRPr="000760DC">
              <w:rPr>
                <w:b/>
                <w:bCs/>
              </w:rPr>
              <w:t>Sub-Criteria</w:t>
            </w:r>
          </w:p>
          <w:p w14:paraId="7BAEB4F6" w14:textId="77777777" w:rsidR="009305C4" w:rsidRDefault="005A4928" w:rsidP="0085565B">
            <w:pPr>
              <w:pStyle w:val="ListParagraph"/>
              <w:widowControl w:val="0"/>
              <w:numPr>
                <w:ilvl w:val="0"/>
                <w:numId w:val="65"/>
              </w:numPr>
              <w:tabs>
                <w:tab w:val="left" w:pos="0"/>
              </w:tabs>
              <w:overflowPunct w:val="0"/>
              <w:autoSpaceDE w:val="0"/>
              <w:autoSpaceDN w:val="0"/>
              <w:adjustRightInd w:val="0"/>
              <w:spacing w:before="120" w:after="120" w:line="240" w:lineRule="auto"/>
              <w:rPr>
                <w:rFonts w:cs="Arial"/>
              </w:rPr>
            </w:pPr>
            <w:r w:rsidRPr="00161931">
              <w:t>Your</w:t>
            </w:r>
            <w:r w:rsidRPr="00656936">
              <w:rPr>
                <w:rFonts w:cs="Arial"/>
              </w:rPr>
              <w:t xml:space="preserve"> response should be based on examples where your organisation was the lead delivery </w:t>
            </w:r>
            <w:proofErr w:type="gramStart"/>
            <w:r w:rsidRPr="00656936">
              <w:rPr>
                <w:rFonts w:cs="Arial"/>
              </w:rPr>
              <w:t>entity</w:t>
            </w:r>
            <w:proofErr w:type="gramEnd"/>
            <w:r w:rsidRPr="00656936">
              <w:rPr>
                <w:rFonts w:cs="Arial"/>
              </w:rPr>
              <w:t xml:space="preserve"> </w:t>
            </w:r>
          </w:p>
          <w:p w14:paraId="3CD1AFEC" w14:textId="77777777" w:rsidR="00BE188F" w:rsidRDefault="00BE188F" w:rsidP="00BE188F">
            <w:pPr>
              <w:pStyle w:val="ListParagraph"/>
              <w:widowControl w:val="0"/>
              <w:tabs>
                <w:tab w:val="left" w:pos="0"/>
              </w:tabs>
              <w:overflowPunct w:val="0"/>
              <w:autoSpaceDE w:val="0"/>
              <w:autoSpaceDN w:val="0"/>
              <w:adjustRightInd w:val="0"/>
              <w:spacing w:before="120" w:after="120" w:line="240" w:lineRule="auto"/>
              <w:rPr>
                <w:rFonts w:cs="Arial"/>
              </w:rPr>
            </w:pPr>
          </w:p>
          <w:p w14:paraId="18EDF65E" w14:textId="39F726BB" w:rsidR="009305C4" w:rsidRPr="009305C4" w:rsidRDefault="009305C4" w:rsidP="00BE188F">
            <w:pPr>
              <w:widowControl w:val="0"/>
              <w:tabs>
                <w:tab w:val="left" w:pos="0"/>
              </w:tabs>
              <w:overflowPunct w:val="0"/>
              <w:autoSpaceDE w:val="0"/>
              <w:autoSpaceDN w:val="0"/>
              <w:adjustRightInd w:val="0"/>
              <w:spacing w:before="120" w:after="120" w:line="240" w:lineRule="auto"/>
              <w:rPr>
                <w:rFonts w:cs="Arial"/>
              </w:rPr>
            </w:pPr>
            <w:r>
              <w:rPr>
                <w:rFonts w:cs="Arial"/>
              </w:rPr>
              <w:t>I</w:t>
            </w:r>
            <w:r w:rsidR="000A54A8" w:rsidRPr="00656936">
              <w:rPr>
                <w:rFonts w:cs="Arial"/>
              </w:rPr>
              <w:t>f answering (</w:t>
            </w:r>
            <w:proofErr w:type="spellStart"/>
            <w:r w:rsidR="00AC6C8B">
              <w:rPr>
                <w:rFonts w:cs="Arial"/>
              </w:rPr>
              <w:t>i</w:t>
            </w:r>
            <w:proofErr w:type="spellEnd"/>
            <w:r w:rsidR="000A54A8" w:rsidRPr="00656936">
              <w:rPr>
                <w:rFonts w:cs="Arial"/>
              </w:rPr>
              <w:t>)</w:t>
            </w:r>
            <w:r w:rsidR="005A4928" w:rsidRPr="00656936">
              <w:rPr>
                <w:rFonts w:cs="Arial"/>
              </w:rPr>
              <w:t xml:space="preserve"> where sub-contractors are being relied on, </w:t>
            </w:r>
            <w:r w:rsidR="005E1303">
              <w:rPr>
                <w:rFonts w:cs="Arial"/>
              </w:rPr>
              <w:t xml:space="preserve">you </w:t>
            </w:r>
            <w:r w:rsidR="005A4928" w:rsidRPr="00656936">
              <w:rPr>
                <w:rFonts w:cs="Arial"/>
              </w:rPr>
              <w:t xml:space="preserve">must </w:t>
            </w:r>
            <w:r w:rsidR="005E1303">
              <w:rPr>
                <w:rFonts w:cs="Arial"/>
              </w:rPr>
              <w:t>s</w:t>
            </w:r>
            <w:r w:rsidRPr="009305C4">
              <w:rPr>
                <w:rFonts w:cs="Arial"/>
              </w:rPr>
              <w:t xml:space="preserve">pecifically </w:t>
            </w:r>
            <w:r w:rsidR="00BF0650">
              <w:rPr>
                <w:rFonts w:cs="Arial"/>
              </w:rPr>
              <w:t>provide</w:t>
            </w:r>
            <w:r w:rsidR="00014658">
              <w:rPr>
                <w:rFonts w:cs="Arial"/>
              </w:rPr>
              <w:t xml:space="preserve"> details of</w:t>
            </w:r>
            <w:r w:rsidRPr="009305C4">
              <w:rPr>
                <w:rFonts w:cs="Arial"/>
              </w:rPr>
              <w:t>:</w:t>
            </w:r>
          </w:p>
          <w:p w14:paraId="5EF8F452" w14:textId="77777777" w:rsidR="005E1303" w:rsidRDefault="005E1303" w:rsidP="005E1303">
            <w:pPr>
              <w:pStyle w:val="ListParagraph"/>
              <w:widowControl w:val="0"/>
              <w:tabs>
                <w:tab w:val="left" w:pos="0"/>
              </w:tabs>
              <w:overflowPunct w:val="0"/>
              <w:autoSpaceDE w:val="0"/>
              <w:autoSpaceDN w:val="0"/>
              <w:adjustRightInd w:val="0"/>
              <w:spacing w:before="120" w:after="120" w:line="240" w:lineRule="auto"/>
              <w:rPr>
                <w:rFonts w:cs="Arial"/>
              </w:rPr>
            </w:pPr>
          </w:p>
          <w:p w14:paraId="5B22E34C" w14:textId="33E16871" w:rsidR="005E1303" w:rsidRDefault="00571BAB" w:rsidP="0085565B">
            <w:pPr>
              <w:pStyle w:val="ListParagraph"/>
              <w:widowControl w:val="0"/>
              <w:numPr>
                <w:ilvl w:val="0"/>
                <w:numId w:val="65"/>
              </w:numPr>
              <w:tabs>
                <w:tab w:val="left" w:pos="0"/>
              </w:tabs>
              <w:overflowPunct w:val="0"/>
              <w:autoSpaceDE w:val="0"/>
              <w:autoSpaceDN w:val="0"/>
              <w:adjustRightInd w:val="0"/>
              <w:spacing w:before="120" w:after="120" w:line="240" w:lineRule="auto"/>
              <w:rPr>
                <w:rFonts w:cs="Arial"/>
              </w:rPr>
            </w:pPr>
            <w:r>
              <w:rPr>
                <w:rFonts w:cs="Arial"/>
              </w:rPr>
              <w:t>w</w:t>
            </w:r>
            <w:r w:rsidR="005E1303" w:rsidRPr="005E1303">
              <w:rPr>
                <w:rFonts w:cs="Arial"/>
              </w:rPr>
              <w:t>here you have worked with the sub-contract partners you are intending to use for this opportunity</w:t>
            </w:r>
            <w:r w:rsidR="000275BB">
              <w:rPr>
                <w:rFonts w:cs="Arial"/>
              </w:rPr>
              <w:t>. Please indicate</w:t>
            </w:r>
            <w:r w:rsidR="009B3C9F">
              <w:rPr>
                <w:rFonts w:cs="Arial"/>
              </w:rPr>
              <w:t xml:space="preserve"> if you </w:t>
            </w:r>
            <w:r w:rsidR="000B265A">
              <w:rPr>
                <w:rFonts w:cs="Arial"/>
              </w:rPr>
              <w:t>are proposing using a</w:t>
            </w:r>
            <w:r w:rsidR="000275BB">
              <w:rPr>
                <w:rFonts w:cs="Arial"/>
              </w:rPr>
              <w:t xml:space="preserve"> new sub-contracting partner</w:t>
            </w:r>
            <w:r w:rsidR="000B265A">
              <w:rPr>
                <w:rFonts w:cs="Arial"/>
              </w:rPr>
              <w:t xml:space="preserve"> with whom you haven’t previously </w:t>
            </w:r>
            <w:proofErr w:type="gramStart"/>
            <w:r w:rsidR="000B265A">
              <w:rPr>
                <w:rFonts w:cs="Arial"/>
              </w:rPr>
              <w:t>worked</w:t>
            </w:r>
            <w:r w:rsidR="003A15DB">
              <w:rPr>
                <w:rFonts w:cs="Arial"/>
              </w:rPr>
              <w:t>;</w:t>
            </w:r>
            <w:proofErr w:type="gramEnd"/>
          </w:p>
          <w:p w14:paraId="6B9DA377" w14:textId="327D39D2" w:rsidR="003A15DB" w:rsidRPr="002B5E7D" w:rsidRDefault="003A15DB" w:rsidP="0085565B">
            <w:pPr>
              <w:pStyle w:val="ListParagraph"/>
              <w:widowControl w:val="0"/>
              <w:numPr>
                <w:ilvl w:val="0"/>
                <w:numId w:val="65"/>
              </w:numPr>
              <w:tabs>
                <w:tab w:val="left" w:pos="0"/>
              </w:tabs>
              <w:overflowPunct w:val="0"/>
              <w:autoSpaceDE w:val="0"/>
              <w:autoSpaceDN w:val="0"/>
              <w:adjustRightInd w:val="0"/>
              <w:spacing w:before="120" w:after="120" w:line="240" w:lineRule="auto"/>
              <w:rPr>
                <w:rFonts w:cs="Arial"/>
              </w:rPr>
            </w:pPr>
            <w:r w:rsidRPr="002B5E7D">
              <w:rPr>
                <w:rFonts w:cs="Arial"/>
              </w:rPr>
              <w:t>how will any risks be addressed</w:t>
            </w:r>
            <w:r w:rsidR="00566BB0">
              <w:rPr>
                <w:rFonts w:cs="Arial"/>
              </w:rPr>
              <w:t>, especially</w:t>
            </w:r>
            <w:r w:rsidR="00463B37">
              <w:rPr>
                <w:rFonts w:cs="Arial"/>
              </w:rPr>
              <w:t xml:space="preserve"> </w:t>
            </w:r>
            <w:r w:rsidRPr="002B5E7D">
              <w:rPr>
                <w:rFonts w:cs="Arial"/>
              </w:rPr>
              <w:t xml:space="preserve">if you are proposing using any </w:t>
            </w:r>
            <w:r w:rsidR="00F74D58">
              <w:rPr>
                <w:rFonts w:cs="Arial"/>
              </w:rPr>
              <w:t xml:space="preserve">new </w:t>
            </w:r>
            <w:r w:rsidRPr="002B5E7D">
              <w:rPr>
                <w:rFonts w:cs="Arial"/>
              </w:rPr>
              <w:t xml:space="preserve">subcontractors for the first </w:t>
            </w:r>
            <w:proofErr w:type="gramStart"/>
            <w:r w:rsidRPr="002B5E7D">
              <w:rPr>
                <w:rFonts w:cs="Arial"/>
              </w:rPr>
              <w:t>time</w:t>
            </w:r>
            <w:r w:rsidR="00597FD0">
              <w:rPr>
                <w:rFonts w:cs="Arial"/>
              </w:rPr>
              <w:t>;</w:t>
            </w:r>
            <w:proofErr w:type="gramEnd"/>
          </w:p>
          <w:p w14:paraId="7C112719" w14:textId="77777777" w:rsidR="009305C4" w:rsidRPr="009305C4" w:rsidRDefault="009305C4" w:rsidP="0085565B">
            <w:pPr>
              <w:pStyle w:val="ListParagraph"/>
              <w:widowControl w:val="0"/>
              <w:numPr>
                <w:ilvl w:val="0"/>
                <w:numId w:val="65"/>
              </w:numPr>
              <w:tabs>
                <w:tab w:val="left" w:pos="0"/>
              </w:tabs>
              <w:overflowPunct w:val="0"/>
              <w:autoSpaceDE w:val="0"/>
              <w:autoSpaceDN w:val="0"/>
              <w:adjustRightInd w:val="0"/>
              <w:spacing w:before="120" w:after="120" w:line="240" w:lineRule="auto"/>
              <w:rPr>
                <w:rFonts w:cs="Arial"/>
              </w:rPr>
            </w:pPr>
            <w:r w:rsidRPr="009305C4">
              <w:rPr>
                <w:rFonts w:cs="Arial"/>
              </w:rPr>
              <w:t xml:space="preserve">how you managed flow-downs of service and contract </w:t>
            </w:r>
            <w:proofErr w:type="gramStart"/>
            <w:r w:rsidRPr="009305C4">
              <w:rPr>
                <w:rFonts w:cs="Arial"/>
              </w:rPr>
              <w:t>obligations;</w:t>
            </w:r>
            <w:proofErr w:type="gramEnd"/>
            <w:r w:rsidRPr="009305C4">
              <w:rPr>
                <w:rFonts w:cs="Arial"/>
              </w:rPr>
              <w:t xml:space="preserve"> </w:t>
            </w:r>
          </w:p>
          <w:p w14:paraId="3915D7B4" w14:textId="1E72C126" w:rsidR="009305C4" w:rsidRPr="009305C4" w:rsidRDefault="00B80254" w:rsidP="0085565B">
            <w:pPr>
              <w:pStyle w:val="ListParagraph"/>
              <w:widowControl w:val="0"/>
              <w:numPr>
                <w:ilvl w:val="0"/>
                <w:numId w:val="65"/>
              </w:numPr>
              <w:tabs>
                <w:tab w:val="left" w:pos="0"/>
              </w:tabs>
              <w:overflowPunct w:val="0"/>
              <w:autoSpaceDE w:val="0"/>
              <w:autoSpaceDN w:val="0"/>
              <w:adjustRightInd w:val="0"/>
              <w:spacing w:before="120" w:after="120" w:line="240" w:lineRule="auto"/>
              <w:rPr>
                <w:rFonts w:cs="Arial"/>
              </w:rPr>
            </w:pPr>
            <w:r>
              <w:rPr>
                <w:rFonts w:cs="Arial"/>
              </w:rPr>
              <w:t xml:space="preserve">how you </w:t>
            </w:r>
            <w:r w:rsidR="009305C4" w:rsidRPr="009305C4">
              <w:rPr>
                <w:rFonts w:cs="Arial"/>
              </w:rPr>
              <w:t xml:space="preserve">managed any delays caused by supply chain partners; and </w:t>
            </w:r>
          </w:p>
          <w:p w14:paraId="1600E458" w14:textId="13320840" w:rsidR="009305C4" w:rsidRPr="009305C4" w:rsidRDefault="00B80254" w:rsidP="0085565B">
            <w:pPr>
              <w:pStyle w:val="ListParagraph"/>
              <w:widowControl w:val="0"/>
              <w:numPr>
                <w:ilvl w:val="0"/>
                <w:numId w:val="65"/>
              </w:numPr>
              <w:tabs>
                <w:tab w:val="left" w:pos="0"/>
              </w:tabs>
              <w:overflowPunct w:val="0"/>
              <w:autoSpaceDE w:val="0"/>
              <w:autoSpaceDN w:val="0"/>
              <w:adjustRightInd w:val="0"/>
              <w:spacing w:before="120" w:after="120" w:line="240" w:lineRule="auto"/>
              <w:rPr>
                <w:rFonts w:cs="Arial"/>
              </w:rPr>
            </w:pPr>
            <w:r>
              <w:rPr>
                <w:rFonts w:cs="Arial"/>
              </w:rPr>
              <w:t xml:space="preserve">how you managed </w:t>
            </w:r>
            <w:r w:rsidR="009305C4" w:rsidRPr="009305C4">
              <w:rPr>
                <w:rFonts w:cs="Arial"/>
              </w:rPr>
              <w:t xml:space="preserve">remediated any possible </w:t>
            </w:r>
            <w:proofErr w:type="gramStart"/>
            <w:r w:rsidR="009305C4" w:rsidRPr="009305C4">
              <w:rPr>
                <w:rFonts w:cs="Arial"/>
              </w:rPr>
              <w:t>delays;</w:t>
            </w:r>
            <w:proofErr w:type="gramEnd"/>
            <w:r w:rsidR="009305C4" w:rsidRPr="009305C4">
              <w:rPr>
                <w:rFonts w:cs="Arial"/>
              </w:rPr>
              <w:t xml:space="preserve"> </w:t>
            </w:r>
          </w:p>
          <w:p w14:paraId="78D5AE5D" w14:textId="77777777" w:rsidR="00AC6C8B" w:rsidRDefault="00AC6C8B" w:rsidP="00AC6C8B">
            <w:pPr>
              <w:pStyle w:val="ListParagraph"/>
              <w:widowControl w:val="0"/>
              <w:tabs>
                <w:tab w:val="left" w:pos="0"/>
              </w:tabs>
              <w:overflowPunct w:val="0"/>
              <w:autoSpaceDE w:val="0"/>
              <w:autoSpaceDN w:val="0"/>
              <w:adjustRightInd w:val="0"/>
              <w:spacing w:before="120" w:after="120" w:line="240" w:lineRule="auto"/>
              <w:rPr>
                <w:rFonts w:cs="Arial"/>
              </w:rPr>
            </w:pPr>
          </w:p>
          <w:p w14:paraId="58928181" w14:textId="7C02B73A" w:rsidR="002D04DE" w:rsidRPr="002D04DE" w:rsidRDefault="002D04DE" w:rsidP="00AC6C8B">
            <w:pPr>
              <w:pStyle w:val="ListParagraph"/>
              <w:widowControl w:val="0"/>
              <w:tabs>
                <w:tab w:val="left" w:pos="0"/>
              </w:tabs>
              <w:overflowPunct w:val="0"/>
              <w:autoSpaceDE w:val="0"/>
              <w:autoSpaceDN w:val="0"/>
              <w:adjustRightInd w:val="0"/>
              <w:spacing w:before="120" w:after="120" w:line="240" w:lineRule="auto"/>
              <w:rPr>
                <w:rFonts w:cs="Arial"/>
                <w:b/>
                <w:bCs/>
              </w:rPr>
            </w:pPr>
            <w:r w:rsidRPr="002D04DE">
              <w:rPr>
                <w:rFonts w:cs="Arial"/>
                <w:b/>
                <w:bCs/>
              </w:rPr>
              <w:t xml:space="preserve">OR </w:t>
            </w:r>
          </w:p>
          <w:p w14:paraId="11F71121" w14:textId="77777777" w:rsidR="002D04DE" w:rsidRDefault="002D04DE" w:rsidP="00AC6C8B">
            <w:pPr>
              <w:pStyle w:val="ListParagraph"/>
              <w:widowControl w:val="0"/>
              <w:tabs>
                <w:tab w:val="left" w:pos="0"/>
              </w:tabs>
              <w:overflowPunct w:val="0"/>
              <w:autoSpaceDE w:val="0"/>
              <w:autoSpaceDN w:val="0"/>
              <w:adjustRightInd w:val="0"/>
              <w:spacing w:before="120" w:after="120" w:line="240" w:lineRule="auto"/>
              <w:rPr>
                <w:rFonts w:cs="Arial"/>
              </w:rPr>
            </w:pPr>
          </w:p>
          <w:p w14:paraId="38611AE7" w14:textId="368D456C" w:rsidR="00B80254" w:rsidRDefault="005A4928" w:rsidP="00BE188F">
            <w:pPr>
              <w:widowControl w:val="0"/>
              <w:tabs>
                <w:tab w:val="left" w:pos="0"/>
              </w:tabs>
              <w:overflowPunct w:val="0"/>
              <w:autoSpaceDE w:val="0"/>
              <w:autoSpaceDN w:val="0"/>
              <w:adjustRightInd w:val="0"/>
              <w:spacing w:before="120" w:after="120" w:line="240" w:lineRule="auto"/>
              <w:rPr>
                <w:rFonts w:cs="Arial"/>
              </w:rPr>
            </w:pPr>
            <w:r w:rsidRPr="00656936">
              <w:rPr>
                <w:rFonts w:cs="Arial"/>
              </w:rPr>
              <w:t xml:space="preserve">If you are not planning on utilising any subcontractors </w:t>
            </w:r>
            <w:r w:rsidR="000A54A8" w:rsidRPr="00656936">
              <w:rPr>
                <w:rFonts w:cs="Arial"/>
              </w:rPr>
              <w:t>and are answering (</w:t>
            </w:r>
            <w:r w:rsidR="00AC6C8B">
              <w:rPr>
                <w:rFonts w:cs="Arial"/>
              </w:rPr>
              <w:t>ii</w:t>
            </w:r>
            <w:r w:rsidR="000A54A8" w:rsidRPr="00656936">
              <w:rPr>
                <w:rFonts w:cs="Arial"/>
              </w:rPr>
              <w:t xml:space="preserve">) </w:t>
            </w:r>
            <w:r w:rsidRPr="00656936">
              <w:rPr>
                <w:rFonts w:cs="Arial"/>
              </w:rPr>
              <w:t xml:space="preserve">please </w:t>
            </w:r>
            <w:r w:rsidR="00571BAB">
              <w:rPr>
                <w:rFonts w:cs="Arial"/>
              </w:rPr>
              <w:t>articulate</w:t>
            </w:r>
            <w:r w:rsidR="00B80254">
              <w:rPr>
                <w:rFonts w:cs="Arial"/>
              </w:rPr>
              <w:t>:</w:t>
            </w:r>
          </w:p>
          <w:p w14:paraId="6319B6C8" w14:textId="77777777" w:rsidR="00B80254" w:rsidRDefault="00B80254" w:rsidP="00AC6C8B">
            <w:pPr>
              <w:pStyle w:val="ListParagraph"/>
              <w:widowControl w:val="0"/>
              <w:tabs>
                <w:tab w:val="left" w:pos="0"/>
              </w:tabs>
              <w:overflowPunct w:val="0"/>
              <w:autoSpaceDE w:val="0"/>
              <w:autoSpaceDN w:val="0"/>
              <w:adjustRightInd w:val="0"/>
              <w:spacing w:before="120" w:after="120" w:line="240" w:lineRule="auto"/>
              <w:rPr>
                <w:rFonts w:cs="Arial"/>
              </w:rPr>
            </w:pPr>
          </w:p>
          <w:p w14:paraId="4ABDD14F" w14:textId="67C0F3F1" w:rsidR="00656936" w:rsidRPr="00656936" w:rsidRDefault="005A4928" w:rsidP="0085565B">
            <w:pPr>
              <w:pStyle w:val="ListParagraph"/>
              <w:widowControl w:val="0"/>
              <w:numPr>
                <w:ilvl w:val="0"/>
                <w:numId w:val="78"/>
              </w:numPr>
              <w:tabs>
                <w:tab w:val="left" w:pos="0"/>
              </w:tabs>
              <w:overflowPunct w:val="0"/>
              <w:autoSpaceDE w:val="0"/>
              <w:autoSpaceDN w:val="0"/>
              <w:adjustRightInd w:val="0"/>
              <w:spacing w:before="120" w:after="120" w:line="240" w:lineRule="auto"/>
              <w:rPr>
                <w:rFonts w:cs="Arial"/>
              </w:rPr>
            </w:pPr>
            <w:r w:rsidRPr="00656936">
              <w:rPr>
                <w:rFonts w:cs="Arial"/>
              </w:rPr>
              <w:t xml:space="preserve">the </w:t>
            </w:r>
            <w:r w:rsidR="00A937CC">
              <w:rPr>
                <w:rFonts w:cs="Arial"/>
              </w:rPr>
              <w:t xml:space="preserve">previous experience and </w:t>
            </w:r>
            <w:r w:rsidRPr="00656936">
              <w:rPr>
                <w:rFonts w:cs="Arial"/>
              </w:rPr>
              <w:t xml:space="preserve">capabilities that your organisation possess to self-deliver </w:t>
            </w:r>
            <w:r w:rsidR="00A937CC">
              <w:rPr>
                <w:rFonts w:cs="Arial"/>
              </w:rPr>
              <w:t xml:space="preserve">equivalent services </w:t>
            </w:r>
            <w:r w:rsidRPr="00656936">
              <w:rPr>
                <w:rFonts w:cs="Arial"/>
              </w:rPr>
              <w:t xml:space="preserve">in their </w:t>
            </w:r>
            <w:proofErr w:type="gramStart"/>
            <w:r w:rsidRPr="00656936">
              <w:rPr>
                <w:rFonts w:cs="Arial"/>
              </w:rPr>
              <w:t>entirety</w:t>
            </w:r>
            <w:r w:rsidR="00884030">
              <w:rPr>
                <w:rFonts w:cs="Arial"/>
              </w:rPr>
              <w:t>;</w:t>
            </w:r>
            <w:proofErr w:type="gramEnd"/>
          </w:p>
          <w:p w14:paraId="2137577D" w14:textId="3E5183A4" w:rsidR="00892BED" w:rsidRDefault="00566BB0" w:rsidP="0085565B">
            <w:pPr>
              <w:pStyle w:val="ListParagraph"/>
              <w:widowControl w:val="0"/>
              <w:numPr>
                <w:ilvl w:val="0"/>
                <w:numId w:val="78"/>
              </w:numPr>
              <w:tabs>
                <w:tab w:val="left" w:pos="0"/>
              </w:tabs>
              <w:overflowPunct w:val="0"/>
              <w:autoSpaceDE w:val="0"/>
              <w:autoSpaceDN w:val="0"/>
              <w:adjustRightInd w:val="0"/>
              <w:spacing w:before="120" w:after="120" w:line="240" w:lineRule="auto"/>
              <w:rPr>
                <w:rFonts w:cs="Arial"/>
              </w:rPr>
            </w:pPr>
            <w:r>
              <w:rPr>
                <w:rFonts w:cs="Arial"/>
              </w:rPr>
              <w:t>t</w:t>
            </w:r>
            <w:r w:rsidR="00571BAB">
              <w:rPr>
                <w:rFonts w:cs="Arial"/>
              </w:rPr>
              <w:t xml:space="preserve">he challenges faced including </w:t>
            </w:r>
            <w:r w:rsidR="006736C5">
              <w:rPr>
                <w:rFonts w:cs="Arial"/>
              </w:rPr>
              <w:t xml:space="preserve">any </w:t>
            </w:r>
            <w:r w:rsidR="00571BAB">
              <w:rPr>
                <w:rFonts w:cs="Arial"/>
              </w:rPr>
              <w:t xml:space="preserve">risks and </w:t>
            </w:r>
            <w:r w:rsidR="00A25DF8">
              <w:rPr>
                <w:rFonts w:cs="Arial"/>
              </w:rPr>
              <w:t xml:space="preserve">associated </w:t>
            </w:r>
            <w:proofErr w:type="gramStart"/>
            <w:r w:rsidR="00A25DF8">
              <w:rPr>
                <w:rFonts w:cs="Arial"/>
              </w:rPr>
              <w:t>mitigations</w:t>
            </w:r>
            <w:r w:rsidR="00884030">
              <w:rPr>
                <w:rFonts w:cs="Arial"/>
              </w:rPr>
              <w:t>;</w:t>
            </w:r>
            <w:proofErr w:type="gramEnd"/>
          </w:p>
          <w:p w14:paraId="00C50772" w14:textId="1AF6A649" w:rsidR="00C374B0" w:rsidRPr="00B66DFB" w:rsidRDefault="00566BB0" w:rsidP="0085565B">
            <w:pPr>
              <w:pStyle w:val="ListParagraph"/>
              <w:widowControl w:val="0"/>
              <w:numPr>
                <w:ilvl w:val="0"/>
                <w:numId w:val="78"/>
              </w:numPr>
              <w:tabs>
                <w:tab w:val="left" w:pos="0"/>
              </w:tabs>
              <w:overflowPunct w:val="0"/>
              <w:autoSpaceDE w:val="0"/>
              <w:autoSpaceDN w:val="0"/>
              <w:adjustRightInd w:val="0"/>
              <w:spacing w:before="120" w:after="120" w:line="240" w:lineRule="auto"/>
              <w:rPr>
                <w:rFonts w:cs="Arial"/>
              </w:rPr>
            </w:pPr>
            <w:r>
              <w:rPr>
                <w:rFonts w:cs="Arial"/>
              </w:rPr>
              <w:t>h</w:t>
            </w:r>
            <w:r w:rsidR="00C374B0" w:rsidRPr="00B66DFB">
              <w:rPr>
                <w:rFonts w:cs="Arial"/>
              </w:rPr>
              <w:t xml:space="preserve">ow you managed </w:t>
            </w:r>
            <w:r w:rsidR="00C374B0">
              <w:rPr>
                <w:rFonts w:cs="Arial"/>
              </w:rPr>
              <w:t xml:space="preserve">and remediated </w:t>
            </w:r>
            <w:r w:rsidR="00C374B0" w:rsidRPr="00B66DFB">
              <w:rPr>
                <w:rFonts w:cs="Arial"/>
              </w:rPr>
              <w:t>any delays</w:t>
            </w:r>
            <w:r w:rsidR="00884030">
              <w:rPr>
                <w:rFonts w:cs="Arial"/>
              </w:rPr>
              <w:t>; and</w:t>
            </w:r>
          </w:p>
          <w:p w14:paraId="5F2B8EFF" w14:textId="0355F67F" w:rsidR="00566BB0" w:rsidRPr="00B66DFB" w:rsidRDefault="0059269A" w:rsidP="0085565B">
            <w:pPr>
              <w:pStyle w:val="ListParagraph"/>
              <w:widowControl w:val="0"/>
              <w:numPr>
                <w:ilvl w:val="0"/>
                <w:numId w:val="65"/>
              </w:numPr>
              <w:tabs>
                <w:tab w:val="left" w:pos="0"/>
              </w:tabs>
              <w:overflowPunct w:val="0"/>
              <w:autoSpaceDE w:val="0"/>
              <w:autoSpaceDN w:val="0"/>
              <w:adjustRightInd w:val="0"/>
              <w:spacing w:before="120" w:after="120" w:line="240" w:lineRule="auto"/>
              <w:rPr>
                <w:rFonts w:cs="Arial"/>
              </w:rPr>
            </w:pPr>
            <w:r>
              <w:rPr>
                <w:rFonts w:cs="Arial"/>
              </w:rPr>
              <w:t>the qualitative and quantitative benefits of a self-delivery approach</w:t>
            </w:r>
          </w:p>
          <w:p w14:paraId="5DFF58CC" w14:textId="77777777" w:rsidR="00B66DFB" w:rsidRDefault="00B66DFB" w:rsidP="000760DC">
            <w:pPr>
              <w:pStyle w:val="pf0"/>
              <w:ind w:left="0"/>
              <w:rPr>
                <w:rStyle w:val="cf01"/>
                <w:rFonts w:ascii="Arial" w:hAnsi="Arial"/>
                <w:b/>
                <w:bCs/>
                <w:sz w:val="22"/>
                <w:szCs w:val="22"/>
              </w:rPr>
            </w:pPr>
          </w:p>
          <w:p w14:paraId="63257825" w14:textId="6F1398E4" w:rsidR="001E3292" w:rsidRPr="004A2449" w:rsidRDefault="001E3292" w:rsidP="000760DC">
            <w:pPr>
              <w:pStyle w:val="pf0"/>
              <w:ind w:left="0"/>
              <w:rPr>
                <w:rStyle w:val="cf01"/>
                <w:rFonts w:ascii="Arial" w:eastAsiaTheme="minorHAnsi" w:hAnsi="Arial"/>
                <w:b/>
                <w:bCs/>
                <w:sz w:val="22"/>
                <w:szCs w:val="22"/>
                <w:lang w:eastAsia="en-US"/>
              </w:rPr>
            </w:pPr>
            <w:r w:rsidRPr="004A2449">
              <w:rPr>
                <w:rStyle w:val="cf01"/>
                <w:rFonts w:ascii="Arial" w:hAnsi="Arial"/>
                <w:b/>
                <w:bCs/>
                <w:sz w:val="22"/>
                <w:szCs w:val="22"/>
              </w:rPr>
              <w:t>Response Requ</w:t>
            </w:r>
            <w:r w:rsidR="00920BFE">
              <w:rPr>
                <w:rStyle w:val="cf01"/>
                <w:rFonts w:ascii="Arial" w:hAnsi="Arial"/>
                <w:b/>
                <w:bCs/>
                <w:sz w:val="22"/>
                <w:szCs w:val="22"/>
              </w:rPr>
              <w:t>irement(s)</w:t>
            </w:r>
          </w:p>
          <w:p w14:paraId="2F7F01A1" w14:textId="6EFFE205" w:rsidR="001E3292" w:rsidRPr="001E3292" w:rsidRDefault="00ED745A" w:rsidP="0085565B">
            <w:pPr>
              <w:pStyle w:val="ListParagraph"/>
              <w:numPr>
                <w:ilvl w:val="0"/>
                <w:numId w:val="67"/>
              </w:numPr>
              <w:spacing w:after="0" w:line="240" w:lineRule="auto"/>
              <w:rPr>
                <w:rFonts w:cs="Arial"/>
              </w:rPr>
            </w:pPr>
            <w:r>
              <w:rPr>
                <w:rFonts w:cs="Arial"/>
              </w:rPr>
              <w:t xml:space="preserve">The total response must be within </w:t>
            </w:r>
            <w:r w:rsidR="000175DD">
              <w:rPr>
                <w:rFonts w:cs="Arial"/>
              </w:rPr>
              <w:t>three [</w:t>
            </w:r>
            <w:r>
              <w:rPr>
                <w:rFonts w:cs="Arial"/>
              </w:rPr>
              <w:t>3</w:t>
            </w:r>
            <w:r w:rsidR="000175DD">
              <w:rPr>
                <w:rFonts w:cs="Arial"/>
              </w:rPr>
              <w:t>]</w:t>
            </w:r>
            <w:r>
              <w:rPr>
                <w:rFonts w:cs="Arial"/>
              </w:rPr>
              <w:t xml:space="preserve"> sides of </w:t>
            </w:r>
            <w:r w:rsidR="00916B16">
              <w:rPr>
                <w:rFonts w:cs="Arial"/>
              </w:rPr>
              <w:t>A</w:t>
            </w:r>
            <w:r>
              <w:rPr>
                <w:rFonts w:cs="Arial"/>
              </w:rPr>
              <w:t>4, Arial, size 10</w:t>
            </w:r>
            <w:r w:rsidR="00E868D1">
              <w:rPr>
                <w:rFonts w:cs="Arial"/>
              </w:rPr>
              <w:t>.</w:t>
            </w:r>
            <w:r>
              <w:rPr>
                <w:rFonts w:cs="Arial"/>
              </w:rPr>
              <w:t xml:space="preserve"> </w:t>
            </w:r>
            <w:r w:rsidR="00E868D1">
              <w:rPr>
                <w:rFonts w:cs="Arial"/>
              </w:rPr>
              <w:t xml:space="preserve">Any material provided </w:t>
            </w:r>
            <w:proofErr w:type="gramStart"/>
            <w:r w:rsidR="00E868D1">
              <w:rPr>
                <w:rFonts w:cs="Arial"/>
              </w:rPr>
              <w:t>in excess of</w:t>
            </w:r>
            <w:proofErr w:type="gramEnd"/>
            <w:r w:rsidR="00E868D1">
              <w:rPr>
                <w:rFonts w:cs="Arial"/>
              </w:rPr>
              <w:t xml:space="preserve"> this page count will not be evaluated.</w:t>
            </w:r>
          </w:p>
          <w:p w14:paraId="39E7752F" w14:textId="77777777" w:rsidR="0037350F" w:rsidRPr="00E84B05" w:rsidRDefault="0037350F">
            <w:pPr>
              <w:widowControl w:val="0"/>
              <w:overflowPunct w:val="0"/>
              <w:autoSpaceDE w:val="0"/>
              <w:autoSpaceDN w:val="0"/>
              <w:adjustRightInd w:val="0"/>
              <w:spacing w:before="120" w:after="120"/>
              <w:jc w:val="both"/>
              <w:rPr>
                <w:rFonts w:cs="Arial"/>
                <w:b/>
              </w:rPr>
            </w:pPr>
          </w:p>
        </w:tc>
        <w:tc>
          <w:tcPr>
            <w:tcW w:w="1460" w:type="dxa"/>
            <w:tcBorders>
              <w:top w:val="single" w:sz="6" w:space="0" w:color="000000" w:themeColor="text1"/>
              <w:bottom w:val="single" w:sz="6" w:space="0" w:color="000000" w:themeColor="text1"/>
            </w:tcBorders>
          </w:tcPr>
          <w:p w14:paraId="7F875F17" w14:textId="77777777" w:rsidR="0037350F" w:rsidRDefault="0037350F">
            <w:pPr>
              <w:tabs>
                <w:tab w:val="left" w:pos="602"/>
              </w:tabs>
              <w:spacing w:after="0" w:line="276" w:lineRule="auto"/>
              <w:rPr>
                <w:rFonts w:eastAsia="Arial" w:cs="Calibri"/>
              </w:rPr>
            </w:pPr>
          </w:p>
          <w:p w14:paraId="0757FF74" w14:textId="77777777" w:rsidR="0037350F" w:rsidRPr="007C53AA" w:rsidRDefault="0037350F">
            <w:pPr>
              <w:widowControl w:val="0"/>
              <w:overflowPunct w:val="0"/>
              <w:autoSpaceDE w:val="0"/>
              <w:autoSpaceDN w:val="0"/>
              <w:adjustRightInd w:val="0"/>
              <w:spacing w:before="120" w:after="120"/>
              <w:jc w:val="center"/>
              <w:rPr>
                <w:rFonts w:cs="Arial"/>
                <w:b/>
              </w:rPr>
            </w:pPr>
            <w:r>
              <w:rPr>
                <w:rFonts w:cs="Arial"/>
                <w:b/>
              </w:rPr>
              <w:t>20</w:t>
            </w:r>
            <w:r w:rsidRPr="008607E6">
              <w:rPr>
                <w:rFonts w:cs="Arial"/>
                <w:b/>
              </w:rPr>
              <w:t>% Weighting</w:t>
            </w:r>
          </w:p>
          <w:p w14:paraId="55EFAFA0" w14:textId="77777777" w:rsidR="0037350F" w:rsidRPr="007C53AA" w:rsidRDefault="0037350F">
            <w:pPr>
              <w:widowControl w:val="0"/>
              <w:tabs>
                <w:tab w:val="left" w:pos="0"/>
              </w:tabs>
              <w:overflowPunct w:val="0"/>
              <w:autoSpaceDE w:val="0"/>
              <w:autoSpaceDN w:val="0"/>
              <w:adjustRightInd w:val="0"/>
              <w:spacing w:before="120" w:after="120"/>
              <w:jc w:val="center"/>
              <w:rPr>
                <w:rFonts w:cs="Arial"/>
                <w:b/>
              </w:rPr>
            </w:pPr>
          </w:p>
          <w:p w14:paraId="67316696" w14:textId="7730176B" w:rsidR="0037350F" w:rsidRPr="00E84B05" w:rsidRDefault="0037350F">
            <w:pPr>
              <w:tabs>
                <w:tab w:val="left" w:pos="602"/>
              </w:tabs>
              <w:spacing w:after="0" w:line="276" w:lineRule="auto"/>
              <w:rPr>
                <w:rFonts w:eastAsia="Arial" w:cs="Calibri"/>
              </w:rPr>
            </w:pPr>
            <w:r>
              <w:rPr>
                <w:rFonts w:cs="Arial"/>
                <w:b/>
              </w:rPr>
              <w:t xml:space="preserve">Maximum </w:t>
            </w:r>
            <w:r w:rsidR="00ED745A">
              <w:rPr>
                <w:rFonts w:cs="Arial"/>
                <w:b/>
              </w:rPr>
              <w:t xml:space="preserve">3 sides of </w:t>
            </w:r>
            <w:r w:rsidR="00456D07">
              <w:rPr>
                <w:rFonts w:cs="Arial"/>
                <w:b/>
              </w:rPr>
              <w:t>A4</w:t>
            </w:r>
            <w:r w:rsidR="00ED745A">
              <w:rPr>
                <w:rFonts w:cs="Arial"/>
                <w:b/>
              </w:rPr>
              <w:t xml:space="preserve"> size 10 </w:t>
            </w:r>
            <w:proofErr w:type="gramStart"/>
            <w:r w:rsidR="00ED745A">
              <w:rPr>
                <w:rFonts w:cs="Arial"/>
                <w:b/>
              </w:rPr>
              <w:t>font</w:t>
            </w:r>
            <w:proofErr w:type="gramEnd"/>
            <w:r w:rsidR="00AE30A7">
              <w:rPr>
                <w:rFonts w:cs="Arial"/>
                <w:b/>
              </w:rPr>
              <w:t>, Arial</w:t>
            </w:r>
          </w:p>
        </w:tc>
      </w:tr>
      <w:tr w:rsidR="0037350F" w:rsidRPr="00605283" w14:paraId="57F244E7" w14:textId="77777777" w:rsidTr="008F3A64">
        <w:trPr>
          <w:trHeight w:val="1449"/>
        </w:trPr>
        <w:tc>
          <w:tcPr>
            <w:tcW w:w="0" w:type="auto"/>
            <w:shd w:val="clear" w:color="auto" w:fill="F2F2F2" w:themeFill="background1" w:themeFillShade="F2"/>
          </w:tcPr>
          <w:p w14:paraId="528BAE5A" w14:textId="77777777" w:rsidR="0037350F" w:rsidRDefault="0037350F">
            <w:pPr>
              <w:spacing w:after="0" w:line="276" w:lineRule="auto"/>
              <w:rPr>
                <w:rFonts w:eastAsia="Arial" w:cs="Arial"/>
                <w:b/>
              </w:rPr>
            </w:pPr>
            <w:r w:rsidRPr="003E246C">
              <w:rPr>
                <w:rFonts w:eastAsia="Arial" w:cs="Arial"/>
                <w:b/>
              </w:rPr>
              <w:t>3.12</w:t>
            </w:r>
          </w:p>
        </w:tc>
        <w:tc>
          <w:tcPr>
            <w:tcW w:w="4877" w:type="dxa"/>
            <w:shd w:val="clear" w:color="auto" w:fill="F2F2F2" w:themeFill="background1" w:themeFillShade="F2"/>
          </w:tcPr>
          <w:p w14:paraId="342F8053" w14:textId="77777777" w:rsidR="001E3292" w:rsidRPr="000760DC" w:rsidRDefault="001E3292">
            <w:pPr>
              <w:rPr>
                <w:b/>
                <w:bCs/>
              </w:rPr>
            </w:pPr>
            <w:r w:rsidRPr="000760DC">
              <w:rPr>
                <w:b/>
                <w:bCs/>
              </w:rPr>
              <w:t>Criteria</w:t>
            </w:r>
          </w:p>
          <w:p w14:paraId="0FACBBDD" w14:textId="0EBE523D" w:rsidR="00AA2A3F" w:rsidRDefault="0037350F">
            <w:r w:rsidRPr="000760DC">
              <w:t xml:space="preserve">Please describe the specific methodologies, frameworks, tools, and/or approaches that you have </w:t>
            </w:r>
            <w:r w:rsidR="009A0455">
              <w:t xml:space="preserve">previously </w:t>
            </w:r>
            <w:r w:rsidRPr="000760DC">
              <w:t xml:space="preserve">adopted, to plan and deliver cloud migration programmes at </w:t>
            </w:r>
            <w:r w:rsidR="000A54A8">
              <w:t xml:space="preserve">a comparable </w:t>
            </w:r>
            <w:r w:rsidRPr="000760DC">
              <w:t>scale within compressed timelines and the resultant impact that they had on the migration.</w:t>
            </w:r>
            <w:r w:rsidR="005936B0">
              <w:t xml:space="preserve">  </w:t>
            </w:r>
          </w:p>
          <w:p w14:paraId="53ACA569" w14:textId="79F6516A" w:rsidR="0037350F" w:rsidRDefault="005936B0">
            <w:r>
              <w:t>Furthermore, please describe th</w:t>
            </w:r>
            <w:r w:rsidR="001A0861">
              <w:t xml:space="preserve">e frameworks, tools, </w:t>
            </w:r>
            <w:r w:rsidR="001C3944">
              <w:t xml:space="preserve">and approaches that you have used to </w:t>
            </w:r>
            <w:r w:rsidR="005065AD">
              <w:t xml:space="preserve">ensure ongoing hosting services are managed in accordance with </w:t>
            </w:r>
            <w:r w:rsidR="00B83AC9">
              <w:t>Annex 2 - S</w:t>
            </w:r>
            <w:r w:rsidR="005065AD">
              <w:t xml:space="preserve">ervice </w:t>
            </w:r>
            <w:r w:rsidR="00B83AC9">
              <w:t>D</w:t>
            </w:r>
            <w:r w:rsidR="00465E71">
              <w:t>escription</w:t>
            </w:r>
            <w:r w:rsidR="005065AD">
              <w:t xml:space="preserve">, </w:t>
            </w:r>
            <w:r w:rsidR="00C13232">
              <w:t xml:space="preserve">resilience requirements, and </w:t>
            </w:r>
            <w:r w:rsidR="00704EF9">
              <w:t xml:space="preserve">other service enhancements. </w:t>
            </w:r>
            <w:r w:rsidR="005065AD">
              <w:t xml:space="preserve"> </w:t>
            </w:r>
          </w:p>
          <w:p w14:paraId="4CE27E98" w14:textId="0632721A" w:rsidR="00920BFE" w:rsidRPr="000760DC" w:rsidRDefault="00920BFE">
            <w:pPr>
              <w:rPr>
                <w:b/>
                <w:bCs/>
              </w:rPr>
            </w:pPr>
            <w:r w:rsidRPr="000760DC">
              <w:rPr>
                <w:b/>
                <w:bCs/>
              </w:rPr>
              <w:t>Sub-Criteria</w:t>
            </w:r>
          </w:p>
          <w:p w14:paraId="2BDC5FD1" w14:textId="77777777" w:rsidR="0072408A" w:rsidRPr="000760DC" w:rsidRDefault="0072408A" w:rsidP="0072408A">
            <w:r w:rsidRPr="000760DC">
              <w:rPr>
                <w:rFonts w:cs="Arial"/>
              </w:rPr>
              <w:t>Your response must address the following sub-criteria:</w:t>
            </w:r>
          </w:p>
          <w:p w14:paraId="40549836" w14:textId="5F3D72F1" w:rsidR="0072408A" w:rsidRPr="004572FA" w:rsidRDefault="0072408A" w:rsidP="0085565B">
            <w:pPr>
              <w:pStyle w:val="ListParagraph"/>
              <w:numPr>
                <w:ilvl w:val="0"/>
                <w:numId w:val="29"/>
              </w:numPr>
              <w:spacing w:after="0" w:line="240" w:lineRule="auto"/>
            </w:pPr>
            <w:r w:rsidRPr="004572FA">
              <w:t xml:space="preserve">Provide a clear description of the </w:t>
            </w:r>
            <w:r w:rsidR="00F43A83" w:rsidRPr="004572FA">
              <w:t xml:space="preserve">approaches / </w:t>
            </w:r>
            <w:r w:rsidRPr="004572FA">
              <w:t xml:space="preserve">methodologies </w:t>
            </w:r>
            <w:r w:rsidR="005B119F" w:rsidRPr="004572FA">
              <w:t xml:space="preserve">you have previously relied on that </w:t>
            </w:r>
            <w:r w:rsidRPr="004572FA">
              <w:t>you will bring to this programme</w:t>
            </w:r>
            <w:r w:rsidR="009A7E2A" w:rsidRPr="004572FA">
              <w:t xml:space="preserve"> and how they will achieve the aim of migration within compressed timelines.</w:t>
            </w:r>
          </w:p>
          <w:p w14:paraId="588BABAF" w14:textId="4E211C72" w:rsidR="0024264E" w:rsidRPr="004572FA" w:rsidRDefault="007B2F9F" w:rsidP="0085565B">
            <w:pPr>
              <w:pStyle w:val="ListParagraph"/>
              <w:numPr>
                <w:ilvl w:val="0"/>
                <w:numId w:val="29"/>
              </w:numPr>
              <w:spacing w:after="0" w:line="240" w:lineRule="auto"/>
            </w:pPr>
            <w:r w:rsidRPr="004572FA">
              <w:t xml:space="preserve">Identify what tools you </w:t>
            </w:r>
            <w:r w:rsidR="005B119F" w:rsidRPr="004572FA">
              <w:t xml:space="preserve">have relied on and would </w:t>
            </w:r>
            <w:r w:rsidRPr="004572FA">
              <w:t>intend to deploy to aid</w:t>
            </w:r>
            <w:r w:rsidR="00A1730B" w:rsidRPr="004572FA">
              <w:t xml:space="preserve"> migration and where possible indicate any acceleration advantage they may have.</w:t>
            </w:r>
          </w:p>
          <w:p w14:paraId="515588E9" w14:textId="6CD10670" w:rsidR="00762ACD" w:rsidRPr="00EE106C" w:rsidRDefault="00762ACD" w:rsidP="0085565B">
            <w:pPr>
              <w:pStyle w:val="ListParagraph"/>
              <w:numPr>
                <w:ilvl w:val="0"/>
                <w:numId w:val="29"/>
              </w:numPr>
              <w:spacing w:after="0" w:line="240" w:lineRule="auto"/>
            </w:pPr>
            <w:r w:rsidRPr="00EE106C">
              <w:t>Please confirm whether the tools you propose are proprietary, open-source, or third-party, and whether HMRC will retain access post-migration or require separate licensing.</w:t>
            </w:r>
          </w:p>
          <w:p w14:paraId="10562D21" w14:textId="77777777" w:rsidR="0069506B" w:rsidRPr="000760DC" w:rsidRDefault="0069506B" w:rsidP="00E90543">
            <w:pPr>
              <w:rPr>
                <w:rFonts w:cs="Arial"/>
                <w:b/>
                <w:bCs/>
                <w:u w:val="single"/>
              </w:rPr>
            </w:pPr>
          </w:p>
          <w:p w14:paraId="32A1E406" w14:textId="0D35D0FB" w:rsidR="000A1E72" w:rsidRPr="00C75430" w:rsidRDefault="00E90543" w:rsidP="00C75430">
            <w:pPr>
              <w:rPr>
                <w:rFonts w:cs="Arial"/>
                <w:u w:val="single"/>
              </w:rPr>
            </w:pPr>
            <w:r w:rsidRPr="000760DC">
              <w:rPr>
                <w:rFonts w:cs="Arial"/>
                <w:b/>
                <w:bCs/>
                <w:u w:val="single"/>
              </w:rPr>
              <w:t xml:space="preserve">Response </w:t>
            </w:r>
            <w:r w:rsidR="00920BFE" w:rsidRPr="000760DC">
              <w:rPr>
                <w:rFonts w:cs="Arial"/>
                <w:b/>
                <w:bCs/>
                <w:u w:val="single"/>
              </w:rPr>
              <w:t>requirement(s)</w:t>
            </w:r>
            <w:r w:rsidRPr="000760DC">
              <w:rPr>
                <w:rFonts w:cs="Arial"/>
                <w:u w:val="single"/>
              </w:rPr>
              <w:t xml:space="preserve">: </w:t>
            </w:r>
          </w:p>
          <w:p w14:paraId="1C439386" w14:textId="2763D50D" w:rsidR="00786CA2" w:rsidRPr="00E868D1" w:rsidRDefault="00ED745A" w:rsidP="0085565B">
            <w:pPr>
              <w:pStyle w:val="ListParagraph"/>
              <w:numPr>
                <w:ilvl w:val="0"/>
                <w:numId w:val="69"/>
              </w:numPr>
              <w:spacing w:after="0" w:line="240" w:lineRule="auto"/>
              <w:rPr>
                <w:rFonts w:cs="Arial"/>
              </w:rPr>
            </w:pPr>
            <w:r>
              <w:rPr>
                <w:rFonts w:cs="Arial"/>
              </w:rPr>
              <w:t xml:space="preserve">The total response must be within </w:t>
            </w:r>
            <w:r w:rsidR="000175DD">
              <w:rPr>
                <w:rFonts w:cs="Arial"/>
              </w:rPr>
              <w:t>two [</w:t>
            </w:r>
            <w:r>
              <w:rPr>
                <w:rFonts w:cs="Arial"/>
              </w:rPr>
              <w:t>2</w:t>
            </w:r>
            <w:r w:rsidR="000175DD">
              <w:rPr>
                <w:rFonts w:cs="Arial"/>
              </w:rPr>
              <w:t>]</w:t>
            </w:r>
            <w:r>
              <w:rPr>
                <w:rFonts w:cs="Arial"/>
              </w:rPr>
              <w:t xml:space="preserve"> sides of </w:t>
            </w:r>
            <w:r w:rsidR="00456D07">
              <w:rPr>
                <w:rFonts w:cs="Arial"/>
              </w:rPr>
              <w:t>A4</w:t>
            </w:r>
            <w:r>
              <w:rPr>
                <w:rFonts w:cs="Arial"/>
              </w:rPr>
              <w:t>, Arial, size 10</w:t>
            </w:r>
            <w:r w:rsidR="00E868D1">
              <w:rPr>
                <w:rFonts w:cs="Arial"/>
              </w:rPr>
              <w:t xml:space="preserve">. Any material provided </w:t>
            </w:r>
            <w:proofErr w:type="gramStart"/>
            <w:r w:rsidR="00E868D1">
              <w:rPr>
                <w:rFonts w:cs="Arial"/>
              </w:rPr>
              <w:t>in excess of</w:t>
            </w:r>
            <w:proofErr w:type="gramEnd"/>
            <w:r w:rsidR="00E868D1">
              <w:rPr>
                <w:rFonts w:cs="Arial"/>
              </w:rPr>
              <w:t xml:space="preserve"> this page count will not be evaluated.</w:t>
            </w:r>
          </w:p>
          <w:p w14:paraId="76985D23" w14:textId="677F3213" w:rsidR="0037350F" w:rsidRPr="00920BFE" w:rsidRDefault="0037350F" w:rsidP="00CD5562">
            <w:pPr>
              <w:pStyle w:val="ListParagraph"/>
            </w:pPr>
          </w:p>
        </w:tc>
        <w:tc>
          <w:tcPr>
            <w:tcW w:w="1460" w:type="dxa"/>
            <w:tcBorders>
              <w:top w:val="single" w:sz="6" w:space="0" w:color="000000" w:themeColor="text1"/>
              <w:bottom w:val="single" w:sz="6" w:space="0" w:color="000000" w:themeColor="text1"/>
            </w:tcBorders>
          </w:tcPr>
          <w:p w14:paraId="4E3A0598" w14:textId="77777777" w:rsidR="0037350F" w:rsidRPr="007C53AA" w:rsidRDefault="0037350F">
            <w:pPr>
              <w:widowControl w:val="0"/>
              <w:overflowPunct w:val="0"/>
              <w:autoSpaceDE w:val="0"/>
              <w:autoSpaceDN w:val="0"/>
              <w:adjustRightInd w:val="0"/>
              <w:spacing w:before="120" w:after="120"/>
              <w:jc w:val="center"/>
              <w:rPr>
                <w:rFonts w:cs="Arial"/>
                <w:b/>
              </w:rPr>
            </w:pPr>
            <w:r w:rsidRPr="008607E6">
              <w:rPr>
                <w:rFonts w:cs="Arial"/>
                <w:b/>
              </w:rPr>
              <w:t>1</w:t>
            </w:r>
            <w:r>
              <w:rPr>
                <w:rFonts w:cs="Arial"/>
                <w:b/>
              </w:rPr>
              <w:t>0</w:t>
            </w:r>
            <w:r w:rsidRPr="008607E6">
              <w:rPr>
                <w:rFonts w:cs="Arial"/>
                <w:b/>
              </w:rPr>
              <w:t>% Weighting</w:t>
            </w:r>
          </w:p>
          <w:p w14:paraId="22F5780E" w14:textId="77777777" w:rsidR="0037350F" w:rsidRPr="007C53AA" w:rsidRDefault="0037350F">
            <w:pPr>
              <w:widowControl w:val="0"/>
              <w:tabs>
                <w:tab w:val="left" w:pos="0"/>
              </w:tabs>
              <w:overflowPunct w:val="0"/>
              <w:autoSpaceDE w:val="0"/>
              <w:autoSpaceDN w:val="0"/>
              <w:adjustRightInd w:val="0"/>
              <w:spacing w:before="120" w:after="120"/>
              <w:jc w:val="center"/>
              <w:rPr>
                <w:rFonts w:cs="Arial"/>
                <w:b/>
              </w:rPr>
            </w:pPr>
          </w:p>
          <w:p w14:paraId="3E0B70C7" w14:textId="5394F6F1" w:rsidR="0037350F" w:rsidRDefault="0037350F">
            <w:pPr>
              <w:tabs>
                <w:tab w:val="left" w:pos="602"/>
              </w:tabs>
              <w:spacing w:after="0" w:line="276" w:lineRule="auto"/>
              <w:rPr>
                <w:rFonts w:eastAsia="Arial" w:cs="Calibri"/>
              </w:rPr>
            </w:pPr>
            <w:r>
              <w:rPr>
                <w:rFonts w:cs="Arial"/>
                <w:b/>
              </w:rPr>
              <w:t xml:space="preserve">Maximum </w:t>
            </w:r>
            <w:r w:rsidR="00ED745A">
              <w:rPr>
                <w:rFonts w:cs="Arial"/>
                <w:b/>
              </w:rPr>
              <w:t xml:space="preserve">2 sides of </w:t>
            </w:r>
            <w:r w:rsidR="00456D07">
              <w:rPr>
                <w:rFonts w:cs="Arial"/>
                <w:b/>
              </w:rPr>
              <w:t>A4</w:t>
            </w:r>
            <w:r w:rsidR="00ED745A">
              <w:rPr>
                <w:rFonts w:cs="Arial"/>
                <w:b/>
              </w:rPr>
              <w:t xml:space="preserve"> size 10 </w:t>
            </w:r>
            <w:proofErr w:type="gramStart"/>
            <w:r w:rsidR="00ED745A">
              <w:rPr>
                <w:rFonts w:cs="Arial"/>
                <w:b/>
              </w:rPr>
              <w:t>font</w:t>
            </w:r>
            <w:proofErr w:type="gramEnd"/>
            <w:r w:rsidR="00615821">
              <w:rPr>
                <w:rFonts w:cs="Arial"/>
                <w:b/>
              </w:rPr>
              <w:t>, Arial</w:t>
            </w:r>
          </w:p>
        </w:tc>
      </w:tr>
      <w:tr w:rsidR="00B76B29" w:rsidRPr="00605283" w14:paraId="17E5D78F" w14:textId="77777777" w:rsidTr="008F3A64">
        <w:trPr>
          <w:trHeight w:val="1449"/>
        </w:trPr>
        <w:tc>
          <w:tcPr>
            <w:tcW w:w="0" w:type="auto"/>
            <w:tcBorders>
              <w:bottom w:val="single" w:sz="6" w:space="0" w:color="000000" w:themeColor="text1"/>
            </w:tcBorders>
            <w:shd w:val="clear" w:color="auto" w:fill="F2F2F2" w:themeFill="background1" w:themeFillShade="F2"/>
          </w:tcPr>
          <w:p w14:paraId="044A3E1E" w14:textId="77777777" w:rsidR="00B76B29" w:rsidRPr="00E84B05" w:rsidRDefault="00B76B29" w:rsidP="00B76B29">
            <w:pPr>
              <w:spacing w:after="0" w:line="276" w:lineRule="auto"/>
              <w:rPr>
                <w:rFonts w:eastAsia="Arial" w:cs="Arial"/>
                <w:b/>
              </w:rPr>
            </w:pPr>
            <w:r w:rsidRPr="003E246C">
              <w:rPr>
                <w:rFonts w:eastAsia="Arial" w:cs="Arial"/>
                <w:b/>
              </w:rPr>
              <w:t>3.13</w:t>
            </w:r>
          </w:p>
        </w:tc>
        <w:tc>
          <w:tcPr>
            <w:tcW w:w="4877" w:type="dxa"/>
            <w:tcBorders>
              <w:bottom w:val="single" w:sz="6" w:space="0" w:color="000000" w:themeColor="text1"/>
            </w:tcBorders>
            <w:shd w:val="clear" w:color="auto" w:fill="F2F2F2" w:themeFill="background1" w:themeFillShade="F2"/>
          </w:tcPr>
          <w:p w14:paraId="7A5061A6" w14:textId="77777777" w:rsidR="00B76B29" w:rsidRDefault="00B76B29" w:rsidP="00B76B29">
            <w:pPr>
              <w:jc w:val="both"/>
              <w:rPr>
                <w:b/>
                <w:bCs/>
              </w:rPr>
            </w:pPr>
            <w:r>
              <w:rPr>
                <w:b/>
                <w:bCs/>
              </w:rPr>
              <w:t xml:space="preserve">Criteria </w:t>
            </w:r>
          </w:p>
          <w:p w14:paraId="78BF260C" w14:textId="77777777" w:rsidR="00B76B29" w:rsidRDefault="00B76B29" w:rsidP="00B76B29">
            <w:pPr>
              <w:jc w:val="both"/>
            </w:pPr>
            <w:r>
              <w:t xml:space="preserve">Please describe how your organisation has worked alongside clients to create opportunities for involvement of Small Medium Enterprise (SME) suppliers.  </w:t>
            </w:r>
          </w:p>
          <w:p w14:paraId="73B97639" w14:textId="2792B27D" w:rsidR="00B76B29" w:rsidRPr="000760DC" w:rsidRDefault="00B76B29" w:rsidP="00B76B29">
            <w:pPr>
              <w:jc w:val="both"/>
              <w:rPr>
                <w:rFonts w:cs="Arial"/>
                <w:b/>
              </w:rPr>
            </w:pPr>
            <w:r w:rsidRPr="00920BFE">
              <w:rPr>
                <w:rFonts w:cs="Arial"/>
                <w:b/>
              </w:rPr>
              <w:t>S</w:t>
            </w:r>
            <w:r w:rsidRPr="000760DC">
              <w:rPr>
                <w:rFonts w:cs="Arial"/>
                <w:b/>
              </w:rPr>
              <w:t>ub-Criteria</w:t>
            </w:r>
          </w:p>
          <w:p w14:paraId="6C855B10" w14:textId="77777777" w:rsidR="00B76B29" w:rsidRPr="000760DC" w:rsidRDefault="00B76B29" w:rsidP="00B76B29">
            <w:pPr>
              <w:jc w:val="both"/>
              <w:rPr>
                <w:rFonts w:cs="Arial"/>
              </w:rPr>
            </w:pPr>
            <w:r w:rsidRPr="000760DC">
              <w:rPr>
                <w:rFonts w:cs="Arial"/>
              </w:rPr>
              <w:t>Your response must address the following sub-criteria:</w:t>
            </w:r>
          </w:p>
          <w:p w14:paraId="51616004" w14:textId="18B4C63B" w:rsidR="00B76B29" w:rsidRDefault="00B76B29" w:rsidP="0085565B">
            <w:pPr>
              <w:pStyle w:val="ListParagraph"/>
              <w:numPr>
                <w:ilvl w:val="0"/>
                <w:numId w:val="70"/>
              </w:numPr>
              <w:spacing w:after="0" w:line="240" w:lineRule="auto"/>
            </w:pPr>
            <w:r>
              <w:t xml:space="preserve">Any </w:t>
            </w:r>
            <w:r w:rsidR="00CD3738">
              <w:t>existing</w:t>
            </w:r>
            <w:r>
              <w:t xml:space="preserve"> commitments or policies that your organisation has to expand the use of SME suppliers in the delivery of similar projects to this </w:t>
            </w:r>
            <w:proofErr w:type="gramStart"/>
            <w:r>
              <w:t>requirement</w:t>
            </w:r>
            <w:proofErr w:type="gramEnd"/>
            <w:r>
              <w:t xml:space="preserve"> </w:t>
            </w:r>
          </w:p>
          <w:p w14:paraId="1FAD55FE" w14:textId="77777777" w:rsidR="00B76B29" w:rsidRDefault="00B76B29" w:rsidP="0085565B">
            <w:pPr>
              <w:pStyle w:val="ListParagraph"/>
              <w:numPr>
                <w:ilvl w:val="0"/>
                <w:numId w:val="70"/>
              </w:numPr>
              <w:spacing w:after="0" w:line="240" w:lineRule="auto"/>
            </w:pPr>
            <w:r>
              <w:t xml:space="preserve">Examples of where you have developed specific SME eco-systems to support contracts of a similar size and nature to this </w:t>
            </w:r>
            <w:proofErr w:type="gramStart"/>
            <w:r>
              <w:t>requirement</w:t>
            </w:r>
            <w:proofErr w:type="gramEnd"/>
          </w:p>
          <w:p w14:paraId="6FEF3E15" w14:textId="731DB869" w:rsidR="00C04CEF" w:rsidRDefault="005221B0" w:rsidP="0085565B">
            <w:pPr>
              <w:pStyle w:val="ListParagraph"/>
              <w:numPr>
                <w:ilvl w:val="0"/>
                <w:numId w:val="70"/>
              </w:numPr>
              <w:spacing w:after="0" w:line="240" w:lineRule="auto"/>
            </w:pPr>
            <w:r w:rsidRPr="005221B0">
              <w:t xml:space="preserve">In these examples, you must provide details of previous quantifiable metrics, tools and governance processes for demonstrating and reporting the achievement of your commitments to your </w:t>
            </w:r>
            <w:proofErr w:type="gramStart"/>
            <w:r w:rsidRPr="005221B0">
              <w:t>client</w:t>
            </w:r>
            <w:proofErr w:type="gramEnd"/>
          </w:p>
          <w:p w14:paraId="2A29869A" w14:textId="77777777" w:rsidR="00E868D1" w:rsidRDefault="00E868D1" w:rsidP="00BD0007">
            <w:pPr>
              <w:pStyle w:val="ListParagraph"/>
              <w:spacing w:after="0" w:line="240" w:lineRule="auto"/>
            </w:pPr>
          </w:p>
          <w:p w14:paraId="44C136FD" w14:textId="50EEFDC3" w:rsidR="00B76B29" w:rsidRPr="000760DC" w:rsidRDefault="00B76B29" w:rsidP="00B76B29">
            <w:pPr>
              <w:rPr>
                <w:rFonts w:cs="Arial"/>
                <w:u w:val="single"/>
              </w:rPr>
            </w:pPr>
            <w:r w:rsidRPr="000760DC">
              <w:rPr>
                <w:rFonts w:cs="Arial"/>
                <w:b/>
                <w:bCs/>
                <w:u w:val="single"/>
              </w:rPr>
              <w:t>Response requirement(s)</w:t>
            </w:r>
            <w:r w:rsidRPr="000760DC">
              <w:rPr>
                <w:rFonts w:cs="Arial"/>
                <w:u w:val="single"/>
              </w:rPr>
              <w:t xml:space="preserve">: </w:t>
            </w:r>
          </w:p>
          <w:p w14:paraId="757A573A" w14:textId="1D63424F" w:rsidR="00E868D1" w:rsidRPr="00E868D1" w:rsidRDefault="00E868D1" w:rsidP="0085565B">
            <w:pPr>
              <w:pStyle w:val="ListParagraph"/>
              <w:numPr>
                <w:ilvl w:val="0"/>
                <w:numId w:val="71"/>
              </w:numPr>
              <w:spacing w:after="0" w:line="240" w:lineRule="auto"/>
              <w:rPr>
                <w:rFonts w:cs="Arial"/>
              </w:rPr>
            </w:pPr>
            <w:r>
              <w:rPr>
                <w:rFonts w:cs="Arial"/>
              </w:rPr>
              <w:t xml:space="preserve">The total response must be within </w:t>
            </w:r>
            <w:r w:rsidR="009A0455">
              <w:rPr>
                <w:rFonts w:cs="Arial"/>
              </w:rPr>
              <w:t>one [</w:t>
            </w:r>
            <w:r>
              <w:rPr>
                <w:rFonts w:cs="Arial"/>
              </w:rPr>
              <w:t>1</w:t>
            </w:r>
            <w:r w:rsidR="009A0455">
              <w:rPr>
                <w:rFonts w:cs="Arial"/>
              </w:rPr>
              <w:t>]</w:t>
            </w:r>
            <w:r>
              <w:rPr>
                <w:rFonts w:cs="Arial"/>
              </w:rPr>
              <w:t xml:space="preserve"> side of A4, Arial, size 10. Any material provided </w:t>
            </w:r>
            <w:proofErr w:type="gramStart"/>
            <w:r>
              <w:rPr>
                <w:rFonts w:cs="Arial"/>
              </w:rPr>
              <w:t>in excess of</w:t>
            </w:r>
            <w:proofErr w:type="gramEnd"/>
            <w:r>
              <w:rPr>
                <w:rFonts w:cs="Arial"/>
              </w:rPr>
              <w:t xml:space="preserve"> this page count will not be evaluated.</w:t>
            </w:r>
          </w:p>
          <w:p w14:paraId="1CD31344" w14:textId="77777777" w:rsidR="00E868D1" w:rsidRPr="00BD0007" w:rsidRDefault="00E868D1" w:rsidP="00BD0007">
            <w:pPr>
              <w:spacing w:after="0" w:line="240" w:lineRule="auto"/>
              <w:rPr>
                <w:rFonts w:cs="Arial"/>
              </w:rPr>
            </w:pPr>
          </w:p>
          <w:p w14:paraId="2F3DC377" w14:textId="03CD200C" w:rsidR="00B76B29" w:rsidRPr="00920BFE" w:rsidRDefault="00B76B29" w:rsidP="00E868D1">
            <w:pPr>
              <w:pStyle w:val="ListParagraph"/>
              <w:rPr>
                <w:b/>
              </w:rPr>
            </w:pPr>
          </w:p>
        </w:tc>
        <w:tc>
          <w:tcPr>
            <w:tcW w:w="1460" w:type="dxa"/>
            <w:tcBorders>
              <w:top w:val="single" w:sz="6" w:space="0" w:color="000000" w:themeColor="text1"/>
              <w:bottom w:val="single" w:sz="6" w:space="0" w:color="000000" w:themeColor="text1"/>
            </w:tcBorders>
          </w:tcPr>
          <w:p w14:paraId="20EB439D" w14:textId="77777777" w:rsidR="00B76B29" w:rsidRPr="007C53AA" w:rsidRDefault="00B76B29" w:rsidP="00B76B29">
            <w:pPr>
              <w:widowControl w:val="0"/>
              <w:overflowPunct w:val="0"/>
              <w:autoSpaceDE w:val="0"/>
              <w:autoSpaceDN w:val="0"/>
              <w:adjustRightInd w:val="0"/>
              <w:spacing w:before="120" w:after="120"/>
              <w:jc w:val="center"/>
              <w:rPr>
                <w:rFonts w:cs="Arial"/>
                <w:b/>
              </w:rPr>
            </w:pPr>
            <w:r>
              <w:rPr>
                <w:rFonts w:cs="Arial"/>
                <w:b/>
              </w:rPr>
              <w:t>5</w:t>
            </w:r>
            <w:r w:rsidRPr="008607E6">
              <w:rPr>
                <w:rFonts w:cs="Arial"/>
                <w:b/>
              </w:rPr>
              <w:t>% Weighting</w:t>
            </w:r>
          </w:p>
          <w:p w14:paraId="7C8DA776" w14:textId="77777777" w:rsidR="00B76B29" w:rsidRPr="007C53AA" w:rsidRDefault="00B76B29" w:rsidP="00B76B29">
            <w:pPr>
              <w:widowControl w:val="0"/>
              <w:tabs>
                <w:tab w:val="left" w:pos="0"/>
              </w:tabs>
              <w:overflowPunct w:val="0"/>
              <w:autoSpaceDE w:val="0"/>
              <w:autoSpaceDN w:val="0"/>
              <w:adjustRightInd w:val="0"/>
              <w:spacing w:before="120" w:after="120"/>
              <w:jc w:val="center"/>
              <w:rPr>
                <w:rFonts w:cs="Arial"/>
                <w:b/>
              </w:rPr>
            </w:pPr>
          </w:p>
          <w:p w14:paraId="59AB338F" w14:textId="1EC79A3C" w:rsidR="00B76B29" w:rsidRPr="00E84B05" w:rsidRDefault="00B76B29" w:rsidP="00B76B29">
            <w:pPr>
              <w:tabs>
                <w:tab w:val="left" w:pos="602"/>
              </w:tabs>
              <w:spacing w:after="0" w:line="276" w:lineRule="auto"/>
              <w:rPr>
                <w:rFonts w:eastAsia="Arial" w:cs="Calibri"/>
              </w:rPr>
            </w:pPr>
            <w:r>
              <w:rPr>
                <w:rFonts w:cs="Arial"/>
                <w:b/>
              </w:rPr>
              <w:t xml:space="preserve">Maximum </w:t>
            </w:r>
            <w:r w:rsidR="00DC0979">
              <w:rPr>
                <w:rFonts w:cs="Arial"/>
                <w:b/>
              </w:rPr>
              <w:t xml:space="preserve">1 side of </w:t>
            </w:r>
            <w:r w:rsidR="00456D07">
              <w:rPr>
                <w:rFonts w:cs="Arial"/>
                <w:b/>
              </w:rPr>
              <w:t>A4</w:t>
            </w:r>
            <w:r w:rsidR="00DC0979">
              <w:rPr>
                <w:rFonts w:cs="Arial"/>
                <w:b/>
              </w:rPr>
              <w:t xml:space="preserve"> size 10 </w:t>
            </w:r>
            <w:proofErr w:type="gramStart"/>
            <w:r w:rsidR="00DC0979">
              <w:rPr>
                <w:rFonts w:cs="Arial"/>
                <w:b/>
              </w:rPr>
              <w:t>font</w:t>
            </w:r>
            <w:proofErr w:type="gramEnd"/>
            <w:r w:rsidR="00615821">
              <w:rPr>
                <w:rFonts w:cs="Arial"/>
                <w:b/>
              </w:rPr>
              <w:t>, Arial</w:t>
            </w:r>
          </w:p>
        </w:tc>
      </w:tr>
      <w:tr w:rsidR="0037350F" w:rsidRPr="00605283" w14:paraId="60B62C0B" w14:textId="77777777" w:rsidTr="008F3A64">
        <w:trPr>
          <w:trHeight w:val="1449"/>
        </w:trPr>
        <w:tc>
          <w:tcPr>
            <w:tcW w:w="0" w:type="auto"/>
            <w:tcBorders>
              <w:bottom w:val="single" w:sz="6" w:space="0" w:color="000000" w:themeColor="text1"/>
            </w:tcBorders>
            <w:shd w:val="clear" w:color="auto" w:fill="F2F2F2" w:themeFill="background1" w:themeFillShade="F2"/>
          </w:tcPr>
          <w:p w14:paraId="678B3DEC" w14:textId="77777777" w:rsidR="0037350F" w:rsidRPr="00E84B05" w:rsidRDefault="0037350F">
            <w:pPr>
              <w:spacing w:after="0" w:line="276" w:lineRule="auto"/>
              <w:rPr>
                <w:rFonts w:eastAsia="Arial" w:cs="Arial"/>
                <w:b/>
              </w:rPr>
            </w:pPr>
            <w:r w:rsidRPr="003E246C">
              <w:rPr>
                <w:rFonts w:eastAsia="Arial" w:cs="Arial"/>
                <w:b/>
              </w:rPr>
              <w:t>3.14</w:t>
            </w:r>
          </w:p>
        </w:tc>
        <w:tc>
          <w:tcPr>
            <w:tcW w:w="4877" w:type="dxa"/>
            <w:tcBorders>
              <w:bottom w:val="single" w:sz="6" w:space="0" w:color="000000" w:themeColor="text1"/>
            </w:tcBorders>
            <w:shd w:val="clear" w:color="auto" w:fill="F2F2F2" w:themeFill="background1" w:themeFillShade="F2"/>
          </w:tcPr>
          <w:p w14:paraId="1557E035" w14:textId="3FD6826E" w:rsidR="00D74587" w:rsidRPr="000760DC" w:rsidRDefault="00D74587">
            <w:pPr>
              <w:jc w:val="both"/>
              <w:rPr>
                <w:b/>
                <w:bCs/>
              </w:rPr>
            </w:pPr>
            <w:r w:rsidRPr="000760DC">
              <w:rPr>
                <w:b/>
                <w:bCs/>
              </w:rPr>
              <w:t>Criteria</w:t>
            </w:r>
          </w:p>
          <w:p w14:paraId="3B6E5787" w14:textId="124265CD" w:rsidR="000C0CF2" w:rsidRPr="000760DC" w:rsidRDefault="0037350F">
            <w:pPr>
              <w:jc w:val="both"/>
            </w:pPr>
            <w:r w:rsidRPr="006C449E">
              <w:t>Please detail</w:t>
            </w:r>
            <w:r w:rsidR="00025BC4" w:rsidRPr="006C449E">
              <w:t xml:space="preserve">, based on </w:t>
            </w:r>
            <w:proofErr w:type="gramStart"/>
            <w:r w:rsidR="00025BC4" w:rsidRPr="006C449E">
              <w:t>past experience</w:t>
            </w:r>
            <w:proofErr w:type="gramEnd"/>
            <w:r w:rsidR="00025BC4" w:rsidRPr="006C449E">
              <w:t xml:space="preserve">, </w:t>
            </w:r>
            <w:r w:rsidRPr="006C449E">
              <w:t>your approach taken to identifying, engaging, and managing</w:t>
            </w:r>
            <w:r w:rsidR="000C0CF2" w:rsidRPr="006C449E">
              <w:t>:</w:t>
            </w:r>
          </w:p>
          <w:p w14:paraId="11C7608F" w14:textId="09DB13E3" w:rsidR="000C0CF2" w:rsidRPr="000760DC" w:rsidRDefault="000C0CF2" w:rsidP="0085565B">
            <w:pPr>
              <w:pStyle w:val="ListParagraph"/>
              <w:numPr>
                <w:ilvl w:val="0"/>
                <w:numId w:val="72"/>
              </w:numPr>
              <w:spacing w:after="0" w:line="240" w:lineRule="auto"/>
            </w:pPr>
            <w:r w:rsidRPr="000760DC">
              <w:t>I</w:t>
            </w:r>
            <w:r w:rsidR="0037350F" w:rsidRPr="000760DC">
              <w:t xml:space="preserve">ncumbent providers, </w:t>
            </w:r>
          </w:p>
          <w:p w14:paraId="08595549" w14:textId="0FB8A81C" w:rsidR="000C0CF2" w:rsidRPr="000760DC" w:rsidRDefault="000C0CF2" w:rsidP="0085565B">
            <w:pPr>
              <w:pStyle w:val="ListParagraph"/>
              <w:numPr>
                <w:ilvl w:val="0"/>
                <w:numId w:val="72"/>
              </w:numPr>
              <w:spacing w:after="0" w:line="240" w:lineRule="auto"/>
            </w:pPr>
            <w:r w:rsidRPr="000760DC">
              <w:t>T</w:t>
            </w:r>
            <w:r w:rsidR="0037350F" w:rsidRPr="000760DC">
              <w:t>ransformation partners</w:t>
            </w:r>
            <w:r w:rsidR="00A24F2D" w:rsidRPr="000760DC">
              <w:t xml:space="preserve"> or supply chain partners</w:t>
            </w:r>
          </w:p>
          <w:p w14:paraId="12688102" w14:textId="3A15E10F" w:rsidR="0037350F" w:rsidRPr="000760DC" w:rsidRDefault="000C0CF2" w:rsidP="0085565B">
            <w:pPr>
              <w:pStyle w:val="ListParagraph"/>
              <w:numPr>
                <w:ilvl w:val="0"/>
                <w:numId w:val="72"/>
              </w:numPr>
              <w:spacing w:after="0" w:line="240" w:lineRule="auto"/>
            </w:pPr>
            <w:r w:rsidRPr="000760DC">
              <w:t>S</w:t>
            </w:r>
            <w:r w:rsidR="0037350F" w:rsidRPr="000760DC">
              <w:t>takeholders at various levels, including both technical and non-technical audiences.</w:t>
            </w:r>
          </w:p>
          <w:p w14:paraId="788CFC2C" w14:textId="1F5B4691" w:rsidR="00D74587" w:rsidRPr="000760DC" w:rsidRDefault="00D74587" w:rsidP="00884869">
            <w:pPr>
              <w:rPr>
                <w:rFonts w:cs="Arial"/>
                <w:b/>
                <w:bCs/>
              </w:rPr>
            </w:pPr>
            <w:r w:rsidRPr="000760DC">
              <w:rPr>
                <w:rFonts w:cs="Arial"/>
                <w:b/>
                <w:bCs/>
              </w:rPr>
              <w:t>Sub-Criteria</w:t>
            </w:r>
          </w:p>
          <w:p w14:paraId="2ECC5D16" w14:textId="29BAFC4D" w:rsidR="00D74587" w:rsidRPr="000760DC" w:rsidRDefault="00884869" w:rsidP="00884869">
            <w:r w:rsidRPr="000760DC">
              <w:rPr>
                <w:rFonts w:cs="Arial"/>
              </w:rPr>
              <w:t>Your response must address the following sub-criteria:</w:t>
            </w:r>
          </w:p>
          <w:p w14:paraId="12FE971B" w14:textId="7D4F484F" w:rsidR="00EF649B" w:rsidRPr="000760DC" w:rsidRDefault="00EF649B" w:rsidP="0085565B">
            <w:pPr>
              <w:pStyle w:val="ListParagraph"/>
              <w:numPr>
                <w:ilvl w:val="0"/>
                <w:numId w:val="30"/>
              </w:numPr>
              <w:jc w:val="both"/>
              <w:rPr>
                <w:rFonts w:cs="Arial"/>
                <w:bCs/>
              </w:rPr>
            </w:pPr>
            <w:r w:rsidRPr="000760DC">
              <w:rPr>
                <w:rFonts w:cs="Arial"/>
                <w:bCs/>
              </w:rPr>
              <w:t xml:space="preserve">Outline of the </w:t>
            </w:r>
            <w:r w:rsidR="001A658D" w:rsidRPr="000760DC">
              <w:rPr>
                <w:rFonts w:cs="Arial"/>
                <w:bCs/>
              </w:rPr>
              <w:t xml:space="preserve">overall </w:t>
            </w:r>
            <w:r w:rsidRPr="000760DC">
              <w:rPr>
                <w:rFonts w:cs="Arial"/>
                <w:bCs/>
              </w:rPr>
              <w:t>approach</w:t>
            </w:r>
            <w:r w:rsidR="000C0CF2" w:rsidRPr="000760DC">
              <w:rPr>
                <w:rFonts w:cs="Arial"/>
                <w:bCs/>
              </w:rPr>
              <w:t>, specific to the categories outlined above.</w:t>
            </w:r>
          </w:p>
          <w:p w14:paraId="1EAA6854" w14:textId="50243494" w:rsidR="00EF649B" w:rsidRPr="000760DC" w:rsidRDefault="001A658D" w:rsidP="0085565B">
            <w:pPr>
              <w:pStyle w:val="ListParagraph"/>
              <w:numPr>
                <w:ilvl w:val="0"/>
                <w:numId w:val="30"/>
              </w:numPr>
              <w:jc w:val="both"/>
              <w:rPr>
                <w:rFonts w:cs="Arial"/>
                <w:bCs/>
              </w:rPr>
            </w:pPr>
            <w:r w:rsidRPr="000760DC">
              <w:rPr>
                <w:rFonts w:cs="Arial"/>
                <w:bCs/>
              </w:rPr>
              <w:t>D</w:t>
            </w:r>
            <w:r w:rsidR="00703F95" w:rsidRPr="000760DC">
              <w:rPr>
                <w:rFonts w:cs="Arial"/>
                <w:bCs/>
              </w:rPr>
              <w:t xml:space="preserve">etails of any </w:t>
            </w:r>
            <w:r w:rsidR="00F53175" w:rsidRPr="000760DC">
              <w:rPr>
                <w:rFonts w:cs="Arial"/>
                <w:bCs/>
              </w:rPr>
              <w:t xml:space="preserve">support required from the </w:t>
            </w:r>
            <w:r w:rsidR="00090622" w:rsidRPr="000760DC">
              <w:rPr>
                <w:rFonts w:cs="Arial"/>
                <w:bCs/>
              </w:rPr>
              <w:t>client to achieve successful delivery.</w:t>
            </w:r>
          </w:p>
          <w:p w14:paraId="195C015B" w14:textId="7638C303" w:rsidR="00884869" w:rsidRPr="000760DC" w:rsidRDefault="00884869" w:rsidP="00884869">
            <w:pPr>
              <w:rPr>
                <w:rFonts w:cs="Arial"/>
                <w:u w:val="single"/>
              </w:rPr>
            </w:pPr>
            <w:r w:rsidRPr="000760DC">
              <w:rPr>
                <w:rFonts w:cs="Arial"/>
                <w:b/>
                <w:bCs/>
                <w:u w:val="single"/>
              </w:rPr>
              <w:t xml:space="preserve">Response </w:t>
            </w:r>
            <w:r w:rsidR="00D74587" w:rsidRPr="000760DC">
              <w:rPr>
                <w:rFonts w:cs="Arial"/>
                <w:b/>
                <w:bCs/>
                <w:u w:val="single"/>
              </w:rPr>
              <w:t>requirement(s)</w:t>
            </w:r>
            <w:r w:rsidRPr="000760DC">
              <w:rPr>
                <w:rFonts w:cs="Arial"/>
                <w:u w:val="single"/>
              </w:rPr>
              <w:t xml:space="preserve">: </w:t>
            </w:r>
          </w:p>
          <w:p w14:paraId="0DE1F02D" w14:textId="443573F3" w:rsidR="0054513D" w:rsidRPr="00E868D1" w:rsidRDefault="0065044E" w:rsidP="0085565B">
            <w:pPr>
              <w:pStyle w:val="ListParagraph"/>
              <w:numPr>
                <w:ilvl w:val="0"/>
                <w:numId w:val="73"/>
              </w:numPr>
              <w:spacing w:after="0" w:line="240" w:lineRule="auto"/>
              <w:rPr>
                <w:rFonts w:cs="Arial"/>
              </w:rPr>
            </w:pPr>
            <w:r>
              <w:rPr>
                <w:rFonts w:cs="Arial"/>
              </w:rPr>
              <w:t xml:space="preserve">The total response must be within </w:t>
            </w:r>
            <w:r w:rsidR="007D1D21">
              <w:rPr>
                <w:rFonts w:cs="Arial"/>
              </w:rPr>
              <w:t>one [</w:t>
            </w:r>
            <w:r>
              <w:rPr>
                <w:rFonts w:cs="Arial"/>
              </w:rPr>
              <w:t>1</w:t>
            </w:r>
            <w:r w:rsidR="007D1D21">
              <w:rPr>
                <w:rFonts w:cs="Arial"/>
              </w:rPr>
              <w:t>]</w:t>
            </w:r>
            <w:r>
              <w:rPr>
                <w:rFonts w:cs="Arial"/>
              </w:rPr>
              <w:t xml:space="preserve"> side of </w:t>
            </w:r>
            <w:r w:rsidR="00456D07">
              <w:rPr>
                <w:rFonts w:cs="Arial"/>
              </w:rPr>
              <w:t>A4</w:t>
            </w:r>
            <w:r>
              <w:rPr>
                <w:rFonts w:cs="Arial"/>
              </w:rPr>
              <w:t xml:space="preserve">, Arial, size 10 </w:t>
            </w:r>
            <w:r w:rsidR="0054513D">
              <w:rPr>
                <w:rFonts w:cs="Arial"/>
              </w:rPr>
              <w:t xml:space="preserve">Any material provided </w:t>
            </w:r>
            <w:proofErr w:type="gramStart"/>
            <w:r w:rsidR="0054513D">
              <w:rPr>
                <w:rFonts w:cs="Arial"/>
              </w:rPr>
              <w:t>in excess of</w:t>
            </w:r>
            <w:proofErr w:type="gramEnd"/>
            <w:r w:rsidR="0054513D">
              <w:rPr>
                <w:rFonts w:cs="Arial"/>
              </w:rPr>
              <w:t xml:space="preserve"> this page count will not be evaluated.</w:t>
            </w:r>
          </w:p>
          <w:p w14:paraId="63D370AE" w14:textId="2A6C3C22" w:rsidR="00884869" w:rsidRPr="007D0CBF" w:rsidRDefault="00884869" w:rsidP="00BD0007">
            <w:pPr>
              <w:spacing w:after="0" w:line="240" w:lineRule="auto"/>
              <w:rPr>
                <w:rFonts w:cs="Arial"/>
                <w:b/>
              </w:rPr>
            </w:pPr>
          </w:p>
        </w:tc>
        <w:tc>
          <w:tcPr>
            <w:tcW w:w="1460" w:type="dxa"/>
            <w:tcBorders>
              <w:top w:val="single" w:sz="6" w:space="0" w:color="000000" w:themeColor="text1"/>
              <w:bottom w:val="single" w:sz="6" w:space="0" w:color="000000" w:themeColor="text1"/>
            </w:tcBorders>
          </w:tcPr>
          <w:p w14:paraId="4196BD45" w14:textId="77777777" w:rsidR="0037350F" w:rsidRPr="007C53AA" w:rsidRDefault="0037350F">
            <w:pPr>
              <w:widowControl w:val="0"/>
              <w:overflowPunct w:val="0"/>
              <w:autoSpaceDE w:val="0"/>
              <w:autoSpaceDN w:val="0"/>
              <w:adjustRightInd w:val="0"/>
              <w:spacing w:before="120" w:after="120"/>
              <w:jc w:val="center"/>
              <w:rPr>
                <w:rFonts w:cs="Arial"/>
                <w:b/>
              </w:rPr>
            </w:pPr>
            <w:r w:rsidRPr="008607E6">
              <w:rPr>
                <w:rFonts w:cs="Arial"/>
                <w:b/>
              </w:rPr>
              <w:t>5% Weighting</w:t>
            </w:r>
          </w:p>
          <w:p w14:paraId="4EE7D5C9" w14:textId="77777777" w:rsidR="0037350F" w:rsidRPr="007C53AA" w:rsidRDefault="0037350F">
            <w:pPr>
              <w:widowControl w:val="0"/>
              <w:tabs>
                <w:tab w:val="left" w:pos="0"/>
              </w:tabs>
              <w:overflowPunct w:val="0"/>
              <w:autoSpaceDE w:val="0"/>
              <w:autoSpaceDN w:val="0"/>
              <w:adjustRightInd w:val="0"/>
              <w:spacing w:before="120" w:after="120"/>
              <w:jc w:val="center"/>
              <w:rPr>
                <w:rFonts w:cs="Arial"/>
                <w:b/>
              </w:rPr>
            </w:pPr>
          </w:p>
          <w:p w14:paraId="2F015211" w14:textId="51AE177B" w:rsidR="0037350F" w:rsidRPr="00E84B05" w:rsidRDefault="001C4163">
            <w:pPr>
              <w:tabs>
                <w:tab w:val="left" w:pos="594"/>
              </w:tabs>
              <w:spacing w:after="0" w:line="276" w:lineRule="auto"/>
              <w:rPr>
                <w:rFonts w:eastAsia="Arial" w:cs="Calibri"/>
              </w:rPr>
            </w:pPr>
            <w:r>
              <w:rPr>
                <w:rFonts w:cs="Arial"/>
                <w:b/>
              </w:rPr>
              <w:t xml:space="preserve">Maximum 1 side of </w:t>
            </w:r>
            <w:r w:rsidR="00456D07">
              <w:rPr>
                <w:rFonts w:cs="Arial"/>
                <w:b/>
              </w:rPr>
              <w:t>A4</w:t>
            </w:r>
            <w:r>
              <w:rPr>
                <w:rFonts w:cs="Arial"/>
                <w:b/>
              </w:rPr>
              <w:t xml:space="preserve"> size 10 </w:t>
            </w:r>
            <w:proofErr w:type="gramStart"/>
            <w:r>
              <w:rPr>
                <w:rFonts w:cs="Arial"/>
                <w:b/>
              </w:rPr>
              <w:t>font</w:t>
            </w:r>
            <w:proofErr w:type="gramEnd"/>
            <w:r w:rsidR="00615821">
              <w:rPr>
                <w:rFonts w:cs="Arial"/>
                <w:b/>
              </w:rPr>
              <w:t>, Arial</w:t>
            </w:r>
          </w:p>
        </w:tc>
      </w:tr>
      <w:tr w:rsidR="0037350F" w:rsidRPr="00605283" w14:paraId="1D748CD0" w14:textId="77777777" w:rsidTr="008F3A64">
        <w:trPr>
          <w:trHeight w:val="1449"/>
        </w:trPr>
        <w:tc>
          <w:tcPr>
            <w:tcW w:w="0" w:type="auto"/>
            <w:tcBorders>
              <w:bottom w:val="single" w:sz="6" w:space="0" w:color="000000" w:themeColor="text1"/>
            </w:tcBorders>
            <w:shd w:val="clear" w:color="auto" w:fill="F2F2F2" w:themeFill="background1" w:themeFillShade="F2"/>
          </w:tcPr>
          <w:p w14:paraId="47C481FB" w14:textId="65A8B6E7" w:rsidR="0037350F" w:rsidRPr="00E84B05" w:rsidRDefault="0037350F">
            <w:pPr>
              <w:spacing w:after="0" w:line="276" w:lineRule="auto"/>
              <w:rPr>
                <w:rFonts w:eastAsia="Arial" w:cs="Arial"/>
                <w:b/>
              </w:rPr>
            </w:pPr>
            <w:r w:rsidRPr="00E84B05">
              <w:rPr>
                <w:rFonts w:eastAsia="Arial" w:cs="Arial"/>
                <w:b/>
              </w:rPr>
              <w:t>3.1</w:t>
            </w:r>
            <w:r w:rsidR="00754489">
              <w:rPr>
                <w:rFonts w:eastAsia="Arial" w:cs="Arial"/>
                <w:b/>
              </w:rPr>
              <w:t>5</w:t>
            </w:r>
          </w:p>
        </w:tc>
        <w:tc>
          <w:tcPr>
            <w:tcW w:w="4877" w:type="dxa"/>
            <w:tcBorders>
              <w:bottom w:val="single" w:sz="6" w:space="0" w:color="000000" w:themeColor="text1"/>
            </w:tcBorders>
            <w:shd w:val="clear" w:color="auto" w:fill="F2F2F2" w:themeFill="background1" w:themeFillShade="F2"/>
          </w:tcPr>
          <w:p w14:paraId="58BB47CF" w14:textId="77777777" w:rsidR="0037350F" w:rsidRPr="00E84B05" w:rsidRDefault="0037350F">
            <w:pPr>
              <w:jc w:val="both"/>
              <w:rPr>
                <w:rFonts w:cs="Arial"/>
                <w:b/>
              </w:rPr>
            </w:pPr>
            <w:r w:rsidRPr="00E84B05">
              <w:rPr>
                <w:rFonts w:cs="Arial"/>
                <w:b/>
              </w:rPr>
              <w:t>Security Questionnaire</w:t>
            </w:r>
          </w:p>
          <w:p w14:paraId="23BEB0EF" w14:textId="6786BA5A" w:rsidR="0037350F" w:rsidRPr="00E84B05" w:rsidRDefault="0037350F">
            <w:pPr>
              <w:jc w:val="both"/>
              <w:rPr>
                <w:rFonts w:cs="Arial"/>
              </w:rPr>
            </w:pPr>
            <w:r w:rsidRPr="00E84B05">
              <w:rPr>
                <w:rFonts w:cs="Arial"/>
              </w:rPr>
              <w:t xml:space="preserve">Please respond to each question in the supporting document </w:t>
            </w:r>
            <w:r w:rsidRPr="00232BCB">
              <w:rPr>
                <w:rFonts w:cs="Arial"/>
              </w:rPr>
              <w:t>see Annex 5</w:t>
            </w:r>
            <w:r w:rsidRPr="00E84B05">
              <w:rPr>
                <w:rFonts w:cs="Arial"/>
              </w:rPr>
              <w:t xml:space="preserve"> </w:t>
            </w:r>
            <w:r w:rsidR="003B315D">
              <w:rPr>
                <w:rFonts w:cs="Arial"/>
              </w:rPr>
              <w:t>e</w:t>
            </w:r>
            <w:r w:rsidR="003B315D">
              <w:t>n</w:t>
            </w:r>
            <w:r w:rsidRPr="00E84B05">
              <w:rPr>
                <w:rFonts w:cs="Arial"/>
              </w:rPr>
              <w:t>titled “Security Questionnaire” and attach your completed copy, along with any supporting documents requested, as part of your response submission.</w:t>
            </w:r>
          </w:p>
          <w:p w14:paraId="65968768" w14:textId="77777777" w:rsidR="0037350F" w:rsidRPr="00E84B05" w:rsidRDefault="0037350F">
            <w:pPr>
              <w:jc w:val="both"/>
              <w:rPr>
                <w:rFonts w:cs="Arial"/>
              </w:rPr>
            </w:pPr>
            <w:r w:rsidRPr="00E84B05">
              <w:rPr>
                <w:rFonts w:eastAsia="Arial" w:cs="Arial"/>
              </w:rPr>
              <w:t>Please respond “Yes” to confirm you have attached a completed version of the security questionnaire.</w:t>
            </w:r>
          </w:p>
        </w:tc>
        <w:tc>
          <w:tcPr>
            <w:tcW w:w="1460" w:type="dxa"/>
            <w:tcBorders>
              <w:top w:val="single" w:sz="6" w:space="0" w:color="000000" w:themeColor="text1"/>
              <w:bottom w:val="single" w:sz="6" w:space="0" w:color="000000" w:themeColor="text1"/>
            </w:tcBorders>
          </w:tcPr>
          <w:p w14:paraId="5AD57EAA" w14:textId="77777777" w:rsidR="0037350F" w:rsidRPr="00E84B05" w:rsidRDefault="0037350F">
            <w:pPr>
              <w:tabs>
                <w:tab w:val="left" w:pos="594"/>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color w:val="2B579A"/>
                <w:shd w:val="clear" w:color="auto" w:fill="E6E6E6"/>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color w:val="2B579A"/>
                <w:shd w:val="clear" w:color="auto" w:fill="E6E6E6"/>
              </w:rPr>
            </w:r>
            <w:r w:rsidR="00084E0F">
              <w:rPr>
                <w:rFonts w:eastAsia="Times New Roman" w:cs="Calibri"/>
                <w:color w:val="2B579A"/>
                <w:shd w:val="clear" w:color="auto" w:fill="E6E6E6"/>
              </w:rPr>
              <w:fldChar w:fldCharType="separate"/>
            </w:r>
            <w:r w:rsidRPr="00E84B05">
              <w:rPr>
                <w:rFonts w:eastAsia="Times New Roman" w:cs="Calibri"/>
                <w:color w:val="2B579A"/>
                <w:shd w:val="clear" w:color="auto" w:fill="E6E6E6"/>
              </w:rPr>
              <w:fldChar w:fldCharType="end"/>
            </w:r>
          </w:p>
          <w:p w14:paraId="4B693073" w14:textId="77777777" w:rsidR="0037350F" w:rsidRPr="00E84B05" w:rsidRDefault="0037350F">
            <w:pPr>
              <w:tabs>
                <w:tab w:val="left" w:pos="594"/>
              </w:tabs>
              <w:spacing w:after="0" w:line="276" w:lineRule="auto"/>
              <w:rPr>
                <w:rFonts w:eastAsia="Arial" w:cs="Calibri"/>
              </w:rPr>
            </w:pPr>
            <w:r w:rsidRPr="00E84B05">
              <w:rPr>
                <w:rFonts w:eastAsia="Arial" w:cs="Calibri"/>
              </w:rPr>
              <w:t xml:space="preserve">No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tc>
      </w:tr>
    </w:tbl>
    <w:p w14:paraId="475C0A65" w14:textId="77777777" w:rsidR="0037350F" w:rsidRPr="009D2C3C" w:rsidRDefault="0037350F" w:rsidP="00CE2D2D">
      <w:pPr>
        <w:spacing w:after="0" w:line="276" w:lineRule="auto"/>
        <w:rPr>
          <w:rFonts w:eastAsia="Arial" w:cs="Calibri"/>
        </w:rPr>
      </w:pPr>
    </w:p>
    <w:p w14:paraId="7EF25F9E" w14:textId="2A0CE0AA" w:rsidR="000D2CBC" w:rsidRPr="00E84B05" w:rsidRDefault="000D2CBC" w:rsidP="000D2CBC">
      <w:pPr>
        <w:pageBreakBefore/>
        <w:spacing w:after="0" w:line="276" w:lineRule="auto"/>
        <w:rPr>
          <w:rFonts w:eastAsia="Arial" w:cs="Calibri"/>
          <w:b/>
          <w:u w:val="single"/>
        </w:rPr>
      </w:pPr>
      <w:r w:rsidRPr="00E84B05">
        <w:rPr>
          <w:rFonts w:eastAsia="Arial" w:cs="Calibri"/>
          <w:b/>
          <w:u w:val="single"/>
        </w:rPr>
        <w:t>Part 3B – Requirements for Central Government Departments, their Executive Agencies and Non-Departmental Public Bodies</w:t>
      </w:r>
    </w:p>
    <w:p w14:paraId="334B3C24" w14:textId="4690373E" w:rsidR="000D2CBC" w:rsidRPr="00E84B05" w:rsidRDefault="000D2CBC" w:rsidP="000D2CBC">
      <w:pPr>
        <w:spacing w:after="0" w:line="276" w:lineRule="auto"/>
        <w:rPr>
          <w:rFonts w:eastAsia="Arial" w:cs="Calibri"/>
          <w:b/>
          <w:u w:val="single"/>
        </w:rPr>
      </w:pPr>
    </w:p>
    <w:p w14:paraId="684F01C6" w14:textId="04970F23" w:rsidR="000D2CBC" w:rsidRPr="00E84B05" w:rsidRDefault="000D2CBC" w:rsidP="000D2CBC">
      <w:pPr>
        <w:spacing w:after="0" w:line="276" w:lineRule="auto"/>
        <w:rPr>
          <w:rFonts w:eastAsia="Arial" w:cs="Calibri"/>
          <w:b/>
        </w:rPr>
      </w:pPr>
      <w:r w:rsidRPr="00E84B05">
        <w:rPr>
          <w:rFonts w:eastAsia="Arial" w:cs="Calibri"/>
          <w:b/>
        </w:rPr>
        <w:t>Payments in Contracts</w:t>
      </w:r>
    </w:p>
    <w:p w14:paraId="58032C2B" w14:textId="77777777" w:rsidR="005A7528" w:rsidRDefault="005A7528" w:rsidP="000D2CBC">
      <w:pPr>
        <w:spacing w:after="0" w:line="276" w:lineRule="auto"/>
        <w:rPr>
          <w:rFonts w:eastAsia="Arial" w:cs="Calibri"/>
          <w:b/>
        </w:rPr>
      </w:pPr>
    </w:p>
    <w:p w14:paraId="509F9FD7" w14:textId="7BAC2396" w:rsidR="005A7528" w:rsidRPr="00E84B05" w:rsidRDefault="005A7528" w:rsidP="000D2CBC">
      <w:pPr>
        <w:spacing w:after="0" w:line="276" w:lineRule="auto"/>
        <w:rPr>
          <w:rFonts w:eastAsia="Arial" w:cs="Calibri"/>
          <w:b/>
        </w:rPr>
      </w:pPr>
      <w:r w:rsidRPr="00E66809">
        <w:rPr>
          <w:rFonts w:eastAsia="Times New Roman" w:cs="Calibri"/>
        </w:rPr>
        <w:t>Please see</w:t>
      </w:r>
      <w:r>
        <w:rPr>
          <w:rFonts w:eastAsia="Times New Roman" w:cs="Calibri"/>
        </w:rPr>
        <w:t xml:space="preserve"> </w:t>
      </w:r>
      <w:r w:rsidRPr="00E66809">
        <w:rPr>
          <w:rFonts w:eastAsia="Times New Roman" w:cs="Calibri"/>
        </w:rPr>
        <w:t xml:space="preserve"> </w:t>
      </w:r>
      <w:hyperlink r:id="rId30" w:history="1">
        <w:r>
          <w:rPr>
            <w:rStyle w:val="Hyperlink"/>
            <w:rFonts w:cs="Arial"/>
            <w:color w:val="auto"/>
          </w:rPr>
          <w:t>PPN015: Taking account of a supplier’s approach to payment in the procurement of major contracts - GOV.UK</w:t>
        </w:r>
      </w:hyperlink>
      <w:r w:rsidRPr="00E66809">
        <w:rPr>
          <w:rStyle w:val="eop"/>
          <w:rFonts w:cs="Arial"/>
        </w:rPr>
        <w:t> for further information.</w:t>
      </w:r>
    </w:p>
    <w:p w14:paraId="3A03FAD2" w14:textId="4CA163F4" w:rsidR="000D2CBC" w:rsidRPr="00E84B05" w:rsidRDefault="000D2CBC" w:rsidP="000D2CBC">
      <w:pPr>
        <w:spacing w:after="0" w:line="276" w:lineRule="auto"/>
        <w:ind w:firstLine="720"/>
        <w:rPr>
          <w:rFonts w:eastAsia="Times New Roman"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5669"/>
        <w:gridCol w:w="2218"/>
      </w:tblGrid>
      <w:tr w:rsidR="000D2CBC" w:rsidRPr="001439F7" w14:paraId="108BC1FB" w14:textId="77777777" w:rsidTr="00220C12">
        <w:tc>
          <w:tcPr>
            <w:tcW w:w="0" w:type="auto"/>
            <w:tcBorders>
              <w:top w:val="single" w:sz="6" w:space="0" w:color="000000" w:themeColor="text1"/>
              <w:bottom w:val="single" w:sz="6" w:space="0" w:color="000000" w:themeColor="text1"/>
            </w:tcBorders>
            <w:shd w:val="clear" w:color="auto" w:fill="009999"/>
          </w:tcPr>
          <w:p w14:paraId="45BA27BA" w14:textId="77777777" w:rsidR="000D2CBC" w:rsidRPr="001439F7" w:rsidRDefault="000D2CBC">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5669" w:type="dxa"/>
            <w:tcBorders>
              <w:top w:val="single" w:sz="6" w:space="0" w:color="000000" w:themeColor="text1"/>
              <w:bottom w:val="single" w:sz="6" w:space="0" w:color="000000" w:themeColor="text1"/>
            </w:tcBorders>
            <w:shd w:val="clear" w:color="auto" w:fill="009999"/>
          </w:tcPr>
          <w:p w14:paraId="1192D175" w14:textId="77777777" w:rsidR="000D2CBC" w:rsidRPr="001439F7" w:rsidRDefault="000D2CBC">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2218" w:type="dxa"/>
            <w:tcBorders>
              <w:top w:val="single" w:sz="6" w:space="0" w:color="000000" w:themeColor="text1"/>
              <w:bottom w:val="single" w:sz="6" w:space="0" w:color="000000" w:themeColor="text1"/>
            </w:tcBorders>
            <w:shd w:val="clear" w:color="auto" w:fill="009999"/>
          </w:tcPr>
          <w:p w14:paraId="487A2289" w14:textId="77777777" w:rsidR="000D2CBC" w:rsidRPr="001439F7" w:rsidRDefault="000D2CBC">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0D2CBC" w:rsidRPr="00420561" w14:paraId="0A82FF9E" w14:textId="77777777" w:rsidTr="00220C12">
        <w:trPr>
          <w:trHeight w:val="2583"/>
        </w:trPr>
        <w:tc>
          <w:tcPr>
            <w:tcW w:w="0" w:type="auto"/>
            <w:tcBorders>
              <w:top w:val="single" w:sz="6" w:space="0" w:color="000000" w:themeColor="text1"/>
              <w:bottom w:val="single" w:sz="6" w:space="0" w:color="000000" w:themeColor="text1"/>
            </w:tcBorders>
            <w:shd w:val="clear" w:color="auto" w:fill="F2F2F2" w:themeFill="background1" w:themeFillShade="F2"/>
          </w:tcPr>
          <w:p w14:paraId="5C9D7659" w14:textId="6EECFAA9" w:rsidR="000D2CBC" w:rsidRPr="00E84B05" w:rsidRDefault="000D2CBC">
            <w:pPr>
              <w:spacing w:after="0" w:line="276" w:lineRule="auto"/>
              <w:rPr>
                <w:rFonts w:eastAsia="Arial" w:cs="Arial"/>
                <w:b/>
              </w:rPr>
            </w:pPr>
            <w:r w:rsidRPr="00E84B05">
              <w:rPr>
                <w:rFonts w:eastAsia="Arial" w:cs="Calibri"/>
                <w:b/>
              </w:rPr>
              <w:t>3.</w:t>
            </w:r>
            <w:r w:rsidR="00FB6B80">
              <w:rPr>
                <w:rFonts w:eastAsia="Arial" w:cs="Calibri"/>
                <w:b/>
              </w:rPr>
              <w:t>16</w:t>
            </w:r>
          </w:p>
        </w:tc>
        <w:tc>
          <w:tcPr>
            <w:tcW w:w="5669" w:type="dxa"/>
            <w:tcBorders>
              <w:top w:val="single" w:sz="6" w:space="0" w:color="000000" w:themeColor="text1"/>
              <w:bottom w:val="single" w:sz="6" w:space="0" w:color="000000" w:themeColor="text1"/>
            </w:tcBorders>
            <w:shd w:val="clear" w:color="auto" w:fill="F2F2F2" w:themeFill="background1" w:themeFillShade="F2"/>
          </w:tcPr>
          <w:p w14:paraId="1FD22F11" w14:textId="5C71A11F" w:rsidR="000D2CBC" w:rsidRPr="00E84B05" w:rsidRDefault="000D2CBC">
            <w:pPr>
              <w:widowControl w:val="0"/>
              <w:spacing w:after="0" w:line="276" w:lineRule="auto"/>
              <w:rPr>
                <w:rFonts w:eastAsia="Times New Roman" w:cs="Calibri"/>
              </w:rPr>
            </w:pPr>
            <w:r w:rsidRPr="00E84B05">
              <w:rPr>
                <w:rFonts w:eastAsia="Times New Roman" w:cs="Calibri"/>
              </w:rPr>
              <w:t>Please confirm if you intend to use a supply chain* for this contract. If you answer “No” you do not need to complete the rest of this section (questions 3.</w:t>
            </w:r>
            <w:r w:rsidR="001D1843">
              <w:rPr>
                <w:rFonts w:eastAsia="Times New Roman" w:cs="Calibri"/>
              </w:rPr>
              <w:t>17</w:t>
            </w:r>
            <w:r w:rsidRPr="00E84B05">
              <w:rPr>
                <w:rFonts w:eastAsia="Times New Roman" w:cs="Calibri"/>
              </w:rPr>
              <w:t xml:space="preserve"> – 3.</w:t>
            </w:r>
            <w:r w:rsidR="001D1843">
              <w:rPr>
                <w:rFonts w:eastAsia="Times New Roman" w:cs="Calibri"/>
              </w:rPr>
              <w:t>19</w:t>
            </w:r>
            <w:r w:rsidRPr="00E84B05">
              <w:rPr>
                <w:rFonts w:eastAsia="Times New Roman" w:cs="Calibri"/>
              </w:rPr>
              <w:t>)</w:t>
            </w:r>
          </w:p>
          <w:p w14:paraId="5D6466E1" w14:textId="77777777" w:rsidR="000D2CBC" w:rsidRPr="00E84B05" w:rsidRDefault="000D2CBC">
            <w:pPr>
              <w:widowControl w:val="0"/>
              <w:spacing w:after="0" w:line="276" w:lineRule="auto"/>
              <w:rPr>
                <w:rFonts w:eastAsia="Times New Roman" w:cs="Calibri"/>
              </w:rPr>
            </w:pPr>
          </w:p>
          <w:p w14:paraId="6FCBBF6B" w14:textId="77777777" w:rsidR="000D2CBC" w:rsidRPr="00E84B05" w:rsidRDefault="000D2CBC">
            <w:pPr>
              <w:widowControl w:val="0"/>
              <w:tabs>
                <w:tab w:val="left" w:pos="0"/>
              </w:tabs>
              <w:overflowPunct w:val="0"/>
              <w:autoSpaceDE w:val="0"/>
              <w:autoSpaceDN w:val="0"/>
              <w:adjustRightInd w:val="0"/>
              <w:jc w:val="both"/>
              <w:rPr>
                <w:rFonts w:eastAsia="Arial" w:cs="Arial"/>
              </w:rPr>
            </w:pPr>
            <w:r w:rsidRPr="00E84B05">
              <w:rPr>
                <w:rFonts w:eastAsia="Times New Roman" w:cs="Calibri"/>
                <w:i/>
              </w:rPr>
              <w:t xml:space="preserve">*References to supply chain means suppliers or sub-contractors of any tier that execute any works, supply any </w:t>
            </w:r>
            <w:proofErr w:type="gramStart"/>
            <w:r w:rsidRPr="00E84B05">
              <w:rPr>
                <w:rFonts w:eastAsia="Times New Roman" w:cs="Calibri"/>
                <w:i/>
              </w:rPr>
              <w:t>products</w:t>
            </w:r>
            <w:proofErr w:type="gramEnd"/>
            <w:r w:rsidRPr="00E84B05">
              <w:rPr>
                <w:rFonts w:eastAsia="Times New Roman" w:cs="Calibri"/>
                <w:i/>
              </w:rPr>
              <w:t xml:space="preserve"> or provide any services that are used wholly or substantially for the purpose of performing (or contributing to the performance of) the whole or any part of the contract.</w:t>
            </w:r>
          </w:p>
        </w:tc>
        <w:tc>
          <w:tcPr>
            <w:tcW w:w="2218" w:type="dxa"/>
            <w:tcBorders>
              <w:top w:val="single" w:sz="6" w:space="0" w:color="000000" w:themeColor="text1"/>
              <w:bottom w:val="single" w:sz="6" w:space="0" w:color="000000" w:themeColor="text1"/>
            </w:tcBorders>
          </w:tcPr>
          <w:p w14:paraId="767B6B79" w14:textId="77777777" w:rsidR="000D2CBC" w:rsidRPr="00E84B05" w:rsidRDefault="000D2CBC">
            <w:pPr>
              <w:tabs>
                <w:tab w:val="left" w:pos="594"/>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color w:val="2B579A"/>
                <w:shd w:val="clear" w:color="auto" w:fill="E6E6E6"/>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color w:val="2B579A"/>
                <w:shd w:val="clear" w:color="auto" w:fill="E6E6E6"/>
              </w:rPr>
            </w:r>
            <w:r w:rsidR="00084E0F">
              <w:rPr>
                <w:rFonts w:eastAsia="Times New Roman" w:cs="Calibri"/>
                <w:color w:val="2B579A"/>
                <w:shd w:val="clear" w:color="auto" w:fill="E6E6E6"/>
              </w:rPr>
              <w:fldChar w:fldCharType="separate"/>
            </w:r>
            <w:r w:rsidRPr="00E84B05">
              <w:rPr>
                <w:rFonts w:eastAsia="Times New Roman" w:cs="Calibri"/>
                <w:color w:val="2B579A"/>
                <w:shd w:val="clear" w:color="auto" w:fill="E6E6E6"/>
              </w:rPr>
              <w:fldChar w:fldCharType="end"/>
            </w:r>
          </w:p>
          <w:p w14:paraId="77D6E7AE" w14:textId="77777777" w:rsidR="000D2CBC" w:rsidRPr="00E84B05" w:rsidRDefault="000D2CBC">
            <w:pPr>
              <w:tabs>
                <w:tab w:val="left" w:pos="602"/>
              </w:tabs>
              <w:spacing w:after="0" w:line="276" w:lineRule="auto"/>
              <w:rPr>
                <w:rFonts w:eastAsia="Arial" w:cs="Calibri"/>
              </w:rPr>
            </w:pPr>
            <w:r w:rsidRPr="00E84B05">
              <w:rPr>
                <w:rFonts w:eastAsia="Arial" w:cs="Calibri"/>
              </w:rPr>
              <w:t xml:space="preserve">No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tc>
      </w:tr>
      <w:tr w:rsidR="000D2CBC" w:rsidRPr="00420561" w14:paraId="2E885B03" w14:textId="77777777" w:rsidTr="00220C12">
        <w:trPr>
          <w:trHeight w:val="1361"/>
        </w:trPr>
        <w:tc>
          <w:tcPr>
            <w:tcW w:w="0" w:type="auto"/>
            <w:tcBorders>
              <w:top w:val="single" w:sz="6" w:space="0" w:color="000000" w:themeColor="text1"/>
              <w:bottom w:val="single" w:sz="6" w:space="0" w:color="000000" w:themeColor="text1"/>
            </w:tcBorders>
            <w:shd w:val="clear" w:color="auto" w:fill="F2F2F2" w:themeFill="background1" w:themeFillShade="F2"/>
          </w:tcPr>
          <w:p w14:paraId="5E94F82F" w14:textId="5D08F80A" w:rsidR="000D2CBC" w:rsidRPr="00E84B05" w:rsidRDefault="000D2CBC">
            <w:pPr>
              <w:spacing w:after="0" w:line="276" w:lineRule="auto"/>
              <w:rPr>
                <w:rFonts w:eastAsia="Arial" w:cs="Arial"/>
                <w:b/>
              </w:rPr>
            </w:pPr>
            <w:r w:rsidRPr="00E84B05">
              <w:rPr>
                <w:rFonts w:eastAsia="Arial" w:cs="Calibri"/>
                <w:b/>
              </w:rPr>
              <w:t>3.</w:t>
            </w:r>
            <w:r w:rsidR="00FB6B80">
              <w:rPr>
                <w:rFonts w:eastAsia="Arial" w:cs="Calibri"/>
                <w:b/>
              </w:rPr>
              <w:t>17</w:t>
            </w:r>
          </w:p>
        </w:tc>
        <w:tc>
          <w:tcPr>
            <w:tcW w:w="5669" w:type="dxa"/>
            <w:tcBorders>
              <w:top w:val="single" w:sz="6" w:space="0" w:color="000000" w:themeColor="text1"/>
              <w:bottom w:val="single" w:sz="6" w:space="0" w:color="000000" w:themeColor="text1"/>
            </w:tcBorders>
            <w:shd w:val="clear" w:color="auto" w:fill="F2F2F2" w:themeFill="background1" w:themeFillShade="F2"/>
          </w:tcPr>
          <w:p w14:paraId="14020E3A" w14:textId="77777777" w:rsidR="000D2CBC" w:rsidRPr="00E84B05" w:rsidRDefault="000D2CBC">
            <w:pPr>
              <w:widowControl w:val="0"/>
              <w:tabs>
                <w:tab w:val="left" w:pos="0"/>
              </w:tabs>
              <w:overflowPunct w:val="0"/>
              <w:autoSpaceDE w:val="0"/>
              <w:autoSpaceDN w:val="0"/>
              <w:adjustRightInd w:val="0"/>
              <w:jc w:val="both"/>
              <w:rPr>
                <w:rFonts w:eastAsia="Arial" w:cs="Arial"/>
              </w:rPr>
            </w:pPr>
            <w:r w:rsidRPr="00E84B05">
              <w:rPr>
                <w:rFonts w:eastAsia="Times New Roman" w:cs="Calibri"/>
              </w:rPr>
              <w:t>Please confirm that you have systems in place to pay those in your supply chain promptly and effectively, i.e. within your agreed contractual terms.</w:t>
            </w:r>
          </w:p>
        </w:tc>
        <w:tc>
          <w:tcPr>
            <w:tcW w:w="2218" w:type="dxa"/>
            <w:tcBorders>
              <w:top w:val="single" w:sz="6" w:space="0" w:color="000000" w:themeColor="text1"/>
              <w:bottom w:val="single" w:sz="6" w:space="0" w:color="000000" w:themeColor="text1"/>
            </w:tcBorders>
          </w:tcPr>
          <w:p w14:paraId="2DE870CF" w14:textId="77777777" w:rsidR="000D2CBC" w:rsidRPr="00E84B05" w:rsidRDefault="000D2CBC">
            <w:pPr>
              <w:tabs>
                <w:tab w:val="left" w:pos="594"/>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color w:val="2B579A"/>
                <w:shd w:val="clear" w:color="auto" w:fill="E6E6E6"/>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color w:val="2B579A"/>
                <w:shd w:val="clear" w:color="auto" w:fill="E6E6E6"/>
              </w:rPr>
            </w:r>
            <w:r w:rsidR="00084E0F">
              <w:rPr>
                <w:rFonts w:eastAsia="Times New Roman" w:cs="Calibri"/>
                <w:color w:val="2B579A"/>
                <w:shd w:val="clear" w:color="auto" w:fill="E6E6E6"/>
              </w:rPr>
              <w:fldChar w:fldCharType="separate"/>
            </w:r>
            <w:r w:rsidRPr="00E84B05">
              <w:rPr>
                <w:rFonts w:eastAsia="Times New Roman" w:cs="Calibri"/>
                <w:color w:val="2B579A"/>
                <w:shd w:val="clear" w:color="auto" w:fill="E6E6E6"/>
              </w:rPr>
              <w:fldChar w:fldCharType="end"/>
            </w:r>
          </w:p>
          <w:p w14:paraId="493C6F58" w14:textId="77777777" w:rsidR="000D2CBC" w:rsidRPr="00E84B05" w:rsidRDefault="000D2CBC">
            <w:pPr>
              <w:tabs>
                <w:tab w:val="left" w:pos="602"/>
              </w:tabs>
              <w:spacing w:after="0" w:line="276" w:lineRule="auto"/>
              <w:rPr>
                <w:rFonts w:eastAsia="Arial" w:cs="Calibri"/>
              </w:rPr>
            </w:pPr>
            <w:r w:rsidRPr="00E84B05">
              <w:rPr>
                <w:rFonts w:eastAsia="Arial" w:cs="Calibri"/>
              </w:rPr>
              <w:t xml:space="preserve">No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tc>
      </w:tr>
      <w:tr w:rsidR="000D2CBC" w:rsidRPr="00420561" w14:paraId="260FE206" w14:textId="77777777">
        <w:trPr>
          <w:trHeight w:val="1701"/>
        </w:trPr>
        <w:tc>
          <w:tcPr>
            <w:tcW w:w="0" w:type="auto"/>
            <w:vMerge w:val="restart"/>
            <w:tcBorders>
              <w:top w:val="single" w:sz="6" w:space="0" w:color="000000" w:themeColor="text1"/>
            </w:tcBorders>
            <w:shd w:val="clear" w:color="auto" w:fill="F2F2F2" w:themeFill="background1" w:themeFillShade="F2"/>
          </w:tcPr>
          <w:p w14:paraId="401845FA" w14:textId="192B22BA" w:rsidR="000D2CBC" w:rsidRPr="00E84B05" w:rsidRDefault="000D2CBC">
            <w:pPr>
              <w:spacing w:after="0" w:line="276" w:lineRule="auto"/>
              <w:rPr>
                <w:rFonts w:eastAsia="Arial" w:cs="Arial"/>
                <w:b/>
              </w:rPr>
            </w:pPr>
            <w:r w:rsidRPr="00E84B05">
              <w:rPr>
                <w:rFonts w:eastAsia="Arial" w:cs="Calibri"/>
                <w:b/>
              </w:rPr>
              <w:t>3.</w:t>
            </w:r>
            <w:r w:rsidR="00FB6B80">
              <w:rPr>
                <w:rFonts w:eastAsia="Arial" w:cs="Calibri"/>
                <w:b/>
              </w:rPr>
              <w:t>18</w:t>
            </w:r>
          </w:p>
        </w:tc>
        <w:tc>
          <w:tcPr>
            <w:tcW w:w="5669" w:type="dxa"/>
            <w:tcBorders>
              <w:top w:val="single" w:sz="6" w:space="0" w:color="000000" w:themeColor="text1"/>
              <w:bottom w:val="single" w:sz="6" w:space="0" w:color="000000" w:themeColor="text1"/>
            </w:tcBorders>
            <w:shd w:val="clear" w:color="auto" w:fill="F2F2F2" w:themeFill="background1" w:themeFillShade="F2"/>
          </w:tcPr>
          <w:p w14:paraId="7E415106" w14:textId="77777777" w:rsidR="000D2CBC" w:rsidRPr="00E84B05" w:rsidRDefault="000D2CBC">
            <w:pPr>
              <w:widowControl w:val="0"/>
              <w:tabs>
                <w:tab w:val="left" w:pos="0"/>
              </w:tabs>
              <w:overflowPunct w:val="0"/>
              <w:autoSpaceDE w:val="0"/>
              <w:autoSpaceDN w:val="0"/>
              <w:adjustRightInd w:val="0"/>
              <w:jc w:val="both"/>
              <w:rPr>
                <w:rFonts w:eastAsia="Times New Roman" w:cs="Calibri"/>
              </w:rPr>
            </w:pPr>
            <w:r w:rsidRPr="00E84B05">
              <w:rPr>
                <w:rFonts w:eastAsia="Times New Roman" w:cs="Calibri"/>
              </w:rPr>
              <w:t xml:space="preserve">Please confirm that for public sector contracts awarded under the Procurement Act 2023 you have systems in place to include (as a minimum) 30-day payment terms in </w:t>
            </w:r>
            <w:proofErr w:type="gramStart"/>
            <w:r w:rsidRPr="00E84B05">
              <w:rPr>
                <w:rFonts w:eastAsia="Times New Roman" w:cs="Calibri"/>
              </w:rPr>
              <w:t>all of</w:t>
            </w:r>
            <w:proofErr w:type="gramEnd"/>
            <w:r w:rsidRPr="00E84B05">
              <w:rPr>
                <w:rFonts w:eastAsia="Times New Roman" w:cs="Calibri"/>
              </w:rPr>
              <w:t xml:space="preserve"> your supply chain contracts and require that such terms are passed down through your supply chain.</w:t>
            </w:r>
          </w:p>
          <w:p w14:paraId="4C601F55" w14:textId="36D1454D" w:rsidR="000D2CBC" w:rsidRPr="00E84B05" w:rsidRDefault="000D2CBC" w:rsidP="00220C12">
            <w:pPr>
              <w:widowControl w:val="0"/>
              <w:spacing w:after="0" w:line="276" w:lineRule="auto"/>
              <w:rPr>
                <w:rFonts w:eastAsia="Arial" w:cs="Arial"/>
              </w:rPr>
            </w:pPr>
          </w:p>
        </w:tc>
        <w:tc>
          <w:tcPr>
            <w:tcW w:w="2218" w:type="dxa"/>
            <w:vMerge w:val="restart"/>
            <w:tcBorders>
              <w:top w:val="single" w:sz="6" w:space="0" w:color="000000" w:themeColor="text1"/>
            </w:tcBorders>
          </w:tcPr>
          <w:p w14:paraId="1E9ECC3C" w14:textId="77777777" w:rsidR="000D2CBC" w:rsidRPr="00E84B05" w:rsidRDefault="000D2CBC">
            <w:pPr>
              <w:tabs>
                <w:tab w:val="left" w:pos="594"/>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color w:val="2B579A"/>
                <w:shd w:val="clear" w:color="auto" w:fill="E6E6E6"/>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color w:val="2B579A"/>
                <w:shd w:val="clear" w:color="auto" w:fill="E6E6E6"/>
              </w:rPr>
            </w:r>
            <w:r w:rsidR="00084E0F">
              <w:rPr>
                <w:rFonts w:eastAsia="Times New Roman" w:cs="Calibri"/>
                <w:color w:val="2B579A"/>
                <w:shd w:val="clear" w:color="auto" w:fill="E6E6E6"/>
              </w:rPr>
              <w:fldChar w:fldCharType="separate"/>
            </w:r>
            <w:r w:rsidRPr="00E84B05">
              <w:rPr>
                <w:rFonts w:eastAsia="Times New Roman" w:cs="Calibri"/>
                <w:color w:val="2B579A"/>
                <w:shd w:val="clear" w:color="auto" w:fill="E6E6E6"/>
              </w:rPr>
              <w:fldChar w:fldCharType="end"/>
            </w:r>
          </w:p>
          <w:p w14:paraId="4D0DD0CB" w14:textId="77777777" w:rsidR="000D2CBC" w:rsidRPr="00E84B05" w:rsidRDefault="000D2CBC">
            <w:pPr>
              <w:tabs>
                <w:tab w:val="left" w:pos="594"/>
              </w:tabs>
              <w:spacing w:after="0" w:line="276" w:lineRule="auto"/>
              <w:rPr>
                <w:rFonts w:eastAsia="Arial" w:cs="Calibri"/>
              </w:rPr>
            </w:pPr>
            <w:r w:rsidRPr="00E84B05">
              <w:rPr>
                <w:rFonts w:eastAsia="Arial" w:cs="Calibri"/>
              </w:rPr>
              <w:t xml:space="preserve">No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tc>
      </w:tr>
      <w:tr w:rsidR="00220C12" w:rsidRPr="00420561" w14:paraId="2602C5EE" w14:textId="77777777">
        <w:trPr>
          <w:trHeight w:val="1701"/>
        </w:trPr>
        <w:tc>
          <w:tcPr>
            <w:tcW w:w="0" w:type="auto"/>
            <w:vMerge/>
            <w:tcBorders>
              <w:bottom w:val="single" w:sz="6" w:space="0" w:color="000000" w:themeColor="text1"/>
            </w:tcBorders>
            <w:shd w:val="clear" w:color="auto" w:fill="F2F2F2" w:themeFill="background1" w:themeFillShade="F2"/>
          </w:tcPr>
          <w:p w14:paraId="0BF512C7" w14:textId="77777777" w:rsidR="00220C12" w:rsidRPr="00E84B05" w:rsidRDefault="00220C12">
            <w:pPr>
              <w:spacing w:after="0" w:line="276" w:lineRule="auto"/>
              <w:rPr>
                <w:rFonts w:eastAsia="Arial" w:cs="Calibri"/>
                <w:b/>
              </w:rPr>
            </w:pPr>
          </w:p>
        </w:tc>
        <w:tc>
          <w:tcPr>
            <w:tcW w:w="5669" w:type="dxa"/>
            <w:tcBorders>
              <w:top w:val="single" w:sz="6" w:space="0" w:color="000000" w:themeColor="text1"/>
              <w:bottom w:val="single" w:sz="6" w:space="0" w:color="000000" w:themeColor="text1"/>
            </w:tcBorders>
            <w:shd w:val="clear" w:color="auto" w:fill="F2F2F2" w:themeFill="background1" w:themeFillShade="F2"/>
          </w:tcPr>
          <w:p w14:paraId="2DDB7D5B" w14:textId="7580E24E" w:rsidR="00220C12" w:rsidRPr="00E84B05" w:rsidRDefault="00220C12" w:rsidP="00220C12">
            <w:pPr>
              <w:widowControl w:val="0"/>
              <w:spacing w:after="0" w:line="276" w:lineRule="auto"/>
              <w:rPr>
                <w:rFonts w:eastAsia="Times New Roman" w:cs="Calibri"/>
              </w:rPr>
            </w:pPr>
            <w:r>
              <w:rPr>
                <w:rFonts w:eastAsia="Times New Roman" w:cs="Calibri"/>
                <w:b/>
              </w:rPr>
              <w:t xml:space="preserve">For Information only - </w:t>
            </w:r>
            <w:r w:rsidRPr="00E84B05">
              <w:rPr>
                <w:rFonts w:eastAsia="Times New Roman" w:cs="Calibri"/>
                <w:b/>
              </w:rPr>
              <w:t>Evidence for self-declarations (questions 3.</w:t>
            </w:r>
            <w:r w:rsidR="00966161">
              <w:rPr>
                <w:rFonts w:eastAsia="Times New Roman" w:cs="Calibri"/>
                <w:b/>
              </w:rPr>
              <w:t>17, 3.18</w:t>
            </w:r>
            <w:r w:rsidRPr="00E84B05">
              <w:rPr>
                <w:rFonts w:eastAsia="Times New Roman" w:cs="Calibri"/>
                <w:b/>
              </w:rPr>
              <w:t xml:space="preserve"> and 3.</w:t>
            </w:r>
            <w:r w:rsidR="00966161">
              <w:rPr>
                <w:rFonts w:eastAsia="Times New Roman" w:cs="Calibri"/>
                <w:b/>
              </w:rPr>
              <w:t>19</w:t>
            </w:r>
            <w:r w:rsidRPr="00E84B05">
              <w:rPr>
                <w:rFonts w:eastAsia="Times New Roman" w:cs="Calibri"/>
                <w:b/>
              </w:rPr>
              <w:t>):</w:t>
            </w:r>
            <w:r w:rsidRPr="00E84B05">
              <w:rPr>
                <w:rFonts w:eastAsia="Times New Roman" w:cs="Calibri"/>
              </w:rPr>
              <w:t xml:space="preserve"> Prior to contract award, the following evidence will be required from the successful supplier (where the supplier has answered ‘Yes’ to question 3.1</w:t>
            </w:r>
            <w:r w:rsidR="00AB4C08">
              <w:rPr>
                <w:rFonts w:eastAsia="Times New Roman" w:cs="Calibri"/>
              </w:rPr>
              <w:t>6</w:t>
            </w:r>
            <w:r w:rsidRPr="00E84B05">
              <w:rPr>
                <w:rFonts w:eastAsia="Times New Roman" w:cs="Calibri"/>
              </w:rPr>
              <w:t xml:space="preserve"> above) to verify the supplier's responses:</w:t>
            </w:r>
          </w:p>
          <w:p w14:paraId="5864C9B9" w14:textId="77777777" w:rsidR="00220C12" w:rsidRPr="00E84B05" w:rsidRDefault="00220C12" w:rsidP="00220C12">
            <w:pPr>
              <w:widowControl w:val="0"/>
              <w:spacing w:after="0" w:line="276" w:lineRule="auto"/>
              <w:rPr>
                <w:rFonts w:eastAsia="Times New Roman" w:cs="Calibri"/>
              </w:rPr>
            </w:pPr>
          </w:p>
          <w:p w14:paraId="2D9BAADB" w14:textId="130396B0" w:rsidR="00220C12" w:rsidRPr="00E84B05" w:rsidRDefault="00220C12" w:rsidP="0085565B">
            <w:pPr>
              <w:pStyle w:val="ListParagraph"/>
              <w:widowControl w:val="0"/>
              <w:numPr>
                <w:ilvl w:val="0"/>
                <w:numId w:val="27"/>
              </w:numPr>
              <w:spacing w:after="0" w:line="276" w:lineRule="auto"/>
              <w:rPr>
                <w:rFonts w:eastAsia="Times New Roman" w:cs="Calibri"/>
              </w:rPr>
            </w:pPr>
            <w:r w:rsidRPr="00E84B05">
              <w:rPr>
                <w:rFonts w:eastAsia="Times New Roman" w:cs="Calibri"/>
              </w:rPr>
              <w:t>3.</w:t>
            </w:r>
            <w:r w:rsidR="00966161">
              <w:rPr>
                <w:rFonts w:eastAsia="Times New Roman" w:cs="Calibri"/>
              </w:rPr>
              <w:t>18</w:t>
            </w:r>
            <w:r w:rsidRPr="00E84B05">
              <w:rPr>
                <w:rFonts w:eastAsia="Times New Roman" w:cs="Calibri"/>
              </w:rPr>
              <w:t xml:space="preserve">a - A copy of your standard payment terms for </w:t>
            </w:r>
            <w:proofErr w:type="gramStart"/>
            <w:r w:rsidRPr="00E84B05">
              <w:rPr>
                <w:rFonts w:eastAsia="Times New Roman" w:cs="Calibri"/>
              </w:rPr>
              <w:t>all of</w:t>
            </w:r>
            <w:proofErr w:type="gramEnd"/>
            <w:r w:rsidRPr="00E84B05">
              <w:rPr>
                <w:rFonts w:eastAsia="Times New Roman" w:cs="Calibri"/>
              </w:rPr>
              <w:t xml:space="preserve"> your supply chain contracts.</w:t>
            </w:r>
          </w:p>
          <w:p w14:paraId="47F65592" w14:textId="3811ABAB" w:rsidR="00220C12" w:rsidRPr="00E84B05" w:rsidRDefault="00220C12" w:rsidP="0085565B">
            <w:pPr>
              <w:pStyle w:val="ListParagraph"/>
              <w:widowControl w:val="0"/>
              <w:numPr>
                <w:ilvl w:val="0"/>
                <w:numId w:val="27"/>
              </w:numPr>
              <w:spacing w:after="0" w:line="276" w:lineRule="auto"/>
              <w:rPr>
                <w:rFonts w:eastAsia="Times New Roman" w:cs="Calibri"/>
              </w:rPr>
            </w:pPr>
            <w:r w:rsidRPr="00E84B05">
              <w:rPr>
                <w:rFonts w:eastAsia="Times New Roman" w:cs="Calibri"/>
              </w:rPr>
              <w:t>3.</w:t>
            </w:r>
            <w:r w:rsidR="00966161">
              <w:rPr>
                <w:rFonts w:eastAsia="Times New Roman" w:cs="Calibri"/>
              </w:rPr>
              <w:t>18</w:t>
            </w:r>
            <w:r w:rsidRPr="00E84B05">
              <w:rPr>
                <w:rFonts w:eastAsia="Times New Roman" w:cs="Calibri"/>
              </w:rPr>
              <w:t>b - A copy of your procedures for resolving disputed invoices promptly and effectively.</w:t>
            </w:r>
          </w:p>
          <w:p w14:paraId="162D9DA1" w14:textId="77777777" w:rsidR="007B5631" w:rsidRDefault="00220C12" w:rsidP="0085565B">
            <w:pPr>
              <w:pStyle w:val="ListParagraph"/>
              <w:widowControl w:val="0"/>
              <w:numPr>
                <w:ilvl w:val="0"/>
                <w:numId w:val="27"/>
              </w:numPr>
              <w:spacing w:after="0" w:line="276" w:lineRule="auto"/>
              <w:rPr>
                <w:rFonts w:eastAsia="Times New Roman" w:cs="Calibri"/>
              </w:rPr>
            </w:pPr>
            <w:r w:rsidRPr="00E84B05">
              <w:rPr>
                <w:rFonts w:eastAsia="Times New Roman" w:cs="Calibri"/>
              </w:rPr>
              <w:t>3.</w:t>
            </w:r>
            <w:r w:rsidR="00966161">
              <w:rPr>
                <w:rFonts w:eastAsia="Times New Roman" w:cs="Calibri"/>
              </w:rPr>
              <w:t>18</w:t>
            </w:r>
            <w:r w:rsidRPr="00E84B05">
              <w:rPr>
                <w:rFonts w:eastAsia="Times New Roman" w:cs="Calibri"/>
              </w:rPr>
              <w:t>c - Details of any payments of interest for late payments you have paid in the past 12 months or which became due during the past 12 months and remain payable (contractually or under late payment legislation) and, if any such payment has been made (or arose), an explanation as to why this occurred and an outline of what remedial steps have been taken to ensure this does not occur again.</w:t>
            </w:r>
          </w:p>
          <w:p w14:paraId="59322A3E" w14:textId="77777777" w:rsidR="00220C12" w:rsidRDefault="00220C12" w:rsidP="0085565B">
            <w:pPr>
              <w:pStyle w:val="ListParagraph"/>
              <w:widowControl w:val="0"/>
              <w:numPr>
                <w:ilvl w:val="0"/>
                <w:numId w:val="27"/>
              </w:numPr>
              <w:spacing w:after="0" w:line="276" w:lineRule="auto"/>
              <w:rPr>
                <w:rFonts w:eastAsia="Times New Roman" w:cs="Calibri"/>
              </w:rPr>
            </w:pPr>
            <w:r w:rsidRPr="007B5631">
              <w:rPr>
                <w:rFonts w:eastAsia="Times New Roman" w:cs="Calibri"/>
              </w:rPr>
              <w:t>3.</w:t>
            </w:r>
            <w:r w:rsidR="00966161" w:rsidRPr="007B5631">
              <w:rPr>
                <w:rFonts w:eastAsia="Times New Roman" w:cs="Calibri"/>
              </w:rPr>
              <w:t>18</w:t>
            </w:r>
            <w:r w:rsidRPr="007B5631">
              <w:rPr>
                <w:rFonts w:eastAsia="Times New Roman" w:cs="Calibri"/>
              </w:rPr>
              <w:t>d - A copy of your standard payment terms used with sub-contractors on public sector contracts subject to the Procurement Act 2023</w:t>
            </w:r>
          </w:p>
          <w:p w14:paraId="53DE165D" w14:textId="64EAB884" w:rsidR="008C282E" w:rsidRPr="007B5631" w:rsidRDefault="008C282E" w:rsidP="0085565B">
            <w:pPr>
              <w:pStyle w:val="ListParagraph"/>
              <w:widowControl w:val="0"/>
              <w:numPr>
                <w:ilvl w:val="0"/>
                <w:numId w:val="27"/>
              </w:numPr>
              <w:spacing w:after="0" w:line="276" w:lineRule="auto"/>
              <w:rPr>
                <w:rFonts w:eastAsia="Times New Roman" w:cs="Calibri"/>
              </w:rPr>
            </w:pPr>
            <w:r>
              <w:t>3.18e - A link to your data published online under the Reporting on Payment Practices and Performance Regulations 2017 if you are required to publish under these regulations.</w:t>
            </w:r>
          </w:p>
        </w:tc>
        <w:tc>
          <w:tcPr>
            <w:tcW w:w="2218" w:type="dxa"/>
            <w:vMerge/>
            <w:tcBorders>
              <w:bottom w:val="single" w:sz="6" w:space="0" w:color="000000" w:themeColor="text1"/>
            </w:tcBorders>
          </w:tcPr>
          <w:p w14:paraId="0A0CBEDC" w14:textId="77777777" w:rsidR="00220C12" w:rsidRPr="00E84B05" w:rsidRDefault="00220C12">
            <w:pPr>
              <w:tabs>
                <w:tab w:val="left" w:pos="594"/>
              </w:tabs>
              <w:spacing w:after="0" w:line="276" w:lineRule="auto"/>
              <w:rPr>
                <w:rFonts w:eastAsia="Arial" w:cs="Calibri"/>
              </w:rPr>
            </w:pPr>
          </w:p>
        </w:tc>
      </w:tr>
      <w:tr w:rsidR="000D2CBC" w:rsidRPr="00420561" w14:paraId="748E76B7" w14:textId="77777777" w:rsidTr="00220C12">
        <w:trPr>
          <w:trHeight w:val="1701"/>
        </w:trPr>
        <w:tc>
          <w:tcPr>
            <w:tcW w:w="0" w:type="auto"/>
            <w:tcBorders>
              <w:top w:val="single" w:sz="6" w:space="0" w:color="000000" w:themeColor="text1"/>
              <w:bottom w:val="single" w:sz="6" w:space="0" w:color="000000" w:themeColor="text1"/>
            </w:tcBorders>
            <w:shd w:val="clear" w:color="auto" w:fill="F2F2F2" w:themeFill="background1" w:themeFillShade="F2"/>
          </w:tcPr>
          <w:p w14:paraId="4A5ED7B2" w14:textId="0E40E577" w:rsidR="000D2CBC" w:rsidRPr="00E84B05" w:rsidRDefault="000D2CBC">
            <w:pPr>
              <w:spacing w:after="0" w:line="276" w:lineRule="auto"/>
              <w:rPr>
                <w:rFonts w:eastAsia="Arial" w:cs="Arial"/>
                <w:b/>
              </w:rPr>
            </w:pPr>
            <w:r w:rsidRPr="00E84B05">
              <w:rPr>
                <w:rFonts w:eastAsia="Arial" w:cs="Calibri"/>
                <w:b/>
              </w:rPr>
              <w:t>3.</w:t>
            </w:r>
            <w:r w:rsidR="00FB6B80">
              <w:rPr>
                <w:rFonts w:eastAsia="Arial" w:cs="Calibri"/>
                <w:b/>
              </w:rPr>
              <w:t>19</w:t>
            </w:r>
          </w:p>
        </w:tc>
        <w:tc>
          <w:tcPr>
            <w:tcW w:w="5669" w:type="dxa"/>
            <w:tcBorders>
              <w:top w:val="single" w:sz="6" w:space="0" w:color="000000" w:themeColor="text1"/>
              <w:bottom w:val="single" w:sz="6" w:space="0" w:color="000000" w:themeColor="text1"/>
            </w:tcBorders>
            <w:shd w:val="clear" w:color="auto" w:fill="F2F2F2" w:themeFill="background1" w:themeFillShade="F2"/>
          </w:tcPr>
          <w:p w14:paraId="3385A780" w14:textId="7D2EE0D7" w:rsidR="000D2CBC" w:rsidRPr="00E84B05" w:rsidRDefault="000D2CBC">
            <w:pPr>
              <w:widowControl w:val="0"/>
              <w:spacing w:after="0" w:line="276" w:lineRule="auto"/>
              <w:rPr>
                <w:rFonts w:eastAsia="Times New Roman" w:cs="Calibri"/>
              </w:rPr>
            </w:pPr>
            <w:r w:rsidRPr="00E84B05">
              <w:rPr>
                <w:rFonts w:eastAsia="Times New Roman" w:cs="Calibri"/>
              </w:rPr>
              <w:t xml:space="preserve">A) Please provide </w:t>
            </w:r>
            <w:r w:rsidR="00533C61">
              <w:rPr>
                <w:rFonts w:eastAsia="Times New Roman" w:cs="Calibri"/>
              </w:rPr>
              <w:t>in</w:t>
            </w:r>
            <w:r w:rsidRPr="00E84B05">
              <w:rPr>
                <w:rFonts w:eastAsia="Times New Roman" w:cs="Calibri"/>
              </w:rPr>
              <w:t xml:space="preserve"> percentage</w:t>
            </w:r>
            <w:r w:rsidR="00533C61">
              <w:rPr>
                <w:rFonts w:eastAsia="Times New Roman" w:cs="Calibri"/>
              </w:rPr>
              <w:t>s, the timing</w:t>
            </w:r>
            <w:r w:rsidRPr="00E84B05">
              <w:rPr>
                <w:rFonts w:eastAsia="Times New Roman" w:cs="Calibri"/>
              </w:rPr>
              <w:t xml:space="preserve"> of invoices paid by you to those in your immediate supply chain</w:t>
            </w:r>
            <w:r w:rsidR="00533C61">
              <w:rPr>
                <w:rFonts w:eastAsia="Times New Roman" w:cs="Calibri"/>
              </w:rPr>
              <w:t>*</w:t>
            </w:r>
            <w:r w:rsidRPr="00E84B05">
              <w:rPr>
                <w:rFonts w:eastAsia="Times New Roman" w:cs="Calibri"/>
              </w:rPr>
              <w:t xml:space="preserve"> on all contracts for each of the two previous six-month reporting </w:t>
            </w:r>
            <w:proofErr w:type="gramStart"/>
            <w:r w:rsidRPr="00E84B05">
              <w:rPr>
                <w:rFonts w:eastAsia="Times New Roman" w:cs="Calibri"/>
              </w:rPr>
              <w:t>periods.*</w:t>
            </w:r>
            <w:proofErr w:type="gramEnd"/>
            <w:r w:rsidRPr="00E84B05">
              <w:rPr>
                <w:rFonts w:eastAsia="Times New Roman" w:cs="Calibri"/>
              </w:rPr>
              <w:t>* This should include the percentage of invoices paid within each of the following categories:</w:t>
            </w:r>
          </w:p>
          <w:p w14:paraId="29779931" w14:textId="77777777" w:rsidR="000D2CBC" w:rsidRPr="00E84B05" w:rsidRDefault="000D2CBC" w:rsidP="0085565B">
            <w:pPr>
              <w:pStyle w:val="ListParagraph"/>
              <w:widowControl w:val="0"/>
              <w:numPr>
                <w:ilvl w:val="0"/>
                <w:numId w:val="25"/>
              </w:numPr>
              <w:spacing w:after="0" w:line="276" w:lineRule="auto"/>
              <w:rPr>
                <w:rFonts w:eastAsia="Times New Roman" w:cs="Calibri"/>
              </w:rPr>
            </w:pPr>
            <w:r w:rsidRPr="00E84B05">
              <w:rPr>
                <w:rFonts w:eastAsia="Times New Roman" w:cs="Calibri"/>
              </w:rPr>
              <w:t>within 30 days</w:t>
            </w:r>
          </w:p>
          <w:p w14:paraId="6C3CAF69" w14:textId="77777777" w:rsidR="000D2CBC" w:rsidRPr="00E84B05" w:rsidRDefault="000D2CBC" w:rsidP="0085565B">
            <w:pPr>
              <w:pStyle w:val="ListParagraph"/>
              <w:widowControl w:val="0"/>
              <w:numPr>
                <w:ilvl w:val="0"/>
                <w:numId w:val="25"/>
              </w:numPr>
              <w:spacing w:after="0" w:line="276" w:lineRule="auto"/>
              <w:rPr>
                <w:rFonts w:eastAsia="Times New Roman" w:cs="Calibri"/>
              </w:rPr>
            </w:pPr>
            <w:r w:rsidRPr="00E84B05">
              <w:rPr>
                <w:rFonts w:eastAsia="Times New Roman" w:cs="Calibri"/>
              </w:rPr>
              <w:t>in 31 to 60 days</w:t>
            </w:r>
          </w:p>
          <w:p w14:paraId="6F223B57" w14:textId="77777777" w:rsidR="000D2CBC" w:rsidRPr="00E84B05" w:rsidRDefault="000D2CBC" w:rsidP="0085565B">
            <w:pPr>
              <w:pStyle w:val="ListParagraph"/>
              <w:widowControl w:val="0"/>
              <w:numPr>
                <w:ilvl w:val="0"/>
                <w:numId w:val="25"/>
              </w:numPr>
              <w:spacing w:after="0" w:line="276" w:lineRule="auto"/>
              <w:rPr>
                <w:rFonts w:eastAsia="Times New Roman" w:cs="Calibri"/>
              </w:rPr>
            </w:pPr>
            <w:r w:rsidRPr="00E84B05">
              <w:rPr>
                <w:rFonts w:eastAsia="Times New Roman" w:cs="Calibri"/>
              </w:rPr>
              <w:t>in 61 days or more</w:t>
            </w:r>
          </w:p>
          <w:p w14:paraId="0F4B5D8A" w14:textId="77777777" w:rsidR="000D2CBC" w:rsidRPr="00E84B05" w:rsidRDefault="000D2CBC" w:rsidP="0085565B">
            <w:pPr>
              <w:pStyle w:val="ListParagraph"/>
              <w:widowControl w:val="0"/>
              <w:numPr>
                <w:ilvl w:val="0"/>
                <w:numId w:val="25"/>
              </w:numPr>
              <w:spacing w:after="0" w:line="276" w:lineRule="auto"/>
              <w:rPr>
                <w:rFonts w:eastAsia="Times New Roman" w:cs="Calibri"/>
              </w:rPr>
            </w:pPr>
            <w:r w:rsidRPr="00E84B05">
              <w:rPr>
                <w:rFonts w:eastAsia="Times New Roman" w:cs="Calibri"/>
              </w:rPr>
              <w:t xml:space="preserve">due but not paid by the last date for payment under agreed contractual </w:t>
            </w:r>
            <w:proofErr w:type="gramStart"/>
            <w:r w:rsidRPr="00E84B05">
              <w:rPr>
                <w:rFonts w:eastAsia="Times New Roman" w:cs="Calibri"/>
              </w:rPr>
              <w:t>terms</w:t>
            </w:r>
            <w:proofErr w:type="gramEnd"/>
          </w:p>
          <w:p w14:paraId="59501E05" w14:textId="77777777" w:rsidR="000D2CBC" w:rsidRPr="00E84B05" w:rsidRDefault="000D2CBC">
            <w:pPr>
              <w:widowControl w:val="0"/>
              <w:spacing w:after="0" w:line="276" w:lineRule="auto"/>
              <w:rPr>
                <w:rFonts w:eastAsia="Times New Roman" w:cs="Calibri"/>
              </w:rPr>
            </w:pPr>
          </w:p>
          <w:p w14:paraId="719C8A11" w14:textId="77777777" w:rsidR="000D2CBC" w:rsidRPr="00E84B05" w:rsidRDefault="000D2CBC">
            <w:pPr>
              <w:widowControl w:val="0"/>
              <w:spacing w:after="0" w:line="276" w:lineRule="auto"/>
              <w:rPr>
                <w:rFonts w:eastAsia="Times New Roman" w:cs="Calibri"/>
              </w:rPr>
            </w:pPr>
            <w:r w:rsidRPr="00E84B05">
              <w:rPr>
                <w:rFonts w:eastAsia="Times New Roman" w:cs="Calibri"/>
              </w:rPr>
              <w:t xml:space="preserve">B) Please provide the average number of days taken by you to pay an invoice to those in your immediate supply chain on all contracts for each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If you do wish to cross-refer, please provide details and/or insert link(s). </w:t>
            </w:r>
          </w:p>
          <w:p w14:paraId="50ABDF21" w14:textId="77777777" w:rsidR="001C54CE" w:rsidRPr="00E84B05" w:rsidRDefault="001C54CE">
            <w:pPr>
              <w:widowControl w:val="0"/>
              <w:spacing w:after="0" w:line="276" w:lineRule="auto"/>
              <w:rPr>
                <w:rFonts w:eastAsia="Times New Roman" w:cs="Calibri"/>
              </w:rPr>
            </w:pPr>
          </w:p>
          <w:p w14:paraId="1D69AFBB" w14:textId="77777777" w:rsidR="000D2CBC" w:rsidRPr="00E84B05" w:rsidRDefault="000D2CBC">
            <w:pPr>
              <w:widowControl w:val="0"/>
              <w:spacing w:after="0" w:line="276" w:lineRule="auto"/>
              <w:rPr>
                <w:rFonts w:eastAsia="Times New Roman" w:cs="Calibri"/>
              </w:rPr>
            </w:pPr>
            <w:r w:rsidRPr="00E84B05">
              <w:rPr>
                <w:rFonts w:eastAsia="Times New Roman" w:cs="Calibri"/>
              </w:rPr>
              <w:t xml:space="preserve">C) If you are unable to demonstrate that all invoices have been paid within the agreed contractual terms, please explain why. </w:t>
            </w:r>
          </w:p>
          <w:p w14:paraId="7A874EA7" w14:textId="77777777" w:rsidR="000D2CBC" w:rsidRPr="00E84B05" w:rsidRDefault="000D2CBC">
            <w:pPr>
              <w:widowControl w:val="0"/>
              <w:spacing w:after="0" w:line="276" w:lineRule="auto"/>
              <w:rPr>
                <w:rFonts w:eastAsia="Times New Roman" w:cs="Calibri"/>
              </w:rPr>
            </w:pPr>
          </w:p>
          <w:p w14:paraId="33E165F0" w14:textId="0F7E6F7A" w:rsidR="000D2CBC" w:rsidRPr="00E84B05" w:rsidRDefault="000D2CBC">
            <w:pPr>
              <w:widowControl w:val="0"/>
              <w:spacing w:after="0" w:line="276" w:lineRule="auto"/>
              <w:rPr>
                <w:rFonts w:eastAsia="Times New Roman" w:cs="Calibri"/>
              </w:rPr>
            </w:pPr>
            <w:r w:rsidRPr="00E84B05">
              <w:rPr>
                <w:rFonts w:eastAsia="Times New Roman" w:cs="Calibri"/>
              </w:rPr>
              <w:t>Note: if you are required to submit an action plan under question 3.</w:t>
            </w:r>
            <w:r w:rsidR="006F091A">
              <w:rPr>
                <w:rFonts w:eastAsia="Times New Roman" w:cs="Calibri"/>
              </w:rPr>
              <w:t>19</w:t>
            </w:r>
            <w:r w:rsidRPr="00E84B05">
              <w:rPr>
                <w:rFonts w:eastAsia="Times New Roman" w:cs="Calibri"/>
              </w:rPr>
              <w:t xml:space="preserve">(D), this action plan must also set out steps to address your payment </w:t>
            </w:r>
            <w:r w:rsidR="00533C61">
              <w:rPr>
                <w:rFonts w:eastAsia="Times New Roman" w:cs="Calibri"/>
              </w:rPr>
              <w:t xml:space="preserve">obligations </w:t>
            </w:r>
            <w:r w:rsidRPr="00E84B05">
              <w:rPr>
                <w:rFonts w:eastAsia="Times New Roman" w:cs="Calibri"/>
              </w:rPr>
              <w:t>within agreed terms, to achieve a pass for question 3.</w:t>
            </w:r>
            <w:r w:rsidR="00DA0241">
              <w:rPr>
                <w:rFonts w:eastAsia="Times New Roman" w:cs="Calibri"/>
              </w:rPr>
              <w:t>19</w:t>
            </w:r>
            <w:r w:rsidRPr="00E84B05">
              <w:rPr>
                <w:rFonts w:eastAsia="Times New Roman" w:cs="Calibri"/>
              </w:rPr>
              <w:t>.</w:t>
            </w:r>
          </w:p>
          <w:p w14:paraId="69107908" w14:textId="77777777" w:rsidR="000D2CBC" w:rsidRPr="00E84B05" w:rsidRDefault="000D2CBC">
            <w:pPr>
              <w:widowControl w:val="0"/>
              <w:spacing w:after="0" w:line="276" w:lineRule="auto"/>
              <w:rPr>
                <w:rFonts w:eastAsia="Times New Roman" w:cs="Calibri"/>
              </w:rPr>
            </w:pPr>
          </w:p>
          <w:p w14:paraId="380027BC" w14:textId="77777777" w:rsidR="000D2CBC" w:rsidRPr="00E84B05" w:rsidRDefault="000D2CBC">
            <w:pPr>
              <w:widowControl w:val="0"/>
              <w:spacing w:after="0" w:line="276" w:lineRule="auto"/>
              <w:rPr>
                <w:rFonts w:eastAsia="Times New Roman" w:cs="Calibri"/>
              </w:rPr>
            </w:pPr>
            <w:r w:rsidRPr="00E84B05">
              <w:rPr>
                <w:rFonts w:eastAsia="Times New Roman" w:cs="Calibri"/>
              </w:rPr>
              <w:t>D) If you are unable to demonstrate that at least 95% of invoices payable to your supply chain on all contracts have been paid within 60 days of the receipt of the invoice in at least one of the last two six-month reporting periods, please provide an action plan for improvement which includes (as a minimum) the following:</w:t>
            </w:r>
          </w:p>
          <w:p w14:paraId="79012C7D" w14:textId="77777777" w:rsidR="000D2CBC" w:rsidRPr="00E84B05" w:rsidRDefault="000D2CBC">
            <w:pPr>
              <w:widowControl w:val="0"/>
              <w:spacing w:after="0" w:line="276" w:lineRule="auto"/>
              <w:rPr>
                <w:rFonts w:eastAsia="Times New Roman" w:cs="Calibri"/>
              </w:rPr>
            </w:pPr>
          </w:p>
          <w:p w14:paraId="3D14A568" w14:textId="77777777" w:rsidR="000D2CBC" w:rsidRPr="00E84B05" w:rsidRDefault="000D2CBC" w:rsidP="0085565B">
            <w:pPr>
              <w:pStyle w:val="ListParagraph"/>
              <w:widowControl w:val="0"/>
              <w:numPr>
                <w:ilvl w:val="0"/>
                <w:numId w:val="26"/>
              </w:numPr>
              <w:spacing w:after="0" w:line="276" w:lineRule="auto"/>
              <w:rPr>
                <w:rFonts w:eastAsia="Times New Roman" w:cs="Calibri"/>
              </w:rPr>
            </w:pPr>
            <w:r w:rsidRPr="00E84B05">
              <w:rPr>
                <w:rFonts w:eastAsia="Times New Roman" w:cs="Calibri"/>
              </w:rPr>
              <w:t>Identification of the primary causes of failure to pay:</w:t>
            </w:r>
          </w:p>
          <w:p w14:paraId="5C1A5322" w14:textId="77777777" w:rsidR="000D2CBC" w:rsidRPr="00E84B05" w:rsidRDefault="000D2CBC" w:rsidP="0085565B">
            <w:pPr>
              <w:pStyle w:val="ListParagraph"/>
              <w:widowControl w:val="0"/>
              <w:numPr>
                <w:ilvl w:val="1"/>
                <w:numId w:val="26"/>
              </w:numPr>
              <w:spacing w:after="0" w:line="276" w:lineRule="auto"/>
              <w:rPr>
                <w:rFonts w:eastAsia="Times New Roman" w:cs="Calibri"/>
              </w:rPr>
            </w:pPr>
            <w:r w:rsidRPr="00E84B05">
              <w:rPr>
                <w:rFonts w:eastAsia="Times New Roman" w:cs="Calibri"/>
              </w:rPr>
              <w:t>95% of all supply chain invoices within 60 days; and</w:t>
            </w:r>
          </w:p>
          <w:p w14:paraId="78F41CB6" w14:textId="1CF89F3E" w:rsidR="000D2CBC" w:rsidRPr="00E84B05" w:rsidRDefault="000D2CBC" w:rsidP="0085565B">
            <w:pPr>
              <w:pStyle w:val="ListParagraph"/>
              <w:widowControl w:val="0"/>
              <w:numPr>
                <w:ilvl w:val="1"/>
                <w:numId w:val="26"/>
              </w:numPr>
              <w:spacing w:after="0" w:line="276" w:lineRule="auto"/>
              <w:rPr>
                <w:rFonts w:eastAsia="Times New Roman" w:cs="Calibri"/>
              </w:rPr>
            </w:pPr>
            <w:r w:rsidRPr="00E84B05">
              <w:rPr>
                <w:rFonts w:eastAsia="Times New Roman" w:cs="Calibri"/>
              </w:rPr>
              <w:t xml:space="preserve">if relevant under question </w:t>
            </w:r>
            <w:r w:rsidR="00307972">
              <w:rPr>
                <w:rFonts w:eastAsia="Times New Roman" w:cs="Calibri"/>
              </w:rPr>
              <w:t>3.</w:t>
            </w:r>
            <w:r w:rsidR="00AB4B12">
              <w:rPr>
                <w:rFonts w:eastAsia="Times New Roman" w:cs="Calibri"/>
              </w:rPr>
              <w:t>1</w:t>
            </w:r>
            <w:r w:rsidRPr="00E84B05">
              <w:rPr>
                <w:rFonts w:eastAsia="Times New Roman" w:cs="Calibri"/>
              </w:rPr>
              <w:t>9(</w:t>
            </w:r>
            <w:r w:rsidR="00FB0D15">
              <w:rPr>
                <w:rFonts w:eastAsia="Times New Roman" w:cs="Calibri"/>
              </w:rPr>
              <w:t>C</w:t>
            </w:r>
            <w:r w:rsidRPr="00E84B05">
              <w:rPr>
                <w:rFonts w:eastAsia="Times New Roman" w:cs="Calibri"/>
              </w:rPr>
              <w:t>), all invoices within agreed terms</w:t>
            </w:r>
          </w:p>
          <w:p w14:paraId="47FE5865" w14:textId="77777777" w:rsidR="000D2CBC" w:rsidRPr="00E84B05" w:rsidRDefault="000D2CBC" w:rsidP="0085565B">
            <w:pPr>
              <w:pStyle w:val="ListParagraph"/>
              <w:widowControl w:val="0"/>
              <w:numPr>
                <w:ilvl w:val="0"/>
                <w:numId w:val="26"/>
              </w:numPr>
              <w:spacing w:after="0" w:line="276" w:lineRule="auto"/>
              <w:rPr>
                <w:rFonts w:eastAsia="Times New Roman" w:cs="Calibri"/>
              </w:rPr>
            </w:pPr>
            <w:r w:rsidRPr="00E84B05">
              <w:rPr>
                <w:rFonts w:eastAsia="Times New Roman" w:cs="Calibri"/>
              </w:rPr>
              <w:t>Actions to address each of these causes.</w:t>
            </w:r>
          </w:p>
          <w:p w14:paraId="0391F249" w14:textId="77777777" w:rsidR="000D2CBC" w:rsidRPr="00E84B05" w:rsidRDefault="000D2CBC" w:rsidP="0085565B">
            <w:pPr>
              <w:pStyle w:val="ListParagraph"/>
              <w:widowControl w:val="0"/>
              <w:numPr>
                <w:ilvl w:val="0"/>
                <w:numId w:val="26"/>
              </w:numPr>
              <w:spacing w:after="0" w:line="276" w:lineRule="auto"/>
              <w:rPr>
                <w:rFonts w:eastAsia="Times New Roman" w:cs="Calibri"/>
              </w:rPr>
            </w:pPr>
            <w:r w:rsidRPr="00E84B05">
              <w:rPr>
                <w:rFonts w:eastAsia="Times New Roman" w:cs="Calibri"/>
              </w:rPr>
              <w:t>A mechanism for and commitment to regular reporting on progress to the supplier's audit committee (or equivalent).</w:t>
            </w:r>
          </w:p>
          <w:p w14:paraId="11089AF6" w14:textId="77777777" w:rsidR="000D2CBC" w:rsidRPr="00E84B05" w:rsidRDefault="000D2CBC" w:rsidP="0085565B">
            <w:pPr>
              <w:pStyle w:val="ListParagraph"/>
              <w:widowControl w:val="0"/>
              <w:numPr>
                <w:ilvl w:val="0"/>
                <w:numId w:val="26"/>
              </w:numPr>
              <w:spacing w:after="0" w:line="276" w:lineRule="auto"/>
              <w:rPr>
                <w:rFonts w:eastAsia="Times New Roman" w:cs="Calibri"/>
              </w:rPr>
            </w:pPr>
            <w:r w:rsidRPr="00E84B05">
              <w:rPr>
                <w:rFonts w:eastAsia="Times New Roman" w:cs="Calibri"/>
              </w:rPr>
              <w:t>Plan signed off by director.</w:t>
            </w:r>
          </w:p>
          <w:p w14:paraId="122D8AF0" w14:textId="77777777" w:rsidR="000D2CBC" w:rsidRPr="00E84B05" w:rsidRDefault="000D2CBC" w:rsidP="0085565B">
            <w:pPr>
              <w:pStyle w:val="ListParagraph"/>
              <w:widowControl w:val="0"/>
              <w:numPr>
                <w:ilvl w:val="0"/>
                <w:numId w:val="26"/>
              </w:numPr>
              <w:spacing w:after="0" w:line="276" w:lineRule="auto"/>
              <w:rPr>
                <w:rFonts w:eastAsia="Times New Roman" w:cs="Calibri"/>
              </w:rPr>
            </w:pPr>
            <w:r w:rsidRPr="00E84B05">
              <w:rPr>
                <w:rFonts w:eastAsia="Times New Roman" w:cs="Calibri"/>
              </w:rPr>
              <w:t>Plan published on its website (this can be a shorter summary plan).</w:t>
            </w:r>
          </w:p>
          <w:p w14:paraId="7837DC2C" w14:textId="77777777" w:rsidR="000D2CBC" w:rsidRPr="00E84B05" w:rsidRDefault="000D2CBC">
            <w:pPr>
              <w:pStyle w:val="ListParagraph"/>
              <w:widowControl w:val="0"/>
              <w:spacing w:after="0" w:line="276" w:lineRule="auto"/>
              <w:ind w:left="360"/>
              <w:rPr>
                <w:rFonts w:eastAsia="Times New Roman" w:cs="Calibri"/>
              </w:rPr>
            </w:pPr>
          </w:p>
          <w:p w14:paraId="12066CAA" w14:textId="77777777" w:rsidR="000D2CBC" w:rsidRPr="00E84B05" w:rsidRDefault="000D2CBC">
            <w:pPr>
              <w:widowControl w:val="0"/>
              <w:spacing w:after="0" w:line="276" w:lineRule="auto"/>
              <w:rPr>
                <w:rFonts w:eastAsia="Times New Roman" w:cs="Calibri"/>
              </w:rPr>
            </w:pPr>
            <w:r w:rsidRPr="00E84B05">
              <w:rPr>
                <w:rFonts w:eastAsia="Times New Roman" w:cs="Calibri"/>
              </w:rPr>
              <w:t xml:space="preserve">If you have an existing action plan prepared for a different purpose, it is acceptable to attach </w:t>
            </w:r>
            <w:proofErr w:type="gramStart"/>
            <w:r w:rsidRPr="00E84B05">
              <w:rPr>
                <w:rFonts w:eastAsia="Times New Roman" w:cs="Calibri"/>
              </w:rPr>
              <w:t>this</w:t>
            </w:r>
            <w:proofErr w:type="gramEnd"/>
            <w:r w:rsidRPr="00E84B05">
              <w:rPr>
                <w:rFonts w:eastAsia="Times New Roman" w:cs="Calibri"/>
              </w:rPr>
              <w:t xml:space="preserve"> but it should contain the above features.</w:t>
            </w:r>
          </w:p>
          <w:p w14:paraId="1B835FCC" w14:textId="77777777" w:rsidR="000D2CBC" w:rsidRPr="00E84B05" w:rsidRDefault="000D2CBC">
            <w:pPr>
              <w:pStyle w:val="ListParagraph"/>
              <w:widowControl w:val="0"/>
              <w:spacing w:after="0" w:line="276" w:lineRule="auto"/>
              <w:rPr>
                <w:rFonts w:eastAsia="Times New Roman" w:cs="Calibri"/>
              </w:rPr>
            </w:pPr>
          </w:p>
          <w:p w14:paraId="19FEC4C4" w14:textId="77777777" w:rsidR="000D2CBC" w:rsidRPr="00E84B05" w:rsidRDefault="000D2CBC">
            <w:pPr>
              <w:widowControl w:val="0"/>
              <w:spacing w:after="0" w:line="276" w:lineRule="auto"/>
              <w:rPr>
                <w:rFonts w:eastAsia="Times New Roman" w:cs="Calibri"/>
                <w:i/>
              </w:rPr>
            </w:pPr>
            <w:r w:rsidRPr="00E84B05">
              <w:rPr>
                <w:rFonts w:eastAsia="Times New Roman" w:cs="Calibri"/>
                <w:i/>
              </w:rPr>
              <w:t xml:space="preserve">*References to supply chain means suppliers or sub-contractors of any tier that execute any works, supply any </w:t>
            </w:r>
            <w:proofErr w:type="gramStart"/>
            <w:r w:rsidRPr="00E84B05">
              <w:rPr>
                <w:rFonts w:eastAsia="Times New Roman" w:cs="Calibri"/>
                <w:i/>
              </w:rPr>
              <w:t>products</w:t>
            </w:r>
            <w:proofErr w:type="gramEnd"/>
            <w:r w:rsidRPr="00E84B05">
              <w:rPr>
                <w:rFonts w:eastAsia="Times New Roman" w:cs="Calibri"/>
                <w:i/>
              </w:rPr>
              <w:t xml:space="preserve"> or provide any services that are used wholly or substantially for the purpose of performing (or contributing to the performance of) the whole or any part of the contract.</w:t>
            </w:r>
          </w:p>
          <w:p w14:paraId="5DCF5AC2" w14:textId="77777777" w:rsidR="000D2CBC" w:rsidRPr="00E84B05" w:rsidRDefault="000D2CBC">
            <w:pPr>
              <w:widowControl w:val="0"/>
              <w:spacing w:after="0" w:line="276" w:lineRule="auto"/>
              <w:rPr>
                <w:rFonts w:eastAsia="Times New Roman" w:cs="Calibri"/>
                <w:i/>
              </w:rPr>
            </w:pPr>
          </w:p>
          <w:p w14:paraId="76D9B038" w14:textId="44754A5B" w:rsidR="000D2CBC" w:rsidRPr="00E84B05" w:rsidRDefault="000D2CBC">
            <w:pPr>
              <w:widowControl w:val="0"/>
              <w:tabs>
                <w:tab w:val="left" w:pos="0"/>
              </w:tabs>
              <w:overflowPunct w:val="0"/>
              <w:autoSpaceDE w:val="0"/>
              <w:autoSpaceDN w:val="0"/>
              <w:adjustRightInd w:val="0"/>
              <w:rPr>
                <w:rFonts w:eastAsia="Arial" w:cs="Arial"/>
              </w:rPr>
            </w:pPr>
            <w:r w:rsidRPr="00E84B05">
              <w:rPr>
                <w:rFonts w:eastAsia="Times New Roman" w:cs="Calibri"/>
                <w:i/>
              </w:rPr>
              <w:t xml:space="preserve">**You should explain in the tender documents what a reporting period is by referring to the DBT Guidance: </w:t>
            </w:r>
            <w:hyperlink r:id="rId31" w:history="1">
              <w:r w:rsidRPr="00E84B05">
                <w:rPr>
                  <w:rStyle w:val="Hyperlink"/>
                  <w:rFonts w:eastAsia="Times New Roman" w:cs="Calibri"/>
                  <w:i/>
                </w:rPr>
                <w:t>www.gov.uk/government/publications/business-payment-practices-and-performance-reporting-requirements</w:t>
              </w:r>
            </w:hyperlink>
            <w:r w:rsidRPr="00E84B05">
              <w:rPr>
                <w:rFonts w:eastAsia="Times New Roman" w:cs="Calibri"/>
                <w:i/>
              </w:rPr>
              <w:t xml:space="preserve"> </w:t>
            </w:r>
          </w:p>
        </w:tc>
        <w:tc>
          <w:tcPr>
            <w:tcW w:w="2218" w:type="dxa"/>
            <w:tcBorders>
              <w:top w:val="single" w:sz="6" w:space="0" w:color="000000" w:themeColor="text1"/>
              <w:bottom w:val="single" w:sz="6" w:space="0" w:color="000000" w:themeColor="text1"/>
            </w:tcBorders>
          </w:tcPr>
          <w:p w14:paraId="184A5C31" w14:textId="77777777" w:rsidR="000D2CBC" w:rsidRPr="00E84B05" w:rsidRDefault="000D2CBC">
            <w:pPr>
              <w:tabs>
                <w:tab w:val="left" w:pos="594"/>
              </w:tabs>
              <w:spacing w:after="0" w:line="276" w:lineRule="auto"/>
              <w:rPr>
                <w:rFonts w:eastAsia="Arial" w:cs="Calibri"/>
              </w:rPr>
            </w:pPr>
            <w:r w:rsidRPr="00E84B05">
              <w:rPr>
                <w:rFonts w:eastAsia="Arial" w:cs="Calibri"/>
              </w:rPr>
              <w:t>A1 – [Insert %]</w:t>
            </w:r>
          </w:p>
          <w:p w14:paraId="77BF8369" w14:textId="77777777" w:rsidR="000D2CBC" w:rsidRPr="00E84B05" w:rsidRDefault="000D2CBC">
            <w:pPr>
              <w:tabs>
                <w:tab w:val="left" w:pos="594"/>
              </w:tabs>
              <w:spacing w:after="0" w:line="276" w:lineRule="auto"/>
              <w:rPr>
                <w:rFonts w:eastAsia="Arial" w:cs="Calibri"/>
              </w:rPr>
            </w:pPr>
            <w:r w:rsidRPr="00E84B05">
              <w:rPr>
                <w:rFonts w:eastAsia="Arial" w:cs="Calibri"/>
              </w:rPr>
              <w:t>A2 – [Insert %]</w:t>
            </w:r>
          </w:p>
          <w:p w14:paraId="09215B85" w14:textId="77777777" w:rsidR="000D2CBC" w:rsidRPr="00E84B05" w:rsidRDefault="000D2CBC">
            <w:pPr>
              <w:tabs>
                <w:tab w:val="left" w:pos="594"/>
              </w:tabs>
              <w:spacing w:after="0" w:line="276" w:lineRule="auto"/>
              <w:rPr>
                <w:rFonts w:eastAsia="Arial" w:cs="Calibri"/>
              </w:rPr>
            </w:pPr>
            <w:r w:rsidRPr="00E84B05">
              <w:rPr>
                <w:rFonts w:eastAsia="Arial" w:cs="Calibri"/>
              </w:rPr>
              <w:t>A3 – [Insert %]</w:t>
            </w:r>
          </w:p>
          <w:p w14:paraId="5FC0A0E8" w14:textId="7CD3011A" w:rsidR="000D2CBC" w:rsidRPr="00E84B05" w:rsidRDefault="000D2CBC">
            <w:pPr>
              <w:tabs>
                <w:tab w:val="left" w:pos="594"/>
              </w:tabs>
              <w:spacing w:after="0" w:line="276" w:lineRule="auto"/>
              <w:rPr>
                <w:rFonts w:eastAsia="Arial" w:cs="Calibri"/>
              </w:rPr>
            </w:pPr>
            <w:r w:rsidRPr="00E84B05">
              <w:rPr>
                <w:rFonts w:eastAsia="Arial" w:cs="Calibri"/>
              </w:rPr>
              <w:t>A4 – [Insert %]</w:t>
            </w:r>
          </w:p>
          <w:p w14:paraId="7BE9C8D5" w14:textId="77777777" w:rsidR="000D2CBC" w:rsidRPr="00E84B05" w:rsidRDefault="000D2CBC">
            <w:pPr>
              <w:tabs>
                <w:tab w:val="left" w:pos="594"/>
              </w:tabs>
              <w:spacing w:after="0" w:line="276" w:lineRule="auto"/>
              <w:rPr>
                <w:rFonts w:eastAsia="Arial" w:cs="Calibri"/>
              </w:rPr>
            </w:pPr>
          </w:p>
          <w:p w14:paraId="52CA8A70" w14:textId="77777777" w:rsidR="000D2CBC" w:rsidRPr="00E84B05" w:rsidRDefault="000D2CBC">
            <w:pPr>
              <w:tabs>
                <w:tab w:val="left" w:pos="594"/>
              </w:tabs>
              <w:spacing w:after="0" w:line="276" w:lineRule="auto"/>
              <w:rPr>
                <w:rFonts w:eastAsia="Arial" w:cs="Calibri"/>
              </w:rPr>
            </w:pPr>
            <w:r w:rsidRPr="00E84B05">
              <w:rPr>
                <w:rFonts w:eastAsia="Arial" w:cs="Calibri"/>
              </w:rPr>
              <w:t>B – [Insert response]</w:t>
            </w:r>
          </w:p>
          <w:p w14:paraId="3F2DDCA7" w14:textId="77777777" w:rsidR="000D2CBC" w:rsidRPr="00E84B05" w:rsidRDefault="000D2CBC">
            <w:pPr>
              <w:tabs>
                <w:tab w:val="left" w:pos="594"/>
              </w:tabs>
              <w:spacing w:after="0" w:line="276" w:lineRule="auto"/>
              <w:rPr>
                <w:rFonts w:eastAsia="Arial" w:cs="Calibri"/>
              </w:rPr>
            </w:pPr>
          </w:p>
          <w:p w14:paraId="5D76D712" w14:textId="77777777" w:rsidR="000D2CBC" w:rsidRPr="00E84B05" w:rsidRDefault="000D2CBC">
            <w:pPr>
              <w:tabs>
                <w:tab w:val="left" w:pos="594"/>
              </w:tabs>
              <w:spacing w:after="0" w:line="276" w:lineRule="auto"/>
              <w:rPr>
                <w:rFonts w:cs="Calibri"/>
                <w:color w:val="2B579A"/>
                <w:shd w:val="clear" w:color="auto" w:fill="E6E6E6"/>
              </w:rPr>
            </w:pPr>
            <w:r w:rsidRPr="00E84B05">
              <w:rPr>
                <w:rFonts w:eastAsia="Arial" w:cs="Calibri"/>
              </w:rPr>
              <w:t xml:space="preserve">C – N/A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p w14:paraId="3325B6AA" w14:textId="77777777" w:rsidR="000D2CBC" w:rsidRPr="00E84B05" w:rsidRDefault="000D2CBC">
            <w:pPr>
              <w:tabs>
                <w:tab w:val="left" w:pos="594"/>
              </w:tabs>
              <w:spacing w:after="0" w:line="276" w:lineRule="auto"/>
              <w:rPr>
                <w:rFonts w:eastAsia="Arial" w:cs="Calibri"/>
              </w:rPr>
            </w:pPr>
            <w:r w:rsidRPr="00E84B05">
              <w:rPr>
                <w:rFonts w:eastAsia="Arial" w:cs="Calibri"/>
              </w:rPr>
              <w:t>[Insert response]</w:t>
            </w:r>
          </w:p>
          <w:p w14:paraId="48DD6B87" w14:textId="77777777" w:rsidR="000D2CBC" w:rsidRPr="00E84B05" w:rsidRDefault="000D2CBC">
            <w:pPr>
              <w:tabs>
                <w:tab w:val="left" w:pos="594"/>
              </w:tabs>
              <w:spacing w:after="0" w:line="276" w:lineRule="auto"/>
              <w:rPr>
                <w:rFonts w:eastAsia="Arial" w:cs="Calibri"/>
              </w:rPr>
            </w:pPr>
          </w:p>
          <w:p w14:paraId="7172F6BA" w14:textId="77777777" w:rsidR="000D2CBC" w:rsidRPr="00E84B05" w:rsidRDefault="000D2CBC">
            <w:pPr>
              <w:tabs>
                <w:tab w:val="left" w:pos="594"/>
              </w:tabs>
              <w:spacing w:after="0" w:line="276" w:lineRule="auto"/>
              <w:rPr>
                <w:rFonts w:cs="Calibri"/>
                <w:color w:val="2B579A"/>
                <w:shd w:val="clear" w:color="auto" w:fill="E6E6E6"/>
              </w:rPr>
            </w:pPr>
            <w:r w:rsidRPr="00E84B05">
              <w:rPr>
                <w:rFonts w:eastAsia="Arial" w:cs="Calibri"/>
              </w:rPr>
              <w:t xml:space="preserve">D – N/A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p w14:paraId="627031DB" w14:textId="77777777" w:rsidR="000D2CBC" w:rsidRPr="00E84B05" w:rsidRDefault="000D2CBC">
            <w:pPr>
              <w:tabs>
                <w:tab w:val="left" w:pos="594"/>
              </w:tabs>
              <w:spacing w:after="0" w:line="276" w:lineRule="auto"/>
              <w:rPr>
                <w:rFonts w:eastAsia="Arial" w:cs="Calibri"/>
              </w:rPr>
            </w:pPr>
            <w:r w:rsidRPr="00E84B05">
              <w:rPr>
                <w:rFonts w:eastAsia="Arial" w:cs="Calibri"/>
              </w:rPr>
              <w:t>[Insert response]</w:t>
            </w:r>
          </w:p>
          <w:p w14:paraId="05359B2B" w14:textId="77777777" w:rsidR="000D2CBC" w:rsidRPr="00E84B05" w:rsidRDefault="000D2CBC">
            <w:pPr>
              <w:tabs>
                <w:tab w:val="left" w:pos="594"/>
              </w:tabs>
              <w:spacing w:after="0" w:line="276" w:lineRule="auto"/>
              <w:rPr>
                <w:rFonts w:eastAsia="Arial" w:cs="Calibri"/>
              </w:rPr>
            </w:pPr>
          </w:p>
        </w:tc>
      </w:tr>
    </w:tbl>
    <w:p w14:paraId="186D503B" w14:textId="42F3682D" w:rsidR="000D2CBC" w:rsidRPr="00E84B05" w:rsidRDefault="000D2CBC" w:rsidP="000D2CBC">
      <w:pPr>
        <w:spacing w:after="0" w:line="276" w:lineRule="auto"/>
        <w:ind w:firstLine="720"/>
        <w:rPr>
          <w:rFonts w:eastAsia="Times New Roman" w:cs="Calibri"/>
        </w:rPr>
      </w:pPr>
    </w:p>
    <w:p w14:paraId="34ABA3C0" w14:textId="446E9421" w:rsidR="000D2CBC" w:rsidRPr="00E84B05" w:rsidRDefault="000D2CBC" w:rsidP="000D2CBC">
      <w:pPr>
        <w:spacing w:after="0" w:line="276" w:lineRule="auto"/>
        <w:ind w:firstLine="720"/>
        <w:rPr>
          <w:rFonts w:eastAsia="Times New Roman" w:cs="Calibri"/>
        </w:rPr>
      </w:pPr>
    </w:p>
    <w:p w14:paraId="37B5DF0F" w14:textId="2B24FF25" w:rsidR="000D2CBC" w:rsidRPr="00E84B05" w:rsidRDefault="000D2CBC" w:rsidP="000D2CBC">
      <w:pPr>
        <w:pageBreakBefore/>
        <w:spacing w:after="0" w:line="276" w:lineRule="auto"/>
        <w:rPr>
          <w:rFonts w:eastAsia="Arial" w:cs="Calibri"/>
          <w:b/>
        </w:rPr>
      </w:pPr>
      <w:r w:rsidRPr="00E84B05">
        <w:rPr>
          <w:rFonts w:eastAsia="Arial" w:cs="Calibri"/>
          <w:b/>
        </w:rPr>
        <w:t>Carbon Reduction Plan</w:t>
      </w:r>
    </w:p>
    <w:p w14:paraId="4B4D666D" w14:textId="77777777" w:rsidR="00AD3A0C" w:rsidRDefault="00AD3A0C" w:rsidP="000D2CBC">
      <w:pPr>
        <w:spacing w:after="0" w:line="276" w:lineRule="auto"/>
        <w:rPr>
          <w:rFonts w:eastAsia="Times New Roman" w:cs="Calibri"/>
        </w:rPr>
      </w:pPr>
    </w:p>
    <w:p w14:paraId="573B01EA" w14:textId="25B92857" w:rsidR="000D2CBC" w:rsidRPr="00E84B05" w:rsidRDefault="000D2CBC" w:rsidP="00AD3A0C">
      <w:pPr>
        <w:spacing w:after="0" w:line="276" w:lineRule="auto"/>
        <w:jc w:val="both"/>
        <w:rPr>
          <w:rFonts w:eastAsia="Arial" w:cs="Calibri"/>
          <w:b/>
        </w:rPr>
      </w:pPr>
      <w:r w:rsidRPr="00E84B05">
        <w:rPr>
          <w:rFonts w:eastAsia="Times New Roman" w:cs="Calibri"/>
        </w:rPr>
        <w:t xml:space="preserve">Please see </w:t>
      </w:r>
      <w:hyperlink r:id="rId32" w:history="1">
        <w:r w:rsidRPr="00E84B05">
          <w:rPr>
            <w:rStyle w:val="Hyperlink"/>
            <w:rFonts w:cs="Arial"/>
            <w:color w:val="auto"/>
          </w:rPr>
          <w:t>PPN 006: Taking account of Carbon Reduction Plans (HTML) - GOV.UK</w:t>
        </w:r>
      </w:hyperlink>
      <w:r w:rsidRPr="00E84B05">
        <w:rPr>
          <w:rStyle w:val="eop"/>
          <w:rFonts w:cs="Arial"/>
        </w:rPr>
        <w:t> for further information.</w:t>
      </w:r>
    </w:p>
    <w:p w14:paraId="0DC54215" w14:textId="13370BDD" w:rsidR="000D2CBC" w:rsidRPr="00E84B05" w:rsidRDefault="000D2CBC" w:rsidP="000D2CBC">
      <w:pPr>
        <w:spacing w:after="0" w:line="276" w:lineRule="auto"/>
        <w:ind w:firstLine="720"/>
        <w:rPr>
          <w:rFonts w:eastAsia="Times New Roman"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4826"/>
        <w:gridCol w:w="3061"/>
      </w:tblGrid>
      <w:tr w:rsidR="000D2CBC" w:rsidRPr="001439F7" w14:paraId="7F8B7E84" w14:textId="77777777">
        <w:tc>
          <w:tcPr>
            <w:tcW w:w="0" w:type="auto"/>
            <w:tcBorders>
              <w:top w:val="single" w:sz="6" w:space="0" w:color="000000"/>
              <w:bottom w:val="single" w:sz="6" w:space="0" w:color="000000"/>
            </w:tcBorders>
            <w:shd w:val="clear" w:color="auto" w:fill="009999"/>
          </w:tcPr>
          <w:p w14:paraId="6384CB76" w14:textId="77777777" w:rsidR="000D2CBC" w:rsidRPr="001439F7" w:rsidRDefault="000D2CBC">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bottom w:val="single" w:sz="6" w:space="0" w:color="000000"/>
            </w:tcBorders>
            <w:shd w:val="clear" w:color="auto" w:fill="009999"/>
          </w:tcPr>
          <w:p w14:paraId="787E51AB" w14:textId="77777777" w:rsidR="000D2CBC" w:rsidRPr="001439F7" w:rsidRDefault="000D2CBC">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bottom w:val="single" w:sz="6" w:space="0" w:color="000000"/>
            </w:tcBorders>
            <w:shd w:val="clear" w:color="auto" w:fill="009999"/>
          </w:tcPr>
          <w:p w14:paraId="21100B3A" w14:textId="77777777" w:rsidR="000D2CBC" w:rsidRPr="001439F7" w:rsidRDefault="000D2CBC">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0D2CBC" w:rsidRPr="00420561" w14:paraId="19B925F1" w14:textId="77777777">
        <w:trPr>
          <w:trHeight w:val="1651"/>
        </w:trPr>
        <w:tc>
          <w:tcPr>
            <w:tcW w:w="0" w:type="auto"/>
            <w:vMerge w:val="restart"/>
            <w:tcBorders>
              <w:top w:val="single" w:sz="6" w:space="0" w:color="000000"/>
            </w:tcBorders>
            <w:shd w:val="clear" w:color="auto" w:fill="F2F2F2" w:themeFill="background1" w:themeFillShade="F2"/>
          </w:tcPr>
          <w:p w14:paraId="258194FA" w14:textId="7514C829" w:rsidR="000D2CBC" w:rsidRPr="00E84B05" w:rsidRDefault="000D2CBC">
            <w:pPr>
              <w:spacing w:after="0" w:line="276" w:lineRule="auto"/>
              <w:rPr>
                <w:rFonts w:eastAsia="Arial" w:cs="Arial"/>
                <w:b/>
              </w:rPr>
            </w:pPr>
            <w:r w:rsidRPr="00E84B05">
              <w:rPr>
                <w:rFonts w:eastAsia="Arial" w:cs="Calibri"/>
                <w:b/>
              </w:rPr>
              <w:t>3.2</w:t>
            </w:r>
            <w:r w:rsidR="00FB6B80">
              <w:rPr>
                <w:rFonts w:eastAsia="Arial" w:cs="Calibri"/>
                <w:b/>
              </w:rPr>
              <w:t>0</w:t>
            </w:r>
          </w:p>
        </w:tc>
        <w:tc>
          <w:tcPr>
            <w:tcW w:w="7837" w:type="dxa"/>
            <w:vMerge w:val="restart"/>
            <w:tcBorders>
              <w:top w:val="single" w:sz="6" w:space="0" w:color="000000"/>
            </w:tcBorders>
            <w:shd w:val="clear" w:color="auto" w:fill="F2F2F2" w:themeFill="background1" w:themeFillShade="F2"/>
          </w:tcPr>
          <w:p w14:paraId="773CFA95" w14:textId="77777777" w:rsidR="000D2CBC" w:rsidRPr="00E84B05" w:rsidRDefault="000D2CBC">
            <w:pPr>
              <w:widowControl w:val="0"/>
              <w:spacing w:after="0" w:line="276" w:lineRule="auto"/>
              <w:rPr>
                <w:rFonts w:eastAsia="Times New Roman" w:cs="Calibri"/>
              </w:rPr>
            </w:pPr>
            <w:r w:rsidRPr="00E84B05">
              <w:rPr>
                <w:rFonts w:eastAsia="Times New Roman" w:cs="Calibri"/>
              </w:rPr>
              <w:t>Please confirm that you have detailed your environmental management measures by completing and publishing a Carbon Reduction Plan which meets the required reporting standard.</w:t>
            </w:r>
          </w:p>
          <w:p w14:paraId="79661612" w14:textId="77777777" w:rsidR="000D2CBC" w:rsidRPr="00E84B05" w:rsidRDefault="000D2CBC">
            <w:pPr>
              <w:widowControl w:val="0"/>
              <w:spacing w:after="0" w:line="276" w:lineRule="auto"/>
              <w:rPr>
                <w:rFonts w:eastAsia="Times New Roman" w:cs="Calibri"/>
              </w:rPr>
            </w:pPr>
          </w:p>
          <w:p w14:paraId="5C6998C3" w14:textId="77777777" w:rsidR="000D2CBC" w:rsidRPr="00E84B05" w:rsidRDefault="000D2CBC">
            <w:pPr>
              <w:widowControl w:val="0"/>
              <w:tabs>
                <w:tab w:val="left" w:pos="0"/>
              </w:tabs>
              <w:overflowPunct w:val="0"/>
              <w:autoSpaceDE w:val="0"/>
              <w:autoSpaceDN w:val="0"/>
              <w:adjustRightInd w:val="0"/>
              <w:jc w:val="both"/>
              <w:rPr>
                <w:rFonts w:eastAsia="Times New Roman" w:cs="Calibri"/>
              </w:rPr>
            </w:pPr>
            <w:r w:rsidRPr="00E84B05">
              <w:rPr>
                <w:rFonts w:eastAsia="Times New Roman" w:cs="Calibri"/>
              </w:rPr>
              <w:t>Provide a link to your most recently published Carbon Reduction Plan.</w:t>
            </w:r>
          </w:p>
        </w:tc>
        <w:tc>
          <w:tcPr>
            <w:tcW w:w="4734" w:type="dxa"/>
            <w:tcBorders>
              <w:top w:val="single" w:sz="6" w:space="0" w:color="000000"/>
              <w:bottom w:val="single" w:sz="6" w:space="0" w:color="000000"/>
            </w:tcBorders>
          </w:tcPr>
          <w:p w14:paraId="5A166427" w14:textId="77777777" w:rsidR="000D2CBC" w:rsidRPr="00E84B05" w:rsidRDefault="000D2CBC">
            <w:pPr>
              <w:tabs>
                <w:tab w:val="left" w:pos="594"/>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color w:val="2B579A"/>
                <w:shd w:val="clear" w:color="auto" w:fill="E6E6E6"/>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color w:val="2B579A"/>
                <w:shd w:val="clear" w:color="auto" w:fill="E6E6E6"/>
              </w:rPr>
            </w:r>
            <w:r w:rsidR="00084E0F">
              <w:rPr>
                <w:rFonts w:eastAsia="Times New Roman" w:cs="Calibri"/>
                <w:color w:val="2B579A"/>
                <w:shd w:val="clear" w:color="auto" w:fill="E6E6E6"/>
              </w:rPr>
              <w:fldChar w:fldCharType="separate"/>
            </w:r>
            <w:r w:rsidRPr="00E84B05">
              <w:rPr>
                <w:rFonts w:eastAsia="Times New Roman" w:cs="Calibri"/>
                <w:color w:val="2B579A"/>
                <w:shd w:val="clear" w:color="auto" w:fill="E6E6E6"/>
              </w:rPr>
              <w:fldChar w:fldCharType="end"/>
            </w:r>
          </w:p>
          <w:p w14:paraId="280D1AEA" w14:textId="77777777" w:rsidR="000D2CBC" w:rsidRPr="00E84B05" w:rsidRDefault="000D2CBC">
            <w:pPr>
              <w:tabs>
                <w:tab w:val="left" w:pos="602"/>
              </w:tabs>
              <w:spacing w:after="0" w:line="276" w:lineRule="auto"/>
              <w:rPr>
                <w:rFonts w:cs="Calibri"/>
                <w:color w:val="2B579A"/>
                <w:shd w:val="clear" w:color="auto" w:fill="E6E6E6"/>
              </w:rPr>
            </w:pPr>
            <w:r w:rsidRPr="00E84B05">
              <w:rPr>
                <w:rFonts w:eastAsia="Arial" w:cs="Calibri"/>
              </w:rPr>
              <w:t xml:space="preserve">No     </w:t>
            </w:r>
            <w:r w:rsidRPr="00E84B05">
              <w:rPr>
                <w:rFonts w:cs="Calibri"/>
                <w:color w:val="2B579A"/>
                <w:shd w:val="clear" w:color="auto" w:fill="E6E6E6"/>
              </w:rPr>
              <w:fldChar w:fldCharType="begin">
                <w:ffData>
                  <w:name w:val="Check1"/>
                  <w:enabled/>
                  <w:calcOnExit w:val="0"/>
                  <w:checkBox>
                    <w:sizeAuto/>
                    <w:default w:val="0"/>
                  </w:checkBox>
                </w:ffData>
              </w:fldChar>
            </w:r>
            <w:r w:rsidRPr="00E84B05">
              <w:rPr>
                <w:rFonts w:cs="Calibri"/>
              </w:rPr>
              <w:instrText xml:space="preserve"> FORMCHECKBOX </w:instrText>
            </w:r>
            <w:r w:rsidR="00084E0F">
              <w:rPr>
                <w:rFonts w:cs="Calibri"/>
                <w:color w:val="2B579A"/>
                <w:shd w:val="clear" w:color="auto" w:fill="E6E6E6"/>
              </w:rPr>
            </w:r>
            <w:r w:rsidR="00084E0F">
              <w:rPr>
                <w:rFonts w:cs="Calibri"/>
                <w:color w:val="2B579A"/>
                <w:shd w:val="clear" w:color="auto" w:fill="E6E6E6"/>
              </w:rPr>
              <w:fldChar w:fldCharType="separate"/>
            </w:r>
            <w:r w:rsidRPr="00E84B05">
              <w:rPr>
                <w:rFonts w:cs="Calibri"/>
                <w:color w:val="2B579A"/>
                <w:shd w:val="clear" w:color="auto" w:fill="E6E6E6"/>
              </w:rPr>
              <w:fldChar w:fldCharType="end"/>
            </w:r>
          </w:p>
          <w:p w14:paraId="19CE4852" w14:textId="77777777" w:rsidR="000D2CBC" w:rsidRPr="00E84B05" w:rsidRDefault="000D2CBC">
            <w:pPr>
              <w:tabs>
                <w:tab w:val="left" w:pos="602"/>
              </w:tabs>
              <w:spacing w:after="0" w:line="276" w:lineRule="auto"/>
              <w:rPr>
                <w:rFonts w:eastAsia="Arial" w:cs="Calibri"/>
              </w:rPr>
            </w:pPr>
          </w:p>
        </w:tc>
      </w:tr>
      <w:tr w:rsidR="000D2CBC" w:rsidRPr="00420561" w14:paraId="04A76948" w14:textId="77777777">
        <w:trPr>
          <w:trHeight w:val="1651"/>
        </w:trPr>
        <w:tc>
          <w:tcPr>
            <w:tcW w:w="0" w:type="auto"/>
            <w:vMerge/>
            <w:tcBorders>
              <w:bottom w:val="single" w:sz="6" w:space="0" w:color="000000"/>
            </w:tcBorders>
            <w:shd w:val="clear" w:color="auto" w:fill="F2F2F2" w:themeFill="background1" w:themeFillShade="F2"/>
          </w:tcPr>
          <w:p w14:paraId="6EF15235" w14:textId="77777777" w:rsidR="000D2CBC" w:rsidRPr="00E84B05" w:rsidRDefault="000D2CBC">
            <w:pPr>
              <w:spacing w:after="0" w:line="276" w:lineRule="auto"/>
              <w:rPr>
                <w:rFonts w:eastAsia="Arial" w:cs="Calibri"/>
                <w:b/>
              </w:rPr>
            </w:pPr>
          </w:p>
        </w:tc>
        <w:tc>
          <w:tcPr>
            <w:tcW w:w="7837" w:type="dxa"/>
            <w:vMerge/>
            <w:tcBorders>
              <w:bottom w:val="single" w:sz="6" w:space="0" w:color="000000"/>
            </w:tcBorders>
            <w:shd w:val="clear" w:color="auto" w:fill="F2F2F2" w:themeFill="background1" w:themeFillShade="F2"/>
          </w:tcPr>
          <w:p w14:paraId="3AEBBC48" w14:textId="77777777" w:rsidR="000D2CBC" w:rsidRPr="00E84B05" w:rsidRDefault="000D2CBC">
            <w:pPr>
              <w:widowControl w:val="0"/>
              <w:tabs>
                <w:tab w:val="left" w:pos="0"/>
              </w:tabs>
              <w:overflowPunct w:val="0"/>
              <w:autoSpaceDE w:val="0"/>
              <w:autoSpaceDN w:val="0"/>
              <w:adjustRightInd w:val="0"/>
              <w:jc w:val="both"/>
              <w:rPr>
                <w:rFonts w:eastAsia="Arial" w:cs="Arial"/>
              </w:rPr>
            </w:pPr>
          </w:p>
        </w:tc>
        <w:tc>
          <w:tcPr>
            <w:tcW w:w="4734" w:type="dxa"/>
            <w:tcBorders>
              <w:top w:val="single" w:sz="6" w:space="0" w:color="000000"/>
              <w:bottom w:val="single" w:sz="6" w:space="0" w:color="000000"/>
            </w:tcBorders>
          </w:tcPr>
          <w:p w14:paraId="00A2E7E8" w14:textId="77777777" w:rsidR="000D2CBC" w:rsidRPr="00E84B05" w:rsidRDefault="000D2CBC">
            <w:pPr>
              <w:tabs>
                <w:tab w:val="left" w:pos="594"/>
              </w:tabs>
              <w:spacing w:after="0" w:line="276" w:lineRule="auto"/>
              <w:rPr>
                <w:rFonts w:eastAsia="Arial" w:cs="Calibri"/>
              </w:rPr>
            </w:pPr>
            <w:r w:rsidRPr="00E84B05">
              <w:rPr>
                <w:rFonts w:eastAsia="Arial" w:cs="Calibri"/>
              </w:rPr>
              <w:t>[Insert Link]</w:t>
            </w:r>
          </w:p>
        </w:tc>
      </w:tr>
      <w:tr w:rsidR="000D2CBC" w:rsidRPr="00420561" w14:paraId="52D5B5B0" w14:textId="77777777">
        <w:trPr>
          <w:trHeight w:val="1651"/>
        </w:trPr>
        <w:tc>
          <w:tcPr>
            <w:tcW w:w="0" w:type="auto"/>
            <w:shd w:val="clear" w:color="auto" w:fill="F2F2F2" w:themeFill="background1" w:themeFillShade="F2"/>
          </w:tcPr>
          <w:p w14:paraId="257E92E6" w14:textId="44A193A8" w:rsidR="000D2CBC" w:rsidRPr="00E84B05" w:rsidRDefault="000D2CBC">
            <w:pPr>
              <w:spacing w:after="0" w:line="276" w:lineRule="auto"/>
              <w:rPr>
                <w:rFonts w:eastAsia="Arial" w:cs="Calibri"/>
                <w:b/>
              </w:rPr>
            </w:pPr>
            <w:r w:rsidRPr="00E84B05">
              <w:rPr>
                <w:rFonts w:eastAsia="Arial" w:cs="Calibri"/>
                <w:b/>
              </w:rPr>
              <w:t>3.2</w:t>
            </w:r>
            <w:r w:rsidR="00FB6B80">
              <w:rPr>
                <w:rFonts w:eastAsia="Arial" w:cs="Calibri"/>
                <w:b/>
              </w:rPr>
              <w:t>1</w:t>
            </w:r>
          </w:p>
        </w:tc>
        <w:tc>
          <w:tcPr>
            <w:tcW w:w="7837" w:type="dxa"/>
            <w:shd w:val="clear" w:color="auto" w:fill="F2F2F2" w:themeFill="background1" w:themeFillShade="F2"/>
          </w:tcPr>
          <w:p w14:paraId="03D6592F" w14:textId="77777777" w:rsidR="000D2CBC" w:rsidRPr="00E84B05" w:rsidRDefault="000D2CBC">
            <w:pPr>
              <w:widowControl w:val="0"/>
              <w:tabs>
                <w:tab w:val="left" w:pos="0"/>
              </w:tabs>
              <w:overflowPunct w:val="0"/>
              <w:autoSpaceDE w:val="0"/>
              <w:autoSpaceDN w:val="0"/>
              <w:adjustRightInd w:val="0"/>
              <w:jc w:val="both"/>
              <w:rPr>
                <w:rFonts w:eastAsia="Arial" w:cs="Arial"/>
              </w:rPr>
            </w:pPr>
            <w:r w:rsidRPr="00E84B05">
              <w:rPr>
                <w:rFonts w:eastAsia="Times New Roman" w:cs="Arial"/>
              </w:rPr>
              <w:t>Please confirm that your organisation is taking steps to reduce your GHG emissions over time and is publicly committed to achieving net zero by 2050.</w:t>
            </w:r>
          </w:p>
        </w:tc>
        <w:tc>
          <w:tcPr>
            <w:tcW w:w="4734" w:type="dxa"/>
            <w:tcBorders>
              <w:top w:val="single" w:sz="6" w:space="0" w:color="000000"/>
              <w:bottom w:val="single" w:sz="6" w:space="0" w:color="000000"/>
            </w:tcBorders>
          </w:tcPr>
          <w:p w14:paraId="5128092C" w14:textId="77777777" w:rsidR="000D2CBC" w:rsidRPr="00E84B05" w:rsidRDefault="000D2CBC">
            <w:pPr>
              <w:tabs>
                <w:tab w:val="left" w:pos="591"/>
              </w:tabs>
              <w:spacing w:after="0" w:line="276" w:lineRule="auto"/>
              <w:rPr>
                <w:rFonts w:eastAsia="Times New Roman" w:cs="Arial"/>
              </w:rPr>
            </w:pPr>
            <w:r w:rsidRPr="00E84B05">
              <w:rPr>
                <w:rFonts w:eastAsia="Arial" w:cs="Arial"/>
              </w:rPr>
              <w:t xml:space="preserve">Yes </w:t>
            </w:r>
            <w:r w:rsidRPr="00E84B05">
              <w:rPr>
                <w:rFonts w:eastAsia="Arial" w:cs="Arial"/>
              </w:rPr>
              <w:tab/>
            </w:r>
            <w:r w:rsidRPr="00E84B05">
              <w:rPr>
                <w:rFonts w:eastAsia="Times New Roman" w:cs="Arial"/>
              </w:rPr>
              <w:fldChar w:fldCharType="begin">
                <w:ffData>
                  <w:name w:val="Check1"/>
                  <w:enabled/>
                  <w:calcOnExit w:val="0"/>
                  <w:checkBox>
                    <w:sizeAuto/>
                    <w:default w:val="0"/>
                  </w:checkBox>
                </w:ffData>
              </w:fldChar>
            </w:r>
            <w:r w:rsidRPr="00E84B05">
              <w:rPr>
                <w:rFonts w:eastAsia="Times New Roman" w:cs="Arial"/>
              </w:rPr>
              <w:instrText xml:space="preserve"> FORMCHECKBOX </w:instrText>
            </w:r>
            <w:r w:rsidR="00084E0F">
              <w:rPr>
                <w:rFonts w:eastAsia="Times New Roman" w:cs="Arial"/>
              </w:rPr>
            </w:r>
            <w:r w:rsidR="00084E0F">
              <w:rPr>
                <w:rFonts w:eastAsia="Times New Roman" w:cs="Arial"/>
              </w:rPr>
              <w:fldChar w:fldCharType="separate"/>
            </w:r>
            <w:r w:rsidRPr="00E84B05">
              <w:rPr>
                <w:rFonts w:eastAsia="Times New Roman" w:cs="Arial"/>
              </w:rPr>
              <w:fldChar w:fldCharType="end"/>
            </w:r>
          </w:p>
          <w:p w14:paraId="07F4BBCF" w14:textId="77777777" w:rsidR="000D2CBC" w:rsidRPr="00E84B05" w:rsidRDefault="000D2CBC">
            <w:pPr>
              <w:tabs>
                <w:tab w:val="left" w:pos="594"/>
              </w:tabs>
              <w:spacing w:after="0" w:line="276" w:lineRule="auto"/>
              <w:rPr>
                <w:rFonts w:eastAsia="Arial" w:cs="Arial"/>
              </w:rPr>
            </w:pPr>
            <w:r w:rsidRPr="00E84B05">
              <w:rPr>
                <w:rFonts w:eastAsia="Arial" w:cs="Arial"/>
              </w:rPr>
              <w:t xml:space="preserve">No </w:t>
            </w:r>
            <w:r w:rsidRPr="00E84B05">
              <w:rPr>
                <w:rFonts w:eastAsia="Arial" w:cs="Arial"/>
              </w:rPr>
              <w:tab/>
            </w:r>
            <w:r w:rsidRPr="00E84B05">
              <w:rPr>
                <w:rFonts w:eastAsia="Times New Roman" w:cs="Arial"/>
              </w:rPr>
              <w:fldChar w:fldCharType="begin">
                <w:ffData>
                  <w:name w:val="Check1"/>
                  <w:enabled/>
                  <w:calcOnExit w:val="0"/>
                  <w:checkBox>
                    <w:sizeAuto/>
                    <w:default w:val="0"/>
                  </w:checkBox>
                </w:ffData>
              </w:fldChar>
            </w:r>
            <w:r w:rsidRPr="00E84B05">
              <w:rPr>
                <w:rFonts w:eastAsia="Times New Roman" w:cs="Arial"/>
              </w:rPr>
              <w:instrText xml:space="preserve"> FORMCHECKBOX </w:instrText>
            </w:r>
            <w:r w:rsidR="00084E0F">
              <w:rPr>
                <w:rFonts w:eastAsia="Times New Roman" w:cs="Arial"/>
              </w:rPr>
            </w:r>
            <w:r w:rsidR="00084E0F">
              <w:rPr>
                <w:rFonts w:eastAsia="Times New Roman" w:cs="Arial"/>
              </w:rPr>
              <w:fldChar w:fldCharType="separate"/>
            </w:r>
            <w:r w:rsidRPr="00E84B05">
              <w:rPr>
                <w:rFonts w:eastAsia="Times New Roman" w:cs="Arial"/>
              </w:rPr>
              <w:fldChar w:fldCharType="end"/>
            </w:r>
          </w:p>
        </w:tc>
      </w:tr>
      <w:tr w:rsidR="000D2CBC" w:rsidRPr="00420561" w14:paraId="12D61FF1" w14:textId="77777777">
        <w:trPr>
          <w:trHeight w:val="1651"/>
        </w:trPr>
        <w:tc>
          <w:tcPr>
            <w:tcW w:w="0" w:type="auto"/>
            <w:shd w:val="clear" w:color="auto" w:fill="F2F2F2" w:themeFill="background1" w:themeFillShade="F2"/>
          </w:tcPr>
          <w:p w14:paraId="6BA7F155" w14:textId="78315F91" w:rsidR="000D2CBC" w:rsidRPr="00E84B05" w:rsidRDefault="000D2CBC">
            <w:pPr>
              <w:spacing w:after="0" w:line="276" w:lineRule="auto"/>
              <w:rPr>
                <w:rFonts w:eastAsia="Arial" w:cs="Calibri"/>
                <w:b/>
              </w:rPr>
            </w:pPr>
            <w:r w:rsidRPr="00E84B05">
              <w:rPr>
                <w:rFonts w:eastAsia="Arial" w:cs="Calibri"/>
                <w:b/>
              </w:rPr>
              <w:t>3.2</w:t>
            </w:r>
            <w:r w:rsidR="00FB6B80">
              <w:rPr>
                <w:rFonts w:eastAsia="Arial" w:cs="Calibri"/>
                <w:b/>
              </w:rPr>
              <w:t>2</w:t>
            </w:r>
          </w:p>
        </w:tc>
        <w:tc>
          <w:tcPr>
            <w:tcW w:w="7837" w:type="dxa"/>
            <w:shd w:val="clear" w:color="auto" w:fill="F2F2F2" w:themeFill="background1" w:themeFillShade="F2"/>
          </w:tcPr>
          <w:p w14:paraId="24E24643" w14:textId="77777777" w:rsidR="000D2CBC" w:rsidRPr="00E84B05" w:rsidRDefault="000D2CBC">
            <w:pPr>
              <w:widowControl w:val="0"/>
              <w:tabs>
                <w:tab w:val="left" w:pos="0"/>
              </w:tabs>
              <w:overflowPunct w:val="0"/>
              <w:autoSpaceDE w:val="0"/>
              <w:autoSpaceDN w:val="0"/>
              <w:adjustRightInd w:val="0"/>
              <w:jc w:val="both"/>
              <w:rPr>
                <w:rFonts w:eastAsia="Arial" w:cs="Arial"/>
              </w:rPr>
            </w:pPr>
            <w:r w:rsidRPr="00E84B05">
              <w:rPr>
                <w:rFonts w:eastAsia="Times New Roman" w:cs="Arial"/>
              </w:rPr>
              <w:t>Please confirm your Net Zero Target Date (e.g. 2050)</w:t>
            </w:r>
          </w:p>
        </w:tc>
        <w:tc>
          <w:tcPr>
            <w:tcW w:w="4734" w:type="dxa"/>
            <w:tcBorders>
              <w:top w:val="single" w:sz="6" w:space="0" w:color="000000"/>
              <w:bottom w:val="single" w:sz="6" w:space="0" w:color="000000"/>
            </w:tcBorders>
          </w:tcPr>
          <w:p w14:paraId="17AE3FE6" w14:textId="77777777" w:rsidR="000D2CBC" w:rsidRPr="00E84B05" w:rsidRDefault="000D2CBC">
            <w:pPr>
              <w:tabs>
                <w:tab w:val="left" w:pos="594"/>
              </w:tabs>
              <w:spacing w:after="0" w:line="276" w:lineRule="auto"/>
              <w:rPr>
                <w:rFonts w:eastAsia="Arial" w:cs="Arial"/>
              </w:rPr>
            </w:pPr>
            <w:r w:rsidRPr="00E84B05">
              <w:rPr>
                <w:rFonts w:eastAsia="Arial" w:cs="Arial"/>
              </w:rPr>
              <w:t>[Insert Date]</w:t>
            </w:r>
          </w:p>
        </w:tc>
      </w:tr>
      <w:tr w:rsidR="000D2CBC" w:rsidRPr="00420561" w14:paraId="7CB61203" w14:textId="77777777">
        <w:trPr>
          <w:trHeight w:val="1651"/>
        </w:trPr>
        <w:tc>
          <w:tcPr>
            <w:tcW w:w="0" w:type="auto"/>
            <w:tcBorders>
              <w:bottom w:val="single" w:sz="6" w:space="0" w:color="000000"/>
            </w:tcBorders>
            <w:shd w:val="clear" w:color="auto" w:fill="F2F2F2" w:themeFill="background1" w:themeFillShade="F2"/>
          </w:tcPr>
          <w:p w14:paraId="3B941BAB" w14:textId="4F1E2BA1" w:rsidR="000D2CBC" w:rsidRPr="00E84B05" w:rsidRDefault="000D2CBC">
            <w:pPr>
              <w:spacing w:after="0" w:line="276" w:lineRule="auto"/>
              <w:rPr>
                <w:rFonts w:eastAsia="Arial" w:cs="Calibri"/>
                <w:b/>
              </w:rPr>
            </w:pPr>
            <w:r w:rsidRPr="00E84B05">
              <w:rPr>
                <w:rFonts w:eastAsia="Arial" w:cs="Calibri"/>
                <w:b/>
              </w:rPr>
              <w:t>3.2</w:t>
            </w:r>
            <w:r w:rsidR="00FB6B80">
              <w:rPr>
                <w:rFonts w:eastAsia="Arial" w:cs="Calibri"/>
                <w:b/>
              </w:rPr>
              <w:t>3</w:t>
            </w:r>
          </w:p>
        </w:tc>
        <w:tc>
          <w:tcPr>
            <w:tcW w:w="7837" w:type="dxa"/>
            <w:tcBorders>
              <w:bottom w:val="single" w:sz="6" w:space="0" w:color="000000"/>
            </w:tcBorders>
            <w:shd w:val="clear" w:color="auto" w:fill="F2F2F2" w:themeFill="background1" w:themeFillShade="F2"/>
          </w:tcPr>
          <w:p w14:paraId="3BF65506" w14:textId="77777777" w:rsidR="000D2CBC" w:rsidRPr="00E84B05" w:rsidRDefault="000D2CBC">
            <w:pPr>
              <w:spacing w:after="120"/>
              <w:rPr>
                <w:rFonts w:cs="Arial"/>
                <w:color w:val="000000"/>
              </w:rPr>
            </w:pPr>
            <w:r w:rsidRPr="00E84B05">
              <w:rPr>
                <w:rFonts w:cs="Arial"/>
                <w:color w:val="000000"/>
              </w:rPr>
              <w:t>Please complete the following Supplier Emissions Declaration:</w:t>
            </w:r>
          </w:p>
          <w:p w14:paraId="7428A237" w14:textId="77777777" w:rsidR="000D2CBC" w:rsidRPr="00E84B05" w:rsidRDefault="000D2CBC">
            <w:pPr>
              <w:spacing w:after="120"/>
              <w:rPr>
                <w:rFonts w:eastAsia="Times New Roman" w:cs="Arial"/>
              </w:rPr>
            </w:pPr>
            <w:r w:rsidRPr="00E84B05">
              <w:rPr>
                <w:rFonts w:eastAsia="Times New Roman" w:cs="Arial"/>
                <w:color w:val="000000"/>
              </w:rPr>
              <w:t xml:space="preserve">Baseline Year: </w:t>
            </w:r>
            <w:r w:rsidRPr="00E84B05">
              <w:rPr>
                <w:rFonts w:eastAsia="Times New Roman" w:cs="Arial"/>
                <w:b/>
                <w:color w:val="000000"/>
              </w:rPr>
              <w:t>[Insert Year]</w:t>
            </w:r>
          </w:p>
          <w:p w14:paraId="55E40C6B" w14:textId="77777777" w:rsidR="000D2CBC" w:rsidRPr="00E84B05" w:rsidRDefault="000D2CBC">
            <w:pPr>
              <w:spacing w:after="120"/>
              <w:rPr>
                <w:rFonts w:eastAsia="Times New Roman" w:cs="Arial"/>
              </w:rPr>
            </w:pPr>
            <w:r w:rsidRPr="00E84B05">
              <w:rPr>
                <w:rFonts w:eastAsia="Times New Roman" w:cs="Arial"/>
                <w:color w:val="000000"/>
              </w:rPr>
              <w:t>Scope 1:</w:t>
            </w:r>
            <w:r w:rsidRPr="00E84B05">
              <w:rPr>
                <w:rFonts w:eastAsia="Times New Roman" w:cs="Arial"/>
                <w:b/>
                <w:color w:val="000000"/>
              </w:rPr>
              <w:t xml:space="preserve"> [Insert emissions (tCO2e)]</w:t>
            </w:r>
          </w:p>
          <w:p w14:paraId="28BD4934" w14:textId="77777777" w:rsidR="000D2CBC" w:rsidRPr="00E84B05" w:rsidRDefault="000D2CBC">
            <w:pPr>
              <w:spacing w:after="120"/>
              <w:rPr>
                <w:rFonts w:eastAsia="Times New Roman" w:cs="Arial"/>
              </w:rPr>
            </w:pPr>
            <w:r w:rsidRPr="00E84B05">
              <w:rPr>
                <w:rFonts w:eastAsia="Times New Roman" w:cs="Arial"/>
                <w:color w:val="000000"/>
              </w:rPr>
              <w:t>Scope 2:</w:t>
            </w:r>
            <w:r w:rsidRPr="00E84B05">
              <w:rPr>
                <w:rFonts w:eastAsia="Times New Roman" w:cs="Arial"/>
                <w:b/>
                <w:color w:val="000000"/>
              </w:rPr>
              <w:t xml:space="preserve"> [Insert emissions (tCO2e)]</w:t>
            </w:r>
          </w:p>
          <w:p w14:paraId="00AE0BB0" w14:textId="77777777" w:rsidR="000D2CBC" w:rsidRPr="00E84B05" w:rsidRDefault="000D2CBC">
            <w:pPr>
              <w:spacing w:after="120"/>
              <w:rPr>
                <w:rFonts w:eastAsia="Times New Roman" w:cs="Arial"/>
              </w:rPr>
            </w:pPr>
            <w:r w:rsidRPr="00E84B05">
              <w:rPr>
                <w:rFonts w:eastAsia="Times New Roman" w:cs="Arial"/>
                <w:color w:val="000000"/>
              </w:rPr>
              <w:t xml:space="preserve">Scope 3: </w:t>
            </w:r>
            <w:r w:rsidRPr="00E84B05">
              <w:rPr>
                <w:rFonts w:eastAsia="Times New Roman" w:cs="Arial"/>
                <w:b/>
                <w:color w:val="000000"/>
              </w:rPr>
              <w:t>[Insert emissions (tCO2e)]</w:t>
            </w:r>
          </w:p>
          <w:p w14:paraId="30031077" w14:textId="77777777" w:rsidR="000D2CBC" w:rsidRPr="00E84B05" w:rsidRDefault="000D2CBC">
            <w:pPr>
              <w:spacing w:after="120"/>
              <w:rPr>
                <w:rFonts w:eastAsia="Times New Roman" w:cs="Arial"/>
              </w:rPr>
            </w:pPr>
          </w:p>
          <w:p w14:paraId="009B818C" w14:textId="77777777" w:rsidR="000D2CBC" w:rsidRPr="00E84B05" w:rsidRDefault="000D2CBC">
            <w:pPr>
              <w:spacing w:after="120"/>
              <w:rPr>
                <w:rFonts w:eastAsia="Times New Roman" w:cs="Arial"/>
              </w:rPr>
            </w:pPr>
            <w:r w:rsidRPr="00E84B05">
              <w:rPr>
                <w:rFonts w:eastAsia="Times New Roman" w:cs="Arial"/>
                <w:color w:val="000000"/>
              </w:rPr>
              <w:t xml:space="preserve">Current/Most Recent Reporting Year: </w:t>
            </w:r>
            <w:r w:rsidRPr="00E84B05">
              <w:rPr>
                <w:rFonts w:eastAsia="Times New Roman" w:cs="Arial"/>
                <w:b/>
                <w:color w:val="000000"/>
              </w:rPr>
              <w:t>[Insert Year]</w:t>
            </w:r>
          </w:p>
          <w:p w14:paraId="68C58E71" w14:textId="77777777" w:rsidR="000D2CBC" w:rsidRPr="00E84B05" w:rsidRDefault="000D2CBC">
            <w:pPr>
              <w:spacing w:after="120"/>
              <w:rPr>
                <w:rFonts w:eastAsia="Times New Roman" w:cs="Arial"/>
              </w:rPr>
            </w:pPr>
            <w:r w:rsidRPr="00E84B05">
              <w:rPr>
                <w:rFonts w:eastAsia="Times New Roman" w:cs="Arial"/>
                <w:color w:val="000000"/>
              </w:rPr>
              <w:t>Scope 1:</w:t>
            </w:r>
            <w:r w:rsidRPr="00E84B05">
              <w:rPr>
                <w:rFonts w:eastAsia="Times New Roman" w:cs="Arial"/>
                <w:b/>
                <w:color w:val="000000"/>
              </w:rPr>
              <w:t xml:space="preserve"> [Insert emissions (tCO2e)]</w:t>
            </w:r>
          </w:p>
          <w:p w14:paraId="7DF67E8B" w14:textId="77777777" w:rsidR="000D2CBC" w:rsidRPr="00E84B05" w:rsidRDefault="000D2CBC">
            <w:pPr>
              <w:spacing w:after="120"/>
              <w:rPr>
                <w:rFonts w:eastAsia="Times New Roman" w:cs="Arial"/>
              </w:rPr>
            </w:pPr>
            <w:r w:rsidRPr="00E84B05">
              <w:rPr>
                <w:rFonts w:eastAsia="Times New Roman" w:cs="Arial"/>
                <w:color w:val="000000"/>
              </w:rPr>
              <w:t>Scope 2:</w:t>
            </w:r>
            <w:r w:rsidRPr="00E84B05">
              <w:rPr>
                <w:rFonts w:eastAsia="Times New Roman" w:cs="Arial"/>
                <w:b/>
                <w:color w:val="000000"/>
              </w:rPr>
              <w:t xml:space="preserve"> [Insert emissions (tCO2e)]</w:t>
            </w:r>
          </w:p>
          <w:p w14:paraId="7461A75C" w14:textId="77777777" w:rsidR="000D2CBC" w:rsidRPr="00E84B05" w:rsidRDefault="000D2CBC">
            <w:pPr>
              <w:widowControl w:val="0"/>
              <w:tabs>
                <w:tab w:val="left" w:pos="0"/>
              </w:tabs>
              <w:overflowPunct w:val="0"/>
              <w:autoSpaceDE w:val="0"/>
              <w:autoSpaceDN w:val="0"/>
              <w:adjustRightInd w:val="0"/>
              <w:jc w:val="both"/>
              <w:rPr>
                <w:rFonts w:eastAsia="Arial" w:cs="Arial"/>
              </w:rPr>
            </w:pPr>
            <w:r w:rsidRPr="00E84B05">
              <w:rPr>
                <w:rFonts w:cs="Arial"/>
                <w:color w:val="000000"/>
              </w:rPr>
              <w:t xml:space="preserve">Scope 3: </w:t>
            </w:r>
            <w:r w:rsidRPr="00E84B05">
              <w:rPr>
                <w:rFonts w:cs="Arial"/>
                <w:b/>
                <w:color w:val="000000"/>
              </w:rPr>
              <w:t>[Insert emissions (tCO2e)]</w:t>
            </w:r>
          </w:p>
        </w:tc>
        <w:tc>
          <w:tcPr>
            <w:tcW w:w="4734" w:type="dxa"/>
            <w:tcBorders>
              <w:top w:val="single" w:sz="6" w:space="0" w:color="000000"/>
              <w:bottom w:val="single" w:sz="6" w:space="0" w:color="000000"/>
            </w:tcBorders>
          </w:tcPr>
          <w:p w14:paraId="615E60D7" w14:textId="77777777" w:rsidR="000D2CBC" w:rsidRPr="00E84B05" w:rsidRDefault="000D2CBC">
            <w:pPr>
              <w:tabs>
                <w:tab w:val="left" w:pos="594"/>
              </w:tabs>
              <w:spacing w:after="0" w:line="276" w:lineRule="auto"/>
              <w:rPr>
                <w:rFonts w:eastAsia="Arial" w:cs="Arial"/>
              </w:rPr>
            </w:pPr>
          </w:p>
        </w:tc>
      </w:tr>
    </w:tbl>
    <w:p w14:paraId="6FDDEB3B" w14:textId="063A0128" w:rsidR="000D2CBC" w:rsidRPr="00E84B05" w:rsidRDefault="000D2CBC" w:rsidP="000D2CBC">
      <w:pPr>
        <w:spacing w:after="0" w:line="276" w:lineRule="auto"/>
        <w:ind w:firstLine="720"/>
        <w:rPr>
          <w:rFonts w:eastAsia="Times New Roman" w:cs="Calibri"/>
        </w:rPr>
      </w:pPr>
    </w:p>
    <w:p w14:paraId="2F96373D" w14:textId="269C3A19" w:rsidR="000D2CBC" w:rsidRPr="00E84B05" w:rsidRDefault="000D2CBC" w:rsidP="000D2CBC">
      <w:pPr>
        <w:pageBreakBefore/>
        <w:spacing w:after="0" w:line="276" w:lineRule="auto"/>
        <w:rPr>
          <w:rFonts w:eastAsia="Arial" w:cs="Calibri"/>
          <w:b/>
        </w:rPr>
      </w:pPr>
      <w:r w:rsidRPr="00E84B05">
        <w:rPr>
          <w:rFonts w:eastAsia="Arial" w:cs="Calibri"/>
          <w:b/>
        </w:rPr>
        <w:t>Tackling Modern Slavery in Supply Chains</w:t>
      </w:r>
    </w:p>
    <w:p w14:paraId="30D1DBEE" w14:textId="2D6757F0" w:rsidR="000D2CBC" w:rsidRPr="00E84B05" w:rsidRDefault="000D2CBC" w:rsidP="001E53D0">
      <w:pPr>
        <w:spacing w:after="0" w:line="276" w:lineRule="auto"/>
        <w:jc w:val="both"/>
        <w:rPr>
          <w:rFonts w:eastAsia="Arial" w:cs="Calibri"/>
          <w:b/>
        </w:rPr>
      </w:pPr>
      <w:r w:rsidRPr="00E84B05">
        <w:rPr>
          <w:rFonts w:eastAsia="Times New Roman" w:cs="Calibri"/>
        </w:rPr>
        <w:t xml:space="preserve">Please see </w:t>
      </w:r>
      <w:hyperlink r:id="rId33" w:history="1">
        <w:r w:rsidRPr="00E84B05">
          <w:rPr>
            <w:rStyle w:val="Hyperlink"/>
            <w:rFonts w:cs="Arial"/>
            <w:color w:val="auto"/>
          </w:rPr>
          <w:t>PPN 009: Tackling Modern Slavery in Supply Chains (HTML) - GOV.UK</w:t>
        </w:r>
      </w:hyperlink>
      <w:r w:rsidRPr="00E84B05">
        <w:rPr>
          <w:rStyle w:val="eop"/>
          <w:rFonts w:cs="Arial"/>
        </w:rPr>
        <w:t> for further information.</w:t>
      </w:r>
    </w:p>
    <w:p w14:paraId="7DEEF8D9" w14:textId="2442B26F" w:rsidR="000D2CBC" w:rsidRPr="00E84B05" w:rsidRDefault="000D2CBC" w:rsidP="000D2CBC">
      <w:pPr>
        <w:spacing w:after="0" w:line="276" w:lineRule="auto"/>
        <w:ind w:firstLine="720"/>
        <w:rPr>
          <w:rFonts w:eastAsia="Times New Roman"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5120"/>
        <w:gridCol w:w="2767"/>
      </w:tblGrid>
      <w:tr w:rsidR="000D2CBC" w:rsidRPr="001439F7" w14:paraId="33E47C33" w14:textId="77777777">
        <w:tc>
          <w:tcPr>
            <w:tcW w:w="0" w:type="auto"/>
            <w:tcBorders>
              <w:top w:val="single" w:sz="6" w:space="0" w:color="000000"/>
              <w:bottom w:val="single" w:sz="6" w:space="0" w:color="000000"/>
            </w:tcBorders>
            <w:shd w:val="clear" w:color="auto" w:fill="009999"/>
          </w:tcPr>
          <w:p w14:paraId="53CD904C" w14:textId="77777777" w:rsidR="000D2CBC" w:rsidRPr="001439F7" w:rsidRDefault="000D2CBC">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04" w:type="dxa"/>
            <w:tcBorders>
              <w:top w:val="single" w:sz="6" w:space="0" w:color="000000"/>
              <w:bottom w:val="single" w:sz="6" w:space="0" w:color="000000"/>
            </w:tcBorders>
            <w:shd w:val="clear" w:color="auto" w:fill="009999"/>
          </w:tcPr>
          <w:p w14:paraId="10258A01" w14:textId="77777777" w:rsidR="000D2CBC" w:rsidRPr="001439F7" w:rsidRDefault="000D2CBC">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179" w:type="dxa"/>
            <w:tcBorders>
              <w:top w:val="single" w:sz="6" w:space="0" w:color="000000"/>
              <w:bottom w:val="single" w:sz="6" w:space="0" w:color="000000"/>
            </w:tcBorders>
            <w:shd w:val="clear" w:color="auto" w:fill="009999"/>
          </w:tcPr>
          <w:p w14:paraId="0B2C0C67" w14:textId="77777777" w:rsidR="000D2CBC" w:rsidRPr="001439F7" w:rsidRDefault="000D2CBC">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0D2CBC" w:rsidRPr="00420561" w14:paraId="61725AD0" w14:textId="77777777">
        <w:trPr>
          <w:trHeight w:val="1651"/>
        </w:trPr>
        <w:tc>
          <w:tcPr>
            <w:tcW w:w="0" w:type="auto"/>
            <w:shd w:val="clear" w:color="auto" w:fill="F2F2F2" w:themeFill="background1" w:themeFillShade="F2"/>
          </w:tcPr>
          <w:p w14:paraId="5F7D6D84" w14:textId="6DB42174" w:rsidR="000D2CBC" w:rsidRPr="00E84B05" w:rsidRDefault="000D2CBC">
            <w:pPr>
              <w:spacing w:after="0" w:line="276" w:lineRule="auto"/>
              <w:rPr>
                <w:rFonts w:eastAsia="Arial" w:cs="Arial"/>
                <w:b/>
              </w:rPr>
            </w:pPr>
            <w:r w:rsidRPr="00E84B05">
              <w:rPr>
                <w:rFonts w:eastAsia="Arial" w:cs="Arial"/>
                <w:b/>
              </w:rPr>
              <w:t>3.2</w:t>
            </w:r>
            <w:r w:rsidR="00FB6B80">
              <w:rPr>
                <w:rFonts w:eastAsia="Arial" w:cs="Arial"/>
                <w:b/>
              </w:rPr>
              <w:t>4</w:t>
            </w:r>
          </w:p>
        </w:tc>
        <w:tc>
          <w:tcPr>
            <w:tcW w:w="7804" w:type="dxa"/>
            <w:shd w:val="clear" w:color="auto" w:fill="F2F2F2" w:themeFill="background1" w:themeFillShade="F2"/>
          </w:tcPr>
          <w:p w14:paraId="69DF5B9C" w14:textId="77777777" w:rsidR="000D2CBC" w:rsidRPr="00E84B05" w:rsidRDefault="000D2CBC">
            <w:pPr>
              <w:widowControl w:val="0"/>
              <w:spacing w:after="0" w:line="276" w:lineRule="auto"/>
              <w:rPr>
                <w:rFonts w:eastAsia="Times New Roman" w:cs="Arial"/>
              </w:rPr>
            </w:pPr>
            <w:r w:rsidRPr="00E84B05">
              <w:rPr>
                <w:rFonts w:eastAsia="Times New Roman" w:cs="Arial"/>
              </w:rPr>
              <w:t xml:space="preserve">Please confirm that your organisation is ‘a relevant commercial organisation’* and is compliant with the requirements contained within section 54 of the Modern Slavery Act 2015 and associated guidance and their statement includes information relating to: </w:t>
            </w:r>
          </w:p>
          <w:p w14:paraId="38CA56C6" w14:textId="77777777" w:rsidR="000D2CBC" w:rsidRPr="00E84B05" w:rsidRDefault="000D2CBC" w:rsidP="0085565B">
            <w:pPr>
              <w:pStyle w:val="ListParagraph"/>
              <w:widowControl w:val="0"/>
              <w:numPr>
                <w:ilvl w:val="0"/>
                <w:numId w:val="28"/>
              </w:numPr>
              <w:spacing w:after="0" w:line="276" w:lineRule="auto"/>
              <w:rPr>
                <w:rFonts w:eastAsia="Times New Roman" w:cs="Arial"/>
              </w:rPr>
            </w:pPr>
            <w:r w:rsidRPr="00E84B05">
              <w:rPr>
                <w:rFonts w:eastAsia="Times New Roman" w:cs="Arial"/>
              </w:rPr>
              <w:t xml:space="preserve">the organisation’s structure, its </w:t>
            </w:r>
            <w:proofErr w:type="gramStart"/>
            <w:r w:rsidRPr="00E84B05">
              <w:rPr>
                <w:rFonts w:eastAsia="Times New Roman" w:cs="Arial"/>
              </w:rPr>
              <w:t>business</w:t>
            </w:r>
            <w:proofErr w:type="gramEnd"/>
            <w:r w:rsidRPr="00E84B05">
              <w:rPr>
                <w:rFonts w:eastAsia="Times New Roman" w:cs="Arial"/>
              </w:rPr>
              <w:t xml:space="preserve"> and its supply chains </w:t>
            </w:r>
          </w:p>
          <w:p w14:paraId="456FC15F" w14:textId="77777777" w:rsidR="000D2CBC" w:rsidRPr="00E84B05" w:rsidRDefault="000D2CBC" w:rsidP="0085565B">
            <w:pPr>
              <w:pStyle w:val="ListParagraph"/>
              <w:widowControl w:val="0"/>
              <w:numPr>
                <w:ilvl w:val="0"/>
                <w:numId w:val="28"/>
              </w:numPr>
              <w:spacing w:after="0" w:line="276" w:lineRule="auto"/>
              <w:rPr>
                <w:rFonts w:eastAsia="Times New Roman" w:cs="Arial"/>
              </w:rPr>
            </w:pPr>
            <w:r w:rsidRPr="00E84B05">
              <w:rPr>
                <w:rFonts w:eastAsia="Times New Roman" w:cs="Arial"/>
              </w:rPr>
              <w:t xml:space="preserve">its policies in relation to slavery and human </w:t>
            </w:r>
            <w:proofErr w:type="gramStart"/>
            <w:r w:rsidRPr="00E84B05">
              <w:rPr>
                <w:rFonts w:eastAsia="Times New Roman" w:cs="Arial"/>
              </w:rPr>
              <w:t>trafficking;</w:t>
            </w:r>
            <w:proofErr w:type="gramEnd"/>
            <w:r w:rsidRPr="00E84B05">
              <w:rPr>
                <w:rFonts w:eastAsia="Times New Roman" w:cs="Arial"/>
              </w:rPr>
              <w:t xml:space="preserve"> </w:t>
            </w:r>
          </w:p>
          <w:p w14:paraId="6B5A3260" w14:textId="77777777" w:rsidR="000D2CBC" w:rsidRPr="00E84B05" w:rsidRDefault="000D2CBC" w:rsidP="0085565B">
            <w:pPr>
              <w:pStyle w:val="ListParagraph"/>
              <w:widowControl w:val="0"/>
              <w:numPr>
                <w:ilvl w:val="0"/>
                <w:numId w:val="28"/>
              </w:numPr>
              <w:spacing w:after="0" w:line="276" w:lineRule="auto"/>
              <w:rPr>
                <w:rFonts w:eastAsia="Times New Roman" w:cs="Arial"/>
              </w:rPr>
            </w:pPr>
            <w:r w:rsidRPr="00E84B05">
              <w:rPr>
                <w:rFonts w:eastAsia="Times New Roman" w:cs="Arial"/>
              </w:rPr>
              <w:t xml:space="preserve">its due diligence processes in relation to slavery and human trafficking in its business and supply </w:t>
            </w:r>
            <w:proofErr w:type="gramStart"/>
            <w:r w:rsidRPr="00E84B05">
              <w:rPr>
                <w:rFonts w:eastAsia="Times New Roman" w:cs="Arial"/>
              </w:rPr>
              <w:t>chains;</w:t>
            </w:r>
            <w:proofErr w:type="gramEnd"/>
            <w:r w:rsidRPr="00E84B05">
              <w:rPr>
                <w:rFonts w:eastAsia="Times New Roman" w:cs="Arial"/>
              </w:rPr>
              <w:t xml:space="preserve"> </w:t>
            </w:r>
          </w:p>
          <w:p w14:paraId="7E4B770B" w14:textId="77777777" w:rsidR="000D2CBC" w:rsidRPr="00E84B05" w:rsidRDefault="000D2CBC" w:rsidP="0085565B">
            <w:pPr>
              <w:pStyle w:val="ListParagraph"/>
              <w:widowControl w:val="0"/>
              <w:numPr>
                <w:ilvl w:val="0"/>
                <w:numId w:val="28"/>
              </w:numPr>
              <w:spacing w:after="0" w:line="276" w:lineRule="auto"/>
              <w:rPr>
                <w:rFonts w:eastAsia="Times New Roman" w:cs="Arial"/>
              </w:rPr>
            </w:pPr>
            <w:r w:rsidRPr="00E84B05">
              <w:rPr>
                <w:rFonts w:eastAsia="Times New Roman" w:cs="Arial"/>
              </w:rPr>
              <w:t xml:space="preserve">the parts of its business and supply chains where there is a risk of slavery and human trafficking taking place, and the steps it has taken to assess and manage that </w:t>
            </w:r>
            <w:proofErr w:type="gramStart"/>
            <w:r w:rsidRPr="00E84B05">
              <w:rPr>
                <w:rFonts w:eastAsia="Times New Roman" w:cs="Arial"/>
              </w:rPr>
              <w:t>risk;</w:t>
            </w:r>
            <w:proofErr w:type="gramEnd"/>
            <w:r w:rsidRPr="00E84B05">
              <w:rPr>
                <w:rFonts w:eastAsia="Times New Roman" w:cs="Arial"/>
              </w:rPr>
              <w:t xml:space="preserve"> </w:t>
            </w:r>
          </w:p>
          <w:p w14:paraId="3022F009" w14:textId="77777777" w:rsidR="000D2CBC" w:rsidRPr="00E84B05" w:rsidRDefault="000D2CBC" w:rsidP="0085565B">
            <w:pPr>
              <w:pStyle w:val="ListParagraph"/>
              <w:widowControl w:val="0"/>
              <w:numPr>
                <w:ilvl w:val="0"/>
                <w:numId w:val="28"/>
              </w:numPr>
              <w:spacing w:after="0" w:line="276" w:lineRule="auto"/>
              <w:rPr>
                <w:rFonts w:eastAsia="Times New Roman" w:cs="Arial"/>
              </w:rPr>
            </w:pPr>
            <w:r w:rsidRPr="00E84B05">
              <w:rPr>
                <w:rFonts w:eastAsia="Times New Roman" w:cs="Arial"/>
              </w:rPr>
              <w:t xml:space="preserve">its effectiveness in ensuring that slavery and human trafficking is not taking place in its business or supply chains, measured against such performance indicators as it considers appropriate; and </w:t>
            </w:r>
          </w:p>
          <w:p w14:paraId="475F59AB" w14:textId="77777777" w:rsidR="000D2CBC" w:rsidRPr="00E84B05" w:rsidRDefault="000D2CBC" w:rsidP="0085565B">
            <w:pPr>
              <w:pStyle w:val="ListParagraph"/>
              <w:widowControl w:val="0"/>
              <w:numPr>
                <w:ilvl w:val="0"/>
                <w:numId w:val="28"/>
              </w:numPr>
              <w:spacing w:after="0" w:line="276" w:lineRule="auto"/>
              <w:rPr>
                <w:rFonts w:eastAsia="Times New Roman" w:cs="Arial"/>
              </w:rPr>
            </w:pPr>
            <w:r w:rsidRPr="00E84B05">
              <w:rPr>
                <w:rFonts w:eastAsia="Times New Roman" w:cs="Arial"/>
              </w:rPr>
              <w:t xml:space="preserve">the training and capacity building about slavery and human trafficking available to its staff.  </w:t>
            </w:r>
          </w:p>
          <w:p w14:paraId="2FFFCB24" w14:textId="77777777" w:rsidR="000D2CBC" w:rsidRPr="00E84B05" w:rsidRDefault="000D2CBC">
            <w:pPr>
              <w:pStyle w:val="ListParagraph"/>
              <w:widowControl w:val="0"/>
              <w:spacing w:after="0" w:line="276" w:lineRule="auto"/>
              <w:rPr>
                <w:rFonts w:eastAsia="Times New Roman" w:cs="Arial"/>
              </w:rPr>
            </w:pPr>
          </w:p>
          <w:p w14:paraId="0320EBA4" w14:textId="77777777" w:rsidR="000D2CBC" w:rsidRPr="00E84B05" w:rsidRDefault="000D2CBC">
            <w:pPr>
              <w:pStyle w:val="NormalWeb"/>
              <w:spacing w:before="0" w:beforeAutospacing="0" w:after="120" w:afterAutospacing="0"/>
              <w:rPr>
                <w:rFonts w:ascii="Arial" w:hAnsi="Arial" w:cs="Arial"/>
                <w:i/>
                <w:color w:val="222222"/>
                <w:sz w:val="22"/>
                <w:szCs w:val="22"/>
              </w:rPr>
            </w:pPr>
            <w:r w:rsidRPr="00E84B05">
              <w:rPr>
                <w:rFonts w:ascii="Arial" w:hAnsi="Arial" w:cs="Arial"/>
                <w:i/>
                <w:color w:val="222222"/>
                <w:sz w:val="22"/>
                <w:szCs w:val="22"/>
              </w:rPr>
              <w:t>*‘Relevant commercial organisations’ are defined as commercial organisations that carry on a business or part of business in the UK, supply goods or services and have an annual turnover of £36 million or more.</w:t>
            </w:r>
          </w:p>
          <w:p w14:paraId="20FC919A" w14:textId="26FD135B" w:rsidR="000D2CBC" w:rsidRPr="00E84B05" w:rsidRDefault="000D2CBC">
            <w:pPr>
              <w:pStyle w:val="NormalWeb"/>
              <w:spacing w:before="0" w:beforeAutospacing="0" w:after="120" w:afterAutospacing="0"/>
              <w:rPr>
                <w:rFonts w:ascii="Arial" w:hAnsi="Arial" w:cs="Arial"/>
                <w:sz w:val="22"/>
                <w:szCs w:val="22"/>
              </w:rPr>
            </w:pPr>
            <w:r w:rsidRPr="00E84B05">
              <w:rPr>
                <w:rFonts w:ascii="Arial" w:hAnsi="Arial" w:cs="Arial"/>
                <w:color w:val="222222"/>
                <w:sz w:val="22"/>
                <w:szCs w:val="22"/>
              </w:rPr>
              <w:t xml:space="preserve">Or if you answer “No” to this question, please answer Question </w:t>
            </w:r>
            <w:r w:rsidRPr="00E84B05">
              <w:rPr>
                <w:rFonts w:ascii="Arial" w:hAnsi="Arial" w:cs="Arial"/>
                <w:b/>
                <w:color w:val="222222"/>
                <w:sz w:val="22"/>
                <w:szCs w:val="22"/>
              </w:rPr>
              <w:t>3.</w:t>
            </w:r>
            <w:r w:rsidR="00B90661">
              <w:rPr>
                <w:rFonts w:ascii="Arial" w:hAnsi="Arial" w:cs="Arial"/>
                <w:b/>
                <w:color w:val="222222"/>
                <w:sz w:val="22"/>
                <w:szCs w:val="22"/>
              </w:rPr>
              <w:t>25</w:t>
            </w:r>
          </w:p>
        </w:tc>
        <w:tc>
          <w:tcPr>
            <w:tcW w:w="4179" w:type="dxa"/>
            <w:tcBorders>
              <w:top w:val="single" w:sz="6" w:space="0" w:color="000000"/>
              <w:bottom w:val="single" w:sz="6" w:space="0" w:color="000000"/>
            </w:tcBorders>
          </w:tcPr>
          <w:p w14:paraId="146A7C12" w14:textId="77777777" w:rsidR="000D2CBC" w:rsidRPr="00E84B05" w:rsidRDefault="000D2CBC">
            <w:pPr>
              <w:tabs>
                <w:tab w:val="left" w:pos="591"/>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67FF9C6A" w14:textId="77777777" w:rsidR="000D2CBC" w:rsidRDefault="000D2CBC">
            <w:pPr>
              <w:tabs>
                <w:tab w:val="left" w:pos="594"/>
              </w:tabs>
              <w:spacing w:after="0" w:line="276" w:lineRule="auto"/>
              <w:rPr>
                <w:rFonts w:eastAsia="Times New Roman" w:cs="Calibri"/>
              </w:rPr>
            </w:pPr>
            <w:r w:rsidRPr="00E84B05">
              <w:rPr>
                <w:rFonts w:eastAsia="Arial" w:cs="Calibri"/>
              </w:rPr>
              <w:t xml:space="preserve">No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7C0AB316" w14:textId="77777777" w:rsidR="00A20EA3" w:rsidRDefault="00A20EA3">
            <w:pPr>
              <w:tabs>
                <w:tab w:val="left" w:pos="594"/>
              </w:tabs>
              <w:spacing w:after="0" w:line="276" w:lineRule="auto"/>
              <w:rPr>
                <w:rFonts w:eastAsia="Times New Roman" w:cs="Calibri"/>
              </w:rPr>
            </w:pPr>
          </w:p>
          <w:p w14:paraId="54266EB8" w14:textId="62C651C5" w:rsidR="000D2CBC" w:rsidRPr="00E84B05" w:rsidRDefault="00A20EA3">
            <w:pPr>
              <w:tabs>
                <w:tab w:val="left" w:pos="594"/>
              </w:tabs>
              <w:spacing w:after="0" w:line="276" w:lineRule="auto"/>
              <w:rPr>
                <w:rFonts w:eastAsia="Arial" w:cs="Arial"/>
              </w:rPr>
            </w:pPr>
            <w:r w:rsidRPr="00A20EA3">
              <w:rPr>
                <w:rFonts w:eastAsia="Arial" w:cs="Arial"/>
              </w:rPr>
              <w:t>[Insert link to Modern Slavery Statement</w:t>
            </w:r>
            <w:r>
              <w:rPr>
                <w:rFonts w:eastAsia="Arial" w:cs="Arial"/>
              </w:rPr>
              <w:t>]</w:t>
            </w:r>
          </w:p>
        </w:tc>
      </w:tr>
      <w:tr w:rsidR="000D2CBC" w:rsidRPr="00420561" w14:paraId="2CF88955" w14:textId="77777777">
        <w:trPr>
          <w:trHeight w:val="1623"/>
        </w:trPr>
        <w:tc>
          <w:tcPr>
            <w:tcW w:w="0" w:type="auto"/>
            <w:vMerge w:val="restart"/>
            <w:shd w:val="clear" w:color="auto" w:fill="F2F2F2" w:themeFill="background1" w:themeFillShade="F2"/>
          </w:tcPr>
          <w:p w14:paraId="7B12D2D2" w14:textId="5E38F7DB" w:rsidR="000D2CBC" w:rsidRPr="00E84B05" w:rsidRDefault="000D2CBC">
            <w:pPr>
              <w:spacing w:after="0" w:line="276" w:lineRule="auto"/>
              <w:rPr>
                <w:rFonts w:eastAsia="Arial" w:cs="Arial"/>
                <w:b/>
              </w:rPr>
            </w:pPr>
            <w:r w:rsidRPr="00E84B05">
              <w:rPr>
                <w:rFonts w:eastAsia="Arial" w:cs="Arial"/>
                <w:b/>
              </w:rPr>
              <w:t>3.</w:t>
            </w:r>
            <w:r w:rsidR="00FB6B80">
              <w:rPr>
                <w:rFonts w:eastAsia="Arial" w:cs="Arial"/>
                <w:b/>
              </w:rPr>
              <w:t>25</w:t>
            </w:r>
          </w:p>
        </w:tc>
        <w:tc>
          <w:tcPr>
            <w:tcW w:w="7804" w:type="dxa"/>
            <w:vMerge w:val="restart"/>
            <w:shd w:val="clear" w:color="auto" w:fill="F2F2F2" w:themeFill="background1" w:themeFillShade="F2"/>
          </w:tcPr>
          <w:p w14:paraId="1C2ECCC2" w14:textId="293B6870" w:rsidR="000D2CBC" w:rsidRPr="00E84B05" w:rsidRDefault="000D2CBC">
            <w:pPr>
              <w:widowControl w:val="0"/>
              <w:spacing w:after="0" w:line="276" w:lineRule="auto"/>
              <w:rPr>
                <w:rFonts w:eastAsia="Times New Roman" w:cs="Arial"/>
              </w:rPr>
            </w:pPr>
            <w:r w:rsidRPr="00E84B05">
              <w:rPr>
                <w:rFonts w:eastAsia="Times New Roman" w:cs="Arial"/>
              </w:rPr>
              <w:t>If you have responded ‘no’ to question 3.2</w:t>
            </w:r>
            <w:r w:rsidR="00F903A5">
              <w:rPr>
                <w:rFonts w:eastAsia="Times New Roman" w:cs="Arial"/>
              </w:rPr>
              <w:t>4</w:t>
            </w:r>
            <w:r w:rsidRPr="00E84B05">
              <w:rPr>
                <w:rFonts w:eastAsia="Times New Roman" w:cs="Arial"/>
              </w:rPr>
              <w:t>, please confirm whether your organisation is not ‘a relevant commercial organisation’ but has a turnover of more than £36 million and is able to provide a link to an equivalent statement or document which demonstrates information relating to a to f as specified in question 3.2</w:t>
            </w:r>
            <w:r w:rsidR="00B90661">
              <w:rPr>
                <w:rFonts w:eastAsia="Times New Roman" w:cs="Arial"/>
              </w:rPr>
              <w:t>4</w:t>
            </w:r>
            <w:r w:rsidRPr="00E84B05">
              <w:rPr>
                <w:rFonts w:eastAsia="Times New Roman" w:cs="Arial"/>
              </w:rPr>
              <w:t xml:space="preserve"> above.</w:t>
            </w:r>
          </w:p>
          <w:p w14:paraId="4A71FBBA" w14:textId="77777777" w:rsidR="000D2CBC" w:rsidRPr="00E84B05" w:rsidRDefault="000D2CBC">
            <w:pPr>
              <w:widowControl w:val="0"/>
              <w:spacing w:after="0" w:line="276" w:lineRule="auto"/>
              <w:rPr>
                <w:rFonts w:eastAsia="Times New Roman" w:cs="Arial"/>
              </w:rPr>
            </w:pPr>
          </w:p>
          <w:p w14:paraId="11D2F2D4" w14:textId="2167D8B7" w:rsidR="000D2CBC" w:rsidRPr="00E84B05" w:rsidRDefault="000D2CBC">
            <w:pPr>
              <w:widowControl w:val="0"/>
              <w:spacing w:after="0" w:line="276" w:lineRule="auto"/>
              <w:rPr>
                <w:rFonts w:cs="Arial"/>
                <w:color w:val="222222"/>
              </w:rPr>
            </w:pPr>
            <w:r w:rsidRPr="00E84B05">
              <w:rPr>
                <w:rFonts w:eastAsia="Times New Roman" w:cs="Arial"/>
              </w:rPr>
              <w:t>If you have answered “Yes” to question 3.2</w:t>
            </w:r>
            <w:r w:rsidR="00B90661">
              <w:rPr>
                <w:rFonts w:eastAsia="Times New Roman" w:cs="Arial"/>
              </w:rPr>
              <w:t>4</w:t>
            </w:r>
            <w:r w:rsidRPr="00E84B05">
              <w:rPr>
                <w:rFonts w:eastAsia="Times New Roman" w:cs="Arial"/>
              </w:rPr>
              <w:t xml:space="preserve">, please respond “N/A” to this question </w:t>
            </w:r>
            <w:r w:rsidRPr="00E84B05">
              <w:rPr>
                <w:rFonts w:cs="Arial"/>
                <w:color w:val="222222"/>
              </w:rPr>
              <w:t>3.</w:t>
            </w:r>
            <w:r w:rsidR="00A20EA3">
              <w:rPr>
                <w:rFonts w:cs="Arial"/>
                <w:color w:val="222222"/>
              </w:rPr>
              <w:t>2</w:t>
            </w:r>
            <w:r w:rsidR="00B90661">
              <w:rPr>
                <w:rFonts w:cs="Arial"/>
                <w:color w:val="222222"/>
              </w:rPr>
              <w:t>5</w:t>
            </w:r>
            <w:r w:rsidRPr="00E84B05">
              <w:rPr>
                <w:rFonts w:cs="Arial"/>
                <w:color w:val="222222"/>
              </w:rPr>
              <w:t>.</w:t>
            </w:r>
          </w:p>
          <w:p w14:paraId="64BA63D7" w14:textId="77777777" w:rsidR="000D2CBC" w:rsidRPr="00E84B05" w:rsidRDefault="000D2CBC">
            <w:pPr>
              <w:widowControl w:val="0"/>
              <w:spacing w:after="0" w:line="276" w:lineRule="auto"/>
              <w:rPr>
                <w:rFonts w:eastAsia="Times New Roman" w:cs="Arial"/>
                <w:color w:val="222222"/>
              </w:rPr>
            </w:pPr>
          </w:p>
          <w:p w14:paraId="5D950B1E" w14:textId="77777777" w:rsidR="000D2CBC" w:rsidRPr="00E84B05" w:rsidRDefault="000D2CBC">
            <w:pPr>
              <w:widowControl w:val="0"/>
              <w:spacing w:after="0" w:line="276" w:lineRule="auto"/>
              <w:rPr>
                <w:rFonts w:eastAsia="Times New Roman" w:cs="Arial"/>
              </w:rPr>
            </w:pPr>
            <w:r w:rsidRPr="00E84B05">
              <w:rPr>
                <w:rFonts w:eastAsia="Times New Roman" w:cs="Arial"/>
                <w:color w:val="222222"/>
              </w:rPr>
              <w:t>If your organisation’s turnover is less than £36m, please respond ‘N/A’.</w:t>
            </w:r>
          </w:p>
          <w:p w14:paraId="39D859D6" w14:textId="77777777" w:rsidR="000D2CBC" w:rsidRPr="00E84B05" w:rsidRDefault="000D2CBC">
            <w:pPr>
              <w:widowControl w:val="0"/>
              <w:spacing w:after="0" w:line="276" w:lineRule="auto"/>
              <w:rPr>
                <w:rFonts w:eastAsia="Times New Roman" w:cs="Arial"/>
              </w:rPr>
            </w:pPr>
          </w:p>
        </w:tc>
        <w:tc>
          <w:tcPr>
            <w:tcW w:w="4179" w:type="dxa"/>
            <w:tcBorders>
              <w:top w:val="single" w:sz="6" w:space="0" w:color="000000"/>
              <w:bottom w:val="single" w:sz="6" w:space="0" w:color="000000"/>
            </w:tcBorders>
          </w:tcPr>
          <w:p w14:paraId="3BFB3BB6" w14:textId="77777777" w:rsidR="000D2CBC" w:rsidRPr="00E84B05" w:rsidRDefault="000D2CBC">
            <w:pPr>
              <w:tabs>
                <w:tab w:val="left" w:pos="591"/>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302E8E35" w14:textId="77777777" w:rsidR="000D2CBC" w:rsidRPr="00E84B05" w:rsidRDefault="000D2CBC">
            <w:pPr>
              <w:tabs>
                <w:tab w:val="left" w:pos="591"/>
              </w:tabs>
              <w:spacing w:after="0" w:line="276" w:lineRule="auto"/>
              <w:rPr>
                <w:rFonts w:eastAsia="Times New Roman" w:cs="Calibri"/>
              </w:rPr>
            </w:pPr>
            <w:r w:rsidRPr="00E84B05">
              <w:rPr>
                <w:rFonts w:eastAsia="Arial" w:cs="Calibri"/>
              </w:rPr>
              <w:t xml:space="preserve">No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05125FF9" w14:textId="77777777" w:rsidR="000D2CBC" w:rsidRPr="00E84B05" w:rsidRDefault="000D2CBC">
            <w:pPr>
              <w:tabs>
                <w:tab w:val="left" w:pos="591"/>
              </w:tabs>
              <w:spacing w:after="0" w:line="276" w:lineRule="auto"/>
              <w:rPr>
                <w:rFonts w:eastAsia="Arial" w:cs="Calibri"/>
              </w:rPr>
            </w:pPr>
            <w:r w:rsidRPr="00E84B05">
              <w:rPr>
                <w:rFonts w:eastAsia="Arial" w:cs="Calibri"/>
              </w:rPr>
              <w:t xml:space="preserve">N/A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tc>
      </w:tr>
      <w:tr w:rsidR="000D2CBC" w:rsidRPr="00420561" w14:paraId="66FF8CA0" w14:textId="77777777">
        <w:trPr>
          <w:trHeight w:val="1622"/>
        </w:trPr>
        <w:tc>
          <w:tcPr>
            <w:tcW w:w="0" w:type="auto"/>
            <w:vMerge/>
            <w:shd w:val="clear" w:color="auto" w:fill="F2F2F2" w:themeFill="background1" w:themeFillShade="F2"/>
          </w:tcPr>
          <w:p w14:paraId="55B94C5B" w14:textId="77777777" w:rsidR="000D2CBC" w:rsidRPr="00E84B05" w:rsidRDefault="000D2CBC">
            <w:pPr>
              <w:spacing w:after="0" w:line="276" w:lineRule="auto"/>
              <w:rPr>
                <w:rFonts w:eastAsia="Arial" w:cs="Arial"/>
                <w:b/>
              </w:rPr>
            </w:pPr>
          </w:p>
        </w:tc>
        <w:tc>
          <w:tcPr>
            <w:tcW w:w="7804" w:type="dxa"/>
            <w:vMerge/>
            <w:shd w:val="clear" w:color="auto" w:fill="F2F2F2" w:themeFill="background1" w:themeFillShade="F2"/>
          </w:tcPr>
          <w:p w14:paraId="40B32E07" w14:textId="77777777" w:rsidR="000D2CBC" w:rsidRPr="00E84B05" w:rsidRDefault="000D2CBC">
            <w:pPr>
              <w:widowControl w:val="0"/>
              <w:spacing w:after="0" w:line="276" w:lineRule="auto"/>
              <w:rPr>
                <w:rFonts w:eastAsia="Times New Roman" w:cs="Arial"/>
              </w:rPr>
            </w:pPr>
          </w:p>
        </w:tc>
        <w:tc>
          <w:tcPr>
            <w:tcW w:w="4179" w:type="dxa"/>
            <w:tcBorders>
              <w:top w:val="single" w:sz="6" w:space="0" w:color="000000"/>
              <w:bottom w:val="single" w:sz="6" w:space="0" w:color="000000"/>
            </w:tcBorders>
          </w:tcPr>
          <w:p w14:paraId="34F99CC2" w14:textId="486E4D5B" w:rsidR="000D2CBC" w:rsidRPr="00E84B05" w:rsidRDefault="000D2CBC">
            <w:pPr>
              <w:tabs>
                <w:tab w:val="left" w:pos="591"/>
              </w:tabs>
              <w:spacing w:after="0" w:line="276" w:lineRule="auto"/>
              <w:rPr>
                <w:rFonts w:eastAsia="Arial" w:cs="Arial"/>
              </w:rPr>
            </w:pPr>
            <w:r w:rsidRPr="00E84B05">
              <w:rPr>
                <w:rFonts w:eastAsia="Arial" w:cs="Arial"/>
              </w:rPr>
              <w:t>[</w:t>
            </w:r>
            <w:r w:rsidR="00A20EA3" w:rsidRPr="00A20EA3">
              <w:rPr>
                <w:rFonts w:eastAsia="Arial" w:cs="Arial"/>
              </w:rPr>
              <w:t>Insert link to Modern Slavery Statement</w:t>
            </w:r>
            <w:r w:rsidR="00A20EA3">
              <w:rPr>
                <w:rFonts w:eastAsia="Arial" w:cs="Arial"/>
              </w:rPr>
              <w:t>]</w:t>
            </w:r>
          </w:p>
        </w:tc>
      </w:tr>
    </w:tbl>
    <w:p w14:paraId="74C2C145" w14:textId="2D4E712A" w:rsidR="000D2CBC" w:rsidRPr="00E84B05" w:rsidRDefault="000D2CBC" w:rsidP="000D2CBC">
      <w:pPr>
        <w:spacing w:after="0" w:line="276" w:lineRule="auto"/>
        <w:ind w:firstLine="720"/>
        <w:rPr>
          <w:rFonts w:cs="Calibri"/>
        </w:rPr>
      </w:pPr>
    </w:p>
    <w:p w14:paraId="6E7D6A87" w14:textId="2867DFF9" w:rsidR="000D2CBC" w:rsidRPr="00E84B05" w:rsidRDefault="000D2CBC" w:rsidP="000D2CBC">
      <w:pPr>
        <w:pageBreakBefore/>
        <w:spacing w:after="0" w:line="276" w:lineRule="auto"/>
        <w:rPr>
          <w:rFonts w:eastAsia="Arial" w:cs="Calibri"/>
          <w:b/>
        </w:rPr>
      </w:pPr>
      <w:r w:rsidRPr="00E84B05">
        <w:rPr>
          <w:rFonts w:eastAsia="Arial" w:cs="Calibri"/>
          <w:b/>
        </w:rPr>
        <w:t>Conflict of Interest</w:t>
      </w:r>
    </w:p>
    <w:p w14:paraId="5C6C9DA0" w14:textId="24E7BC9E" w:rsidR="000D2CBC" w:rsidRPr="00E84B05" w:rsidRDefault="000D2CBC" w:rsidP="000D2CBC">
      <w:pPr>
        <w:spacing w:after="0" w:line="276" w:lineRule="auto"/>
        <w:ind w:firstLine="720"/>
        <w:rPr>
          <w:rFonts w:eastAsia="Times New Roman"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5025"/>
        <w:gridCol w:w="2862"/>
      </w:tblGrid>
      <w:tr w:rsidR="000D2CBC" w:rsidRPr="001439F7" w14:paraId="1AC8729F" w14:textId="77777777">
        <w:tc>
          <w:tcPr>
            <w:tcW w:w="0" w:type="auto"/>
            <w:tcBorders>
              <w:top w:val="single" w:sz="6" w:space="0" w:color="000000" w:themeColor="text1"/>
              <w:bottom w:val="single" w:sz="6" w:space="0" w:color="000000" w:themeColor="text1"/>
            </w:tcBorders>
            <w:shd w:val="clear" w:color="auto" w:fill="009999"/>
          </w:tcPr>
          <w:p w14:paraId="4DE7E235" w14:textId="77777777" w:rsidR="000D2CBC" w:rsidRPr="001439F7" w:rsidRDefault="000D2CBC">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04" w:type="dxa"/>
            <w:tcBorders>
              <w:top w:val="single" w:sz="6" w:space="0" w:color="000000" w:themeColor="text1"/>
              <w:bottom w:val="single" w:sz="6" w:space="0" w:color="000000" w:themeColor="text1"/>
            </w:tcBorders>
            <w:shd w:val="clear" w:color="auto" w:fill="009999"/>
          </w:tcPr>
          <w:p w14:paraId="53DDF859" w14:textId="77777777" w:rsidR="000D2CBC" w:rsidRPr="001439F7" w:rsidRDefault="000D2CBC">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179" w:type="dxa"/>
            <w:tcBorders>
              <w:top w:val="single" w:sz="6" w:space="0" w:color="000000" w:themeColor="text1"/>
              <w:bottom w:val="single" w:sz="6" w:space="0" w:color="000000" w:themeColor="text1"/>
            </w:tcBorders>
            <w:shd w:val="clear" w:color="auto" w:fill="009999"/>
          </w:tcPr>
          <w:p w14:paraId="058D5A28" w14:textId="77777777" w:rsidR="000D2CBC" w:rsidRPr="001439F7" w:rsidRDefault="000D2CBC">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0D2CBC" w:rsidRPr="00420561" w14:paraId="1D2FFA45" w14:textId="77777777">
        <w:trPr>
          <w:trHeight w:val="1056"/>
        </w:trPr>
        <w:tc>
          <w:tcPr>
            <w:tcW w:w="0" w:type="auto"/>
            <w:vMerge w:val="restart"/>
            <w:shd w:val="clear" w:color="auto" w:fill="F2F2F2" w:themeFill="background1" w:themeFillShade="F2"/>
          </w:tcPr>
          <w:p w14:paraId="16E1F92F" w14:textId="1745B701" w:rsidR="000D2CBC" w:rsidRPr="00E84B05" w:rsidRDefault="000D2CBC">
            <w:pPr>
              <w:spacing w:after="0" w:line="276" w:lineRule="auto"/>
              <w:rPr>
                <w:rFonts w:eastAsia="Arial" w:cs="Arial"/>
                <w:b/>
              </w:rPr>
            </w:pPr>
            <w:r w:rsidRPr="00E84B05">
              <w:rPr>
                <w:rFonts w:eastAsia="Arial" w:cs="Arial"/>
                <w:b/>
              </w:rPr>
              <w:t>3.</w:t>
            </w:r>
            <w:r w:rsidR="00FB6B80">
              <w:rPr>
                <w:rFonts w:eastAsia="Arial" w:cs="Arial"/>
                <w:b/>
              </w:rPr>
              <w:t>26</w:t>
            </w:r>
          </w:p>
        </w:tc>
        <w:tc>
          <w:tcPr>
            <w:tcW w:w="7804" w:type="dxa"/>
            <w:vMerge w:val="restart"/>
            <w:shd w:val="clear" w:color="auto" w:fill="F2F2F2" w:themeFill="background1" w:themeFillShade="F2"/>
          </w:tcPr>
          <w:p w14:paraId="7621351F" w14:textId="491D8F5C" w:rsidR="000D2CBC" w:rsidRPr="00E84B05" w:rsidRDefault="000D2CBC">
            <w:pPr>
              <w:pStyle w:val="NormalWeb"/>
              <w:spacing w:before="0" w:beforeAutospacing="0" w:after="120" w:afterAutospacing="0"/>
              <w:rPr>
                <w:rFonts w:ascii="Arial" w:hAnsi="Arial" w:cs="Arial"/>
                <w:sz w:val="22"/>
                <w:szCs w:val="22"/>
              </w:rPr>
            </w:pPr>
            <w:r w:rsidRPr="00E84B05">
              <w:rPr>
                <w:rFonts w:ascii="Arial" w:hAnsi="Arial" w:cs="Arial"/>
                <w:sz w:val="22"/>
                <w:szCs w:val="22"/>
              </w:rPr>
              <w:t>Please confirm that you have not identified any</w:t>
            </w:r>
            <w:r w:rsidR="00D86EDC">
              <w:rPr>
                <w:rFonts w:ascii="Arial" w:hAnsi="Arial" w:cs="Arial"/>
                <w:sz w:val="22"/>
                <w:szCs w:val="22"/>
              </w:rPr>
              <w:t xml:space="preserve"> conflict(s) of interest or potential</w:t>
            </w:r>
            <w:r w:rsidRPr="00E84B05">
              <w:rPr>
                <w:rFonts w:ascii="Arial" w:hAnsi="Arial" w:cs="Arial"/>
                <w:sz w:val="22"/>
                <w:szCs w:val="22"/>
              </w:rPr>
              <w:t xml:space="preserve"> conflict(s) of interest </w:t>
            </w:r>
            <w:r w:rsidR="00992D8B">
              <w:rPr>
                <w:rFonts w:ascii="Arial" w:hAnsi="Arial" w:cs="Arial"/>
                <w:sz w:val="22"/>
                <w:szCs w:val="22"/>
              </w:rPr>
              <w:t xml:space="preserve">(COI) </w:t>
            </w:r>
            <w:r w:rsidRPr="00E84B05">
              <w:rPr>
                <w:rFonts w:ascii="Arial" w:hAnsi="Arial" w:cs="Arial"/>
                <w:sz w:val="22"/>
                <w:szCs w:val="22"/>
              </w:rPr>
              <w:t xml:space="preserve">in submitting your tender response to this </w:t>
            </w:r>
            <w:r w:rsidRPr="00992D8B">
              <w:rPr>
                <w:rFonts w:ascii="Arial" w:hAnsi="Arial" w:cs="Arial"/>
                <w:sz w:val="22"/>
                <w:szCs w:val="22"/>
              </w:rPr>
              <w:t>procurement.</w:t>
            </w:r>
            <w:r w:rsidR="00992D8B" w:rsidRPr="00992D8B">
              <w:rPr>
                <w:rFonts w:ascii="Arial" w:hAnsi="Arial" w:cs="Arial"/>
                <w:sz w:val="22"/>
                <w:szCs w:val="22"/>
              </w:rPr>
              <w:t xml:space="preserve"> </w:t>
            </w:r>
            <w:r w:rsidR="00992D8B" w:rsidRPr="00CD5562">
              <w:rPr>
                <w:rStyle w:val="cf01"/>
                <w:rFonts w:ascii="Arial" w:hAnsi="Arial" w:cs="Arial"/>
                <w:sz w:val="22"/>
                <w:szCs w:val="22"/>
              </w:rPr>
              <w:t xml:space="preserve">For the avoidance of doubt, please respond Yes to confirm you have identified no </w:t>
            </w:r>
            <w:r w:rsidR="00992D8B">
              <w:rPr>
                <w:rStyle w:val="cf01"/>
                <w:rFonts w:ascii="Arial" w:hAnsi="Arial" w:cs="Arial"/>
                <w:sz w:val="22"/>
                <w:szCs w:val="22"/>
              </w:rPr>
              <w:t>COI.</w:t>
            </w:r>
          </w:p>
          <w:p w14:paraId="72FFD72D" w14:textId="0A748F52" w:rsidR="000D2CBC" w:rsidRPr="00E84B05" w:rsidRDefault="000D2CBC">
            <w:pPr>
              <w:pStyle w:val="NormalWeb"/>
              <w:spacing w:before="0" w:beforeAutospacing="0" w:after="120" w:afterAutospacing="0"/>
              <w:rPr>
                <w:rFonts w:ascii="Arial" w:hAnsi="Arial" w:cs="Arial"/>
                <w:sz w:val="22"/>
                <w:szCs w:val="22"/>
              </w:rPr>
            </w:pPr>
            <w:r w:rsidRPr="00E84B05">
              <w:rPr>
                <w:rFonts w:ascii="Arial" w:hAnsi="Arial" w:cs="Arial"/>
                <w:sz w:val="22"/>
                <w:szCs w:val="22"/>
              </w:rPr>
              <w:t xml:space="preserve">Where a </w:t>
            </w:r>
            <w:r w:rsidR="00992D8B">
              <w:rPr>
                <w:rFonts w:ascii="Arial" w:hAnsi="Arial" w:cs="Arial"/>
                <w:sz w:val="22"/>
                <w:szCs w:val="22"/>
              </w:rPr>
              <w:t>C</w:t>
            </w:r>
            <w:r w:rsidR="00992D8B">
              <w:t>OI</w:t>
            </w:r>
            <w:r w:rsidRPr="00E84B05">
              <w:rPr>
                <w:rFonts w:ascii="Arial" w:hAnsi="Arial" w:cs="Arial"/>
                <w:sz w:val="22"/>
                <w:szCs w:val="22"/>
              </w:rPr>
              <w:t xml:space="preserve"> has been identified, please respond ‘No’ and provide further details.</w:t>
            </w:r>
          </w:p>
          <w:p w14:paraId="5BEECF5C" w14:textId="34AAEFF7" w:rsidR="000D2CBC" w:rsidRPr="00E84B05" w:rsidRDefault="000D2CBC">
            <w:pPr>
              <w:pStyle w:val="NormalWeb"/>
              <w:spacing w:before="0" w:beforeAutospacing="0" w:after="120" w:afterAutospacing="0"/>
              <w:rPr>
                <w:rFonts w:ascii="Arial" w:hAnsi="Arial" w:cs="Arial"/>
                <w:sz w:val="22"/>
                <w:szCs w:val="22"/>
              </w:rPr>
            </w:pPr>
            <w:r w:rsidRPr="00E84B05">
              <w:rPr>
                <w:rFonts w:ascii="Arial" w:hAnsi="Arial" w:cs="Arial"/>
                <w:sz w:val="22"/>
                <w:szCs w:val="22"/>
              </w:rPr>
              <w:t xml:space="preserve">Where a </w:t>
            </w:r>
            <w:r>
              <w:rPr>
                <w:rFonts w:ascii="Arial" w:hAnsi="Arial" w:cs="Arial"/>
                <w:sz w:val="22"/>
                <w:szCs w:val="22"/>
              </w:rPr>
              <w:t>Supplier</w:t>
            </w:r>
            <w:r w:rsidRPr="00E84B05">
              <w:rPr>
                <w:rFonts w:ascii="Arial" w:hAnsi="Arial" w:cs="Arial"/>
                <w:sz w:val="22"/>
                <w:szCs w:val="22"/>
              </w:rPr>
              <w:t xml:space="preserve"> identifies a potential conflict of interest, HMRC will look to remedy any COI without excluding the </w:t>
            </w:r>
            <w:r>
              <w:rPr>
                <w:rFonts w:ascii="Arial" w:hAnsi="Arial" w:cs="Arial"/>
                <w:sz w:val="22"/>
                <w:szCs w:val="22"/>
              </w:rPr>
              <w:t>Supplier</w:t>
            </w:r>
            <w:r w:rsidRPr="00E84B05">
              <w:rPr>
                <w:rFonts w:ascii="Arial" w:hAnsi="Arial" w:cs="Arial"/>
                <w:sz w:val="22"/>
                <w:szCs w:val="22"/>
              </w:rPr>
              <w:t xml:space="preserve"> from the procurement process wherever possible. HMRC does however reserve the right to exclude the </w:t>
            </w:r>
            <w:r>
              <w:rPr>
                <w:rFonts w:ascii="Arial" w:hAnsi="Arial" w:cs="Arial"/>
                <w:sz w:val="22"/>
                <w:szCs w:val="22"/>
              </w:rPr>
              <w:t>Supplier</w:t>
            </w:r>
            <w:r w:rsidRPr="00E84B05">
              <w:rPr>
                <w:rFonts w:ascii="Arial" w:hAnsi="Arial" w:cs="Arial"/>
                <w:sz w:val="22"/>
                <w:szCs w:val="22"/>
              </w:rPr>
              <w:t xml:space="preserve"> from this procurement process where such a COI cannot be remedied by other means, to the satisfaction of HMRC.</w:t>
            </w:r>
          </w:p>
          <w:p w14:paraId="7395D98E" w14:textId="77777777" w:rsidR="000D2CBC" w:rsidRPr="00E84B05" w:rsidRDefault="000D2CBC">
            <w:pPr>
              <w:pStyle w:val="NormalWeb"/>
              <w:spacing w:before="0" w:beforeAutospacing="0" w:after="120" w:afterAutospacing="0"/>
              <w:rPr>
                <w:rFonts w:ascii="Arial" w:hAnsi="Arial" w:cs="Arial"/>
                <w:sz w:val="22"/>
                <w:szCs w:val="22"/>
              </w:rPr>
            </w:pPr>
            <w:r w:rsidRPr="00E84B05">
              <w:rPr>
                <w:rFonts w:ascii="Arial" w:hAnsi="Arial" w:cs="Arial"/>
                <w:sz w:val="22"/>
                <w:szCs w:val="22"/>
              </w:rPr>
              <w:t>Withholding knowledge of a COI may result in disqualification from the tender exercise. Once a contract is awarded, the supplier still has a continuing obligation to make HMRC aware of any new conflicts and to maintain where necessary any mitigating actions.</w:t>
            </w:r>
          </w:p>
          <w:p w14:paraId="56C81452" w14:textId="77777777" w:rsidR="000D2CBC" w:rsidRPr="00E84B05" w:rsidRDefault="000D2CBC">
            <w:pPr>
              <w:pStyle w:val="NormalWeb"/>
              <w:spacing w:before="0" w:beforeAutospacing="0" w:after="120" w:afterAutospacing="0"/>
              <w:rPr>
                <w:rFonts w:ascii="Arial" w:hAnsi="Arial" w:cs="Arial"/>
                <w:sz w:val="22"/>
                <w:szCs w:val="22"/>
              </w:rPr>
            </w:pPr>
          </w:p>
        </w:tc>
        <w:tc>
          <w:tcPr>
            <w:tcW w:w="4179" w:type="dxa"/>
            <w:tcBorders>
              <w:top w:val="single" w:sz="6" w:space="0" w:color="000000" w:themeColor="text1"/>
              <w:bottom w:val="single" w:sz="6" w:space="0" w:color="000000" w:themeColor="text1"/>
            </w:tcBorders>
          </w:tcPr>
          <w:p w14:paraId="54C071D1" w14:textId="77777777" w:rsidR="000D2CBC" w:rsidRPr="00E84B05" w:rsidRDefault="000D2CBC">
            <w:pPr>
              <w:tabs>
                <w:tab w:val="left" w:pos="591"/>
              </w:tabs>
              <w:spacing w:after="0" w:line="276" w:lineRule="auto"/>
              <w:rPr>
                <w:rFonts w:eastAsia="Times New Roman" w:cs="Calibri"/>
              </w:rPr>
            </w:pPr>
            <w:r w:rsidRPr="00E84B05">
              <w:rPr>
                <w:rFonts w:eastAsia="Arial" w:cs="Calibri"/>
              </w:rPr>
              <w:t xml:space="preserve">Yes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75DB4B92" w14:textId="77777777" w:rsidR="000D2CBC" w:rsidRPr="00E84B05" w:rsidRDefault="000D2CBC">
            <w:pPr>
              <w:tabs>
                <w:tab w:val="left" w:pos="594"/>
              </w:tabs>
              <w:spacing w:after="0" w:line="276" w:lineRule="auto"/>
              <w:rPr>
                <w:rFonts w:eastAsia="Times New Roman" w:cs="Calibri"/>
              </w:rPr>
            </w:pPr>
            <w:r w:rsidRPr="00E84B05">
              <w:rPr>
                <w:rFonts w:eastAsia="Arial" w:cs="Calibri"/>
              </w:rPr>
              <w:t xml:space="preserve">No </w:t>
            </w:r>
            <w:r w:rsidRPr="00E84B05">
              <w:rPr>
                <w:rFonts w:eastAsia="Arial" w:cs="Calibri"/>
              </w:rPr>
              <w:tab/>
            </w:r>
            <w:r w:rsidRPr="00E84B05">
              <w:rPr>
                <w:rFonts w:eastAsia="Times New Roman" w:cs="Calibri"/>
              </w:rPr>
              <w:fldChar w:fldCharType="begin">
                <w:ffData>
                  <w:name w:val="Check1"/>
                  <w:enabled/>
                  <w:calcOnExit w:val="0"/>
                  <w:checkBox>
                    <w:sizeAuto/>
                    <w:default w:val="0"/>
                  </w:checkBox>
                </w:ffData>
              </w:fldChar>
            </w:r>
            <w:r w:rsidRPr="00E84B05">
              <w:rPr>
                <w:rFonts w:eastAsia="Times New Roman" w:cs="Calibri"/>
              </w:rPr>
              <w:instrText xml:space="preserve"> FORMCHECKBOX </w:instrText>
            </w:r>
            <w:r w:rsidR="00084E0F">
              <w:rPr>
                <w:rFonts w:eastAsia="Times New Roman" w:cs="Calibri"/>
              </w:rPr>
            </w:r>
            <w:r w:rsidR="00084E0F">
              <w:rPr>
                <w:rFonts w:eastAsia="Times New Roman" w:cs="Calibri"/>
              </w:rPr>
              <w:fldChar w:fldCharType="separate"/>
            </w:r>
            <w:r w:rsidRPr="00E84B05">
              <w:rPr>
                <w:rFonts w:eastAsia="Times New Roman" w:cs="Calibri"/>
              </w:rPr>
              <w:fldChar w:fldCharType="end"/>
            </w:r>
          </w:p>
          <w:p w14:paraId="78EF0869" w14:textId="77777777" w:rsidR="000D2CBC" w:rsidRPr="00E84B05" w:rsidRDefault="000D2CBC">
            <w:pPr>
              <w:tabs>
                <w:tab w:val="left" w:pos="594"/>
              </w:tabs>
              <w:spacing w:after="0" w:line="276" w:lineRule="auto"/>
              <w:rPr>
                <w:rFonts w:eastAsia="Times New Roman" w:cs="Calibri"/>
              </w:rPr>
            </w:pPr>
          </w:p>
          <w:p w14:paraId="0522A566" w14:textId="77777777" w:rsidR="000D2CBC" w:rsidRPr="00E84B05" w:rsidRDefault="000D2CBC">
            <w:pPr>
              <w:tabs>
                <w:tab w:val="left" w:pos="594"/>
              </w:tabs>
              <w:spacing w:after="0" w:line="276" w:lineRule="auto"/>
              <w:rPr>
                <w:rFonts w:eastAsia="Arial" w:cs="Arial"/>
              </w:rPr>
            </w:pPr>
          </w:p>
        </w:tc>
      </w:tr>
      <w:tr w:rsidR="000D2CBC" w:rsidRPr="00420561" w14:paraId="58D5F775" w14:textId="77777777">
        <w:trPr>
          <w:trHeight w:val="1056"/>
        </w:trPr>
        <w:tc>
          <w:tcPr>
            <w:tcW w:w="0" w:type="auto"/>
            <w:vMerge/>
          </w:tcPr>
          <w:p w14:paraId="54A0F617" w14:textId="77777777" w:rsidR="000D2CBC" w:rsidRPr="00E84B05" w:rsidRDefault="000D2CBC">
            <w:pPr>
              <w:spacing w:after="0" w:line="276" w:lineRule="auto"/>
              <w:rPr>
                <w:rFonts w:eastAsia="Arial" w:cs="Arial"/>
                <w:b/>
              </w:rPr>
            </w:pPr>
          </w:p>
        </w:tc>
        <w:tc>
          <w:tcPr>
            <w:tcW w:w="7804" w:type="dxa"/>
            <w:vMerge/>
          </w:tcPr>
          <w:p w14:paraId="3E0DC611" w14:textId="77777777" w:rsidR="000D2CBC" w:rsidRPr="00E84B05" w:rsidRDefault="000D2CBC">
            <w:pPr>
              <w:pStyle w:val="NormalWeb"/>
              <w:spacing w:before="0" w:beforeAutospacing="0" w:after="120" w:afterAutospacing="0"/>
              <w:rPr>
                <w:rFonts w:ascii="Arial" w:hAnsi="Arial" w:cs="Arial"/>
                <w:sz w:val="22"/>
                <w:szCs w:val="22"/>
              </w:rPr>
            </w:pPr>
          </w:p>
        </w:tc>
        <w:tc>
          <w:tcPr>
            <w:tcW w:w="4179" w:type="dxa"/>
            <w:tcBorders>
              <w:top w:val="single" w:sz="6" w:space="0" w:color="000000" w:themeColor="text1"/>
              <w:bottom w:val="single" w:sz="6" w:space="0" w:color="000000" w:themeColor="text1"/>
            </w:tcBorders>
          </w:tcPr>
          <w:p w14:paraId="317461BA" w14:textId="77777777" w:rsidR="000D2CBC" w:rsidRPr="00E84B05" w:rsidRDefault="000D2CBC">
            <w:pPr>
              <w:tabs>
                <w:tab w:val="left" w:pos="591"/>
              </w:tabs>
              <w:spacing w:after="0" w:line="276" w:lineRule="auto"/>
              <w:rPr>
                <w:rFonts w:eastAsia="Arial" w:cs="Calibri"/>
              </w:rPr>
            </w:pPr>
            <w:r w:rsidRPr="00E84B05">
              <w:rPr>
                <w:rFonts w:eastAsia="Arial" w:cs="Calibri"/>
              </w:rPr>
              <w:t>[If a conflict of interest has been identified, provide further detail here]</w:t>
            </w:r>
          </w:p>
        </w:tc>
      </w:tr>
    </w:tbl>
    <w:p w14:paraId="23832A02" w14:textId="344039D3" w:rsidR="000D2CBC" w:rsidRPr="00E84B05" w:rsidRDefault="000D2CBC" w:rsidP="000D2CBC">
      <w:pPr>
        <w:spacing w:after="0" w:line="276" w:lineRule="auto"/>
        <w:ind w:firstLine="720"/>
        <w:rPr>
          <w:rFonts w:cs="Calibri"/>
        </w:rPr>
      </w:pPr>
    </w:p>
    <w:p w14:paraId="79EF54C8" w14:textId="5A37197B" w:rsidR="000D2CBC" w:rsidRPr="00E84B05" w:rsidRDefault="000D2CBC" w:rsidP="000D2CBC">
      <w:pPr>
        <w:pageBreakBefore/>
        <w:spacing w:after="0" w:line="276" w:lineRule="auto"/>
        <w:rPr>
          <w:rFonts w:eastAsia="Arial" w:cs="Calibri"/>
          <w:b/>
        </w:rPr>
      </w:pPr>
      <w:bookmarkStart w:id="159" w:name="_Toc192615565"/>
      <w:r w:rsidRPr="00E84B05">
        <w:rPr>
          <w:rFonts w:eastAsia="Arial" w:cs="Calibri"/>
          <w:b/>
        </w:rPr>
        <w:t>Declaration and Contact Details</w:t>
      </w:r>
    </w:p>
    <w:p w14:paraId="6D94767D" w14:textId="69FAE830" w:rsidR="000D2CBC" w:rsidRPr="00E84B05" w:rsidRDefault="000D2CBC" w:rsidP="00FF7AA4"/>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4816"/>
        <w:gridCol w:w="4190"/>
      </w:tblGrid>
      <w:tr w:rsidR="000D2CBC" w:rsidRPr="00605283" w14:paraId="566198B8" w14:textId="77777777">
        <w:trPr>
          <w:trHeight w:val="283"/>
        </w:trPr>
        <w:tc>
          <w:tcPr>
            <w:tcW w:w="5000" w:type="pct"/>
            <w:gridSpan w:val="2"/>
            <w:tcBorders>
              <w:top w:val="single" w:sz="6" w:space="0" w:color="000000"/>
              <w:bottom w:val="single" w:sz="6" w:space="0" w:color="000000"/>
            </w:tcBorders>
            <w:shd w:val="clear" w:color="auto" w:fill="D9E2F3" w:themeFill="accent1" w:themeFillTint="33"/>
          </w:tcPr>
          <w:bookmarkEnd w:id="159"/>
          <w:p w14:paraId="739280BC" w14:textId="4FBFF83E" w:rsidR="000D2CBC" w:rsidRPr="00E84B05" w:rsidRDefault="000D2CBC">
            <w:pPr>
              <w:tabs>
                <w:tab w:val="center" w:pos="4005"/>
              </w:tabs>
              <w:spacing w:after="0" w:line="276" w:lineRule="auto"/>
              <w:rPr>
                <w:rFonts w:eastAsia="Arial" w:cs="Calibri"/>
                <w:b/>
              </w:rPr>
            </w:pPr>
            <w:r w:rsidRPr="00E84B05">
              <w:rPr>
                <w:rFonts w:eastAsia="Arial" w:cs="Calibri"/>
                <w:b/>
              </w:rPr>
              <w:t>3.</w:t>
            </w:r>
            <w:r w:rsidR="00FB6B80">
              <w:rPr>
                <w:rFonts w:eastAsia="Arial" w:cs="Calibri"/>
                <w:b/>
              </w:rPr>
              <w:t>27</w:t>
            </w:r>
            <w:r w:rsidRPr="00E84B05">
              <w:rPr>
                <w:rFonts w:eastAsia="Arial" w:cs="Calibri"/>
                <w:b/>
              </w:rPr>
              <w:t xml:space="preserve"> Declaration</w:t>
            </w:r>
          </w:p>
        </w:tc>
      </w:tr>
      <w:tr w:rsidR="000D2CBC" w:rsidRPr="00605283" w14:paraId="745DCEF8" w14:textId="77777777">
        <w:trPr>
          <w:trHeight w:val="283"/>
        </w:trPr>
        <w:tc>
          <w:tcPr>
            <w:tcW w:w="5000" w:type="pct"/>
            <w:gridSpan w:val="2"/>
            <w:tcBorders>
              <w:top w:val="single" w:sz="6" w:space="0" w:color="000000"/>
              <w:bottom w:val="single" w:sz="6" w:space="0" w:color="000000"/>
            </w:tcBorders>
            <w:shd w:val="clear" w:color="auto" w:fill="D9E2F3" w:themeFill="accent1" w:themeFillTint="33"/>
          </w:tcPr>
          <w:p w14:paraId="792C9E63" w14:textId="77777777" w:rsidR="000D2CBC" w:rsidRPr="00E84B05" w:rsidRDefault="000D2CBC">
            <w:pPr>
              <w:tabs>
                <w:tab w:val="center" w:pos="4005"/>
              </w:tabs>
              <w:spacing w:after="0" w:line="276" w:lineRule="auto"/>
              <w:rPr>
                <w:rFonts w:eastAsia="Arial" w:cs="Calibri"/>
              </w:rPr>
            </w:pPr>
            <w:r w:rsidRPr="00E84B05">
              <w:rPr>
                <w:rFonts w:eastAsia="Arial" w:cs="Calibri"/>
              </w:rPr>
              <w:t>I declare that:</w:t>
            </w:r>
          </w:p>
          <w:p w14:paraId="3FC52A1C" w14:textId="77777777" w:rsidR="000D2CBC" w:rsidRPr="00E84B05" w:rsidRDefault="000D2CBC" w:rsidP="0085565B">
            <w:pPr>
              <w:pStyle w:val="ListParagraph"/>
              <w:numPr>
                <w:ilvl w:val="0"/>
                <w:numId w:val="24"/>
              </w:numPr>
              <w:rPr>
                <w:rFonts w:eastAsia="Arial" w:cs="Calibri"/>
              </w:rPr>
            </w:pPr>
            <w:r w:rsidRPr="00E84B05">
              <w:rPr>
                <w:rFonts w:eastAsia="Arial" w:cs="Calibri"/>
              </w:rPr>
              <w:t xml:space="preserve">to the best of my knowledge the answers </w:t>
            </w:r>
            <w:proofErr w:type="gramStart"/>
            <w:r w:rsidRPr="00E84B05">
              <w:rPr>
                <w:rFonts w:eastAsia="Arial" w:cs="Calibri"/>
              </w:rPr>
              <w:t>submitted</w:t>
            </w:r>
            <w:proofErr w:type="gramEnd"/>
            <w:r w:rsidRPr="00E84B05">
              <w:rPr>
                <w:rFonts w:eastAsia="Arial" w:cs="Calibri"/>
              </w:rPr>
              <w:t xml:space="preserve"> and information contained in this document are complete, accurate and not misleading</w:t>
            </w:r>
          </w:p>
          <w:p w14:paraId="09ED4E9D" w14:textId="77777777" w:rsidR="000D2CBC" w:rsidRPr="00E84B05" w:rsidRDefault="000D2CBC" w:rsidP="0085565B">
            <w:pPr>
              <w:pStyle w:val="ListParagraph"/>
              <w:numPr>
                <w:ilvl w:val="0"/>
                <w:numId w:val="24"/>
              </w:numPr>
              <w:rPr>
                <w:rFonts w:eastAsia="Arial" w:cs="Calibri"/>
              </w:rPr>
            </w:pPr>
            <w:r w:rsidRPr="00E84B05">
              <w:rPr>
                <w:rFonts w:eastAsia="Arial" w:cs="Calibri"/>
              </w:rPr>
              <w:t>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w:t>
            </w:r>
          </w:p>
          <w:p w14:paraId="6FED99B9" w14:textId="77777777" w:rsidR="000D2CBC" w:rsidRPr="00E84B05" w:rsidRDefault="000D2CBC" w:rsidP="0085565B">
            <w:pPr>
              <w:pStyle w:val="ListParagraph"/>
              <w:numPr>
                <w:ilvl w:val="0"/>
                <w:numId w:val="24"/>
              </w:numPr>
              <w:rPr>
                <w:rFonts w:eastAsia="Arial" w:cs="Calibri"/>
              </w:rPr>
            </w:pPr>
            <w:r w:rsidRPr="00E84B05">
              <w:rPr>
                <w:rFonts w:eastAsia="Arial" w:cs="Calibri"/>
              </w:rPr>
              <w:t xml:space="preserve">I understand that the response to this questionnaire will be used to assess whether our organisation is entitled to participate in, or continue to participate in, this </w:t>
            </w:r>
            <w:proofErr w:type="gramStart"/>
            <w:r w:rsidRPr="00E84B05">
              <w:rPr>
                <w:rFonts w:eastAsia="Arial" w:cs="Calibri"/>
              </w:rPr>
              <w:t>procurement</w:t>
            </w:r>
            <w:proofErr w:type="gramEnd"/>
          </w:p>
          <w:p w14:paraId="092F535C" w14:textId="77777777" w:rsidR="000D2CBC" w:rsidRPr="00E84B05" w:rsidRDefault="000D2CBC" w:rsidP="0085565B">
            <w:pPr>
              <w:pStyle w:val="ListParagraph"/>
              <w:numPr>
                <w:ilvl w:val="0"/>
                <w:numId w:val="24"/>
              </w:numPr>
              <w:rPr>
                <w:rFonts w:eastAsia="Times New Roman" w:cs="Calibri"/>
                <w:b/>
              </w:rPr>
            </w:pPr>
            <w:r w:rsidRPr="00E84B05">
              <w:rPr>
                <w:rFonts w:eastAsia="Arial" w:cs="Calibri"/>
              </w:rPr>
              <w:t xml:space="preserve">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w:t>
            </w:r>
            <w:proofErr w:type="gramStart"/>
            <w:r w:rsidRPr="00E84B05">
              <w:rPr>
                <w:rFonts w:eastAsia="Arial" w:cs="Calibri"/>
              </w:rPr>
              <w:t>procurement</w:t>
            </w:r>
            <w:proofErr w:type="gramEnd"/>
          </w:p>
          <w:p w14:paraId="779D9B5A" w14:textId="77777777" w:rsidR="000D2CBC" w:rsidRPr="00E84B05" w:rsidRDefault="000D2CBC" w:rsidP="0085565B">
            <w:pPr>
              <w:pStyle w:val="ListParagraph"/>
              <w:numPr>
                <w:ilvl w:val="0"/>
                <w:numId w:val="24"/>
              </w:numPr>
              <w:rPr>
                <w:rFonts w:eastAsia="Times New Roman" w:cs="Calibri"/>
                <w:b/>
              </w:rPr>
            </w:pPr>
            <w:r w:rsidRPr="00E84B05">
              <w:rPr>
                <w:rFonts w:eastAsia="Arial" w:cs="Calibri"/>
              </w:rPr>
              <w:t>I am aware of the consequences of serious misrepresentation</w:t>
            </w:r>
          </w:p>
        </w:tc>
      </w:tr>
      <w:tr w:rsidR="000D2CBC" w:rsidRPr="00605283" w14:paraId="411B9F47" w14:textId="77777777">
        <w:trPr>
          <w:trHeight w:val="300"/>
        </w:trPr>
        <w:tc>
          <w:tcPr>
            <w:tcW w:w="2674" w:type="pct"/>
            <w:tcBorders>
              <w:top w:val="single" w:sz="6" w:space="0" w:color="000000"/>
              <w:bottom w:val="single" w:sz="6" w:space="0" w:color="000000"/>
            </w:tcBorders>
            <w:shd w:val="clear" w:color="auto" w:fill="D9E2F3" w:themeFill="accent1" w:themeFillTint="33"/>
          </w:tcPr>
          <w:p w14:paraId="4DD9E2EC" w14:textId="77777777" w:rsidR="000D2CBC" w:rsidRPr="00E84B05" w:rsidRDefault="000D2CBC">
            <w:pPr>
              <w:spacing w:after="0" w:line="276" w:lineRule="auto"/>
              <w:rPr>
                <w:rFonts w:eastAsia="Times New Roman" w:cs="Calibri"/>
              </w:rPr>
            </w:pPr>
            <w:r w:rsidRPr="00E84B05">
              <w:rPr>
                <w:rFonts w:eastAsia="Arial" w:cs="Calibri"/>
              </w:rPr>
              <w:t>Signature (electronic is acceptable)</w:t>
            </w:r>
          </w:p>
        </w:tc>
        <w:tc>
          <w:tcPr>
            <w:tcW w:w="2326" w:type="pct"/>
            <w:tcBorders>
              <w:top w:val="single" w:sz="6" w:space="0" w:color="000000"/>
              <w:bottom w:val="single" w:sz="6" w:space="0" w:color="000000"/>
            </w:tcBorders>
          </w:tcPr>
          <w:p w14:paraId="3AE3680D" w14:textId="77777777" w:rsidR="000D2CBC" w:rsidRPr="00E84B05" w:rsidRDefault="000D2CBC">
            <w:pPr>
              <w:spacing w:after="0" w:line="276" w:lineRule="auto"/>
              <w:rPr>
                <w:rFonts w:eastAsia="Times New Roman" w:cs="Calibri"/>
              </w:rPr>
            </w:pPr>
          </w:p>
        </w:tc>
      </w:tr>
      <w:tr w:rsidR="000D2CBC" w:rsidRPr="00605283" w14:paraId="32186F69" w14:textId="77777777">
        <w:trPr>
          <w:trHeight w:val="300"/>
        </w:trPr>
        <w:tc>
          <w:tcPr>
            <w:tcW w:w="2674" w:type="pct"/>
            <w:tcBorders>
              <w:top w:val="single" w:sz="6" w:space="0" w:color="000000"/>
              <w:bottom w:val="single" w:sz="6" w:space="0" w:color="000000"/>
            </w:tcBorders>
            <w:shd w:val="clear" w:color="auto" w:fill="D9E2F3" w:themeFill="accent1" w:themeFillTint="33"/>
          </w:tcPr>
          <w:p w14:paraId="5BBA377D" w14:textId="77777777" w:rsidR="000D2CBC" w:rsidRPr="00E84B05" w:rsidRDefault="000D2CBC">
            <w:pPr>
              <w:spacing w:after="0" w:line="276" w:lineRule="auto"/>
              <w:rPr>
                <w:rFonts w:eastAsia="Arial" w:cs="Calibri"/>
              </w:rPr>
            </w:pPr>
            <w:r w:rsidRPr="00E84B05">
              <w:rPr>
                <w:rFonts w:eastAsia="Arial" w:cs="Calibri"/>
              </w:rPr>
              <w:t>Date</w:t>
            </w:r>
          </w:p>
        </w:tc>
        <w:tc>
          <w:tcPr>
            <w:tcW w:w="2326" w:type="pct"/>
            <w:tcBorders>
              <w:top w:val="single" w:sz="6" w:space="0" w:color="000000"/>
              <w:bottom w:val="single" w:sz="6" w:space="0" w:color="000000"/>
            </w:tcBorders>
          </w:tcPr>
          <w:p w14:paraId="11EFA84E" w14:textId="77777777" w:rsidR="000D2CBC" w:rsidRPr="00E84B05" w:rsidRDefault="000D2CBC">
            <w:pPr>
              <w:spacing w:after="0" w:line="276" w:lineRule="auto"/>
              <w:rPr>
                <w:rFonts w:eastAsia="Times New Roman" w:cs="Calibri"/>
              </w:rPr>
            </w:pPr>
          </w:p>
        </w:tc>
      </w:tr>
      <w:tr w:rsidR="000D2CBC" w:rsidRPr="00605283" w14:paraId="1FA0E079" w14:textId="77777777">
        <w:trPr>
          <w:trHeight w:val="300"/>
        </w:trPr>
        <w:tc>
          <w:tcPr>
            <w:tcW w:w="2674" w:type="pct"/>
            <w:tcBorders>
              <w:top w:val="single" w:sz="6" w:space="0" w:color="000000"/>
              <w:bottom w:val="single" w:sz="6" w:space="0" w:color="000000"/>
            </w:tcBorders>
            <w:shd w:val="clear" w:color="auto" w:fill="D9E2F3" w:themeFill="accent1" w:themeFillTint="33"/>
          </w:tcPr>
          <w:p w14:paraId="6E76D606" w14:textId="77777777" w:rsidR="000D2CBC" w:rsidRPr="00E84B05" w:rsidRDefault="000D2CBC">
            <w:pPr>
              <w:spacing w:after="0" w:line="276" w:lineRule="auto"/>
              <w:rPr>
                <w:rFonts w:eastAsia="Arial" w:cs="Calibri"/>
              </w:rPr>
            </w:pPr>
            <w:r w:rsidRPr="00E84B05">
              <w:rPr>
                <w:rFonts w:eastAsia="Arial" w:cs="Calibri"/>
              </w:rPr>
              <w:t>Name</w:t>
            </w:r>
          </w:p>
        </w:tc>
        <w:tc>
          <w:tcPr>
            <w:tcW w:w="2326" w:type="pct"/>
            <w:tcBorders>
              <w:top w:val="single" w:sz="6" w:space="0" w:color="000000"/>
              <w:bottom w:val="single" w:sz="6" w:space="0" w:color="000000"/>
            </w:tcBorders>
          </w:tcPr>
          <w:p w14:paraId="5FFD9DF0" w14:textId="77777777" w:rsidR="000D2CBC" w:rsidRPr="00E84B05" w:rsidRDefault="000D2CBC">
            <w:pPr>
              <w:spacing w:after="0" w:line="276" w:lineRule="auto"/>
              <w:rPr>
                <w:rFonts w:eastAsia="Times New Roman" w:cs="Calibri"/>
              </w:rPr>
            </w:pPr>
          </w:p>
        </w:tc>
      </w:tr>
      <w:tr w:rsidR="000D2CBC" w:rsidRPr="00605283" w14:paraId="420EE740" w14:textId="77777777">
        <w:trPr>
          <w:trHeight w:val="300"/>
        </w:trPr>
        <w:tc>
          <w:tcPr>
            <w:tcW w:w="2674" w:type="pct"/>
            <w:tcBorders>
              <w:top w:val="single" w:sz="6" w:space="0" w:color="000000"/>
              <w:bottom w:val="single" w:sz="6" w:space="0" w:color="000000"/>
            </w:tcBorders>
            <w:shd w:val="clear" w:color="auto" w:fill="D9E2F3" w:themeFill="accent1" w:themeFillTint="33"/>
          </w:tcPr>
          <w:p w14:paraId="79D04517" w14:textId="77777777" w:rsidR="000D2CBC" w:rsidRPr="00E84B05" w:rsidRDefault="000D2CBC">
            <w:pPr>
              <w:spacing w:after="0" w:line="276" w:lineRule="auto"/>
              <w:rPr>
                <w:rFonts w:eastAsia="Arial" w:cs="Calibri"/>
              </w:rPr>
            </w:pPr>
            <w:r w:rsidRPr="00E84B05">
              <w:rPr>
                <w:rFonts w:eastAsia="Arial" w:cs="Calibri"/>
              </w:rPr>
              <w:t>Role</w:t>
            </w:r>
          </w:p>
        </w:tc>
        <w:tc>
          <w:tcPr>
            <w:tcW w:w="2326" w:type="pct"/>
            <w:tcBorders>
              <w:top w:val="single" w:sz="6" w:space="0" w:color="000000"/>
              <w:bottom w:val="single" w:sz="6" w:space="0" w:color="000000"/>
            </w:tcBorders>
          </w:tcPr>
          <w:p w14:paraId="45F779F8" w14:textId="77777777" w:rsidR="000D2CBC" w:rsidRPr="00E84B05" w:rsidRDefault="000D2CBC">
            <w:pPr>
              <w:spacing w:after="0" w:line="276" w:lineRule="auto"/>
              <w:rPr>
                <w:rFonts w:eastAsia="Times New Roman" w:cs="Calibri"/>
              </w:rPr>
            </w:pPr>
          </w:p>
        </w:tc>
      </w:tr>
      <w:tr w:rsidR="000D2CBC" w:rsidRPr="00605283" w14:paraId="2995E06B" w14:textId="77777777">
        <w:trPr>
          <w:trHeight w:val="300"/>
        </w:trPr>
        <w:tc>
          <w:tcPr>
            <w:tcW w:w="2674" w:type="pct"/>
            <w:tcBorders>
              <w:top w:val="single" w:sz="6" w:space="0" w:color="000000"/>
              <w:bottom w:val="single" w:sz="6" w:space="0" w:color="000000"/>
            </w:tcBorders>
            <w:shd w:val="clear" w:color="auto" w:fill="D9E2F3" w:themeFill="accent1" w:themeFillTint="33"/>
          </w:tcPr>
          <w:p w14:paraId="50CA5904" w14:textId="77777777" w:rsidR="000D2CBC" w:rsidRPr="00E84B05" w:rsidRDefault="000D2CBC">
            <w:pPr>
              <w:spacing w:after="0" w:line="276" w:lineRule="auto"/>
              <w:rPr>
                <w:rFonts w:eastAsia="Arial" w:cs="Calibri"/>
              </w:rPr>
            </w:pPr>
            <w:r w:rsidRPr="00E84B05">
              <w:rPr>
                <w:rFonts w:eastAsia="Arial" w:cs="Calibri"/>
              </w:rPr>
              <w:t>Phone Number</w:t>
            </w:r>
          </w:p>
        </w:tc>
        <w:tc>
          <w:tcPr>
            <w:tcW w:w="2326" w:type="pct"/>
            <w:tcBorders>
              <w:top w:val="single" w:sz="6" w:space="0" w:color="000000"/>
              <w:bottom w:val="single" w:sz="6" w:space="0" w:color="000000"/>
            </w:tcBorders>
          </w:tcPr>
          <w:p w14:paraId="7DC5D554" w14:textId="77777777" w:rsidR="000D2CBC" w:rsidRPr="00E84B05" w:rsidRDefault="000D2CBC">
            <w:pPr>
              <w:spacing w:after="0" w:line="276" w:lineRule="auto"/>
              <w:rPr>
                <w:rFonts w:eastAsia="Times New Roman" w:cs="Calibri"/>
              </w:rPr>
            </w:pPr>
          </w:p>
        </w:tc>
      </w:tr>
      <w:tr w:rsidR="000D2CBC" w:rsidRPr="00605283" w14:paraId="1A956349" w14:textId="77777777">
        <w:trPr>
          <w:trHeight w:val="300"/>
        </w:trPr>
        <w:tc>
          <w:tcPr>
            <w:tcW w:w="2674" w:type="pct"/>
            <w:tcBorders>
              <w:top w:val="single" w:sz="6" w:space="0" w:color="000000"/>
              <w:bottom w:val="single" w:sz="6" w:space="0" w:color="000000"/>
            </w:tcBorders>
            <w:shd w:val="clear" w:color="auto" w:fill="D9E2F3" w:themeFill="accent1" w:themeFillTint="33"/>
          </w:tcPr>
          <w:p w14:paraId="75CF27BC" w14:textId="77777777" w:rsidR="000D2CBC" w:rsidRPr="00E84B05" w:rsidRDefault="000D2CBC">
            <w:pPr>
              <w:spacing w:after="0" w:line="276" w:lineRule="auto"/>
              <w:rPr>
                <w:rFonts w:eastAsia="Arial" w:cs="Calibri"/>
              </w:rPr>
            </w:pPr>
            <w:r w:rsidRPr="00E84B05">
              <w:rPr>
                <w:rFonts w:eastAsia="Arial" w:cs="Calibri"/>
              </w:rPr>
              <w:t>Email</w:t>
            </w:r>
          </w:p>
        </w:tc>
        <w:tc>
          <w:tcPr>
            <w:tcW w:w="2326" w:type="pct"/>
            <w:tcBorders>
              <w:top w:val="single" w:sz="6" w:space="0" w:color="000000"/>
              <w:bottom w:val="single" w:sz="6" w:space="0" w:color="000000"/>
            </w:tcBorders>
          </w:tcPr>
          <w:p w14:paraId="27344059" w14:textId="77777777" w:rsidR="000D2CBC" w:rsidRPr="00E84B05" w:rsidRDefault="000D2CBC">
            <w:pPr>
              <w:spacing w:after="0" w:line="276" w:lineRule="auto"/>
              <w:rPr>
                <w:rFonts w:eastAsia="Times New Roman" w:cs="Calibri"/>
              </w:rPr>
            </w:pPr>
          </w:p>
        </w:tc>
      </w:tr>
      <w:tr w:rsidR="000D2CBC" w:rsidRPr="00605283" w14:paraId="67B8E9A8" w14:textId="77777777">
        <w:trPr>
          <w:trHeight w:val="1928"/>
        </w:trPr>
        <w:tc>
          <w:tcPr>
            <w:tcW w:w="2674" w:type="pct"/>
            <w:tcBorders>
              <w:top w:val="single" w:sz="6" w:space="0" w:color="000000"/>
            </w:tcBorders>
            <w:shd w:val="clear" w:color="auto" w:fill="D9E2F3" w:themeFill="accent1" w:themeFillTint="33"/>
          </w:tcPr>
          <w:p w14:paraId="700EAFE6" w14:textId="77777777" w:rsidR="000D2CBC" w:rsidRPr="00E84B05" w:rsidRDefault="000D2CBC">
            <w:pPr>
              <w:spacing w:after="0" w:line="276" w:lineRule="auto"/>
              <w:rPr>
                <w:rFonts w:eastAsia="Arial" w:cs="Calibri"/>
              </w:rPr>
            </w:pPr>
            <w:r w:rsidRPr="00E84B05">
              <w:rPr>
                <w:rFonts w:eastAsia="Arial" w:cs="Calibri"/>
              </w:rPr>
              <w:t>Postal Address</w:t>
            </w:r>
          </w:p>
        </w:tc>
        <w:tc>
          <w:tcPr>
            <w:tcW w:w="2326" w:type="pct"/>
            <w:tcBorders>
              <w:top w:val="single" w:sz="6" w:space="0" w:color="000000"/>
            </w:tcBorders>
          </w:tcPr>
          <w:p w14:paraId="7E7EF639" w14:textId="77777777" w:rsidR="000D2CBC" w:rsidRPr="00E84B05" w:rsidRDefault="000D2CBC">
            <w:pPr>
              <w:spacing w:after="0" w:line="276" w:lineRule="auto"/>
              <w:rPr>
                <w:rFonts w:eastAsia="Times New Roman" w:cs="Calibri"/>
              </w:rPr>
            </w:pPr>
          </w:p>
        </w:tc>
      </w:tr>
    </w:tbl>
    <w:p w14:paraId="6011A2AB" w14:textId="77777777" w:rsidR="00CE2D2D" w:rsidRDefault="00CE2D2D" w:rsidP="00A337CE">
      <w:pPr>
        <w:rPr>
          <w:rFonts w:cs="Arial"/>
          <w:b/>
        </w:rPr>
      </w:pPr>
    </w:p>
    <w:p w14:paraId="1753B4DA" w14:textId="77777777" w:rsidR="00C97791" w:rsidRDefault="00C97791" w:rsidP="00747613">
      <w:pPr>
        <w:spacing w:after="240"/>
        <w:rPr>
          <w:rFonts w:cs="Arial"/>
          <w:b/>
          <w:color w:val="009999"/>
          <w:sz w:val="28"/>
          <w:szCs w:val="28"/>
        </w:rPr>
      </w:pPr>
    </w:p>
    <w:p w14:paraId="485D7C7D" w14:textId="77777777" w:rsidR="00C97791" w:rsidRDefault="00C97791" w:rsidP="00747613">
      <w:pPr>
        <w:spacing w:after="240"/>
        <w:rPr>
          <w:rFonts w:cs="Arial"/>
          <w:b/>
          <w:color w:val="009999"/>
          <w:sz w:val="28"/>
          <w:szCs w:val="28"/>
        </w:rPr>
      </w:pPr>
    </w:p>
    <w:p w14:paraId="284E0C49" w14:textId="77777777" w:rsidR="00C97791" w:rsidRDefault="00C97791" w:rsidP="00747613">
      <w:pPr>
        <w:spacing w:after="240"/>
        <w:rPr>
          <w:rFonts w:cs="Arial"/>
          <w:b/>
          <w:color w:val="009999"/>
          <w:sz w:val="28"/>
          <w:szCs w:val="28"/>
        </w:rPr>
      </w:pPr>
    </w:p>
    <w:p w14:paraId="64302E61" w14:textId="77777777" w:rsidR="00C97791" w:rsidRDefault="00C97791" w:rsidP="00747613">
      <w:pPr>
        <w:spacing w:after="240"/>
        <w:rPr>
          <w:rFonts w:cs="Arial"/>
          <w:b/>
          <w:color w:val="009999"/>
          <w:sz w:val="28"/>
          <w:szCs w:val="28"/>
        </w:rPr>
      </w:pPr>
    </w:p>
    <w:p w14:paraId="55DF05C5" w14:textId="77777777" w:rsidR="00C97791" w:rsidRDefault="00C97791" w:rsidP="00747613">
      <w:pPr>
        <w:spacing w:after="240"/>
        <w:rPr>
          <w:rFonts w:cs="Arial"/>
          <w:b/>
          <w:color w:val="009999"/>
          <w:sz w:val="28"/>
          <w:szCs w:val="28"/>
        </w:rPr>
      </w:pPr>
    </w:p>
    <w:p w14:paraId="14F4487B" w14:textId="77777777" w:rsidR="00C97791" w:rsidRDefault="00C97791" w:rsidP="00747613">
      <w:pPr>
        <w:spacing w:after="240"/>
        <w:rPr>
          <w:rFonts w:cs="Arial"/>
          <w:b/>
          <w:color w:val="009999"/>
          <w:sz w:val="28"/>
          <w:szCs w:val="28"/>
        </w:rPr>
      </w:pPr>
    </w:p>
    <w:p w14:paraId="54740957" w14:textId="77777777" w:rsidR="00C97791" w:rsidRDefault="00C97791" w:rsidP="00747613">
      <w:pPr>
        <w:spacing w:after="240"/>
        <w:rPr>
          <w:rFonts w:cs="Arial"/>
          <w:b/>
          <w:color w:val="009999"/>
          <w:sz w:val="28"/>
          <w:szCs w:val="28"/>
        </w:rPr>
      </w:pPr>
    </w:p>
    <w:p w14:paraId="40D52E26" w14:textId="793667FC" w:rsidR="006168B0" w:rsidRPr="0085565B" w:rsidRDefault="0085565B" w:rsidP="0085565B">
      <w:pPr>
        <w:pStyle w:val="Head2"/>
        <w:numPr>
          <w:ilvl w:val="0"/>
          <w:numId w:val="0"/>
        </w:numPr>
        <w:spacing w:before="240"/>
        <w:jc w:val="both"/>
        <w:rPr>
          <w:b/>
          <w:bCs/>
          <w:color w:val="009999"/>
          <w:sz w:val="28"/>
          <w:szCs w:val="28"/>
        </w:rPr>
      </w:pPr>
      <w:bookmarkStart w:id="160" w:name="_Toc201679661"/>
      <w:r w:rsidRPr="0085565B">
        <w:rPr>
          <w:b/>
          <w:bCs/>
          <w:color w:val="009999"/>
          <w:sz w:val="28"/>
          <w:szCs w:val="28"/>
        </w:rPr>
        <w:t xml:space="preserve">SCHEDULE </w:t>
      </w:r>
      <w:r w:rsidRPr="0085565B" w:rsidDel="0006574E">
        <w:rPr>
          <w:b/>
          <w:bCs/>
          <w:color w:val="009999"/>
          <w:sz w:val="28"/>
          <w:szCs w:val="28"/>
        </w:rPr>
        <w:t>2</w:t>
      </w:r>
      <w:r w:rsidRPr="0085565B">
        <w:rPr>
          <w:b/>
          <w:bCs/>
          <w:color w:val="009999"/>
          <w:sz w:val="28"/>
          <w:szCs w:val="28"/>
        </w:rPr>
        <w:t>: PSQ RESPONSE GUIDANCE</w:t>
      </w:r>
      <w:bookmarkEnd w:id="160"/>
    </w:p>
    <w:p w14:paraId="4D582E76" w14:textId="07450F92" w:rsidR="006168B0" w:rsidRPr="002B56D3" w:rsidRDefault="00EC084B" w:rsidP="0085565B">
      <w:pPr>
        <w:pStyle w:val="Schedule2"/>
        <w:numPr>
          <w:ilvl w:val="1"/>
          <w:numId w:val="37"/>
        </w:numPr>
        <w:jc w:val="both"/>
        <w:rPr>
          <w:rFonts w:cs="Arial"/>
        </w:rPr>
      </w:pPr>
      <w:r>
        <w:rPr>
          <w:rFonts w:cs="Arial"/>
        </w:rPr>
        <w:t>Tenderers</w:t>
      </w:r>
      <w:r w:rsidR="006168B0" w:rsidRPr="002B56D3">
        <w:rPr>
          <w:rFonts w:cs="Arial"/>
        </w:rPr>
        <w:t xml:space="preserve"> must provide a written response for each </w:t>
      </w:r>
      <w:r w:rsidR="00AF73C6">
        <w:rPr>
          <w:rFonts w:cs="Arial"/>
        </w:rPr>
        <w:t xml:space="preserve">qualitative </w:t>
      </w:r>
      <w:r w:rsidR="006168B0" w:rsidRPr="002B56D3">
        <w:rPr>
          <w:rFonts w:cs="Arial"/>
        </w:rPr>
        <w:t>question</w:t>
      </w:r>
      <w:r w:rsidR="006168B0">
        <w:rPr>
          <w:rFonts w:cs="Arial"/>
        </w:rPr>
        <w:t xml:space="preserve"> referenced in the table below</w:t>
      </w:r>
      <w:r w:rsidR="006168B0" w:rsidRPr="002B56D3">
        <w:rPr>
          <w:rFonts w:cs="Arial"/>
        </w:rPr>
        <w:t>.</w:t>
      </w:r>
    </w:p>
    <w:p w14:paraId="4AFB49B8" w14:textId="6B83C8E2" w:rsidR="006168B0" w:rsidRPr="002B56D3" w:rsidRDefault="006168B0" w:rsidP="0085565B">
      <w:pPr>
        <w:pStyle w:val="Schedule2"/>
        <w:numPr>
          <w:ilvl w:val="1"/>
          <w:numId w:val="37"/>
        </w:numPr>
        <w:jc w:val="both"/>
        <w:rPr>
          <w:rFonts w:cs="Arial"/>
        </w:rPr>
      </w:pPr>
      <w:r w:rsidRPr="002B56D3">
        <w:rPr>
          <w:rFonts w:cs="Arial"/>
        </w:rPr>
        <w:t xml:space="preserve">For any question where these is no response, the </w:t>
      </w:r>
      <w:r w:rsidR="00EC084B">
        <w:rPr>
          <w:rFonts w:cs="Arial"/>
        </w:rPr>
        <w:t>Tenderer</w:t>
      </w:r>
      <w:r w:rsidRPr="002B56D3">
        <w:rPr>
          <w:rFonts w:cs="Arial"/>
        </w:rPr>
        <w:t xml:space="preserve"> will receive a score of 0 for that question</w:t>
      </w:r>
      <w:r>
        <w:rPr>
          <w:rFonts w:cs="Arial"/>
        </w:rPr>
        <w:t xml:space="preserve"> (</w:t>
      </w:r>
      <w:proofErr w:type="gramStart"/>
      <w:r>
        <w:rPr>
          <w:rFonts w:cs="Arial"/>
        </w:rPr>
        <w:t>with the exception of</w:t>
      </w:r>
      <w:proofErr w:type="gramEnd"/>
      <w:r>
        <w:rPr>
          <w:rFonts w:cs="Arial"/>
        </w:rPr>
        <w:t xml:space="preserve"> question 3</w:t>
      </w:r>
      <w:r w:rsidR="003B47FA">
        <w:rPr>
          <w:rFonts w:cs="Arial"/>
        </w:rPr>
        <w:t>.10</w:t>
      </w:r>
      <w:r w:rsidR="00275646">
        <w:rPr>
          <w:rFonts w:cs="Arial"/>
        </w:rPr>
        <w:t>.1</w:t>
      </w:r>
      <w:r>
        <w:rPr>
          <w:rFonts w:cs="Arial"/>
        </w:rPr>
        <w:t xml:space="preserve"> which is evaluated on a pass/fail basis as per </w:t>
      </w:r>
      <w:r w:rsidR="00136356">
        <w:rPr>
          <w:rFonts w:cs="Arial"/>
        </w:rPr>
        <w:t xml:space="preserve">Schedule </w:t>
      </w:r>
      <w:r w:rsidDel="00136356">
        <w:rPr>
          <w:rFonts w:cs="Arial"/>
        </w:rPr>
        <w:t>3</w:t>
      </w:r>
      <w:r>
        <w:rPr>
          <w:rFonts w:cs="Arial"/>
        </w:rPr>
        <w:t xml:space="preserve"> guidance).</w:t>
      </w:r>
    </w:p>
    <w:p w14:paraId="2548046B" w14:textId="77777777" w:rsidR="006168B0" w:rsidRPr="00D42265" w:rsidRDefault="006168B0" w:rsidP="0085565B">
      <w:pPr>
        <w:pStyle w:val="Schedule2"/>
        <w:numPr>
          <w:ilvl w:val="1"/>
          <w:numId w:val="37"/>
        </w:numPr>
        <w:jc w:val="both"/>
        <w:rPr>
          <w:rFonts w:cs="Arial"/>
        </w:rPr>
      </w:pPr>
      <w:r>
        <w:rPr>
          <w:rFonts w:cs="Arial"/>
        </w:rPr>
        <w:t>The page and/or word limits for each qualitative question are as per the below table.</w:t>
      </w:r>
    </w:p>
    <w:tbl>
      <w:tblPr>
        <w:tblW w:w="8992" w:type="dxa"/>
        <w:tblCellMar>
          <w:left w:w="0" w:type="dxa"/>
          <w:right w:w="0" w:type="dxa"/>
        </w:tblCellMar>
        <w:tblLook w:val="0400" w:firstRow="0" w:lastRow="0" w:firstColumn="0" w:lastColumn="0" w:noHBand="0" w:noVBand="1"/>
      </w:tblPr>
      <w:tblGrid>
        <w:gridCol w:w="4535"/>
        <w:gridCol w:w="4457"/>
      </w:tblGrid>
      <w:tr w:rsidR="006168B0" w:rsidRPr="00E16E27" w14:paraId="6528FEB5" w14:textId="77777777">
        <w:trPr>
          <w:trHeight w:val="507"/>
        </w:trPr>
        <w:tc>
          <w:tcPr>
            <w:tcW w:w="4535" w:type="dxa"/>
            <w:tcBorders>
              <w:top w:val="single" w:sz="6" w:space="0" w:color="0B0C0C"/>
              <w:left w:val="single" w:sz="6" w:space="0" w:color="0B0C0C"/>
              <w:bottom w:val="single" w:sz="6" w:space="0" w:color="0B0C0C"/>
              <w:right w:val="single" w:sz="6" w:space="0" w:color="0B0C0C"/>
            </w:tcBorders>
            <w:shd w:val="clear" w:color="auto" w:fill="008670"/>
            <w:tcMar>
              <w:top w:w="72" w:type="dxa"/>
              <w:left w:w="57" w:type="dxa"/>
              <w:bottom w:w="72" w:type="dxa"/>
              <w:right w:w="57" w:type="dxa"/>
            </w:tcMar>
            <w:vAlign w:val="center"/>
            <w:hideMark/>
          </w:tcPr>
          <w:p w14:paraId="56DE37EA" w14:textId="77777777" w:rsidR="006168B0" w:rsidRPr="00E16E27" w:rsidRDefault="006168B0">
            <w:pPr>
              <w:jc w:val="center"/>
              <w:rPr>
                <w:rFonts w:cs="Arial"/>
                <w:b/>
                <w:bCs/>
                <w:color w:val="FFFFFF" w:themeColor="background1"/>
              </w:rPr>
            </w:pPr>
            <w:r>
              <w:rPr>
                <w:rFonts w:cs="Arial"/>
                <w:b/>
                <w:bCs/>
                <w:color w:val="FFFFFF" w:themeColor="background1"/>
              </w:rPr>
              <w:t>Question</w:t>
            </w:r>
          </w:p>
        </w:tc>
        <w:tc>
          <w:tcPr>
            <w:tcW w:w="4457" w:type="dxa"/>
            <w:tcBorders>
              <w:top w:val="single" w:sz="6" w:space="0" w:color="0B0C0C"/>
              <w:left w:val="single" w:sz="6" w:space="0" w:color="0B0C0C"/>
              <w:bottom w:val="single" w:sz="6" w:space="0" w:color="0B0C0C"/>
              <w:right w:val="single" w:sz="6" w:space="0" w:color="0B0C0C"/>
            </w:tcBorders>
            <w:shd w:val="clear" w:color="auto" w:fill="008670"/>
            <w:tcMar>
              <w:top w:w="72" w:type="dxa"/>
              <w:left w:w="57" w:type="dxa"/>
              <w:bottom w:w="72" w:type="dxa"/>
              <w:right w:w="57" w:type="dxa"/>
            </w:tcMar>
            <w:vAlign w:val="center"/>
            <w:hideMark/>
          </w:tcPr>
          <w:p w14:paraId="2613EAF2" w14:textId="77777777" w:rsidR="006168B0" w:rsidRPr="00E16E27" w:rsidRDefault="006168B0">
            <w:pPr>
              <w:jc w:val="center"/>
              <w:rPr>
                <w:rFonts w:cs="Arial"/>
                <w:b/>
                <w:bCs/>
                <w:color w:val="FFFFFF" w:themeColor="background1"/>
              </w:rPr>
            </w:pPr>
            <w:r>
              <w:rPr>
                <w:rFonts w:cs="Arial"/>
                <w:b/>
                <w:bCs/>
                <w:color w:val="FFFFFF" w:themeColor="background1"/>
              </w:rPr>
              <w:t>Page and/or Word Limit</w:t>
            </w:r>
          </w:p>
        </w:tc>
      </w:tr>
      <w:tr w:rsidR="006168B0" w:rsidRPr="00E16E27" w14:paraId="7A6678F2" w14:textId="77777777" w:rsidTr="001E53D0">
        <w:trPr>
          <w:trHeight w:val="729"/>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70C059D1" w14:textId="77777777" w:rsidR="006168B0" w:rsidRPr="00E16E27" w:rsidRDefault="006168B0">
            <w:pPr>
              <w:jc w:val="center"/>
              <w:rPr>
                <w:rFonts w:cs="Arial"/>
              </w:rPr>
            </w:pPr>
            <w:r>
              <w:rPr>
                <w:rFonts w:cs="Arial"/>
              </w:rPr>
              <w:t>3.8</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1E428EA1" w14:textId="7B084297" w:rsidR="006168B0" w:rsidRPr="00E16E27" w:rsidRDefault="00A76DF0">
            <w:pPr>
              <w:jc w:val="center"/>
              <w:rPr>
                <w:rFonts w:cs="Arial"/>
              </w:rPr>
            </w:pPr>
            <w:r>
              <w:rPr>
                <w:rFonts w:cs="Arial"/>
              </w:rPr>
              <w:t>7x</w:t>
            </w:r>
            <w:r w:rsidR="006168B0">
              <w:rPr>
                <w:rFonts w:cs="Arial"/>
              </w:rPr>
              <w:t xml:space="preserve"> PowerPoint (PPT) Slides page per case study (</w:t>
            </w:r>
            <w:r w:rsidR="00A47C87">
              <w:rPr>
                <w:rFonts w:cs="Arial"/>
              </w:rPr>
              <w:t xml:space="preserve">21x </w:t>
            </w:r>
            <w:r w:rsidR="006168B0">
              <w:rPr>
                <w:rFonts w:cs="Arial"/>
              </w:rPr>
              <w:t>PPT Slides total)</w:t>
            </w:r>
            <w:r w:rsidR="00A47C87">
              <w:rPr>
                <w:rFonts w:cs="Arial"/>
              </w:rPr>
              <w:t xml:space="preserve">, no larger than </w:t>
            </w:r>
            <w:r w:rsidR="003D09FB">
              <w:rPr>
                <w:rFonts w:cs="Arial"/>
              </w:rPr>
              <w:t>size 10 font, Arial</w:t>
            </w:r>
          </w:p>
        </w:tc>
      </w:tr>
      <w:tr w:rsidR="006168B0" w:rsidRPr="00E16E27" w14:paraId="3B2FADB8" w14:textId="77777777">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483AE089" w14:textId="77777777" w:rsidR="006168B0" w:rsidRPr="00E16E27" w:rsidRDefault="006168B0">
            <w:pPr>
              <w:jc w:val="center"/>
              <w:rPr>
                <w:rFonts w:cs="Arial"/>
              </w:rPr>
            </w:pPr>
            <w:r>
              <w:rPr>
                <w:rFonts w:cs="Arial"/>
              </w:rPr>
              <w:t>3.9</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15C4D518" w14:textId="67B068C9" w:rsidR="006168B0" w:rsidRPr="00E16E27" w:rsidRDefault="006168B0">
            <w:pPr>
              <w:jc w:val="center"/>
              <w:rPr>
                <w:rFonts w:cs="Arial"/>
              </w:rPr>
            </w:pPr>
            <w:r>
              <w:rPr>
                <w:rFonts w:cs="Arial"/>
              </w:rPr>
              <w:t xml:space="preserve">3x </w:t>
            </w:r>
            <w:r w:rsidR="00F31C0D">
              <w:rPr>
                <w:rFonts w:cs="Arial"/>
              </w:rPr>
              <w:t>sides (pages) of A4</w:t>
            </w:r>
            <w:r>
              <w:rPr>
                <w:rFonts w:cs="Arial"/>
              </w:rPr>
              <w:t>, size 10 font, Arial</w:t>
            </w:r>
          </w:p>
        </w:tc>
      </w:tr>
      <w:tr w:rsidR="006168B0" w:rsidRPr="00E16E27" w14:paraId="6CB6DEFE" w14:textId="77777777">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2F2847EF" w14:textId="1BF53A4C" w:rsidR="006168B0" w:rsidRPr="00E16E27" w:rsidRDefault="006168B0">
            <w:pPr>
              <w:jc w:val="center"/>
              <w:rPr>
                <w:rFonts w:cs="Arial"/>
              </w:rPr>
            </w:pPr>
            <w:r>
              <w:rPr>
                <w:rFonts w:cs="Arial"/>
              </w:rPr>
              <w:t>3.10</w:t>
            </w:r>
            <w:r w:rsidR="00275646">
              <w:rPr>
                <w:rFonts w:cs="Arial"/>
              </w:rPr>
              <w:t>.2</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tcPr>
          <w:p w14:paraId="375C585E" w14:textId="6A799F46" w:rsidR="006168B0" w:rsidRPr="00E16E27" w:rsidRDefault="006168B0">
            <w:pPr>
              <w:jc w:val="center"/>
              <w:rPr>
                <w:rFonts w:cs="Arial"/>
              </w:rPr>
            </w:pPr>
            <w:r>
              <w:rPr>
                <w:rFonts w:cs="Arial"/>
              </w:rPr>
              <w:t xml:space="preserve">2x </w:t>
            </w:r>
            <w:r w:rsidR="00F31C0D">
              <w:rPr>
                <w:rFonts w:cs="Arial"/>
              </w:rPr>
              <w:t>sides (pages) of A4, s</w:t>
            </w:r>
            <w:r>
              <w:rPr>
                <w:rFonts w:cs="Arial"/>
              </w:rPr>
              <w:t>ize 10 font, Arial</w:t>
            </w:r>
          </w:p>
        </w:tc>
      </w:tr>
      <w:tr w:rsidR="006168B0" w:rsidRPr="00E16E27" w14:paraId="60C492F3" w14:textId="77777777">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3E95B61A" w14:textId="77777777" w:rsidR="006168B0" w:rsidRPr="00E16E27" w:rsidRDefault="006168B0">
            <w:pPr>
              <w:jc w:val="center"/>
              <w:rPr>
                <w:rFonts w:cs="Arial"/>
              </w:rPr>
            </w:pPr>
            <w:r>
              <w:rPr>
                <w:rFonts w:cs="Arial"/>
              </w:rPr>
              <w:t>3.11</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1077D8CB" w14:textId="15BBC186" w:rsidR="006168B0" w:rsidRPr="00E16E27" w:rsidRDefault="006168B0">
            <w:pPr>
              <w:jc w:val="center"/>
              <w:rPr>
                <w:rFonts w:cs="Arial"/>
              </w:rPr>
            </w:pPr>
            <w:r>
              <w:rPr>
                <w:rFonts w:cs="Arial"/>
              </w:rPr>
              <w:t xml:space="preserve">3x </w:t>
            </w:r>
            <w:r w:rsidR="00F31C0D">
              <w:rPr>
                <w:rFonts w:cs="Arial"/>
              </w:rPr>
              <w:t>sides (pages) of A4</w:t>
            </w:r>
            <w:r>
              <w:rPr>
                <w:rFonts w:cs="Arial"/>
              </w:rPr>
              <w:t>, size 10 font, Arial</w:t>
            </w:r>
          </w:p>
        </w:tc>
      </w:tr>
      <w:tr w:rsidR="006168B0" w:rsidRPr="00E16E27" w14:paraId="6425DC27" w14:textId="77777777">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70465EBF" w14:textId="77777777" w:rsidR="006168B0" w:rsidRPr="00E16E27" w:rsidRDefault="006168B0">
            <w:pPr>
              <w:jc w:val="center"/>
              <w:rPr>
                <w:rFonts w:cs="Arial"/>
              </w:rPr>
            </w:pPr>
            <w:r>
              <w:rPr>
                <w:rFonts w:cs="Arial"/>
              </w:rPr>
              <w:t>3.12</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tcPr>
          <w:p w14:paraId="56ADC9DC" w14:textId="0BB4797F" w:rsidR="006168B0" w:rsidRPr="00E16E27" w:rsidRDefault="006168B0">
            <w:pPr>
              <w:jc w:val="center"/>
              <w:rPr>
                <w:rFonts w:cs="Arial"/>
              </w:rPr>
            </w:pPr>
            <w:r>
              <w:rPr>
                <w:rFonts w:cs="Arial"/>
              </w:rPr>
              <w:t xml:space="preserve">2x </w:t>
            </w:r>
            <w:r w:rsidR="00F31C0D">
              <w:rPr>
                <w:rFonts w:cs="Arial"/>
              </w:rPr>
              <w:t xml:space="preserve">sides (pages) of A4, </w:t>
            </w:r>
            <w:r>
              <w:rPr>
                <w:rFonts w:cs="Arial"/>
              </w:rPr>
              <w:t>size 10 font, Arial</w:t>
            </w:r>
          </w:p>
        </w:tc>
      </w:tr>
      <w:tr w:rsidR="006168B0" w:rsidRPr="00E16E27" w14:paraId="6EE25401" w14:textId="77777777">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1B7BBF34" w14:textId="77777777" w:rsidR="006168B0" w:rsidRPr="00E16E27" w:rsidRDefault="006168B0">
            <w:pPr>
              <w:jc w:val="center"/>
              <w:rPr>
                <w:rFonts w:cs="Arial"/>
              </w:rPr>
            </w:pPr>
            <w:r>
              <w:rPr>
                <w:rFonts w:cs="Arial"/>
              </w:rPr>
              <w:t>3.13</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tcPr>
          <w:p w14:paraId="7562EB1B" w14:textId="530218A0" w:rsidR="006168B0" w:rsidRPr="00E16E27" w:rsidRDefault="006168B0">
            <w:pPr>
              <w:jc w:val="center"/>
              <w:rPr>
                <w:rFonts w:cs="Arial"/>
              </w:rPr>
            </w:pPr>
            <w:r>
              <w:rPr>
                <w:rFonts w:cs="Arial"/>
              </w:rPr>
              <w:t xml:space="preserve">1x </w:t>
            </w:r>
            <w:r w:rsidR="00F31C0D">
              <w:rPr>
                <w:rFonts w:cs="Arial"/>
              </w:rPr>
              <w:t>side (page) of A4,</w:t>
            </w:r>
            <w:r w:rsidR="002241BB">
              <w:rPr>
                <w:rFonts w:cs="Arial"/>
              </w:rPr>
              <w:t xml:space="preserve"> </w:t>
            </w:r>
            <w:r>
              <w:rPr>
                <w:rFonts w:cs="Arial"/>
              </w:rPr>
              <w:t>size 10 font, Arial</w:t>
            </w:r>
          </w:p>
        </w:tc>
      </w:tr>
      <w:tr w:rsidR="006168B0" w:rsidRPr="00E16E27" w14:paraId="472B5C5B" w14:textId="77777777">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7BBDAB76" w14:textId="77777777" w:rsidR="006168B0" w:rsidRPr="00E16E27" w:rsidRDefault="006168B0">
            <w:pPr>
              <w:jc w:val="center"/>
              <w:rPr>
                <w:rFonts w:cs="Arial"/>
              </w:rPr>
            </w:pPr>
            <w:r>
              <w:rPr>
                <w:rFonts w:cs="Arial"/>
              </w:rPr>
              <w:t>3.14</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tcPr>
          <w:p w14:paraId="3667CCDF" w14:textId="127783E0" w:rsidR="006168B0" w:rsidRPr="00E16E27" w:rsidRDefault="00F31C0D">
            <w:pPr>
              <w:jc w:val="center"/>
              <w:rPr>
                <w:rFonts w:cs="Arial"/>
              </w:rPr>
            </w:pPr>
            <w:r>
              <w:rPr>
                <w:rFonts w:cs="Arial"/>
              </w:rPr>
              <w:t>1x side (page) of A4,</w:t>
            </w:r>
            <w:r w:rsidR="002241BB">
              <w:rPr>
                <w:rFonts w:cs="Arial"/>
              </w:rPr>
              <w:t xml:space="preserve"> </w:t>
            </w:r>
            <w:r>
              <w:rPr>
                <w:rFonts w:cs="Arial"/>
              </w:rPr>
              <w:t>size 10 font, Arial</w:t>
            </w:r>
          </w:p>
        </w:tc>
      </w:tr>
    </w:tbl>
    <w:p w14:paraId="6582E4A0" w14:textId="77777777" w:rsidR="006168B0" w:rsidRPr="00F54D1E" w:rsidRDefault="006168B0" w:rsidP="006168B0">
      <w:pPr>
        <w:jc w:val="both"/>
        <w:rPr>
          <w:rFonts w:cs="Arial"/>
        </w:rPr>
      </w:pPr>
    </w:p>
    <w:p w14:paraId="1CBFB58F" w14:textId="2BDCB989" w:rsidR="003B47FA" w:rsidRDefault="006168B0" w:rsidP="0085565B">
      <w:pPr>
        <w:pStyle w:val="Schedule2"/>
        <w:numPr>
          <w:ilvl w:val="1"/>
          <w:numId w:val="37"/>
        </w:numPr>
        <w:jc w:val="both"/>
        <w:rPr>
          <w:rFonts w:cs="Arial"/>
        </w:rPr>
      </w:pPr>
      <w:r w:rsidRPr="002B56D3">
        <w:rPr>
          <w:rFonts w:cs="Arial"/>
        </w:rPr>
        <w:t xml:space="preserve">Your response </w:t>
      </w:r>
      <w:r w:rsidR="006C21D6">
        <w:rPr>
          <w:rFonts w:cs="Arial"/>
        </w:rPr>
        <w:t>to question</w:t>
      </w:r>
      <w:r w:rsidR="003B47FA">
        <w:rPr>
          <w:rFonts w:cs="Arial"/>
        </w:rPr>
        <w:t xml:space="preserve"> 3.8 must be in a</w:t>
      </w:r>
      <w:r w:rsidR="00502196">
        <w:rPr>
          <w:rFonts w:cs="Arial"/>
        </w:rPr>
        <w:t xml:space="preserve"> Microsoft </w:t>
      </w:r>
      <w:r w:rsidR="003B47FA">
        <w:rPr>
          <w:rFonts w:cs="Arial"/>
        </w:rPr>
        <w:t>PowerPoint slide format</w:t>
      </w:r>
      <w:r w:rsidR="00502196">
        <w:rPr>
          <w:rFonts w:cs="Arial"/>
        </w:rPr>
        <w:t>, font style Arial</w:t>
      </w:r>
      <w:r w:rsidR="00F95189">
        <w:rPr>
          <w:rFonts w:cs="Arial"/>
        </w:rPr>
        <w:t xml:space="preserve">, </w:t>
      </w:r>
      <w:r w:rsidR="00A3124A">
        <w:rPr>
          <w:rFonts w:cs="Arial"/>
        </w:rPr>
        <w:t>with font size no smaller than 10</w:t>
      </w:r>
      <w:r w:rsidR="00502196">
        <w:rPr>
          <w:rFonts w:cs="Arial"/>
        </w:rPr>
        <w:t>.</w:t>
      </w:r>
    </w:p>
    <w:p w14:paraId="6989B899" w14:textId="5B0C8DB5" w:rsidR="006168B0" w:rsidRPr="002B56D3" w:rsidRDefault="00502196" w:rsidP="0085565B">
      <w:pPr>
        <w:pStyle w:val="Schedule2"/>
        <w:numPr>
          <w:ilvl w:val="1"/>
          <w:numId w:val="37"/>
        </w:numPr>
        <w:jc w:val="both"/>
        <w:rPr>
          <w:rFonts w:cs="Arial"/>
        </w:rPr>
      </w:pPr>
      <w:r>
        <w:rPr>
          <w:rFonts w:cs="Arial"/>
        </w:rPr>
        <w:t xml:space="preserve">Your response to questions </w:t>
      </w:r>
      <w:r w:rsidR="003B47FA">
        <w:rPr>
          <w:rFonts w:cs="Arial"/>
        </w:rPr>
        <w:t xml:space="preserve">3.9 – 3.14 </w:t>
      </w:r>
      <w:r w:rsidR="006168B0" w:rsidRPr="002B56D3">
        <w:rPr>
          <w:rFonts w:cs="Arial"/>
        </w:rPr>
        <w:t>must be in font size 1</w:t>
      </w:r>
      <w:r w:rsidR="006168B0">
        <w:rPr>
          <w:rFonts w:cs="Arial"/>
        </w:rPr>
        <w:t>0</w:t>
      </w:r>
      <w:r w:rsidR="006168B0" w:rsidRPr="002B56D3">
        <w:rPr>
          <w:rFonts w:cs="Arial"/>
        </w:rPr>
        <w:t>, font style Ari</w:t>
      </w:r>
      <w:r w:rsidR="006168B0">
        <w:rPr>
          <w:rFonts w:cs="Arial"/>
        </w:rPr>
        <w:t>a</w:t>
      </w:r>
      <w:r w:rsidR="006168B0" w:rsidRPr="002B56D3">
        <w:rPr>
          <w:rFonts w:cs="Arial"/>
        </w:rPr>
        <w:t>l, with margins no smaller than 1.27cm (across top, bottom, left and right)</w:t>
      </w:r>
      <w:r w:rsidR="006168B0">
        <w:rPr>
          <w:rFonts w:cs="Arial"/>
        </w:rPr>
        <w:t xml:space="preserve"> in Microsoft Word.</w:t>
      </w:r>
    </w:p>
    <w:p w14:paraId="637BA3B1" w14:textId="7EF5C828" w:rsidR="006168B0" w:rsidRDefault="006168B0" w:rsidP="0085565B">
      <w:pPr>
        <w:pStyle w:val="Schedule2"/>
        <w:numPr>
          <w:ilvl w:val="1"/>
          <w:numId w:val="37"/>
        </w:numPr>
        <w:jc w:val="both"/>
        <w:rPr>
          <w:rFonts w:cs="Arial"/>
        </w:rPr>
      </w:pPr>
      <w:r w:rsidRPr="002B56D3">
        <w:rPr>
          <w:rFonts w:cs="Arial"/>
        </w:rPr>
        <w:t xml:space="preserve">You may include up to 2 diagrams to support your response for </w:t>
      </w:r>
      <w:r w:rsidR="003B159E">
        <w:rPr>
          <w:rFonts w:cs="Arial"/>
        </w:rPr>
        <w:t>questions 3.9 – 3.14</w:t>
      </w:r>
      <w:r w:rsidRPr="002B56D3">
        <w:rPr>
          <w:rFonts w:cs="Arial"/>
        </w:rPr>
        <w:t xml:space="preserve">. A maximum of 100 words for each diagram (in addition to the word limit set out in </w:t>
      </w:r>
      <w:r>
        <w:rPr>
          <w:rFonts w:cs="Arial"/>
        </w:rPr>
        <w:t>the above table</w:t>
      </w:r>
      <w:r w:rsidRPr="002B56D3">
        <w:rPr>
          <w:rFonts w:cs="Arial"/>
        </w:rPr>
        <w:t>) will be accepted.</w:t>
      </w:r>
    </w:p>
    <w:p w14:paraId="1307F552" w14:textId="77777777" w:rsidR="00FF7AA4" w:rsidRDefault="00FF7AA4" w:rsidP="00FF7AA4">
      <w:pPr>
        <w:pStyle w:val="Schedule2"/>
        <w:ind w:left="680"/>
        <w:jc w:val="both"/>
        <w:rPr>
          <w:rFonts w:cs="Arial"/>
        </w:rPr>
      </w:pPr>
    </w:p>
    <w:p w14:paraId="46FE4FAC" w14:textId="77777777" w:rsidR="00FF7AA4" w:rsidRDefault="00FF7AA4" w:rsidP="00FF7AA4">
      <w:pPr>
        <w:pStyle w:val="Schedule2"/>
        <w:ind w:left="680"/>
        <w:jc w:val="both"/>
        <w:rPr>
          <w:rFonts w:cs="Arial"/>
        </w:rPr>
      </w:pPr>
    </w:p>
    <w:p w14:paraId="259529A9" w14:textId="77777777" w:rsidR="00FF7AA4" w:rsidRDefault="00FF7AA4" w:rsidP="00FF7AA4">
      <w:pPr>
        <w:pStyle w:val="Schedule2"/>
        <w:ind w:left="680"/>
        <w:jc w:val="both"/>
        <w:rPr>
          <w:rFonts w:cs="Arial"/>
        </w:rPr>
      </w:pPr>
    </w:p>
    <w:p w14:paraId="55D73516" w14:textId="77777777" w:rsidR="00FF7AA4" w:rsidRDefault="00FF7AA4" w:rsidP="00FF7AA4">
      <w:pPr>
        <w:pStyle w:val="Schedule2"/>
        <w:ind w:left="680"/>
        <w:jc w:val="both"/>
        <w:rPr>
          <w:rFonts w:cs="Arial"/>
        </w:rPr>
      </w:pPr>
    </w:p>
    <w:p w14:paraId="2B90094C" w14:textId="77777777" w:rsidR="00FF7AA4" w:rsidRDefault="00FF7AA4" w:rsidP="00FF7AA4">
      <w:pPr>
        <w:pStyle w:val="Schedule2"/>
        <w:ind w:left="680"/>
        <w:jc w:val="both"/>
        <w:rPr>
          <w:rFonts w:cs="Arial"/>
        </w:rPr>
      </w:pPr>
    </w:p>
    <w:p w14:paraId="4D6E6AAF" w14:textId="77777777" w:rsidR="00FF7AA4" w:rsidRDefault="00FF7AA4" w:rsidP="00FF7AA4">
      <w:pPr>
        <w:pStyle w:val="Schedule2"/>
        <w:ind w:left="680"/>
        <w:jc w:val="both"/>
        <w:rPr>
          <w:rFonts w:cs="Arial"/>
        </w:rPr>
      </w:pPr>
    </w:p>
    <w:p w14:paraId="1A7BA4D0" w14:textId="77777777" w:rsidR="00FF7AA4" w:rsidRDefault="00FF7AA4" w:rsidP="00FF7AA4">
      <w:pPr>
        <w:pStyle w:val="Schedule2"/>
        <w:ind w:left="680"/>
        <w:jc w:val="both"/>
        <w:rPr>
          <w:rFonts w:cs="Arial"/>
        </w:rPr>
      </w:pPr>
    </w:p>
    <w:p w14:paraId="19439C8A" w14:textId="3A9BBB37" w:rsidR="006168B0" w:rsidRPr="0085565B" w:rsidRDefault="00FF7AA4" w:rsidP="0085565B">
      <w:pPr>
        <w:pStyle w:val="Head2"/>
        <w:numPr>
          <w:ilvl w:val="0"/>
          <w:numId w:val="0"/>
        </w:numPr>
        <w:spacing w:before="240"/>
        <w:jc w:val="both"/>
        <w:rPr>
          <w:b/>
          <w:bCs/>
          <w:color w:val="009999"/>
          <w:sz w:val="28"/>
          <w:szCs w:val="28"/>
        </w:rPr>
      </w:pPr>
      <w:bookmarkStart w:id="161" w:name="_Toc201679662"/>
      <w:r w:rsidRPr="0085565B">
        <w:rPr>
          <w:b/>
          <w:bCs/>
          <w:color w:val="009999"/>
          <w:sz w:val="28"/>
          <w:szCs w:val="28"/>
        </w:rPr>
        <w:t>SCHEDULE 3: PSQ EVALUATION GUIDANCE AND CRITERIA</w:t>
      </w:r>
      <w:bookmarkEnd w:id="161"/>
    </w:p>
    <w:p w14:paraId="51D90870" w14:textId="77777777" w:rsidR="006168B0" w:rsidRDefault="006168B0" w:rsidP="0085565B">
      <w:pPr>
        <w:pStyle w:val="Schedule2"/>
        <w:numPr>
          <w:ilvl w:val="1"/>
          <w:numId w:val="38"/>
        </w:numPr>
        <w:jc w:val="both"/>
      </w:pPr>
      <w:r>
        <w:t>The tables below provide evaluation guidance for each of the questions in the PSQ.</w:t>
      </w:r>
    </w:p>
    <w:p w14:paraId="0E259445" w14:textId="77777777" w:rsidR="006168B0" w:rsidRDefault="006168B0" w:rsidP="0085565B">
      <w:pPr>
        <w:pStyle w:val="Schedule2"/>
        <w:numPr>
          <w:ilvl w:val="1"/>
          <w:numId w:val="38"/>
        </w:numPr>
        <w:jc w:val="both"/>
      </w:pPr>
      <w:r>
        <w:t>The evaluation guidance contains, for each question:</w:t>
      </w:r>
    </w:p>
    <w:p w14:paraId="52B5DDE7" w14:textId="77777777" w:rsidR="006168B0" w:rsidRDefault="006168B0" w:rsidP="0085565B">
      <w:pPr>
        <w:pStyle w:val="Schedule2"/>
        <w:numPr>
          <w:ilvl w:val="2"/>
          <w:numId w:val="38"/>
        </w:numPr>
        <w:jc w:val="both"/>
      </w:pPr>
      <w:r>
        <w:t>The assessment method (e.g. pass/fail</w:t>
      </w:r>
      <w:proofErr w:type="gramStart"/>
      <w:r>
        <w:t>);</w:t>
      </w:r>
      <w:proofErr w:type="gramEnd"/>
    </w:p>
    <w:p w14:paraId="260EC1A8" w14:textId="77777777" w:rsidR="006168B0" w:rsidRDefault="006168B0" w:rsidP="0085565B">
      <w:pPr>
        <w:pStyle w:val="Schedule2"/>
        <w:numPr>
          <w:ilvl w:val="2"/>
          <w:numId w:val="38"/>
        </w:numPr>
        <w:jc w:val="both"/>
      </w:pPr>
      <w:r>
        <w:t xml:space="preserve">Where applicable, what constitutes a </w:t>
      </w:r>
      <w:proofErr w:type="gramStart"/>
      <w:r>
        <w:t>pass;</w:t>
      </w:r>
      <w:proofErr w:type="gramEnd"/>
    </w:p>
    <w:p w14:paraId="1F282299" w14:textId="77777777" w:rsidR="006168B0" w:rsidRDefault="006168B0" w:rsidP="0085565B">
      <w:pPr>
        <w:pStyle w:val="Schedule2"/>
        <w:numPr>
          <w:ilvl w:val="2"/>
          <w:numId w:val="38"/>
        </w:numPr>
        <w:jc w:val="both"/>
      </w:pPr>
      <w:r>
        <w:t xml:space="preserve">Where applicable, what constitutes a </w:t>
      </w:r>
      <w:proofErr w:type="gramStart"/>
      <w:r>
        <w:t>fail</w:t>
      </w:r>
      <w:proofErr w:type="gramEnd"/>
      <w:r>
        <w:t>; and</w:t>
      </w:r>
    </w:p>
    <w:p w14:paraId="61C415E1" w14:textId="77777777" w:rsidR="006168B0" w:rsidRDefault="006168B0" w:rsidP="0085565B">
      <w:pPr>
        <w:pStyle w:val="Schedule2"/>
        <w:numPr>
          <w:ilvl w:val="2"/>
          <w:numId w:val="38"/>
        </w:numPr>
        <w:jc w:val="both"/>
      </w:pPr>
      <w:r>
        <w:t>Any further evaluation guidance.</w:t>
      </w:r>
    </w:p>
    <w:p w14:paraId="3A8851D3" w14:textId="77777777" w:rsidR="006168B0" w:rsidRPr="00F74390" w:rsidRDefault="006168B0" w:rsidP="0085565B">
      <w:pPr>
        <w:pStyle w:val="Schedule2"/>
        <w:numPr>
          <w:ilvl w:val="1"/>
          <w:numId w:val="38"/>
        </w:numPr>
        <w:jc w:val="both"/>
      </w:pPr>
      <w:r w:rsidRPr="00F74390">
        <w:t xml:space="preserve">If any part of your response is left incomplete, the section may be marked as a </w:t>
      </w:r>
      <w:proofErr w:type="gramStart"/>
      <w:r w:rsidRPr="00F74390">
        <w:t>fail</w:t>
      </w:r>
      <w:proofErr w:type="gramEnd"/>
      <w:r w:rsidRPr="00F74390">
        <w:t xml:space="preserve">. If the question is not applicable, please mark your response as ‘N/A’. </w:t>
      </w:r>
    </w:p>
    <w:p w14:paraId="1AB7D383" w14:textId="13CD3766" w:rsidR="006168B0" w:rsidRPr="002B147A" w:rsidRDefault="00202D49" w:rsidP="0085565B">
      <w:pPr>
        <w:pStyle w:val="Schedule2"/>
        <w:numPr>
          <w:ilvl w:val="1"/>
          <w:numId w:val="38"/>
        </w:numPr>
        <w:jc w:val="both"/>
      </w:pPr>
      <w:r>
        <w:t>Tenderers</w:t>
      </w:r>
      <w:r w:rsidR="006168B0">
        <w:t xml:space="preserve"> should ensure they read this </w:t>
      </w:r>
      <w:r w:rsidR="006B5F64">
        <w:t xml:space="preserve">Schedule </w:t>
      </w:r>
      <w:r w:rsidR="006168B0">
        <w:t>3 in conjunction with the PSQ questions.</w:t>
      </w:r>
    </w:p>
    <w:p w14:paraId="193A037C" w14:textId="77777777" w:rsidR="006168B0" w:rsidRPr="00E66809" w:rsidRDefault="006168B0" w:rsidP="006168B0">
      <w:pPr>
        <w:keepNext/>
        <w:keepLines/>
        <w:jc w:val="both"/>
        <w:outlineLvl w:val="0"/>
        <w:rPr>
          <w:rFonts w:eastAsiaTheme="majorEastAsia" w:cs="Arial"/>
          <w:b/>
        </w:rPr>
      </w:pPr>
      <w:r w:rsidRPr="00E66809">
        <w:rPr>
          <w:rFonts w:eastAsiaTheme="majorEastAsia" w:cs="Arial"/>
          <w:b/>
        </w:rPr>
        <w:t>Preliminary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92"/>
        <w:gridCol w:w="1513"/>
        <w:gridCol w:w="6211"/>
      </w:tblGrid>
      <w:tr w:rsidR="006168B0" w:rsidRPr="001439F7" w14:paraId="3FE9392F" w14:textId="77777777" w:rsidTr="001C21AD">
        <w:trPr>
          <w:cantSplit/>
          <w:trHeight w:val="510"/>
        </w:trPr>
        <w:tc>
          <w:tcPr>
            <w:tcW w:w="565" w:type="pct"/>
            <w:tcBorders>
              <w:top w:val="single" w:sz="4" w:space="0" w:color="auto"/>
              <w:left w:val="single" w:sz="4" w:space="0" w:color="auto"/>
              <w:bottom w:val="single" w:sz="4" w:space="0" w:color="auto"/>
              <w:right w:val="single" w:sz="4" w:space="0" w:color="EAEAEA"/>
            </w:tcBorders>
            <w:shd w:val="clear" w:color="auto" w:fill="009999"/>
            <w:vAlign w:val="center"/>
          </w:tcPr>
          <w:p w14:paraId="61A47D0B"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652" w:type="pct"/>
            <w:tcBorders>
              <w:top w:val="single" w:sz="4" w:space="0" w:color="auto"/>
              <w:left w:val="single" w:sz="4" w:space="0" w:color="auto"/>
              <w:bottom w:val="single" w:sz="4" w:space="0" w:color="auto"/>
              <w:right w:val="single" w:sz="4" w:space="0" w:color="EAEAEA"/>
            </w:tcBorders>
            <w:shd w:val="clear" w:color="auto" w:fill="009999"/>
            <w:vAlign w:val="center"/>
          </w:tcPr>
          <w:p w14:paraId="7E5DF665"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3782" w:type="pct"/>
            <w:tcBorders>
              <w:top w:val="single" w:sz="4" w:space="0" w:color="auto"/>
              <w:left w:val="single" w:sz="4" w:space="0" w:color="auto"/>
              <w:bottom w:val="single" w:sz="4" w:space="0" w:color="auto"/>
              <w:right w:val="single" w:sz="4" w:space="0" w:color="auto"/>
            </w:tcBorders>
            <w:shd w:val="clear" w:color="auto" w:fill="009999"/>
            <w:vAlign w:val="center"/>
          </w:tcPr>
          <w:p w14:paraId="75C27401" w14:textId="77777777" w:rsidR="006168B0" w:rsidRPr="00E66809" w:rsidRDefault="006168B0">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6168B0" w:rsidRPr="00605283" w14:paraId="39C1F342" w14:textId="77777777" w:rsidTr="001C21AD">
        <w:trPr>
          <w:trHeight w:val="510"/>
        </w:trPr>
        <w:tc>
          <w:tcPr>
            <w:tcW w:w="565" w:type="pct"/>
            <w:shd w:val="clear" w:color="auto" w:fill="FFFFFF"/>
          </w:tcPr>
          <w:p w14:paraId="71438C6C" w14:textId="77777777" w:rsidR="006168B0" w:rsidRPr="00E66809" w:rsidRDefault="006168B0">
            <w:pPr>
              <w:spacing w:after="0" w:line="276" w:lineRule="auto"/>
              <w:rPr>
                <w:rFonts w:eastAsia="Times New Roman" w:cs="Calibri"/>
              </w:rPr>
            </w:pPr>
            <w:r w:rsidRPr="00E66809">
              <w:rPr>
                <w:rFonts w:eastAsia="Times New Roman" w:cs="Calibri"/>
              </w:rPr>
              <w:t>1.1 – 1.4</w:t>
            </w:r>
          </w:p>
        </w:tc>
        <w:tc>
          <w:tcPr>
            <w:tcW w:w="652" w:type="pct"/>
            <w:shd w:val="clear" w:color="auto" w:fill="FFFFFF"/>
          </w:tcPr>
          <w:p w14:paraId="476F0EF5" w14:textId="77777777" w:rsidR="006168B0" w:rsidRPr="00E66809" w:rsidRDefault="006168B0">
            <w:pPr>
              <w:spacing w:after="0" w:line="276" w:lineRule="auto"/>
              <w:rPr>
                <w:rFonts w:eastAsia="Times New Roman" w:cs="Calibri"/>
              </w:rPr>
            </w:pPr>
            <w:r w:rsidRPr="00E66809">
              <w:rPr>
                <w:rFonts w:eastAsia="Times New Roman" w:cs="Calibri"/>
              </w:rPr>
              <w:t>Pass/Fail</w:t>
            </w:r>
          </w:p>
        </w:tc>
        <w:tc>
          <w:tcPr>
            <w:tcW w:w="3782" w:type="pct"/>
            <w:shd w:val="clear" w:color="auto" w:fill="FFFFFF"/>
          </w:tcPr>
          <w:p w14:paraId="0A9DB36F" w14:textId="77777777" w:rsidR="006168B0" w:rsidRPr="00E66809" w:rsidRDefault="006168B0">
            <w:pPr>
              <w:spacing w:after="0" w:line="276" w:lineRule="auto"/>
              <w:rPr>
                <w:rFonts w:eastAsia="Times New Roman" w:cs="Calibri"/>
                <w:b/>
                <w:u w:val="single"/>
              </w:rPr>
            </w:pPr>
            <w:r w:rsidRPr="00E66809">
              <w:rPr>
                <w:rFonts w:eastAsia="Times New Roman" w:cs="Calibri"/>
                <w:b/>
                <w:u w:val="single"/>
              </w:rPr>
              <w:t>Pass</w:t>
            </w:r>
          </w:p>
          <w:p w14:paraId="5EF9686A" w14:textId="77777777" w:rsidR="006168B0" w:rsidRPr="00E66809" w:rsidRDefault="006168B0">
            <w:pPr>
              <w:spacing w:after="0" w:line="276" w:lineRule="auto"/>
              <w:rPr>
                <w:rFonts w:eastAsia="Times New Roman" w:cs="Calibri"/>
              </w:rPr>
            </w:pPr>
            <w:r w:rsidRPr="00E66809">
              <w:rPr>
                <w:rFonts w:eastAsia="Times New Roman" w:cs="Calibri"/>
              </w:rPr>
              <w:t>All information provided</w:t>
            </w:r>
            <w:r>
              <w:rPr>
                <w:rFonts w:eastAsia="Times New Roman" w:cs="Calibri"/>
              </w:rPr>
              <w:t>.</w:t>
            </w:r>
          </w:p>
          <w:p w14:paraId="2127821A" w14:textId="77777777" w:rsidR="006168B0" w:rsidRPr="00E66809" w:rsidRDefault="006168B0">
            <w:pPr>
              <w:spacing w:after="0" w:line="276" w:lineRule="auto"/>
              <w:rPr>
                <w:rFonts w:eastAsia="Times New Roman" w:cs="Calibri"/>
              </w:rPr>
            </w:pPr>
          </w:p>
          <w:p w14:paraId="03B6DFE3" w14:textId="77777777" w:rsidR="006168B0" w:rsidRPr="00E66809" w:rsidRDefault="006168B0">
            <w:pPr>
              <w:spacing w:after="0" w:line="276" w:lineRule="auto"/>
              <w:rPr>
                <w:rFonts w:eastAsia="Times New Roman" w:cs="Calibri"/>
              </w:rPr>
            </w:pPr>
            <w:r w:rsidRPr="00E66809">
              <w:rPr>
                <w:rFonts w:eastAsia="Times New Roman" w:cs="Calibri"/>
                <w:b/>
                <w:u w:val="single"/>
              </w:rPr>
              <w:t>Fail</w:t>
            </w:r>
          </w:p>
          <w:p w14:paraId="19B7C309" w14:textId="77777777" w:rsidR="006168B0" w:rsidRPr="00E66809" w:rsidRDefault="006168B0">
            <w:pPr>
              <w:spacing w:after="0" w:line="276" w:lineRule="auto"/>
              <w:rPr>
                <w:rFonts w:eastAsia="Times New Roman" w:cs="Calibri"/>
                <w:b/>
                <w:u w:val="single"/>
              </w:rPr>
            </w:pPr>
            <w:r>
              <w:rPr>
                <w:rFonts w:eastAsia="Times New Roman" w:cs="Calibri"/>
              </w:rPr>
              <w:t>Response is incomplete and any missing information is not provided in the timeframes requested by HMRC</w:t>
            </w:r>
          </w:p>
        </w:tc>
      </w:tr>
      <w:tr w:rsidR="006168B0" w:rsidRPr="00605283" w14:paraId="5D13D13A" w14:textId="77777777" w:rsidTr="001C21AD">
        <w:trPr>
          <w:trHeight w:val="510"/>
        </w:trPr>
        <w:tc>
          <w:tcPr>
            <w:tcW w:w="565" w:type="pct"/>
            <w:shd w:val="clear" w:color="auto" w:fill="FFFFFF"/>
          </w:tcPr>
          <w:p w14:paraId="609DED49" w14:textId="77777777" w:rsidR="006168B0" w:rsidRPr="00E66809" w:rsidRDefault="006168B0">
            <w:pPr>
              <w:spacing w:after="0" w:line="276" w:lineRule="auto"/>
              <w:rPr>
                <w:rFonts w:eastAsia="Times New Roman" w:cs="Calibri"/>
              </w:rPr>
            </w:pPr>
            <w:r w:rsidRPr="00E66809">
              <w:rPr>
                <w:rFonts w:eastAsia="Times New Roman" w:cs="Calibri"/>
              </w:rPr>
              <w:t>1.5</w:t>
            </w:r>
          </w:p>
        </w:tc>
        <w:tc>
          <w:tcPr>
            <w:tcW w:w="652" w:type="pct"/>
            <w:shd w:val="clear" w:color="auto" w:fill="FFFFFF"/>
          </w:tcPr>
          <w:p w14:paraId="25A50035" w14:textId="77777777" w:rsidR="006168B0" w:rsidRPr="00E66809" w:rsidRDefault="006168B0">
            <w:pPr>
              <w:spacing w:after="0" w:line="276" w:lineRule="auto"/>
              <w:rPr>
                <w:rFonts w:eastAsia="Times New Roman" w:cs="Calibri"/>
              </w:rPr>
            </w:pPr>
            <w:r w:rsidRPr="00E66809">
              <w:rPr>
                <w:rFonts w:eastAsia="Times New Roman" w:cs="Calibri"/>
              </w:rPr>
              <w:t>Pass/Fail</w:t>
            </w:r>
          </w:p>
        </w:tc>
        <w:tc>
          <w:tcPr>
            <w:tcW w:w="3782" w:type="pct"/>
            <w:shd w:val="clear" w:color="auto" w:fill="FFFFFF"/>
          </w:tcPr>
          <w:p w14:paraId="4605C04E" w14:textId="77777777" w:rsidR="006168B0" w:rsidRPr="00E66809" w:rsidRDefault="006168B0">
            <w:pPr>
              <w:spacing w:after="0" w:line="276" w:lineRule="auto"/>
              <w:rPr>
                <w:rFonts w:eastAsia="Times New Roman" w:cs="Calibri"/>
                <w:b/>
                <w:u w:val="single"/>
              </w:rPr>
            </w:pPr>
            <w:r w:rsidRPr="00E66809">
              <w:rPr>
                <w:rFonts w:eastAsia="Times New Roman" w:cs="Calibri"/>
                <w:b/>
                <w:u w:val="single"/>
              </w:rPr>
              <w:t>Pass</w:t>
            </w:r>
          </w:p>
          <w:p w14:paraId="65AF3C03" w14:textId="77777777" w:rsidR="006168B0" w:rsidRPr="00E66809" w:rsidRDefault="006168B0">
            <w:pPr>
              <w:spacing w:after="0" w:line="276" w:lineRule="auto"/>
              <w:rPr>
                <w:rFonts w:eastAsia="Times New Roman" w:cs="Calibri"/>
              </w:rPr>
            </w:pPr>
            <w:r>
              <w:rPr>
                <w:rFonts w:eastAsia="Times New Roman" w:cs="Calibri"/>
              </w:rPr>
              <w:t xml:space="preserve">Supplier is not </w:t>
            </w:r>
            <w:r w:rsidRPr="00E66809">
              <w:rPr>
                <w:rFonts w:eastAsia="Times New Roman" w:cs="Calibri"/>
              </w:rPr>
              <w:t>on the debarment list</w:t>
            </w:r>
            <w:r>
              <w:rPr>
                <w:rFonts w:eastAsia="Times New Roman" w:cs="Calibri"/>
              </w:rPr>
              <w:t>.</w:t>
            </w:r>
          </w:p>
          <w:p w14:paraId="21C8865E" w14:textId="77777777" w:rsidR="003E107C" w:rsidRPr="00E66809" w:rsidRDefault="003E107C" w:rsidP="003E107C">
            <w:pPr>
              <w:spacing w:after="0" w:line="276" w:lineRule="auto"/>
              <w:rPr>
                <w:rFonts w:eastAsia="Times New Roman" w:cs="Calibri"/>
                <w:b/>
              </w:rPr>
            </w:pPr>
            <w:r w:rsidRPr="00E66809">
              <w:rPr>
                <w:rFonts w:eastAsia="Times New Roman" w:cs="Calibri"/>
                <w:b/>
              </w:rPr>
              <w:t>OR</w:t>
            </w:r>
          </w:p>
          <w:p w14:paraId="24D78689" w14:textId="77777777" w:rsidR="003E107C" w:rsidRPr="00E66809" w:rsidRDefault="003E107C" w:rsidP="003E107C">
            <w:pPr>
              <w:spacing w:after="0" w:line="276" w:lineRule="auto"/>
              <w:rPr>
                <w:rFonts w:eastAsia="Times New Roman" w:cs="Calibri"/>
              </w:rPr>
            </w:pPr>
            <w:r>
              <w:rPr>
                <w:rFonts w:eastAsia="Times New Roman" w:cs="Calibri"/>
              </w:rPr>
              <w:t>Grounds for discretionary exclusion</w:t>
            </w:r>
            <w:r w:rsidRPr="00E66809">
              <w:rPr>
                <w:rFonts w:eastAsia="Times New Roman" w:cs="Calibri"/>
              </w:rPr>
              <w:t xml:space="preserve"> appl</w:t>
            </w:r>
            <w:r>
              <w:rPr>
                <w:rFonts w:eastAsia="Times New Roman" w:cs="Calibri"/>
              </w:rPr>
              <w:t>y</w:t>
            </w:r>
            <w:r w:rsidRPr="00E66809">
              <w:rPr>
                <w:rFonts w:eastAsia="Times New Roman" w:cs="Calibri"/>
              </w:rPr>
              <w:t xml:space="preserve">, but </w:t>
            </w:r>
            <w:r w:rsidRPr="009F09F8">
              <w:rPr>
                <w:rFonts w:eastAsia="Times New Roman" w:cs="Calibri"/>
              </w:rPr>
              <w:t xml:space="preserve">the Supplier has provided a summary of the circumstances and any remedial action that has taken place subsequently, for the </w:t>
            </w:r>
            <w:r>
              <w:rPr>
                <w:rFonts w:eastAsia="Times New Roman" w:cs="Calibri"/>
              </w:rPr>
              <w:t xml:space="preserve">exclusion ground(s) </w:t>
            </w:r>
            <w:r w:rsidRPr="009F09F8">
              <w:rPr>
                <w:rFonts w:eastAsia="Times New Roman" w:cs="Calibri"/>
              </w:rPr>
              <w:t>in question</w:t>
            </w:r>
            <w:r>
              <w:rPr>
                <w:rFonts w:eastAsia="Times New Roman" w:cs="Calibri"/>
              </w:rPr>
              <w:t xml:space="preserve">, </w:t>
            </w:r>
            <w:r w:rsidRPr="00CA2085">
              <w:rPr>
                <w:rFonts w:eastAsia="Times New Roman" w:cs="Calibri"/>
              </w:rPr>
              <w:t>such that the issue is not continuing and is not likely to occur again in the future</w:t>
            </w:r>
            <w:r w:rsidRPr="009F09F8">
              <w:rPr>
                <w:rFonts w:eastAsia="Times New Roman" w:cs="Calibri"/>
              </w:rPr>
              <w:t xml:space="preserve">. The Supplier </w:t>
            </w:r>
            <w:proofErr w:type="gramStart"/>
            <w:r w:rsidRPr="009F09F8">
              <w:rPr>
                <w:rFonts w:eastAsia="Times New Roman" w:cs="Calibri"/>
              </w:rPr>
              <w:t>has to</w:t>
            </w:r>
            <w:proofErr w:type="gramEnd"/>
            <w:r w:rsidRPr="009F09F8">
              <w:rPr>
                <w:rFonts w:eastAsia="Times New Roman" w:cs="Calibri"/>
              </w:rPr>
              <w:t xml:space="preserve"> demonstrate it has taken such remedial action to the satisfaction of HMRC in each case.</w:t>
            </w:r>
          </w:p>
          <w:p w14:paraId="0E9E2A77" w14:textId="77777777" w:rsidR="006168B0" w:rsidRPr="00E66809" w:rsidRDefault="006168B0">
            <w:pPr>
              <w:spacing w:after="0" w:line="276" w:lineRule="auto"/>
              <w:rPr>
                <w:rFonts w:eastAsia="Times New Roman" w:cs="Calibri"/>
              </w:rPr>
            </w:pPr>
          </w:p>
          <w:p w14:paraId="1F33475A" w14:textId="77777777" w:rsidR="006168B0" w:rsidRPr="00E66809" w:rsidRDefault="006168B0">
            <w:pPr>
              <w:spacing w:after="0" w:line="276" w:lineRule="auto"/>
              <w:rPr>
                <w:rFonts w:eastAsia="Times New Roman" w:cs="Calibri"/>
              </w:rPr>
            </w:pPr>
          </w:p>
          <w:p w14:paraId="0D44F973" w14:textId="77777777" w:rsidR="006168B0" w:rsidRPr="00E66809" w:rsidRDefault="006168B0">
            <w:pPr>
              <w:spacing w:after="0" w:line="276" w:lineRule="auto"/>
              <w:rPr>
                <w:rFonts w:eastAsia="Times New Roman" w:cs="Calibri"/>
              </w:rPr>
            </w:pPr>
            <w:r w:rsidRPr="00E66809">
              <w:rPr>
                <w:rFonts w:eastAsia="Times New Roman" w:cs="Calibri"/>
                <w:b/>
                <w:u w:val="single"/>
              </w:rPr>
              <w:t>Fail</w:t>
            </w:r>
            <w:r w:rsidRPr="00E66809">
              <w:rPr>
                <w:rFonts w:eastAsia="Times New Roman" w:cs="Calibri"/>
              </w:rPr>
              <w:t xml:space="preserve"> </w:t>
            </w:r>
          </w:p>
          <w:p w14:paraId="6A30BC3C" w14:textId="77777777" w:rsidR="005F34C1" w:rsidRPr="00E66809" w:rsidRDefault="005F34C1" w:rsidP="005F34C1">
            <w:pPr>
              <w:spacing w:after="0" w:line="276" w:lineRule="auto"/>
              <w:rPr>
                <w:rFonts w:eastAsia="Arial" w:cs="Calibri"/>
              </w:rPr>
            </w:pPr>
            <w:r>
              <w:rPr>
                <w:rFonts w:eastAsia="Times New Roman" w:cs="Calibri"/>
              </w:rPr>
              <w:t>The Supplier is on</w:t>
            </w:r>
            <w:r w:rsidRPr="00E66809">
              <w:rPr>
                <w:rFonts w:eastAsia="Times New Roman" w:cs="Calibri"/>
              </w:rPr>
              <w:t xml:space="preserve"> the debarment list in relation to a mandatory </w:t>
            </w:r>
            <w:r w:rsidRPr="00E66809">
              <w:rPr>
                <w:rFonts w:eastAsia="Arial" w:cs="Calibri"/>
              </w:rPr>
              <w:t>exclusion ground (as detailed under Schedule 6</w:t>
            </w:r>
            <w:r>
              <w:rPr>
                <w:rFonts w:eastAsia="Arial" w:cs="Calibri"/>
              </w:rPr>
              <w:t xml:space="preserve"> of the Act</w:t>
            </w:r>
            <w:r w:rsidRPr="00E66809">
              <w:rPr>
                <w:rFonts w:eastAsia="Arial" w:cs="Calibri"/>
              </w:rPr>
              <w:t xml:space="preserve">) </w:t>
            </w:r>
          </w:p>
          <w:p w14:paraId="6AB247E6" w14:textId="77777777" w:rsidR="005F34C1" w:rsidRPr="00E66809" w:rsidRDefault="005F34C1" w:rsidP="005F34C1">
            <w:pPr>
              <w:spacing w:after="0" w:line="276" w:lineRule="auto"/>
              <w:rPr>
                <w:rFonts w:eastAsia="Arial" w:cs="Calibri"/>
                <w:b/>
              </w:rPr>
            </w:pPr>
            <w:r w:rsidRPr="00E66809">
              <w:rPr>
                <w:rFonts w:eastAsia="Arial" w:cs="Calibri"/>
                <w:b/>
              </w:rPr>
              <w:t>OR</w:t>
            </w:r>
          </w:p>
          <w:p w14:paraId="547D374B" w14:textId="3E166262" w:rsidR="005F34C1" w:rsidRDefault="005F34C1" w:rsidP="005F34C1">
            <w:pPr>
              <w:spacing w:after="0" w:line="276" w:lineRule="auto"/>
              <w:rPr>
                <w:rFonts w:eastAsia="Arial" w:cs="Calibri"/>
              </w:rPr>
            </w:pPr>
            <w:r>
              <w:rPr>
                <w:rFonts w:eastAsia="Times New Roman" w:cs="Calibri"/>
              </w:rPr>
              <w:t>The Supplier is on</w:t>
            </w:r>
            <w:r w:rsidRPr="00A824C6">
              <w:rPr>
                <w:rFonts w:eastAsia="Times New Roman" w:cs="Calibri"/>
              </w:rPr>
              <w:t xml:space="preserve"> the debarment list in relation </w:t>
            </w:r>
            <w:r w:rsidRPr="00E66809">
              <w:rPr>
                <w:rFonts w:eastAsia="Times New Roman" w:cs="Calibri"/>
              </w:rPr>
              <w:t xml:space="preserve">to a discretionary </w:t>
            </w:r>
            <w:r w:rsidRPr="00E66809">
              <w:rPr>
                <w:rFonts w:eastAsia="Arial" w:cs="Calibri"/>
              </w:rPr>
              <w:t>exclusion ground (as detailed under Schedule 7</w:t>
            </w:r>
            <w:r>
              <w:rPr>
                <w:rFonts w:eastAsia="Arial" w:cs="Calibri"/>
              </w:rPr>
              <w:t xml:space="preserve"> of the Act</w:t>
            </w:r>
            <w:r w:rsidRPr="00E66809">
              <w:rPr>
                <w:rFonts w:eastAsia="Arial" w:cs="Calibri"/>
              </w:rPr>
              <w:t>)</w:t>
            </w:r>
            <w:r>
              <w:rPr>
                <w:rFonts w:eastAsia="Arial" w:cs="Calibri"/>
              </w:rPr>
              <w:t xml:space="preserve"> but has not provided a </w:t>
            </w:r>
            <w:r w:rsidRPr="00D83CC7">
              <w:rPr>
                <w:rFonts w:eastAsia="Arial" w:cs="Calibri"/>
              </w:rPr>
              <w:t>summary of the circumstances and any remedial action that has taken place subsequently</w:t>
            </w:r>
            <w:r w:rsidR="00FF3764">
              <w:rPr>
                <w:rFonts w:eastAsia="Arial" w:cs="Calibri"/>
              </w:rPr>
              <w:t>,</w:t>
            </w:r>
            <w:r w:rsidR="00FF3764" w:rsidRPr="009F09F8">
              <w:rPr>
                <w:rFonts w:eastAsia="Times New Roman" w:cs="Calibri"/>
              </w:rPr>
              <w:t xml:space="preserve"> for the </w:t>
            </w:r>
            <w:r w:rsidR="00FF3764">
              <w:rPr>
                <w:rFonts w:eastAsia="Times New Roman" w:cs="Calibri"/>
              </w:rPr>
              <w:t xml:space="preserve">exclusion ground(s) </w:t>
            </w:r>
            <w:r w:rsidR="00FF3764" w:rsidRPr="009F09F8">
              <w:rPr>
                <w:rFonts w:eastAsia="Times New Roman" w:cs="Calibri"/>
              </w:rPr>
              <w:t>in question</w:t>
            </w:r>
            <w:r w:rsidR="00FF3764">
              <w:rPr>
                <w:rFonts w:eastAsia="Times New Roman" w:cs="Calibri"/>
              </w:rPr>
              <w:t xml:space="preserve">, </w:t>
            </w:r>
            <w:r w:rsidR="00FF3764" w:rsidRPr="00CA2085">
              <w:rPr>
                <w:rFonts w:eastAsia="Times New Roman" w:cs="Calibri"/>
              </w:rPr>
              <w:t>such that the issue is not continuing and is not likely to occur again in the future</w:t>
            </w:r>
            <w:r w:rsidR="00FF3764">
              <w:rPr>
                <w:rFonts w:eastAsia="Times New Roman" w:cs="Calibri"/>
              </w:rPr>
              <w:t>.</w:t>
            </w:r>
          </w:p>
          <w:p w14:paraId="62BF11EF" w14:textId="77777777" w:rsidR="005F34C1" w:rsidRPr="00A824C6" w:rsidRDefault="005F34C1" w:rsidP="005F34C1">
            <w:pPr>
              <w:spacing w:after="0" w:line="276" w:lineRule="auto"/>
              <w:rPr>
                <w:rFonts w:eastAsia="Arial" w:cs="Calibri"/>
                <w:b/>
              </w:rPr>
            </w:pPr>
            <w:r w:rsidRPr="00A824C6">
              <w:rPr>
                <w:rFonts w:eastAsia="Arial" w:cs="Calibri"/>
                <w:b/>
              </w:rPr>
              <w:t>OR</w:t>
            </w:r>
          </w:p>
          <w:p w14:paraId="571FE7EC" w14:textId="77777777" w:rsidR="005F34C1" w:rsidRPr="00E66809" w:rsidRDefault="005F34C1" w:rsidP="005F34C1">
            <w:pPr>
              <w:spacing w:after="0" w:line="276" w:lineRule="auto"/>
              <w:rPr>
                <w:rFonts w:eastAsia="Times New Roman" w:cs="Calibri"/>
              </w:rPr>
            </w:pPr>
            <w:r>
              <w:rPr>
                <w:rFonts w:eastAsia="Times New Roman" w:cs="Calibri"/>
              </w:rPr>
              <w:t>The Supplier is on</w:t>
            </w:r>
            <w:r w:rsidRPr="00A824C6">
              <w:rPr>
                <w:rFonts w:eastAsia="Times New Roman" w:cs="Calibri"/>
              </w:rPr>
              <w:t xml:space="preserve"> the debarment list in relation </w:t>
            </w:r>
            <w:r w:rsidRPr="00D83CC7">
              <w:rPr>
                <w:rFonts w:eastAsia="Times New Roman" w:cs="Calibri"/>
              </w:rPr>
              <w:t xml:space="preserve">in relation to a discretionary exclusion ground (as detailed under Schedule 7 of the Act) </w:t>
            </w:r>
            <w:r>
              <w:rPr>
                <w:rFonts w:eastAsia="Times New Roman" w:cs="Calibri"/>
              </w:rPr>
              <w:t>and</w:t>
            </w:r>
            <w:r w:rsidRPr="00D83CC7">
              <w:rPr>
                <w:rFonts w:eastAsia="Times New Roman" w:cs="Calibri"/>
              </w:rPr>
              <w:t xml:space="preserve"> </w:t>
            </w:r>
            <w:r>
              <w:rPr>
                <w:rFonts w:eastAsia="Times New Roman" w:cs="Calibri"/>
              </w:rPr>
              <w:t>the Suppliers’</w:t>
            </w:r>
            <w:r w:rsidRPr="00D83CC7">
              <w:rPr>
                <w:rFonts w:eastAsia="Times New Roman" w:cs="Calibri"/>
              </w:rPr>
              <w:t xml:space="preserve"> summary of the circumstances and any remedial action that has taken place subsequently</w:t>
            </w:r>
            <w:r>
              <w:rPr>
                <w:rFonts w:eastAsia="Times New Roman" w:cs="Calibri"/>
              </w:rPr>
              <w:t xml:space="preserve"> is deemed unsatisfactory by </w:t>
            </w:r>
            <w:proofErr w:type="gramStart"/>
            <w:r>
              <w:rPr>
                <w:rFonts w:eastAsia="Times New Roman" w:cs="Calibri"/>
              </w:rPr>
              <w:t>HMRC</w:t>
            </w:r>
            <w:proofErr w:type="gramEnd"/>
          </w:p>
          <w:p w14:paraId="02A20BFE" w14:textId="77777777" w:rsidR="006168B0" w:rsidRPr="00E66809" w:rsidRDefault="006168B0">
            <w:pPr>
              <w:spacing w:after="0" w:line="276" w:lineRule="auto"/>
              <w:rPr>
                <w:rFonts w:eastAsia="Times New Roman" w:cs="Calibri"/>
              </w:rPr>
            </w:pPr>
          </w:p>
          <w:p w14:paraId="1DB2D2C9" w14:textId="77777777" w:rsidR="006168B0" w:rsidRPr="00E66809" w:rsidRDefault="006168B0">
            <w:pPr>
              <w:keepNext/>
              <w:spacing w:after="0" w:line="276" w:lineRule="auto"/>
              <w:rPr>
                <w:rFonts w:eastAsia="Times New Roman" w:cs="Calibri"/>
              </w:rPr>
            </w:pPr>
            <w:r w:rsidRPr="00E66809">
              <w:rPr>
                <w:rFonts w:cs="Calibri"/>
              </w:rPr>
              <w:t xml:space="preserve">Where a </w:t>
            </w:r>
            <w:r>
              <w:rPr>
                <w:rFonts w:cs="Calibri"/>
              </w:rPr>
              <w:t>S</w:t>
            </w:r>
            <w:r w:rsidRPr="00E66809">
              <w:rPr>
                <w:rFonts w:cs="Calibri"/>
              </w:rPr>
              <w:t xml:space="preserve">upplier is disqualified, </w:t>
            </w:r>
            <w:r>
              <w:rPr>
                <w:rFonts w:cs="Calibri"/>
              </w:rPr>
              <w:t>the remainder of its response will not be evaluated.</w:t>
            </w:r>
          </w:p>
          <w:p w14:paraId="704D35BF" w14:textId="77777777" w:rsidR="006168B0" w:rsidRPr="00E66809" w:rsidRDefault="006168B0">
            <w:pPr>
              <w:spacing w:after="0" w:line="276" w:lineRule="auto"/>
              <w:rPr>
                <w:rFonts w:eastAsia="Times New Roman" w:cs="Calibri"/>
                <w:b/>
                <w:u w:val="single"/>
              </w:rPr>
            </w:pPr>
          </w:p>
        </w:tc>
      </w:tr>
    </w:tbl>
    <w:p w14:paraId="5C4E8D30" w14:textId="77777777" w:rsidR="006168B0" w:rsidRPr="00E66809" w:rsidRDefault="006168B0" w:rsidP="00FF7AA4"/>
    <w:p w14:paraId="4C8B5296" w14:textId="77777777" w:rsidR="006168B0" w:rsidRPr="00E66809" w:rsidRDefault="006168B0" w:rsidP="006168B0">
      <w:pPr>
        <w:keepNext/>
        <w:keepLines/>
        <w:pageBreakBefore/>
        <w:jc w:val="both"/>
        <w:outlineLvl w:val="0"/>
        <w:rPr>
          <w:rFonts w:eastAsiaTheme="majorEastAsia" w:cs="Arial"/>
          <w:b/>
        </w:rPr>
      </w:pPr>
      <w:r w:rsidRPr="00E66809">
        <w:rPr>
          <w:rFonts w:eastAsiaTheme="majorEastAsia" w:cs="Arial"/>
          <w:b/>
        </w:rPr>
        <w:t>Part 1: Confirmation of core supplier information</w:t>
      </w:r>
    </w:p>
    <w:p w14:paraId="17EC30C4" w14:textId="77777777" w:rsidR="006168B0" w:rsidRPr="00E66809" w:rsidRDefault="006168B0" w:rsidP="00FF7A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92"/>
        <w:gridCol w:w="1513"/>
        <w:gridCol w:w="6211"/>
      </w:tblGrid>
      <w:tr w:rsidR="006168B0" w:rsidRPr="001439F7" w14:paraId="73FC39DD" w14:textId="77777777" w:rsidTr="00C11C8C">
        <w:trPr>
          <w:cantSplit/>
          <w:trHeight w:val="510"/>
        </w:trPr>
        <w:tc>
          <w:tcPr>
            <w:tcW w:w="565" w:type="pct"/>
            <w:tcBorders>
              <w:top w:val="single" w:sz="4" w:space="0" w:color="auto"/>
              <w:left w:val="single" w:sz="4" w:space="0" w:color="auto"/>
              <w:bottom w:val="single" w:sz="4" w:space="0" w:color="auto"/>
              <w:right w:val="single" w:sz="4" w:space="0" w:color="EAEAEA"/>
            </w:tcBorders>
            <w:shd w:val="clear" w:color="auto" w:fill="009999"/>
            <w:vAlign w:val="center"/>
          </w:tcPr>
          <w:p w14:paraId="5B1794BC"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653" w:type="pct"/>
            <w:tcBorders>
              <w:top w:val="single" w:sz="4" w:space="0" w:color="auto"/>
              <w:left w:val="single" w:sz="4" w:space="0" w:color="auto"/>
              <w:bottom w:val="single" w:sz="4" w:space="0" w:color="auto"/>
              <w:right w:val="single" w:sz="4" w:space="0" w:color="EAEAEA"/>
            </w:tcBorders>
            <w:shd w:val="clear" w:color="auto" w:fill="009999"/>
            <w:vAlign w:val="center"/>
          </w:tcPr>
          <w:p w14:paraId="32B1DFB7"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3782" w:type="pct"/>
            <w:tcBorders>
              <w:top w:val="single" w:sz="4" w:space="0" w:color="auto"/>
              <w:left w:val="single" w:sz="4" w:space="0" w:color="auto"/>
              <w:bottom w:val="single" w:sz="4" w:space="0" w:color="auto"/>
              <w:right w:val="single" w:sz="4" w:space="0" w:color="auto"/>
            </w:tcBorders>
            <w:shd w:val="clear" w:color="auto" w:fill="009999"/>
            <w:vAlign w:val="center"/>
          </w:tcPr>
          <w:p w14:paraId="6CE04D23" w14:textId="77777777" w:rsidR="006168B0" w:rsidRPr="00E66809" w:rsidRDefault="006168B0">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6168B0" w:rsidRPr="00605283" w14:paraId="5ACCBBD9" w14:textId="77777777" w:rsidTr="00C11C8C">
        <w:trPr>
          <w:trHeight w:val="510"/>
        </w:trPr>
        <w:tc>
          <w:tcPr>
            <w:tcW w:w="565" w:type="pct"/>
            <w:shd w:val="clear" w:color="auto" w:fill="FFFFFF"/>
          </w:tcPr>
          <w:p w14:paraId="2E44C0C2" w14:textId="77777777" w:rsidR="006168B0" w:rsidRPr="00E66809" w:rsidRDefault="006168B0">
            <w:pPr>
              <w:spacing w:after="0" w:line="276" w:lineRule="auto"/>
              <w:rPr>
                <w:rFonts w:eastAsia="Times New Roman" w:cs="Calibri"/>
              </w:rPr>
            </w:pPr>
            <w:r w:rsidRPr="00E66809">
              <w:rPr>
                <w:rFonts w:eastAsia="Times New Roman" w:cs="Calibri"/>
              </w:rPr>
              <w:t>1.6</w:t>
            </w:r>
          </w:p>
        </w:tc>
        <w:tc>
          <w:tcPr>
            <w:tcW w:w="653" w:type="pct"/>
            <w:shd w:val="clear" w:color="auto" w:fill="FFFFFF"/>
          </w:tcPr>
          <w:p w14:paraId="1EA3947E" w14:textId="77777777" w:rsidR="006168B0" w:rsidRPr="00E66809" w:rsidRDefault="006168B0">
            <w:pPr>
              <w:spacing w:after="0" w:line="276" w:lineRule="auto"/>
              <w:rPr>
                <w:rFonts w:eastAsia="Times New Roman" w:cs="Calibri"/>
              </w:rPr>
            </w:pPr>
            <w:r w:rsidRPr="00E66809">
              <w:rPr>
                <w:rFonts w:eastAsia="Times New Roman" w:cs="Calibri"/>
              </w:rPr>
              <w:t>Pass/Fail</w:t>
            </w:r>
          </w:p>
        </w:tc>
        <w:tc>
          <w:tcPr>
            <w:tcW w:w="3782" w:type="pct"/>
            <w:shd w:val="clear" w:color="auto" w:fill="FFFFFF"/>
          </w:tcPr>
          <w:p w14:paraId="04845A3A" w14:textId="77777777" w:rsidR="006168B0" w:rsidRPr="00E66809" w:rsidRDefault="006168B0">
            <w:pPr>
              <w:spacing w:after="0" w:line="276" w:lineRule="auto"/>
              <w:rPr>
                <w:rFonts w:eastAsia="Times New Roman" w:cs="Calibri"/>
                <w:b/>
                <w:u w:val="single"/>
              </w:rPr>
            </w:pPr>
            <w:r w:rsidRPr="00E66809">
              <w:rPr>
                <w:rFonts w:eastAsia="Times New Roman" w:cs="Calibri"/>
                <w:b/>
                <w:u w:val="single"/>
              </w:rPr>
              <w:t>Pass</w:t>
            </w:r>
          </w:p>
          <w:p w14:paraId="64861C3D" w14:textId="77777777" w:rsidR="006168B0" w:rsidRPr="00E66809" w:rsidRDefault="006168B0">
            <w:pPr>
              <w:spacing w:after="0" w:line="276" w:lineRule="auto"/>
              <w:rPr>
                <w:rFonts w:eastAsia="Times New Roman" w:cs="Calibri"/>
              </w:rPr>
            </w:pPr>
            <w:r w:rsidRPr="00E66809">
              <w:rPr>
                <w:rFonts w:eastAsia="Times New Roman" w:cs="Calibri"/>
              </w:rPr>
              <w:t>All information provided</w:t>
            </w:r>
            <w:r>
              <w:rPr>
                <w:rFonts w:eastAsia="Times New Roman" w:cs="Calibri"/>
              </w:rPr>
              <w:t xml:space="preserve"> and there are no g</w:t>
            </w:r>
            <w:r w:rsidRPr="00E66809">
              <w:rPr>
                <w:rFonts w:eastAsia="Times New Roman" w:cs="Calibri"/>
              </w:rPr>
              <w:t xml:space="preserve">rounds for exclusion. </w:t>
            </w:r>
          </w:p>
          <w:p w14:paraId="07F640B5" w14:textId="77777777" w:rsidR="006168B0" w:rsidRPr="00E66809" w:rsidRDefault="006168B0">
            <w:pPr>
              <w:spacing w:after="0" w:line="276" w:lineRule="auto"/>
              <w:rPr>
                <w:rFonts w:eastAsia="Times New Roman" w:cs="Calibri"/>
                <w:b/>
              </w:rPr>
            </w:pPr>
            <w:r w:rsidRPr="00E66809">
              <w:rPr>
                <w:rFonts w:eastAsia="Times New Roman" w:cs="Calibri"/>
                <w:b/>
              </w:rPr>
              <w:t>OR</w:t>
            </w:r>
          </w:p>
          <w:p w14:paraId="0D1D0C7D" w14:textId="5A51A870" w:rsidR="006168B0" w:rsidRPr="00E66809" w:rsidRDefault="006168B0">
            <w:pPr>
              <w:spacing w:after="0" w:line="276" w:lineRule="auto"/>
              <w:rPr>
                <w:rFonts w:eastAsia="Times New Roman" w:cs="Calibri"/>
              </w:rPr>
            </w:pPr>
            <w:r>
              <w:rPr>
                <w:rFonts w:eastAsia="Times New Roman" w:cs="Calibri"/>
              </w:rPr>
              <w:t>Grounds for discretionary exclusion</w:t>
            </w:r>
            <w:r w:rsidRPr="00E66809">
              <w:rPr>
                <w:rFonts w:eastAsia="Times New Roman" w:cs="Calibri"/>
              </w:rPr>
              <w:t xml:space="preserve"> appl</w:t>
            </w:r>
            <w:r>
              <w:rPr>
                <w:rFonts w:eastAsia="Times New Roman" w:cs="Calibri"/>
              </w:rPr>
              <w:t>y</w:t>
            </w:r>
            <w:r w:rsidRPr="00E66809">
              <w:rPr>
                <w:rFonts w:eastAsia="Times New Roman" w:cs="Calibri"/>
              </w:rPr>
              <w:t xml:space="preserve">, but </w:t>
            </w:r>
            <w:r w:rsidRPr="009F09F8">
              <w:rPr>
                <w:rFonts w:eastAsia="Times New Roman" w:cs="Calibri"/>
              </w:rPr>
              <w:t xml:space="preserve">the Supplier has provided a summary of the circumstances and any remedial action that has taken place subsequently, for the </w:t>
            </w:r>
            <w:r>
              <w:rPr>
                <w:rFonts w:eastAsia="Times New Roman" w:cs="Calibri"/>
              </w:rPr>
              <w:t xml:space="preserve">exclusion ground(s) </w:t>
            </w:r>
            <w:r w:rsidRPr="009F09F8">
              <w:rPr>
                <w:rFonts w:eastAsia="Times New Roman" w:cs="Calibri"/>
              </w:rPr>
              <w:t>in question</w:t>
            </w:r>
            <w:r w:rsidR="002C2B70">
              <w:rPr>
                <w:rFonts w:eastAsia="Times New Roman" w:cs="Calibri"/>
              </w:rPr>
              <w:t xml:space="preserve">, </w:t>
            </w:r>
            <w:r w:rsidR="002C2B70" w:rsidRPr="00CA2085">
              <w:rPr>
                <w:rFonts w:eastAsia="Times New Roman" w:cs="Calibri"/>
              </w:rPr>
              <w:t>such that the issue is not continuing and is not likely to occur again in the future</w:t>
            </w:r>
            <w:r w:rsidRPr="009F09F8">
              <w:rPr>
                <w:rFonts w:eastAsia="Times New Roman" w:cs="Calibri"/>
              </w:rPr>
              <w:t xml:space="preserve">. The Supplier </w:t>
            </w:r>
            <w:proofErr w:type="gramStart"/>
            <w:r w:rsidRPr="009F09F8">
              <w:rPr>
                <w:rFonts w:eastAsia="Times New Roman" w:cs="Calibri"/>
              </w:rPr>
              <w:t>has to</w:t>
            </w:r>
            <w:proofErr w:type="gramEnd"/>
            <w:r w:rsidRPr="009F09F8">
              <w:rPr>
                <w:rFonts w:eastAsia="Times New Roman" w:cs="Calibri"/>
              </w:rPr>
              <w:t xml:space="preserve"> demonstrate it has taken such remedial action to the satisfaction of HMRC in each case.</w:t>
            </w:r>
          </w:p>
          <w:p w14:paraId="2E74DBBF" w14:textId="77777777" w:rsidR="006168B0" w:rsidRPr="00E66809" w:rsidRDefault="006168B0">
            <w:pPr>
              <w:spacing w:after="0" w:line="276" w:lineRule="auto"/>
              <w:rPr>
                <w:rFonts w:eastAsia="Times New Roman" w:cs="Calibri"/>
              </w:rPr>
            </w:pPr>
          </w:p>
          <w:p w14:paraId="541EFB0A" w14:textId="77777777" w:rsidR="006168B0" w:rsidRPr="00E66809" w:rsidRDefault="006168B0">
            <w:pPr>
              <w:spacing w:after="0" w:line="276" w:lineRule="auto"/>
              <w:rPr>
                <w:rFonts w:eastAsia="Times New Roman" w:cs="Calibri"/>
              </w:rPr>
            </w:pPr>
            <w:r w:rsidRPr="00E66809">
              <w:rPr>
                <w:rFonts w:eastAsia="Times New Roman" w:cs="Calibri"/>
                <w:b/>
                <w:u w:val="single"/>
              </w:rPr>
              <w:t>Fail</w:t>
            </w:r>
            <w:r w:rsidRPr="00E66809">
              <w:rPr>
                <w:rFonts w:eastAsia="Times New Roman" w:cs="Calibri"/>
              </w:rPr>
              <w:t xml:space="preserve"> </w:t>
            </w:r>
          </w:p>
          <w:p w14:paraId="43918181" w14:textId="77777777" w:rsidR="006168B0" w:rsidRDefault="006168B0">
            <w:pPr>
              <w:spacing w:after="0" w:line="276" w:lineRule="auto"/>
              <w:rPr>
                <w:rFonts w:eastAsia="Times New Roman" w:cs="Calibri"/>
              </w:rPr>
            </w:pPr>
            <w:r>
              <w:rPr>
                <w:rFonts w:eastAsia="Times New Roman" w:cs="Calibri"/>
              </w:rPr>
              <w:t xml:space="preserve">The Supplier answers ‘No’, without an explanation that is deemed satisfactory by </w:t>
            </w:r>
            <w:proofErr w:type="gramStart"/>
            <w:r>
              <w:rPr>
                <w:rFonts w:eastAsia="Times New Roman" w:cs="Calibri"/>
              </w:rPr>
              <w:t>HMRC</w:t>
            </w:r>
            <w:proofErr w:type="gramEnd"/>
          </w:p>
          <w:p w14:paraId="402207A8" w14:textId="77777777" w:rsidR="006168B0" w:rsidRPr="00A824C6" w:rsidRDefault="006168B0">
            <w:pPr>
              <w:spacing w:after="0" w:line="276" w:lineRule="auto"/>
              <w:rPr>
                <w:rFonts w:eastAsia="Times New Roman" w:cs="Calibri"/>
                <w:b/>
              </w:rPr>
            </w:pPr>
            <w:r w:rsidRPr="00A824C6">
              <w:rPr>
                <w:rFonts w:eastAsia="Times New Roman" w:cs="Calibri"/>
                <w:b/>
              </w:rPr>
              <w:t>OR</w:t>
            </w:r>
          </w:p>
          <w:p w14:paraId="748C910B" w14:textId="77777777" w:rsidR="006168B0" w:rsidRDefault="006168B0">
            <w:pPr>
              <w:spacing w:after="0" w:line="276" w:lineRule="auto"/>
              <w:rPr>
                <w:rFonts w:eastAsia="Times New Roman" w:cs="Calibri"/>
              </w:rPr>
            </w:pPr>
            <w:r w:rsidRPr="00EF0A5F">
              <w:rPr>
                <w:rFonts w:eastAsia="Times New Roman" w:cs="Calibri"/>
              </w:rPr>
              <w:t xml:space="preserve">Response is incomplete and any missing information is not provided in the timeframes requested by </w:t>
            </w:r>
            <w:proofErr w:type="gramStart"/>
            <w:r w:rsidRPr="00EF0A5F">
              <w:rPr>
                <w:rFonts w:eastAsia="Times New Roman" w:cs="Calibri"/>
              </w:rPr>
              <w:t>HMRC</w:t>
            </w:r>
            <w:proofErr w:type="gramEnd"/>
          </w:p>
          <w:p w14:paraId="4FA54B1B" w14:textId="77777777" w:rsidR="006168B0" w:rsidRPr="00A824C6" w:rsidRDefault="006168B0">
            <w:pPr>
              <w:spacing w:after="0" w:line="276" w:lineRule="auto"/>
              <w:rPr>
                <w:rFonts w:eastAsia="Times New Roman" w:cs="Calibri"/>
                <w:b/>
              </w:rPr>
            </w:pPr>
            <w:r w:rsidRPr="00A824C6">
              <w:rPr>
                <w:rFonts w:eastAsia="Times New Roman" w:cs="Calibri"/>
                <w:b/>
              </w:rPr>
              <w:t>OR</w:t>
            </w:r>
          </w:p>
          <w:p w14:paraId="133F2B3F" w14:textId="1DD22954" w:rsidR="006168B0" w:rsidRDefault="006168B0">
            <w:pPr>
              <w:spacing w:after="0" w:line="276" w:lineRule="auto"/>
              <w:rPr>
                <w:rFonts w:eastAsia="Times New Roman" w:cs="Calibri"/>
              </w:rPr>
            </w:pPr>
            <w:r>
              <w:rPr>
                <w:rFonts w:eastAsia="Times New Roman" w:cs="Calibri"/>
              </w:rPr>
              <w:t>A mandatory exclusion ground</w:t>
            </w:r>
            <w:r w:rsidRPr="00A824C6">
              <w:rPr>
                <w:rFonts w:eastAsia="Times New Roman" w:cs="Calibri"/>
              </w:rPr>
              <w:t xml:space="preserve"> applies</w:t>
            </w:r>
            <w:r w:rsidR="004E21DF">
              <w:rPr>
                <w:rFonts w:eastAsia="Times New Roman" w:cs="Calibri"/>
              </w:rPr>
              <w:t xml:space="preserve">, which remains </w:t>
            </w:r>
            <w:proofErr w:type="gramStart"/>
            <w:r w:rsidR="004E21DF">
              <w:rPr>
                <w:rFonts w:eastAsia="Times New Roman" w:cs="Calibri"/>
              </w:rPr>
              <w:t>relevant</w:t>
            </w:r>
            <w:proofErr w:type="gramEnd"/>
          </w:p>
          <w:p w14:paraId="796ABA98" w14:textId="77777777" w:rsidR="006168B0" w:rsidRPr="00A824C6" w:rsidRDefault="006168B0">
            <w:pPr>
              <w:spacing w:after="0" w:line="276" w:lineRule="auto"/>
              <w:rPr>
                <w:rFonts w:eastAsia="Times New Roman" w:cs="Calibri"/>
                <w:b/>
              </w:rPr>
            </w:pPr>
            <w:r w:rsidRPr="00A824C6">
              <w:rPr>
                <w:rFonts w:eastAsia="Times New Roman" w:cs="Calibri"/>
                <w:b/>
              </w:rPr>
              <w:t>OR</w:t>
            </w:r>
          </w:p>
          <w:p w14:paraId="0E854797" w14:textId="41216301" w:rsidR="006168B0" w:rsidRDefault="006168B0">
            <w:pPr>
              <w:spacing w:after="0" w:line="276" w:lineRule="auto"/>
              <w:rPr>
                <w:rFonts w:eastAsia="Times New Roman" w:cs="Calibri"/>
              </w:rPr>
            </w:pPr>
            <w:r>
              <w:rPr>
                <w:rFonts w:eastAsia="Times New Roman" w:cs="Calibri"/>
              </w:rPr>
              <w:t>A discretionary exclusion ground</w:t>
            </w:r>
            <w:r w:rsidRPr="00A824C6">
              <w:rPr>
                <w:rFonts w:eastAsia="Times New Roman" w:cs="Calibri"/>
              </w:rPr>
              <w:t xml:space="preserve"> applies, but Supplier has not included details and/or provided an explanation </w:t>
            </w:r>
            <w:r w:rsidR="004A39CC">
              <w:rPr>
                <w:rFonts w:eastAsia="Times New Roman" w:cs="Calibri"/>
              </w:rPr>
              <w:t xml:space="preserve">of remedial steps, </w:t>
            </w:r>
            <w:r w:rsidRPr="00A824C6">
              <w:rPr>
                <w:rFonts w:eastAsia="Times New Roman" w:cs="Calibri"/>
              </w:rPr>
              <w:t xml:space="preserve">which is to the satisfaction of </w:t>
            </w:r>
            <w:proofErr w:type="gramStart"/>
            <w:r w:rsidRPr="00A824C6">
              <w:rPr>
                <w:rFonts w:eastAsia="Times New Roman" w:cs="Calibri"/>
              </w:rPr>
              <w:t>HMRC</w:t>
            </w:r>
            <w:proofErr w:type="gramEnd"/>
          </w:p>
          <w:p w14:paraId="2A1834C3" w14:textId="77777777" w:rsidR="006168B0" w:rsidRPr="00E66809" w:rsidRDefault="006168B0">
            <w:pPr>
              <w:spacing w:after="0" w:line="276" w:lineRule="auto"/>
              <w:rPr>
                <w:rFonts w:eastAsia="Times New Roman" w:cs="Calibri"/>
              </w:rPr>
            </w:pPr>
          </w:p>
          <w:p w14:paraId="7DACEC8F" w14:textId="77777777" w:rsidR="006168B0" w:rsidRPr="00C453EE" w:rsidRDefault="006168B0">
            <w:pPr>
              <w:spacing w:after="0" w:line="276" w:lineRule="auto"/>
              <w:rPr>
                <w:rFonts w:eastAsia="Times New Roman" w:cs="Calibri"/>
              </w:rPr>
            </w:pPr>
            <w:r w:rsidRPr="00C453EE">
              <w:rPr>
                <w:rFonts w:eastAsia="Times New Roman" w:cs="Calibri"/>
              </w:rPr>
              <w:t>HMRC reserves the right to fail Suppliers that:</w:t>
            </w:r>
          </w:p>
          <w:p w14:paraId="6DFC3457" w14:textId="77777777" w:rsidR="006168B0" w:rsidRPr="00C453EE" w:rsidRDefault="006168B0" w:rsidP="0085565B">
            <w:pPr>
              <w:pStyle w:val="ListParagraph"/>
              <w:numPr>
                <w:ilvl w:val="0"/>
                <w:numId w:val="59"/>
              </w:numPr>
              <w:spacing w:after="0" w:line="276" w:lineRule="auto"/>
              <w:rPr>
                <w:rFonts w:eastAsia="Times New Roman" w:cs="Calibri"/>
              </w:rPr>
            </w:pPr>
            <w:r w:rsidRPr="00C453EE">
              <w:rPr>
                <w:rFonts w:eastAsia="Times New Roman" w:cs="Calibri"/>
              </w:rPr>
              <w:t xml:space="preserve">Are not part registered on the </w:t>
            </w:r>
            <w:proofErr w:type="gramStart"/>
            <w:r w:rsidRPr="00C453EE">
              <w:rPr>
                <w:rFonts w:eastAsia="Times New Roman" w:cs="Calibri"/>
              </w:rPr>
              <w:t>CDP</w:t>
            </w:r>
            <w:proofErr w:type="gramEnd"/>
          </w:p>
          <w:p w14:paraId="7F70DA53" w14:textId="77777777" w:rsidR="006168B0" w:rsidRPr="00C453EE" w:rsidRDefault="006168B0" w:rsidP="0085565B">
            <w:pPr>
              <w:pStyle w:val="ListParagraph"/>
              <w:numPr>
                <w:ilvl w:val="0"/>
                <w:numId w:val="59"/>
              </w:numPr>
              <w:spacing w:after="0" w:line="276" w:lineRule="auto"/>
              <w:rPr>
                <w:rFonts w:eastAsia="Times New Roman" w:cs="Calibri"/>
              </w:rPr>
            </w:pPr>
            <w:r w:rsidRPr="00C453EE">
              <w:rPr>
                <w:rFonts w:eastAsia="Times New Roman" w:cs="Calibri"/>
              </w:rPr>
              <w:t xml:space="preserve">Have not provided up-to-date core supplier information as </w:t>
            </w:r>
            <w:proofErr w:type="gramStart"/>
            <w:r w:rsidRPr="00C453EE">
              <w:rPr>
                <w:rFonts w:eastAsia="Times New Roman" w:cs="Calibri"/>
              </w:rPr>
              <w:t>requested</w:t>
            </w:r>
            <w:proofErr w:type="gramEnd"/>
          </w:p>
          <w:p w14:paraId="27749193" w14:textId="77777777" w:rsidR="006168B0" w:rsidRPr="00C453EE" w:rsidRDefault="006168B0" w:rsidP="0085565B">
            <w:pPr>
              <w:pStyle w:val="ListParagraph"/>
              <w:numPr>
                <w:ilvl w:val="0"/>
                <w:numId w:val="59"/>
              </w:numPr>
              <w:spacing w:after="0" w:line="276" w:lineRule="auto"/>
              <w:rPr>
                <w:rFonts w:eastAsia="Times New Roman" w:cs="Calibri"/>
              </w:rPr>
            </w:pPr>
            <w:r w:rsidRPr="00C453EE">
              <w:rPr>
                <w:rFonts w:eastAsia="Times New Roman" w:cs="Calibri"/>
              </w:rPr>
              <w:t xml:space="preserve">Have not provided one or more of the pieces of information </w:t>
            </w:r>
            <w:proofErr w:type="gramStart"/>
            <w:r w:rsidRPr="00C453EE">
              <w:rPr>
                <w:rFonts w:eastAsia="Times New Roman" w:cs="Calibri"/>
              </w:rPr>
              <w:t>requested</w:t>
            </w:r>
            <w:proofErr w:type="gramEnd"/>
          </w:p>
          <w:p w14:paraId="3E016BC6" w14:textId="77777777" w:rsidR="006168B0" w:rsidRPr="00E66809" w:rsidRDefault="006168B0">
            <w:pPr>
              <w:spacing w:after="0" w:line="276" w:lineRule="auto"/>
              <w:rPr>
                <w:rFonts w:eastAsia="Times New Roman" w:cs="Calibri"/>
                <w:b/>
              </w:rPr>
            </w:pPr>
          </w:p>
          <w:p w14:paraId="57906DAF" w14:textId="77777777" w:rsidR="006168B0" w:rsidRPr="00E66809" w:rsidRDefault="006168B0">
            <w:pPr>
              <w:spacing w:after="0" w:line="276" w:lineRule="auto"/>
              <w:rPr>
                <w:rFonts w:eastAsia="Times New Roman" w:cs="Calibri"/>
                <w:b/>
                <w:u w:val="single"/>
              </w:rPr>
            </w:pPr>
          </w:p>
        </w:tc>
      </w:tr>
    </w:tbl>
    <w:p w14:paraId="7B4F5589" w14:textId="77777777" w:rsidR="006168B0" w:rsidRPr="00E66809" w:rsidRDefault="006168B0" w:rsidP="006168B0">
      <w:pPr>
        <w:keepNext/>
        <w:keepLines/>
        <w:pageBreakBefore/>
        <w:spacing w:after="0" w:line="276" w:lineRule="auto"/>
        <w:outlineLvl w:val="2"/>
        <w:rPr>
          <w:rFonts w:eastAsia="Arial" w:cs="Calibri"/>
          <w:b/>
        </w:rPr>
      </w:pPr>
      <w:r w:rsidRPr="00E66809">
        <w:rPr>
          <w:rFonts w:eastAsia="Arial" w:cs="Calibri"/>
          <w:b/>
        </w:rPr>
        <w:t>Part 2: Additional Exclusions Information</w:t>
      </w:r>
    </w:p>
    <w:p w14:paraId="2D916394" w14:textId="77777777" w:rsidR="006168B0" w:rsidRPr="00E66809" w:rsidRDefault="006168B0" w:rsidP="006168B0">
      <w:pPr>
        <w:spacing w:after="0" w:line="276" w:lineRule="auto"/>
        <w:rPr>
          <w:rFonts w:eastAsia="Arial" w:cs="Calibri"/>
        </w:rPr>
      </w:pPr>
    </w:p>
    <w:p w14:paraId="3DA5F384" w14:textId="77777777" w:rsidR="006168B0" w:rsidRPr="00E66809" w:rsidRDefault="006168B0" w:rsidP="006168B0">
      <w:pPr>
        <w:spacing w:after="0" w:line="276" w:lineRule="auto"/>
        <w:rPr>
          <w:rFonts w:eastAsiaTheme="majorEastAsia" w:cs="Arial"/>
          <w:b/>
        </w:rPr>
      </w:pPr>
      <w:r w:rsidRPr="00E66809">
        <w:rPr>
          <w:rFonts w:eastAsia="Arial" w:cs="Calibri"/>
          <w:b/>
          <w:u w:val="single"/>
        </w:rPr>
        <w:t>Part 2A – Associated Persons</w:t>
      </w:r>
    </w:p>
    <w:p w14:paraId="227BE51F" w14:textId="77777777" w:rsidR="006168B0" w:rsidRPr="00E66809" w:rsidRDefault="006168B0" w:rsidP="00232B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92"/>
        <w:gridCol w:w="1549"/>
        <w:gridCol w:w="6175"/>
      </w:tblGrid>
      <w:tr w:rsidR="006168B0" w:rsidRPr="001439F7" w14:paraId="643DD06C" w14:textId="77777777" w:rsidTr="00C11C8C">
        <w:trPr>
          <w:cantSplit/>
          <w:trHeight w:val="510"/>
        </w:trPr>
        <w:tc>
          <w:tcPr>
            <w:tcW w:w="565" w:type="pct"/>
            <w:tcBorders>
              <w:top w:val="single" w:sz="4" w:space="0" w:color="auto"/>
              <w:left w:val="single" w:sz="4" w:space="0" w:color="auto"/>
              <w:bottom w:val="single" w:sz="4" w:space="0" w:color="auto"/>
              <w:right w:val="single" w:sz="4" w:space="0" w:color="EAEAEA"/>
            </w:tcBorders>
            <w:shd w:val="clear" w:color="auto" w:fill="009999"/>
            <w:vAlign w:val="center"/>
          </w:tcPr>
          <w:p w14:paraId="0611ABC2" w14:textId="77777777" w:rsidR="006168B0" w:rsidRPr="00E66809" w:rsidRDefault="006168B0">
            <w:pPr>
              <w:autoSpaceDE w:val="0"/>
              <w:autoSpaceDN w:val="0"/>
              <w:adjustRightInd w:val="0"/>
              <w:spacing w:after="0" w:line="276" w:lineRule="auto"/>
              <w:jc w:val="both"/>
              <w:rPr>
                <w:rFonts w:eastAsia="Times New Roman" w:cs="Arial"/>
                <w:b/>
                <w:color w:val="FFFFFF" w:themeColor="background1"/>
              </w:rPr>
            </w:pPr>
            <w:r w:rsidRPr="00E66809">
              <w:rPr>
                <w:rFonts w:eastAsia="Times New Roman" w:cs="Arial"/>
                <w:b/>
                <w:color w:val="FFFFFF" w:themeColor="background1"/>
              </w:rPr>
              <w:t>Question / Questions</w:t>
            </w:r>
          </w:p>
        </w:tc>
        <w:tc>
          <w:tcPr>
            <w:tcW w:w="653" w:type="pct"/>
            <w:tcBorders>
              <w:top w:val="single" w:sz="4" w:space="0" w:color="auto"/>
              <w:left w:val="single" w:sz="4" w:space="0" w:color="auto"/>
              <w:bottom w:val="single" w:sz="4" w:space="0" w:color="auto"/>
              <w:right w:val="single" w:sz="4" w:space="0" w:color="EAEAEA"/>
            </w:tcBorders>
            <w:shd w:val="clear" w:color="auto" w:fill="009999"/>
            <w:vAlign w:val="center"/>
          </w:tcPr>
          <w:p w14:paraId="6EF6EE9E" w14:textId="77777777" w:rsidR="006168B0" w:rsidRPr="00E66809" w:rsidRDefault="006168B0">
            <w:pPr>
              <w:autoSpaceDE w:val="0"/>
              <w:autoSpaceDN w:val="0"/>
              <w:adjustRightInd w:val="0"/>
              <w:spacing w:after="0" w:line="276" w:lineRule="auto"/>
              <w:jc w:val="both"/>
              <w:rPr>
                <w:rFonts w:eastAsia="Times New Roman" w:cs="Arial"/>
                <w:b/>
                <w:color w:val="FFFFFF" w:themeColor="background1"/>
              </w:rPr>
            </w:pPr>
            <w:r w:rsidRPr="00E66809">
              <w:rPr>
                <w:rFonts w:eastAsia="Times New Roman" w:cs="Arial"/>
                <w:b/>
                <w:color w:val="FFFFFF" w:themeColor="background1"/>
              </w:rPr>
              <w:t>Assessment</w:t>
            </w:r>
          </w:p>
        </w:tc>
        <w:tc>
          <w:tcPr>
            <w:tcW w:w="3782" w:type="pct"/>
            <w:tcBorders>
              <w:top w:val="single" w:sz="4" w:space="0" w:color="auto"/>
              <w:left w:val="single" w:sz="4" w:space="0" w:color="auto"/>
              <w:bottom w:val="single" w:sz="4" w:space="0" w:color="auto"/>
              <w:right w:val="single" w:sz="4" w:space="0" w:color="auto"/>
            </w:tcBorders>
            <w:shd w:val="clear" w:color="auto" w:fill="009999"/>
            <w:vAlign w:val="center"/>
          </w:tcPr>
          <w:p w14:paraId="122D05A2" w14:textId="77777777" w:rsidR="006168B0" w:rsidRPr="00E66809" w:rsidRDefault="006168B0">
            <w:pPr>
              <w:autoSpaceDE w:val="0"/>
              <w:autoSpaceDN w:val="0"/>
              <w:adjustRightInd w:val="0"/>
              <w:spacing w:after="0" w:line="276" w:lineRule="auto"/>
              <w:jc w:val="both"/>
              <w:rPr>
                <w:rFonts w:cs="Arial"/>
                <w:b/>
                <w:color w:val="FFFFFF" w:themeColor="background1"/>
              </w:rPr>
            </w:pPr>
            <w:r w:rsidRPr="00E66809">
              <w:rPr>
                <w:rFonts w:cs="Arial"/>
                <w:b/>
                <w:color w:val="FFFFFF" w:themeColor="background1"/>
              </w:rPr>
              <w:t>Evaluation Guidance</w:t>
            </w:r>
          </w:p>
        </w:tc>
      </w:tr>
      <w:tr w:rsidR="006168B0" w:rsidRPr="00605283" w14:paraId="74A3DEC8" w14:textId="77777777" w:rsidTr="00C11C8C">
        <w:trPr>
          <w:trHeight w:val="510"/>
        </w:trPr>
        <w:tc>
          <w:tcPr>
            <w:tcW w:w="565" w:type="pct"/>
            <w:shd w:val="clear" w:color="auto" w:fill="FFFFFF"/>
          </w:tcPr>
          <w:p w14:paraId="32719E65" w14:textId="77777777" w:rsidR="006168B0" w:rsidRPr="00E66809" w:rsidRDefault="006168B0">
            <w:pPr>
              <w:spacing w:after="0" w:line="276" w:lineRule="auto"/>
              <w:jc w:val="both"/>
              <w:rPr>
                <w:rFonts w:eastAsia="Times New Roman" w:cs="Calibri"/>
              </w:rPr>
            </w:pPr>
            <w:r w:rsidRPr="00E66809">
              <w:rPr>
                <w:rFonts w:eastAsia="Times New Roman" w:cs="Calibri"/>
              </w:rPr>
              <w:t>2.1 – 2.2</w:t>
            </w:r>
          </w:p>
        </w:tc>
        <w:tc>
          <w:tcPr>
            <w:tcW w:w="653" w:type="pct"/>
            <w:shd w:val="clear" w:color="auto" w:fill="FFFFFF"/>
          </w:tcPr>
          <w:p w14:paraId="4BD65664"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782" w:type="pct"/>
            <w:shd w:val="clear" w:color="auto" w:fill="FFFFFF"/>
          </w:tcPr>
          <w:p w14:paraId="78BD2207"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0ACF4F5F" w14:textId="77777777" w:rsidR="006168B0" w:rsidRPr="00E66809" w:rsidRDefault="006168B0">
            <w:pPr>
              <w:spacing w:after="0" w:line="276" w:lineRule="auto"/>
              <w:jc w:val="both"/>
              <w:rPr>
                <w:rFonts w:eastAsia="Times New Roman" w:cs="Calibri"/>
              </w:rPr>
            </w:pPr>
            <w:r w:rsidRPr="00E66809">
              <w:rPr>
                <w:rFonts w:eastAsia="Times New Roman" w:cs="Calibri"/>
              </w:rPr>
              <w:t>All information provided</w:t>
            </w:r>
            <w:r>
              <w:rPr>
                <w:rFonts w:eastAsia="Times New Roman" w:cs="Calibri"/>
              </w:rPr>
              <w:t>.</w:t>
            </w:r>
          </w:p>
          <w:p w14:paraId="4E24A77C" w14:textId="77777777" w:rsidR="006168B0" w:rsidRPr="00E66809" w:rsidRDefault="006168B0">
            <w:pPr>
              <w:spacing w:after="0" w:line="276" w:lineRule="auto"/>
              <w:jc w:val="both"/>
              <w:rPr>
                <w:rFonts w:eastAsia="Times New Roman" w:cs="Calibri"/>
              </w:rPr>
            </w:pPr>
          </w:p>
          <w:p w14:paraId="6F3A0DD2"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p>
          <w:p w14:paraId="21311FF6" w14:textId="77777777" w:rsidR="006168B0" w:rsidRPr="00E66809" w:rsidRDefault="006168B0">
            <w:pPr>
              <w:spacing w:after="0" w:line="276" w:lineRule="auto"/>
              <w:jc w:val="both"/>
              <w:rPr>
                <w:rFonts w:eastAsia="Times New Roman" w:cs="Calibri"/>
              </w:rPr>
            </w:pPr>
            <w:r w:rsidRPr="00311948">
              <w:rPr>
                <w:rFonts w:eastAsia="Times New Roman" w:cs="Calibri"/>
              </w:rPr>
              <w:t>Response is incomplete and any missing information is not provided in the timeframes requested by HMRC</w:t>
            </w:r>
            <w:r>
              <w:rPr>
                <w:rFonts w:eastAsia="Times New Roman" w:cs="Calibri"/>
              </w:rPr>
              <w:t>.</w:t>
            </w:r>
          </w:p>
        </w:tc>
      </w:tr>
      <w:tr w:rsidR="006168B0" w:rsidRPr="00605283" w14:paraId="6C82EF2A" w14:textId="77777777" w:rsidTr="00C11C8C">
        <w:trPr>
          <w:trHeight w:val="510"/>
        </w:trPr>
        <w:tc>
          <w:tcPr>
            <w:tcW w:w="565" w:type="pct"/>
            <w:shd w:val="clear" w:color="auto" w:fill="FFFFFF"/>
          </w:tcPr>
          <w:p w14:paraId="4DA68442" w14:textId="77777777" w:rsidR="006168B0" w:rsidRPr="00E66809" w:rsidRDefault="006168B0">
            <w:pPr>
              <w:spacing w:after="0" w:line="276" w:lineRule="auto"/>
              <w:jc w:val="both"/>
              <w:rPr>
                <w:rFonts w:eastAsia="Times New Roman" w:cs="Calibri"/>
              </w:rPr>
            </w:pPr>
            <w:r w:rsidRPr="00E66809">
              <w:rPr>
                <w:rFonts w:eastAsia="Times New Roman" w:cs="Calibri"/>
              </w:rPr>
              <w:t>2.3</w:t>
            </w:r>
          </w:p>
        </w:tc>
        <w:tc>
          <w:tcPr>
            <w:tcW w:w="653" w:type="pct"/>
            <w:shd w:val="clear" w:color="auto" w:fill="FFFFFF"/>
          </w:tcPr>
          <w:p w14:paraId="082CBD82" w14:textId="77777777" w:rsidR="006168B0" w:rsidRPr="00E66809" w:rsidRDefault="006168B0">
            <w:pPr>
              <w:spacing w:after="0" w:line="276" w:lineRule="auto"/>
              <w:jc w:val="both"/>
              <w:rPr>
                <w:rFonts w:eastAsia="Times New Roman" w:cs="Calibri"/>
              </w:rPr>
            </w:pPr>
            <w:r w:rsidRPr="00E66809">
              <w:rPr>
                <w:rFonts w:eastAsia="Times New Roman" w:cs="Calibri"/>
              </w:rPr>
              <w:t>Pass/Fail/N/A</w:t>
            </w:r>
          </w:p>
        </w:tc>
        <w:tc>
          <w:tcPr>
            <w:tcW w:w="3782" w:type="pct"/>
            <w:shd w:val="clear" w:color="auto" w:fill="FFFFFF"/>
          </w:tcPr>
          <w:p w14:paraId="376EDC6C" w14:textId="158E3B05"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 xml:space="preserve">N/A – </w:t>
            </w:r>
            <w:r w:rsidRPr="00CA2085">
              <w:rPr>
                <w:rFonts w:eastAsia="Times New Roman" w:cs="Calibri"/>
                <w:bCs/>
              </w:rPr>
              <w:t>if Supplier will not</w:t>
            </w:r>
            <w:r w:rsidRPr="006D7A61">
              <w:rPr>
                <w:bCs/>
              </w:rPr>
              <w:t xml:space="preserve"> </w:t>
            </w:r>
            <w:r w:rsidRPr="00CA2085">
              <w:rPr>
                <w:rFonts w:eastAsia="Times New Roman" w:cs="Calibri"/>
                <w:bCs/>
              </w:rPr>
              <w:t>be relying on any associated persons to satisfy the conditions of participation</w:t>
            </w:r>
            <w:r w:rsidR="00EC3CF0">
              <w:rPr>
                <w:rFonts w:eastAsia="Times New Roman" w:cs="Calibri"/>
                <w:bCs/>
              </w:rPr>
              <w:t>.</w:t>
            </w:r>
          </w:p>
          <w:p w14:paraId="330AFDEB" w14:textId="77777777" w:rsidR="006168B0" w:rsidRPr="00E66809" w:rsidRDefault="006168B0">
            <w:pPr>
              <w:spacing w:after="0" w:line="276" w:lineRule="auto"/>
              <w:jc w:val="both"/>
              <w:rPr>
                <w:rFonts w:eastAsia="Times New Roman" w:cs="Calibri"/>
                <w:b/>
                <w:u w:val="single"/>
              </w:rPr>
            </w:pPr>
          </w:p>
          <w:p w14:paraId="47BBDC50" w14:textId="77777777" w:rsidR="006168B0" w:rsidRPr="00232BCB" w:rsidRDefault="006168B0">
            <w:pPr>
              <w:spacing w:after="0" w:line="276" w:lineRule="auto"/>
              <w:jc w:val="both"/>
              <w:rPr>
                <w:rFonts w:eastAsia="Times New Roman" w:cs="Calibri"/>
                <w:b/>
                <w:u w:val="single"/>
              </w:rPr>
            </w:pPr>
            <w:r w:rsidRPr="00232BCB">
              <w:rPr>
                <w:rFonts w:eastAsia="Times New Roman" w:cs="Calibri"/>
                <w:b/>
                <w:u w:val="single"/>
              </w:rPr>
              <w:t>If Supplier IS relying on associated persons to satisfy the conditions of participation:</w:t>
            </w:r>
          </w:p>
          <w:p w14:paraId="0CFFCEE5" w14:textId="77777777" w:rsidR="006168B0" w:rsidRPr="00E66809" w:rsidRDefault="006168B0">
            <w:pPr>
              <w:spacing w:after="0" w:line="276" w:lineRule="auto"/>
              <w:jc w:val="both"/>
              <w:rPr>
                <w:rFonts w:eastAsia="Times New Roman" w:cs="Calibri"/>
                <w:b/>
                <w:u w:val="single"/>
              </w:rPr>
            </w:pPr>
          </w:p>
          <w:p w14:paraId="4CB0D4E6"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36E44DC0" w14:textId="77777777" w:rsidR="006168B0" w:rsidRDefault="006168B0">
            <w:pPr>
              <w:spacing w:after="0" w:line="276" w:lineRule="auto"/>
              <w:jc w:val="both"/>
              <w:rPr>
                <w:rFonts w:eastAsia="Times New Roman" w:cs="Calibri"/>
                <w:b/>
              </w:rPr>
            </w:pPr>
            <w:r w:rsidRPr="00CD2162">
              <w:rPr>
                <w:rFonts w:eastAsia="Times New Roman" w:cs="Calibri"/>
              </w:rPr>
              <w:t xml:space="preserve">All information provided and there are no grounds for exclusion. </w:t>
            </w:r>
          </w:p>
          <w:p w14:paraId="6F87A28D" w14:textId="77777777" w:rsidR="006168B0" w:rsidRPr="00E66809" w:rsidRDefault="006168B0">
            <w:pPr>
              <w:spacing w:after="0" w:line="276" w:lineRule="auto"/>
              <w:jc w:val="both"/>
              <w:rPr>
                <w:rFonts w:eastAsia="Times New Roman" w:cs="Calibri"/>
                <w:b/>
              </w:rPr>
            </w:pPr>
            <w:r w:rsidRPr="00E66809">
              <w:rPr>
                <w:rFonts w:eastAsia="Times New Roman" w:cs="Calibri"/>
                <w:b/>
              </w:rPr>
              <w:t>OR</w:t>
            </w:r>
          </w:p>
          <w:p w14:paraId="4173F954" w14:textId="0FEA45AE" w:rsidR="006168B0" w:rsidRDefault="006168B0">
            <w:pPr>
              <w:spacing w:after="0" w:line="276" w:lineRule="auto"/>
              <w:jc w:val="both"/>
              <w:rPr>
                <w:rFonts w:eastAsia="Times New Roman" w:cs="Calibri"/>
              </w:rPr>
            </w:pPr>
            <w:r w:rsidRPr="002F4A1B">
              <w:rPr>
                <w:rFonts w:eastAsia="Times New Roman" w:cs="Calibri"/>
              </w:rPr>
              <w:t>Grounds for discretionary exclusion apply, but the Supplier has provided a summary of the circumstances and any remedial action that has taken place subsequently, for the exclusion ground(s) in question. The Supplier has to demonstrate it has taken such remedial action to the satisfaction of HMRC in each case</w:t>
            </w:r>
            <w:r w:rsidR="005F17FC">
              <w:rPr>
                <w:rFonts w:eastAsia="Times New Roman" w:cs="Calibri"/>
              </w:rPr>
              <w:t xml:space="preserve"> </w:t>
            </w:r>
            <w:r w:rsidR="005F17FC" w:rsidRPr="00CA2085">
              <w:rPr>
                <w:rFonts w:eastAsia="Times New Roman" w:cs="Calibri"/>
              </w:rPr>
              <w:t xml:space="preserve">such that the issue is not continuing and is not likely to occur again in the </w:t>
            </w:r>
            <w:proofErr w:type="gramStart"/>
            <w:r w:rsidR="005F17FC" w:rsidRPr="00CA2085">
              <w:rPr>
                <w:rFonts w:eastAsia="Times New Roman" w:cs="Calibri"/>
              </w:rPr>
              <w:t>future</w:t>
            </w:r>
            <w:proofErr w:type="gramEnd"/>
          </w:p>
          <w:p w14:paraId="1930D9F8" w14:textId="77777777" w:rsidR="006168B0" w:rsidRPr="00E66809" w:rsidRDefault="006168B0">
            <w:pPr>
              <w:spacing w:after="0" w:line="276" w:lineRule="auto"/>
              <w:jc w:val="both"/>
              <w:rPr>
                <w:rFonts w:eastAsia="Times New Roman" w:cs="Calibri"/>
              </w:rPr>
            </w:pPr>
          </w:p>
          <w:p w14:paraId="0226B964"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22A2F0F2" w14:textId="77777777" w:rsidR="006168B0" w:rsidRPr="00E66809" w:rsidRDefault="006168B0">
            <w:pPr>
              <w:spacing w:after="0" w:line="276" w:lineRule="auto"/>
              <w:jc w:val="both"/>
              <w:rPr>
                <w:rFonts w:eastAsia="Times New Roman" w:cs="Calibri"/>
              </w:rPr>
            </w:pPr>
            <w:r w:rsidRPr="00097761">
              <w:rPr>
                <w:rFonts w:eastAsia="Times New Roman" w:cs="Calibri"/>
              </w:rPr>
              <w:t>Response is incomplete and any missing information is not provided in the timeframes requested by HMRC</w:t>
            </w:r>
            <w:r>
              <w:rPr>
                <w:rFonts w:eastAsia="Times New Roman" w:cs="Calibri"/>
              </w:rPr>
              <w:t>.</w:t>
            </w:r>
          </w:p>
          <w:p w14:paraId="60022F8F" w14:textId="77777777" w:rsidR="006168B0" w:rsidRPr="00A824C6" w:rsidRDefault="006168B0">
            <w:pPr>
              <w:spacing w:after="0" w:line="276" w:lineRule="auto"/>
              <w:jc w:val="both"/>
              <w:rPr>
                <w:rFonts w:eastAsia="Times New Roman" w:cs="Calibri"/>
                <w:b/>
              </w:rPr>
            </w:pPr>
            <w:r w:rsidRPr="00A824C6">
              <w:rPr>
                <w:rFonts w:eastAsia="Times New Roman" w:cs="Calibri"/>
                <w:b/>
              </w:rPr>
              <w:t>OR</w:t>
            </w:r>
          </w:p>
          <w:p w14:paraId="4EE761E8" w14:textId="77777777" w:rsidR="006168B0" w:rsidRDefault="006168B0">
            <w:pPr>
              <w:spacing w:after="0" w:line="276" w:lineRule="auto"/>
              <w:jc w:val="both"/>
              <w:rPr>
                <w:rFonts w:eastAsia="Times New Roman" w:cs="Calibri"/>
              </w:rPr>
            </w:pPr>
            <w:r>
              <w:rPr>
                <w:rFonts w:eastAsia="Times New Roman" w:cs="Calibri"/>
              </w:rPr>
              <w:t>A mandatory exclusion ground</w:t>
            </w:r>
            <w:r w:rsidRPr="00A824C6">
              <w:rPr>
                <w:rFonts w:eastAsia="Times New Roman" w:cs="Calibri"/>
              </w:rPr>
              <w:t xml:space="preserve"> applies</w:t>
            </w:r>
            <w:r>
              <w:rPr>
                <w:rFonts w:eastAsia="Times New Roman" w:cs="Calibri"/>
              </w:rPr>
              <w:t>.</w:t>
            </w:r>
          </w:p>
          <w:p w14:paraId="1DA3DCC5" w14:textId="77777777" w:rsidR="006168B0" w:rsidRPr="00A824C6" w:rsidRDefault="006168B0">
            <w:pPr>
              <w:spacing w:after="0" w:line="276" w:lineRule="auto"/>
              <w:jc w:val="both"/>
              <w:rPr>
                <w:rFonts w:eastAsia="Times New Roman" w:cs="Calibri"/>
                <w:b/>
              </w:rPr>
            </w:pPr>
            <w:r w:rsidRPr="00A824C6">
              <w:rPr>
                <w:rFonts w:eastAsia="Times New Roman" w:cs="Calibri"/>
                <w:b/>
              </w:rPr>
              <w:t>OR</w:t>
            </w:r>
          </w:p>
          <w:p w14:paraId="32594317" w14:textId="77777777" w:rsidR="006168B0" w:rsidRDefault="006168B0">
            <w:pPr>
              <w:spacing w:after="0" w:line="276" w:lineRule="auto"/>
              <w:jc w:val="both"/>
              <w:rPr>
                <w:rFonts w:eastAsia="Times New Roman" w:cs="Calibri"/>
              </w:rPr>
            </w:pPr>
            <w:r>
              <w:rPr>
                <w:rFonts w:eastAsia="Times New Roman" w:cs="Calibri"/>
              </w:rPr>
              <w:t>A discretionary exclusion ground</w:t>
            </w:r>
            <w:r w:rsidRPr="00A824C6">
              <w:rPr>
                <w:rFonts w:eastAsia="Times New Roman" w:cs="Calibri"/>
              </w:rPr>
              <w:t xml:space="preserve"> applies, but Supplier has not included details and/or provided an explanation which is to the satisfaction of HMRC</w:t>
            </w:r>
            <w:r>
              <w:rPr>
                <w:rFonts w:eastAsia="Times New Roman" w:cs="Calibri"/>
              </w:rPr>
              <w:t>.</w:t>
            </w:r>
          </w:p>
          <w:p w14:paraId="256F94CF" w14:textId="77777777" w:rsidR="006168B0" w:rsidRDefault="006168B0">
            <w:pPr>
              <w:spacing w:after="0" w:line="276" w:lineRule="auto"/>
              <w:jc w:val="both"/>
              <w:rPr>
                <w:rFonts w:eastAsia="Times New Roman" w:cs="Calibri"/>
                <w:b/>
                <w:bCs/>
              </w:rPr>
            </w:pPr>
            <w:r>
              <w:rPr>
                <w:rFonts w:eastAsia="Times New Roman" w:cs="Calibri"/>
                <w:b/>
                <w:bCs/>
              </w:rPr>
              <w:t>OR</w:t>
            </w:r>
          </w:p>
          <w:p w14:paraId="44AC9FAB" w14:textId="77777777" w:rsidR="006168B0" w:rsidRPr="00C453EE" w:rsidRDefault="006168B0">
            <w:pPr>
              <w:spacing w:after="0" w:line="276" w:lineRule="auto"/>
              <w:jc w:val="both"/>
              <w:rPr>
                <w:rFonts w:eastAsia="Times New Roman" w:cs="Calibri"/>
              </w:rPr>
            </w:pPr>
            <w:r w:rsidRPr="00C453EE">
              <w:rPr>
                <w:rFonts w:eastAsia="Times New Roman" w:cs="Calibri"/>
              </w:rPr>
              <w:t>Response is incomplete and any missing information is not provided in the timeframes requested by HMRC.</w:t>
            </w:r>
          </w:p>
          <w:p w14:paraId="2D762E20" w14:textId="77777777" w:rsidR="006168B0" w:rsidRPr="00C453EE" w:rsidRDefault="006168B0">
            <w:pPr>
              <w:spacing w:after="0" w:line="276" w:lineRule="auto"/>
              <w:jc w:val="both"/>
              <w:rPr>
                <w:rFonts w:eastAsia="Times New Roman" w:cs="Calibri"/>
              </w:rPr>
            </w:pPr>
          </w:p>
          <w:p w14:paraId="29D454A6" w14:textId="77777777" w:rsidR="006168B0" w:rsidRPr="00C453EE" w:rsidRDefault="006168B0">
            <w:pPr>
              <w:spacing w:after="0" w:line="276" w:lineRule="auto"/>
              <w:jc w:val="both"/>
              <w:rPr>
                <w:rFonts w:eastAsia="Times New Roman" w:cs="Calibri"/>
              </w:rPr>
            </w:pPr>
            <w:r w:rsidRPr="00C453EE">
              <w:rPr>
                <w:rFonts w:eastAsia="Times New Roman" w:cs="Calibri"/>
              </w:rPr>
              <w:t>HMRC reserves the right to fail Suppliers whose associated persons:</w:t>
            </w:r>
          </w:p>
          <w:p w14:paraId="51C021AC" w14:textId="77777777" w:rsidR="006168B0" w:rsidRPr="00C453EE" w:rsidRDefault="006168B0" w:rsidP="0085565B">
            <w:pPr>
              <w:pStyle w:val="ListParagraph"/>
              <w:numPr>
                <w:ilvl w:val="0"/>
                <w:numId w:val="59"/>
              </w:numPr>
              <w:spacing w:after="0" w:line="276" w:lineRule="auto"/>
              <w:jc w:val="both"/>
              <w:rPr>
                <w:rFonts w:eastAsia="Times New Roman" w:cs="Calibri"/>
              </w:rPr>
            </w:pPr>
            <w:r w:rsidRPr="00C453EE">
              <w:rPr>
                <w:rFonts w:eastAsia="Times New Roman" w:cs="Calibri"/>
              </w:rPr>
              <w:t xml:space="preserve">Are not part registered on the </w:t>
            </w:r>
            <w:proofErr w:type="gramStart"/>
            <w:r w:rsidRPr="00C453EE">
              <w:rPr>
                <w:rFonts w:eastAsia="Times New Roman" w:cs="Calibri"/>
              </w:rPr>
              <w:t>CDP</w:t>
            </w:r>
            <w:proofErr w:type="gramEnd"/>
          </w:p>
          <w:p w14:paraId="52D89442" w14:textId="77777777" w:rsidR="006168B0" w:rsidRPr="00C453EE" w:rsidRDefault="006168B0" w:rsidP="0085565B">
            <w:pPr>
              <w:pStyle w:val="ListParagraph"/>
              <w:numPr>
                <w:ilvl w:val="0"/>
                <w:numId w:val="59"/>
              </w:numPr>
              <w:spacing w:after="0" w:line="276" w:lineRule="auto"/>
              <w:jc w:val="both"/>
              <w:rPr>
                <w:rFonts w:eastAsia="Times New Roman" w:cs="Calibri"/>
              </w:rPr>
            </w:pPr>
            <w:r w:rsidRPr="00C453EE">
              <w:rPr>
                <w:rFonts w:eastAsia="Times New Roman" w:cs="Calibri"/>
              </w:rPr>
              <w:t xml:space="preserve">Have not provided up-to-date core supplier information as </w:t>
            </w:r>
            <w:proofErr w:type="gramStart"/>
            <w:r w:rsidRPr="00C453EE">
              <w:rPr>
                <w:rFonts w:eastAsia="Times New Roman" w:cs="Calibri"/>
              </w:rPr>
              <w:t>requested</w:t>
            </w:r>
            <w:proofErr w:type="gramEnd"/>
          </w:p>
          <w:p w14:paraId="59BC7A79" w14:textId="77777777" w:rsidR="006168B0" w:rsidRPr="00C453EE" w:rsidRDefault="006168B0" w:rsidP="0085565B">
            <w:pPr>
              <w:pStyle w:val="ListParagraph"/>
              <w:numPr>
                <w:ilvl w:val="0"/>
                <w:numId w:val="59"/>
              </w:numPr>
              <w:spacing w:after="0" w:line="276" w:lineRule="auto"/>
              <w:jc w:val="both"/>
              <w:rPr>
                <w:rFonts w:eastAsia="Times New Roman" w:cs="Calibri"/>
              </w:rPr>
            </w:pPr>
            <w:r w:rsidRPr="00C453EE">
              <w:rPr>
                <w:rFonts w:eastAsia="Times New Roman" w:cs="Calibri"/>
              </w:rPr>
              <w:t xml:space="preserve">Have not provided one or more of the pieces of information </w:t>
            </w:r>
            <w:proofErr w:type="gramStart"/>
            <w:r w:rsidRPr="00C453EE">
              <w:rPr>
                <w:rFonts w:eastAsia="Times New Roman" w:cs="Calibri"/>
              </w:rPr>
              <w:t>requested</w:t>
            </w:r>
            <w:proofErr w:type="gramEnd"/>
          </w:p>
          <w:p w14:paraId="2EB34D46" w14:textId="77777777" w:rsidR="006168B0" w:rsidRPr="00E66809" w:rsidRDefault="006168B0">
            <w:pPr>
              <w:spacing w:after="0" w:line="276" w:lineRule="auto"/>
              <w:ind w:right="306"/>
              <w:jc w:val="both"/>
              <w:rPr>
                <w:rFonts w:eastAsia="Arial" w:cs="Calibri"/>
              </w:rPr>
            </w:pPr>
          </w:p>
          <w:p w14:paraId="2FA83DB0" w14:textId="77777777" w:rsidR="006168B0" w:rsidRDefault="006168B0">
            <w:pPr>
              <w:spacing w:after="0" w:line="276" w:lineRule="auto"/>
              <w:jc w:val="both"/>
              <w:rPr>
                <w:rFonts w:eastAsia="Times New Roman" w:cs="Calibri"/>
              </w:rPr>
            </w:pPr>
            <w:r w:rsidRPr="005A15C4">
              <w:rPr>
                <w:rFonts w:eastAsia="Arial" w:cs="Calibri"/>
              </w:rPr>
              <w:t xml:space="preserve">Where a </w:t>
            </w:r>
            <w:r>
              <w:rPr>
                <w:rFonts w:eastAsia="Arial" w:cs="Calibri"/>
              </w:rPr>
              <w:t>S</w:t>
            </w:r>
            <w:r w:rsidRPr="005A15C4">
              <w:rPr>
                <w:rFonts w:eastAsia="Arial" w:cs="Calibri"/>
              </w:rPr>
              <w:t>upplier is disqualified, the remainder of its response will not be evaluated.</w:t>
            </w:r>
          </w:p>
          <w:p w14:paraId="645358CF" w14:textId="77777777" w:rsidR="006168B0" w:rsidRPr="00E66809" w:rsidRDefault="006168B0">
            <w:pPr>
              <w:spacing w:after="0" w:line="276" w:lineRule="auto"/>
              <w:jc w:val="both"/>
              <w:rPr>
                <w:rFonts w:eastAsia="Times New Roman" w:cs="Calibri"/>
              </w:rPr>
            </w:pPr>
          </w:p>
        </w:tc>
      </w:tr>
      <w:tr w:rsidR="006168B0" w:rsidRPr="00605283" w14:paraId="510F8844" w14:textId="77777777" w:rsidTr="00C11C8C">
        <w:trPr>
          <w:trHeight w:val="510"/>
        </w:trPr>
        <w:tc>
          <w:tcPr>
            <w:tcW w:w="565" w:type="pct"/>
            <w:shd w:val="clear" w:color="auto" w:fill="FFFFFF"/>
          </w:tcPr>
          <w:p w14:paraId="761E02A9" w14:textId="77777777" w:rsidR="006168B0" w:rsidRPr="00E66809" w:rsidRDefault="006168B0">
            <w:pPr>
              <w:spacing w:after="0" w:line="276" w:lineRule="auto"/>
              <w:jc w:val="both"/>
              <w:rPr>
                <w:rFonts w:eastAsia="Times New Roman" w:cs="Calibri"/>
              </w:rPr>
            </w:pPr>
            <w:r w:rsidRPr="00E66809">
              <w:rPr>
                <w:rFonts w:eastAsia="Times New Roman" w:cs="Calibri"/>
              </w:rPr>
              <w:t>2.4</w:t>
            </w:r>
          </w:p>
        </w:tc>
        <w:tc>
          <w:tcPr>
            <w:tcW w:w="653" w:type="pct"/>
            <w:shd w:val="clear" w:color="auto" w:fill="FFFFFF"/>
          </w:tcPr>
          <w:p w14:paraId="7858F684" w14:textId="77777777" w:rsidR="006168B0" w:rsidRPr="00E66809" w:rsidRDefault="006168B0">
            <w:pPr>
              <w:spacing w:after="0" w:line="276" w:lineRule="auto"/>
              <w:jc w:val="both"/>
              <w:rPr>
                <w:rFonts w:eastAsia="Times New Roman" w:cs="Calibri"/>
              </w:rPr>
            </w:pPr>
            <w:r w:rsidRPr="00E66809">
              <w:rPr>
                <w:rFonts w:eastAsia="Times New Roman" w:cs="Calibri"/>
              </w:rPr>
              <w:t>Pass/Fail/N/A</w:t>
            </w:r>
          </w:p>
        </w:tc>
        <w:tc>
          <w:tcPr>
            <w:tcW w:w="3782" w:type="pct"/>
            <w:shd w:val="clear" w:color="auto" w:fill="FFFFFF"/>
          </w:tcPr>
          <w:p w14:paraId="030B5C62" w14:textId="77777777" w:rsidR="00F76EC3" w:rsidRPr="00E66809" w:rsidRDefault="00F76EC3" w:rsidP="00F76EC3">
            <w:pPr>
              <w:spacing w:after="0" w:line="276" w:lineRule="auto"/>
              <w:jc w:val="both"/>
              <w:rPr>
                <w:rFonts w:eastAsia="Times New Roman" w:cs="Calibri"/>
                <w:b/>
                <w:u w:val="single"/>
              </w:rPr>
            </w:pPr>
            <w:r w:rsidRPr="00E66809">
              <w:rPr>
                <w:rFonts w:eastAsia="Times New Roman" w:cs="Calibri"/>
                <w:b/>
                <w:u w:val="single"/>
              </w:rPr>
              <w:t xml:space="preserve">N/A – </w:t>
            </w:r>
            <w:r w:rsidRPr="00CA2085">
              <w:rPr>
                <w:rFonts w:eastAsia="Times New Roman" w:cs="Calibri"/>
                <w:bCs/>
              </w:rPr>
              <w:t>if Supplier will not</w:t>
            </w:r>
            <w:r w:rsidRPr="006D7A61">
              <w:rPr>
                <w:bCs/>
              </w:rPr>
              <w:t xml:space="preserve"> </w:t>
            </w:r>
            <w:r w:rsidRPr="00CA2085">
              <w:rPr>
                <w:rFonts w:eastAsia="Times New Roman" w:cs="Calibri"/>
                <w:bCs/>
              </w:rPr>
              <w:t>be relying on any associated persons to satisfy the conditions of participation</w:t>
            </w:r>
            <w:r>
              <w:rPr>
                <w:rFonts w:eastAsia="Times New Roman" w:cs="Calibri"/>
                <w:bCs/>
              </w:rPr>
              <w:t>.</w:t>
            </w:r>
          </w:p>
          <w:p w14:paraId="65E3D452" w14:textId="77777777" w:rsidR="00F76EC3" w:rsidRPr="00E66809" w:rsidRDefault="00F76EC3" w:rsidP="00F76EC3">
            <w:pPr>
              <w:spacing w:after="0" w:line="276" w:lineRule="auto"/>
              <w:jc w:val="both"/>
              <w:rPr>
                <w:rFonts w:eastAsia="Times New Roman" w:cs="Calibri"/>
                <w:b/>
                <w:u w:val="single"/>
              </w:rPr>
            </w:pPr>
          </w:p>
          <w:p w14:paraId="70553AE2" w14:textId="77777777" w:rsidR="00F76EC3" w:rsidRPr="00232BCB" w:rsidRDefault="00F76EC3" w:rsidP="00F76EC3">
            <w:pPr>
              <w:spacing w:after="0" w:line="276" w:lineRule="auto"/>
              <w:jc w:val="both"/>
              <w:rPr>
                <w:rFonts w:eastAsia="Times New Roman" w:cs="Calibri"/>
                <w:b/>
                <w:u w:val="single"/>
              </w:rPr>
            </w:pPr>
            <w:r w:rsidRPr="00232BCB">
              <w:rPr>
                <w:rFonts w:eastAsia="Times New Roman" w:cs="Calibri"/>
                <w:b/>
                <w:u w:val="single"/>
              </w:rPr>
              <w:t>If Supplier IS relying on associated persons to satisfy the conditions of participation:</w:t>
            </w:r>
          </w:p>
          <w:p w14:paraId="10C0F2EE" w14:textId="77777777" w:rsidR="00F76EC3" w:rsidRPr="00E66809" w:rsidRDefault="00F76EC3" w:rsidP="00F76EC3">
            <w:pPr>
              <w:spacing w:after="0" w:line="276" w:lineRule="auto"/>
              <w:jc w:val="both"/>
              <w:rPr>
                <w:rFonts w:eastAsia="Times New Roman" w:cs="Calibri"/>
                <w:b/>
                <w:u w:val="single"/>
              </w:rPr>
            </w:pPr>
          </w:p>
          <w:p w14:paraId="55344DA1" w14:textId="77777777" w:rsidR="00F76EC3" w:rsidRPr="00E66809" w:rsidRDefault="00F76EC3" w:rsidP="00F76EC3">
            <w:pPr>
              <w:spacing w:after="0" w:line="276" w:lineRule="auto"/>
              <w:jc w:val="both"/>
              <w:rPr>
                <w:rFonts w:eastAsia="Times New Roman" w:cs="Calibri"/>
                <w:b/>
                <w:u w:val="single"/>
              </w:rPr>
            </w:pPr>
            <w:r w:rsidRPr="00E66809">
              <w:rPr>
                <w:rFonts w:eastAsia="Times New Roman" w:cs="Calibri"/>
                <w:b/>
                <w:u w:val="single"/>
              </w:rPr>
              <w:t>Pass</w:t>
            </w:r>
          </w:p>
          <w:p w14:paraId="52930A08" w14:textId="77777777" w:rsidR="00F76EC3" w:rsidRDefault="00F76EC3" w:rsidP="00F76EC3">
            <w:pPr>
              <w:spacing w:after="0" w:line="276" w:lineRule="auto"/>
              <w:jc w:val="both"/>
              <w:rPr>
                <w:rFonts w:eastAsia="Times New Roman" w:cs="Calibri"/>
                <w:b/>
              </w:rPr>
            </w:pPr>
            <w:r w:rsidRPr="00CD2162">
              <w:rPr>
                <w:rFonts w:eastAsia="Times New Roman" w:cs="Calibri"/>
              </w:rPr>
              <w:t xml:space="preserve">All information provided and there are no grounds for exclusion. </w:t>
            </w:r>
          </w:p>
          <w:p w14:paraId="6DF4A800" w14:textId="77777777" w:rsidR="00F76EC3" w:rsidRPr="00E66809" w:rsidRDefault="00F76EC3" w:rsidP="00F76EC3">
            <w:pPr>
              <w:spacing w:after="0" w:line="276" w:lineRule="auto"/>
              <w:jc w:val="both"/>
              <w:rPr>
                <w:rFonts w:eastAsia="Times New Roman" w:cs="Calibri"/>
                <w:b/>
              </w:rPr>
            </w:pPr>
            <w:r w:rsidRPr="00E66809">
              <w:rPr>
                <w:rFonts w:eastAsia="Times New Roman" w:cs="Calibri"/>
                <w:b/>
              </w:rPr>
              <w:t>OR</w:t>
            </w:r>
          </w:p>
          <w:p w14:paraId="5DDDF2B2" w14:textId="648977D9" w:rsidR="00F76EC3" w:rsidRDefault="00F76EC3" w:rsidP="00F76EC3">
            <w:pPr>
              <w:spacing w:after="0" w:line="276" w:lineRule="auto"/>
              <w:jc w:val="both"/>
              <w:rPr>
                <w:rFonts w:eastAsia="Times New Roman" w:cs="Calibri"/>
              </w:rPr>
            </w:pPr>
            <w:r w:rsidRPr="002F4A1B">
              <w:rPr>
                <w:rFonts w:eastAsia="Times New Roman" w:cs="Calibri"/>
              </w:rPr>
              <w:t xml:space="preserve">Grounds for discretionary exclusion apply, but the Supplier has provided a summary of the circumstances and any remedial action that has taken place subsequently, for the exclusion ground(s) in question. The Supplier </w:t>
            </w:r>
            <w:proofErr w:type="gramStart"/>
            <w:r w:rsidRPr="002F4A1B">
              <w:rPr>
                <w:rFonts w:eastAsia="Times New Roman" w:cs="Calibri"/>
              </w:rPr>
              <w:t>has to</w:t>
            </w:r>
            <w:proofErr w:type="gramEnd"/>
            <w:r w:rsidRPr="002F4A1B">
              <w:rPr>
                <w:rFonts w:eastAsia="Times New Roman" w:cs="Calibri"/>
              </w:rPr>
              <w:t xml:space="preserve"> demonstrate</w:t>
            </w:r>
            <w:r w:rsidR="00E21221" w:rsidRPr="00E66809">
              <w:rPr>
                <w:rFonts w:eastAsia="Times New Roman" w:cs="Calibri"/>
                <w:bCs/>
              </w:rPr>
              <w:t xml:space="preserve"> </w:t>
            </w:r>
            <w:r w:rsidR="00E21221">
              <w:rPr>
                <w:rFonts w:eastAsia="Times New Roman" w:cs="Calibri"/>
                <w:bCs/>
              </w:rPr>
              <w:t>that</w:t>
            </w:r>
            <w:r w:rsidR="00E21221" w:rsidRPr="00E66809">
              <w:rPr>
                <w:rFonts w:eastAsia="Times New Roman" w:cs="Calibri"/>
                <w:bCs/>
              </w:rPr>
              <w:t xml:space="preserve"> </w:t>
            </w:r>
            <w:r w:rsidR="00E21221">
              <w:rPr>
                <w:rFonts w:eastAsia="Times New Roman" w:cs="Calibri"/>
                <w:bCs/>
              </w:rPr>
              <w:t xml:space="preserve">it’s associated person(s) have </w:t>
            </w:r>
            <w:r w:rsidRPr="002F4A1B">
              <w:rPr>
                <w:rFonts w:eastAsia="Times New Roman" w:cs="Calibri"/>
              </w:rPr>
              <w:t>taken such remedial action to the satisfaction of HMRC in each case</w:t>
            </w:r>
            <w:r>
              <w:rPr>
                <w:rFonts w:eastAsia="Times New Roman" w:cs="Calibri"/>
              </w:rPr>
              <w:t xml:space="preserve"> </w:t>
            </w:r>
            <w:r w:rsidRPr="00CA2085">
              <w:rPr>
                <w:rFonts w:eastAsia="Times New Roman" w:cs="Calibri"/>
              </w:rPr>
              <w:t>such that the issue is not continuing and is not likely to occur again in the future</w:t>
            </w:r>
            <w:r w:rsidR="00E21221">
              <w:rPr>
                <w:rFonts w:eastAsia="Times New Roman" w:cs="Calibri"/>
              </w:rPr>
              <w:t>.</w:t>
            </w:r>
          </w:p>
          <w:p w14:paraId="37E41DB9" w14:textId="77777777" w:rsidR="00D53CC2" w:rsidRDefault="00D53CC2" w:rsidP="00F76EC3">
            <w:pPr>
              <w:spacing w:after="0" w:line="276" w:lineRule="auto"/>
              <w:jc w:val="both"/>
              <w:rPr>
                <w:rFonts w:eastAsia="Times New Roman" w:cs="Calibri"/>
              </w:rPr>
            </w:pPr>
          </w:p>
          <w:p w14:paraId="4A45EF2C" w14:textId="77777777" w:rsidR="002D6CD2" w:rsidRPr="00017311" w:rsidRDefault="002D6CD2" w:rsidP="002D6CD2">
            <w:pPr>
              <w:spacing w:after="0" w:line="276" w:lineRule="auto"/>
              <w:jc w:val="both"/>
              <w:rPr>
                <w:rFonts w:eastAsia="Times New Roman" w:cs="Calibri"/>
                <w:b/>
                <w:u w:val="single"/>
              </w:rPr>
            </w:pPr>
            <w:r w:rsidRPr="00017311">
              <w:rPr>
                <w:rFonts w:eastAsia="Times New Roman" w:cs="Calibri"/>
                <w:b/>
                <w:u w:val="single"/>
              </w:rPr>
              <w:t xml:space="preserve">Fail </w:t>
            </w:r>
          </w:p>
          <w:p w14:paraId="1C062604" w14:textId="77777777" w:rsidR="002D6CD2" w:rsidRPr="00E66809" w:rsidRDefault="002D6CD2" w:rsidP="002D6CD2">
            <w:pPr>
              <w:spacing w:after="0" w:line="276" w:lineRule="auto"/>
              <w:jc w:val="both"/>
              <w:rPr>
                <w:rFonts w:eastAsia="Times New Roman" w:cs="Calibri"/>
                <w:bCs/>
              </w:rPr>
            </w:pPr>
            <w:r w:rsidRPr="00E66809">
              <w:rPr>
                <w:rFonts w:eastAsia="Times New Roman" w:cs="Calibri"/>
                <w:bCs/>
              </w:rPr>
              <w:t xml:space="preserve">The </w:t>
            </w:r>
            <w:r>
              <w:rPr>
                <w:rFonts w:eastAsia="Times New Roman" w:cs="Calibri"/>
                <w:bCs/>
              </w:rPr>
              <w:t xml:space="preserve">associated person(s) </w:t>
            </w:r>
            <w:proofErr w:type="gramStart"/>
            <w:r>
              <w:rPr>
                <w:rFonts w:eastAsia="Times New Roman" w:cs="Calibri"/>
                <w:bCs/>
              </w:rPr>
              <w:t>are</w:t>
            </w:r>
            <w:proofErr w:type="gramEnd"/>
            <w:r w:rsidRPr="00E66809">
              <w:rPr>
                <w:rFonts w:eastAsia="Times New Roman" w:cs="Calibri"/>
                <w:bCs/>
              </w:rPr>
              <w:t xml:space="preserve"> on the debarment list in relation to a mandatory exclusion ground (as detailed under Schedule 6 of the Act)</w:t>
            </w:r>
            <w:r>
              <w:rPr>
                <w:rFonts w:eastAsia="Times New Roman" w:cs="Calibri"/>
                <w:bCs/>
              </w:rPr>
              <w:t>.</w:t>
            </w:r>
            <w:r w:rsidRPr="00E66809">
              <w:rPr>
                <w:rFonts w:eastAsia="Times New Roman" w:cs="Calibri"/>
                <w:bCs/>
              </w:rPr>
              <w:t xml:space="preserve"> </w:t>
            </w:r>
          </w:p>
          <w:p w14:paraId="32ED27E5" w14:textId="77777777" w:rsidR="002D6CD2" w:rsidRPr="00E66809" w:rsidRDefault="002D6CD2" w:rsidP="002D6CD2">
            <w:pPr>
              <w:spacing w:after="0" w:line="276" w:lineRule="auto"/>
              <w:jc w:val="both"/>
              <w:rPr>
                <w:rFonts w:eastAsia="Times New Roman" w:cs="Calibri"/>
                <w:b/>
              </w:rPr>
            </w:pPr>
            <w:r w:rsidRPr="00E66809">
              <w:rPr>
                <w:rFonts w:eastAsia="Times New Roman" w:cs="Calibri"/>
                <w:b/>
              </w:rPr>
              <w:t>OR</w:t>
            </w:r>
          </w:p>
          <w:p w14:paraId="4F2037C2" w14:textId="77777777" w:rsidR="002D6CD2" w:rsidRPr="00E66809" w:rsidRDefault="002D6CD2" w:rsidP="002D6CD2">
            <w:pPr>
              <w:spacing w:after="0" w:line="276" w:lineRule="auto"/>
              <w:jc w:val="both"/>
              <w:rPr>
                <w:rFonts w:eastAsia="Times New Roman" w:cs="Calibri"/>
                <w:bCs/>
              </w:rPr>
            </w:pPr>
            <w:r w:rsidRPr="00E66809">
              <w:rPr>
                <w:rFonts w:eastAsia="Times New Roman" w:cs="Calibri"/>
                <w:bCs/>
              </w:rPr>
              <w:t xml:space="preserve">The </w:t>
            </w:r>
            <w:r>
              <w:rPr>
                <w:rFonts w:eastAsia="Times New Roman" w:cs="Calibri"/>
                <w:bCs/>
              </w:rPr>
              <w:t xml:space="preserve">associated person(s) </w:t>
            </w:r>
            <w:proofErr w:type="gramStart"/>
            <w:r>
              <w:rPr>
                <w:rFonts w:eastAsia="Times New Roman" w:cs="Calibri"/>
                <w:bCs/>
              </w:rPr>
              <w:t>are</w:t>
            </w:r>
            <w:proofErr w:type="gramEnd"/>
            <w:r w:rsidRPr="00A824C6">
              <w:rPr>
                <w:rFonts w:eastAsia="Times New Roman" w:cs="Calibri"/>
                <w:bCs/>
              </w:rPr>
              <w:t xml:space="preserve"> </w:t>
            </w:r>
            <w:r w:rsidRPr="00E66809">
              <w:rPr>
                <w:rFonts w:eastAsia="Times New Roman" w:cs="Calibri"/>
                <w:bCs/>
              </w:rPr>
              <w:t>on the debarment list in relation to a discretionary exclusion ground (as detailed under Schedule 7 of the Act) but has not provided a summary of the circumstances and any remedial action that has taken place subsequently</w:t>
            </w:r>
            <w:r>
              <w:rPr>
                <w:rFonts w:eastAsia="Times New Roman" w:cs="Calibri"/>
                <w:bCs/>
              </w:rPr>
              <w:t>.</w:t>
            </w:r>
          </w:p>
          <w:p w14:paraId="00BE7D04" w14:textId="77777777" w:rsidR="002D6CD2" w:rsidRPr="00A824C6" w:rsidRDefault="002D6CD2" w:rsidP="002D6CD2">
            <w:pPr>
              <w:spacing w:after="0" w:line="276" w:lineRule="auto"/>
              <w:jc w:val="both"/>
              <w:rPr>
                <w:rFonts w:eastAsia="Arial" w:cs="Calibri"/>
                <w:b/>
              </w:rPr>
            </w:pPr>
            <w:r w:rsidRPr="00A824C6">
              <w:rPr>
                <w:rFonts w:eastAsia="Arial" w:cs="Calibri"/>
                <w:b/>
              </w:rPr>
              <w:t>OR</w:t>
            </w:r>
          </w:p>
          <w:p w14:paraId="2694E554" w14:textId="77777777" w:rsidR="002D6CD2" w:rsidRPr="00E66809" w:rsidRDefault="002D6CD2" w:rsidP="002D6CD2">
            <w:pPr>
              <w:spacing w:after="0" w:line="276" w:lineRule="auto"/>
              <w:jc w:val="both"/>
              <w:rPr>
                <w:rFonts w:eastAsia="Times New Roman" w:cs="Calibri"/>
                <w:bCs/>
              </w:rPr>
            </w:pPr>
            <w:r>
              <w:rPr>
                <w:rFonts w:eastAsia="Times New Roman" w:cs="Calibri"/>
                <w:bCs/>
              </w:rPr>
              <w:t xml:space="preserve">The associated person(s) </w:t>
            </w:r>
            <w:proofErr w:type="gramStart"/>
            <w:r>
              <w:rPr>
                <w:rFonts w:eastAsia="Times New Roman" w:cs="Calibri"/>
                <w:bCs/>
              </w:rPr>
              <w:t>are</w:t>
            </w:r>
            <w:proofErr w:type="gramEnd"/>
            <w:r w:rsidRPr="00A824C6">
              <w:rPr>
                <w:rFonts w:eastAsia="Times New Roman" w:cs="Calibri"/>
                <w:bCs/>
              </w:rPr>
              <w:t xml:space="preserve"> </w:t>
            </w:r>
            <w:r>
              <w:rPr>
                <w:rFonts w:eastAsia="Times New Roman" w:cs="Calibri"/>
                <w:bCs/>
              </w:rPr>
              <w:t xml:space="preserve">on </w:t>
            </w:r>
            <w:r w:rsidRPr="00E66809">
              <w:rPr>
                <w:rFonts w:eastAsia="Times New Roman" w:cs="Calibri"/>
                <w:bCs/>
              </w:rPr>
              <w:t>the debarment list in relation in relation to a discretionary exclusion ground (as detailed under Schedule 7 of the Act) and the Suppliers’ summary of the circumstances and any remedial action that has taken place subsequently is deemed unsatisfactory by HMRC</w:t>
            </w:r>
            <w:r>
              <w:rPr>
                <w:rFonts w:eastAsia="Times New Roman" w:cs="Calibri"/>
                <w:bCs/>
              </w:rPr>
              <w:t>.</w:t>
            </w:r>
          </w:p>
          <w:p w14:paraId="6279C4E4" w14:textId="77777777" w:rsidR="00D53CC2" w:rsidRPr="00E66809" w:rsidRDefault="00D53CC2" w:rsidP="00D53CC2">
            <w:pPr>
              <w:spacing w:after="0" w:line="276" w:lineRule="auto"/>
              <w:rPr>
                <w:rFonts w:eastAsia="Times New Roman" w:cs="Calibri"/>
              </w:rPr>
            </w:pPr>
          </w:p>
          <w:p w14:paraId="748354CD" w14:textId="503524B4" w:rsidR="00D53CC2" w:rsidRPr="00E66809" w:rsidRDefault="00D53CC2" w:rsidP="00D53CC2">
            <w:pPr>
              <w:keepNext/>
              <w:spacing w:after="0" w:line="276" w:lineRule="auto"/>
              <w:rPr>
                <w:rFonts w:eastAsia="Times New Roman" w:cs="Calibri"/>
              </w:rPr>
            </w:pPr>
            <w:r w:rsidRPr="00E66809">
              <w:rPr>
                <w:rFonts w:cs="Calibri"/>
              </w:rPr>
              <w:t xml:space="preserve">Where a </w:t>
            </w:r>
            <w:r>
              <w:rPr>
                <w:rFonts w:cs="Calibri"/>
              </w:rPr>
              <w:t>S</w:t>
            </w:r>
            <w:r w:rsidRPr="00E66809">
              <w:rPr>
                <w:rFonts w:cs="Calibri"/>
              </w:rPr>
              <w:t>upplier</w:t>
            </w:r>
            <w:r w:rsidR="002D6CD2">
              <w:rPr>
                <w:rFonts w:cs="Calibri"/>
              </w:rPr>
              <w:t xml:space="preserve">’s associated person(s) </w:t>
            </w:r>
            <w:proofErr w:type="gramStart"/>
            <w:r w:rsidR="002D6CD2">
              <w:rPr>
                <w:rFonts w:cs="Calibri"/>
              </w:rPr>
              <w:t>are</w:t>
            </w:r>
            <w:proofErr w:type="gramEnd"/>
            <w:r w:rsidR="002D6CD2">
              <w:rPr>
                <w:rFonts w:cs="Calibri"/>
              </w:rPr>
              <w:t xml:space="preserve"> </w:t>
            </w:r>
            <w:r w:rsidRPr="00E66809">
              <w:rPr>
                <w:rFonts w:cs="Calibri"/>
              </w:rPr>
              <w:t xml:space="preserve">disqualified, </w:t>
            </w:r>
            <w:r>
              <w:rPr>
                <w:rFonts w:cs="Calibri"/>
              </w:rPr>
              <w:t>the remainder of its response will not be evaluated.</w:t>
            </w:r>
          </w:p>
          <w:p w14:paraId="6BC319CE" w14:textId="77777777" w:rsidR="00D53CC2" w:rsidRDefault="00D53CC2" w:rsidP="00F76EC3">
            <w:pPr>
              <w:spacing w:after="0" w:line="276" w:lineRule="auto"/>
              <w:jc w:val="both"/>
              <w:rPr>
                <w:rFonts w:eastAsia="Times New Roman" w:cs="Calibri"/>
              </w:rPr>
            </w:pPr>
          </w:p>
          <w:p w14:paraId="7B33017D" w14:textId="77777777" w:rsidR="006168B0" w:rsidRDefault="006168B0" w:rsidP="00CA2085">
            <w:pPr>
              <w:spacing w:after="0" w:line="276" w:lineRule="auto"/>
              <w:jc w:val="both"/>
              <w:rPr>
                <w:rFonts w:eastAsia="Times New Roman" w:cs="Calibri"/>
              </w:rPr>
            </w:pPr>
          </w:p>
          <w:p w14:paraId="7467E6D6" w14:textId="4CE1872B" w:rsidR="00F76EC3" w:rsidRPr="00E66809" w:rsidRDefault="00F76EC3" w:rsidP="00CA2085">
            <w:pPr>
              <w:spacing w:after="0" w:line="276" w:lineRule="auto"/>
              <w:jc w:val="both"/>
              <w:rPr>
                <w:rFonts w:eastAsia="Times New Roman" w:cs="Calibri"/>
              </w:rPr>
            </w:pPr>
          </w:p>
        </w:tc>
      </w:tr>
    </w:tbl>
    <w:p w14:paraId="5BEB8187" w14:textId="77777777" w:rsidR="006168B0" w:rsidRPr="00E66809" w:rsidRDefault="006168B0" w:rsidP="006168B0">
      <w:pPr>
        <w:spacing w:after="0" w:line="276" w:lineRule="auto"/>
        <w:rPr>
          <w:rFonts w:eastAsia="Arial" w:cs="Calibri"/>
          <w:b/>
          <w:u w:val="single"/>
        </w:rPr>
      </w:pPr>
    </w:p>
    <w:p w14:paraId="74D4F64D" w14:textId="77777777" w:rsidR="006168B0" w:rsidRPr="00E66809" w:rsidRDefault="006168B0" w:rsidP="006168B0">
      <w:pPr>
        <w:pageBreakBefore/>
        <w:spacing w:after="0" w:line="276" w:lineRule="auto"/>
        <w:rPr>
          <w:rFonts w:eastAsia="Arial" w:cs="Calibri"/>
          <w:b/>
          <w:u w:val="single"/>
        </w:rPr>
      </w:pPr>
      <w:r w:rsidRPr="00E66809">
        <w:rPr>
          <w:rFonts w:eastAsia="Arial" w:cs="Calibri"/>
          <w:b/>
          <w:u w:val="single"/>
        </w:rPr>
        <w:t>Part 2B – List of all intended sub-contractors</w:t>
      </w:r>
    </w:p>
    <w:p w14:paraId="28F9D525" w14:textId="77777777" w:rsidR="006168B0" w:rsidRPr="00E66809" w:rsidRDefault="006168B0" w:rsidP="00FF7A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93"/>
        <w:gridCol w:w="1549"/>
        <w:gridCol w:w="6174"/>
      </w:tblGrid>
      <w:tr w:rsidR="006168B0" w:rsidRPr="001439F7" w14:paraId="649B96E9" w14:textId="77777777" w:rsidTr="00601087">
        <w:trPr>
          <w:cantSplit/>
          <w:trHeight w:val="510"/>
        </w:trPr>
        <w:tc>
          <w:tcPr>
            <w:tcW w:w="717" w:type="pct"/>
            <w:tcBorders>
              <w:top w:val="single" w:sz="4" w:space="0" w:color="auto"/>
              <w:left w:val="single" w:sz="4" w:space="0" w:color="auto"/>
              <w:bottom w:val="single" w:sz="4" w:space="0" w:color="auto"/>
              <w:right w:val="single" w:sz="4" w:space="0" w:color="EAEAEA"/>
            </w:tcBorders>
            <w:shd w:val="clear" w:color="auto" w:fill="009999"/>
            <w:vAlign w:val="center"/>
          </w:tcPr>
          <w:p w14:paraId="1372B8F2"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859" w:type="pct"/>
            <w:tcBorders>
              <w:top w:val="single" w:sz="4" w:space="0" w:color="auto"/>
              <w:left w:val="single" w:sz="4" w:space="0" w:color="auto"/>
              <w:bottom w:val="single" w:sz="4" w:space="0" w:color="auto"/>
              <w:right w:val="single" w:sz="4" w:space="0" w:color="EAEAEA"/>
            </w:tcBorders>
            <w:shd w:val="clear" w:color="auto" w:fill="009999"/>
            <w:vAlign w:val="center"/>
          </w:tcPr>
          <w:p w14:paraId="332DE0D9"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3424" w:type="pct"/>
            <w:tcBorders>
              <w:top w:val="single" w:sz="4" w:space="0" w:color="auto"/>
              <w:left w:val="single" w:sz="4" w:space="0" w:color="auto"/>
              <w:bottom w:val="single" w:sz="4" w:space="0" w:color="auto"/>
              <w:right w:val="single" w:sz="4" w:space="0" w:color="auto"/>
            </w:tcBorders>
            <w:shd w:val="clear" w:color="auto" w:fill="009999"/>
            <w:vAlign w:val="center"/>
          </w:tcPr>
          <w:p w14:paraId="0217C2DF" w14:textId="77777777" w:rsidR="006168B0" w:rsidRPr="00E66809" w:rsidRDefault="006168B0">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6168B0" w:rsidRPr="00BF1FD6" w14:paraId="76195028" w14:textId="77777777" w:rsidTr="00601087">
        <w:trPr>
          <w:trHeight w:val="510"/>
        </w:trPr>
        <w:tc>
          <w:tcPr>
            <w:tcW w:w="717" w:type="pct"/>
            <w:shd w:val="clear" w:color="auto" w:fill="FFFFFF"/>
          </w:tcPr>
          <w:p w14:paraId="3FF967CD" w14:textId="77777777" w:rsidR="006168B0" w:rsidRPr="00E66809" w:rsidRDefault="006168B0">
            <w:pPr>
              <w:spacing w:after="0" w:line="276" w:lineRule="auto"/>
              <w:jc w:val="both"/>
              <w:rPr>
                <w:rFonts w:eastAsia="Times New Roman" w:cs="Calibri"/>
              </w:rPr>
            </w:pPr>
            <w:r w:rsidRPr="00E66809">
              <w:rPr>
                <w:rFonts w:eastAsia="Times New Roman" w:cs="Calibri"/>
              </w:rPr>
              <w:t>2.5</w:t>
            </w:r>
          </w:p>
        </w:tc>
        <w:tc>
          <w:tcPr>
            <w:tcW w:w="859" w:type="pct"/>
            <w:shd w:val="clear" w:color="auto" w:fill="FFFFFF"/>
          </w:tcPr>
          <w:p w14:paraId="5E0FF751" w14:textId="77777777" w:rsidR="006168B0" w:rsidRPr="00E66809" w:rsidRDefault="006168B0">
            <w:pPr>
              <w:spacing w:after="0" w:line="276" w:lineRule="auto"/>
              <w:jc w:val="both"/>
              <w:rPr>
                <w:rFonts w:eastAsia="Times New Roman" w:cs="Calibri"/>
              </w:rPr>
            </w:pPr>
            <w:r w:rsidRPr="00E66809">
              <w:rPr>
                <w:rFonts w:eastAsia="Times New Roman" w:cs="Calibri"/>
              </w:rPr>
              <w:t>Pass/Fail/N/A</w:t>
            </w:r>
          </w:p>
        </w:tc>
        <w:tc>
          <w:tcPr>
            <w:tcW w:w="3424" w:type="pct"/>
            <w:shd w:val="clear" w:color="auto" w:fill="FFFFFF"/>
          </w:tcPr>
          <w:p w14:paraId="258FC215"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 xml:space="preserve">N/A </w:t>
            </w:r>
            <w:r w:rsidRPr="00CA2085">
              <w:rPr>
                <w:rFonts w:eastAsia="Times New Roman" w:cs="Calibri"/>
                <w:bCs/>
              </w:rPr>
              <w:t>– if Supplier will not</w:t>
            </w:r>
            <w:r w:rsidRPr="006E6589">
              <w:rPr>
                <w:bCs/>
              </w:rPr>
              <w:t xml:space="preserve"> </w:t>
            </w:r>
            <w:r w:rsidRPr="00CA2085">
              <w:rPr>
                <w:rFonts w:eastAsia="Times New Roman" w:cs="Calibri"/>
                <w:bCs/>
              </w:rPr>
              <w:t>be using any sub-</w:t>
            </w:r>
            <w:proofErr w:type="gramStart"/>
            <w:r w:rsidRPr="00CA2085">
              <w:rPr>
                <w:rFonts w:eastAsia="Times New Roman" w:cs="Calibri"/>
                <w:bCs/>
              </w:rPr>
              <w:t>contractors</w:t>
            </w:r>
            <w:proofErr w:type="gramEnd"/>
          </w:p>
          <w:p w14:paraId="17156970" w14:textId="77777777" w:rsidR="006168B0" w:rsidRPr="00E66809" w:rsidRDefault="006168B0">
            <w:pPr>
              <w:spacing w:after="0" w:line="276" w:lineRule="auto"/>
              <w:jc w:val="both"/>
              <w:rPr>
                <w:rFonts w:eastAsia="Times New Roman" w:cs="Calibri"/>
                <w:b/>
                <w:u w:val="single"/>
              </w:rPr>
            </w:pPr>
          </w:p>
          <w:p w14:paraId="2B7A9DF1"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If Supplier IS using sub-contractors:</w:t>
            </w:r>
          </w:p>
          <w:p w14:paraId="1A09FF7E" w14:textId="77777777" w:rsidR="006168B0" w:rsidRPr="00E66809" w:rsidRDefault="006168B0">
            <w:pPr>
              <w:spacing w:after="0" w:line="276" w:lineRule="auto"/>
              <w:jc w:val="both"/>
              <w:rPr>
                <w:rFonts w:eastAsia="Times New Roman" w:cs="Calibri"/>
                <w:b/>
                <w:u w:val="single"/>
              </w:rPr>
            </w:pPr>
          </w:p>
          <w:p w14:paraId="0C9B4F8E"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3D47B8B4" w14:textId="77777777" w:rsidR="006168B0" w:rsidRPr="00E66809" w:rsidRDefault="006168B0">
            <w:pPr>
              <w:spacing w:after="0" w:line="276" w:lineRule="auto"/>
              <w:jc w:val="both"/>
              <w:rPr>
                <w:rFonts w:eastAsia="Times New Roman" w:cs="Calibri"/>
              </w:rPr>
            </w:pPr>
            <w:r w:rsidRPr="00E66809">
              <w:rPr>
                <w:rFonts w:eastAsia="Times New Roman" w:cs="Calibri"/>
              </w:rPr>
              <w:t>All information provided.</w:t>
            </w:r>
          </w:p>
          <w:p w14:paraId="03859B20" w14:textId="77777777" w:rsidR="006168B0" w:rsidRPr="00E66809" w:rsidRDefault="006168B0">
            <w:pPr>
              <w:spacing w:after="0" w:line="276" w:lineRule="auto"/>
              <w:jc w:val="both"/>
              <w:rPr>
                <w:rFonts w:eastAsia="Times New Roman" w:cs="Calibri"/>
              </w:rPr>
            </w:pPr>
          </w:p>
          <w:p w14:paraId="379CC3E9"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p>
          <w:p w14:paraId="14149EB5" w14:textId="77777777" w:rsidR="006168B0" w:rsidRPr="00E66809" w:rsidRDefault="006168B0">
            <w:pPr>
              <w:spacing w:after="0" w:line="276" w:lineRule="auto"/>
              <w:jc w:val="both"/>
              <w:rPr>
                <w:rFonts w:eastAsia="Times New Roman" w:cs="Calibri"/>
              </w:rPr>
            </w:pPr>
            <w:r w:rsidRPr="001B32DF">
              <w:rPr>
                <w:rFonts w:eastAsia="Times New Roman" w:cs="Calibri"/>
              </w:rPr>
              <w:t>Response is incomplete and any missing information is not provided in the timeframes requested by HMRC</w:t>
            </w:r>
            <w:r>
              <w:rPr>
                <w:rFonts w:eastAsia="Times New Roman" w:cs="Calibri"/>
              </w:rPr>
              <w:t>.</w:t>
            </w:r>
          </w:p>
        </w:tc>
      </w:tr>
      <w:tr w:rsidR="00601087" w:rsidRPr="00BF1FD6" w14:paraId="766F28BB" w14:textId="77777777" w:rsidTr="00601087">
        <w:trPr>
          <w:trHeight w:val="510"/>
        </w:trPr>
        <w:tc>
          <w:tcPr>
            <w:tcW w:w="717" w:type="pct"/>
            <w:shd w:val="clear" w:color="auto" w:fill="FFFFFF"/>
          </w:tcPr>
          <w:p w14:paraId="4424F688" w14:textId="77777777" w:rsidR="00601087" w:rsidRPr="00E66809" w:rsidRDefault="00601087" w:rsidP="00601087">
            <w:pPr>
              <w:spacing w:after="0" w:line="276" w:lineRule="auto"/>
              <w:jc w:val="both"/>
              <w:rPr>
                <w:rFonts w:eastAsia="Times New Roman" w:cs="Calibri"/>
              </w:rPr>
            </w:pPr>
            <w:r w:rsidRPr="00E66809">
              <w:rPr>
                <w:rFonts w:eastAsia="Times New Roman" w:cs="Calibri"/>
              </w:rPr>
              <w:t>2.6</w:t>
            </w:r>
          </w:p>
        </w:tc>
        <w:tc>
          <w:tcPr>
            <w:tcW w:w="859" w:type="pct"/>
            <w:shd w:val="clear" w:color="auto" w:fill="FFFFFF"/>
          </w:tcPr>
          <w:p w14:paraId="59129DBD" w14:textId="15DCF1FB" w:rsidR="00601087" w:rsidRPr="00601087" w:rsidRDefault="00601087" w:rsidP="00601087">
            <w:pPr>
              <w:spacing w:after="0" w:line="276" w:lineRule="auto"/>
              <w:jc w:val="both"/>
              <w:rPr>
                <w:rFonts w:eastAsia="Times New Roman" w:cs="Calibri"/>
              </w:rPr>
            </w:pPr>
            <w:r w:rsidRPr="00601087">
              <w:rPr>
                <w:color w:val="000000"/>
              </w:rPr>
              <w:t>Pass/Fail/N/A</w:t>
            </w:r>
          </w:p>
        </w:tc>
        <w:tc>
          <w:tcPr>
            <w:tcW w:w="3424" w:type="pct"/>
            <w:shd w:val="clear" w:color="auto" w:fill="FFFFFF"/>
          </w:tcPr>
          <w:p w14:paraId="0D1D9DC6" w14:textId="77777777" w:rsidR="00601087" w:rsidRPr="00601087" w:rsidRDefault="00601087" w:rsidP="00601087">
            <w:pPr>
              <w:spacing w:after="0" w:line="240" w:lineRule="auto"/>
              <w:jc w:val="both"/>
              <w:rPr>
                <w:rFonts w:cs="Arial"/>
              </w:rPr>
            </w:pPr>
            <w:r w:rsidRPr="00601087">
              <w:rPr>
                <w:rFonts w:cs="Arial"/>
                <w:b/>
                <w:bCs/>
                <w:color w:val="000000"/>
                <w:u w:val="single"/>
              </w:rPr>
              <w:t>N/A – if Supplier will not</w:t>
            </w:r>
            <w:r w:rsidRPr="00601087">
              <w:rPr>
                <w:rFonts w:cs="Arial"/>
                <w:color w:val="000000"/>
              </w:rPr>
              <w:t xml:space="preserve"> </w:t>
            </w:r>
            <w:r w:rsidRPr="00601087">
              <w:rPr>
                <w:rFonts w:cs="Arial"/>
                <w:b/>
                <w:bCs/>
                <w:color w:val="000000"/>
                <w:u w:val="single"/>
              </w:rPr>
              <w:t>be using any sub-</w:t>
            </w:r>
            <w:proofErr w:type="gramStart"/>
            <w:r w:rsidRPr="00601087">
              <w:rPr>
                <w:rFonts w:cs="Arial"/>
                <w:b/>
                <w:bCs/>
                <w:color w:val="000000"/>
                <w:u w:val="single"/>
              </w:rPr>
              <w:t>contractors</w:t>
            </w:r>
            <w:proofErr w:type="gramEnd"/>
          </w:p>
          <w:p w14:paraId="443A79CA" w14:textId="7D1EC82F" w:rsidR="00601087" w:rsidRPr="00601087" w:rsidRDefault="00601087" w:rsidP="00601087">
            <w:pPr>
              <w:spacing w:after="0" w:line="240" w:lineRule="auto"/>
              <w:jc w:val="both"/>
              <w:rPr>
                <w:rFonts w:cs="Arial"/>
              </w:rPr>
            </w:pPr>
          </w:p>
          <w:p w14:paraId="125F1174" w14:textId="77777777" w:rsidR="00601087" w:rsidRPr="00601087" w:rsidRDefault="00601087" w:rsidP="00601087">
            <w:pPr>
              <w:spacing w:after="0" w:line="240" w:lineRule="auto"/>
              <w:jc w:val="both"/>
              <w:rPr>
                <w:rFonts w:cs="Arial"/>
              </w:rPr>
            </w:pPr>
            <w:r w:rsidRPr="00601087">
              <w:rPr>
                <w:rFonts w:cs="Arial"/>
                <w:b/>
                <w:bCs/>
                <w:color w:val="000000"/>
                <w:u w:val="single"/>
              </w:rPr>
              <w:t>If Supplier IS using sub-contractors:</w:t>
            </w:r>
          </w:p>
          <w:p w14:paraId="642D4529" w14:textId="77777777" w:rsidR="00601087" w:rsidRPr="00601087" w:rsidRDefault="00601087" w:rsidP="00601087">
            <w:pPr>
              <w:spacing w:after="0" w:line="240" w:lineRule="auto"/>
              <w:jc w:val="both"/>
              <w:rPr>
                <w:rFonts w:cs="Arial"/>
              </w:rPr>
            </w:pPr>
            <w:r w:rsidRPr="00601087">
              <w:rPr>
                <w:rFonts w:cs="Arial"/>
                <w:b/>
                <w:bCs/>
              </w:rPr>
              <w:t> </w:t>
            </w:r>
          </w:p>
          <w:p w14:paraId="37C334AD" w14:textId="77777777" w:rsidR="00601087" w:rsidRPr="00601087" w:rsidRDefault="00601087" w:rsidP="009129BC">
            <w:pPr>
              <w:spacing w:after="0" w:line="276" w:lineRule="auto"/>
              <w:jc w:val="both"/>
              <w:rPr>
                <w:rFonts w:cs="Arial"/>
              </w:rPr>
            </w:pPr>
            <w:r w:rsidRPr="00601087">
              <w:rPr>
                <w:rFonts w:cs="Arial"/>
                <w:b/>
                <w:bCs/>
                <w:color w:val="000000"/>
                <w:u w:val="single"/>
              </w:rPr>
              <w:t>Pass</w:t>
            </w:r>
          </w:p>
          <w:p w14:paraId="56C89136" w14:textId="77777777" w:rsidR="00601087" w:rsidRPr="00601087" w:rsidRDefault="00601087" w:rsidP="009129BC">
            <w:pPr>
              <w:spacing w:after="0" w:line="276" w:lineRule="auto"/>
              <w:jc w:val="both"/>
              <w:rPr>
                <w:rFonts w:cs="Arial"/>
              </w:rPr>
            </w:pPr>
            <w:r w:rsidRPr="00601087">
              <w:rPr>
                <w:rFonts w:cs="Arial"/>
                <w:color w:val="000000"/>
              </w:rPr>
              <w:t xml:space="preserve">The subcontractor(s) are not on the debarment list. </w:t>
            </w:r>
          </w:p>
          <w:p w14:paraId="67779F94" w14:textId="77777777" w:rsidR="00601087" w:rsidRPr="00601087" w:rsidRDefault="00601087" w:rsidP="009129BC">
            <w:pPr>
              <w:spacing w:after="0" w:line="276" w:lineRule="auto"/>
              <w:jc w:val="both"/>
              <w:rPr>
                <w:rFonts w:cs="Arial"/>
              </w:rPr>
            </w:pPr>
            <w:r w:rsidRPr="00601087">
              <w:rPr>
                <w:rFonts w:cs="Arial"/>
                <w:b/>
                <w:bCs/>
                <w:color w:val="000000"/>
              </w:rPr>
              <w:t>OR</w:t>
            </w:r>
          </w:p>
          <w:p w14:paraId="7331DE3C" w14:textId="77777777" w:rsidR="00601087" w:rsidRPr="00601087" w:rsidRDefault="00601087" w:rsidP="009129BC">
            <w:pPr>
              <w:spacing w:after="0" w:line="276" w:lineRule="auto"/>
              <w:jc w:val="both"/>
              <w:rPr>
                <w:rFonts w:cs="Arial"/>
              </w:rPr>
            </w:pPr>
            <w:r w:rsidRPr="00601087">
              <w:rPr>
                <w:rFonts w:cs="Arial"/>
                <w:color w:val="000000"/>
              </w:rPr>
              <w:t xml:space="preserve">Grounds for discretionary exclusion apply, but the subcontractor(s) have provided a summary of the circumstances and any remedial action that has taken place subsequently, for the exclusion ground(s) in question. The Supplier </w:t>
            </w:r>
            <w:proofErr w:type="gramStart"/>
            <w:r w:rsidRPr="00601087">
              <w:rPr>
                <w:rFonts w:cs="Arial"/>
                <w:color w:val="000000"/>
              </w:rPr>
              <w:t>has to</w:t>
            </w:r>
            <w:proofErr w:type="gramEnd"/>
            <w:r w:rsidRPr="00601087">
              <w:rPr>
                <w:rFonts w:cs="Arial"/>
                <w:color w:val="000000"/>
              </w:rPr>
              <w:t xml:space="preserve"> demonstrate that it’s sub-contractor(s) have taken such remedial action to the satisfaction of HMRC in each case such that the issue is not continuing and is not likely to occur again in the future. In such circumstances no replacement of the sub-contractor’s is necessary.</w:t>
            </w:r>
          </w:p>
          <w:p w14:paraId="5B278C19" w14:textId="77777777" w:rsidR="00601087" w:rsidRPr="00601087" w:rsidRDefault="00601087" w:rsidP="009129BC">
            <w:pPr>
              <w:spacing w:after="0" w:line="276" w:lineRule="auto"/>
              <w:jc w:val="both"/>
              <w:rPr>
                <w:rFonts w:cs="Arial"/>
              </w:rPr>
            </w:pPr>
            <w:r w:rsidRPr="00601087">
              <w:rPr>
                <w:rFonts w:cs="Arial"/>
                <w:b/>
                <w:bCs/>
                <w:color w:val="000000"/>
              </w:rPr>
              <w:t>OR</w:t>
            </w:r>
          </w:p>
          <w:p w14:paraId="17366EEE" w14:textId="77777777" w:rsidR="00601087" w:rsidRPr="00601087" w:rsidRDefault="00601087" w:rsidP="009129BC">
            <w:pPr>
              <w:spacing w:after="0" w:line="276" w:lineRule="auto"/>
              <w:jc w:val="both"/>
              <w:rPr>
                <w:rFonts w:cs="Arial"/>
              </w:rPr>
            </w:pPr>
            <w:r w:rsidRPr="00601087">
              <w:rPr>
                <w:rFonts w:cs="Arial"/>
                <w:color w:val="000000"/>
              </w:rPr>
              <w:t>The sub-contractor(s) are on the debarment list in relation in relation to a discretionary exclusion ground (as detailed under Schedule 7 of the Act) and the Suppliers’ summary of the circumstances and any remedial action that has taken place subsequently is either not provided or deemed unsatisfactory by HMRC. The Supplier is subsequently given an opportunity to replace the subcontractor with one not on the debarment list and does so within a proposed time limit.</w:t>
            </w:r>
          </w:p>
          <w:p w14:paraId="1E4A5DC1" w14:textId="77777777" w:rsidR="00601087" w:rsidRPr="00601087" w:rsidRDefault="00601087" w:rsidP="009129BC">
            <w:pPr>
              <w:spacing w:after="0" w:line="276" w:lineRule="auto"/>
              <w:jc w:val="both"/>
              <w:rPr>
                <w:rFonts w:cs="Arial"/>
              </w:rPr>
            </w:pPr>
            <w:r w:rsidRPr="00601087">
              <w:rPr>
                <w:rFonts w:cs="Arial"/>
                <w:b/>
                <w:bCs/>
                <w:color w:val="000000"/>
              </w:rPr>
              <w:t>OR</w:t>
            </w:r>
          </w:p>
          <w:p w14:paraId="25FB7EEB" w14:textId="77777777" w:rsidR="00601087" w:rsidRPr="00601087" w:rsidRDefault="00601087" w:rsidP="009129BC">
            <w:pPr>
              <w:spacing w:after="0" w:line="276" w:lineRule="auto"/>
              <w:jc w:val="both"/>
              <w:rPr>
                <w:rFonts w:cs="Arial"/>
              </w:rPr>
            </w:pPr>
            <w:r w:rsidRPr="00601087">
              <w:rPr>
                <w:rFonts w:cs="Arial"/>
                <w:color w:val="000000"/>
              </w:rPr>
              <w:t>The sub-contractor(s) are on the debarment list in relation in relation to a mandatory exclusion ground (as detailed under Schedule 6 of the Act) and the Supplier is given an opportunity to replace the subcontractor with one not on the debarment list and does so within a proposed time limit.</w:t>
            </w:r>
          </w:p>
          <w:p w14:paraId="3C40D3FD" w14:textId="77777777" w:rsidR="00601087" w:rsidRPr="00601087" w:rsidRDefault="00601087" w:rsidP="009129BC">
            <w:pPr>
              <w:spacing w:after="0" w:line="276" w:lineRule="auto"/>
              <w:jc w:val="both"/>
              <w:rPr>
                <w:rFonts w:cs="Arial"/>
              </w:rPr>
            </w:pPr>
            <w:r w:rsidRPr="00601087">
              <w:rPr>
                <w:rFonts w:cs="Arial"/>
              </w:rPr>
              <w:t> </w:t>
            </w:r>
          </w:p>
          <w:p w14:paraId="1E1169DA" w14:textId="77777777" w:rsidR="00601087" w:rsidRPr="00601087" w:rsidRDefault="00601087" w:rsidP="009129BC">
            <w:pPr>
              <w:spacing w:after="0" w:line="276" w:lineRule="auto"/>
              <w:jc w:val="both"/>
              <w:rPr>
                <w:rFonts w:cs="Arial"/>
              </w:rPr>
            </w:pPr>
            <w:r w:rsidRPr="00601087">
              <w:rPr>
                <w:rFonts w:cs="Arial"/>
              </w:rPr>
              <w:t> </w:t>
            </w:r>
          </w:p>
          <w:p w14:paraId="1D169AFA" w14:textId="77777777" w:rsidR="00601087" w:rsidRPr="00601087" w:rsidRDefault="00601087" w:rsidP="009129BC">
            <w:pPr>
              <w:spacing w:after="0" w:line="276" w:lineRule="auto"/>
              <w:jc w:val="both"/>
              <w:rPr>
                <w:rFonts w:cs="Arial"/>
              </w:rPr>
            </w:pPr>
            <w:r w:rsidRPr="00601087">
              <w:rPr>
                <w:rFonts w:cs="Arial"/>
                <w:b/>
                <w:bCs/>
                <w:color w:val="000000"/>
                <w:u w:val="single"/>
              </w:rPr>
              <w:t xml:space="preserve">Fail </w:t>
            </w:r>
          </w:p>
          <w:p w14:paraId="5C968EEA" w14:textId="66947531" w:rsidR="00601087" w:rsidRPr="00601087" w:rsidRDefault="00601087" w:rsidP="009129BC">
            <w:pPr>
              <w:spacing w:after="0" w:line="276" w:lineRule="auto"/>
              <w:jc w:val="both"/>
              <w:rPr>
                <w:rFonts w:cs="Arial"/>
              </w:rPr>
            </w:pPr>
            <w:r w:rsidRPr="00601087">
              <w:rPr>
                <w:rFonts w:cs="Arial"/>
                <w:color w:val="000000"/>
              </w:rPr>
              <w:t xml:space="preserve">The subcontractor(s) are on the debarment list for a mandatory exclusion ground and the Supplier is given an opportunity to replace the subcontractor(s) with a supplier(s) not on the debarment list and fails to do so within the proposed time limit.  </w:t>
            </w:r>
          </w:p>
          <w:p w14:paraId="16F59D06" w14:textId="77777777" w:rsidR="00601087" w:rsidRPr="00601087" w:rsidRDefault="00601087" w:rsidP="009129BC">
            <w:pPr>
              <w:spacing w:after="0" w:line="276" w:lineRule="auto"/>
              <w:jc w:val="both"/>
              <w:rPr>
                <w:rFonts w:cs="Arial"/>
              </w:rPr>
            </w:pPr>
            <w:r w:rsidRPr="00601087">
              <w:rPr>
                <w:rFonts w:cs="Arial"/>
                <w:b/>
                <w:bCs/>
                <w:color w:val="000000"/>
              </w:rPr>
              <w:t>OR</w:t>
            </w:r>
          </w:p>
          <w:p w14:paraId="73097324" w14:textId="1F4FDCE1" w:rsidR="00601087" w:rsidRPr="00601087" w:rsidRDefault="00601087" w:rsidP="009129BC">
            <w:pPr>
              <w:spacing w:after="0" w:line="276" w:lineRule="auto"/>
              <w:jc w:val="both"/>
              <w:rPr>
                <w:rFonts w:cs="Arial"/>
              </w:rPr>
            </w:pPr>
            <w:r w:rsidRPr="00601087">
              <w:rPr>
                <w:rFonts w:cs="Arial"/>
                <w:color w:val="000000"/>
              </w:rPr>
              <w:t xml:space="preserve">Grounds for discretionary exclusion apply, and the subcontractor(s) have provided a summary of the circumstances and any remedial action that has taken place subsequently, for the exclusion ground(s) in question but the Supplier has failed to demonstrate that it’s sub-contractor(s) have taken such remedial action to the satisfaction of HMRC in each case such that the issue is continuing or is likely to occur again in the future. </w:t>
            </w:r>
          </w:p>
          <w:p w14:paraId="4C931414" w14:textId="77777777" w:rsidR="00601087" w:rsidRPr="00601087" w:rsidRDefault="00601087" w:rsidP="009129BC">
            <w:pPr>
              <w:spacing w:after="0" w:line="276" w:lineRule="auto"/>
              <w:jc w:val="both"/>
              <w:rPr>
                <w:rFonts w:cs="Arial"/>
              </w:rPr>
            </w:pPr>
            <w:r w:rsidRPr="00601087">
              <w:rPr>
                <w:rFonts w:cs="Arial"/>
                <w:b/>
                <w:bCs/>
                <w:color w:val="000000"/>
              </w:rPr>
              <w:t>OR</w:t>
            </w:r>
          </w:p>
          <w:p w14:paraId="4176219A" w14:textId="77777777" w:rsidR="00601087" w:rsidRPr="00601087" w:rsidRDefault="00601087" w:rsidP="009129BC">
            <w:pPr>
              <w:spacing w:after="0" w:line="276" w:lineRule="auto"/>
              <w:jc w:val="both"/>
              <w:rPr>
                <w:rFonts w:cs="Arial"/>
              </w:rPr>
            </w:pPr>
            <w:r w:rsidRPr="00601087">
              <w:rPr>
                <w:rFonts w:cs="Arial"/>
                <w:color w:val="000000"/>
              </w:rPr>
              <w:t>The sub-contractor(s) are on the debarment list in relation in relation to a discretionary exclusion ground (as detailed under Schedule 7 of the Act) and the Suppliers’ summary of the circumstances and any remedial action that has taken place subsequently is either not provided or deemed unsatisfactory by HMRC. The Supplier is subsequently given an opportunity to replace the subcontractor with one not on the debarment list and does not do so within a proposed time limit.</w:t>
            </w:r>
          </w:p>
          <w:p w14:paraId="6BF3DEB8" w14:textId="77777777" w:rsidR="00601087" w:rsidRPr="00601087" w:rsidRDefault="00601087" w:rsidP="009129BC">
            <w:pPr>
              <w:spacing w:after="0" w:line="276" w:lineRule="auto"/>
              <w:jc w:val="both"/>
              <w:rPr>
                <w:rFonts w:cs="Arial"/>
              </w:rPr>
            </w:pPr>
            <w:r w:rsidRPr="00601087">
              <w:rPr>
                <w:rFonts w:cs="Arial"/>
              </w:rPr>
              <w:t> </w:t>
            </w:r>
          </w:p>
          <w:p w14:paraId="05B42784" w14:textId="77777777" w:rsidR="00601087" w:rsidRPr="00601087" w:rsidRDefault="00601087" w:rsidP="009129BC">
            <w:pPr>
              <w:spacing w:after="0" w:line="276" w:lineRule="auto"/>
              <w:jc w:val="both"/>
              <w:rPr>
                <w:rFonts w:cs="Arial"/>
              </w:rPr>
            </w:pPr>
            <w:r w:rsidRPr="00601087">
              <w:rPr>
                <w:rFonts w:cs="Arial"/>
                <w:color w:val="000000"/>
              </w:rPr>
              <w:t xml:space="preserve">Note that HMRC will verify the Supplier’s response against the debarment list. Providing erroneous information or failing to provide a relevant link may result in disqualification. </w:t>
            </w:r>
          </w:p>
          <w:p w14:paraId="6B5CB15E" w14:textId="77777777" w:rsidR="00601087" w:rsidRPr="00601087" w:rsidRDefault="00601087" w:rsidP="009129BC">
            <w:pPr>
              <w:spacing w:after="0" w:line="276" w:lineRule="auto"/>
              <w:jc w:val="both"/>
              <w:rPr>
                <w:rFonts w:cs="Arial"/>
              </w:rPr>
            </w:pPr>
            <w:r w:rsidRPr="00601087">
              <w:rPr>
                <w:rFonts w:cs="Arial"/>
              </w:rPr>
              <w:t> </w:t>
            </w:r>
          </w:p>
          <w:p w14:paraId="5E0D48C0" w14:textId="77777777" w:rsidR="00601087" w:rsidRPr="00601087" w:rsidRDefault="00601087" w:rsidP="009129BC">
            <w:pPr>
              <w:spacing w:after="0" w:line="276" w:lineRule="auto"/>
              <w:jc w:val="both"/>
              <w:rPr>
                <w:rFonts w:cs="Arial"/>
              </w:rPr>
            </w:pPr>
            <w:r w:rsidRPr="00601087">
              <w:rPr>
                <w:rFonts w:cs="Arial"/>
                <w:color w:val="000000"/>
              </w:rPr>
              <w:t>Where a Supplier is disqualified, the remainder of its response will not be evaluated.</w:t>
            </w:r>
          </w:p>
          <w:p w14:paraId="3EACD347" w14:textId="77777777" w:rsidR="00601087" w:rsidRPr="00601087" w:rsidRDefault="00601087" w:rsidP="009129BC">
            <w:pPr>
              <w:spacing w:after="0" w:line="276" w:lineRule="auto"/>
              <w:jc w:val="both"/>
              <w:rPr>
                <w:rFonts w:cs="Arial"/>
              </w:rPr>
            </w:pPr>
            <w:r w:rsidRPr="00601087">
              <w:rPr>
                <w:rFonts w:cs="Arial"/>
              </w:rPr>
              <w:t> </w:t>
            </w:r>
          </w:p>
          <w:p w14:paraId="3B2E3334" w14:textId="0732295B" w:rsidR="00601087" w:rsidRPr="00601087" w:rsidRDefault="00601087" w:rsidP="009129BC">
            <w:pPr>
              <w:spacing w:after="0" w:line="276" w:lineRule="auto"/>
              <w:jc w:val="both"/>
              <w:rPr>
                <w:rFonts w:eastAsia="Times New Roman" w:cs="Calibri"/>
                <w:b/>
                <w:u w:val="single"/>
              </w:rPr>
            </w:pPr>
            <w:r w:rsidRPr="00601087">
              <w:rPr>
                <w:rFonts w:cs="Arial"/>
                <w:color w:val="000000"/>
              </w:rPr>
              <w:t>HMRC reserve the right to reject the Supplier’s tender submission where this information is not provided. Where a sub-contractor is on the debarment list (HMRC will check the debarment list to verify whether any sub-contractor is listed), at the request of HMRC, if required, the Supplier must replace the sub-contractor with another supplier who is not on the debarment list. Refusal to replace such a sub-contractor will result in the rejection of the Supplier’s tender submission</w:t>
            </w:r>
            <w:r w:rsidRPr="00601087">
              <w:rPr>
                <w:color w:val="000000"/>
              </w:rPr>
              <w:t>.</w:t>
            </w:r>
          </w:p>
        </w:tc>
      </w:tr>
    </w:tbl>
    <w:p w14:paraId="217A7BC8" w14:textId="77777777" w:rsidR="006168B0" w:rsidRPr="00E66809" w:rsidRDefault="006168B0" w:rsidP="00FF7AA4"/>
    <w:p w14:paraId="72EB6638" w14:textId="77777777" w:rsidR="006168B0" w:rsidRPr="00E66809" w:rsidRDefault="006168B0" w:rsidP="006168B0">
      <w:pPr>
        <w:keepNext/>
        <w:keepLines/>
        <w:pageBreakBefore/>
        <w:spacing w:after="0" w:line="276" w:lineRule="auto"/>
        <w:outlineLvl w:val="2"/>
        <w:rPr>
          <w:rFonts w:eastAsia="Arial" w:cs="Calibri"/>
          <w:b/>
        </w:rPr>
      </w:pPr>
      <w:r w:rsidRPr="00E66809">
        <w:rPr>
          <w:rFonts w:eastAsia="Arial" w:cs="Calibri"/>
          <w:b/>
        </w:rPr>
        <w:t>Part 3: Questions Relating to the Conditions of Participation</w:t>
      </w:r>
    </w:p>
    <w:p w14:paraId="4BBD65E2" w14:textId="77777777" w:rsidR="006168B0" w:rsidRPr="00E66809" w:rsidRDefault="006168B0" w:rsidP="006168B0">
      <w:pPr>
        <w:spacing w:after="0" w:line="276" w:lineRule="auto"/>
        <w:rPr>
          <w:rFonts w:eastAsia="Arial" w:cs="Calibri"/>
          <w:b/>
          <w:u w:val="single"/>
        </w:rPr>
      </w:pPr>
    </w:p>
    <w:p w14:paraId="3BFA6C8A" w14:textId="77777777" w:rsidR="006168B0" w:rsidRPr="00E66809" w:rsidRDefault="006168B0" w:rsidP="006168B0">
      <w:pPr>
        <w:spacing w:after="0" w:line="276" w:lineRule="auto"/>
        <w:rPr>
          <w:rFonts w:eastAsia="Arial" w:cs="Calibri"/>
          <w:b/>
          <w:u w:val="single"/>
        </w:rPr>
      </w:pPr>
      <w:r w:rsidRPr="00E66809">
        <w:rPr>
          <w:rFonts w:eastAsia="Arial" w:cs="Calibri"/>
          <w:b/>
          <w:u w:val="single"/>
        </w:rPr>
        <w:t>Part 3A – Standard Questions</w:t>
      </w:r>
    </w:p>
    <w:p w14:paraId="1122B105" w14:textId="77777777" w:rsidR="006168B0" w:rsidRPr="00E66809" w:rsidRDefault="006168B0" w:rsidP="006168B0">
      <w:pPr>
        <w:spacing w:after="0" w:line="276" w:lineRule="auto"/>
        <w:rPr>
          <w:rFonts w:eastAsia="Arial" w:cs="Calibri"/>
          <w:b/>
          <w:u w:val="single"/>
        </w:rPr>
      </w:pPr>
    </w:p>
    <w:p w14:paraId="7AEDB9D8" w14:textId="77777777" w:rsidR="006168B0" w:rsidRPr="00E66809" w:rsidRDefault="006168B0" w:rsidP="006168B0">
      <w:pPr>
        <w:spacing w:after="0" w:line="276" w:lineRule="auto"/>
        <w:rPr>
          <w:rFonts w:eastAsia="Arial" w:cs="Calibri"/>
          <w:b/>
        </w:rPr>
      </w:pPr>
      <w:r w:rsidRPr="00E66809">
        <w:rPr>
          <w:rFonts w:eastAsia="Arial" w:cs="Calibri"/>
          <w:b/>
        </w:rPr>
        <w:t>Financial Capacity</w:t>
      </w:r>
    </w:p>
    <w:p w14:paraId="0CFF9A0B" w14:textId="77777777" w:rsidR="006168B0" w:rsidRPr="00E66809" w:rsidRDefault="006168B0" w:rsidP="00FF7A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92"/>
        <w:gridCol w:w="1513"/>
        <w:gridCol w:w="6211"/>
      </w:tblGrid>
      <w:tr w:rsidR="006168B0" w:rsidRPr="001439F7" w14:paraId="304D947C" w14:textId="77777777" w:rsidTr="00874715">
        <w:trPr>
          <w:cantSplit/>
          <w:trHeight w:val="510"/>
        </w:trPr>
        <w:tc>
          <w:tcPr>
            <w:tcW w:w="565" w:type="pct"/>
            <w:tcBorders>
              <w:top w:val="single" w:sz="4" w:space="0" w:color="auto"/>
              <w:left w:val="single" w:sz="4" w:space="0" w:color="auto"/>
              <w:bottom w:val="single" w:sz="4" w:space="0" w:color="auto"/>
              <w:right w:val="single" w:sz="4" w:space="0" w:color="EAEAEA"/>
            </w:tcBorders>
            <w:shd w:val="clear" w:color="auto" w:fill="009999"/>
            <w:vAlign w:val="center"/>
          </w:tcPr>
          <w:p w14:paraId="44C5542A"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653" w:type="pct"/>
            <w:tcBorders>
              <w:top w:val="single" w:sz="4" w:space="0" w:color="auto"/>
              <w:left w:val="single" w:sz="4" w:space="0" w:color="auto"/>
              <w:bottom w:val="single" w:sz="4" w:space="0" w:color="auto"/>
              <w:right w:val="single" w:sz="4" w:space="0" w:color="EAEAEA"/>
            </w:tcBorders>
            <w:shd w:val="clear" w:color="auto" w:fill="009999"/>
            <w:vAlign w:val="center"/>
          </w:tcPr>
          <w:p w14:paraId="613AA3A0"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3782" w:type="pct"/>
            <w:tcBorders>
              <w:top w:val="single" w:sz="4" w:space="0" w:color="auto"/>
              <w:left w:val="single" w:sz="4" w:space="0" w:color="auto"/>
              <w:bottom w:val="single" w:sz="4" w:space="0" w:color="auto"/>
              <w:right w:val="single" w:sz="4" w:space="0" w:color="auto"/>
            </w:tcBorders>
            <w:shd w:val="clear" w:color="auto" w:fill="009999"/>
            <w:vAlign w:val="center"/>
          </w:tcPr>
          <w:p w14:paraId="21A41F32" w14:textId="77777777" w:rsidR="006168B0" w:rsidRPr="00E66809" w:rsidRDefault="006168B0">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6168B0" w:rsidRPr="00BF1FD6" w14:paraId="2E118FF7" w14:textId="77777777" w:rsidTr="00874715">
        <w:trPr>
          <w:trHeight w:val="510"/>
        </w:trPr>
        <w:tc>
          <w:tcPr>
            <w:tcW w:w="565" w:type="pct"/>
            <w:shd w:val="clear" w:color="auto" w:fill="FFFFFF" w:themeFill="background1"/>
          </w:tcPr>
          <w:p w14:paraId="2B46324A" w14:textId="77777777" w:rsidR="006168B0" w:rsidRPr="00E66809" w:rsidRDefault="006168B0">
            <w:pPr>
              <w:spacing w:after="0" w:line="276" w:lineRule="auto"/>
              <w:jc w:val="both"/>
              <w:rPr>
                <w:rFonts w:eastAsia="Times New Roman" w:cs="Calibri"/>
              </w:rPr>
            </w:pPr>
            <w:r w:rsidRPr="00E66809">
              <w:rPr>
                <w:rFonts w:eastAsia="Times New Roman" w:cs="Calibri"/>
              </w:rPr>
              <w:t>3.1</w:t>
            </w:r>
          </w:p>
        </w:tc>
        <w:tc>
          <w:tcPr>
            <w:tcW w:w="653" w:type="pct"/>
            <w:shd w:val="clear" w:color="auto" w:fill="FFFFFF" w:themeFill="background1"/>
          </w:tcPr>
          <w:p w14:paraId="3F04012C"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782" w:type="pct"/>
            <w:shd w:val="clear" w:color="auto" w:fill="FFFFFF" w:themeFill="background1"/>
          </w:tcPr>
          <w:p w14:paraId="17ADC8FB"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0104106A" w14:textId="55D96C1E" w:rsidR="006168B0" w:rsidRDefault="006168B0">
            <w:pPr>
              <w:spacing w:after="0" w:line="276" w:lineRule="auto"/>
              <w:jc w:val="both"/>
              <w:rPr>
                <w:rFonts w:eastAsia="Times New Roman" w:cs="Calibri"/>
              </w:rPr>
            </w:pPr>
            <w:r w:rsidRPr="0009599E">
              <w:rPr>
                <w:rFonts w:eastAsia="Times New Roman" w:cs="Calibri"/>
              </w:rPr>
              <w:t>All required information has been provided</w:t>
            </w:r>
            <w:r>
              <w:rPr>
                <w:rFonts w:eastAsia="Times New Roman" w:cs="Calibri"/>
              </w:rPr>
              <w:t xml:space="preserve"> </w:t>
            </w:r>
            <w:r w:rsidRPr="0009599E">
              <w:rPr>
                <w:rFonts w:eastAsia="Times New Roman" w:cs="Calibri"/>
              </w:rPr>
              <w:t>and</w:t>
            </w:r>
            <w:r>
              <w:rPr>
                <w:rFonts w:eastAsia="Times New Roman" w:cs="Calibri"/>
              </w:rPr>
              <w:t xml:space="preserve"> none of the financial metrics, as described in Annex </w:t>
            </w:r>
            <w:r w:rsidR="00115C1A">
              <w:rPr>
                <w:rFonts w:eastAsia="Times New Roman" w:cs="Calibri"/>
              </w:rPr>
              <w:t>6</w:t>
            </w:r>
            <w:r>
              <w:rPr>
                <w:rFonts w:eastAsia="Times New Roman" w:cs="Calibri"/>
              </w:rPr>
              <w:t xml:space="preserve">, are deemed to be high risk. Therefore, </w:t>
            </w:r>
            <w:r w:rsidRPr="0009599E">
              <w:rPr>
                <w:rFonts w:eastAsia="Times New Roman" w:cs="Calibri"/>
              </w:rPr>
              <w:t xml:space="preserve">HMRC </w:t>
            </w:r>
            <w:r>
              <w:rPr>
                <w:rFonts w:eastAsia="Times New Roman" w:cs="Calibri"/>
              </w:rPr>
              <w:t xml:space="preserve">is </w:t>
            </w:r>
            <w:r w:rsidRPr="0009599E">
              <w:rPr>
                <w:rFonts w:eastAsia="Times New Roman" w:cs="Calibri"/>
              </w:rPr>
              <w:t>satisfied that the Supplier</w:t>
            </w:r>
            <w:r>
              <w:rPr>
                <w:rFonts w:eastAsia="Times New Roman" w:cs="Calibri"/>
              </w:rPr>
              <w:t xml:space="preserve">, </w:t>
            </w:r>
            <w:r>
              <w:rPr>
                <w:rFonts w:cs="Arial"/>
              </w:rPr>
              <w:t>and if applicable, organisations in the Supplier’s supply chain and / or consortia</w:t>
            </w:r>
            <w:r w:rsidRPr="0009599E">
              <w:rPr>
                <w:rFonts w:eastAsia="Times New Roman" w:cs="Calibri"/>
              </w:rPr>
              <w:t xml:space="preserve"> demonstrate adequate financial </w:t>
            </w:r>
            <w:r>
              <w:rPr>
                <w:rFonts w:eastAsia="Times New Roman" w:cs="Calibri"/>
              </w:rPr>
              <w:t>capacity</w:t>
            </w:r>
            <w:r w:rsidRPr="0009599E">
              <w:rPr>
                <w:rFonts w:eastAsia="Times New Roman" w:cs="Calibri"/>
              </w:rPr>
              <w:t xml:space="preserve"> to deliver the contract</w:t>
            </w:r>
            <w:r>
              <w:rPr>
                <w:rFonts w:eastAsia="Times New Roman" w:cs="Calibri"/>
              </w:rPr>
              <w:t xml:space="preserve">. Where relevant, any supporting information requested by HMRC is provided in the timeframes requested. </w:t>
            </w:r>
          </w:p>
          <w:p w14:paraId="13F67413" w14:textId="77777777" w:rsidR="006168B0" w:rsidRPr="00851772" w:rsidRDefault="006168B0">
            <w:pPr>
              <w:spacing w:after="0" w:line="276" w:lineRule="auto"/>
              <w:jc w:val="both"/>
              <w:rPr>
                <w:rFonts w:eastAsia="Times New Roman" w:cs="Calibri"/>
                <w:b/>
              </w:rPr>
            </w:pPr>
            <w:r w:rsidRPr="00851772">
              <w:rPr>
                <w:rFonts w:eastAsia="Times New Roman" w:cs="Calibri"/>
                <w:b/>
                <w:bCs/>
              </w:rPr>
              <w:t>OR</w:t>
            </w:r>
          </w:p>
          <w:p w14:paraId="70CFADE7" w14:textId="1115A693" w:rsidR="006168B0" w:rsidRDefault="006168B0">
            <w:pPr>
              <w:spacing w:after="0" w:line="276" w:lineRule="auto"/>
              <w:jc w:val="both"/>
              <w:rPr>
                <w:rFonts w:eastAsia="Times New Roman" w:cs="Calibri"/>
              </w:rPr>
            </w:pPr>
            <w:r w:rsidRPr="0009599E">
              <w:rPr>
                <w:rFonts w:eastAsia="Times New Roman" w:cs="Calibri"/>
              </w:rPr>
              <w:t xml:space="preserve">All required information has been provided </w:t>
            </w:r>
            <w:r>
              <w:rPr>
                <w:rFonts w:eastAsia="Times New Roman" w:cs="Calibri"/>
              </w:rPr>
              <w:t xml:space="preserve">but one or more of the financial metrics, as described in Annex </w:t>
            </w:r>
            <w:r w:rsidR="00115C1A">
              <w:rPr>
                <w:rFonts w:eastAsia="Times New Roman" w:cs="Calibri"/>
              </w:rPr>
              <w:t>6</w:t>
            </w:r>
            <w:r>
              <w:rPr>
                <w:rFonts w:eastAsia="Times New Roman" w:cs="Calibri"/>
              </w:rPr>
              <w:t xml:space="preserve">, are deemed to be high risk. Within the timeframes requested by HMRC, the Supplier </w:t>
            </w:r>
            <w:proofErr w:type="gramStart"/>
            <w:r>
              <w:rPr>
                <w:rFonts w:eastAsia="Times New Roman" w:cs="Calibri"/>
              </w:rPr>
              <w:t>is able to</w:t>
            </w:r>
            <w:proofErr w:type="gramEnd"/>
            <w:r>
              <w:rPr>
                <w:rFonts w:eastAsia="Times New Roman" w:cs="Calibri"/>
              </w:rPr>
              <w:t xml:space="preserve"> provide the appropriate assurances that the Supplier and/or</w:t>
            </w:r>
            <w:r w:rsidRPr="0009599E">
              <w:rPr>
                <w:rFonts w:eastAsia="Times New Roman" w:cs="Calibri"/>
              </w:rPr>
              <w:t xml:space="preserve"> </w:t>
            </w:r>
            <w:r>
              <w:rPr>
                <w:rFonts w:eastAsia="Times New Roman" w:cs="Calibri"/>
              </w:rPr>
              <w:t xml:space="preserve">organisations in their supply chain and/or consortia demonstrate adequate financial capacity </w:t>
            </w:r>
            <w:r w:rsidRPr="0009599E">
              <w:rPr>
                <w:rFonts w:eastAsia="Times New Roman" w:cs="Calibri"/>
              </w:rPr>
              <w:t xml:space="preserve">to </w:t>
            </w:r>
            <w:r>
              <w:rPr>
                <w:rFonts w:eastAsia="Times New Roman" w:cs="Calibri"/>
              </w:rPr>
              <w:t>deliver the contract.</w:t>
            </w:r>
          </w:p>
          <w:p w14:paraId="6A4F7AAD" w14:textId="77777777" w:rsidR="006168B0" w:rsidRPr="00E66809" w:rsidRDefault="006168B0">
            <w:pPr>
              <w:spacing w:after="0" w:line="276" w:lineRule="auto"/>
              <w:jc w:val="both"/>
              <w:rPr>
                <w:rFonts w:eastAsia="Times New Roman" w:cs="Calibri"/>
              </w:rPr>
            </w:pPr>
          </w:p>
          <w:p w14:paraId="06223BE8"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6A60ECD3" w14:textId="77777777" w:rsidR="006168B0" w:rsidRPr="00A824C6" w:rsidRDefault="006168B0">
            <w:pPr>
              <w:spacing w:after="0" w:line="276" w:lineRule="auto"/>
              <w:jc w:val="both"/>
              <w:rPr>
                <w:rFonts w:eastAsia="Times New Roman" w:cs="Calibri"/>
                <w:bCs/>
              </w:rPr>
            </w:pPr>
            <w:r w:rsidRPr="001B32DF">
              <w:rPr>
                <w:rFonts w:eastAsia="Times New Roman" w:cs="Calibri"/>
              </w:rPr>
              <w:t>Response is incomplete and any missing information is not provided in the timeframes requested by HMRC</w:t>
            </w:r>
            <w:r>
              <w:rPr>
                <w:rFonts w:eastAsia="Times New Roman" w:cs="Calibri"/>
              </w:rPr>
              <w:t>.</w:t>
            </w:r>
          </w:p>
          <w:p w14:paraId="236A47AD" w14:textId="77777777" w:rsidR="006168B0" w:rsidRPr="00E66809" w:rsidRDefault="006168B0">
            <w:pPr>
              <w:spacing w:after="0" w:line="276" w:lineRule="auto"/>
              <w:jc w:val="both"/>
              <w:rPr>
                <w:rFonts w:eastAsia="Times New Roman" w:cs="Calibri"/>
                <w:b/>
                <w:bCs/>
              </w:rPr>
            </w:pPr>
            <w:r w:rsidRPr="00E66809">
              <w:rPr>
                <w:rFonts w:eastAsia="Times New Roman" w:cs="Calibri"/>
                <w:b/>
                <w:bCs/>
              </w:rPr>
              <w:t>OR</w:t>
            </w:r>
          </w:p>
          <w:p w14:paraId="3F4C7657" w14:textId="06A4098E" w:rsidR="006168B0" w:rsidRDefault="006168B0">
            <w:pPr>
              <w:spacing w:after="0" w:line="276" w:lineRule="auto"/>
              <w:jc w:val="both"/>
              <w:rPr>
                <w:rFonts w:eastAsia="Times New Roman" w:cs="Calibri"/>
              </w:rPr>
            </w:pPr>
            <w:r w:rsidRPr="006D6C24">
              <w:rPr>
                <w:rFonts w:cs="Arial"/>
              </w:rPr>
              <w:t>Following HMRC's review of the information provided by the Supplier, one or more of the financial metrics, as described in Annex</w:t>
            </w:r>
            <w:r>
              <w:rPr>
                <w:rFonts w:cs="Arial"/>
              </w:rPr>
              <w:t xml:space="preserve"> </w:t>
            </w:r>
            <w:r w:rsidR="00115C1A">
              <w:rPr>
                <w:rFonts w:cs="Arial"/>
              </w:rPr>
              <w:t>6</w:t>
            </w:r>
            <w:r w:rsidRPr="006D6C24">
              <w:rPr>
                <w:rFonts w:cs="Arial"/>
              </w:rPr>
              <w:t>, is deemed to be high risk and the Supplier is unable to provide</w:t>
            </w:r>
            <w:r>
              <w:rPr>
                <w:rFonts w:cs="Arial"/>
              </w:rPr>
              <w:t xml:space="preserve"> </w:t>
            </w:r>
            <w:r>
              <w:rPr>
                <w:rFonts w:eastAsia="Times New Roman" w:cs="Calibri"/>
              </w:rPr>
              <w:t>HMRC with the appropriate assurances that the Supplier and/or</w:t>
            </w:r>
            <w:r w:rsidRPr="0009599E">
              <w:rPr>
                <w:rFonts w:eastAsia="Times New Roman" w:cs="Calibri"/>
              </w:rPr>
              <w:t xml:space="preserve"> </w:t>
            </w:r>
            <w:r>
              <w:rPr>
                <w:rFonts w:eastAsia="Times New Roman" w:cs="Calibri"/>
              </w:rPr>
              <w:t>organisations in their supply chain and/or consortia demonstrate adequate financial capacity to deliver the contract.</w:t>
            </w:r>
          </w:p>
          <w:p w14:paraId="7364ADCF" w14:textId="77777777" w:rsidR="006168B0" w:rsidRDefault="006168B0">
            <w:pPr>
              <w:widowControl w:val="0"/>
              <w:overflowPunct w:val="0"/>
              <w:autoSpaceDE w:val="0"/>
              <w:autoSpaceDN w:val="0"/>
              <w:adjustRightInd w:val="0"/>
              <w:jc w:val="both"/>
              <w:rPr>
                <w:rFonts w:cs="Arial"/>
              </w:rPr>
            </w:pPr>
          </w:p>
          <w:p w14:paraId="786CE5F7" w14:textId="77777777" w:rsidR="006168B0" w:rsidRDefault="006168B0">
            <w:pPr>
              <w:spacing w:after="0" w:line="276" w:lineRule="auto"/>
              <w:jc w:val="both"/>
            </w:pPr>
            <w:r>
              <w:rPr>
                <w:rFonts w:cs="Arial"/>
              </w:rPr>
              <w:t xml:space="preserve">Note: </w:t>
            </w:r>
            <w:proofErr w:type="gramStart"/>
            <w:r>
              <w:t>In the event that</w:t>
            </w:r>
            <w:proofErr w:type="gramEnd"/>
            <w:r>
              <w:t xml:space="preserve"> HMRC deems it necessary to seek additional assurances from the Supplier with regards to its financial capacity (including any supply chain and/consortia members), these assurances may include a request to provide some form of financial guarantee/bond.</w:t>
            </w:r>
          </w:p>
          <w:p w14:paraId="04BF3A08" w14:textId="77777777" w:rsidR="006168B0" w:rsidRDefault="006168B0">
            <w:pPr>
              <w:spacing w:after="0" w:line="276" w:lineRule="auto"/>
              <w:jc w:val="both"/>
              <w:rPr>
                <w:rFonts w:cs="Arial"/>
              </w:rPr>
            </w:pPr>
          </w:p>
          <w:p w14:paraId="3721FDC7" w14:textId="77777777" w:rsidR="006168B0" w:rsidRPr="006B7E4C" w:rsidRDefault="006168B0">
            <w:pPr>
              <w:spacing w:after="0" w:line="276" w:lineRule="auto"/>
              <w:jc w:val="both"/>
              <w:rPr>
                <w:rFonts w:eastAsia="Times New Roman" w:cs="Calibri"/>
                <w:b/>
                <w:u w:val="single"/>
              </w:rPr>
            </w:pPr>
            <w:r w:rsidRPr="00E66809">
              <w:rPr>
                <w:rFonts w:cs="Arial"/>
              </w:rPr>
              <w:t xml:space="preserve">HMRC reserves the right to conduct further financial due diligence checks on </w:t>
            </w:r>
            <w:r>
              <w:rPr>
                <w:rFonts w:cs="Arial"/>
              </w:rPr>
              <w:t>Supplier</w:t>
            </w:r>
            <w:r w:rsidRPr="00E66809">
              <w:rPr>
                <w:rFonts w:cs="Arial"/>
              </w:rPr>
              <w:t xml:space="preserve">s </w:t>
            </w:r>
            <w:r>
              <w:rPr>
                <w:rFonts w:cs="Arial"/>
              </w:rPr>
              <w:t xml:space="preserve">and organisations in their supply chain and/or consortia </w:t>
            </w:r>
            <w:r w:rsidRPr="00E66809">
              <w:rPr>
                <w:rFonts w:cs="Arial"/>
              </w:rPr>
              <w:t>at any point during the procurement process</w:t>
            </w:r>
            <w:r>
              <w:rPr>
                <w:rFonts w:cs="Arial"/>
              </w:rPr>
              <w:t>.</w:t>
            </w:r>
            <w:r w:rsidRPr="00E66809">
              <w:rPr>
                <w:rFonts w:cs="Arial"/>
              </w:rPr>
              <w:t xml:space="preserve"> This due diligence may include analysis of the documents provided in response to this question, analysis of any other financial information deemed relevant by HMRC and/or credit checks. </w:t>
            </w:r>
            <w:r>
              <w:rPr>
                <w:rFonts w:cs="Arial"/>
              </w:rPr>
              <w:t>Supplier</w:t>
            </w:r>
            <w:r w:rsidRPr="00E66809">
              <w:rPr>
                <w:rFonts w:cs="Arial"/>
              </w:rPr>
              <w:t xml:space="preserve">s </w:t>
            </w:r>
            <w:r>
              <w:rPr>
                <w:rFonts w:cs="Arial"/>
              </w:rPr>
              <w:t xml:space="preserve">and organisations in their supply chain and/or consortia </w:t>
            </w:r>
            <w:r w:rsidRPr="00E66809">
              <w:rPr>
                <w:rFonts w:cs="Arial"/>
              </w:rPr>
              <w:t xml:space="preserve">must provide any documentation requested </w:t>
            </w:r>
            <w:proofErr w:type="gramStart"/>
            <w:r w:rsidRPr="00E66809">
              <w:rPr>
                <w:rFonts w:cs="Arial"/>
              </w:rPr>
              <w:t>in order to</w:t>
            </w:r>
            <w:proofErr w:type="gramEnd"/>
            <w:r w:rsidRPr="00E66809">
              <w:rPr>
                <w:rFonts w:cs="Arial"/>
              </w:rPr>
              <w:t xml:space="preserve"> assist with the due diligence process. It will be at HMRC’s discretion to determine whether the </w:t>
            </w:r>
            <w:r>
              <w:rPr>
                <w:rFonts w:cs="Arial"/>
              </w:rPr>
              <w:t>Supplier</w:t>
            </w:r>
            <w:r w:rsidRPr="00E66809">
              <w:rPr>
                <w:rFonts w:cs="Arial"/>
              </w:rPr>
              <w:t xml:space="preserve"> demonstrates suitable financial standing to deliver the contract based on the due diligence checks undertaken.</w:t>
            </w:r>
          </w:p>
        </w:tc>
      </w:tr>
      <w:tr w:rsidR="006168B0" w:rsidRPr="00BF1FD6" w14:paraId="3F2CE4D5" w14:textId="77777777" w:rsidTr="00874715">
        <w:trPr>
          <w:trHeight w:val="510"/>
        </w:trPr>
        <w:tc>
          <w:tcPr>
            <w:tcW w:w="565" w:type="pct"/>
            <w:shd w:val="clear" w:color="auto" w:fill="FFFFFF" w:themeFill="background1"/>
          </w:tcPr>
          <w:p w14:paraId="72CCB3F2" w14:textId="77777777" w:rsidR="006168B0" w:rsidRPr="00E66809" w:rsidRDefault="006168B0">
            <w:pPr>
              <w:spacing w:after="0" w:line="276" w:lineRule="auto"/>
              <w:jc w:val="both"/>
              <w:rPr>
                <w:rFonts w:eastAsia="Times New Roman" w:cs="Calibri"/>
              </w:rPr>
            </w:pPr>
            <w:r w:rsidRPr="00E66809">
              <w:rPr>
                <w:rFonts w:eastAsia="Times New Roman" w:cs="Calibri"/>
              </w:rPr>
              <w:t>3.2</w:t>
            </w:r>
          </w:p>
        </w:tc>
        <w:tc>
          <w:tcPr>
            <w:tcW w:w="653" w:type="pct"/>
            <w:shd w:val="clear" w:color="auto" w:fill="FFFFFF" w:themeFill="background1"/>
          </w:tcPr>
          <w:p w14:paraId="3220341D"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782" w:type="pct"/>
            <w:shd w:val="clear" w:color="auto" w:fill="FFFFFF" w:themeFill="background1"/>
          </w:tcPr>
          <w:p w14:paraId="187C1747"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6B95B0FE"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w:t>
            </w:r>
            <w:r>
              <w:rPr>
                <w:rFonts w:eastAsia="Times New Roman" w:cs="Calibri"/>
              </w:rPr>
              <w:t>N</w:t>
            </w:r>
            <w:r w:rsidRPr="00E66809">
              <w:rPr>
                <w:rFonts w:eastAsia="Times New Roman" w:cs="Calibri"/>
              </w:rPr>
              <w:t>o’</w:t>
            </w:r>
            <w:r>
              <w:rPr>
                <w:rFonts w:eastAsia="Times New Roman" w:cs="Calibri"/>
              </w:rPr>
              <w:t>.</w:t>
            </w:r>
          </w:p>
          <w:p w14:paraId="2485672B" w14:textId="77777777" w:rsidR="00B47502" w:rsidRPr="00E66809" w:rsidRDefault="00B47502">
            <w:pPr>
              <w:spacing w:after="0" w:line="276" w:lineRule="auto"/>
              <w:jc w:val="both"/>
              <w:rPr>
                <w:rFonts w:eastAsia="Times New Roman" w:cs="Calibri"/>
              </w:rPr>
            </w:pPr>
          </w:p>
          <w:p w14:paraId="68B3F4EF" w14:textId="77777777" w:rsidR="006168B0" w:rsidRPr="001E53D0" w:rsidRDefault="006168B0">
            <w:pPr>
              <w:spacing w:after="0" w:line="276" w:lineRule="auto"/>
              <w:jc w:val="both"/>
              <w:rPr>
                <w:rFonts w:eastAsia="Times New Roman" w:cs="Calibri"/>
                <w:b/>
              </w:rPr>
            </w:pPr>
            <w:r w:rsidRPr="001E53D0">
              <w:rPr>
                <w:rFonts w:eastAsia="Times New Roman" w:cs="Calibri"/>
                <w:b/>
              </w:rPr>
              <w:t>OR</w:t>
            </w:r>
          </w:p>
          <w:p w14:paraId="54DE9135" w14:textId="77777777" w:rsidR="00B47502" w:rsidRPr="00E66809" w:rsidRDefault="00B47502">
            <w:pPr>
              <w:spacing w:after="0" w:line="276" w:lineRule="auto"/>
              <w:jc w:val="both"/>
              <w:rPr>
                <w:rFonts w:eastAsia="Times New Roman" w:cs="Calibri"/>
              </w:rPr>
            </w:pPr>
          </w:p>
          <w:p w14:paraId="5AC86DFB" w14:textId="77777777" w:rsidR="006168B0" w:rsidRPr="00E66809" w:rsidRDefault="006168B0">
            <w:pPr>
              <w:spacing w:after="0" w:line="276" w:lineRule="auto"/>
              <w:jc w:val="both"/>
              <w:rPr>
                <w:rFonts w:eastAsia="Times New Roman" w:cs="Calibri"/>
              </w:rPr>
            </w:pPr>
            <w:r w:rsidRPr="00E66809">
              <w:rPr>
                <w:rFonts w:eastAsia="Times New Roman" w:cs="Calibri"/>
              </w:rPr>
              <w:t xml:space="preserve">All information with respect to the </w:t>
            </w:r>
            <w:r>
              <w:rPr>
                <w:rFonts w:eastAsia="Times New Roman" w:cs="Calibri"/>
              </w:rPr>
              <w:t>Supplier</w:t>
            </w:r>
            <w:r w:rsidRPr="00E66809">
              <w:rPr>
                <w:rFonts w:eastAsia="Times New Roman" w:cs="Calibri"/>
              </w:rPr>
              <w:t xml:space="preserve">’s guarantor is provided </w:t>
            </w:r>
            <w:r>
              <w:rPr>
                <w:rFonts w:eastAsia="Times New Roman" w:cs="Calibri"/>
              </w:rPr>
              <w:t xml:space="preserve">and </w:t>
            </w:r>
            <w:r w:rsidRPr="00E66809">
              <w:rPr>
                <w:rFonts w:eastAsia="Times New Roman" w:cs="Calibri"/>
              </w:rPr>
              <w:t>HMRC</w:t>
            </w:r>
            <w:r>
              <w:rPr>
                <w:rFonts w:eastAsia="Times New Roman" w:cs="Calibri"/>
              </w:rPr>
              <w:t xml:space="preserve"> is</w:t>
            </w:r>
            <w:r w:rsidRPr="00E66809">
              <w:rPr>
                <w:rFonts w:eastAsia="Times New Roman" w:cs="Calibri"/>
              </w:rPr>
              <w:t xml:space="preserve"> satisfied that the guarantor demonstrates suitable financial standing to </w:t>
            </w:r>
            <w:r>
              <w:rPr>
                <w:rFonts w:eastAsia="Times New Roman" w:cs="Calibri"/>
              </w:rPr>
              <w:t>undertake the role of guarantor</w:t>
            </w:r>
            <w:r w:rsidRPr="00E66809">
              <w:rPr>
                <w:rFonts w:eastAsia="Times New Roman" w:cs="Calibri"/>
              </w:rPr>
              <w:t xml:space="preserve">. </w:t>
            </w:r>
          </w:p>
          <w:p w14:paraId="56302B5F" w14:textId="77777777" w:rsidR="006168B0" w:rsidRPr="00E66809" w:rsidRDefault="006168B0">
            <w:pPr>
              <w:spacing w:after="0" w:line="276" w:lineRule="auto"/>
              <w:jc w:val="both"/>
              <w:rPr>
                <w:rFonts w:eastAsia="Times New Roman" w:cs="Calibri"/>
              </w:rPr>
            </w:pPr>
          </w:p>
          <w:p w14:paraId="10FCB8A7"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p>
          <w:p w14:paraId="4A4489AD" w14:textId="77777777" w:rsidR="006168B0" w:rsidRPr="00E66809" w:rsidRDefault="006168B0">
            <w:pPr>
              <w:spacing w:after="0" w:line="276" w:lineRule="auto"/>
              <w:jc w:val="both"/>
              <w:rPr>
                <w:rFonts w:eastAsia="Times New Roman" w:cs="Calibri"/>
              </w:rPr>
            </w:pPr>
            <w:r w:rsidRPr="00D0467A">
              <w:rPr>
                <w:rFonts w:eastAsia="Times New Roman" w:cs="Calibri"/>
              </w:rPr>
              <w:t>Response is incomplete and any missing information is not provided in the timeframes requested by HMRC</w:t>
            </w:r>
            <w:r w:rsidRPr="00E66809">
              <w:rPr>
                <w:rFonts w:eastAsia="Times New Roman" w:cs="Calibri"/>
              </w:rPr>
              <w:t>.</w:t>
            </w:r>
          </w:p>
          <w:p w14:paraId="426295BA" w14:textId="77777777" w:rsidR="006168B0" w:rsidRPr="00E66809" w:rsidRDefault="006168B0">
            <w:pPr>
              <w:spacing w:after="0" w:line="276" w:lineRule="auto"/>
              <w:jc w:val="both"/>
              <w:rPr>
                <w:rFonts w:eastAsia="Times New Roman" w:cs="Calibri"/>
                <w:b/>
                <w:bCs/>
              </w:rPr>
            </w:pPr>
            <w:r w:rsidRPr="00E66809">
              <w:rPr>
                <w:rFonts w:eastAsia="Times New Roman" w:cs="Calibri"/>
                <w:b/>
                <w:bCs/>
              </w:rPr>
              <w:t>OR</w:t>
            </w:r>
          </w:p>
          <w:p w14:paraId="5B16DF47" w14:textId="77777777" w:rsidR="006168B0" w:rsidRPr="00E66809" w:rsidRDefault="006168B0" w:rsidP="0085565B">
            <w:pPr>
              <w:pStyle w:val="ListParagraph"/>
              <w:widowControl w:val="0"/>
              <w:numPr>
                <w:ilvl w:val="0"/>
                <w:numId w:val="60"/>
              </w:numPr>
              <w:tabs>
                <w:tab w:val="left" w:pos="0"/>
              </w:tabs>
              <w:overflowPunct w:val="0"/>
              <w:autoSpaceDE w:val="0"/>
              <w:autoSpaceDN w:val="0"/>
              <w:adjustRightInd w:val="0"/>
              <w:jc w:val="both"/>
              <w:rPr>
                <w:rFonts w:cs="Arial"/>
              </w:rPr>
            </w:pPr>
            <w:r w:rsidRPr="00E66809">
              <w:rPr>
                <w:rFonts w:cs="Arial"/>
              </w:rPr>
              <w:t>Following review of the information provided and any further due diligence undertaken, HMRC deems the due diligence checks fail to demonstrate a suitable level of financial standing to deliver the contract; and/or</w:t>
            </w:r>
          </w:p>
          <w:p w14:paraId="1780976A" w14:textId="77777777" w:rsidR="006168B0" w:rsidRPr="00E66809" w:rsidRDefault="006168B0" w:rsidP="0085565B">
            <w:pPr>
              <w:pStyle w:val="ListParagraph"/>
              <w:widowControl w:val="0"/>
              <w:numPr>
                <w:ilvl w:val="0"/>
                <w:numId w:val="60"/>
              </w:numPr>
              <w:overflowPunct w:val="0"/>
              <w:autoSpaceDE w:val="0"/>
              <w:autoSpaceDN w:val="0"/>
              <w:adjustRightInd w:val="0"/>
              <w:jc w:val="both"/>
              <w:rPr>
                <w:rFonts w:cs="Arial"/>
              </w:rPr>
            </w:pPr>
            <w:r w:rsidRPr="00E66809">
              <w:rPr>
                <w:rFonts w:cs="Arial"/>
              </w:rPr>
              <w:t xml:space="preserve">the </w:t>
            </w:r>
            <w:r>
              <w:rPr>
                <w:rFonts w:cs="Arial"/>
              </w:rPr>
              <w:t>Supplier</w:t>
            </w:r>
            <w:r w:rsidRPr="00E66809">
              <w:rPr>
                <w:rFonts w:cs="Arial"/>
              </w:rPr>
              <w:t xml:space="preserve"> fails to provide any of the information requested to undertake such checks, without a reasonable explanation as to why the information is unavailable.</w:t>
            </w:r>
          </w:p>
          <w:p w14:paraId="3B3D7135" w14:textId="77777777" w:rsidR="006168B0" w:rsidRPr="006B7E4C" w:rsidRDefault="006168B0">
            <w:pPr>
              <w:spacing w:after="0" w:line="276" w:lineRule="auto"/>
              <w:jc w:val="both"/>
              <w:rPr>
                <w:rFonts w:eastAsia="Times New Roman" w:cs="Calibri"/>
                <w:b/>
                <w:u w:val="single"/>
              </w:rPr>
            </w:pPr>
            <w:r w:rsidRPr="00E66809">
              <w:rPr>
                <w:rFonts w:cs="Arial"/>
              </w:rPr>
              <w:t xml:space="preserve">HMRC reserves the right to conduct further financial due diligence checks on </w:t>
            </w:r>
            <w:r>
              <w:rPr>
                <w:rFonts w:cs="Arial"/>
              </w:rPr>
              <w:t>Supplier</w:t>
            </w:r>
            <w:r w:rsidRPr="00E66809">
              <w:rPr>
                <w:rFonts w:cs="Arial"/>
              </w:rPr>
              <w:t xml:space="preserve">s and their guarantor at any point during the procurement process, </w:t>
            </w:r>
            <w:proofErr w:type="gramStart"/>
            <w:r w:rsidRPr="00E66809">
              <w:rPr>
                <w:rFonts w:cs="Arial"/>
              </w:rPr>
              <w:t>in order to</w:t>
            </w:r>
            <w:proofErr w:type="gramEnd"/>
            <w:r w:rsidRPr="00E66809">
              <w:rPr>
                <w:rFonts w:cs="Arial"/>
              </w:rPr>
              <w:t xml:space="preserve"> assess the financial standing of a </w:t>
            </w:r>
            <w:r>
              <w:rPr>
                <w:rFonts w:cs="Arial"/>
              </w:rPr>
              <w:t>Supplier</w:t>
            </w:r>
            <w:r w:rsidRPr="00E66809">
              <w:rPr>
                <w:rFonts w:cs="Arial"/>
              </w:rPr>
              <w:t xml:space="preserve"> / guarantor. This due diligence may include analysis of the documents provided in response to this question, analysis of any other financial information deemed relevant by HMRC and/or credit checks. </w:t>
            </w:r>
            <w:r>
              <w:rPr>
                <w:rFonts w:cs="Arial"/>
              </w:rPr>
              <w:t>Supplier</w:t>
            </w:r>
            <w:r w:rsidRPr="00E66809">
              <w:rPr>
                <w:rFonts w:cs="Arial"/>
              </w:rPr>
              <w:t xml:space="preserve">s must provide any documentation requested </w:t>
            </w:r>
            <w:proofErr w:type="gramStart"/>
            <w:r w:rsidRPr="00E66809">
              <w:rPr>
                <w:rFonts w:cs="Arial"/>
              </w:rPr>
              <w:t>in order to</w:t>
            </w:r>
            <w:proofErr w:type="gramEnd"/>
            <w:r w:rsidRPr="00E66809">
              <w:rPr>
                <w:rFonts w:cs="Arial"/>
              </w:rPr>
              <w:t xml:space="preserve"> assist with the due diligence process.</w:t>
            </w:r>
            <w:r>
              <w:rPr>
                <w:rFonts w:cs="Arial"/>
              </w:rPr>
              <w:t xml:space="preserve"> </w:t>
            </w:r>
            <w:proofErr w:type="spellStart"/>
            <w:r w:rsidRPr="00E66809">
              <w:rPr>
                <w:rFonts w:cs="Arial"/>
              </w:rPr>
              <w:t>lt</w:t>
            </w:r>
            <w:proofErr w:type="spellEnd"/>
            <w:r w:rsidRPr="00E66809">
              <w:rPr>
                <w:rFonts w:cs="Arial"/>
              </w:rPr>
              <w:t xml:space="preserve"> will be at HMRC’s discretion to determine whether the </w:t>
            </w:r>
            <w:r>
              <w:rPr>
                <w:rFonts w:cs="Arial"/>
              </w:rPr>
              <w:t>Supplier</w:t>
            </w:r>
            <w:r w:rsidRPr="00E66809">
              <w:rPr>
                <w:rFonts w:cs="Arial"/>
              </w:rPr>
              <w:t xml:space="preserve"> and/or guarantor demonstrates suitable financial standing to deliver the contract based on the due diligence checks undertaken.</w:t>
            </w:r>
          </w:p>
        </w:tc>
      </w:tr>
      <w:tr w:rsidR="006168B0" w:rsidRPr="00BF1FD6" w14:paraId="1F6A07AC" w14:textId="77777777" w:rsidTr="00874715">
        <w:trPr>
          <w:trHeight w:val="510"/>
        </w:trPr>
        <w:tc>
          <w:tcPr>
            <w:tcW w:w="565" w:type="pct"/>
            <w:shd w:val="clear" w:color="auto" w:fill="FFFFFF" w:themeFill="background1"/>
          </w:tcPr>
          <w:p w14:paraId="38538C68" w14:textId="77777777" w:rsidR="006168B0" w:rsidRPr="00E66809" w:rsidRDefault="006168B0">
            <w:pPr>
              <w:spacing w:after="0" w:line="276" w:lineRule="auto"/>
              <w:jc w:val="both"/>
              <w:rPr>
                <w:rFonts w:eastAsia="Times New Roman" w:cs="Calibri"/>
              </w:rPr>
            </w:pPr>
            <w:r w:rsidRPr="00E66809">
              <w:rPr>
                <w:rFonts w:eastAsia="Times New Roman" w:cs="Calibri"/>
              </w:rPr>
              <w:t>3.3</w:t>
            </w:r>
          </w:p>
        </w:tc>
        <w:tc>
          <w:tcPr>
            <w:tcW w:w="653" w:type="pct"/>
            <w:shd w:val="clear" w:color="auto" w:fill="FFFFFF" w:themeFill="background1"/>
          </w:tcPr>
          <w:p w14:paraId="783E4121"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782" w:type="pct"/>
            <w:shd w:val="clear" w:color="auto" w:fill="FFFFFF" w:themeFill="background1"/>
          </w:tcPr>
          <w:p w14:paraId="0755768B"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74B1672B"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‘Yes’</w:t>
            </w:r>
            <w:r>
              <w:rPr>
                <w:rFonts w:eastAsia="Times New Roman" w:cs="Calibri"/>
              </w:rPr>
              <w:t>.</w:t>
            </w:r>
          </w:p>
          <w:p w14:paraId="54CFD10F" w14:textId="77777777" w:rsidR="006168B0" w:rsidRPr="00E66809" w:rsidRDefault="006168B0">
            <w:pPr>
              <w:spacing w:after="0" w:line="276" w:lineRule="auto"/>
              <w:jc w:val="both"/>
              <w:rPr>
                <w:rFonts w:eastAsia="Times New Roman" w:cs="Calibri"/>
              </w:rPr>
            </w:pPr>
          </w:p>
          <w:p w14:paraId="439410C7"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p>
          <w:p w14:paraId="22548473" w14:textId="77777777" w:rsidR="006168B0" w:rsidRPr="00E66809" w:rsidRDefault="006168B0">
            <w:pPr>
              <w:spacing w:after="0" w:line="276" w:lineRule="auto"/>
              <w:jc w:val="both"/>
              <w:rPr>
                <w:rFonts w:eastAsia="Times New Roman" w:cs="Calibri"/>
                <w:b/>
                <w:u w:val="single"/>
              </w:rPr>
            </w:pPr>
            <w:r w:rsidRPr="00E66809">
              <w:rPr>
                <w:rFonts w:eastAsia="Times New Roman" w:cs="Calibri"/>
              </w:rPr>
              <w:t>A response of ‘No’</w:t>
            </w:r>
            <w:r>
              <w:rPr>
                <w:rFonts w:eastAsia="Times New Roman" w:cs="Calibri"/>
              </w:rPr>
              <w:t>.</w:t>
            </w:r>
          </w:p>
        </w:tc>
      </w:tr>
    </w:tbl>
    <w:p w14:paraId="41B5076F" w14:textId="77777777" w:rsidR="006168B0" w:rsidRPr="00E66809" w:rsidRDefault="006168B0" w:rsidP="00FF7AA4"/>
    <w:p w14:paraId="58EAFEC5" w14:textId="77777777" w:rsidR="006168B0" w:rsidRPr="00E66809" w:rsidRDefault="006168B0" w:rsidP="006168B0">
      <w:pPr>
        <w:pageBreakBefore/>
        <w:spacing w:after="0" w:line="276" w:lineRule="auto"/>
        <w:rPr>
          <w:rFonts w:eastAsia="Arial" w:cs="Calibri"/>
          <w:b/>
        </w:rPr>
      </w:pPr>
      <w:r w:rsidRPr="00E66809">
        <w:rPr>
          <w:rFonts w:eastAsia="Arial" w:cs="Calibri"/>
          <w:b/>
        </w:rPr>
        <w:t>Legal Capacity</w:t>
      </w:r>
    </w:p>
    <w:p w14:paraId="4A3CB66A" w14:textId="77777777" w:rsidR="006168B0" w:rsidRPr="00E66809" w:rsidRDefault="006168B0" w:rsidP="00FF7A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92"/>
        <w:gridCol w:w="1513"/>
        <w:gridCol w:w="6211"/>
      </w:tblGrid>
      <w:tr w:rsidR="006168B0" w:rsidRPr="001439F7" w14:paraId="2403295E" w14:textId="77777777" w:rsidTr="00913012">
        <w:trPr>
          <w:cantSplit/>
          <w:trHeight w:val="510"/>
        </w:trPr>
        <w:tc>
          <w:tcPr>
            <w:tcW w:w="565" w:type="pct"/>
            <w:tcBorders>
              <w:top w:val="single" w:sz="4" w:space="0" w:color="auto"/>
              <w:left w:val="single" w:sz="4" w:space="0" w:color="auto"/>
              <w:bottom w:val="single" w:sz="4" w:space="0" w:color="auto"/>
              <w:right w:val="single" w:sz="4" w:space="0" w:color="EAEAEA"/>
            </w:tcBorders>
            <w:shd w:val="clear" w:color="auto" w:fill="009999"/>
            <w:vAlign w:val="center"/>
          </w:tcPr>
          <w:p w14:paraId="162EDB19"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653" w:type="pct"/>
            <w:tcBorders>
              <w:top w:val="single" w:sz="4" w:space="0" w:color="auto"/>
              <w:left w:val="single" w:sz="4" w:space="0" w:color="auto"/>
              <w:bottom w:val="single" w:sz="4" w:space="0" w:color="auto"/>
              <w:right w:val="single" w:sz="4" w:space="0" w:color="EAEAEA"/>
            </w:tcBorders>
            <w:shd w:val="clear" w:color="auto" w:fill="009999"/>
            <w:vAlign w:val="center"/>
          </w:tcPr>
          <w:p w14:paraId="1E9818B7"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3782" w:type="pct"/>
            <w:tcBorders>
              <w:top w:val="single" w:sz="4" w:space="0" w:color="auto"/>
              <w:left w:val="single" w:sz="4" w:space="0" w:color="auto"/>
              <w:bottom w:val="single" w:sz="4" w:space="0" w:color="auto"/>
              <w:right w:val="single" w:sz="4" w:space="0" w:color="auto"/>
            </w:tcBorders>
            <w:shd w:val="clear" w:color="auto" w:fill="009999"/>
            <w:vAlign w:val="center"/>
          </w:tcPr>
          <w:p w14:paraId="4BF8D4A9" w14:textId="77777777" w:rsidR="006168B0" w:rsidRPr="00E66809" w:rsidRDefault="006168B0">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6168B0" w:rsidRPr="00BF1FD6" w14:paraId="01C70D1D" w14:textId="77777777" w:rsidTr="00913012">
        <w:trPr>
          <w:trHeight w:val="510"/>
        </w:trPr>
        <w:tc>
          <w:tcPr>
            <w:tcW w:w="565" w:type="pct"/>
            <w:shd w:val="clear" w:color="auto" w:fill="FFFFFF"/>
          </w:tcPr>
          <w:p w14:paraId="2856CA0D" w14:textId="77777777" w:rsidR="006168B0" w:rsidRPr="00E66809" w:rsidRDefault="006168B0">
            <w:pPr>
              <w:spacing w:after="0" w:line="276" w:lineRule="auto"/>
              <w:jc w:val="both"/>
              <w:rPr>
                <w:rFonts w:eastAsia="Times New Roman" w:cs="Calibri"/>
              </w:rPr>
            </w:pPr>
            <w:r w:rsidRPr="00E66809">
              <w:rPr>
                <w:rFonts w:eastAsia="Times New Roman" w:cs="Calibri"/>
              </w:rPr>
              <w:t>3.4</w:t>
            </w:r>
          </w:p>
        </w:tc>
        <w:tc>
          <w:tcPr>
            <w:tcW w:w="653" w:type="pct"/>
            <w:shd w:val="clear" w:color="auto" w:fill="FFFFFF"/>
          </w:tcPr>
          <w:p w14:paraId="24921277"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782" w:type="pct"/>
            <w:shd w:val="clear" w:color="auto" w:fill="FFFFFF"/>
          </w:tcPr>
          <w:p w14:paraId="12DB2C7C"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7D464EEF"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‘Yes’</w:t>
            </w:r>
            <w:r>
              <w:rPr>
                <w:rFonts w:eastAsia="Times New Roman" w:cs="Calibri"/>
              </w:rPr>
              <w:t xml:space="preserve"> and </w:t>
            </w:r>
            <w:r w:rsidRPr="00E66809">
              <w:rPr>
                <w:rFonts w:eastAsia="Times New Roman" w:cs="Calibri"/>
              </w:rPr>
              <w:t xml:space="preserve">HMRC is satisfied that the supporting information provided supports the </w:t>
            </w:r>
            <w:r>
              <w:rPr>
                <w:rFonts w:eastAsia="Times New Roman" w:cs="Calibri"/>
              </w:rPr>
              <w:t>Supplier</w:t>
            </w:r>
            <w:r w:rsidRPr="00E66809">
              <w:rPr>
                <w:rFonts w:eastAsia="Times New Roman" w:cs="Calibri"/>
              </w:rPr>
              <w:t>’s response.</w:t>
            </w:r>
          </w:p>
          <w:p w14:paraId="0D4F2861" w14:textId="77777777" w:rsidR="006168B0" w:rsidRPr="00E66809" w:rsidRDefault="006168B0">
            <w:pPr>
              <w:spacing w:after="0" w:line="276" w:lineRule="auto"/>
              <w:jc w:val="both"/>
              <w:rPr>
                <w:rFonts w:eastAsia="Times New Roman" w:cs="Calibri"/>
              </w:rPr>
            </w:pPr>
          </w:p>
          <w:p w14:paraId="30CCC6F7"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p>
          <w:p w14:paraId="3AF9AE46" w14:textId="77777777" w:rsidR="006168B0" w:rsidRPr="00E66809" w:rsidRDefault="006168B0">
            <w:pPr>
              <w:widowControl w:val="0"/>
              <w:tabs>
                <w:tab w:val="left" w:pos="0"/>
              </w:tabs>
              <w:overflowPunct w:val="0"/>
              <w:autoSpaceDE w:val="0"/>
              <w:autoSpaceDN w:val="0"/>
              <w:adjustRightInd w:val="0"/>
              <w:spacing w:after="0"/>
              <w:jc w:val="both"/>
              <w:rPr>
                <w:rFonts w:eastAsia="Times New Roman" w:cs="Calibri"/>
              </w:rPr>
            </w:pPr>
            <w:r w:rsidRPr="00E66809">
              <w:rPr>
                <w:rFonts w:eastAsia="Times New Roman" w:cs="Calibri"/>
              </w:rPr>
              <w:t>A response of ‘No’</w:t>
            </w:r>
            <w:r>
              <w:rPr>
                <w:rFonts w:eastAsia="Times New Roman" w:cs="Calibri"/>
              </w:rPr>
              <w:t>.</w:t>
            </w:r>
          </w:p>
          <w:p w14:paraId="179F8448" w14:textId="77777777" w:rsidR="006168B0" w:rsidRPr="00E66809" w:rsidRDefault="006168B0">
            <w:pPr>
              <w:widowControl w:val="0"/>
              <w:tabs>
                <w:tab w:val="left" w:pos="0"/>
              </w:tabs>
              <w:overflowPunct w:val="0"/>
              <w:autoSpaceDE w:val="0"/>
              <w:autoSpaceDN w:val="0"/>
              <w:adjustRightInd w:val="0"/>
              <w:spacing w:after="0"/>
              <w:jc w:val="both"/>
              <w:rPr>
                <w:rFonts w:eastAsia="Times New Roman" w:cs="Calibri"/>
                <w:b/>
                <w:bCs/>
              </w:rPr>
            </w:pPr>
            <w:r w:rsidRPr="00E66809">
              <w:rPr>
                <w:rFonts w:eastAsia="Times New Roman" w:cs="Calibri"/>
                <w:b/>
                <w:bCs/>
              </w:rPr>
              <w:t>OR</w:t>
            </w:r>
          </w:p>
          <w:p w14:paraId="5DA27142" w14:textId="77777777" w:rsidR="006168B0" w:rsidRDefault="006168B0">
            <w:pPr>
              <w:widowControl w:val="0"/>
              <w:tabs>
                <w:tab w:val="left" w:pos="0"/>
              </w:tabs>
              <w:overflowPunct w:val="0"/>
              <w:autoSpaceDE w:val="0"/>
              <w:autoSpaceDN w:val="0"/>
              <w:adjustRightInd w:val="0"/>
              <w:spacing w:after="0"/>
              <w:jc w:val="both"/>
              <w:rPr>
                <w:rFonts w:eastAsia="Times New Roman" w:cs="Calibri"/>
              </w:rPr>
            </w:pPr>
            <w:r w:rsidRPr="00E66809">
              <w:rPr>
                <w:rFonts w:eastAsia="Times New Roman" w:cs="Calibri"/>
              </w:rPr>
              <w:t xml:space="preserve">A response of ‘Yes’ but following further due diligence on the supporting information provided in the </w:t>
            </w:r>
            <w:r>
              <w:rPr>
                <w:rFonts w:eastAsia="Times New Roman" w:cs="Calibri"/>
              </w:rPr>
              <w:t>Supplier</w:t>
            </w:r>
            <w:r w:rsidRPr="00E66809">
              <w:rPr>
                <w:rFonts w:eastAsia="Times New Roman" w:cs="Calibri"/>
              </w:rPr>
              <w:t>’s response, HMRC deems that this information does not support the response of ‘Yes’.</w:t>
            </w:r>
          </w:p>
          <w:p w14:paraId="3BDFC62C" w14:textId="77777777" w:rsidR="006168B0" w:rsidRPr="00E66809" w:rsidRDefault="006168B0">
            <w:pPr>
              <w:widowControl w:val="0"/>
              <w:tabs>
                <w:tab w:val="left" w:pos="0"/>
              </w:tabs>
              <w:overflowPunct w:val="0"/>
              <w:autoSpaceDE w:val="0"/>
              <w:autoSpaceDN w:val="0"/>
              <w:adjustRightInd w:val="0"/>
              <w:spacing w:after="0"/>
              <w:jc w:val="both"/>
              <w:rPr>
                <w:rFonts w:eastAsia="Times New Roman" w:cs="Calibri"/>
                <w:b/>
                <w:bCs/>
              </w:rPr>
            </w:pPr>
            <w:r>
              <w:rPr>
                <w:rFonts w:eastAsia="Times New Roman" w:cs="Calibri"/>
                <w:b/>
                <w:bCs/>
              </w:rPr>
              <w:t>OR</w:t>
            </w:r>
          </w:p>
          <w:p w14:paraId="12C24D9E" w14:textId="77777777" w:rsidR="006168B0" w:rsidRPr="00A824C6" w:rsidRDefault="006168B0">
            <w:pPr>
              <w:spacing w:after="0" w:line="276" w:lineRule="auto"/>
              <w:jc w:val="both"/>
              <w:rPr>
                <w:rFonts w:eastAsia="Times New Roman" w:cs="Calibri"/>
              </w:rPr>
            </w:pPr>
            <w:r w:rsidRPr="00D0467A">
              <w:rPr>
                <w:rFonts w:eastAsia="Times New Roman" w:cs="Calibri"/>
              </w:rPr>
              <w:t>Response is incomplete and any missing information is not provided in the timeframes requested by HMRC</w:t>
            </w:r>
            <w:r w:rsidRPr="00A824C6">
              <w:rPr>
                <w:rFonts w:eastAsia="Times New Roman" w:cs="Calibri"/>
              </w:rPr>
              <w:t>.</w:t>
            </w:r>
          </w:p>
          <w:p w14:paraId="432872C0" w14:textId="77777777" w:rsidR="006168B0" w:rsidRPr="00E66809" w:rsidRDefault="006168B0">
            <w:pPr>
              <w:widowControl w:val="0"/>
              <w:tabs>
                <w:tab w:val="left" w:pos="0"/>
              </w:tabs>
              <w:overflowPunct w:val="0"/>
              <w:autoSpaceDE w:val="0"/>
              <w:autoSpaceDN w:val="0"/>
              <w:adjustRightInd w:val="0"/>
              <w:jc w:val="both"/>
              <w:rPr>
                <w:rFonts w:eastAsia="Times New Roman" w:cs="Calibri"/>
              </w:rPr>
            </w:pPr>
          </w:p>
        </w:tc>
      </w:tr>
    </w:tbl>
    <w:p w14:paraId="4C4ED173" w14:textId="77777777" w:rsidR="006168B0" w:rsidRPr="00E66809" w:rsidRDefault="006168B0" w:rsidP="006168B0">
      <w:pPr>
        <w:pageBreakBefore/>
        <w:spacing w:after="0" w:line="276" w:lineRule="auto"/>
        <w:rPr>
          <w:rFonts w:eastAsia="Arial" w:cs="Calibri"/>
          <w:b/>
        </w:rPr>
      </w:pPr>
      <w:r w:rsidRPr="00E66809">
        <w:rPr>
          <w:rFonts w:eastAsia="Arial" w:cs="Calibri"/>
          <w:b/>
        </w:rPr>
        <w:t>Technical Ability</w:t>
      </w:r>
    </w:p>
    <w:p w14:paraId="06C6004D" w14:textId="77777777" w:rsidR="006168B0" w:rsidRPr="00E66809" w:rsidRDefault="006168B0" w:rsidP="00FF7A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93"/>
        <w:gridCol w:w="1549"/>
        <w:gridCol w:w="6174"/>
      </w:tblGrid>
      <w:tr w:rsidR="006168B0" w:rsidRPr="001439F7" w14:paraId="6CD6FD5E" w14:textId="77777777" w:rsidTr="00467A23">
        <w:trPr>
          <w:cantSplit/>
          <w:trHeight w:val="510"/>
        </w:trPr>
        <w:tc>
          <w:tcPr>
            <w:tcW w:w="717" w:type="pct"/>
            <w:tcBorders>
              <w:top w:val="single" w:sz="4" w:space="0" w:color="auto"/>
              <w:left w:val="single" w:sz="4" w:space="0" w:color="auto"/>
              <w:bottom w:val="single" w:sz="4" w:space="0" w:color="auto"/>
              <w:right w:val="single" w:sz="4" w:space="0" w:color="EAEAEA"/>
            </w:tcBorders>
            <w:shd w:val="clear" w:color="auto" w:fill="009999"/>
            <w:vAlign w:val="center"/>
          </w:tcPr>
          <w:p w14:paraId="75063414"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859" w:type="pct"/>
            <w:tcBorders>
              <w:top w:val="single" w:sz="4" w:space="0" w:color="auto"/>
              <w:left w:val="single" w:sz="4" w:space="0" w:color="auto"/>
              <w:bottom w:val="single" w:sz="4" w:space="0" w:color="auto"/>
              <w:right w:val="single" w:sz="4" w:space="0" w:color="EAEAEA"/>
            </w:tcBorders>
            <w:shd w:val="clear" w:color="auto" w:fill="009999"/>
            <w:vAlign w:val="center"/>
          </w:tcPr>
          <w:p w14:paraId="0A08E69E" w14:textId="77777777" w:rsidR="006168B0" w:rsidRPr="00E66809" w:rsidRDefault="006168B0">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3424" w:type="pct"/>
            <w:tcBorders>
              <w:top w:val="single" w:sz="4" w:space="0" w:color="auto"/>
              <w:left w:val="single" w:sz="4" w:space="0" w:color="auto"/>
              <w:bottom w:val="single" w:sz="4" w:space="0" w:color="auto"/>
              <w:right w:val="single" w:sz="4" w:space="0" w:color="auto"/>
            </w:tcBorders>
            <w:shd w:val="clear" w:color="auto" w:fill="009999"/>
            <w:vAlign w:val="center"/>
          </w:tcPr>
          <w:p w14:paraId="1283FEE9" w14:textId="77777777" w:rsidR="006168B0" w:rsidRPr="00E66809" w:rsidRDefault="006168B0">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6168B0" w:rsidRPr="00BF1FD6" w14:paraId="49AD596B" w14:textId="77777777" w:rsidTr="00467A23">
        <w:trPr>
          <w:trHeight w:val="510"/>
        </w:trPr>
        <w:tc>
          <w:tcPr>
            <w:tcW w:w="717" w:type="pct"/>
            <w:shd w:val="clear" w:color="auto" w:fill="FFFFFF" w:themeFill="background1"/>
          </w:tcPr>
          <w:p w14:paraId="0EC2FF5B" w14:textId="77777777" w:rsidR="006168B0" w:rsidRPr="00E66809" w:rsidRDefault="006168B0">
            <w:pPr>
              <w:spacing w:after="0" w:line="276" w:lineRule="auto"/>
              <w:jc w:val="both"/>
              <w:rPr>
                <w:rFonts w:eastAsia="Times New Roman" w:cs="Calibri"/>
              </w:rPr>
            </w:pPr>
            <w:r w:rsidRPr="00E66809">
              <w:rPr>
                <w:rFonts w:eastAsia="Times New Roman" w:cs="Calibri"/>
              </w:rPr>
              <w:t>3.5</w:t>
            </w:r>
          </w:p>
        </w:tc>
        <w:tc>
          <w:tcPr>
            <w:tcW w:w="859" w:type="pct"/>
            <w:shd w:val="clear" w:color="auto" w:fill="FFFFFF" w:themeFill="background1"/>
          </w:tcPr>
          <w:p w14:paraId="69CAF171"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424" w:type="pct"/>
            <w:shd w:val="clear" w:color="auto" w:fill="FFFFFF" w:themeFill="background1"/>
          </w:tcPr>
          <w:p w14:paraId="299D5C69"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14EEF240" w14:textId="5AB31D06" w:rsidR="006168B0" w:rsidRDefault="006168B0">
            <w:pPr>
              <w:spacing w:after="0" w:line="276" w:lineRule="auto"/>
              <w:jc w:val="both"/>
              <w:rPr>
                <w:rFonts w:eastAsia="Times New Roman" w:cs="Calibri"/>
              </w:rPr>
            </w:pPr>
            <w:r w:rsidRPr="00E66809">
              <w:rPr>
                <w:rFonts w:eastAsia="Times New Roman" w:cs="Calibri"/>
              </w:rPr>
              <w:t>A response of ‘Yes’</w:t>
            </w:r>
            <w:r w:rsidR="007A6210">
              <w:rPr>
                <w:rFonts w:eastAsia="Times New Roman" w:cs="Calibri"/>
              </w:rPr>
              <w:t xml:space="preserve"> to all elements (</w:t>
            </w:r>
            <w:r w:rsidR="00A67684">
              <w:rPr>
                <w:rFonts w:eastAsia="Times New Roman" w:cs="Calibri"/>
              </w:rPr>
              <w:t xml:space="preserve">a </w:t>
            </w:r>
            <w:proofErr w:type="spellStart"/>
            <w:r w:rsidR="00A67684">
              <w:rPr>
                <w:rFonts w:eastAsia="Times New Roman" w:cs="Calibri"/>
              </w:rPr>
              <w:t>to e</w:t>
            </w:r>
            <w:proofErr w:type="spellEnd"/>
            <w:r w:rsidR="00A67684">
              <w:rPr>
                <w:rFonts w:eastAsia="Times New Roman" w:cs="Calibri"/>
              </w:rPr>
              <w:t>)</w:t>
            </w:r>
          </w:p>
          <w:p w14:paraId="2DD04D61" w14:textId="77777777" w:rsidR="006168B0" w:rsidRPr="00E66809" w:rsidRDefault="006168B0">
            <w:pPr>
              <w:spacing w:after="0" w:line="276" w:lineRule="auto"/>
              <w:jc w:val="both"/>
              <w:rPr>
                <w:rFonts w:eastAsia="Times New Roman" w:cs="Calibri"/>
                <w:b/>
              </w:rPr>
            </w:pPr>
            <w:r w:rsidRPr="00E66809">
              <w:rPr>
                <w:rFonts w:eastAsia="Times New Roman" w:cs="Calibri"/>
                <w:b/>
              </w:rPr>
              <w:t>OR</w:t>
            </w:r>
          </w:p>
          <w:p w14:paraId="2B354AB2" w14:textId="5AF2A214" w:rsidR="006168B0" w:rsidRPr="00E66809" w:rsidRDefault="006168B0">
            <w:pPr>
              <w:spacing w:after="0" w:line="276" w:lineRule="auto"/>
              <w:jc w:val="both"/>
              <w:rPr>
                <w:rFonts w:eastAsia="Times New Roman" w:cs="Calibri"/>
              </w:rPr>
            </w:pPr>
            <w:r>
              <w:rPr>
                <w:rFonts w:eastAsia="Times New Roman" w:cs="Calibri"/>
              </w:rPr>
              <w:t>A response of ‘No’</w:t>
            </w:r>
            <w:r w:rsidR="00A67684">
              <w:rPr>
                <w:rFonts w:eastAsia="Times New Roman" w:cs="Calibri"/>
              </w:rPr>
              <w:t xml:space="preserve"> to any one of the elements (a </w:t>
            </w:r>
            <w:proofErr w:type="spellStart"/>
            <w:r w:rsidR="00A67684">
              <w:rPr>
                <w:rFonts w:eastAsia="Times New Roman" w:cs="Calibri"/>
              </w:rPr>
              <w:t>to e</w:t>
            </w:r>
            <w:proofErr w:type="spellEnd"/>
            <w:r w:rsidR="00A67684">
              <w:rPr>
                <w:rFonts w:eastAsia="Times New Roman" w:cs="Calibri"/>
              </w:rPr>
              <w:t>)</w:t>
            </w:r>
            <w:r>
              <w:rPr>
                <w:rFonts w:eastAsia="Times New Roman" w:cs="Calibri"/>
              </w:rPr>
              <w:t>, with mitigations provided that are acceptable to HMRC. Whether a mitigation is considered acceptable or otherwise shall be at the sole discretion of HMRC.</w:t>
            </w:r>
          </w:p>
          <w:p w14:paraId="367F5AF1" w14:textId="77777777" w:rsidR="006168B0" w:rsidRPr="00E66809" w:rsidRDefault="006168B0">
            <w:pPr>
              <w:spacing w:after="0" w:line="276" w:lineRule="auto"/>
              <w:jc w:val="both"/>
              <w:rPr>
                <w:rFonts w:eastAsia="Times New Roman" w:cs="Calibri"/>
              </w:rPr>
            </w:pPr>
          </w:p>
          <w:p w14:paraId="4ED0A5F1"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p>
          <w:p w14:paraId="52090011" w14:textId="77777777" w:rsidR="00AF3475" w:rsidRDefault="006168B0">
            <w:pPr>
              <w:widowControl w:val="0"/>
              <w:tabs>
                <w:tab w:val="left" w:pos="0"/>
              </w:tabs>
              <w:overflowPunct w:val="0"/>
              <w:autoSpaceDE w:val="0"/>
              <w:autoSpaceDN w:val="0"/>
              <w:adjustRightInd w:val="0"/>
              <w:jc w:val="both"/>
              <w:rPr>
                <w:rFonts w:eastAsia="Times New Roman" w:cs="Calibri"/>
              </w:rPr>
            </w:pPr>
            <w:r w:rsidRPr="00E66809">
              <w:rPr>
                <w:rFonts w:eastAsia="Times New Roman" w:cs="Calibri"/>
              </w:rPr>
              <w:t>A response of ‘No’</w:t>
            </w:r>
            <w:r w:rsidR="00A67684">
              <w:rPr>
                <w:rFonts w:eastAsia="Times New Roman" w:cs="Calibri"/>
              </w:rPr>
              <w:t xml:space="preserve"> to</w:t>
            </w:r>
            <w:r>
              <w:rPr>
                <w:rFonts w:eastAsia="Times New Roman" w:cs="Calibri"/>
              </w:rPr>
              <w:t xml:space="preserve"> </w:t>
            </w:r>
            <w:r w:rsidR="00A67684">
              <w:rPr>
                <w:rFonts w:eastAsia="Times New Roman" w:cs="Calibri"/>
              </w:rPr>
              <w:t xml:space="preserve">any one of the elements (a </w:t>
            </w:r>
            <w:proofErr w:type="spellStart"/>
            <w:r w:rsidR="00A67684">
              <w:rPr>
                <w:rFonts w:eastAsia="Times New Roman" w:cs="Calibri"/>
              </w:rPr>
              <w:t>to e</w:t>
            </w:r>
            <w:proofErr w:type="spellEnd"/>
            <w:r w:rsidR="00A67684">
              <w:rPr>
                <w:rFonts w:eastAsia="Times New Roman" w:cs="Calibri"/>
              </w:rPr>
              <w:t>)</w:t>
            </w:r>
            <w:r w:rsidR="00FC24C4">
              <w:rPr>
                <w:rFonts w:eastAsia="Times New Roman" w:cs="Calibri"/>
              </w:rPr>
              <w:t xml:space="preserve"> without any supporting mitigations</w:t>
            </w:r>
          </w:p>
          <w:p w14:paraId="2CC8D9FF" w14:textId="77777777" w:rsidR="00AF3475" w:rsidRPr="00AF3475" w:rsidRDefault="00AF3475">
            <w:pPr>
              <w:widowControl w:val="0"/>
              <w:tabs>
                <w:tab w:val="left" w:pos="0"/>
              </w:tabs>
              <w:overflowPunct w:val="0"/>
              <w:autoSpaceDE w:val="0"/>
              <w:autoSpaceDN w:val="0"/>
              <w:adjustRightInd w:val="0"/>
              <w:jc w:val="both"/>
              <w:rPr>
                <w:rFonts w:eastAsia="Times New Roman" w:cs="Calibri"/>
                <w:b/>
                <w:bCs/>
              </w:rPr>
            </w:pPr>
            <w:r w:rsidRPr="00AF3475">
              <w:rPr>
                <w:rFonts w:eastAsia="Times New Roman" w:cs="Calibri"/>
                <w:b/>
                <w:bCs/>
              </w:rPr>
              <w:t>OR</w:t>
            </w:r>
          </w:p>
          <w:p w14:paraId="357AF8F3" w14:textId="34C26056" w:rsidR="006168B0" w:rsidRPr="00E66809" w:rsidRDefault="00A67684">
            <w:pPr>
              <w:widowControl w:val="0"/>
              <w:tabs>
                <w:tab w:val="left" w:pos="0"/>
              </w:tabs>
              <w:overflowPunct w:val="0"/>
              <w:autoSpaceDE w:val="0"/>
              <w:autoSpaceDN w:val="0"/>
              <w:adjustRightInd w:val="0"/>
              <w:jc w:val="both"/>
              <w:rPr>
                <w:rFonts w:eastAsia="Times New Roman" w:cs="Calibri"/>
              </w:rPr>
            </w:pPr>
            <w:r>
              <w:rPr>
                <w:rFonts w:eastAsia="Times New Roman" w:cs="Calibri"/>
              </w:rPr>
              <w:t xml:space="preserve"> </w:t>
            </w:r>
            <w:r w:rsidR="009B0D65" w:rsidRPr="00E66809">
              <w:rPr>
                <w:rFonts w:eastAsia="Times New Roman" w:cs="Calibri"/>
              </w:rPr>
              <w:t>A response of ‘No’</w:t>
            </w:r>
            <w:r w:rsidR="009B0D65">
              <w:rPr>
                <w:rFonts w:eastAsia="Times New Roman" w:cs="Calibri"/>
              </w:rPr>
              <w:t xml:space="preserve"> to any one of the elements (a </w:t>
            </w:r>
            <w:proofErr w:type="spellStart"/>
            <w:r w:rsidR="009B0D65">
              <w:rPr>
                <w:rFonts w:eastAsia="Times New Roman" w:cs="Calibri"/>
              </w:rPr>
              <w:t>to e</w:t>
            </w:r>
            <w:proofErr w:type="spellEnd"/>
            <w:r w:rsidR="009B0D65">
              <w:rPr>
                <w:rFonts w:eastAsia="Times New Roman" w:cs="Calibri"/>
              </w:rPr>
              <w:t>) with at least one mitigation provided that is not acceptable to HMRC</w:t>
            </w:r>
            <w:r w:rsidR="00C00DFA">
              <w:rPr>
                <w:rFonts w:eastAsia="Times New Roman" w:cs="Calibri"/>
              </w:rPr>
              <w:t xml:space="preserve">. </w:t>
            </w:r>
            <w:r w:rsidR="006168B0">
              <w:rPr>
                <w:rFonts w:eastAsia="Times New Roman" w:cs="Calibri"/>
              </w:rPr>
              <w:t>Whether a mitigation is considered acceptable or otherwise shall be at the sole discretion of HMRC.</w:t>
            </w:r>
          </w:p>
        </w:tc>
      </w:tr>
      <w:tr w:rsidR="006168B0" w:rsidRPr="00BF1FD6" w14:paraId="545407DC" w14:textId="77777777" w:rsidTr="00467A23">
        <w:trPr>
          <w:trHeight w:val="510"/>
        </w:trPr>
        <w:tc>
          <w:tcPr>
            <w:tcW w:w="717" w:type="pct"/>
            <w:shd w:val="clear" w:color="auto" w:fill="FFFFFF" w:themeFill="background1"/>
          </w:tcPr>
          <w:p w14:paraId="1A4C413B" w14:textId="77777777" w:rsidR="006168B0" w:rsidRPr="00E66809" w:rsidRDefault="006168B0">
            <w:pPr>
              <w:spacing w:after="0" w:line="276" w:lineRule="auto"/>
              <w:jc w:val="both"/>
              <w:rPr>
                <w:rFonts w:eastAsia="Times New Roman" w:cs="Calibri"/>
              </w:rPr>
            </w:pPr>
            <w:r w:rsidRPr="00E66809">
              <w:rPr>
                <w:rFonts w:eastAsia="Times New Roman" w:cs="Calibri"/>
              </w:rPr>
              <w:t>3.6</w:t>
            </w:r>
          </w:p>
        </w:tc>
        <w:tc>
          <w:tcPr>
            <w:tcW w:w="859" w:type="pct"/>
            <w:shd w:val="clear" w:color="auto" w:fill="FFFFFF" w:themeFill="background1"/>
          </w:tcPr>
          <w:p w14:paraId="7A6F225D"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424" w:type="pct"/>
            <w:shd w:val="clear" w:color="auto" w:fill="FFFFFF" w:themeFill="background1"/>
          </w:tcPr>
          <w:p w14:paraId="148630E4" w14:textId="77777777" w:rsidR="006168B0" w:rsidRPr="00E77417" w:rsidRDefault="006168B0">
            <w:pPr>
              <w:spacing w:after="0" w:line="276" w:lineRule="auto"/>
              <w:jc w:val="both"/>
              <w:rPr>
                <w:rFonts w:eastAsia="Times New Roman" w:cs="Calibri"/>
                <w:b/>
                <w:u w:val="single"/>
              </w:rPr>
            </w:pPr>
            <w:r w:rsidRPr="00E77417">
              <w:rPr>
                <w:rFonts w:eastAsia="Times New Roman" w:cs="Calibri"/>
                <w:b/>
                <w:u w:val="single"/>
              </w:rPr>
              <w:t>Pass</w:t>
            </w:r>
          </w:p>
          <w:p w14:paraId="7B0E4BE7" w14:textId="77777777" w:rsidR="006168B0" w:rsidRDefault="006168B0">
            <w:pPr>
              <w:spacing w:after="0" w:line="276" w:lineRule="auto"/>
              <w:jc w:val="both"/>
              <w:rPr>
                <w:rFonts w:eastAsia="Times New Roman" w:cs="Calibri"/>
              </w:rPr>
            </w:pPr>
            <w:r w:rsidRPr="00E77417">
              <w:rPr>
                <w:rFonts w:eastAsia="Times New Roman" w:cs="Calibri"/>
              </w:rPr>
              <w:t>A response of ‘Yes’</w:t>
            </w:r>
            <w:r>
              <w:rPr>
                <w:rFonts w:eastAsia="Times New Roman" w:cs="Calibri"/>
              </w:rPr>
              <w:t>.</w:t>
            </w:r>
          </w:p>
          <w:p w14:paraId="6E82DC25" w14:textId="77777777" w:rsidR="006168B0" w:rsidRPr="00E66809" w:rsidRDefault="006168B0">
            <w:pPr>
              <w:spacing w:after="0" w:line="276" w:lineRule="auto"/>
              <w:jc w:val="both"/>
              <w:rPr>
                <w:rFonts w:eastAsia="Times New Roman" w:cs="Calibri"/>
                <w:b/>
              </w:rPr>
            </w:pPr>
            <w:r w:rsidRPr="00E66809">
              <w:rPr>
                <w:rFonts w:eastAsia="Times New Roman" w:cs="Calibri"/>
                <w:b/>
              </w:rPr>
              <w:t>OR</w:t>
            </w:r>
          </w:p>
          <w:p w14:paraId="2D4461C4" w14:textId="77777777" w:rsidR="006168B0" w:rsidRPr="00E77417" w:rsidRDefault="006168B0">
            <w:pPr>
              <w:spacing w:after="0" w:line="276" w:lineRule="auto"/>
              <w:jc w:val="both"/>
              <w:rPr>
                <w:rFonts w:eastAsia="Times New Roman" w:cs="Calibri"/>
              </w:rPr>
            </w:pPr>
            <w:r>
              <w:rPr>
                <w:rFonts w:eastAsia="Times New Roman" w:cs="Calibri"/>
              </w:rPr>
              <w:t>A response of ‘No’, with mitigations provided that are acceptable to HMRC. Whether a mitigation is considered acceptable or otherwise shall be at the sole discretion of HMRC.</w:t>
            </w:r>
          </w:p>
          <w:p w14:paraId="33676C74" w14:textId="77777777" w:rsidR="006168B0" w:rsidRPr="00E77417" w:rsidRDefault="006168B0">
            <w:pPr>
              <w:spacing w:after="0" w:line="276" w:lineRule="auto"/>
              <w:jc w:val="both"/>
              <w:rPr>
                <w:rFonts w:eastAsia="Times New Roman" w:cs="Calibri"/>
              </w:rPr>
            </w:pPr>
          </w:p>
          <w:p w14:paraId="21B86639" w14:textId="77777777" w:rsidR="006168B0" w:rsidRPr="00E77417" w:rsidRDefault="006168B0">
            <w:pPr>
              <w:spacing w:after="0" w:line="276" w:lineRule="auto"/>
              <w:jc w:val="both"/>
              <w:rPr>
                <w:rFonts w:eastAsia="Times New Roman" w:cs="Calibri"/>
              </w:rPr>
            </w:pPr>
            <w:r w:rsidRPr="00E77417">
              <w:rPr>
                <w:rFonts w:eastAsia="Times New Roman" w:cs="Calibri"/>
                <w:b/>
                <w:u w:val="single"/>
              </w:rPr>
              <w:t>Fail</w:t>
            </w:r>
          </w:p>
          <w:p w14:paraId="0FC46A9F" w14:textId="77777777" w:rsidR="00255447" w:rsidRDefault="006168B0" w:rsidP="00255447">
            <w:pPr>
              <w:widowControl w:val="0"/>
              <w:tabs>
                <w:tab w:val="left" w:pos="0"/>
              </w:tabs>
              <w:overflowPunct w:val="0"/>
              <w:autoSpaceDE w:val="0"/>
              <w:autoSpaceDN w:val="0"/>
              <w:adjustRightInd w:val="0"/>
              <w:jc w:val="both"/>
              <w:rPr>
                <w:rFonts w:eastAsia="Times New Roman" w:cs="Calibri"/>
              </w:rPr>
            </w:pPr>
            <w:r w:rsidRPr="00E77417">
              <w:rPr>
                <w:rFonts w:eastAsia="Times New Roman" w:cs="Calibri"/>
              </w:rPr>
              <w:t>A response of ‘No’</w:t>
            </w:r>
            <w:r>
              <w:rPr>
                <w:rFonts w:eastAsia="Times New Roman" w:cs="Calibri"/>
              </w:rPr>
              <w:t xml:space="preserve">, </w:t>
            </w:r>
            <w:r w:rsidR="00255447">
              <w:rPr>
                <w:rFonts w:eastAsia="Times New Roman" w:cs="Calibri"/>
              </w:rPr>
              <w:t>without any supporting mitigations</w:t>
            </w:r>
          </w:p>
          <w:p w14:paraId="7D3B1AD8" w14:textId="77777777" w:rsidR="00255447" w:rsidRPr="00AF3475" w:rsidRDefault="00255447" w:rsidP="00255447">
            <w:pPr>
              <w:widowControl w:val="0"/>
              <w:tabs>
                <w:tab w:val="left" w:pos="0"/>
              </w:tabs>
              <w:overflowPunct w:val="0"/>
              <w:autoSpaceDE w:val="0"/>
              <w:autoSpaceDN w:val="0"/>
              <w:adjustRightInd w:val="0"/>
              <w:jc w:val="both"/>
              <w:rPr>
                <w:rFonts w:eastAsia="Times New Roman" w:cs="Calibri"/>
                <w:b/>
                <w:bCs/>
              </w:rPr>
            </w:pPr>
            <w:r w:rsidRPr="00AF3475">
              <w:rPr>
                <w:rFonts w:eastAsia="Times New Roman" w:cs="Calibri"/>
                <w:b/>
                <w:bCs/>
              </w:rPr>
              <w:t>OR</w:t>
            </w:r>
          </w:p>
          <w:p w14:paraId="3A366882" w14:textId="3183BF33" w:rsidR="006168B0" w:rsidRPr="00E66809" w:rsidRDefault="00255447" w:rsidP="00255447">
            <w:pPr>
              <w:spacing w:after="0" w:line="276" w:lineRule="auto"/>
              <w:jc w:val="both"/>
              <w:rPr>
                <w:rFonts w:eastAsia="Times New Roman" w:cs="Calibri"/>
                <w:b/>
                <w:u w:val="single"/>
              </w:rPr>
            </w:pPr>
            <w:r w:rsidRPr="00E66809">
              <w:rPr>
                <w:rFonts w:eastAsia="Times New Roman" w:cs="Calibri"/>
              </w:rPr>
              <w:t>A response of ‘No’</w:t>
            </w:r>
            <w:r>
              <w:rPr>
                <w:rFonts w:eastAsia="Times New Roman" w:cs="Calibri"/>
              </w:rPr>
              <w:t xml:space="preserve"> with at least one mitigation provided that is not acceptable to HMRC</w:t>
            </w:r>
            <w:r w:rsidR="006168B0">
              <w:rPr>
                <w:rFonts w:eastAsia="Times New Roman" w:cs="Calibri"/>
              </w:rPr>
              <w:t>. Whether a mitigation is considered acceptable or otherwise shall be at the sole discretion of HMRC.</w:t>
            </w:r>
          </w:p>
        </w:tc>
      </w:tr>
      <w:tr w:rsidR="00B95B30" w:rsidRPr="00BF1FD6" w14:paraId="5E0F0092" w14:textId="77777777" w:rsidTr="00467A23">
        <w:trPr>
          <w:trHeight w:val="510"/>
        </w:trPr>
        <w:tc>
          <w:tcPr>
            <w:tcW w:w="717" w:type="pct"/>
            <w:shd w:val="clear" w:color="auto" w:fill="FFFFFF" w:themeFill="background1"/>
          </w:tcPr>
          <w:p w14:paraId="36BE6B73" w14:textId="77777777" w:rsidR="00B95B30" w:rsidRPr="00E66809" w:rsidRDefault="00B95B30" w:rsidP="00B95B30">
            <w:pPr>
              <w:spacing w:after="0" w:line="276" w:lineRule="auto"/>
              <w:jc w:val="both"/>
              <w:rPr>
                <w:rFonts w:eastAsia="Times New Roman" w:cs="Calibri"/>
              </w:rPr>
            </w:pPr>
            <w:r w:rsidRPr="00E66809">
              <w:rPr>
                <w:rFonts w:eastAsia="Times New Roman" w:cs="Calibri"/>
              </w:rPr>
              <w:t>3.7</w:t>
            </w:r>
          </w:p>
        </w:tc>
        <w:tc>
          <w:tcPr>
            <w:tcW w:w="859" w:type="pct"/>
            <w:shd w:val="clear" w:color="auto" w:fill="FFFFFF" w:themeFill="background1"/>
          </w:tcPr>
          <w:p w14:paraId="422CDD2A" w14:textId="21DF33CD" w:rsidR="00B95B30" w:rsidRPr="00E66809" w:rsidRDefault="008D50B3" w:rsidP="00B95B30">
            <w:pPr>
              <w:spacing w:after="0" w:line="276" w:lineRule="auto"/>
              <w:jc w:val="both"/>
              <w:rPr>
                <w:rFonts w:eastAsia="Times New Roman" w:cs="Calibri"/>
              </w:rPr>
            </w:pPr>
            <w:r w:rsidRPr="00E66809">
              <w:rPr>
                <w:rFonts w:eastAsia="Times New Roman" w:cs="Calibri"/>
              </w:rPr>
              <w:t>Pass/Fail</w:t>
            </w:r>
            <w:r w:rsidRPr="00E66809" w:rsidDel="00A45937">
              <w:rPr>
                <w:rFonts w:eastAsia="Times New Roman" w:cs="Calibri"/>
              </w:rPr>
              <w:t xml:space="preserve"> </w:t>
            </w:r>
          </w:p>
        </w:tc>
        <w:tc>
          <w:tcPr>
            <w:tcW w:w="3424" w:type="pct"/>
            <w:shd w:val="clear" w:color="auto" w:fill="FFFFFF" w:themeFill="background1"/>
          </w:tcPr>
          <w:p w14:paraId="2E7C7545" w14:textId="77777777" w:rsidR="008D50B3" w:rsidRPr="00E77417" w:rsidRDefault="008D50B3" w:rsidP="008D50B3">
            <w:pPr>
              <w:spacing w:after="0" w:line="276" w:lineRule="auto"/>
              <w:jc w:val="both"/>
              <w:rPr>
                <w:rFonts w:eastAsia="Times New Roman" w:cs="Calibri"/>
                <w:b/>
                <w:u w:val="single"/>
              </w:rPr>
            </w:pPr>
            <w:r w:rsidRPr="00E77417">
              <w:rPr>
                <w:rFonts w:eastAsia="Times New Roman" w:cs="Calibri"/>
                <w:b/>
                <w:u w:val="single"/>
              </w:rPr>
              <w:t>Pass</w:t>
            </w:r>
          </w:p>
          <w:p w14:paraId="77AB9282" w14:textId="77777777" w:rsidR="008D50B3" w:rsidRDefault="008D50B3" w:rsidP="008D50B3">
            <w:pPr>
              <w:spacing w:after="0" w:line="276" w:lineRule="auto"/>
              <w:jc w:val="both"/>
              <w:rPr>
                <w:rFonts w:eastAsia="Times New Roman" w:cs="Calibri"/>
              </w:rPr>
            </w:pPr>
            <w:r w:rsidRPr="00E77417">
              <w:rPr>
                <w:rFonts w:eastAsia="Times New Roman" w:cs="Calibri"/>
              </w:rPr>
              <w:t>A response of ‘Yes’</w:t>
            </w:r>
            <w:r>
              <w:rPr>
                <w:rFonts w:eastAsia="Times New Roman" w:cs="Calibri"/>
              </w:rPr>
              <w:t>.</w:t>
            </w:r>
          </w:p>
          <w:p w14:paraId="0C207925" w14:textId="77777777" w:rsidR="008D50B3" w:rsidRDefault="008D50B3" w:rsidP="008D50B3">
            <w:pPr>
              <w:spacing w:after="0" w:line="276" w:lineRule="auto"/>
              <w:jc w:val="both"/>
              <w:rPr>
                <w:rFonts w:eastAsia="Times New Roman" w:cs="Calibri"/>
              </w:rPr>
            </w:pPr>
          </w:p>
          <w:p w14:paraId="54D433EB" w14:textId="77777777" w:rsidR="008D50B3" w:rsidRPr="001E53D0" w:rsidRDefault="008D50B3" w:rsidP="008D50B3">
            <w:pPr>
              <w:spacing w:after="0" w:line="276" w:lineRule="auto"/>
              <w:jc w:val="both"/>
              <w:rPr>
                <w:rFonts w:eastAsia="Times New Roman" w:cs="Calibri"/>
                <w:b/>
                <w:bCs/>
                <w:u w:val="single"/>
              </w:rPr>
            </w:pPr>
            <w:r w:rsidRPr="001E53D0">
              <w:rPr>
                <w:rFonts w:eastAsia="Times New Roman" w:cs="Calibri"/>
                <w:b/>
                <w:bCs/>
                <w:u w:val="single"/>
              </w:rPr>
              <w:t>Fail</w:t>
            </w:r>
          </w:p>
          <w:p w14:paraId="6BD8900A" w14:textId="77777777" w:rsidR="008D50B3" w:rsidRPr="00AC571A" w:rsidRDefault="008D50B3" w:rsidP="008D50B3">
            <w:pPr>
              <w:spacing w:after="0" w:line="276" w:lineRule="auto"/>
              <w:jc w:val="both"/>
              <w:rPr>
                <w:rFonts w:eastAsia="Times New Roman" w:cs="Calibri"/>
              </w:rPr>
            </w:pPr>
          </w:p>
          <w:p w14:paraId="6E1ACF62" w14:textId="77777777" w:rsidR="008D50B3" w:rsidRPr="00E66809" w:rsidRDefault="008D50B3" w:rsidP="008D50B3">
            <w:pPr>
              <w:spacing w:after="0" w:line="276" w:lineRule="auto"/>
              <w:jc w:val="both"/>
              <w:rPr>
                <w:rFonts w:eastAsia="Times New Roman" w:cs="Calibri"/>
              </w:rPr>
            </w:pPr>
            <w:r>
              <w:rPr>
                <w:rFonts w:eastAsia="Times New Roman" w:cs="Calibri"/>
              </w:rPr>
              <w:t>A response of ‘No’</w:t>
            </w:r>
          </w:p>
          <w:p w14:paraId="7DF2936F" w14:textId="5FE566CD" w:rsidR="00B95B30" w:rsidRPr="00E66809" w:rsidRDefault="00B95B30" w:rsidP="00B95B30">
            <w:pPr>
              <w:spacing w:after="0" w:line="276" w:lineRule="auto"/>
              <w:jc w:val="both"/>
              <w:rPr>
                <w:rFonts w:eastAsia="Times New Roman" w:cs="Calibri"/>
                <w:highlight w:val="yellow"/>
              </w:rPr>
            </w:pPr>
          </w:p>
        </w:tc>
      </w:tr>
      <w:tr w:rsidR="006168B0" w:rsidRPr="00BF1FD6" w14:paraId="3D6211EC" w14:textId="77777777" w:rsidTr="00467A23">
        <w:trPr>
          <w:trHeight w:val="510"/>
        </w:trPr>
        <w:tc>
          <w:tcPr>
            <w:tcW w:w="717" w:type="pct"/>
            <w:shd w:val="clear" w:color="auto" w:fill="FFFFFF" w:themeFill="background1"/>
          </w:tcPr>
          <w:p w14:paraId="0095D136" w14:textId="77777777" w:rsidR="006168B0" w:rsidRPr="00E66809" w:rsidRDefault="006168B0">
            <w:pPr>
              <w:spacing w:after="0" w:line="276" w:lineRule="auto"/>
              <w:jc w:val="both"/>
              <w:rPr>
                <w:rFonts w:eastAsia="Times New Roman" w:cs="Calibri"/>
              </w:rPr>
            </w:pPr>
            <w:r w:rsidRPr="00E66809">
              <w:rPr>
                <w:rFonts w:eastAsia="Times New Roman" w:cs="Calibri"/>
              </w:rPr>
              <w:t>3.8</w:t>
            </w:r>
          </w:p>
        </w:tc>
        <w:tc>
          <w:tcPr>
            <w:tcW w:w="859" w:type="pct"/>
            <w:shd w:val="clear" w:color="auto" w:fill="FFFFFF" w:themeFill="background1"/>
          </w:tcPr>
          <w:p w14:paraId="0E87B4E0" w14:textId="77777777" w:rsidR="006168B0" w:rsidRPr="00E66809" w:rsidRDefault="006168B0">
            <w:pPr>
              <w:spacing w:after="0" w:line="276" w:lineRule="auto"/>
              <w:jc w:val="both"/>
              <w:rPr>
                <w:rFonts w:eastAsia="Times New Roman" w:cs="Calibri"/>
              </w:rPr>
            </w:pPr>
            <w:r w:rsidRPr="00E66809">
              <w:rPr>
                <w:rFonts w:eastAsia="Times New Roman" w:cs="Calibri"/>
              </w:rPr>
              <w:t>Scored</w:t>
            </w:r>
          </w:p>
        </w:tc>
        <w:tc>
          <w:tcPr>
            <w:tcW w:w="3424" w:type="pct"/>
            <w:shd w:val="clear" w:color="auto" w:fill="FFFFFF" w:themeFill="background1"/>
          </w:tcPr>
          <w:p w14:paraId="0732A7F5" w14:textId="60B9D096" w:rsidR="006168B0" w:rsidRPr="00E66809" w:rsidRDefault="006168B0">
            <w:pPr>
              <w:spacing w:after="0" w:line="276" w:lineRule="auto"/>
              <w:jc w:val="both"/>
              <w:rPr>
                <w:rFonts w:eastAsia="Times New Roman" w:cs="Calibri"/>
                <w:b/>
                <w:u w:val="single"/>
              </w:rPr>
            </w:pPr>
            <w:r w:rsidRPr="00E77417">
              <w:rPr>
                <w:rFonts w:eastAsia="Times New Roman" w:cs="Calibri"/>
                <w:bCs/>
              </w:rPr>
              <w:t xml:space="preserve">See </w:t>
            </w:r>
            <w:r w:rsidR="00B11060" w:rsidRPr="00B11060">
              <w:rPr>
                <w:rFonts w:eastAsia="Times New Roman" w:cs="Calibri"/>
                <w:bCs/>
              </w:rPr>
              <w:t xml:space="preserve">Table 2: Scoring Matrix </w:t>
            </w:r>
            <w:proofErr w:type="gramStart"/>
            <w:r w:rsidR="00B11060" w:rsidRPr="00B11060">
              <w:rPr>
                <w:rFonts w:eastAsia="Times New Roman" w:cs="Calibri"/>
                <w:bCs/>
              </w:rPr>
              <w:t>For</w:t>
            </w:r>
            <w:proofErr w:type="gramEnd"/>
            <w:r w:rsidR="00B11060" w:rsidRPr="00B11060">
              <w:rPr>
                <w:rFonts w:eastAsia="Times New Roman" w:cs="Calibri"/>
                <w:bCs/>
              </w:rPr>
              <w:t xml:space="preserve"> the Case Study Question (Q3.8) Quality Criteria at PSQ Stage</w:t>
            </w:r>
          </w:p>
        </w:tc>
      </w:tr>
      <w:tr w:rsidR="006168B0" w:rsidRPr="00BF1FD6" w14:paraId="253D53C7" w14:textId="77777777" w:rsidTr="00467A23">
        <w:trPr>
          <w:trHeight w:val="510"/>
        </w:trPr>
        <w:tc>
          <w:tcPr>
            <w:tcW w:w="717" w:type="pct"/>
            <w:shd w:val="clear" w:color="auto" w:fill="FFFFFF" w:themeFill="background1"/>
          </w:tcPr>
          <w:p w14:paraId="7656577F" w14:textId="77777777" w:rsidR="006168B0" w:rsidRPr="00E66809" w:rsidRDefault="006168B0">
            <w:pPr>
              <w:spacing w:after="0" w:line="276" w:lineRule="auto"/>
              <w:jc w:val="both"/>
              <w:rPr>
                <w:rFonts w:eastAsia="Times New Roman" w:cs="Calibri"/>
              </w:rPr>
            </w:pPr>
            <w:r w:rsidRPr="00E66809">
              <w:rPr>
                <w:rFonts w:eastAsia="Times New Roman" w:cs="Calibri"/>
              </w:rPr>
              <w:t>3.9</w:t>
            </w:r>
          </w:p>
        </w:tc>
        <w:tc>
          <w:tcPr>
            <w:tcW w:w="859" w:type="pct"/>
            <w:shd w:val="clear" w:color="auto" w:fill="FFFFFF" w:themeFill="background1"/>
          </w:tcPr>
          <w:p w14:paraId="696793AD" w14:textId="77777777" w:rsidR="006168B0" w:rsidRPr="00E66809" w:rsidRDefault="006168B0">
            <w:pPr>
              <w:spacing w:after="0" w:line="276" w:lineRule="auto"/>
              <w:jc w:val="both"/>
              <w:rPr>
                <w:rFonts w:eastAsia="Times New Roman" w:cs="Calibri"/>
              </w:rPr>
            </w:pPr>
            <w:r w:rsidRPr="00E66809">
              <w:rPr>
                <w:rFonts w:eastAsia="Times New Roman" w:cs="Calibri"/>
              </w:rPr>
              <w:t>Scored</w:t>
            </w:r>
          </w:p>
        </w:tc>
        <w:tc>
          <w:tcPr>
            <w:tcW w:w="3424" w:type="pct"/>
            <w:shd w:val="clear" w:color="auto" w:fill="FFFFFF" w:themeFill="background1"/>
          </w:tcPr>
          <w:p w14:paraId="45994D75" w14:textId="61C17C58" w:rsidR="006168B0" w:rsidRPr="00E66809" w:rsidRDefault="006168B0">
            <w:pPr>
              <w:spacing w:after="0" w:line="276" w:lineRule="auto"/>
              <w:jc w:val="both"/>
              <w:rPr>
                <w:rFonts w:eastAsia="Times New Roman" w:cs="Calibri"/>
                <w:b/>
                <w:u w:val="single"/>
              </w:rPr>
            </w:pPr>
            <w:r w:rsidRPr="00E77417">
              <w:rPr>
                <w:rFonts w:eastAsia="Times New Roman" w:cs="Calibri"/>
                <w:bCs/>
              </w:rPr>
              <w:t xml:space="preserve">See </w:t>
            </w:r>
            <w:r w:rsidR="00D65410">
              <w:rPr>
                <w:rFonts w:eastAsia="Times New Roman" w:cs="Calibri"/>
                <w:bCs/>
              </w:rPr>
              <w:t xml:space="preserve">Table 1: </w:t>
            </w:r>
            <w:r w:rsidR="00D65410" w:rsidRPr="00D65410">
              <w:rPr>
                <w:rFonts w:eastAsia="Times New Roman" w:cs="Calibri"/>
                <w:bCs/>
              </w:rPr>
              <w:t xml:space="preserve">Scoring Matrix </w:t>
            </w:r>
            <w:proofErr w:type="gramStart"/>
            <w:r w:rsidR="00D65410" w:rsidRPr="00D65410">
              <w:rPr>
                <w:rFonts w:eastAsia="Times New Roman" w:cs="Calibri"/>
                <w:bCs/>
              </w:rPr>
              <w:t>For</w:t>
            </w:r>
            <w:proofErr w:type="gramEnd"/>
            <w:r w:rsidR="00D65410" w:rsidRPr="00D65410">
              <w:rPr>
                <w:rFonts w:eastAsia="Times New Roman" w:cs="Calibri"/>
                <w:bCs/>
              </w:rPr>
              <w:t xml:space="preserve"> the Quality Criteria at PSQ Stage (Questions 3.9 – 3.14)</w:t>
            </w:r>
          </w:p>
        </w:tc>
      </w:tr>
      <w:tr w:rsidR="006168B0" w:rsidRPr="00BF1FD6" w14:paraId="70B75145" w14:textId="77777777" w:rsidTr="00467A23">
        <w:trPr>
          <w:trHeight w:val="510"/>
        </w:trPr>
        <w:tc>
          <w:tcPr>
            <w:tcW w:w="717" w:type="pct"/>
            <w:shd w:val="clear" w:color="auto" w:fill="FFFFFF" w:themeFill="background1"/>
          </w:tcPr>
          <w:p w14:paraId="3CC3BDB4" w14:textId="72CA1E0E" w:rsidR="006168B0" w:rsidRPr="00E66809" w:rsidRDefault="006168B0">
            <w:pPr>
              <w:spacing w:after="0" w:line="276" w:lineRule="auto"/>
              <w:jc w:val="both"/>
              <w:rPr>
                <w:rFonts w:eastAsia="Times New Roman" w:cs="Calibri"/>
              </w:rPr>
            </w:pPr>
            <w:r w:rsidRPr="00E66809">
              <w:rPr>
                <w:rFonts w:eastAsia="Times New Roman" w:cs="Calibri"/>
              </w:rPr>
              <w:t>3.10</w:t>
            </w:r>
            <w:r w:rsidR="006A245C">
              <w:rPr>
                <w:rFonts w:eastAsia="Times New Roman" w:cs="Calibri"/>
              </w:rPr>
              <w:t>.1</w:t>
            </w:r>
          </w:p>
        </w:tc>
        <w:tc>
          <w:tcPr>
            <w:tcW w:w="859" w:type="pct"/>
            <w:shd w:val="clear" w:color="auto" w:fill="FFFFFF" w:themeFill="background1"/>
          </w:tcPr>
          <w:p w14:paraId="3C517603" w14:textId="5CF3259F" w:rsidR="006168B0" w:rsidRPr="00E66809" w:rsidRDefault="00D85905">
            <w:pPr>
              <w:spacing w:after="0" w:line="276" w:lineRule="auto"/>
              <w:jc w:val="both"/>
              <w:rPr>
                <w:rFonts w:eastAsia="Times New Roman" w:cs="Calibri"/>
              </w:rPr>
            </w:pPr>
            <w:r w:rsidRPr="00E66809">
              <w:rPr>
                <w:rFonts w:eastAsia="Times New Roman" w:cs="Calibri"/>
              </w:rPr>
              <w:t>Pass/Fail</w:t>
            </w:r>
          </w:p>
        </w:tc>
        <w:tc>
          <w:tcPr>
            <w:tcW w:w="3424" w:type="pct"/>
            <w:shd w:val="clear" w:color="auto" w:fill="FFFFFF" w:themeFill="background1"/>
          </w:tcPr>
          <w:p w14:paraId="11F756AF" w14:textId="77777777" w:rsidR="00D85905" w:rsidRPr="00E77417" w:rsidRDefault="00D85905" w:rsidP="00D85905">
            <w:pPr>
              <w:spacing w:after="0" w:line="276" w:lineRule="auto"/>
              <w:jc w:val="both"/>
              <w:rPr>
                <w:rFonts w:eastAsia="Times New Roman" w:cs="Calibri"/>
                <w:b/>
                <w:u w:val="single"/>
              </w:rPr>
            </w:pPr>
            <w:r w:rsidRPr="00E77417">
              <w:rPr>
                <w:rFonts w:eastAsia="Times New Roman" w:cs="Calibri"/>
                <w:b/>
                <w:u w:val="single"/>
              </w:rPr>
              <w:t>Pass</w:t>
            </w:r>
          </w:p>
          <w:p w14:paraId="58C53C5B" w14:textId="77777777" w:rsidR="00D85905" w:rsidRDefault="00D85905" w:rsidP="00D85905">
            <w:pPr>
              <w:spacing w:after="0" w:line="276" w:lineRule="auto"/>
              <w:jc w:val="both"/>
              <w:rPr>
                <w:rFonts w:eastAsia="Times New Roman" w:cs="Calibri"/>
              </w:rPr>
            </w:pPr>
            <w:r w:rsidRPr="00E77417">
              <w:rPr>
                <w:rFonts w:eastAsia="Times New Roman" w:cs="Calibri"/>
              </w:rPr>
              <w:t>A response of ‘Yes’</w:t>
            </w:r>
            <w:r>
              <w:rPr>
                <w:rFonts w:eastAsia="Times New Roman" w:cs="Calibri"/>
              </w:rPr>
              <w:t>.</w:t>
            </w:r>
          </w:p>
          <w:p w14:paraId="53573D0A" w14:textId="77777777" w:rsidR="00D85905" w:rsidRDefault="00D85905" w:rsidP="00D85905">
            <w:pPr>
              <w:spacing w:after="0" w:line="276" w:lineRule="auto"/>
              <w:jc w:val="both"/>
              <w:rPr>
                <w:rFonts w:eastAsia="Times New Roman" w:cs="Calibri"/>
              </w:rPr>
            </w:pPr>
          </w:p>
          <w:p w14:paraId="639CFE36" w14:textId="14FB2C5C" w:rsidR="00D85905" w:rsidRPr="001E53D0" w:rsidRDefault="00D85905" w:rsidP="00D85905">
            <w:pPr>
              <w:spacing w:after="0" w:line="276" w:lineRule="auto"/>
              <w:jc w:val="both"/>
              <w:rPr>
                <w:rFonts w:eastAsia="Times New Roman" w:cs="Calibri"/>
                <w:b/>
                <w:bCs/>
                <w:u w:val="single"/>
              </w:rPr>
            </w:pPr>
            <w:r w:rsidRPr="001E53D0">
              <w:rPr>
                <w:rFonts w:eastAsia="Times New Roman" w:cs="Calibri"/>
                <w:b/>
                <w:bCs/>
                <w:u w:val="single"/>
              </w:rPr>
              <w:t>Fail</w:t>
            </w:r>
          </w:p>
          <w:p w14:paraId="77B48A6F" w14:textId="77777777" w:rsidR="00D85905" w:rsidRPr="00AC571A" w:rsidRDefault="00D85905" w:rsidP="00D85905">
            <w:pPr>
              <w:spacing w:after="0" w:line="276" w:lineRule="auto"/>
              <w:jc w:val="both"/>
              <w:rPr>
                <w:rFonts w:eastAsia="Times New Roman" w:cs="Calibri"/>
              </w:rPr>
            </w:pPr>
          </w:p>
          <w:p w14:paraId="642FAC9F" w14:textId="1AAAB945" w:rsidR="00D85905" w:rsidRPr="00E66809" w:rsidRDefault="00D85905" w:rsidP="00D85905">
            <w:pPr>
              <w:spacing w:after="0" w:line="276" w:lineRule="auto"/>
              <w:jc w:val="both"/>
              <w:rPr>
                <w:rFonts w:eastAsia="Times New Roman" w:cs="Calibri"/>
              </w:rPr>
            </w:pPr>
            <w:r>
              <w:rPr>
                <w:rFonts w:eastAsia="Times New Roman" w:cs="Calibri"/>
              </w:rPr>
              <w:t>A response of ‘No’</w:t>
            </w:r>
          </w:p>
          <w:p w14:paraId="1C291FD8" w14:textId="300F1CD2" w:rsidR="006168B0" w:rsidRPr="00C21109" w:rsidRDefault="006168B0">
            <w:pPr>
              <w:spacing w:after="0" w:line="276" w:lineRule="auto"/>
              <w:jc w:val="both"/>
              <w:rPr>
                <w:rFonts w:eastAsia="Times New Roman" w:cs="Calibri"/>
              </w:rPr>
            </w:pPr>
          </w:p>
        </w:tc>
      </w:tr>
      <w:tr w:rsidR="00D65410" w:rsidRPr="00BF1FD6" w14:paraId="59EB3714" w14:textId="77777777" w:rsidTr="00467A23">
        <w:trPr>
          <w:trHeight w:val="510"/>
        </w:trPr>
        <w:tc>
          <w:tcPr>
            <w:tcW w:w="717" w:type="pct"/>
            <w:shd w:val="clear" w:color="auto" w:fill="FFFFFF" w:themeFill="background1"/>
          </w:tcPr>
          <w:p w14:paraId="43B5BFEC" w14:textId="1B365CF1" w:rsidR="00D65410" w:rsidRPr="00E66809" w:rsidRDefault="00D65410" w:rsidP="00D65410">
            <w:pPr>
              <w:spacing w:after="0" w:line="276" w:lineRule="auto"/>
              <w:jc w:val="both"/>
              <w:rPr>
                <w:rFonts w:eastAsia="Times New Roman" w:cs="Calibri"/>
              </w:rPr>
            </w:pPr>
            <w:r>
              <w:rPr>
                <w:rFonts w:eastAsia="Times New Roman" w:cs="Calibri"/>
              </w:rPr>
              <w:t>3.10</w:t>
            </w:r>
            <w:r w:rsidR="006A245C">
              <w:rPr>
                <w:rFonts w:eastAsia="Times New Roman" w:cs="Calibri"/>
              </w:rPr>
              <w:t>.2</w:t>
            </w:r>
          </w:p>
        </w:tc>
        <w:tc>
          <w:tcPr>
            <w:tcW w:w="859" w:type="pct"/>
            <w:shd w:val="clear" w:color="auto" w:fill="FFFFFF" w:themeFill="background1"/>
          </w:tcPr>
          <w:p w14:paraId="2E90A451" w14:textId="77777777" w:rsidR="00D65410" w:rsidRPr="00E66809" w:rsidRDefault="00D65410" w:rsidP="00D65410">
            <w:pPr>
              <w:spacing w:after="0" w:line="276" w:lineRule="auto"/>
              <w:jc w:val="both"/>
              <w:rPr>
                <w:rFonts w:eastAsia="Times New Roman" w:cs="Calibri"/>
              </w:rPr>
            </w:pPr>
            <w:r w:rsidRPr="00E66809">
              <w:rPr>
                <w:rFonts w:eastAsia="Times New Roman" w:cs="Calibri"/>
              </w:rPr>
              <w:t>Scored</w:t>
            </w:r>
          </w:p>
        </w:tc>
        <w:tc>
          <w:tcPr>
            <w:tcW w:w="3424" w:type="pct"/>
            <w:shd w:val="clear" w:color="auto" w:fill="FFFFFF" w:themeFill="background1"/>
          </w:tcPr>
          <w:p w14:paraId="7DFC7A42" w14:textId="56CC295D" w:rsidR="00D65410" w:rsidRPr="00C21109" w:rsidRDefault="00D65410" w:rsidP="00D65410">
            <w:pPr>
              <w:spacing w:after="0" w:line="276" w:lineRule="auto"/>
              <w:jc w:val="both"/>
              <w:rPr>
                <w:rFonts w:eastAsia="Times New Roman" w:cs="Calibri"/>
              </w:rPr>
            </w:pPr>
            <w:r w:rsidRPr="004224BC">
              <w:rPr>
                <w:rFonts w:eastAsia="Times New Roman" w:cs="Calibri"/>
                <w:bCs/>
              </w:rPr>
              <w:t xml:space="preserve">See Table 1: Scoring Matrix </w:t>
            </w:r>
            <w:proofErr w:type="gramStart"/>
            <w:r w:rsidRPr="004224BC">
              <w:rPr>
                <w:rFonts w:eastAsia="Times New Roman" w:cs="Calibri"/>
                <w:bCs/>
              </w:rPr>
              <w:t>For</w:t>
            </w:r>
            <w:proofErr w:type="gramEnd"/>
            <w:r w:rsidRPr="004224BC">
              <w:rPr>
                <w:rFonts w:eastAsia="Times New Roman" w:cs="Calibri"/>
                <w:bCs/>
              </w:rPr>
              <w:t xml:space="preserve"> the Quality Criteria at PSQ Stage (Questions 3.9 – 3.14)</w:t>
            </w:r>
          </w:p>
        </w:tc>
      </w:tr>
      <w:tr w:rsidR="00D65410" w:rsidRPr="00BF1FD6" w14:paraId="2BBE74E3" w14:textId="77777777" w:rsidTr="00467A23">
        <w:trPr>
          <w:trHeight w:val="510"/>
        </w:trPr>
        <w:tc>
          <w:tcPr>
            <w:tcW w:w="717" w:type="pct"/>
            <w:shd w:val="clear" w:color="auto" w:fill="FFFFFF" w:themeFill="background1"/>
          </w:tcPr>
          <w:p w14:paraId="2FACD2E8" w14:textId="77777777" w:rsidR="00D65410" w:rsidRPr="00E66809" w:rsidRDefault="00D65410" w:rsidP="00D65410">
            <w:pPr>
              <w:spacing w:after="0" w:line="276" w:lineRule="auto"/>
              <w:jc w:val="both"/>
              <w:rPr>
                <w:rFonts w:eastAsia="Times New Roman" w:cs="Calibri"/>
              </w:rPr>
            </w:pPr>
            <w:r w:rsidRPr="00E66809">
              <w:rPr>
                <w:rFonts w:eastAsia="Times New Roman" w:cs="Calibri"/>
              </w:rPr>
              <w:t>3.1</w:t>
            </w:r>
            <w:r>
              <w:rPr>
                <w:rFonts w:eastAsia="Times New Roman" w:cs="Calibri"/>
              </w:rPr>
              <w:t>1</w:t>
            </w:r>
          </w:p>
        </w:tc>
        <w:tc>
          <w:tcPr>
            <w:tcW w:w="859" w:type="pct"/>
            <w:shd w:val="clear" w:color="auto" w:fill="FFFFFF" w:themeFill="background1"/>
          </w:tcPr>
          <w:p w14:paraId="1423E38D" w14:textId="77777777" w:rsidR="00D65410" w:rsidRPr="00E66809" w:rsidRDefault="00D65410" w:rsidP="00D65410">
            <w:pPr>
              <w:spacing w:after="0" w:line="276" w:lineRule="auto"/>
              <w:jc w:val="both"/>
              <w:rPr>
                <w:rFonts w:eastAsia="Times New Roman" w:cs="Calibri"/>
              </w:rPr>
            </w:pPr>
            <w:r w:rsidRPr="00E66809">
              <w:rPr>
                <w:rFonts w:eastAsia="Times New Roman" w:cs="Calibri"/>
              </w:rPr>
              <w:t>Scored</w:t>
            </w:r>
          </w:p>
        </w:tc>
        <w:tc>
          <w:tcPr>
            <w:tcW w:w="3424" w:type="pct"/>
            <w:shd w:val="clear" w:color="auto" w:fill="FFFFFF" w:themeFill="background1"/>
          </w:tcPr>
          <w:p w14:paraId="3FDD66D3" w14:textId="715BB61D" w:rsidR="00D65410" w:rsidRPr="00E66809" w:rsidRDefault="00D65410" w:rsidP="00D65410">
            <w:pPr>
              <w:spacing w:after="0" w:line="276" w:lineRule="auto"/>
              <w:jc w:val="both"/>
              <w:rPr>
                <w:rFonts w:eastAsia="Times New Roman" w:cs="Calibri"/>
              </w:rPr>
            </w:pPr>
            <w:r w:rsidRPr="004224BC">
              <w:rPr>
                <w:rFonts w:eastAsia="Times New Roman" w:cs="Calibri"/>
                <w:bCs/>
              </w:rPr>
              <w:t xml:space="preserve">See Table 1: Scoring Matrix </w:t>
            </w:r>
            <w:proofErr w:type="gramStart"/>
            <w:r w:rsidRPr="004224BC">
              <w:rPr>
                <w:rFonts w:eastAsia="Times New Roman" w:cs="Calibri"/>
                <w:bCs/>
              </w:rPr>
              <w:t>For</w:t>
            </w:r>
            <w:proofErr w:type="gramEnd"/>
            <w:r w:rsidRPr="004224BC">
              <w:rPr>
                <w:rFonts w:eastAsia="Times New Roman" w:cs="Calibri"/>
                <w:bCs/>
              </w:rPr>
              <w:t xml:space="preserve"> the Quality Criteria at PSQ Stage (Questions 3.9 – 3.14)</w:t>
            </w:r>
          </w:p>
        </w:tc>
      </w:tr>
      <w:tr w:rsidR="00D65410" w:rsidRPr="00BF1FD6" w14:paraId="481719ED" w14:textId="77777777" w:rsidTr="00467A23">
        <w:trPr>
          <w:trHeight w:val="510"/>
        </w:trPr>
        <w:tc>
          <w:tcPr>
            <w:tcW w:w="717" w:type="pct"/>
            <w:shd w:val="clear" w:color="auto" w:fill="FFFFFF" w:themeFill="background1"/>
          </w:tcPr>
          <w:p w14:paraId="4496DFD6" w14:textId="77777777" w:rsidR="00D65410" w:rsidRPr="00E66809" w:rsidRDefault="00D65410" w:rsidP="00D65410">
            <w:pPr>
              <w:spacing w:after="0" w:line="276" w:lineRule="auto"/>
              <w:jc w:val="both"/>
              <w:rPr>
                <w:rFonts w:eastAsia="Times New Roman" w:cs="Calibri"/>
              </w:rPr>
            </w:pPr>
            <w:r w:rsidRPr="00E66809">
              <w:rPr>
                <w:rFonts w:eastAsia="Times New Roman" w:cs="Calibri"/>
              </w:rPr>
              <w:t>3.1</w:t>
            </w:r>
            <w:r>
              <w:rPr>
                <w:rFonts w:eastAsia="Times New Roman" w:cs="Calibri"/>
              </w:rPr>
              <w:t>2</w:t>
            </w:r>
          </w:p>
        </w:tc>
        <w:tc>
          <w:tcPr>
            <w:tcW w:w="859" w:type="pct"/>
            <w:shd w:val="clear" w:color="auto" w:fill="FFFFFF" w:themeFill="background1"/>
          </w:tcPr>
          <w:p w14:paraId="6B15F77F" w14:textId="77777777" w:rsidR="00D65410" w:rsidRPr="00E66809" w:rsidRDefault="00D65410" w:rsidP="00D65410">
            <w:pPr>
              <w:spacing w:after="0" w:line="276" w:lineRule="auto"/>
              <w:jc w:val="both"/>
              <w:rPr>
                <w:rFonts w:eastAsia="Times New Roman" w:cs="Calibri"/>
              </w:rPr>
            </w:pPr>
            <w:r w:rsidRPr="00E66809">
              <w:rPr>
                <w:rFonts w:eastAsia="Times New Roman" w:cs="Calibri"/>
              </w:rPr>
              <w:t>Scored</w:t>
            </w:r>
          </w:p>
        </w:tc>
        <w:tc>
          <w:tcPr>
            <w:tcW w:w="3424" w:type="pct"/>
            <w:shd w:val="clear" w:color="auto" w:fill="FFFFFF" w:themeFill="background1"/>
          </w:tcPr>
          <w:p w14:paraId="44C4AC69" w14:textId="666674DD" w:rsidR="00D65410" w:rsidRPr="00E66809" w:rsidRDefault="00D65410" w:rsidP="00D65410">
            <w:pPr>
              <w:spacing w:after="0" w:line="276" w:lineRule="auto"/>
              <w:jc w:val="both"/>
              <w:rPr>
                <w:rFonts w:eastAsia="Times New Roman" w:cs="Calibri"/>
              </w:rPr>
            </w:pPr>
            <w:r w:rsidRPr="004224BC">
              <w:rPr>
                <w:rFonts w:eastAsia="Times New Roman" w:cs="Calibri"/>
                <w:bCs/>
              </w:rPr>
              <w:t xml:space="preserve">See Table 1: Scoring Matrix </w:t>
            </w:r>
            <w:proofErr w:type="gramStart"/>
            <w:r w:rsidRPr="004224BC">
              <w:rPr>
                <w:rFonts w:eastAsia="Times New Roman" w:cs="Calibri"/>
                <w:bCs/>
              </w:rPr>
              <w:t>For</w:t>
            </w:r>
            <w:proofErr w:type="gramEnd"/>
            <w:r w:rsidRPr="004224BC">
              <w:rPr>
                <w:rFonts w:eastAsia="Times New Roman" w:cs="Calibri"/>
                <w:bCs/>
              </w:rPr>
              <w:t xml:space="preserve"> the Quality Criteria at PSQ Stage (Questions 3.9 – 3.14)</w:t>
            </w:r>
          </w:p>
        </w:tc>
      </w:tr>
      <w:tr w:rsidR="00D65410" w:rsidRPr="00BF1FD6" w14:paraId="5F7F8EB2" w14:textId="77777777" w:rsidTr="00467A23">
        <w:trPr>
          <w:trHeight w:val="510"/>
        </w:trPr>
        <w:tc>
          <w:tcPr>
            <w:tcW w:w="717" w:type="pct"/>
            <w:shd w:val="clear" w:color="auto" w:fill="FFFFFF" w:themeFill="background1"/>
          </w:tcPr>
          <w:p w14:paraId="394A7483" w14:textId="77777777" w:rsidR="00D65410" w:rsidRPr="00E66809" w:rsidRDefault="00D65410" w:rsidP="00D65410">
            <w:pPr>
              <w:spacing w:after="0" w:line="276" w:lineRule="auto"/>
              <w:jc w:val="both"/>
              <w:rPr>
                <w:rFonts w:eastAsia="Times New Roman" w:cs="Calibri"/>
              </w:rPr>
            </w:pPr>
            <w:r w:rsidRPr="00E66809">
              <w:rPr>
                <w:rFonts w:eastAsia="Times New Roman" w:cs="Calibri"/>
              </w:rPr>
              <w:t>3.1</w:t>
            </w:r>
            <w:r>
              <w:rPr>
                <w:rFonts w:eastAsia="Times New Roman" w:cs="Calibri"/>
              </w:rPr>
              <w:t>3</w:t>
            </w:r>
          </w:p>
        </w:tc>
        <w:tc>
          <w:tcPr>
            <w:tcW w:w="859" w:type="pct"/>
            <w:shd w:val="clear" w:color="auto" w:fill="FFFFFF" w:themeFill="background1"/>
          </w:tcPr>
          <w:p w14:paraId="78649024" w14:textId="77777777" w:rsidR="00D65410" w:rsidRPr="00E66809" w:rsidRDefault="00D65410" w:rsidP="00D65410">
            <w:pPr>
              <w:spacing w:after="0" w:line="276" w:lineRule="auto"/>
              <w:jc w:val="both"/>
              <w:rPr>
                <w:rFonts w:eastAsia="Times New Roman" w:cs="Calibri"/>
              </w:rPr>
            </w:pPr>
            <w:r w:rsidRPr="00E66809">
              <w:rPr>
                <w:rFonts w:eastAsia="Times New Roman" w:cs="Calibri"/>
              </w:rPr>
              <w:t>Scored</w:t>
            </w:r>
          </w:p>
        </w:tc>
        <w:tc>
          <w:tcPr>
            <w:tcW w:w="3424" w:type="pct"/>
            <w:shd w:val="clear" w:color="auto" w:fill="FFFFFF" w:themeFill="background1"/>
          </w:tcPr>
          <w:p w14:paraId="44FAAB04" w14:textId="039E25B8" w:rsidR="00D65410" w:rsidRPr="00E66809" w:rsidRDefault="00D65410" w:rsidP="00D65410">
            <w:pPr>
              <w:spacing w:after="0" w:line="276" w:lineRule="auto"/>
              <w:jc w:val="both"/>
              <w:rPr>
                <w:rFonts w:eastAsia="Times New Roman" w:cs="Calibri"/>
                <w:b/>
                <w:u w:val="single"/>
              </w:rPr>
            </w:pPr>
            <w:r w:rsidRPr="004224BC">
              <w:rPr>
                <w:rFonts w:eastAsia="Times New Roman" w:cs="Calibri"/>
                <w:bCs/>
              </w:rPr>
              <w:t xml:space="preserve">See Table 1: Scoring Matrix </w:t>
            </w:r>
            <w:proofErr w:type="gramStart"/>
            <w:r w:rsidRPr="004224BC">
              <w:rPr>
                <w:rFonts w:eastAsia="Times New Roman" w:cs="Calibri"/>
                <w:bCs/>
              </w:rPr>
              <w:t>For</w:t>
            </w:r>
            <w:proofErr w:type="gramEnd"/>
            <w:r w:rsidRPr="004224BC">
              <w:rPr>
                <w:rFonts w:eastAsia="Times New Roman" w:cs="Calibri"/>
                <w:bCs/>
              </w:rPr>
              <w:t xml:space="preserve"> the Quality Criteria at PSQ Stage (Questions 3.9 – 3.14)</w:t>
            </w:r>
          </w:p>
        </w:tc>
      </w:tr>
      <w:tr w:rsidR="00D65410" w:rsidRPr="00BF1FD6" w14:paraId="240E8938" w14:textId="77777777" w:rsidTr="00467A23">
        <w:trPr>
          <w:trHeight w:val="510"/>
        </w:trPr>
        <w:tc>
          <w:tcPr>
            <w:tcW w:w="717" w:type="pct"/>
            <w:shd w:val="clear" w:color="auto" w:fill="FFFFFF" w:themeFill="background1"/>
          </w:tcPr>
          <w:p w14:paraId="3B921F20" w14:textId="77777777" w:rsidR="00D65410" w:rsidRPr="00E66809" w:rsidRDefault="00D65410" w:rsidP="00D65410">
            <w:pPr>
              <w:spacing w:after="0" w:line="276" w:lineRule="auto"/>
              <w:jc w:val="both"/>
              <w:rPr>
                <w:rFonts w:eastAsia="Times New Roman" w:cs="Calibri"/>
              </w:rPr>
            </w:pPr>
            <w:r w:rsidRPr="00E66809">
              <w:rPr>
                <w:rFonts w:eastAsia="Times New Roman" w:cs="Calibri"/>
              </w:rPr>
              <w:t>3.1</w:t>
            </w:r>
            <w:r>
              <w:rPr>
                <w:rFonts w:eastAsia="Times New Roman" w:cs="Calibri"/>
              </w:rPr>
              <w:t>4</w:t>
            </w:r>
          </w:p>
        </w:tc>
        <w:tc>
          <w:tcPr>
            <w:tcW w:w="859" w:type="pct"/>
            <w:shd w:val="clear" w:color="auto" w:fill="FFFFFF" w:themeFill="background1"/>
          </w:tcPr>
          <w:p w14:paraId="6FC0EE02" w14:textId="77777777" w:rsidR="00D65410" w:rsidRPr="00E66809" w:rsidRDefault="00D65410" w:rsidP="00D65410">
            <w:pPr>
              <w:spacing w:after="0" w:line="276" w:lineRule="auto"/>
              <w:jc w:val="both"/>
              <w:rPr>
                <w:rFonts w:eastAsia="Times New Roman" w:cs="Calibri"/>
              </w:rPr>
            </w:pPr>
            <w:r w:rsidRPr="00E66809">
              <w:rPr>
                <w:rFonts w:eastAsia="Times New Roman" w:cs="Calibri"/>
              </w:rPr>
              <w:t>Scored</w:t>
            </w:r>
          </w:p>
        </w:tc>
        <w:tc>
          <w:tcPr>
            <w:tcW w:w="3424" w:type="pct"/>
            <w:shd w:val="clear" w:color="auto" w:fill="FFFFFF" w:themeFill="background1"/>
          </w:tcPr>
          <w:p w14:paraId="5777A555" w14:textId="6519B8BE" w:rsidR="00D65410" w:rsidRPr="00E66809" w:rsidRDefault="00D65410" w:rsidP="00D65410">
            <w:pPr>
              <w:spacing w:after="0" w:line="276" w:lineRule="auto"/>
              <w:jc w:val="both"/>
              <w:rPr>
                <w:rFonts w:eastAsia="Times New Roman" w:cs="Calibri"/>
                <w:b/>
                <w:u w:val="single"/>
              </w:rPr>
            </w:pPr>
            <w:r w:rsidRPr="004224BC">
              <w:rPr>
                <w:rFonts w:eastAsia="Times New Roman" w:cs="Calibri"/>
                <w:bCs/>
              </w:rPr>
              <w:t xml:space="preserve">See Table 1: Scoring Matrix </w:t>
            </w:r>
            <w:proofErr w:type="gramStart"/>
            <w:r w:rsidRPr="004224BC">
              <w:rPr>
                <w:rFonts w:eastAsia="Times New Roman" w:cs="Calibri"/>
                <w:bCs/>
              </w:rPr>
              <w:t>For</w:t>
            </w:r>
            <w:proofErr w:type="gramEnd"/>
            <w:r w:rsidRPr="004224BC">
              <w:rPr>
                <w:rFonts w:eastAsia="Times New Roman" w:cs="Calibri"/>
                <w:bCs/>
              </w:rPr>
              <w:t xml:space="preserve"> the Quality Criteria at PSQ Stage (Questions 3.9 – 3.14)</w:t>
            </w:r>
          </w:p>
        </w:tc>
      </w:tr>
      <w:tr w:rsidR="006168B0" w:rsidRPr="00BF1FD6" w14:paraId="005CF74D" w14:textId="77777777" w:rsidTr="00467A23">
        <w:trPr>
          <w:trHeight w:val="510"/>
        </w:trPr>
        <w:tc>
          <w:tcPr>
            <w:tcW w:w="717" w:type="pct"/>
            <w:shd w:val="clear" w:color="auto" w:fill="FFFFFF" w:themeFill="background1"/>
          </w:tcPr>
          <w:p w14:paraId="5CB2ECED" w14:textId="77777777" w:rsidR="006168B0" w:rsidRPr="00E66809" w:rsidRDefault="006168B0">
            <w:pPr>
              <w:spacing w:after="0" w:line="276" w:lineRule="auto"/>
              <w:jc w:val="both"/>
              <w:rPr>
                <w:rFonts w:eastAsia="Times New Roman" w:cs="Calibri"/>
              </w:rPr>
            </w:pPr>
            <w:r w:rsidRPr="00E66809">
              <w:rPr>
                <w:rFonts w:eastAsia="Times New Roman" w:cs="Calibri"/>
              </w:rPr>
              <w:t>3.1</w:t>
            </w:r>
            <w:r>
              <w:rPr>
                <w:rFonts w:eastAsia="Times New Roman" w:cs="Calibri"/>
              </w:rPr>
              <w:t>5</w:t>
            </w:r>
          </w:p>
        </w:tc>
        <w:tc>
          <w:tcPr>
            <w:tcW w:w="859" w:type="pct"/>
            <w:shd w:val="clear" w:color="auto" w:fill="FFFFFF" w:themeFill="background1"/>
          </w:tcPr>
          <w:p w14:paraId="57383A28" w14:textId="77777777" w:rsidR="006168B0" w:rsidRPr="00E66809" w:rsidRDefault="006168B0">
            <w:pPr>
              <w:spacing w:after="0" w:line="276" w:lineRule="auto"/>
              <w:jc w:val="both"/>
              <w:rPr>
                <w:rFonts w:eastAsia="Times New Roman" w:cs="Calibri"/>
              </w:rPr>
            </w:pPr>
            <w:r w:rsidRPr="00E66809">
              <w:rPr>
                <w:rFonts w:eastAsia="Times New Roman" w:cs="Calibri"/>
              </w:rPr>
              <w:t>Not assessed</w:t>
            </w:r>
          </w:p>
        </w:tc>
        <w:tc>
          <w:tcPr>
            <w:tcW w:w="3424" w:type="pct"/>
            <w:shd w:val="clear" w:color="auto" w:fill="FFFFFF" w:themeFill="background1"/>
          </w:tcPr>
          <w:p w14:paraId="231BE640" w14:textId="77777777" w:rsidR="006168B0" w:rsidRPr="00E66809" w:rsidRDefault="006168B0">
            <w:pPr>
              <w:spacing w:after="0" w:line="276" w:lineRule="auto"/>
              <w:jc w:val="both"/>
              <w:rPr>
                <w:rFonts w:eastAsia="Times New Roman" w:cs="Calibri"/>
                <w:b/>
                <w:u w:val="single"/>
              </w:rPr>
            </w:pPr>
            <w:r w:rsidRPr="00E66809">
              <w:rPr>
                <w:rFonts w:eastAsia="Times New Roman" w:cs="Calibri"/>
              </w:rPr>
              <w:t>Response provided for information only.</w:t>
            </w:r>
          </w:p>
        </w:tc>
      </w:tr>
      <w:tr w:rsidR="006168B0" w:rsidRPr="00BF1FD6" w14:paraId="65422B2E" w14:textId="77777777" w:rsidTr="00467A23">
        <w:trPr>
          <w:trHeight w:val="510"/>
        </w:trPr>
        <w:tc>
          <w:tcPr>
            <w:tcW w:w="717" w:type="pct"/>
            <w:shd w:val="clear" w:color="auto" w:fill="FFFFFF" w:themeFill="background1"/>
          </w:tcPr>
          <w:p w14:paraId="0987F47B" w14:textId="77777777" w:rsidR="006168B0" w:rsidRPr="00E66809" w:rsidRDefault="006168B0">
            <w:pPr>
              <w:spacing w:after="0" w:line="276" w:lineRule="auto"/>
              <w:jc w:val="both"/>
              <w:rPr>
                <w:rFonts w:eastAsia="Times New Roman" w:cs="Calibri"/>
              </w:rPr>
            </w:pPr>
            <w:r w:rsidRPr="00E66809">
              <w:rPr>
                <w:rFonts w:eastAsia="Times New Roman" w:cs="Calibri"/>
              </w:rPr>
              <w:t>3.</w:t>
            </w:r>
            <w:r>
              <w:rPr>
                <w:rFonts w:eastAsia="Times New Roman" w:cs="Calibri"/>
              </w:rPr>
              <w:t>16</w:t>
            </w:r>
          </w:p>
        </w:tc>
        <w:tc>
          <w:tcPr>
            <w:tcW w:w="859" w:type="pct"/>
            <w:shd w:val="clear" w:color="auto" w:fill="FFFFFF" w:themeFill="background1"/>
          </w:tcPr>
          <w:p w14:paraId="3FBACC4E"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424" w:type="pct"/>
            <w:shd w:val="clear" w:color="auto" w:fill="FFFFFF" w:themeFill="background1"/>
          </w:tcPr>
          <w:p w14:paraId="7C3CA856"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3E12DE42" w14:textId="77777777" w:rsidR="006168B0" w:rsidRPr="00E66809" w:rsidRDefault="006168B0">
            <w:pPr>
              <w:spacing w:after="0" w:line="276" w:lineRule="auto"/>
              <w:jc w:val="both"/>
              <w:rPr>
                <w:rFonts w:eastAsia="Times New Roman" w:cs="Calibri"/>
              </w:rPr>
            </w:pPr>
            <w:r>
              <w:rPr>
                <w:rFonts w:eastAsia="Times New Roman" w:cs="Calibri"/>
              </w:rPr>
              <w:t xml:space="preserve">A response of ‘Yes’ or ‘No’ is </w:t>
            </w:r>
            <w:proofErr w:type="gramStart"/>
            <w:r>
              <w:rPr>
                <w:rFonts w:eastAsia="Times New Roman" w:cs="Calibri"/>
              </w:rPr>
              <w:t>provided</w:t>
            </w:r>
            <w:proofErr w:type="gramEnd"/>
          </w:p>
          <w:p w14:paraId="74E55CEB"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p>
          <w:p w14:paraId="1E2AA67F" w14:textId="77777777" w:rsidR="006168B0" w:rsidRPr="00E66809" w:rsidRDefault="006168B0">
            <w:pPr>
              <w:spacing w:after="0" w:line="276" w:lineRule="auto"/>
              <w:jc w:val="both"/>
              <w:rPr>
                <w:rFonts w:eastAsia="Times New Roman" w:cs="Calibri"/>
              </w:rPr>
            </w:pPr>
            <w:r>
              <w:rPr>
                <w:rFonts w:eastAsia="Times New Roman" w:cs="Calibri"/>
              </w:rPr>
              <w:t>A response is not provided</w:t>
            </w:r>
          </w:p>
        </w:tc>
      </w:tr>
      <w:tr w:rsidR="006168B0" w:rsidRPr="00BF1FD6" w14:paraId="33A866D0" w14:textId="77777777" w:rsidTr="00467A23">
        <w:trPr>
          <w:trHeight w:val="510"/>
        </w:trPr>
        <w:tc>
          <w:tcPr>
            <w:tcW w:w="717" w:type="pct"/>
            <w:shd w:val="clear" w:color="auto" w:fill="FFFFFF" w:themeFill="background1"/>
          </w:tcPr>
          <w:p w14:paraId="367F63C5" w14:textId="77777777" w:rsidR="006168B0" w:rsidRPr="00E66809" w:rsidRDefault="006168B0">
            <w:pPr>
              <w:spacing w:after="0" w:line="276" w:lineRule="auto"/>
              <w:jc w:val="both"/>
              <w:rPr>
                <w:rFonts w:eastAsia="Times New Roman" w:cs="Calibri"/>
              </w:rPr>
            </w:pPr>
            <w:r w:rsidRPr="00E66809">
              <w:rPr>
                <w:rFonts w:eastAsia="Times New Roman" w:cs="Calibri"/>
              </w:rPr>
              <w:t>3.</w:t>
            </w:r>
            <w:r>
              <w:rPr>
                <w:rFonts w:eastAsia="Times New Roman" w:cs="Calibri"/>
              </w:rPr>
              <w:t>17</w:t>
            </w:r>
          </w:p>
        </w:tc>
        <w:tc>
          <w:tcPr>
            <w:tcW w:w="859" w:type="pct"/>
            <w:shd w:val="clear" w:color="auto" w:fill="FFFFFF" w:themeFill="background1"/>
          </w:tcPr>
          <w:p w14:paraId="50235129" w14:textId="77777777" w:rsidR="006168B0" w:rsidRPr="00E66809" w:rsidRDefault="006168B0">
            <w:pPr>
              <w:spacing w:after="0" w:line="276" w:lineRule="auto"/>
              <w:jc w:val="both"/>
              <w:rPr>
                <w:rFonts w:eastAsia="Times New Roman" w:cs="Calibri"/>
              </w:rPr>
            </w:pPr>
            <w:r w:rsidRPr="00E66809">
              <w:rPr>
                <w:rFonts w:eastAsia="Times New Roman" w:cs="Calibri"/>
              </w:rPr>
              <w:t>Pass/Fail/N/A</w:t>
            </w:r>
          </w:p>
        </w:tc>
        <w:tc>
          <w:tcPr>
            <w:tcW w:w="3424" w:type="pct"/>
            <w:shd w:val="clear" w:color="auto" w:fill="FFFFFF" w:themeFill="background1"/>
          </w:tcPr>
          <w:p w14:paraId="75ED6E81"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 xml:space="preserve">N/A </w:t>
            </w:r>
            <w:r w:rsidRPr="00CA2085">
              <w:rPr>
                <w:rFonts w:eastAsia="Times New Roman" w:cs="Calibri"/>
                <w:bCs/>
              </w:rPr>
              <w:t xml:space="preserve">– if Supplier will not be using a supply </w:t>
            </w:r>
            <w:proofErr w:type="gramStart"/>
            <w:r w:rsidRPr="00CA2085">
              <w:rPr>
                <w:rFonts w:eastAsia="Times New Roman" w:cs="Calibri"/>
                <w:bCs/>
              </w:rPr>
              <w:t>chain</w:t>
            </w:r>
            <w:proofErr w:type="gramEnd"/>
          </w:p>
          <w:p w14:paraId="30B5382F" w14:textId="77777777" w:rsidR="006168B0" w:rsidRPr="00E66809" w:rsidRDefault="006168B0">
            <w:pPr>
              <w:spacing w:after="0" w:line="276" w:lineRule="auto"/>
              <w:jc w:val="both"/>
              <w:rPr>
                <w:rFonts w:eastAsia="Times New Roman" w:cs="Calibri"/>
                <w:b/>
                <w:u w:val="single"/>
              </w:rPr>
            </w:pPr>
          </w:p>
          <w:p w14:paraId="33393D84"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If Supplier IS using a supply chain:</w:t>
            </w:r>
          </w:p>
          <w:p w14:paraId="35F9ADA5" w14:textId="77777777" w:rsidR="006168B0" w:rsidRPr="00E66809" w:rsidRDefault="006168B0">
            <w:pPr>
              <w:spacing w:after="0" w:line="276" w:lineRule="auto"/>
              <w:jc w:val="both"/>
              <w:rPr>
                <w:rFonts w:eastAsia="Times New Roman" w:cs="Calibri"/>
                <w:b/>
                <w:u w:val="single"/>
              </w:rPr>
            </w:pPr>
          </w:p>
          <w:p w14:paraId="468771BA"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5522BDCB"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‘Yes’</w:t>
            </w:r>
          </w:p>
          <w:p w14:paraId="30D7EAB1" w14:textId="77777777" w:rsidR="006168B0" w:rsidRPr="00E66809" w:rsidRDefault="006168B0">
            <w:pPr>
              <w:spacing w:after="0" w:line="276" w:lineRule="auto"/>
              <w:jc w:val="both"/>
              <w:rPr>
                <w:rFonts w:eastAsia="Times New Roman" w:cs="Calibri"/>
              </w:rPr>
            </w:pPr>
          </w:p>
          <w:p w14:paraId="665348E3"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24201C56" w14:textId="77777777" w:rsidR="006168B0" w:rsidRPr="0073209E" w:rsidRDefault="006168B0">
            <w:pPr>
              <w:spacing w:after="0" w:line="276" w:lineRule="auto"/>
              <w:jc w:val="both"/>
              <w:rPr>
                <w:rFonts w:eastAsia="Times New Roman" w:cs="Calibri"/>
              </w:rPr>
            </w:pPr>
            <w:r w:rsidRPr="00E66809">
              <w:rPr>
                <w:rFonts w:eastAsia="Times New Roman" w:cs="Calibri"/>
              </w:rPr>
              <w:t>A response of ‘No’</w:t>
            </w:r>
          </w:p>
          <w:p w14:paraId="7EEBC9FC" w14:textId="77777777" w:rsidR="006168B0" w:rsidRPr="0073209E" w:rsidRDefault="006168B0">
            <w:pPr>
              <w:spacing w:after="0" w:line="276" w:lineRule="auto"/>
              <w:jc w:val="both"/>
              <w:rPr>
                <w:rFonts w:eastAsia="Times New Roman" w:cs="Calibri"/>
                <w:b/>
              </w:rPr>
            </w:pPr>
            <w:r w:rsidRPr="0073209E">
              <w:rPr>
                <w:rFonts w:eastAsia="Times New Roman" w:cs="Calibri"/>
                <w:b/>
              </w:rPr>
              <w:t>OR</w:t>
            </w:r>
          </w:p>
          <w:p w14:paraId="36B0B1F9"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‘Yes’, with qualifications or conditions that are deemed unacceptable by HMRC</w:t>
            </w:r>
          </w:p>
        </w:tc>
      </w:tr>
      <w:tr w:rsidR="006168B0" w:rsidRPr="00BF1FD6" w14:paraId="75720F1C" w14:textId="77777777" w:rsidTr="00467A23">
        <w:trPr>
          <w:trHeight w:val="510"/>
        </w:trPr>
        <w:tc>
          <w:tcPr>
            <w:tcW w:w="717" w:type="pct"/>
            <w:shd w:val="clear" w:color="auto" w:fill="FFFFFF" w:themeFill="background1"/>
          </w:tcPr>
          <w:p w14:paraId="5E7D0CBB" w14:textId="77777777" w:rsidR="006168B0" w:rsidRPr="00E66809" w:rsidRDefault="006168B0">
            <w:pPr>
              <w:spacing w:after="0" w:line="276" w:lineRule="auto"/>
              <w:jc w:val="both"/>
              <w:rPr>
                <w:rFonts w:eastAsia="Times New Roman" w:cs="Calibri"/>
              </w:rPr>
            </w:pPr>
            <w:r w:rsidRPr="00E66809">
              <w:rPr>
                <w:rFonts w:eastAsia="Times New Roman" w:cs="Calibri"/>
              </w:rPr>
              <w:t>3.</w:t>
            </w:r>
            <w:r>
              <w:rPr>
                <w:rFonts w:eastAsia="Times New Roman" w:cs="Calibri"/>
              </w:rPr>
              <w:t>18</w:t>
            </w:r>
          </w:p>
        </w:tc>
        <w:tc>
          <w:tcPr>
            <w:tcW w:w="859" w:type="pct"/>
            <w:shd w:val="clear" w:color="auto" w:fill="FFFFFF" w:themeFill="background1"/>
          </w:tcPr>
          <w:p w14:paraId="7E5E5399" w14:textId="77777777" w:rsidR="006168B0" w:rsidRPr="00E66809" w:rsidRDefault="006168B0">
            <w:pPr>
              <w:spacing w:after="0" w:line="276" w:lineRule="auto"/>
              <w:jc w:val="both"/>
              <w:rPr>
                <w:rFonts w:eastAsia="Times New Roman" w:cs="Calibri"/>
              </w:rPr>
            </w:pPr>
            <w:r w:rsidRPr="00E66809">
              <w:rPr>
                <w:rFonts w:eastAsia="Times New Roman" w:cs="Calibri"/>
              </w:rPr>
              <w:t>Pass/Fail/N/A</w:t>
            </w:r>
          </w:p>
        </w:tc>
        <w:tc>
          <w:tcPr>
            <w:tcW w:w="3424" w:type="pct"/>
            <w:shd w:val="clear" w:color="auto" w:fill="FFFFFF" w:themeFill="background1"/>
          </w:tcPr>
          <w:p w14:paraId="03BA037B" w14:textId="77777777" w:rsidR="006168B0" w:rsidRPr="00081D64" w:rsidRDefault="006168B0">
            <w:pPr>
              <w:spacing w:after="0" w:line="276" w:lineRule="auto"/>
              <w:jc w:val="both"/>
              <w:rPr>
                <w:rFonts w:eastAsia="Times New Roman" w:cs="Calibri"/>
                <w:b/>
                <w:u w:val="single"/>
              </w:rPr>
            </w:pPr>
            <w:r w:rsidRPr="00081D64">
              <w:rPr>
                <w:rFonts w:eastAsia="Times New Roman" w:cs="Calibri"/>
                <w:b/>
                <w:u w:val="single"/>
              </w:rPr>
              <w:t xml:space="preserve">N/A </w:t>
            </w:r>
            <w:r w:rsidRPr="00CA2085">
              <w:rPr>
                <w:rFonts w:eastAsia="Times New Roman" w:cs="Calibri"/>
                <w:bCs/>
              </w:rPr>
              <w:t xml:space="preserve">– if Supplier will not be using a supply </w:t>
            </w:r>
            <w:proofErr w:type="gramStart"/>
            <w:r w:rsidRPr="00CA2085">
              <w:rPr>
                <w:rFonts w:eastAsia="Times New Roman" w:cs="Calibri"/>
                <w:bCs/>
              </w:rPr>
              <w:t>chain</w:t>
            </w:r>
            <w:proofErr w:type="gramEnd"/>
          </w:p>
          <w:p w14:paraId="12243292" w14:textId="77777777" w:rsidR="006168B0" w:rsidRPr="00081D64" w:rsidRDefault="006168B0">
            <w:pPr>
              <w:spacing w:after="0" w:line="276" w:lineRule="auto"/>
              <w:jc w:val="both"/>
              <w:rPr>
                <w:rFonts w:eastAsia="Times New Roman" w:cs="Calibri"/>
                <w:b/>
                <w:u w:val="single"/>
              </w:rPr>
            </w:pPr>
          </w:p>
          <w:p w14:paraId="11B4B6F3" w14:textId="77777777" w:rsidR="006168B0" w:rsidRPr="00081D64" w:rsidRDefault="006168B0">
            <w:pPr>
              <w:spacing w:after="0" w:line="276" w:lineRule="auto"/>
              <w:jc w:val="both"/>
              <w:rPr>
                <w:rFonts w:eastAsia="Times New Roman" w:cs="Calibri"/>
                <w:b/>
                <w:u w:val="single"/>
              </w:rPr>
            </w:pPr>
            <w:r w:rsidRPr="00081D64">
              <w:rPr>
                <w:rFonts w:eastAsia="Times New Roman" w:cs="Calibri"/>
                <w:b/>
                <w:u w:val="single"/>
              </w:rPr>
              <w:t>If Supplier IS using a supply chain:</w:t>
            </w:r>
          </w:p>
          <w:p w14:paraId="5CDB4CAF" w14:textId="77777777" w:rsidR="006168B0" w:rsidRPr="00081D64" w:rsidRDefault="006168B0">
            <w:pPr>
              <w:spacing w:after="0" w:line="276" w:lineRule="auto"/>
              <w:jc w:val="both"/>
              <w:rPr>
                <w:rFonts w:eastAsia="Times New Roman" w:cs="Calibri"/>
                <w:b/>
                <w:u w:val="single"/>
              </w:rPr>
            </w:pPr>
          </w:p>
          <w:p w14:paraId="6419CF8E" w14:textId="77777777" w:rsidR="006168B0" w:rsidRPr="00081D64" w:rsidRDefault="006168B0">
            <w:pPr>
              <w:spacing w:after="0" w:line="276" w:lineRule="auto"/>
              <w:jc w:val="both"/>
              <w:rPr>
                <w:rFonts w:eastAsia="Times New Roman" w:cs="Calibri"/>
                <w:b/>
                <w:u w:val="single"/>
              </w:rPr>
            </w:pPr>
            <w:r w:rsidRPr="00081D64">
              <w:rPr>
                <w:rFonts w:eastAsia="Times New Roman" w:cs="Calibri"/>
                <w:b/>
                <w:u w:val="single"/>
              </w:rPr>
              <w:t>Pass</w:t>
            </w:r>
          </w:p>
          <w:p w14:paraId="4D3C6FB3" w14:textId="77777777" w:rsidR="006168B0" w:rsidRPr="00081D64" w:rsidRDefault="006168B0">
            <w:pPr>
              <w:spacing w:after="0" w:line="276" w:lineRule="auto"/>
              <w:jc w:val="both"/>
              <w:rPr>
                <w:rFonts w:eastAsia="Times New Roman" w:cs="Calibri"/>
              </w:rPr>
            </w:pPr>
            <w:r w:rsidRPr="00081D64">
              <w:rPr>
                <w:rFonts w:eastAsia="Times New Roman" w:cs="Calibri"/>
              </w:rPr>
              <w:t>A response of ‘Yes’</w:t>
            </w:r>
          </w:p>
          <w:p w14:paraId="2295FC32" w14:textId="77777777" w:rsidR="006168B0" w:rsidRPr="00081D64" w:rsidRDefault="006168B0">
            <w:pPr>
              <w:spacing w:after="0" w:line="276" w:lineRule="auto"/>
              <w:jc w:val="both"/>
              <w:rPr>
                <w:rFonts w:eastAsia="Times New Roman" w:cs="Calibri"/>
              </w:rPr>
            </w:pPr>
          </w:p>
          <w:p w14:paraId="6EF8DFA8" w14:textId="77777777" w:rsidR="006168B0" w:rsidRPr="00081D64" w:rsidRDefault="006168B0">
            <w:pPr>
              <w:spacing w:after="0" w:line="276" w:lineRule="auto"/>
              <w:jc w:val="both"/>
              <w:rPr>
                <w:rFonts w:eastAsia="Times New Roman" w:cs="Calibri"/>
              </w:rPr>
            </w:pPr>
            <w:r w:rsidRPr="00081D64">
              <w:rPr>
                <w:rFonts w:eastAsia="Times New Roman" w:cs="Calibri"/>
                <w:b/>
                <w:u w:val="single"/>
              </w:rPr>
              <w:t>Fail</w:t>
            </w:r>
            <w:r w:rsidRPr="00081D64">
              <w:rPr>
                <w:rFonts w:eastAsia="Times New Roman" w:cs="Calibri"/>
              </w:rPr>
              <w:t xml:space="preserve"> </w:t>
            </w:r>
          </w:p>
          <w:p w14:paraId="5CA91389" w14:textId="77777777" w:rsidR="006168B0" w:rsidRPr="00081D64" w:rsidRDefault="006168B0">
            <w:pPr>
              <w:spacing w:after="0" w:line="276" w:lineRule="auto"/>
              <w:jc w:val="both"/>
              <w:rPr>
                <w:rFonts w:eastAsia="Times New Roman" w:cs="Calibri"/>
              </w:rPr>
            </w:pPr>
            <w:r w:rsidRPr="00081D64">
              <w:rPr>
                <w:rFonts w:eastAsia="Times New Roman" w:cs="Calibri"/>
              </w:rPr>
              <w:t>A response of ‘No’</w:t>
            </w:r>
          </w:p>
          <w:p w14:paraId="5D5F5100" w14:textId="77777777" w:rsidR="006168B0" w:rsidRPr="00081D64" w:rsidRDefault="006168B0">
            <w:pPr>
              <w:spacing w:after="0" w:line="276" w:lineRule="auto"/>
              <w:jc w:val="both"/>
              <w:rPr>
                <w:rFonts w:eastAsia="Times New Roman" w:cs="Calibri"/>
                <w:b/>
                <w:bCs/>
              </w:rPr>
            </w:pPr>
            <w:r w:rsidRPr="00081D64">
              <w:rPr>
                <w:rFonts w:eastAsia="Times New Roman" w:cs="Calibri"/>
                <w:b/>
                <w:bCs/>
              </w:rPr>
              <w:t>OR</w:t>
            </w:r>
          </w:p>
          <w:p w14:paraId="2CB34BDC" w14:textId="77777777" w:rsidR="006168B0" w:rsidRPr="00E66809" w:rsidRDefault="006168B0">
            <w:pPr>
              <w:spacing w:after="0" w:line="276" w:lineRule="auto"/>
              <w:jc w:val="both"/>
              <w:rPr>
                <w:rFonts w:eastAsia="Times New Roman" w:cs="Calibri"/>
                <w:b/>
                <w:u w:val="single"/>
              </w:rPr>
            </w:pPr>
            <w:r w:rsidRPr="00081D64">
              <w:rPr>
                <w:rFonts w:eastAsia="Times New Roman" w:cs="Calibri"/>
              </w:rPr>
              <w:t>A response of ‘Yes’, with qualifications or conditions that are deemed unacceptable by HMRC</w:t>
            </w:r>
          </w:p>
        </w:tc>
      </w:tr>
      <w:tr w:rsidR="006168B0" w:rsidRPr="00BF1FD6" w14:paraId="42A68FF0" w14:textId="77777777" w:rsidTr="00467A23">
        <w:trPr>
          <w:trHeight w:val="510"/>
        </w:trPr>
        <w:tc>
          <w:tcPr>
            <w:tcW w:w="717" w:type="pct"/>
            <w:shd w:val="clear" w:color="auto" w:fill="FFFFFF" w:themeFill="background1"/>
          </w:tcPr>
          <w:p w14:paraId="33BA9D5C" w14:textId="087A02CC" w:rsidR="006168B0" w:rsidRPr="00E66809" w:rsidRDefault="006168B0">
            <w:pPr>
              <w:spacing w:after="0" w:line="276" w:lineRule="auto"/>
              <w:jc w:val="both"/>
              <w:rPr>
                <w:rFonts w:eastAsia="Times New Roman" w:cs="Calibri"/>
              </w:rPr>
            </w:pPr>
            <w:r w:rsidRPr="00E66809">
              <w:rPr>
                <w:rFonts w:eastAsia="Times New Roman" w:cs="Calibri"/>
              </w:rPr>
              <w:t>3.</w:t>
            </w:r>
            <w:r>
              <w:rPr>
                <w:rFonts w:eastAsia="Times New Roman" w:cs="Calibri"/>
              </w:rPr>
              <w:t>19</w:t>
            </w:r>
          </w:p>
        </w:tc>
        <w:tc>
          <w:tcPr>
            <w:tcW w:w="859" w:type="pct"/>
            <w:shd w:val="clear" w:color="auto" w:fill="FFFFFF" w:themeFill="background1"/>
          </w:tcPr>
          <w:p w14:paraId="19339363" w14:textId="77777777" w:rsidR="006168B0" w:rsidRPr="00E66809" w:rsidRDefault="006168B0">
            <w:pPr>
              <w:spacing w:after="0" w:line="276" w:lineRule="auto"/>
              <w:jc w:val="both"/>
              <w:rPr>
                <w:rFonts w:eastAsia="Times New Roman" w:cs="Calibri"/>
              </w:rPr>
            </w:pPr>
            <w:r w:rsidRPr="00E66809">
              <w:rPr>
                <w:rFonts w:eastAsia="Times New Roman" w:cs="Calibri"/>
              </w:rPr>
              <w:t>Pass/Fail/N/A</w:t>
            </w:r>
          </w:p>
        </w:tc>
        <w:tc>
          <w:tcPr>
            <w:tcW w:w="3424" w:type="pct"/>
            <w:shd w:val="clear" w:color="auto" w:fill="FFFFFF" w:themeFill="background1"/>
          </w:tcPr>
          <w:p w14:paraId="6AAA02F2"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 xml:space="preserve">N/A </w:t>
            </w:r>
            <w:r w:rsidRPr="00CA2085">
              <w:rPr>
                <w:rFonts w:eastAsia="Times New Roman" w:cs="Calibri"/>
                <w:bCs/>
              </w:rPr>
              <w:t xml:space="preserve">– if Supplier will not be using a supply </w:t>
            </w:r>
            <w:proofErr w:type="gramStart"/>
            <w:r w:rsidRPr="00CA2085">
              <w:rPr>
                <w:rFonts w:eastAsia="Times New Roman" w:cs="Calibri"/>
                <w:bCs/>
              </w:rPr>
              <w:t>chain</w:t>
            </w:r>
            <w:proofErr w:type="gramEnd"/>
          </w:p>
          <w:p w14:paraId="173FF0C8" w14:textId="77777777" w:rsidR="006168B0" w:rsidRPr="00E66809" w:rsidRDefault="006168B0">
            <w:pPr>
              <w:spacing w:after="0" w:line="276" w:lineRule="auto"/>
              <w:jc w:val="both"/>
              <w:rPr>
                <w:rFonts w:eastAsia="Times New Roman" w:cs="Calibri"/>
                <w:b/>
                <w:u w:val="single"/>
              </w:rPr>
            </w:pPr>
          </w:p>
          <w:p w14:paraId="0B04ED98"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If Supplier IS using a supply chain:</w:t>
            </w:r>
          </w:p>
          <w:p w14:paraId="571B97E4" w14:textId="77777777" w:rsidR="006168B0" w:rsidRPr="00E66809" w:rsidRDefault="006168B0">
            <w:pPr>
              <w:spacing w:after="0" w:line="276" w:lineRule="auto"/>
              <w:jc w:val="both"/>
              <w:rPr>
                <w:rFonts w:eastAsia="Times New Roman" w:cs="Calibri"/>
                <w:b/>
                <w:u w:val="single"/>
              </w:rPr>
            </w:pPr>
          </w:p>
          <w:p w14:paraId="589EDE18"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61BB1782" w14:textId="77777777" w:rsidR="006168B0" w:rsidRPr="00954491" w:rsidRDefault="006168B0" w:rsidP="0085565B">
            <w:pPr>
              <w:pStyle w:val="ListParagraph"/>
              <w:numPr>
                <w:ilvl w:val="0"/>
                <w:numId w:val="34"/>
              </w:numPr>
              <w:spacing w:after="60"/>
              <w:ind w:left="357" w:hanging="357"/>
              <w:jc w:val="both"/>
              <w:rPr>
                <w:rFonts w:cs="Arial"/>
              </w:rPr>
            </w:pPr>
            <w:r>
              <w:rPr>
                <w:rFonts w:eastAsia="Arial" w:cs="Arial"/>
              </w:rPr>
              <w:t>Supplier</w:t>
            </w:r>
            <w:r w:rsidRPr="00E66809">
              <w:rPr>
                <w:rFonts w:eastAsia="Arial" w:cs="Arial"/>
              </w:rPr>
              <w:t xml:space="preserve"> pays ≥95% of all supply chain invoices in 60 days and the </w:t>
            </w:r>
            <w:r>
              <w:rPr>
                <w:rFonts w:eastAsia="Arial" w:cs="Arial"/>
              </w:rPr>
              <w:t>Supplier</w:t>
            </w:r>
            <w:r w:rsidRPr="00E66809">
              <w:rPr>
                <w:rFonts w:eastAsia="Arial" w:cs="Arial"/>
              </w:rPr>
              <w:t>’s average payment days are also ≤55. Both metrics are hit concurrently in at least one of the previous two six month reporting periods (Both metrics may be calculated either with or without intercompany payments removed)</w:t>
            </w:r>
            <w:r>
              <w:rPr>
                <w:rFonts w:eastAsia="Arial" w:cs="Arial"/>
              </w:rPr>
              <w:t xml:space="preserve"> AND the Supplier is able to demonstrate that all invoices have been paid within the agreed contractual </w:t>
            </w:r>
            <w:proofErr w:type="gramStart"/>
            <w:r>
              <w:rPr>
                <w:rFonts w:eastAsia="Arial" w:cs="Arial"/>
              </w:rPr>
              <w:t>terms</w:t>
            </w:r>
            <w:proofErr w:type="gramEnd"/>
          </w:p>
          <w:p w14:paraId="6181B96E" w14:textId="77777777" w:rsidR="006168B0" w:rsidRPr="00E66809" w:rsidRDefault="006168B0">
            <w:pPr>
              <w:spacing w:after="60"/>
              <w:jc w:val="both"/>
              <w:rPr>
                <w:rFonts w:cs="Arial"/>
                <w:b/>
                <w:bCs/>
              </w:rPr>
            </w:pPr>
            <w:r w:rsidRPr="00954491">
              <w:rPr>
                <w:rFonts w:cs="Arial"/>
                <w:b/>
                <w:bCs/>
              </w:rPr>
              <w:t>OR</w:t>
            </w:r>
          </w:p>
          <w:p w14:paraId="48B39DAF" w14:textId="77777777" w:rsidR="006168B0" w:rsidRPr="00E66809" w:rsidRDefault="006168B0" w:rsidP="0085565B">
            <w:pPr>
              <w:pStyle w:val="ListParagraph"/>
              <w:numPr>
                <w:ilvl w:val="0"/>
                <w:numId w:val="34"/>
              </w:numPr>
              <w:spacing w:after="60"/>
              <w:ind w:left="357" w:hanging="357"/>
              <w:jc w:val="both"/>
              <w:rPr>
                <w:rFonts w:eastAsia="Arial" w:cs="Arial"/>
              </w:rPr>
            </w:pPr>
            <w:r>
              <w:rPr>
                <w:rFonts w:eastAsia="Arial" w:cs="Arial"/>
              </w:rPr>
              <w:t>Supplier</w:t>
            </w:r>
            <w:r w:rsidRPr="00E66809">
              <w:rPr>
                <w:rFonts w:eastAsia="Arial" w:cs="Arial"/>
              </w:rPr>
              <w:t xml:space="preserve"> pays ≥90% &lt; 95% of all supply chain invoices in 60 days and the </w:t>
            </w:r>
            <w:r>
              <w:rPr>
                <w:rFonts w:eastAsia="Arial" w:cs="Arial"/>
              </w:rPr>
              <w:t>Supplier</w:t>
            </w:r>
            <w:r w:rsidRPr="00E66809">
              <w:rPr>
                <w:rFonts w:eastAsia="Arial" w:cs="Arial"/>
              </w:rPr>
              <w:t xml:space="preserve">’s average payment days are also ≤55. Both metrics are hit concurrently in at least one of the previous two six month reporting periods after removing intercompany payments (if relevant) </w:t>
            </w:r>
            <w:r>
              <w:rPr>
                <w:rFonts w:eastAsia="Arial" w:cs="Arial"/>
              </w:rPr>
              <w:t>AND the Supplier</w:t>
            </w:r>
            <w:r w:rsidRPr="00E66809">
              <w:rPr>
                <w:rFonts w:eastAsia="Arial" w:cs="Arial"/>
              </w:rPr>
              <w:t xml:space="preserve"> </w:t>
            </w:r>
            <w:r>
              <w:rPr>
                <w:rFonts w:eastAsia="Arial" w:cs="Arial"/>
              </w:rPr>
              <w:t xml:space="preserve">provides </w:t>
            </w:r>
            <w:r w:rsidRPr="00E66809">
              <w:rPr>
                <w:rFonts w:eastAsia="Arial" w:cs="Arial"/>
              </w:rPr>
              <w:t>an action plan that includes (as a minimum) the following:</w:t>
            </w:r>
          </w:p>
          <w:p w14:paraId="2DB50B8E" w14:textId="77777777" w:rsidR="006168B0" w:rsidRPr="00E66809" w:rsidRDefault="006168B0" w:rsidP="0085565B">
            <w:pPr>
              <w:pStyle w:val="ListParagraph"/>
              <w:numPr>
                <w:ilvl w:val="0"/>
                <w:numId w:val="34"/>
              </w:numPr>
              <w:spacing w:after="60"/>
              <w:ind w:left="697" w:hanging="357"/>
              <w:contextualSpacing w:val="0"/>
              <w:jc w:val="both"/>
              <w:rPr>
                <w:rFonts w:cs="Arial"/>
              </w:rPr>
            </w:pPr>
            <w:r w:rsidRPr="00E66809">
              <w:rPr>
                <w:rFonts w:cs="Arial"/>
                <w:b/>
                <w:color w:val="009999"/>
              </w:rPr>
              <w:t>1.</w:t>
            </w:r>
            <w:r w:rsidRPr="00E66809">
              <w:rPr>
                <w:rFonts w:cs="Arial"/>
              </w:rPr>
              <w:t xml:space="preserve"> Identification of the primary causes of failure to pay: </w:t>
            </w:r>
          </w:p>
          <w:p w14:paraId="15891D48" w14:textId="77777777" w:rsidR="006168B0" w:rsidRPr="00E66809" w:rsidRDefault="006168B0" w:rsidP="0085565B">
            <w:pPr>
              <w:pStyle w:val="ListParagraph"/>
              <w:numPr>
                <w:ilvl w:val="0"/>
                <w:numId w:val="34"/>
              </w:numPr>
              <w:spacing w:after="60"/>
              <w:ind w:left="697" w:hanging="357"/>
              <w:contextualSpacing w:val="0"/>
              <w:jc w:val="both"/>
              <w:rPr>
                <w:rFonts w:cs="Arial"/>
              </w:rPr>
            </w:pPr>
            <w:r w:rsidRPr="00E66809">
              <w:rPr>
                <w:rFonts w:cs="Arial"/>
              </w:rPr>
              <w:t xml:space="preserve">(a) 95% of all supply chain invoices within 60 days; and </w:t>
            </w:r>
          </w:p>
          <w:p w14:paraId="48350CB3" w14:textId="77777777" w:rsidR="006168B0" w:rsidRPr="00E66809" w:rsidRDefault="006168B0" w:rsidP="0085565B">
            <w:pPr>
              <w:pStyle w:val="ListParagraph"/>
              <w:numPr>
                <w:ilvl w:val="0"/>
                <w:numId w:val="34"/>
              </w:numPr>
              <w:spacing w:after="60"/>
              <w:ind w:left="697" w:hanging="357"/>
              <w:contextualSpacing w:val="0"/>
              <w:jc w:val="both"/>
              <w:rPr>
                <w:rFonts w:cs="Arial"/>
              </w:rPr>
            </w:pPr>
            <w:r w:rsidRPr="00E66809">
              <w:rPr>
                <w:rFonts w:cs="Arial"/>
              </w:rPr>
              <w:t xml:space="preserve">(b) (if relevant) all supply chain invoices within agreed terms. </w:t>
            </w:r>
          </w:p>
          <w:p w14:paraId="36351C0D" w14:textId="77777777" w:rsidR="006168B0" w:rsidRPr="00E66809" w:rsidRDefault="006168B0" w:rsidP="0085565B">
            <w:pPr>
              <w:pStyle w:val="ListParagraph"/>
              <w:numPr>
                <w:ilvl w:val="0"/>
                <w:numId w:val="34"/>
              </w:numPr>
              <w:spacing w:after="60"/>
              <w:ind w:left="697" w:hanging="357"/>
              <w:contextualSpacing w:val="0"/>
              <w:jc w:val="both"/>
              <w:rPr>
                <w:rFonts w:cs="Arial"/>
              </w:rPr>
            </w:pPr>
            <w:r w:rsidRPr="00E66809">
              <w:rPr>
                <w:rFonts w:cs="Arial"/>
                <w:b/>
                <w:color w:val="009999"/>
              </w:rPr>
              <w:t>2.</w:t>
            </w:r>
            <w:r w:rsidRPr="00E66809">
              <w:rPr>
                <w:rFonts w:cs="Arial"/>
              </w:rPr>
              <w:t xml:space="preserve"> Actions to address each of these causes. </w:t>
            </w:r>
          </w:p>
          <w:p w14:paraId="2E81DD37" w14:textId="77777777" w:rsidR="006168B0" w:rsidRPr="00E66809" w:rsidRDefault="006168B0" w:rsidP="0085565B">
            <w:pPr>
              <w:pStyle w:val="ListParagraph"/>
              <w:numPr>
                <w:ilvl w:val="0"/>
                <w:numId w:val="34"/>
              </w:numPr>
              <w:spacing w:after="60"/>
              <w:ind w:left="697" w:hanging="357"/>
              <w:contextualSpacing w:val="0"/>
              <w:jc w:val="both"/>
              <w:rPr>
                <w:rFonts w:cs="Arial"/>
              </w:rPr>
            </w:pPr>
            <w:r w:rsidRPr="00E66809">
              <w:rPr>
                <w:rFonts w:cs="Arial"/>
                <w:b/>
                <w:color w:val="009999"/>
              </w:rPr>
              <w:t>3.</w:t>
            </w:r>
            <w:r w:rsidRPr="00E66809">
              <w:rPr>
                <w:rFonts w:cs="Arial"/>
              </w:rPr>
              <w:t xml:space="preserve"> Regular reporting on progress to the </w:t>
            </w:r>
            <w:r>
              <w:rPr>
                <w:rFonts w:cs="Arial"/>
              </w:rPr>
              <w:t>Supplier</w:t>
            </w:r>
            <w:r w:rsidRPr="00E66809">
              <w:rPr>
                <w:rFonts w:cs="Arial"/>
              </w:rPr>
              <w:t xml:space="preserve">’s audit committee (or equivalent). </w:t>
            </w:r>
          </w:p>
          <w:p w14:paraId="47104D30" w14:textId="77777777" w:rsidR="006168B0" w:rsidRPr="00E66809" w:rsidRDefault="006168B0" w:rsidP="0085565B">
            <w:pPr>
              <w:pStyle w:val="ListParagraph"/>
              <w:numPr>
                <w:ilvl w:val="0"/>
                <w:numId w:val="34"/>
              </w:numPr>
              <w:spacing w:after="60"/>
              <w:ind w:left="697" w:hanging="357"/>
              <w:contextualSpacing w:val="0"/>
              <w:jc w:val="both"/>
              <w:rPr>
                <w:rFonts w:cs="Arial"/>
              </w:rPr>
            </w:pPr>
            <w:r w:rsidRPr="00E66809">
              <w:rPr>
                <w:rFonts w:cs="Arial"/>
                <w:b/>
                <w:color w:val="009999"/>
              </w:rPr>
              <w:t>4.</w:t>
            </w:r>
            <w:r w:rsidRPr="00E66809">
              <w:rPr>
                <w:rFonts w:cs="Arial"/>
              </w:rPr>
              <w:t xml:space="preserve"> Plan signed off by a director. </w:t>
            </w:r>
          </w:p>
          <w:p w14:paraId="576E0BD8" w14:textId="77777777" w:rsidR="006168B0" w:rsidRPr="00E66809" w:rsidRDefault="006168B0" w:rsidP="0085565B">
            <w:pPr>
              <w:pStyle w:val="ListParagraph"/>
              <w:numPr>
                <w:ilvl w:val="0"/>
                <w:numId w:val="34"/>
              </w:numPr>
              <w:spacing w:after="60"/>
              <w:ind w:left="697" w:hanging="357"/>
              <w:contextualSpacing w:val="0"/>
              <w:jc w:val="both"/>
              <w:rPr>
                <w:rFonts w:cs="Arial"/>
              </w:rPr>
            </w:pPr>
            <w:r w:rsidRPr="00E66809">
              <w:rPr>
                <w:rFonts w:cs="Arial"/>
                <w:b/>
                <w:color w:val="009999"/>
              </w:rPr>
              <w:t>5.</w:t>
            </w:r>
            <w:r w:rsidRPr="00E66809">
              <w:rPr>
                <w:rFonts w:cs="Arial"/>
              </w:rPr>
              <w:t xml:space="preserve"> Plan published on its website. (This can be a shorter, summary plan)</w:t>
            </w:r>
          </w:p>
          <w:p w14:paraId="33C93C67" w14:textId="77777777" w:rsidR="006168B0" w:rsidRDefault="006168B0">
            <w:pPr>
              <w:spacing w:after="0" w:line="276" w:lineRule="auto"/>
              <w:jc w:val="both"/>
              <w:rPr>
                <w:rFonts w:eastAsia="Times New Roman" w:cs="Calibri"/>
              </w:rPr>
            </w:pPr>
          </w:p>
          <w:p w14:paraId="4A1F1A94" w14:textId="77777777" w:rsidR="006168B0" w:rsidRPr="00E66809" w:rsidRDefault="006168B0">
            <w:pPr>
              <w:spacing w:after="0" w:line="276" w:lineRule="auto"/>
              <w:jc w:val="both"/>
              <w:rPr>
                <w:rFonts w:eastAsia="Times New Roman" w:cs="Calibri"/>
              </w:rPr>
            </w:pPr>
          </w:p>
          <w:p w14:paraId="264B6D78"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36B355EF" w14:textId="77777777" w:rsidR="006168B0" w:rsidRDefault="006168B0" w:rsidP="0085565B">
            <w:pPr>
              <w:pStyle w:val="ListParagraph"/>
              <w:numPr>
                <w:ilvl w:val="0"/>
                <w:numId w:val="34"/>
              </w:numPr>
              <w:spacing w:after="60"/>
              <w:ind w:left="357" w:hanging="357"/>
              <w:jc w:val="both"/>
              <w:rPr>
                <w:rFonts w:eastAsia="Arial" w:cs="Arial"/>
              </w:rPr>
            </w:pPr>
            <w:r>
              <w:rPr>
                <w:rFonts w:eastAsia="Arial" w:cs="Arial"/>
              </w:rPr>
              <w:t>Supplier</w:t>
            </w:r>
            <w:r w:rsidRPr="00E66809">
              <w:rPr>
                <w:rFonts w:eastAsia="Arial" w:cs="Arial"/>
              </w:rPr>
              <w:t xml:space="preserve"> pays ≥90% &lt; 95% of all supply chain invoices in 60 days and the </w:t>
            </w:r>
            <w:r>
              <w:rPr>
                <w:rFonts w:eastAsia="Arial" w:cs="Arial"/>
              </w:rPr>
              <w:t>Supplier</w:t>
            </w:r>
            <w:r w:rsidRPr="00E66809">
              <w:rPr>
                <w:rFonts w:eastAsia="Arial" w:cs="Arial"/>
              </w:rPr>
              <w:t>'s average payment days are also ≥55. Both metrics are hit concurrently in at least one of the previous two six month reporting periods after removing intercompany payments (if relevant)</w:t>
            </w:r>
            <w:r>
              <w:rPr>
                <w:rFonts w:eastAsia="Arial" w:cs="Arial"/>
              </w:rPr>
              <w:t xml:space="preserve"> AND cannot demonstrate that all invoices have been paid within the agreed contractual terms,</w:t>
            </w:r>
            <w:r w:rsidRPr="00E66809">
              <w:rPr>
                <w:rFonts w:eastAsia="Arial" w:cs="Arial"/>
              </w:rPr>
              <w:t xml:space="preserve"> but does not provide an action </w:t>
            </w:r>
            <w:proofErr w:type="gramStart"/>
            <w:r w:rsidRPr="00E66809">
              <w:rPr>
                <w:rFonts w:eastAsia="Arial" w:cs="Arial"/>
              </w:rPr>
              <w:t>plan</w:t>
            </w:r>
            <w:proofErr w:type="gramEnd"/>
            <w:r w:rsidRPr="00E66809">
              <w:rPr>
                <w:rFonts w:eastAsia="Arial" w:cs="Arial"/>
              </w:rPr>
              <w:t xml:space="preserve"> </w:t>
            </w:r>
          </w:p>
          <w:p w14:paraId="18F4744A" w14:textId="77777777" w:rsidR="006168B0" w:rsidRPr="00617887" w:rsidRDefault="006168B0">
            <w:pPr>
              <w:spacing w:after="60"/>
              <w:jc w:val="both"/>
              <w:rPr>
                <w:rFonts w:eastAsia="Arial" w:cs="Arial"/>
                <w:b/>
                <w:bCs/>
              </w:rPr>
            </w:pPr>
            <w:r w:rsidRPr="00617887">
              <w:rPr>
                <w:rFonts w:eastAsia="Arial" w:cs="Arial"/>
                <w:b/>
                <w:bCs/>
              </w:rPr>
              <w:t>OR</w:t>
            </w:r>
            <w:r w:rsidRPr="00E66809">
              <w:rPr>
                <w:rFonts w:eastAsia="Arial" w:cs="Arial"/>
                <w:b/>
                <w:bCs/>
              </w:rPr>
              <w:t xml:space="preserve"> </w:t>
            </w:r>
          </w:p>
          <w:p w14:paraId="751DF2C7" w14:textId="77777777" w:rsidR="006168B0" w:rsidRDefault="006168B0" w:rsidP="0085565B">
            <w:pPr>
              <w:pStyle w:val="ListParagraph"/>
              <w:numPr>
                <w:ilvl w:val="0"/>
                <w:numId w:val="34"/>
              </w:numPr>
              <w:ind w:left="405" w:hanging="405"/>
              <w:jc w:val="both"/>
              <w:rPr>
                <w:rFonts w:eastAsia="Arial" w:cs="Arial"/>
              </w:rPr>
            </w:pPr>
            <w:r w:rsidRPr="00617887">
              <w:rPr>
                <w:rFonts w:eastAsia="Arial" w:cs="Arial"/>
              </w:rPr>
              <w:t>Supplier pays ≥90% &lt; 95% of all supply chain invoices in 60 days and the Supplier's average payment days are also ≥55. Both metrics are hit concurrently in at least one of the previous two six month reporting periods after removing intercompany payments (if relevant)</w:t>
            </w:r>
            <w:r>
              <w:rPr>
                <w:rFonts w:eastAsia="Arial" w:cs="Arial"/>
              </w:rPr>
              <w:t xml:space="preserve"> AND cannot demonstrate that all invoices have been paid within the agreed contractual terms,</w:t>
            </w:r>
            <w:r w:rsidRPr="00E66809">
              <w:rPr>
                <w:rFonts w:eastAsia="Arial" w:cs="Arial"/>
              </w:rPr>
              <w:t xml:space="preserve"> </w:t>
            </w:r>
            <w:r w:rsidRPr="00617887">
              <w:rPr>
                <w:rFonts w:eastAsia="Arial" w:cs="Arial"/>
              </w:rPr>
              <w:t xml:space="preserve">but </w:t>
            </w:r>
            <w:r>
              <w:rPr>
                <w:rFonts w:eastAsia="Arial" w:cs="Arial"/>
              </w:rPr>
              <w:t xml:space="preserve">the action provided does not cover </w:t>
            </w:r>
            <w:proofErr w:type="gramStart"/>
            <w:r>
              <w:rPr>
                <w:rFonts w:eastAsia="Arial" w:cs="Arial"/>
              </w:rPr>
              <w:t>all of</w:t>
            </w:r>
            <w:proofErr w:type="gramEnd"/>
            <w:r>
              <w:rPr>
                <w:rFonts w:eastAsia="Arial" w:cs="Arial"/>
              </w:rPr>
              <w:t xml:space="preserve"> the below features in full:</w:t>
            </w:r>
          </w:p>
          <w:p w14:paraId="18F7A977" w14:textId="77777777" w:rsidR="006168B0" w:rsidRPr="00E66809" w:rsidRDefault="006168B0">
            <w:pPr>
              <w:pStyle w:val="ListParagraph"/>
              <w:ind w:left="405"/>
              <w:jc w:val="both"/>
              <w:rPr>
                <w:rFonts w:eastAsia="Arial" w:cs="Arial"/>
              </w:rPr>
            </w:pPr>
          </w:p>
          <w:p w14:paraId="702D06BB" w14:textId="77777777" w:rsidR="006168B0" w:rsidRPr="00E66809" w:rsidRDefault="006168B0" w:rsidP="0085565B">
            <w:pPr>
              <w:pStyle w:val="ListParagraph"/>
              <w:numPr>
                <w:ilvl w:val="0"/>
                <w:numId w:val="34"/>
              </w:numPr>
              <w:spacing w:after="60"/>
              <w:ind w:left="697" w:hanging="357"/>
              <w:contextualSpacing w:val="0"/>
              <w:jc w:val="both"/>
              <w:rPr>
                <w:rFonts w:cs="Arial"/>
              </w:rPr>
            </w:pPr>
            <w:r w:rsidRPr="00E66809">
              <w:rPr>
                <w:rFonts w:cs="Arial"/>
                <w:b/>
                <w:color w:val="009999"/>
              </w:rPr>
              <w:t>1.</w:t>
            </w:r>
            <w:r w:rsidRPr="00E66809">
              <w:rPr>
                <w:rFonts w:cs="Arial"/>
                <w:color w:val="009999"/>
              </w:rPr>
              <w:t xml:space="preserve"> </w:t>
            </w:r>
            <w:r w:rsidRPr="00E66809">
              <w:rPr>
                <w:rFonts w:cs="Arial"/>
              </w:rPr>
              <w:t xml:space="preserve">Identification of the primary causes of failure to pay: </w:t>
            </w:r>
          </w:p>
          <w:p w14:paraId="0A681F3C" w14:textId="77777777" w:rsidR="006168B0" w:rsidRPr="00E66809" w:rsidRDefault="006168B0" w:rsidP="0085565B">
            <w:pPr>
              <w:pStyle w:val="ListParagraph"/>
              <w:numPr>
                <w:ilvl w:val="0"/>
                <w:numId w:val="34"/>
              </w:numPr>
              <w:spacing w:after="60"/>
              <w:ind w:left="782" w:hanging="357"/>
              <w:contextualSpacing w:val="0"/>
              <w:jc w:val="both"/>
              <w:rPr>
                <w:rFonts w:cs="Arial"/>
              </w:rPr>
            </w:pPr>
            <w:r w:rsidRPr="00E66809">
              <w:rPr>
                <w:rFonts w:cs="Arial"/>
              </w:rPr>
              <w:t xml:space="preserve">(a) 95% of all supply chain invoices within 60 days; and </w:t>
            </w:r>
          </w:p>
          <w:p w14:paraId="5782F878" w14:textId="77777777" w:rsidR="006168B0" w:rsidRPr="00E66809" w:rsidRDefault="006168B0" w:rsidP="0085565B">
            <w:pPr>
              <w:pStyle w:val="ListParagraph"/>
              <w:numPr>
                <w:ilvl w:val="0"/>
                <w:numId w:val="34"/>
              </w:numPr>
              <w:spacing w:after="60"/>
              <w:ind w:left="782" w:hanging="357"/>
              <w:contextualSpacing w:val="0"/>
              <w:jc w:val="both"/>
              <w:rPr>
                <w:rFonts w:cs="Arial"/>
              </w:rPr>
            </w:pPr>
            <w:r w:rsidRPr="00E66809">
              <w:rPr>
                <w:rFonts w:cs="Arial"/>
              </w:rPr>
              <w:t xml:space="preserve">(b) (if relevant) all supply chain invoices within agreed terms. </w:t>
            </w:r>
          </w:p>
          <w:p w14:paraId="5682EBDC" w14:textId="77777777" w:rsidR="006168B0" w:rsidRPr="00E66809" w:rsidRDefault="006168B0" w:rsidP="0085565B">
            <w:pPr>
              <w:pStyle w:val="ListParagraph"/>
              <w:numPr>
                <w:ilvl w:val="0"/>
                <w:numId w:val="34"/>
              </w:numPr>
              <w:spacing w:after="60"/>
              <w:ind w:left="697" w:hanging="357"/>
              <w:contextualSpacing w:val="0"/>
              <w:jc w:val="both"/>
              <w:rPr>
                <w:rFonts w:cs="Arial"/>
              </w:rPr>
            </w:pPr>
            <w:r w:rsidRPr="00E66809">
              <w:rPr>
                <w:rFonts w:cs="Arial"/>
                <w:b/>
                <w:color w:val="009999"/>
              </w:rPr>
              <w:t>2.</w:t>
            </w:r>
            <w:r w:rsidRPr="00E66809">
              <w:rPr>
                <w:rFonts w:cs="Arial"/>
                <w:color w:val="009999"/>
              </w:rPr>
              <w:t xml:space="preserve"> </w:t>
            </w:r>
            <w:r w:rsidRPr="00E66809">
              <w:rPr>
                <w:rFonts w:cs="Arial"/>
              </w:rPr>
              <w:t xml:space="preserve">Actions to address each of these causes. </w:t>
            </w:r>
          </w:p>
          <w:p w14:paraId="779F2FB5" w14:textId="77777777" w:rsidR="006168B0" w:rsidRPr="00E66809" w:rsidRDefault="006168B0" w:rsidP="0085565B">
            <w:pPr>
              <w:pStyle w:val="ListParagraph"/>
              <w:numPr>
                <w:ilvl w:val="0"/>
                <w:numId w:val="34"/>
              </w:numPr>
              <w:spacing w:after="60"/>
              <w:ind w:left="697" w:hanging="357"/>
              <w:contextualSpacing w:val="0"/>
              <w:jc w:val="both"/>
              <w:rPr>
                <w:rFonts w:cs="Arial"/>
              </w:rPr>
            </w:pPr>
            <w:r w:rsidRPr="00E66809">
              <w:rPr>
                <w:rFonts w:cs="Arial"/>
                <w:b/>
                <w:color w:val="009999"/>
              </w:rPr>
              <w:t>3.</w:t>
            </w:r>
            <w:r w:rsidRPr="00E66809">
              <w:rPr>
                <w:rFonts w:cs="Arial"/>
                <w:color w:val="009999"/>
              </w:rPr>
              <w:t xml:space="preserve"> </w:t>
            </w:r>
            <w:r w:rsidRPr="00E66809">
              <w:rPr>
                <w:rFonts w:cs="Arial"/>
              </w:rPr>
              <w:t xml:space="preserve">Regular reporting on progress to the </w:t>
            </w:r>
            <w:r>
              <w:rPr>
                <w:rFonts w:cs="Arial"/>
              </w:rPr>
              <w:t>Supplier</w:t>
            </w:r>
            <w:r w:rsidRPr="00E66809">
              <w:rPr>
                <w:rFonts w:cs="Arial"/>
              </w:rPr>
              <w:t xml:space="preserve">’s audit committee (or equivalent). </w:t>
            </w:r>
          </w:p>
          <w:p w14:paraId="30F63C53" w14:textId="77777777" w:rsidR="006168B0" w:rsidRPr="00E66809" w:rsidRDefault="006168B0" w:rsidP="0085565B">
            <w:pPr>
              <w:pStyle w:val="ListParagraph"/>
              <w:numPr>
                <w:ilvl w:val="0"/>
                <w:numId w:val="34"/>
              </w:numPr>
              <w:spacing w:after="60"/>
              <w:ind w:left="697" w:hanging="357"/>
              <w:contextualSpacing w:val="0"/>
              <w:jc w:val="both"/>
              <w:rPr>
                <w:rFonts w:cs="Arial"/>
              </w:rPr>
            </w:pPr>
            <w:r w:rsidRPr="00E66809">
              <w:rPr>
                <w:rFonts w:cs="Arial"/>
                <w:b/>
                <w:color w:val="009999"/>
              </w:rPr>
              <w:t>4.</w:t>
            </w:r>
            <w:r w:rsidRPr="00E66809">
              <w:rPr>
                <w:rFonts w:cs="Arial"/>
                <w:color w:val="009999"/>
              </w:rPr>
              <w:t xml:space="preserve"> </w:t>
            </w:r>
            <w:r w:rsidRPr="00E66809">
              <w:rPr>
                <w:rFonts w:cs="Arial"/>
              </w:rPr>
              <w:t xml:space="preserve">Plan signed off by a director. </w:t>
            </w:r>
          </w:p>
          <w:p w14:paraId="30EE2492" w14:textId="4822B0B5" w:rsidR="006168B0" w:rsidRDefault="006168B0" w:rsidP="0085565B">
            <w:pPr>
              <w:pStyle w:val="ListParagraph"/>
              <w:numPr>
                <w:ilvl w:val="0"/>
                <w:numId w:val="34"/>
              </w:numPr>
              <w:spacing w:after="60"/>
              <w:ind w:left="697" w:hanging="357"/>
              <w:contextualSpacing w:val="0"/>
              <w:jc w:val="both"/>
              <w:rPr>
                <w:rFonts w:cs="Arial"/>
              </w:rPr>
            </w:pPr>
            <w:r w:rsidRPr="00E66809">
              <w:rPr>
                <w:rFonts w:cs="Arial"/>
                <w:b/>
                <w:color w:val="009999"/>
              </w:rPr>
              <w:t>5.</w:t>
            </w:r>
            <w:r w:rsidRPr="00E66809">
              <w:rPr>
                <w:rFonts w:cs="Arial"/>
                <w:color w:val="009999"/>
              </w:rPr>
              <w:t xml:space="preserve"> </w:t>
            </w:r>
            <w:r w:rsidRPr="00E66809">
              <w:rPr>
                <w:rFonts w:cs="Arial"/>
              </w:rPr>
              <w:t>Plan published on its website. (This can be a shorter, summary plan)</w:t>
            </w:r>
          </w:p>
          <w:p w14:paraId="35836496" w14:textId="7DF7A03E" w:rsidR="006168B0" w:rsidRPr="00E66809" w:rsidRDefault="006168B0" w:rsidP="001E53D0">
            <w:pPr>
              <w:spacing w:after="0" w:line="276" w:lineRule="auto"/>
              <w:jc w:val="both"/>
              <w:rPr>
                <w:rFonts w:cs="Arial"/>
              </w:rPr>
            </w:pPr>
            <w:r w:rsidRPr="001E53D0">
              <w:rPr>
                <w:rFonts w:eastAsia="Times New Roman" w:cs="Calibri"/>
                <w:b/>
              </w:rPr>
              <w:t>OR</w:t>
            </w:r>
          </w:p>
          <w:p w14:paraId="524885E2" w14:textId="4EB09CF9" w:rsidR="006168B0" w:rsidRDefault="006168B0" w:rsidP="0085565B">
            <w:pPr>
              <w:pStyle w:val="ListParagraph"/>
              <w:numPr>
                <w:ilvl w:val="0"/>
                <w:numId w:val="34"/>
              </w:numPr>
              <w:spacing w:after="60"/>
              <w:ind w:left="357" w:hanging="357"/>
              <w:contextualSpacing w:val="0"/>
              <w:jc w:val="both"/>
              <w:rPr>
                <w:rFonts w:cs="Arial"/>
              </w:rPr>
            </w:pPr>
            <w:r>
              <w:rPr>
                <w:rFonts w:cs="Arial"/>
              </w:rPr>
              <w:t>Supplier</w:t>
            </w:r>
            <w:r w:rsidRPr="00E66809">
              <w:rPr>
                <w:rFonts w:cs="Arial"/>
              </w:rPr>
              <w:t xml:space="preserve"> pays </w:t>
            </w:r>
            <w:r>
              <w:rPr>
                <w:rFonts w:cs="Arial"/>
              </w:rPr>
              <w:t>&lt;</w:t>
            </w:r>
            <w:r w:rsidRPr="00E66809">
              <w:rPr>
                <w:rFonts w:cs="Arial"/>
              </w:rPr>
              <w:t xml:space="preserve"> 90% of all supply chain invoices in 60 days in at least one of the two previous six</w:t>
            </w:r>
            <w:r>
              <w:rPr>
                <w:rFonts w:cs="Arial"/>
              </w:rPr>
              <w:t>-</w:t>
            </w:r>
            <w:r w:rsidRPr="00E66809">
              <w:rPr>
                <w:rFonts w:cs="Arial"/>
              </w:rPr>
              <w:t xml:space="preserve">month reporting periods after removing intercompany payments (if relevant). </w:t>
            </w:r>
          </w:p>
          <w:p w14:paraId="4C35430C" w14:textId="038B8561" w:rsidR="006168B0" w:rsidRPr="00E66809" w:rsidRDefault="006168B0" w:rsidP="001E53D0">
            <w:pPr>
              <w:spacing w:after="0" w:line="276" w:lineRule="auto"/>
              <w:jc w:val="both"/>
              <w:rPr>
                <w:rFonts w:cs="Arial"/>
              </w:rPr>
            </w:pPr>
            <w:r w:rsidRPr="001E53D0">
              <w:rPr>
                <w:rFonts w:eastAsia="Times New Roman" w:cs="Calibri"/>
                <w:b/>
              </w:rPr>
              <w:t>OR</w:t>
            </w:r>
          </w:p>
          <w:p w14:paraId="325A060B" w14:textId="77777777" w:rsidR="006168B0" w:rsidRPr="00E66809" w:rsidRDefault="006168B0" w:rsidP="0085565B">
            <w:pPr>
              <w:pStyle w:val="ListParagraph"/>
              <w:numPr>
                <w:ilvl w:val="0"/>
                <w:numId w:val="34"/>
              </w:numPr>
              <w:spacing w:after="60"/>
              <w:ind w:left="357" w:hanging="357"/>
              <w:contextualSpacing w:val="0"/>
              <w:jc w:val="both"/>
              <w:rPr>
                <w:rFonts w:eastAsia="Times New Roman" w:cs="Calibri"/>
                <w:b/>
                <w:u w:val="single"/>
              </w:rPr>
            </w:pPr>
            <w:r>
              <w:rPr>
                <w:rFonts w:cs="Arial"/>
              </w:rPr>
              <w:t>Supplier</w:t>
            </w:r>
            <w:r w:rsidRPr="00E66809">
              <w:rPr>
                <w:rFonts w:cs="Arial"/>
              </w:rPr>
              <w:t xml:space="preserve">’s average payment days are &gt;55 in </w:t>
            </w:r>
            <w:proofErr w:type="gramStart"/>
            <w:r w:rsidRPr="00E66809">
              <w:rPr>
                <w:rFonts w:cs="Arial"/>
              </w:rPr>
              <w:t>both of the previous</w:t>
            </w:r>
            <w:proofErr w:type="gramEnd"/>
            <w:r w:rsidRPr="00E66809">
              <w:rPr>
                <w:rFonts w:cs="Arial"/>
              </w:rPr>
              <w:t xml:space="preserve"> six</w:t>
            </w:r>
            <w:r>
              <w:rPr>
                <w:rFonts w:cs="Arial"/>
              </w:rPr>
              <w:t>-</w:t>
            </w:r>
            <w:r w:rsidRPr="00E66809">
              <w:rPr>
                <w:rFonts w:cs="Arial"/>
              </w:rPr>
              <w:t>month reporting periods after removing intercompany payments (if relevant).</w:t>
            </w:r>
          </w:p>
        </w:tc>
      </w:tr>
      <w:tr w:rsidR="006168B0" w:rsidRPr="00BF1FD6" w14:paraId="72B9AEB3" w14:textId="77777777" w:rsidTr="00467A23">
        <w:trPr>
          <w:trHeight w:val="510"/>
        </w:trPr>
        <w:tc>
          <w:tcPr>
            <w:tcW w:w="717" w:type="pct"/>
            <w:shd w:val="clear" w:color="auto" w:fill="FFFFFF" w:themeFill="background1"/>
          </w:tcPr>
          <w:p w14:paraId="0AECD005" w14:textId="77777777" w:rsidR="006168B0" w:rsidRPr="00E66809" w:rsidRDefault="006168B0">
            <w:pPr>
              <w:spacing w:after="0" w:line="276" w:lineRule="auto"/>
              <w:jc w:val="both"/>
              <w:rPr>
                <w:rFonts w:eastAsia="Times New Roman" w:cs="Calibri"/>
              </w:rPr>
            </w:pPr>
            <w:r w:rsidRPr="00E66809">
              <w:rPr>
                <w:rFonts w:eastAsia="Times New Roman" w:cs="Calibri"/>
              </w:rPr>
              <w:t>3.2</w:t>
            </w:r>
            <w:r>
              <w:rPr>
                <w:rFonts w:eastAsia="Times New Roman" w:cs="Calibri"/>
              </w:rPr>
              <w:t>0</w:t>
            </w:r>
          </w:p>
        </w:tc>
        <w:tc>
          <w:tcPr>
            <w:tcW w:w="859" w:type="pct"/>
            <w:shd w:val="clear" w:color="auto" w:fill="FFFFFF" w:themeFill="background1"/>
          </w:tcPr>
          <w:p w14:paraId="39F4FD86"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424" w:type="pct"/>
            <w:shd w:val="clear" w:color="auto" w:fill="FFFFFF" w:themeFill="background1"/>
          </w:tcPr>
          <w:p w14:paraId="06AECFE1"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7B69A82D"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‘Yes’</w:t>
            </w:r>
            <w:r>
              <w:rPr>
                <w:rFonts w:eastAsia="Times New Roman" w:cs="Calibri"/>
              </w:rPr>
              <w:t>.</w:t>
            </w:r>
          </w:p>
          <w:p w14:paraId="1F65C474" w14:textId="77777777" w:rsidR="006168B0" w:rsidRPr="001E53D0" w:rsidRDefault="006168B0">
            <w:pPr>
              <w:spacing w:after="0" w:line="276" w:lineRule="auto"/>
              <w:jc w:val="both"/>
              <w:rPr>
                <w:rFonts w:eastAsia="Times New Roman" w:cs="Calibri"/>
                <w:b/>
              </w:rPr>
            </w:pPr>
            <w:r w:rsidRPr="001E53D0">
              <w:rPr>
                <w:rFonts w:eastAsia="Times New Roman" w:cs="Calibri"/>
                <w:b/>
              </w:rPr>
              <w:t>AND</w:t>
            </w:r>
          </w:p>
          <w:p w14:paraId="1E2E6498" w14:textId="77777777" w:rsidR="006168B0" w:rsidRPr="00E66809" w:rsidRDefault="006168B0" w:rsidP="0085565B">
            <w:pPr>
              <w:pStyle w:val="ListParagraph"/>
              <w:numPr>
                <w:ilvl w:val="0"/>
                <w:numId w:val="61"/>
              </w:numPr>
              <w:spacing w:after="0" w:line="276" w:lineRule="auto"/>
              <w:jc w:val="both"/>
              <w:rPr>
                <w:rFonts w:eastAsia="Times New Roman" w:cs="Calibri"/>
              </w:rPr>
            </w:pPr>
            <w:r w:rsidRPr="00E66809">
              <w:rPr>
                <w:rFonts w:eastAsia="Times New Roman" w:cs="Calibri"/>
              </w:rPr>
              <w:t>A link is provided to a complete C</w:t>
            </w:r>
            <w:r>
              <w:rPr>
                <w:rFonts w:eastAsia="Times New Roman" w:cs="Calibri"/>
              </w:rPr>
              <w:t>arbon Reduction Plan (CRP)</w:t>
            </w:r>
            <w:r w:rsidRPr="00E66809">
              <w:rPr>
                <w:rFonts w:eastAsia="Times New Roman" w:cs="Calibri"/>
              </w:rPr>
              <w:t xml:space="preserve"> that is published on the </w:t>
            </w:r>
            <w:r>
              <w:rPr>
                <w:rFonts w:eastAsia="Times New Roman" w:cs="Calibri"/>
              </w:rPr>
              <w:t>Supplier</w:t>
            </w:r>
            <w:r w:rsidRPr="00E66809">
              <w:rPr>
                <w:rFonts w:eastAsia="Times New Roman" w:cs="Calibri"/>
              </w:rPr>
              <w:t>’s company website (or equivalent)</w:t>
            </w:r>
          </w:p>
          <w:p w14:paraId="74D5D583" w14:textId="77777777" w:rsidR="006168B0" w:rsidRPr="001E53D0" w:rsidRDefault="006168B0">
            <w:pPr>
              <w:spacing w:after="0" w:line="276" w:lineRule="auto"/>
              <w:jc w:val="both"/>
              <w:rPr>
                <w:rFonts w:eastAsia="Times New Roman" w:cs="Calibri"/>
                <w:b/>
              </w:rPr>
            </w:pPr>
            <w:r w:rsidRPr="001E53D0">
              <w:rPr>
                <w:rFonts w:eastAsia="Times New Roman" w:cs="Calibri"/>
                <w:b/>
              </w:rPr>
              <w:t>AND</w:t>
            </w:r>
          </w:p>
          <w:p w14:paraId="4A6CE891" w14:textId="77777777" w:rsidR="006168B0" w:rsidRDefault="006168B0" w:rsidP="0085565B">
            <w:pPr>
              <w:pStyle w:val="ListParagraph"/>
              <w:numPr>
                <w:ilvl w:val="0"/>
                <w:numId w:val="61"/>
              </w:numPr>
              <w:jc w:val="both"/>
              <w:rPr>
                <w:rFonts w:eastAsia="Times New Roman" w:cs="Calibri"/>
              </w:rPr>
            </w:pPr>
            <w:r w:rsidRPr="00E66809">
              <w:rPr>
                <w:rFonts w:eastAsia="Times New Roman" w:cs="Calibri"/>
              </w:rPr>
              <w:t>The CRP has been completed using the template titled “Carbon Reduction Plan Template”, available from</w:t>
            </w:r>
            <w:r>
              <w:rPr>
                <w:rFonts w:eastAsia="Times New Roman" w:cs="Calibri"/>
              </w:rPr>
              <w:t xml:space="preserve"> the following webpage:</w:t>
            </w:r>
            <w:r>
              <w:t xml:space="preserve"> </w:t>
            </w:r>
            <w:hyperlink r:id="rId34" w:history="1">
              <w:r w:rsidRPr="008D1E3F">
                <w:rPr>
                  <w:rStyle w:val="Hyperlink"/>
                  <w:rFonts w:eastAsia="Times New Roman" w:cs="Calibri"/>
                </w:rPr>
                <w:t>https://www.gov.uk/government/publications/ppn-006-taking-account-of-carbon-reduction-plans-in-the-procurement-of-major-government-contracts</w:t>
              </w:r>
            </w:hyperlink>
            <w:r>
              <w:rPr>
                <w:rFonts w:eastAsia="Times New Roman" w:cs="Calibri"/>
              </w:rPr>
              <w:t xml:space="preserve"> </w:t>
            </w:r>
          </w:p>
          <w:p w14:paraId="4F22E4C2" w14:textId="77777777" w:rsidR="006168B0" w:rsidRPr="001E53D0" w:rsidRDefault="006168B0">
            <w:pPr>
              <w:jc w:val="both"/>
              <w:rPr>
                <w:rFonts w:eastAsia="Times New Roman" w:cs="Calibri"/>
                <w:b/>
              </w:rPr>
            </w:pPr>
            <w:r w:rsidRPr="001E53D0">
              <w:rPr>
                <w:rFonts w:eastAsia="Times New Roman" w:cs="Calibri"/>
                <w:b/>
              </w:rPr>
              <w:t>AND</w:t>
            </w:r>
          </w:p>
          <w:p w14:paraId="08AEB767" w14:textId="0C865B8E" w:rsidR="006168B0" w:rsidRPr="00E66809" w:rsidRDefault="006168B0" w:rsidP="0085565B">
            <w:pPr>
              <w:pStyle w:val="ListParagraph"/>
              <w:numPr>
                <w:ilvl w:val="0"/>
                <w:numId w:val="61"/>
              </w:numPr>
              <w:spacing w:after="0" w:line="276" w:lineRule="auto"/>
              <w:jc w:val="both"/>
              <w:rPr>
                <w:rFonts w:eastAsia="Times New Roman" w:cs="Calibri"/>
              </w:rPr>
            </w:pPr>
            <w:r>
              <w:rPr>
                <w:rFonts w:eastAsia="Times New Roman" w:cs="Calibri"/>
              </w:rPr>
              <w:t xml:space="preserve">The CRP meets the assessment criteria outlined Table 1 of: </w:t>
            </w:r>
            <w:hyperlink r:id="rId35" w:history="1">
              <w:r w:rsidR="00EF348B">
                <w:rPr>
                  <w:color w:val="0000FF"/>
                  <w:u w:val="single"/>
                </w:rPr>
                <w:t>2025-02-05 PPN 006 Guidance on taking account of carbon reduction plans - adopting and applying conditions of participation.docx</w:t>
              </w:r>
            </w:hyperlink>
            <w:r>
              <w:t xml:space="preserve"> </w:t>
            </w:r>
            <w:r w:rsidR="00011626">
              <w:t xml:space="preserve"> </w:t>
            </w:r>
            <w:r w:rsidR="00591B52">
              <w:t xml:space="preserve"> </w:t>
            </w:r>
          </w:p>
          <w:p w14:paraId="31BEA47D" w14:textId="77777777" w:rsidR="006168B0" w:rsidRPr="00E66809" w:rsidRDefault="006168B0">
            <w:pPr>
              <w:pStyle w:val="ListParagraph"/>
              <w:ind w:left="360"/>
              <w:jc w:val="both"/>
              <w:rPr>
                <w:rFonts w:eastAsia="Times New Roman" w:cs="Calibri"/>
              </w:rPr>
            </w:pPr>
          </w:p>
          <w:p w14:paraId="79B9207B"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4E1FFD0D"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‘No’</w:t>
            </w:r>
            <w:r>
              <w:rPr>
                <w:rFonts w:eastAsia="Times New Roman" w:cs="Calibri"/>
              </w:rPr>
              <w:t>.</w:t>
            </w:r>
          </w:p>
          <w:p w14:paraId="3C3BCAFE" w14:textId="77777777" w:rsidR="006168B0" w:rsidRPr="001E53D0" w:rsidRDefault="006168B0">
            <w:pPr>
              <w:spacing w:after="0" w:line="276" w:lineRule="auto"/>
              <w:jc w:val="both"/>
              <w:rPr>
                <w:rFonts w:eastAsia="Times New Roman" w:cs="Calibri"/>
                <w:b/>
              </w:rPr>
            </w:pPr>
            <w:r w:rsidRPr="001E53D0">
              <w:rPr>
                <w:rFonts w:eastAsia="Times New Roman" w:cs="Calibri"/>
                <w:b/>
              </w:rPr>
              <w:t>OR</w:t>
            </w:r>
          </w:p>
          <w:p w14:paraId="5CE741FF" w14:textId="77777777" w:rsidR="006168B0" w:rsidRPr="00E66809" w:rsidRDefault="006168B0" w:rsidP="0085565B">
            <w:pPr>
              <w:pStyle w:val="ListParagraph"/>
              <w:numPr>
                <w:ilvl w:val="0"/>
                <w:numId w:val="61"/>
              </w:numPr>
              <w:spacing w:after="0" w:line="276" w:lineRule="auto"/>
              <w:jc w:val="both"/>
              <w:rPr>
                <w:rFonts w:eastAsia="Times New Roman" w:cs="Calibri"/>
              </w:rPr>
            </w:pPr>
            <w:r w:rsidRPr="00E66809">
              <w:rPr>
                <w:rFonts w:eastAsia="Times New Roman" w:cs="Calibri"/>
              </w:rPr>
              <w:t xml:space="preserve">A link has not been provided to a complete CRP that is published on the </w:t>
            </w:r>
            <w:r>
              <w:rPr>
                <w:rFonts w:eastAsia="Times New Roman" w:cs="Calibri"/>
              </w:rPr>
              <w:t>Supplier</w:t>
            </w:r>
            <w:r w:rsidRPr="00E66809">
              <w:rPr>
                <w:rFonts w:eastAsia="Times New Roman" w:cs="Calibri"/>
              </w:rPr>
              <w:t>’s company website (or equivalent)</w:t>
            </w:r>
            <w:r>
              <w:rPr>
                <w:rFonts w:eastAsia="Times New Roman" w:cs="Calibri"/>
              </w:rPr>
              <w:t>.</w:t>
            </w:r>
          </w:p>
          <w:p w14:paraId="2EDBB7AB" w14:textId="77777777" w:rsidR="006168B0" w:rsidRPr="001E53D0" w:rsidRDefault="006168B0">
            <w:pPr>
              <w:spacing w:after="0" w:line="276" w:lineRule="auto"/>
              <w:jc w:val="both"/>
              <w:rPr>
                <w:rFonts w:eastAsia="Times New Roman" w:cs="Calibri"/>
                <w:b/>
              </w:rPr>
            </w:pPr>
            <w:r w:rsidRPr="001E53D0">
              <w:rPr>
                <w:rFonts w:eastAsia="Times New Roman" w:cs="Calibri"/>
                <w:b/>
              </w:rPr>
              <w:t>OR</w:t>
            </w:r>
          </w:p>
          <w:p w14:paraId="3E21E167" w14:textId="77777777" w:rsidR="006168B0" w:rsidRPr="00B02F31" w:rsidRDefault="006168B0" w:rsidP="0085565B">
            <w:pPr>
              <w:pStyle w:val="ListParagraph"/>
              <w:numPr>
                <w:ilvl w:val="0"/>
                <w:numId w:val="61"/>
              </w:numPr>
              <w:jc w:val="both"/>
              <w:rPr>
                <w:rFonts w:eastAsia="Times New Roman" w:cs="Calibri"/>
              </w:rPr>
            </w:pPr>
            <w:r w:rsidRPr="33DA7E9D">
              <w:rPr>
                <w:rFonts w:eastAsia="Times New Roman" w:cs="Calibri"/>
              </w:rPr>
              <w:t xml:space="preserve">The CRP has not been completed using the template titled “Carbon Reduction Plan Template”, available from the following webpage: </w:t>
            </w:r>
            <w:hyperlink r:id="rId36">
              <w:r w:rsidRPr="33DA7E9D">
                <w:rPr>
                  <w:rStyle w:val="Hyperlink"/>
                  <w:rFonts w:eastAsia="Times New Roman" w:cs="Calibri"/>
                </w:rPr>
                <w:t>https://www.gov.uk/government/publications/ppn-006-taking-account-of-carbon-reduction-plans-in-the-procurement-of-major-government-contracts</w:t>
              </w:r>
            </w:hyperlink>
            <w:r>
              <w:rPr>
                <w:rFonts w:eastAsia="Times New Roman" w:cs="Calibri"/>
              </w:rPr>
              <w:t xml:space="preserve"> </w:t>
            </w:r>
          </w:p>
          <w:p w14:paraId="34D114CB" w14:textId="77777777" w:rsidR="006168B0" w:rsidRPr="001E53D0" w:rsidRDefault="006168B0" w:rsidP="001E53D0">
            <w:pPr>
              <w:spacing w:after="0" w:line="276" w:lineRule="auto"/>
              <w:jc w:val="both"/>
              <w:rPr>
                <w:rFonts w:eastAsia="Times New Roman" w:cs="Calibri"/>
                <w:b/>
              </w:rPr>
            </w:pPr>
            <w:r w:rsidRPr="001E53D0">
              <w:rPr>
                <w:rFonts w:eastAsia="Times New Roman" w:cs="Calibri"/>
                <w:b/>
              </w:rPr>
              <w:t>OR</w:t>
            </w:r>
          </w:p>
          <w:p w14:paraId="54178A8F" w14:textId="77777777" w:rsidR="006168B0" w:rsidRPr="00E66809" w:rsidRDefault="006168B0">
            <w:pPr>
              <w:jc w:val="both"/>
              <w:rPr>
                <w:rFonts w:eastAsia="Times New Roman" w:cs="Calibri"/>
              </w:rPr>
            </w:pPr>
            <w:r>
              <w:rPr>
                <w:rFonts w:eastAsia="Times New Roman" w:cs="Calibri"/>
              </w:rPr>
              <w:t>A response is not provided.</w:t>
            </w:r>
          </w:p>
          <w:p w14:paraId="262B6F7C" w14:textId="77777777" w:rsidR="006168B0" w:rsidRPr="00E66809" w:rsidRDefault="006168B0">
            <w:pPr>
              <w:jc w:val="both"/>
              <w:rPr>
                <w:rFonts w:eastAsia="Times New Roman" w:cs="Calibri"/>
                <w:b/>
                <w:u w:val="single"/>
              </w:rPr>
            </w:pPr>
            <w:r w:rsidRPr="00E66809">
              <w:rPr>
                <w:rFonts w:eastAsia="Times New Roman" w:cs="Calibri"/>
                <w:b/>
                <w:u w:val="single"/>
              </w:rPr>
              <w:t>Notes</w:t>
            </w:r>
          </w:p>
          <w:p w14:paraId="6B60B239" w14:textId="77777777" w:rsidR="006168B0" w:rsidRPr="00E66809" w:rsidRDefault="006168B0" w:rsidP="0085565B">
            <w:pPr>
              <w:pStyle w:val="ListParagraph"/>
              <w:numPr>
                <w:ilvl w:val="0"/>
                <w:numId w:val="61"/>
              </w:numPr>
              <w:jc w:val="both"/>
              <w:rPr>
                <w:rFonts w:eastAsia="Times New Roman" w:cs="Calibri"/>
              </w:rPr>
            </w:pPr>
            <w:r w:rsidRPr="00E66809">
              <w:rPr>
                <w:rFonts w:eastAsia="Times New Roman" w:cs="Calibri"/>
              </w:rPr>
              <w:t xml:space="preserve">HMRC reserve the right to reject the </w:t>
            </w:r>
            <w:r>
              <w:rPr>
                <w:rFonts w:eastAsia="Times New Roman" w:cs="Calibri"/>
              </w:rPr>
              <w:t>Supplier</w:t>
            </w:r>
            <w:r w:rsidRPr="00E66809">
              <w:rPr>
                <w:rFonts w:eastAsia="Times New Roman" w:cs="Calibri"/>
              </w:rPr>
              <w:t>’s entire tender submission should the CRP be incomplete.</w:t>
            </w:r>
          </w:p>
          <w:p w14:paraId="77A22E2A" w14:textId="77777777" w:rsidR="006168B0" w:rsidRPr="00E66809" w:rsidRDefault="006168B0" w:rsidP="0085565B">
            <w:pPr>
              <w:pStyle w:val="ListParagraph"/>
              <w:numPr>
                <w:ilvl w:val="0"/>
                <w:numId w:val="61"/>
              </w:numPr>
              <w:jc w:val="both"/>
              <w:rPr>
                <w:rFonts w:eastAsia="Times New Roman" w:cs="Calibri"/>
              </w:rPr>
            </w:pPr>
            <w:r w:rsidRPr="00E66809">
              <w:rPr>
                <w:rFonts w:eastAsia="Times New Roman" w:cs="Calibri"/>
              </w:rPr>
              <w:t xml:space="preserve">Suppliers will not be disadvantaged where they are a new entrant to the market (trading for less than 12 months). </w:t>
            </w:r>
            <w:proofErr w:type="gramStart"/>
            <w:r w:rsidRPr="00E66809">
              <w:rPr>
                <w:rFonts w:eastAsia="Times New Roman" w:cs="Calibri"/>
              </w:rPr>
              <w:t>In order to</w:t>
            </w:r>
            <w:proofErr w:type="gramEnd"/>
            <w:r w:rsidRPr="00E66809">
              <w:rPr>
                <w:rFonts w:eastAsia="Times New Roman" w:cs="Calibri"/>
              </w:rPr>
              <w:t xml:space="preserve"> pass, </w:t>
            </w:r>
            <w:r>
              <w:rPr>
                <w:rFonts w:eastAsia="Times New Roman" w:cs="Calibri"/>
              </w:rPr>
              <w:t>Supplier</w:t>
            </w:r>
            <w:r w:rsidRPr="00E66809">
              <w:rPr>
                <w:rFonts w:eastAsia="Times New Roman" w:cs="Calibri"/>
              </w:rPr>
              <w:t>s in these circumstances should complete all of the following in their published CRP: </w:t>
            </w:r>
          </w:p>
          <w:p w14:paraId="23D1EC08" w14:textId="77777777" w:rsidR="006168B0" w:rsidRPr="00E66809" w:rsidRDefault="006168B0" w:rsidP="0085565B">
            <w:pPr>
              <w:pStyle w:val="ListParagraph"/>
              <w:numPr>
                <w:ilvl w:val="1"/>
                <w:numId w:val="61"/>
              </w:numPr>
              <w:jc w:val="both"/>
              <w:rPr>
                <w:rFonts w:eastAsia="Times New Roman" w:cs="Calibri"/>
              </w:rPr>
            </w:pPr>
            <w:r w:rsidRPr="00E66809">
              <w:rPr>
                <w:rFonts w:eastAsia="Times New Roman" w:cs="Calibri"/>
              </w:rPr>
              <w:t>confirm their commitment to achieving Net Zero by 2050 </w:t>
            </w:r>
          </w:p>
          <w:p w14:paraId="4758C29A" w14:textId="77777777" w:rsidR="006168B0" w:rsidRPr="00E66809" w:rsidRDefault="006168B0" w:rsidP="0085565B">
            <w:pPr>
              <w:pStyle w:val="ListParagraph"/>
              <w:numPr>
                <w:ilvl w:val="1"/>
                <w:numId w:val="61"/>
              </w:numPr>
              <w:jc w:val="both"/>
              <w:rPr>
                <w:rFonts w:eastAsia="Times New Roman" w:cs="Calibri"/>
              </w:rPr>
            </w:pPr>
            <w:r w:rsidRPr="00E66809">
              <w:rPr>
                <w:rFonts w:eastAsia="Times New Roman" w:cs="Calibri"/>
              </w:rPr>
              <w:t xml:space="preserve">complete as much of the CRP as possible with the data available and provide an acceptable explanation as to why missing information isn’t </w:t>
            </w:r>
            <w:proofErr w:type="gramStart"/>
            <w:r w:rsidRPr="00E66809">
              <w:rPr>
                <w:rFonts w:eastAsia="Times New Roman" w:cs="Calibri"/>
              </w:rPr>
              <w:t>available</w:t>
            </w:r>
            <w:proofErr w:type="gramEnd"/>
          </w:p>
          <w:p w14:paraId="332E63AA" w14:textId="77777777" w:rsidR="006168B0" w:rsidRPr="00E66809" w:rsidRDefault="006168B0" w:rsidP="0085565B">
            <w:pPr>
              <w:pStyle w:val="ListParagraph"/>
              <w:numPr>
                <w:ilvl w:val="1"/>
                <w:numId w:val="61"/>
              </w:numPr>
              <w:jc w:val="both"/>
              <w:rPr>
                <w:rFonts w:eastAsia="Times New Roman" w:cs="Calibri"/>
                <w:b/>
                <w:u w:val="single"/>
              </w:rPr>
            </w:pPr>
            <w:r w:rsidRPr="00E66809">
              <w:rPr>
                <w:rFonts w:eastAsia="Times New Roman" w:cs="Calibri"/>
              </w:rPr>
              <w:t xml:space="preserve">confirm within their partly completed CRP that they commit to publish a full CRP </w:t>
            </w:r>
            <w:proofErr w:type="gramStart"/>
            <w:r w:rsidRPr="00E66809">
              <w:rPr>
                <w:rFonts w:eastAsia="Times New Roman" w:cs="Calibri"/>
              </w:rPr>
              <w:t>as soon as possible</w:t>
            </w:r>
            <w:proofErr w:type="gramEnd"/>
          </w:p>
          <w:p w14:paraId="15B242CF" w14:textId="77777777" w:rsidR="006168B0" w:rsidRPr="00E66809" w:rsidRDefault="006168B0" w:rsidP="0085565B">
            <w:pPr>
              <w:pStyle w:val="ListParagraph"/>
              <w:numPr>
                <w:ilvl w:val="0"/>
                <w:numId w:val="61"/>
              </w:numPr>
              <w:jc w:val="both"/>
              <w:rPr>
                <w:rFonts w:eastAsia="Times New Roman" w:cs="Calibri"/>
              </w:rPr>
            </w:pPr>
            <w:r w:rsidRPr="009B1E86">
              <w:rPr>
                <w:rFonts w:eastAsia="Times New Roman" w:cs="Calibri"/>
              </w:rPr>
              <w:t xml:space="preserve">Where the response is being completed on behalf of a consortium of suppliers, a CRP </w:t>
            </w:r>
            <w:r w:rsidRPr="00E66809">
              <w:rPr>
                <w:rFonts w:eastAsia="Times New Roman" w:cs="Calibri"/>
              </w:rPr>
              <w:t>should be completed by each consortium member</w:t>
            </w:r>
          </w:p>
        </w:tc>
      </w:tr>
      <w:tr w:rsidR="006168B0" w:rsidRPr="00BF1FD6" w14:paraId="55A9C5C9" w14:textId="77777777" w:rsidTr="00467A23">
        <w:trPr>
          <w:trHeight w:val="510"/>
        </w:trPr>
        <w:tc>
          <w:tcPr>
            <w:tcW w:w="717" w:type="pct"/>
            <w:shd w:val="clear" w:color="auto" w:fill="FFFFFF" w:themeFill="background1"/>
          </w:tcPr>
          <w:p w14:paraId="58700F5F" w14:textId="77777777" w:rsidR="006168B0" w:rsidRPr="00E66809" w:rsidRDefault="006168B0">
            <w:pPr>
              <w:spacing w:after="0" w:line="276" w:lineRule="auto"/>
              <w:jc w:val="both"/>
              <w:rPr>
                <w:rFonts w:eastAsia="Times New Roman" w:cs="Calibri"/>
              </w:rPr>
            </w:pPr>
            <w:r w:rsidRPr="00E66809">
              <w:rPr>
                <w:rFonts w:eastAsia="Times New Roman" w:cs="Calibri"/>
              </w:rPr>
              <w:t>3.2</w:t>
            </w:r>
            <w:r>
              <w:rPr>
                <w:rFonts w:eastAsia="Times New Roman" w:cs="Calibri"/>
              </w:rPr>
              <w:t>1</w:t>
            </w:r>
          </w:p>
        </w:tc>
        <w:tc>
          <w:tcPr>
            <w:tcW w:w="859" w:type="pct"/>
            <w:shd w:val="clear" w:color="auto" w:fill="FFFFFF" w:themeFill="background1"/>
          </w:tcPr>
          <w:p w14:paraId="5E0AA393"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424" w:type="pct"/>
            <w:shd w:val="clear" w:color="auto" w:fill="FFFFFF" w:themeFill="background1"/>
          </w:tcPr>
          <w:p w14:paraId="5932261A"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73EC9C44"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‘Yes’</w:t>
            </w:r>
            <w:r>
              <w:rPr>
                <w:rFonts w:eastAsia="Times New Roman" w:cs="Calibri"/>
              </w:rPr>
              <w:t>.</w:t>
            </w:r>
          </w:p>
          <w:p w14:paraId="5733E153" w14:textId="77777777" w:rsidR="006168B0" w:rsidRPr="00E66809" w:rsidRDefault="006168B0">
            <w:pPr>
              <w:spacing w:after="0" w:line="276" w:lineRule="auto"/>
              <w:jc w:val="both"/>
              <w:rPr>
                <w:rFonts w:eastAsia="Times New Roman" w:cs="Calibri"/>
              </w:rPr>
            </w:pPr>
          </w:p>
          <w:p w14:paraId="7C581A78"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35BCBD60" w14:textId="64EF8327" w:rsidR="00831165" w:rsidRDefault="006168B0">
            <w:pPr>
              <w:spacing w:after="0" w:line="276" w:lineRule="auto"/>
              <w:jc w:val="both"/>
              <w:rPr>
                <w:rFonts w:eastAsia="Times New Roman" w:cs="Calibri"/>
              </w:rPr>
            </w:pPr>
            <w:r w:rsidRPr="00E66809">
              <w:rPr>
                <w:rFonts w:eastAsia="Times New Roman" w:cs="Calibri"/>
              </w:rPr>
              <w:t>A response of ‘No’</w:t>
            </w:r>
            <w:r>
              <w:rPr>
                <w:rFonts w:eastAsia="Times New Roman" w:cs="Calibri"/>
              </w:rPr>
              <w:t>.</w:t>
            </w:r>
          </w:p>
          <w:p w14:paraId="18E35378" w14:textId="731DBCDC" w:rsidR="00831165" w:rsidRPr="00006FEA" w:rsidRDefault="006168B0">
            <w:pPr>
              <w:spacing w:after="0" w:line="276" w:lineRule="auto"/>
              <w:jc w:val="both"/>
              <w:rPr>
                <w:rFonts w:eastAsia="Times New Roman" w:cs="Calibri"/>
                <w:b/>
              </w:rPr>
            </w:pPr>
            <w:r w:rsidRPr="00006FEA">
              <w:rPr>
                <w:rFonts w:eastAsia="Times New Roman" w:cs="Calibri"/>
                <w:b/>
              </w:rPr>
              <w:t>OR</w:t>
            </w:r>
          </w:p>
          <w:p w14:paraId="0E3D0306"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‘Yes’, with qualifications or conditions that are deemed unacceptable by HMRC</w:t>
            </w:r>
          </w:p>
        </w:tc>
      </w:tr>
      <w:tr w:rsidR="006168B0" w:rsidRPr="00BF1FD6" w14:paraId="0260B08E" w14:textId="77777777" w:rsidTr="00467A23">
        <w:trPr>
          <w:trHeight w:val="510"/>
        </w:trPr>
        <w:tc>
          <w:tcPr>
            <w:tcW w:w="717" w:type="pct"/>
            <w:shd w:val="clear" w:color="auto" w:fill="FFFFFF" w:themeFill="background1"/>
          </w:tcPr>
          <w:p w14:paraId="6D158A3B" w14:textId="77777777" w:rsidR="006168B0" w:rsidRPr="00E66809" w:rsidRDefault="006168B0">
            <w:pPr>
              <w:spacing w:after="0" w:line="276" w:lineRule="auto"/>
              <w:jc w:val="both"/>
              <w:rPr>
                <w:rFonts w:eastAsia="Times New Roman" w:cs="Calibri"/>
              </w:rPr>
            </w:pPr>
            <w:r w:rsidRPr="00E66809">
              <w:rPr>
                <w:rFonts w:eastAsia="Times New Roman" w:cs="Calibri"/>
              </w:rPr>
              <w:t>3.2</w:t>
            </w:r>
            <w:r>
              <w:rPr>
                <w:rFonts w:eastAsia="Times New Roman" w:cs="Calibri"/>
              </w:rPr>
              <w:t>2</w:t>
            </w:r>
          </w:p>
        </w:tc>
        <w:tc>
          <w:tcPr>
            <w:tcW w:w="859" w:type="pct"/>
            <w:shd w:val="clear" w:color="auto" w:fill="FFFFFF" w:themeFill="background1"/>
          </w:tcPr>
          <w:p w14:paraId="6E64EDF2" w14:textId="77777777" w:rsidR="006168B0" w:rsidRPr="00E66809" w:rsidRDefault="006168B0">
            <w:pPr>
              <w:spacing w:after="0" w:line="276" w:lineRule="auto"/>
              <w:jc w:val="both"/>
              <w:rPr>
                <w:rFonts w:eastAsia="Times New Roman" w:cs="Calibri"/>
              </w:rPr>
            </w:pPr>
            <w:r>
              <w:rPr>
                <w:rFonts w:eastAsia="Times New Roman" w:cs="Calibri"/>
              </w:rPr>
              <w:t>Pass/Fail</w:t>
            </w:r>
          </w:p>
        </w:tc>
        <w:tc>
          <w:tcPr>
            <w:tcW w:w="3424" w:type="pct"/>
            <w:shd w:val="clear" w:color="auto" w:fill="FFFFFF" w:themeFill="background1"/>
          </w:tcPr>
          <w:p w14:paraId="31094823" w14:textId="77777777" w:rsidR="006168B0" w:rsidRPr="00E66809" w:rsidRDefault="006168B0">
            <w:pPr>
              <w:spacing w:after="0" w:line="276" w:lineRule="auto"/>
              <w:jc w:val="both"/>
              <w:rPr>
                <w:rFonts w:eastAsia="Times New Roman" w:cs="Calibri"/>
                <w:b/>
                <w:bCs/>
                <w:u w:val="single"/>
              </w:rPr>
            </w:pPr>
            <w:r w:rsidRPr="00E66809">
              <w:rPr>
                <w:rFonts w:eastAsia="Times New Roman" w:cs="Calibri"/>
                <w:b/>
                <w:bCs/>
                <w:u w:val="single"/>
              </w:rPr>
              <w:t>Pass</w:t>
            </w:r>
          </w:p>
          <w:p w14:paraId="4C213DDB" w14:textId="5AA0018F" w:rsidR="006168B0" w:rsidRDefault="006168B0">
            <w:pPr>
              <w:spacing w:after="0" w:line="276" w:lineRule="auto"/>
              <w:jc w:val="both"/>
              <w:rPr>
                <w:rFonts w:eastAsia="Times New Roman" w:cs="Calibri"/>
                <w:bCs/>
              </w:rPr>
            </w:pPr>
            <w:r>
              <w:rPr>
                <w:rFonts w:eastAsia="Times New Roman" w:cs="Calibri"/>
                <w:bCs/>
              </w:rPr>
              <w:t xml:space="preserve">The Supplier confirms that its Net Zero Target Date is 2050 or </w:t>
            </w:r>
            <w:proofErr w:type="gramStart"/>
            <w:r>
              <w:rPr>
                <w:rFonts w:eastAsia="Times New Roman" w:cs="Calibri"/>
                <w:bCs/>
              </w:rPr>
              <w:t>earlier</w:t>
            </w:r>
            <w:proofErr w:type="gramEnd"/>
          </w:p>
          <w:p w14:paraId="324EDDEA" w14:textId="77777777" w:rsidR="006168B0" w:rsidRDefault="006168B0">
            <w:pPr>
              <w:spacing w:after="0" w:line="276" w:lineRule="auto"/>
              <w:jc w:val="both"/>
              <w:rPr>
                <w:rFonts w:eastAsia="Times New Roman" w:cs="Calibri"/>
                <w:bCs/>
              </w:rPr>
            </w:pPr>
          </w:p>
          <w:p w14:paraId="16A42E4E" w14:textId="77777777" w:rsidR="006168B0" w:rsidRDefault="006168B0">
            <w:pPr>
              <w:spacing w:after="0" w:line="276" w:lineRule="auto"/>
              <w:jc w:val="both"/>
              <w:rPr>
                <w:rFonts w:eastAsia="Times New Roman" w:cs="Calibri"/>
                <w:b/>
                <w:u w:val="single"/>
              </w:rPr>
            </w:pPr>
            <w:r>
              <w:rPr>
                <w:rFonts w:eastAsia="Times New Roman" w:cs="Calibri"/>
                <w:b/>
                <w:u w:val="single"/>
              </w:rPr>
              <w:t>Fail</w:t>
            </w:r>
          </w:p>
          <w:p w14:paraId="4A5F737B" w14:textId="16640532" w:rsidR="00831165" w:rsidRDefault="006168B0">
            <w:pPr>
              <w:spacing w:after="0" w:line="276" w:lineRule="auto"/>
              <w:jc w:val="both"/>
              <w:rPr>
                <w:rFonts w:eastAsia="Times New Roman" w:cs="Calibri"/>
                <w:bCs/>
              </w:rPr>
            </w:pPr>
            <w:r>
              <w:rPr>
                <w:rFonts w:eastAsia="Times New Roman" w:cs="Calibri"/>
                <w:bCs/>
              </w:rPr>
              <w:t xml:space="preserve">The Suppliers confirm that its Net Zero Target Date is later than </w:t>
            </w:r>
            <w:proofErr w:type="gramStart"/>
            <w:r>
              <w:rPr>
                <w:rFonts w:eastAsia="Times New Roman" w:cs="Calibri"/>
                <w:bCs/>
              </w:rPr>
              <w:t>2050</w:t>
            </w:r>
            <w:proofErr w:type="gramEnd"/>
          </w:p>
          <w:p w14:paraId="7A86E48E" w14:textId="5DD8B883" w:rsidR="00831165" w:rsidRPr="00E66809" w:rsidRDefault="006168B0">
            <w:pPr>
              <w:spacing w:after="0" w:line="276" w:lineRule="auto"/>
              <w:jc w:val="both"/>
              <w:rPr>
                <w:rFonts w:eastAsia="Times New Roman" w:cs="Calibri"/>
                <w:b/>
              </w:rPr>
            </w:pPr>
            <w:r w:rsidRPr="00006FEA">
              <w:rPr>
                <w:rFonts w:eastAsia="Times New Roman" w:cs="Calibri"/>
                <w:b/>
              </w:rPr>
              <w:t>OR</w:t>
            </w:r>
          </w:p>
          <w:p w14:paraId="03AF97D6" w14:textId="77777777" w:rsidR="006168B0" w:rsidRPr="00E66809" w:rsidRDefault="006168B0">
            <w:pPr>
              <w:spacing w:after="0" w:line="276" w:lineRule="auto"/>
              <w:jc w:val="both"/>
              <w:rPr>
                <w:rFonts w:eastAsia="Times New Roman" w:cs="Calibri"/>
                <w:bCs/>
              </w:rPr>
            </w:pPr>
            <w:r>
              <w:rPr>
                <w:rFonts w:eastAsia="Times New Roman" w:cs="Calibri"/>
                <w:bCs/>
              </w:rPr>
              <w:t>The Supplier does not provide a response</w:t>
            </w:r>
          </w:p>
        </w:tc>
      </w:tr>
      <w:tr w:rsidR="006168B0" w:rsidRPr="00BF1FD6" w14:paraId="7D178327" w14:textId="77777777" w:rsidTr="00467A23">
        <w:trPr>
          <w:trHeight w:val="510"/>
        </w:trPr>
        <w:tc>
          <w:tcPr>
            <w:tcW w:w="717" w:type="pct"/>
            <w:shd w:val="clear" w:color="auto" w:fill="FFFFFF" w:themeFill="background1"/>
          </w:tcPr>
          <w:p w14:paraId="5261F9D2" w14:textId="77777777" w:rsidR="006168B0" w:rsidRPr="00E66809" w:rsidRDefault="006168B0">
            <w:pPr>
              <w:spacing w:after="0" w:line="276" w:lineRule="auto"/>
              <w:jc w:val="both"/>
              <w:rPr>
                <w:rFonts w:eastAsia="Times New Roman" w:cs="Calibri"/>
              </w:rPr>
            </w:pPr>
            <w:r w:rsidRPr="00E66809">
              <w:rPr>
                <w:rFonts w:eastAsia="Times New Roman" w:cs="Calibri"/>
              </w:rPr>
              <w:t>3.2</w:t>
            </w:r>
            <w:r>
              <w:rPr>
                <w:rFonts w:eastAsia="Times New Roman" w:cs="Calibri"/>
              </w:rPr>
              <w:t>3</w:t>
            </w:r>
          </w:p>
        </w:tc>
        <w:tc>
          <w:tcPr>
            <w:tcW w:w="859" w:type="pct"/>
            <w:shd w:val="clear" w:color="auto" w:fill="FFFFFF" w:themeFill="background1"/>
          </w:tcPr>
          <w:p w14:paraId="13B9DD03" w14:textId="77777777" w:rsidR="006168B0" w:rsidRPr="00E66809" w:rsidRDefault="006168B0">
            <w:pPr>
              <w:spacing w:after="0" w:line="276" w:lineRule="auto"/>
              <w:jc w:val="both"/>
              <w:rPr>
                <w:rFonts w:eastAsia="Times New Roman" w:cs="Calibri"/>
              </w:rPr>
            </w:pPr>
            <w:r w:rsidRPr="00E66809">
              <w:rPr>
                <w:rFonts w:eastAsia="Times New Roman" w:cs="Calibri"/>
              </w:rPr>
              <w:t>Not assessed</w:t>
            </w:r>
          </w:p>
        </w:tc>
        <w:tc>
          <w:tcPr>
            <w:tcW w:w="3424" w:type="pct"/>
            <w:shd w:val="clear" w:color="auto" w:fill="FFFFFF" w:themeFill="background1"/>
          </w:tcPr>
          <w:p w14:paraId="5C607FE6" w14:textId="77777777" w:rsidR="006168B0" w:rsidRPr="00E66809" w:rsidRDefault="006168B0">
            <w:pPr>
              <w:spacing w:after="0" w:line="276" w:lineRule="auto"/>
              <w:jc w:val="both"/>
              <w:rPr>
                <w:rFonts w:eastAsia="Times New Roman" w:cs="Calibri"/>
              </w:rPr>
            </w:pPr>
            <w:r w:rsidRPr="00E66809">
              <w:rPr>
                <w:rFonts w:eastAsia="Times New Roman" w:cs="Calibri"/>
              </w:rPr>
              <w:t>Response provided for information only.</w:t>
            </w:r>
          </w:p>
        </w:tc>
      </w:tr>
      <w:tr w:rsidR="006168B0" w:rsidRPr="00BF1FD6" w14:paraId="50AEC645" w14:textId="77777777" w:rsidTr="00467A23">
        <w:trPr>
          <w:trHeight w:val="510"/>
        </w:trPr>
        <w:tc>
          <w:tcPr>
            <w:tcW w:w="717" w:type="pct"/>
            <w:shd w:val="clear" w:color="auto" w:fill="FFFFFF" w:themeFill="background1"/>
          </w:tcPr>
          <w:p w14:paraId="0A0F5EE4" w14:textId="77777777" w:rsidR="006168B0" w:rsidRPr="00E66809" w:rsidRDefault="006168B0">
            <w:pPr>
              <w:spacing w:after="0" w:line="276" w:lineRule="auto"/>
              <w:jc w:val="both"/>
              <w:rPr>
                <w:rFonts w:eastAsia="Times New Roman" w:cs="Calibri"/>
              </w:rPr>
            </w:pPr>
            <w:r w:rsidRPr="00E66809">
              <w:rPr>
                <w:rFonts w:eastAsia="Times New Roman" w:cs="Calibri"/>
              </w:rPr>
              <w:t>3.2</w:t>
            </w:r>
            <w:r>
              <w:rPr>
                <w:rFonts w:eastAsia="Times New Roman" w:cs="Calibri"/>
              </w:rPr>
              <w:t>4</w:t>
            </w:r>
          </w:p>
        </w:tc>
        <w:tc>
          <w:tcPr>
            <w:tcW w:w="859" w:type="pct"/>
            <w:shd w:val="clear" w:color="auto" w:fill="FFFFFF" w:themeFill="background1"/>
          </w:tcPr>
          <w:p w14:paraId="0AB7FDB7" w14:textId="77777777" w:rsidR="006168B0" w:rsidRPr="00E66809" w:rsidRDefault="006168B0">
            <w:pPr>
              <w:spacing w:after="0" w:line="276" w:lineRule="auto"/>
              <w:jc w:val="both"/>
              <w:rPr>
                <w:rFonts w:eastAsia="Times New Roman" w:cs="Calibri"/>
              </w:rPr>
            </w:pPr>
            <w:r w:rsidRPr="00E66809">
              <w:rPr>
                <w:rFonts w:eastAsia="Times New Roman" w:cs="Calibri"/>
              </w:rPr>
              <w:t>Pass/</w:t>
            </w:r>
            <w:r>
              <w:rPr>
                <w:rFonts w:eastAsia="Times New Roman" w:cs="Calibri"/>
              </w:rPr>
              <w:t>Fail</w:t>
            </w:r>
          </w:p>
        </w:tc>
        <w:tc>
          <w:tcPr>
            <w:tcW w:w="3424" w:type="pct"/>
            <w:shd w:val="clear" w:color="auto" w:fill="FFFFFF" w:themeFill="background1"/>
          </w:tcPr>
          <w:p w14:paraId="4F8D0163"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6F7B1DBC"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‘Yes</w:t>
            </w:r>
            <w:r>
              <w:rPr>
                <w:rFonts w:eastAsia="Times New Roman" w:cs="Calibri"/>
              </w:rPr>
              <w:t xml:space="preserve"> or ‘No’</w:t>
            </w:r>
          </w:p>
          <w:p w14:paraId="6130AF47" w14:textId="77777777" w:rsidR="006168B0" w:rsidRPr="00E66809" w:rsidRDefault="006168B0">
            <w:pPr>
              <w:spacing w:after="0" w:line="276" w:lineRule="auto"/>
              <w:jc w:val="both"/>
              <w:rPr>
                <w:rFonts w:eastAsia="Times New Roman" w:cs="Calibri"/>
              </w:rPr>
            </w:pPr>
          </w:p>
          <w:p w14:paraId="23C12BE8" w14:textId="77777777" w:rsidR="006168B0" w:rsidRPr="00B57D96" w:rsidRDefault="006168B0">
            <w:pPr>
              <w:spacing w:after="0" w:line="276" w:lineRule="auto"/>
              <w:jc w:val="both"/>
              <w:rPr>
                <w:rFonts w:eastAsia="Times New Roman" w:cs="Calibri"/>
              </w:rPr>
            </w:pPr>
            <w:r w:rsidRPr="00B57D96">
              <w:rPr>
                <w:rFonts w:eastAsia="Times New Roman" w:cs="Calibri"/>
                <w:b/>
                <w:u w:val="single"/>
              </w:rPr>
              <w:t>Fail</w:t>
            </w:r>
          </w:p>
          <w:p w14:paraId="44BE3973" w14:textId="77777777" w:rsidR="006168B0" w:rsidRPr="00E66809" w:rsidRDefault="006168B0">
            <w:pPr>
              <w:spacing w:after="0" w:line="276" w:lineRule="auto"/>
              <w:jc w:val="both"/>
              <w:rPr>
                <w:rFonts w:eastAsia="Times New Roman" w:cs="Calibri"/>
              </w:rPr>
            </w:pPr>
            <w:r>
              <w:rPr>
                <w:rFonts w:eastAsia="Times New Roman" w:cs="Calibri"/>
              </w:rPr>
              <w:t>A response is not provided</w:t>
            </w:r>
          </w:p>
        </w:tc>
      </w:tr>
      <w:tr w:rsidR="006168B0" w:rsidRPr="00BF1FD6" w14:paraId="7E4243C5" w14:textId="77777777" w:rsidTr="00467A23">
        <w:trPr>
          <w:trHeight w:val="510"/>
        </w:trPr>
        <w:tc>
          <w:tcPr>
            <w:tcW w:w="717" w:type="pct"/>
            <w:shd w:val="clear" w:color="auto" w:fill="FFFFFF" w:themeFill="background1"/>
          </w:tcPr>
          <w:p w14:paraId="5BF92892" w14:textId="77777777" w:rsidR="006168B0" w:rsidRPr="00E66809" w:rsidRDefault="006168B0">
            <w:pPr>
              <w:spacing w:after="0" w:line="276" w:lineRule="auto"/>
              <w:jc w:val="both"/>
              <w:rPr>
                <w:rFonts w:eastAsia="Times New Roman" w:cs="Calibri"/>
              </w:rPr>
            </w:pPr>
            <w:r w:rsidRPr="00E66809">
              <w:rPr>
                <w:rFonts w:eastAsia="Times New Roman" w:cs="Calibri"/>
              </w:rPr>
              <w:t>3.</w:t>
            </w:r>
            <w:r>
              <w:rPr>
                <w:rFonts w:eastAsia="Times New Roman" w:cs="Calibri"/>
              </w:rPr>
              <w:t>25</w:t>
            </w:r>
          </w:p>
        </w:tc>
        <w:tc>
          <w:tcPr>
            <w:tcW w:w="859" w:type="pct"/>
            <w:shd w:val="clear" w:color="auto" w:fill="FFFFFF" w:themeFill="background1"/>
          </w:tcPr>
          <w:p w14:paraId="00964B46" w14:textId="77777777" w:rsidR="006168B0" w:rsidRPr="00E66809" w:rsidRDefault="006168B0">
            <w:pPr>
              <w:spacing w:after="0" w:line="276" w:lineRule="auto"/>
              <w:jc w:val="both"/>
              <w:rPr>
                <w:rFonts w:eastAsia="Times New Roman" w:cs="Calibri"/>
              </w:rPr>
            </w:pPr>
            <w:r w:rsidRPr="00E66809">
              <w:rPr>
                <w:rFonts w:eastAsia="Times New Roman" w:cs="Calibri"/>
              </w:rPr>
              <w:t>Pass/Fail/N/A</w:t>
            </w:r>
          </w:p>
        </w:tc>
        <w:tc>
          <w:tcPr>
            <w:tcW w:w="3424" w:type="pct"/>
            <w:shd w:val="clear" w:color="auto" w:fill="FFFFFF" w:themeFill="background1"/>
          </w:tcPr>
          <w:p w14:paraId="20D274EE" w14:textId="77777777" w:rsidR="006168B0" w:rsidRDefault="006168B0">
            <w:pPr>
              <w:spacing w:after="0" w:line="276" w:lineRule="auto"/>
              <w:jc w:val="both"/>
              <w:rPr>
                <w:rFonts w:eastAsia="Times New Roman" w:cs="Calibri"/>
                <w:b/>
                <w:u w:val="single"/>
              </w:rPr>
            </w:pPr>
            <w:r>
              <w:rPr>
                <w:rFonts w:eastAsia="Times New Roman" w:cs="Calibri"/>
                <w:b/>
                <w:u w:val="single"/>
              </w:rPr>
              <w:t xml:space="preserve">N.A </w:t>
            </w:r>
            <w:r w:rsidRPr="00CA2085">
              <w:rPr>
                <w:rFonts w:eastAsia="Times New Roman" w:cs="Calibri"/>
                <w:bCs/>
              </w:rPr>
              <w:t xml:space="preserve">– If the Supplier has answered ‘No’ to question </w:t>
            </w:r>
            <w:proofErr w:type="gramStart"/>
            <w:r w:rsidRPr="00CA2085">
              <w:rPr>
                <w:rFonts w:eastAsia="Times New Roman" w:cs="Calibri"/>
                <w:bCs/>
              </w:rPr>
              <w:t>3.24</w:t>
            </w:r>
            <w:proofErr w:type="gramEnd"/>
          </w:p>
          <w:p w14:paraId="44DC804A" w14:textId="77777777" w:rsidR="006168B0" w:rsidRDefault="006168B0">
            <w:pPr>
              <w:spacing w:after="0" w:line="276" w:lineRule="auto"/>
              <w:jc w:val="both"/>
              <w:rPr>
                <w:rFonts w:eastAsia="Times New Roman" w:cs="Calibri"/>
                <w:b/>
                <w:u w:val="single"/>
              </w:rPr>
            </w:pPr>
          </w:p>
          <w:p w14:paraId="5A327434"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5CA0E4D4"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‘Yes’</w:t>
            </w:r>
            <w:r>
              <w:rPr>
                <w:rFonts w:eastAsia="Times New Roman" w:cs="Calibri"/>
              </w:rPr>
              <w:t xml:space="preserve"> and a </w:t>
            </w:r>
            <w:r w:rsidRPr="00E66809">
              <w:rPr>
                <w:rFonts w:eastAsia="Times New Roman" w:cs="Calibri"/>
              </w:rPr>
              <w:t>link is provided</w:t>
            </w:r>
            <w:r>
              <w:rPr>
                <w:rFonts w:eastAsia="Times New Roman" w:cs="Calibri"/>
              </w:rPr>
              <w:t xml:space="preserve"> to a relevant Modern Slavery Statement</w:t>
            </w:r>
            <w:r w:rsidRPr="00E66809">
              <w:rPr>
                <w:rFonts w:eastAsia="Times New Roman" w:cs="Calibri"/>
              </w:rPr>
              <w:t xml:space="preserve"> that contains information </w:t>
            </w:r>
            <w:r>
              <w:rPr>
                <w:rFonts w:eastAsia="Times New Roman" w:cs="Calibri"/>
              </w:rPr>
              <w:t>which</w:t>
            </w:r>
            <w:r w:rsidRPr="00E66809">
              <w:rPr>
                <w:rFonts w:eastAsia="Times New Roman" w:cs="Calibri"/>
              </w:rPr>
              <w:t xml:space="preserve"> meet</w:t>
            </w:r>
            <w:r>
              <w:rPr>
                <w:rFonts w:eastAsia="Times New Roman" w:cs="Calibri"/>
              </w:rPr>
              <w:t>s</w:t>
            </w:r>
            <w:r w:rsidRPr="00E66809">
              <w:rPr>
                <w:rFonts w:eastAsia="Times New Roman" w:cs="Calibri"/>
              </w:rPr>
              <w:t xml:space="preserve"> the criteria outlined in</w:t>
            </w:r>
            <w:r>
              <w:rPr>
                <w:rFonts w:eastAsia="Times New Roman" w:cs="Calibri"/>
              </w:rPr>
              <w:t xml:space="preserve"> paragraphs a) to f)</w:t>
            </w:r>
          </w:p>
          <w:p w14:paraId="23776F1C" w14:textId="77777777" w:rsidR="006168B0" w:rsidRDefault="006168B0">
            <w:pPr>
              <w:spacing w:after="0" w:line="276" w:lineRule="auto"/>
              <w:jc w:val="both"/>
              <w:rPr>
                <w:rFonts w:eastAsia="Times New Roman" w:cs="Calibri"/>
                <w:b/>
                <w:bCs/>
              </w:rPr>
            </w:pPr>
            <w:r>
              <w:rPr>
                <w:rFonts w:eastAsia="Times New Roman" w:cs="Calibri"/>
                <w:b/>
                <w:bCs/>
              </w:rPr>
              <w:t xml:space="preserve">OR </w:t>
            </w:r>
          </w:p>
          <w:p w14:paraId="37EE53B3" w14:textId="77777777" w:rsidR="006168B0" w:rsidRDefault="006168B0">
            <w:pPr>
              <w:spacing w:after="0" w:line="276" w:lineRule="auto"/>
              <w:jc w:val="both"/>
              <w:rPr>
                <w:rFonts w:eastAsia="Times New Roman" w:cs="Calibri"/>
              </w:rPr>
            </w:pPr>
            <w:r>
              <w:rPr>
                <w:rFonts w:eastAsia="Times New Roman" w:cs="Calibri"/>
              </w:rPr>
              <w:t xml:space="preserve">A response of ‘No’ and the Supplier is able to provide an explanation that is deemed acceptable to HMRC, including future assurances of compliance with the Modern Slavery Act prior to contract </w:t>
            </w:r>
            <w:proofErr w:type="gramStart"/>
            <w:r>
              <w:rPr>
                <w:rFonts w:eastAsia="Times New Roman" w:cs="Calibri"/>
              </w:rPr>
              <w:t>award</w:t>
            </w:r>
            <w:proofErr w:type="gramEnd"/>
          </w:p>
          <w:p w14:paraId="4D0DBB4A" w14:textId="77777777" w:rsidR="006168B0" w:rsidRPr="00E66809" w:rsidRDefault="006168B0">
            <w:pPr>
              <w:spacing w:after="0" w:line="276" w:lineRule="auto"/>
              <w:jc w:val="both"/>
              <w:rPr>
                <w:rFonts w:eastAsia="Times New Roman" w:cs="Calibri"/>
              </w:rPr>
            </w:pPr>
          </w:p>
          <w:p w14:paraId="22D6E7BE"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Fail</w:t>
            </w:r>
          </w:p>
          <w:p w14:paraId="5207B563" w14:textId="25162038" w:rsidR="00831165" w:rsidRDefault="006168B0">
            <w:pPr>
              <w:spacing w:after="0" w:line="276" w:lineRule="auto"/>
              <w:jc w:val="both"/>
              <w:rPr>
                <w:rFonts w:eastAsia="Times New Roman" w:cs="Calibri"/>
              </w:rPr>
            </w:pPr>
            <w:r w:rsidRPr="00E66809">
              <w:rPr>
                <w:rFonts w:eastAsia="Times New Roman" w:cs="Calibri"/>
              </w:rPr>
              <w:t>A response of ‘Yes’</w:t>
            </w:r>
            <w:r>
              <w:rPr>
                <w:rFonts w:eastAsia="Times New Roman" w:cs="Calibri"/>
              </w:rPr>
              <w:t xml:space="preserve">, but </w:t>
            </w:r>
            <w:r w:rsidRPr="00E66809">
              <w:rPr>
                <w:rFonts w:eastAsia="Times New Roman" w:cs="Calibri"/>
              </w:rPr>
              <w:t xml:space="preserve">the link provided does not </w:t>
            </w:r>
            <w:r>
              <w:rPr>
                <w:rFonts w:eastAsia="Times New Roman" w:cs="Calibri"/>
              </w:rPr>
              <w:t xml:space="preserve">provide access to a relevant Modern Slavery Statement </w:t>
            </w:r>
            <w:r w:rsidRPr="00E66809">
              <w:rPr>
                <w:rFonts w:eastAsia="Times New Roman" w:cs="Calibri"/>
              </w:rPr>
              <w:t>meet</w:t>
            </w:r>
            <w:r w:rsidR="00EF5331">
              <w:rPr>
                <w:rFonts w:eastAsia="Times New Roman" w:cs="Calibri"/>
              </w:rPr>
              <w:t>ing</w:t>
            </w:r>
            <w:r w:rsidRPr="00E66809">
              <w:rPr>
                <w:rFonts w:eastAsia="Times New Roman" w:cs="Calibri"/>
              </w:rPr>
              <w:t xml:space="preserve"> the criteria </w:t>
            </w:r>
            <w:r>
              <w:rPr>
                <w:rFonts w:eastAsia="Times New Roman" w:cs="Calibri"/>
              </w:rPr>
              <w:t xml:space="preserve">outlined in </w:t>
            </w:r>
            <w:r w:rsidRPr="000B5D00">
              <w:rPr>
                <w:rFonts w:eastAsia="Times New Roman" w:cs="Calibri"/>
              </w:rPr>
              <w:t>paragraphs a) to f)</w:t>
            </w:r>
          </w:p>
          <w:p w14:paraId="563C5F0C" w14:textId="78446999" w:rsidR="00831165" w:rsidRPr="00006FEA" w:rsidRDefault="006168B0">
            <w:pPr>
              <w:spacing w:after="0" w:line="276" w:lineRule="auto"/>
              <w:jc w:val="both"/>
              <w:rPr>
                <w:rFonts w:eastAsia="Times New Roman" w:cs="Calibri"/>
                <w:b/>
              </w:rPr>
            </w:pPr>
            <w:r w:rsidRPr="00006FEA">
              <w:rPr>
                <w:rFonts w:eastAsia="Times New Roman" w:cs="Calibri"/>
                <w:b/>
              </w:rPr>
              <w:t>OR</w:t>
            </w:r>
          </w:p>
          <w:p w14:paraId="6F20A21C" w14:textId="0D227B6D" w:rsidR="00831165" w:rsidRDefault="006168B0">
            <w:pPr>
              <w:spacing w:after="0" w:line="276" w:lineRule="auto"/>
              <w:jc w:val="both"/>
              <w:rPr>
                <w:rFonts w:eastAsia="Times New Roman" w:cs="Calibri"/>
              </w:rPr>
            </w:pPr>
            <w:r w:rsidRPr="008D2D34">
              <w:rPr>
                <w:rFonts w:eastAsia="Times New Roman" w:cs="Calibri"/>
              </w:rPr>
              <w:t>A response of ‘Yes’</w:t>
            </w:r>
            <w:r>
              <w:rPr>
                <w:rFonts w:eastAsia="Times New Roman" w:cs="Calibri"/>
              </w:rPr>
              <w:t>, but the Supplier does not provide a link to their Modern Slavery Statement</w:t>
            </w:r>
          </w:p>
          <w:p w14:paraId="4551A24E" w14:textId="14BC6F05" w:rsidR="00831165" w:rsidRPr="00006FEA" w:rsidRDefault="006168B0">
            <w:pPr>
              <w:spacing w:after="0" w:line="276" w:lineRule="auto"/>
              <w:jc w:val="both"/>
              <w:rPr>
                <w:rFonts w:eastAsia="Times New Roman" w:cs="Calibri"/>
                <w:b/>
              </w:rPr>
            </w:pPr>
            <w:r w:rsidRPr="00006FEA">
              <w:rPr>
                <w:rFonts w:eastAsia="Times New Roman" w:cs="Calibri"/>
                <w:b/>
              </w:rPr>
              <w:t>OR</w:t>
            </w:r>
          </w:p>
          <w:p w14:paraId="07BA40DE" w14:textId="58C8B8C0" w:rsidR="00831165" w:rsidRDefault="006168B0">
            <w:pPr>
              <w:spacing w:after="0" w:line="276" w:lineRule="auto"/>
              <w:jc w:val="both"/>
              <w:rPr>
                <w:rFonts w:eastAsia="Times New Roman" w:cs="Calibri"/>
              </w:rPr>
            </w:pPr>
            <w:r>
              <w:rPr>
                <w:rFonts w:eastAsia="Times New Roman" w:cs="Calibri"/>
              </w:rPr>
              <w:t xml:space="preserve">A response of ‘No’, but the Supplier does not provide an explanation that is deemed acceptable by </w:t>
            </w:r>
            <w:proofErr w:type="gramStart"/>
            <w:r>
              <w:rPr>
                <w:rFonts w:eastAsia="Times New Roman" w:cs="Calibri"/>
              </w:rPr>
              <w:t>HMRC</w:t>
            </w:r>
            <w:proofErr w:type="gramEnd"/>
          </w:p>
          <w:p w14:paraId="057E0714" w14:textId="3A6DF107" w:rsidR="00831165" w:rsidRPr="00006FEA" w:rsidRDefault="006168B0">
            <w:pPr>
              <w:spacing w:after="0" w:line="276" w:lineRule="auto"/>
              <w:jc w:val="both"/>
              <w:rPr>
                <w:rFonts w:eastAsia="Times New Roman" w:cs="Calibri"/>
                <w:b/>
              </w:rPr>
            </w:pPr>
            <w:r w:rsidRPr="00006FEA">
              <w:rPr>
                <w:rFonts w:eastAsia="Times New Roman" w:cs="Calibri"/>
                <w:b/>
              </w:rPr>
              <w:t>OR</w:t>
            </w:r>
          </w:p>
          <w:p w14:paraId="64F9F54C" w14:textId="77777777" w:rsidR="006168B0" w:rsidRPr="00E66809" w:rsidRDefault="006168B0">
            <w:pPr>
              <w:spacing w:after="0" w:line="276" w:lineRule="auto"/>
              <w:jc w:val="both"/>
              <w:rPr>
                <w:rFonts w:eastAsia="Times New Roman" w:cs="Calibri"/>
              </w:rPr>
            </w:pPr>
            <w:r>
              <w:rPr>
                <w:rFonts w:eastAsia="Times New Roman" w:cs="Calibri"/>
              </w:rPr>
              <w:t xml:space="preserve">A response of ‘No’, but the Supplier does not provide a supporting </w:t>
            </w:r>
            <w:proofErr w:type="gramStart"/>
            <w:r>
              <w:rPr>
                <w:rFonts w:eastAsia="Times New Roman" w:cs="Calibri"/>
              </w:rPr>
              <w:t>explanation</w:t>
            </w:r>
            <w:proofErr w:type="gramEnd"/>
          </w:p>
          <w:p w14:paraId="7CABB42F" w14:textId="77777777" w:rsidR="00006FEA" w:rsidRPr="00E66809" w:rsidRDefault="00006FEA">
            <w:pPr>
              <w:spacing w:after="0" w:line="276" w:lineRule="auto"/>
              <w:jc w:val="both"/>
              <w:rPr>
                <w:rFonts w:eastAsia="Times New Roman" w:cs="Calibri"/>
              </w:rPr>
            </w:pPr>
          </w:p>
          <w:p w14:paraId="6444474A" w14:textId="77777777" w:rsidR="006168B0" w:rsidRPr="00E66809" w:rsidRDefault="006168B0">
            <w:pPr>
              <w:spacing w:after="0" w:line="276" w:lineRule="auto"/>
              <w:jc w:val="both"/>
              <w:rPr>
                <w:rFonts w:eastAsia="Times New Roman" w:cs="Calibri"/>
              </w:rPr>
            </w:pPr>
            <w:r w:rsidRPr="00E66809">
              <w:rPr>
                <w:rFonts w:eastAsia="Times New Roman" w:cs="Calibri"/>
                <w:b/>
                <w:u w:val="single"/>
              </w:rPr>
              <w:t>N/A</w:t>
            </w:r>
          </w:p>
          <w:p w14:paraId="2A6FC431" w14:textId="77777777" w:rsidR="006168B0" w:rsidRPr="00E66809" w:rsidRDefault="006168B0">
            <w:pPr>
              <w:spacing w:after="0" w:line="276" w:lineRule="auto"/>
              <w:jc w:val="both"/>
              <w:rPr>
                <w:rFonts w:eastAsia="Times New Roman" w:cs="Calibri"/>
              </w:rPr>
            </w:pPr>
            <w:r w:rsidRPr="00E66809">
              <w:rPr>
                <w:rFonts w:eastAsia="Times New Roman" w:cs="Calibri"/>
              </w:rPr>
              <w:t>N/A is an acceptable response where</w:t>
            </w:r>
            <w:r>
              <w:rPr>
                <w:rFonts w:eastAsia="Times New Roman" w:cs="Calibri"/>
              </w:rPr>
              <w:t xml:space="preserve"> the Supplier has answered ‘No’ to question 3.24. If a response of N/A is used where the Supplier has responded ‘Yes’ to question 3.24, this will constitute a </w:t>
            </w:r>
            <w:proofErr w:type="gramStart"/>
            <w:r>
              <w:rPr>
                <w:rFonts w:eastAsia="Times New Roman" w:cs="Calibri"/>
              </w:rPr>
              <w:t>fail</w:t>
            </w:r>
            <w:proofErr w:type="gramEnd"/>
            <w:r>
              <w:rPr>
                <w:rFonts w:eastAsia="Times New Roman" w:cs="Calibri"/>
              </w:rPr>
              <w:t xml:space="preserve"> for this question.</w:t>
            </w:r>
          </w:p>
          <w:p w14:paraId="1CC64B44" w14:textId="77777777" w:rsidR="006168B0" w:rsidRPr="00E66809" w:rsidRDefault="006168B0">
            <w:pPr>
              <w:spacing w:after="0" w:line="276" w:lineRule="auto"/>
              <w:jc w:val="both"/>
              <w:rPr>
                <w:rFonts w:eastAsia="Times New Roman" w:cs="Calibri"/>
                <w:b/>
                <w:u w:val="single"/>
              </w:rPr>
            </w:pPr>
          </w:p>
        </w:tc>
      </w:tr>
      <w:tr w:rsidR="006168B0" w:rsidRPr="00BF1FD6" w14:paraId="7E46EC90" w14:textId="77777777" w:rsidTr="00467A23">
        <w:trPr>
          <w:trHeight w:val="510"/>
        </w:trPr>
        <w:tc>
          <w:tcPr>
            <w:tcW w:w="717" w:type="pct"/>
            <w:shd w:val="clear" w:color="auto" w:fill="FFFFFF" w:themeFill="background1"/>
          </w:tcPr>
          <w:p w14:paraId="4F2ED520" w14:textId="77777777" w:rsidR="006168B0" w:rsidRPr="00215519" w:rsidRDefault="006168B0">
            <w:pPr>
              <w:spacing w:after="0" w:line="276" w:lineRule="auto"/>
              <w:jc w:val="both"/>
              <w:rPr>
                <w:rFonts w:eastAsia="Times New Roman" w:cs="Calibri"/>
              </w:rPr>
            </w:pPr>
            <w:r>
              <w:rPr>
                <w:rFonts w:eastAsia="Times New Roman" w:cs="Calibri"/>
              </w:rPr>
              <w:t>3.25</w:t>
            </w:r>
          </w:p>
        </w:tc>
        <w:tc>
          <w:tcPr>
            <w:tcW w:w="859" w:type="pct"/>
            <w:shd w:val="clear" w:color="auto" w:fill="FFFFFF" w:themeFill="background1"/>
          </w:tcPr>
          <w:p w14:paraId="52B31081" w14:textId="77777777" w:rsidR="006168B0" w:rsidRPr="00215519" w:rsidRDefault="006168B0">
            <w:pPr>
              <w:spacing w:after="0" w:line="276" w:lineRule="auto"/>
              <w:jc w:val="both"/>
              <w:rPr>
                <w:rFonts w:eastAsia="Times New Roman" w:cs="Calibri"/>
              </w:rPr>
            </w:pPr>
            <w:r>
              <w:rPr>
                <w:rFonts w:eastAsia="Times New Roman" w:cs="Calibri"/>
              </w:rPr>
              <w:t>Pass/Fail</w:t>
            </w:r>
          </w:p>
        </w:tc>
        <w:tc>
          <w:tcPr>
            <w:tcW w:w="3424" w:type="pct"/>
            <w:shd w:val="clear" w:color="auto" w:fill="FFFFFF" w:themeFill="background1"/>
          </w:tcPr>
          <w:p w14:paraId="3A8D0393" w14:textId="77777777" w:rsidR="006168B0" w:rsidRDefault="006168B0">
            <w:pPr>
              <w:spacing w:after="0" w:line="276" w:lineRule="auto"/>
              <w:jc w:val="both"/>
              <w:rPr>
                <w:rFonts w:eastAsia="Times New Roman" w:cs="Calibri"/>
                <w:b/>
                <w:u w:val="single"/>
              </w:rPr>
            </w:pPr>
            <w:r>
              <w:rPr>
                <w:rFonts w:eastAsia="Times New Roman" w:cs="Calibri"/>
                <w:b/>
                <w:u w:val="single"/>
              </w:rPr>
              <w:t xml:space="preserve">N.A </w:t>
            </w:r>
            <w:r w:rsidRPr="00CA2085">
              <w:rPr>
                <w:rFonts w:eastAsia="Times New Roman" w:cs="Calibri"/>
                <w:bCs/>
              </w:rPr>
              <w:t xml:space="preserve">– If the Supplier has answered ‘Yes’ to question </w:t>
            </w:r>
            <w:proofErr w:type="gramStart"/>
            <w:r w:rsidRPr="00CA2085">
              <w:rPr>
                <w:rFonts w:eastAsia="Times New Roman" w:cs="Calibri"/>
                <w:bCs/>
              </w:rPr>
              <w:t>3.24</w:t>
            </w:r>
            <w:proofErr w:type="gramEnd"/>
          </w:p>
          <w:p w14:paraId="4ECEE8A8" w14:textId="77777777" w:rsidR="006168B0" w:rsidRDefault="006168B0">
            <w:pPr>
              <w:spacing w:after="0" w:line="276" w:lineRule="auto"/>
              <w:jc w:val="both"/>
              <w:rPr>
                <w:rFonts w:eastAsia="Times New Roman" w:cs="Calibri"/>
                <w:b/>
                <w:u w:val="single"/>
              </w:rPr>
            </w:pPr>
          </w:p>
          <w:p w14:paraId="72C04F18" w14:textId="77777777" w:rsidR="006168B0" w:rsidRPr="008D2D34" w:rsidRDefault="006168B0">
            <w:pPr>
              <w:spacing w:after="0" w:line="276" w:lineRule="auto"/>
              <w:jc w:val="both"/>
              <w:rPr>
                <w:rFonts w:eastAsia="Times New Roman" w:cs="Calibri"/>
                <w:b/>
                <w:u w:val="single"/>
              </w:rPr>
            </w:pPr>
            <w:r w:rsidRPr="008D2D34">
              <w:rPr>
                <w:rFonts w:eastAsia="Times New Roman" w:cs="Calibri"/>
                <w:b/>
                <w:u w:val="single"/>
              </w:rPr>
              <w:t>Pass</w:t>
            </w:r>
          </w:p>
          <w:p w14:paraId="56A7324B" w14:textId="77777777" w:rsidR="006168B0" w:rsidRPr="008D2D34" w:rsidRDefault="006168B0">
            <w:pPr>
              <w:spacing w:after="0" w:line="276" w:lineRule="auto"/>
              <w:jc w:val="both"/>
              <w:rPr>
                <w:rFonts w:eastAsia="Times New Roman" w:cs="Calibri"/>
              </w:rPr>
            </w:pPr>
            <w:r w:rsidRPr="008D2D34">
              <w:rPr>
                <w:rFonts w:eastAsia="Times New Roman" w:cs="Calibri"/>
              </w:rPr>
              <w:t>A response of ‘Yes</w:t>
            </w:r>
            <w:r>
              <w:rPr>
                <w:rFonts w:eastAsia="Times New Roman" w:cs="Calibri"/>
              </w:rPr>
              <w:t xml:space="preserve"> and a</w:t>
            </w:r>
            <w:r w:rsidRPr="008D2D34">
              <w:rPr>
                <w:rFonts w:eastAsia="Times New Roman" w:cs="Calibri"/>
              </w:rPr>
              <w:t xml:space="preserve"> link is provided</w:t>
            </w:r>
            <w:r>
              <w:rPr>
                <w:rFonts w:eastAsia="Times New Roman" w:cs="Calibri"/>
              </w:rPr>
              <w:t xml:space="preserve"> to a relevant statement or document</w:t>
            </w:r>
            <w:r w:rsidRPr="008D2D34">
              <w:rPr>
                <w:rFonts w:eastAsia="Times New Roman" w:cs="Calibri"/>
              </w:rPr>
              <w:t xml:space="preserve"> that contains information </w:t>
            </w:r>
            <w:r>
              <w:rPr>
                <w:rFonts w:eastAsia="Times New Roman" w:cs="Calibri"/>
              </w:rPr>
              <w:t>which</w:t>
            </w:r>
            <w:r w:rsidRPr="008D2D34">
              <w:rPr>
                <w:rFonts w:eastAsia="Times New Roman" w:cs="Calibri"/>
              </w:rPr>
              <w:t xml:space="preserve"> meet</w:t>
            </w:r>
            <w:r>
              <w:rPr>
                <w:rFonts w:eastAsia="Times New Roman" w:cs="Calibri"/>
              </w:rPr>
              <w:t>s</w:t>
            </w:r>
            <w:r w:rsidRPr="008D2D34">
              <w:rPr>
                <w:rFonts w:eastAsia="Times New Roman" w:cs="Calibri"/>
              </w:rPr>
              <w:t xml:space="preserve"> the criteria outlined in</w:t>
            </w:r>
            <w:r>
              <w:rPr>
                <w:rFonts w:eastAsia="Times New Roman" w:cs="Calibri"/>
              </w:rPr>
              <w:t xml:space="preserve"> paragraphs a) to f) of</w:t>
            </w:r>
            <w:r w:rsidRPr="008D2D34">
              <w:rPr>
                <w:rFonts w:eastAsia="Times New Roman" w:cs="Calibri"/>
              </w:rPr>
              <w:t xml:space="preserve"> question </w:t>
            </w:r>
            <w:proofErr w:type="gramStart"/>
            <w:r w:rsidRPr="008D2D34">
              <w:rPr>
                <w:rFonts w:eastAsia="Times New Roman" w:cs="Calibri"/>
              </w:rPr>
              <w:t>3.</w:t>
            </w:r>
            <w:r>
              <w:rPr>
                <w:rFonts w:eastAsia="Times New Roman" w:cs="Calibri"/>
              </w:rPr>
              <w:t>24</w:t>
            </w:r>
            <w:proofErr w:type="gramEnd"/>
          </w:p>
          <w:p w14:paraId="67415AB5" w14:textId="77777777" w:rsidR="006168B0" w:rsidRDefault="006168B0">
            <w:pPr>
              <w:spacing w:after="0" w:line="276" w:lineRule="auto"/>
              <w:jc w:val="both"/>
              <w:rPr>
                <w:rFonts w:eastAsia="Times New Roman" w:cs="Calibri"/>
                <w:b/>
                <w:bCs/>
              </w:rPr>
            </w:pPr>
            <w:r>
              <w:rPr>
                <w:rFonts w:eastAsia="Times New Roman" w:cs="Calibri"/>
                <w:b/>
                <w:bCs/>
              </w:rPr>
              <w:t xml:space="preserve">OR </w:t>
            </w:r>
          </w:p>
          <w:p w14:paraId="5141CE6F" w14:textId="77777777" w:rsidR="006168B0" w:rsidRDefault="006168B0">
            <w:pPr>
              <w:spacing w:after="0" w:line="276" w:lineRule="auto"/>
              <w:jc w:val="both"/>
              <w:rPr>
                <w:rFonts w:eastAsia="Times New Roman" w:cs="Calibri"/>
              </w:rPr>
            </w:pPr>
            <w:r>
              <w:rPr>
                <w:rFonts w:eastAsia="Times New Roman" w:cs="Calibri"/>
              </w:rPr>
              <w:t xml:space="preserve">A response of ‘No’ and the Supplier is able to provide an explanation that is deemed acceptable to HMRC, including future assurances of compliance with the Modern Slavery Act prior to contract </w:t>
            </w:r>
            <w:proofErr w:type="gramStart"/>
            <w:r>
              <w:rPr>
                <w:rFonts w:eastAsia="Times New Roman" w:cs="Calibri"/>
              </w:rPr>
              <w:t>award</w:t>
            </w:r>
            <w:proofErr w:type="gramEnd"/>
          </w:p>
          <w:p w14:paraId="64995BC1" w14:textId="77777777" w:rsidR="006168B0" w:rsidRPr="008D2D34" w:rsidRDefault="006168B0">
            <w:pPr>
              <w:spacing w:after="0" w:line="276" w:lineRule="auto"/>
              <w:jc w:val="both"/>
              <w:rPr>
                <w:rFonts w:eastAsia="Times New Roman" w:cs="Calibri"/>
              </w:rPr>
            </w:pPr>
          </w:p>
          <w:p w14:paraId="6A61D660" w14:textId="77777777" w:rsidR="006168B0" w:rsidRPr="008D2D34" w:rsidRDefault="006168B0">
            <w:pPr>
              <w:spacing w:after="0" w:line="276" w:lineRule="auto"/>
              <w:jc w:val="both"/>
              <w:rPr>
                <w:rFonts w:eastAsia="Times New Roman" w:cs="Calibri"/>
                <w:b/>
                <w:u w:val="single"/>
              </w:rPr>
            </w:pPr>
            <w:r w:rsidRPr="008D2D34">
              <w:rPr>
                <w:rFonts w:eastAsia="Times New Roman" w:cs="Calibri"/>
                <w:b/>
                <w:u w:val="single"/>
              </w:rPr>
              <w:t>Fail</w:t>
            </w:r>
          </w:p>
          <w:p w14:paraId="466A03DB" w14:textId="77777777" w:rsidR="006168B0" w:rsidRDefault="006168B0">
            <w:pPr>
              <w:spacing w:after="0" w:line="276" w:lineRule="auto"/>
              <w:jc w:val="both"/>
              <w:rPr>
                <w:rFonts w:eastAsia="Times New Roman" w:cs="Calibri"/>
              </w:rPr>
            </w:pPr>
            <w:r w:rsidRPr="008D2D34">
              <w:rPr>
                <w:rFonts w:eastAsia="Times New Roman" w:cs="Calibri"/>
              </w:rPr>
              <w:t>A response of ‘Yes’</w:t>
            </w:r>
            <w:r>
              <w:rPr>
                <w:rFonts w:eastAsia="Times New Roman" w:cs="Calibri"/>
              </w:rPr>
              <w:t xml:space="preserve">, but </w:t>
            </w:r>
            <w:r w:rsidRPr="008D2D34">
              <w:rPr>
                <w:rFonts w:eastAsia="Times New Roman" w:cs="Calibri"/>
              </w:rPr>
              <w:t xml:space="preserve">the link provided does not </w:t>
            </w:r>
            <w:r>
              <w:rPr>
                <w:rFonts w:eastAsia="Times New Roman" w:cs="Calibri"/>
              </w:rPr>
              <w:t>provide access to a relevant statement or document which</w:t>
            </w:r>
            <w:r w:rsidRPr="008D2D34">
              <w:rPr>
                <w:rFonts w:eastAsia="Times New Roman" w:cs="Calibri"/>
              </w:rPr>
              <w:t xml:space="preserve"> meet</w:t>
            </w:r>
            <w:r>
              <w:rPr>
                <w:rFonts w:eastAsia="Times New Roman" w:cs="Calibri"/>
              </w:rPr>
              <w:t>s</w:t>
            </w:r>
            <w:r w:rsidRPr="008D2D34">
              <w:rPr>
                <w:rFonts w:eastAsia="Times New Roman" w:cs="Calibri"/>
              </w:rPr>
              <w:t xml:space="preserve"> the criteria </w:t>
            </w:r>
            <w:r>
              <w:rPr>
                <w:rFonts w:eastAsia="Times New Roman" w:cs="Calibri"/>
              </w:rPr>
              <w:t xml:space="preserve">outlined in </w:t>
            </w:r>
            <w:r w:rsidRPr="000B5D00">
              <w:rPr>
                <w:rFonts w:eastAsia="Times New Roman" w:cs="Calibri"/>
              </w:rPr>
              <w:t xml:space="preserve">paragraphs a) to f) of question </w:t>
            </w:r>
            <w:proofErr w:type="gramStart"/>
            <w:r w:rsidRPr="000B5D00">
              <w:rPr>
                <w:rFonts w:eastAsia="Times New Roman" w:cs="Calibri"/>
              </w:rPr>
              <w:t>3.2</w:t>
            </w:r>
            <w:r>
              <w:rPr>
                <w:rFonts w:eastAsia="Times New Roman" w:cs="Calibri"/>
              </w:rPr>
              <w:t>4</w:t>
            </w:r>
            <w:proofErr w:type="gramEnd"/>
          </w:p>
          <w:p w14:paraId="6C22C05F" w14:textId="77777777" w:rsidR="006168B0" w:rsidRPr="008D2D34" w:rsidRDefault="006168B0">
            <w:pPr>
              <w:spacing w:after="0" w:line="276" w:lineRule="auto"/>
              <w:jc w:val="both"/>
              <w:rPr>
                <w:rFonts w:eastAsia="Times New Roman" w:cs="Calibri"/>
                <w:b/>
                <w:bCs/>
              </w:rPr>
            </w:pPr>
            <w:r w:rsidRPr="008D2D34">
              <w:rPr>
                <w:rFonts w:eastAsia="Times New Roman" w:cs="Calibri"/>
                <w:b/>
                <w:bCs/>
              </w:rPr>
              <w:t>OR</w:t>
            </w:r>
          </w:p>
          <w:p w14:paraId="0C3AF839" w14:textId="77777777" w:rsidR="006168B0" w:rsidRDefault="006168B0">
            <w:pPr>
              <w:spacing w:after="0" w:line="276" w:lineRule="auto"/>
              <w:jc w:val="both"/>
              <w:rPr>
                <w:rFonts w:eastAsia="Times New Roman" w:cs="Calibri"/>
              </w:rPr>
            </w:pPr>
            <w:r w:rsidRPr="008D2D34">
              <w:rPr>
                <w:rFonts w:eastAsia="Times New Roman" w:cs="Calibri"/>
              </w:rPr>
              <w:t>A response of ‘Yes’</w:t>
            </w:r>
            <w:r>
              <w:rPr>
                <w:rFonts w:eastAsia="Times New Roman" w:cs="Calibri"/>
              </w:rPr>
              <w:t>, but the Supplier does not provide a link to their Modern Slavery Statement</w:t>
            </w:r>
          </w:p>
          <w:p w14:paraId="4D5151FC" w14:textId="77777777" w:rsidR="006168B0" w:rsidRPr="008D2D34" w:rsidRDefault="006168B0">
            <w:pPr>
              <w:spacing w:after="0" w:line="276" w:lineRule="auto"/>
              <w:jc w:val="both"/>
              <w:rPr>
                <w:rFonts w:eastAsia="Times New Roman" w:cs="Calibri"/>
                <w:b/>
                <w:bCs/>
              </w:rPr>
            </w:pPr>
            <w:r w:rsidRPr="008D2D34">
              <w:rPr>
                <w:rFonts w:eastAsia="Times New Roman" w:cs="Calibri"/>
                <w:b/>
                <w:bCs/>
              </w:rPr>
              <w:t>OR</w:t>
            </w:r>
          </w:p>
          <w:p w14:paraId="43C321FD" w14:textId="77777777" w:rsidR="006168B0" w:rsidRDefault="006168B0">
            <w:pPr>
              <w:spacing w:after="0" w:line="276" w:lineRule="auto"/>
              <w:jc w:val="both"/>
              <w:rPr>
                <w:rFonts w:eastAsia="Times New Roman" w:cs="Calibri"/>
              </w:rPr>
            </w:pPr>
            <w:r>
              <w:rPr>
                <w:rFonts w:eastAsia="Times New Roman" w:cs="Calibri"/>
              </w:rPr>
              <w:t xml:space="preserve">A response of ‘No’, but the Supplier does not provide an explanation that is deemed acceptable by </w:t>
            </w:r>
            <w:proofErr w:type="gramStart"/>
            <w:r>
              <w:rPr>
                <w:rFonts w:eastAsia="Times New Roman" w:cs="Calibri"/>
              </w:rPr>
              <w:t>HMRC</w:t>
            </w:r>
            <w:proofErr w:type="gramEnd"/>
          </w:p>
          <w:p w14:paraId="2FFBC0E6" w14:textId="77777777" w:rsidR="006168B0" w:rsidRPr="008D2D34" w:rsidRDefault="006168B0">
            <w:pPr>
              <w:spacing w:after="0" w:line="276" w:lineRule="auto"/>
              <w:jc w:val="both"/>
              <w:rPr>
                <w:rFonts w:eastAsia="Times New Roman" w:cs="Calibri"/>
                <w:b/>
                <w:bCs/>
              </w:rPr>
            </w:pPr>
            <w:r w:rsidRPr="008D2D34">
              <w:rPr>
                <w:rFonts w:eastAsia="Times New Roman" w:cs="Calibri"/>
                <w:b/>
                <w:bCs/>
              </w:rPr>
              <w:t>OR</w:t>
            </w:r>
          </w:p>
          <w:p w14:paraId="68241729" w14:textId="77777777" w:rsidR="006168B0" w:rsidRDefault="006168B0">
            <w:pPr>
              <w:spacing w:after="0" w:line="276" w:lineRule="auto"/>
              <w:jc w:val="both"/>
              <w:rPr>
                <w:rFonts w:eastAsia="Times New Roman" w:cs="Calibri"/>
              </w:rPr>
            </w:pPr>
            <w:r w:rsidRPr="005F0343">
              <w:rPr>
                <w:rFonts w:eastAsia="Times New Roman" w:cs="Calibri"/>
              </w:rPr>
              <w:t xml:space="preserve">A response of ‘No’, but the Supplier does not provide a supporting </w:t>
            </w:r>
            <w:proofErr w:type="gramStart"/>
            <w:r w:rsidRPr="005F0343">
              <w:rPr>
                <w:rFonts w:eastAsia="Times New Roman" w:cs="Calibri"/>
              </w:rPr>
              <w:t>explanation</w:t>
            </w:r>
            <w:proofErr w:type="gramEnd"/>
          </w:p>
          <w:p w14:paraId="4B997768" w14:textId="77777777" w:rsidR="006168B0" w:rsidRPr="008D2D34" w:rsidRDefault="006168B0">
            <w:pPr>
              <w:spacing w:after="0" w:line="276" w:lineRule="auto"/>
              <w:jc w:val="both"/>
              <w:rPr>
                <w:rFonts w:eastAsia="Times New Roman" w:cs="Calibri"/>
              </w:rPr>
            </w:pPr>
          </w:p>
          <w:p w14:paraId="59869FC1" w14:textId="77777777" w:rsidR="006168B0" w:rsidRPr="008D2D34" w:rsidRDefault="006168B0">
            <w:pPr>
              <w:spacing w:after="0" w:line="276" w:lineRule="auto"/>
              <w:jc w:val="both"/>
              <w:rPr>
                <w:rFonts w:eastAsia="Times New Roman" w:cs="Calibri"/>
              </w:rPr>
            </w:pPr>
            <w:r w:rsidRPr="008D2D34">
              <w:rPr>
                <w:rFonts w:eastAsia="Times New Roman" w:cs="Calibri"/>
                <w:b/>
                <w:u w:val="single"/>
              </w:rPr>
              <w:t>N/A</w:t>
            </w:r>
          </w:p>
          <w:p w14:paraId="1CAB9A30" w14:textId="77777777" w:rsidR="006168B0" w:rsidRPr="00215519" w:rsidRDefault="006168B0">
            <w:pPr>
              <w:spacing w:after="0" w:line="276" w:lineRule="auto"/>
              <w:jc w:val="both"/>
              <w:rPr>
                <w:rFonts w:eastAsia="Times New Roman" w:cs="Calibri"/>
                <w:b/>
                <w:u w:val="single"/>
              </w:rPr>
            </w:pPr>
            <w:r w:rsidRPr="008D2D34">
              <w:rPr>
                <w:rFonts w:eastAsia="Times New Roman" w:cs="Calibri"/>
              </w:rPr>
              <w:t>N/A is an acceptable response where</w:t>
            </w:r>
            <w:r>
              <w:rPr>
                <w:rFonts w:eastAsia="Times New Roman" w:cs="Calibri"/>
              </w:rPr>
              <w:t xml:space="preserve"> the Supplier has answered ‘Yes’ to question 3.24. If a response of N/A is used where the Supplier has responded ‘No’ to question 3.24, this will constitute a </w:t>
            </w:r>
            <w:proofErr w:type="gramStart"/>
            <w:r>
              <w:rPr>
                <w:rFonts w:eastAsia="Times New Roman" w:cs="Calibri"/>
              </w:rPr>
              <w:t>fail</w:t>
            </w:r>
            <w:proofErr w:type="gramEnd"/>
            <w:r>
              <w:rPr>
                <w:rFonts w:eastAsia="Times New Roman" w:cs="Calibri"/>
              </w:rPr>
              <w:t xml:space="preserve"> for this question.</w:t>
            </w:r>
          </w:p>
        </w:tc>
      </w:tr>
      <w:tr w:rsidR="006168B0" w:rsidRPr="00BF1FD6" w14:paraId="0AA0CF84" w14:textId="77777777" w:rsidTr="00467A23">
        <w:trPr>
          <w:trHeight w:val="510"/>
        </w:trPr>
        <w:tc>
          <w:tcPr>
            <w:tcW w:w="717" w:type="pct"/>
            <w:shd w:val="clear" w:color="auto" w:fill="FFFFFF" w:themeFill="background1"/>
          </w:tcPr>
          <w:p w14:paraId="01EE5B4F" w14:textId="77777777" w:rsidR="006168B0" w:rsidRPr="00E66809" w:rsidRDefault="006168B0">
            <w:pPr>
              <w:spacing w:after="0" w:line="276" w:lineRule="auto"/>
              <w:jc w:val="both"/>
              <w:rPr>
                <w:rFonts w:eastAsia="Times New Roman" w:cs="Calibri"/>
              </w:rPr>
            </w:pPr>
            <w:r w:rsidRPr="00E66809">
              <w:rPr>
                <w:rFonts w:eastAsia="Times New Roman" w:cs="Calibri"/>
              </w:rPr>
              <w:t>3.</w:t>
            </w:r>
            <w:r>
              <w:rPr>
                <w:rFonts w:eastAsia="Times New Roman" w:cs="Calibri"/>
              </w:rPr>
              <w:t>26</w:t>
            </w:r>
          </w:p>
        </w:tc>
        <w:tc>
          <w:tcPr>
            <w:tcW w:w="859" w:type="pct"/>
            <w:shd w:val="clear" w:color="auto" w:fill="FFFFFF" w:themeFill="background1"/>
          </w:tcPr>
          <w:p w14:paraId="30319714"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424" w:type="pct"/>
            <w:shd w:val="clear" w:color="auto" w:fill="FFFFFF" w:themeFill="background1"/>
          </w:tcPr>
          <w:p w14:paraId="797DA8A4"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64BB8C45"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‘No’</w:t>
            </w:r>
            <w:r>
              <w:rPr>
                <w:rFonts w:eastAsia="Times New Roman" w:cs="Calibri"/>
              </w:rPr>
              <w:t>.</w:t>
            </w:r>
          </w:p>
          <w:p w14:paraId="0A01141A" w14:textId="77777777" w:rsidR="006168B0" w:rsidRPr="001E53D0" w:rsidRDefault="006168B0">
            <w:pPr>
              <w:spacing w:after="0" w:line="276" w:lineRule="auto"/>
              <w:jc w:val="both"/>
              <w:rPr>
                <w:rFonts w:eastAsia="Times New Roman" w:cs="Calibri"/>
                <w:b/>
              </w:rPr>
            </w:pPr>
            <w:r w:rsidRPr="001E53D0">
              <w:rPr>
                <w:rFonts w:eastAsia="Times New Roman" w:cs="Calibri"/>
                <w:b/>
              </w:rPr>
              <w:t>OR</w:t>
            </w:r>
          </w:p>
          <w:p w14:paraId="666CE589" w14:textId="77777777" w:rsidR="006168B0" w:rsidRDefault="006168B0">
            <w:pPr>
              <w:spacing w:after="0" w:line="276" w:lineRule="auto"/>
              <w:jc w:val="both"/>
              <w:rPr>
                <w:rFonts w:eastAsia="Times New Roman" w:cs="Calibri"/>
              </w:rPr>
            </w:pPr>
            <w:r>
              <w:rPr>
                <w:rFonts w:eastAsia="Times New Roman" w:cs="Calibri"/>
              </w:rPr>
              <w:t xml:space="preserve">A response of ‘Yes’, </w:t>
            </w:r>
            <w:r w:rsidRPr="00E66809">
              <w:rPr>
                <w:rFonts w:eastAsia="Times New Roman" w:cs="Calibri"/>
              </w:rPr>
              <w:t xml:space="preserve">where </w:t>
            </w:r>
            <w:r>
              <w:rPr>
                <w:rFonts w:eastAsia="Times New Roman" w:cs="Calibri"/>
              </w:rPr>
              <w:t>the following information is provided in full for each conflict and HMRC is confident that all conflicts can be suitably mitigated:</w:t>
            </w:r>
          </w:p>
          <w:p w14:paraId="7AAEAC88" w14:textId="77777777" w:rsidR="006168B0" w:rsidRPr="00BE0733" w:rsidRDefault="006168B0" w:rsidP="0085565B">
            <w:pPr>
              <w:pStyle w:val="ListParagraph"/>
              <w:numPr>
                <w:ilvl w:val="0"/>
                <w:numId w:val="62"/>
              </w:numPr>
              <w:spacing w:after="0" w:line="276" w:lineRule="auto"/>
              <w:jc w:val="both"/>
              <w:rPr>
                <w:rFonts w:cs="Arial"/>
              </w:rPr>
            </w:pPr>
            <w:r>
              <w:rPr>
                <w:rFonts w:cs="Arial"/>
              </w:rPr>
              <w:t xml:space="preserve">The </w:t>
            </w:r>
            <w:r w:rsidRPr="00BE0733">
              <w:rPr>
                <w:rFonts w:cs="Arial"/>
              </w:rPr>
              <w:t>nature of the conflict</w:t>
            </w:r>
          </w:p>
          <w:p w14:paraId="1A1DCF99" w14:textId="77777777" w:rsidR="006168B0" w:rsidRPr="00BE0733" w:rsidRDefault="006168B0" w:rsidP="0085565B">
            <w:pPr>
              <w:pStyle w:val="ListParagraph"/>
              <w:numPr>
                <w:ilvl w:val="0"/>
                <w:numId w:val="62"/>
              </w:numPr>
              <w:spacing w:after="0" w:line="276" w:lineRule="auto"/>
              <w:jc w:val="both"/>
              <w:rPr>
                <w:rFonts w:cs="Arial"/>
              </w:rPr>
            </w:pPr>
            <w:r>
              <w:rPr>
                <w:rFonts w:cs="Arial"/>
              </w:rPr>
              <w:t>T</w:t>
            </w:r>
            <w:r w:rsidRPr="00BE0733">
              <w:rPr>
                <w:rFonts w:cs="Arial"/>
              </w:rPr>
              <w:t>he duration of the conflict</w:t>
            </w:r>
          </w:p>
          <w:p w14:paraId="04B1F388" w14:textId="77777777" w:rsidR="006168B0" w:rsidRPr="00BE0733" w:rsidRDefault="006168B0" w:rsidP="0085565B">
            <w:pPr>
              <w:pStyle w:val="ListParagraph"/>
              <w:numPr>
                <w:ilvl w:val="0"/>
                <w:numId w:val="62"/>
              </w:numPr>
              <w:spacing w:after="0" w:line="276" w:lineRule="auto"/>
              <w:jc w:val="both"/>
              <w:rPr>
                <w:rFonts w:cs="Arial"/>
              </w:rPr>
            </w:pPr>
            <w:r>
              <w:rPr>
                <w:rFonts w:cs="Arial"/>
              </w:rPr>
              <w:t>T</w:t>
            </w:r>
            <w:r w:rsidRPr="00BE0733">
              <w:rPr>
                <w:rFonts w:cs="Arial"/>
              </w:rPr>
              <w:t xml:space="preserve">he parties involved and </w:t>
            </w:r>
          </w:p>
          <w:p w14:paraId="39D85ECE" w14:textId="77777777" w:rsidR="006168B0" w:rsidRPr="00BE0733" w:rsidRDefault="006168B0" w:rsidP="0085565B">
            <w:pPr>
              <w:pStyle w:val="ListParagraph"/>
              <w:numPr>
                <w:ilvl w:val="0"/>
                <w:numId w:val="62"/>
              </w:numPr>
              <w:spacing w:after="0" w:line="276" w:lineRule="auto"/>
              <w:jc w:val="both"/>
              <w:rPr>
                <w:rFonts w:eastAsia="Times New Roman" w:cs="Calibri"/>
              </w:rPr>
            </w:pPr>
            <w:r w:rsidRPr="00BE0733">
              <w:rPr>
                <w:rFonts w:cs="Arial"/>
              </w:rPr>
              <w:t>The Supplier’s proposed mitigations</w:t>
            </w:r>
          </w:p>
          <w:p w14:paraId="3CB9D9BB" w14:textId="77777777" w:rsidR="006168B0" w:rsidRPr="00E66809" w:rsidRDefault="006168B0">
            <w:pPr>
              <w:spacing w:after="0" w:line="276" w:lineRule="auto"/>
              <w:jc w:val="both"/>
              <w:rPr>
                <w:rFonts w:eastAsia="Times New Roman" w:cs="Calibri"/>
              </w:rPr>
            </w:pPr>
          </w:p>
          <w:p w14:paraId="40E2AD0E"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Fail</w:t>
            </w:r>
          </w:p>
          <w:p w14:paraId="5315CEEC" w14:textId="77777777" w:rsidR="006168B0" w:rsidRDefault="006168B0">
            <w:pPr>
              <w:spacing w:after="0" w:line="276" w:lineRule="auto"/>
              <w:jc w:val="both"/>
              <w:rPr>
                <w:rFonts w:eastAsia="Times New Roman" w:cs="Calibri"/>
              </w:rPr>
            </w:pPr>
            <w:r w:rsidRPr="00E66809">
              <w:rPr>
                <w:rFonts w:eastAsia="Times New Roman" w:cs="Calibri"/>
              </w:rPr>
              <w:t xml:space="preserve">A response of ‘Yes’, where </w:t>
            </w:r>
            <w:r>
              <w:rPr>
                <w:rFonts w:eastAsia="Times New Roman" w:cs="Calibri"/>
              </w:rPr>
              <w:t>the following information is not provided in full for each conflict:</w:t>
            </w:r>
          </w:p>
          <w:p w14:paraId="06B00F9A" w14:textId="77777777" w:rsidR="006168B0" w:rsidRPr="00BE0733" w:rsidRDefault="006168B0" w:rsidP="0085565B">
            <w:pPr>
              <w:pStyle w:val="ListParagraph"/>
              <w:numPr>
                <w:ilvl w:val="0"/>
                <w:numId w:val="62"/>
              </w:numPr>
              <w:spacing w:after="0" w:line="276" w:lineRule="auto"/>
              <w:jc w:val="both"/>
              <w:rPr>
                <w:rFonts w:cs="Arial"/>
              </w:rPr>
            </w:pPr>
            <w:r>
              <w:rPr>
                <w:rFonts w:cs="Arial"/>
              </w:rPr>
              <w:t xml:space="preserve">The </w:t>
            </w:r>
            <w:r w:rsidRPr="00BE0733">
              <w:rPr>
                <w:rFonts w:cs="Arial"/>
              </w:rPr>
              <w:t>nature of the conflict</w:t>
            </w:r>
          </w:p>
          <w:p w14:paraId="2B532E95" w14:textId="77777777" w:rsidR="006168B0" w:rsidRPr="00BE0733" w:rsidRDefault="006168B0" w:rsidP="0085565B">
            <w:pPr>
              <w:pStyle w:val="ListParagraph"/>
              <w:numPr>
                <w:ilvl w:val="0"/>
                <w:numId w:val="62"/>
              </w:numPr>
              <w:spacing w:after="0" w:line="276" w:lineRule="auto"/>
              <w:jc w:val="both"/>
              <w:rPr>
                <w:rFonts w:cs="Arial"/>
              </w:rPr>
            </w:pPr>
            <w:r>
              <w:rPr>
                <w:rFonts w:cs="Arial"/>
              </w:rPr>
              <w:t>T</w:t>
            </w:r>
            <w:r w:rsidRPr="00BE0733">
              <w:rPr>
                <w:rFonts w:cs="Arial"/>
              </w:rPr>
              <w:t>he duration of the conflict</w:t>
            </w:r>
          </w:p>
          <w:p w14:paraId="312EE757" w14:textId="77777777" w:rsidR="006168B0" w:rsidRPr="00BE0733" w:rsidRDefault="006168B0" w:rsidP="0085565B">
            <w:pPr>
              <w:pStyle w:val="ListParagraph"/>
              <w:numPr>
                <w:ilvl w:val="0"/>
                <w:numId w:val="62"/>
              </w:numPr>
              <w:spacing w:after="0" w:line="276" w:lineRule="auto"/>
              <w:jc w:val="both"/>
              <w:rPr>
                <w:rFonts w:cs="Arial"/>
              </w:rPr>
            </w:pPr>
            <w:r>
              <w:rPr>
                <w:rFonts w:cs="Arial"/>
              </w:rPr>
              <w:t>T</w:t>
            </w:r>
            <w:r w:rsidRPr="00BE0733">
              <w:rPr>
                <w:rFonts w:cs="Arial"/>
              </w:rPr>
              <w:t xml:space="preserve">he parties involved and </w:t>
            </w:r>
          </w:p>
          <w:p w14:paraId="6F6DCCF1" w14:textId="77777777" w:rsidR="006168B0" w:rsidRPr="00BE0733" w:rsidRDefault="006168B0" w:rsidP="0085565B">
            <w:pPr>
              <w:pStyle w:val="ListParagraph"/>
              <w:numPr>
                <w:ilvl w:val="0"/>
                <w:numId w:val="62"/>
              </w:numPr>
              <w:spacing w:after="0" w:line="276" w:lineRule="auto"/>
              <w:jc w:val="both"/>
              <w:rPr>
                <w:rFonts w:eastAsia="Times New Roman" w:cs="Calibri"/>
              </w:rPr>
            </w:pPr>
            <w:r w:rsidRPr="00BE0733">
              <w:rPr>
                <w:rFonts w:cs="Arial"/>
              </w:rPr>
              <w:t>The Supplier’s proposed mitigations</w:t>
            </w:r>
          </w:p>
          <w:p w14:paraId="625C3FAC" w14:textId="77777777" w:rsidR="006168B0" w:rsidRPr="00BE0733" w:rsidRDefault="006168B0">
            <w:pPr>
              <w:spacing w:after="0" w:line="276" w:lineRule="auto"/>
              <w:jc w:val="both"/>
              <w:rPr>
                <w:rFonts w:eastAsia="Times New Roman" w:cs="Calibri"/>
                <w:b/>
                <w:bCs/>
              </w:rPr>
            </w:pPr>
            <w:r>
              <w:rPr>
                <w:rFonts w:eastAsia="Times New Roman" w:cs="Calibri"/>
                <w:b/>
                <w:bCs/>
              </w:rPr>
              <w:t>OR</w:t>
            </w:r>
          </w:p>
          <w:p w14:paraId="080388B9" w14:textId="77777777" w:rsidR="006168B0" w:rsidRPr="00E66809" w:rsidRDefault="006168B0">
            <w:pPr>
              <w:spacing w:after="0" w:line="276" w:lineRule="auto"/>
              <w:jc w:val="both"/>
              <w:rPr>
                <w:rFonts w:eastAsia="Times New Roman" w:cs="Calibri"/>
              </w:rPr>
            </w:pPr>
            <w:r w:rsidRPr="00E66809">
              <w:rPr>
                <w:rFonts w:eastAsia="Times New Roman" w:cs="Calibri"/>
              </w:rPr>
              <w:t>A response of ‘Yes’, where</w:t>
            </w:r>
            <w:r>
              <w:rPr>
                <w:rFonts w:eastAsia="Times New Roman" w:cs="Calibri"/>
              </w:rPr>
              <w:t xml:space="preserve">, having reviewed the information provided, </w:t>
            </w:r>
            <w:r w:rsidRPr="00E66809">
              <w:rPr>
                <w:rFonts w:eastAsia="Times New Roman" w:cs="Calibri"/>
              </w:rPr>
              <w:t>HMRC cannot be satisfied that the COI can be</w:t>
            </w:r>
            <w:r>
              <w:rPr>
                <w:rFonts w:eastAsia="Times New Roman" w:cs="Calibri"/>
              </w:rPr>
              <w:t xml:space="preserve"> suitably</w:t>
            </w:r>
            <w:r w:rsidRPr="00E66809">
              <w:rPr>
                <w:rFonts w:eastAsia="Times New Roman" w:cs="Calibri"/>
              </w:rPr>
              <w:t xml:space="preserve"> </w:t>
            </w:r>
            <w:r>
              <w:rPr>
                <w:rFonts w:eastAsia="Times New Roman" w:cs="Calibri"/>
              </w:rPr>
              <w:t>mitigated.</w:t>
            </w:r>
          </w:p>
        </w:tc>
      </w:tr>
      <w:tr w:rsidR="006168B0" w:rsidRPr="00BF1FD6" w14:paraId="329365EF" w14:textId="77777777" w:rsidTr="00467A23">
        <w:trPr>
          <w:trHeight w:val="510"/>
        </w:trPr>
        <w:tc>
          <w:tcPr>
            <w:tcW w:w="717" w:type="pct"/>
            <w:shd w:val="clear" w:color="auto" w:fill="FFFFFF" w:themeFill="background1"/>
          </w:tcPr>
          <w:p w14:paraId="5645B82B" w14:textId="77777777" w:rsidR="006168B0" w:rsidRPr="00E66809" w:rsidRDefault="006168B0">
            <w:pPr>
              <w:spacing w:after="0" w:line="276" w:lineRule="auto"/>
              <w:jc w:val="both"/>
              <w:rPr>
                <w:rFonts w:eastAsia="Times New Roman" w:cs="Calibri"/>
              </w:rPr>
            </w:pPr>
            <w:r w:rsidRPr="00E66809">
              <w:rPr>
                <w:rFonts w:eastAsia="Times New Roman" w:cs="Calibri"/>
              </w:rPr>
              <w:t>3.</w:t>
            </w:r>
            <w:r>
              <w:rPr>
                <w:rFonts w:eastAsia="Times New Roman" w:cs="Calibri"/>
              </w:rPr>
              <w:t>27</w:t>
            </w:r>
          </w:p>
        </w:tc>
        <w:tc>
          <w:tcPr>
            <w:tcW w:w="859" w:type="pct"/>
            <w:shd w:val="clear" w:color="auto" w:fill="FFFFFF" w:themeFill="background1"/>
          </w:tcPr>
          <w:p w14:paraId="4BB732D2" w14:textId="77777777" w:rsidR="006168B0" w:rsidRPr="00E66809" w:rsidRDefault="006168B0">
            <w:pPr>
              <w:spacing w:after="0" w:line="276" w:lineRule="auto"/>
              <w:jc w:val="both"/>
              <w:rPr>
                <w:rFonts w:eastAsia="Times New Roman" w:cs="Calibri"/>
              </w:rPr>
            </w:pPr>
            <w:r w:rsidRPr="00E66809">
              <w:rPr>
                <w:rFonts w:eastAsia="Times New Roman" w:cs="Calibri"/>
              </w:rPr>
              <w:t>Pass/Fail</w:t>
            </w:r>
          </w:p>
        </w:tc>
        <w:tc>
          <w:tcPr>
            <w:tcW w:w="3424" w:type="pct"/>
            <w:shd w:val="clear" w:color="auto" w:fill="FFFFFF" w:themeFill="background1"/>
          </w:tcPr>
          <w:p w14:paraId="4E257D07"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Pass</w:t>
            </w:r>
          </w:p>
          <w:p w14:paraId="0F3A4E1D" w14:textId="77777777" w:rsidR="006168B0" w:rsidRPr="00E66809" w:rsidRDefault="006168B0">
            <w:pPr>
              <w:spacing w:after="0" w:line="276" w:lineRule="auto"/>
              <w:jc w:val="both"/>
              <w:rPr>
                <w:rFonts w:eastAsia="Times New Roman" w:cs="Calibri"/>
              </w:rPr>
            </w:pPr>
            <w:r>
              <w:rPr>
                <w:rFonts w:eastAsia="Times New Roman" w:cs="Calibri"/>
              </w:rPr>
              <w:t>Supplier</w:t>
            </w:r>
            <w:r w:rsidRPr="00E66809">
              <w:rPr>
                <w:rFonts w:eastAsia="Times New Roman" w:cs="Calibri"/>
              </w:rPr>
              <w:t xml:space="preserve"> has signed declaration and provided all details requested.</w:t>
            </w:r>
          </w:p>
          <w:p w14:paraId="4AD35679" w14:textId="77777777" w:rsidR="006168B0" w:rsidRPr="00E66809" w:rsidRDefault="006168B0">
            <w:pPr>
              <w:spacing w:after="0" w:line="276" w:lineRule="auto"/>
              <w:jc w:val="both"/>
              <w:rPr>
                <w:rFonts w:eastAsia="Times New Roman" w:cs="Calibri"/>
              </w:rPr>
            </w:pPr>
          </w:p>
          <w:p w14:paraId="28A932AE" w14:textId="77777777" w:rsidR="006168B0" w:rsidRPr="00E66809" w:rsidRDefault="006168B0">
            <w:pPr>
              <w:spacing w:after="0" w:line="276" w:lineRule="auto"/>
              <w:jc w:val="both"/>
              <w:rPr>
                <w:rFonts w:eastAsia="Times New Roman" w:cs="Calibri"/>
                <w:b/>
                <w:u w:val="single"/>
              </w:rPr>
            </w:pPr>
            <w:r w:rsidRPr="00E66809">
              <w:rPr>
                <w:rFonts w:eastAsia="Times New Roman" w:cs="Calibri"/>
                <w:b/>
                <w:u w:val="single"/>
              </w:rPr>
              <w:t>Fail</w:t>
            </w:r>
          </w:p>
          <w:p w14:paraId="7E0A0510" w14:textId="77777777" w:rsidR="006168B0" w:rsidRPr="00E66809" w:rsidRDefault="006168B0">
            <w:pPr>
              <w:spacing w:after="0" w:line="276" w:lineRule="auto"/>
              <w:jc w:val="both"/>
              <w:rPr>
                <w:rFonts w:eastAsia="Times New Roman" w:cs="Calibri"/>
              </w:rPr>
            </w:pPr>
            <w:r>
              <w:rPr>
                <w:rFonts w:eastAsia="Times New Roman" w:cs="Calibri"/>
              </w:rPr>
              <w:t>Supplier</w:t>
            </w:r>
            <w:r w:rsidRPr="00E66809">
              <w:rPr>
                <w:rFonts w:eastAsia="Times New Roman" w:cs="Calibri"/>
              </w:rPr>
              <w:t xml:space="preserve"> has not signed declaration</w:t>
            </w:r>
            <w:r>
              <w:rPr>
                <w:rFonts w:eastAsia="Times New Roman" w:cs="Calibri"/>
              </w:rPr>
              <w:t>.</w:t>
            </w:r>
          </w:p>
          <w:p w14:paraId="61713E6E" w14:textId="77777777" w:rsidR="006168B0" w:rsidRPr="001E53D0" w:rsidRDefault="006168B0">
            <w:pPr>
              <w:spacing w:after="0" w:line="276" w:lineRule="auto"/>
              <w:jc w:val="both"/>
              <w:rPr>
                <w:rFonts w:eastAsia="Times New Roman" w:cs="Calibri"/>
                <w:b/>
              </w:rPr>
            </w:pPr>
            <w:r w:rsidRPr="001E53D0">
              <w:rPr>
                <w:rFonts w:eastAsia="Times New Roman" w:cs="Calibri"/>
                <w:b/>
              </w:rPr>
              <w:t>AND/OR</w:t>
            </w:r>
          </w:p>
          <w:p w14:paraId="5074F979" w14:textId="77777777" w:rsidR="006168B0" w:rsidRPr="00E66809" w:rsidRDefault="006168B0">
            <w:pPr>
              <w:spacing w:after="0" w:line="276" w:lineRule="auto"/>
              <w:jc w:val="both"/>
              <w:rPr>
                <w:rFonts w:eastAsia="Times New Roman" w:cs="Calibri"/>
                <w:b/>
                <w:u w:val="single"/>
              </w:rPr>
            </w:pPr>
            <w:r>
              <w:rPr>
                <w:rFonts w:eastAsia="Times New Roman" w:cs="Calibri"/>
              </w:rPr>
              <w:t>Supplier</w:t>
            </w:r>
            <w:r w:rsidRPr="00E66809">
              <w:rPr>
                <w:rFonts w:eastAsia="Times New Roman" w:cs="Calibri"/>
              </w:rPr>
              <w:t xml:space="preserve"> has not provided all detailed requested.</w:t>
            </w:r>
          </w:p>
        </w:tc>
      </w:tr>
    </w:tbl>
    <w:p w14:paraId="5BBA4688" w14:textId="77777777" w:rsidR="006168B0" w:rsidRPr="00E66809" w:rsidRDefault="006168B0" w:rsidP="00FF7AA4"/>
    <w:p w14:paraId="1430BEE7" w14:textId="77777777" w:rsidR="006168B0" w:rsidRDefault="006168B0" w:rsidP="006168B0">
      <w:pPr>
        <w:rPr>
          <w:rFonts w:cs="Arial"/>
          <w:b/>
          <w:color w:val="009999"/>
          <w:sz w:val="28"/>
          <w:szCs w:val="28"/>
        </w:rPr>
      </w:pPr>
    </w:p>
    <w:p w14:paraId="79EA5DA4" w14:textId="66491285" w:rsidR="00D17F7E" w:rsidRDefault="00540850" w:rsidP="001E53D0">
      <w:pPr>
        <w:jc w:val="center"/>
        <w:rPr>
          <w:rFonts w:cs="Arial"/>
          <w:b/>
          <w:color w:val="009999"/>
          <w:sz w:val="28"/>
          <w:szCs w:val="28"/>
        </w:rPr>
      </w:pPr>
      <w:r>
        <w:rPr>
          <w:rFonts w:cs="Arial"/>
          <w:b/>
          <w:color w:val="009999"/>
          <w:sz w:val="28"/>
          <w:szCs w:val="28"/>
        </w:rPr>
        <w:t>END</w:t>
      </w:r>
    </w:p>
    <w:sectPr w:rsidR="00D17F7E" w:rsidSect="00727F37">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F4D43" w14:textId="77777777" w:rsidR="00130BEB" w:rsidRDefault="00130BEB" w:rsidP="00B56B5F">
      <w:pPr>
        <w:spacing w:after="0" w:line="240" w:lineRule="auto"/>
      </w:pPr>
      <w:r>
        <w:separator/>
      </w:r>
    </w:p>
  </w:endnote>
  <w:endnote w:type="continuationSeparator" w:id="0">
    <w:p w14:paraId="743DD6EB" w14:textId="77777777" w:rsidR="00130BEB" w:rsidRDefault="00130BEB" w:rsidP="00B56B5F">
      <w:pPr>
        <w:spacing w:after="0" w:line="240" w:lineRule="auto"/>
      </w:pPr>
      <w:r>
        <w:continuationSeparator/>
      </w:r>
    </w:p>
  </w:endnote>
  <w:endnote w:type="continuationNotice" w:id="1">
    <w:p w14:paraId="36B578AC" w14:textId="77777777" w:rsidR="00130BEB" w:rsidRDefault="00130B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variable"/>
    <w:sig w:usb0="20007A87" w:usb1="80000000" w:usb2="00000008" w:usb3="00000000" w:csb0="000001FF" w:csb1="00000000"/>
  </w:font>
  <w:font w:name="Linux Libertine G">
    <w:altName w:val="Cambria"/>
    <w:charset w:val="00"/>
    <w:family w:val="auto"/>
    <w:pitch w:val="variable"/>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Univers">
    <w:charset w:val="00"/>
    <w:family w:val="swiss"/>
    <w:pitch w:val="variable"/>
    <w:sig w:usb0="80000287" w:usb1="00000000" w:usb2="00000000" w:usb3="00000000" w:csb0="0000000F"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Menlo Regular">
    <w:altName w:val="Arial"/>
    <w:charset w:val="00"/>
    <w:family w:val="auto"/>
    <w:pitch w:val="variable"/>
    <w:sig w:usb0="00000000" w:usb1="D200F9FB" w:usb2="02000028" w:usb3="00000000" w:csb0="000001D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B1BD" w14:textId="780A2BE0" w:rsidR="00E507E4" w:rsidRDefault="00E507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DED01" w14:textId="3FB31C37" w:rsidR="000D5426" w:rsidRDefault="000D5426">
    <w:pPr>
      <w:pStyle w:val="Footer"/>
    </w:pPr>
    <w:r>
      <w:rPr>
        <w:noProof/>
      </w:rPr>
      <mc:AlternateContent>
        <mc:Choice Requires="wps">
          <w:drawing>
            <wp:anchor distT="0" distB="0" distL="114300" distR="114300" simplePos="0" relativeHeight="251658240" behindDoc="0" locked="0" layoutInCell="0" allowOverlap="1" wp14:anchorId="329FF6AE" wp14:editId="67C3D1DF">
              <wp:simplePos x="0" y="0"/>
              <wp:positionH relativeFrom="page">
                <wp:align>center</wp:align>
              </wp:positionH>
              <wp:positionV relativeFrom="page">
                <wp:align>bottom</wp:align>
              </wp:positionV>
              <wp:extent cx="7772400" cy="463550"/>
              <wp:effectExtent l="0" t="0" r="0" b="12700"/>
              <wp:wrapNone/>
              <wp:docPr id="3" name="Text Box 3"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844646" w14:textId="4E6FE395" w:rsidR="000D5426" w:rsidRPr="00983508" w:rsidRDefault="000D5426" w:rsidP="00983508">
                          <w:pPr>
                            <w:spacing w:after="0"/>
                            <w:jc w:val="center"/>
                            <w:rPr>
                              <w:rFonts w:ascii="Calibri" w:hAnsi="Calibri" w:cs="Calibri"/>
                              <w:color w:val="000000"/>
                              <w:sz w:val="20"/>
                            </w:rPr>
                          </w:pPr>
                          <w:r w:rsidRPr="0098350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29FF6AE" id="_x0000_t202" coordsize="21600,21600" o:spt="202" path="m,l,21600r21600,l21600,xe">
              <v:stroke joinstyle="miter"/>
              <v:path gradientshapeok="t" o:connecttype="rect"/>
            </v:shapetype>
            <v:shape id="Text Box 3" o:spid="_x0000_s1026" type="#_x0000_t202" alt="{&quot;HashCode&quot;:-1264847310,&quot;Height&quot;:9999999.0,&quot;Width&quot;:9999999.0,&quot;Placement&quot;:&quot;Footer&quot;,&quot;Index&quot;:&quot;Primary&quot;,&quot;Section&quot;:2,&quot;Top&quot;:0.0,&quot;Left&quot;:0.0}"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2D844646" w14:textId="4E6FE395" w:rsidR="000D5426" w:rsidRPr="00983508" w:rsidRDefault="000D5426" w:rsidP="00983508">
                    <w:pPr>
                      <w:spacing w:after="0"/>
                      <w:jc w:val="center"/>
                      <w:rPr>
                        <w:rFonts w:ascii="Calibri" w:hAnsi="Calibri" w:cs="Calibri"/>
                        <w:color w:val="000000"/>
                        <w:sz w:val="20"/>
                      </w:rPr>
                    </w:pPr>
                    <w:r w:rsidRPr="00983508">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A60E" w14:textId="77777777" w:rsidR="002468FB" w:rsidRDefault="00246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EDEF" w14:textId="77777777" w:rsidR="00130BEB" w:rsidRDefault="00130BEB" w:rsidP="00B56B5F">
      <w:pPr>
        <w:spacing w:after="0" w:line="240" w:lineRule="auto"/>
      </w:pPr>
      <w:r>
        <w:separator/>
      </w:r>
    </w:p>
  </w:footnote>
  <w:footnote w:type="continuationSeparator" w:id="0">
    <w:p w14:paraId="3070B39D" w14:textId="77777777" w:rsidR="00130BEB" w:rsidRDefault="00130BEB" w:rsidP="00B56B5F">
      <w:pPr>
        <w:spacing w:after="0" w:line="240" w:lineRule="auto"/>
      </w:pPr>
      <w:r>
        <w:continuationSeparator/>
      </w:r>
    </w:p>
  </w:footnote>
  <w:footnote w:type="continuationNotice" w:id="1">
    <w:p w14:paraId="27DE4753" w14:textId="77777777" w:rsidR="00130BEB" w:rsidRDefault="00130BEB">
      <w:pPr>
        <w:spacing w:after="0" w:line="240" w:lineRule="auto"/>
      </w:pPr>
    </w:p>
  </w:footnote>
  <w:footnote w:id="2">
    <w:p w14:paraId="30937318" w14:textId="77777777" w:rsidR="00FA5591" w:rsidRDefault="00FA5591" w:rsidP="00FA5591">
      <w:pPr>
        <w:pStyle w:val="FootnoteText"/>
      </w:pPr>
      <w:r>
        <w:rPr>
          <w:rStyle w:val="FootnoteReference"/>
        </w:rPr>
        <w:footnoteRef/>
      </w:r>
      <w:r>
        <w:t xml:space="preserve"> </w:t>
      </w:r>
      <w:bookmarkStart w:id="126" w:name="_Hlk201231398"/>
      <w:r>
        <w:t>All service, server and hardware asset</w:t>
      </w:r>
      <w:r w:rsidRPr="00E554E7">
        <w:t xml:space="preserve"> numbers are approximate and will continue to be analysed and refined by HMRC throughout 2025.  </w:t>
      </w:r>
      <w:bookmarkEnd w:id="126"/>
    </w:p>
  </w:footnote>
  <w:footnote w:id="3">
    <w:p w14:paraId="23B338F6" w14:textId="77777777" w:rsidR="00FA5591" w:rsidRDefault="00FA5591" w:rsidP="00FA5591">
      <w:pPr>
        <w:pStyle w:val="FootnoteText"/>
      </w:pPr>
      <w:r>
        <w:rPr>
          <w:rStyle w:val="FootnoteReference"/>
        </w:rPr>
        <w:footnoteRef/>
      </w:r>
      <w:r>
        <w:t xml:space="preserve"> </w:t>
      </w:r>
      <w:r w:rsidRPr="00C32569">
        <w:t>All service, server and hardware asset numbers are approximate and will continue to be analysed and refined by HMRC throughout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C6E0" w14:textId="77777777" w:rsidR="007914DC" w:rsidRDefault="007914DC">
    <w:pPr>
      <w:pStyle w:val="Header"/>
    </w:pPr>
  </w:p>
  <w:p w14:paraId="2404EFFE" w14:textId="77777777" w:rsidR="00E507E4" w:rsidRDefault="00E507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A2BD" w14:textId="519FBC5D" w:rsidR="00E507E4" w:rsidRDefault="00E507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3457" w14:textId="39422663" w:rsidR="00E507E4" w:rsidRDefault="00E507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D81A04"/>
    <w:styleLink w:val="HCANumbering1"/>
    <w:lvl w:ilvl="0">
      <w:start w:val="1"/>
      <w:numFmt w:val="bullet"/>
      <w:lvlText w:val=""/>
      <w:lvlJc w:val="left"/>
      <w:pPr>
        <w:tabs>
          <w:tab w:val="num" w:pos="1419"/>
        </w:tabs>
        <w:ind w:left="1419" w:hanging="284"/>
      </w:pPr>
      <w:rPr>
        <w:rFonts w:ascii="Symbol" w:hAnsi="Symbol" w:hint="default"/>
      </w:rPr>
    </w:lvl>
  </w:abstractNum>
  <w:abstractNum w:abstractNumId="1" w15:restartNumberingAfterBreak="0">
    <w:nsid w:val="037A2100"/>
    <w:multiLevelType w:val="hybridMultilevel"/>
    <w:tmpl w:val="621EA30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8F3EBA9E">
      <w:start w:val="3"/>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007A2"/>
    <w:multiLevelType w:val="multilevel"/>
    <w:tmpl w:val="15FCC806"/>
    <w:lvl w:ilvl="0">
      <w:start w:val="1"/>
      <w:numFmt w:val="decimal"/>
      <w:lvlText w:val="%1"/>
      <w:lvlJc w:val="left"/>
      <w:pPr>
        <w:tabs>
          <w:tab w:val="num" w:pos="709"/>
        </w:tabs>
        <w:ind w:left="709" w:hanging="709"/>
      </w:pPr>
      <w:rPr>
        <w:rFonts w:cs="Times New Roman" w:hint="default"/>
        <w:b/>
        <w:color w:val="009999"/>
        <w:sz w:val="28"/>
        <w:szCs w:val="28"/>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 w15:restartNumberingAfterBreak="0">
    <w:nsid w:val="04BF381E"/>
    <w:multiLevelType w:val="hybridMultilevel"/>
    <w:tmpl w:val="0E981A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8F0072"/>
    <w:multiLevelType w:val="hybridMultilevel"/>
    <w:tmpl w:val="F5DC8D04"/>
    <w:lvl w:ilvl="0" w:tplc="616E44D4">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74F92"/>
    <w:multiLevelType w:val="hybridMultilevel"/>
    <w:tmpl w:val="C1FEE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1120D"/>
    <w:multiLevelType w:val="hybridMultilevel"/>
    <w:tmpl w:val="190C60D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307210"/>
    <w:multiLevelType w:val="hybridMultilevel"/>
    <w:tmpl w:val="2D28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C21D9"/>
    <w:multiLevelType w:val="multilevel"/>
    <w:tmpl w:val="B44E9B46"/>
    <w:lvl w:ilvl="0">
      <w:start w:val="3"/>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E1913AD"/>
    <w:multiLevelType w:val="multilevel"/>
    <w:tmpl w:val="34784414"/>
    <w:styleLink w:val="Style2"/>
    <w:lvl w:ilvl="0">
      <w:start w:val="7"/>
      <w:numFmt w:val="decimal"/>
      <w:lvlText w:val="%1."/>
      <w:lvlJc w:val="left"/>
      <w:pPr>
        <w:tabs>
          <w:tab w:val="num" w:pos="720"/>
        </w:tabs>
        <w:ind w:left="720" w:hanging="360"/>
      </w:pPr>
      <w:rPr>
        <w:rFonts w:hint="default"/>
      </w:rPr>
    </w:lvl>
    <w:lvl w:ilvl="1">
      <w:start w:val="1"/>
      <w:numFmt w:val="decimal"/>
      <w:lvlText w:val="6.%2"/>
      <w:lvlJc w:val="left"/>
      <w:pPr>
        <w:tabs>
          <w:tab w:val="num" w:pos="972"/>
        </w:tabs>
        <w:ind w:left="97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E823F21"/>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0F597CA6"/>
    <w:multiLevelType w:val="hybridMultilevel"/>
    <w:tmpl w:val="9280A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855A5E"/>
    <w:multiLevelType w:val="hybridMultilevel"/>
    <w:tmpl w:val="0E981A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014900"/>
    <w:multiLevelType w:val="multilevel"/>
    <w:tmpl w:val="A84E4F8A"/>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3945523"/>
    <w:multiLevelType w:val="hybridMultilevel"/>
    <w:tmpl w:val="AD1A50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1B6C48"/>
    <w:multiLevelType w:val="hybridMultilevel"/>
    <w:tmpl w:val="BFA6C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6231AD"/>
    <w:multiLevelType w:val="multilevel"/>
    <w:tmpl w:val="C5E22042"/>
    <w:lvl w:ilvl="0">
      <w:start w:val="1"/>
      <w:numFmt w:val="decimal"/>
      <w:pStyle w:val="Head1"/>
      <w:lvlText w:val="%1."/>
      <w:lvlJc w:val="left"/>
      <w:pPr>
        <w:ind w:left="360" w:hanging="360"/>
      </w:pPr>
      <w:rPr>
        <w:rFonts w:ascii="Arial" w:hAnsi="Arial" w:cs="Arial" w:hint="default"/>
        <w:b/>
        <w:sz w:val="28"/>
        <w:szCs w:val="28"/>
      </w:rPr>
    </w:lvl>
    <w:lvl w:ilvl="1">
      <w:start w:val="1"/>
      <w:numFmt w:val="decimal"/>
      <w:pStyle w:val="Head2"/>
      <w:lvlText w:val="%1."/>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7B360D2"/>
    <w:multiLevelType w:val="multilevel"/>
    <w:tmpl w:val="66788D7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8" w15:restartNumberingAfterBreak="0">
    <w:nsid w:val="1DC11F0F"/>
    <w:multiLevelType w:val="multilevel"/>
    <w:tmpl w:val="14101F0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9" w15:restartNumberingAfterBreak="0">
    <w:nsid w:val="1E8759A7"/>
    <w:multiLevelType w:val="multilevel"/>
    <w:tmpl w:val="5B82228A"/>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FA70497"/>
    <w:multiLevelType w:val="multilevel"/>
    <w:tmpl w:val="3A3C953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0854F1C"/>
    <w:multiLevelType w:val="hybridMultilevel"/>
    <w:tmpl w:val="6BC015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1045ED3"/>
    <w:multiLevelType w:val="hybridMultilevel"/>
    <w:tmpl w:val="0090D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F12C14"/>
    <w:multiLevelType w:val="multilevel"/>
    <w:tmpl w:val="801AEB9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24C75"/>
    <w:multiLevelType w:val="multilevel"/>
    <w:tmpl w:val="B6B8375C"/>
    <w:styleLink w:val="WWNum36"/>
    <w:lvl w:ilvl="0">
      <w:numFmt w:val="bullet"/>
      <w:lvlText w:val="•"/>
      <w:lvlJc w:val="left"/>
      <w:pPr>
        <w:ind w:left="720" w:hanging="360"/>
      </w:pPr>
      <w:rPr>
        <w:rFonts w:ascii="Calibri Light" w:eastAsia="Calibri" w:hAnsi="Calibri Light" w:cs="Calibri Light" w:hint="default"/>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252832B3"/>
    <w:multiLevelType w:val="multilevel"/>
    <w:tmpl w:val="09D44F0C"/>
    <w:styleLink w:val="CoP"/>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28F333F1"/>
    <w:multiLevelType w:val="hybridMultilevel"/>
    <w:tmpl w:val="9A646FC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756FAB"/>
    <w:multiLevelType w:val="hybridMultilevel"/>
    <w:tmpl w:val="2F72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2077B7"/>
    <w:multiLevelType w:val="multilevel"/>
    <w:tmpl w:val="EBAA62C8"/>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FD07E80"/>
    <w:multiLevelType w:val="multilevel"/>
    <w:tmpl w:val="7062B908"/>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1070EC0"/>
    <w:multiLevelType w:val="hybridMultilevel"/>
    <w:tmpl w:val="FC0040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33A656F"/>
    <w:multiLevelType w:val="hybridMultilevel"/>
    <w:tmpl w:val="46F8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87078B"/>
    <w:multiLevelType w:val="hybridMultilevel"/>
    <w:tmpl w:val="9A646FC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7B7EE8"/>
    <w:multiLevelType w:val="hybridMultilevel"/>
    <w:tmpl w:val="0E981A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65C388C"/>
    <w:multiLevelType w:val="multilevel"/>
    <w:tmpl w:val="458C578A"/>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35" w15:restartNumberingAfterBreak="0">
    <w:nsid w:val="3811304E"/>
    <w:multiLevelType w:val="multilevel"/>
    <w:tmpl w:val="3A3C953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8E32A20"/>
    <w:multiLevelType w:val="hybridMultilevel"/>
    <w:tmpl w:val="772EC334"/>
    <w:lvl w:ilvl="0" w:tplc="20245EF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ACF6626"/>
    <w:multiLevelType w:val="hybridMultilevel"/>
    <w:tmpl w:val="6BC015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2F36F0"/>
    <w:multiLevelType w:val="multilevel"/>
    <w:tmpl w:val="052E1D1E"/>
    <w:styleLink w:val="HCABullets"/>
    <w:lvl w:ilvl="0">
      <w:start w:val="1"/>
      <w:numFmt w:val="bullet"/>
      <w:pStyle w:val="ListBullet"/>
      <w:lvlText w:val=""/>
      <w:lvlJc w:val="left"/>
      <w:pPr>
        <w:tabs>
          <w:tab w:val="num" w:pos="1276"/>
        </w:tabs>
        <w:ind w:left="1276" w:hanging="425"/>
      </w:pPr>
      <w:rPr>
        <w:rFonts w:ascii="Symbol" w:hAnsi="Symbol" w:hint="default"/>
        <w:color w:val="155697"/>
      </w:rPr>
    </w:lvl>
    <w:lvl w:ilvl="1">
      <w:start w:val="1"/>
      <w:numFmt w:val="bullet"/>
      <w:lvlText w:val=""/>
      <w:lvlJc w:val="left"/>
      <w:pPr>
        <w:tabs>
          <w:tab w:val="num" w:pos="567"/>
        </w:tabs>
        <w:ind w:left="568" w:hanging="284"/>
      </w:pPr>
      <w:rPr>
        <w:rFonts w:ascii="Symbol" w:hAnsi="Symbol" w:hint="default"/>
        <w:color w:val="auto"/>
      </w:rPr>
    </w:lvl>
    <w:lvl w:ilvl="2">
      <w:start w:val="1"/>
      <w:numFmt w:val="bullet"/>
      <w:lvlText w:val=""/>
      <w:lvlJc w:val="left"/>
      <w:pPr>
        <w:tabs>
          <w:tab w:val="num" w:pos="851"/>
        </w:tabs>
        <w:ind w:left="852" w:hanging="284"/>
      </w:pPr>
      <w:rPr>
        <w:rFonts w:ascii="Symbol" w:hAnsi="Symbol" w:hint="default"/>
        <w:color w:val="auto"/>
      </w:rPr>
    </w:lvl>
    <w:lvl w:ilvl="3">
      <w:start w:val="1"/>
      <w:numFmt w:val="bullet"/>
      <w:lvlText w:val=""/>
      <w:lvlJc w:val="left"/>
      <w:pPr>
        <w:tabs>
          <w:tab w:val="num" w:pos="1134"/>
        </w:tabs>
        <w:ind w:left="1136" w:hanging="284"/>
      </w:pPr>
      <w:rPr>
        <w:rFonts w:ascii="Symbol" w:hAnsi="Symbol" w:hint="default"/>
        <w:color w:val="auto"/>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9" w15:restartNumberingAfterBreak="0">
    <w:nsid w:val="3C996917"/>
    <w:multiLevelType w:val="multilevel"/>
    <w:tmpl w:val="E42CF55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D326113"/>
    <w:multiLevelType w:val="multilevel"/>
    <w:tmpl w:val="7D5240D4"/>
    <w:lvl w:ilvl="0">
      <w:start w:val="9"/>
      <w:numFmt w:val="decimal"/>
      <w:lvlText w:val="%1"/>
      <w:lvlJc w:val="left"/>
      <w:pPr>
        <w:tabs>
          <w:tab w:val="num" w:pos="709"/>
        </w:tabs>
        <w:ind w:left="709" w:hanging="709"/>
      </w:pPr>
      <w:rPr>
        <w:rFonts w:cs="Times New Roman" w:hint="default"/>
        <w:b/>
        <w:color w:val="009999"/>
        <w:sz w:val="28"/>
        <w:szCs w:val="28"/>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1" w15:restartNumberingAfterBreak="0">
    <w:nsid w:val="3D745A4A"/>
    <w:multiLevelType w:val="multilevel"/>
    <w:tmpl w:val="4104CA64"/>
    <w:lvl w:ilvl="0">
      <w:start w:val="1"/>
      <w:numFmt w:val="decimal"/>
      <w:pStyle w:val="Schedule"/>
      <w:suff w:val="nothing"/>
      <w:lvlText w:val="Schedule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D791CEC"/>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3D907BC4"/>
    <w:multiLevelType w:val="hybridMultilevel"/>
    <w:tmpl w:val="C89ED9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3E2543FB"/>
    <w:multiLevelType w:val="hybridMultilevel"/>
    <w:tmpl w:val="798A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F94528B"/>
    <w:multiLevelType w:val="hybridMultilevel"/>
    <w:tmpl w:val="D286E722"/>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46" w15:restartNumberingAfterBreak="0">
    <w:nsid w:val="401F20F9"/>
    <w:multiLevelType w:val="hybridMultilevel"/>
    <w:tmpl w:val="0E981A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1465BD1"/>
    <w:multiLevelType w:val="hybridMultilevel"/>
    <w:tmpl w:val="2F424FA6"/>
    <w:lvl w:ilvl="0" w:tplc="616E44D4">
      <w:start w:val="1"/>
      <w:numFmt w:val="bullet"/>
      <w:lvlText w:val=""/>
      <w:lvlJc w:val="left"/>
      <w:pPr>
        <w:ind w:left="1440" w:hanging="360"/>
      </w:pPr>
      <w:rPr>
        <w:rFonts w:ascii="Wingdings" w:hAnsi="Wingdings" w:hint="default"/>
        <w:color w:val="0099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429F1B8D"/>
    <w:multiLevelType w:val="hybridMultilevel"/>
    <w:tmpl w:val="9A646FC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439039A"/>
    <w:multiLevelType w:val="hybridMultilevel"/>
    <w:tmpl w:val="B136F3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467C4762"/>
    <w:multiLevelType w:val="hybridMultilevel"/>
    <w:tmpl w:val="6BC01592"/>
    <w:lvl w:ilvl="0" w:tplc="408241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94174EB"/>
    <w:multiLevelType w:val="hybridMultilevel"/>
    <w:tmpl w:val="9A646FC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9FF01D0"/>
    <w:multiLevelType w:val="hybridMultilevel"/>
    <w:tmpl w:val="7552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AE604A"/>
    <w:multiLevelType w:val="multilevel"/>
    <w:tmpl w:val="3A3C9534"/>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2B127D5"/>
    <w:multiLevelType w:val="multilevel"/>
    <w:tmpl w:val="3C588D98"/>
    <w:styleLink w:val="HCANumbering"/>
    <w:lvl w:ilvl="0">
      <w:start w:val="1"/>
      <w:numFmt w:val="decimal"/>
      <w:pStyle w:val="NumberedHeading"/>
      <w:lvlText w:val="%1.0"/>
      <w:lvlJc w:val="left"/>
      <w:pPr>
        <w:tabs>
          <w:tab w:val="num" w:pos="851"/>
        </w:tabs>
        <w:ind w:left="851" w:hanging="851"/>
      </w:pPr>
      <w:rPr>
        <w:rFonts w:hint="default"/>
        <w:color w:val="155697"/>
      </w:rPr>
    </w:lvl>
    <w:lvl w:ilvl="1">
      <w:start w:val="1"/>
      <w:numFmt w:val="decimal"/>
      <w:pStyle w:val="NumberedParagraph"/>
      <w:lvlText w:val="%1.%2"/>
      <w:lvlJc w:val="left"/>
      <w:pPr>
        <w:tabs>
          <w:tab w:val="num" w:pos="851"/>
        </w:tabs>
        <w:ind w:left="851" w:hanging="851"/>
      </w:pPr>
      <w:rPr>
        <w:rFonts w:hint="default"/>
        <w:color w:val="155697"/>
      </w:rPr>
    </w:lvl>
    <w:lvl w:ilvl="2">
      <w:start w:val="1"/>
      <w:numFmt w:val="decimal"/>
      <w:lvlRestart w:val="1"/>
      <w:pStyle w:val="FigureHeading"/>
      <w:suff w:val="space"/>
      <w:lvlText w:val="Figure %1.%3:"/>
      <w:lvlJc w:val="left"/>
      <w:pPr>
        <w:ind w:left="851" w:firstLine="0"/>
      </w:pPr>
      <w:rPr>
        <w:rFonts w:hint="default"/>
        <w:b/>
        <w:i w:val="0"/>
        <w:color w:val="155697"/>
      </w:rPr>
    </w:lvl>
    <w:lvl w:ilvl="3">
      <w:start w:val="1"/>
      <w:numFmt w:val="decimal"/>
      <w:lvlRestart w:val="1"/>
      <w:pStyle w:val="TableHeading"/>
      <w:suff w:val="space"/>
      <w:lvlText w:val="Table %1.%4:"/>
      <w:lvlJc w:val="left"/>
      <w:pPr>
        <w:ind w:left="851" w:firstLine="0"/>
      </w:pPr>
      <w:rPr>
        <w:rFonts w:hint="default"/>
        <w:b/>
        <w:i w:val="0"/>
        <w:color w:val="155697"/>
      </w:rPr>
    </w:lvl>
    <w:lvl w:ilvl="4">
      <w:start w:val="1"/>
      <w:numFmt w:val="decimal"/>
      <w:lvlRestart w:val="1"/>
      <w:pStyle w:val="MapHeading"/>
      <w:suff w:val="space"/>
      <w:lvlText w:val="Map %1.%5:"/>
      <w:lvlJc w:val="left"/>
      <w:pPr>
        <w:ind w:left="851" w:firstLine="0"/>
      </w:pPr>
      <w:rPr>
        <w:rFonts w:hint="default"/>
        <w:b/>
        <w:i w:val="0"/>
        <w:color w:val="155697"/>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6293472"/>
    <w:multiLevelType w:val="hybridMultilevel"/>
    <w:tmpl w:val="7778B0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8045010"/>
    <w:multiLevelType w:val="hybridMultilevel"/>
    <w:tmpl w:val="0E981A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9461EF0"/>
    <w:multiLevelType w:val="multilevel"/>
    <w:tmpl w:val="D858238A"/>
    <w:lvl w:ilvl="0">
      <w:start w:val="3"/>
      <w:numFmt w:val="decimal"/>
      <w:lvlText w:val="%1"/>
      <w:lvlJc w:val="left"/>
      <w:pPr>
        <w:tabs>
          <w:tab w:val="num" w:pos="709"/>
        </w:tabs>
        <w:ind w:left="709" w:hanging="709"/>
      </w:pPr>
      <w:rPr>
        <w:rFonts w:cs="Times New Roman" w:hint="default"/>
        <w:b/>
        <w:color w:val="009999"/>
        <w:sz w:val="28"/>
        <w:szCs w:val="28"/>
      </w:rPr>
    </w:lvl>
    <w:lvl w:ilvl="1">
      <w:start w:val="1"/>
      <w:numFmt w:val="decimal"/>
      <w:lvlRestart w:val="0"/>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8" w15:restartNumberingAfterBreak="0">
    <w:nsid w:val="5C5915A1"/>
    <w:multiLevelType w:val="hybridMultilevel"/>
    <w:tmpl w:val="CBF62F06"/>
    <w:lvl w:ilvl="0" w:tplc="D510888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E372AA7"/>
    <w:multiLevelType w:val="hybridMultilevel"/>
    <w:tmpl w:val="49C68EBC"/>
    <w:lvl w:ilvl="0" w:tplc="616E44D4">
      <w:start w:val="1"/>
      <w:numFmt w:val="bullet"/>
      <w:lvlText w:val=""/>
      <w:lvlJc w:val="left"/>
      <w:pPr>
        <w:ind w:left="720" w:hanging="360"/>
      </w:pPr>
      <w:rPr>
        <w:rFonts w:ascii="Wingdings" w:hAnsi="Wingdings" w:hint="default"/>
        <w:color w:val="0099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6113E9"/>
    <w:multiLevelType w:val="multilevel"/>
    <w:tmpl w:val="5FD26DB6"/>
    <w:lvl w:ilvl="0">
      <w:start w:val="3"/>
      <w:numFmt w:val="decimal"/>
      <w:lvlText w:val="%1"/>
      <w:lvlJc w:val="left"/>
      <w:pPr>
        <w:tabs>
          <w:tab w:val="num" w:pos="709"/>
        </w:tabs>
        <w:ind w:left="709" w:hanging="709"/>
      </w:pPr>
      <w:rPr>
        <w:rFonts w:cs="Times New Roman" w:hint="default"/>
        <w:b/>
        <w:color w:val="009999"/>
        <w:sz w:val="28"/>
        <w:szCs w:val="28"/>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1" w15:restartNumberingAfterBreak="0">
    <w:nsid w:val="62DD790E"/>
    <w:multiLevelType w:val="multilevel"/>
    <w:tmpl w:val="C296941C"/>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62" w15:restartNumberingAfterBreak="0">
    <w:nsid w:val="630511B7"/>
    <w:multiLevelType w:val="hybridMultilevel"/>
    <w:tmpl w:val="311A0B8C"/>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4D632E5"/>
    <w:multiLevelType w:val="hybridMultilevel"/>
    <w:tmpl w:val="51C66E56"/>
    <w:lvl w:ilvl="0" w:tplc="E9B0CA1C">
      <w:start w:val="19"/>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68E13B7"/>
    <w:multiLevelType w:val="multilevel"/>
    <w:tmpl w:val="2AD0F446"/>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679279EA"/>
    <w:multiLevelType w:val="hybridMultilevel"/>
    <w:tmpl w:val="F5DC8D04"/>
    <w:styleLink w:val="Style3"/>
    <w:lvl w:ilvl="0" w:tplc="616E44D4">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7BE2ADB"/>
    <w:multiLevelType w:val="hybridMultilevel"/>
    <w:tmpl w:val="0E981A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7F87344"/>
    <w:multiLevelType w:val="multilevel"/>
    <w:tmpl w:val="8A66DFBA"/>
    <w:styleLink w:val="WWNum40"/>
    <w:lvl w:ilvl="0">
      <w:numFmt w:val="bullet"/>
      <w:lvlText w:val="■"/>
      <w:lvlJc w:val="left"/>
      <w:pPr>
        <w:ind w:left="786"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6D8C6849"/>
    <w:multiLevelType w:val="hybridMultilevel"/>
    <w:tmpl w:val="F51E2474"/>
    <w:lvl w:ilvl="0" w:tplc="527235BE">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F850B2E"/>
    <w:multiLevelType w:val="multilevel"/>
    <w:tmpl w:val="D858238A"/>
    <w:lvl w:ilvl="0">
      <w:start w:val="3"/>
      <w:numFmt w:val="decimal"/>
      <w:lvlText w:val="%1"/>
      <w:lvlJc w:val="left"/>
      <w:pPr>
        <w:tabs>
          <w:tab w:val="num" w:pos="709"/>
        </w:tabs>
        <w:ind w:left="709" w:hanging="709"/>
      </w:pPr>
      <w:rPr>
        <w:rFonts w:cs="Times New Roman" w:hint="default"/>
        <w:b/>
        <w:color w:val="009999"/>
        <w:sz w:val="28"/>
        <w:szCs w:val="28"/>
      </w:rPr>
    </w:lvl>
    <w:lvl w:ilvl="1">
      <w:start w:val="1"/>
      <w:numFmt w:val="decimal"/>
      <w:lvlRestart w:val="0"/>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0" w15:restartNumberingAfterBreak="0">
    <w:nsid w:val="702C11EE"/>
    <w:multiLevelType w:val="multilevel"/>
    <w:tmpl w:val="EF66AD90"/>
    <w:styleLink w:val="Style1"/>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0B927F5"/>
    <w:multiLevelType w:val="hybridMultilevel"/>
    <w:tmpl w:val="9A646FC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1A65062"/>
    <w:multiLevelType w:val="hybridMultilevel"/>
    <w:tmpl w:val="23724FD4"/>
    <w:lvl w:ilvl="0" w:tplc="527235B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1CC6657"/>
    <w:multiLevelType w:val="multilevel"/>
    <w:tmpl w:val="DAD6F7DE"/>
    <w:styleLink w:val="HCAListNumbers"/>
    <w:lvl w:ilvl="0">
      <w:start w:val="1"/>
      <w:numFmt w:val="decimal"/>
      <w:pStyle w:val="ListNumber"/>
      <w:lvlText w:val="%1."/>
      <w:lvlJc w:val="left"/>
      <w:pPr>
        <w:tabs>
          <w:tab w:val="num" w:pos="1276"/>
        </w:tabs>
        <w:ind w:left="1276" w:hanging="425"/>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2DA77C2"/>
    <w:multiLevelType w:val="hybridMultilevel"/>
    <w:tmpl w:val="6BC015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2F27582"/>
    <w:multiLevelType w:val="multilevel"/>
    <w:tmpl w:val="BB9858EE"/>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6" w15:restartNumberingAfterBreak="0">
    <w:nsid w:val="74373B9F"/>
    <w:multiLevelType w:val="hybridMultilevel"/>
    <w:tmpl w:val="CBF62F0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6572772"/>
    <w:multiLevelType w:val="hybridMultilevel"/>
    <w:tmpl w:val="BF8C0F40"/>
    <w:lvl w:ilvl="0" w:tplc="4B406980">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8" w15:restartNumberingAfterBreak="0">
    <w:nsid w:val="777F1BE4"/>
    <w:multiLevelType w:val="hybridMultilevel"/>
    <w:tmpl w:val="5EC8BC3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792E26E0"/>
    <w:multiLevelType w:val="hybridMultilevel"/>
    <w:tmpl w:val="57FEFDC8"/>
    <w:lvl w:ilvl="0" w:tplc="747C533C">
      <w:start w:val="1"/>
      <w:numFmt w:val="decimal"/>
      <w:pStyle w:val="Annex1header1"/>
      <w:lvlText w:val="%1."/>
      <w:lvlJc w:val="left"/>
      <w:pPr>
        <w:ind w:left="360" w:hanging="360"/>
      </w:pPr>
    </w:lvl>
    <w:lvl w:ilvl="1" w:tplc="7FA2DDDE">
      <w:start w:val="1"/>
      <w:numFmt w:val="decimal"/>
      <w:pStyle w:val="Annex1text2"/>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796038FB"/>
    <w:multiLevelType w:val="multilevel"/>
    <w:tmpl w:val="DAD6F7DE"/>
    <w:numStyleLink w:val="HCAListNumbers"/>
  </w:abstractNum>
  <w:abstractNum w:abstractNumId="81" w15:restartNumberingAfterBreak="0">
    <w:nsid w:val="7DD0573D"/>
    <w:multiLevelType w:val="hybridMultilevel"/>
    <w:tmpl w:val="A7702432"/>
    <w:lvl w:ilvl="0" w:tplc="08090001">
      <w:start w:val="1"/>
      <w:numFmt w:val="bullet"/>
      <w:lvlText w:val=""/>
      <w:lvlJc w:val="left"/>
      <w:pPr>
        <w:ind w:left="1070" w:hanging="360"/>
      </w:pPr>
      <w:rPr>
        <w:rFonts w:ascii="Symbol" w:hAnsi="Symbol" w:hint="default"/>
        <w:color w:val="009999"/>
      </w:rPr>
    </w:lvl>
    <w:lvl w:ilvl="1" w:tplc="149ABE10">
      <w:numFmt w:val="bullet"/>
      <w:lvlText w:val="•"/>
      <w:lvlJc w:val="left"/>
      <w:pPr>
        <w:ind w:left="1790" w:hanging="360"/>
      </w:pPr>
      <w:rPr>
        <w:rFonts w:ascii="Arial" w:eastAsia="Times New Roman" w:hAnsi="Arial" w:cs="Arial"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82" w15:restartNumberingAfterBreak="0">
    <w:nsid w:val="7F9A1465"/>
    <w:multiLevelType w:val="hybridMultilevel"/>
    <w:tmpl w:val="2B5CEB0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2122530320">
    <w:abstractNumId w:val="81"/>
  </w:num>
  <w:num w:numId="2" w16cid:durableId="614796205">
    <w:abstractNumId w:val="16"/>
  </w:num>
  <w:num w:numId="3" w16cid:durableId="2055542915">
    <w:abstractNumId w:val="70"/>
  </w:num>
  <w:num w:numId="4" w16cid:durableId="2056349843">
    <w:abstractNumId w:val="9"/>
  </w:num>
  <w:num w:numId="5" w16cid:durableId="1595821919">
    <w:abstractNumId w:val="59"/>
  </w:num>
  <w:num w:numId="6" w16cid:durableId="400980048">
    <w:abstractNumId w:val="2"/>
  </w:num>
  <w:num w:numId="7" w16cid:durableId="2055301574">
    <w:abstractNumId w:val="18"/>
  </w:num>
  <w:num w:numId="8" w16cid:durableId="1588076908">
    <w:abstractNumId w:val="40"/>
  </w:num>
  <w:num w:numId="9" w16cid:durableId="476456977">
    <w:abstractNumId w:val="60"/>
  </w:num>
  <w:num w:numId="10" w16cid:durableId="525564120">
    <w:abstractNumId w:val="47"/>
  </w:num>
  <w:num w:numId="11" w16cid:durableId="65340825">
    <w:abstractNumId w:val="5"/>
  </w:num>
  <w:num w:numId="12" w16cid:durableId="912348656">
    <w:abstractNumId w:val="31"/>
  </w:num>
  <w:num w:numId="13" w16cid:durableId="815950298">
    <w:abstractNumId w:val="12"/>
  </w:num>
  <w:num w:numId="14" w16cid:durableId="431126692">
    <w:abstractNumId w:val="3"/>
  </w:num>
  <w:num w:numId="15" w16cid:durableId="1139810501">
    <w:abstractNumId w:val="66"/>
  </w:num>
  <w:num w:numId="16" w16cid:durableId="1709060603">
    <w:abstractNumId w:val="50"/>
  </w:num>
  <w:num w:numId="17" w16cid:durableId="267855582">
    <w:abstractNumId w:val="58"/>
  </w:num>
  <w:num w:numId="18" w16cid:durableId="1190214900">
    <w:abstractNumId w:val="53"/>
  </w:num>
  <w:num w:numId="19" w16cid:durableId="945111258">
    <w:abstractNumId w:val="42"/>
  </w:num>
  <w:num w:numId="20" w16cid:durableId="516887520">
    <w:abstractNumId w:val="10"/>
  </w:num>
  <w:num w:numId="21" w16cid:durableId="1506045261">
    <w:abstractNumId w:val="1"/>
  </w:num>
  <w:num w:numId="22" w16cid:durableId="987169637">
    <w:abstractNumId w:val="6"/>
  </w:num>
  <w:num w:numId="23" w16cid:durableId="1057240110">
    <w:abstractNumId w:val="62"/>
  </w:num>
  <w:num w:numId="24" w16cid:durableId="123735952">
    <w:abstractNumId w:val="43"/>
  </w:num>
  <w:num w:numId="25" w16cid:durableId="738211934">
    <w:abstractNumId w:val="30"/>
  </w:num>
  <w:num w:numId="26" w16cid:durableId="265234894">
    <w:abstractNumId w:val="78"/>
  </w:num>
  <w:num w:numId="27" w16cid:durableId="466973769">
    <w:abstractNumId w:val="72"/>
  </w:num>
  <w:num w:numId="28" w16cid:durableId="1035472042">
    <w:abstractNumId w:val="14"/>
  </w:num>
  <w:num w:numId="29" w16cid:durableId="641540593">
    <w:abstractNumId w:val="74"/>
  </w:num>
  <w:num w:numId="30" w16cid:durableId="519512484">
    <w:abstractNumId w:val="55"/>
  </w:num>
  <w:num w:numId="31" w16cid:durableId="558328828">
    <w:abstractNumId w:val="63"/>
  </w:num>
  <w:num w:numId="32" w16cid:durableId="1488013263">
    <w:abstractNumId w:val="22"/>
  </w:num>
  <w:num w:numId="33" w16cid:durableId="1309552503">
    <w:abstractNumId w:val="15"/>
  </w:num>
  <w:num w:numId="34" w16cid:durableId="2004039178">
    <w:abstractNumId w:val="4"/>
  </w:num>
  <w:num w:numId="35" w16cid:durableId="1567452774">
    <w:abstractNumId w:val="65"/>
  </w:num>
  <w:num w:numId="36" w16cid:durableId="251162442">
    <w:abstractNumId w:val="25"/>
  </w:num>
  <w:num w:numId="37" w16cid:durableId="1425833637">
    <w:abstractNumId w:val="57"/>
  </w:num>
  <w:num w:numId="38" w16cid:durableId="167185238">
    <w:abstractNumId w:val="69"/>
  </w:num>
  <w:num w:numId="39" w16cid:durableId="827403409">
    <w:abstractNumId w:val="79"/>
  </w:num>
  <w:num w:numId="40" w16cid:durableId="384329359">
    <w:abstractNumId w:val="54"/>
  </w:num>
  <w:num w:numId="41" w16cid:durableId="945428597">
    <w:abstractNumId w:val="38"/>
  </w:num>
  <w:num w:numId="42" w16cid:durableId="1927380873">
    <w:abstractNumId w:val="73"/>
  </w:num>
  <w:num w:numId="43" w16cid:durableId="297223662">
    <w:abstractNumId w:val="0"/>
  </w:num>
  <w:num w:numId="44" w16cid:durableId="919870869">
    <w:abstractNumId w:val="41"/>
  </w:num>
  <w:num w:numId="45" w16cid:durableId="1539973884">
    <w:abstractNumId w:val="80"/>
  </w:num>
  <w:num w:numId="46" w16cid:durableId="2131051111">
    <w:abstractNumId w:val="75"/>
  </w:num>
  <w:num w:numId="47" w16cid:durableId="1032416192">
    <w:abstractNumId w:val="24"/>
  </w:num>
  <w:num w:numId="48" w16cid:durableId="1171413650">
    <w:abstractNumId w:val="19"/>
  </w:num>
  <w:num w:numId="49" w16cid:durableId="1383016538">
    <w:abstractNumId w:val="64"/>
  </w:num>
  <w:num w:numId="50" w16cid:durableId="834297274">
    <w:abstractNumId w:val="39"/>
  </w:num>
  <w:num w:numId="51" w16cid:durableId="24259611">
    <w:abstractNumId w:val="28"/>
  </w:num>
  <w:num w:numId="52" w16cid:durableId="846335348">
    <w:abstractNumId w:val="34"/>
  </w:num>
  <w:num w:numId="53" w16cid:durableId="1483498146">
    <w:abstractNumId w:val="23"/>
  </w:num>
  <w:num w:numId="54" w16cid:durableId="782651401">
    <w:abstractNumId w:val="13"/>
  </w:num>
  <w:num w:numId="55" w16cid:durableId="627735738">
    <w:abstractNumId w:val="61"/>
  </w:num>
  <w:num w:numId="56" w16cid:durableId="1134560866">
    <w:abstractNumId w:val="29"/>
  </w:num>
  <w:num w:numId="57" w16cid:durableId="2146770571">
    <w:abstractNumId w:val="67"/>
  </w:num>
  <w:num w:numId="58" w16cid:durableId="1602495508">
    <w:abstractNumId w:val="17"/>
  </w:num>
  <w:num w:numId="59" w16cid:durableId="67843798">
    <w:abstractNumId w:val="82"/>
  </w:num>
  <w:num w:numId="60" w16cid:durableId="1111127816">
    <w:abstractNumId w:val="52"/>
  </w:num>
  <w:num w:numId="61" w16cid:durableId="1423720885">
    <w:abstractNumId w:val="68"/>
  </w:num>
  <w:num w:numId="62" w16cid:durableId="13962190">
    <w:abstractNumId w:val="11"/>
  </w:num>
  <w:num w:numId="63" w16cid:durableId="1385987160">
    <w:abstractNumId w:val="7"/>
  </w:num>
  <w:num w:numId="64" w16cid:durableId="1386634934">
    <w:abstractNumId w:val="35"/>
  </w:num>
  <w:num w:numId="65" w16cid:durableId="1290741255">
    <w:abstractNumId w:val="20"/>
  </w:num>
  <w:num w:numId="66" w16cid:durableId="191767282">
    <w:abstractNumId w:val="32"/>
  </w:num>
  <w:num w:numId="67" w16cid:durableId="673188590">
    <w:abstractNumId w:val="48"/>
  </w:num>
  <w:num w:numId="68" w16cid:durableId="34357861">
    <w:abstractNumId w:val="76"/>
  </w:num>
  <w:num w:numId="69" w16cid:durableId="432282283">
    <w:abstractNumId w:val="51"/>
  </w:num>
  <w:num w:numId="70" w16cid:durableId="734821016">
    <w:abstractNumId w:val="21"/>
  </w:num>
  <w:num w:numId="71" w16cid:durableId="1781341669">
    <w:abstractNumId w:val="26"/>
  </w:num>
  <w:num w:numId="72" w16cid:durableId="478378569">
    <w:abstractNumId w:val="37"/>
  </w:num>
  <w:num w:numId="73" w16cid:durableId="560751443">
    <w:abstractNumId w:val="71"/>
  </w:num>
  <w:num w:numId="74" w16cid:durableId="1213423265">
    <w:abstractNumId w:val="56"/>
  </w:num>
  <w:num w:numId="75" w16cid:durableId="847519162">
    <w:abstractNumId w:val="46"/>
  </w:num>
  <w:num w:numId="76" w16cid:durableId="1366170899">
    <w:abstractNumId w:val="33"/>
  </w:num>
  <w:num w:numId="77" w16cid:durableId="65035194">
    <w:abstractNumId w:val="36"/>
  </w:num>
  <w:num w:numId="78" w16cid:durableId="970981575">
    <w:abstractNumId w:val="8"/>
  </w:num>
  <w:num w:numId="79" w16cid:durableId="755631822">
    <w:abstractNumId w:val="49"/>
  </w:num>
  <w:num w:numId="80" w16cid:durableId="1236625059">
    <w:abstractNumId w:val="45"/>
  </w:num>
  <w:num w:numId="81" w16cid:durableId="1390498252">
    <w:abstractNumId w:val="44"/>
  </w:num>
  <w:num w:numId="82" w16cid:durableId="1115297367">
    <w:abstractNumId w:val="27"/>
  </w:num>
  <w:num w:numId="83" w16cid:durableId="150829608">
    <w:abstractNumId w:val="7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7F"/>
    <w:rsid w:val="0000012B"/>
    <w:rsid w:val="00000303"/>
    <w:rsid w:val="00000625"/>
    <w:rsid w:val="00000676"/>
    <w:rsid w:val="000006D3"/>
    <w:rsid w:val="0000078B"/>
    <w:rsid w:val="00001571"/>
    <w:rsid w:val="00001A72"/>
    <w:rsid w:val="00001DCF"/>
    <w:rsid w:val="00001F42"/>
    <w:rsid w:val="0000250B"/>
    <w:rsid w:val="00002F38"/>
    <w:rsid w:val="00003424"/>
    <w:rsid w:val="00003470"/>
    <w:rsid w:val="00003902"/>
    <w:rsid w:val="00003C17"/>
    <w:rsid w:val="00003D35"/>
    <w:rsid w:val="00003DBD"/>
    <w:rsid w:val="00003F5D"/>
    <w:rsid w:val="0000409E"/>
    <w:rsid w:val="00004671"/>
    <w:rsid w:val="00004930"/>
    <w:rsid w:val="00004C5B"/>
    <w:rsid w:val="00004CC9"/>
    <w:rsid w:val="00004DDA"/>
    <w:rsid w:val="00004F7B"/>
    <w:rsid w:val="0000501C"/>
    <w:rsid w:val="00005038"/>
    <w:rsid w:val="0000586C"/>
    <w:rsid w:val="0000645D"/>
    <w:rsid w:val="0000647E"/>
    <w:rsid w:val="000069B9"/>
    <w:rsid w:val="00006A07"/>
    <w:rsid w:val="00006B66"/>
    <w:rsid w:val="00006D91"/>
    <w:rsid w:val="00006FD2"/>
    <w:rsid w:val="00006FEA"/>
    <w:rsid w:val="00007072"/>
    <w:rsid w:val="000070C0"/>
    <w:rsid w:val="0000791E"/>
    <w:rsid w:val="00007B5E"/>
    <w:rsid w:val="00007D41"/>
    <w:rsid w:val="0001099D"/>
    <w:rsid w:val="00011035"/>
    <w:rsid w:val="000110AC"/>
    <w:rsid w:val="000112F9"/>
    <w:rsid w:val="00011349"/>
    <w:rsid w:val="00011418"/>
    <w:rsid w:val="00011626"/>
    <w:rsid w:val="000117C4"/>
    <w:rsid w:val="00011B67"/>
    <w:rsid w:val="00011E07"/>
    <w:rsid w:val="00011E71"/>
    <w:rsid w:val="00012513"/>
    <w:rsid w:val="000127F6"/>
    <w:rsid w:val="00012800"/>
    <w:rsid w:val="000128A0"/>
    <w:rsid w:val="000129AF"/>
    <w:rsid w:val="00012F1B"/>
    <w:rsid w:val="00012FA8"/>
    <w:rsid w:val="00013267"/>
    <w:rsid w:val="00013283"/>
    <w:rsid w:val="0001382A"/>
    <w:rsid w:val="00013A46"/>
    <w:rsid w:val="00013A4F"/>
    <w:rsid w:val="00013DCA"/>
    <w:rsid w:val="00013EA6"/>
    <w:rsid w:val="0001409F"/>
    <w:rsid w:val="000141C2"/>
    <w:rsid w:val="0001440E"/>
    <w:rsid w:val="00014658"/>
    <w:rsid w:val="00014771"/>
    <w:rsid w:val="00014AC6"/>
    <w:rsid w:val="00014F0A"/>
    <w:rsid w:val="0001532B"/>
    <w:rsid w:val="000157AC"/>
    <w:rsid w:val="00015A27"/>
    <w:rsid w:val="00015C0F"/>
    <w:rsid w:val="00015C49"/>
    <w:rsid w:val="000169A4"/>
    <w:rsid w:val="00016DF3"/>
    <w:rsid w:val="000173CF"/>
    <w:rsid w:val="00017572"/>
    <w:rsid w:val="000175DD"/>
    <w:rsid w:val="00017A6B"/>
    <w:rsid w:val="00017F17"/>
    <w:rsid w:val="00020050"/>
    <w:rsid w:val="00020286"/>
    <w:rsid w:val="0002083E"/>
    <w:rsid w:val="0002098B"/>
    <w:rsid w:val="00021293"/>
    <w:rsid w:val="0002179D"/>
    <w:rsid w:val="00021BE1"/>
    <w:rsid w:val="00021D4B"/>
    <w:rsid w:val="00021DCD"/>
    <w:rsid w:val="00021F86"/>
    <w:rsid w:val="00022006"/>
    <w:rsid w:val="00022035"/>
    <w:rsid w:val="00022A3E"/>
    <w:rsid w:val="00022F0F"/>
    <w:rsid w:val="00022FAB"/>
    <w:rsid w:val="00022FAC"/>
    <w:rsid w:val="00022FF6"/>
    <w:rsid w:val="00023261"/>
    <w:rsid w:val="00023410"/>
    <w:rsid w:val="000234D6"/>
    <w:rsid w:val="00023AF1"/>
    <w:rsid w:val="00023C03"/>
    <w:rsid w:val="00024059"/>
    <w:rsid w:val="000241B5"/>
    <w:rsid w:val="00024296"/>
    <w:rsid w:val="000244B6"/>
    <w:rsid w:val="00024583"/>
    <w:rsid w:val="00024728"/>
    <w:rsid w:val="0002540A"/>
    <w:rsid w:val="00025605"/>
    <w:rsid w:val="00025BC4"/>
    <w:rsid w:val="00025D43"/>
    <w:rsid w:val="00026048"/>
    <w:rsid w:val="000260C1"/>
    <w:rsid w:val="000262B6"/>
    <w:rsid w:val="000265E1"/>
    <w:rsid w:val="000269C7"/>
    <w:rsid w:val="00026B01"/>
    <w:rsid w:val="00026D03"/>
    <w:rsid w:val="00026FA5"/>
    <w:rsid w:val="00027232"/>
    <w:rsid w:val="00027409"/>
    <w:rsid w:val="0002759A"/>
    <w:rsid w:val="000275BB"/>
    <w:rsid w:val="000276E0"/>
    <w:rsid w:val="00027D70"/>
    <w:rsid w:val="00027E87"/>
    <w:rsid w:val="00027E90"/>
    <w:rsid w:val="000303D9"/>
    <w:rsid w:val="00030629"/>
    <w:rsid w:val="00030779"/>
    <w:rsid w:val="00030F28"/>
    <w:rsid w:val="0003105E"/>
    <w:rsid w:val="00031258"/>
    <w:rsid w:val="000314EE"/>
    <w:rsid w:val="0003163C"/>
    <w:rsid w:val="0003179E"/>
    <w:rsid w:val="00031B82"/>
    <w:rsid w:val="00031D38"/>
    <w:rsid w:val="00032084"/>
    <w:rsid w:val="000327D6"/>
    <w:rsid w:val="000327FE"/>
    <w:rsid w:val="00032A64"/>
    <w:rsid w:val="00033FFB"/>
    <w:rsid w:val="0003455B"/>
    <w:rsid w:val="000348C0"/>
    <w:rsid w:val="000348C5"/>
    <w:rsid w:val="000349CD"/>
    <w:rsid w:val="00034A55"/>
    <w:rsid w:val="00034C0C"/>
    <w:rsid w:val="00034CD9"/>
    <w:rsid w:val="00034D34"/>
    <w:rsid w:val="00034E87"/>
    <w:rsid w:val="00035090"/>
    <w:rsid w:val="00035666"/>
    <w:rsid w:val="000357A7"/>
    <w:rsid w:val="000358BD"/>
    <w:rsid w:val="00035A84"/>
    <w:rsid w:val="00035B4D"/>
    <w:rsid w:val="00035D3E"/>
    <w:rsid w:val="0003644F"/>
    <w:rsid w:val="00036654"/>
    <w:rsid w:val="000366AA"/>
    <w:rsid w:val="000366B9"/>
    <w:rsid w:val="00036E98"/>
    <w:rsid w:val="000372A5"/>
    <w:rsid w:val="00037333"/>
    <w:rsid w:val="000373CD"/>
    <w:rsid w:val="00037848"/>
    <w:rsid w:val="00037C14"/>
    <w:rsid w:val="00037C4B"/>
    <w:rsid w:val="00037EDE"/>
    <w:rsid w:val="000403AA"/>
    <w:rsid w:val="000404AE"/>
    <w:rsid w:val="00040866"/>
    <w:rsid w:val="00040B5F"/>
    <w:rsid w:val="00040F0A"/>
    <w:rsid w:val="00041084"/>
    <w:rsid w:val="000410CC"/>
    <w:rsid w:val="0004122B"/>
    <w:rsid w:val="00041642"/>
    <w:rsid w:val="0004190B"/>
    <w:rsid w:val="000419A0"/>
    <w:rsid w:val="00041AE2"/>
    <w:rsid w:val="000422C6"/>
    <w:rsid w:val="00042984"/>
    <w:rsid w:val="00042FA3"/>
    <w:rsid w:val="00043006"/>
    <w:rsid w:val="0004305D"/>
    <w:rsid w:val="000432E8"/>
    <w:rsid w:val="000435FD"/>
    <w:rsid w:val="00043E7E"/>
    <w:rsid w:val="0004416D"/>
    <w:rsid w:val="0004443A"/>
    <w:rsid w:val="00044505"/>
    <w:rsid w:val="0004453B"/>
    <w:rsid w:val="00044685"/>
    <w:rsid w:val="0004496B"/>
    <w:rsid w:val="00044B88"/>
    <w:rsid w:val="00044DBA"/>
    <w:rsid w:val="00045353"/>
    <w:rsid w:val="00045446"/>
    <w:rsid w:val="000459EA"/>
    <w:rsid w:val="000459F5"/>
    <w:rsid w:val="00045BF5"/>
    <w:rsid w:val="00045DCD"/>
    <w:rsid w:val="00045E60"/>
    <w:rsid w:val="00046008"/>
    <w:rsid w:val="00046146"/>
    <w:rsid w:val="000465A7"/>
    <w:rsid w:val="000467FE"/>
    <w:rsid w:val="00046A42"/>
    <w:rsid w:val="00046A65"/>
    <w:rsid w:val="00046B14"/>
    <w:rsid w:val="00046D95"/>
    <w:rsid w:val="000471EA"/>
    <w:rsid w:val="00047325"/>
    <w:rsid w:val="000475CD"/>
    <w:rsid w:val="00047707"/>
    <w:rsid w:val="00047E00"/>
    <w:rsid w:val="000500D2"/>
    <w:rsid w:val="00050130"/>
    <w:rsid w:val="000502F9"/>
    <w:rsid w:val="00050677"/>
    <w:rsid w:val="00050C62"/>
    <w:rsid w:val="00050D98"/>
    <w:rsid w:val="00050F74"/>
    <w:rsid w:val="000510C1"/>
    <w:rsid w:val="0005159D"/>
    <w:rsid w:val="000515F6"/>
    <w:rsid w:val="0005166D"/>
    <w:rsid w:val="0005191F"/>
    <w:rsid w:val="00051B32"/>
    <w:rsid w:val="00051BAA"/>
    <w:rsid w:val="00051CC3"/>
    <w:rsid w:val="00051E75"/>
    <w:rsid w:val="00052203"/>
    <w:rsid w:val="000522D3"/>
    <w:rsid w:val="00052332"/>
    <w:rsid w:val="00052C5C"/>
    <w:rsid w:val="00052EF1"/>
    <w:rsid w:val="000530E9"/>
    <w:rsid w:val="00053570"/>
    <w:rsid w:val="000535F7"/>
    <w:rsid w:val="00053609"/>
    <w:rsid w:val="000537BA"/>
    <w:rsid w:val="00053B36"/>
    <w:rsid w:val="00053B86"/>
    <w:rsid w:val="00055D09"/>
    <w:rsid w:val="00056284"/>
    <w:rsid w:val="0005633A"/>
    <w:rsid w:val="00056A12"/>
    <w:rsid w:val="000570B2"/>
    <w:rsid w:val="0005723C"/>
    <w:rsid w:val="00057B34"/>
    <w:rsid w:val="00057CB1"/>
    <w:rsid w:val="00057CEE"/>
    <w:rsid w:val="00057F80"/>
    <w:rsid w:val="00060236"/>
    <w:rsid w:val="00060601"/>
    <w:rsid w:val="00060678"/>
    <w:rsid w:val="000608FC"/>
    <w:rsid w:val="00060BBB"/>
    <w:rsid w:val="00060E28"/>
    <w:rsid w:val="00060E4A"/>
    <w:rsid w:val="00061117"/>
    <w:rsid w:val="00061675"/>
    <w:rsid w:val="000616F8"/>
    <w:rsid w:val="00061A14"/>
    <w:rsid w:val="00061AB4"/>
    <w:rsid w:val="00061AD1"/>
    <w:rsid w:val="00061B5B"/>
    <w:rsid w:val="00062317"/>
    <w:rsid w:val="00062BB8"/>
    <w:rsid w:val="00062D77"/>
    <w:rsid w:val="00062DDF"/>
    <w:rsid w:val="000630D2"/>
    <w:rsid w:val="000632A2"/>
    <w:rsid w:val="00063550"/>
    <w:rsid w:val="00063674"/>
    <w:rsid w:val="000638B2"/>
    <w:rsid w:val="0006407A"/>
    <w:rsid w:val="00064318"/>
    <w:rsid w:val="000643C0"/>
    <w:rsid w:val="00064515"/>
    <w:rsid w:val="000648B2"/>
    <w:rsid w:val="00064B52"/>
    <w:rsid w:val="00064E64"/>
    <w:rsid w:val="0006517A"/>
    <w:rsid w:val="00065368"/>
    <w:rsid w:val="0006574E"/>
    <w:rsid w:val="00065751"/>
    <w:rsid w:val="00065C77"/>
    <w:rsid w:val="00065E57"/>
    <w:rsid w:val="00065E5D"/>
    <w:rsid w:val="000660D7"/>
    <w:rsid w:val="00066307"/>
    <w:rsid w:val="00066356"/>
    <w:rsid w:val="0006637E"/>
    <w:rsid w:val="00066383"/>
    <w:rsid w:val="00066C30"/>
    <w:rsid w:val="000675B4"/>
    <w:rsid w:val="000678DD"/>
    <w:rsid w:val="00067B11"/>
    <w:rsid w:val="00067C75"/>
    <w:rsid w:val="00067CE8"/>
    <w:rsid w:val="00067E75"/>
    <w:rsid w:val="00067F39"/>
    <w:rsid w:val="00070A63"/>
    <w:rsid w:val="000710B0"/>
    <w:rsid w:val="00071355"/>
    <w:rsid w:val="00071CD7"/>
    <w:rsid w:val="00071F28"/>
    <w:rsid w:val="0007214F"/>
    <w:rsid w:val="00072368"/>
    <w:rsid w:val="000723A3"/>
    <w:rsid w:val="000724F3"/>
    <w:rsid w:val="000726E2"/>
    <w:rsid w:val="00072943"/>
    <w:rsid w:val="00072971"/>
    <w:rsid w:val="00072A24"/>
    <w:rsid w:val="00072A28"/>
    <w:rsid w:val="0007341E"/>
    <w:rsid w:val="000734F5"/>
    <w:rsid w:val="00073536"/>
    <w:rsid w:val="0007396F"/>
    <w:rsid w:val="00073C07"/>
    <w:rsid w:val="00073C3E"/>
    <w:rsid w:val="00073CDA"/>
    <w:rsid w:val="00073D73"/>
    <w:rsid w:val="00074383"/>
    <w:rsid w:val="00074855"/>
    <w:rsid w:val="00074B46"/>
    <w:rsid w:val="00074BBD"/>
    <w:rsid w:val="00074C8E"/>
    <w:rsid w:val="000752DB"/>
    <w:rsid w:val="00075493"/>
    <w:rsid w:val="0007555D"/>
    <w:rsid w:val="00075689"/>
    <w:rsid w:val="0007573A"/>
    <w:rsid w:val="00075BB2"/>
    <w:rsid w:val="00075C7C"/>
    <w:rsid w:val="00075CB8"/>
    <w:rsid w:val="00075FBD"/>
    <w:rsid w:val="00076064"/>
    <w:rsid w:val="000760DC"/>
    <w:rsid w:val="000761CB"/>
    <w:rsid w:val="00076DD0"/>
    <w:rsid w:val="0007714F"/>
    <w:rsid w:val="0007780F"/>
    <w:rsid w:val="00077A06"/>
    <w:rsid w:val="00080058"/>
    <w:rsid w:val="000802DE"/>
    <w:rsid w:val="000808AE"/>
    <w:rsid w:val="00080ADB"/>
    <w:rsid w:val="00080CEF"/>
    <w:rsid w:val="00080D82"/>
    <w:rsid w:val="00080FA8"/>
    <w:rsid w:val="00081466"/>
    <w:rsid w:val="000815AD"/>
    <w:rsid w:val="00081B52"/>
    <w:rsid w:val="00081F17"/>
    <w:rsid w:val="00081FD8"/>
    <w:rsid w:val="000821F8"/>
    <w:rsid w:val="000821FF"/>
    <w:rsid w:val="0008228C"/>
    <w:rsid w:val="00082912"/>
    <w:rsid w:val="00082BDA"/>
    <w:rsid w:val="00082E6A"/>
    <w:rsid w:val="00083E39"/>
    <w:rsid w:val="000840E6"/>
    <w:rsid w:val="0008438C"/>
    <w:rsid w:val="0008493B"/>
    <w:rsid w:val="00084E0F"/>
    <w:rsid w:val="00085668"/>
    <w:rsid w:val="000857A8"/>
    <w:rsid w:val="0008618F"/>
    <w:rsid w:val="00086193"/>
    <w:rsid w:val="000862B3"/>
    <w:rsid w:val="000864BA"/>
    <w:rsid w:val="0008666E"/>
    <w:rsid w:val="00086769"/>
    <w:rsid w:val="00086794"/>
    <w:rsid w:val="00086C4A"/>
    <w:rsid w:val="00086C62"/>
    <w:rsid w:val="00086E82"/>
    <w:rsid w:val="00086F3C"/>
    <w:rsid w:val="000877EB"/>
    <w:rsid w:val="00087A3B"/>
    <w:rsid w:val="00087DC6"/>
    <w:rsid w:val="000903C5"/>
    <w:rsid w:val="00090622"/>
    <w:rsid w:val="00090636"/>
    <w:rsid w:val="000907DB"/>
    <w:rsid w:val="00090C03"/>
    <w:rsid w:val="00090DB6"/>
    <w:rsid w:val="00091126"/>
    <w:rsid w:val="000915AA"/>
    <w:rsid w:val="00091605"/>
    <w:rsid w:val="00091998"/>
    <w:rsid w:val="00091D57"/>
    <w:rsid w:val="000924F4"/>
    <w:rsid w:val="000926C8"/>
    <w:rsid w:val="00092729"/>
    <w:rsid w:val="0009289A"/>
    <w:rsid w:val="000928C2"/>
    <w:rsid w:val="00092AFC"/>
    <w:rsid w:val="00093B2A"/>
    <w:rsid w:val="00093B84"/>
    <w:rsid w:val="00093CDB"/>
    <w:rsid w:val="00093E34"/>
    <w:rsid w:val="0009409C"/>
    <w:rsid w:val="00094445"/>
    <w:rsid w:val="000945A0"/>
    <w:rsid w:val="000946B6"/>
    <w:rsid w:val="00094811"/>
    <w:rsid w:val="00094D58"/>
    <w:rsid w:val="0009577A"/>
    <w:rsid w:val="0009579B"/>
    <w:rsid w:val="00095F0D"/>
    <w:rsid w:val="00095F27"/>
    <w:rsid w:val="000962BD"/>
    <w:rsid w:val="0009677A"/>
    <w:rsid w:val="000971BB"/>
    <w:rsid w:val="000974CE"/>
    <w:rsid w:val="00097C7E"/>
    <w:rsid w:val="00097E35"/>
    <w:rsid w:val="000A00B2"/>
    <w:rsid w:val="000A0485"/>
    <w:rsid w:val="000A0FBF"/>
    <w:rsid w:val="000A18F8"/>
    <w:rsid w:val="000A1CE4"/>
    <w:rsid w:val="000A1CF1"/>
    <w:rsid w:val="000A1E72"/>
    <w:rsid w:val="000A227A"/>
    <w:rsid w:val="000A29E2"/>
    <w:rsid w:val="000A2B32"/>
    <w:rsid w:val="000A380D"/>
    <w:rsid w:val="000A398E"/>
    <w:rsid w:val="000A3D0E"/>
    <w:rsid w:val="000A45C1"/>
    <w:rsid w:val="000A4689"/>
    <w:rsid w:val="000A475B"/>
    <w:rsid w:val="000A478F"/>
    <w:rsid w:val="000A4A58"/>
    <w:rsid w:val="000A4B22"/>
    <w:rsid w:val="000A4B5E"/>
    <w:rsid w:val="000A4EEB"/>
    <w:rsid w:val="000A4F91"/>
    <w:rsid w:val="000A5137"/>
    <w:rsid w:val="000A52B9"/>
    <w:rsid w:val="000A534F"/>
    <w:rsid w:val="000A539F"/>
    <w:rsid w:val="000A54A8"/>
    <w:rsid w:val="000A57D4"/>
    <w:rsid w:val="000A57D7"/>
    <w:rsid w:val="000A5A3D"/>
    <w:rsid w:val="000A5C9F"/>
    <w:rsid w:val="000A608C"/>
    <w:rsid w:val="000A6C1D"/>
    <w:rsid w:val="000A6DA0"/>
    <w:rsid w:val="000A6EA2"/>
    <w:rsid w:val="000A6F00"/>
    <w:rsid w:val="000A7058"/>
    <w:rsid w:val="000A713C"/>
    <w:rsid w:val="000A7396"/>
    <w:rsid w:val="000A7840"/>
    <w:rsid w:val="000B01AF"/>
    <w:rsid w:val="000B02CB"/>
    <w:rsid w:val="000B04C8"/>
    <w:rsid w:val="000B0676"/>
    <w:rsid w:val="000B0CD7"/>
    <w:rsid w:val="000B13EC"/>
    <w:rsid w:val="000B1558"/>
    <w:rsid w:val="000B1779"/>
    <w:rsid w:val="000B1AAD"/>
    <w:rsid w:val="000B1E4A"/>
    <w:rsid w:val="000B1E56"/>
    <w:rsid w:val="000B22C0"/>
    <w:rsid w:val="000B2370"/>
    <w:rsid w:val="000B25CA"/>
    <w:rsid w:val="000B265A"/>
    <w:rsid w:val="000B266E"/>
    <w:rsid w:val="000B29F2"/>
    <w:rsid w:val="000B2A72"/>
    <w:rsid w:val="000B2AE1"/>
    <w:rsid w:val="000B2B13"/>
    <w:rsid w:val="000B35CE"/>
    <w:rsid w:val="000B35EF"/>
    <w:rsid w:val="000B3907"/>
    <w:rsid w:val="000B3A21"/>
    <w:rsid w:val="000B3B57"/>
    <w:rsid w:val="000B3D0C"/>
    <w:rsid w:val="000B3D67"/>
    <w:rsid w:val="000B3FF5"/>
    <w:rsid w:val="000B4462"/>
    <w:rsid w:val="000B464B"/>
    <w:rsid w:val="000B48CB"/>
    <w:rsid w:val="000B4F67"/>
    <w:rsid w:val="000B54C2"/>
    <w:rsid w:val="000B55AA"/>
    <w:rsid w:val="000B561B"/>
    <w:rsid w:val="000B5657"/>
    <w:rsid w:val="000B565F"/>
    <w:rsid w:val="000B5B8D"/>
    <w:rsid w:val="000B60E7"/>
    <w:rsid w:val="000B610E"/>
    <w:rsid w:val="000B667C"/>
    <w:rsid w:val="000B6F1E"/>
    <w:rsid w:val="000B79CB"/>
    <w:rsid w:val="000B79F5"/>
    <w:rsid w:val="000B7E24"/>
    <w:rsid w:val="000B7E6E"/>
    <w:rsid w:val="000C0301"/>
    <w:rsid w:val="000C0397"/>
    <w:rsid w:val="000C059B"/>
    <w:rsid w:val="000C0A8E"/>
    <w:rsid w:val="000C0CF2"/>
    <w:rsid w:val="000C0FA4"/>
    <w:rsid w:val="000C11D6"/>
    <w:rsid w:val="000C16AF"/>
    <w:rsid w:val="000C1834"/>
    <w:rsid w:val="000C1B5C"/>
    <w:rsid w:val="000C22D5"/>
    <w:rsid w:val="000C2474"/>
    <w:rsid w:val="000C2481"/>
    <w:rsid w:val="000C2524"/>
    <w:rsid w:val="000C284C"/>
    <w:rsid w:val="000C2937"/>
    <w:rsid w:val="000C3411"/>
    <w:rsid w:val="000C3ADA"/>
    <w:rsid w:val="000C3C77"/>
    <w:rsid w:val="000C3FD7"/>
    <w:rsid w:val="000C4801"/>
    <w:rsid w:val="000C4E88"/>
    <w:rsid w:val="000C4F8F"/>
    <w:rsid w:val="000C5267"/>
    <w:rsid w:val="000C5415"/>
    <w:rsid w:val="000C55C2"/>
    <w:rsid w:val="000C5893"/>
    <w:rsid w:val="000C5AAF"/>
    <w:rsid w:val="000C60CA"/>
    <w:rsid w:val="000C611D"/>
    <w:rsid w:val="000C63A5"/>
    <w:rsid w:val="000C665E"/>
    <w:rsid w:val="000C68E3"/>
    <w:rsid w:val="000C6C01"/>
    <w:rsid w:val="000C6D0E"/>
    <w:rsid w:val="000C701D"/>
    <w:rsid w:val="000C755A"/>
    <w:rsid w:val="000C75FF"/>
    <w:rsid w:val="000C768B"/>
    <w:rsid w:val="000C7DF5"/>
    <w:rsid w:val="000D0191"/>
    <w:rsid w:val="000D0428"/>
    <w:rsid w:val="000D0562"/>
    <w:rsid w:val="000D06FF"/>
    <w:rsid w:val="000D0982"/>
    <w:rsid w:val="000D0AAE"/>
    <w:rsid w:val="000D0DBF"/>
    <w:rsid w:val="000D0DD2"/>
    <w:rsid w:val="000D0EF7"/>
    <w:rsid w:val="000D121E"/>
    <w:rsid w:val="000D13AD"/>
    <w:rsid w:val="000D1A50"/>
    <w:rsid w:val="000D1D8F"/>
    <w:rsid w:val="000D1F29"/>
    <w:rsid w:val="000D20D9"/>
    <w:rsid w:val="000D263C"/>
    <w:rsid w:val="000D2808"/>
    <w:rsid w:val="000D2922"/>
    <w:rsid w:val="000D2985"/>
    <w:rsid w:val="000D29AC"/>
    <w:rsid w:val="000D2CBC"/>
    <w:rsid w:val="000D2E05"/>
    <w:rsid w:val="000D3870"/>
    <w:rsid w:val="000D38EA"/>
    <w:rsid w:val="000D42F5"/>
    <w:rsid w:val="000D432B"/>
    <w:rsid w:val="000D444E"/>
    <w:rsid w:val="000D4594"/>
    <w:rsid w:val="000D4D46"/>
    <w:rsid w:val="000D4D9D"/>
    <w:rsid w:val="000D4DFA"/>
    <w:rsid w:val="000D4F38"/>
    <w:rsid w:val="000D4F62"/>
    <w:rsid w:val="000D53BA"/>
    <w:rsid w:val="000D5426"/>
    <w:rsid w:val="000D56F0"/>
    <w:rsid w:val="000D5926"/>
    <w:rsid w:val="000D5ACF"/>
    <w:rsid w:val="000D5F28"/>
    <w:rsid w:val="000D5F78"/>
    <w:rsid w:val="000D65D3"/>
    <w:rsid w:val="000D6CE6"/>
    <w:rsid w:val="000D6F7C"/>
    <w:rsid w:val="000D7109"/>
    <w:rsid w:val="000D777A"/>
    <w:rsid w:val="000D78D5"/>
    <w:rsid w:val="000D7C13"/>
    <w:rsid w:val="000E051E"/>
    <w:rsid w:val="000E0575"/>
    <w:rsid w:val="000E096A"/>
    <w:rsid w:val="000E09B4"/>
    <w:rsid w:val="000E0B11"/>
    <w:rsid w:val="000E1049"/>
    <w:rsid w:val="000E1155"/>
    <w:rsid w:val="000E132F"/>
    <w:rsid w:val="000E17DB"/>
    <w:rsid w:val="000E1B38"/>
    <w:rsid w:val="000E1B48"/>
    <w:rsid w:val="000E1B9B"/>
    <w:rsid w:val="000E2116"/>
    <w:rsid w:val="000E2A79"/>
    <w:rsid w:val="000E2AF4"/>
    <w:rsid w:val="000E2DA2"/>
    <w:rsid w:val="000E2E42"/>
    <w:rsid w:val="000E2E67"/>
    <w:rsid w:val="000E3009"/>
    <w:rsid w:val="000E3295"/>
    <w:rsid w:val="000E32B2"/>
    <w:rsid w:val="000E347D"/>
    <w:rsid w:val="000E34CC"/>
    <w:rsid w:val="000E3A40"/>
    <w:rsid w:val="000E3ACA"/>
    <w:rsid w:val="000E3B5A"/>
    <w:rsid w:val="000E43CB"/>
    <w:rsid w:val="000E4F8A"/>
    <w:rsid w:val="000E51FC"/>
    <w:rsid w:val="000E532F"/>
    <w:rsid w:val="000E548C"/>
    <w:rsid w:val="000E54AA"/>
    <w:rsid w:val="000E558F"/>
    <w:rsid w:val="000E5663"/>
    <w:rsid w:val="000E5676"/>
    <w:rsid w:val="000E575F"/>
    <w:rsid w:val="000E59E6"/>
    <w:rsid w:val="000E5AFF"/>
    <w:rsid w:val="000E5B95"/>
    <w:rsid w:val="000E6074"/>
    <w:rsid w:val="000E677A"/>
    <w:rsid w:val="000E6A87"/>
    <w:rsid w:val="000E6A99"/>
    <w:rsid w:val="000E6AFA"/>
    <w:rsid w:val="000E6E10"/>
    <w:rsid w:val="000E6E1B"/>
    <w:rsid w:val="000E728A"/>
    <w:rsid w:val="000E7F25"/>
    <w:rsid w:val="000E7F46"/>
    <w:rsid w:val="000F0753"/>
    <w:rsid w:val="000F0885"/>
    <w:rsid w:val="000F0A46"/>
    <w:rsid w:val="000F0AF3"/>
    <w:rsid w:val="000F0DC1"/>
    <w:rsid w:val="000F0EC5"/>
    <w:rsid w:val="000F13E8"/>
    <w:rsid w:val="000F17B4"/>
    <w:rsid w:val="000F1B92"/>
    <w:rsid w:val="000F1C42"/>
    <w:rsid w:val="000F1EDC"/>
    <w:rsid w:val="000F20DB"/>
    <w:rsid w:val="000F2449"/>
    <w:rsid w:val="000F2484"/>
    <w:rsid w:val="000F26BD"/>
    <w:rsid w:val="000F2A22"/>
    <w:rsid w:val="000F2ADE"/>
    <w:rsid w:val="000F2D37"/>
    <w:rsid w:val="000F2ECC"/>
    <w:rsid w:val="000F2F7A"/>
    <w:rsid w:val="000F3438"/>
    <w:rsid w:val="000F37B7"/>
    <w:rsid w:val="000F3BEA"/>
    <w:rsid w:val="000F3F80"/>
    <w:rsid w:val="000F3FD7"/>
    <w:rsid w:val="000F414F"/>
    <w:rsid w:val="000F4A3C"/>
    <w:rsid w:val="000F50ED"/>
    <w:rsid w:val="000F563B"/>
    <w:rsid w:val="000F56DB"/>
    <w:rsid w:val="000F59E8"/>
    <w:rsid w:val="000F5A94"/>
    <w:rsid w:val="000F5FA9"/>
    <w:rsid w:val="000F634D"/>
    <w:rsid w:val="000F6553"/>
    <w:rsid w:val="000F6A9C"/>
    <w:rsid w:val="000F6D70"/>
    <w:rsid w:val="000F703F"/>
    <w:rsid w:val="000F7355"/>
    <w:rsid w:val="000F788C"/>
    <w:rsid w:val="000F797D"/>
    <w:rsid w:val="000F7EC8"/>
    <w:rsid w:val="00100106"/>
    <w:rsid w:val="00100456"/>
    <w:rsid w:val="001005A4"/>
    <w:rsid w:val="00100796"/>
    <w:rsid w:val="001007F5"/>
    <w:rsid w:val="001008FE"/>
    <w:rsid w:val="00100A59"/>
    <w:rsid w:val="00100D92"/>
    <w:rsid w:val="00100E34"/>
    <w:rsid w:val="00101538"/>
    <w:rsid w:val="00101A32"/>
    <w:rsid w:val="00101C6E"/>
    <w:rsid w:val="001021A6"/>
    <w:rsid w:val="00102705"/>
    <w:rsid w:val="00102948"/>
    <w:rsid w:val="00102D01"/>
    <w:rsid w:val="00102DFB"/>
    <w:rsid w:val="00103001"/>
    <w:rsid w:val="0010306F"/>
    <w:rsid w:val="00103399"/>
    <w:rsid w:val="001034F2"/>
    <w:rsid w:val="00103748"/>
    <w:rsid w:val="00103A09"/>
    <w:rsid w:val="00103A71"/>
    <w:rsid w:val="00103B25"/>
    <w:rsid w:val="00103B4B"/>
    <w:rsid w:val="00104055"/>
    <w:rsid w:val="0010424E"/>
    <w:rsid w:val="00104934"/>
    <w:rsid w:val="00104A99"/>
    <w:rsid w:val="00104C65"/>
    <w:rsid w:val="00104CC4"/>
    <w:rsid w:val="00105065"/>
    <w:rsid w:val="00105344"/>
    <w:rsid w:val="001054B5"/>
    <w:rsid w:val="001056C8"/>
    <w:rsid w:val="00105853"/>
    <w:rsid w:val="001058D5"/>
    <w:rsid w:val="001058E1"/>
    <w:rsid w:val="00105E68"/>
    <w:rsid w:val="00106046"/>
    <w:rsid w:val="00106058"/>
    <w:rsid w:val="001067E2"/>
    <w:rsid w:val="00106EE3"/>
    <w:rsid w:val="0010700F"/>
    <w:rsid w:val="001071C1"/>
    <w:rsid w:val="001072C1"/>
    <w:rsid w:val="001074D9"/>
    <w:rsid w:val="0010785E"/>
    <w:rsid w:val="001109C2"/>
    <w:rsid w:val="00110BDF"/>
    <w:rsid w:val="00110E19"/>
    <w:rsid w:val="00110F62"/>
    <w:rsid w:val="00111064"/>
    <w:rsid w:val="00111105"/>
    <w:rsid w:val="00111943"/>
    <w:rsid w:val="00111FDC"/>
    <w:rsid w:val="001121F8"/>
    <w:rsid w:val="001128D9"/>
    <w:rsid w:val="00112AD3"/>
    <w:rsid w:val="00112F8F"/>
    <w:rsid w:val="0011308A"/>
    <w:rsid w:val="0011329A"/>
    <w:rsid w:val="00113B86"/>
    <w:rsid w:val="00113C48"/>
    <w:rsid w:val="00113EAD"/>
    <w:rsid w:val="00113EE4"/>
    <w:rsid w:val="00114073"/>
    <w:rsid w:val="0011409C"/>
    <w:rsid w:val="001147A3"/>
    <w:rsid w:val="00114CCB"/>
    <w:rsid w:val="00114D8D"/>
    <w:rsid w:val="00114F7A"/>
    <w:rsid w:val="0011560C"/>
    <w:rsid w:val="001158DE"/>
    <w:rsid w:val="00115C1A"/>
    <w:rsid w:val="00115FE8"/>
    <w:rsid w:val="00115FF7"/>
    <w:rsid w:val="00116181"/>
    <w:rsid w:val="00116382"/>
    <w:rsid w:val="0011646A"/>
    <w:rsid w:val="00116EFA"/>
    <w:rsid w:val="00117212"/>
    <w:rsid w:val="001205AF"/>
    <w:rsid w:val="001209A9"/>
    <w:rsid w:val="00120AFF"/>
    <w:rsid w:val="00120CAD"/>
    <w:rsid w:val="0012114A"/>
    <w:rsid w:val="001211BE"/>
    <w:rsid w:val="00121927"/>
    <w:rsid w:val="001219B6"/>
    <w:rsid w:val="001219D3"/>
    <w:rsid w:val="001219F6"/>
    <w:rsid w:val="00121A35"/>
    <w:rsid w:val="00121CF9"/>
    <w:rsid w:val="00121D3B"/>
    <w:rsid w:val="001224E7"/>
    <w:rsid w:val="001228F6"/>
    <w:rsid w:val="00123148"/>
    <w:rsid w:val="001231AB"/>
    <w:rsid w:val="0012379A"/>
    <w:rsid w:val="00123822"/>
    <w:rsid w:val="00123CD2"/>
    <w:rsid w:val="00123DC2"/>
    <w:rsid w:val="00124286"/>
    <w:rsid w:val="0012434E"/>
    <w:rsid w:val="0012469A"/>
    <w:rsid w:val="001249F5"/>
    <w:rsid w:val="00124F03"/>
    <w:rsid w:val="001250F2"/>
    <w:rsid w:val="00125193"/>
    <w:rsid w:val="001255DB"/>
    <w:rsid w:val="00125938"/>
    <w:rsid w:val="0012624F"/>
    <w:rsid w:val="001269CC"/>
    <w:rsid w:val="00126DDE"/>
    <w:rsid w:val="00126ECA"/>
    <w:rsid w:val="00126F36"/>
    <w:rsid w:val="00127001"/>
    <w:rsid w:val="001272B1"/>
    <w:rsid w:val="001272B5"/>
    <w:rsid w:val="0012782B"/>
    <w:rsid w:val="00130248"/>
    <w:rsid w:val="0013026A"/>
    <w:rsid w:val="0013040A"/>
    <w:rsid w:val="00130BEB"/>
    <w:rsid w:val="001313E6"/>
    <w:rsid w:val="00131429"/>
    <w:rsid w:val="0013154B"/>
    <w:rsid w:val="001315D3"/>
    <w:rsid w:val="00131A9D"/>
    <w:rsid w:val="00131BE0"/>
    <w:rsid w:val="00131CC6"/>
    <w:rsid w:val="0013201C"/>
    <w:rsid w:val="00132265"/>
    <w:rsid w:val="001323E2"/>
    <w:rsid w:val="001324F1"/>
    <w:rsid w:val="00132807"/>
    <w:rsid w:val="00132A26"/>
    <w:rsid w:val="00132C25"/>
    <w:rsid w:val="00133077"/>
    <w:rsid w:val="001331C3"/>
    <w:rsid w:val="00133C5E"/>
    <w:rsid w:val="00133D67"/>
    <w:rsid w:val="00134394"/>
    <w:rsid w:val="00134547"/>
    <w:rsid w:val="001345FC"/>
    <w:rsid w:val="0013463F"/>
    <w:rsid w:val="001347B0"/>
    <w:rsid w:val="00134A62"/>
    <w:rsid w:val="00134C2A"/>
    <w:rsid w:val="001350F6"/>
    <w:rsid w:val="00135A89"/>
    <w:rsid w:val="00135D80"/>
    <w:rsid w:val="00135EB6"/>
    <w:rsid w:val="00135FF6"/>
    <w:rsid w:val="00136356"/>
    <w:rsid w:val="00137291"/>
    <w:rsid w:val="00137520"/>
    <w:rsid w:val="00137784"/>
    <w:rsid w:val="001379A4"/>
    <w:rsid w:val="00140A3F"/>
    <w:rsid w:val="00140A5F"/>
    <w:rsid w:val="00140AC7"/>
    <w:rsid w:val="00141795"/>
    <w:rsid w:val="0014193C"/>
    <w:rsid w:val="0014195A"/>
    <w:rsid w:val="00141FCC"/>
    <w:rsid w:val="00141FF4"/>
    <w:rsid w:val="001429D4"/>
    <w:rsid w:val="00142A4E"/>
    <w:rsid w:val="00142AD3"/>
    <w:rsid w:val="00142CF6"/>
    <w:rsid w:val="00143027"/>
    <w:rsid w:val="001436AE"/>
    <w:rsid w:val="0014398E"/>
    <w:rsid w:val="00143BD2"/>
    <w:rsid w:val="00143DA4"/>
    <w:rsid w:val="00143F92"/>
    <w:rsid w:val="0014424B"/>
    <w:rsid w:val="00144518"/>
    <w:rsid w:val="001447E5"/>
    <w:rsid w:val="0014482C"/>
    <w:rsid w:val="00144B52"/>
    <w:rsid w:val="00144FB0"/>
    <w:rsid w:val="00145020"/>
    <w:rsid w:val="00145112"/>
    <w:rsid w:val="0014535E"/>
    <w:rsid w:val="00145912"/>
    <w:rsid w:val="00145D52"/>
    <w:rsid w:val="00146021"/>
    <w:rsid w:val="00146048"/>
    <w:rsid w:val="001460D7"/>
    <w:rsid w:val="0014675E"/>
    <w:rsid w:val="00146A62"/>
    <w:rsid w:val="00146AEB"/>
    <w:rsid w:val="00146BD4"/>
    <w:rsid w:val="00146DBF"/>
    <w:rsid w:val="00146E1F"/>
    <w:rsid w:val="0014766C"/>
    <w:rsid w:val="00147873"/>
    <w:rsid w:val="00147885"/>
    <w:rsid w:val="00147B68"/>
    <w:rsid w:val="00147FB5"/>
    <w:rsid w:val="001503BB"/>
    <w:rsid w:val="001506A4"/>
    <w:rsid w:val="001508AA"/>
    <w:rsid w:val="00150A5E"/>
    <w:rsid w:val="00150B00"/>
    <w:rsid w:val="00150CD2"/>
    <w:rsid w:val="00150DBE"/>
    <w:rsid w:val="00150F4A"/>
    <w:rsid w:val="001513FA"/>
    <w:rsid w:val="0015151D"/>
    <w:rsid w:val="00151529"/>
    <w:rsid w:val="00151616"/>
    <w:rsid w:val="00151B5F"/>
    <w:rsid w:val="00151D30"/>
    <w:rsid w:val="00151DA7"/>
    <w:rsid w:val="00152320"/>
    <w:rsid w:val="0015287C"/>
    <w:rsid w:val="00152AB4"/>
    <w:rsid w:val="00152C7F"/>
    <w:rsid w:val="00152CF7"/>
    <w:rsid w:val="00152D9E"/>
    <w:rsid w:val="00153157"/>
    <w:rsid w:val="001533AD"/>
    <w:rsid w:val="00153431"/>
    <w:rsid w:val="0015389A"/>
    <w:rsid w:val="001539C6"/>
    <w:rsid w:val="00153B25"/>
    <w:rsid w:val="00153BF6"/>
    <w:rsid w:val="00153C8B"/>
    <w:rsid w:val="001546DC"/>
    <w:rsid w:val="00154FE1"/>
    <w:rsid w:val="00155184"/>
    <w:rsid w:val="001552B8"/>
    <w:rsid w:val="001555CD"/>
    <w:rsid w:val="00155B6E"/>
    <w:rsid w:val="00155E0A"/>
    <w:rsid w:val="00155E90"/>
    <w:rsid w:val="0015604F"/>
    <w:rsid w:val="001560AD"/>
    <w:rsid w:val="0015636B"/>
    <w:rsid w:val="001568D8"/>
    <w:rsid w:val="0015693C"/>
    <w:rsid w:val="00156CB5"/>
    <w:rsid w:val="00156FC3"/>
    <w:rsid w:val="00157268"/>
    <w:rsid w:val="00157AD1"/>
    <w:rsid w:val="00157ADE"/>
    <w:rsid w:val="00157B5F"/>
    <w:rsid w:val="0016005B"/>
    <w:rsid w:val="001601DB"/>
    <w:rsid w:val="0016060D"/>
    <w:rsid w:val="00160688"/>
    <w:rsid w:val="001608FA"/>
    <w:rsid w:val="00160B08"/>
    <w:rsid w:val="00160C96"/>
    <w:rsid w:val="00160DF5"/>
    <w:rsid w:val="001611AC"/>
    <w:rsid w:val="001612EE"/>
    <w:rsid w:val="001616F4"/>
    <w:rsid w:val="00161931"/>
    <w:rsid w:val="0016196B"/>
    <w:rsid w:val="00161CE9"/>
    <w:rsid w:val="001624F7"/>
    <w:rsid w:val="00162B72"/>
    <w:rsid w:val="00162EDF"/>
    <w:rsid w:val="0016306A"/>
    <w:rsid w:val="001636DE"/>
    <w:rsid w:val="0016407A"/>
    <w:rsid w:val="001641A1"/>
    <w:rsid w:val="00164BC8"/>
    <w:rsid w:val="00164D4D"/>
    <w:rsid w:val="001650D5"/>
    <w:rsid w:val="00165CA7"/>
    <w:rsid w:val="001664B5"/>
    <w:rsid w:val="001665D0"/>
    <w:rsid w:val="00166611"/>
    <w:rsid w:val="00166A99"/>
    <w:rsid w:val="00166CEC"/>
    <w:rsid w:val="00166F7C"/>
    <w:rsid w:val="00167178"/>
    <w:rsid w:val="00167239"/>
    <w:rsid w:val="0016774F"/>
    <w:rsid w:val="00167BF8"/>
    <w:rsid w:val="00167C2B"/>
    <w:rsid w:val="00167CB6"/>
    <w:rsid w:val="00167DC9"/>
    <w:rsid w:val="00167E37"/>
    <w:rsid w:val="00170429"/>
    <w:rsid w:val="0017043E"/>
    <w:rsid w:val="001704DB"/>
    <w:rsid w:val="00171475"/>
    <w:rsid w:val="001717BC"/>
    <w:rsid w:val="001720F1"/>
    <w:rsid w:val="0017216E"/>
    <w:rsid w:val="00172231"/>
    <w:rsid w:val="0017230E"/>
    <w:rsid w:val="0017257F"/>
    <w:rsid w:val="001725BB"/>
    <w:rsid w:val="00172686"/>
    <w:rsid w:val="00172B20"/>
    <w:rsid w:val="00172C85"/>
    <w:rsid w:val="00172C87"/>
    <w:rsid w:val="00172F7D"/>
    <w:rsid w:val="00172F91"/>
    <w:rsid w:val="001731C6"/>
    <w:rsid w:val="0017334A"/>
    <w:rsid w:val="001739A9"/>
    <w:rsid w:val="00173B79"/>
    <w:rsid w:val="00173C5D"/>
    <w:rsid w:val="00174236"/>
    <w:rsid w:val="001742E5"/>
    <w:rsid w:val="00174F48"/>
    <w:rsid w:val="00174F53"/>
    <w:rsid w:val="00175281"/>
    <w:rsid w:val="00175530"/>
    <w:rsid w:val="001755B1"/>
    <w:rsid w:val="001755DE"/>
    <w:rsid w:val="00175660"/>
    <w:rsid w:val="00175BE8"/>
    <w:rsid w:val="00176497"/>
    <w:rsid w:val="0017649F"/>
    <w:rsid w:val="0017723A"/>
    <w:rsid w:val="001773E1"/>
    <w:rsid w:val="0017762D"/>
    <w:rsid w:val="00177FF7"/>
    <w:rsid w:val="001801E0"/>
    <w:rsid w:val="00180421"/>
    <w:rsid w:val="001805A4"/>
    <w:rsid w:val="00180C1E"/>
    <w:rsid w:val="00180CFE"/>
    <w:rsid w:val="001811EA"/>
    <w:rsid w:val="001814A3"/>
    <w:rsid w:val="001816E6"/>
    <w:rsid w:val="00181A3B"/>
    <w:rsid w:val="00181D7C"/>
    <w:rsid w:val="00182226"/>
    <w:rsid w:val="0018248E"/>
    <w:rsid w:val="00182C13"/>
    <w:rsid w:val="00182D5E"/>
    <w:rsid w:val="00183156"/>
    <w:rsid w:val="0018323F"/>
    <w:rsid w:val="00183415"/>
    <w:rsid w:val="001835FC"/>
    <w:rsid w:val="001838FB"/>
    <w:rsid w:val="00183ED0"/>
    <w:rsid w:val="001840BA"/>
    <w:rsid w:val="0018411D"/>
    <w:rsid w:val="0018433A"/>
    <w:rsid w:val="001849E4"/>
    <w:rsid w:val="00184DB6"/>
    <w:rsid w:val="00184EA7"/>
    <w:rsid w:val="00184FAF"/>
    <w:rsid w:val="00185129"/>
    <w:rsid w:val="001853D6"/>
    <w:rsid w:val="0018543C"/>
    <w:rsid w:val="001854E9"/>
    <w:rsid w:val="00185CD1"/>
    <w:rsid w:val="00185E4E"/>
    <w:rsid w:val="0018648C"/>
    <w:rsid w:val="001866DA"/>
    <w:rsid w:val="00186C31"/>
    <w:rsid w:val="00186D6B"/>
    <w:rsid w:val="00186FF3"/>
    <w:rsid w:val="00187092"/>
    <w:rsid w:val="001872E2"/>
    <w:rsid w:val="00187AFF"/>
    <w:rsid w:val="00187E4C"/>
    <w:rsid w:val="00187EBC"/>
    <w:rsid w:val="00190617"/>
    <w:rsid w:val="001907EC"/>
    <w:rsid w:val="00190A37"/>
    <w:rsid w:val="00190B2E"/>
    <w:rsid w:val="00190BA0"/>
    <w:rsid w:val="001915EB"/>
    <w:rsid w:val="001917E0"/>
    <w:rsid w:val="00191C71"/>
    <w:rsid w:val="00191F96"/>
    <w:rsid w:val="001920AB"/>
    <w:rsid w:val="00192984"/>
    <w:rsid w:val="00192DA7"/>
    <w:rsid w:val="00193246"/>
    <w:rsid w:val="001934AF"/>
    <w:rsid w:val="00193BD2"/>
    <w:rsid w:val="00193C10"/>
    <w:rsid w:val="00194155"/>
    <w:rsid w:val="00194590"/>
    <w:rsid w:val="00194744"/>
    <w:rsid w:val="0019498A"/>
    <w:rsid w:val="0019499F"/>
    <w:rsid w:val="00194F78"/>
    <w:rsid w:val="0019502F"/>
    <w:rsid w:val="0019514A"/>
    <w:rsid w:val="001956D1"/>
    <w:rsid w:val="001956DA"/>
    <w:rsid w:val="00195EDC"/>
    <w:rsid w:val="00195FF4"/>
    <w:rsid w:val="00196023"/>
    <w:rsid w:val="001962CC"/>
    <w:rsid w:val="001963E7"/>
    <w:rsid w:val="00196641"/>
    <w:rsid w:val="00196A69"/>
    <w:rsid w:val="001973F2"/>
    <w:rsid w:val="001A02C6"/>
    <w:rsid w:val="001A06E8"/>
    <w:rsid w:val="001A0861"/>
    <w:rsid w:val="001A09DF"/>
    <w:rsid w:val="001A0C2B"/>
    <w:rsid w:val="001A1857"/>
    <w:rsid w:val="001A1883"/>
    <w:rsid w:val="001A195F"/>
    <w:rsid w:val="001A19A4"/>
    <w:rsid w:val="001A1CAB"/>
    <w:rsid w:val="001A1E62"/>
    <w:rsid w:val="001A2062"/>
    <w:rsid w:val="001A2239"/>
    <w:rsid w:val="001A275C"/>
    <w:rsid w:val="001A2AFC"/>
    <w:rsid w:val="001A2EB0"/>
    <w:rsid w:val="001A3817"/>
    <w:rsid w:val="001A3D4D"/>
    <w:rsid w:val="001A429E"/>
    <w:rsid w:val="001A4749"/>
    <w:rsid w:val="001A4780"/>
    <w:rsid w:val="001A489B"/>
    <w:rsid w:val="001A4B15"/>
    <w:rsid w:val="001A4EBE"/>
    <w:rsid w:val="001A51F2"/>
    <w:rsid w:val="001A5237"/>
    <w:rsid w:val="001A5350"/>
    <w:rsid w:val="001A5538"/>
    <w:rsid w:val="001A5CF4"/>
    <w:rsid w:val="001A608B"/>
    <w:rsid w:val="001A608C"/>
    <w:rsid w:val="001A63DA"/>
    <w:rsid w:val="001A658D"/>
    <w:rsid w:val="001A7091"/>
    <w:rsid w:val="001A7186"/>
    <w:rsid w:val="001A7297"/>
    <w:rsid w:val="001A79C2"/>
    <w:rsid w:val="001A7CA5"/>
    <w:rsid w:val="001A7E89"/>
    <w:rsid w:val="001A7EA1"/>
    <w:rsid w:val="001A7FA9"/>
    <w:rsid w:val="001B0225"/>
    <w:rsid w:val="001B0293"/>
    <w:rsid w:val="001B03C7"/>
    <w:rsid w:val="001B09CD"/>
    <w:rsid w:val="001B0DE7"/>
    <w:rsid w:val="001B16E9"/>
    <w:rsid w:val="001B18DD"/>
    <w:rsid w:val="001B1BBD"/>
    <w:rsid w:val="001B1D2E"/>
    <w:rsid w:val="001B1E57"/>
    <w:rsid w:val="001B1FFC"/>
    <w:rsid w:val="001B20A6"/>
    <w:rsid w:val="001B24EA"/>
    <w:rsid w:val="001B25D6"/>
    <w:rsid w:val="001B30DF"/>
    <w:rsid w:val="001B3380"/>
    <w:rsid w:val="001B35C1"/>
    <w:rsid w:val="001B37EB"/>
    <w:rsid w:val="001B39B4"/>
    <w:rsid w:val="001B3AEB"/>
    <w:rsid w:val="001B3BD3"/>
    <w:rsid w:val="001B4141"/>
    <w:rsid w:val="001B414D"/>
    <w:rsid w:val="001B4177"/>
    <w:rsid w:val="001B48DC"/>
    <w:rsid w:val="001B4BF7"/>
    <w:rsid w:val="001B4F32"/>
    <w:rsid w:val="001B4FE7"/>
    <w:rsid w:val="001B50E3"/>
    <w:rsid w:val="001B523B"/>
    <w:rsid w:val="001B5245"/>
    <w:rsid w:val="001B533E"/>
    <w:rsid w:val="001B5BF4"/>
    <w:rsid w:val="001B6013"/>
    <w:rsid w:val="001B67B3"/>
    <w:rsid w:val="001B6902"/>
    <w:rsid w:val="001B69F7"/>
    <w:rsid w:val="001B6F80"/>
    <w:rsid w:val="001B719B"/>
    <w:rsid w:val="001B7888"/>
    <w:rsid w:val="001B7937"/>
    <w:rsid w:val="001B7BCB"/>
    <w:rsid w:val="001B7BE2"/>
    <w:rsid w:val="001B7F5F"/>
    <w:rsid w:val="001C00B0"/>
    <w:rsid w:val="001C00E1"/>
    <w:rsid w:val="001C01C6"/>
    <w:rsid w:val="001C0D4D"/>
    <w:rsid w:val="001C12A8"/>
    <w:rsid w:val="001C1417"/>
    <w:rsid w:val="001C1FE6"/>
    <w:rsid w:val="001C21AD"/>
    <w:rsid w:val="001C279A"/>
    <w:rsid w:val="001C2A04"/>
    <w:rsid w:val="001C2AE7"/>
    <w:rsid w:val="001C2E90"/>
    <w:rsid w:val="001C30BD"/>
    <w:rsid w:val="001C3120"/>
    <w:rsid w:val="001C38FC"/>
    <w:rsid w:val="001C3944"/>
    <w:rsid w:val="001C39C1"/>
    <w:rsid w:val="001C3ACF"/>
    <w:rsid w:val="001C3B71"/>
    <w:rsid w:val="001C3C90"/>
    <w:rsid w:val="001C3F4A"/>
    <w:rsid w:val="001C400D"/>
    <w:rsid w:val="001C4163"/>
    <w:rsid w:val="001C49F9"/>
    <w:rsid w:val="001C4CEE"/>
    <w:rsid w:val="001C54CE"/>
    <w:rsid w:val="001C5602"/>
    <w:rsid w:val="001C597A"/>
    <w:rsid w:val="001C61A0"/>
    <w:rsid w:val="001C64B4"/>
    <w:rsid w:val="001C65BD"/>
    <w:rsid w:val="001C67A4"/>
    <w:rsid w:val="001C69C8"/>
    <w:rsid w:val="001C6AAB"/>
    <w:rsid w:val="001C6C01"/>
    <w:rsid w:val="001C6D25"/>
    <w:rsid w:val="001C6E5F"/>
    <w:rsid w:val="001C709F"/>
    <w:rsid w:val="001C7761"/>
    <w:rsid w:val="001C77B2"/>
    <w:rsid w:val="001C77F5"/>
    <w:rsid w:val="001C787F"/>
    <w:rsid w:val="001C7C35"/>
    <w:rsid w:val="001C7CD9"/>
    <w:rsid w:val="001C7F5D"/>
    <w:rsid w:val="001D012C"/>
    <w:rsid w:val="001D021B"/>
    <w:rsid w:val="001D05C0"/>
    <w:rsid w:val="001D063F"/>
    <w:rsid w:val="001D0782"/>
    <w:rsid w:val="001D08F7"/>
    <w:rsid w:val="001D0D0B"/>
    <w:rsid w:val="001D0E1B"/>
    <w:rsid w:val="001D1376"/>
    <w:rsid w:val="001D1784"/>
    <w:rsid w:val="001D1843"/>
    <w:rsid w:val="001D1D10"/>
    <w:rsid w:val="001D2D3F"/>
    <w:rsid w:val="001D2F16"/>
    <w:rsid w:val="001D2F4A"/>
    <w:rsid w:val="001D3033"/>
    <w:rsid w:val="001D31A4"/>
    <w:rsid w:val="001D3219"/>
    <w:rsid w:val="001D3345"/>
    <w:rsid w:val="001D34AC"/>
    <w:rsid w:val="001D3529"/>
    <w:rsid w:val="001D38F5"/>
    <w:rsid w:val="001D3A3A"/>
    <w:rsid w:val="001D3B53"/>
    <w:rsid w:val="001D473E"/>
    <w:rsid w:val="001D5090"/>
    <w:rsid w:val="001D543D"/>
    <w:rsid w:val="001D5562"/>
    <w:rsid w:val="001D5BBD"/>
    <w:rsid w:val="001D60C3"/>
    <w:rsid w:val="001D65F6"/>
    <w:rsid w:val="001D6B1A"/>
    <w:rsid w:val="001D6B9A"/>
    <w:rsid w:val="001D6EB6"/>
    <w:rsid w:val="001D7607"/>
    <w:rsid w:val="001D76E5"/>
    <w:rsid w:val="001E0810"/>
    <w:rsid w:val="001E0BC9"/>
    <w:rsid w:val="001E0D9B"/>
    <w:rsid w:val="001E10F2"/>
    <w:rsid w:val="001E1120"/>
    <w:rsid w:val="001E15BC"/>
    <w:rsid w:val="001E1770"/>
    <w:rsid w:val="001E1D06"/>
    <w:rsid w:val="001E1D67"/>
    <w:rsid w:val="001E2330"/>
    <w:rsid w:val="001E24DA"/>
    <w:rsid w:val="001E2826"/>
    <w:rsid w:val="001E3292"/>
    <w:rsid w:val="001E3496"/>
    <w:rsid w:val="001E3615"/>
    <w:rsid w:val="001E3DE6"/>
    <w:rsid w:val="001E43C7"/>
    <w:rsid w:val="001E4B77"/>
    <w:rsid w:val="001E53D0"/>
    <w:rsid w:val="001E57A8"/>
    <w:rsid w:val="001E59C4"/>
    <w:rsid w:val="001E615C"/>
    <w:rsid w:val="001E61FC"/>
    <w:rsid w:val="001E6448"/>
    <w:rsid w:val="001E6646"/>
    <w:rsid w:val="001E6CF0"/>
    <w:rsid w:val="001E6CFF"/>
    <w:rsid w:val="001E735B"/>
    <w:rsid w:val="001E761D"/>
    <w:rsid w:val="001E7B64"/>
    <w:rsid w:val="001E7EA3"/>
    <w:rsid w:val="001F01B9"/>
    <w:rsid w:val="001F0282"/>
    <w:rsid w:val="001F048E"/>
    <w:rsid w:val="001F086B"/>
    <w:rsid w:val="001F092A"/>
    <w:rsid w:val="001F0A15"/>
    <w:rsid w:val="001F0A95"/>
    <w:rsid w:val="001F0AFF"/>
    <w:rsid w:val="001F0CF9"/>
    <w:rsid w:val="001F1856"/>
    <w:rsid w:val="001F18BC"/>
    <w:rsid w:val="001F19E6"/>
    <w:rsid w:val="001F2496"/>
    <w:rsid w:val="001F285E"/>
    <w:rsid w:val="001F2A2D"/>
    <w:rsid w:val="001F2A85"/>
    <w:rsid w:val="001F2BAB"/>
    <w:rsid w:val="001F2D78"/>
    <w:rsid w:val="001F3061"/>
    <w:rsid w:val="001F391D"/>
    <w:rsid w:val="001F399A"/>
    <w:rsid w:val="001F39F7"/>
    <w:rsid w:val="001F3CD6"/>
    <w:rsid w:val="001F425A"/>
    <w:rsid w:val="001F4BCB"/>
    <w:rsid w:val="001F4C9D"/>
    <w:rsid w:val="001F4E08"/>
    <w:rsid w:val="001F520B"/>
    <w:rsid w:val="001F53FC"/>
    <w:rsid w:val="001F5661"/>
    <w:rsid w:val="001F57BB"/>
    <w:rsid w:val="001F5BD5"/>
    <w:rsid w:val="001F5CBA"/>
    <w:rsid w:val="001F5E66"/>
    <w:rsid w:val="001F5EAD"/>
    <w:rsid w:val="001F62EA"/>
    <w:rsid w:val="001F6405"/>
    <w:rsid w:val="001F67BC"/>
    <w:rsid w:val="001F6E5D"/>
    <w:rsid w:val="001F703A"/>
    <w:rsid w:val="001F713F"/>
    <w:rsid w:val="001F71F3"/>
    <w:rsid w:val="001F7474"/>
    <w:rsid w:val="001F7650"/>
    <w:rsid w:val="001F7881"/>
    <w:rsid w:val="001F7A51"/>
    <w:rsid w:val="001F7DC9"/>
    <w:rsid w:val="001F7EA4"/>
    <w:rsid w:val="001F7F29"/>
    <w:rsid w:val="00200315"/>
    <w:rsid w:val="0020087B"/>
    <w:rsid w:val="00200932"/>
    <w:rsid w:val="00200C56"/>
    <w:rsid w:val="00200FA0"/>
    <w:rsid w:val="0020100E"/>
    <w:rsid w:val="00201848"/>
    <w:rsid w:val="00201DE1"/>
    <w:rsid w:val="00201F51"/>
    <w:rsid w:val="002020BC"/>
    <w:rsid w:val="0020235A"/>
    <w:rsid w:val="002027A5"/>
    <w:rsid w:val="00202B9F"/>
    <w:rsid w:val="00202D49"/>
    <w:rsid w:val="00202D73"/>
    <w:rsid w:val="002030EF"/>
    <w:rsid w:val="0020340A"/>
    <w:rsid w:val="00203456"/>
    <w:rsid w:val="002037CD"/>
    <w:rsid w:val="00203936"/>
    <w:rsid w:val="00203975"/>
    <w:rsid w:val="00203E32"/>
    <w:rsid w:val="0020406F"/>
    <w:rsid w:val="00204194"/>
    <w:rsid w:val="002044A4"/>
    <w:rsid w:val="00204518"/>
    <w:rsid w:val="002047FA"/>
    <w:rsid w:val="00204950"/>
    <w:rsid w:val="00204AE0"/>
    <w:rsid w:val="00204C8D"/>
    <w:rsid w:val="00204E9F"/>
    <w:rsid w:val="00205051"/>
    <w:rsid w:val="00205449"/>
    <w:rsid w:val="002054C7"/>
    <w:rsid w:val="00205607"/>
    <w:rsid w:val="00205671"/>
    <w:rsid w:val="002057C9"/>
    <w:rsid w:val="00205B4A"/>
    <w:rsid w:val="00205D52"/>
    <w:rsid w:val="00206145"/>
    <w:rsid w:val="0020620A"/>
    <w:rsid w:val="002069D8"/>
    <w:rsid w:val="00206B12"/>
    <w:rsid w:val="00206CFC"/>
    <w:rsid w:val="002071EB"/>
    <w:rsid w:val="0020724F"/>
    <w:rsid w:val="0020737C"/>
    <w:rsid w:val="00207448"/>
    <w:rsid w:val="002076F4"/>
    <w:rsid w:val="002077EE"/>
    <w:rsid w:val="00207AF9"/>
    <w:rsid w:val="00207B18"/>
    <w:rsid w:val="00207B65"/>
    <w:rsid w:val="00207F43"/>
    <w:rsid w:val="00210066"/>
    <w:rsid w:val="0021020C"/>
    <w:rsid w:val="0021029A"/>
    <w:rsid w:val="00210397"/>
    <w:rsid w:val="002104E9"/>
    <w:rsid w:val="00210549"/>
    <w:rsid w:val="00210831"/>
    <w:rsid w:val="00210908"/>
    <w:rsid w:val="00210954"/>
    <w:rsid w:val="00211134"/>
    <w:rsid w:val="002126CD"/>
    <w:rsid w:val="00212E2E"/>
    <w:rsid w:val="00212ECC"/>
    <w:rsid w:val="002132D2"/>
    <w:rsid w:val="0021330C"/>
    <w:rsid w:val="002137AA"/>
    <w:rsid w:val="00213E76"/>
    <w:rsid w:val="002143FA"/>
    <w:rsid w:val="002148CA"/>
    <w:rsid w:val="00214AA9"/>
    <w:rsid w:val="00214FE8"/>
    <w:rsid w:val="00215255"/>
    <w:rsid w:val="0021551F"/>
    <w:rsid w:val="0021593B"/>
    <w:rsid w:val="0021596B"/>
    <w:rsid w:val="00215C6E"/>
    <w:rsid w:val="00215D96"/>
    <w:rsid w:val="00216399"/>
    <w:rsid w:val="002167E9"/>
    <w:rsid w:val="00216972"/>
    <w:rsid w:val="002169FC"/>
    <w:rsid w:val="00216A8E"/>
    <w:rsid w:val="00216D03"/>
    <w:rsid w:val="00216E06"/>
    <w:rsid w:val="00217175"/>
    <w:rsid w:val="0021784F"/>
    <w:rsid w:val="00217A59"/>
    <w:rsid w:val="00217A6D"/>
    <w:rsid w:val="00217BC3"/>
    <w:rsid w:val="00217D22"/>
    <w:rsid w:val="00217E9F"/>
    <w:rsid w:val="00220039"/>
    <w:rsid w:val="0022023F"/>
    <w:rsid w:val="0022041B"/>
    <w:rsid w:val="00220AAF"/>
    <w:rsid w:val="00220C12"/>
    <w:rsid w:val="00220C8F"/>
    <w:rsid w:val="002213B3"/>
    <w:rsid w:val="00221571"/>
    <w:rsid w:val="0022175B"/>
    <w:rsid w:val="00221A6B"/>
    <w:rsid w:val="0022269C"/>
    <w:rsid w:val="0022279E"/>
    <w:rsid w:val="002230B1"/>
    <w:rsid w:val="002230FB"/>
    <w:rsid w:val="00223296"/>
    <w:rsid w:val="00223886"/>
    <w:rsid w:val="00224034"/>
    <w:rsid w:val="002241BB"/>
    <w:rsid w:val="00225052"/>
    <w:rsid w:val="002255BB"/>
    <w:rsid w:val="00225B3B"/>
    <w:rsid w:val="00225B9F"/>
    <w:rsid w:val="00225D81"/>
    <w:rsid w:val="00225E67"/>
    <w:rsid w:val="00225FF7"/>
    <w:rsid w:val="00226039"/>
    <w:rsid w:val="002260D3"/>
    <w:rsid w:val="00226408"/>
    <w:rsid w:val="002266E5"/>
    <w:rsid w:val="002269A7"/>
    <w:rsid w:val="00226DC1"/>
    <w:rsid w:val="00226E54"/>
    <w:rsid w:val="0022706D"/>
    <w:rsid w:val="00227082"/>
    <w:rsid w:val="0022712E"/>
    <w:rsid w:val="002272AC"/>
    <w:rsid w:val="0022741A"/>
    <w:rsid w:val="002276A3"/>
    <w:rsid w:val="00227B70"/>
    <w:rsid w:val="00227BD0"/>
    <w:rsid w:val="00227BE0"/>
    <w:rsid w:val="00227F13"/>
    <w:rsid w:val="00230062"/>
    <w:rsid w:val="00230A9B"/>
    <w:rsid w:val="00230F05"/>
    <w:rsid w:val="00231073"/>
    <w:rsid w:val="002313F9"/>
    <w:rsid w:val="0023164C"/>
    <w:rsid w:val="002316DB"/>
    <w:rsid w:val="0023176E"/>
    <w:rsid w:val="00231E9D"/>
    <w:rsid w:val="00232707"/>
    <w:rsid w:val="00232882"/>
    <w:rsid w:val="00232BCB"/>
    <w:rsid w:val="002332B1"/>
    <w:rsid w:val="00233528"/>
    <w:rsid w:val="00233568"/>
    <w:rsid w:val="00233C85"/>
    <w:rsid w:val="00233E7A"/>
    <w:rsid w:val="00234C6A"/>
    <w:rsid w:val="0023523B"/>
    <w:rsid w:val="00235957"/>
    <w:rsid w:val="002359BE"/>
    <w:rsid w:val="00235AC1"/>
    <w:rsid w:val="00235C0E"/>
    <w:rsid w:val="00237580"/>
    <w:rsid w:val="002377C0"/>
    <w:rsid w:val="00237984"/>
    <w:rsid w:val="00237DCF"/>
    <w:rsid w:val="00240130"/>
    <w:rsid w:val="002412C3"/>
    <w:rsid w:val="0024171D"/>
    <w:rsid w:val="002424A6"/>
    <w:rsid w:val="0024257B"/>
    <w:rsid w:val="0024264E"/>
    <w:rsid w:val="00242754"/>
    <w:rsid w:val="00242CF4"/>
    <w:rsid w:val="00242ECE"/>
    <w:rsid w:val="002430F2"/>
    <w:rsid w:val="0024349B"/>
    <w:rsid w:val="002435CE"/>
    <w:rsid w:val="00243D2B"/>
    <w:rsid w:val="00243F95"/>
    <w:rsid w:val="0024422B"/>
    <w:rsid w:val="00244472"/>
    <w:rsid w:val="00244663"/>
    <w:rsid w:val="002446A8"/>
    <w:rsid w:val="00244822"/>
    <w:rsid w:val="00244AAE"/>
    <w:rsid w:val="00244AED"/>
    <w:rsid w:val="00244B18"/>
    <w:rsid w:val="00244D1F"/>
    <w:rsid w:val="00244E5A"/>
    <w:rsid w:val="00244FB9"/>
    <w:rsid w:val="0024598C"/>
    <w:rsid w:val="00245B9E"/>
    <w:rsid w:val="00245BBA"/>
    <w:rsid w:val="00245D3A"/>
    <w:rsid w:val="00245DC2"/>
    <w:rsid w:val="00245F44"/>
    <w:rsid w:val="002468FB"/>
    <w:rsid w:val="00246F68"/>
    <w:rsid w:val="00246F9D"/>
    <w:rsid w:val="002473B4"/>
    <w:rsid w:val="002473C2"/>
    <w:rsid w:val="00247F1A"/>
    <w:rsid w:val="00247F31"/>
    <w:rsid w:val="002504E5"/>
    <w:rsid w:val="0025118D"/>
    <w:rsid w:val="00251873"/>
    <w:rsid w:val="00251DC3"/>
    <w:rsid w:val="00251FDB"/>
    <w:rsid w:val="00252497"/>
    <w:rsid w:val="00252597"/>
    <w:rsid w:val="0025289E"/>
    <w:rsid w:val="00252EF4"/>
    <w:rsid w:val="0025346A"/>
    <w:rsid w:val="002535E7"/>
    <w:rsid w:val="00253675"/>
    <w:rsid w:val="0025385B"/>
    <w:rsid w:val="00254161"/>
    <w:rsid w:val="0025467E"/>
    <w:rsid w:val="002549D4"/>
    <w:rsid w:val="00254A17"/>
    <w:rsid w:val="00254B04"/>
    <w:rsid w:val="00254FEA"/>
    <w:rsid w:val="00255095"/>
    <w:rsid w:val="00255237"/>
    <w:rsid w:val="00255447"/>
    <w:rsid w:val="0025558A"/>
    <w:rsid w:val="002558C9"/>
    <w:rsid w:val="00255CBD"/>
    <w:rsid w:val="002561DB"/>
    <w:rsid w:val="00256576"/>
    <w:rsid w:val="00256811"/>
    <w:rsid w:val="002569DC"/>
    <w:rsid w:val="00256D18"/>
    <w:rsid w:val="00256EB8"/>
    <w:rsid w:val="002578FF"/>
    <w:rsid w:val="00257A95"/>
    <w:rsid w:val="002605B5"/>
    <w:rsid w:val="002605B9"/>
    <w:rsid w:val="002606E7"/>
    <w:rsid w:val="00260734"/>
    <w:rsid w:val="00260787"/>
    <w:rsid w:val="002607A5"/>
    <w:rsid w:val="00260C28"/>
    <w:rsid w:val="00260D54"/>
    <w:rsid w:val="00260E43"/>
    <w:rsid w:val="00261806"/>
    <w:rsid w:val="002619AB"/>
    <w:rsid w:val="00261C44"/>
    <w:rsid w:val="00261E6A"/>
    <w:rsid w:val="00262977"/>
    <w:rsid w:val="00262D91"/>
    <w:rsid w:val="002632A5"/>
    <w:rsid w:val="00263437"/>
    <w:rsid w:val="002634ED"/>
    <w:rsid w:val="0026359A"/>
    <w:rsid w:val="002635A7"/>
    <w:rsid w:val="00263633"/>
    <w:rsid w:val="00264314"/>
    <w:rsid w:val="002647A9"/>
    <w:rsid w:val="00264862"/>
    <w:rsid w:val="00264BBE"/>
    <w:rsid w:val="00264F00"/>
    <w:rsid w:val="00264F0F"/>
    <w:rsid w:val="00265205"/>
    <w:rsid w:val="002655C7"/>
    <w:rsid w:val="00265D57"/>
    <w:rsid w:val="00265F30"/>
    <w:rsid w:val="0026652A"/>
    <w:rsid w:val="0026655F"/>
    <w:rsid w:val="002666AC"/>
    <w:rsid w:val="00266B79"/>
    <w:rsid w:val="0026700A"/>
    <w:rsid w:val="00267061"/>
    <w:rsid w:val="002673CA"/>
    <w:rsid w:val="002675BB"/>
    <w:rsid w:val="002676CB"/>
    <w:rsid w:val="00270484"/>
    <w:rsid w:val="0027090A"/>
    <w:rsid w:val="00270A1C"/>
    <w:rsid w:val="00270BC7"/>
    <w:rsid w:val="00270D8F"/>
    <w:rsid w:val="00270F42"/>
    <w:rsid w:val="0027108C"/>
    <w:rsid w:val="00271101"/>
    <w:rsid w:val="0027137F"/>
    <w:rsid w:val="002714F7"/>
    <w:rsid w:val="0027176D"/>
    <w:rsid w:val="00271822"/>
    <w:rsid w:val="00271E96"/>
    <w:rsid w:val="0027212F"/>
    <w:rsid w:val="0027237D"/>
    <w:rsid w:val="002724D1"/>
    <w:rsid w:val="00272972"/>
    <w:rsid w:val="00272A8F"/>
    <w:rsid w:val="00272C5D"/>
    <w:rsid w:val="00272D3F"/>
    <w:rsid w:val="00272D90"/>
    <w:rsid w:val="00272EA9"/>
    <w:rsid w:val="00272F44"/>
    <w:rsid w:val="00272F6D"/>
    <w:rsid w:val="002731B5"/>
    <w:rsid w:val="00273226"/>
    <w:rsid w:val="0027358F"/>
    <w:rsid w:val="00273DE6"/>
    <w:rsid w:val="00274084"/>
    <w:rsid w:val="00274347"/>
    <w:rsid w:val="0027438D"/>
    <w:rsid w:val="00274424"/>
    <w:rsid w:val="002747EE"/>
    <w:rsid w:val="0027496C"/>
    <w:rsid w:val="00274C84"/>
    <w:rsid w:val="0027546A"/>
    <w:rsid w:val="00275646"/>
    <w:rsid w:val="00275CC3"/>
    <w:rsid w:val="00275FC6"/>
    <w:rsid w:val="00276203"/>
    <w:rsid w:val="00276717"/>
    <w:rsid w:val="002774D3"/>
    <w:rsid w:val="002775BA"/>
    <w:rsid w:val="002803C9"/>
    <w:rsid w:val="00280761"/>
    <w:rsid w:val="00280889"/>
    <w:rsid w:val="00280D5D"/>
    <w:rsid w:val="00280F06"/>
    <w:rsid w:val="00280FC6"/>
    <w:rsid w:val="002812AD"/>
    <w:rsid w:val="00281353"/>
    <w:rsid w:val="00281592"/>
    <w:rsid w:val="00281809"/>
    <w:rsid w:val="00281B19"/>
    <w:rsid w:val="00281D4E"/>
    <w:rsid w:val="00281DDF"/>
    <w:rsid w:val="00281E93"/>
    <w:rsid w:val="00281FE4"/>
    <w:rsid w:val="00282013"/>
    <w:rsid w:val="0028220F"/>
    <w:rsid w:val="0028255E"/>
    <w:rsid w:val="0028283D"/>
    <w:rsid w:val="00282B37"/>
    <w:rsid w:val="00282BAF"/>
    <w:rsid w:val="00282FEE"/>
    <w:rsid w:val="00283076"/>
    <w:rsid w:val="00283329"/>
    <w:rsid w:val="002833C1"/>
    <w:rsid w:val="00283C36"/>
    <w:rsid w:val="00283CB6"/>
    <w:rsid w:val="00283D67"/>
    <w:rsid w:val="00283E98"/>
    <w:rsid w:val="002840E6"/>
    <w:rsid w:val="002846FE"/>
    <w:rsid w:val="00284DEC"/>
    <w:rsid w:val="00284E8F"/>
    <w:rsid w:val="00285014"/>
    <w:rsid w:val="002851B8"/>
    <w:rsid w:val="00285207"/>
    <w:rsid w:val="00285700"/>
    <w:rsid w:val="00285771"/>
    <w:rsid w:val="002858B7"/>
    <w:rsid w:val="00285D68"/>
    <w:rsid w:val="00285E65"/>
    <w:rsid w:val="00285EF1"/>
    <w:rsid w:val="00286228"/>
    <w:rsid w:val="002862DA"/>
    <w:rsid w:val="0028637A"/>
    <w:rsid w:val="00286437"/>
    <w:rsid w:val="002866AD"/>
    <w:rsid w:val="00287362"/>
    <w:rsid w:val="0028744E"/>
    <w:rsid w:val="002875D6"/>
    <w:rsid w:val="002879F2"/>
    <w:rsid w:val="00287A74"/>
    <w:rsid w:val="00287D22"/>
    <w:rsid w:val="00287F30"/>
    <w:rsid w:val="00290080"/>
    <w:rsid w:val="002900B3"/>
    <w:rsid w:val="0029014F"/>
    <w:rsid w:val="00290322"/>
    <w:rsid w:val="002907B8"/>
    <w:rsid w:val="00290A37"/>
    <w:rsid w:val="00290C9C"/>
    <w:rsid w:val="002911CC"/>
    <w:rsid w:val="00291395"/>
    <w:rsid w:val="00291990"/>
    <w:rsid w:val="002919D2"/>
    <w:rsid w:val="00291ABA"/>
    <w:rsid w:val="00291BCD"/>
    <w:rsid w:val="00291E4A"/>
    <w:rsid w:val="00292082"/>
    <w:rsid w:val="00292470"/>
    <w:rsid w:val="00292A0D"/>
    <w:rsid w:val="00292AD0"/>
    <w:rsid w:val="00292B7A"/>
    <w:rsid w:val="00292D6C"/>
    <w:rsid w:val="00292D7D"/>
    <w:rsid w:val="00293109"/>
    <w:rsid w:val="00293659"/>
    <w:rsid w:val="0029382D"/>
    <w:rsid w:val="00294667"/>
    <w:rsid w:val="002946D4"/>
    <w:rsid w:val="0029479D"/>
    <w:rsid w:val="00294867"/>
    <w:rsid w:val="00294C0B"/>
    <w:rsid w:val="00294FB2"/>
    <w:rsid w:val="00294FBC"/>
    <w:rsid w:val="00295034"/>
    <w:rsid w:val="00295224"/>
    <w:rsid w:val="00295296"/>
    <w:rsid w:val="0029542A"/>
    <w:rsid w:val="00295784"/>
    <w:rsid w:val="00295C21"/>
    <w:rsid w:val="00295D72"/>
    <w:rsid w:val="00295F2A"/>
    <w:rsid w:val="00296207"/>
    <w:rsid w:val="00296263"/>
    <w:rsid w:val="00296276"/>
    <w:rsid w:val="0029656B"/>
    <w:rsid w:val="00296821"/>
    <w:rsid w:val="0029699C"/>
    <w:rsid w:val="00296DBE"/>
    <w:rsid w:val="002975AF"/>
    <w:rsid w:val="0029769F"/>
    <w:rsid w:val="002A0262"/>
    <w:rsid w:val="002A0746"/>
    <w:rsid w:val="002A0A90"/>
    <w:rsid w:val="002A0AE4"/>
    <w:rsid w:val="002A0FF4"/>
    <w:rsid w:val="002A10AD"/>
    <w:rsid w:val="002A1B7D"/>
    <w:rsid w:val="002A1EF3"/>
    <w:rsid w:val="002A2555"/>
    <w:rsid w:val="002A26E0"/>
    <w:rsid w:val="002A2AEC"/>
    <w:rsid w:val="002A2BE8"/>
    <w:rsid w:val="002A2C5C"/>
    <w:rsid w:val="002A328D"/>
    <w:rsid w:val="002A3373"/>
    <w:rsid w:val="002A34C6"/>
    <w:rsid w:val="002A3FDD"/>
    <w:rsid w:val="002A42E7"/>
    <w:rsid w:val="002A495E"/>
    <w:rsid w:val="002A49A5"/>
    <w:rsid w:val="002A5327"/>
    <w:rsid w:val="002A543A"/>
    <w:rsid w:val="002A5476"/>
    <w:rsid w:val="002A548F"/>
    <w:rsid w:val="002A56CA"/>
    <w:rsid w:val="002A5C53"/>
    <w:rsid w:val="002A5CCF"/>
    <w:rsid w:val="002A5F16"/>
    <w:rsid w:val="002A60C6"/>
    <w:rsid w:val="002A61E6"/>
    <w:rsid w:val="002A6203"/>
    <w:rsid w:val="002A6567"/>
    <w:rsid w:val="002A66FD"/>
    <w:rsid w:val="002A68A6"/>
    <w:rsid w:val="002A6A9F"/>
    <w:rsid w:val="002A6CE0"/>
    <w:rsid w:val="002A6D6E"/>
    <w:rsid w:val="002A733A"/>
    <w:rsid w:val="002A7623"/>
    <w:rsid w:val="002A7BAA"/>
    <w:rsid w:val="002A7F12"/>
    <w:rsid w:val="002B04F8"/>
    <w:rsid w:val="002B06DF"/>
    <w:rsid w:val="002B07DD"/>
    <w:rsid w:val="002B0B1A"/>
    <w:rsid w:val="002B0BCA"/>
    <w:rsid w:val="002B0CB0"/>
    <w:rsid w:val="002B0DFA"/>
    <w:rsid w:val="002B145F"/>
    <w:rsid w:val="002B19C2"/>
    <w:rsid w:val="002B1B3E"/>
    <w:rsid w:val="002B1B8B"/>
    <w:rsid w:val="002B1CAE"/>
    <w:rsid w:val="002B1D3A"/>
    <w:rsid w:val="002B1EC8"/>
    <w:rsid w:val="002B1F44"/>
    <w:rsid w:val="002B1FD5"/>
    <w:rsid w:val="002B22CF"/>
    <w:rsid w:val="002B2CE3"/>
    <w:rsid w:val="002B2EFC"/>
    <w:rsid w:val="002B3265"/>
    <w:rsid w:val="002B35E0"/>
    <w:rsid w:val="002B37E5"/>
    <w:rsid w:val="002B3AE5"/>
    <w:rsid w:val="002B3DDD"/>
    <w:rsid w:val="002B4215"/>
    <w:rsid w:val="002B4927"/>
    <w:rsid w:val="002B4B3D"/>
    <w:rsid w:val="002B4B8E"/>
    <w:rsid w:val="002B4FDA"/>
    <w:rsid w:val="002B50BE"/>
    <w:rsid w:val="002B51E8"/>
    <w:rsid w:val="002B53DF"/>
    <w:rsid w:val="002B55AB"/>
    <w:rsid w:val="002B5753"/>
    <w:rsid w:val="002B5BF9"/>
    <w:rsid w:val="002B5E7D"/>
    <w:rsid w:val="002B60A1"/>
    <w:rsid w:val="002B65D2"/>
    <w:rsid w:val="002B669E"/>
    <w:rsid w:val="002B671B"/>
    <w:rsid w:val="002B6788"/>
    <w:rsid w:val="002B6CB8"/>
    <w:rsid w:val="002B74E0"/>
    <w:rsid w:val="002B7790"/>
    <w:rsid w:val="002B78E5"/>
    <w:rsid w:val="002B7996"/>
    <w:rsid w:val="002C0094"/>
    <w:rsid w:val="002C0780"/>
    <w:rsid w:val="002C0805"/>
    <w:rsid w:val="002C09E4"/>
    <w:rsid w:val="002C103A"/>
    <w:rsid w:val="002C16ED"/>
    <w:rsid w:val="002C178B"/>
    <w:rsid w:val="002C198B"/>
    <w:rsid w:val="002C1C2F"/>
    <w:rsid w:val="002C1D29"/>
    <w:rsid w:val="002C1DC3"/>
    <w:rsid w:val="002C20C3"/>
    <w:rsid w:val="002C28A8"/>
    <w:rsid w:val="002C2AC0"/>
    <w:rsid w:val="002C2B70"/>
    <w:rsid w:val="002C2E26"/>
    <w:rsid w:val="002C3875"/>
    <w:rsid w:val="002C3BA7"/>
    <w:rsid w:val="002C3E70"/>
    <w:rsid w:val="002C4186"/>
    <w:rsid w:val="002C49B1"/>
    <w:rsid w:val="002C4CCB"/>
    <w:rsid w:val="002C4D02"/>
    <w:rsid w:val="002C50FC"/>
    <w:rsid w:val="002C5584"/>
    <w:rsid w:val="002C58EE"/>
    <w:rsid w:val="002C5D61"/>
    <w:rsid w:val="002C6213"/>
    <w:rsid w:val="002C67A4"/>
    <w:rsid w:val="002C6C60"/>
    <w:rsid w:val="002C6F1B"/>
    <w:rsid w:val="002C7144"/>
    <w:rsid w:val="002C716B"/>
    <w:rsid w:val="002C7204"/>
    <w:rsid w:val="002C7371"/>
    <w:rsid w:val="002C759B"/>
    <w:rsid w:val="002C7A5B"/>
    <w:rsid w:val="002D0042"/>
    <w:rsid w:val="002D0094"/>
    <w:rsid w:val="002D00D1"/>
    <w:rsid w:val="002D04DE"/>
    <w:rsid w:val="002D0722"/>
    <w:rsid w:val="002D0B25"/>
    <w:rsid w:val="002D0DDC"/>
    <w:rsid w:val="002D0EA2"/>
    <w:rsid w:val="002D1233"/>
    <w:rsid w:val="002D1353"/>
    <w:rsid w:val="002D1ECE"/>
    <w:rsid w:val="002D1FF3"/>
    <w:rsid w:val="002D2173"/>
    <w:rsid w:val="002D2244"/>
    <w:rsid w:val="002D22B6"/>
    <w:rsid w:val="002D2750"/>
    <w:rsid w:val="002D279D"/>
    <w:rsid w:val="002D2AA7"/>
    <w:rsid w:val="002D2B12"/>
    <w:rsid w:val="002D2CBF"/>
    <w:rsid w:val="002D2E0B"/>
    <w:rsid w:val="002D2F1D"/>
    <w:rsid w:val="002D368E"/>
    <w:rsid w:val="002D3846"/>
    <w:rsid w:val="002D39F7"/>
    <w:rsid w:val="002D3B36"/>
    <w:rsid w:val="002D3C54"/>
    <w:rsid w:val="002D3D3C"/>
    <w:rsid w:val="002D3F36"/>
    <w:rsid w:val="002D4450"/>
    <w:rsid w:val="002D45D4"/>
    <w:rsid w:val="002D47E1"/>
    <w:rsid w:val="002D4F10"/>
    <w:rsid w:val="002D50E6"/>
    <w:rsid w:val="002D52B6"/>
    <w:rsid w:val="002D5429"/>
    <w:rsid w:val="002D54E0"/>
    <w:rsid w:val="002D5690"/>
    <w:rsid w:val="002D619E"/>
    <w:rsid w:val="002D623B"/>
    <w:rsid w:val="002D6316"/>
    <w:rsid w:val="002D65C8"/>
    <w:rsid w:val="002D6CD2"/>
    <w:rsid w:val="002D6E55"/>
    <w:rsid w:val="002D71E0"/>
    <w:rsid w:val="002D76F6"/>
    <w:rsid w:val="002D7702"/>
    <w:rsid w:val="002D7803"/>
    <w:rsid w:val="002D7CFD"/>
    <w:rsid w:val="002E0035"/>
    <w:rsid w:val="002E0315"/>
    <w:rsid w:val="002E0402"/>
    <w:rsid w:val="002E055A"/>
    <w:rsid w:val="002E05DE"/>
    <w:rsid w:val="002E0E22"/>
    <w:rsid w:val="002E0F98"/>
    <w:rsid w:val="002E1107"/>
    <w:rsid w:val="002E180B"/>
    <w:rsid w:val="002E19D0"/>
    <w:rsid w:val="002E1B72"/>
    <w:rsid w:val="002E1C09"/>
    <w:rsid w:val="002E1D4A"/>
    <w:rsid w:val="002E2052"/>
    <w:rsid w:val="002E239A"/>
    <w:rsid w:val="002E3039"/>
    <w:rsid w:val="002E38CF"/>
    <w:rsid w:val="002E3C33"/>
    <w:rsid w:val="002E3D65"/>
    <w:rsid w:val="002E3FFF"/>
    <w:rsid w:val="002E40CA"/>
    <w:rsid w:val="002E4A6D"/>
    <w:rsid w:val="002E4C8B"/>
    <w:rsid w:val="002E4C91"/>
    <w:rsid w:val="002E4D8C"/>
    <w:rsid w:val="002E50C0"/>
    <w:rsid w:val="002E5134"/>
    <w:rsid w:val="002E5526"/>
    <w:rsid w:val="002E57CA"/>
    <w:rsid w:val="002E6157"/>
    <w:rsid w:val="002E6752"/>
    <w:rsid w:val="002E68ED"/>
    <w:rsid w:val="002E69E0"/>
    <w:rsid w:val="002E6BF7"/>
    <w:rsid w:val="002E707F"/>
    <w:rsid w:val="002E738D"/>
    <w:rsid w:val="002E7415"/>
    <w:rsid w:val="002E7451"/>
    <w:rsid w:val="002E7734"/>
    <w:rsid w:val="002E7935"/>
    <w:rsid w:val="002E7F60"/>
    <w:rsid w:val="002F0CBF"/>
    <w:rsid w:val="002F0F99"/>
    <w:rsid w:val="002F1897"/>
    <w:rsid w:val="002F237C"/>
    <w:rsid w:val="002F2720"/>
    <w:rsid w:val="002F2BB9"/>
    <w:rsid w:val="002F3024"/>
    <w:rsid w:val="002F3203"/>
    <w:rsid w:val="002F3225"/>
    <w:rsid w:val="002F33F5"/>
    <w:rsid w:val="002F3648"/>
    <w:rsid w:val="002F3667"/>
    <w:rsid w:val="002F36F1"/>
    <w:rsid w:val="002F3823"/>
    <w:rsid w:val="002F386B"/>
    <w:rsid w:val="002F3C19"/>
    <w:rsid w:val="002F3C4F"/>
    <w:rsid w:val="002F4102"/>
    <w:rsid w:val="002F42E4"/>
    <w:rsid w:val="002F4DC4"/>
    <w:rsid w:val="002F595E"/>
    <w:rsid w:val="002F5BFF"/>
    <w:rsid w:val="002F5E3F"/>
    <w:rsid w:val="002F5E4C"/>
    <w:rsid w:val="002F6210"/>
    <w:rsid w:val="002F6379"/>
    <w:rsid w:val="002F6435"/>
    <w:rsid w:val="002F6799"/>
    <w:rsid w:val="002F6959"/>
    <w:rsid w:val="002F6B6C"/>
    <w:rsid w:val="002F6E17"/>
    <w:rsid w:val="002F6F35"/>
    <w:rsid w:val="002F79B0"/>
    <w:rsid w:val="002F7A34"/>
    <w:rsid w:val="002F7D74"/>
    <w:rsid w:val="00300218"/>
    <w:rsid w:val="003002D5"/>
    <w:rsid w:val="0030083A"/>
    <w:rsid w:val="00300F9C"/>
    <w:rsid w:val="003011BA"/>
    <w:rsid w:val="00301329"/>
    <w:rsid w:val="003013E8"/>
    <w:rsid w:val="00301742"/>
    <w:rsid w:val="00301782"/>
    <w:rsid w:val="003017DD"/>
    <w:rsid w:val="003027F2"/>
    <w:rsid w:val="00302962"/>
    <w:rsid w:val="00302D16"/>
    <w:rsid w:val="00303141"/>
    <w:rsid w:val="00303A01"/>
    <w:rsid w:val="00303A32"/>
    <w:rsid w:val="00303B6B"/>
    <w:rsid w:val="0030400E"/>
    <w:rsid w:val="003045DC"/>
    <w:rsid w:val="003046FD"/>
    <w:rsid w:val="003047EE"/>
    <w:rsid w:val="00304CEB"/>
    <w:rsid w:val="00304EBB"/>
    <w:rsid w:val="003052F3"/>
    <w:rsid w:val="0030588A"/>
    <w:rsid w:val="0030589E"/>
    <w:rsid w:val="0030615C"/>
    <w:rsid w:val="00306222"/>
    <w:rsid w:val="00306393"/>
    <w:rsid w:val="00306B8C"/>
    <w:rsid w:val="00306C22"/>
    <w:rsid w:val="00306DBD"/>
    <w:rsid w:val="003070FC"/>
    <w:rsid w:val="00307425"/>
    <w:rsid w:val="0030772E"/>
    <w:rsid w:val="003078CC"/>
    <w:rsid w:val="00307972"/>
    <w:rsid w:val="00307C76"/>
    <w:rsid w:val="003101C7"/>
    <w:rsid w:val="003104F2"/>
    <w:rsid w:val="00310AEE"/>
    <w:rsid w:val="00310DD5"/>
    <w:rsid w:val="00310F17"/>
    <w:rsid w:val="00310F1A"/>
    <w:rsid w:val="00311327"/>
    <w:rsid w:val="003116AF"/>
    <w:rsid w:val="00311B41"/>
    <w:rsid w:val="00311E0C"/>
    <w:rsid w:val="00312063"/>
    <w:rsid w:val="00312214"/>
    <w:rsid w:val="00312240"/>
    <w:rsid w:val="00312448"/>
    <w:rsid w:val="00312602"/>
    <w:rsid w:val="00312CD4"/>
    <w:rsid w:val="003132CC"/>
    <w:rsid w:val="0031332A"/>
    <w:rsid w:val="003134C4"/>
    <w:rsid w:val="003135E9"/>
    <w:rsid w:val="0031391C"/>
    <w:rsid w:val="0031472E"/>
    <w:rsid w:val="003149D9"/>
    <w:rsid w:val="0031502F"/>
    <w:rsid w:val="00315BB5"/>
    <w:rsid w:val="00316061"/>
    <w:rsid w:val="00316556"/>
    <w:rsid w:val="0031680F"/>
    <w:rsid w:val="00316A09"/>
    <w:rsid w:val="00316BDA"/>
    <w:rsid w:val="00316E19"/>
    <w:rsid w:val="00317271"/>
    <w:rsid w:val="00317D05"/>
    <w:rsid w:val="003204A5"/>
    <w:rsid w:val="00320546"/>
    <w:rsid w:val="00321345"/>
    <w:rsid w:val="003213EE"/>
    <w:rsid w:val="00321452"/>
    <w:rsid w:val="00321533"/>
    <w:rsid w:val="00321673"/>
    <w:rsid w:val="00321694"/>
    <w:rsid w:val="00321EAF"/>
    <w:rsid w:val="00321EB9"/>
    <w:rsid w:val="0032208C"/>
    <w:rsid w:val="0032220C"/>
    <w:rsid w:val="003222ED"/>
    <w:rsid w:val="003224A5"/>
    <w:rsid w:val="003225AC"/>
    <w:rsid w:val="0032276D"/>
    <w:rsid w:val="00322917"/>
    <w:rsid w:val="00322A74"/>
    <w:rsid w:val="00322B9E"/>
    <w:rsid w:val="00322E9C"/>
    <w:rsid w:val="003231FA"/>
    <w:rsid w:val="00323409"/>
    <w:rsid w:val="003234D9"/>
    <w:rsid w:val="003238D5"/>
    <w:rsid w:val="00323D49"/>
    <w:rsid w:val="003243CE"/>
    <w:rsid w:val="003245F0"/>
    <w:rsid w:val="00324BA1"/>
    <w:rsid w:val="00324BBA"/>
    <w:rsid w:val="003254F8"/>
    <w:rsid w:val="0032563C"/>
    <w:rsid w:val="00325763"/>
    <w:rsid w:val="003258A4"/>
    <w:rsid w:val="00325A75"/>
    <w:rsid w:val="00325B50"/>
    <w:rsid w:val="00325DD2"/>
    <w:rsid w:val="00326227"/>
    <w:rsid w:val="00326579"/>
    <w:rsid w:val="00326B46"/>
    <w:rsid w:val="00326D6A"/>
    <w:rsid w:val="00326EB3"/>
    <w:rsid w:val="00327010"/>
    <w:rsid w:val="00327052"/>
    <w:rsid w:val="00327402"/>
    <w:rsid w:val="00327704"/>
    <w:rsid w:val="00327AAE"/>
    <w:rsid w:val="00327BF7"/>
    <w:rsid w:val="00327D6B"/>
    <w:rsid w:val="00327F12"/>
    <w:rsid w:val="00327FF6"/>
    <w:rsid w:val="0033010B"/>
    <w:rsid w:val="00330484"/>
    <w:rsid w:val="0033066E"/>
    <w:rsid w:val="00330C74"/>
    <w:rsid w:val="00331204"/>
    <w:rsid w:val="00331417"/>
    <w:rsid w:val="003317A9"/>
    <w:rsid w:val="00331FE1"/>
    <w:rsid w:val="00332150"/>
    <w:rsid w:val="003321DD"/>
    <w:rsid w:val="00332EA8"/>
    <w:rsid w:val="00333768"/>
    <w:rsid w:val="00333BB8"/>
    <w:rsid w:val="0033416A"/>
    <w:rsid w:val="0033428D"/>
    <w:rsid w:val="003345CC"/>
    <w:rsid w:val="00334C24"/>
    <w:rsid w:val="00334E19"/>
    <w:rsid w:val="00334E85"/>
    <w:rsid w:val="00334EC0"/>
    <w:rsid w:val="003350F9"/>
    <w:rsid w:val="0033513B"/>
    <w:rsid w:val="00335328"/>
    <w:rsid w:val="00335765"/>
    <w:rsid w:val="003359D7"/>
    <w:rsid w:val="00335D81"/>
    <w:rsid w:val="00335DC3"/>
    <w:rsid w:val="00336413"/>
    <w:rsid w:val="00336749"/>
    <w:rsid w:val="0033677F"/>
    <w:rsid w:val="00336C02"/>
    <w:rsid w:val="00336CBA"/>
    <w:rsid w:val="00336FB3"/>
    <w:rsid w:val="00337E65"/>
    <w:rsid w:val="00340085"/>
    <w:rsid w:val="0034016F"/>
    <w:rsid w:val="00340578"/>
    <w:rsid w:val="003407A7"/>
    <w:rsid w:val="00340E3E"/>
    <w:rsid w:val="00340E54"/>
    <w:rsid w:val="003411E8"/>
    <w:rsid w:val="00341279"/>
    <w:rsid w:val="00341627"/>
    <w:rsid w:val="00341738"/>
    <w:rsid w:val="00341A21"/>
    <w:rsid w:val="00341AA3"/>
    <w:rsid w:val="00341FE6"/>
    <w:rsid w:val="003422B4"/>
    <w:rsid w:val="003426DD"/>
    <w:rsid w:val="00343288"/>
    <w:rsid w:val="003432E7"/>
    <w:rsid w:val="003439DF"/>
    <w:rsid w:val="00343BB9"/>
    <w:rsid w:val="00343C02"/>
    <w:rsid w:val="00343DE0"/>
    <w:rsid w:val="003447EB"/>
    <w:rsid w:val="00344BCF"/>
    <w:rsid w:val="003453D2"/>
    <w:rsid w:val="003454D6"/>
    <w:rsid w:val="00345957"/>
    <w:rsid w:val="00345A76"/>
    <w:rsid w:val="00346075"/>
    <w:rsid w:val="0034617F"/>
    <w:rsid w:val="003466E2"/>
    <w:rsid w:val="00346800"/>
    <w:rsid w:val="00346820"/>
    <w:rsid w:val="0034754E"/>
    <w:rsid w:val="003477FD"/>
    <w:rsid w:val="003478DE"/>
    <w:rsid w:val="00347D7F"/>
    <w:rsid w:val="00347E7F"/>
    <w:rsid w:val="00350039"/>
    <w:rsid w:val="00350269"/>
    <w:rsid w:val="0035131A"/>
    <w:rsid w:val="00351EB9"/>
    <w:rsid w:val="00352434"/>
    <w:rsid w:val="0035260A"/>
    <w:rsid w:val="0035292F"/>
    <w:rsid w:val="00352B37"/>
    <w:rsid w:val="00352C76"/>
    <w:rsid w:val="003533D9"/>
    <w:rsid w:val="0035366A"/>
    <w:rsid w:val="0035398F"/>
    <w:rsid w:val="00353C40"/>
    <w:rsid w:val="00353D94"/>
    <w:rsid w:val="00354334"/>
    <w:rsid w:val="003546EA"/>
    <w:rsid w:val="00354A8E"/>
    <w:rsid w:val="00354D20"/>
    <w:rsid w:val="00354F2F"/>
    <w:rsid w:val="0035526F"/>
    <w:rsid w:val="003558D0"/>
    <w:rsid w:val="00355C2D"/>
    <w:rsid w:val="00355F02"/>
    <w:rsid w:val="0035605C"/>
    <w:rsid w:val="003565D5"/>
    <w:rsid w:val="00356656"/>
    <w:rsid w:val="003567E0"/>
    <w:rsid w:val="00356928"/>
    <w:rsid w:val="00356C7B"/>
    <w:rsid w:val="0035722D"/>
    <w:rsid w:val="00357667"/>
    <w:rsid w:val="003577F1"/>
    <w:rsid w:val="00357869"/>
    <w:rsid w:val="00357BA6"/>
    <w:rsid w:val="003601E9"/>
    <w:rsid w:val="0036146B"/>
    <w:rsid w:val="003615A5"/>
    <w:rsid w:val="00361E84"/>
    <w:rsid w:val="00361F6F"/>
    <w:rsid w:val="003621D0"/>
    <w:rsid w:val="00362456"/>
    <w:rsid w:val="00362A4C"/>
    <w:rsid w:val="00362A65"/>
    <w:rsid w:val="00362BC1"/>
    <w:rsid w:val="00362CF7"/>
    <w:rsid w:val="0036334E"/>
    <w:rsid w:val="003637BF"/>
    <w:rsid w:val="003638C2"/>
    <w:rsid w:val="00363D1A"/>
    <w:rsid w:val="00363E55"/>
    <w:rsid w:val="00363E95"/>
    <w:rsid w:val="00363F98"/>
    <w:rsid w:val="00364009"/>
    <w:rsid w:val="00364179"/>
    <w:rsid w:val="00364D28"/>
    <w:rsid w:val="0036511F"/>
    <w:rsid w:val="00365160"/>
    <w:rsid w:val="003651B1"/>
    <w:rsid w:val="003659F9"/>
    <w:rsid w:val="00366B58"/>
    <w:rsid w:val="00366F95"/>
    <w:rsid w:val="0036700A"/>
    <w:rsid w:val="00367461"/>
    <w:rsid w:val="00367AE7"/>
    <w:rsid w:val="00367BA3"/>
    <w:rsid w:val="00367BC1"/>
    <w:rsid w:val="00367D10"/>
    <w:rsid w:val="00367D29"/>
    <w:rsid w:val="00367D45"/>
    <w:rsid w:val="00367F67"/>
    <w:rsid w:val="00367F83"/>
    <w:rsid w:val="003700AD"/>
    <w:rsid w:val="0037030D"/>
    <w:rsid w:val="003705F3"/>
    <w:rsid w:val="0037080E"/>
    <w:rsid w:val="0037085C"/>
    <w:rsid w:val="00371883"/>
    <w:rsid w:val="00371918"/>
    <w:rsid w:val="00371EE8"/>
    <w:rsid w:val="00371FA7"/>
    <w:rsid w:val="0037229B"/>
    <w:rsid w:val="00372A14"/>
    <w:rsid w:val="00372B81"/>
    <w:rsid w:val="00372C42"/>
    <w:rsid w:val="00372D57"/>
    <w:rsid w:val="00372E56"/>
    <w:rsid w:val="00372E9C"/>
    <w:rsid w:val="00373173"/>
    <w:rsid w:val="0037350F"/>
    <w:rsid w:val="00373660"/>
    <w:rsid w:val="003739FF"/>
    <w:rsid w:val="00373B65"/>
    <w:rsid w:val="00373CDF"/>
    <w:rsid w:val="0037412E"/>
    <w:rsid w:val="00374139"/>
    <w:rsid w:val="0037423C"/>
    <w:rsid w:val="003746EA"/>
    <w:rsid w:val="0037477B"/>
    <w:rsid w:val="0037484A"/>
    <w:rsid w:val="00374A13"/>
    <w:rsid w:val="00374D15"/>
    <w:rsid w:val="00375346"/>
    <w:rsid w:val="00375385"/>
    <w:rsid w:val="00375959"/>
    <w:rsid w:val="00375AC7"/>
    <w:rsid w:val="00375AF1"/>
    <w:rsid w:val="00375ED9"/>
    <w:rsid w:val="003763B2"/>
    <w:rsid w:val="0037658A"/>
    <w:rsid w:val="003767BE"/>
    <w:rsid w:val="003767FA"/>
    <w:rsid w:val="0037693D"/>
    <w:rsid w:val="00376B75"/>
    <w:rsid w:val="00377030"/>
    <w:rsid w:val="003772DC"/>
    <w:rsid w:val="0037738D"/>
    <w:rsid w:val="00377883"/>
    <w:rsid w:val="00377CA3"/>
    <w:rsid w:val="003802A5"/>
    <w:rsid w:val="003803BB"/>
    <w:rsid w:val="00380476"/>
    <w:rsid w:val="0038067B"/>
    <w:rsid w:val="003806A4"/>
    <w:rsid w:val="00380751"/>
    <w:rsid w:val="00380848"/>
    <w:rsid w:val="00381022"/>
    <w:rsid w:val="00381392"/>
    <w:rsid w:val="00382648"/>
    <w:rsid w:val="0038265B"/>
    <w:rsid w:val="0038277E"/>
    <w:rsid w:val="00382AEA"/>
    <w:rsid w:val="003833E5"/>
    <w:rsid w:val="00383BDD"/>
    <w:rsid w:val="00384118"/>
    <w:rsid w:val="0038421E"/>
    <w:rsid w:val="003845D0"/>
    <w:rsid w:val="00384D09"/>
    <w:rsid w:val="0038501C"/>
    <w:rsid w:val="00385077"/>
    <w:rsid w:val="00385289"/>
    <w:rsid w:val="00385458"/>
    <w:rsid w:val="00385736"/>
    <w:rsid w:val="00385B28"/>
    <w:rsid w:val="00385D15"/>
    <w:rsid w:val="00385D49"/>
    <w:rsid w:val="00385D93"/>
    <w:rsid w:val="00385F80"/>
    <w:rsid w:val="003860C6"/>
    <w:rsid w:val="003861DD"/>
    <w:rsid w:val="00386ED4"/>
    <w:rsid w:val="0038700D"/>
    <w:rsid w:val="003872DE"/>
    <w:rsid w:val="0038736B"/>
    <w:rsid w:val="00387982"/>
    <w:rsid w:val="003879ED"/>
    <w:rsid w:val="00387AFF"/>
    <w:rsid w:val="00387E76"/>
    <w:rsid w:val="00387F71"/>
    <w:rsid w:val="00387FA2"/>
    <w:rsid w:val="00390125"/>
    <w:rsid w:val="00390288"/>
    <w:rsid w:val="00390302"/>
    <w:rsid w:val="0039030A"/>
    <w:rsid w:val="00390519"/>
    <w:rsid w:val="00391036"/>
    <w:rsid w:val="003912BA"/>
    <w:rsid w:val="003918E1"/>
    <w:rsid w:val="00391F0F"/>
    <w:rsid w:val="00391FA3"/>
    <w:rsid w:val="003926F7"/>
    <w:rsid w:val="00392E4D"/>
    <w:rsid w:val="00393741"/>
    <w:rsid w:val="003937B1"/>
    <w:rsid w:val="00393A65"/>
    <w:rsid w:val="00394249"/>
    <w:rsid w:val="0039429C"/>
    <w:rsid w:val="003942F9"/>
    <w:rsid w:val="00394359"/>
    <w:rsid w:val="00394699"/>
    <w:rsid w:val="003946DE"/>
    <w:rsid w:val="00394968"/>
    <w:rsid w:val="00394B32"/>
    <w:rsid w:val="00394F1D"/>
    <w:rsid w:val="003956DA"/>
    <w:rsid w:val="003959D9"/>
    <w:rsid w:val="00395EA2"/>
    <w:rsid w:val="003961F2"/>
    <w:rsid w:val="003965C1"/>
    <w:rsid w:val="003969EF"/>
    <w:rsid w:val="00397169"/>
    <w:rsid w:val="0039754D"/>
    <w:rsid w:val="003975AC"/>
    <w:rsid w:val="003977F3"/>
    <w:rsid w:val="003A013F"/>
    <w:rsid w:val="003A049E"/>
    <w:rsid w:val="003A08EB"/>
    <w:rsid w:val="003A0AA8"/>
    <w:rsid w:val="003A0AC6"/>
    <w:rsid w:val="003A15DB"/>
    <w:rsid w:val="003A1660"/>
    <w:rsid w:val="003A1749"/>
    <w:rsid w:val="003A1C65"/>
    <w:rsid w:val="003A1FD7"/>
    <w:rsid w:val="003A253A"/>
    <w:rsid w:val="003A2691"/>
    <w:rsid w:val="003A28B0"/>
    <w:rsid w:val="003A28FC"/>
    <w:rsid w:val="003A2C3C"/>
    <w:rsid w:val="003A2FDC"/>
    <w:rsid w:val="003A337A"/>
    <w:rsid w:val="003A34E0"/>
    <w:rsid w:val="003A3722"/>
    <w:rsid w:val="003A39AB"/>
    <w:rsid w:val="003A3A0E"/>
    <w:rsid w:val="003A436B"/>
    <w:rsid w:val="003A43E2"/>
    <w:rsid w:val="003A472D"/>
    <w:rsid w:val="003A47EC"/>
    <w:rsid w:val="003A53C3"/>
    <w:rsid w:val="003A56D3"/>
    <w:rsid w:val="003A58DA"/>
    <w:rsid w:val="003A5935"/>
    <w:rsid w:val="003A5EBE"/>
    <w:rsid w:val="003A60C3"/>
    <w:rsid w:val="003A6D26"/>
    <w:rsid w:val="003A6E2F"/>
    <w:rsid w:val="003A70FC"/>
    <w:rsid w:val="003A72D8"/>
    <w:rsid w:val="003A7682"/>
    <w:rsid w:val="003A7808"/>
    <w:rsid w:val="003A780A"/>
    <w:rsid w:val="003A7A56"/>
    <w:rsid w:val="003A7C70"/>
    <w:rsid w:val="003B01A6"/>
    <w:rsid w:val="003B03D8"/>
    <w:rsid w:val="003B061F"/>
    <w:rsid w:val="003B06DC"/>
    <w:rsid w:val="003B072E"/>
    <w:rsid w:val="003B0853"/>
    <w:rsid w:val="003B0BEB"/>
    <w:rsid w:val="003B159E"/>
    <w:rsid w:val="003B187D"/>
    <w:rsid w:val="003B1906"/>
    <w:rsid w:val="003B1DD6"/>
    <w:rsid w:val="003B2093"/>
    <w:rsid w:val="003B2322"/>
    <w:rsid w:val="003B2409"/>
    <w:rsid w:val="003B2EC7"/>
    <w:rsid w:val="003B3072"/>
    <w:rsid w:val="003B315D"/>
    <w:rsid w:val="003B34DC"/>
    <w:rsid w:val="003B379F"/>
    <w:rsid w:val="003B3DCF"/>
    <w:rsid w:val="003B4143"/>
    <w:rsid w:val="003B4474"/>
    <w:rsid w:val="003B47FA"/>
    <w:rsid w:val="003B4B25"/>
    <w:rsid w:val="003B4B74"/>
    <w:rsid w:val="003B4FB5"/>
    <w:rsid w:val="003B528A"/>
    <w:rsid w:val="003B53D9"/>
    <w:rsid w:val="003B5657"/>
    <w:rsid w:val="003B57FF"/>
    <w:rsid w:val="003B5989"/>
    <w:rsid w:val="003B5A47"/>
    <w:rsid w:val="003B5AF7"/>
    <w:rsid w:val="003B5F26"/>
    <w:rsid w:val="003B6BD7"/>
    <w:rsid w:val="003B6C58"/>
    <w:rsid w:val="003B7296"/>
    <w:rsid w:val="003B74D1"/>
    <w:rsid w:val="003B75C5"/>
    <w:rsid w:val="003B79D5"/>
    <w:rsid w:val="003B7A71"/>
    <w:rsid w:val="003B7E64"/>
    <w:rsid w:val="003C06B7"/>
    <w:rsid w:val="003C071B"/>
    <w:rsid w:val="003C10A8"/>
    <w:rsid w:val="003C129A"/>
    <w:rsid w:val="003C156E"/>
    <w:rsid w:val="003C1F7B"/>
    <w:rsid w:val="003C260D"/>
    <w:rsid w:val="003C29B4"/>
    <w:rsid w:val="003C30F7"/>
    <w:rsid w:val="003C325C"/>
    <w:rsid w:val="003C345C"/>
    <w:rsid w:val="003C35E5"/>
    <w:rsid w:val="003C37F8"/>
    <w:rsid w:val="003C3910"/>
    <w:rsid w:val="003C3A00"/>
    <w:rsid w:val="003C3E42"/>
    <w:rsid w:val="003C3E91"/>
    <w:rsid w:val="003C46E7"/>
    <w:rsid w:val="003C4956"/>
    <w:rsid w:val="003C4B02"/>
    <w:rsid w:val="003C4F5A"/>
    <w:rsid w:val="003C51B1"/>
    <w:rsid w:val="003C520E"/>
    <w:rsid w:val="003C539D"/>
    <w:rsid w:val="003C53FD"/>
    <w:rsid w:val="003C543D"/>
    <w:rsid w:val="003C566A"/>
    <w:rsid w:val="003C5D2A"/>
    <w:rsid w:val="003C5F48"/>
    <w:rsid w:val="003C62CA"/>
    <w:rsid w:val="003C6AE5"/>
    <w:rsid w:val="003C6E41"/>
    <w:rsid w:val="003C6ED0"/>
    <w:rsid w:val="003C6F02"/>
    <w:rsid w:val="003C7146"/>
    <w:rsid w:val="003C7AEF"/>
    <w:rsid w:val="003C7D6B"/>
    <w:rsid w:val="003C7EC2"/>
    <w:rsid w:val="003C7F79"/>
    <w:rsid w:val="003D005D"/>
    <w:rsid w:val="003D02C0"/>
    <w:rsid w:val="003D09FB"/>
    <w:rsid w:val="003D0C18"/>
    <w:rsid w:val="003D0DBA"/>
    <w:rsid w:val="003D1017"/>
    <w:rsid w:val="003D17BF"/>
    <w:rsid w:val="003D1F77"/>
    <w:rsid w:val="003D1FCA"/>
    <w:rsid w:val="003D2C5D"/>
    <w:rsid w:val="003D2D0B"/>
    <w:rsid w:val="003D2E7A"/>
    <w:rsid w:val="003D2EB1"/>
    <w:rsid w:val="003D3034"/>
    <w:rsid w:val="003D320B"/>
    <w:rsid w:val="003D3419"/>
    <w:rsid w:val="003D3EA6"/>
    <w:rsid w:val="003D3F1B"/>
    <w:rsid w:val="003D408F"/>
    <w:rsid w:val="003D4B0F"/>
    <w:rsid w:val="003D519C"/>
    <w:rsid w:val="003D520F"/>
    <w:rsid w:val="003D59A4"/>
    <w:rsid w:val="003D5DA7"/>
    <w:rsid w:val="003D5E07"/>
    <w:rsid w:val="003D600B"/>
    <w:rsid w:val="003D60EF"/>
    <w:rsid w:val="003D62F4"/>
    <w:rsid w:val="003D65BB"/>
    <w:rsid w:val="003D67B1"/>
    <w:rsid w:val="003D67D1"/>
    <w:rsid w:val="003D6811"/>
    <w:rsid w:val="003D6851"/>
    <w:rsid w:val="003D6ED2"/>
    <w:rsid w:val="003D6F5C"/>
    <w:rsid w:val="003D71FD"/>
    <w:rsid w:val="003D729A"/>
    <w:rsid w:val="003D7306"/>
    <w:rsid w:val="003D750E"/>
    <w:rsid w:val="003D7938"/>
    <w:rsid w:val="003E00BD"/>
    <w:rsid w:val="003E014B"/>
    <w:rsid w:val="003E01AB"/>
    <w:rsid w:val="003E0283"/>
    <w:rsid w:val="003E05FB"/>
    <w:rsid w:val="003E0DE4"/>
    <w:rsid w:val="003E107C"/>
    <w:rsid w:val="003E140A"/>
    <w:rsid w:val="003E1AB5"/>
    <w:rsid w:val="003E1BC8"/>
    <w:rsid w:val="003E1E00"/>
    <w:rsid w:val="003E1E0C"/>
    <w:rsid w:val="003E246C"/>
    <w:rsid w:val="003E24C0"/>
    <w:rsid w:val="003E279E"/>
    <w:rsid w:val="003E2B4F"/>
    <w:rsid w:val="003E2B8E"/>
    <w:rsid w:val="003E2C46"/>
    <w:rsid w:val="003E3159"/>
    <w:rsid w:val="003E33B4"/>
    <w:rsid w:val="003E375B"/>
    <w:rsid w:val="003E3781"/>
    <w:rsid w:val="003E3904"/>
    <w:rsid w:val="003E39FC"/>
    <w:rsid w:val="003E3A7F"/>
    <w:rsid w:val="003E3BFB"/>
    <w:rsid w:val="003E3C4B"/>
    <w:rsid w:val="003E3F40"/>
    <w:rsid w:val="003E3F5F"/>
    <w:rsid w:val="003E3F6D"/>
    <w:rsid w:val="003E46C0"/>
    <w:rsid w:val="003E473D"/>
    <w:rsid w:val="003E4940"/>
    <w:rsid w:val="003E4945"/>
    <w:rsid w:val="003E4A28"/>
    <w:rsid w:val="003E4CFF"/>
    <w:rsid w:val="003E4EA4"/>
    <w:rsid w:val="003E5317"/>
    <w:rsid w:val="003E5863"/>
    <w:rsid w:val="003E5D50"/>
    <w:rsid w:val="003E5FD7"/>
    <w:rsid w:val="003E6554"/>
    <w:rsid w:val="003E6F0A"/>
    <w:rsid w:val="003E724A"/>
    <w:rsid w:val="003E74B5"/>
    <w:rsid w:val="003E7D6C"/>
    <w:rsid w:val="003E7F7D"/>
    <w:rsid w:val="003F0046"/>
    <w:rsid w:val="003F0174"/>
    <w:rsid w:val="003F0488"/>
    <w:rsid w:val="003F05A8"/>
    <w:rsid w:val="003F05AE"/>
    <w:rsid w:val="003F0A0C"/>
    <w:rsid w:val="003F0A39"/>
    <w:rsid w:val="003F11A0"/>
    <w:rsid w:val="003F1637"/>
    <w:rsid w:val="003F1D4F"/>
    <w:rsid w:val="003F25AF"/>
    <w:rsid w:val="003F25C0"/>
    <w:rsid w:val="003F2700"/>
    <w:rsid w:val="003F29D4"/>
    <w:rsid w:val="003F2AB3"/>
    <w:rsid w:val="003F2D38"/>
    <w:rsid w:val="003F307C"/>
    <w:rsid w:val="003F313B"/>
    <w:rsid w:val="003F3480"/>
    <w:rsid w:val="003F3AFE"/>
    <w:rsid w:val="003F3D6E"/>
    <w:rsid w:val="003F420C"/>
    <w:rsid w:val="003F4696"/>
    <w:rsid w:val="003F4820"/>
    <w:rsid w:val="003F48B0"/>
    <w:rsid w:val="003F4FCA"/>
    <w:rsid w:val="003F50EF"/>
    <w:rsid w:val="003F5122"/>
    <w:rsid w:val="003F52F4"/>
    <w:rsid w:val="003F5AF4"/>
    <w:rsid w:val="003F611C"/>
    <w:rsid w:val="003F6280"/>
    <w:rsid w:val="003F62D8"/>
    <w:rsid w:val="003F6512"/>
    <w:rsid w:val="003F6C26"/>
    <w:rsid w:val="003F6C77"/>
    <w:rsid w:val="003F6D35"/>
    <w:rsid w:val="003F731D"/>
    <w:rsid w:val="003F7416"/>
    <w:rsid w:val="003F7819"/>
    <w:rsid w:val="004007DF"/>
    <w:rsid w:val="0040089B"/>
    <w:rsid w:val="00401C92"/>
    <w:rsid w:val="00401EB7"/>
    <w:rsid w:val="004023CA"/>
    <w:rsid w:val="0040248E"/>
    <w:rsid w:val="004024DC"/>
    <w:rsid w:val="004029B0"/>
    <w:rsid w:val="00402BAA"/>
    <w:rsid w:val="00402DFB"/>
    <w:rsid w:val="004030E8"/>
    <w:rsid w:val="004032B1"/>
    <w:rsid w:val="00403845"/>
    <w:rsid w:val="00403BAF"/>
    <w:rsid w:val="00403BCF"/>
    <w:rsid w:val="004041F2"/>
    <w:rsid w:val="0040438F"/>
    <w:rsid w:val="0040440C"/>
    <w:rsid w:val="004044D1"/>
    <w:rsid w:val="00405053"/>
    <w:rsid w:val="00405476"/>
    <w:rsid w:val="00405868"/>
    <w:rsid w:val="00405B9A"/>
    <w:rsid w:val="00405B9E"/>
    <w:rsid w:val="00406354"/>
    <w:rsid w:val="0040646E"/>
    <w:rsid w:val="00406758"/>
    <w:rsid w:val="0040704E"/>
    <w:rsid w:val="0040710B"/>
    <w:rsid w:val="00407188"/>
    <w:rsid w:val="00407885"/>
    <w:rsid w:val="00407CEF"/>
    <w:rsid w:val="00407F1D"/>
    <w:rsid w:val="00410090"/>
    <w:rsid w:val="004103E2"/>
    <w:rsid w:val="0041068A"/>
    <w:rsid w:val="004109D6"/>
    <w:rsid w:val="00410BB6"/>
    <w:rsid w:val="00410D22"/>
    <w:rsid w:val="004115AB"/>
    <w:rsid w:val="00411B78"/>
    <w:rsid w:val="00411DE3"/>
    <w:rsid w:val="0041211A"/>
    <w:rsid w:val="00412185"/>
    <w:rsid w:val="004122FF"/>
    <w:rsid w:val="004129FF"/>
    <w:rsid w:val="00412C83"/>
    <w:rsid w:val="00412D0C"/>
    <w:rsid w:val="00412DD1"/>
    <w:rsid w:val="00412DFA"/>
    <w:rsid w:val="00412EFA"/>
    <w:rsid w:val="00413992"/>
    <w:rsid w:val="00413A0A"/>
    <w:rsid w:val="00413C1A"/>
    <w:rsid w:val="00413C95"/>
    <w:rsid w:val="00413F67"/>
    <w:rsid w:val="004141E7"/>
    <w:rsid w:val="004148A9"/>
    <w:rsid w:val="004148B4"/>
    <w:rsid w:val="00414903"/>
    <w:rsid w:val="00414C28"/>
    <w:rsid w:val="004150A2"/>
    <w:rsid w:val="00415C63"/>
    <w:rsid w:val="004161EC"/>
    <w:rsid w:val="00416594"/>
    <w:rsid w:val="0041666B"/>
    <w:rsid w:val="0041678D"/>
    <w:rsid w:val="00417055"/>
    <w:rsid w:val="00417418"/>
    <w:rsid w:val="00417A3F"/>
    <w:rsid w:val="00417B70"/>
    <w:rsid w:val="00417CF6"/>
    <w:rsid w:val="00417DC4"/>
    <w:rsid w:val="0042078E"/>
    <w:rsid w:val="00420820"/>
    <w:rsid w:val="00420AC4"/>
    <w:rsid w:val="00420B6C"/>
    <w:rsid w:val="00420D27"/>
    <w:rsid w:val="00420ED2"/>
    <w:rsid w:val="004213F9"/>
    <w:rsid w:val="0042166C"/>
    <w:rsid w:val="004216B5"/>
    <w:rsid w:val="00421B37"/>
    <w:rsid w:val="00421B68"/>
    <w:rsid w:val="00421D30"/>
    <w:rsid w:val="004224F7"/>
    <w:rsid w:val="0042256E"/>
    <w:rsid w:val="00422B1C"/>
    <w:rsid w:val="00422C35"/>
    <w:rsid w:val="004230C8"/>
    <w:rsid w:val="004235FA"/>
    <w:rsid w:val="00423D02"/>
    <w:rsid w:val="00423D06"/>
    <w:rsid w:val="0042416C"/>
    <w:rsid w:val="0042494D"/>
    <w:rsid w:val="00424B4A"/>
    <w:rsid w:val="00424C07"/>
    <w:rsid w:val="004257DE"/>
    <w:rsid w:val="00425ADC"/>
    <w:rsid w:val="00425D4A"/>
    <w:rsid w:val="004265E9"/>
    <w:rsid w:val="00426B1B"/>
    <w:rsid w:val="00426BE8"/>
    <w:rsid w:val="00427016"/>
    <w:rsid w:val="004272AD"/>
    <w:rsid w:val="004274DD"/>
    <w:rsid w:val="00427659"/>
    <w:rsid w:val="004279C1"/>
    <w:rsid w:val="00427A3A"/>
    <w:rsid w:val="00430323"/>
    <w:rsid w:val="00430AFB"/>
    <w:rsid w:val="004310BF"/>
    <w:rsid w:val="004313B3"/>
    <w:rsid w:val="00431625"/>
    <w:rsid w:val="00431653"/>
    <w:rsid w:val="00431FC8"/>
    <w:rsid w:val="00432368"/>
    <w:rsid w:val="004324CB"/>
    <w:rsid w:val="00432B5E"/>
    <w:rsid w:val="00433587"/>
    <w:rsid w:val="004336DF"/>
    <w:rsid w:val="00433E1D"/>
    <w:rsid w:val="00433EF4"/>
    <w:rsid w:val="004341BE"/>
    <w:rsid w:val="0043438A"/>
    <w:rsid w:val="00434554"/>
    <w:rsid w:val="004345C6"/>
    <w:rsid w:val="004349F8"/>
    <w:rsid w:val="00434ABA"/>
    <w:rsid w:val="00434F22"/>
    <w:rsid w:val="0043505E"/>
    <w:rsid w:val="0043516E"/>
    <w:rsid w:val="004357A3"/>
    <w:rsid w:val="004359A5"/>
    <w:rsid w:val="00435E89"/>
    <w:rsid w:val="00436CD7"/>
    <w:rsid w:val="00437AEA"/>
    <w:rsid w:val="00437C29"/>
    <w:rsid w:val="00437DB9"/>
    <w:rsid w:val="00437F2E"/>
    <w:rsid w:val="00440260"/>
    <w:rsid w:val="004402A4"/>
    <w:rsid w:val="004413B8"/>
    <w:rsid w:val="004421AF"/>
    <w:rsid w:val="004426E0"/>
    <w:rsid w:val="00442A99"/>
    <w:rsid w:val="00442C9D"/>
    <w:rsid w:val="00442EDF"/>
    <w:rsid w:val="00442F61"/>
    <w:rsid w:val="00442FF6"/>
    <w:rsid w:val="00443150"/>
    <w:rsid w:val="00443241"/>
    <w:rsid w:val="004433FC"/>
    <w:rsid w:val="0044342E"/>
    <w:rsid w:val="00443559"/>
    <w:rsid w:val="00443DA1"/>
    <w:rsid w:val="00443EC8"/>
    <w:rsid w:val="0044435F"/>
    <w:rsid w:val="00444C80"/>
    <w:rsid w:val="00444DE6"/>
    <w:rsid w:val="00445155"/>
    <w:rsid w:val="00445553"/>
    <w:rsid w:val="004458A6"/>
    <w:rsid w:val="00445E60"/>
    <w:rsid w:val="00446219"/>
    <w:rsid w:val="00446323"/>
    <w:rsid w:val="0044632D"/>
    <w:rsid w:val="004465BC"/>
    <w:rsid w:val="0044664D"/>
    <w:rsid w:val="00447069"/>
    <w:rsid w:val="00447073"/>
    <w:rsid w:val="004470B9"/>
    <w:rsid w:val="004472BE"/>
    <w:rsid w:val="004472E5"/>
    <w:rsid w:val="00447318"/>
    <w:rsid w:val="004474BC"/>
    <w:rsid w:val="004474F7"/>
    <w:rsid w:val="004475E2"/>
    <w:rsid w:val="00447C19"/>
    <w:rsid w:val="0045004F"/>
    <w:rsid w:val="004500B2"/>
    <w:rsid w:val="00450A51"/>
    <w:rsid w:val="00450ABA"/>
    <w:rsid w:val="00450DF2"/>
    <w:rsid w:val="004511FB"/>
    <w:rsid w:val="0045121B"/>
    <w:rsid w:val="004515BC"/>
    <w:rsid w:val="0045177A"/>
    <w:rsid w:val="004519AE"/>
    <w:rsid w:val="00451DD4"/>
    <w:rsid w:val="00451EDF"/>
    <w:rsid w:val="00451EE2"/>
    <w:rsid w:val="00452049"/>
    <w:rsid w:val="0045223F"/>
    <w:rsid w:val="004526EA"/>
    <w:rsid w:val="004528CD"/>
    <w:rsid w:val="00453360"/>
    <w:rsid w:val="00453924"/>
    <w:rsid w:val="00453FA0"/>
    <w:rsid w:val="0045410B"/>
    <w:rsid w:val="0045496B"/>
    <w:rsid w:val="00454B10"/>
    <w:rsid w:val="00454B82"/>
    <w:rsid w:val="00454ECD"/>
    <w:rsid w:val="00455DC0"/>
    <w:rsid w:val="00456017"/>
    <w:rsid w:val="0045651D"/>
    <w:rsid w:val="004565F8"/>
    <w:rsid w:val="00456D07"/>
    <w:rsid w:val="00456FD6"/>
    <w:rsid w:val="00457017"/>
    <w:rsid w:val="004571A3"/>
    <w:rsid w:val="004572FA"/>
    <w:rsid w:val="004603C7"/>
    <w:rsid w:val="004605E6"/>
    <w:rsid w:val="004606A7"/>
    <w:rsid w:val="00460AC5"/>
    <w:rsid w:val="00461282"/>
    <w:rsid w:val="0046137B"/>
    <w:rsid w:val="0046145E"/>
    <w:rsid w:val="00461856"/>
    <w:rsid w:val="00461977"/>
    <w:rsid w:val="00461D6E"/>
    <w:rsid w:val="00462102"/>
    <w:rsid w:val="004621D1"/>
    <w:rsid w:val="004622C6"/>
    <w:rsid w:val="004626BA"/>
    <w:rsid w:val="00462DC9"/>
    <w:rsid w:val="00462F37"/>
    <w:rsid w:val="00463546"/>
    <w:rsid w:val="0046393C"/>
    <w:rsid w:val="00463AD0"/>
    <w:rsid w:val="00463B37"/>
    <w:rsid w:val="00463D28"/>
    <w:rsid w:val="00463ED5"/>
    <w:rsid w:val="00463F4D"/>
    <w:rsid w:val="004642A3"/>
    <w:rsid w:val="00464346"/>
    <w:rsid w:val="004646D6"/>
    <w:rsid w:val="004648DA"/>
    <w:rsid w:val="004649DF"/>
    <w:rsid w:val="00464D9C"/>
    <w:rsid w:val="00464E06"/>
    <w:rsid w:val="004650CD"/>
    <w:rsid w:val="00465633"/>
    <w:rsid w:val="00465681"/>
    <w:rsid w:val="004656E1"/>
    <w:rsid w:val="004657E9"/>
    <w:rsid w:val="00465931"/>
    <w:rsid w:val="00465C24"/>
    <w:rsid w:val="00465CC9"/>
    <w:rsid w:val="00465E71"/>
    <w:rsid w:val="00465E9A"/>
    <w:rsid w:val="00467688"/>
    <w:rsid w:val="004676A0"/>
    <w:rsid w:val="00467A23"/>
    <w:rsid w:val="00467AF8"/>
    <w:rsid w:val="00467B55"/>
    <w:rsid w:val="00467CE2"/>
    <w:rsid w:val="00467F7D"/>
    <w:rsid w:val="00470335"/>
    <w:rsid w:val="00470419"/>
    <w:rsid w:val="0047041F"/>
    <w:rsid w:val="00470919"/>
    <w:rsid w:val="00470DD4"/>
    <w:rsid w:val="00470DF4"/>
    <w:rsid w:val="0047115A"/>
    <w:rsid w:val="0047127D"/>
    <w:rsid w:val="0047131D"/>
    <w:rsid w:val="004726CA"/>
    <w:rsid w:val="004727F8"/>
    <w:rsid w:val="00472840"/>
    <w:rsid w:val="0047292B"/>
    <w:rsid w:val="00472C3F"/>
    <w:rsid w:val="00472CE2"/>
    <w:rsid w:val="00472F3D"/>
    <w:rsid w:val="004737AC"/>
    <w:rsid w:val="00473807"/>
    <w:rsid w:val="00473C2A"/>
    <w:rsid w:val="00473D12"/>
    <w:rsid w:val="00473FA3"/>
    <w:rsid w:val="00474283"/>
    <w:rsid w:val="004743FA"/>
    <w:rsid w:val="00474D8F"/>
    <w:rsid w:val="0047563B"/>
    <w:rsid w:val="0047566B"/>
    <w:rsid w:val="00475845"/>
    <w:rsid w:val="00475889"/>
    <w:rsid w:val="00475C59"/>
    <w:rsid w:val="00475DDD"/>
    <w:rsid w:val="004762B4"/>
    <w:rsid w:val="004766C0"/>
    <w:rsid w:val="00476893"/>
    <w:rsid w:val="004768CB"/>
    <w:rsid w:val="00476A65"/>
    <w:rsid w:val="00476AE8"/>
    <w:rsid w:val="00476AEE"/>
    <w:rsid w:val="00476BAE"/>
    <w:rsid w:val="00476BC6"/>
    <w:rsid w:val="00476CF6"/>
    <w:rsid w:val="00476D56"/>
    <w:rsid w:val="00476DF2"/>
    <w:rsid w:val="00476F41"/>
    <w:rsid w:val="00477296"/>
    <w:rsid w:val="00477739"/>
    <w:rsid w:val="004778F6"/>
    <w:rsid w:val="00477A76"/>
    <w:rsid w:val="00477E60"/>
    <w:rsid w:val="004803EC"/>
    <w:rsid w:val="00480892"/>
    <w:rsid w:val="00480E39"/>
    <w:rsid w:val="004811F0"/>
    <w:rsid w:val="004811FB"/>
    <w:rsid w:val="00481570"/>
    <w:rsid w:val="004817D5"/>
    <w:rsid w:val="004818E2"/>
    <w:rsid w:val="00482587"/>
    <w:rsid w:val="004825F6"/>
    <w:rsid w:val="0048262F"/>
    <w:rsid w:val="004829B5"/>
    <w:rsid w:val="00482CBF"/>
    <w:rsid w:val="00483055"/>
    <w:rsid w:val="00483688"/>
    <w:rsid w:val="00483939"/>
    <w:rsid w:val="00483A78"/>
    <w:rsid w:val="0048404C"/>
    <w:rsid w:val="00484252"/>
    <w:rsid w:val="00484296"/>
    <w:rsid w:val="0048472B"/>
    <w:rsid w:val="00484A00"/>
    <w:rsid w:val="00484CA5"/>
    <w:rsid w:val="00485239"/>
    <w:rsid w:val="00485757"/>
    <w:rsid w:val="00485886"/>
    <w:rsid w:val="00485A3E"/>
    <w:rsid w:val="00485CB4"/>
    <w:rsid w:val="00485CBC"/>
    <w:rsid w:val="00485E44"/>
    <w:rsid w:val="0048621E"/>
    <w:rsid w:val="0048622F"/>
    <w:rsid w:val="0048627D"/>
    <w:rsid w:val="004865D4"/>
    <w:rsid w:val="00486C9C"/>
    <w:rsid w:val="00487A07"/>
    <w:rsid w:val="004900B4"/>
    <w:rsid w:val="0049111A"/>
    <w:rsid w:val="004912BA"/>
    <w:rsid w:val="00491802"/>
    <w:rsid w:val="00491B0E"/>
    <w:rsid w:val="00491D79"/>
    <w:rsid w:val="00492343"/>
    <w:rsid w:val="004926DB"/>
    <w:rsid w:val="00492A43"/>
    <w:rsid w:val="00492ADE"/>
    <w:rsid w:val="00492AE3"/>
    <w:rsid w:val="00492E1F"/>
    <w:rsid w:val="00492EEC"/>
    <w:rsid w:val="00492FFD"/>
    <w:rsid w:val="00493041"/>
    <w:rsid w:val="00493060"/>
    <w:rsid w:val="00493079"/>
    <w:rsid w:val="004930A9"/>
    <w:rsid w:val="004934C0"/>
    <w:rsid w:val="00493619"/>
    <w:rsid w:val="00493C68"/>
    <w:rsid w:val="00493E58"/>
    <w:rsid w:val="004956C6"/>
    <w:rsid w:val="004957B9"/>
    <w:rsid w:val="00495D69"/>
    <w:rsid w:val="0049621F"/>
    <w:rsid w:val="004962D2"/>
    <w:rsid w:val="0049655A"/>
    <w:rsid w:val="00496685"/>
    <w:rsid w:val="00496789"/>
    <w:rsid w:val="00496991"/>
    <w:rsid w:val="00496A5D"/>
    <w:rsid w:val="004971EC"/>
    <w:rsid w:val="00497539"/>
    <w:rsid w:val="00497646"/>
    <w:rsid w:val="0049776F"/>
    <w:rsid w:val="00497995"/>
    <w:rsid w:val="00497BA3"/>
    <w:rsid w:val="00497D3B"/>
    <w:rsid w:val="004A0885"/>
    <w:rsid w:val="004A09C0"/>
    <w:rsid w:val="004A0CEF"/>
    <w:rsid w:val="004A0F77"/>
    <w:rsid w:val="004A12BF"/>
    <w:rsid w:val="004A1784"/>
    <w:rsid w:val="004A1790"/>
    <w:rsid w:val="004A1B63"/>
    <w:rsid w:val="004A243A"/>
    <w:rsid w:val="004A26BA"/>
    <w:rsid w:val="004A31E9"/>
    <w:rsid w:val="004A32DE"/>
    <w:rsid w:val="004A3514"/>
    <w:rsid w:val="004A3674"/>
    <w:rsid w:val="004A3751"/>
    <w:rsid w:val="004A39CC"/>
    <w:rsid w:val="004A3E5E"/>
    <w:rsid w:val="004A3F6C"/>
    <w:rsid w:val="004A41B9"/>
    <w:rsid w:val="004A42F3"/>
    <w:rsid w:val="004A439F"/>
    <w:rsid w:val="004A43B4"/>
    <w:rsid w:val="004A45B0"/>
    <w:rsid w:val="004A4604"/>
    <w:rsid w:val="004A4DB6"/>
    <w:rsid w:val="004A53F5"/>
    <w:rsid w:val="004A59C2"/>
    <w:rsid w:val="004A5C8C"/>
    <w:rsid w:val="004A6C1C"/>
    <w:rsid w:val="004A6EA6"/>
    <w:rsid w:val="004A7221"/>
    <w:rsid w:val="004A7276"/>
    <w:rsid w:val="004A7363"/>
    <w:rsid w:val="004A73AF"/>
    <w:rsid w:val="004A775C"/>
    <w:rsid w:val="004B00A9"/>
    <w:rsid w:val="004B00E8"/>
    <w:rsid w:val="004B03AB"/>
    <w:rsid w:val="004B04B8"/>
    <w:rsid w:val="004B0783"/>
    <w:rsid w:val="004B1AF3"/>
    <w:rsid w:val="004B1B93"/>
    <w:rsid w:val="004B1EA4"/>
    <w:rsid w:val="004B20C4"/>
    <w:rsid w:val="004B2167"/>
    <w:rsid w:val="004B2C4D"/>
    <w:rsid w:val="004B2CD9"/>
    <w:rsid w:val="004B2E17"/>
    <w:rsid w:val="004B381B"/>
    <w:rsid w:val="004B3A45"/>
    <w:rsid w:val="004B3ABA"/>
    <w:rsid w:val="004B3FE5"/>
    <w:rsid w:val="004B4151"/>
    <w:rsid w:val="004B424F"/>
    <w:rsid w:val="004B4471"/>
    <w:rsid w:val="004B4783"/>
    <w:rsid w:val="004B4C5E"/>
    <w:rsid w:val="004B5325"/>
    <w:rsid w:val="004B54AD"/>
    <w:rsid w:val="004B55C7"/>
    <w:rsid w:val="004B5A68"/>
    <w:rsid w:val="004B5BB9"/>
    <w:rsid w:val="004B5D5B"/>
    <w:rsid w:val="004B6DF3"/>
    <w:rsid w:val="004B7B73"/>
    <w:rsid w:val="004C0B99"/>
    <w:rsid w:val="004C1581"/>
    <w:rsid w:val="004C1AEC"/>
    <w:rsid w:val="004C1FE5"/>
    <w:rsid w:val="004C2520"/>
    <w:rsid w:val="004C2839"/>
    <w:rsid w:val="004C289A"/>
    <w:rsid w:val="004C29C7"/>
    <w:rsid w:val="004C2BBA"/>
    <w:rsid w:val="004C32E9"/>
    <w:rsid w:val="004C3750"/>
    <w:rsid w:val="004C38FD"/>
    <w:rsid w:val="004C3A52"/>
    <w:rsid w:val="004C4459"/>
    <w:rsid w:val="004C44D5"/>
    <w:rsid w:val="004C45B1"/>
    <w:rsid w:val="004C46F5"/>
    <w:rsid w:val="004C47FB"/>
    <w:rsid w:val="004C4832"/>
    <w:rsid w:val="004C4D37"/>
    <w:rsid w:val="004C4DDA"/>
    <w:rsid w:val="004C4F5C"/>
    <w:rsid w:val="004C5695"/>
    <w:rsid w:val="004C573F"/>
    <w:rsid w:val="004C5C54"/>
    <w:rsid w:val="004C6267"/>
    <w:rsid w:val="004C63EA"/>
    <w:rsid w:val="004C6605"/>
    <w:rsid w:val="004C6F9B"/>
    <w:rsid w:val="004C7102"/>
    <w:rsid w:val="004C74A2"/>
    <w:rsid w:val="004C772E"/>
    <w:rsid w:val="004C77FB"/>
    <w:rsid w:val="004C78CB"/>
    <w:rsid w:val="004C79EB"/>
    <w:rsid w:val="004C7E59"/>
    <w:rsid w:val="004C7F1C"/>
    <w:rsid w:val="004D002F"/>
    <w:rsid w:val="004D076D"/>
    <w:rsid w:val="004D0CFE"/>
    <w:rsid w:val="004D0D9B"/>
    <w:rsid w:val="004D0FCB"/>
    <w:rsid w:val="004D1AC8"/>
    <w:rsid w:val="004D23BB"/>
    <w:rsid w:val="004D23F1"/>
    <w:rsid w:val="004D2581"/>
    <w:rsid w:val="004D26CA"/>
    <w:rsid w:val="004D2F3E"/>
    <w:rsid w:val="004D30E9"/>
    <w:rsid w:val="004D3382"/>
    <w:rsid w:val="004D359B"/>
    <w:rsid w:val="004D3D19"/>
    <w:rsid w:val="004D3F5E"/>
    <w:rsid w:val="004D414B"/>
    <w:rsid w:val="004D44FE"/>
    <w:rsid w:val="004D475F"/>
    <w:rsid w:val="004D5321"/>
    <w:rsid w:val="004D5F4C"/>
    <w:rsid w:val="004D6865"/>
    <w:rsid w:val="004D6A53"/>
    <w:rsid w:val="004D7542"/>
    <w:rsid w:val="004D7709"/>
    <w:rsid w:val="004D7CD3"/>
    <w:rsid w:val="004D7E17"/>
    <w:rsid w:val="004E0112"/>
    <w:rsid w:val="004E0B13"/>
    <w:rsid w:val="004E10BA"/>
    <w:rsid w:val="004E1209"/>
    <w:rsid w:val="004E126E"/>
    <w:rsid w:val="004E1A2B"/>
    <w:rsid w:val="004E1AD0"/>
    <w:rsid w:val="004E1B40"/>
    <w:rsid w:val="004E1F37"/>
    <w:rsid w:val="004E21DF"/>
    <w:rsid w:val="004E2871"/>
    <w:rsid w:val="004E2C32"/>
    <w:rsid w:val="004E2D75"/>
    <w:rsid w:val="004E2F11"/>
    <w:rsid w:val="004E30EA"/>
    <w:rsid w:val="004E316F"/>
    <w:rsid w:val="004E3737"/>
    <w:rsid w:val="004E382E"/>
    <w:rsid w:val="004E39DA"/>
    <w:rsid w:val="004E3CCD"/>
    <w:rsid w:val="004E3D35"/>
    <w:rsid w:val="004E3F04"/>
    <w:rsid w:val="004E466A"/>
    <w:rsid w:val="004E4A00"/>
    <w:rsid w:val="004E4C07"/>
    <w:rsid w:val="004E50CA"/>
    <w:rsid w:val="004E543E"/>
    <w:rsid w:val="004E56B6"/>
    <w:rsid w:val="004E56E7"/>
    <w:rsid w:val="004E5739"/>
    <w:rsid w:val="004E6921"/>
    <w:rsid w:val="004E6BC4"/>
    <w:rsid w:val="004E6F17"/>
    <w:rsid w:val="004E6F22"/>
    <w:rsid w:val="004E71DF"/>
    <w:rsid w:val="004E77C2"/>
    <w:rsid w:val="004E7E27"/>
    <w:rsid w:val="004F0870"/>
    <w:rsid w:val="004F0911"/>
    <w:rsid w:val="004F1120"/>
    <w:rsid w:val="004F12D6"/>
    <w:rsid w:val="004F14BF"/>
    <w:rsid w:val="004F1851"/>
    <w:rsid w:val="004F19D5"/>
    <w:rsid w:val="004F1BCA"/>
    <w:rsid w:val="004F1F8D"/>
    <w:rsid w:val="004F2317"/>
    <w:rsid w:val="004F283A"/>
    <w:rsid w:val="004F2C61"/>
    <w:rsid w:val="004F314E"/>
    <w:rsid w:val="004F3155"/>
    <w:rsid w:val="004F325E"/>
    <w:rsid w:val="004F3AA9"/>
    <w:rsid w:val="004F3F2F"/>
    <w:rsid w:val="004F4069"/>
    <w:rsid w:val="004F45CA"/>
    <w:rsid w:val="004F4A55"/>
    <w:rsid w:val="004F4DE3"/>
    <w:rsid w:val="004F4ECA"/>
    <w:rsid w:val="004F5361"/>
    <w:rsid w:val="004F53F2"/>
    <w:rsid w:val="004F5971"/>
    <w:rsid w:val="004F6315"/>
    <w:rsid w:val="004F68F8"/>
    <w:rsid w:val="004F6CD2"/>
    <w:rsid w:val="004F6DD6"/>
    <w:rsid w:val="004F7284"/>
    <w:rsid w:val="004F78A0"/>
    <w:rsid w:val="004F79EC"/>
    <w:rsid w:val="00500017"/>
    <w:rsid w:val="005004A2"/>
    <w:rsid w:val="00500574"/>
    <w:rsid w:val="00500687"/>
    <w:rsid w:val="00500A15"/>
    <w:rsid w:val="00500DF5"/>
    <w:rsid w:val="005012E4"/>
    <w:rsid w:val="00501A8D"/>
    <w:rsid w:val="00501AA5"/>
    <w:rsid w:val="00502168"/>
    <w:rsid w:val="00502196"/>
    <w:rsid w:val="00502459"/>
    <w:rsid w:val="00502CB2"/>
    <w:rsid w:val="00503176"/>
    <w:rsid w:val="005031F8"/>
    <w:rsid w:val="0050346C"/>
    <w:rsid w:val="0050379E"/>
    <w:rsid w:val="0050389E"/>
    <w:rsid w:val="00503CBD"/>
    <w:rsid w:val="00503E8B"/>
    <w:rsid w:val="0050400D"/>
    <w:rsid w:val="0050441B"/>
    <w:rsid w:val="00504644"/>
    <w:rsid w:val="00504695"/>
    <w:rsid w:val="005047D0"/>
    <w:rsid w:val="00504BAF"/>
    <w:rsid w:val="00504C10"/>
    <w:rsid w:val="00505C22"/>
    <w:rsid w:val="005065AD"/>
    <w:rsid w:val="00506DBD"/>
    <w:rsid w:val="005070A7"/>
    <w:rsid w:val="0050732B"/>
    <w:rsid w:val="00507358"/>
    <w:rsid w:val="00507BF9"/>
    <w:rsid w:val="00507DC5"/>
    <w:rsid w:val="00507FEA"/>
    <w:rsid w:val="005102D7"/>
    <w:rsid w:val="005102F8"/>
    <w:rsid w:val="005103BC"/>
    <w:rsid w:val="00510606"/>
    <w:rsid w:val="00510758"/>
    <w:rsid w:val="005108E0"/>
    <w:rsid w:val="00510B2B"/>
    <w:rsid w:val="00510BF0"/>
    <w:rsid w:val="00510E16"/>
    <w:rsid w:val="005113BE"/>
    <w:rsid w:val="00511471"/>
    <w:rsid w:val="00511518"/>
    <w:rsid w:val="00511CB9"/>
    <w:rsid w:val="00512074"/>
    <w:rsid w:val="00512249"/>
    <w:rsid w:val="0051261F"/>
    <w:rsid w:val="0051274E"/>
    <w:rsid w:val="00512983"/>
    <w:rsid w:val="00512F45"/>
    <w:rsid w:val="0051303F"/>
    <w:rsid w:val="005136BA"/>
    <w:rsid w:val="005139C6"/>
    <w:rsid w:val="005139EF"/>
    <w:rsid w:val="00513A53"/>
    <w:rsid w:val="00513E6B"/>
    <w:rsid w:val="005144E2"/>
    <w:rsid w:val="00514620"/>
    <w:rsid w:val="00514656"/>
    <w:rsid w:val="005148E6"/>
    <w:rsid w:val="0051495A"/>
    <w:rsid w:val="00514962"/>
    <w:rsid w:val="00514BF4"/>
    <w:rsid w:val="00515017"/>
    <w:rsid w:val="00515515"/>
    <w:rsid w:val="0051569D"/>
    <w:rsid w:val="00515E0C"/>
    <w:rsid w:val="005162DF"/>
    <w:rsid w:val="005165C2"/>
    <w:rsid w:val="005165F8"/>
    <w:rsid w:val="0051689A"/>
    <w:rsid w:val="005169AE"/>
    <w:rsid w:val="005169BF"/>
    <w:rsid w:val="005170E0"/>
    <w:rsid w:val="0051741F"/>
    <w:rsid w:val="005174DA"/>
    <w:rsid w:val="0051784A"/>
    <w:rsid w:val="00517C79"/>
    <w:rsid w:val="00517F14"/>
    <w:rsid w:val="00517F50"/>
    <w:rsid w:val="00520640"/>
    <w:rsid w:val="00520B04"/>
    <w:rsid w:val="00520B9C"/>
    <w:rsid w:val="00520CB0"/>
    <w:rsid w:val="00520DCF"/>
    <w:rsid w:val="00521550"/>
    <w:rsid w:val="00521CB6"/>
    <w:rsid w:val="005221B0"/>
    <w:rsid w:val="00522395"/>
    <w:rsid w:val="005224CC"/>
    <w:rsid w:val="005226A8"/>
    <w:rsid w:val="00522827"/>
    <w:rsid w:val="005228A7"/>
    <w:rsid w:val="00522918"/>
    <w:rsid w:val="00522EA0"/>
    <w:rsid w:val="00522EDC"/>
    <w:rsid w:val="00523037"/>
    <w:rsid w:val="00523865"/>
    <w:rsid w:val="00523A12"/>
    <w:rsid w:val="00523E5A"/>
    <w:rsid w:val="00523ECB"/>
    <w:rsid w:val="00524093"/>
    <w:rsid w:val="0052425E"/>
    <w:rsid w:val="0052428B"/>
    <w:rsid w:val="0052492B"/>
    <w:rsid w:val="005252C4"/>
    <w:rsid w:val="005253E3"/>
    <w:rsid w:val="00525777"/>
    <w:rsid w:val="00525B52"/>
    <w:rsid w:val="00525DF0"/>
    <w:rsid w:val="00525F58"/>
    <w:rsid w:val="00525F81"/>
    <w:rsid w:val="0052619A"/>
    <w:rsid w:val="005262AA"/>
    <w:rsid w:val="00526753"/>
    <w:rsid w:val="00526857"/>
    <w:rsid w:val="00526E5B"/>
    <w:rsid w:val="00527112"/>
    <w:rsid w:val="00527430"/>
    <w:rsid w:val="0052773D"/>
    <w:rsid w:val="00527D74"/>
    <w:rsid w:val="00527E82"/>
    <w:rsid w:val="00527FC4"/>
    <w:rsid w:val="00530070"/>
    <w:rsid w:val="00530397"/>
    <w:rsid w:val="005303B1"/>
    <w:rsid w:val="005303CC"/>
    <w:rsid w:val="00530A65"/>
    <w:rsid w:val="00530B0B"/>
    <w:rsid w:val="00530C11"/>
    <w:rsid w:val="00530DEB"/>
    <w:rsid w:val="0053145F"/>
    <w:rsid w:val="005314A9"/>
    <w:rsid w:val="00532002"/>
    <w:rsid w:val="0053218E"/>
    <w:rsid w:val="00532213"/>
    <w:rsid w:val="00532244"/>
    <w:rsid w:val="0053274D"/>
    <w:rsid w:val="00532912"/>
    <w:rsid w:val="00532B6F"/>
    <w:rsid w:val="00532E1B"/>
    <w:rsid w:val="00533068"/>
    <w:rsid w:val="00533109"/>
    <w:rsid w:val="005331F1"/>
    <w:rsid w:val="0053321A"/>
    <w:rsid w:val="005337DD"/>
    <w:rsid w:val="00533833"/>
    <w:rsid w:val="00533C61"/>
    <w:rsid w:val="005343D5"/>
    <w:rsid w:val="0053488B"/>
    <w:rsid w:val="005348BD"/>
    <w:rsid w:val="005349F9"/>
    <w:rsid w:val="00534AE0"/>
    <w:rsid w:val="00534C44"/>
    <w:rsid w:val="00534C53"/>
    <w:rsid w:val="0053529A"/>
    <w:rsid w:val="00535544"/>
    <w:rsid w:val="0053554C"/>
    <w:rsid w:val="00535B17"/>
    <w:rsid w:val="00536018"/>
    <w:rsid w:val="00536155"/>
    <w:rsid w:val="00536171"/>
    <w:rsid w:val="005361CA"/>
    <w:rsid w:val="00536292"/>
    <w:rsid w:val="00536A59"/>
    <w:rsid w:val="00537092"/>
    <w:rsid w:val="005374E7"/>
    <w:rsid w:val="00537EC7"/>
    <w:rsid w:val="0054026C"/>
    <w:rsid w:val="00540341"/>
    <w:rsid w:val="00540767"/>
    <w:rsid w:val="00540850"/>
    <w:rsid w:val="005409B8"/>
    <w:rsid w:val="00540D45"/>
    <w:rsid w:val="00540F0F"/>
    <w:rsid w:val="00541670"/>
    <w:rsid w:val="00541732"/>
    <w:rsid w:val="00541B85"/>
    <w:rsid w:val="00542049"/>
    <w:rsid w:val="00542719"/>
    <w:rsid w:val="0054298C"/>
    <w:rsid w:val="00542DA0"/>
    <w:rsid w:val="005430D6"/>
    <w:rsid w:val="0054333C"/>
    <w:rsid w:val="00543C76"/>
    <w:rsid w:val="0054426A"/>
    <w:rsid w:val="005442EF"/>
    <w:rsid w:val="00544994"/>
    <w:rsid w:val="005449AA"/>
    <w:rsid w:val="00544A21"/>
    <w:rsid w:val="00544B7B"/>
    <w:rsid w:val="00544D23"/>
    <w:rsid w:val="0054513D"/>
    <w:rsid w:val="005456F2"/>
    <w:rsid w:val="0054574E"/>
    <w:rsid w:val="005458DB"/>
    <w:rsid w:val="00545948"/>
    <w:rsid w:val="005459EE"/>
    <w:rsid w:val="00546064"/>
    <w:rsid w:val="005465FC"/>
    <w:rsid w:val="005468CF"/>
    <w:rsid w:val="0054696B"/>
    <w:rsid w:val="00546D14"/>
    <w:rsid w:val="005470C9"/>
    <w:rsid w:val="00547171"/>
    <w:rsid w:val="0054763F"/>
    <w:rsid w:val="00547829"/>
    <w:rsid w:val="00547D72"/>
    <w:rsid w:val="00547E3A"/>
    <w:rsid w:val="00550378"/>
    <w:rsid w:val="005508EE"/>
    <w:rsid w:val="00550AA5"/>
    <w:rsid w:val="00550CC5"/>
    <w:rsid w:val="00550FD4"/>
    <w:rsid w:val="0055108A"/>
    <w:rsid w:val="0055148B"/>
    <w:rsid w:val="005515E0"/>
    <w:rsid w:val="00551808"/>
    <w:rsid w:val="00551AB5"/>
    <w:rsid w:val="00551B3B"/>
    <w:rsid w:val="00551C45"/>
    <w:rsid w:val="00551D98"/>
    <w:rsid w:val="00551E4A"/>
    <w:rsid w:val="005521B6"/>
    <w:rsid w:val="005521C7"/>
    <w:rsid w:val="0055226B"/>
    <w:rsid w:val="00552296"/>
    <w:rsid w:val="0055242E"/>
    <w:rsid w:val="00553042"/>
    <w:rsid w:val="0055342B"/>
    <w:rsid w:val="0055363A"/>
    <w:rsid w:val="0055370E"/>
    <w:rsid w:val="00553A29"/>
    <w:rsid w:val="00553F54"/>
    <w:rsid w:val="00553F8E"/>
    <w:rsid w:val="005540EE"/>
    <w:rsid w:val="0055415A"/>
    <w:rsid w:val="0055449A"/>
    <w:rsid w:val="0055487C"/>
    <w:rsid w:val="00555094"/>
    <w:rsid w:val="005552F8"/>
    <w:rsid w:val="0055589F"/>
    <w:rsid w:val="005559BD"/>
    <w:rsid w:val="00555D75"/>
    <w:rsid w:val="00556015"/>
    <w:rsid w:val="00556A08"/>
    <w:rsid w:val="00556A92"/>
    <w:rsid w:val="00556C94"/>
    <w:rsid w:val="00557075"/>
    <w:rsid w:val="005570D0"/>
    <w:rsid w:val="00557239"/>
    <w:rsid w:val="00557322"/>
    <w:rsid w:val="00557471"/>
    <w:rsid w:val="0056015A"/>
    <w:rsid w:val="00560284"/>
    <w:rsid w:val="00560564"/>
    <w:rsid w:val="00560B83"/>
    <w:rsid w:val="00560ECE"/>
    <w:rsid w:val="0056107B"/>
    <w:rsid w:val="005610BE"/>
    <w:rsid w:val="00561CF0"/>
    <w:rsid w:val="00562685"/>
    <w:rsid w:val="00562BCD"/>
    <w:rsid w:val="00562C3D"/>
    <w:rsid w:val="00563046"/>
    <w:rsid w:val="00563130"/>
    <w:rsid w:val="00563406"/>
    <w:rsid w:val="005636AA"/>
    <w:rsid w:val="00563710"/>
    <w:rsid w:val="005638F6"/>
    <w:rsid w:val="00563AB9"/>
    <w:rsid w:val="00563B89"/>
    <w:rsid w:val="00563E68"/>
    <w:rsid w:val="00563ED6"/>
    <w:rsid w:val="00563F40"/>
    <w:rsid w:val="00564165"/>
    <w:rsid w:val="005642A6"/>
    <w:rsid w:val="0056436A"/>
    <w:rsid w:val="005648FD"/>
    <w:rsid w:val="00564913"/>
    <w:rsid w:val="00564B9C"/>
    <w:rsid w:val="005650D0"/>
    <w:rsid w:val="00565479"/>
    <w:rsid w:val="005658DE"/>
    <w:rsid w:val="00566532"/>
    <w:rsid w:val="0056682A"/>
    <w:rsid w:val="005668F1"/>
    <w:rsid w:val="00566B87"/>
    <w:rsid w:val="00566BB0"/>
    <w:rsid w:val="00567005"/>
    <w:rsid w:val="005678D7"/>
    <w:rsid w:val="005679F0"/>
    <w:rsid w:val="00567CAA"/>
    <w:rsid w:val="00567ED2"/>
    <w:rsid w:val="00570493"/>
    <w:rsid w:val="0057104D"/>
    <w:rsid w:val="0057142A"/>
    <w:rsid w:val="0057169D"/>
    <w:rsid w:val="00571BAB"/>
    <w:rsid w:val="00572451"/>
    <w:rsid w:val="005727BA"/>
    <w:rsid w:val="0057281C"/>
    <w:rsid w:val="00572A46"/>
    <w:rsid w:val="00572BD2"/>
    <w:rsid w:val="00572CC3"/>
    <w:rsid w:val="005733ED"/>
    <w:rsid w:val="005735F9"/>
    <w:rsid w:val="00573600"/>
    <w:rsid w:val="00573791"/>
    <w:rsid w:val="005738D2"/>
    <w:rsid w:val="00573CEF"/>
    <w:rsid w:val="00573E07"/>
    <w:rsid w:val="00573FDF"/>
    <w:rsid w:val="00574002"/>
    <w:rsid w:val="005740C4"/>
    <w:rsid w:val="00574174"/>
    <w:rsid w:val="005741EB"/>
    <w:rsid w:val="0057487A"/>
    <w:rsid w:val="00574D05"/>
    <w:rsid w:val="00575517"/>
    <w:rsid w:val="0057580D"/>
    <w:rsid w:val="005758B8"/>
    <w:rsid w:val="00575A2C"/>
    <w:rsid w:val="00575A33"/>
    <w:rsid w:val="00575AE2"/>
    <w:rsid w:val="00575C11"/>
    <w:rsid w:val="00576302"/>
    <w:rsid w:val="00576648"/>
    <w:rsid w:val="0057673D"/>
    <w:rsid w:val="005768FC"/>
    <w:rsid w:val="00576F31"/>
    <w:rsid w:val="00577292"/>
    <w:rsid w:val="00577294"/>
    <w:rsid w:val="005772D6"/>
    <w:rsid w:val="0057739E"/>
    <w:rsid w:val="0057782C"/>
    <w:rsid w:val="005778A2"/>
    <w:rsid w:val="00577972"/>
    <w:rsid w:val="00577AF4"/>
    <w:rsid w:val="00580413"/>
    <w:rsid w:val="005804F2"/>
    <w:rsid w:val="0058077B"/>
    <w:rsid w:val="00580A2C"/>
    <w:rsid w:val="00580A61"/>
    <w:rsid w:val="00581299"/>
    <w:rsid w:val="005812C4"/>
    <w:rsid w:val="005812E5"/>
    <w:rsid w:val="0058151B"/>
    <w:rsid w:val="0058163E"/>
    <w:rsid w:val="0058189F"/>
    <w:rsid w:val="00581F18"/>
    <w:rsid w:val="00581F91"/>
    <w:rsid w:val="0058210C"/>
    <w:rsid w:val="005825C0"/>
    <w:rsid w:val="00582659"/>
    <w:rsid w:val="00582D60"/>
    <w:rsid w:val="00582D80"/>
    <w:rsid w:val="0058307B"/>
    <w:rsid w:val="005832F8"/>
    <w:rsid w:val="0058330A"/>
    <w:rsid w:val="00583741"/>
    <w:rsid w:val="00583E7D"/>
    <w:rsid w:val="00584ACF"/>
    <w:rsid w:val="00584BED"/>
    <w:rsid w:val="00584C13"/>
    <w:rsid w:val="005851DA"/>
    <w:rsid w:val="005853D3"/>
    <w:rsid w:val="005855C1"/>
    <w:rsid w:val="005857EB"/>
    <w:rsid w:val="00585A1F"/>
    <w:rsid w:val="00585E16"/>
    <w:rsid w:val="0058619E"/>
    <w:rsid w:val="00586345"/>
    <w:rsid w:val="00586525"/>
    <w:rsid w:val="00586BB9"/>
    <w:rsid w:val="00587DD7"/>
    <w:rsid w:val="0059009D"/>
    <w:rsid w:val="0059045C"/>
    <w:rsid w:val="00590767"/>
    <w:rsid w:val="00590C96"/>
    <w:rsid w:val="00590E09"/>
    <w:rsid w:val="005913C3"/>
    <w:rsid w:val="005914CE"/>
    <w:rsid w:val="0059157B"/>
    <w:rsid w:val="00591B52"/>
    <w:rsid w:val="00591D39"/>
    <w:rsid w:val="00591DFD"/>
    <w:rsid w:val="00591E50"/>
    <w:rsid w:val="00591FB2"/>
    <w:rsid w:val="0059200B"/>
    <w:rsid w:val="005920A9"/>
    <w:rsid w:val="00592181"/>
    <w:rsid w:val="0059261C"/>
    <w:rsid w:val="0059269A"/>
    <w:rsid w:val="00592CE1"/>
    <w:rsid w:val="005931CA"/>
    <w:rsid w:val="00593327"/>
    <w:rsid w:val="0059335A"/>
    <w:rsid w:val="0059350C"/>
    <w:rsid w:val="00593693"/>
    <w:rsid w:val="005936B0"/>
    <w:rsid w:val="005936FD"/>
    <w:rsid w:val="005945C7"/>
    <w:rsid w:val="00594657"/>
    <w:rsid w:val="005946F8"/>
    <w:rsid w:val="00594762"/>
    <w:rsid w:val="00594B33"/>
    <w:rsid w:val="00594B7D"/>
    <w:rsid w:val="00594C49"/>
    <w:rsid w:val="0059527C"/>
    <w:rsid w:val="005956F1"/>
    <w:rsid w:val="00595ED4"/>
    <w:rsid w:val="005962B0"/>
    <w:rsid w:val="0059661B"/>
    <w:rsid w:val="005969B7"/>
    <w:rsid w:val="00596AAC"/>
    <w:rsid w:val="00597E13"/>
    <w:rsid w:val="00597FD0"/>
    <w:rsid w:val="005A04A5"/>
    <w:rsid w:val="005A0833"/>
    <w:rsid w:val="005A0AAB"/>
    <w:rsid w:val="005A0C35"/>
    <w:rsid w:val="005A112F"/>
    <w:rsid w:val="005A171C"/>
    <w:rsid w:val="005A1B56"/>
    <w:rsid w:val="005A34DD"/>
    <w:rsid w:val="005A35F8"/>
    <w:rsid w:val="005A3703"/>
    <w:rsid w:val="005A39C1"/>
    <w:rsid w:val="005A4615"/>
    <w:rsid w:val="005A46B4"/>
    <w:rsid w:val="005A4843"/>
    <w:rsid w:val="005A4928"/>
    <w:rsid w:val="005A5001"/>
    <w:rsid w:val="005A508A"/>
    <w:rsid w:val="005A55F3"/>
    <w:rsid w:val="005A55FA"/>
    <w:rsid w:val="005A57A1"/>
    <w:rsid w:val="005A59FC"/>
    <w:rsid w:val="005A5EF3"/>
    <w:rsid w:val="005A5F7B"/>
    <w:rsid w:val="005A5FEC"/>
    <w:rsid w:val="005A6560"/>
    <w:rsid w:val="005A6882"/>
    <w:rsid w:val="005A6C14"/>
    <w:rsid w:val="005A7528"/>
    <w:rsid w:val="005A767D"/>
    <w:rsid w:val="005A7D23"/>
    <w:rsid w:val="005A7EDB"/>
    <w:rsid w:val="005B0D05"/>
    <w:rsid w:val="005B0F28"/>
    <w:rsid w:val="005B1182"/>
    <w:rsid w:val="005B119F"/>
    <w:rsid w:val="005B15C3"/>
    <w:rsid w:val="005B15D3"/>
    <w:rsid w:val="005B1610"/>
    <w:rsid w:val="005B167C"/>
    <w:rsid w:val="005B1828"/>
    <w:rsid w:val="005B19A7"/>
    <w:rsid w:val="005B1E31"/>
    <w:rsid w:val="005B1F30"/>
    <w:rsid w:val="005B284E"/>
    <w:rsid w:val="005B3307"/>
    <w:rsid w:val="005B34AC"/>
    <w:rsid w:val="005B386E"/>
    <w:rsid w:val="005B39FB"/>
    <w:rsid w:val="005B412A"/>
    <w:rsid w:val="005B4682"/>
    <w:rsid w:val="005B48A1"/>
    <w:rsid w:val="005B4A96"/>
    <w:rsid w:val="005B4F44"/>
    <w:rsid w:val="005B5637"/>
    <w:rsid w:val="005B572A"/>
    <w:rsid w:val="005B63F8"/>
    <w:rsid w:val="005B649B"/>
    <w:rsid w:val="005B67EB"/>
    <w:rsid w:val="005B67F2"/>
    <w:rsid w:val="005B6C33"/>
    <w:rsid w:val="005B6F22"/>
    <w:rsid w:val="005B79DD"/>
    <w:rsid w:val="005C0012"/>
    <w:rsid w:val="005C03E6"/>
    <w:rsid w:val="005C04F1"/>
    <w:rsid w:val="005C060D"/>
    <w:rsid w:val="005C066E"/>
    <w:rsid w:val="005C07AE"/>
    <w:rsid w:val="005C0F16"/>
    <w:rsid w:val="005C0F63"/>
    <w:rsid w:val="005C0F9A"/>
    <w:rsid w:val="005C12FC"/>
    <w:rsid w:val="005C1325"/>
    <w:rsid w:val="005C1509"/>
    <w:rsid w:val="005C1552"/>
    <w:rsid w:val="005C15AC"/>
    <w:rsid w:val="005C1638"/>
    <w:rsid w:val="005C1BC9"/>
    <w:rsid w:val="005C1C55"/>
    <w:rsid w:val="005C1C9E"/>
    <w:rsid w:val="005C1E44"/>
    <w:rsid w:val="005C2340"/>
    <w:rsid w:val="005C2BFE"/>
    <w:rsid w:val="005C2EE4"/>
    <w:rsid w:val="005C30F8"/>
    <w:rsid w:val="005C3491"/>
    <w:rsid w:val="005C3B5D"/>
    <w:rsid w:val="005C3C12"/>
    <w:rsid w:val="005C4711"/>
    <w:rsid w:val="005C4738"/>
    <w:rsid w:val="005C4A7E"/>
    <w:rsid w:val="005C4CDC"/>
    <w:rsid w:val="005C4EAC"/>
    <w:rsid w:val="005C4F5F"/>
    <w:rsid w:val="005C4FE1"/>
    <w:rsid w:val="005C531A"/>
    <w:rsid w:val="005C53EB"/>
    <w:rsid w:val="005C5793"/>
    <w:rsid w:val="005C5A38"/>
    <w:rsid w:val="005C5B21"/>
    <w:rsid w:val="005C61B1"/>
    <w:rsid w:val="005C6B86"/>
    <w:rsid w:val="005C71CB"/>
    <w:rsid w:val="005C7211"/>
    <w:rsid w:val="005C759E"/>
    <w:rsid w:val="005C77A3"/>
    <w:rsid w:val="005C77E0"/>
    <w:rsid w:val="005C795F"/>
    <w:rsid w:val="005C7BAA"/>
    <w:rsid w:val="005C7DAF"/>
    <w:rsid w:val="005C7E16"/>
    <w:rsid w:val="005D0267"/>
    <w:rsid w:val="005D0393"/>
    <w:rsid w:val="005D0786"/>
    <w:rsid w:val="005D0A76"/>
    <w:rsid w:val="005D0CCD"/>
    <w:rsid w:val="005D0D81"/>
    <w:rsid w:val="005D155E"/>
    <w:rsid w:val="005D167D"/>
    <w:rsid w:val="005D16AA"/>
    <w:rsid w:val="005D18F5"/>
    <w:rsid w:val="005D1B99"/>
    <w:rsid w:val="005D2035"/>
    <w:rsid w:val="005D27F7"/>
    <w:rsid w:val="005D359A"/>
    <w:rsid w:val="005D35A0"/>
    <w:rsid w:val="005D37A4"/>
    <w:rsid w:val="005D3AB3"/>
    <w:rsid w:val="005D3C33"/>
    <w:rsid w:val="005D3D3F"/>
    <w:rsid w:val="005D411C"/>
    <w:rsid w:val="005D4354"/>
    <w:rsid w:val="005D4B11"/>
    <w:rsid w:val="005D4BA3"/>
    <w:rsid w:val="005D5637"/>
    <w:rsid w:val="005D5665"/>
    <w:rsid w:val="005D5B64"/>
    <w:rsid w:val="005D5BDA"/>
    <w:rsid w:val="005D5DE4"/>
    <w:rsid w:val="005D5F7C"/>
    <w:rsid w:val="005D6014"/>
    <w:rsid w:val="005D6309"/>
    <w:rsid w:val="005D6547"/>
    <w:rsid w:val="005D6737"/>
    <w:rsid w:val="005D6BE2"/>
    <w:rsid w:val="005D7005"/>
    <w:rsid w:val="005D723B"/>
    <w:rsid w:val="005D7801"/>
    <w:rsid w:val="005D790B"/>
    <w:rsid w:val="005D7E17"/>
    <w:rsid w:val="005E0444"/>
    <w:rsid w:val="005E05D5"/>
    <w:rsid w:val="005E0B32"/>
    <w:rsid w:val="005E1214"/>
    <w:rsid w:val="005E1303"/>
    <w:rsid w:val="005E19B6"/>
    <w:rsid w:val="005E1C44"/>
    <w:rsid w:val="005E1DC8"/>
    <w:rsid w:val="005E1EF3"/>
    <w:rsid w:val="005E22EE"/>
    <w:rsid w:val="005E239F"/>
    <w:rsid w:val="005E2648"/>
    <w:rsid w:val="005E26A8"/>
    <w:rsid w:val="005E28B7"/>
    <w:rsid w:val="005E293E"/>
    <w:rsid w:val="005E2ACC"/>
    <w:rsid w:val="005E2C10"/>
    <w:rsid w:val="005E2FC1"/>
    <w:rsid w:val="005E2FC2"/>
    <w:rsid w:val="005E30CE"/>
    <w:rsid w:val="005E3C2A"/>
    <w:rsid w:val="005E3C58"/>
    <w:rsid w:val="005E42B6"/>
    <w:rsid w:val="005E46A1"/>
    <w:rsid w:val="005E4705"/>
    <w:rsid w:val="005E47FA"/>
    <w:rsid w:val="005E4C41"/>
    <w:rsid w:val="005E5418"/>
    <w:rsid w:val="005E582F"/>
    <w:rsid w:val="005E5B99"/>
    <w:rsid w:val="005E5CF1"/>
    <w:rsid w:val="005E5D0B"/>
    <w:rsid w:val="005E6614"/>
    <w:rsid w:val="005E6913"/>
    <w:rsid w:val="005E6B7D"/>
    <w:rsid w:val="005E6CC1"/>
    <w:rsid w:val="005E7034"/>
    <w:rsid w:val="005E7516"/>
    <w:rsid w:val="005E75D9"/>
    <w:rsid w:val="005E76BF"/>
    <w:rsid w:val="005E79FC"/>
    <w:rsid w:val="005E7B13"/>
    <w:rsid w:val="005F0427"/>
    <w:rsid w:val="005F0767"/>
    <w:rsid w:val="005F0962"/>
    <w:rsid w:val="005F0CDB"/>
    <w:rsid w:val="005F0D23"/>
    <w:rsid w:val="005F143C"/>
    <w:rsid w:val="005F1532"/>
    <w:rsid w:val="005F17AB"/>
    <w:rsid w:val="005F17FC"/>
    <w:rsid w:val="005F1A5F"/>
    <w:rsid w:val="005F1AC7"/>
    <w:rsid w:val="005F1B6E"/>
    <w:rsid w:val="005F281D"/>
    <w:rsid w:val="005F31C5"/>
    <w:rsid w:val="005F34C1"/>
    <w:rsid w:val="005F39EA"/>
    <w:rsid w:val="005F3B2C"/>
    <w:rsid w:val="005F3B85"/>
    <w:rsid w:val="005F3BE4"/>
    <w:rsid w:val="005F434B"/>
    <w:rsid w:val="005F47A6"/>
    <w:rsid w:val="005F4FF2"/>
    <w:rsid w:val="005F51BF"/>
    <w:rsid w:val="005F52A9"/>
    <w:rsid w:val="005F5561"/>
    <w:rsid w:val="005F56D9"/>
    <w:rsid w:val="005F5771"/>
    <w:rsid w:val="005F598B"/>
    <w:rsid w:val="005F5A13"/>
    <w:rsid w:val="005F5B29"/>
    <w:rsid w:val="005F5BD2"/>
    <w:rsid w:val="005F6131"/>
    <w:rsid w:val="005F6248"/>
    <w:rsid w:val="005F69E1"/>
    <w:rsid w:val="005F7233"/>
    <w:rsid w:val="005F726F"/>
    <w:rsid w:val="005F74C9"/>
    <w:rsid w:val="005F7A9D"/>
    <w:rsid w:val="005F7AD7"/>
    <w:rsid w:val="005F7CFF"/>
    <w:rsid w:val="0060092E"/>
    <w:rsid w:val="00600BB4"/>
    <w:rsid w:val="00600E10"/>
    <w:rsid w:val="00601087"/>
    <w:rsid w:val="00601121"/>
    <w:rsid w:val="00601215"/>
    <w:rsid w:val="0060170C"/>
    <w:rsid w:val="00601869"/>
    <w:rsid w:val="0060192C"/>
    <w:rsid w:val="00601969"/>
    <w:rsid w:val="006019F8"/>
    <w:rsid w:val="00601AC0"/>
    <w:rsid w:val="006020CE"/>
    <w:rsid w:val="0060219A"/>
    <w:rsid w:val="006026DB"/>
    <w:rsid w:val="0060292F"/>
    <w:rsid w:val="00602DE2"/>
    <w:rsid w:val="00602F31"/>
    <w:rsid w:val="00603026"/>
    <w:rsid w:val="0060310C"/>
    <w:rsid w:val="0060373C"/>
    <w:rsid w:val="00604140"/>
    <w:rsid w:val="006042F2"/>
    <w:rsid w:val="006043D8"/>
    <w:rsid w:val="006048AE"/>
    <w:rsid w:val="00604FE3"/>
    <w:rsid w:val="00605300"/>
    <w:rsid w:val="006055CC"/>
    <w:rsid w:val="00605A5A"/>
    <w:rsid w:val="00605F7E"/>
    <w:rsid w:val="0060665C"/>
    <w:rsid w:val="006067B2"/>
    <w:rsid w:val="00606A83"/>
    <w:rsid w:val="00606B32"/>
    <w:rsid w:val="00606E1B"/>
    <w:rsid w:val="00606E39"/>
    <w:rsid w:val="0060728B"/>
    <w:rsid w:val="0060748B"/>
    <w:rsid w:val="006077A5"/>
    <w:rsid w:val="00607A96"/>
    <w:rsid w:val="00610188"/>
    <w:rsid w:val="0061023E"/>
    <w:rsid w:val="00610868"/>
    <w:rsid w:val="00610BBD"/>
    <w:rsid w:val="006111C0"/>
    <w:rsid w:val="0061120C"/>
    <w:rsid w:val="00611313"/>
    <w:rsid w:val="0061135F"/>
    <w:rsid w:val="006117CE"/>
    <w:rsid w:val="006117D3"/>
    <w:rsid w:val="00611F65"/>
    <w:rsid w:val="00612229"/>
    <w:rsid w:val="006124CA"/>
    <w:rsid w:val="00612749"/>
    <w:rsid w:val="00612925"/>
    <w:rsid w:val="00612954"/>
    <w:rsid w:val="0061308A"/>
    <w:rsid w:val="006138FB"/>
    <w:rsid w:val="00613A59"/>
    <w:rsid w:val="00613AF0"/>
    <w:rsid w:val="00613CAC"/>
    <w:rsid w:val="00613F97"/>
    <w:rsid w:val="006146F9"/>
    <w:rsid w:val="006147A0"/>
    <w:rsid w:val="00614BA6"/>
    <w:rsid w:val="00614C1F"/>
    <w:rsid w:val="006153A4"/>
    <w:rsid w:val="00615821"/>
    <w:rsid w:val="006160C9"/>
    <w:rsid w:val="006162A2"/>
    <w:rsid w:val="00616435"/>
    <w:rsid w:val="006164B4"/>
    <w:rsid w:val="00616578"/>
    <w:rsid w:val="006168B0"/>
    <w:rsid w:val="0061693D"/>
    <w:rsid w:val="00616C39"/>
    <w:rsid w:val="00616DAF"/>
    <w:rsid w:val="0061716C"/>
    <w:rsid w:val="006171FE"/>
    <w:rsid w:val="00617336"/>
    <w:rsid w:val="0061763A"/>
    <w:rsid w:val="00617916"/>
    <w:rsid w:val="0062065D"/>
    <w:rsid w:val="00620745"/>
    <w:rsid w:val="00620B65"/>
    <w:rsid w:val="00620B67"/>
    <w:rsid w:val="00620D50"/>
    <w:rsid w:val="00620DC5"/>
    <w:rsid w:val="00621245"/>
    <w:rsid w:val="006214C8"/>
    <w:rsid w:val="0062158E"/>
    <w:rsid w:val="0062165F"/>
    <w:rsid w:val="00621FA5"/>
    <w:rsid w:val="00621FEC"/>
    <w:rsid w:val="006227CF"/>
    <w:rsid w:val="00622928"/>
    <w:rsid w:val="00622ADB"/>
    <w:rsid w:val="00622B20"/>
    <w:rsid w:val="00622D7C"/>
    <w:rsid w:val="00622EBD"/>
    <w:rsid w:val="0062306A"/>
    <w:rsid w:val="00623073"/>
    <w:rsid w:val="00623752"/>
    <w:rsid w:val="00623795"/>
    <w:rsid w:val="00623798"/>
    <w:rsid w:val="0062384B"/>
    <w:rsid w:val="00624005"/>
    <w:rsid w:val="00624343"/>
    <w:rsid w:val="00624829"/>
    <w:rsid w:val="0062496B"/>
    <w:rsid w:val="00625103"/>
    <w:rsid w:val="0062533C"/>
    <w:rsid w:val="0062533D"/>
    <w:rsid w:val="00625442"/>
    <w:rsid w:val="00625533"/>
    <w:rsid w:val="00625A7B"/>
    <w:rsid w:val="00626039"/>
    <w:rsid w:val="00626219"/>
    <w:rsid w:val="0062638A"/>
    <w:rsid w:val="00626732"/>
    <w:rsid w:val="00626A68"/>
    <w:rsid w:val="00626C70"/>
    <w:rsid w:val="00626DF8"/>
    <w:rsid w:val="00626E0C"/>
    <w:rsid w:val="00627E40"/>
    <w:rsid w:val="00627F65"/>
    <w:rsid w:val="0063016C"/>
    <w:rsid w:val="0063028F"/>
    <w:rsid w:val="006304D2"/>
    <w:rsid w:val="00630E80"/>
    <w:rsid w:val="006313D3"/>
    <w:rsid w:val="00631F1F"/>
    <w:rsid w:val="00631F48"/>
    <w:rsid w:val="00631F86"/>
    <w:rsid w:val="00632040"/>
    <w:rsid w:val="006323C4"/>
    <w:rsid w:val="0063253E"/>
    <w:rsid w:val="00632677"/>
    <w:rsid w:val="00632D9D"/>
    <w:rsid w:val="00632EAD"/>
    <w:rsid w:val="0063328D"/>
    <w:rsid w:val="0063405A"/>
    <w:rsid w:val="00634406"/>
    <w:rsid w:val="00634576"/>
    <w:rsid w:val="00634B5F"/>
    <w:rsid w:val="00635149"/>
    <w:rsid w:val="0063550A"/>
    <w:rsid w:val="00635E21"/>
    <w:rsid w:val="006361EC"/>
    <w:rsid w:val="00636492"/>
    <w:rsid w:val="00636763"/>
    <w:rsid w:val="00636967"/>
    <w:rsid w:val="00636AF0"/>
    <w:rsid w:val="00636BEF"/>
    <w:rsid w:val="00636D6E"/>
    <w:rsid w:val="00636EF7"/>
    <w:rsid w:val="0063791F"/>
    <w:rsid w:val="00637B20"/>
    <w:rsid w:val="00637DE8"/>
    <w:rsid w:val="00637FAE"/>
    <w:rsid w:val="00640240"/>
    <w:rsid w:val="0064031F"/>
    <w:rsid w:val="00640746"/>
    <w:rsid w:val="00640A93"/>
    <w:rsid w:val="00640AC6"/>
    <w:rsid w:val="00640EFD"/>
    <w:rsid w:val="00641020"/>
    <w:rsid w:val="00641026"/>
    <w:rsid w:val="00641A52"/>
    <w:rsid w:val="00641A98"/>
    <w:rsid w:val="00641EF9"/>
    <w:rsid w:val="00642567"/>
    <w:rsid w:val="00642709"/>
    <w:rsid w:val="00642AF5"/>
    <w:rsid w:val="00642B1B"/>
    <w:rsid w:val="00642D8E"/>
    <w:rsid w:val="00642F07"/>
    <w:rsid w:val="006431CC"/>
    <w:rsid w:val="00643E89"/>
    <w:rsid w:val="00644125"/>
    <w:rsid w:val="0064438C"/>
    <w:rsid w:val="00644829"/>
    <w:rsid w:val="00644ACC"/>
    <w:rsid w:val="00644BE9"/>
    <w:rsid w:val="00644C42"/>
    <w:rsid w:val="00644D06"/>
    <w:rsid w:val="006458C7"/>
    <w:rsid w:val="00645CB1"/>
    <w:rsid w:val="00645DE2"/>
    <w:rsid w:val="00645F8B"/>
    <w:rsid w:val="00645FD7"/>
    <w:rsid w:val="006468A9"/>
    <w:rsid w:val="006468E0"/>
    <w:rsid w:val="00646F60"/>
    <w:rsid w:val="00647150"/>
    <w:rsid w:val="00647174"/>
    <w:rsid w:val="00647374"/>
    <w:rsid w:val="006476E8"/>
    <w:rsid w:val="00647C5B"/>
    <w:rsid w:val="00647CE5"/>
    <w:rsid w:val="00647E15"/>
    <w:rsid w:val="00647ED0"/>
    <w:rsid w:val="0065008A"/>
    <w:rsid w:val="00650256"/>
    <w:rsid w:val="0065044E"/>
    <w:rsid w:val="0065064D"/>
    <w:rsid w:val="00650676"/>
    <w:rsid w:val="006506BC"/>
    <w:rsid w:val="0065077D"/>
    <w:rsid w:val="00650B45"/>
    <w:rsid w:val="00650B94"/>
    <w:rsid w:val="00650C32"/>
    <w:rsid w:val="00650D7D"/>
    <w:rsid w:val="00651802"/>
    <w:rsid w:val="00651806"/>
    <w:rsid w:val="00651B9B"/>
    <w:rsid w:val="00651D5C"/>
    <w:rsid w:val="00651E44"/>
    <w:rsid w:val="006523AD"/>
    <w:rsid w:val="00652667"/>
    <w:rsid w:val="006527B8"/>
    <w:rsid w:val="00652DBE"/>
    <w:rsid w:val="00652E4A"/>
    <w:rsid w:val="00653071"/>
    <w:rsid w:val="0065307F"/>
    <w:rsid w:val="00653245"/>
    <w:rsid w:val="006539F5"/>
    <w:rsid w:val="00653BAA"/>
    <w:rsid w:val="00653EDF"/>
    <w:rsid w:val="00653F6B"/>
    <w:rsid w:val="006543E4"/>
    <w:rsid w:val="006545A0"/>
    <w:rsid w:val="00654726"/>
    <w:rsid w:val="00654816"/>
    <w:rsid w:val="00654BF9"/>
    <w:rsid w:val="00654CFB"/>
    <w:rsid w:val="00655233"/>
    <w:rsid w:val="0065533B"/>
    <w:rsid w:val="00655A9F"/>
    <w:rsid w:val="00656116"/>
    <w:rsid w:val="00656159"/>
    <w:rsid w:val="00656936"/>
    <w:rsid w:val="006569D4"/>
    <w:rsid w:val="00657956"/>
    <w:rsid w:val="00657DBB"/>
    <w:rsid w:val="0066064F"/>
    <w:rsid w:val="0066077E"/>
    <w:rsid w:val="00660EB9"/>
    <w:rsid w:val="0066106E"/>
    <w:rsid w:val="0066117E"/>
    <w:rsid w:val="00661236"/>
    <w:rsid w:val="006614F1"/>
    <w:rsid w:val="00661543"/>
    <w:rsid w:val="006616FB"/>
    <w:rsid w:val="00661727"/>
    <w:rsid w:val="00661911"/>
    <w:rsid w:val="00662071"/>
    <w:rsid w:val="0066210B"/>
    <w:rsid w:val="006624EC"/>
    <w:rsid w:val="00662589"/>
    <w:rsid w:val="0066297A"/>
    <w:rsid w:val="00662A0F"/>
    <w:rsid w:val="00662AFC"/>
    <w:rsid w:val="00663594"/>
    <w:rsid w:val="0066379C"/>
    <w:rsid w:val="006638C3"/>
    <w:rsid w:val="00663924"/>
    <w:rsid w:val="00663CD5"/>
    <w:rsid w:val="00663F36"/>
    <w:rsid w:val="006642C3"/>
    <w:rsid w:val="0066435C"/>
    <w:rsid w:val="00664503"/>
    <w:rsid w:val="006646DE"/>
    <w:rsid w:val="00664CD9"/>
    <w:rsid w:val="00664E14"/>
    <w:rsid w:val="00664EC2"/>
    <w:rsid w:val="00665388"/>
    <w:rsid w:val="006654B3"/>
    <w:rsid w:val="00665B6E"/>
    <w:rsid w:val="00665C29"/>
    <w:rsid w:val="00665C49"/>
    <w:rsid w:val="00665ECE"/>
    <w:rsid w:val="006661A4"/>
    <w:rsid w:val="00666367"/>
    <w:rsid w:val="00666654"/>
    <w:rsid w:val="00666806"/>
    <w:rsid w:val="00666FF2"/>
    <w:rsid w:val="00666FFD"/>
    <w:rsid w:val="0066760B"/>
    <w:rsid w:val="006677F5"/>
    <w:rsid w:val="00667844"/>
    <w:rsid w:val="00667891"/>
    <w:rsid w:val="00667F59"/>
    <w:rsid w:val="00670058"/>
    <w:rsid w:val="006700DB"/>
    <w:rsid w:val="006701B9"/>
    <w:rsid w:val="0067062F"/>
    <w:rsid w:val="0067068C"/>
    <w:rsid w:val="0067084C"/>
    <w:rsid w:val="00670967"/>
    <w:rsid w:val="00670C0F"/>
    <w:rsid w:val="00671145"/>
    <w:rsid w:val="0067157E"/>
    <w:rsid w:val="0067165C"/>
    <w:rsid w:val="006719BA"/>
    <w:rsid w:val="00671A9E"/>
    <w:rsid w:val="00671D1E"/>
    <w:rsid w:val="00671F95"/>
    <w:rsid w:val="00672145"/>
    <w:rsid w:val="006726EC"/>
    <w:rsid w:val="006728F6"/>
    <w:rsid w:val="00672B21"/>
    <w:rsid w:val="00672C70"/>
    <w:rsid w:val="006734CD"/>
    <w:rsid w:val="006735B9"/>
    <w:rsid w:val="006736C5"/>
    <w:rsid w:val="00673B89"/>
    <w:rsid w:val="00673C49"/>
    <w:rsid w:val="00673CEB"/>
    <w:rsid w:val="00673DF2"/>
    <w:rsid w:val="00674143"/>
    <w:rsid w:val="006747D3"/>
    <w:rsid w:val="0067495D"/>
    <w:rsid w:val="00675375"/>
    <w:rsid w:val="006756C6"/>
    <w:rsid w:val="00675732"/>
    <w:rsid w:val="00675846"/>
    <w:rsid w:val="006760A4"/>
    <w:rsid w:val="0067644A"/>
    <w:rsid w:val="00676A34"/>
    <w:rsid w:val="00677214"/>
    <w:rsid w:val="0067779C"/>
    <w:rsid w:val="00677B38"/>
    <w:rsid w:val="00677BBB"/>
    <w:rsid w:val="00677EA9"/>
    <w:rsid w:val="00677EE4"/>
    <w:rsid w:val="00677F33"/>
    <w:rsid w:val="0068003B"/>
    <w:rsid w:val="00680642"/>
    <w:rsid w:val="00680E29"/>
    <w:rsid w:val="00681468"/>
    <w:rsid w:val="00681A2F"/>
    <w:rsid w:val="00681CC6"/>
    <w:rsid w:val="00681E47"/>
    <w:rsid w:val="0068206D"/>
    <w:rsid w:val="0068213A"/>
    <w:rsid w:val="006821B0"/>
    <w:rsid w:val="00682204"/>
    <w:rsid w:val="0068220D"/>
    <w:rsid w:val="0068295F"/>
    <w:rsid w:val="00682E20"/>
    <w:rsid w:val="00682EF2"/>
    <w:rsid w:val="00682F39"/>
    <w:rsid w:val="0068326D"/>
    <w:rsid w:val="006836D9"/>
    <w:rsid w:val="00683AC7"/>
    <w:rsid w:val="0068407D"/>
    <w:rsid w:val="0068443C"/>
    <w:rsid w:val="006845A8"/>
    <w:rsid w:val="00684784"/>
    <w:rsid w:val="00684886"/>
    <w:rsid w:val="006854BA"/>
    <w:rsid w:val="00685999"/>
    <w:rsid w:val="006859A3"/>
    <w:rsid w:val="00685A7D"/>
    <w:rsid w:val="00685B21"/>
    <w:rsid w:val="00685C14"/>
    <w:rsid w:val="0068658C"/>
    <w:rsid w:val="00687030"/>
    <w:rsid w:val="00687417"/>
    <w:rsid w:val="006874BE"/>
    <w:rsid w:val="00687ADE"/>
    <w:rsid w:val="00687C9A"/>
    <w:rsid w:val="00687DC2"/>
    <w:rsid w:val="00687E46"/>
    <w:rsid w:val="00687FA6"/>
    <w:rsid w:val="00690B7F"/>
    <w:rsid w:val="00690CBA"/>
    <w:rsid w:val="0069111D"/>
    <w:rsid w:val="006912D2"/>
    <w:rsid w:val="006916BD"/>
    <w:rsid w:val="006918C8"/>
    <w:rsid w:val="0069193B"/>
    <w:rsid w:val="006919F5"/>
    <w:rsid w:val="00691E54"/>
    <w:rsid w:val="00691EE4"/>
    <w:rsid w:val="0069248A"/>
    <w:rsid w:val="00692525"/>
    <w:rsid w:val="00692962"/>
    <w:rsid w:val="00692C7B"/>
    <w:rsid w:val="00692E09"/>
    <w:rsid w:val="00693699"/>
    <w:rsid w:val="006944CA"/>
    <w:rsid w:val="0069476A"/>
    <w:rsid w:val="00694B32"/>
    <w:rsid w:val="00694EFF"/>
    <w:rsid w:val="0069506B"/>
    <w:rsid w:val="00695297"/>
    <w:rsid w:val="00695642"/>
    <w:rsid w:val="00695666"/>
    <w:rsid w:val="006956F9"/>
    <w:rsid w:val="00695A3D"/>
    <w:rsid w:val="00695B48"/>
    <w:rsid w:val="006960B3"/>
    <w:rsid w:val="006962F7"/>
    <w:rsid w:val="00696739"/>
    <w:rsid w:val="0069688F"/>
    <w:rsid w:val="006969D9"/>
    <w:rsid w:val="00696E7F"/>
    <w:rsid w:val="00697001"/>
    <w:rsid w:val="0069708F"/>
    <w:rsid w:val="006971BF"/>
    <w:rsid w:val="00697BF6"/>
    <w:rsid w:val="00697C88"/>
    <w:rsid w:val="006A028C"/>
    <w:rsid w:val="006A047B"/>
    <w:rsid w:val="006A060B"/>
    <w:rsid w:val="006A0818"/>
    <w:rsid w:val="006A0BE9"/>
    <w:rsid w:val="006A0BFA"/>
    <w:rsid w:val="006A0E9F"/>
    <w:rsid w:val="006A0EDE"/>
    <w:rsid w:val="006A1240"/>
    <w:rsid w:val="006A1BF3"/>
    <w:rsid w:val="006A1D8D"/>
    <w:rsid w:val="006A1F37"/>
    <w:rsid w:val="006A2105"/>
    <w:rsid w:val="006A215E"/>
    <w:rsid w:val="006A22BA"/>
    <w:rsid w:val="006A245C"/>
    <w:rsid w:val="006A24D1"/>
    <w:rsid w:val="006A25EE"/>
    <w:rsid w:val="006A2658"/>
    <w:rsid w:val="006A28BD"/>
    <w:rsid w:val="006A2E05"/>
    <w:rsid w:val="006A3104"/>
    <w:rsid w:val="006A34D2"/>
    <w:rsid w:val="006A356A"/>
    <w:rsid w:val="006A364B"/>
    <w:rsid w:val="006A36C3"/>
    <w:rsid w:val="006A39BB"/>
    <w:rsid w:val="006A3B41"/>
    <w:rsid w:val="006A42FC"/>
    <w:rsid w:val="006A4D74"/>
    <w:rsid w:val="006A5113"/>
    <w:rsid w:val="006A5DD5"/>
    <w:rsid w:val="006A5EB9"/>
    <w:rsid w:val="006A6B9B"/>
    <w:rsid w:val="006A76DE"/>
    <w:rsid w:val="006A790F"/>
    <w:rsid w:val="006A7B36"/>
    <w:rsid w:val="006B03E2"/>
    <w:rsid w:val="006B04F3"/>
    <w:rsid w:val="006B0BE0"/>
    <w:rsid w:val="006B0E59"/>
    <w:rsid w:val="006B0EAD"/>
    <w:rsid w:val="006B15C8"/>
    <w:rsid w:val="006B1BF7"/>
    <w:rsid w:val="006B21DE"/>
    <w:rsid w:val="006B25CC"/>
    <w:rsid w:val="006B28D1"/>
    <w:rsid w:val="006B29B4"/>
    <w:rsid w:val="006B2BCA"/>
    <w:rsid w:val="006B2CFC"/>
    <w:rsid w:val="006B2DA6"/>
    <w:rsid w:val="006B31E4"/>
    <w:rsid w:val="006B3359"/>
    <w:rsid w:val="006B3752"/>
    <w:rsid w:val="006B382A"/>
    <w:rsid w:val="006B39DF"/>
    <w:rsid w:val="006B3DAE"/>
    <w:rsid w:val="006B3E60"/>
    <w:rsid w:val="006B40E6"/>
    <w:rsid w:val="006B4464"/>
    <w:rsid w:val="006B4B92"/>
    <w:rsid w:val="006B4D01"/>
    <w:rsid w:val="006B51A0"/>
    <w:rsid w:val="006B52D2"/>
    <w:rsid w:val="006B53E2"/>
    <w:rsid w:val="006B5538"/>
    <w:rsid w:val="006B57FB"/>
    <w:rsid w:val="006B5C7F"/>
    <w:rsid w:val="006B5CF1"/>
    <w:rsid w:val="006B5DAF"/>
    <w:rsid w:val="006B5F64"/>
    <w:rsid w:val="006B5FE5"/>
    <w:rsid w:val="006B7099"/>
    <w:rsid w:val="006B720C"/>
    <w:rsid w:val="006B73A3"/>
    <w:rsid w:val="006C0315"/>
    <w:rsid w:val="006C06B0"/>
    <w:rsid w:val="006C071B"/>
    <w:rsid w:val="006C0807"/>
    <w:rsid w:val="006C0A39"/>
    <w:rsid w:val="006C0A78"/>
    <w:rsid w:val="006C0AB6"/>
    <w:rsid w:val="006C0BA5"/>
    <w:rsid w:val="006C0D92"/>
    <w:rsid w:val="006C0D99"/>
    <w:rsid w:val="006C16D0"/>
    <w:rsid w:val="006C1BD6"/>
    <w:rsid w:val="006C1D02"/>
    <w:rsid w:val="006C1EDB"/>
    <w:rsid w:val="006C2026"/>
    <w:rsid w:val="006C21D6"/>
    <w:rsid w:val="006C250A"/>
    <w:rsid w:val="006C25CC"/>
    <w:rsid w:val="006C2630"/>
    <w:rsid w:val="006C26BB"/>
    <w:rsid w:val="006C280D"/>
    <w:rsid w:val="006C2940"/>
    <w:rsid w:val="006C2B16"/>
    <w:rsid w:val="006C2B1F"/>
    <w:rsid w:val="006C2F90"/>
    <w:rsid w:val="006C2FD5"/>
    <w:rsid w:val="006C33C1"/>
    <w:rsid w:val="006C3588"/>
    <w:rsid w:val="006C3645"/>
    <w:rsid w:val="006C36A2"/>
    <w:rsid w:val="006C3F08"/>
    <w:rsid w:val="006C3F74"/>
    <w:rsid w:val="006C4210"/>
    <w:rsid w:val="006C4418"/>
    <w:rsid w:val="006C449E"/>
    <w:rsid w:val="006C482D"/>
    <w:rsid w:val="006C5448"/>
    <w:rsid w:val="006C5B07"/>
    <w:rsid w:val="006C5B40"/>
    <w:rsid w:val="006C5CF5"/>
    <w:rsid w:val="006C5EA9"/>
    <w:rsid w:val="006C6343"/>
    <w:rsid w:val="006C6489"/>
    <w:rsid w:val="006C677C"/>
    <w:rsid w:val="006C6B3B"/>
    <w:rsid w:val="006C6B6E"/>
    <w:rsid w:val="006C6CA9"/>
    <w:rsid w:val="006C6D91"/>
    <w:rsid w:val="006C7460"/>
    <w:rsid w:val="006C74B9"/>
    <w:rsid w:val="006C74E7"/>
    <w:rsid w:val="006C75AE"/>
    <w:rsid w:val="006D0131"/>
    <w:rsid w:val="006D07D4"/>
    <w:rsid w:val="006D0C38"/>
    <w:rsid w:val="006D0D3E"/>
    <w:rsid w:val="006D12B6"/>
    <w:rsid w:val="006D1599"/>
    <w:rsid w:val="006D1BBE"/>
    <w:rsid w:val="006D1CEE"/>
    <w:rsid w:val="006D1F07"/>
    <w:rsid w:val="006D1F61"/>
    <w:rsid w:val="006D2155"/>
    <w:rsid w:val="006D2731"/>
    <w:rsid w:val="006D2AFF"/>
    <w:rsid w:val="006D2DDF"/>
    <w:rsid w:val="006D2EFA"/>
    <w:rsid w:val="006D390D"/>
    <w:rsid w:val="006D3A70"/>
    <w:rsid w:val="006D3DDC"/>
    <w:rsid w:val="006D3EF8"/>
    <w:rsid w:val="006D459F"/>
    <w:rsid w:val="006D4642"/>
    <w:rsid w:val="006D47A6"/>
    <w:rsid w:val="006D4A30"/>
    <w:rsid w:val="006D4A9A"/>
    <w:rsid w:val="006D4E9A"/>
    <w:rsid w:val="006D4F58"/>
    <w:rsid w:val="006D519E"/>
    <w:rsid w:val="006D5289"/>
    <w:rsid w:val="006D5310"/>
    <w:rsid w:val="006D548D"/>
    <w:rsid w:val="006D561F"/>
    <w:rsid w:val="006D56F6"/>
    <w:rsid w:val="006D5B00"/>
    <w:rsid w:val="006D5B9F"/>
    <w:rsid w:val="006D5F39"/>
    <w:rsid w:val="006D619F"/>
    <w:rsid w:val="006D67D2"/>
    <w:rsid w:val="006D6A95"/>
    <w:rsid w:val="006D6AAC"/>
    <w:rsid w:val="006D6EF6"/>
    <w:rsid w:val="006D737E"/>
    <w:rsid w:val="006D76F2"/>
    <w:rsid w:val="006D7A61"/>
    <w:rsid w:val="006D7B9C"/>
    <w:rsid w:val="006D7F04"/>
    <w:rsid w:val="006D7F74"/>
    <w:rsid w:val="006E0067"/>
    <w:rsid w:val="006E03A0"/>
    <w:rsid w:val="006E05FB"/>
    <w:rsid w:val="006E10AD"/>
    <w:rsid w:val="006E139A"/>
    <w:rsid w:val="006E1617"/>
    <w:rsid w:val="006E1910"/>
    <w:rsid w:val="006E2481"/>
    <w:rsid w:val="006E255D"/>
    <w:rsid w:val="006E256D"/>
    <w:rsid w:val="006E2E7D"/>
    <w:rsid w:val="006E2E92"/>
    <w:rsid w:val="006E3542"/>
    <w:rsid w:val="006E35BB"/>
    <w:rsid w:val="006E40D7"/>
    <w:rsid w:val="006E432A"/>
    <w:rsid w:val="006E4338"/>
    <w:rsid w:val="006E47E7"/>
    <w:rsid w:val="006E5658"/>
    <w:rsid w:val="006E56A4"/>
    <w:rsid w:val="006E56EC"/>
    <w:rsid w:val="006E59D1"/>
    <w:rsid w:val="006E6173"/>
    <w:rsid w:val="006E64AF"/>
    <w:rsid w:val="006E6589"/>
    <w:rsid w:val="006E658A"/>
    <w:rsid w:val="006E65F9"/>
    <w:rsid w:val="006E6773"/>
    <w:rsid w:val="006E6799"/>
    <w:rsid w:val="006E68A2"/>
    <w:rsid w:val="006E6BFF"/>
    <w:rsid w:val="006E6E32"/>
    <w:rsid w:val="006E6FCD"/>
    <w:rsid w:val="006E72D7"/>
    <w:rsid w:val="006E7590"/>
    <w:rsid w:val="006E7A5C"/>
    <w:rsid w:val="006E7BAD"/>
    <w:rsid w:val="006F01E0"/>
    <w:rsid w:val="006F0334"/>
    <w:rsid w:val="006F06E7"/>
    <w:rsid w:val="006F084E"/>
    <w:rsid w:val="006F091A"/>
    <w:rsid w:val="006F09D8"/>
    <w:rsid w:val="006F0AF2"/>
    <w:rsid w:val="006F0C04"/>
    <w:rsid w:val="006F0C4F"/>
    <w:rsid w:val="006F0F1E"/>
    <w:rsid w:val="006F11B6"/>
    <w:rsid w:val="006F1937"/>
    <w:rsid w:val="006F1C88"/>
    <w:rsid w:val="006F1F11"/>
    <w:rsid w:val="006F26C3"/>
    <w:rsid w:val="006F285E"/>
    <w:rsid w:val="006F29E2"/>
    <w:rsid w:val="006F2DE0"/>
    <w:rsid w:val="006F3228"/>
    <w:rsid w:val="006F35B8"/>
    <w:rsid w:val="006F3EDC"/>
    <w:rsid w:val="006F40EE"/>
    <w:rsid w:val="006F4175"/>
    <w:rsid w:val="006F463A"/>
    <w:rsid w:val="006F5677"/>
    <w:rsid w:val="006F56C6"/>
    <w:rsid w:val="006F56DE"/>
    <w:rsid w:val="006F579B"/>
    <w:rsid w:val="006F5916"/>
    <w:rsid w:val="006F5B12"/>
    <w:rsid w:val="006F5EAA"/>
    <w:rsid w:val="006F611E"/>
    <w:rsid w:val="006F612E"/>
    <w:rsid w:val="006F62BE"/>
    <w:rsid w:val="006F6471"/>
    <w:rsid w:val="006F6621"/>
    <w:rsid w:val="006F6BE4"/>
    <w:rsid w:val="006F745E"/>
    <w:rsid w:val="006F77F5"/>
    <w:rsid w:val="006F7856"/>
    <w:rsid w:val="00700000"/>
    <w:rsid w:val="00700261"/>
    <w:rsid w:val="007002EC"/>
    <w:rsid w:val="007004F8"/>
    <w:rsid w:val="00700BAB"/>
    <w:rsid w:val="00700D23"/>
    <w:rsid w:val="007010F7"/>
    <w:rsid w:val="00701406"/>
    <w:rsid w:val="007014AC"/>
    <w:rsid w:val="007016B6"/>
    <w:rsid w:val="007016BF"/>
    <w:rsid w:val="007016C0"/>
    <w:rsid w:val="00701831"/>
    <w:rsid w:val="007018BE"/>
    <w:rsid w:val="0070199D"/>
    <w:rsid w:val="00701A2F"/>
    <w:rsid w:val="00701A5D"/>
    <w:rsid w:val="00701C4E"/>
    <w:rsid w:val="00701D55"/>
    <w:rsid w:val="00702045"/>
    <w:rsid w:val="0070216C"/>
    <w:rsid w:val="0070219D"/>
    <w:rsid w:val="0070241E"/>
    <w:rsid w:val="0070248D"/>
    <w:rsid w:val="0070279D"/>
    <w:rsid w:val="00702B8F"/>
    <w:rsid w:val="0070361A"/>
    <w:rsid w:val="007039FD"/>
    <w:rsid w:val="00703F95"/>
    <w:rsid w:val="00704106"/>
    <w:rsid w:val="00704641"/>
    <w:rsid w:val="007047FE"/>
    <w:rsid w:val="00704828"/>
    <w:rsid w:val="007048C9"/>
    <w:rsid w:val="00704B77"/>
    <w:rsid w:val="00704C5B"/>
    <w:rsid w:val="00704D07"/>
    <w:rsid w:val="00704D57"/>
    <w:rsid w:val="00704D86"/>
    <w:rsid w:val="00704EF9"/>
    <w:rsid w:val="00704F37"/>
    <w:rsid w:val="00705255"/>
    <w:rsid w:val="007053BC"/>
    <w:rsid w:val="00705608"/>
    <w:rsid w:val="00705621"/>
    <w:rsid w:val="007056EA"/>
    <w:rsid w:val="0070591C"/>
    <w:rsid w:val="00705E57"/>
    <w:rsid w:val="00705EDC"/>
    <w:rsid w:val="00705F44"/>
    <w:rsid w:val="0070618C"/>
    <w:rsid w:val="0070643B"/>
    <w:rsid w:val="007068B3"/>
    <w:rsid w:val="00707158"/>
    <w:rsid w:val="007078D5"/>
    <w:rsid w:val="00707B52"/>
    <w:rsid w:val="00707C6D"/>
    <w:rsid w:val="007102CE"/>
    <w:rsid w:val="0071091F"/>
    <w:rsid w:val="007109E4"/>
    <w:rsid w:val="00710A4F"/>
    <w:rsid w:val="00710B5F"/>
    <w:rsid w:val="00710BFA"/>
    <w:rsid w:val="007125E4"/>
    <w:rsid w:val="00712688"/>
    <w:rsid w:val="007127A9"/>
    <w:rsid w:val="00712844"/>
    <w:rsid w:val="00712BDF"/>
    <w:rsid w:val="00713136"/>
    <w:rsid w:val="007135E7"/>
    <w:rsid w:val="007137C5"/>
    <w:rsid w:val="0071388E"/>
    <w:rsid w:val="00713E9C"/>
    <w:rsid w:val="00714440"/>
    <w:rsid w:val="007144C4"/>
    <w:rsid w:val="0071547C"/>
    <w:rsid w:val="00715676"/>
    <w:rsid w:val="00715A29"/>
    <w:rsid w:val="00716099"/>
    <w:rsid w:val="00716361"/>
    <w:rsid w:val="007166F5"/>
    <w:rsid w:val="0071707E"/>
    <w:rsid w:val="007174D2"/>
    <w:rsid w:val="0071772D"/>
    <w:rsid w:val="0071783A"/>
    <w:rsid w:val="00717A92"/>
    <w:rsid w:val="00717CA9"/>
    <w:rsid w:val="00717E00"/>
    <w:rsid w:val="00720036"/>
    <w:rsid w:val="00720B15"/>
    <w:rsid w:val="00720EBA"/>
    <w:rsid w:val="00721406"/>
    <w:rsid w:val="00721E46"/>
    <w:rsid w:val="0072200D"/>
    <w:rsid w:val="0072263C"/>
    <w:rsid w:val="007229DB"/>
    <w:rsid w:val="00722C26"/>
    <w:rsid w:val="00722E3B"/>
    <w:rsid w:val="007230EF"/>
    <w:rsid w:val="00723186"/>
    <w:rsid w:val="00723AA3"/>
    <w:rsid w:val="0072408A"/>
    <w:rsid w:val="00724255"/>
    <w:rsid w:val="007248B5"/>
    <w:rsid w:val="00724B0A"/>
    <w:rsid w:val="00724D85"/>
    <w:rsid w:val="00724F0D"/>
    <w:rsid w:val="00725638"/>
    <w:rsid w:val="007263FF"/>
    <w:rsid w:val="007265AC"/>
    <w:rsid w:val="00726634"/>
    <w:rsid w:val="00726805"/>
    <w:rsid w:val="00726F4A"/>
    <w:rsid w:val="007271A1"/>
    <w:rsid w:val="00727294"/>
    <w:rsid w:val="00727492"/>
    <w:rsid w:val="00727535"/>
    <w:rsid w:val="0072753C"/>
    <w:rsid w:val="00727788"/>
    <w:rsid w:val="00727AC4"/>
    <w:rsid w:val="00727D7D"/>
    <w:rsid w:val="00727F37"/>
    <w:rsid w:val="00730014"/>
    <w:rsid w:val="00730154"/>
    <w:rsid w:val="00730195"/>
    <w:rsid w:val="00730545"/>
    <w:rsid w:val="00730A92"/>
    <w:rsid w:val="00730BF0"/>
    <w:rsid w:val="0073169F"/>
    <w:rsid w:val="00731901"/>
    <w:rsid w:val="007319C1"/>
    <w:rsid w:val="00731A0C"/>
    <w:rsid w:val="00731AB7"/>
    <w:rsid w:val="00731B62"/>
    <w:rsid w:val="00732149"/>
    <w:rsid w:val="007321C0"/>
    <w:rsid w:val="007322BC"/>
    <w:rsid w:val="00732319"/>
    <w:rsid w:val="0073274A"/>
    <w:rsid w:val="00732A6C"/>
    <w:rsid w:val="00732B55"/>
    <w:rsid w:val="00732D7E"/>
    <w:rsid w:val="00733068"/>
    <w:rsid w:val="007332A6"/>
    <w:rsid w:val="0073366A"/>
    <w:rsid w:val="00733829"/>
    <w:rsid w:val="00733F13"/>
    <w:rsid w:val="007341B1"/>
    <w:rsid w:val="00734460"/>
    <w:rsid w:val="00734886"/>
    <w:rsid w:val="00734B19"/>
    <w:rsid w:val="007350CE"/>
    <w:rsid w:val="007356A2"/>
    <w:rsid w:val="00735844"/>
    <w:rsid w:val="00735882"/>
    <w:rsid w:val="00735ADB"/>
    <w:rsid w:val="00735B93"/>
    <w:rsid w:val="00735C15"/>
    <w:rsid w:val="00735FC1"/>
    <w:rsid w:val="0073667C"/>
    <w:rsid w:val="0073685E"/>
    <w:rsid w:val="00736D66"/>
    <w:rsid w:val="00736E5C"/>
    <w:rsid w:val="00737250"/>
    <w:rsid w:val="007372AF"/>
    <w:rsid w:val="007373A5"/>
    <w:rsid w:val="00737471"/>
    <w:rsid w:val="007375A0"/>
    <w:rsid w:val="0073796A"/>
    <w:rsid w:val="007400E9"/>
    <w:rsid w:val="00740792"/>
    <w:rsid w:val="0074086D"/>
    <w:rsid w:val="007408C5"/>
    <w:rsid w:val="0074090C"/>
    <w:rsid w:val="00740931"/>
    <w:rsid w:val="00740A99"/>
    <w:rsid w:val="00740DAF"/>
    <w:rsid w:val="00740FFC"/>
    <w:rsid w:val="0074150C"/>
    <w:rsid w:val="0074157F"/>
    <w:rsid w:val="00741776"/>
    <w:rsid w:val="007419B6"/>
    <w:rsid w:val="007419D9"/>
    <w:rsid w:val="00741AE0"/>
    <w:rsid w:val="00741B44"/>
    <w:rsid w:val="00741F4B"/>
    <w:rsid w:val="0074208F"/>
    <w:rsid w:val="00742204"/>
    <w:rsid w:val="00742463"/>
    <w:rsid w:val="00742724"/>
    <w:rsid w:val="0074294E"/>
    <w:rsid w:val="00742D14"/>
    <w:rsid w:val="00742EEA"/>
    <w:rsid w:val="007431B1"/>
    <w:rsid w:val="00743210"/>
    <w:rsid w:val="00743918"/>
    <w:rsid w:val="00743AEF"/>
    <w:rsid w:val="00743E8C"/>
    <w:rsid w:val="007441B4"/>
    <w:rsid w:val="007443E9"/>
    <w:rsid w:val="0074441D"/>
    <w:rsid w:val="0074451A"/>
    <w:rsid w:val="007449C6"/>
    <w:rsid w:val="00744F26"/>
    <w:rsid w:val="00745590"/>
    <w:rsid w:val="00745644"/>
    <w:rsid w:val="00745F7E"/>
    <w:rsid w:val="00746050"/>
    <w:rsid w:val="00746CE2"/>
    <w:rsid w:val="00747613"/>
    <w:rsid w:val="00747EEE"/>
    <w:rsid w:val="00750405"/>
    <w:rsid w:val="007504C0"/>
    <w:rsid w:val="00750A34"/>
    <w:rsid w:val="00750D81"/>
    <w:rsid w:val="007515C6"/>
    <w:rsid w:val="00751876"/>
    <w:rsid w:val="007519CA"/>
    <w:rsid w:val="00751BD1"/>
    <w:rsid w:val="00751D3B"/>
    <w:rsid w:val="00752069"/>
    <w:rsid w:val="00752285"/>
    <w:rsid w:val="00752353"/>
    <w:rsid w:val="00752683"/>
    <w:rsid w:val="007529D3"/>
    <w:rsid w:val="00753000"/>
    <w:rsid w:val="0075324B"/>
    <w:rsid w:val="0075356B"/>
    <w:rsid w:val="00753A74"/>
    <w:rsid w:val="00753A83"/>
    <w:rsid w:val="00753C75"/>
    <w:rsid w:val="00754116"/>
    <w:rsid w:val="00754137"/>
    <w:rsid w:val="00754489"/>
    <w:rsid w:val="007545AE"/>
    <w:rsid w:val="00754AF7"/>
    <w:rsid w:val="00755995"/>
    <w:rsid w:val="007560F9"/>
    <w:rsid w:val="00756475"/>
    <w:rsid w:val="00756490"/>
    <w:rsid w:val="007564B2"/>
    <w:rsid w:val="00756CF9"/>
    <w:rsid w:val="00756EE9"/>
    <w:rsid w:val="00756FC5"/>
    <w:rsid w:val="00757087"/>
    <w:rsid w:val="00757298"/>
    <w:rsid w:val="00757651"/>
    <w:rsid w:val="00757974"/>
    <w:rsid w:val="007579FE"/>
    <w:rsid w:val="00760145"/>
    <w:rsid w:val="007603D9"/>
    <w:rsid w:val="0076056D"/>
    <w:rsid w:val="0076067F"/>
    <w:rsid w:val="007606A9"/>
    <w:rsid w:val="00760929"/>
    <w:rsid w:val="00760A9F"/>
    <w:rsid w:val="00760BEE"/>
    <w:rsid w:val="00760CF9"/>
    <w:rsid w:val="00760D64"/>
    <w:rsid w:val="00760FC3"/>
    <w:rsid w:val="00761085"/>
    <w:rsid w:val="007611DC"/>
    <w:rsid w:val="0076135C"/>
    <w:rsid w:val="00761836"/>
    <w:rsid w:val="00761D18"/>
    <w:rsid w:val="00761DD8"/>
    <w:rsid w:val="0076213D"/>
    <w:rsid w:val="00762767"/>
    <w:rsid w:val="007627B1"/>
    <w:rsid w:val="00762885"/>
    <w:rsid w:val="007629AD"/>
    <w:rsid w:val="00762AC1"/>
    <w:rsid w:val="00762ACD"/>
    <w:rsid w:val="00762BDF"/>
    <w:rsid w:val="0076305E"/>
    <w:rsid w:val="00763C7D"/>
    <w:rsid w:val="0076400B"/>
    <w:rsid w:val="00764AD8"/>
    <w:rsid w:val="00764E1D"/>
    <w:rsid w:val="00764E71"/>
    <w:rsid w:val="00764FFB"/>
    <w:rsid w:val="007651CA"/>
    <w:rsid w:val="007651DA"/>
    <w:rsid w:val="0076550D"/>
    <w:rsid w:val="00765819"/>
    <w:rsid w:val="007660CF"/>
    <w:rsid w:val="007662DA"/>
    <w:rsid w:val="007665B2"/>
    <w:rsid w:val="007668F0"/>
    <w:rsid w:val="007669AC"/>
    <w:rsid w:val="00766C9E"/>
    <w:rsid w:val="00767638"/>
    <w:rsid w:val="007677E6"/>
    <w:rsid w:val="00767AF8"/>
    <w:rsid w:val="00767DED"/>
    <w:rsid w:val="00767E07"/>
    <w:rsid w:val="0077004F"/>
    <w:rsid w:val="0077037A"/>
    <w:rsid w:val="007705F3"/>
    <w:rsid w:val="00770703"/>
    <w:rsid w:val="0077088C"/>
    <w:rsid w:val="00770C1E"/>
    <w:rsid w:val="00770DCC"/>
    <w:rsid w:val="007716D7"/>
    <w:rsid w:val="00771866"/>
    <w:rsid w:val="00771871"/>
    <w:rsid w:val="00771E00"/>
    <w:rsid w:val="007721D5"/>
    <w:rsid w:val="007722EA"/>
    <w:rsid w:val="007724FD"/>
    <w:rsid w:val="00772D38"/>
    <w:rsid w:val="0077331F"/>
    <w:rsid w:val="0077340F"/>
    <w:rsid w:val="007734C0"/>
    <w:rsid w:val="00773599"/>
    <w:rsid w:val="007738B1"/>
    <w:rsid w:val="00773DD1"/>
    <w:rsid w:val="00773DD4"/>
    <w:rsid w:val="00773E2A"/>
    <w:rsid w:val="00773E38"/>
    <w:rsid w:val="00773FC8"/>
    <w:rsid w:val="007741D7"/>
    <w:rsid w:val="0077427B"/>
    <w:rsid w:val="007742B1"/>
    <w:rsid w:val="00774474"/>
    <w:rsid w:val="00774B6E"/>
    <w:rsid w:val="00774D56"/>
    <w:rsid w:val="00774DCC"/>
    <w:rsid w:val="00775145"/>
    <w:rsid w:val="00775469"/>
    <w:rsid w:val="007758E1"/>
    <w:rsid w:val="00775AED"/>
    <w:rsid w:val="00775C1D"/>
    <w:rsid w:val="00775DBE"/>
    <w:rsid w:val="00775E4C"/>
    <w:rsid w:val="007764AD"/>
    <w:rsid w:val="00776A13"/>
    <w:rsid w:val="00776E3F"/>
    <w:rsid w:val="00776E61"/>
    <w:rsid w:val="00776EBA"/>
    <w:rsid w:val="007771CA"/>
    <w:rsid w:val="007772CB"/>
    <w:rsid w:val="00777412"/>
    <w:rsid w:val="00777528"/>
    <w:rsid w:val="00777547"/>
    <w:rsid w:val="00777C0A"/>
    <w:rsid w:val="00777CFB"/>
    <w:rsid w:val="00780006"/>
    <w:rsid w:val="007805A1"/>
    <w:rsid w:val="007805D9"/>
    <w:rsid w:val="00780644"/>
    <w:rsid w:val="00781080"/>
    <w:rsid w:val="0078117D"/>
    <w:rsid w:val="0078176D"/>
    <w:rsid w:val="00781938"/>
    <w:rsid w:val="0078198F"/>
    <w:rsid w:val="007819EC"/>
    <w:rsid w:val="00781BE7"/>
    <w:rsid w:val="007822E8"/>
    <w:rsid w:val="00782D02"/>
    <w:rsid w:val="00782E8A"/>
    <w:rsid w:val="0078339B"/>
    <w:rsid w:val="00783A1E"/>
    <w:rsid w:val="0078429A"/>
    <w:rsid w:val="007843F2"/>
    <w:rsid w:val="00784455"/>
    <w:rsid w:val="00784C0D"/>
    <w:rsid w:val="0078516C"/>
    <w:rsid w:val="00785970"/>
    <w:rsid w:val="007859D7"/>
    <w:rsid w:val="00785A80"/>
    <w:rsid w:val="00785F15"/>
    <w:rsid w:val="00786BBC"/>
    <w:rsid w:val="00786C39"/>
    <w:rsid w:val="00786CA2"/>
    <w:rsid w:val="00786E79"/>
    <w:rsid w:val="0078750E"/>
    <w:rsid w:val="0078772F"/>
    <w:rsid w:val="00787AC6"/>
    <w:rsid w:val="00787C72"/>
    <w:rsid w:val="00787F43"/>
    <w:rsid w:val="00790590"/>
    <w:rsid w:val="007905D9"/>
    <w:rsid w:val="0079063D"/>
    <w:rsid w:val="00790682"/>
    <w:rsid w:val="007906E0"/>
    <w:rsid w:val="007908C1"/>
    <w:rsid w:val="00790948"/>
    <w:rsid w:val="00790B48"/>
    <w:rsid w:val="00791195"/>
    <w:rsid w:val="0079134C"/>
    <w:rsid w:val="007913F9"/>
    <w:rsid w:val="007914DC"/>
    <w:rsid w:val="00791510"/>
    <w:rsid w:val="007915DC"/>
    <w:rsid w:val="00791890"/>
    <w:rsid w:val="00791AAA"/>
    <w:rsid w:val="00791B0F"/>
    <w:rsid w:val="00791CE4"/>
    <w:rsid w:val="00791EC0"/>
    <w:rsid w:val="0079273F"/>
    <w:rsid w:val="00792AAF"/>
    <w:rsid w:val="00792D13"/>
    <w:rsid w:val="007930DD"/>
    <w:rsid w:val="00793B5A"/>
    <w:rsid w:val="00793CC6"/>
    <w:rsid w:val="00793CC7"/>
    <w:rsid w:val="00793EFE"/>
    <w:rsid w:val="00794029"/>
    <w:rsid w:val="007940B8"/>
    <w:rsid w:val="0079411B"/>
    <w:rsid w:val="007942B8"/>
    <w:rsid w:val="0079513D"/>
    <w:rsid w:val="00795280"/>
    <w:rsid w:val="0079596C"/>
    <w:rsid w:val="00795B5D"/>
    <w:rsid w:val="00796457"/>
    <w:rsid w:val="00796B37"/>
    <w:rsid w:val="00796E48"/>
    <w:rsid w:val="00796FCF"/>
    <w:rsid w:val="007971ED"/>
    <w:rsid w:val="00797614"/>
    <w:rsid w:val="00797622"/>
    <w:rsid w:val="0079780F"/>
    <w:rsid w:val="007979E9"/>
    <w:rsid w:val="00797CA0"/>
    <w:rsid w:val="00797D66"/>
    <w:rsid w:val="00797D6D"/>
    <w:rsid w:val="00797E39"/>
    <w:rsid w:val="00797E93"/>
    <w:rsid w:val="00797F12"/>
    <w:rsid w:val="007A06C1"/>
    <w:rsid w:val="007A0B3E"/>
    <w:rsid w:val="007A0F3C"/>
    <w:rsid w:val="007A1044"/>
    <w:rsid w:val="007A105F"/>
    <w:rsid w:val="007A119F"/>
    <w:rsid w:val="007A1CC2"/>
    <w:rsid w:val="007A1D6D"/>
    <w:rsid w:val="007A1EA0"/>
    <w:rsid w:val="007A2C85"/>
    <w:rsid w:val="007A2C95"/>
    <w:rsid w:val="007A2E50"/>
    <w:rsid w:val="007A37D2"/>
    <w:rsid w:val="007A3A90"/>
    <w:rsid w:val="007A3DD3"/>
    <w:rsid w:val="007A438F"/>
    <w:rsid w:val="007A43E8"/>
    <w:rsid w:val="007A4910"/>
    <w:rsid w:val="007A4C9E"/>
    <w:rsid w:val="007A5538"/>
    <w:rsid w:val="007A5C93"/>
    <w:rsid w:val="007A5CC7"/>
    <w:rsid w:val="007A5EE9"/>
    <w:rsid w:val="007A6210"/>
    <w:rsid w:val="007A62BE"/>
    <w:rsid w:val="007A63DC"/>
    <w:rsid w:val="007A6CF8"/>
    <w:rsid w:val="007A6D37"/>
    <w:rsid w:val="007A6F57"/>
    <w:rsid w:val="007A75ED"/>
    <w:rsid w:val="007B008B"/>
    <w:rsid w:val="007B0551"/>
    <w:rsid w:val="007B09F3"/>
    <w:rsid w:val="007B0B98"/>
    <w:rsid w:val="007B0CAC"/>
    <w:rsid w:val="007B0DA7"/>
    <w:rsid w:val="007B13D1"/>
    <w:rsid w:val="007B142C"/>
    <w:rsid w:val="007B19DD"/>
    <w:rsid w:val="007B1A0F"/>
    <w:rsid w:val="007B1BE6"/>
    <w:rsid w:val="007B1F80"/>
    <w:rsid w:val="007B24F2"/>
    <w:rsid w:val="007B2632"/>
    <w:rsid w:val="007B29BC"/>
    <w:rsid w:val="007B2B55"/>
    <w:rsid w:val="007B2F9F"/>
    <w:rsid w:val="007B3387"/>
    <w:rsid w:val="007B347E"/>
    <w:rsid w:val="007B3ECA"/>
    <w:rsid w:val="007B42DC"/>
    <w:rsid w:val="007B4834"/>
    <w:rsid w:val="007B49F5"/>
    <w:rsid w:val="007B4D6F"/>
    <w:rsid w:val="007B4FA7"/>
    <w:rsid w:val="007B5520"/>
    <w:rsid w:val="007B552A"/>
    <w:rsid w:val="007B5631"/>
    <w:rsid w:val="007B5735"/>
    <w:rsid w:val="007B5944"/>
    <w:rsid w:val="007B59C8"/>
    <w:rsid w:val="007B5DB8"/>
    <w:rsid w:val="007B5EC1"/>
    <w:rsid w:val="007B6125"/>
    <w:rsid w:val="007B6C70"/>
    <w:rsid w:val="007B7456"/>
    <w:rsid w:val="007B74DC"/>
    <w:rsid w:val="007B798A"/>
    <w:rsid w:val="007B7ACB"/>
    <w:rsid w:val="007B7FCC"/>
    <w:rsid w:val="007C0485"/>
    <w:rsid w:val="007C0835"/>
    <w:rsid w:val="007C0B21"/>
    <w:rsid w:val="007C0BB7"/>
    <w:rsid w:val="007C0DB5"/>
    <w:rsid w:val="007C0F26"/>
    <w:rsid w:val="007C1116"/>
    <w:rsid w:val="007C17E9"/>
    <w:rsid w:val="007C1A49"/>
    <w:rsid w:val="007C1A5A"/>
    <w:rsid w:val="007C1CB8"/>
    <w:rsid w:val="007C1DFC"/>
    <w:rsid w:val="007C1EDE"/>
    <w:rsid w:val="007C2139"/>
    <w:rsid w:val="007C23B8"/>
    <w:rsid w:val="007C2498"/>
    <w:rsid w:val="007C2577"/>
    <w:rsid w:val="007C293B"/>
    <w:rsid w:val="007C2B8F"/>
    <w:rsid w:val="007C2F10"/>
    <w:rsid w:val="007C3276"/>
    <w:rsid w:val="007C3737"/>
    <w:rsid w:val="007C3958"/>
    <w:rsid w:val="007C3EE4"/>
    <w:rsid w:val="007C3FE8"/>
    <w:rsid w:val="007C4284"/>
    <w:rsid w:val="007C46D4"/>
    <w:rsid w:val="007C4C28"/>
    <w:rsid w:val="007C533C"/>
    <w:rsid w:val="007C5494"/>
    <w:rsid w:val="007C56AE"/>
    <w:rsid w:val="007C59EF"/>
    <w:rsid w:val="007C5AC1"/>
    <w:rsid w:val="007C5B9D"/>
    <w:rsid w:val="007C5F37"/>
    <w:rsid w:val="007C6115"/>
    <w:rsid w:val="007C6141"/>
    <w:rsid w:val="007C6568"/>
    <w:rsid w:val="007C6650"/>
    <w:rsid w:val="007C6652"/>
    <w:rsid w:val="007C666C"/>
    <w:rsid w:val="007C694C"/>
    <w:rsid w:val="007C6975"/>
    <w:rsid w:val="007C6CB8"/>
    <w:rsid w:val="007C6D4F"/>
    <w:rsid w:val="007C725E"/>
    <w:rsid w:val="007C75F6"/>
    <w:rsid w:val="007C7642"/>
    <w:rsid w:val="007C77ED"/>
    <w:rsid w:val="007C787E"/>
    <w:rsid w:val="007C78F9"/>
    <w:rsid w:val="007C7B15"/>
    <w:rsid w:val="007C7C75"/>
    <w:rsid w:val="007C7C9C"/>
    <w:rsid w:val="007C7D05"/>
    <w:rsid w:val="007C7D64"/>
    <w:rsid w:val="007D0477"/>
    <w:rsid w:val="007D04CE"/>
    <w:rsid w:val="007D06B1"/>
    <w:rsid w:val="007D0783"/>
    <w:rsid w:val="007D0CBF"/>
    <w:rsid w:val="007D0DCA"/>
    <w:rsid w:val="007D1134"/>
    <w:rsid w:val="007D1203"/>
    <w:rsid w:val="007D13FB"/>
    <w:rsid w:val="007D1425"/>
    <w:rsid w:val="007D14E7"/>
    <w:rsid w:val="007D15E3"/>
    <w:rsid w:val="007D1903"/>
    <w:rsid w:val="007D19D6"/>
    <w:rsid w:val="007D1CE9"/>
    <w:rsid w:val="007D1D21"/>
    <w:rsid w:val="007D1D87"/>
    <w:rsid w:val="007D1FED"/>
    <w:rsid w:val="007D218D"/>
    <w:rsid w:val="007D25CB"/>
    <w:rsid w:val="007D28E9"/>
    <w:rsid w:val="007D29BE"/>
    <w:rsid w:val="007D2A5D"/>
    <w:rsid w:val="007D2BE6"/>
    <w:rsid w:val="007D2C24"/>
    <w:rsid w:val="007D2CA4"/>
    <w:rsid w:val="007D2F0D"/>
    <w:rsid w:val="007D3144"/>
    <w:rsid w:val="007D3600"/>
    <w:rsid w:val="007D40B0"/>
    <w:rsid w:val="007D4406"/>
    <w:rsid w:val="007D464C"/>
    <w:rsid w:val="007D4702"/>
    <w:rsid w:val="007D4967"/>
    <w:rsid w:val="007D4C89"/>
    <w:rsid w:val="007D5429"/>
    <w:rsid w:val="007D5504"/>
    <w:rsid w:val="007D56A4"/>
    <w:rsid w:val="007D5817"/>
    <w:rsid w:val="007D5910"/>
    <w:rsid w:val="007D6146"/>
    <w:rsid w:val="007D6D0E"/>
    <w:rsid w:val="007D6E85"/>
    <w:rsid w:val="007D7426"/>
    <w:rsid w:val="007D7C79"/>
    <w:rsid w:val="007D7D92"/>
    <w:rsid w:val="007E08BC"/>
    <w:rsid w:val="007E0BB4"/>
    <w:rsid w:val="007E0F8C"/>
    <w:rsid w:val="007E1406"/>
    <w:rsid w:val="007E1EBF"/>
    <w:rsid w:val="007E1EF8"/>
    <w:rsid w:val="007E1FFD"/>
    <w:rsid w:val="007E21CC"/>
    <w:rsid w:val="007E2216"/>
    <w:rsid w:val="007E22A0"/>
    <w:rsid w:val="007E255F"/>
    <w:rsid w:val="007E27F5"/>
    <w:rsid w:val="007E2968"/>
    <w:rsid w:val="007E2B8A"/>
    <w:rsid w:val="007E2C84"/>
    <w:rsid w:val="007E3450"/>
    <w:rsid w:val="007E375A"/>
    <w:rsid w:val="007E3BB4"/>
    <w:rsid w:val="007E3CCF"/>
    <w:rsid w:val="007E3FBD"/>
    <w:rsid w:val="007E40D8"/>
    <w:rsid w:val="007E41AB"/>
    <w:rsid w:val="007E4287"/>
    <w:rsid w:val="007E429D"/>
    <w:rsid w:val="007E4315"/>
    <w:rsid w:val="007E4358"/>
    <w:rsid w:val="007E43D2"/>
    <w:rsid w:val="007E47BD"/>
    <w:rsid w:val="007E4A36"/>
    <w:rsid w:val="007E53BF"/>
    <w:rsid w:val="007E55F2"/>
    <w:rsid w:val="007E5694"/>
    <w:rsid w:val="007E595A"/>
    <w:rsid w:val="007E597A"/>
    <w:rsid w:val="007E621E"/>
    <w:rsid w:val="007E640A"/>
    <w:rsid w:val="007E6449"/>
    <w:rsid w:val="007E68E9"/>
    <w:rsid w:val="007E6B77"/>
    <w:rsid w:val="007E6E6C"/>
    <w:rsid w:val="007F0037"/>
    <w:rsid w:val="007F039B"/>
    <w:rsid w:val="007F06A7"/>
    <w:rsid w:val="007F072B"/>
    <w:rsid w:val="007F0D90"/>
    <w:rsid w:val="007F1098"/>
    <w:rsid w:val="007F12FA"/>
    <w:rsid w:val="007F1A64"/>
    <w:rsid w:val="007F1A85"/>
    <w:rsid w:val="007F242F"/>
    <w:rsid w:val="007F2713"/>
    <w:rsid w:val="007F29B8"/>
    <w:rsid w:val="007F2B82"/>
    <w:rsid w:val="007F2D05"/>
    <w:rsid w:val="007F2D8A"/>
    <w:rsid w:val="007F2F15"/>
    <w:rsid w:val="007F3054"/>
    <w:rsid w:val="007F360E"/>
    <w:rsid w:val="007F37A7"/>
    <w:rsid w:val="007F38A1"/>
    <w:rsid w:val="007F3962"/>
    <w:rsid w:val="007F3BE3"/>
    <w:rsid w:val="007F3CDA"/>
    <w:rsid w:val="007F3E76"/>
    <w:rsid w:val="007F3E98"/>
    <w:rsid w:val="007F3E9C"/>
    <w:rsid w:val="007F41D4"/>
    <w:rsid w:val="007F42F4"/>
    <w:rsid w:val="007F533C"/>
    <w:rsid w:val="007F5783"/>
    <w:rsid w:val="007F58B8"/>
    <w:rsid w:val="007F5B34"/>
    <w:rsid w:val="007F5C69"/>
    <w:rsid w:val="007F5D5E"/>
    <w:rsid w:val="007F62EE"/>
    <w:rsid w:val="007F652C"/>
    <w:rsid w:val="007F65B8"/>
    <w:rsid w:val="007F6A15"/>
    <w:rsid w:val="007F6B3A"/>
    <w:rsid w:val="007F6DC5"/>
    <w:rsid w:val="007F6DDC"/>
    <w:rsid w:val="007F6F4F"/>
    <w:rsid w:val="007F759C"/>
    <w:rsid w:val="007F7BB2"/>
    <w:rsid w:val="007F7D8D"/>
    <w:rsid w:val="007F7FE4"/>
    <w:rsid w:val="008008A3"/>
    <w:rsid w:val="00800913"/>
    <w:rsid w:val="00800C94"/>
    <w:rsid w:val="008010A0"/>
    <w:rsid w:val="00801599"/>
    <w:rsid w:val="00801C7D"/>
    <w:rsid w:val="0080219B"/>
    <w:rsid w:val="00802392"/>
    <w:rsid w:val="008023BE"/>
    <w:rsid w:val="008026AD"/>
    <w:rsid w:val="008027B3"/>
    <w:rsid w:val="00802A7F"/>
    <w:rsid w:val="00802F52"/>
    <w:rsid w:val="00803347"/>
    <w:rsid w:val="00803381"/>
    <w:rsid w:val="008033B6"/>
    <w:rsid w:val="00803459"/>
    <w:rsid w:val="0080371A"/>
    <w:rsid w:val="00803936"/>
    <w:rsid w:val="00803A22"/>
    <w:rsid w:val="00803C43"/>
    <w:rsid w:val="0080451D"/>
    <w:rsid w:val="00804772"/>
    <w:rsid w:val="00804A5F"/>
    <w:rsid w:val="00804C1D"/>
    <w:rsid w:val="008052BE"/>
    <w:rsid w:val="00805A33"/>
    <w:rsid w:val="00805A35"/>
    <w:rsid w:val="00805F88"/>
    <w:rsid w:val="00806307"/>
    <w:rsid w:val="008065B3"/>
    <w:rsid w:val="0080673F"/>
    <w:rsid w:val="00807756"/>
    <w:rsid w:val="00807836"/>
    <w:rsid w:val="00807A1D"/>
    <w:rsid w:val="00810AE3"/>
    <w:rsid w:val="00810BF7"/>
    <w:rsid w:val="00810DBF"/>
    <w:rsid w:val="00810FEC"/>
    <w:rsid w:val="00811887"/>
    <w:rsid w:val="00811B9C"/>
    <w:rsid w:val="00811BFB"/>
    <w:rsid w:val="00812240"/>
    <w:rsid w:val="00812685"/>
    <w:rsid w:val="00812B5A"/>
    <w:rsid w:val="00812B9E"/>
    <w:rsid w:val="00812D2F"/>
    <w:rsid w:val="00812EE4"/>
    <w:rsid w:val="00812FFB"/>
    <w:rsid w:val="00813736"/>
    <w:rsid w:val="00813C21"/>
    <w:rsid w:val="00813E9F"/>
    <w:rsid w:val="008142C9"/>
    <w:rsid w:val="008143E8"/>
    <w:rsid w:val="00814786"/>
    <w:rsid w:val="008147A9"/>
    <w:rsid w:val="0081481E"/>
    <w:rsid w:val="00814973"/>
    <w:rsid w:val="00814D27"/>
    <w:rsid w:val="00814DB2"/>
    <w:rsid w:val="00815168"/>
    <w:rsid w:val="00815326"/>
    <w:rsid w:val="00815469"/>
    <w:rsid w:val="0081556A"/>
    <w:rsid w:val="00815A90"/>
    <w:rsid w:val="00815FC7"/>
    <w:rsid w:val="0081600A"/>
    <w:rsid w:val="00816A00"/>
    <w:rsid w:val="00816B11"/>
    <w:rsid w:val="0081719F"/>
    <w:rsid w:val="00817654"/>
    <w:rsid w:val="00817BC2"/>
    <w:rsid w:val="00817BE2"/>
    <w:rsid w:val="00817D47"/>
    <w:rsid w:val="00817F97"/>
    <w:rsid w:val="00820247"/>
    <w:rsid w:val="00820482"/>
    <w:rsid w:val="00820529"/>
    <w:rsid w:val="008206D7"/>
    <w:rsid w:val="00820871"/>
    <w:rsid w:val="008209E2"/>
    <w:rsid w:val="00820BDF"/>
    <w:rsid w:val="00820F47"/>
    <w:rsid w:val="00821105"/>
    <w:rsid w:val="00821776"/>
    <w:rsid w:val="008217E3"/>
    <w:rsid w:val="00821A71"/>
    <w:rsid w:val="00821DB3"/>
    <w:rsid w:val="00821F30"/>
    <w:rsid w:val="00822023"/>
    <w:rsid w:val="008231B6"/>
    <w:rsid w:val="008232E5"/>
    <w:rsid w:val="0082336E"/>
    <w:rsid w:val="0082342B"/>
    <w:rsid w:val="00823AB4"/>
    <w:rsid w:val="00823F31"/>
    <w:rsid w:val="008244F1"/>
    <w:rsid w:val="008245B9"/>
    <w:rsid w:val="00825626"/>
    <w:rsid w:val="0082573F"/>
    <w:rsid w:val="00825A0B"/>
    <w:rsid w:val="008263C1"/>
    <w:rsid w:val="008268B8"/>
    <w:rsid w:val="00826A5E"/>
    <w:rsid w:val="00826A6A"/>
    <w:rsid w:val="00826C68"/>
    <w:rsid w:val="00826CE4"/>
    <w:rsid w:val="0082703F"/>
    <w:rsid w:val="00827201"/>
    <w:rsid w:val="00827611"/>
    <w:rsid w:val="008304CE"/>
    <w:rsid w:val="00830592"/>
    <w:rsid w:val="008305FF"/>
    <w:rsid w:val="0083087F"/>
    <w:rsid w:val="00830CDE"/>
    <w:rsid w:val="00830DFB"/>
    <w:rsid w:val="00831074"/>
    <w:rsid w:val="00831165"/>
    <w:rsid w:val="00831347"/>
    <w:rsid w:val="0083144F"/>
    <w:rsid w:val="008315E7"/>
    <w:rsid w:val="0083185D"/>
    <w:rsid w:val="00831A7E"/>
    <w:rsid w:val="00831EF7"/>
    <w:rsid w:val="0083211C"/>
    <w:rsid w:val="00832261"/>
    <w:rsid w:val="00832277"/>
    <w:rsid w:val="00832622"/>
    <w:rsid w:val="00832B60"/>
    <w:rsid w:val="00832BBE"/>
    <w:rsid w:val="00832D01"/>
    <w:rsid w:val="008331B7"/>
    <w:rsid w:val="0083333E"/>
    <w:rsid w:val="00833488"/>
    <w:rsid w:val="0083371C"/>
    <w:rsid w:val="00833765"/>
    <w:rsid w:val="00833A94"/>
    <w:rsid w:val="00833B02"/>
    <w:rsid w:val="008340C0"/>
    <w:rsid w:val="00834169"/>
    <w:rsid w:val="00834382"/>
    <w:rsid w:val="008343FE"/>
    <w:rsid w:val="00834940"/>
    <w:rsid w:val="00834AB3"/>
    <w:rsid w:val="00834E39"/>
    <w:rsid w:val="00835696"/>
    <w:rsid w:val="00835873"/>
    <w:rsid w:val="00835C6B"/>
    <w:rsid w:val="00835EE1"/>
    <w:rsid w:val="00835EE8"/>
    <w:rsid w:val="00836157"/>
    <w:rsid w:val="008361AB"/>
    <w:rsid w:val="00836A8C"/>
    <w:rsid w:val="00836EA4"/>
    <w:rsid w:val="008379C1"/>
    <w:rsid w:val="00840194"/>
    <w:rsid w:val="008403FF"/>
    <w:rsid w:val="00840CF6"/>
    <w:rsid w:val="00840F68"/>
    <w:rsid w:val="00840FA4"/>
    <w:rsid w:val="00841648"/>
    <w:rsid w:val="00841B49"/>
    <w:rsid w:val="00841BB0"/>
    <w:rsid w:val="00841DB4"/>
    <w:rsid w:val="00841F5E"/>
    <w:rsid w:val="00841FAE"/>
    <w:rsid w:val="00842222"/>
    <w:rsid w:val="00842873"/>
    <w:rsid w:val="00842912"/>
    <w:rsid w:val="00842BD8"/>
    <w:rsid w:val="0084304B"/>
    <w:rsid w:val="008436C7"/>
    <w:rsid w:val="008438DB"/>
    <w:rsid w:val="00843927"/>
    <w:rsid w:val="00843F22"/>
    <w:rsid w:val="008440A6"/>
    <w:rsid w:val="008446C9"/>
    <w:rsid w:val="008449EB"/>
    <w:rsid w:val="00844BE4"/>
    <w:rsid w:val="00845579"/>
    <w:rsid w:val="00845CA1"/>
    <w:rsid w:val="00845D98"/>
    <w:rsid w:val="00845D9C"/>
    <w:rsid w:val="008469CA"/>
    <w:rsid w:val="00846C50"/>
    <w:rsid w:val="00846CF4"/>
    <w:rsid w:val="00846D6B"/>
    <w:rsid w:val="00847214"/>
    <w:rsid w:val="008472B6"/>
    <w:rsid w:val="00847784"/>
    <w:rsid w:val="008477E0"/>
    <w:rsid w:val="00847CB4"/>
    <w:rsid w:val="00847D29"/>
    <w:rsid w:val="00847DCF"/>
    <w:rsid w:val="00850258"/>
    <w:rsid w:val="00850914"/>
    <w:rsid w:val="00850B59"/>
    <w:rsid w:val="00850F4D"/>
    <w:rsid w:val="00851149"/>
    <w:rsid w:val="00851187"/>
    <w:rsid w:val="0085131B"/>
    <w:rsid w:val="00851B59"/>
    <w:rsid w:val="00851D3A"/>
    <w:rsid w:val="00851DD0"/>
    <w:rsid w:val="00851EA7"/>
    <w:rsid w:val="00851F7D"/>
    <w:rsid w:val="00851FD6"/>
    <w:rsid w:val="0085209D"/>
    <w:rsid w:val="0085222B"/>
    <w:rsid w:val="00852888"/>
    <w:rsid w:val="00852C49"/>
    <w:rsid w:val="00852E6A"/>
    <w:rsid w:val="00853181"/>
    <w:rsid w:val="00853773"/>
    <w:rsid w:val="00853EB7"/>
    <w:rsid w:val="00853F83"/>
    <w:rsid w:val="008542AF"/>
    <w:rsid w:val="0085442D"/>
    <w:rsid w:val="008547E6"/>
    <w:rsid w:val="00854EE3"/>
    <w:rsid w:val="00854FB4"/>
    <w:rsid w:val="00855204"/>
    <w:rsid w:val="0085565B"/>
    <w:rsid w:val="008557C5"/>
    <w:rsid w:val="00855B0A"/>
    <w:rsid w:val="00855B6F"/>
    <w:rsid w:val="00855D2F"/>
    <w:rsid w:val="00855D69"/>
    <w:rsid w:val="00855DAB"/>
    <w:rsid w:val="00855E47"/>
    <w:rsid w:val="008561F5"/>
    <w:rsid w:val="00856624"/>
    <w:rsid w:val="008566C9"/>
    <w:rsid w:val="00856708"/>
    <w:rsid w:val="00856AEE"/>
    <w:rsid w:val="008572F7"/>
    <w:rsid w:val="00857450"/>
    <w:rsid w:val="00857476"/>
    <w:rsid w:val="008578F7"/>
    <w:rsid w:val="008578FD"/>
    <w:rsid w:val="00857B12"/>
    <w:rsid w:val="00857D4F"/>
    <w:rsid w:val="00857DC5"/>
    <w:rsid w:val="00857E2C"/>
    <w:rsid w:val="00857FEB"/>
    <w:rsid w:val="008602F9"/>
    <w:rsid w:val="00860396"/>
    <w:rsid w:val="008607D8"/>
    <w:rsid w:val="008607E6"/>
    <w:rsid w:val="00860B4C"/>
    <w:rsid w:val="00860E07"/>
    <w:rsid w:val="0086106C"/>
    <w:rsid w:val="00861708"/>
    <w:rsid w:val="00861959"/>
    <w:rsid w:val="00861BBF"/>
    <w:rsid w:val="00861CEE"/>
    <w:rsid w:val="00861E86"/>
    <w:rsid w:val="008625D0"/>
    <w:rsid w:val="008628F0"/>
    <w:rsid w:val="00862A88"/>
    <w:rsid w:val="00862A9B"/>
    <w:rsid w:val="00862B20"/>
    <w:rsid w:val="0086356E"/>
    <w:rsid w:val="0086363E"/>
    <w:rsid w:val="008636BE"/>
    <w:rsid w:val="00863708"/>
    <w:rsid w:val="008637AC"/>
    <w:rsid w:val="00863C4E"/>
    <w:rsid w:val="00863CD1"/>
    <w:rsid w:val="00863D7B"/>
    <w:rsid w:val="00863EE0"/>
    <w:rsid w:val="00863FB0"/>
    <w:rsid w:val="0086412B"/>
    <w:rsid w:val="00864313"/>
    <w:rsid w:val="00864BA2"/>
    <w:rsid w:val="00865373"/>
    <w:rsid w:val="00865B9C"/>
    <w:rsid w:val="008661B1"/>
    <w:rsid w:val="008663A9"/>
    <w:rsid w:val="0086681A"/>
    <w:rsid w:val="00866913"/>
    <w:rsid w:val="00866BB7"/>
    <w:rsid w:val="00866FA4"/>
    <w:rsid w:val="00867129"/>
    <w:rsid w:val="008671B1"/>
    <w:rsid w:val="008679F0"/>
    <w:rsid w:val="00867B87"/>
    <w:rsid w:val="00870245"/>
    <w:rsid w:val="008703A5"/>
    <w:rsid w:val="008703D4"/>
    <w:rsid w:val="00870612"/>
    <w:rsid w:val="00870A41"/>
    <w:rsid w:val="00870D4F"/>
    <w:rsid w:val="0087103F"/>
    <w:rsid w:val="0087120C"/>
    <w:rsid w:val="00871547"/>
    <w:rsid w:val="00871B92"/>
    <w:rsid w:val="008721B2"/>
    <w:rsid w:val="00872608"/>
    <w:rsid w:val="00872C7E"/>
    <w:rsid w:val="00872EC5"/>
    <w:rsid w:val="00872F97"/>
    <w:rsid w:val="00873052"/>
    <w:rsid w:val="0087316B"/>
    <w:rsid w:val="008736F0"/>
    <w:rsid w:val="00873B01"/>
    <w:rsid w:val="00873BC1"/>
    <w:rsid w:val="00873C06"/>
    <w:rsid w:val="00874143"/>
    <w:rsid w:val="00874302"/>
    <w:rsid w:val="008743E3"/>
    <w:rsid w:val="00874531"/>
    <w:rsid w:val="008746DF"/>
    <w:rsid w:val="008746E9"/>
    <w:rsid w:val="00874715"/>
    <w:rsid w:val="00875010"/>
    <w:rsid w:val="00875026"/>
    <w:rsid w:val="00875547"/>
    <w:rsid w:val="00875662"/>
    <w:rsid w:val="00875A40"/>
    <w:rsid w:val="00875C84"/>
    <w:rsid w:val="00875CB9"/>
    <w:rsid w:val="00876715"/>
    <w:rsid w:val="00876769"/>
    <w:rsid w:val="0087681F"/>
    <w:rsid w:val="00876921"/>
    <w:rsid w:val="00876C76"/>
    <w:rsid w:val="00876CF2"/>
    <w:rsid w:val="00876DF7"/>
    <w:rsid w:val="00877104"/>
    <w:rsid w:val="00877B2D"/>
    <w:rsid w:val="00877C73"/>
    <w:rsid w:val="00880051"/>
    <w:rsid w:val="0088025C"/>
    <w:rsid w:val="008806EF"/>
    <w:rsid w:val="008808CE"/>
    <w:rsid w:val="00880CEE"/>
    <w:rsid w:val="00880F26"/>
    <w:rsid w:val="008810C0"/>
    <w:rsid w:val="008812B5"/>
    <w:rsid w:val="00881461"/>
    <w:rsid w:val="00881873"/>
    <w:rsid w:val="00881DC2"/>
    <w:rsid w:val="00881FD5"/>
    <w:rsid w:val="00882729"/>
    <w:rsid w:val="00882888"/>
    <w:rsid w:val="008828AA"/>
    <w:rsid w:val="00882C77"/>
    <w:rsid w:val="008833C4"/>
    <w:rsid w:val="008833DD"/>
    <w:rsid w:val="008835E7"/>
    <w:rsid w:val="008836A2"/>
    <w:rsid w:val="00884030"/>
    <w:rsid w:val="00884658"/>
    <w:rsid w:val="00884869"/>
    <w:rsid w:val="008851B0"/>
    <w:rsid w:val="00885361"/>
    <w:rsid w:val="00885642"/>
    <w:rsid w:val="00885716"/>
    <w:rsid w:val="00885F13"/>
    <w:rsid w:val="00885FEA"/>
    <w:rsid w:val="008862EE"/>
    <w:rsid w:val="008863D4"/>
    <w:rsid w:val="008864CF"/>
    <w:rsid w:val="008869EB"/>
    <w:rsid w:val="0088714D"/>
    <w:rsid w:val="008875A9"/>
    <w:rsid w:val="00887769"/>
    <w:rsid w:val="0088781D"/>
    <w:rsid w:val="008879BC"/>
    <w:rsid w:val="00887D6C"/>
    <w:rsid w:val="00887EE8"/>
    <w:rsid w:val="0089007B"/>
    <w:rsid w:val="0089010A"/>
    <w:rsid w:val="00890710"/>
    <w:rsid w:val="00890E03"/>
    <w:rsid w:val="00890FC2"/>
    <w:rsid w:val="0089140A"/>
    <w:rsid w:val="00892191"/>
    <w:rsid w:val="0089222E"/>
    <w:rsid w:val="008922F6"/>
    <w:rsid w:val="00892829"/>
    <w:rsid w:val="008929B1"/>
    <w:rsid w:val="00892BED"/>
    <w:rsid w:val="00892E05"/>
    <w:rsid w:val="00893342"/>
    <w:rsid w:val="0089341C"/>
    <w:rsid w:val="008934B9"/>
    <w:rsid w:val="0089354B"/>
    <w:rsid w:val="0089362F"/>
    <w:rsid w:val="0089382A"/>
    <w:rsid w:val="00893885"/>
    <w:rsid w:val="00893F5A"/>
    <w:rsid w:val="008944EA"/>
    <w:rsid w:val="0089450A"/>
    <w:rsid w:val="008948D0"/>
    <w:rsid w:val="00894B61"/>
    <w:rsid w:val="00894B6F"/>
    <w:rsid w:val="00895067"/>
    <w:rsid w:val="008955B8"/>
    <w:rsid w:val="00895E75"/>
    <w:rsid w:val="008960F6"/>
    <w:rsid w:val="00896220"/>
    <w:rsid w:val="008963BE"/>
    <w:rsid w:val="008964E5"/>
    <w:rsid w:val="008976D0"/>
    <w:rsid w:val="00897CDB"/>
    <w:rsid w:val="008A02FB"/>
    <w:rsid w:val="008A031D"/>
    <w:rsid w:val="008A0374"/>
    <w:rsid w:val="008A03BA"/>
    <w:rsid w:val="008A054A"/>
    <w:rsid w:val="008A0649"/>
    <w:rsid w:val="008A08E2"/>
    <w:rsid w:val="008A0C14"/>
    <w:rsid w:val="008A0F5D"/>
    <w:rsid w:val="008A1282"/>
    <w:rsid w:val="008A130B"/>
    <w:rsid w:val="008A14AF"/>
    <w:rsid w:val="008A1C18"/>
    <w:rsid w:val="008A1DA0"/>
    <w:rsid w:val="008A2683"/>
    <w:rsid w:val="008A27BC"/>
    <w:rsid w:val="008A2AE4"/>
    <w:rsid w:val="008A2BDE"/>
    <w:rsid w:val="008A3109"/>
    <w:rsid w:val="008A3200"/>
    <w:rsid w:val="008A3769"/>
    <w:rsid w:val="008A3EA0"/>
    <w:rsid w:val="008A4D5E"/>
    <w:rsid w:val="008A4E9F"/>
    <w:rsid w:val="008A514B"/>
    <w:rsid w:val="008A5259"/>
    <w:rsid w:val="008A5518"/>
    <w:rsid w:val="008A5569"/>
    <w:rsid w:val="008A559C"/>
    <w:rsid w:val="008A5634"/>
    <w:rsid w:val="008A5D36"/>
    <w:rsid w:val="008A5DF8"/>
    <w:rsid w:val="008A60B7"/>
    <w:rsid w:val="008A6732"/>
    <w:rsid w:val="008A692E"/>
    <w:rsid w:val="008A6AAB"/>
    <w:rsid w:val="008A6D09"/>
    <w:rsid w:val="008A7033"/>
    <w:rsid w:val="008A7715"/>
    <w:rsid w:val="008B0226"/>
    <w:rsid w:val="008B06DF"/>
    <w:rsid w:val="008B0904"/>
    <w:rsid w:val="008B0953"/>
    <w:rsid w:val="008B0D35"/>
    <w:rsid w:val="008B0E85"/>
    <w:rsid w:val="008B0F4D"/>
    <w:rsid w:val="008B109D"/>
    <w:rsid w:val="008B11C9"/>
    <w:rsid w:val="008B1B00"/>
    <w:rsid w:val="008B1CAF"/>
    <w:rsid w:val="008B1E96"/>
    <w:rsid w:val="008B2042"/>
    <w:rsid w:val="008B24A4"/>
    <w:rsid w:val="008B24F8"/>
    <w:rsid w:val="008B2D6B"/>
    <w:rsid w:val="008B2E72"/>
    <w:rsid w:val="008B3412"/>
    <w:rsid w:val="008B387A"/>
    <w:rsid w:val="008B39A3"/>
    <w:rsid w:val="008B3A6D"/>
    <w:rsid w:val="008B470F"/>
    <w:rsid w:val="008B4B43"/>
    <w:rsid w:val="008B4E61"/>
    <w:rsid w:val="008B4F23"/>
    <w:rsid w:val="008B5005"/>
    <w:rsid w:val="008B582D"/>
    <w:rsid w:val="008B5C2B"/>
    <w:rsid w:val="008B5CF4"/>
    <w:rsid w:val="008B5F54"/>
    <w:rsid w:val="008B5FBE"/>
    <w:rsid w:val="008B64E0"/>
    <w:rsid w:val="008B673B"/>
    <w:rsid w:val="008B6798"/>
    <w:rsid w:val="008B69AD"/>
    <w:rsid w:val="008B6BA4"/>
    <w:rsid w:val="008B76C4"/>
    <w:rsid w:val="008B79A5"/>
    <w:rsid w:val="008B7C23"/>
    <w:rsid w:val="008C05EB"/>
    <w:rsid w:val="008C0632"/>
    <w:rsid w:val="008C0A72"/>
    <w:rsid w:val="008C0C60"/>
    <w:rsid w:val="008C0F0A"/>
    <w:rsid w:val="008C0F2F"/>
    <w:rsid w:val="008C1458"/>
    <w:rsid w:val="008C1FDA"/>
    <w:rsid w:val="008C2152"/>
    <w:rsid w:val="008C2324"/>
    <w:rsid w:val="008C2627"/>
    <w:rsid w:val="008C282E"/>
    <w:rsid w:val="008C2886"/>
    <w:rsid w:val="008C290B"/>
    <w:rsid w:val="008C2BB5"/>
    <w:rsid w:val="008C2ED8"/>
    <w:rsid w:val="008C311F"/>
    <w:rsid w:val="008C31E3"/>
    <w:rsid w:val="008C3366"/>
    <w:rsid w:val="008C36E3"/>
    <w:rsid w:val="008C388F"/>
    <w:rsid w:val="008C3A5F"/>
    <w:rsid w:val="008C3D6C"/>
    <w:rsid w:val="008C44CC"/>
    <w:rsid w:val="008C4654"/>
    <w:rsid w:val="008C4BEE"/>
    <w:rsid w:val="008C4E08"/>
    <w:rsid w:val="008C5201"/>
    <w:rsid w:val="008C526A"/>
    <w:rsid w:val="008C5C1F"/>
    <w:rsid w:val="008C6128"/>
    <w:rsid w:val="008C6468"/>
    <w:rsid w:val="008C6630"/>
    <w:rsid w:val="008C664F"/>
    <w:rsid w:val="008C67FE"/>
    <w:rsid w:val="008C68B6"/>
    <w:rsid w:val="008C691A"/>
    <w:rsid w:val="008C6C74"/>
    <w:rsid w:val="008C6E6C"/>
    <w:rsid w:val="008C6F50"/>
    <w:rsid w:val="008C709D"/>
    <w:rsid w:val="008C720E"/>
    <w:rsid w:val="008C7696"/>
    <w:rsid w:val="008C78E8"/>
    <w:rsid w:val="008C7A88"/>
    <w:rsid w:val="008C7AF4"/>
    <w:rsid w:val="008C7B3D"/>
    <w:rsid w:val="008C7EEE"/>
    <w:rsid w:val="008D0268"/>
    <w:rsid w:val="008D030C"/>
    <w:rsid w:val="008D04BB"/>
    <w:rsid w:val="008D064E"/>
    <w:rsid w:val="008D097B"/>
    <w:rsid w:val="008D0BA5"/>
    <w:rsid w:val="008D0C51"/>
    <w:rsid w:val="008D0FF8"/>
    <w:rsid w:val="008D112A"/>
    <w:rsid w:val="008D11F2"/>
    <w:rsid w:val="008D13E3"/>
    <w:rsid w:val="008D147D"/>
    <w:rsid w:val="008D1A87"/>
    <w:rsid w:val="008D1C3D"/>
    <w:rsid w:val="008D1F18"/>
    <w:rsid w:val="008D2820"/>
    <w:rsid w:val="008D28FB"/>
    <w:rsid w:val="008D29C0"/>
    <w:rsid w:val="008D2C4D"/>
    <w:rsid w:val="008D2F73"/>
    <w:rsid w:val="008D34E9"/>
    <w:rsid w:val="008D37DD"/>
    <w:rsid w:val="008D3A52"/>
    <w:rsid w:val="008D3B5D"/>
    <w:rsid w:val="008D3B9A"/>
    <w:rsid w:val="008D3C25"/>
    <w:rsid w:val="008D3F02"/>
    <w:rsid w:val="008D415F"/>
    <w:rsid w:val="008D4286"/>
    <w:rsid w:val="008D50B3"/>
    <w:rsid w:val="008D527E"/>
    <w:rsid w:val="008D56EF"/>
    <w:rsid w:val="008D57D3"/>
    <w:rsid w:val="008D5822"/>
    <w:rsid w:val="008D626C"/>
    <w:rsid w:val="008D654C"/>
    <w:rsid w:val="008D6746"/>
    <w:rsid w:val="008D6842"/>
    <w:rsid w:val="008D69B9"/>
    <w:rsid w:val="008D6C0A"/>
    <w:rsid w:val="008D715F"/>
    <w:rsid w:val="008D7447"/>
    <w:rsid w:val="008D779C"/>
    <w:rsid w:val="008D7A22"/>
    <w:rsid w:val="008D7F29"/>
    <w:rsid w:val="008E0093"/>
    <w:rsid w:val="008E011E"/>
    <w:rsid w:val="008E0878"/>
    <w:rsid w:val="008E0D99"/>
    <w:rsid w:val="008E12E5"/>
    <w:rsid w:val="008E143D"/>
    <w:rsid w:val="008E147B"/>
    <w:rsid w:val="008E1ED4"/>
    <w:rsid w:val="008E2169"/>
    <w:rsid w:val="008E3AD8"/>
    <w:rsid w:val="008E3B19"/>
    <w:rsid w:val="008E3B42"/>
    <w:rsid w:val="008E3C54"/>
    <w:rsid w:val="008E43AD"/>
    <w:rsid w:val="008E43D2"/>
    <w:rsid w:val="008E44A5"/>
    <w:rsid w:val="008E49C1"/>
    <w:rsid w:val="008E4ADD"/>
    <w:rsid w:val="008E4D49"/>
    <w:rsid w:val="008E5676"/>
    <w:rsid w:val="008E5AEE"/>
    <w:rsid w:val="008E63AA"/>
    <w:rsid w:val="008E63B2"/>
    <w:rsid w:val="008E6502"/>
    <w:rsid w:val="008E65A0"/>
    <w:rsid w:val="008E6AAD"/>
    <w:rsid w:val="008E737C"/>
    <w:rsid w:val="008E757F"/>
    <w:rsid w:val="008E7771"/>
    <w:rsid w:val="008E7832"/>
    <w:rsid w:val="008E788D"/>
    <w:rsid w:val="008E7B4E"/>
    <w:rsid w:val="008E7F91"/>
    <w:rsid w:val="008F094D"/>
    <w:rsid w:val="008F0B5E"/>
    <w:rsid w:val="008F0D4F"/>
    <w:rsid w:val="008F1D0B"/>
    <w:rsid w:val="008F1F0C"/>
    <w:rsid w:val="008F2012"/>
    <w:rsid w:val="008F2354"/>
    <w:rsid w:val="008F25EB"/>
    <w:rsid w:val="008F26AB"/>
    <w:rsid w:val="008F2A5D"/>
    <w:rsid w:val="008F2AC7"/>
    <w:rsid w:val="008F2D85"/>
    <w:rsid w:val="008F33E3"/>
    <w:rsid w:val="008F3A64"/>
    <w:rsid w:val="008F3D78"/>
    <w:rsid w:val="008F3E25"/>
    <w:rsid w:val="008F419B"/>
    <w:rsid w:val="008F4603"/>
    <w:rsid w:val="008F542B"/>
    <w:rsid w:val="008F5597"/>
    <w:rsid w:val="008F5A7A"/>
    <w:rsid w:val="008F5F15"/>
    <w:rsid w:val="008F6379"/>
    <w:rsid w:val="008F638D"/>
    <w:rsid w:val="008F6434"/>
    <w:rsid w:val="008F6627"/>
    <w:rsid w:val="008F664F"/>
    <w:rsid w:val="008F6949"/>
    <w:rsid w:val="008F6A1F"/>
    <w:rsid w:val="008F6AAB"/>
    <w:rsid w:val="008F6AFF"/>
    <w:rsid w:val="008F6D5E"/>
    <w:rsid w:val="008F6FC5"/>
    <w:rsid w:val="008F7697"/>
    <w:rsid w:val="008F79F8"/>
    <w:rsid w:val="008F7FB4"/>
    <w:rsid w:val="009003DC"/>
    <w:rsid w:val="00900429"/>
    <w:rsid w:val="00900629"/>
    <w:rsid w:val="009007C8"/>
    <w:rsid w:val="00900AA1"/>
    <w:rsid w:val="00900E5B"/>
    <w:rsid w:val="00901326"/>
    <w:rsid w:val="009016B4"/>
    <w:rsid w:val="009018F9"/>
    <w:rsid w:val="00901985"/>
    <w:rsid w:val="00901E64"/>
    <w:rsid w:val="00902069"/>
    <w:rsid w:val="0090264C"/>
    <w:rsid w:val="00902AB8"/>
    <w:rsid w:val="00902C57"/>
    <w:rsid w:val="00903020"/>
    <w:rsid w:val="009031DC"/>
    <w:rsid w:val="00904122"/>
    <w:rsid w:val="009041B1"/>
    <w:rsid w:val="0090433E"/>
    <w:rsid w:val="00904782"/>
    <w:rsid w:val="009049DD"/>
    <w:rsid w:val="00904A89"/>
    <w:rsid w:val="00904D33"/>
    <w:rsid w:val="00904FEC"/>
    <w:rsid w:val="009058D9"/>
    <w:rsid w:val="00905FF7"/>
    <w:rsid w:val="009062CF"/>
    <w:rsid w:val="009062F9"/>
    <w:rsid w:val="00906535"/>
    <w:rsid w:val="00906A01"/>
    <w:rsid w:val="00906DF6"/>
    <w:rsid w:val="00906F17"/>
    <w:rsid w:val="0090709F"/>
    <w:rsid w:val="00907F7A"/>
    <w:rsid w:val="00910009"/>
    <w:rsid w:val="00910126"/>
    <w:rsid w:val="009104A0"/>
    <w:rsid w:val="009105BD"/>
    <w:rsid w:val="009105E9"/>
    <w:rsid w:val="00910907"/>
    <w:rsid w:val="00910C5B"/>
    <w:rsid w:val="00910C6C"/>
    <w:rsid w:val="00910E55"/>
    <w:rsid w:val="009110DA"/>
    <w:rsid w:val="009111F2"/>
    <w:rsid w:val="00911559"/>
    <w:rsid w:val="0091157E"/>
    <w:rsid w:val="009117FD"/>
    <w:rsid w:val="00911905"/>
    <w:rsid w:val="00911AC4"/>
    <w:rsid w:val="00911BEE"/>
    <w:rsid w:val="00911C58"/>
    <w:rsid w:val="00911F52"/>
    <w:rsid w:val="00912191"/>
    <w:rsid w:val="009126B3"/>
    <w:rsid w:val="0091273B"/>
    <w:rsid w:val="009129BC"/>
    <w:rsid w:val="00912ACD"/>
    <w:rsid w:val="00912C0A"/>
    <w:rsid w:val="00912D99"/>
    <w:rsid w:val="00912F3C"/>
    <w:rsid w:val="00913012"/>
    <w:rsid w:val="00913121"/>
    <w:rsid w:val="00913614"/>
    <w:rsid w:val="00913A3A"/>
    <w:rsid w:val="00914298"/>
    <w:rsid w:val="00914857"/>
    <w:rsid w:val="00914C07"/>
    <w:rsid w:val="00914CAA"/>
    <w:rsid w:val="0091510D"/>
    <w:rsid w:val="0091519C"/>
    <w:rsid w:val="0091528F"/>
    <w:rsid w:val="0091570A"/>
    <w:rsid w:val="00915D11"/>
    <w:rsid w:val="00915FB6"/>
    <w:rsid w:val="0091616D"/>
    <w:rsid w:val="0091663B"/>
    <w:rsid w:val="00916B16"/>
    <w:rsid w:val="00916DB4"/>
    <w:rsid w:val="00916E2B"/>
    <w:rsid w:val="0091714E"/>
    <w:rsid w:val="00917645"/>
    <w:rsid w:val="009176E5"/>
    <w:rsid w:val="0091798A"/>
    <w:rsid w:val="00917AA5"/>
    <w:rsid w:val="00917F90"/>
    <w:rsid w:val="00917FDA"/>
    <w:rsid w:val="0092004C"/>
    <w:rsid w:val="009200E7"/>
    <w:rsid w:val="0092016C"/>
    <w:rsid w:val="00920385"/>
    <w:rsid w:val="00920977"/>
    <w:rsid w:val="009209B4"/>
    <w:rsid w:val="00920BFE"/>
    <w:rsid w:val="00920CAF"/>
    <w:rsid w:val="00920DE1"/>
    <w:rsid w:val="00921347"/>
    <w:rsid w:val="009215A0"/>
    <w:rsid w:val="009215E2"/>
    <w:rsid w:val="009217B4"/>
    <w:rsid w:val="0092190A"/>
    <w:rsid w:val="00921C1E"/>
    <w:rsid w:val="00921D13"/>
    <w:rsid w:val="00921D37"/>
    <w:rsid w:val="00921E84"/>
    <w:rsid w:val="00921FA2"/>
    <w:rsid w:val="00922A79"/>
    <w:rsid w:val="0092342B"/>
    <w:rsid w:val="00923436"/>
    <w:rsid w:val="00923635"/>
    <w:rsid w:val="00923681"/>
    <w:rsid w:val="00923750"/>
    <w:rsid w:val="00923C2B"/>
    <w:rsid w:val="00923D29"/>
    <w:rsid w:val="00924220"/>
    <w:rsid w:val="00924223"/>
    <w:rsid w:val="00924611"/>
    <w:rsid w:val="0092496F"/>
    <w:rsid w:val="00924A54"/>
    <w:rsid w:val="00924A59"/>
    <w:rsid w:val="00924CF6"/>
    <w:rsid w:val="0092586A"/>
    <w:rsid w:val="00925922"/>
    <w:rsid w:val="00925AA1"/>
    <w:rsid w:val="009265ED"/>
    <w:rsid w:val="00926999"/>
    <w:rsid w:val="00926ACC"/>
    <w:rsid w:val="00926E44"/>
    <w:rsid w:val="00926F75"/>
    <w:rsid w:val="009271CE"/>
    <w:rsid w:val="009275A1"/>
    <w:rsid w:val="009275D7"/>
    <w:rsid w:val="00927D63"/>
    <w:rsid w:val="00927E3D"/>
    <w:rsid w:val="009302A6"/>
    <w:rsid w:val="009305C4"/>
    <w:rsid w:val="00930E42"/>
    <w:rsid w:val="00930E8A"/>
    <w:rsid w:val="009315A0"/>
    <w:rsid w:val="00931652"/>
    <w:rsid w:val="00931C13"/>
    <w:rsid w:val="00931C38"/>
    <w:rsid w:val="00931EF6"/>
    <w:rsid w:val="00931FBC"/>
    <w:rsid w:val="00931FCA"/>
    <w:rsid w:val="00932080"/>
    <w:rsid w:val="009323F2"/>
    <w:rsid w:val="009327BB"/>
    <w:rsid w:val="00933291"/>
    <w:rsid w:val="00933536"/>
    <w:rsid w:val="00933A1D"/>
    <w:rsid w:val="00933C78"/>
    <w:rsid w:val="00933C7E"/>
    <w:rsid w:val="00933C80"/>
    <w:rsid w:val="00934278"/>
    <w:rsid w:val="00934417"/>
    <w:rsid w:val="009348BC"/>
    <w:rsid w:val="00934E50"/>
    <w:rsid w:val="00935166"/>
    <w:rsid w:val="009354BD"/>
    <w:rsid w:val="009356F3"/>
    <w:rsid w:val="00935DEA"/>
    <w:rsid w:val="00936289"/>
    <w:rsid w:val="00936328"/>
    <w:rsid w:val="00936563"/>
    <w:rsid w:val="00936725"/>
    <w:rsid w:val="0093692B"/>
    <w:rsid w:val="0093703F"/>
    <w:rsid w:val="009370C7"/>
    <w:rsid w:val="00937187"/>
    <w:rsid w:val="009376CA"/>
    <w:rsid w:val="0094020A"/>
    <w:rsid w:val="0094051F"/>
    <w:rsid w:val="009407F2"/>
    <w:rsid w:val="00940DFC"/>
    <w:rsid w:val="00940F9D"/>
    <w:rsid w:val="00940FC7"/>
    <w:rsid w:val="0094119F"/>
    <w:rsid w:val="009412C1"/>
    <w:rsid w:val="0094169C"/>
    <w:rsid w:val="00941779"/>
    <w:rsid w:val="00941976"/>
    <w:rsid w:val="00941AB0"/>
    <w:rsid w:val="00941AF0"/>
    <w:rsid w:val="00941DA9"/>
    <w:rsid w:val="009425E8"/>
    <w:rsid w:val="0094280E"/>
    <w:rsid w:val="00942837"/>
    <w:rsid w:val="00942CBE"/>
    <w:rsid w:val="009430F0"/>
    <w:rsid w:val="0094340B"/>
    <w:rsid w:val="009434F0"/>
    <w:rsid w:val="0094351A"/>
    <w:rsid w:val="009435D3"/>
    <w:rsid w:val="00943614"/>
    <w:rsid w:val="00943651"/>
    <w:rsid w:val="00943806"/>
    <w:rsid w:val="00943835"/>
    <w:rsid w:val="009438AE"/>
    <w:rsid w:val="00943A64"/>
    <w:rsid w:val="00943B59"/>
    <w:rsid w:val="00943C16"/>
    <w:rsid w:val="00944771"/>
    <w:rsid w:val="00944AFC"/>
    <w:rsid w:val="00944CA9"/>
    <w:rsid w:val="00944FC6"/>
    <w:rsid w:val="00945047"/>
    <w:rsid w:val="0094537A"/>
    <w:rsid w:val="00945380"/>
    <w:rsid w:val="00945604"/>
    <w:rsid w:val="0094599A"/>
    <w:rsid w:val="009459A8"/>
    <w:rsid w:val="009459BE"/>
    <w:rsid w:val="00945B8E"/>
    <w:rsid w:val="00945D22"/>
    <w:rsid w:val="00946010"/>
    <w:rsid w:val="0094625A"/>
    <w:rsid w:val="0094635C"/>
    <w:rsid w:val="0094641D"/>
    <w:rsid w:val="0094650D"/>
    <w:rsid w:val="00946738"/>
    <w:rsid w:val="00946A3A"/>
    <w:rsid w:val="00946A54"/>
    <w:rsid w:val="00946C11"/>
    <w:rsid w:val="00946D48"/>
    <w:rsid w:val="00947002"/>
    <w:rsid w:val="009472C9"/>
    <w:rsid w:val="00947445"/>
    <w:rsid w:val="0094756E"/>
    <w:rsid w:val="009475CD"/>
    <w:rsid w:val="00947603"/>
    <w:rsid w:val="009477E2"/>
    <w:rsid w:val="009479EF"/>
    <w:rsid w:val="00947C74"/>
    <w:rsid w:val="00947C88"/>
    <w:rsid w:val="00947C95"/>
    <w:rsid w:val="00947D52"/>
    <w:rsid w:val="00947E57"/>
    <w:rsid w:val="009504F1"/>
    <w:rsid w:val="0095094C"/>
    <w:rsid w:val="00950B5D"/>
    <w:rsid w:val="00950D94"/>
    <w:rsid w:val="009514B8"/>
    <w:rsid w:val="00951C99"/>
    <w:rsid w:val="00951F1C"/>
    <w:rsid w:val="00951F5A"/>
    <w:rsid w:val="0095218D"/>
    <w:rsid w:val="009527FB"/>
    <w:rsid w:val="009527FF"/>
    <w:rsid w:val="009528E0"/>
    <w:rsid w:val="00952A18"/>
    <w:rsid w:val="00952BF2"/>
    <w:rsid w:val="00953392"/>
    <w:rsid w:val="009536F6"/>
    <w:rsid w:val="00953A5D"/>
    <w:rsid w:val="009546EC"/>
    <w:rsid w:val="009546ED"/>
    <w:rsid w:val="00954B84"/>
    <w:rsid w:val="00954E70"/>
    <w:rsid w:val="00954F9D"/>
    <w:rsid w:val="009552DE"/>
    <w:rsid w:val="009553EC"/>
    <w:rsid w:val="00955488"/>
    <w:rsid w:val="00955B8A"/>
    <w:rsid w:val="00956038"/>
    <w:rsid w:val="009562EF"/>
    <w:rsid w:val="009563B6"/>
    <w:rsid w:val="00956404"/>
    <w:rsid w:val="00956512"/>
    <w:rsid w:val="0095683D"/>
    <w:rsid w:val="0095699A"/>
    <w:rsid w:val="00956A50"/>
    <w:rsid w:val="00956E0C"/>
    <w:rsid w:val="009570E8"/>
    <w:rsid w:val="0095715F"/>
    <w:rsid w:val="00957399"/>
    <w:rsid w:val="00957634"/>
    <w:rsid w:val="00957CA9"/>
    <w:rsid w:val="009608A3"/>
    <w:rsid w:val="00960BA7"/>
    <w:rsid w:val="009613F4"/>
    <w:rsid w:val="009614AC"/>
    <w:rsid w:val="00961C4C"/>
    <w:rsid w:val="00961D78"/>
    <w:rsid w:val="00962025"/>
    <w:rsid w:val="00962320"/>
    <w:rsid w:val="00962433"/>
    <w:rsid w:val="009626D9"/>
    <w:rsid w:val="00962769"/>
    <w:rsid w:val="00962F56"/>
    <w:rsid w:val="00963186"/>
    <w:rsid w:val="009631C2"/>
    <w:rsid w:val="009636CC"/>
    <w:rsid w:val="009636ED"/>
    <w:rsid w:val="009638CD"/>
    <w:rsid w:val="009639AD"/>
    <w:rsid w:val="00963A30"/>
    <w:rsid w:val="00963B92"/>
    <w:rsid w:val="00964A7F"/>
    <w:rsid w:val="00964D06"/>
    <w:rsid w:val="00964DF7"/>
    <w:rsid w:val="00964EE3"/>
    <w:rsid w:val="00964F91"/>
    <w:rsid w:val="0096548A"/>
    <w:rsid w:val="0096571D"/>
    <w:rsid w:val="0096581E"/>
    <w:rsid w:val="00965953"/>
    <w:rsid w:val="00965BE5"/>
    <w:rsid w:val="00965C98"/>
    <w:rsid w:val="00966161"/>
    <w:rsid w:val="009661FA"/>
    <w:rsid w:val="0096654D"/>
    <w:rsid w:val="009668A6"/>
    <w:rsid w:val="00966949"/>
    <w:rsid w:val="00966AF3"/>
    <w:rsid w:val="00966C98"/>
    <w:rsid w:val="009675CA"/>
    <w:rsid w:val="009676AA"/>
    <w:rsid w:val="00967A62"/>
    <w:rsid w:val="00967AFE"/>
    <w:rsid w:val="00967BE0"/>
    <w:rsid w:val="00967D43"/>
    <w:rsid w:val="00967E43"/>
    <w:rsid w:val="00967E4C"/>
    <w:rsid w:val="0097023E"/>
    <w:rsid w:val="00970980"/>
    <w:rsid w:val="009715FD"/>
    <w:rsid w:val="00971C6A"/>
    <w:rsid w:val="009722BA"/>
    <w:rsid w:val="009724D4"/>
    <w:rsid w:val="00972766"/>
    <w:rsid w:val="00972A9E"/>
    <w:rsid w:val="00972AFF"/>
    <w:rsid w:val="0097353D"/>
    <w:rsid w:val="00973E84"/>
    <w:rsid w:val="0097440B"/>
    <w:rsid w:val="00974E37"/>
    <w:rsid w:val="0097566A"/>
    <w:rsid w:val="00975693"/>
    <w:rsid w:val="009756C2"/>
    <w:rsid w:val="0097583A"/>
    <w:rsid w:val="00975B18"/>
    <w:rsid w:val="00975B7C"/>
    <w:rsid w:val="00975CA5"/>
    <w:rsid w:val="0097607C"/>
    <w:rsid w:val="009767BB"/>
    <w:rsid w:val="009767CE"/>
    <w:rsid w:val="00976A4A"/>
    <w:rsid w:val="00976C6C"/>
    <w:rsid w:val="00976D31"/>
    <w:rsid w:val="00976E63"/>
    <w:rsid w:val="00976F01"/>
    <w:rsid w:val="0097702F"/>
    <w:rsid w:val="009773A0"/>
    <w:rsid w:val="009773FD"/>
    <w:rsid w:val="009775AB"/>
    <w:rsid w:val="00977D19"/>
    <w:rsid w:val="00980625"/>
    <w:rsid w:val="009807ED"/>
    <w:rsid w:val="009811E2"/>
    <w:rsid w:val="00981318"/>
    <w:rsid w:val="0098151D"/>
    <w:rsid w:val="009815B8"/>
    <w:rsid w:val="009817E5"/>
    <w:rsid w:val="00981C35"/>
    <w:rsid w:val="00981C9B"/>
    <w:rsid w:val="0098227C"/>
    <w:rsid w:val="00982949"/>
    <w:rsid w:val="00982C03"/>
    <w:rsid w:val="00982C4A"/>
    <w:rsid w:val="00982CF2"/>
    <w:rsid w:val="00982F57"/>
    <w:rsid w:val="00983017"/>
    <w:rsid w:val="009830F9"/>
    <w:rsid w:val="0098325B"/>
    <w:rsid w:val="00983500"/>
    <w:rsid w:val="00983508"/>
    <w:rsid w:val="0098380D"/>
    <w:rsid w:val="00983EED"/>
    <w:rsid w:val="00984644"/>
    <w:rsid w:val="0098478B"/>
    <w:rsid w:val="00984AB5"/>
    <w:rsid w:val="00984B58"/>
    <w:rsid w:val="009850E6"/>
    <w:rsid w:val="00985282"/>
    <w:rsid w:val="00985410"/>
    <w:rsid w:val="00985F12"/>
    <w:rsid w:val="00985F18"/>
    <w:rsid w:val="00985F94"/>
    <w:rsid w:val="009860DE"/>
    <w:rsid w:val="009861A4"/>
    <w:rsid w:val="009862EC"/>
    <w:rsid w:val="0098679B"/>
    <w:rsid w:val="009868CA"/>
    <w:rsid w:val="00986A85"/>
    <w:rsid w:val="00986F8E"/>
    <w:rsid w:val="0098702D"/>
    <w:rsid w:val="00987480"/>
    <w:rsid w:val="0098774D"/>
    <w:rsid w:val="00987D68"/>
    <w:rsid w:val="00987FD1"/>
    <w:rsid w:val="00990C1D"/>
    <w:rsid w:val="00990D53"/>
    <w:rsid w:val="009912BC"/>
    <w:rsid w:val="00992045"/>
    <w:rsid w:val="0099237C"/>
    <w:rsid w:val="00992891"/>
    <w:rsid w:val="00992A1F"/>
    <w:rsid w:val="00992A56"/>
    <w:rsid w:val="00992D8B"/>
    <w:rsid w:val="009930F2"/>
    <w:rsid w:val="00993247"/>
    <w:rsid w:val="009942AA"/>
    <w:rsid w:val="009944D3"/>
    <w:rsid w:val="00994701"/>
    <w:rsid w:val="00994746"/>
    <w:rsid w:val="00994BF8"/>
    <w:rsid w:val="00994CED"/>
    <w:rsid w:val="00994EA3"/>
    <w:rsid w:val="0099508E"/>
    <w:rsid w:val="0099522A"/>
    <w:rsid w:val="00995C46"/>
    <w:rsid w:val="00995E31"/>
    <w:rsid w:val="009965C5"/>
    <w:rsid w:val="009968EF"/>
    <w:rsid w:val="00996930"/>
    <w:rsid w:val="0099727D"/>
    <w:rsid w:val="009974A7"/>
    <w:rsid w:val="0099759A"/>
    <w:rsid w:val="00997D8B"/>
    <w:rsid w:val="009A0455"/>
    <w:rsid w:val="009A06D4"/>
    <w:rsid w:val="009A06F7"/>
    <w:rsid w:val="009A08E7"/>
    <w:rsid w:val="009A0911"/>
    <w:rsid w:val="009A0D5C"/>
    <w:rsid w:val="009A0E47"/>
    <w:rsid w:val="009A0F1B"/>
    <w:rsid w:val="009A125C"/>
    <w:rsid w:val="009A142E"/>
    <w:rsid w:val="009A1517"/>
    <w:rsid w:val="009A16DF"/>
    <w:rsid w:val="009A1D73"/>
    <w:rsid w:val="009A206F"/>
    <w:rsid w:val="009A2090"/>
    <w:rsid w:val="009A353C"/>
    <w:rsid w:val="009A39D9"/>
    <w:rsid w:val="009A3A00"/>
    <w:rsid w:val="009A3BD9"/>
    <w:rsid w:val="009A40DA"/>
    <w:rsid w:val="009A4288"/>
    <w:rsid w:val="009A4368"/>
    <w:rsid w:val="009A43D7"/>
    <w:rsid w:val="009A470B"/>
    <w:rsid w:val="009A49AE"/>
    <w:rsid w:val="009A51CF"/>
    <w:rsid w:val="009A60C2"/>
    <w:rsid w:val="009A63C2"/>
    <w:rsid w:val="009A64E3"/>
    <w:rsid w:val="009A6789"/>
    <w:rsid w:val="009A6852"/>
    <w:rsid w:val="009A7352"/>
    <w:rsid w:val="009A73A5"/>
    <w:rsid w:val="009A764B"/>
    <w:rsid w:val="009A778C"/>
    <w:rsid w:val="009A7E2A"/>
    <w:rsid w:val="009B01B4"/>
    <w:rsid w:val="009B04EC"/>
    <w:rsid w:val="009B08D9"/>
    <w:rsid w:val="009B0C53"/>
    <w:rsid w:val="009B0CC1"/>
    <w:rsid w:val="009B0D65"/>
    <w:rsid w:val="009B10D8"/>
    <w:rsid w:val="009B11C6"/>
    <w:rsid w:val="009B1232"/>
    <w:rsid w:val="009B13FB"/>
    <w:rsid w:val="009B15C5"/>
    <w:rsid w:val="009B18F9"/>
    <w:rsid w:val="009B1C41"/>
    <w:rsid w:val="009B1FE7"/>
    <w:rsid w:val="009B20B7"/>
    <w:rsid w:val="009B28A3"/>
    <w:rsid w:val="009B29F8"/>
    <w:rsid w:val="009B2B63"/>
    <w:rsid w:val="009B2BD3"/>
    <w:rsid w:val="009B2DED"/>
    <w:rsid w:val="009B2E0C"/>
    <w:rsid w:val="009B3066"/>
    <w:rsid w:val="009B3165"/>
    <w:rsid w:val="009B34DC"/>
    <w:rsid w:val="009B363D"/>
    <w:rsid w:val="009B3C9F"/>
    <w:rsid w:val="009B453F"/>
    <w:rsid w:val="009B4610"/>
    <w:rsid w:val="009B476E"/>
    <w:rsid w:val="009B4880"/>
    <w:rsid w:val="009B48DE"/>
    <w:rsid w:val="009B493D"/>
    <w:rsid w:val="009B4EE9"/>
    <w:rsid w:val="009B4EF4"/>
    <w:rsid w:val="009B4F69"/>
    <w:rsid w:val="009B54FA"/>
    <w:rsid w:val="009B5A57"/>
    <w:rsid w:val="009B5EE8"/>
    <w:rsid w:val="009B5FC4"/>
    <w:rsid w:val="009B6197"/>
    <w:rsid w:val="009B6738"/>
    <w:rsid w:val="009B6897"/>
    <w:rsid w:val="009B6BC8"/>
    <w:rsid w:val="009B6D6B"/>
    <w:rsid w:val="009B70B2"/>
    <w:rsid w:val="009B7123"/>
    <w:rsid w:val="009B7633"/>
    <w:rsid w:val="009B777C"/>
    <w:rsid w:val="009B7894"/>
    <w:rsid w:val="009B79EC"/>
    <w:rsid w:val="009B7E98"/>
    <w:rsid w:val="009C01D1"/>
    <w:rsid w:val="009C077A"/>
    <w:rsid w:val="009C0828"/>
    <w:rsid w:val="009C0AFF"/>
    <w:rsid w:val="009C0B52"/>
    <w:rsid w:val="009C0DF0"/>
    <w:rsid w:val="009C0F66"/>
    <w:rsid w:val="009C17E2"/>
    <w:rsid w:val="009C23C5"/>
    <w:rsid w:val="009C2436"/>
    <w:rsid w:val="009C24DA"/>
    <w:rsid w:val="009C25A5"/>
    <w:rsid w:val="009C27EA"/>
    <w:rsid w:val="009C2C3F"/>
    <w:rsid w:val="009C2CCF"/>
    <w:rsid w:val="009C3052"/>
    <w:rsid w:val="009C3320"/>
    <w:rsid w:val="009C35C4"/>
    <w:rsid w:val="009C3AE8"/>
    <w:rsid w:val="009C3D54"/>
    <w:rsid w:val="009C3FA5"/>
    <w:rsid w:val="009C446A"/>
    <w:rsid w:val="009C4F30"/>
    <w:rsid w:val="009C5786"/>
    <w:rsid w:val="009C5AAE"/>
    <w:rsid w:val="009C5ADC"/>
    <w:rsid w:val="009C5C03"/>
    <w:rsid w:val="009C5CC1"/>
    <w:rsid w:val="009C61BD"/>
    <w:rsid w:val="009C6218"/>
    <w:rsid w:val="009C67D8"/>
    <w:rsid w:val="009C6F4B"/>
    <w:rsid w:val="009C72AF"/>
    <w:rsid w:val="009C75C5"/>
    <w:rsid w:val="009C7C87"/>
    <w:rsid w:val="009C7CB3"/>
    <w:rsid w:val="009C7D45"/>
    <w:rsid w:val="009C7F72"/>
    <w:rsid w:val="009D018C"/>
    <w:rsid w:val="009D020B"/>
    <w:rsid w:val="009D0427"/>
    <w:rsid w:val="009D0507"/>
    <w:rsid w:val="009D0F43"/>
    <w:rsid w:val="009D1D72"/>
    <w:rsid w:val="009D1ECD"/>
    <w:rsid w:val="009D230B"/>
    <w:rsid w:val="009D25C8"/>
    <w:rsid w:val="009D2695"/>
    <w:rsid w:val="009D309C"/>
    <w:rsid w:val="009D3806"/>
    <w:rsid w:val="009D3F15"/>
    <w:rsid w:val="009D43EC"/>
    <w:rsid w:val="009D44C9"/>
    <w:rsid w:val="009D46E9"/>
    <w:rsid w:val="009D47F6"/>
    <w:rsid w:val="009D4880"/>
    <w:rsid w:val="009D5722"/>
    <w:rsid w:val="009D5963"/>
    <w:rsid w:val="009D5F3D"/>
    <w:rsid w:val="009D6AA8"/>
    <w:rsid w:val="009D6C98"/>
    <w:rsid w:val="009D6D28"/>
    <w:rsid w:val="009D6E7A"/>
    <w:rsid w:val="009D6ED7"/>
    <w:rsid w:val="009D6F5F"/>
    <w:rsid w:val="009D71F6"/>
    <w:rsid w:val="009D7421"/>
    <w:rsid w:val="009D7A31"/>
    <w:rsid w:val="009D7CEA"/>
    <w:rsid w:val="009E0060"/>
    <w:rsid w:val="009E01E6"/>
    <w:rsid w:val="009E050F"/>
    <w:rsid w:val="009E0605"/>
    <w:rsid w:val="009E06F0"/>
    <w:rsid w:val="009E0F8E"/>
    <w:rsid w:val="009E0FBC"/>
    <w:rsid w:val="009E1043"/>
    <w:rsid w:val="009E123F"/>
    <w:rsid w:val="009E13C8"/>
    <w:rsid w:val="009E16E6"/>
    <w:rsid w:val="009E1958"/>
    <w:rsid w:val="009E1997"/>
    <w:rsid w:val="009E1AED"/>
    <w:rsid w:val="009E1B30"/>
    <w:rsid w:val="009E1B43"/>
    <w:rsid w:val="009E1BB2"/>
    <w:rsid w:val="009E1FC6"/>
    <w:rsid w:val="009E1FCD"/>
    <w:rsid w:val="009E23EA"/>
    <w:rsid w:val="009E2695"/>
    <w:rsid w:val="009E27B4"/>
    <w:rsid w:val="009E2941"/>
    <w:rsid w:val="009E2AFC"/>
    <w:rsid w:val="009E2C34"/>
    <w:rsid w:val="009E2D91"/>
    <w:rsid w:val="009E2F1F"/>
    <w:rsid w:val="009E359B"/>
    <w:rsid w:val="009E37DB"/>
    <w:rsid w:val="009E385E"/>
    <w:rsid w:val="009E3873"/>
    <w:rsid w:val="009E3902"/>
    <w:rsid w:val="009E395A"/>
    <w:rsid w:val="009E3A62"/>
    <w:rsid w:val="009E3CE9"/>
    <w:rsid w:val="009E4287"/>
    <w:rsid w:val="009E4895"/>
    <w:rsid w:val="009E4A68"/>
    <w:rsid w:val="009E4B8B"/>
    <w:rsid w:val="009E4F3D"/>
    <w:rsid w:val="009E55E9"/>
    <w:rsid w:val="009E57B1"/>
    <w:rsid w:val="009E5850"/>
    <w:rsid w:val="009E5AA3"/>
    <w:rsid w:val="009E5C0A"/>
    <w:rsid w:val="009E6071"/>
    <w:rsid w:val="009E6434"/>
    <w:rsid w:val="009E6A61"/>
    <w:rsid w:val="009E729B"/>
    <w:rsid w:val="009E73C7"/>
    <w:rsid w:val="009E78EF"/>
    <w:rsid w:val="009E7B17"/>
    <w:rsid w:val="009E7C2F"/>
    <w:rsid w:val="009F01D4"/>
    <w:rsid w:val="009F01E2"/>
    <w:rsid w:val="009F03E6"/>
    <w:rsid w:val="009F0999"/>
    <w:rsid w:val="009F0B26"/>
    <w:rsid w:val="009F0EC2"/>
    <w:rsid w:val="009F15B3"/>
    <w:rsid w:val="009F1737"/>
    <w:rsid w:val="009F1942"/>
    <w:rsid w:val="009F1C5A"/>
    <w:rsid w:val="009F1CBE"/>
    <w:rsid w:val="009F1D4A"/>
    <w:rsid w:val="009F1EEF"/>
    <w:rsid w:val="009F1F1F"/>
    <w:rsid w:val="009F1F4A"/>
    <w:rsid w:val="009F1F5C"/>
    <w:rsid w:val="009F2906"/>
    <w:rsid w:val="009F2B5A"/>
    <w:rsid w:val="009F2CCB"/>
    <w:rsid w:val="009F2D59"/>
    <w:rsid w:val="009F2DC4"/>
    <w:rsid w:val="009F2EC5"/>
    <w:rsid w:val="009F33EC"/>
    <w:rsid w:val="009F3469"/>
    <w:rsid w:val="009F351C"/>
    <w:rsid w:val="009F3785"/>
    <w:rsid w:val="009F3AE4"/>
    <w:rsid w:val="009F3B5A"/>
    <w:rsid w:val="009F4180"/>
    <w:rsid w:val="009F4190"/>
    <w:rsid w:val="009F4273"/>
    <w:rsid w:val="009F4277"/>
    <w:rsid w:val="009F43B1"/>
    <w:rsid w:val="009F43D5"/>
    <w:rsid w:val="009F46FD"/>
    <w:rsid w:val="009F4970"/>
    <w:rsid w:val="009F49E9"/>
    <w:rsid w:val="009F4E0E"/>
    <w:rsid w:val="009F4E1A"/>
    <w:rsid w:val="009F52EC"/>
    <w:rsid w:val="009F53DF"/>
    <w:rsid w:val="009F5495"/>
    <w:rsid w:val="009F5AA4"/>
    <w:rsid w:val="009F5CA1"/>
    <w:rsid w:val="009F611D"/>
    <w:rsid w:val="009F614C"/>
    <w:rsid w:val="009F65E8"/>
    <w:rsid w:val="009F680B"/>
    <w:rsid w:val="009F6CAC"/>
    <w:rsid w:val="009F6CFB"/>
    <w:rsid w:val="009F70D9"/>
    <w:rsid w:val="009F7383"/>
    <w:rsid w:val="00A0083C"/>
    <w:rsid w:val="00A00BA8"/>
    <w:rsid w:val="00A00CA0"/>
    <w:rsid w:val="00A00CD0"/>
    <w:rsid w:val="00A00D8A"/>
    <w:rsid w:val="00A00F8D"/>
    <w:rsid w:val="00A00FF8"/>
    <w:rsid w:val="00A011CE"/>
    <w:rsid w:val="00A018D1"/>
    <w:rsid w:val="00A01FE1"/>
    <w:rsid w:val="00A02610"/>
    <w:rsid w:val="00A02743"/>
    <w:rsid w:val="00A02BC3"/>
    <w:rsid w:val="00A02BC6"/>
    <w:rsid w:val="00A02BDE"/>
    <w:rsid w:val="00A02CB5"/>
    <w:rsid w:val="00A03226"/>
    <w:rsid w:val="00A03753"/>
    <w:rsid w:val="00A04414"/>
    <w:rsid w:val="00A045FB"/>
    <w:rsid w:val="00A0495A"/>
    <w:rsid w:val="00A04D63"/>
    <w:rsid w:val="00A04D7B"/>
    <w:rsid w:val="00A04D8F"/>
    <w:rsid w:val="00A04E14"/>
    <w:rsid w:val="00A04F12"/>
    <w:rsid w:val="00A053CD"/>
    <w:rsid w:val="00A05EBF"/>
    <w:rsid w:val="00A05FC2"/>
    <w:rsid w:val="00A067B3"/>
    <w:rsid w:val="00A06AB4"/>
    <w:rsid w:val="00A06E95"/>
    <w:rsid w:val="00A07010"/>
    <w:rsid w:val="00A07100"/>
    <w:rsid w:val="00A07470"/>
    <w:rsid w:val="00A07ADC"/>
    <w:rsid w:val="00A100CA"/>
    <w:rsid w:val="00A10123"/>
    <w:rsid w:val="00A1013D"/>
    <w:rsid w:val="00A10304"/>
    <w:rsid w:val="00A103EB"/>
    <w:rsid w:val="00A106C2"/>
    <w:rsid w:val="00A1087F"/>
    <w:rsid w:val="00A108BD"/>
    <w:rsid w:val="00A110D7"/>
    <w:rsid w:val="00A110EB"/>
    <w:rsid w:val="00A113FB"/>
    <w:rsid w:val="00A1170D"/>
    <w:rsid w:val="00A118A4"/>
    <w:rsid w:val="00A11DAD"/>
    <w:rsid w:val="00A11DD8"/>
    <w:rsid w:val="00A11DEF"/>
    <w:rsid w:val="00A11E74"/>
    <w:rsid w:val="00A1264B"/>
    <w:rsid w:val="00A12B31"/>
    <w:rsid w:val="00A12CCF"/>
    <w:rsid w:val="00A13097"/>
    <w:rsid w:val="00A13219"/>
    <w:rsid w:val="00A134DC"/>
    <w:rsid w:val="00A137B1"/>
    <w:rsid w:val="00A13816"/>
    <w:rsid w:val="00A13D38"/>
    <w:rsid w:val="00A13F5B"/>
    <w:rsid w:val="00A140D4"/>
    <w:rsid w:val="00A141AB"/>
    <w:rsid w:val="00A1479E"/>
    <w:rsid w:val="00A150E4"/>
    <w:rsid w:val="00A151B7"/>
    <w:rsid w:val="00A1525B"/>
    <w:rsid w:val="00A152C0"/>
    <w:rsid w:val="00A153F0"/>
    <w:rsid w:val="00A155BD"/>
    <w:rsid w:val="00A15990"/>
    <w:rsid w:val="00A15A6C"/>
    <w:rsid w:val="00A160F6"/>
    <w:rsid w:val="00A16535"/>
    <w:rsid w:val="00A169B2"/>
    <w:rsid w:val="00A16C28"/>
    <w:rsid w:val="00A16E19"/>
    <w:rsid w:val="00A16EFA"/>
    <w:rsid w:val="00A16EFF"/>
    <w:rsid w:val="00A16FE1"/>
    <w:rsid w:val="00A170A2"/>
    <w:rsid w:val="00A171B2"/>
    <w:rsid w:val="00A1730B"/>
    <w:rsid w:val="00A173B9"/>
    <w:rsid w:val="00A1748A"/>
    <w:rsid w:val="00A17601"/>
    <w:rsid w:val="00A1772A"/>
    <w:rsid w:val="00A177F7"/>
    <w:rsid w:val="00A17B3A"/>
    <w:rsid w:val="00A17ED3"/>
    <w:rsid w:val="00A20068"/>
    <w:rsid w:val="00A20193"/>
    <w:rsid w:val="00A20240"/>
    <w:rsid w:val="00A2035D"/>
    <w:rsid w:val="00A203BB"/>
    <w:rsid w:val="00A20457"/>
    <w:rsid w:val="00A2084D"/>
    <w:rsid w:val="00A20EA3"/>
    <w:rsid w:val="00A2134F"/>
    <w:rsid w:val="00A215C0"/>
    <w:rsid w:val="00A21AE5"/>
    <w:rsid w:val="00A21FD4"/>
    <w:rsid w:val="00A22017"/>
    <w:rsid w:val="00A220A1"/>
    <w:rsid w:val="00A22F61"/>
    <w:rsid w:val="00A239BD"/>
    <w:rsid w:val="00A239D2"/>
    <w:rsid w:val="00A23A75"/>
    <w:rsid w:val="00A24005"/>
    <w:rsid w:val="00A2411D"/>
    <w:rsid w:val="00A243C8"/>
    <w:rsid w:val="00A24D08"/>
    <w:rsid w:val="00A24E97"/>
    <w:rsid w:val="00A24F2D"/>
    <w:rsid w:val="00A24FD5"/>
    <w:rsid w:val="00A253BA"/>
    <w:rsid w:val="00A255DE"/>
    <w:rsid w:val="00A25620"/>
    <w:rsid w:val="00A25654"/>
    <w:rsid w:val="00A25BE9"/>
    <w:rsid w:val="00A25DF8"/>
    <w:rsid w:val="00A26416"/>
    <w:rsid w:val="00A2661F"/>
    <w:rsid w:val="00A26A30"/>
    <w:rsid w:val="00A2731F"/>
    <w:rsid w:val="00A27374"/>
    <w:rsid w:val="00A2741A"/>
    <w:rsid w:val="00A278C3"/>
    <w:rsid w:val="00A2F17B"/>
    <w:rsid w:val="00A30552"/>
    <w:rsid w:val="00A3081F"/>
    <w:rsid w:val="00A30929"/>
    <w:rsid w:val="00A309CC"/>
    <w:rsid w:val="00A30DDF"/>
    <w:rsid w:val="00A30F9C"/>
    <w:rsid w:val="00A30FB5"/>
    <w:rsid w:val="00A31153"/>
    <w:rsid w:val="00A3124A"/>
    <w:rsid w:val="00A314F0"/>
    <w:rsid w:val="00A318A8"/>
    <w:rsid w:val="00A318F7"/>
    <w:rsid w:val="00A31BCC"/>
    <w:rsid w:val="00A31F17"/>
    <w:rsid w:val="00A3226E"/>
    <w:rsid w:val="00A323C3"/>
    <w:rsid w:val="00A32409"/>
    <w:rsid w:val="00A32BC9"/>
    <w:rsid w:val="00A32E17"/>
    <w:rsid w:val="00A3369B"/>
    <w:rsid w:val="00A337CE"/>
    <w:rsid w:val="00A339C7"/>
    <w:rsid w:val="00A33B12"/>
    <w:rsid w:val="00A340B5"/>
    <w:rsid w:val="00A3435E"/>
    <w:rsid w:val="00A34364"/>
    <w:rsid w:val="00A343C1"/>
    <w:rsid w:val="00A34A97"/>
    <w:rsid w:val="00A34CF6"/>
    <w:rsid w:val="00A35214"/>
    <w:rsid w:val="00A35560"/>
    <w:rsid w:val="00A35994"/>
    <w:rsid w:val="00A35E5E"/>
    <w:rsid w:val="00A35F56"/>
    <w:rsid w:val="00A36207"/>
    <w:rsid w:val="00A36232"/>
    <w:rsid w:val="00A363B6"/>
    <w:rsid w:val="00A36737"/>
    <w:rsid w:val="00A368F2"/>
    <w:rsid w:val="00A36E53"/>
    <w:rsid w:val="00A372D9"/>
    <w:rsid w:val="00A37ED9"/>
    <w:rsid w:val="00A37EFB"/>
    <w:rsid w:val="00A37FCD"/>
    <w:rsid w:val="00A40465"/>
    <w:rsid w:val="00A40BEB"/>
    <w:rsid w:val="00A40DBE"/>
    <w:rsid w:val="00A411D2"/>
    <w:rsid w:val="00A41321"/>
    <w:rsid w:val="00A418BC"/>
    <w:rsid w:val="00A41D6C"/>
    <w:rsid w:val="00A4247C"/>
    <w:rsid w:val="00A42706"/>
    <w:rsid w:val="00A42A3A"/>
    <w:rsid w:val="00A42BAB"/>
    <w:rsid w:val="00A43200"/>
    <w:rsid w:val="00A43D36"/>
    <w:rsid w:val="00A43DE6"/>
    <w:rsid w:val="00A43E02"/>
    <w:rsid w:val="00A43E2C"/>
    <w:rsid w:val="00A4417B"/>
    <w:rsid w:val="00A44488"/>
    <w:rsid w:val="00A446BA"/>
    <w:rsid w:val="00A44FCC"/>
    <w:rsid w:val="00A45100"/>
    <w:rsid w:val="00A4520D"/>
    <w:rsid w:val="00A4540D"/>
    <w:rsid w:val="00A45735"/>
    <w:rsid w:val="00A45949"/>
    <w:rsid w:val="00A45E6F"/>
    <w:rsid w:val="00A45EBF"/>
    <w:rsid w:val="00A45F58"/>
    <w:rsid w:val="00A46200"/>
    <w:rsid w:val="00A4653A"/>
    <w:rsid w:val="00A46C5C"/>
    <w:rsid w:val="00A46CEB"/>
    <w:rsid w:val="00A46D2F"/>
    <w:rsid w:val="00A46DF6"/>
    <w:rsid w:val="00A472E5"/>
    <w:rsid w:val="00A47332"/>
    <w:rsid w:val="00A4790B"/>
    <w:rsid w:val="00A47A17"/>
    <w:rsid w:val="00A47A63"/>
    <w:rsid w:val="00A47C87"/>
    <w:rsid w:val="00A47E45"/>
    <w:rsid w:val="00A47F12"/>
    <w:rsid w:val="00A47FAE"/>
    <w:rsid w:val="00A47FC5"/>
    <w:rsid w:val="00A502C1"/>
    <w:rsid w:val="00A5093B"/>
    <w:rsid w:val="00A50A2A"/>
    <w:rsid w:val="00A50A73"/>
    <w:rsid w:val="00A50AAA"/>
    <w:rsid w:val="00A50C50"/>
    <w:rsid w:val="00A50DEA"/>
    <w:rsid w:val="00A51004"/>
    <w:rsid w:val="00A51151"/>
    <w:rsid w:val="00A513EA"/>
    <w:rsid w:val="00A5154B"/>
    <w:rsid w:val="00A51968"/>
    <w:rsid w:val="00A51B55"/>
    <w:rsid w:val="00A51C53"/>
    <w:rsid w:val="00A51EB2"/>
    <w:rsid w:val="00A52234"/>
    <w:rsid w:val="00A5226B"/>
    <w:rsid w:val="00A523E5"/>
    <w:rsid w:val="00A526BE"/>
    <w:rsid w:val="00A526CC"/>
    <w:rsid w:val="00A52805"/>
    <w:rsid w:val="00A528AE"/>
    <w:rsid w:val="00A52B4E"/>
    <w:rsid w:val="00A52C73"/>
    <w:rsid w:val="00A52D8C"/>
    <w:rsid w:val="00A53101"/>
    <w:rsid w:val="00A53402"/>
    <w:rsid w:val="00A5367B"/>
    <w:rsid w:val="00A53EE5"/>
    <w:rsid w:val="00A53FC8"/>
    <w:rsid w:val="00A549E1"/>
    <w:rsid w:val="00A54C51"/>
    <w:rsid w:val="00A54EAD"/>
    <w:rsid w:val="00A54F97"/>
    <w:rsid w:val="00A54FEB"/>
    <w:rsid w:val="00A55080"/>
    <w:rsid w:val="00A5520E"/>
    <w:rsid w:val="00A5536F"/>
    <w:rsid w:val="00A5547D"/>
    <w:rsid w:val="00A55D53"/>
    <w:rsid w:val="00A55D5E"/>
    <w:rsid w:val="00A55FED"/>
    <w:rsid w:val="00A56155"/>
    <w:rsid w:val="00A5623F"/>
    <w:rsid w:val="00A563EA"/>
    <w:rsid w:val="00A56642"/>
    <w:rsid w:val="00A56740"/>
    <w:rsid w:val="00A56E98"/>
    <w:rsid w:val="00A57924"/>
    <w:rsid w:val="00A57ED1"/>
    <w:rsid w:val="00A57EE5"/>
    <w:rsid w:val="00A60297"/>
    <w:rsid w:val="00A60330"/>
    <w:rsid w:val="00A60A20"/>
    <w:rsid w:val="00A6122A"/>
    <w:rsid w:val="00A6136C"/>
    <w:rsid w:val="00A61653"/>
    <w:rsid w:val="00A61918"/>
    <w:rsid w:val="00A61CD7"/>
    <w:rsid w:val="00A621A8"/>
    <w:rsid w:val="00A627F2"/>
    <w:rsid w:val="00A62AD3"/>
    <w:rsid w:val="00A62B67"/>
    <w:rsid w:val="00A62BE9"/>
    <w:rsid w:val="00A62C67"/>
    <w:rsid w:val="00A63373"/>
    <w:rsid w:val="00A63496"/>
    <w:rsid w:val="00A63F93"/>
    <w:rsid w:val="00A641A1"/>
    <w:rsid w:val="00A64201"/>
    <w:rsid w:val="00A64E7D"/>
    <w:rsid w:val="00A650C7"/>
    <w:rsid w:val="00A65222"/>
    <w:rsid w:val="00A65A2F"/>
    <w:rsid w:val="00A65B34"/>
    <w:rsid w:val="00A65BDB"/>
    <w:rsid w:val="00A65CA5"/>
    <w:rsid w:val="00A66174"/>
    <w:rsid w:val="00A66316"/>
    <w:rsid w:val="00A6655A"/>
    <w:rsid w:val="00A66CD4"/>
    <w:rsid w:val="00A66DB2"/>
    <w:rsid w:val="00A66DB4"/>
    <w:rsid w:val="00A66E00"/>
    <w:rsid w:val="00A674FD"/>
    <w:rsid w:val="00A67684"/>
    <w:rsid w:val="00A67714"/>
    <w:rsid w:val="00A6799A"/>
    <w:rsid w:val="00A679DE"/>
    <w:rsid w:val="00A7010E"/>
    <w:rsid w:val="00A71083"/>
    <w:rsid w:val="00A71161"/>
    <w:rsid w:val="00A717E9"/>
    <w:rsid w:val="00A71F98"/>
    <w:rsid w:val="00A71FCF"/>
    <w:rsid w:val="00A7204C"/>
    <w:rsid w:val="00A720A8"/>
    <w:rsid w:val="00A725C0"/>
    <w:rsid w:val="00A728F9"/>
    <w:rsid w:val="00A72F8E"/>
    <w:rsid w:val="00A7382E"/>
    <w:rsid w:val="00A738C5"/>
    <w:rsid w:val="00A73DC4"/>
    <w:rsid w:val="00A73ED2"/>
    <w:rsid w:val="00A74228"/>
    <w:rsid w:val="00A7426F"/>
    <w:rsid w:val="00A748B5"/>
    <w:rsid w:val="00A74D60"/>
    <w:rsid w:val="00A74DB7"/>
    <w:rsid w:val="00A7519D"/>
    <w:rsid w:val="00A7528A"/>
    <w:rsid w:val="00A75341"/>
    <w:rsid w:val="00A75AC5"/>
    <w:rsid w:val="00A76410"/>
    <w:rsid w:val="00A764D4"/>
    <w:rsid w:val="00A76A3D"/>
    <w:rsid w:val="00A76D26"/>
    <w:rsid w:val="00A76DF0"/>
    <w:rsid w:val="00A77190"/>
    <w:rsid w:val="00A77AE1"/>
    <w:rsid w:val="00A77BFF"/>
    <w:rsid w:val="00A77E67"/>
    <w:rsid w:val="00A77F9B"/>
    <w:rsid w:val="00A80039"/>
    <w:rsid w:val="00A8056C"/>
    <w:rsid w:val="00A8056D"/>
    <w:rsid w:val="00A80AE9"/>
    <w:rsid w:val="00A80AF6"/>
    <w:rsid w:val="00A81263"/>
    <w:rsid w:val="00A8167A"/>
    <w:rsid w:val="00A81F26"/>
    <w:rsid w:val="00A81FB6"/>
    <w:rsid w:val="00A8209A"/>
    <w:rsid w:val="00A82124"/>
    <w:rsid w:val="00A82323"/>
    <w:rsid w:val="00A82367"/>
    <w:rsid w:val="00A825C0"/>
    <w:rsid w:val="00A82801"/>
    <w:rsid w:val="00A8297C"/>
    <w:rsid w:val="00A82B7A"/>
    <w:rsid w:val="00A830E3"/>
    <w:rsid w:val="00A8314A"/>
    <w:rsid w:val="00A832AF"/>
    <w:rsid w:val="00A83327"/>
    <w:rsid w:val="00A8375E"/>
    <w:rsid w:val="00A83CDC"/>
    <w:rsid w:val="00A8405D"/>
    <w:rsid w:val="00A84713"/>
    <w:rsid w:val="00A84B1E"/>
    <w:rsid w:val="00A84C1F"/>
    <w:rsid w:val="00A84C53"/>
    <w:rsid w:val="00A851E9"/>
    <w:rsid w:val="00A851F3"/>
    <w:rsid w:val="00A85471"/>
    <w:rsid w:val="00A855F8"/>
    <w:rsid w:val="00A85A72"/>
    <w:rsid w:val="00A85F8F"/>
    <w:rsid w:val="00A86215"/>
    <w:rsid w:val="00A8633B"/>
    <w:rsid w:val="00A86832"/>
    <w:rsid w:val="00A872F5"/>
    <w:rsid w:val="00A87615"/>
    <w:rsid w:val="00A876D3"/>
    <w:rsid w:val="00A87A37"/>
    <w:rsid w:val="00A87EB5"/>
    <w:rsid w:val="00A87F13"/>
    <w:rsid w:val="00A908EF"/>
    <w:rsid w:val="00A90934"/>
    <w:rsid w:val="00A90A21"/>
    <w:rsid w:val="00A90AD1"/>
    <w:rsid w:val="00A90CE5"/>
    <w:rsid w:val="00A911CD"/>
    <w:rsid w:val="00A91607"/>
    <w:rsid w:val="00A916AB"/>
    <w:rsid w:val="00A91DC3"/>
    <w:rsid w:val="00A921E3"/>
    <w:rsid w:val="00A9221E"/>
    <w:rsid w:val="00A92312"/>
    <w:rsid w:val="00A92381"/>
    <w:rsid w:val="00A92805"/>
    <w:rsid w:val="00A9288D"/>
    <w:rsid w:val="00A92A79"/>
    <w:rsid w:val="00A92C60"/>
    <w:rsid w:val="00A92CBC"/>
    <w:rsid w:val="00A92DDF"/>
    <w:rsid w:val="00A9337E"/>
    <w:rsid w:val="00A93441"/>
    <w:rsid w:val="00A935ED"/>
    <w:rsid w:val="00A937CC"/>
    <w:rsid w:val="00A94034"/>
    <w:rsid w:val="00A941F0"/>
    <w:rsid w:val="00A94664"/>
    <w:rsid w:val="00A94711"/>
    <w:rsid w:val="00A94D02"/>
    <w:rsid w:val="00A951A0"/>
    <w:rsid w:val="00A954F0"/>
    <w:rsid w:val="00A9554C"/>
    <w:rsid w:val="00A95ECA"/>
    <w:rsid w:val="00A96130"/>
    <w:rsid w:val="00A96344"/>
    <w:rsid w:val="00A9670C"/>
    <w:rsid w:val="00A96878"/>
    <w:rsid w:val="00A96B60"/>
    <w:rsid w:val="00A96E90"/>
    <w:rsid w:val="00A96F94"/>
    <w:rsid w:val="00A97257"/>
    <w:rsid w:val="00A972FD"/>
    <w:rsid w:val="00A97D5B"/>
    <w:rsid w:val="00AA0392"/>
    <w:rsid w:val="00AA0460"/>
    <w:rsid w:val="00AA0B7E"/>
    <w:rsid w:val="00AA0C08"/>
    <w:rsid w:val="00AA0D87"/>
    <w:rsid w:val="00AA17DD"/>
    <w:rsid w:val="00AA1A36"/>
    <w:rsid w:val="00AA1FCB"/>
    <w:rsid w:val="00AA1FD1"/>
    <w:rsid w:val="00AA21CF"/>
    <w:rsid w:val="00AA21D6"/>
    <w:rsid w:val="00AA2A3F"/>
    <w:rsid w:val="00AA2C2C"/>
    <w:rsid w:val="00AA2D10"/>
    <w:rsid w:val="00AA3046"/>
    <w:rsid w:val="00AA319B"/>
    <w:rsid w:val="00AA36C6"/>
    <w:rsid w:val="00AA3EBE"/>
    <w:rsid w:val="00AA46C0"/>
    <w:rsid w:val="00AA4C16"/>
    <w:rsid w:val="00AA4FD3"/>
    <w:rsid w:val="00AA566B"/>
    <w:rsid w:val="00AA5809"/>
    <w:rsid w:val="00AA5B21"/>
    <w:rsid w:val="00AA5B79"/>
    <w:rsid w:val="00AA5D03"/>
    <w:rsid w:val="00AA6407"/>
    <w:rsid w:val="00AA6643"/>
    <w:rsid w:val="00AA68E7"/>
    <w:rsid w:val="00AA74BA"/>
    <w:rsid w:val="00AA7BE1"/>
    <w:rsid w:val="00AB0263"/>
    <w:rsid w:val="00AB03E6"/>
    <w:rsid w:val="00AB043E"/>
    <w:rsid w:val="00AB0958"/>
    <w:rsid w:val="00AB0A3E"/>
    <w:rsid w:val="00AB147E"/>
    <w:rsid w:val="00AB1528"/>
    <w:rsid w:val="00AB1A74"/>
    <w:rsid w:val="00AB1AFE"/>
    <w:rsid w:val="00AB1B4D"/>
    <w:rsid w:val="00AB2035"/>
    <w:rsid w:val="00AB2052"/>
    <w:rsid w:val="00AB2438"/>
    <w:rsid w:val="00AB2597"/>
    <w:rsid w:val="00AB290F"/>
    <w:rsid w:val="00AB2B94"/>
    <w:rsid w:val="00AB30E9"/>
    <w:rsid w:val="00AB324F"/>
    <w:rsid w:val="00AB35CE"/>
    <w:rsid w:val="00AB3D21"/>
    <w:rsid w:val="00AB4143"/>
    <w:rsid w:val="00AB423B"/>
    <w:rsid w:val="00AB43DB"/>
    <w:rsid w:val="00AB4879"/>
    <w:rsid w:val="00AB4B12"/>
    <w:rsid w:val="00AB4C08"/>
    <w:rsid w:val="00AB4CF4"/>
    <w:rsid w:val="00AB4D0D"/>
    <w:rsid w:val="00AB4D61"/>
    <w:rsid w:val="00AB4FD6"/>
    <w:rsid w:val="00AB5A42"/>
    <w:rsid w:val="00AB5CD3"/>
    <w:rsid w:val="00AB5E07"/>
    <w:rsid w:val="00AB5EF8"/>
    <w:rsid w:val="00AB5F24"/>
    <w:rsid w:val="00AB62FE"/>
    <w:rsid w:val="00AB6593"/>
    <w:rsid w:val="00AB66C2"/>
    <w:rsid w:val="00AB68F4"/>
    <w:rsid w:val="00AB6B64"/>
    <w:rsid w:val="00AB6F1E"/>
    <w:rsid w:val="00AB736E"/>
    <w:rsid w:val="00AB78A7"/>
    <w:rsid w:val="00AB7A53"/>
    <w:rsid w:val="00AB7B5D"/>
    <w:rsid w:val="00AB7C77"/>
    <w:rsid w:val="00AC0240"/>
    <w:rsid w:val="00AC0395"/>
    <w:rsid w:val="00AC0544"/>
    <w:rsid w:val="00AC078B"/>
    <w:rsid w:val="00AC093D"/>
    <w:rsid w:val="00AC1247"/>
    <w:rsid w:val="00AC14B7"/>
    <w:rsid w:val="00AC1675"/>
    <w:rsid w:val="00AC17D7"/>
    <w:rsid w:val="00AC1FCE"/>
    <w:rsid w:val="00AC2672"/>
    <w:rsid w:val="00AC287E"/>
    <w:rsid w:val="00AC2BAE"/>
    <w:rsid w:val="00AC2E9A"/>
    <w:rsid w:val="00AC2EC5"/>
    <w:rsid w:val="00AC3006"/>
    <w:rsid w:val="00AC3129"/>
    <w:rsid w:val="00AC3196"/>
    <w:rsid w:val="00AC3789"/>
    <w:rsid w:val="00AC3A0E"/>
    <w:rsid w:val="00AC3C4F"/>
    <w:rsid w:val="00AC3C62"/>
    <w:rsid w:val="00AC3C84"/>
    <w:rsid w:val="00AC3CBF"/>
    <w:rsid w:val="00AC3F88"/>
    <w:rsid w:val="00AC4405"/>
    <w:rsid w:val="00AC45AB"/>
    <w:rsid w:val="00AC49AC"/>
    <w:rsid w:val="00AC4A41"/>
    <w:rsid w:val="00AC4CB2"/>
    <w:rsid w:val="00AC5036"/>
    <w:rsid w:val="00AC51AA"/>
    <w:rsid w:val="00AC5272"/>
    <w:rsid w:val="00AC552B"/>
    <w:rsid w:val="00AC580A"/>
    <w:rsid w:val="00AC5C17"/>
    <w:rsid w:val="00AC5F8E"/>
    <w:rsid w:val="00AC619B"/>
    <w:rsid w:val="00AC687F"/>
    <w:rsid w:val="00AC6AFA"/>
    <w:rsid w:val="00AC6BD4"/>
    <w:rsid w:val="00AC6C8B"/>
    <w:rsid w:val="00AC72C3"/>
    <w:rsid w:val="00AC7652"/>
    <w:rsid w:val="00AC7671"/>
    <w:rsid w:val="00AC76C9"/>
    <w:rsid w:val="00AC79B5"/>
    <w:rsid w:val="00AC7CF4"/>
    <w:rsid w:val="00AC7D58"/>
    <w:rsid w:val="00AD0066"/>
    <w:rsid w:val="00AD00BC"/>
    <w:rsid w:val="00AD0959"/>
    <w:rsid w:val="00AD09E7"/>
    <w:rsid w:val="00AD0BFC"/>
    <w:rsid w:val="00AD0D0B"/>
    <w:rsid w:val="00AD1015"/>
    <w:rsid w:val="00AD11BA"/>
    <w:rsid w:val="00AD1BAE"/>
    <w:rsid w:val="00AD2086"/>
    <w:rsid w:val="00AD24DE"/>
    <w:rsid w:val="00AD25A9"/>
    <w:rsid w:val="00AD2C97"/>
    <w:rsid w:val="00AD2E22"/>
    <w:rsid w:val="00AD2F19"/>
    <w:rsid w:val="00AD2F82"/>
    <w:rsid w:val="00AD2F91"/>
    <w:rsid w:val="00AD30F5"/>
    <w:rsid w:val="00AD32E8"/>
    <w:rsid w:val="00AD366D"/>
    <w:rsid w:val="00AD3A0C"/>
    <w:rsid w:val="00AD3B2A"/>
    <w:rsid w:val="00AD3B98"/>
    <w:rsid w:val="00AD42CC"/>
    <w:rsid w:val="00AD4961"/>
    <w:rsid w:val="00AD4A55"/>
    <w:rsid w:val="00AD4F03"/>
    <w:rsid w:val="00AD5269"/>
    <w:rsid w:val="00AD57B3"/>
    <w:rsid w:val="00AD583A"/>
    <w:rsid w:val="00AD67FA"/>
    <w:rsid w:val="00AD6872"/>
    <w:rsid w:val="00AD6B54"/>
    <w:rsid w:val="00AD6BE0"/>
    <w:rsid w:val="00AD6D39"/>
    <w:rsid w:val="00AD6EE3"/>
    <w:rsid w:val="00AD7113"/>
    <w:rsid w:val="00AD7444"/>
    <w:rsid w:val="00AD7584"/>
    <w:rsid w:val="00AD75CE"/>
    <w:rsid w:val="00AD7629"/>
    <w:rsid w:val="00AD7AC8"/>
    <w:rsid w:val="00AD7C7A"/>
    <w:rsid w:val="00AE0265"/>
    <w:rsid w:val="00AE0786"/>
    <w:rsid w:val="00AE11B8"/>
    <w:rsid w:val="00AE197F"/>
    <w:rsid w:val="00AE1DC8"/>
    <w:rsid w:val="00AE1F9C"/>
    <w:rsid w:val="00AE2014"/>
    <w:rsid w:val="00AE24CB"/>
    <w:rsid w:val="00AE24D7"/>
    <w:rsid w:val="00AE27AD"/>
    <w:rsid w:val="00AE292F"/>
    <w:rsid w:val="00AE2963"/>
    <w:rsid w:val="00AE29E1"/>
    <w:rsid w:val="00AE2A4F"/>
    <w:rsid w:val="00AE2EDE"/>
    <w:rsid w:val="00AE30A7"/>
    <w:rsid w:val="00AE343D"/>
    <w:rsid w:val="00AE3DF4"/>
    <w:rsid w:val="00AE4060"/>
    <w:rsid w:val="00AE43FB"/>
    <w:rsid w:val="00AE45F2"/>
    <w:rsid w:val="00AE46AB"/>
    <w:rsid w:val="00AE487E"/>
    <w:rsid w:val="00AE489A"/>
    <w:rsid w:val="00AE4CFE"/>
    <w:rsid w:val="00AE4D9A"/>
    <w:rsid w:val="00AE4E42"/>
    <w:rsid w:val="00AE4F93"/>
    <w:rsid w:val="00AE5027"/>
    <w:rsid w:val="00AE5426"/>
    <w:rsid w:val="00AE55CD"/>
    <w:rsid w:val="00AE5773"/>
    <w:rsid w:val="00AE610C"/>
    <w:rsid w:val="00AE67A3"/>
    <w:rsid w:val="00AE7189"/>
    <w:rsid w:val="00AE75C4"/>
    <w:rsid w:val="00AE7A3F"/>
    <w:rsid w:val="00AF01C3"/>
    <w:rsid w:val="00AF039D"/>
    <w:rsid w:val="00AF08A7"/>
    <w:rsid w:val="00AF0E40"/>
    <w:rsid w:val="00AF0F7C"/>
    <w:rsid w:val="00AF1195"/>
    <w:rsid w:val="00AF13FD"/>
    <w:rsid w:val="00AF1690"/>
    <w:rsid w:val="00AF178D"/>
    <w:rsid w:val="00AF1B91"/>
    <w:rsid w:val="00AF1F40"/>
    <w:rsid w:val="00AF1F5B"/>
    <w:rsid w:val="00AF1F8A"/>
    <w:rsid w:val="00AF205A"/>
    <w:rsid w:val="00AF2145"/>
    <w:rsid w:val="00AF261A"/>
    <w:rsid w:val="00AF26EC"/>
    <w:rsid w:val="00AF2CC5"/>
    <w:rsid w:val="00AF2DA2"/>
    <w:rsid w:val="00AF324C"/>
    <w:rsid w:val="00AF339E"/>
    <w:rsid w:val="00AF3475"/>
    <w:rsid w:val="00AF361A"/>
    <w:rsid w:val="00AF36D0"/>
    <w:rsid w:val="00AF3EB4"/>
    <w:rsid w:val="00AF3F2D"/>
    <w:rsid w:val="00AF45C7"/>
    <w:rsid w:val="00AF47CF"/>
    <w:rsid w:val="00AF4B3E"/>
    <w:rsid w:val="00AF4F81"/>
    <w:rsid w:val="00AF5159"/>
    <w:rsid w:val="00AF53A9"/>
    <w:rsid w:val="00AF571F"/>
    <w:rsid w:val="00AF5BB4"/>
    <w:rsid w:val="00AF5CCF"/>
    <w:rsid w:val="00AF5CF6"/>
    <w:rsid w:val="00AF5D1A"/>
    <w:rsid w:val="00AF5D45"/>
    <w:rsid w:val="00AF5EB0"/>
    <w:rsid w:val="00AF6172"/>
    <w:rsid w:val="00AF6355"/>
    <w:rsid w:val="00AF63DF"/>
    <w:rsid w:val="00AF66A0"/>
    <w:rsid w:val="00AF69A4"/>
    <w:rsid w:val="00AF7010"/>
    <w:rsid w:val="00AF72CD"/>
    <w:rsid w:val="00AF73C6"/>
    <w:rsid w:val="00AF73E9"/>
    <w:rsid w:val="00AF74A3"/>
    <w:rsid w:val="00AF7500"/>
    <w:rsid w:val="00AF77A1"/>
    <w:rsid w:val="00AF7821"/>
    <w:rsid w:val="00AF7898"/>
    <w:rsid w:val="00AF7D4D"/>
    <w:rsid w:val="00B005D6"/>
    <w:rsid w:val="00B00923"/>
    <w:rsid w:val="00B00AFF"/>
    <w:rsid w:val="00B00E15"/>
    <w:rsid w:val="00B0108F"/>
    <w:rsid w:val="00B01BAD"/>
    <w:rsid w:val="00B01E9A"/>
    <w:rsid w:val="00B01F7C"/>
    <w:rsid w:val="00B0244B"/>
    <w:rsid w:val="00B025DB"/>
    <w:rsid w:val="00B02BA9"/>
    <w:rsid w:val="00B02C65"/>
    <w:rsid w:val="00B02FD7"/>
    <w:rsid w:val="00B0327B"/>
    <w:rsid w:val="00B034E9"/>
    <w:rsid w:val="00B03654"/>
    <w:rsid w:val="00B039AC"/>
    <w:rsid w:val="00B03BB0"/>
    <w:rsid w:val="00B03E9E"/>
    <w:rsid w:val="00B03F1B"/>
    <w:rsid w:val="00B0411A"/>
    <w:rsid w:val="00B0423C"/>
    <w:rsid w:val="00B0452F"/>
    <w:rsid w:val="00B049F4"/>
    <w:rsid w:val="00B04BEC"/>
    <w:rsid w:val="00B04C63"/>
    <w:rsid w:val="00B04DD0"/>
    <w:rsid w:val="00B05409"/>
    <w:rsid w:val="00B05C32"/>
    <w:rsid w:val="00B05D71"/>
    <w:rsid w:val="00B05E0F"/>
    <w:rsid w:val="00B05E8A"/>
    <w:rsid w:val="00B06064"/>
    <w:rsid w:val="00B063F7"/>
    <w:rsid w:val="00B06766"/>
    <w:rsid w:val="00B069E6"/>
    <w:rsid w:val="00B07088"/>
    <w:rsid w:val="00B078CE"/>
    <w:rsid w:val="00B07B5D"/>
    <w:rsid w:val="00B07B9D"/>
    <w:rsid w:val="00B10067"/>
    <w:rsid w:val="00B103B1"/>
    <w:rsid w:val="00B1084B"/>
    <w:rsid w:val="00B108FF"/>
    <w:rsid w:val="00B10B7E"/>
    <w:rsid w:val="00B10C23"/>
    <w:rsid w:val="00B10D25"/>
    <w:rsid w:val="00B10EC1"/>
    <w:rsid w:val="00B11060"/>
    <w:rsid w:val="00B11775"/>
    <w:rsid w:val="00B117EF"/>
    <w:rsid w:val="00B119C1"/>
    <w:rsid w:val="00B11A09"/>
    <w:rsid w:val="00B12065"/>
    <w:rsid w:val="00B1237F"/>
    <w:rsid w:val="00B1238C"/>
    <w:rsid w:val="00B1266C"/>
    <w:rsid w:val="00B12705"/>
    <w:rsid w:val="00B1295A"/>
    <w:rsid w:val="00B12AE8"/>
    <w:rsid w:val="00B12B06"/>
    <w:rsid w:val="00B13066"/>
    <w:rsid w:val="00B131FC"/>
    <w:rsid w:val="00B136EB"/>
    <w:rsid w:val="00B14031"/>
    <w:rsid w:val="00B143F9"/>
    <w:rsid w:val="00B14ACE"/>
    <w:rsid w:val="00B14F61"/>
    <w:rsid w:val="00B15008"/>
    <w:rsid w:val="00B153B9"/>
    <w:rsid w:val="00B1549C"/>
    <w:rsid w:val="00B15770"/>
    <w:rsid w:val="00B15A9D"/>
    <w:rsid w:val="00B16A0D"/>
    <w:rsid w:val="00B16CE1"/>
    <w:rsid w:val="00B16DD1"/>
    <w:rsid w:val="00B16E6B"/>
    <w:rsid w:val="00B16FF4"/>
    <w:rsid w:val="00B17B7E"/>
    <w:rsid w:val="00B17BF2"/>
    <w:rsid w:val="00B17E99"/>
    <w:rsid w:val="00B205F0"/>
    <w:rsid w:val="00B20B30"/>
    <w:rsid w:val="00B20D6B"/>
    <w:rsid w:val="00B2102B"/>
    <w:rsid w:val="00B217A7"/>
    <w:rsid w:val="00B21896"/>
    <w:rsid w:val="00B21AFA"/>
    <w:rsid w:val="00B21CFA"/>
    <w:rsid w:val="00B21D90"/>
    <w:rsid w:val="00B220C3"/>
    <w:rsid w:val="00B221BD"/>
    <w:rsid w:val="00B2235F"/>
    <w:rsid w:val="00B2250D"/>
    <w:rsid w:val="00B22515"/>
    <w:rsid w:val="00B22576"/>
    <w:rsid w:val="00B22FE4"/>
    <w:rsid w:val="00B230FC"/>
    <w:rsid w:val="00B2367A"/>
    <w:rsid w:val="00B239C4"/>
    <w:rsid w:val="00B24241"/>
    <w:rsid w:val="00B243F9"/>
    <w:rsid w:val="00B24763"/>
    <w:rsid w:val="00B248C3"/>
    <w:rsid w:val="00B24E77"/>
    <w:rsid w:val="00B25023"/>
    <w:rsid w:val="00B25580"/>
    <w:rsid w:val="00B25913"/>
    <w:rsid w:val="00B25EBA"/>
    <w:rsid w:val="00B26140"/>
    <w:rsid w:val="00B26200"/>
    <w:rsid w:val="00B264ED"/>
    <w:rsid w:val="00B2684C"/>
    <w:rsid w:val="00B2687F"/>
    <w:rsid w:val="00B26D7E"/>
    <w:rsid w:val="00B26E86"/>
    <w:rsid w:val="00B2728E"/>
    <w:rsid w:val="00B27291"/>
    <w:rsid w:val="00B27360"/>
    <w:rsid w:val="00B27825"/>
    <w:rsid w:val="00B27889"/>
    <w:rsid w:val="00B27BEB"/>
    <w:rsid w:val="00B27E9A"/>
    <w:rsid w:val="00B30394"/>
    <w:rsid w:val="00B30B89"/>
    <w:rsid w:val="00B30C47"/>
    <w:rsid w:val="00B30DFE"/>
    <w:rsid w:val="00B30EC6"/>
    <w:rsid w:val="00B30EF0"/>
    <w:rsid w:val="00B310FF"/>
    <w:rsid w:val="00B314DF"/>
    <w:rsid w:val="00B3171A"/>
    <w:rsid w:val="00B31AA2"/>
    <w:rsid w:val="00B31AB6"/>
    <w:rsid w:val="00B31B39"/>
    <w:rsid w:val="00B31F9C"/>
    <w:rsid w:val="00B32517"/>
    <w:rsid w:val="00B32B23"/>
    <w:rsid w:val="00B32BCB"/>
    <w:rsid w:val="00B32D1D"/>
    <w:rsid w:val="00B33773"/>
    <w:rsid w:val="00B33EC6"/>
    <w:rsid w:val="00B3416D"/>
    <w:rsid w:val="00B34186"/>
    <w:rsid w:val="00B343CA"/>
    <w:rsid w:val="00B3481B"/>
    <w:rsid w:val="00B34DD5"/>
    <w:rsid w:val="00B34FD1"/>
    <w:rsid w:val="00B34FE4"/>
    <w:rsid w:val="00B3518F"/>
    <w:rsid w:val="00B3607F"/>
    <w:rsid w:val="00B36339"/>
    <w:rsid w:val="00B36B02"/>
    <w:rsid w:val="00B36CEC"/>
    <w:rsid w:val="00B36F79"/>
    <w:rsid w:val="00B37417"/>
    <w:rsid w:val="00B37C1E"/>
    <w:rsid w:val="00B37D14"/>
    <w:rsid w:val="00B37D51"/>
    <w:rsid w:val="00B37E0B"/>
    <w:rsid w:val="00B37E4D"/>
    <w:rsid w:val="00B40268"/>
    <w:rsid w:val="00B40A35"/>
    <w:rsid w:val="00B40FFE"/>
    <w:rsid w:val="00B410BD"/>
    <w:rsid w:val="00B415E7"/>
    <w:rsid w:val="00B419D6"/>
    <w:rsid w:val="00B41A6F"/>
    <w:rsid w:val="00B41B84"/>
    <w:rsid w:val="00B41BD5"/>
    <w:rsid w:val="00B421C5"/>
    <w:rsid w:val="00B4228A"/>
    <w:rsid w:val="00B42396"/>
    <w:rsid w:val="00B426CB"/>
    <w:rsid w:val="00B428EF"/>
    <w:rsid w:val="00B42E22"/>
    <w:rsid w:val="00B432F8"/>
    <w:rsid w:val="00B43AAA"/>
    <w:rsid w:val="00B43CBD"/>
    <w:rsid w:val="00B43D08"/>
    <w:rsid w:val="00B43F5D"/>
    <w:rsid w:val="00B43FF3"/>
    <w:rsid w:val="00B4482F"/>
    <w:rsid w:val="00B44A04"/>
    <w:rsid w:val="00B44F1E"/>
    <w:rsid w:val="00B45120"/>
    <w:rsid w:val="00B4567D"/>
    <w:rsid w:val="00B45701"/>
    <w:rsid w:val="00B458EF"/>
    <w:rsid w:val="00B45D8A"/>
    <w:rsid w:val="00B4652C"/>
    <w:rsid w:val="00B4659F"/>
    <w:rsid w:val="00B467CF"/>
    <w:rsid w:val="00B4690B"/>
    <w:rsid w:val="00B46A96"/>
    <w:rsid w:val="00B46B16"/>
    <w:rsid w:val="00B46D56"/>
    <w:rsid w:val="00B46D94"/>
    <w:rsid w:val="00B46F6E"/>
    <w:rsid w:val="00B46FAC"/>
    <w:rsid w:val="00B47502"/>
    <w:rsid w:val="00B475D1"/>
    <w:rsid w:val="00B4776C"/>
    <w:rsid w:val="00B477EA"/>
    <w:rsid w:val="00B47CA6"/>
    <w:rsid w:val="00B47DDE"/>
    <w:rsid w:val="00B5012F"/>
    <w:rsid w:val="00B5015F"/>
    <w:rsid w:val="00B5017F"/>
    <w:rsid w:val="00B50827"/>
    <w:rsid w:val="00B508F6"/>
    <w:rsid w:val="00B509CA"/>
    <w:rsid w:val="00B50A20"/>
    <w:rsid w:val="00B50AA7"/>
    <w:rsid w:val="00B50C44"/>
    <w:rsid w:val="00B50CC1"/>
    <w:rsid w:val="00B50DAB"/>
    <w:rsid w:val="00B51437"/>
    <w:rsid w:val="00B516A7"/>
    <w:rsid w:val="00B51D67"/>
    <w:rsid w:val="00B5222B"/>
    <w:rsid w:val="00B52311"/>
    <w:rsid w:val="00B524D2"/>
    <w:rsid w:val="00B526F3"/>
    <w:rsid w:val="00B52772"/>
    <w:rsid w:val="00B52F3B"/>
    <w:rsid w:val="00B53649"/>
    <w:rsid w:val="00B539A8"/>
    <w:rsid w:val="00B53B38"/>
    <w:rsid w:val="00B53C80"/>
    <w:rsid w:val="00B53DA5"/>
    <w:rsid w:val="00B54074"/>
    <w:rsid w:val="00B5424D"/>
    <w:rsid w:val="00B54556"/>
    <w:rsid w:val="00B5497B"/>
    <w:rsid w:val="00B54DD1"/>
    <w:rsid w:val="00B5506D"/>
    <w:rsid w:val="00B55AA8"/>
    <w:rsid w:val="00B56244"/>
    <w:rsid w:val="00B567D1"/>
    <w:rsid w:val="00B56ABA"/>
    <w:rsid w:val="00B56B5F"/>
    <w:rsid w:val="00B56E18"/>
    <w:rsid w:val="00B57DAB"/>
    <w:rsid w:val="00B57E2E"/>
    <w:rsid w:val="00B60349"/>
    <w:rsid w:val="00B60356"/>
    <w:rsid w:val="00B6061A"/>
    <w:rsid w:val="00B6095D"/>
    <w:rsid w:val="00B60B1A"/>
    <w:rsid w:val="00B60B85"/>
    <w:rsid w:val="00B6154C"/>
    <w:rsid w:val="00B6182F"/>
    <w:rsid w:val="00B61CF1"/>
    <w:rsid w:val="00B61EE2"/>
    <w:rsid w:val="00B621F7"/>
    <w:rsid w:val="00B62A68"/>
    <w:rsid w:val="00B62BFA"/>
    <w:rsid w:val="00B63094"/>
    <w:rsid w:val="00B63115"/>
    <w:rsid w:val="00B63572"/>
    <w:rsid w:val="00B63765"/>
    <w:rsid w:val="00B63812"/>
    <w:rsid w:val="00B63846"/>
    <w:rsid w:val="00B63B26"/>
    <w:rsid w:val="00B63FC9"/>
    <w:rsid w:val="00B6442B"/>
    <w:rsid w:val="00B644D2"/>
    <w:rsid w:val="00B6457B"/>
    <w:rsid w:val="00B6460A"/>
    <w:rsid w:val="00B64772"/>
    <w:rsid w:val="00B64784"/>
    <w:rsid w:val="00B64AF0"/>
    <w:rsid w:val="00B64C6F"/>
    <w:rsid w:val="00B6516D"/>
    <w:rsid w:val="00B65782"/>
    <w:rsid w:val="00B65A8B"/>
    <w:rsid w:val="00B65C7B"/>
    <w:rsid w:val="00B6610E"/>
    <w:rsid w:val="00B66590"/>
    <w:rsid w:val="00B668C5"/>
    <w:rsid w:val="00B66DFB"/>
    <w:rsid w:val="00B66FB4"/>
    <w:rsid w:val="00B67091"/>
    <w:rsid w:val="00B672D5"/>
    <w:rsid w:val="00B678E3"/>
    <w:rsid w:val="00B679E7"/>
    <w:rsid w:val="00B67A56"/>
    <w:rsid w:val="00B67B68"/>
    <w:rsid w:val="00B67E7A"/>
    <w:rsid w:val="00B67F50"/>
    <w:rsid w:val="00B705F3"/>
    <w:rsid w:val="00B70C15"/>
    <w:rsid w:val="00B718E0"/>
    <w:rsid w:val="00B71C09"/>
    <w:rsid w:val="00B7211F"/>
    <w:rsid w:val="00B72ADA"/>
    <w:rsid w:val="00B7327B"/>
    <w:rsid w:val="00B73FA0"/>
    <w:rsid w:val="00B7406B"/>
    <w:rsid w:val="00B74464"/>
    <w:rsid w:val="00B7453E"/>
    <w:rsid w:val="00B74E03"/>
    <w:rsid w:val="00B750A6"/>
    <w:rsid w:val="00B753FA"/>
    <w:rsid w:val="00B75406"/>
    <w:rsid w:val="00B754BB"/>
    <w:rsid w:val="00B756A5"/>
    <w:rsid w:val="00B75E8A"/>
    <w:rsid w:val="00B76145"/>
    <w:rsid w:val="00B7643A"/>
    <w:rsid w:val="00B76858"/>
    <w:rsid w:val="00B76A6A"/>
    <w:rsid w:val="00B76B29"/>
    <w:rsid w:val="00B76B6A"/>
    <w:rsid w:val="00B76F40"/>
    <w:rsid w:val="00B76F87"/>
    <w:rsid w:val="00B76FA9"/>
    <w:rsid w:val="00B7727A"/>
    <w:rsid w:val="00B7730D"/>
    <w:rsid w:val="00B779DF"/>
    <w:rsid w:val="00B77BC6"/>
    <w:rsid w:val="00B77DEF"/>
    <w:rsid w:val="00B77EAE"/>
    <w:rsid w:val="00B80007"/>
    <w:rsid w:val="00B80254"/>
    <w:rsid w:val="00B803C1"/>
    <w:rsid w:val="00B80497"/>
    <w:rsid w:val="00B808F6"/>
    <w:rsid w:val="00B80B16"/>
    <w:rsid w:val="00B80BA8"/>
    <w:rsid w:val="00B80BF6"/>
    <w:rsid w:val="00B8107A"/>
    <w:rsid w:val="00B811D0"/>
    <w:rsid w:val="00B81D61"/>
    <w:rsid w:val="00B82309"/>
    <w:rsid w:val="00B82715"/>
    <w:rsid w:val="00B8291E"/>
    <w:rsid w:val="00B829E2"/>
    <w:rsid w:val="00B82A96"/>
    <w:rsid w:val="00B82FDA"/>
    <w:rsid w:val="00B83181"/>
    <w:rsid w:val="00B83244"/>
    <w:rsid w:val="00B833A0"/>
    <w:rsid w:val="00B83AC9"/>
    <w:rsid w:val="00B83CEA"/>
    <w:rsid w:val="00B83F2F"/>
    <w:rsid w:val="00B8432D"/>
    <w:rsid w:val="00B84AA4"/>
    <w:rsid w:val="00B84E2E"/>
    <w:rsid w:val="00B8519C"/>
    <w:rsid w:val="00B85489"/>
    <w:rsid w:val="00B856CD"/>
    <w:rsid w:val="00B8576D"/>
    <w:rsid w:val="00B860CC"/>
    <w:rsid w:val="00B8639D"/>
    <w:rsid w:val="00B86849"/>
    <w:rsid w:val="00B86979"/>
    <w:rsid w:val="00B86D75"/>
    <w:rsid w:val="00B86ED4"/>
    <w:rsid w:val="00B87175"/>
    <w:rsid w:val="00B87543"/>
    <w:rsid w:val="00B87679"/>
    <w:rsid w:val="00B8786C"/>
    <w:rsid w:val="00B90007"/>
    <w:rsid w:val="00B90650"/>
    <w:rsid w:val="00B90661"/>
    <w:rsid w:val="00B90D8C"/>
    <w:rsid w:val="00B915A1"/>
    <w:rsid w:val="00B91829"/>
    <w:rsid w:val="00B91E2A"/>
    <w:rsid w:val="00B91F8C"/>
    <w:rsid w:val="00B92194"/>
    <w:rsid w:val="00B923C6"/>
    <w:rsid w:val="00B926FB"/>
    <w:rsid w:val="00B9288E"/>
    <w:rsid w:val="00B92AB7"/>
    <w:rsid w:val="00B92AF4"/>
    <w:rsid w:val="00B93621"/>
    <w:rsid w:val="00B93966"/>
    <w:rsid w:val="00B93AF3"/>
    <w:rsid w:val="00B9417D"/>
    <w:rsid w:val="00B943AB"/>
    <w:rsid w:val="00B94C01"/>
    <w:rsid w:val="00B94ECE"/>
    <w:rsid w:val="00B94F24"/>
    <w:rsid w:val="00B9512F"/>
    <w:rsid w:val="00B9537E"/>
    <w:rsid w:val="00B95A6E"/>
    <w:rsid w:val="00B95B30"/>
    <w:rsid w:val="00B95C7A"/>
    <w:rsid w:val="00B95E63"/>
    <w:rsid w:val="00B95EC8"/>
    <w:rsid w:val="00B962C2"/>
    <w:rsid w:val="00B96D03"/>
    <w:rsid w:val="00B970D5"/>
    <w:rsid w:val="00B97403"/>
    <w:rsid w:val="00B97496"/>
    <w:rsid w:val="00B97742"/>
    <w:rsid w:val="00B97828"/>
    <w:rsid w:val="00BA0464"/>
    <w:rsid w:val="00BA0B36"/>
    <w:rsid w:val="00BA0C77"/>
    <w:rsid w:val="00BA16D1"/>
    <w:rsid w:val="00BA16DA"/>
    <w:rsid w:val="00BA1959"/>
    <w:rsid w:val="00BA1E92"/>
    <w:rsid w:val="00BA1F1B"/>
    <w:rsid w:val="00BA1FDF"/>
    <w:rsid w:val="00BA20FF"/>
    <w:rsid w:val="00BA2198"/>
    <w:rsid w:val="00BA306F"/>
    <w:rsid w:val="00BA3357"/>
    <w:rsid w:val="00BA3BB9"/>
    <w:rsid w:val="00BA3D20"/>
    <w:rsid w:val="00BA43C8"/>
    <w:rsid w:val="00BA47C6"/>
    <w:rsid w:val="00BA48ED"/>
    <w:rsid w:val="00BA5550"/>
    <w:rsid w:val="00BA5594"/>
    <w:rsid w:val="00BA56B3"/>
    <w:rsid w:val="00BA59C5"/>
    <w:rsid w:val="00BA5D88"/>
    <w:rsid w:val="00BA6247"/>
    <w:rsid w:val="00BA628D"/>
    <w:rsid w:val="00BA641D"/>
    <w:rsid w:val="00BA678F"/>
    <w:rsid w:val="00BA6854"/>
    <w:rsid w:val="00BA6888"/>
    <w:rsid w:val="00BA6A7D"/>
    <w:rsid w:val="00BA6D99"/>
    <w:rsid w:val="00BA7069"/>
    <w:rsid w:val="00BA718E"/>
    <w:rsid w:val="00BA75F1"/>
    <w:rsid w:val="00BA797D"/>
    <w:rsid w:val="00BA7B3B"/>
    <w:rsid w:val="00BA7C40"/>
    <w:rsid w:val="00BA7CAB"/>
    <w:rsid w:val="00BA7E70"/>
    <w:rsid w:val="00BA7F65"/>
    <w:rsid w:val="00BB06E8"/>
    <w:rsid w:val="00BB07A8"/>
    <w:rsid w:val="00BB08E0"/>
    <w:rsid w:val="00BB08F5"/>
    <w:rsid w:val="00BB0C2C"/>
    <w:rsid w:val="00BB1100"/>
    <w:rsid w:val="00BB158D"/>
    <w:rsid w:val="00BB163A"/>
    <w:rsid w:val="00BB17C4"/>
    <w:rsid w:val="00BB1867"/>
    <w:rsid w:val="00BB1880"/>
    <w:rsid w:val="00BB1A28"/>
    <w:rsid w:val="00BB1A77"/>
    <w:rsid w:val="00BB1C77"/>
    <w:rsid w:val="00BB2077"/>
    <w:rsid w:val="00BB21B2"/>
    <w:rsid w:val="00BB2283"/>
    <w:rsid w:val="00BB2586"/>
    <w:rsid w:val="00BB262C"/>
    <w:rsid w:val="00BB29C9"/>
    <w:rsid w:val="00BB2B7B"/>
    <w:rsid w:val="00BB2E4C"/>
    <w:rsid w:val="00BB2E6E"/>
    <w:rsid w:val="00BB2F98"/>
    <w:rsid w:val="00BB335F"/>
    <w:rsid w:val="00BB3641"/>
    <w:rsid w:val="00BB391A"/>
    <w:rsid w:val="00BB3AF1"/>
    <w:rsid w:val="00BB3BE4"/>
    <w:rsid w:val="00BB4290"/>
    <w:rsid w:val="00BB4294"/>
    <w:rsid w:val="00BB4F0F"/>
    <w:rsid w:val="00BB4FE1"/>
    <w:rsid w:val="00BB5CFC"/>
    <w:rsid w:val="00BB5FDA"/>
    <w:rsid w:val="00BB623F"/>
    <w:rsid w:val="00BB632D"/>
    <w:rsid w:val="00BB6534"/>
    <w:rsid w:val="00BB6943"/>
    <w:rsid w:val="00BB69CF"/>
    <w:rsid w:val="00BB6BBC"/>
    <w:rsid w:val="00BB6E6B"/>
    <w:rsid w:val="00BB70C3"/>
    <w:rsid w:val="00BB7141"/>
    <w:rsid w:val="00BB7270"/>
    <w:rsid w:val="00BB7638"/>
    <w:rsid w:val="00BB76BD"/>
    <w:rsid w:val="00BB776A"/>
    <w:rsid w:val="00BB77E3"/>
    <w:rsid w:val="00BB7A5C"/>
    <w:rsid w:val="00BB7A7A"/>
    <w:rsid w:val="00BB7B9C"/>
    <w:rsid w:val="00BC034E"/>
    <w:rsid w:val="00BC03A4"/>
    <w:rsid w:val="00BC0758"/>
    <w:rsid w:val="00BC0857"/>
    <w:rsid w:val="00BC0982"/>
    <w:rsid w:val="00BC0A6A"/>
    <w:rsid w:val="00BC0C93"/>
    <w:rsid w:val="00BC1018"/>
    <w:rsid w:val="00BC1343"/>
    <w:rsid w:val="00BC172F"/>
    <w:rsid w:val="00BC1BBA"/>
    <w:rsid w:val="00BC1F1C"/>
    <w:rsid w:val="00BC1F56"/>
    <w:rsid w:val="00BC1FB5"/>
    <w:rsid w:val="00BC2039"/>
    <w:rsid w:val="00BC26FC"/>
    <w:rsid w:val="00BC2776"/>
    <w:rsid w:val="00BC29C3"/>
    <w:rsid w:val="00BC2EF4"/>
    <w:rsid w:val="00BC2F0F"/>
    <w:rsid w:val="00BC30BD"/>
    <w:rsid w:val="00BC31A2"/>
    <w:rsid w:val="00BC369C"/>
    <w:rsid w:val="00BC3AC0"/>
    <w:rsid w:val="00BC3B6C"/>
    <w:rsid w:val="00BC3C46"/>
    <w:rsid w:val="00BC3FC2"/>
    <w:rsid w:val="00BC4005"/>
    <w:rsid w:val="00BC43A7"/>
    <w:rsid w:val="00BC445B"/>
    <w:rsid w:val="00BC4DD8"/>
    <w:rsid w:val="00BC4F4F"/>
    <w:rsid w:val="00BC507A"/>
    <w:rsid w:val="00BC560C"/>
    <w:rsid w:val="00BC5E54"/>
    <w:rsid w:val="00BC5E7B"/>
    <w:rsid w:val="00BC74E2"/>
    <w:rsid w:val="00BC76D0"/>
    <w:rsid w:val="00BC7DC5"/>
    <w:rsid w:val="00BD0007"/>
    <w:rsid w:val="00BD050F"/>
    <w:rsid w:val="00BD0903"/>
    <w:rsid w:val="00BD0AF4"/>
    <w:rsid w:val="00BD0F43"/>
    <w:rsid w:val="00BD1019"/>
    <w:rsid w:val="00BD1255"/>
    <w:rsid w:val="00BD1879"/>
    <w:rsid w:val="00BD1A7C"/>
    <w:rsid w:val="00BD1A89"/>
    <w:rsid w:val="00BD1AD2"/>
    <w:rsid w:val="00BD1DB4"/>
    <w:rsid w:val="00BD1E4A"/>
    <w:rsid w:val="00BD2310"/>
    <w:rsid w:val="00BD257E"/>
    <w:rsid w:val="00BD3246"/>
    <w:rsid w:val="00BD33D5"/>
    <w:rsid w:val="00BD33EC"/>
    <w:rsid w:val="00BD3551"/>
    <w:rsid w:val="00BD359C"/>
    <w:rsid w:val="00BD362B"/>
    <w:rsid w:val="00BD3990"/>
    <w:rsid w:val="00BD39DE"/>
    <w:rsid w:val="00BD4112"/>
    <w:rsid w:val="00BD4DF7"/>
    <w:rsid w:val="00BD571F"/>
    <w:rsid w:val="00BD5D7E"/>
    <w:rsid w:val="00BD5FBE"/>
    <w:rsid w:val="00BD613B"/>
    <w:rsid w:val="00BD618E"/>
    <w:rsid w:val="00BD62A2"/>
    <w:rsid w:val="00BD6350"/>
    <w:rsid w:val="00BD65C6"/>
    <w:rsid w:val="00BD6AD1"/>
    <w:rsid w:val="00BD6E27"/>
    <w:rsid w:val="00BD6E6C"/>
    <w:rsid w:val="00BD6F40"/>
    <w:rsid w:val="00BD703A"/>
    <w:rsid w:val="00BD70D2"/>
    <w:rsid w:val="00BD7173"/>
    <w:rsid w:val="00BD75C5"/>
    <w:rsid w:val="00BD7614"/>
    <w:rsid w:val="00BD76BA"/>
    <w:rsid w:val="00BD7815"/>
    <w:rsid w:val="00BD7DCD"/>
    <w:rsid w:val="00BE003D"/>
    <w:rsid w:val="00BE0561"/>
    <w:rsid w:val="00BE05B6"/>
    <w:rsid w:val="00BE05BF"/>
    <w:rsid w:val="00BE072E"/>
    <w:rsid w:val="00BE0824"/>
    <w:rsid w:val="00BE0B5D"/>
    <w:rsid w:val="00BE1073"/>
    <w:rsid w:val="00BE11EF"/>
    <w:rsid w:val="00BE1684"/>
    <w:rsid w:val="00BE185B"/>
    <w:rsid w:val="00BE188F"/>
    <w:rsid w:val="00BE1DD4"/>
    <w:rsid w:val="00BE1E9E"/>
    <w:rsid w:val="00BE256A"/>
    <w:rsid w:val="00BE26E7"/>
    <w:rsid w:val="00BE2AE2"/>
    <w:rsid w:val="00BE2B62"/>
    <w:rsid w:val="00BE2BCF"/>
    <w:rsid w:val="00BE2F64"/>
    <w:rsid w:val="00BE30C8"/>
    <w:rsid w:val="00BE31D1"/>
    <w:rsid w:val="00BE37EA"/>
    <w:rsid w:val="00BE399D"/>
    <w:rsid w:val="00BE39AD"/>
    <w:rsid w:val="00BE3AB4"/>
    <w:rsid w:val="00BE3E81"/>
    <w:rsid w:val="00BE432F"/>
    <w:rsid w:val="00BE4410"/>
    <w:rsid w:val="00BE4756"/>
    <w:rsid w:val="00BE484B"/>
    <w:rsid w:val="00BE4FEB"/>
    <w:rsid w:val="00BE5080"/>
    <w:rsid w:val="00BE58FA"/>
    <w:rsid w:val="00BE6330"/>
    <w:rsid w:val="00BE63C2"/>
    <w:rsid w:val="00BE6725"/>
    <w:rsid w:val="00BE6770"/>
    <w:rsid w:val="00BE69BA"/>
    <w:rsid w:val="00BE6C96"/>
    <w:rsid w:val="00BE6E71"/>
    <w:rsid w:val="00BE6F2E"/>
    <w:rsid w:val="00BE6FC1"/>
    <w:rsid w:val="00BE7278"/>
    <w:rsid w:val="00BE7416"/>
    <w:rsid w:val="00BE7964"/>
    <w:rsid w:val="00BF0261"/>
    <w:rsid w:val="00BF0313"/>
    <w:rsid w:val="00BF0341"/>
    <w:rsid w:val="00BF0650"/>
    <w:rsid w:val="00BF07A6"/>
    <w:rsid w:val="00BF07EE"/>
    <w:rsid w:val="00BF084A"/>
    <w:rsid w:val="00BF0906"/>
    <w:rsid w:val="00BF0BA1"/>
    <w:rsid w:val="00BF0D11"/>
    <w:rsid w:val="00BF0F5D"/>
    <w:rsid w:val="00BF112C"/>
    <w:rsid w:val="00BF1163"/>
    <w:rsid w:val="00BF118C"/>
    <w:rsid w:val="00BF1699"/>
    <w:rsid w:val="00BF16A2"/>
    <w:rsid w:val="00BF1B9D"/>
    <w:rsid w:val="00BF1EDF"/>
    <w:rsid w:val="00BF2099"/>
    <w:rsid w:val="00BF2225"/>
    <w:rsid w:val="00BF24F8"/>
    <w:rsid w:val="00BF260D"/>
    <w:rsid w:val="00BF291E"/>
    <w:rsid w:val="00BF2EC4"/>
    <w:rsid w:val="00BF3328"/>
    <w:rsid w:val="00BF33F2"/>
    <w:rsid w:val="00BF34F6"/>
    <w:rsid w:val="00BF3867"/>
    <w:rsid w:val="00BF3997"/>
    <w:rsid w:val="00BF3C81"/>
    <w:rsid w:val="00BF406D"/>
    <w:rsid w:val="00BF47D0"/>
    <w:rsid w:val="00BF4B7A"/>
    <w:rsid w:val="00BF501A"/>
    <w:rsid w:val="00BF5298"/>
    <w:rsid w:val="00BF573A"/>
    <w:rsid w:val="00BF5D99"/>
    <w:rsid w:val="00BF68F4"/>
    <w:rsid w:val="00BF6CDB"/>
    <w:rsid w:val="00BF6E51"/>
    <w:rsid w:val="00BF6F8A"/>
    <w:rsid w:val="00BF704B"/>
    <w:rsid w:val="00BF791A"/>
    <w:rsid w:val="00BF7A6F"/>
    <w:rsid w:val="00BF7DE5"/>
    <w:rsid w:val="00BF7EB7"/>
    <w:rsid w:val="00BF7F9D"/>
    <w:rsid w:val="00C002E9"/>
    <w:rsid w:val="00C003D2"/>
    <w:rsid w:val="00C008D1"/>
    <w:rsid w:val="00C009A8"/>
    <w:rsid w:val="00C00BD1"/>
    <w:rsid w:val="00C00D92"/>
    <w:rsid w:val="00C00DA1"/>
    <w:rsid w:val="00C00DFA"/>
    <w:rsid w:val="00C00F34"/>
    <w:rsid w:val="00C012B2"/>
    <w:rsid w:val="00C01341"/>
    <w:rsid w:val="00C0168A"/>
    <w:rsid w:val="00C01994"/>
    <w:rsid w:val="00C01B19"/>
    <w:rsid w:val="00C01B94"/>
    <w:rsid w:val="00C01E11"/>
    <w:rsid w:val="00C02177"/>
    <w:rsid w:val="00C025BA"/>
    <w:rsid w:val="00C02786"/>
    <w:rsid w:val="00C02B5D"/>
    <w:rsid w:val="00C02C31"/>
    <w:rsid w:val="00C02E03"/>
    <w:rsid w:val="00C03117"/>
    <w:rsid w:val="00C03142"/>
    <w:rsid w:val="00C0345B"/>
    <w:rsid w:val="00C0389D"/>
    <w:rsid w:val="00C03A30"/>
    <w:rsid w:val="00C03B20"/>
    <w:rsid w:val="00C03F0A"/>
    <w:rsid w:val="00C04071"/>
    <w:rsid w:val="00C04353"/>
    <w:rsid w:val="00C043A5"/>
    <w:rsid w:val="00C04878"/>
    <w:rsid w:val="00C04B5A"/>
    <w:rsid w:val="00C04CEF"/>
    <w:rsid w:val="00C05247"/>
    <w:rsid w:val="00C0534F"/>
    <w:rsid w:val="00C0563B"/>
    <w:rsid w:val="00C05667"/>
    <w:rsid w:val="00C059A5"/>
    <w:rsid w:val="00C05C5B"/>
    <w:rsid w:val="00C05DA8"/>
    <w:rsid w:val="00C05E2A"/>
    <w:rsid w:val="00C0614C"/>
    <w:rsid w:val="00C06720"/>
    <w:rsid w:val="00C0673B"/>
    <w:rsid w:val="00C06913"/>
    <w:rsid w:val="00C06A81"/>
    <w:rsid w:val="00C06C6F"/>
    <w:rsid w:val="00C06D8B"/>
    <w:rsid w:val="00C06DF4"/>
    <w:rsid w:val="00C06F42"/>
    <w:rsid w:val="00C07024"/>
    <w:rsid w:val="00C073AB"/>
    <w:rsid w:val="00C075CF"/>
    <w:rsid w:val="00C07913"/>
    <w:rsid w:val="00C07A3A"/>
    <w:rsid w:val="00C07B35"/>
    <w:rsid w:val="00C07B79"/>
    <w:rsid w:val="00C1029C"/>
    <w:rsid w:val="00C108F7"/>
    <w:rsid w:val="00C10901"/>
    <w:rsid w:val="00C10A81"/>
    <w:rsid w:val="00C10BC3"/>
    <w:rsid w:val="00C10BF0"/>
    <w:rsid w:val="00C11034"/>
    <w:rsid w:val="00C1114A"/>
    <w:rsid w:val="00C113C2"/>
    <w:rsid w:val="00C11485"/>
    <w:rsid w:val="00C11571"/>
    <w:rsid w:val="00C117B5"/>
    <w:rsid w:val="00C11C8C"/>
    <w:rsid w:val="00C11DE8"/>
    <w:rsid w:val="00C11F06"/>
    <w:rsid w:val="00C12468"/>
    <w:rsid w:val="00C12732"/>
    <w:rsid w:val="00C127AF"/>
    <w:rsid w:val="00C12806"/>
    <w:rsid w:val="00C12AD6"/>
    <w:rsid w:val="00C12B45"/>
    <w:rsid w:val="00C12CCF"/>
    <w:rsid w:val="00C13232"/>
    <w:rsid w:val="00C13C60"/>
    <w:rsid w:val="00C13C93"/>
    <w:rsid w:val="00C13D44"/>
    <w:rsid w:val="00C13D6E"/>
    <w:rsid w:val="00C140CA"/>
    <w:rsid w:val="00C1427A"/>
    <w:rsid w:val="00C14499"/>
    <w:rsid w:val="00C1498E"/>
    <w:rsid w:val="00C14AB1"/>
    <w:rsid w:val="00C14B6A"/>
    <w:rsid w:val="00C1509A"/>
    <w:rsid w:val="00C15535"/>
    <w:rsid w:val="00C15929"/>
    <w:rsid w:val="00C159CE"/>
    <w:rsid w:val="00C15A46"/>
    <w:rsid w:val="00C15ED8"/>
    <w:rsid w:val="00C16085"/>
    <w:rsid w:val="00C165F1"/>
    <w:rsid w:val="00C16A02"/>
    <w:rsid w:val="00C17266"/>
    <w:rsid w:val="00C174C1"/>
    <w:rsid w:val="00C17966"/>
    <w:rsid w:val="00C17D6A"/>
    <w:rsid w:val="00C17D72"/>
    <w:rsid w:val="00C17FBE"/>
    <w:rsid w:val="00C2057D"/>
    <w:rsid w:val="00C20A58"/>
    <w:rsid w:val="00C20EFA"/>
    <w:rsid w:val="00C20FCE"/>
    <w:rsid w:val="00C2166F"/>
    <w:rsid w:val="00C21769"/>
    <w:rsid w:val="00C2189C"/>
    <w:rsid w:val="00C219DA"/>
    <w:rsid w:val="00C21CC3"/>
    <w:rsid w:val="00C21FA3"/>
    <w:rsid w:val="00C2235D"/>
    <w:rsid w:val="00C229B5"/>
    <w:rsid w:val="00C22CD0"/>
    <w:rsid w:val="00C22EBA"/>
    <w:rsid w:val="00C22F4A"/>
    <w:rsid w:val="00C231B3"/>
    <w:rsid w:val="00C23689"/>
    <w:rsid w:val="00C23930"/>
    <w:rsid w:val="00C23FA0"/>
    <w:rsid w:val="00C2471B"/>
    <w:rsid w:val="00C2497D"/>
    <w:rsid w:val="00C24E42"/>
    <w:rsid w:val="00C25512"/>
    <w:rsid w:val="00C2580D"/>
    <w:rsid w:val="00C25868"/>
    <w:rsid w:val="00C25A5C"/>
    <w:rsid w:val="00C25EA3"/>
    <w:rsid w:val="00C2609A"/>
    <w:rsid w:val="00C26242"/>
    <w:rsid w:val="00C26C85"/>
    <w:rsid w:val="00C26F44"/>
    <w:rsid w:val="00C271DE"/>
    <w:rsid w:val="00C27433"/>
    <w:rsid w:val="00C3029B"/>
    <w:rsid w:val="00C30301"/>
    <w:rsid w:val="00C3046A"/>
    <w:rsid w:val="00C30D27"/>
    <w:rsid w:val="00C31220"/>
    <w:rsid w:val="00C317D6"/>
    <w:rsid w:val="00C31A33"/>
    <w:rsid w:val="00C31EBB"/>
    <w:rsid w:val="00C31EE2"/>
    <w:rsid w:val="00C321A1"/>
    <w:rsid w:val="00C32709"/>
    <w:rsid w:val="00C32835"/>
    <w:rsid w:val="00C329EE"/>
    <w:rsid w:val="00C3313F"/>
    <w:rsid w:val="00C3344D"/>
    <w:rsid w:val="00C334D2"/>
    <w:rsid w:val="00C3372F"/>
    <w:rsid w:val="00C33802"/>
    <w:rsid w:val="00C33A10"/>
    <w:rsid w:val="00C33E47"/>
    <w:rsid w:val="00C340E2"/>
    <w:rsid w:val="00C347BD"/>
    <w:rsid w:val="00C34858"/>
    <w:rsid w:val="00C34E7F"/>
    <w:rsid w:val="00C34FC9"/>
    <w:rsid w:val="00C359D1"/>
    <w:rsid w:val="00C359ED"/>
    <w:rsid w:val="00C3612B"/>
    <w:rsid w:val="00C3619A"/>
    <w:rsid w:val="00C363AA"/>
    <w:rsid w:val="00C363DD"/>
    <w:rsid w:val="00C3648F"/>
    <w:rsid w:val="00C36615"/>
    <w:rsid w:val="00C36B4E"/>
    <w:rsid w:val="00C36E51"/>
    <w:rsid w:val="00C36EDA"/>
    <w:rsid w:val="00C37366"/>
    <w:rsid w:val="00C374B0"/>
    <w:rsid w:val="00C3751D"/>
    <w:rsid w:val="00C37FC7"/>
    <w:rsid w:val="00C4003B"/>
    <w:rsid w:val="00C40046"/>
    <w:rsid w:val="00C40158"/>
    <w:rsid w:val="00C40840"/>
    <w:rsid w:val="00C40925"/>
    <w:rsid w:val="00C40A23"/>
    <w:rsid w:val="00C40CD7"/>
    <w:rsid w:val="00C4181D"/>
    <w:rsid w:val="00C41BAC"/>
    <w:rsid w:val="00C41D80"/>
    <w:rsid w:val="00C4207E"/>
    <w:rsid w:val="00C420FA"/>
    <w:rsid w:val="00C42A2A"/>
    <w:rsid w:val="00C42A6F"/>
    <w:rsid w:val="00C42B04"/>
    <w:rsid w:val="00C42FA3"/>
    <w:rsid w:val="00C43154"/>
    <w:rsid w:val="00C4315F"/>
    <w:rsid w:val="00C4392D"/>
    <w:rsid w:val="00C43AFD"/>
    <w:rsid w:val="00C43CA2"/>
    <w:rsid w:val="00C43EC5"/>
    <w:rsid w:val="00C4401B"/>
    <w:rsid w:val="00C4401F"/>
    <w:rsid w:val="00C44360"/>
    <w:rsid w:val="00C4439D"/>
    <w:rsid w:val="00C443E5"/>
    <w:rsid w:val="00C44410"/>
    <w:rsid w:val="00C44479"/>
    <w:rsid w:val="00C44990"/>
    <w:rsid w:val="00C45042"/>
    <w:rsid w:val="00C45256"/>
    <w:rsid w:val="00C452CA"/>
    <w:rsid w:val="00C453CE"/>
    <w:rsid w:val="00C454C4"/>
    <w:rsid w:val="00C4567E"/>
    <w:rsid w:val="00C45E14"/>
    <w:rsid w:val="00C46453"/>
    <w:rsid w:val="00C46459"/>
    <w:rsid w:val="00C4656B"/>
    <w:rsid w:val="00C46858"/>
    <w:rsid w:val="00C46DE6"/>
    <w:rsid w:val="00C479D5"/>
    <w:rsid w:val="00C501E6"/>
    <w:rsid w:val="00C50A79"/>
    <w:rsid w:val="00C50D5C"/>
    <w:rsid w:val="00C511E1"/>
    <w:rsid w:val="00C51523"/>
    <w:rsid w:val="00C51755"/>
    <w:rsid w:val="00C517BC"/>
    <w:rsid w:val="00C51B2B"/>
    <w:rsid w:val="00C52337"/>
    <w:rsid w:val="00C5266F"/>
    <w:rsid w:val="00C527B7"/>
    <w:rsid w:val="00C52801"/>
    <w:rsid w:val="00C528E6"/>
    <w:rsid w:val="00C529E4"/>
    <w:rsid w:val="00C529F5"/>
    <w:rsid w:val="00C52D06"/>
    <w:rsid w:val="00C52F1C"/>
    <w:rsid w:val="00C52F79"/>
    <w:rsid w:val="00C53280"/>
    <w:rsid w:val="00C5344E"/>
    <w:rsid w:val="00C54329"/>
    <w:rsid w:val="00C546E2"/>
    <w:rsid w:val="00C548CA"/>
    <w:rsid w:val="00C54B37"/>
    <w:rsid w:val="00C54E06"/>
    <w:rsid w:val="00C5500D"/>
    <w:rsid w:val="00C5534F"/>
    <w:rsid w:val="00C5541C"/>
    <w:rsid w:val="00C5561E"/>
    <w:rsid w:val="00C55806"/>
    <w:rsid w:val="00C55ECA"/>
    <w:rsid w:val="00C56022"/>
    <w:rsid w:val="00C56179"/>
    <w:rsid w:val="00C5664C"/>
    <w:rsid w:val="00C56952"/>
    <w:rsid w:val="00C56BC7"/>
    <w:rsid w:val="00C57388"/>
    <w:rsid w:val="00C57530"/>
    <w:rsid w:val="00C57895"/>
    <w:rsid w:val="00C5797D"/>
    <w:rsid w:val="00C57A59"/>
    <w:rsid w:val="00C57F31"/>
    <w:rsid w:val="00C57F8F"/>
    <w:rsid w:val="00C60938"/>
    <w:rsid w:val="00C609B3"/>
    <w:rsid w:val="00C60B09"/>
    <w:rsid w:val="00C60B51"/>
    <w:rsid w:val="00C60C83"/>
    <w:rsid w:val="00C61157"/>
    <w:rsid w:val="00C612FF"/>
    <w:rsid w:val="00C61831"/>
    <w:rsid w:val="00C61998"/>
    <w:rsid w:val="00C61AE1"/>
    <w:rsid w:val="00C61EE8"/>
    <w:rsid w:val="00C61F29"/>
    <w:rsid w:val="00C626C7"/>
    <w:rsid w:val="00C62C8B"/>
    <w:rsid w:val="00C62FE6"/>
    <w:rsid w:val="00C6303D"/>
    <w:rsid w:val="00C633C2"/>
    <w:rsid w:val="00C6347C"/>
    <w:rsid w:val="00C63611"/>
    <w:rsid w:val="00C64185"/>
    <w:rsid w:val="00C6423E"/>
    <w:rsid w:val="00C64283"/>
    <w:rsid w:val="00C644E1"/>
    <w:rsid w:val="00C64C7E"/>
    <w:rsid w:val="00C64E1B"/>
    <w:rsid w:val="00C6526D"/>
    <w:rsid w:val="00C652BC"/>
    <w:rsid w:val="00C6551F"/>
    <w:rsid w:val="00C6594B"/>
    <w:rsid w:val="00C65A4B"/>
    <w:rsid w:val="00C65AFF"/>
    <w:rsid w:val="00C65F6F"/>
    <w:rsid w:val="00C661FF"/>
    <w:rsid w:val="00C662D1"/>
    <w:rsid w:val="00C6641B"/>
    <w:rsid w:val="00C664E5"/>
    <w:rsid w:val="00C66686"/>
    <w:rsid w:val="00C667F8"/>
    <w:rsid w:val="00C6688C"/>
    <w:rsid w:val="00C669D2"/>
    <w:rsid w:val="00C66B47"/>
    <w:rsid w:val="00C66CAA"/>
    <w:rsid w:val="00C6717D"/>
    <w:rsid w:val="00C674DF"/>
    <w:rsid w:val="00C679BF"/>
    <w:rsid w:val="00C67A69"/>
    <w:rsid w:val="00C67D11"/>
    <w:rsid w:val="00C7012B"/>
    <w:rsid w:val="00C70192"/>
    <w:rsid w:val="00C70281"/>
    <w:rsid w:val="00C702C9"/>
    <w:rsid w:val="00C705BD"/>
    <w:rsid w:val="00C708D3"/>
    <w:rsid w:val="00C709A0"/>
    <w:rsid w:val="00C70A51"/>
    <w:rsid w:val="00C710E0"/>
    <w:rsid w:val="00C71856"/>
    <w:rsid w:val="00C718EE"/>
    <w:rsid w:val="00C7198A"/>
    <w:rsid w:val="00C71996"/>
    <w:rsid w:val="00C72604"/>
    <w:rsid w:val="00C7265C"/>
    <w:rsid w:val="00C72D9F"/>
    <w:rsid w:val="00C72E81"/>
    <w:rsid w:val="00C731E6"/>
    <w:rsid w:val="00C73415"/>
    <w:rsid w:val="00C7389C"/>
    <w:rsid w:val="00C73A8A"/>
    <w:rsid w:val="00C73CB4"/>
    <w:rsid w:val="00C74023"/>
    <w:rsid w:val="00C740BD"/>
    <w:rsid w:val="00C749B2"/>
    <w:rsid w:val="00C74B54"/>
    <w:rsid w:val="00C74CC2"/>
    <w:rsid w:val="00C74EEE"/>
    <w:rsid w:val="00C74FF8"/>
    <w:rsid w:val="00C75430"/>
    <w:rsid w:val="00C75485"/>
    <w:rsid w:val="00C7559D"/>
    <w:rsid w:val="00C757CB"/>
    <w:rsid w:val="00C76004"/>
    <w:rsid w:val="00C76067"/>
    <w:rsid w:val="00C76138"/>
    <w:rsid w:val="00C763F6"/>
    <w:rsid w:val="00C76486"/>
    <w:rsid w:val="00C7665E"/>
    <w:rsid w:val="00C76CE2"/>
    <w:rsid w:val="00C76E46"/>
    <w:rsid w:val="00C76EF1"/>
    <w:rsid w:val="00C774B5"/>
    <w:rsid w:val="00C7781D"/>
    <w:rsid w:val="00C77862"/>
    <w:rsid w:val="00C77B14"/>
    <w:rsid w:val="00C77FF5"/>
    <w:rsid w:val="00C8040E"/>
    <w:rsid w:val="00C80AC5"/>
    <w:rsid w:val="00C80E69"/>
    <w:rsid w:val="00C80F94"/>
    <w:rsid w:val="00C811B4"/>
    <w:rsid w:val="00C81307"/>
    <w:rsid w:val="00C8134F"/>
    <w:rsid w:val="00C8142E"/>
    <w:rsid w:val="00C816C1"/>
    <w:rsid w:val="00C81777"/>
    <w:rsid w:val="00C81D45"/>
    <w:rsid w:val="00C82183"/>
    <w:rsid w:val="00C825D5"/>
    <w:rsid w:val="00C82A67"/>
    <w:rsid w:val="00C83845"/>
    <w:rsid w:val="00C83937"/>
    <w:rsid w:val="00C83938"/>
    <w:rsid w:val="00C83E42"/>
    <w:rsid w:val="00C83FF7"/>
    <w:rsid w:val="00C8403D"/>
    <w:rsid w:val="00C843A6"/>
    <w:rsid w:val="00C843E8"/>
    <w:rsid w:val="00C84B0E"/>
    <w:rsid w:val="00C84DF1"/>
    <w:rsid w:val="00C8501D"/>
    <w:rsid w:val="00C850D6"/>
    <w:rsid w:val="00C85134"/>
    <w:rsid w:val="00C8562D"/>
    <w:rsid w:val="00C85664"/>
    <w:rsid w:val="00C85699"/>
    <w:rsid w:val="00C85BC1"/>
    <w:rsid w:val="00C85CE2"/>
    <w:rsid w:val="00C86112"/>
    <w:rsid w:val="00C8647B"/>
    <w:rsid w:val="00C8658E"/>
    <w:rsid w:val="00C86707"/>
    <w:rsid w:val="00C86B3C"/>
    <w:rsid w:val="00C86B6E"/>
    <w:rsid w:val="00C87735"/>
    <w:rsid w:val="00C87CAE"/>
    <w:rsid w:val="00C87D48"/>
    <w:rsid w:val="00C87D56"/>
    <w:rsid w:val="00C87E47"/>
    <w:rsid w:val="00C90408"/>
    <w:rsid w:val="00C905DA"/>
    <w:rsid w:val="00C90E54"/>
    <w:rsid w:val="00C90FB2"/>
    <w:rsid w:val="00C914AC"/>
    <w:rsid w:val="00C9185B"/>
    <w:rsid w:val="00C91BAD"/>
    <w:rsid w:val="00C91C34"/>
    <w:rsid w:val="00C91E95"/>
    <w:rsid w:val="00C9273C"/>
    <w:rsid w:val="00C92869"/>
    <w:rsid w:val="00C92F0D"/>
    <w:rsid w:val="00C93A0D"/>
    <w:rsid w:val="00C93E0F"/>
    <w:rsid w:val="00C948DB"/>
    <w:rsid w:val="00C94950"/>
    <w:rsid w:val="00C9497D"/>
    <w:rsid w:val="00C94E60"/>
    <w:rsid w:val="00C95179"/>
    <w:rsid w:val="00C951C2"/>
    <w:rsid w:val="00C95219"/>
    <w:rsid w:val="00C95367"/>
    <w:rsid w:val="00C95556"/>
    <w:rsid w:val="00C95A63"/>
    <w:rsid w:val="00C95AFC"/>
    <w:rsid w:val="00C95B09"/>
    <w:rsid w:val="00C95B81"/>
    <w:rsid w:val="00C95C1B"/>
    <w:rsid w:val="00C95D04"/>
    <w:rsid w:val="00C95F7F"/>
    <w:rsid w:val="00C96AB0"/>
    <w:rsid w:val="00C96B1F"/>
    <w:rsid w:val="00C96C2D"/>
    <w:rsid w:val="00C97303"/>
    <w:rsid w:val="00C975B9"/>
    <w:rsid w:val="00C97791"/>
    <w:rsid w:val="00C978B9"/>
    <w:rsid w:val="00CA04F1"/>
    <w:rsid w:val="00CA0ABA"/>
    <w:rsid w:val="00CA10B4"/>
    <w:rsid w:val="00CA17EE"/>
    <w:rsid w:val="00CA1874"/>
    <w:rsid w:val="00CA1D63"/>
    <w:rsid w:val="00CA1F39"/>
    <w:rsid w:val="00CA2082"/>
    <w:rsid w:val="00CA2085"/>
    <w:rsid w:val="00CA21CA"/>
    <w:rsid w:val="00CA2863"/>
    <w:rsid w:val="00CA2C9F"/>
    <w:rsid w:val="00CA2F85"/>
    <w:rsid w:val="00CA30E3"/>
    <w:rsid w:val="00CA3234"/>
    <w:rsid w:val="00CA3FBC"/>
    <w:rsid w:val="00CA3FD1"/>
    <w:rsid w:val="00CA423C"/>
    <w:rsid w:val="00CA4673"/>
    <w:rsid w:val="00CA4935"/>
    <w:rsid w:val="00CA4964"/>
    <w:rsid w:val="00CA4A83"/>
    <w:rsid w:val="00CA4E82"/>
    <w:rsid w:val="00CA4F00"/>
    <w:rsid w:val="00CA52C1"/>
    <w:rsid w:val="00CA57E6"/>
    <w:rsid w:val="00CA5937"/>
    <w:rsid w:val="00CA5BE9"/>
    <w:rsid w:val="00CA5C24"/>
    <w:rsid w:val="00CA5EF0"/>
    <w:rsid w:val="00CA612A"/>
    <w:rsid w:val="00CA61A8"/>
    <w:rsid w:val="00CA6434"/>
    <w:rsid w:val="00CA64D3"/>
    <w:rsid w:val="00CA64D5"/>
    <w:rsid w:val="00CA68EB"/>
    <w:rsid w:val="00CA6D53"/>
    <w:rsid w:val="00CA74C0"/>
    <w:rsid w:val="00CA7516"/>
    <w:rsid w:val="00CA77E5"/>
    <w:rsid w:val="00CA7A4F"/>
    <w:rsid w:val="00CA7DE2"/>
    <w:rsid w:val="00CB00F0"/>
    <w:rsid w:val="00CB012D"/>
    <w:rsid w:val="00CB02EF"/>
    <w:rsid w:val="00CB0354"/>
    <w:rsid w:val="00CB0D55"/>
    <w:rsid w:val="00CB10FE"/>
    <w:rsid w:val="00CB11C6"/>
    <w:rsid w:val="00CB1678"/>
    <w:rsid w:val="00CB1944"/>
    <w:rsid w:val="00CB20AF"/>
    <w:rsid w:val="00CB2449"/>
    <w:rsid w:val="00CB2AD1"/>
    <w:rsid w:val="00CB2D95"/>
    <w:rsid w:val="00CB2E79"/>
    <w:rsid w:val="00CB3465"/>
    <w:rsid w:val="00CB3C37"/>
    <w:rsid w:val="00CB3CB1"/>
    <w:rsid w:val="00CB3EC4"/>
    <w:rsid w:val="00CB4262"/>
    <w:rsid w:val="00CB44E1"/>
    <w:rsid w:val="00CB4601"/>
    <w:rsid w:val="00CB475B"/>
    <w:rsid w:val="00CB4763"/>
    <w:rsid w:val="00CB4BBF"/>
    <w:rsid w:val="00CB4C49"/>
    <w:rsid w:val="00CB4CED"/>
    <w:rsid w:val="00CB4F95"/>
    <w:rsid w:val="00CB4FD1"/>
    <w:rsid w:val="00CB56E3"/>
    <w:rsid w:val="00CB57D6"/>
    <w:rsid w:val="00CB57FB"/>
    <w:rsid w:val="00CB5842"/>
    <w:rsid w:val="00CB5C61"/>
    <w:rsid w:val="00CB6738"/>
    <w:rsid w:val="00CB67B8"/>
    <w:rsid w:val="00CB68B2"/>
    <w:rsid w:val="00CB6987"/>
    <w:rsid w:val="00CB6E6E"/>
    <w:rsid w:val="00CB7161"/>
    <w:rsid w:val="00CB7661"/>
    <w:rsid w:val="00CB7860"/>
    <w:rsid w:val="00CB7937"/>
    <w:rsid w:val="00CB7B4E"/>
    <w:rsid w:val="00CC0070"/>
    <w:rsid w:val="00CC0488"/>
    <w:rsid w:val="00CC0A51"/>
    <w:rsid w:val="00CC0A76"/>
    <w:rsid w:val="00CC0B7F"/>
    <w:rsid w:val="00CC0DEB"/>
    <w:rsid w:val="00CC102B"/>
    <w:rsid w:val="00CC12A4"/>
    <w:rsid w:val="00CC155E"/>
    <w:rsid w:val="00CC1560"/>
    <w:rsid w:val="00CC1689"/>
    <w:rsid w:val="00CC1A99"/>
    <w:rsid w:val="00CC1B5C"/>
    <w:rsid w:val="00CC21C2"/>
    <w:rsid w:val="00CC2269"/>
    <w:rsid w:val="00CC22B0"/>
    <w:rsid w:val="00CC23E5"/>
    <w:rsid w:val="00CC28BC"/>
    <w:rsid w:val="00CC2E7E"/>
    <w:rsid w:val="00CC3344"/>
    <w:rsid w:val="00CC339A"/>
    <w:rsid w:val="00CC3751"/>
    <w:rsid w:val="00CC387F"/>
    <w:rsid w:val="00CC440B"/>
    <w:rsid w:val="00CC45E3"/>
    <w:rsid w:val="00CC49CB"/>
    <w:rsid w:val="00CC4C87"/>
    <w:rsid w:val="00CC4E3A"/>
    <w:rsid w:val="00CC4EEF"/>
    <w:rsid w:val="00CC5396"/>
    <w:rsid w:val="00CC553D"/>
    <w:rsid w:val="00CC5849"/>
    <w:rsid w:val="00CC5BCA"/>
    <w:rsid w:val="00CC5C87"/>
    <w:rsid w:val="00CC5DBD"/>
    <w:rsid w:val="00CC639B"/>
    <w:rsid w:val="00CC6903"/>
    <w:rsid w:val="00CC6990"/>
    <w:rsid w:val="00CC7033"/>
    <w:rsid w:val="00CC7109"/>
    <w:rsid w:val="00CC7244"/>
    <w:rsid w:val="00CC7495"/>
    <w:rsid w:val="00CC79D5"/>
    <w:rsid w:val="00CC7B0B"/>
    <w:rsid w:val="00CD0349"/>
    <w:rsid w:val="00CD0452"/>
    <w:rsid w:val="00CD0478"/>
    <w:rsid w:val="00CD05ED"/>
    <w:rsid w:val="00CD08FD"/>
    <w:rsid w:val="00CD0990"/>
    <w:rsid w:val="00CD0CC0"/>
    <w:rsid w:val="00CD0E29"/>
    <w:rsid w:val="00CD0F21"/>
    <w:rsid w:val="00CD1010"/>
    <w:rsid w:val="00CD12C5"/>
    <w:rsid w:val="00CD18FC"/>
    <w:rsid w:val="00CD1A25"/>
    <w:rsid w:val="00CD1B32"/>
    <w:rsid w:val="00CD1F6F"/>
    <w:rsid w:val="00CD20E0"/>
    <w:rsid w:val="00CD2267"/>
    <w:rsid w:val="00CD23EC"/>
    <w:rsid w:val="00CD2732"/>
    <w:rsid w:val="00CD2823"/>
    <w:rsid w:val="00CD3128"/>
    <w:rsid w:val="00CD319B"/>
    <w:rsid w:val="00CD3218"/>
    <w:rsid w:val="00CD3292"/>
    <w:rsid w:val="00CD330F"/>
    <w:rsid w:val="00CD3735"/>
    <w:rsid w:val="00CD3738"/>
    <w:rsid w:val="00CD3841"/>
    <w:rsid w:val="00CD38B4"/>
    <w:rsid w:val="00CD3B7B"/>
    <w:rsid w:val="00CD3BA6"/>
    <w:rsid w:val="00CD4619"/>
    <w:rsid w:val="00CD4743"/>
    <w:rsid w:val="00CD4A8B"/>
    <w:rsid w:val="00CD4B55"/>
    <w:rsid w:val="00CD5237"/>
    <w:rsid w:val="00CD53F2"/>
    <w:rsid w:val="00CD5562"/>
    <w:rsid w:val="00CD5967"/>
    <w:rsid w:val="00CD5BCC"/>
    <w:rsid w:val="00CD5C3B"/>
    <w:rsid w:val="00CD5CD8"/>
    <w:rsid w:val="00CD5FD3"/>
    <w:rsid w:val="00CD6163"/>
    <w:rsid w:val="00CD61F2"/>
    <w:rsid w:val="00CD645C"/>
    <w:rsid w:val="00CD6492"/>
    <w:rsid w:val="00CD684E"/>
    <w:rsid w:val="00CD695C"/>
    <w:rsid w:val="00CD69FA"/>
    <w:rsid w:val="00CD6AC3"/>
    <w:rsid w:val="00CD6BF5"/>
    <w:rsid w:val="00CD6C36"/>
    <w:rsid w:val="00CD6E13"/>
    <w:rsid w:val="00CD6E47"/>
    <w:rsid w:val="00CD7475"/>
    <w:rsid w:val="00CD7935"/>
    <w:rsid w:val="00CD7C83"/>
    <w:rsid w:val="00CE01FA"/>
    <w:rsid w:val="00CE038A"/>
    <w:rsid w:val="00CE0866"/>
    <w:rsid w:val="00CE0B43"/>
    <w:rsid w:val="00CE0B79"/>
    <w:rsid w:val="00CE11B9"/>
    <w:rsid w:val="00CE18E2"/>
    <w:rsid w:val="00CE1D44"/>
    <w:rsid w:val="00CE20C9"/>
    <w:rsid w:val="00CE299E"/>
    <w:rsid w:val="00CE2D2D"/>
    <w:rsid w:val="00CE2D38"/>
    <w:rsid w:val="00CE2F91"/>
    <w:rsid w:val="00CE32D6"/>
    <w:rsid w:val="00CE3423"/>
    <w:rsid w:val="00CE34D5"/>
    <w:rsid w:val="00CE3505"/>
    <w:rsid w:val="00CE3715"/>
    <w:rsid w:val="00CE389E"/>
    <w:rsid w:val="00CE39F1"/>
    <w:rsid w:val="00CE3A2E"/>
    <w:rsid w:val="00CE3F66"/>
    <w:rsid w:val="00CE419A"/>
    <w:rsid w:val="00CE425B"/>
    <w:rsid w:val="00CE48D4"/>
    <w:rsid w:val="00CE4B3B"/>
    <w:rsid w:val="00CE4D4C"/>
    <w:rsid w:val="00CE508D"/>
    <w:rsid w:val="00CE5649"/>
    <w:rsid w:val="00CE582D"/>
    <w:rsid w:val="00CE5ED9"/>
    <w:rsid w:val="00CE623E"/>
    <w:rsid w:val="00CE66C5"/>
    <w:rsid w:val="00CE6858"/>
    <w:rsid w:val="00CE6996"/>
    <w:rsid w:val="00CE6FD0"/>
    <w:rsid w:val="00CE7184"/>
    <w:rsid w:val="00CE71AA"/>
    <w:rsid w:val="00CE7219"/>
    <w:rsid w:val="00CE74DB"/>
    <w:rsid w:val="00CE75F1"/>
    <w:rsid w:val="00CF008B"/>
    <w:rsid w:val="00CF069C"/>
    <w:rsid w:val="00CF06A4"/>
    <w:rsid w:val="00CF0859"/>
    <w:rsid w:val="00CF0CDA"/>
    <w:rsid w:val="00CF1121"/>
    <w:rsid w:val="00CF1275"/>
    <w:rsid w:val="00CF1D37"/>
    <w:rsid w:val="00CF253B"/>
    <w:rsid w:val="00CF25E0"/>
    <w:rsid w:val="00CF29F4"/>
    <w:rsid w:val="00CF2BC0"/>
    <w:rsid w:val="00CF2E1B"/>
    <w:rsid w:val="00CF2E40"/>
    <w:rsid w:val="00CF3669"/>
    <w:rsid w:val="00CF3F83"/>
    <w:rsid w:val="00CF3F90"/>
    <w:rsid w:val="00CF40F6"/>
    <w:rsid w:val="00CF433C"/>
    <w:rsid w:val="00CF43C1"/>
    <w:rsid w:val="00CF4584"/>
    <w:rsid w:val="00CF47CB"/>
    <w:rsid w:val="00CF4BA4"/>
    <w:rsid w:val="00CF4DBE"/>
    <w:rsid w:val="00CF4FEF"/>
    <w:rsid w:val="00CF5428"/>
    <w:rsid w:val="00CF5622"/>
    <w:rsid w:val="00CF5931"/>
    <w:rsid w:val="00CF5D2C"/>
    <w:rsid w:val="00CF5D39"/>
    <w:rsid w:val="00CF5F01"/>
    <w:rsid w:val="00CF5F09"/>
    <w:rsid w:val="00CF5FB1"/>
    <w:rsid w:val="00CF61D0"/>
    <w:rsid w:val="00CF623F"/>
    <w:rsid w:val="00CF688B"/>
    <w:rsid w:val="00CF69D4"/>
    <w:rsid w:val="00CF6C50"/>
    <w:rsid w:val="00CF78FD"/>
    <w:rsid w:val="00CF7CCB"/>
    <w:rsid w:val="00D0059F"/>
    <w:rsid w:val="00D00956"/>
    <w:rsid w:val="00D00D8F"/>
    <w:rsid w:val="00D0114E"/>
    <w:rsid w:val="00D01525"/>
    <w:rsid w:val="00D01655"/>
    <w:rsid w:val="00D01BF7"/>
    <w:rsid w:val="00D021A4"/>
    <w:rsid w:val="00D0235B"/>
    <w:rsid w:val="00D0238B"/>
    <w:rsid w:val="00D028DE"/>
    <w:rsid w:val="00D02A2C"/>
    <w:rsid w:val="00D02A5D"/>
    <w:rsid w:val="00D02A6A"/>
    <w:rsid w:val="00D02F6E"/>
    <w:rsid w:val="00D02F93"/>
    <w:rsid w:val="00D03047"/>
    <w:rsid w:val="00D03072"/>
    <w:rsid w:val="00D03367"/>
    <w:rsid w:val="00D03491"/>
    <w:rsid w:val="00D03553"/>
    <w:rsid w:val="00D03816"/>
    <w:rsid w:val="00D03B67"/>
    <w:rsid w:val="00D0482F"/>
    <w:rsid w:val="00D04AF4"/>
    <w:rsid w:val="00D04CFE"/>
    <w:rsid w:val="00D051C9"/>
    <w:rsid w:val="00D05278"/>
    <w:rsid w:val="00D05350"/>
    <w:rsid w:val="00D0541B"/>
    <w:rsid w:val="00D05E4F"/>
    <w:rsid w:val="00D06062"/>
    <w:rsid w:val="00D0629B"/>
    <w:rsid w:val="00D0668A"/>
    <w:rsid w:val="00D06A60"/>
    <w:rsid w:val="00D0709C"/>
    <w:rsid w:val="00D07354"/>
    <w:rsid w:val="00D07358"/>
    <w:rsid w:val="00D074AA"/>
    <w:rsid w:val="00D07B66"/>
    <w:rsid w:val="00D07D2A"/>
    <w:rsid w:val="00D1002E"/>
    <w:rsid w:val="00D10206"/>
    <w:rsid w:val="00D1048D"/>
    <w:rsid w:val="00D10490"/>
    <w:rsid w:val="00D10C46"/>
    <w:rsid w:val="00D10D13"/>
    <w:rsid w:val="00D11629"/>
    <w:rsid w:val="00D1193D"/>
    <w:rsid w:val="00D119BF"/>
    <w:rsid w:val="00D1243F"/>
    <w:rsid w:val="00D13362"/>
    <w:rsid w:val="00D134A4"/>
    <w:rsid w:val="00D13D19"/>
    <w:rsid w:val="00D14280"/>
    <w:rsid w:val="00D14292"/>
    <w:rsid w:val="00D1443E"/>
    <w:rsid w:val="00D14455"/>
    <w:rsid w:val="00D145F6"/>
    <w:rsid w:val="00D148BD"/>
    <w:rsid w:val="00D14BFD"/>
    <w:rsid w:val="00D14E16"/>
    <w:rsid w:val="00D15451"/>
    <w:rsid w:val="00D15BA7"/>
    <w:rsid w:val="00D15FEE"/>
    <w:rsid w:val="00D1603A"/>
    <w:rsid w:val="00D164B1"/>
    <w:rsid w:val="00D16658"/>
    <w:rsid w:val="00D169DB"/>
    <w:rsid w:val="00D17864"/>
    <w:rsid w:val="00D1799E"/>
    <w:rsid w:val="00D17A2F"/>
    <w:rsid w:val="00D17A8D"/>
    <w:rsid w:val="00D17AF0"/>
    <w:rsid w:val="00D17CFD"/>
    <w:rsid w:val="00D17D69"/>
    <w:rsid w:val="00D17D8E"/>
    <w:rsid w:val="00D17F7E"/>
    <w:rsid w:val="00D20293"/>
    <w:rsid w:val="00D20859"/>
    <w:rsid w:val="00D209A3"/>
    <w:rsid w:val="00D20AA8"/>
    <w:rsid w:val="00D20AFA"/>
    <w:rsid w:val="00D2184E"/>
    <w:rsid w:val="00D21A9F"/>
    <w:rsid w:val="00D220B6"/>
    <w:rsid w:val="00D223C7"/>
    <w:rsid w:val="00D22615"/>
    <w:rsid w:val="00D227F4"/>
    <w:rsid w:val="00D2313A"/>
    <w:rsid w:val="00D2363A"/>
    <w:rsid w:val="00D2366A"/>
    <w:rsid w:val="00D237DA"/>
    <w:rsid w:val="00D23830"/>
    <w:rsid w:val="00D23B6C"/>
    <w:rsid w:val="00D23D06"/>
    <w:rsid w:val="00D2430E"/>
    <w:rsid w:val="00D24499"/>
    <w:rsid w:val="00D25267"/>
    <w:rsid w:val="00D2535D"/>
    <w:rsid w:val="00D25617"/>
    <w:rsid w:val="00D2590B"/>
    <w:rsid w:val="00D25B7B"/>
    <w:rsid w:val="00D25DDE"/>
    <w:rsid w:val="00D26316"/>
    <w:rsid w:val="00D263B1"/>
    <w:rsid w:val="00D263C0"/>
    <w:rsid w:val="00D2641B"/>
    <w:rsid w:val="00D2652B"/>
    <w:rsid w:val="00D2665E"/>
    <w:rsid w:val="00D26867"/>
    <w:rsid w:val="00D26BB4"/>
    <w:rsid w:val="00D27284"/>
    <w:rsid w:val="00D27325"/>
    <w:rsid w:val="00D27387"/>
    <w:rsid w:val="00D276FB"/>
    <w:rsid w:val="00D27875"/>
    <w:rsid w:val="00D27D18"/>
    <w:rsid w:val="00D27DA4"/>
    <w:rsid w:val="00D27EB7"/>
    <w:rsid w:val="00D300AD"/>
    <w:rsid w:val="00D30FE3"/>
    <w:rsid w:val="00D3110F"/>
    <w:rsid w:val="00D3174C"/>
    <w:rsid w:val="00D31A5B"/>
    <w:rsid w:val="00D31B92"/>
    <w:rsid w:val="00D320B0"/>
    <w:rsid w:val="00D32108"/>
    <w:rsid w:val="00D326E9"/>
    <w:rsid w:val="00D32BF6"/>
    <w:rsid w:val="00D32D93"/>
    <w:rsid w:val="00D32DA4"/>
    <w:rsid w:val="00D32F32"/>
    <w:rsid w:val="00D330A8"/>
    <w:rsid w:val="00D3365B"/>
    <w:rsid w:val="00D336A0"/>
    <w:rsid w:val="00D33C80"/>
    <w:rsid w:val="00D33D60"/>
    <w:rsid w:val="00D33F33"/>
    <w:rsid w:val="00D33FBE"/>
    <w:rsid w:val="00D349DB"/>
    <w:rsid w:val="00D34BF8"/>
    <w:rsid w:val="00D34E47"/>
    <w:rsid w:val="00D35259"/>
    <w:rsid w:val="00D35290"/>
    <w:rsid w:val="00D353B8"/>
    <w:rsid w:val="00D356C3"/>
    <w:rsid w:val="00D35D8C"/>
    <w:rsid w:val="00D35DD5"/>
    <w:rsid w:val="00D35E29"/>
    <w:rsid w:val="00D35E69"/>
    <w:rsid w:val="00D36554"/>
    <w:rsid w:val="00D366D4"/>
    <w:rsid w:val="00D36860"/>
    <w:rsid w:val="00D36ABB"/>
    <w:rsid w:val="00D36B7C"/>
    <w:rsid w:val="00D36F2F"/>
    <w:rsid w:val="00D37425"/>
    <w:rsid w:val="00D3780E"/>
    <w:rsid w:val="00D3785B"/>
    <w:rsid w:val="00D37B75"/>
    <w:rsid w:val="00D37B8C"/>
    <w:rsid w:val="00D37D76"/>
    <w:rsid w:val="00D40113"/>
    <w:rsid w:val="00D4023D"/>
    <w:rsid w:val="00D40466"/>
    <w:rsid w:val="00D409CD"/>
    <w:rsid w:val="00D40F20"/>
    <w:rsid w:val="00D413F8"/>
    <w:rsid w:val="00D41B82"/>
    <w:rsid w:val="00D41BC0"/>
    <w:rsid w:val="00D41C4D"/>
    <w:rsid w:val="00D42218"/>
    <w:rsid w:val="00D42580"/>
    <w:rsid w:val="00D42720"/>
    <w:rsid w:val="00D42C84"/>
    <w:rsid w:val="00D42F39"/>
    <w:rsid w:val="00D42FBD"/>
    <w:rsid w:val="00D43308"/>
    <w:rsid w:val="00D43395"/>
    <w:rsid w:val="00D433C4"/>
    <w:rsid w:val="00D43647"/>
    <w:rsid w:val="00D437CA"/>
    <w:rsid w:val="00D43B89"/>
    <w:rsid w:val="00D43F15"/>
    <w:rsid w:val="00D43FDD"/>
    <w:rsid w:val="00D44067"/>
    <w:rsid w:val="00D44304"/>
    <w:rsid w:val="00D444AF"/>
    <w:rsid w:val="00D44618"/>
    <w:rsid w:val="00D44979"/>
    <w:rsid w:val="00D449BD"/>
    <w:rsid w:val="00D4511A"/>
    <w:rsid w:val="00D45219"/>
    <w:rsid w:val="00D45251"/>
    <w:rsid w:val="00D4585F"/>
    <w:rsid w:val="00D45AC5"/>
    <w:rsid w:val="00D45C3A"/>
    <w:rsid w:val="00D45DB7"/>
    <w:rsid w:val="00D45F58"/>
    <w:rsid w:val="00D461D5"/>
    <w:rsid w:val="00D46548"/>
    <w:rsid w:val="00D4692A"/>
    <w:rsid w:val="00D469C7"/>
    <w:rsid w:val="00D46B98"/>
    <w:rsid w:val="00D47392"/>
    <w:rsid w:val="00D47502"/>
    <w:rsid w:val="00D47570"/>
    <w:rsid w:val="00D47B1F"/>
    <w:rsid w:val="00D47C27"/>
    <w:rsid w:val="00D47D97"/>
    <w:rsid w:val="00D47E44"/>
    <w:rsid w:val="00D5043B"/>
    <w:rsid w:val="00D508B0"/>
    <w:rsid w:val="00D50A80"/>
    <w:rsid w:val="00D50C40"/>
    <w:rsid w:val="00D512CD"/>
    <w:rsid w:val="00D518A5"/>
    <w:rsid w:val="00D520A0"/>
    <w:rsid w:val="00D5226C"/>
    <w:rsid w:val="00D5234D"/>
    <w:rsid w:val="00D526E2"/>
    <w:rsid w:val="00D5299A"/>
    <w:rsid w:val="00D52A6E"/>
    <w:rsid w:val="00D5358B"/>
    <w:rsid w:val="00D535FF"/>
    <w:rsid w:val="00D53989"/>
    <w:rsid w:val="00D53CC2"/>
    <w:rsid w:val="00D540E5"/>
    <w:rsid w:val="00D54132"/>
    <w:rsid w:val="00D54456"/>
    <w:rsid w:val="00D54466"/>
    <w:rsid w:val="00D5469D"/>
    <w:rsid w:val="00D55439"/>
    <w:rsid w:val="00D55484"/>
    <w:rsid w:val="00D555FA"/>
    <w:rsid w:val="00D55E6C"/>
    <w:rsid w:val="00D55F84"/>
    <w:rsid w:val="00D560DD"/>
    <w:rsid w:val="00D561FC"/>
    <w:rsid w:val="00D562DE"/>
    <w:rsid w:val="00D56406"/>
    <w:rsid w:val="00D565A9"/>
    <w:rsid w:val="00D5671E"/>
    <w:rsid w:val="00D5681E"/>
    <w:rsid w:val="00D56C68"/>
    <w:rsid w:val="00D56E36"/>
    <w:rsid w:val="00D5723B"/>
    <w:rsid w:val="00D573BA"/>
    <w:rsid w:val="00D57BED"/>
    <w:rsid w:val="00D57CA2"/>
    <w:rsid w:val="00D57D83"/>
    <w:rsid w:val="00D60325"/>
    <w:rsid w:val="00D60705"/>
    <w:rsid w:val="00D6082B"/>
    <w:rsid w:val="00D60D52"/>
    <w:rsid w:val="00D60E41"/>
    <w:rsid w:val="00D61138"/>
    <w:rsid w:val="00D6123B"/>
    <w:rsid w:val="00D61323"/>
    <w:rsid w:val="00D61455"/>
    <w:rsid w:val="00D61BBB"/>
    <w:rsid w:val="00D61C2B"/>
    <w:rsid w:val="00D61FC0"/>
    <w:rsid w:val="00D624DB"/>
    <w:rsid w:val="00D624F3"/>
    <w:rsid w:val="00D62658"/>
    <w:rsid w:val="00D6287B"/>
    <w:rsid w:val="00D629F4"/>
    <w:rsid w:val="00D62AA3"/>
    <w:rsid w:val="00D63073"/>
    <w:rsid w:val="00D636C1"/>
    <w:rsid w:val="00D63A19"/>
    <w:rsid w:val="00D63B26"/>
    <w:rsid w:val="00D64196"/>
    <w:rsid w:val="00D64443"/>
    <w:rsid w:val="00D64992"/>
    <w:rsid w:val="00D65410"/>
    <w:rsid w:val="00D65587"/>
    <w:rsid w:val="00D65732"/>
    <w:rsid w:val="00D6576D"/>
    <w:rsid w:val="00D65971"/>
    <w:rsid w:val="00D65AC4"/>
    <w:rsid w:val="00D6668A"/>
    <w:rsid w:val="00D66C7F"/>
    <w:rsid w:val="00D671F3"/>
    <w:rsid w:val="00D673C6"/>
    <w:rsid w:val="00D6778F"/>
    <w:rsid w:val="00D67EBC"/>
    <w:rsid w:val="00D67FED"/>
    <w:rsid w:val="00D701A3"/>
    <w:rsid w:val="00D70707"/>
    <w:rsid w:val="00D70A8E"/>
    <w:rsid w:val="00D70D92"/>
    <w:rsid w:val="00D712FD"/>
    <w:rsid w:val="00D713F4"/>
    <w:rsid w:val="00D716B3"/>
    <w:rsid w:val="00D71705"/>
    <w:rsid w:val="00D71DBF"/>
    <w:rsid w:val="00D71F2A"/>
    <w:rsid w:val="00D71FC2"/>
    <w:rsid w:val="00D7207D"/>
    <w:rsid w:val="00D721A0"/>
    <w:rsid w:val="00D72270"/>
    <w:rsid w:val="00D722A2"/>
    <w:rsid w:val="00D72556"/>
    <w:rsid w:val="00D73255"/>
    <w:rsid w:val="00D74499"/>
    <w:rsid w:val="00D74587"/>
    <w:rsid w:val="00D7490E"/>
    <w:rsid w:val="00D74DEC"/>
    <w:rsid w:val="00D75412"/>
    <w:rsid w:val="00D7583F"/>
    <w:rsid w:val="00D75C25"/>
    <w:rsid w:val="00D75F35"/>
    <w:rsid w:val="00D76015"/>
    <w:rsid w:val="00D76284"/>
    <w:rsid w:val="00D763C3"/>
    <w:rsid w:val="00D7652C"/>
    <w:rsid w:val="00D7662D"/>
    <w:rsid w:val="00D76792"/>
    <w:rsid w:val="00D76961"/>
    <w:rsid w:val="00D7698A"/>
    <w:rsid w:val="00D76AA4"/>
    <w:rsid w:val="00D76B32"/>
    <w:rsid w:val="00D76BF7"/>
    <w:rsid w:val="00D76E7D"/>
    <w:rsid w:val="00D7777E"/>
    <w:rsid w:val="00D777A3"/>
    <w:rsid w:val="00D777F1"/>
    <w:rsid w:val="00D7786E"/>
    <w:rsid w:val="00D77906"/>
    <w:rsid w:val="00D779DA"/>
    <w:rsid w:val="00D77F12"/>
    <w:rsid w:val="00D80376"/>
    <w:rsid w:val="00D807ED"/>
    <w:rsid w:val="00D80C81"/>
    <w:rsid w:val="00D80D2F"/>
    <w:rsid w:val="00D81242"/>
    <w:rsid w:val="00D812E0"/>
    <w:rsid w:val="00D814AC"/>
    <w:rsid w:val="00D8224B"/>
    <w:rsid w:val="00D823B0"/>
    <w:rsid w:val="00D82B07"/>
    <w:rsid w:val="00D8315F"/>
    <w:rsid w:val="00D83546"/>
    <w:rsid w:val="00D837ED"/>
    <w:rsid w:val="00D83B3E"/>
    <w:rsid w:val="00D84CA4"/>
    <w:rsid w:val="00D84DDC"/>
    <w:rsid w:val="00D84EDA"/>
    <w:rsid w:val="00D850FB"/>
    <w:rsid w:val="00D85438"/>
    <w:rsid w:val="00D85684"/>
    <w:rsid w:val="00D8570F"/>
    <w:rsid w:val="00D85905"/>
    <w:rsid w:val="00D85AC0"/>
    <w:rsid w:val="00D8634B"/>
    <w:rsid w:val="00D86949"/>
    <w:rsid w:val="00D86A6F"/>
    <w:rsid w:val="00D86EDC"/>
    <w:rsid w:val="00D86F74"/>
    <w:rsid w:val="00D878A5"/>
    <w:rsid w:val="00D878A9"/>
    <w:rsid w:val="00D87B18"/>
    <w:rsid w:val="00D87EAB"/>
    <w:rsid w:val="00D90AF7"/>
    <w:rsid w:val="00D91450"/>
    <w:rsid w:val="00D917ED"/>
    <w:rsid w:val="00D91AD3"/>
    <w:rsid w:val="00D92804"/>
    <w:rsid w:val="00D92863"/>
    <w:rsid w:val="00D92F90"/>
    <w:rsid w:val="00D93072"/>
    <w:rsid w:val="00D9307C"/>
    <w:rsid w:val="00D93149"/>
    <w:rsid w:val="00D93517"/>
    <w:rsid w:val="00D935DF"/>
    <w:rsid w:val="00D93634"/>
    <w:rsid w:val="00D939AB"/>
    <w:rsid w:val="00D93BFF"/>
    <w:rsid w:val="00D93C3F"/>
    <w:rsid w:val="00D93E2A"/>
    <w:rsid w:val="00D94BDD"/>
    <w:rsid w:val="00D94CF7"/>
    <w:rsid w:val="00D94EC3"/>
    <w:rsid w:val="00D94F48"/>
    <w:rsid w:val="00D95199"/>
    <w:rsid w:val="00D95406"/>
    <w:rsid w:val="00D9544D"/>
    <w:rsid w:val="00D955F1"/>
    <w:rsid w:val="00D95A5F"/>
    <w:rsid w:val="00D95BA3"/>
    <w:rsid w:val="00D95DB7"/>
    <w:rsid w:val="00D9764B"/>
    <w:rsid w:val="00D97B6E"/>
    <w:rsid w:val="00D97D16"/>
    <w:rsid w:val="00D97E7C"/>
    <w:rsid w:val="00D97E8A"/>
    <w:rsid w:val="00DA0241"/>
    <w:rsid w:val="00DA0548"/>
    <w:rsid w:val="00DA06A0"/>
    <w:rsid w:val="00DA06CD"/>
    <w:rsid w:val="00DA0831"/>
    <w:rsid w:val="00DA0B6D"/>
    <w:rsid w:val="00DA0FFA"/>
    <w:rsid w:val="00DA1658"/>
    <w:rsid w:val="00DA1AB8"/>
    <w:rsid w:val="00DA1BD5"/>
    <w:rsid w:val="00DA1CE5"/>
    <w:rsid w:val="00DA1D27"/>
    <w:rsid w:val="00DA2038"/>
    <w:rsid w:val="00DA229B"/>
    <w:rsid w:val="00DA238E"/>
    <w:rsid w:val="00DA25CC"/>
    <w:rsid w:val="00DA2878"/>
    <w:rsid w:val="00DA290A"/>
    <w:rsid w:val="00DA29D5"/>
    <w:rsid w:val="00DA2F11"/>
    <w:rsid w:val="00DA3103"/>
    <w:rsid w:val="00DA3202"/>
    <w:rsid w:val="00DA39C3"/>
    <w:rsid w:val="00DA3E7C"/>
    <w:rsid w:val="00DA4141"/>
    <w:rsid w:val="00DA4247"/>
    <w:rsid w:val="00DA497D"/>
    <w:rsid w:val="00DA4C46"/>
    <w:rsid w:val="00DA4D09"/>
    <w:rsid w:val="00DA4E16"/>
    <w:rsid w:val="00DA4F92"/>
    <w:rsid w:val="00DA52C1"/>
    <w:rsid w:val="00DA55B2"/>
    <w:rsid w:val="00DA5B8F"/>
    <w:rsid w:val="00DA5D56"/>
    <w:rsid w:val="00DA5E5A"/>
    <w:rsid w:val="00DA6167"/>
    <w:rsid w:val="00DA6A6E"/>
    <w:rsid w:val="00DA6CC1"/>
    <w:rsid w:val="00DA710F"/>
    <w:rsid w:val="00DA719C"/>
    <w:rsid w:val="00DA7EB2"/>
    <w:rsid w:val="00DA7F6D"/>
    <w:rsid w:val="00DB01F8"/>
    <w:rsid w:val="00DB0329"/>
    <w:rsid w:val="00DB08A6"/>
    <w:rsid w:val="00DB08DB"/>
    <w:rsid w:val="00DB096B"/>
    <w:rsid w:val="00DB0AFB"/>
    <w:rsid w:val="00DB1DD8"/>
    <w:rsid w:val="00DB1E7A"/>
    <w:rsid w:val="00DB1E8D"/>
    <w:rsid w:val="00DB22DA"/>
    <w:rsid w:val="00DB241A"/>
    <w:rsid w:val="00DB2849"/>
    <w:rsid w:val="00DB28C6"/>
    <w:rsid w:val="00DB2E83"/>
    <w:rsid w:val="00DB3447"/>
    <w:rsid w:val="00DB345E"/>
    <w:rsid w:val="00DB3620"/>
    <w:rsid w:val="00DB37C9"/>
    <w:rsid w:val="00DB3906"/>
    <w:rsid w:val="00DB399C"/>
    <w:rsid w:val="00DB3BF9"/>
    <w:rsid w:val="00DB4052"/>
    <w:rsid w:val="00DB44FB"/>
    <w:rsid w:val="00DB45E5"/>
    <w:rsid w:val="00DB462B"/>
    <w:rsid w:val="00DB4D2F"/>
    <w:rsid w:val="00DB4EBC"/>
    <w:rsid w:val="00DB4EF8"/>
    <w:rsid w:val="00DB53B1"/>
    <w:rsid w:val="00DB53B3"/>
    <w:rsid w:val="00DB55A9"/>
    <w:rsid w:val="00DB5DE2"/>
    <w:rsid w:val="00DB5FA1"/>
    <w:rsid w:val="00DB5FD4"/>
    <w:rsid w:val="00DB5FDC"/>
    <w:rsid w:val="00DB7251"/>
    <w:rsid w:val="00DB7425"/>
    <w:rsid w:val="00DB74B2"/>
    <w:rsid w:val="00DB776C"/>
    <w:rsid w:val="00DB7E61"/>
    <w:rsid w:val="00DB7F86"/>
    <w:rsid w:val="00DC033C"/>
    <w:rsid w:val="00DC070F"/>
    <w:rsid w:val="00DC0776"/>
    <w:rsid w:val="00DC0817"/>
    <w:rsid w:val="00DC0979"/>
    <w:rsid w:val="00DC0B6C"/>
    <w:rsid w:val="00DC0D36"/>
    <w:rsid w:val="00DC0DDA"/>
    <w:rsid w:val="00DC103D"/>
    <w:rsid w:val="00DC14C9"/>
    <w:rsid w:val="00DC1500"/>
    <w:rsid w:val="00DC15B9"/>
    <w:rsid w:val="00DC1994"/>
    <w:rsid w:val="00DC1E5E"/>
    <w:rsid w:val="00DC1F3C"/>
    <w:rsid w:val="00DC238B"/>
    <w:rsid w:val="00DC2585"/>
    <w:rsid w:val="00DC2A97"/>
    <w:rsid w:val="00DC2C9B"/>
    <w:rsid w:val="00DC2D26"/>
    <w:rsid w:val="00DC2EAE"/>
    <w:rsid w:val="00DC2F66"/>
    <w:rsid w:val="00DC3560"/>
    <w:rsid w:val="00DC35CD"/>
    <w:rsid w:val="00DC37EE"/>
    <w:rsid w:val="00DC3CD2"/>
    <w:rsid w:val="00DC4092"/>
    <w:rsid w:val="00DC45E4"/>
    <w:rsid w:val="00DC4652"/>
    <w:rsid w:val="00DC46E8"/>
    <w:rsid w:val="00DC47C3"/>
    <w:rsid w:val="00DC4BE9"/>
    <w:rsid w:val="00DC4DFE"/>
    <w:rsid w:val="00DC5006"/>
    <w:rsid w:val="00DC51BE"/>
    <w:rsid w:val="00DC5874"/>
    <w:rsid w:val="00DC59BE"/>
    <w:rsid w:val="00DC59D2"/>
    <w:rsid w:val="00DC5F0E"/>
    <w:rsid w:val="00DC5F79"/>
    <w:rsid w:val="00DC60BE"/>
    <w:rsid w:val="00DC61DF"/>
    <w:rsid w:val="00DC6449"/>
    <w:rsid w:val="00DC64EF"/>
    <w:rsid w:val="00DC6746"/>
    <w:rsid w:val="00DC67D1"/>
    <w:rsid w:val="00DC6A65"/>
    <w:rsid w:val="00DC739D"/>
    <w:rsid w:val="00DC73B9"/>
    <w:rsid w:val="00DC7577"/>
    <w:rsid w:val="00DC760C"/>
    <w:rsid w:val="00DC766D"/>
    <w:rsid w:val="00DC7878"/>
    <w:rsid w:val="00DC7BE2"/>
    <w:rsid w:val="00DC7E09"/>
    <w:rsid w:val="00DD0021"/>
    <w:rsid w:val="00DD0304"/>
    <w:rsid w:val="00DD033B"/>
    <w:rsid w:val="00DD0549"/>
    <w:rsid w:val="00DD055B"/>
    <w:rsid w:val="00DD09AE"/>
    <w:rsid w:val="00DD0FBF"/>
    <w:rsid w:val="00DD1121"/>
    <w:rsid w:val="00DD12C8"/>
    <w:rsid w:val="00DD15EE"/>
    <w:rsid w:val="00DD1734"/>
    <w:rsid w:val="00DD1A49"/>
    <w:rsid w:val="00DD1A54"/>
    <w:rsid w:val="00DD1EA8"/>
    <w:rsid w:val="00DD227B"/>
    <w:rsid w:val="00DD28D4"/>
    <w:rsid w:val="00DD29F5"/>
    <w:rsid w:val="00DD2E79"/>
    <w:rsid w:val="00DD3547"/>
    <w:rsid w:val="00DD3825"/>
    <w:rsid w:val="00DD3826"/>
    <w:rsid w:val="00DD39E6"/>
    <w:rsid w:val="00DD3BE1"/>
    <w:rsid w:val="00DD3C98"/>
    <w:rsid w:val="00DD3E79"/>
    <w:rsid w:val="00DD468E"/>
    <w:rsid w:val="00DD4C0B"/>
    <w:rsid w:val="00DD4D08"/>
    <w:rsid w:val="00DD51EF"/>
    <w:rsid w:val="00DD56C1"/>
    <w:rsid w:val="00DD57CC"/>
    <w:rsid w:val="00DD5884"/>
    <w:rsid w:val="00DD5D8C"/>
    <w:rsid w:val="00DD5FD0"/>
    <w:rsid w:val="00DD63DC"/>
    <w:rsid w:val="00DD6968"/>
    <w:rsid w:val="00DD6B8B"/>
    <w:rsid w:val="00DD6C76"/>
    <w:rsid w:val="00DD6C89"/>
    <w:rsid w:val="00DD7045"/>
    <w:rsid w:val="00DD7926"/>
    <w:rsid w:val="00DD7B51"/>
    <w:rsid w:val="00DE05A3"/>
    <w:rsid w:val="00DE05C5"/>
    <w:rsid w:val="00DE0A9B"/>
    <w:rsid w:val="00DE10BB"/>
    <w:rsid w:val="00DE115C"/>
    <w:rsid w:val="00DE1185"/>
    <w:rsid w:val="00DE159F"/>
    <w:rsid w:val="00DE16C9"/>
    <w:rsid w:val="00DE1853"/>
    <w:rsid w:val="00DE1A6D"/>
    <w:rsid w:val="00DE1BA9"/>
    <w:rsid w:val="00DE1FD1"/>
    <w:rsid w:val="00DE203C"/>
    <w:rsid w:val="00DE2400"/>
    <w:rsid w:val="00DE241D"/>
    <w:rsid w:val="00DE25A8"/>
    <w:rsid w:val="00DE25B9"/>
    <w:rsid w:val="00DE26D9"/>
    <w:rsid w:val="00DE29B0"/>
    <w:rsid w:val="00DE3545"/>
    <w:rsid w:val="00DE3604"/>
    <w:rsid w:val="00DE373D"/>
    <w:rsid w:val="00DE3831"/>
    <w:rsid w:val="00DE3AAF"/>
    <w:rsid w:val="00DE3B7A"/>
    <w:rsid w:val="00DE3C43"/>
    <w:rsid w:val="00DE421E"/>
    <w:rsid w:val="00DE4220"/>
    <w:rsid w:val="00DE4251"/>
    <w:rsid w:val="00DE44D2"/>
    <w:rsid w:val="00DE4C31"/>
    <w:rsid w:val="00DE51BD"/>
    <w:rsid w:val="00DE542C"/>
    <w:rsid w:val="00DE56BC"/>
    <w:rsid w:val="00DE58BD"/>
    <w:rsid w:val="00DE594B"/>
    <w:rsid w:val="00DE5BA2"/>
    <w:rsid w:val="00DE5EAD"/>
    <w:rsid w:val="00DE5EC0"/>
    <w:rsid w:val="00DE641B"/>
    <w:rsid w:val="00DE6432"/>
    <w:rsid w:val="00DE6AA3"/>
    <w:rsid w:val="00DE7A2F"/>
    <w:rsid w:val="00DE7AC1"/>
    <w:rsid w:val="00DE7F08"/>
    <w:rsid w:val="00DF0062"/>
    <w:rsid w:val="00DF0911"/>
    <w:rsid w:val="00DF0A7D"/>
    <w:rsid w:val="00DF0B22"/>
    <w:rsid w:val="00DF0D41"/>
    <w:rsid w:val="00DF0DBA"/>
    <w:rsid w:val="00DF117A"/>
    <w:rsid w:val="00DF19E5"/>
    <w:rsid w:val="00DF1E81"/>
    <w:rsid w:val="00DF1FC6"/>
    <w:rsid w:val="00DF208B"/>
    <w:rsid w:val="00DF2532"/>
    <w:rsid w:val="00DF2A78"/>
    <w:rsid w:val="00DF2C12"/>
    <w:rsid w:val="00DF3398"/>
    <w:rsid w:val="00DF3621"/>
    <w:rsid w:val="00DF36AE"/>
    <w:rsid w:val="00DF3746"/>
    <w:rsid w:val="00DF37B0"/>
    <w:rsid w:val="00DF3D38"/>
    <w:rsid w:val="00DF3DAF"/>
    <w:rsid w:val="00DF3FB2"/>
    <w:rsid w:val="00DF4267"/>
    <w:rsid w:val="00DF473E"/>
    <w:rsid w:val="00DF4FEB"/>
    <w:rsid w:val="00DF5365"/>
    <w:rsid w:val="00DF585F"/>
    <w:rsid w:val="00DF58FF"/>
    <w:rsid w:val="00DF59E9"/>
    <w:rsid w:val="00DF5DBA"/>
    <w:rsid w:val="00DF60E4"/>
    <w:rsid w:val="00DF6100"/>
    <w:rsid w:val="00DF64F3"/>
    <w:rsid w:val="00DF676D"/>
    <w:rsid w:val="00DF696F"/>
    <w:rsid w:val="00DF6E62"/>
    <w:rsid w:val="00DF6F5E"/>
    <w:rsid w:val="00DF703B"/>
    <w:rsid w:val="00DF706B"/>
    <w:rsid w:val="00DF7126"/>
    <w:rsid w:val="00DF7181"/>
    <w:rsid w:val="00DF72D5"/>
    <w:rsid w:val="00DF7501"/>
    <w:rsid w:val="00DF7762"/>
    <w:rsid w:val="00DF7865"/>
    <w:rsid w:val="00DF7949"/>
    <w:rsid w:val="00DF7A92"/>
    <w:rsid w:val="00DF7AD0"/>
    <w:rsid w:val="00DF7E4A"/>
    <w:rsid w:val="00E004FF"/>
    <w:rsid w:val="00E0079E"/>
    <w:rsid w:val="00E008D2"/>
    <w:rsid w:val="00E008F4"/>
    <w:rsid w:val="00E01144"/>
    <w:rsid w:val="00E0174C"/>
    <w:rsid w:val="00E01904"/>
    <w:rsid w:val="00E0209F"/>
    <w:rsid w:val="00E02237"/>
    <w:rsid w:val="00E02545"/>
    <w:rsid w:val="00E02E1C"/>
    <w:rsid w:val="00E03019"/>
    <w:rsid w:val="00E035FB"/>
    <w:rsid w:val="00E03769"/>
    <w:rsid w:val="00E038DF"/>
    <w:rsid w:val="00E03AE4"/>
    <w:rsid w:val="00E03ED0"/>
    <w:rsid w:val="00E04842"/>
    <w:rsid w:val="00E04AEE"/>
    <w:rsid w:val="00E04CBD"/>
    <w:rsid w:val="00E04CFA"/>
    <w:rsid w:val="00E04EA7"/>
    <w:rsid w:val="00E04FD0"/>
    <w:rsid w:val="00E0536B"/>
    <w:rsid w:val="00E053CF"/>
    <w:rsid w:val="00E0546F"/>
    <w:rsid w:val="00E05902"/>
    <w:rsid w:val="00E05969"/>
    <w:rsid w:val="00E05F63"/>
    <w:rsid w:val="00E060F2"/>
    <w:rsid w:val="00E06227"/>
    <w:rsid w:val="00E065A8"/>
    <w:rsid w:val="00E06F80"/>
    <w:rsid w:val="00E07639"/>
    <w:rsid w:val="00E07F91"/>
    <w:rsid w:val="00E10D70"/>
    <w:rsid w:val="00E10EAC"/>
    <w:rsid w:val="00E10FB2"/>
    <w:rsid w:val="00E116F5"/>
    <w:rsid w:val="00E11CB5"/>
    <w:rsid w:val="00E11CD1"/>
    <w:rsid w:val="00E11F0C"/>
    <w:rsid w:val="00E120A1"/>
    <w:rsid w:val="00E12992"/>
    <w:rsid w:val="00E12CB0"/>
    <w:rsid w:val="00E130D4"/>
    <w:rsid w:val="00E13608"/>
    <w:rsid w:val="00E138BD"/>
    <w:rsid w:val="00E13D04"/>
    <w:rsid w:val="00E13EEC"/>
    <w:rsid w:val="00E14751"/>
    <w:rsid w:val="00E14A8D"/>
    <w:rsid w:val="00E14E1F"/>
    <w:rsid w:val="00E14EF4"/>
    <w:rsid w:val="00E15445"/>
    <w:rsid w:val="00E1599A"/>
    <w:rsid w:val="00E15D73"/>
    <w:rsid w:val="00E15EDD"/>
    <w:rsid w:val="00E16199"/>
    <w:rsid w:val="00E162BB"/>
    <w:rsid w:val="00E16795"/>
    <w:rsid w:val="00E16956"/>
    <w:rsid w:val="00E16D88"/>
    <w:rsid w:val="00E170D7"/>
    <w:rsid w:val="00E1715B"/>
    <w:rsid w:val="00E171A3"/>
    <w:rsid w:val="00E17274"/>
    <w:rsid w:val="00E175E2"/>
    <w:rsid w:val="00E17611"/>
    <w:rsid w:val="00E17632"/>
    <w:rsid w:val="00E1769A"/>
    <w:rsid w:val="00E176FC"/>
    <w:rsid w:val="00E17730"/>
    <w:rsid w:val="00E1777B"/>
    <w:rsid w:val="00E177ED"/>
    <w:rsid w:val="00E17969"/>
    <w:rsid w:val="00E17987"/>
    <w:rsid w:val="00E17ADD"/>
    <w:rsid w:val="00E17AF8"/>
    <w:rsid w:val="00E2084A"/>
    <w:rsid w:val="00E20C7F"/>
    <w:rsid w:val="00E21221"/>
    <w:rsid w:val="00E21347"/>
    <w:rsid w:val="00E21A92"/>
    <w:rsid w:val="00E21CAF"/>
    <w:rsid w:val="00E21E39"/>
    <w:rsid w:val="00E22DA1"/>
    <w:rsid w:val="00E2356F"/>
    <w:rsid w:val="00E2382F"/>
    <w:rsid w:val="00E238FD"/>
    <w:rsid w:val="00E242EA"/>
    <w:rsid w:val="00E2460C"/>
    <w:rsid w:val="00E2462B"/>
    <w:rsid w:val="00E24A73"/>
    <w:rsid w:val="00E25240"/>
    <w:rsid w:val="00E25292"/>
    <w:rsid w:val="00E2538C"/>
    <w:rsid w:val="00E2545F"/>
    <w:rsid w:val="00E25983"/>
    <w:rsid w:val="00E26006"/>
    <w:rsid w:val="00E267F4"/>
    <w:rsid w:val="00E26C02"/>
    <w:rsid w:val="00E26F5E"/>
    <w:rsid w:val="00E26F94"/>
    <w:rsid w:val="00E270D1"/>
    <w:rsid w:val="00E27163"/>
    <w:rsid w:val="00E273CA"/>
    <w:rsid w:val="00E273D1"/>
    <w:rsid w:val="00E27416"/>
    <w:rsid w:val="00E278F3"/>
    <w:rsid w:val="00E27FAF"/>
    <w:rsid w:val="00E300F3"/>
    <w:rsid w:val="00E30585"/>
    <w:rsid w:val="00E30824"/>
    <w:rsid w:val="00E30C8E"/>
    <w:rsid w:val="00E30D41"/>
    <w:rsid w:val="00E314A4"/>
    <w:rsid w:val="00E314EF"/>
    <w:rsid w:val="00E31AAA"/>
    <w:rsid w:val="00E31BA6"/>
    <w:rsid w:val="00E321E2"/>
    <w:rsid w:val="00E32429"/>
    <w:rsid w:val="00E3246E"/>
    <w:rsid w:val="00E32534"/>
    <w:rsid w:val="00E326AB"/>
    <w:rsid w:val="00E3282B"/>
    <w:rsid w:val="00E32A63"/>
    <w:rsid w:val="00E32BF7"/>
    <w:rsid w:val="00E33E00"/>
    <w:rsid w:val="00E33ED0"/>
    <w:rsid w:val="00E34099"/>
    <w:rsid w:val="00E34171"/>
    <w:rsid w:val="00E34656"/>
    <w:rsid w:val="00E348B9"/>
    <w:rsid w:val="00E34DE0"/>
    <w:rsid w:val="00E350BF"/>
    <w:rsid w:val="00E352A3"/>
    <w:rsid w:val="00E35383"/>
    <w:rsid w:val="00E353E6"/>
    <w:rsid w:val="00E35C03"/>
    <w:rsid w:val="00E35CCC"/>
    <w:rsid w:val="00E35D2E"/>
    <w:rsid w:val="00E360A6"/>
    <w:rsid w:val="00E363E8"/>
    <w:rsid w:val="00E36813"/>
    <w:rsid w:val="00E368BE"/>
    <w:rsid w:val="00E36A7A"/>
    <w:rsid w:val="00E36B89"/>
    <w:rsid w:val="00E37086"/>
    <w:rsid w:val="00E37556"/>
    <w:rsid w:val="00E37864"/>
    <w:rsid w:val="00E37A74"/>
    <w:rsid w:val="00E37B80"/>
    <w:rsid w:val="00E40210"/>
    <w:rsid w:val="00E40326"/>
    <w:rsid w:val="00E403EF"/>
    <w:rsid w:val="00E40B34"/>
    <w:rsid w:val="00E40E8A"/>
    <w:rsid w:val="00E40F98"/>
    <w:rsid w:val="00E41489"/>
    <w:rsid w:val="00E4161E"/>
    <w:rsid w:val="00E417E4"/>
    <w:rsid w:val="00E41E12"/>
    <w:rsid w:val="00E423C8"/>
    <w:rsid w:val="00E42959"/>
    <w:rsid w:val="00E42AFE"/>
    <w:rsid w:val="00E4321E"/>
    <w:rsid w:val="00E4325E"/>
    <w:rsid w:val="00E43591"/>
    <w:rsid w:val="00E43816"/>
    <w:rsid w:val="00E43EE5"/>
    <w:rsid w:val="00E44125"/>
    <w:rsid w:val="00E44528"/>
    <w:rsid w:val="00E44902"/>
    <w:rsid w:val="00E44A20"/>
    <w:rsid w:val="00E44F53"/>
    <w:rsid w:val="00E4500B"/>
    <w:rsid w:val="00E45B13"/>
    <w:rsid w:val="00E45B71"/>
    <w:rsid w:val="00E465BC"/>
    <w:rsid w:val="00E46AC2"/>
    <w:rsid w:val="00E46BFE"/>
    <w:rsid w:val="00E46C71"/>
    <w:rsid w:val="00E46F08"/>
    <w:rsid w:val="00E47207"/>
    <w:rsid w:val="00E476F6"/>
    <w:rsid w:val="00E477CB"/>
    <w:rsid w:val="00E47BEA"/>
    <w:rsid w:val="00E47DA4"/>
    <w:rsid w:val="00E47F6F"/>
    <w:rsid w:val="00E5015F"/>
    <w:rsid w:val="00E5019F"/>
    <w:rsid w:val="00E507E4"/>
    <w:rsid w:val="00E5089A"/>
    <w:rsid w:val="00E50990"/>
    <w:rsid w:val="00E50F53"/>
    <w:rsid w:val="00E510F0"/>
    <w:rsid w:val="00E513BB"/>
    <w:rsid w:val="00E51CE5"/>
    <w:rsid w:val="00E52769"/>
    <w:rsid w:val="00E52BD1"/>
    <w:rsid w:val="00E52E6B"/>
    <w:rsid w:val="00E531BC"/>
    <w:rsid w:val="00E53459"/>
    <w:rsid w:val="00E53862"/>
    <w:rsid w:val="00E53D2B"/>
    <w:rsid w:val="00E53F3B"/>
    <w:rsid w:val="00E54224"/>
    <w:rsid w:val="00E546CF"/>
    <w:rsid w:val="00E54DD0"/>
    <w:rsid w:val="00E550D7"/>
    <w:rsid w:val="00E550E6"/>
    <w:rsid w:val="00E55225"/>
    <w:rsid w:val="00E55587"/>
    <w:rsid w:val="00E555A8"/>
    <w:rsid w:val="00E555F4"/>
    <w:rsid w:val="00E55A16"/>
    <w:rsid w:val="00E55A3F"/>
    <w:rsid w:val="00E55BCF"/>
    <w:rsid w:val="00E56565"/>
    <w:rsid w:val="00E56594"/>
    <w:rsid w:val="00E56687"/>
    <w:rsid w:val="00E56B47"/>
    <w:rsid w:val="00E56D8A"/>
    <w:rsid w:val="00E570B3"/>
    <w:rsid w:val="00E57299"/>
    <w:rsid w:val="00E57338"/>
    <w:rsid w:val="00E57477"/>
    <w:rsid w:val="00E5799B"/>
    <w:rsid w:val="00E57D65"/>
    <w:rsid w:val="00E57E31"/>
    <w:rsid w:val="00E57FAB"/>
    <w:rsid w:val="00E600CA"/>
    <w:rsid w:val="00E6028A"/>
    <w:rsid w:val="00E61343"/>
    <w:rsid w:val="00E61674"/>
    <w:rsid w:val="00E61930"/>
    <w:rsid w:val="00E61A76"/>
    <w:rsid w:val="00E61BCE"/>
    <w:rsid w:val="00E61CA7"/>
    <w:rsid w:val="00E61CE7"/>
    <w:rsid w:val="00E61FEE"/>
    <w:rsid w:val="00E6207B"/>
    <w:rsid w:val="00E620B8"/>
    <w:rsid w:val="00E62701"/>
    <w:rsid w:val="00E62C2D"/>
    <w:rsid w:val="00E62E67"/>
    <w:rsid w:val="00E63276"/>
    <w:rsid w:val="00E636F1"/>
    <w:rsid w:val="00E63820"/>
    <w:rsid w:val="00E63B95"/>
    <w:rsid w:val="00E64564"/>
    <w:rsid w:val="00E64A43"/>
    <w:rsid w:val="00E64C9A"/>
    <w:rsid w:val="00E65112"/>
    <w:rsid w:val="00E65346"/>
    <w:rsid w:val="00E65951"/>
    <w:rsid w:val="00E65D90"/>
    <w:rsid w:val="00E65F24"/>
    <w:rsid w:val="00E65F6A"/>
    <w:rsid w:val="00E66364"/>
    <w:rsid w:val="00E664B2"/>
    <w:rsid w:val="00E6651C"/>
    <w:rsid w:val="00E665E2"/>
    <w:rsid w:val="00E666AF"/>
    <w:rsid w:val="00E66AA7"/>
    <w:rsid w:val="00E677EE"/>
    <w:rsid w:val="00E6795B"/>
    <w:rsid w:val="00E67D40"/>
    <w:rsid w:val="00E67ECF"/>
    <w:rsid w:val="00E7005A"/>
    <w:rsid w:val="00E701AB"/>
    <w:rsid w:val="00E70443"/>
    <w:rsid w:val="00E70593"/>
    <w:rsid w:val="00E70808"/>
    <w:rsid w:val="00E70A91"/>
    <w:rsid w:val="00E70CD7"/>
    <w:rsid w:val="00E711C3"/>
    <w:rsid w:val="00E71647"/>
    <w:rsid w:val="00E71C9F"/>
    <w:rsid w:val="00E71F78"/>
    <w:rsid w:val="00E72467"/>
    <w:rsid w:val="00E72A64"/>
    <w:rsid w:val="00E7398F"/>
    <w:rsid w:val="00E73B35"/>
    <w:rsid w:val="00E73F95"/>
    <w:rsid w:val="00E74687"/>
    <w:rsid w:val="00E748A3"/>
    <w:rsid w:val="00E74B12"/>
    <w:rsid w:val="00E74CD5"/>
    <w:rsid w:val="00E74DE4"/>
    <w:rsid w:val="00E74EE5"/>
    <w:rsid w:val="00E752A7"/>
    <w:rsid w:val="00E755A8"/>
    <w:rsid w:val="00E756FE"/>
    <w:rsid w:val="00E75901"/>
    <w:rsid w:val="00E75905"/>
    <w:rsid w:val="00E75958"/>
    <w:rsid w:val="00E75988"/>
    <w:rsid w:val="00E75C18"/>
    <w:rsid w:val="00E75F79"/>
    <w:rsid w:val="00E765A7"/>
    <w:rsid w:val="00E776FF"/>
    <w:rsid w:val="00E779C8"/>
    <w:rsid w:val="00E77B4C"/>
    <w:rsid w:val="00E77C2F"/>
    <w:rsid w:val="00E77DCB"/>
    <w:rsid w:val="00E77E06"/>
    <w:rsid w:val="00E77E19"/>
    <w:rsid w:val="00E77E54"/>
    <w:rsid w:val="00E801AB"/>
    <w:rsid w:val="00E8065D"/>
    <w:rsid w:val="00E80BE5"/>
    <w:rsid w:val="00E813B8"/>
    <w:rsid w:val="00E81710"/>
    <w:rsid w:val="00E819E6"/>
    <w:rsid w:val="00E81E44"/>
    <w:rsid w:val="00E82139"/>
    <w:rsid w:val="00E822EE"/>
    <w:rsid w:val="00E82324"/>
    <w:rsid w:val="00E825AF"/>
    <w:rsid w:val="00E8294E"/>
    <w:rsid w:val="00E8297F"/>
    <w:rsid w:val="00E82E94"/>
    <w:rsid w:val="00E82EEE"/>
    <w:rsid w:val="00E82FD6"/>
    <w:rsid w:val="00E830BA"/>
    <w:rsid w:val="00E8334E"/>
    <w:rsid w:val="00E83978"/>
    <w:rsid w:val="00E83C09"/>
    <w:rsid w:val="00E83C98"/>
    <w:rsid w:val="00E843E6"/>
    <w:rsid w:val="00E84677"/>
    <w:rsid w:val="00E84863"/>
    <w:rsid w:val="00E84E86"/>
    <w:rsid w:val="00E85296"/>
    <w:rsid w:val="00E854A1"/>
    <w:rsid w:val="00E8587D"/>
    <w:rsid w:val="00E8588B"/>
    <w:rsid w:val="00E858E7"/>
    <w:rsid w:val="00E85CC4"/>
    <w:rsid w:val="00E86175"/>
    <w:rsid w:val="00E8635A"/>
    <w:rsid w:val="00E866CB"/>
    <w:rsid w:val="00E86771"/>
    <w:rsid w:val="00E868D1"/>
    <w:rsid w:val="00E8690A"/>
    <w:rsid w:val="00E86A7A"/>
    <w:rsid w:val="00E86BE4"/>
    <w:rsid w:val="00E8706E"/>
    <w:rsid w:val="00E875DA"/>
    <w:rsid w:val="00E87C6F"/>
    <w:rsid w:val="00E90006"/>
    <w:rsid w:val="00E903C0"/>
    <w:rsid w:val="00E904F2"/>
    <w:rsid w:val="00E90543"/>
    <w:rsid w:val="00E906DA"/>
    <w:rsid w:val="00E90C9C"/>
    <w:rsid w:val="00E90EDA"/>
    <w:rsid w:val="00E90F43"/>
    <w:rsid w:val="00E90F58"/>
    <w:rsid w:val="00E910D7"/>
    <w:rsid w:val="00E912FD"/>
    <w:rsid w:val="00E9135A"/>
    <w:rsid w:val="00E916A8"/>
    <w:rsid w:val="00E91AF6"/>
    <w:rsid w:val="00E91BCA"/>
    <w:rsid w:val="00E91D27"/>
    <w:rsid w:val="00E91F77"/>
    <w:rsid w:val="00E920FE"/>
    <w:rsid w:val="00E92182"/>
    <w:rsid w:val="00E92585"/>
    <w:rsid w:val="00E925B1"/>
    <w:rsid w:val="00E92767"/>
    <w:rsid w:val="00E928E8"/>
    <w:rsid w:val="00E92C3D"/>
    <w:rsid w:val="00E92D1F"/>
    <w:rsid w:val="00E92E25"/>
    <w:rsid w:val="00E930F9"/>
    <w:rsid w:val="00E933AE"/>
    <w:rsid w:val="00E936DE"/>
    <w:rsid w:val="00E93782"/>
    <w:rsid w:val="00E9389D"/>
    <w:rsid w:val="00E941A2"/>
    <w:rsid w:val="00E945BA"/>
    <w:rsid w:val="00E9496E"/>
    <w:rsid w:val="00E94F56"/>
    <w:rsid w:val="00E9516B"/>
    <w:rsid w:val="00E95341"/>
    <w:rsid w:val="00E953F3"/>
    <w:rsid w:val="00E958F9"/>
    <w:rsid w:val="00E95D36"/>
    <w:rsid w:val="00E95DEB"/>
    <w:rsid w:val="00E960E3"/>
    <w:rsid w:val="00E96323"/>
    <w:rsid w:val="00E96350"/>
    <w:rsid w:val="00E965B4"/>
    <w:rsid w:val="00E97478"/>
    <w:rsid w:val="00E9765F"/>
    <w:rsid w:val="00E977B1"/>
    <w:rsid w:val="00E97880"/>
    <w:rsid w:val="00E978DF"/>
    <w:rsid w:val="00E97F49"/>
    <w:rsid w:val="00EA02A9"/>
    <w:rsid w:val="00EA04A4"/>
    <w:rsid w:val="00EA050E"/>
    <w:rsid w:val="00EA06CA"/>
    <w:rsid w:val="00EA0885"/>
    <w:rsid w:val="00EA188B"/>
    <w:rsid w:val="00EA18BA"/>
    <w:rsid w:val="00EA19CF"/>
    <w:rsid w:val="00EA1BBA"/>
    <w:rsid w:val="00EA1C08"/>
    <w:rsid w:val="00EA244C"/>
    <w:rsid w:val="00EA245E"/>
    <w:rsid w:val="00EA2544"/>
    <w:rsid w:val="00EA2769"/>
    <w:rsid w:val="00EA2B52"/>
    <w:rsid w:val="00EA2BC9"/>
    <w:rsid w:val="00EA2CBC"/>
    <w:rsid w:val="00EA302B"/>
    <w:rsid w:val="00EA341E"/>
    <w:rsid w:val="00EA34CD"/>
    <w:rsid w:val="00EA3670"/>
    <w:rsid w:val="00EA36CB"/>
    <w:rsid w:val="00EA3840"/>
    <w:rsid w:val="00EA38F5"/>
    <w:rsid w:val="00EA392A"/>
    <w:rsid w:val="00EA3E5E"/>
    <w:rsid w:val="00EA3E6A"/>
    <w:rsid w:val="00EA3ED9"/>
    <w:rsid w:val="00EA3F5B"/>
    <w:rsid w:val="00EA42D1"/>
    <w:rsid w:val="00EA43E3"/>
    <w:rsid w:val="00EA43E6"/>
    <w:rsid w:val="00EA4824"/>
    <w:rsid w:val="00EA4985"/>
    <w:rsid w:val="00EA4C0F"/>
    <w:rsid w:val="00EA4C4B"/>
    <w:rsid w:val="00EA4E8E"/>
    <w:rsid w:val="00EA4F77"/>
    <w:rsid w:val="00EA5732"/>
    <w:rsid w:val="00EA5B5B"/>
    <w:rsid w:val="00EA5C2C"/>
    <w:rsid w:val="00EA5FF5"/>
    <w:rsid w:val="00EA619A"/>
    <w:rsid w:val="00EA631A"/>
    <w:rsid w:val="00EA65FE"/>
    <w:rsid w:val="00EA6DD8"/>
    <w:rsid w:val="00EA7025"/>
    <w:rsid w:val="00EA70CD"/>
    <w:rsid w:val="00EA7974"/>
    <w:rsid w:val="00EA7AE1"/>
    <w:rsid w:val="00EA7E29"/>
    <w:rsid w:val="00EA7E44"/>
    <w:rsid w:val="00EB00FE"/>
    <w:rsid w:val="00EB08F1"/>
    <w:rsid w:val="00EB0D0D"/>
    <w:rsid w:val="00EB0D4F"/>
    <w:rsid w:val="00EB0F90"/>
    <w:rsid w:val="00EB0FD6"/>
    <w:rsid w:val="00EB11A1"/>
    <w:rsid w:val="00EB1853"/>
    <w:rsid w:val="00EB18E4"/>
    <w:rsid w:val="00EB205A"/>
    <w:rsid w:val="00EB2262"/>
    <w:rsid w:val="00EB23BB"/>
    <w:rsid w:val="00EB23C8"/>
    <w:rsid w:val="00EB24F9"/>
    <w:rsid w:val="00EB25FB"/>
    <w:rsid w:val="00EB26C5"/>
    <w:rsid w:val="00EB28FC"/>
    <w:rsid w:val="00EB2971"/>
    <w:rsid w:val="00EB2A6C"/>
    <w:rsid w:val="00EB2EC9"/>
    <w:rsid w:val="00EB32F7"/>
    <w:rsid w:val="00EB353B"/>
    <w:rsid w:val="00EB363C"/>
    <w:rsid w:val="00EB37B0"/>
    <w:rsid w:val="00EB39A4"/>
    <w:rsid w:val="00EB3BFD"/>
    <w:rsid w:val="00EB410C"/>
    <w:rsid w:val="00EB4145"/>
    <w:rsid w:val="00EB431B"/>
    <w:rsid w:val="00EB4546"/>
    <w:rsid w:val="00EB46BC"/>
    <w:rsid w:val="00EB4A9E"/>
    <w:rsid w:val="00EB4B26"/>
    <w:rsid w:val="00EB5778"/>
    <w:rsid w:val="00EB57E4"/>
    <w:rsid w:val="00EB5EE8"/>
    <w:rsid w:val="00EB6120"/>
    <w:rsid w:val="00EB6217"/>
    <w:rsid w:val="00EB6751"/>
    <w:rsid w:val="00EB6BD9"/>
    <w:rsid w:val="00EB6F07"/>
    <w:rsid w:val="00EB6FBB"/>
    <w:rsid w:val="00EB6FEC"/>
    <w:rsid w:val="00EB71D3"/>
    <w:rsid w:val="00EB7322"/>
    <w:rsid w:val="00EB75E1"/>
    <w:rsid w:val="00EB75EA"/>
    <w:rsid w:val="00EC084B"/>
    <w:rsid w:val="00EC0BA9"/>
    <w:rsid w:val="00EC0F16"/>
    <w:rsid w:val="00EC0FE7"/>
    <w:rsid w:val="00EC10E0"/>
    <w:rsid w:val="00EC1408"/>
    <w:rsid w:val="00EC144C"/>
    <w:rsid w:val="00EC172A"/>
    <w:rsid w:val="00EC21D8"/>
    <w:rsid w:val="00EC23B0"/>
    <w:rsid w:val="00EC259D"/>
    <w:rsid w:val="00EC3CF0"/>
    <w:rsid w:val="00EC4484"/>
    <w:rsid w:val="00EC454B"/>
    <w:rsid w:val="00EC4645"/>
    <w:rsid w:val="00EC4C1C"/>
    <w:rsid w:val="00EC4C96"/>
    <w:rsid w:val="00EC4E9A"/>
    <w:rsid w:val="00EC4F8A"/>
    <w:rsid w:val="00EC5068"/>
    <w:rsid w:val="00EC53B2"/>
    <w:rsid w:val="00EC5A46"/>
    <w:rsid w:val="00EC6E37"/>
    <w:rsid w:val="00EC6E51"/>
    <w:rsid w:val="00EC6FBF"/>
    <w:rsid w:val="00EC707B"/>
    <w:rsid w:val="00EC72CF"/>
    <w:rsid w:val="00EC75CE"/>
    <w:rsid w:val="00EC78DF"/>
    <w:rsid w:val="00EC79E6"/>
    <w:rsid w:val="00ED0180"/>
    <w:rsid w:val="00ED066C"/>
    <w:rsid w:val="00ED0976"/>
    <w:rsid w:val="00ED0D21"/>
    <w:rsid w:val="00ED0F0B"/>
    <w:rsid w:val="00ED0FF2"/>
    <w:rsid w:val="00ED1394"/>
    <w:rsid w:val="00ED1612"/>
    <w:rsid w:val="00ED17DF"/>
    <w:rsid w:val="00ED1961"/>
    <w:rsid w:val="00ED1DD5"/>
    <w:rsid w:val="00ED2140"/>
    <w:rsid w:val="00ED243E"/>
    <w:rsid w:val="00ED270C"/>
    <w:rsid w:val="00ED27BD"/>
    <w:rsid w:val="00ED2D03"/>
    <w:rsid w:val="00ED355F"/>
    <w:rsid w:val="00ED3883"/>
    <w:rsid w:val="00ED4089"/>
    <w:rsid w:val="00ED430B"/>
    <w:rsid w:val="00ED5863"/>
    <w:rsid w:val="00ED592A"/>
    <w:rsid w:val="00ED5AD6"/>
    <w:rsid w:val="00ED5F90"/>
    <w:rsid w:val="00ED6268"/>
    <w:rsid w:val="00ED676E"/>
    <w:rsid w:val="00ED734C"/>
    <w:rsid w:val="00ED745A"/>
    <w:rsid w:val="00ED7560"/>
    <w:rsid w:val="00ED763C"/>
    <w:rsid w:val="00ED7727"/>
    <w:rsid w:val="00ED7BD0"/>
    <w:rsid w:val="00EE0541"/>
    <w:rsid w:val="00EE0649"/>
    <w:rsid w:val="00EE0705"/>
    <w:rsid w:val="00EE0CD2"/>
    <w:rsid w:val="00EE0CDE"/>
    <w:rsid w:val="00EE106C"/>
    <w:rsid w:val="00EE1353"/>
    <w:rsid w:val="00EE1416"/>
    <w:rsid w:val="00EE18A7"/>
    <w:rsid w:val="00EE1986"/>
    <w:rsid w:val="00EE1992"/>
    <w:rsid w:val="00EE1E04"/>
    <w:rsid w:val="00EE2242"/>
    <w:rsid w:val="00EE22F7"/>
    <w:rsid w:val="00EE2541"/>
    <w:rsid w:val="00EE2651"/>
    <w:rsid w:val="00EE268E"/>
    <w:rsid w:val="00EE273B"/>
    <w:rsid w:val="00EE2AAC"/>
    <w:rsid w:val="00EE2C3C"/>
    <w:rsid w:val="00EE3410"/>
    <w:rsid w:val="00EE360D"/>
    <w:rsid w:val="00EE3B2B"/>
    <w:rsid w:val="00EE4774"/>
    <w:rsid w:val="00EE4B52"/>
    <w:rsid w:val="00EE4BA6"/>
    <w:rsid w:val="00EE4ECE"/>
    <w:rsid w:val="00EE4FE9"/>
    <w:rsid w:val="00EE4FFB"/>
    <w:rsid w:val="00EE526E"/>
    <w:rsid w:val="00EE52A7"/>
    <w:rsid w:val="00EE542E"/>
    <w:rsid w:val="00EE5A9E"/>
    <w:rsid w:val="00EE5B1B"/>
    <w:rsid w:val="00EE5DD3"/>
    <w:rsid w:val="00EE5E3F"/>
    <w:rsid w:val="00EE603B"/>
    <w:rsid w:val="00EE6149"/>
    <w:rsid w:val="00EE6162"/>
    <w:rsid w:val="00EE64C2"/>
    <w:rsid w:val="00EE64CD"/>
    <w:rsid w:val="00EE6788"/>
    <w:rsid w:val="00EE6AAA"/>
    <w:rsid w:val="00EE6BE1"/>
    <w:rsid w:val="00EE6BFE"/>
    <w:rsid w:val="00EE6DBC"/>
    <w:rsid w:val="00EE7030"/>
    <w:rsid w:val="00EE7116"/>
    <w:rsid w:val="00EE71E0"/>
    <w:rsid w:val="00EE750D"/>
    <w:rsid w:val="00EE7BA2"/>
    <w:rsid w:val="00EF0672"/>
    <w:rsid w:val="00EF06AF"/>
    <w:rsid w:val="00EF06CF"/>
    <w:rsid w:val="00EF0B15"/>
    <w:rsid w:val="00EF0CBE"/>
    <w:rsid w:val="00EF0D78"/>
    <w:rsid w:val="00EF1EDB"/>
    <w:rsid w:val="00EF223A"/>
    <w:rsid w:val="00EF23BE"/>
    <w:rsid w:val="00EF26DE"/>
    <w:rsid w:val="00EF2840"/>
    <w:rsid w:val="00EF2880"/>
    <w:rsid w:val="00EF2C68"/>
    <w:rsid w:val="00EF2CD9"/>
    <w:rsid w:val="00EF2D8A"/>
    <w:rsid w:val="00EF3222"/>
    <w:rsid w:val="00EF3422"/>
    <w:rsid w:val="00EF348B"/>
    <w:rsid w:val="00EF3823"/>
    <w:rsid w:val="00EF3DAA"/>
    <w:rsid w:val="00EF3F6B"/>
    <w:rsid w:val="00EF4100"/>
    <w:rsid w:val="00EF4C0B"/>
    <w:rsid w:val="00EF4E80"/>
    <w:rsid w:val="00EF4E8E"/>
    <w:rsid w:val="00EF51BC"/>
    <w:rsid w:val="00EF5331"/>
    <w:rsid w:val="00EF5560"/>
    <w:rsid w:val="00EF5F8B"/>
    <w:rsid w:val="00EF649B"/>
    <w:rsid w:val="00EF64A9"/>
    <w:rsid w:val="00EF6A07"/>
    <w:rsid w:val="00EF6C20"/>
    <w:rsid w:val="00EF6F35"/>
    <w:rsid w:val="00EF6F50"/>
    <w:rsid w:val="00EF7496"/>
    <w:rsid w:val="00EF7B7B"/>
    <w:rsid w:val="00F001CE"/>
    <w:rsid w:val="00F00396"/>
    <w:rsid w:val="00F00888"/>
    <w:rsid w:val="00F00EF2"/>
    <w:rsid w:val="00F01114"/>
    <w:rsid w:val="00F01523"/>
    <w:rsid w:val="00F02BD9"/>
    <w:rsid w:val="00F02DFD"/>
    <w:rsid w:val="00F0314D"/>
    <w:rsid w:val="00F0331D"/>
    <w:rsid w:val="00F03574"/>
    <w:rsid w:val="00F03C3D"/>
    <w:rsid w:val="00F03FB3"/>
    <w:rsid w:val="00F0410B"/>
    <w:rsid w:val="00F0422B"/>
    <w:rsid w:val="00F044CF"/>
    <w:rsid w:val="00F04624"/>
    <w:rsid w:val="00F04B17"/>
    <w:rsid w:val="00F05049"/>
    <w:rsid w:val="00F05232"/>
    <w:rsid w:val="00F0537F"/>
    <w:rsid w:val="00F053BE"/>
    <w:rsid w:val="00F05A00"/>
    <w:rsid w:val="00F05A72"/>
    <w:rsid w:val="00F05AAF"/>
    <w:rsid w:val="00F06B12"/>
    <w:rsid w:val="00F06E0B"/>
    <w:rsid w:val="00F071F7"/>
    <w:rsid w:val="00F0783A"/>
    <w:rsid w:val="00F07BCD"/>
    <w:rsid w:val="00F07C08"/>
    <w:rsid w:val="00F07D25"/>
    <w:rsid w:val="00F100B6"/>
    <w:rsid w:val="00F1026F"/>
    <w:rsid w:val="00F10299"/>
    <w:rsid w:val="00F107E1"/>
    <w:rsid w:val="00F11134"/>
    <w:rsid w:val="00F1118E"/>
    <w:rsid w:val="00F113DB"/>
    <w:rsid w:val="00F11820"/>
    <w:rsid w:val="00F1187F"/>
    <w:rsid w:val="00F11C4D"/>
    <w:rsid w:val="00F11C53"/>
    <w:rsid w:val="00F11C93"/>
    <w:rsid w:val="00F120DF"/>
    <w:rsid w:val="00F1227C"/>
    <w:rsid w:val="00F12A5B"/>
    <w:rsid w:val="00F12A5D"/>
    <w:rsid w:val="00F12C15"/>
    <w:rsid w:val="00F12FF7"/>
    <w:rsid w:val="00F135E0"/>
    <w:rsid w:val="00F13738"/>
    <w:rsid w:val="00F140AD"/>
    <w:rsid w:val="00F142DF"/>
    <w:rsid w:val="00F14836"/>
    <w:rsid w:val="00F14950"/>
    <w:rsid w:val="00F14E86"/>
    <w:rsid w:val="00F14F52"/>
    <w:rsid w:val="00F15107"/>
    <w:rsid w:val="00F15248"/>
    <w:rsid w:val="00F15C9E"/>
    <w:rsid w:val="00F16082"/>
    <w:rsid w:val="00F16240"/>
    <w:rsid w:val="00F168BC"/>
    <w:rsid w:val="00F172FE"/>
    <w:rsid w:val="00F17BE1"/>
    <w:rsid w:val="00F17D46"/>
    <w:rsid w:val="00F17E7D"/>
    <w:rsid w:val="00F2006E"/>
    <w:rsid w:val="00F20198"/>
    <w:rsid w:val="00F209E3"/>
    <w:rsid w:val="00F20CCF"/>
    <w:rsid w:val="00F20D68"/>
    <w:rsid w:val="00F212F4"/>
    <w:rsid w:val="00F214DA"/>
    <w:rsid w:val="00F2164F"/>
    <w:rsid w:val="00F223D1"/>
    <w:rsid w:val="00F22452"/>
    <w:rsid w:val="00F227B9"/>
    <w:rsid w:val="00F2297D"/>
    <w:rsid w:val="00F230AD"/>
    <w:rsid w:val="00F234CE"/>
    <w:rsid w:val="00F2367D"/>
    <w:rsid w:val="00F2377A"/>
    <w:rsid w:val="00F237CF"/>
    <w:rsid w:val="00F23C3E"/>
    <w:rsid w:val="00F23EF8"/>
    <w:rsid w:val="00F2410F"/>
    <w:rsid w:val="00F24513"/>
    <w:rsid w:val="00F2492D"/>
    <w:rsid w:val="00F249F3"/>
    <w:rsid w:val="00F25195"/>
    <w:rsid w:val="00F251C0"/>
    <w:rsid w:val="00F25286"/>
    <w:rsid w:val="00F25456"/>
    <w:rsid w:val="00F25667"/>
    <w:rsid w:val="00F256C5"/>
    <w:rsid w:val="00F26363"/>
    <w:rsid w:val="00F267BE"/>
    <w:rsid w:val="00F268B9"/>
    <w:rsid w:val="00F26E6C"/>
    <w:rsid w:val="00F26F22"/>
    <w:rsid w:val="00F270ED"/>
    <w:rsid w:val="00F274BD"/>
    <w:rsid w:val="00F274F6"/>
    <w:rsid w:val="00F27661"/>
    <w:rsid w:val="00F2767F"/>
    <w:rsid w:val="00F276FF"/>
    <w:rsid w:val="00F277C8"/>
    <w:rsid w:val="00F27858"/>
    <w:rsid w:val="00F27F3A"/>
    <w:rsid w:val="00F301AB"/>
    <w:rsid w:val="00F302A0"/>
    <w:rsid w:val="00F30918"/>
    <w:rsid w:val="00F30E79"/>
    <w:rsid w:val="00F30EC8"/>
    <w:rsid w:val="00F313D3"/>
    <w:rsid w:val="00F31978"/>
    <w:rsid w:val="00F31A24"/>
    <w:rsid w:val="00F31B4D"/>
    <w:rsid w:val="00F31C0D"/>
    <w:rsid w:val="00F31C17"/>
    <w:rsid w:val="00F31E9E"/>
    <w:rsid w:val="00F31F8E"/>
    <w:rsid w:val="00F32212"/>
    <w:rsid w:val="00F323E2"/>
    <w:rsid w:val="00F3270D"/>
    <w:rsid w:val="00F32795"/>
    <w:rsid w:val="00F327EC"/>
    <w:rsid w:val="00F32EBE"/>
    <w:rsid w:val="00F3329F"/>
    <w:rsid w:val="00F333C9"/>
    <w:rsid w:val="00F33D9B"/>
    <w:rsid w:val="00F34227"/>
    <w:rsid w:val="00F34610"/>
    <w:rsid w:val="00F348ED"/>
    <w:rsid w:val="00F34A3B"/>
    <w:rsid w:val="00F34EB4"/>
    <w:rsid w:val="00F3529B"/>
    <w:rsid w:val="00F357BB"/>
    <w:rsid w:val="00F3586F"/>
    <w:rsid w:val="00F35A20"/>
    <w:rsid w:val="00F35D2B"/>
    <w:rsid w:val="00F35D9C"/>
    <w:rsid w:val="00F360F2"/>
    <w:rsid w:val="00F3631D"/>
    <w:rsid w:val="00F365D1"/>
    <w:rsid w:val="00F36E0F"/>
    <w:rsid w:val="00F36ED7"/>
    <w:rsid w:val="00F378CD"/>
    <w:rsid w:val="00F37A54"/>
    <w:rsid w:val="00F37AF5"/>
    <w:rsid w:val="00F37BC1"/>
    <w:rsid w:val="00F37C00"/>
    <w:rsid w:val="00F37E8A"/>
    <w:rsid w:val="00F37F9B"/>
    <w:rsid w:val="00F4029B"/>
    <w:rsid w:val="00F40495"/>
    <w:rsid w:val="00F4099E"/>
    <w:rsid w:val="00F409E5"/>
    <w:rsid w:val="00F40BE7"/>
    <w:rsid w:val="00F41193"/>
    <w:rsid w:val="00F412AB"/>
    <w:rsid w:val="00F41350"/>
    <w:rsid w:val="00F413C0"/>
    <w:rsid w:val="00F41936"/>
    <w:rsid w:val="00F42AA1"/>
    <w:rsid w:val="00F42C0E"/>
    <w:rsid w:val="00F42E73"/>
    <w:rsid w:val="00F43066"/>
    <w:rsid w:val="00F43427"/>
    <w:rsid w:val="00F439DB"/>
    <w:rsid w:val="00F43A83"/>
    <w:rsid w:val="00F4463B"/>
    <w:rsid w:val="00F44A37"/>
    <w:rsid w:val="00F44ABA"/>
    <w:rsid w:val="00F44B32"/>
    <w:rsid w:val="00F44C6E"/>
    <w:rsid w:val="00F44FA1"/>
    <w:rsid w:val="00F453D9"/>
    <w:rsid w:val="00F459B5"/>
    <w:rsid w:val="00F45A1C"/>
    <w:rsid w:val="00F45F7C"/>
    <w:rsid w:val="00F4606D"/>
    <w:rsid w:val="00F46816"/>
    <w:rsid w:val="00F4684D"/>
    <w:rsid w:val="00F4689E"/>
    <w:rsid w:val="00F469EC"/>
    <w:rsid w:val="00F4735D"/>
    <w:rsid w:val="00F473A6"/>
    <w:rsid w:val="00F4745A"/>
    <w:rsid w:val="00F47585"/>
    <w:rsid w:val="00F478C5"/>
    <w:rsid w:val="00F47971"/>
    <w:rsid w:val="00F479AD"/>
    <w:rsid w:val="00F47A0B"/>
    <w:rsid w:val="00F47DE5"/>
    <w:rsid w:val="00F47F24"/>
    <w:rsid w:val="00F51111"/>
    <w:rsid w:val="00F51115"/>
    <w:rsid w:val="00F514E2"/>
    <w:rsid w:val="00F5203F"/>
    <w:rsid w:val="00F52871"/>
    <w:rsid w:val="00F52E31"/>
    <w:rsid w:val="00F52E4B"/>
    <w:rsid w:val="00F5309B"/>
    <w:rsid w:val="00F53175"/>
    <w:rsid w:val="00F53303"/>
    <w:rsid w:val="00F5347B"/>
    <w:rsid w:val="00F53828"/>
    <w:rsid w:val="00F53A10"/>
    <w:rsid w:val="00F53EDC"/>
    <w:rsid w:val="00F54799"/>
    <w:rsid w:val="00F54B79"/>
    <w:rsid w:val="00F55086"/>
    <w:rsid w:val="00F55166"/>
    <w:rsid w:val="00F551B1"/>
    <w:rsid w:val="00F556BB"/>
    <w:rsid w:val="00F5580E"/>
    <w:rsid w:val="00F558A7"/>
    <w:rsid w:val="00F55F40"/>
    <w:rsid w:val="00F55F4C"/>
    <w:rsid w:val="00F55FC8"/>
    <w:rsid w:val="00F56165"/>
    <w:rsid w:val="00F561F6"/>
    <w:rsid w:val="00F5627E"/>
    <w:rsid w:val="00F5633E"/>
    <w:rsid w:val="00F563E3"/>
    <w:rsid w:val="00F56A17"/>
    <w:rsid w:val="00F56BE9"/>
    <w:rsid w:val="00F56C25"/>
    <w:rsid w:val="00F571C7"/>
    <w:rsid w:val="00F57701"/>
    <w:rsid w:val="00F5791B"/>
    <w:rsid w:val="00F57B0E"/>
    <w:rsid w:val="00F57BF6"/>
    <w:rsid w:val="00F57CA4"/>
    <w:rsid w:val="00F60124"/>
    <w:rsid w:val="00F60256"/>
    <w:rsid w:val="00F6025D"/>
    <w:rsid w:val="00F6040A"/>
    <w:rsid w:val="00F60586"/>
    <w:rsid w:val="00F605C2"/>
    <w:rsid w:val="00F60665"/>
    <w:rsid w:val="00F6104C"/>
    <w:rsid w:val="00F61C0C"/>
    <w:rsid w:val="00F62550"/>
    <w:rsid w:val="00F6270E"/>
    <w:rsid w:val="00F62716"/>
    <w:rsid w:val="00F62941"/>
    <w:rsid w:val="00F62BA9"/>
    <w:rsid w:val="00F62C14"/>
    <w:rsid w:val="00F62E3A"/>
    <w:rsid w:val="00F63095"/>
    <w:rsid w:val="00F630BD"/>
    <w:rsid w:val="00F635B9"/>
    <w:rsid w:val="00F635F5"/>
    <w:rsid w:val="00F6394D"/>
    <w:rsid w:val="00F639C3"/>
    <w:rsid w:val="00F63BF6"/>
    <w:rsid w:val="00F63EA8"/>
    <w:rsid w:val="00F64535"/>
    <w:rsid w:val="00F648B9"/>
    <w:rsid w:val="00F65F3C"/>
    <w:rsid w:val="00F66735"/>
    <w:rsid w:val="00F66D4D"/>
    <w:rsid w:val="00F66FA4"/>
    <w:rsid w:val="00F67209"/>
    <w:rsid w:val="00F67790"/>
    <w:rsid w:val="00F6794A"/>
    <w:rsid w:val="00F67A40"/>
    <w:rsid w:val="00F67B28"/>
    <w:rsid w:val="00F70B79"/>
    <w:rsid w:val="00F70BFC"/>
    <w:rsid w:val="00F70E25"/>
    <w:rsid w:val="00F712C2"/>
    <w:rsid w:val="00F71316"/>
    <w:rsid w:val="00F7141F"/>
    <w:rsid w:val="00F7158A"/>
    <w:rsid w:val="00F716C5"/>
    <w:rsid w:val="00F71B17"/>
    <w:rsid w:val="00F7222A"/>
    <w:rsid w:val="00F728E1"/>
    <w:rsid w:val="00F72A20"/>
    <w:rsid w:val="00F7320A"/>
    <w:rsid w:val="00F73A57"/>
    <w:rsid w:val="00F73B2B"/>
    <w:rsid w:val="00F73B47"/>
    <w:rsid w:val="00F73C47"/>
    <w:rsid w:val="00F73E4E"/>
    <w:rsid w:val="00F73EFD"/>
    <w:rsid w:val="00F743C4"/>
    <w:rsid w:val="00F7444E"/>
    <w:rsid w:val="00F74B80"/>
    <w:rsid w:val="00F74C4C"/>
    <w:rsid w:val="00F74D4C"/>
    <w:rsid w:val="00F74D58"/>
    <w:rsid w:val="00F754E2"/>
    <w:rsid w:val="00F759C3"/>
    <w:rsid w:val="00F75BF2"/>
    <w:rsid w:val="00F75C74"/>
    <w:rsid w:val="00F76132"/>
    <w:rsid w:val="00F7615C"/>
    <w:rsid w:val="00F76545"/>
    <w:rsid w:val="00F7664F"/>
    <w:rsid w:val="00F76AE7"/>
    <w:rsid w:val="00F76BE7"/>
    <w:rsid w:val="00F76DA7"/>
    <w:rsid w:val="00F76EC3"/>
    <w:rsid w:val="00F77526"/>
    <w:rsid w:val="00F7777B"/>
    <w:rsid w:val="00F77998"/>
    <w:rsid w:val="00F77A05"/>
    <w:rsid w:val="00F77F0B"/>
    <w:rsid w:val="00F77FD4"/>
    <w:rsid w:val="00F800D8"/>
    <w:rsid w:val="00F8014B"/>
    <w:rsid w:val="00F8035E"/>
    <w:rsid w:val="00F80906"/>
    <w:rsid w:val="00F80A8B"/>
    <w:rsid w:val="00F80C79"/>
    <w:rsid w:val="00F80EAC"/>
    <w:rsid w:val="00F81173"/>
    <w:rsid w:val="00F81A62"/>
    <w:rsid w:val="00F81E25"/>
    <w:rsid w:val="00F826AD"/>
    <w:rsid w:val="00F828A5"/>
    <w:rsid w:val="00F82BDF"/>
    <w:rsid w:val="00F82CBF"/>
    <w:rsid w:val="00F82EA1"/>
    <w:rsid w:val="00F830A5"/>
    <w:rsid w:val="00F835FB"/>
    <w:rsid w:val="00F837E3"/>
    <w:rsid w:val="00F838CF"/>
    <w:rsid w:val="00F83F81"/>
    <w:rsid w:val="00F84152"/>
    <w:rsid w:val="00F84568"/>
    <w:rsid w:val="00F84768"/>
    <w:rsid w:val="00F84B29"/>
    <w:rsid w:val="00F84CA5"/>
    <w:rsid w:val="00F84D38"/>
    <w:rsid w:val="00F84E09"/>
    <w:rsid w:val="00F84EE2"/>
    <w:rsid w:val="00F85096"/>
    <w:rsid w:val="00F8521F"/>
    <w:rsid w:val="00F85293"/>
    <w:rsid w:val="00F853EB"/>
    <w:rsid w:val="00F8544C"/>
    <w:rsid w:val="00F854A0"/>
    <w:rsid w:val="00F85872"/>
    <w:rsid w:val="00F859F2"/>
    <w:rsid w:val="00F85C6F"/>
    <w:rsid w:val="00F85D29"/>
    <w:rsid w:val="00F85D82"/>
    <w:rsid w:val="00F85E8E"/>
    <w:rsid w:val="00F863D6"/>
    <w:rsid w:val="00F86DD8"/>
    <w:rsid w:val="00F86E52"/>
    <w:rsid w:val="00F86E7D"/>
    <w:rsid w:val="00F86EF5"/>
    <w:rsid w:val="00F87123"/>
    <w:rsid w:val="00F87223"/>
    <w:rsid w:val="00F875D8"/>
    <w:rsid w:val="00F876D4"/>
    <w:rsid w:val="00F87717"/>
    <w:rsid w:val="00F877FF"/>
    <w:rsid w:val="00F87AD8"/>
    <w:rsid w:val="00F87B68"/>
    <w:rsid w:val="00F87C3E"/>
    <w:rsid w:val="00F87D4B"/>
    <w:rsid w:val="00F900F6"/>
    <w:rsid w:val="00F903A5"/>
    <w:rsid w:val="00F9066A"/>
    <w:rsid w:val="00F906D1"/>
    <w:rsid w:val="00F906DE"/>
    <w:rsid w:val="00F90808"/>
    <w:rsid w:val="00F9084C"/>
    <w:rsid w:val="00F908BF"/>
    <w:rsid w:val="00F908FD"/>
    <w:rsid w:val="00F90DF5"/>
    <w:rsid w:val="00F9103D"/>
    <w:rsid w:val="00F91698"/>
    <w:rsid w:val="00F91728"/>
    <w:rsid w:val="00F917EA"/>
    <w:rsid w:val="00F91A96"/>
    <w:rsid w:val="00F91ABB"/>
    <w:rsid w:val="00F91B6C"/>
    <w:rsid w:val="00F91BB5"/>
    <w:rsid w:val="00F92047"/>
    <w:rsid w:val="00F9218F"/>
    <w:rsid w:val="00F923EB"/>
    <w:rsid w:val="00F92809"/>
    <w:rsid w:val="00F93003"/>
    <w:rsid w:val="00F9305F"/>
    <w:rsid w:val="00F934B5"/>
    <w:rsid w:val="00F93732"/>
    <w:rsid w:val="00F93976"/>
    <w:rsid w:val="00F93B81"/>
    <w:rsid w:val="00F93D8C"/>
    <w:rsid w:val="00F93DAB"/>
    <w:rsid w:val="00F94122"/>
    <w:rsid w:val="00F945CD"/>
    <w:rsid w:val="00F95189"/>
    <w:rsid w:val="00F959EC"/>
    <w:rsid w:val="00F95B55"/>
    <w:rsid w:val="00F96201"/>
    <w:rsid w:val="00F96332"/>
    <w:rsid w:val="00F96A21"/>
    <w:rsid w:val="00F96DB7"/>
    <w:rsid w:val="00F96E91"/>
    <w:rsid w:val="00F970B4"/>
    <w:rsid w:val="00F975B5"/>
    <w:rsid w:val="00F978F3"/>
    <w:rsid w:val="00F97B12"/>
    <w:rsid w:val="00F97F45"/>
    <w:rsid w:val="00FA0196"/>
    <w:rsid w:val="00FA0379"/>
    <w:rsid w:val="00FA03AE"/>
    <w:rsid w:val="00FA0461"/>
    <w:rsid w:val="00FA0523"/>
    <w:rsid w:val="00FA0E74"/>
    <w:rsid w:val="00FA1A31"/>
    <w:rsid w:val="00FA1EC4"/>
    <w:rsid w:val="00FA2254"/>
    <w:rsid w:val="00FA25DA"/>
    <w:rsid w:val="00FA27D5"/>
    <w:rsid w:val="00FA2D2A"/>
    <w:rsid w:val="00FA2F24"/>
    <w:rsid w:val="00FA318D"/>
    <w:rsid w:val="00FA3217"/>
    <w:rsid w:val="00FA32DC"/>
    <w:rsid w:val="00FA38E6"/>
    <w:rsid w:val="00FA3B27"/>
    <w:rsid w:val="00FA3DA4"/>
    <w:rsid w:val="00FA3FF8"/>
    <w:rsid w:val="00FA46EC"/>
    <w:rsid w:val="00FA4A0F"/>
    <w:rsid w:val="00FA4AE5"/>
    <w:rsid w:val="00FA5311"/>
    <w:rsid w:val="00FA5591"/>
    <w:rsid w:val="00FA55A4"/>
    <w:rsid w:val="00FA59C5"/>
    <w:rsid w:val="00FA5BB7"/>
    <w:rsid w:val="00FA5E7D"/>
    <w:rsid w:val="00FA611B"/>
    <w:rsid w:val="00FA64BF"/>
    <w:rsid w:val="00FA7600"/>
    <w:rsid w:val="00FA785A"/>
    <w:rsid w:val="00FA798D"/>
    <w:rsid w:val="00FA79EC"/>
    <w:rsid w:val="00FA7A3F"/>
    <w:rsid w:val="00FB01F2"/>
    <w:rsid w:val="00FB0A00"/>
    <w:rsid w:val="00FB0B71"/>
    <w:rsid w:val="00FB0CDC"/>
    <w:rsid w:val="00FB0D15"/>
    <w:rsid w:val="00FB0DF9"/>
    <w:rsid w:val="00FB1709"/>
    <w:rsid w:val="00FB1D80"/>
    <w:rsid w:val="00FB1E96"/>
    <w:rsid w:val="00FB1E9C"/>
    <w:rsid w:val="00FB1F23"/>
    <w:rsid w:val="00FB2397"/>
    <w:rsid w:val="00FB2669"/>
    <w:rsid w:val="00FB26C4"/>
    <w:rsid w:val="00FB2EEF"/>
    <w:rsid w:val="00FB3105"/>
    <w:rsid w:val="00FB311C"/>
    <w:rsid w:val="00FB3126"/>
    <w:rsid w:val="00FB338F"/>
    <w:rsid w:val="00FB5938"/>
    <w:rsid w:val="00FB5944"/>
    <w:rsid w:val="00FB59CE"/>
    <w:rsid w:val="00FB59ED"/>
    <w:rsid w:val="00FB5A6A"/>
    <w:rsid w:val="00FB5EC2"/>
    <w:rsid w:val="00FB5EF0"/>
    <w:rsid w:val="00FB62D2"/>
    <w:rsid w:val="00FB63CE"/>
    <w:rsid w:val="00FB6549"/>
    <w:rsid w:val="00FB684E"/>
    <w:rsid w:val="00FB6B80"/>
    <w:rsid w:val="00FB6FCA"/>
    <w:rsid w:val="00FB772D"/>
    <w:rsid w:val="00FB7D6D"/>
    <w:rsid w:val="00FB7E02"/>
    <w:rsid w:val="00FB7E2E"/>
    <w:rsid w:val="00FC00F9"/>
    <w:rsid w:val="00FC07A1"/>
    <w:rsid w:val="00FC08C5"/>
    <w:rsid w:val="00FC0934"/>
    <w:rsid w:val="00FC094F"/>
    <w:rsid w:val="00FC0AE2"/>
    <w:rsid w:val="00FC101B"/>
    <w:rsid w:val="00FC12BF"/>
    <w:rsid w:val="00FC1807"/>
    <w:rsid w:val="00FC1BB3"/>
    <w:rsid w:val="00FC1DEC"/>
    <w:rsid w:val="00FC23CD"/>
    <w:rsid w:val="00FC24C4"/>
    <w:rsid w:val="00FC259F"/>
    <w:rsid w:val="00FC2A8E"/>
    <w:rsid w:val="00FC2BF6"/>
    <w:rsid w:val="00FC2FA4"/>
    <w:rsid w:val="00FC32AB"/>
    <w:rsid w:val="00FC349F"/>
    <w:rsid w:val="00FC34B1"/>
    <w:rsid w:val="00FC3764"/>
    <w:rsid w:val="00FC3A59"/>
    <w:rsid w:val="00FC4082"/>
    <w:rsid w:val="00FC41EC"/>
    <w:rsid w:val="00FC4730"/>
    <w:rsid w:val="00FC48D6"/>
    <w:rsid w:val="00FC490C"/>
    <w:rsid w:val="00FC4D50"/>
    <w:rsid w:val="00FC505C"/>
    <w:rsid w:val="00FC5062"/>
    <w:rsid w:val="00FC51C6"/>
    <w:rsid w:val="00FC5381"/>
    <w:rsid w:val="00FC6005"/>
    <w:rsid w:val="00FC61E8"/>
    <w:rsid w:val="00FC6243"/>
    <w:rsid w:val="00FC637F"/>
    <w:rsid w:val="00FC64BD"/>
    <w:rsid w:val="00FC6727"/>
    <w:rsid w:val="00FC7295"/>
    <w:rsid w:val="00FC7F46"/>
    <w:rsid w:val="00FD002A"/>
    <w:rsid w:val="00FD02A6"/>
    <w:rsid w:val="00FD0340"/>
    <w:rsid w:val="00FD043F"/>
    <w:rsid w:val="00FD0647"/>
    <w:rsid w:val="00FD0AAA"/>
    <w:rsid w:val="00FD0CAF"/>
    <w:rsid w:val="00FD0ED1"/>
    <w:rsid w:val="00FD1B64"/>
    <w:rsid w:val="00FD21A0"/>
    <w:rsid w:val="00FD2647"/>
    <w:rsid w:val="00FD2852"/>
    <w:rsid w:val="00FD28DA"/>
    <w:rsid w:val="00FD2CB2"/>
    <w:rsid w:val="00FD3374"/>
    <w:rsid w:val="00FD35BA"/>
    <w:rsid w:val="00FD375D"/>
    <w:rsid w:val="00FD4223"/>
    <w:rsid w:val="00FD4882"/>
    <w:rsid w:val="00FD4B60"/>
    <w:rsid w:val="00FD4C72"/>
    <w:rsid w:val="00FD4E53"/>
    <w:rsid w:val="00FD4FE8"/>
    <w:rsid w:val="00FD50B0"/>
    <w:rsid w:val="00FD5146"/>
    <w:rsid w:val="00FD519A"/>
    <w:rsid w:val="00FD55BB"/>
    <w:rsid w:val="00FD563B"/>
    <w:rsid w:val="00FD5B11"/>
    <w:rsid w:val="00FD5FC8"/>
    <w:rsid w:val="00FD64CB"/>
    <w:rsid w:val="00FD69D8"/>
    <w:rsid w:val="00FD6A55"/>
    <w:rsid w:val="00FD6F70"/>
    <w:rsid w:val="00FD70EA"/>
    <w:rsid w:val="00FD75EB"/>
    <w:rsid w:val="00FD7733"/>
    <w:rsid w:val="00FD7B73"/>
    <w:rsid w:val="00FD7C02"/>
    <w:rsid w:val="00FE0316"/>
    <w:rsid w:val="00FE038E"/>
    <w:rsid w:val="00FE0558"/>
    <w:rsid w:val="00FE088E"/>
    <w:rsid w:val="00FE094C"/>
    <w:rsid w:val="00FE0D49"/>
    <w:rsid w:val="00FE10D3"/>
    <w:rsid w:val="00FE1302"/>
    <w:rsid w:val="00FE13BA"/>
    <w:rsid w:val="00FE1448"/>
    <w:rsid w:val="00FE1528"/>
    <w:rsid w:val="00FE16AC"/>
    <w:rsid w:val="00FE17FD"/>
    <w:rsid w:val="00FE19B7"/>
    <w:rsid w:val="00FE1AFE"/>
    <w:rsid w:val="00FE2077"/>
    <w:rsid w:val="00FE21AC"/>
    <w:rsid w:val="00FE27CE"/>
    <w:rsid w:val="00FE2B36"/>
    <w:rsid w:val="00FE3045"/>
    <w:rsid w:val="00FE3509"/>
    <w:rsid w:val="00FE3622"/>
    <w:rsid w:val="00FE3855"/>
    <w:rsid w:val="00FE4332"/>
    <w:rsid w:val="00FE48F8"/>
    <w:rsid w:val="00FE4924"/>
    <w:rsid w:val="00FE499A"/>
    <w:rsid w:val="00FE4D36"/>
    <w:rsid w:val="00FE53FC"/>
    <w:rsid w:val="00FE55BA"/>
    <w:rsid w:val="00FE58DF"/>
    <w:rsid w:val="00FE5B5A"/>
    <w:rsid w:val="00FE5BBF"/>
    <w:rsid w:val="00FE5CB8"/>
    <w:rsid w:val="00FE61F5"/>
    <w:rsid w:val="00FE6272"/>
    <w:rsid w:val="00FE6A14"/>
    <w:rsid w:val="00FE6B38"/>
    <w:rsid w:val="00FE6BD6"/>
    <w:rsid w:val="00FE6D41"/>
    <w:rsid w:val="00FE6FF5"/>
    <w:rsid w:val="00FE7356"/>
    <w:rsid w:val="00FE738D"/>
    <w:rsid w:val="00FE7423"/>
    <w:rsid w:val="00FE74C1"/>
    <w:rsid w:val="00FE772B"/>
    <w:rsid w:val="00FE79A9"/>
    <w:rsid w:val="00FE79B3"/>
    <w:rsid w:val="00FE7D96"/>
    <w:rsid w:val="00FE7DC8"/>
    <w:rsid w:val="00FF01FE"/>
    <w:rsid w:val="00FF045D"/>
    <w:rsid w:val="00FF0CDD"/>
    <w:rsid w:val="00FF120D"/>
    <w:rsid w:val="00FF1269"/>
    <w:rsid w:val="00FF13BD"/>
    <w:rsid w:val="00FF17A1"/>
    <w:rsid w:val="00FF1993"/>
    <w:rsid w:val="00FF26E3"/>
    <w:rsid w:val="00FF2718"/>
    <w:rsid w:val="00FF2A8C"/>
    <w:rsid w:val="00FF311A"/>
    <w:rsid w:val="00FF33E7"/>
    <w:rsid w:val="00FF346D"/>
    <w:rsid w:val="00FF3764"/>
    <w:rsid w:val="00FF3BC6"/>
    <w:rsid w:val="00FF3F73"/>
    <w:rsid w:val="00FF4100"/>
    <w:rsid w:val="00FF42AD"/>
    <w:rsid w:val="00FF42C1"/>
    <w:rsid w:val="00FF42E0"/>
    <w:rsid w:val="00FF487A"/>
    <w:rsid w:val="00FF48A8"/>
    <w:rsid w:val="00FF4965"/>
    <w:rsid w:val="00FF4981"/>
    <w:rsid w:val="00FF4CA6"/>
    <w:rsid w:val="00FF53D7"/>
    <w:rsid w:val="00FF5938"/>
    <w:rsid w:val="00FF5A12"/>
    <w:rsid w:val="00FF61D3"/>
    <w:rsid w:val="00FF63FD"/>
    <w:rsid w:val="00FF6417"/>
    <w:rsid w:val="00FF65D2"/>
    <w:rsid w:val="00FF67C5"/>
    <w:rsid w:val="00FF6978"/>
    <w:rsid w:val="00FF6D0C"/>
    <w:rsid w:val="00FF762D"/>
    <w:rsid w:val="00FF7682"/>
    <w:rsid w:val="00FF7799"/>
    <w:rsid w:val="00FF78CD"/>
    <w:rsid w:val="00FF79A6"/>
    <w:rsid w:val="00FF7AA4"/>
    <w:rsid w:val="00FF7C0C"/>
    <w:rsid w:val="019FCFE9"/>
    <w:rsid w:val="022BB863"/>
    <w:rsid w:val="0436FA8A"/>
    <w:rsid w:val="05E13441"/>
    <w:rsid w:val="06FF2986"/>
    <w:rsid w:val="08851E30"/>
    <w:rsid w:val="0AC2AA72"/>
    <w:rsid w:val="0B228F2B"/>
    <w:rsid w:val="0B256B71"/>
    <w:rsid w:val="0BB2BC85"/>
    <w:rsid w:val="0C2F788D"/>
    <w:rsid w:val="0E1775CD"/>
    <w:rsid w:val="0E457ACD"/>
    <w:rsid w:val="10421231"/>
    <w:rsid w:val="115606C0"/>
    <w:rsid w:val="1384103F"/>
    <w:rsid w:val="144B10A8"/>
    <w:rsid w:val="144CC461"/>
    <w:rsid w:val="14CF42CA"/>
    <w:rsid w:val="1507AF7E"/>
    <w:rsid w:val="15FDCDD7"/>
    <w:rsid w:val="1730041A"/>
    <w:rsid w:val="17B05D26"/>
    <w:rsid w:val="185FE1BB"/>
    <w:rsid w:val="1A67E511"/>
    <w:rsid w:val="1ADC972A"/>
    <w:rsid w:val="1BB48C44"/>
    <w:rsid w:val="1C10CCFC"/>
    <w:rsid w:val="1CEBA1A5"/>
    <w:rsid w:val="1CFBFC9F"/>
    <w:rsid w:val="1DCA2575"/>
    <w:rsid w:val="1E9582A6"/>
    <w:rsid w:val="1F7F73B3"/>
    <w:rsid w:val="20282B44"/>
    <w:rsid w:val="20A52D08"/>
    <w:rsid w:val="210A0456"/>
    <w:rsid w:val="21CAE988"/>
    <w:rsid w:val="229D9698"/>
    <w:rsid w:val="242CB511"/>
    <w:rsid w:val="259E86E5"/>
    <w:rsid w:val="26CD147E"/>
    <w:rsid w:val="282102AF"/>
    <w:rsid w:val="2958E4EF"/>
    <w:rsid w:val="2A26D057"/>
    <w:rsid w:val="2B58A371"/>
    <w:rsid w:val="2B833CA2"/>
    <w:rsid w:val="2C309544"/>
    <w:rsid w:val="2CE3F460"/>
    <w:rsid w:val="2CFD273C"/>
    <w:rsid w:val="2E4CE0DB"/>
    <w:rsid w:val="2EEE4445"/>
    <w:rsid w:val="2F89312A"/>
    <w:rsid w:val="2FCDC96B"/>
    <w:rsid w:val="31018526"/>
    <w:rsid w:val="31BD97DC"/>
    <w:rsid w:val="38CAEAF4"/>
    <w:rsid w:val="39BFED61"/>
    <w:rsid w:val="3CE5B109"/>
    <w:rsid w:val="3D9B50EC"/>
    <w:rsid w:val="3E9C84D2"/>
    <w:rsid w:val="400FF898"/>
    <w:rsid w:val="4097EFF0"/>
    <w:rsid w:val="40C496F1"/>
    <w:rsid w:val="41EB72F8"/>
    <w:rsid w:val="437C1157"/>
    <w:rsid w:val="445A929A"/>
    <w:rsid w:val="44A7752A"/>
    <w:rsid w:val="44D578EA"/>
    <w:rsid w:val="46ED2285"/>
    <w:rsid w:val="481A0ED8"/>
    <w:rsid w:val="4936F59C"/>
    <w:rsid w:val="49D66AE9"/>
    <w:rsid w:val="4C8D9A1B"/>
    <w:rsid w:val="4E46042B"/>
    <w:rsid w:val="4E965DF8"/>
    <w:rsid w:val="4E984777"/>
    <w:rsid w:val="4EC972AD"/>
    <w:rsid w:val="4F78A1AE"/>
    <w:rsid w:val="4F89C61F"/>
    <w:rsid w:val="52B3BEA1"/>
    <w:rsid w:val="57D5AFF6"/>
    <w:rsid w:val="5C12640E"/>
    <w:rsid w:val="5CF97283"/>
    <w:rsid w:val="5D66F006"/>
    <w:rsid w:val="5F24BE0A"/>
    <w:rsid w:val="5F9C0F50"/>
    <w:rsid w:val="61834612"/>
    <w:rsid w:val="63F182B7"/>
    <w:rsid w:val="66C3A18C"/>
    <w:rsid w:val="698C6CE5"/>
    <w:rsid w:val="6A0CE093"/>
    <w:rsid w:val="6AEBD981"/>
    <w:rsid w:val="6B04E961"/>
    <w:rsid w:val="6B5B33A4"/>
    <w:rsid w:val="6DA8A319"/>
    <w:rsid w:val="6E7E3F90"/>
    <w:rsid w:val="6EE99915"/>
    <w:rsid w:val="6F1D5623"/>
    <w:rsid w:val="6F2F9B4A"/>
    <w:rsid w:val="6FE3D749"/>
    <w:rsid w:val="7386C557"/>
    <w:rsid w:val="75D74484"/>
    <w:rsid w:val="7712B336"/>
    <w:rsid w:val="77A5F125"/>
    <w:rsid w:val="77CFB95E"/>
    <w:rsid w:val="78761481"/>
    <w:rsid w:val="78DCF9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59A"/>
  <w15:chartTrackingRefBased/>
  <w15:docId w15:val="{80368AF5-196A-4AA8-839D-E6CBCB40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71"/>
    <w:rPr>
      <w:rFonts w:ascii="Arial" w:hAnsi="Arial"/>
    </w:rPr>
  </w:style>
  <w:style w:type="paragraph" w:styleId="Heading1">
    <w:name w:val="heading 1"/>
    <w:basedOn w:val="Normal"/>
    <w:next w:val="Normal"/>
    <w:link w:val="Heading1Char"/>
    <w:qFormat/>
    <w:rsid w:val="00684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D0CC0"/>
    <w:pPr>
      <w:keepNext/>
      <w:widowControl w:val="0"/>
      <w:overflowPunct w:val="0"/>
      <w:autoSpaceDE w:val="0"/>
      <w:autoSpaceDN w:val="0"/>
      <w:adjustRightInd w:val="0"/>
      <w:spacing w:before="240" w:after="60" w:line="240" w:lineRule="auto"/>
      <w:outlineLvl w:val="1"/>
    </w:pPr>
    <w:rPr>
      <w:rFonts w:eastAsia="Times New Roman" w:cs="Arial"/>
      <w:b/>
      <w:bCs/>
      <w:i/>
      <w:iCs/>
      <w:kern w:val="28"/>
      <w:szCs w:val="28"/>
      <w:lang w:eastAsia="en-GB"/>
    </w:rPr>
  </w:style>
  <w:style w:type="paragraph" w:styleId="Heading3">
    <w:name w:val="heading 3"/>
    <w:basedOn w:val="Normal"/>
    <w:next w:val="Normal"/>
    <w:link w:val="Heading3Char"/>
    <w:unhideWhenUsed/>
    <w:qFormat/>
    <w:rsid w:val="0000078B"/>
    <w:pPr>
      <w:keepNext/>
      <w:widowControl w:val="0"/>
      <w:overflowPunct w:val="0"/>
      <w:autoSpaceDE w:val="0"/>
      <w:autoSpaceDN w:val="0"/>
      <w:adjustRightInd w:val="0"/>
      <w:spacing w:before="240" w:after="60" w:line="240" w:lineRule="auto"/>
      <w:outlineLvl w:val="2"/>
    </w:pPr>
    <w:rPr>
      <w:rFonts w:ascii="Calibri Light" w:eastAsia="Times New Roman" w:hAnsi="Calibri Light" w:cs="Times New Roman"/>
      <w:b/>
      <w:bCs/>
      <w:kern w:val="28"/>
      <w:sz w:val="26"/>
      <w:szCs w:val="26"/>
      <w:lang w:eastAsia="en-GB"/>
    </w:rPr>
  </w:style>
  <w:style w:type="paragraph" w:styleId="Heading4">
    <w:name w:val="heading 4"/>
    <w:basedOn w:val="Normal"/>
    <w:next w:val="BodyText2"/>
    <w:link w:val="Heading4Char"/>
    <w:qFormat/>
    <w:rsid w:val="004E1F37"/>
    <w:pPr>
      <w:keepNext/>
      <w:keepLines/>
      <w:spacing w:before="200" w:after="100" w:line="240" w:lineRule="auto"/>
      <w:ind w:left="851"/>
      <w:outlineLvl w:val="3"/>
    </w:pPr>
    <w:rPr>
      <w:rFonts w:eastAsia="Times New Roman" w:cs="Times New Roman"/>
      <w:bCs/>
      <w:i/>
      <w:iCs/>
      <w:sz w:val="24"/>
    </w:rPr>
  </w:style>
  <w:style w:type="paragraph" w:styleId="Heading5">
    <w:name w:val="heading 5"/>
    <w:basedOn w:val="Normal"/>
    <w:next w:val="BodyText2"/>
    <w:link w:val="Heading5Char"/>
    <w:qFormat/>
    <w:rsid w:val="004E1F37"/>
    <w:pPr>
      <w:keepNext/>
      <w:keepLines/>
      <w:spacing w:before="200" w:after="0" w:line="240" w:lineRule="atLeast"/>
      <w:ind w:left="851"/>
      <w:outlineLvl w:val="4"/>
    </w:pPr>
    <w:rPr>
      <w:rFonts w:eastAsia="Times New Roman" w:cs="Times New Roman"/>
      <w:b/>
      <w:sz w:val="20"/>
    </w:rPr>
  </w:style>
  <w:style w:type="paragraph" w:styleId="Heading6">
    <w:name w:val="heading 6"/>
    <w:basedOn w:val="Normal"/>
    <w:next w:val="BodyText"/>
    <w:link w:val="Heading6Char"/>
    <w:qFormat/>
    <w:rsid w:val="004E1F37"/>
    <w:pPr>
      <w:keepNext/>
      <w:keepLines/>
      <w:spacing w:before="200" w:after="0" w:line="240" w:lineRule="auto"/>
      <w:outlineLvl w:val="5"/>
    </w:pPr>
    <w:rPr>
      <w:rFonts w:eastAsia="Times New Roman" w:cs="Times New Roman"/>
      <w:i/>
      <w:iCs/>
    </w:rPr>
  </w:style>
  <w:style w:type="paragraph" w:styleId="Heading7">
    <w:name w:val="heading 7"/>
    <w:basedOn w:val="Normal"/>
    <w:next w:val="Normal"/>
    <w:link w:val="Heading7Char"/>
    <w:qFormat/>
    <w:rsid w:val="004E1F37"/>
    <w:pPr>
      <w:keepNext/>
      <w:keepLines/>
      <w:spacing w:before="200" w:after="0" w:line="240"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qFormat/>
    <w:rsid w:val="004E1F37"/>
    <w:pPr>
      <w:tabs>
        <w:tab w:val="num" w:pos="2160"/>
      </w:tabs>
      <w:spacing w:before="240" w:after="60" w:line="240" w:lineRule="auto"/>
      <w:ind w:left="2160" w:hanging="1440"/>
      <w:outlineLvl w:val="7"/>
    </w:pPr>
    <w:rPr>
      <w:rFonts w:ascii="Times New Roman" w:eastAsia="Times New Roman" w:hAnsi="Times New Roman" w:cs="Times New Roman"/>
      <w:i/>
      <w:iCs/>
      <w:sz w:val="24"/>
      <w:szCs w:val="24"/>
      <w:lang w:val="x-none"/>
    </w:rPr>
  </w:style>
  <w:style w:type="paragraph" w:styleId="Heading9">
    <w:name w:val="heading 9"/>
    <w:basedOn w:val="Normal"/>
    <w:next w:val="Normal"/>
    <w:link w:val="Heading9Char"/>
    <w:qFormat/>
    <w:rsid w:val="004E1F37"/>
    <w:pPr>
      <w:tabs>
        <w:tab w:val="num" w:pos="2304"/>
      </w:tabs>
      <w:spacing w:before="240" w:after="60" w:line="240" w:lineRule="auto"/>
      <w:ind w:left="2304" w:hanging="1584"/>
      <w:outlineLvl w:val="8"/>
    </w:pPr>
    <w:rPr>
      <w:rFonts w:eastAsia="Times New Roman" w:cs="Times New Roman"/>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nhideWhenUsed/>
    <w:rsid w:val="00B56B5F"/>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B56B5F"/>
  </w:style>
  <w:style w:type="paragraph" w:styleId="Footer">
    <w:name w:val="footer"/>
    <w:basedOn w:val="Normal"/>
    <w:link w:val="FooterChar"/>
    <w:uiPriority w:val="99"/>
    <w:unhideWhenUsed/>
    <w:rsid w:val="00B56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B5F"/>
  </w:style>
  <w:style w:type="paragraph" w:customStyle="1" w:styleId="Head1">
    <w:name w:val="Head 1"/>
    <w:basedOn w:val="Heading1"/>
    <w:next w:val="Normal"/>
    <w:qFormat/>
    <w:rsid w:val="00DA0FFA"/>
    <w:pPr>
      <w:numPr>
        <w:numId w:val="2"/>
      </w:numPr>
      <w:spacing w:after="240"/>
    </w:pPr>
    <w:rPr>
      <w:rFonts w:ascii="Arial" w:hAnsi="Arial"/>
      <w:b/>
      <w:color w:val="009999"/>
      <w:sz w:val="28"/>
    </w:rPr>
  </w:style>
  <w:style w:type="paragraph" w:customStyle="1" w:styleId="Head2">
    <w:name w:val="Head 2"/>
    <w:basedOn w:val="Head1"/>
    <w:qFormat/>
    <w:rsid w:val="00202B9F"/>
    <w:pPr>
      <w:numPr>
        <w:ilvl w:val="1"/>
      </w:numPr>
      <w:spacing w:before="0" w:after="160"/>
    </w:pPr>
    <w:rPr>
      <w:b w:val="0"/>
      <w:color w:val="auto"/>
      <w:sz w:val="22"/>
    </w:rPr>
  </w:style>
  <w:style w:type="character" w:customStyle="1" w:styleId="Heading1Char">
    <w:name w:val="Heading 1 Char"/>
    <w:basedOn w:val="DefaultParagraphFont"/>
    <w:link w:val="Heading1"/>
    <w:uiPriority w:val="9"/>
    <w:rsid w:val="00684886"/>
    <w:rPr>
      <w:rFonts w:asciiTheme="majorHAnsi" w:eastAsiaTheme="majorEastAsia" w:hAnsiTheme="majorHAnsi" w:cstheme="majorBidi"/>
      <w:color w:val="2F5496" w:themeColor="accent1" w:themeShade="BF"/>
      <w:sz w:val="32"/>
      <w:szCs w:val="32"/>
    </w:rPr>
  </w:style>
  <w:style w:type="paragraph" w:styleId="ListParagraph">
    <w:name w:val="List Paragraph"/>
    <w:aliases w:val="Numbered Para 1,Dot pt,No Spacing1,List Paragraph Char Char Char,Indicator Text,Bullet 1,List Paragraph1,Bullet Points,Legal numbered paragraph,aHeading 2 - Sussex,Normal SWO Bullets,F5 List Paragraph,Colorful List - Accent 11,SOW Bullets"/>
    <w:basedOn w:val="Normal"/>
    <w:link w:val="ListParagraphChar"/>
    <w:uiPriority w:val="34"/>
    <w:qFormat/>
    <w:rsid w:val="007A5EE9"/>
    <w:pPr>
      <w:ind w:left="720"/>
      <w:contextualSpacing/>
    </w:pPr>
  </w:style>
  <w:style w:type="character" w:styleId="CommentReference">
    <w:name w:val="annotation reference"/>
    <w:basedOn w:val="DefaultParagraphFont"/>
    <w:uiPriority w:val="99"/>
    <w:unhideWhenUsed/>
    <w:rsid w:val="00485E44"/>
    <w:rPr>
      <w:sz w:val="16"/>
      <w:szCs w:val="16"/>
    </w:rPr>
  </w:style>
  <w:style w:type="paragraph" w:styleId="CommentText">
    <w:name w:val="annotation text"/>
    <w:basedOn w:val="Normal"/>
    <w:link w:val="CommentTextChar"/>
    <w:uiPriority w:val="99"/>
    <w:unhideWhenUsed/>
    <w:rsid w:val="00485E44"/>
    <w:pPr>
      <w:spacing w:line="240" w:lineRule="auto"/>
    </w:pPr>
    <w:rPr>
      <w:sz w:val="20"/>
      <w:szCs w:val="20"/>
    </w:rPr>
  </w:style>
  <w:style w:type="character" w:customStyle="1" w:styleId="CommentTextChar">
    <w:name w:val="Comment Text Char"/>
    <w:basedOn w:val="DefaultParagraphFont"/>
    <w:link w:val="CommentText"/>
    <w:uiPriority w:val="99"/>
    <w:rsid w:val="00485E44"/>
    <w:rPr>
      <w:rFonts w:ascii="Arial" w:hAnsi="Arial"/>
      <w:sz w:val="20"/>
      <w:szCs w:val="20"/>
    </w:rPr>
  </w:style>
  <w:style w:type="paragraph" w:styleId="CommentSubject">
    <w:name w:val="annotation subject"/>
    <w:basedOn w:val="CommentText"/>
    <w:next w:val="CommentText"/>
    <w:link w:val="CommentSubjectChar"/>
    <w:unhideWhenUsed/>
    <w:rsid w:val="00485E44"/>
    <w:rPr>
      <w:b/>
      <w:bCs/>
    </w:rPr>
  </w:style>
  <w:style w:type="character" w:customStyle="1" w:styleId="CommentSubjectChar">
    <w:name w:val="Comment Subject Char"/>
    <w:basedOn w:val="CommentTextChar"/>
    <w:link w:val="CommentSubject"/>
    <w:rsid w:val="00485E44"/>
    <w:rPr>
      <w:rFonts w:ascii="Arial" w:hAnsi="Arial"/>
      <w:b/>
      <w:bCs/>
      <w:sz w:val="20"/>
      <w:szCs w:val="20"/>
    </w:rPr>
  </w:style>
  <w:style w:type="paragraph" w:styleId="BalloonText">
    <w:name w:val="Balloon Text"/>
    <w:basedOn w:val="Normal"/>
    <w:link w:val="BalloonTextChar"/>
    <w:semiHidden/>
    <w:unhideWhenUsed/>
    <w:rsid w:val="00485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E44"/>
    <w:rPr>
      <w:rFonts w:ascii="Segoe UI" w:hAnsi="Segoe UI" w:cs="Segoe UI"/>
      <w:sz w:val="18"/>
      <w:szCs w:val="18"/>
    </w:rPr>
  </w:style>
  <w:style w:type="character" w:customStyle="1" w:styleId="Heading2Char">
    <w:name w:val="Heading 2 Char"/>
    <w:basedOn w:val="DefaultParagraphFont"/>
    <w:link w:val="Heading2"/>
    <w:rsid w:val="00CD0CC0"/>
    <w:rPr>
      <w:rFonts w:ascii="Arial" w:eastAsia="Times New Roman" w:hAnsi="Arial" w:cs="Arial"/>
      <w:b/>
      <w:bCs/>
      <w:i/>
      <w:iCs/>
      <w:kern w:val="28"/>
      <w:szCs w:val="28"/>
      <w:lang w:eastAsia="en-GB"/>
    </w:rPr>
  </w:style>
  <w:style w:type="character" w:styleId="Hyperlink">
    <w:name w:val="Hyperlink"/>
    <w:uiPriority w:val="99"/>
    <w:rsid w:val="00040866"/>
    <w:rPr>
      <w:color w:val="0000FF"/>
      <w:u w:val="single"/>
    </w:rPr>
  </w:style>
  <w:style w:type="character" w:customStyle="1" w:styleId="Heading3Char">
    <w:name w:val="Heading 3 Char"/>
    <w:basedOn w:val="DefaultParagraphFont"/>
    <w:link w:val="Heading3"/>
    <w:rsid w:val="0000078B"/>
    <w:rPr>
      <w:rFonts w:ascii="Calibri Light" w:eastAsia="Times New Roman" w:hAnsi="Calibri Light" w:cs="Times New Roman"/>
      <w:b/>
      <w:bCs/>
      <w:kern w:val="28"/>
      <w:sz w:val="26"/>
      <w:szCs w:val="26"/>
      <w:lang w:eastAsia="en-GB"/>
    </w:rPr>
  </w:style>
  <w:style w:type="character" w:styleId="FollowedHyperlink">
    <w:name w:val="FollowedHyperlink"/>
    <w:rsid w:val="0000078B"/>
    <w:rPr>
      <w:color w:val="800080"/>
      <w:u w:val="single"/>
    </w:rPr>
  </w:style>
  <w:style w:type="paragraph" w:customStyle="1" w:styleId="Headingbold">
    <w:name w:val="Heading bold"/>
    <w:basedOn w:val="Normal"/>
    <w:rsid w:val="0000078B"/>
    <w:pPr>
      <w:overflowPunct w:val="0"/>
      <w:autoSpaceDE w:val="0"/>
      <w:autoSpaceDN w:val="0"/>
      <w:adjustRightInd w:val="0"/>
      <w:spacing w:after="0" w:line="240" w:lineRule="auto"/>
      <w:textAlignment w:val="baseline"/>
    </w:pPr>
    <w:rPr>
      <w:rFonts w:ascii="Garamond" w:eastAsia="Times New Roman" w:hAnsi="Garamond" w:cs="Times New Roman"/>
      <w:b/>
      <w:sz w:val="24"/>
      <w:szCs w:val="20"/>
      <w:lang w:val="en-US"/>
    </w:rPr>
  </w:style>
  <w:style w:type="paragraph" w:styleId="NormalWeb">
    <w:name w:val="Normal (Web)"/>
    <w:basedOn w:val="Normal"/>
    <w:uiPriority w:val="99"/>
    <w:rsid w:val="000007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rCharCharCharCharCharCharCharChar">
    <w:name w:val="Char Char Char Char Char Char Char Char Char"/>
    <w:basedOn w:val="Normal"/>
    <w:rsid w:val="0000078B"/>
    <w:pPr>
      <w:spacing w:line="240" w:lineRule="exact"/>
    </w:pPr>
    <w:rPr>
      <w:rFonts w:ascii="Verdana" w:eastAsia="Times New Roman" w:hAnsi="Verdana" w:cs="Times New Roman"/>
      <w:sz w:val="20"/>
      <w:szCs w:val="20"/>
      <w:lang w:val="en-US"/>
    </w:rPr>
  </w:style>
  <w:style w:type="paragraph" w:styleId="PlainText">
    <w:name w:val="Plain Text"/>
    <w:basedOn w:val="Normal"/>
    <w:link w:val="PlainTextChar"/>
    <w:rsid w:val="0000078B"/>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0078B"/>
    <w:rPr>
      <w:rFonts w:ascii="Courier New" w:eastAsia="Times New Roman" w:hAnsi="Courier New" w:cs="Courier New"/>
      <w:sz w:val="20"/>
      <w:szCs w:val="20"/>
      <w:lang w:eastAsia="en-GB"/>
    </w:rPr>
  </w:style>
  <w:style w:type="character" w:styleId="PageNumber">
    <w:name w:val="page number"/>
    <w:basedOn w:val="DefaultParagraphFont"/>
    <w:rsid w:val="0000078B"/>
  </w:style>
  <w:style w:type="paragraph" w:styleId="BodyTextIndent">
    <w:name w:val="Body Text Indent"/>
    <w:basedOn w:val="Normal"/>
    <w:link w:val="BodyTextIndentChar"/>
    <w:rsid w:val="0000078B"/>
    <w:pPr>
      <w:overflowPunct w:val="0"/>
      <w:autoSpaceDE w:val="0"/>
      <w:autoSpaceDN w:val="0"/>
      <w:adjustRightInd w:val="0"/>
      <w:spacing w:after="120" w:line="240" w:lineRule="auto"/>
      <w:ind w:left="283"/>
      <w:textAlignment w:val="baseline"/>
    </w:pPr>
    <w:rPr>
      <w:rFonts w:ascii="Arial (W1)" w:eastAsia="Times New Roman" w:hAnsi="Arial (W1)" w:cs="Times New Roman"/>
      <w:sz w:val="24"/>
      <w:szCs w:val="20"/>
    </w:rPr>
  </w:style>
  <w:style w:type="character" w:customStyle="1" w:styleId="BodyTextIndentChar">
    <w:name w:val="Body Text Indent Char"/>
    <w:basedOn w:val="DefaultParagraphFont"/>
    <w:link w:val="BodyTextIndent"/>
    <w:rsid w:val="0000078B"/>
    <w:rPr>
      <w:rFonts w:ascii="Arial (W1)" w:eastAsia="Times New Roman" w:hAnsi="Arial (W1)" w:cs="Times New Roman"/>
      <w:sz w:val="24"/>
      <w:szCs w:val="20"/>
    </w:rPr>
  </w:style>
  <w:style w:type="table" w:styleId="TableGrid">
    <w:name w:val="Table Grid"/>
    <w:aliases w:val="Teamsolve Table Grid"/>
    <w:basedOn w:val="TableNormal"/>
    <w:rsid w:val="000007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78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rsid w:val="0000078B"/>
    <w:pPr>
      <w:widowControl w:val="0"/>
      <w:overflowPunct w:val="0"/>
      <w:autoSpaceDE w:val="0"/>
      <w:autoSpaceDN w:val="0"/>
      <w:adjustRightInd w:val="0"/>
      <w:spacing w:after="120" w:line="480" w:lineRule="auto"/>
    </w:pPr>
    <w:rPr>
      <w:rFonts w:ascii="Times New Roman" w:eastAsia="Times New Roman" w:hAnsi="Times New Roman" w:cs="Times New Roman"/>
      <w:kern w:val="28"/>
      <w:sz w:val="20"/>
      <w:szCs w:val="20"/>
      <w:lang w:eastAsia="en-GB"/>
    </w:rPr>
  </w:style>
  <w:style w:type="character" w:customStyle="1" w:styleId="BodyText2Char">
    <w:name w:val="Body Text 2 Char"/>
    <w:basedOn w:val="DefaultParagraphFont"/>
    <w:link w:val="BodyText2"/>
    <w:rsid w:val="0000078B"/>
    <w:rPr>
      <w:rFonts w:ascii="Times New Roman" w:eastAsia="Times New Roman" w:hAnsi="Times New Roman" w:cs="Times New Roman"/>
      <w:kern w:val="28"/>
      <w:sz w:val="20"/>
      <w:szCs w:val="20"/>
      <w:lang w:eastAsia="en-GB"/>
    </w:rPr>
  </w:style>
  <w:style w:type="paragraph" w:customStyle="1" w:styleId="Text1">
    <w:name w:val="Text 1"/>
    <w:basedOn w:val="Normal"/>
    <w:rsid w:val="0000078B"/>
    <w:pPr>
      <w:spacing w:before="120" w:after="120" w:line="360" w:lineRule="auto"/>
    </w:pPr>
    <w:rPr>
      <w:rFonts w:eastAsia="Times New Roman" w:cs="Times New Roman"/>
      <w:spacing w:val="-5"/>
      <w:szCs w:val="20"/>
      <w:lang w:val="en-US"/>
    </w:rPr>
  </w:style>
  <w:style w:type="paragraph" w:styleId="Revision">
    <w:name w:val="Revision"/>
    <w:hidden/>
    <w:uiPriority w:val="99"/>
    <w:semiHidden/>
    <w:rsid w:val="0000078B"/>
    <w:pPr>
      <w:spacing w:after="0" w:line="240" w:lineRule="auto"/>
    </w:pPr>
    <w:rPr>
      <w:rFonts w:ascii="Times New Roman" w:eastAsia="Times New Roman" w:hAnsi="Times New Roman" w:cs="Times New Roman"/>
      <w:kern w:val="28"/>
      <w:sz w:val="20"/>
      <w:szCs w:val="20"/>
      <w:lang w:eastAsia="en-GB"/>
    </w:rPr>
  </w:style>
  <w:style w:type="paragraph" w:styleId="TOC1">
    <w:name w:val="toc 1"/>
    <w:basedOn w:val="Normal"/>
    <w:next w:val="Normal"/>
    <w:autoRedefine/>
    <w:uiPriority w:val="39"/>
    <w:qFormat/>
    <w:rsid w:val="0000078B"/>
    <w:pPr>
      <w:widowControl w:val="0"/>
      <w:tabs>
        <w:tab w:val="left" w:pos="400"/>
        <w:tab w:val="right" w:leader="dot" w:pos="9247"/>
      </w:tabs>
      <w:overflowPunct w:val="0"/>
      <w:autoSpaceDE w:val="0"/>
      <w:autoSpaceDN w:val="0"/>
      <w:adjustRightInd w:val="0"/>
      <w:spacing w:after="0" w:line="360" w:lineRule="auto"/>
      <w:ind w:right="1701"/>
    </w:pPr>
    <w:rPr>
      <w:rFonts w:eastAsia="Times New Roman" w:cs="Times New Roman"/>
      <w:bCs/>
      <w:kern w:val="28"/>
      <w:szCs w:val="24"/>
      <w:lang w:eastAsia="en-GB"/>
    </w:rPr>
  </w:style>
  <w:style w:type="paragraph" w:styleId="TOC2">
    <w:name w:val="toc 2"/>
    <w:basedOn w:val="Normal"/>
    <w:next w:val="Normal"/>
    <w:autoRedefine/>
    <w:uiPriority w:val="39"/>
    <w:qFormat/>
    <w:rsid w:val="0000078B"/>
    <w:pPr>
      <w:widowControl w:val="0"/>
      <w:overflowPunct w:val="0"/>
      <w:autoSpaceDE w:val="0"/>
      <w:autoSpaceDN w:val="0"/>
      <w:adjustRightInd w:val="0"/>
      <w:spacing w:before="240" w:after="0" w:line="240" w:lineRule="auto"/>
    </w:pPr>
    <w:rPr>
      <w:rFonts w:ascii="Calibri" w:eastAsia="Times New Roman" w:hAnsi="Calibri" w:cs="Times New Roman"/>
      <w:b/>
      <w:bCs/>
      <w:kern w:val="28"/>
      <w:sz w:val="20"/>
      <w:szCs w:val="20"/>
      <w:lang w:eastAsia="en-GB"/>
    </w:rPr>
  </w:style>
  <w:style w:type="paragraph" w:customStyle="1" w:styleId="Normal2">
    <w:name w:val="Normal 2"/>
    <w:basedOn w:val="Normal"/>
    <w:qFormat/>
    <w:rsid w:val="0000078B"/>
    <w:pPr>
      <w:spacing w:after="60" w:line="240" w:lineRule="auto"/>
    </w:pPr>
    <w:rPr>
      <w:rFonts w:eastAsia="Times New Roman" w:cs="Arial"/>
      <w:kern w:val="28"/>
      <w:lang w:eastAsia="en-GB"/>
    </w:rPr>
  </w:style>
  <w:style w:type="paragraph" w:styleId="TOC3">
    <w:name w:val="toc 3"/>
    <w:basedOn w:val="Normal"/>
    <w:next w:val="Normal"/>
    <w:autoRedefine/>
    <w:uiPriority w:val="39"/>
    <w:qFormat/>
    <w:rsid w:val="0000078B"/>
    <w:pPr>
      <w:widowControl w:val="0"/>
      <w:overflowPunct w:val="0"/>
      <w:autoSpaceDE w:val="0"/>
      <w:autoSpaceDN w:val="0"/>
      <w:adjustRightInd w:val="0"/>
      <w:spacing w:after="0" w:line="240" w:lineRule="auto"/>
      <w:ind w:left="200"/>
    </w:pPr>
    <w:rPr>
      <w:rFonts w:ascii="Calibri" w:eastAsia="Times New Roman" w:hAnsi="Calibri" w:cs="Times New Roman"/>
      <w:kern w:val="28"/>
      <w:sz w:val="20"/>
      <w:szCs w:val="20"/>
      <w:lang w:eastAsia="en-GB"/>
    </w:rPr>
  </w:style>
  <w:style w:type="paragraph" w:styleId="TOC4">
    <w:name w:val="toc 4"/>
    <w:basedOn w:val="Normal"/>
    <w:next w:val="Normal"/>
    <w:autoRedefine/>
    <w:uiPriority w:val="39"/>
    <w:rsid w:val="0000078B"/>
    <w:pPr>
      <w:widowControl w:val="0"/>
      <w:overflowPunct w:val="0"/>
      <w:autoSpaceDE w:val="0"/>
      <w:autoSpaceDN w:val="0"/>
      <w:adjustRightInd w:val="0"/>
      <w:spacing w:after="0" w:line="240" w:lineRule="auto"/>
      <w:ind w:left="400"/>
    </w:pPr>
    <w:rPr>
      <w:rFonts w:ascii="Calibri" w:eastAsia="Times New Roman" w:hAnsi="Calibri" w:cs="Times New Roman"/>
      <w:kern w:val="28"/>
      <w:sz w:val="20"/>
      <w:szCs w:val="20"/>
      <w:lang w:eastAsia="en-GB"/>
    </w:rPr>
  </w:style>
  <w:style w:type="paragraph" w:styleId="TOC5">
    <w:name w:val="toc 5"/>
    <w:basedOn w:val="Normal"/>
    <w:next w:val="Normal"/>
    <w:autoRedefine/>
    <w:uiPriority w:val="39"/>
    <w:rsid w:val="0000078B"/>
    <w:pPr>
      <w:widowControl w:val="0"/>
      <w:overflowPunct w:val="0"/>
      <w:autoSpaceDE w:val="0"/>
      <w:autoSpaceDN w:val="0"/>
      <w:adjustRightInd w:val="0"/>
      <w:spacing w:after="0" w:line="240" w:lineRule="auto"/>
      <w:ind w:left="600"/>
    </w:pPr>
    <w:rPr>
      <w:rFonts w:ascii="Calibri" w:eastAsia="Times New Roman" w:hAnsi="Calibri" w:cs="Times New Roman"/>
      <w:kern w:val="28"/>
      <w:sz w:val="20"/>
      <w:szCs w:val="20"/>
      <w:lang w:eastAsia="en-GB"/>
    </w:rPr>
  </w:style>
  <w:style w:type="paragraph" w:styleId="TOC6">
    <w:name w:val="toc 6"/>
    <w:basedOn w:val="Normal"/>
    <w:next w:val="Normal"/>
    <w:autoRedefine/>
    <w:uiPriority w:val="39"/>
    <w:rsid w:val="0000078B"/>
    <w:pPr>
      <w:widowControl w:val="0"/>
      <w:overflowPunct w:val="0"/>
      <w:autoSpaceDE w:val="0"/>
      <w:autoSpaceDN w:val="0"/>
      <w:adjustRightInd w:val="0"/>
      <w:spacing w:after="0" w:line="240" w:lineRule="auto"/>
      <w:ind w:left="800"/>
    </w:pPr>
    <w:rPr>
      <w:rFonts w:ascii="Calibri" w:eastAsia="Times New Roman" w:hAnsi="Calibri" w:cs="Times New Roman"/>
      <w:kern w:val="28"/>
      <w:sz w:val="20"/>
      <w:szCs w:val="20"/>
      <w:lang w:eastAsia="en-GB"/>
    </w:rPr>
  </w:style>
  <w:style w:type="paragraph" w:styleId="TOC7">
    <w:name w:val="toc 7"/>
    <w:basedOn w:val="Normal"/>
    <w:next w:val="Normal"/>
    <w:autoRedefine/>
    <w:uiPriority w:val="39"/>
    <w:rsid w:val="0000078B"/>
    <w:pPr>
      <w:widowControl w:val="0"/>
      <w:overflowPunct w:val="0"/>
      <w:autoSpaceDE w:val="0"/>
      <w:autoSpaceDN w:val="0"/>
      <w:adjustRightInd w:val="0"/>
      <w:spacing w:after="0" w:line="240" w:lineRule="auto"/>
      <w:ind w:left="1000"/>
    </w:pPr>
    <w:rPr>
      <w:rFonts w:ascii="Calibri" w:eastAsia="Times New Roman" w:hAnsi="Calibri" w:cs="Times New Roman"/>
      <w:kern w:val="28"/>
      <w:sz w:val="20"/>
      <w:szCs w:val="20"/>
      <w:lang w:eastAsia="en-GB"/>
    </w:rPr>
  </w:style>
  <w:style w:type="paragraph" w:styleId="TOC8">
    <w:name w:val="toc 8"/>
    <w:basedOn w:val="Normal"/>
    <w:next w:val="Normal"/>
    <w:autoRedefine/>
    <w:uiPriority w:val="39"/>
    <w:rsid w:val="0000078B"/>
    <w:pPr>
      <w:widowControl w:val="0"/>
      <w:overflowPunct w:val="0"/>
      <w:autoSpaceDE w:val="0"/>
      <w:autoSpaceDN w:val="0"/>
      <w:adjustRightInd w:val="0"/>
      <w:spacing w:after="0" w:line="240" w:lineRule="auto"/>
      <w:ind w:left="1200"/>
    </w:pPr>
    <w:rPr>
      <w:rFonts w:ascii="Calibri" w:eastAsia="Times New Roman" w:hAnsi="Calibri" w:cs="Times New Roman"/>
      <w:kern w:val="28"/>
      <w:sz w:val="20"/>
      <w:szCs w:val="20"/>
      <w:lang w:eastAsia="en-GB"/>
    </w:rPr>
  </w:style>
  <w:style w:type="paragraph" w:styleId="TOC9">
    <w:name w:val="toc 9"/>
    <w:basedOn w:val="Normal"/>
    <w:next w:val="Normal"/>
    <w:autoRedefine/>
    <w:uiPriority w:val="39"/>
    <w:rsid w:val="0000078B"/>
    <w:pPr>
      <w:widowControl w:val="0"/>
      <w:overflowPunct w:val="0"/>
      <w:autoSpaceDE w:val="0"/>
      <w:autoSpaceDN w:val="0"/>
      <w:adjustRightInd w:val="0"/>
      <w:spacing w:after="0" w:line="240" w:lineRule="auto"/>
      <w:ind w:left="1400"/>
    </w:pPr>
    <w:rPr>
      <w:rFonts w:ascii="Calibri" w:eastAsia="Times New Roman" w:hAnsi="Calibri" w:cs="Times New Roman"/>
      <w:kern w:val="28"/>
      <w:sz w:val="20"/>
      <w:szCs w:val="20"/>
      <w:lang w:eastAsia="en-GB"/>
    </w:rPr>
  </w:style>
  <w:style w:type="paragraph" w:styleId="TOCHeading">
    <w:name w:val="TOC Heading"/>
    <w:basedOn w:val="Heading1"/>
    <w:next w:val="Normal"/>
    <w:uiPriority w:val="39"/>
    <w:unhideWhenUsed/>
    <w:qFormat/>
    <w:rsid w:val="0000078B"/>
    <w:pPr>
      <w:outlineLvl w:val="9"/>
    </w:pPr>
    <w:rPr>
      <w:rFonts w:ascii="Calibri Light" w:eastAsia="Times New Roman" w:hAnsi="Calibri Light" w:cs="Times New Roman"/>
      <w:color w:val="2E74B5"/>
      <w:lang w:val="en-US"/>
    </w:rPr>
  </w:style>
  <w:style w:type="numbering" w:customStyle="1" w:styleId="Style1">
    <w:name w:val="Style1"/>
    <w:rsid w:val="0000078B"/>
    <w:pPr>
      <w:numPr>
        <w:numId w:val="3"/>
      </w:numPr>
    </w:pPr>
  </w:style>
  <w:style w:type="numbering" w:customStyle="1" w:styleId="Style2">
    <w:name w:val="Style2"/>
    <w:rsid w:val="0000078B"/>
    <w:pPr>
      <w:numPr>
        <w:numId w:val="4"/>
      </w:numPr>
    </w:pPr>
  </w:style>
  <w:style w:type="paragraph" w:styleId="BodyTextIndent2">
    <w:name w:val="Body Text Indent 2"/>
    <w:basedOn w:val="Normal"/>
    <w:link w:val="BodyTextIndent2Char"/>
    <w:rsid w:val="0000078B"/>
    <w:pPr>
      <w:widowControl w:val="0"/>
      <w:overflowPunct w:val="0"/>
      <w:autoSpaceDE w:val="0"/>
      <w:autoSpaceDN w:val="0"/>
      <w:adjustRightInd w:val="0"/>
      <w:spacing w:after="120" w:line="480" w:lineRule="auto"/>
      <w:ind w:left="283"/>
    </w:pPr>
    <w:rPr>
      <w:rFonts w:ascii="Times New Roman" w:eastAsia="Times New Roman" w:hAnsi="Times New Roman" w:cs="Times New Roman"/>
      <w:kern w:val="28"/>
      <w:sz w:val="20"/>
      <w:szCs w:val="20"/>
      <w:lang w:eastAsia="en-GB"/>
    </w:rPr>
  </w:style>
  <w:style w:type="character" w:customStyle="1" w:styleId="BodyTextIndent2Char">
    <w:name w:val="Body Text Indent 2 Char"/>
    <w:basedOn w:val="DefaultParagraphFont"/>
    <w:link w:val="BodyTextIndent2"/>
    <w:rsid w:val="0000078B"/>
    <w:rPr>
      <w:rFonts w:ascii="Times New Roman" w:eastAsia="Times New Roman" w:hAnsi="Times New Roman" w:cs="Times New Roman"/>
      <w:kern w:val="28"/>
      <w:sz w:val="20"/>
      <w:szCs w:val="20"/>
      <w:lang w:eastAsia="en-GB"/>
    </w:rPr>
  </w:style>
  <w:style w:type="character" w:styleId="UnresolvedMention">
    <w:name w:val="Unresolved Mention"/>
    <w:uiPriority w:val="99"/>
    <w:semiHidden/>
    <w:unhideWhenUsed/>
    <w:rsid w:val="0000078B"/>
    <w:rPr>
      <w:color w:val="605E5C"/>
      <w:shd w:val="clear" w:color="auto" w:fill="E1DFDD"/>
    </w:rPr>
  </w:style>
  <w:style w:type="character" w:customStyle="1" w:styleId="normaltextrun">
    <w:name w:val="normaltextrun"/>
    <w:basedOn w:val="DefaultParagraphFont"/>
    <w:rsid w:val="00853181"/>
  </w:style>
  <w:style w:type="paragraph" w:customStyle="1" w:styleId="Standard">
    <w:name w:val="Standard"/>
    <w:rsid w:val="003638C2"/>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character" w:styleId="FootnoteReference">
    <w:name w:val="footnote reference"/>
    <w:basedOn w:val="DefaultParagraphFont"/>
    <w:uiPriority w:val="99"/>
    <w:semiHidden/>
    <w:unhideWhenUsed/>
    <w:rsid w:val="003638C2"/>
    <w:rPr>
      <w:vertAlign w:val="superscript"/>
    </w:rPr>
  </w:style>
  <w:style w:type="character" w:customStyle="1" w:styleId="eop">
    <w:name w:val="eop"/>
    <w:basedOn w:val="DefaultParagraphFont"/>
    <w:rsid w:val="00D02A2C"/>
  </w:style>
  <w:style w:type="paragraph" w:customStyle="1" w:styleId="paragraph">
    <w:name w:val="paragraph"/>
    <w:basedOn w:val="Normal"/>
    <w:rsid w:val="009C3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hidesearchterm">
    <w:name w:val="co_hidesearchterm"/>
    <w:basedOn w:val="DefaultParagraphFont"/>
    <w:rsid w:val="00BD359C"/>
  </w:style>
  <w:style w:type="character" w:styleId="Emphasis">
    <w:name w:val="Emphasis"/>
    <w:basedOn w:val="DefaultParagraphFont"/>
    <w:uiPriority w:val="20"/>
    <w:qFormat/>
    <w:rsid w:val="00BD359C"/>
    <w:rPr>
      <w:i/>
      <w:iCs/>
    </w:rPr>
  </w:style>
  <w:style w:type="paragraph" w:customStyle="1" w:styleId="BodyText1">
    <w:name w:val="Body Text1"/>
    <w:basedOn w:val="Normal"/>
    <w:qFormat/>
    <w:rsid w:val="00504695"/>
    <w:pPr>
      <w:pBdr>
        <w:top w:val="nil"/>
        <w:left w:val="nil"/>
        <w:bottom w:val="nil"/>
        <w:right w:val="nil"/>
        <w:between w:val="nil"/>
      </w:pBdr>
      <w:suppressAutoHyphens/>
      <w:spacing w:after="240" w:line="240" w:lineRule="auto"/>
    </w:pPr>
    <w:rPr>
      <w:rFonts w:asciiTheme="minorHAnsi" w:eastAsia="Helvetica Neue Light" w:hAnsiTheme="minorHAnsi" w:cs="Helvetica Neue Light"/>
      <w:sz w:val="24"/>
      <w:szCs w:val="24"/>
      <w:lang w:eastAsia="en-GB"/>
    </w:rPr>
  </w:style>
  <w:style w:type="character" w:styleId="Mention">
    <w:name w:val="Mention"/>
    <w:basedOn w:val="DefaultParagraphFont"/>
    <w:uiPriority w:val="99"/>
    <w:unhideWhenUsed/>
    <w:rsid w:val="006A364B"/>
    <w:rPr>
      <w:color w:val="2B579A"/>
      <w:shd w:val="clear" w:color="auto" w:fill="E6E6E6"/>
    </w:rPr>
  </w:style>
  <w:style w:type="table" w:customStyle="1" w:styleId="3">
    <w:name w:val="3"/>
    <w:basedOn w:val="TableNormal"/>
    <w:rsid w:val="006A364B"/>
    <w:pPr>
      <w:spacing w:after="0" w:line="240" w:lineRule="auto"/>
    </w:pPr>
    <w:rPr>
      <w:rFonts w:ascii="Times New Roman" w:eastAsia="Times New Roman" w:hAnsi="Times New Roman" w:cs="Times New Roman"/>
      <w:sz w:val="20"/>
      <w:szCs w:val="20"/>
      <w:lang w:val="en-US" w:eastAsia="en-GB"/>
    </w:rPr>
    <w:tblPr>
      <w:tblStyleRowBandSize w:val="1"/>
      <w:tblStyleColBandSize w:val="1"/>
      <w:tblCellMar>
        <w:left w:w="115" w:type="dxa"/>
        <w:right w:w="115" w:type="dxa"/>
      </w:tblCellMar>
    </w:tblPr>
    <w:tcPr>
      <w:shd w:val="clear" w:color="auto" w:fill="FFFFFF"/>
    </w:tcPr>
  </w:style>
  <w:style w:type="character" w:customStyle="1" w:styleId="cf01">
    <w:name w:val="cf01"/>
    <w:basedOn w:val="DefaultParagraphFont"/>
    <w:rsid w:val="00066C30"/>
    <w:rPr>
      <w:rFonts w:ascii="Segoe UI" w:hAnsi="Segoe UI" w:cs="Segoe UI" w:hint="default"/>
      <w:sz w:val="18"/>
      <w:szCs w:val="18"/>
    </w:rPr>
  </w:style>
  <w:style w:type="paragraph" w:customStyle="1" w:styleId="govuk-body">
    <w:name w:val="govuk-body"/>
    <w:basedOn w:val="Normal"/>
    <w:rsid w:val="006606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qFormat/>
    <w:rsid w:val="00F5347B"/>
    <w:pPr>
      <w:suppressAutoHyphens/>
      <w:spacing w:after="120" w:line="240" w:lineRule="auto"/>
    </w:pPr>
    <w:rPr>
      <w:rFonts w:ascii="Calibri" w:eastAsia="MS Mincho" w:hAnsi="Calibri" w:cs="Calibri"/>
      <w:sz w:val="24"/>
      <w:szCs w:val="24"/>
      <w:lang w:eastAsia="ja-JP"/>
    </w:rPr>
  </w:style>
  <w:style w:type="character" w:customStyle="1" w:styleId="BodyTextChar">
    <w:name w:val="Body Text Char"/>
    <w:basedOn w:val="DefaultParagraphFont"/>
    <w:link w:val="BodyText"/>
    <w:uiPriority w:val="99"/>
    <w:rsid w:val="00F5347B"/>
    <w:rPr>
      <w:rFonts w:ascii="Calibri" w:eastAsia="MS Mincho" w:hAnsi="Calibri" w:cs="Calibri"/>
      <w:sz w:val="24"/>
      <w:szCs w:val="24"/>
      <w:lang w:eastAsia="ja-JP"/>
    </w:rPr>
  </w:style>
  <w:style w:type="character" w:customStyle="1" w:styleId="ListParagraphChar">
    <w:name w:val="List Paragraph Char"/>
    <w:aliases w:val="Numbered Para 1 Char,Dot pt Char,No Spacing1 Char,List Paragraph Char Char Char Char,Indicator Text Char,Bullet 1 Char,List Paragraph1 Char,Bullet Points Char,Legal numbered paragraph Char,aHeading 2 - Sussex Char,SOW Bullets Char"/>
    <w:link w:val="ListParagraph"/>
    <w:uiPriority w:val="34"/>
    <w:qFormat/>
    <w:locked/>
    <w:rsid w:val="00F5347B"/>
    <w:rPr>
      <w:rFonts w:ascii="Arial" w:hAnsi="Arial"/>
    </w:rPr>
  </w:style>
  <w:style w:type="paragraph" w:customStyle="1" w:styleId="Normal1">
    <w:name w:val="Normal1"/>
    <w:rsid w:val="00BB29C9"/>
    <w:pPr>
      <w:spacing w:after="0" w:line="240" w:lineRule="auto"/>
    </w:pPr>
    <w:rPr>
      <w:rFonts w:ascii="Times New Roman" w:eastAsia="Times New Roman" w:hAnsi="Times New Roman" w:cs="Times New Roman"/>
      <w:color w:val="000000"/>
      <w:sz w:val="24"/>
      <w:szCs w:val="24"/>
    </w:rPr>
  </w:style>
  <w:style w:type="paragraph" w:customStyle="1" w:styleId="pf0">
    <w:name w:val="pf0"/>
    <w:basedOn w:val="Normal"/>
    <w:rsid w:val="0037350F"/>
    <w:pPr>
      <w:spacing w:before="100" w:beforeAutospacing="1" w:after="100" w:afterAutospacing="1" w:line="240" w:lineRule="auto"/>
      <w:ind w:left="300"/>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4E1F37"/>
    <w:rPr>
      <w:rFonts w:ascii="Arial" w:eastAsia="Times New Roman" w:hAnsi="Arial" w:cs="Times New Roman"/>
      <w:bCs/>
      <w:i/>
      <w:iCs/>
      <w:sz w:val="24"/>
    </w:rPr>
  </w:style>
  <w:style w:type="character" w:customStyle="1" w:styleId="Heading5Char">
    <w:name w:val="Heading 5 Char"/>
    <w:basedOn w:val="DefaultParagraphFont"/>
    <w:link w:val="Heading5"/>
    <w:rsid w:val="004E1F37"/>
    <w:rPr>
      <w:rFonts w:ascii="Arial" w:eastAsia="Times New Roman" w:hAnsi="Arial" w:cs="Times New Roman"/>
      <w:b/>
      <w:sz w:val="20"/>
    </w:rPr>
  </w:style>
  <w:style w:type="character" w:customStyle="1" w:styleId="Heading6Char">
    <w:name w:val="Heading 6 Char"/>
    <w:basedOn w:val="DefaultParagraphFont"/>
    <w:link w:val="Heading6"/>
    <w:rsid w:val="004E1F37"/>
    <w:rPr>
      <w:rFonts w:ascii="Arial" w:eastAsia="Times New Roman" w:hAnsi="Arial" w:cs="Times New Roman"/>
      <w:i/>
      <w:iCs/>
    </w:rPr>
  </w:style>
  <w:style w:type="character" w:customStyle="1" w:styleId="Heading7Char">
    <w:name w:val="Heading 7 Char"/>
    <w:basedOn w:val="DefaultParagraphFont"/>
    <w:link w:val="Heading7"/>
    <w:rsid w:val="004E1F37"/>
    <w:rPr>
      <w:rFonts w:ascii="Cambria" w:eastAsia="Times New Roman" w:hAnsi="Cambria" w:cs="Times New Roman"/>
      <w:i/>
      <w:iCs/>
      <w:color w:val="404040"/>
    </w:rPr>
  </w:style>
  <w:style w:type="character" w:customStyle="1" w:styleId="Heading8Char">
    <w:name w:val="Heading 8 Char"/>
    <w:basedOn w:val="DefaultParagraphFont"/>
    <w:link w:val="Heading8"/>
    <w:rsid w:val="004E1F37"/>
    <w:rPr>
      <w:rFonts w:ascii="Times New Roman" w:eastAsia="Times New Roman" w:hAnsi="Times New Roman" w:cs="Times New Roman"/>
      <w:i/>
      <w:iCs/>
      <w:sz w:val="24"/>
      <w:szCs w:val="24"/>
      <w:lang w:val="x-none"/>
    </w:rPr>
  </w:style>
  <w:style w:type="character" w:customStyle="1" w:styleId="Heading9Char">
    <w:name w:val="Heading 9 Char"/>
    <w:basedOn w:val="DefaultParagraphFont"/>
    <w:link w:val="Heading9"/>
    <w:rsid w:val="004E1F37"/>
    <w:rPr>
      <w:rFonts w:ascii="Arial" w:eastAsia="Times New Roman" w:hAnsi="Arial" w:cs="Times New Roman"/>
      <w:lang w:val="x-none"/>
    </w:rPr>
  </w:style>
  <w:style w:type="numbering" w:customStyle="1" w:styleId="Style3">
    <w:name w:val="Style3"/>
    <w:uiPriority w:val="99"/>
    <w:rsid w:val="004E1F37"/>
    <w:pPr>
      <w:numPr>
        <w:numId w:val="35"/>
      </w:numPr>
    </w:pPr>
  </w:style>
  <w:style w:type="numbering" w:customStyle="1" w:styleId="CoP">
    <w:name w:val="CoP"/>
    <w:uiPriority w:val="99"/>
    <w:rsid w:val="004E1F37"/>
    <w:pPr>
      <w:numPr>
        <w:numId w:val="36"/>
      </w:numPr>
    </w:pPr>
  </w:style>
  <w:style w:type="paragraph" w:customStyle="1" w:styleId="Letters">
    <w:name w:val="Letters"/>
    <w:basedOn w:val="Head2"/>
    <w:qFormat/>
    <w:rsid w:val="004E1F37"/>
    <w:pPr>
      <w:numPr>
        <w:ilvl w:val="0"/>
        <w:numId w:val="0"/>
      </w:numPr>
      <w:tabs>
        <w:tab w:val="num" w:pos="1419"/>
      </w:tabs>
      <w:ind w:left="1419" w:hanging="709"/>
      <w:jc w:val="both"/>
    </w:pPr>
    <w:rPr>
      <w:rFonts w:cs="Arial"/>
      <w:szCs w:val="22"/>
    </w:rPr>
  </w:style>
  <w:style w:type="paragraph" w:customStyle="1" w:styleId="Numerals">
    <w:name w:val="Numerals"/>
    <w:basedOn w:val="Head2"/>
    <w:qFormat/>
    <w:rsid w:val="004E1F37"/>
    <w:pPr>
      <w:numPr>
        <w:ilvl w:val="0"/>
        <w:numId w:val="0"/>
      </w:numPr>
      <w:tabs>
        <w:tab w:val="num" w:pos="2126"/>
      </w:tabs>
      <w:ind w:left="2126" w:hanging="708"/>
      <w:jc w:val="both"/>
    </w:pPr>
    <w:rPr>
      <w:rFonts w:cs="Arial"/>
      <w:szCs w:val="22"/>
    </w:rPr>
  </w:style>
  <w:style w:type="character" w:styleId="Strong">
    <w:name w:val="Strong"/>
    <w:basedOn w:val="DefaultParagraphFont"/>
    <w:uiPriority w:val="22"/>
    <w:qFormat/>
    <w:rsid w:val="004E1F37"/>
    <w:rPr>
      <w:b/>
      <w:bCs/>
    </w:rPr>
  </w:style>
  <w:style w:type="table" w:customStyle="1" w:styleId="TableGrid2">
    <w:name w:val="Table Grid2"/>
    <w:basedOn w:val="TableNormal"/>
    <w:next w:val="TableGrid"/>
    <w:uiPriority w:val="39"/>
    <w:rsid w:val="004E1F37"/>
    <w:pPr>
      <w:spacing w:after="0" w:line="240" w:lineRule="auto"/>
    </w:pPr>
    <w:rPr>
      <w:rFonts w:eastAsia="MS P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4E1F37"/>
  </w:style>
  <w:style w:type="paragraph" w:customStyle="1" w:styleId="Appendixheader">
    <w:name w:val="Appendix header"/>
    <w:basedOn w:val="Head2"/>
    <w:qFormat/>
    <w:rsid w:val="004E1F37"/>
    <w:pPr>
      <w:pageBreakBefore/>
      <w:numPr>
        <w:ilvl w:val="0"/>
        <w:numId w:val="0"/>
      </w:numPr>
      <w:spacing w:before="240"/>
    </w:pPr>
    <w:rPr>
      <w:rFonts w:cs="Arial"/>
      <w:b/>
      <w:bCs/>
      <w:color w:val="009999"/>
      <w:sz w:val="24"/>
      <w:szCs w:val="24"/>
    </w:rPr>
  </w:style>
  <w:style w:type="table" w:styleId="GridTable1Light-Accent5">
    <w:name w:val="Grid Table 1 Light Accent 5"/>
    <w:basedOn w:val="TableNormal"/>
    <w:uiPriority w:val="46"/>
    <w:rsid w:val="004E1F3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Schedule2">
    <w:name w:val="Schedule 2"/>
    <w:qFormat/>
    <w:rsid w:val="004E1F37"/>
    <w:rPr>
      <w:rFonts w:ascii="Arial" w:hAnsi="Arial"/>
    </w:rPr>
  </w:style>
  <w:style w:type="paragraph" w:customStyle="1" w:styleId="Annex1header1">
    <w:name w:val="Annex 1 header 1"/>
    <w:qFormat/>
    <w:rsid w:val="004E1F37"/>
    <w:pPr>
      <w:numPr>
        <w:numId w:val="39"/>
      </w:numPr>
      <w:spacing w:after="0"/>
    </w:pPr>
    <w:rPr>
      <w:rFonts w:ascii="Arial" w:hAnsi="Arial" w:cs="Arial"/>
      <w:b/>
    </w:rPr>
  </w:style>
  <w:style w:type="paragraph" w:customStyle="1" w:styleId="Annex1text2">
    <w:name w:val="Annex 1 text 2"/>
    <w:qFormat/>
    <w:rsid w:val="004E1F37"/>
    <w:pPr>
      <w:numPr>
        <w:ilvl w:val="1"/>
        <w:numId w:val="39"/>
      </w:numPr>
      <w:spacing w:after="80"/>
    </w:pPr>
    <w:rPr>
      <w:rFonts w:ascii="Arial" w:hAnsi="Arial" w:cs="Arial"/>
      <w:b/>
    </w:rPr>
  </w:style>
  <w:style w:type="table" w:customStyle="1" w:styleId="TableGrid1">
    <w:name w:val="Table Grid1"/>
    <w:basedOn w:val="TableNormal"/>
    <w:next w:val="TableGrid"/>
    <w:uiPriority w:val="59"/>
    <w:rsid w:val="004E1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E1F3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E1F37"/>
    <w:rPr>
      <w:rFonts w:ascii="Calibri" w:eastAsia="Calibri" w:hAnsi="Calibri" w:cs="Times New Roman"/>
      <w:sz w:val="20"/>
      <w:szCs w:val="20"/>
    </w:rPr>
  </w:style>
  <w:style w:type="numbering" w:customStyle="1" w:styleId="NoList1">
    <w:name w:val="No List1"/>
    <w:next w:val="NoList"/>
    <w:uiPriority w:val="99"/>
    <w:semiHidden/>
    <w:unhideWhenUsed/>
    <w:rsid w:val="004E1F37"/>
  </w:style>
  <w:style w:type="paragraph" w:customStyle="1" w:styleId="ReportTitle">
    <w:name w:val="Report Title"/>
    <w:basedOn w:val="Normal"/>
    <w:uiPriority w:val="1"/>
    <w:rsid w:val="004E1F37"/>
    <w:pPr>
      <w:spacing w:after="0" w:line="620" w:lineRule="exact"/>
    </w:pPr>
    <w:rPr>
      <w:rFonts w:ascii="Calibri" w:eastAsia="Calibri" w:hAnsi="Calibri" w:cs="Calibri"/>
      <w:color w:val="000000"/>
      <w:sz w:val="56"/>
      <w:szCs w:val="20"/>
    </w:rPr>
  </w:style>
  <w:style w:type="paragraph" w:customStyle="1" w:styleId="BlueBodyText">
    <w:name w:val="Blue Body Text"/>
    <w:basedOn w:val="Normal"/>
    <w:uiPriority w:val="2"/>
    <w:qFormat/>
    <w:rsid w:val="004E1F37"/>
    <w:pPr>
      <w:spacing w:line="280" w:lineRule="exact"/>
    </w:pPr>
    <w:rPr>
      <w:rFonts w:ascii="Calibri" w:eastAsia="Calibri" w:hAnsi="Calibri" w:cs="Calibri"/>
      <w:color w:val="9BBB59"/>
      <w:szCs w:val="20"/>
    </w:rPr>
  </w:style>
  <w:style w:type="paragraph" w:customStyle="1" w:styleId="ContactDetails">
    <w:name w:val="Contact Details"/>
    <w:basedOn w:val="Normal"/>
    <w:uiPriority w:val="1"/>
    <w:rsid w:val="004E1F37"/>
    <w:pPr>
      <w:spacing w:after="0" w:line="280" w:lineRule="exact"/>
    </w:pPr>
    <w:rPr>
      <w:rFonts w:ascii="Calibri" w:eastAsia="Calibri" w:hAnsi="Calibri" w:cs="Calibri"/>
      <w:color w:val="000000"/>
      <w:sz w:val="28"/>
      <w:szCs w:val="20"/>
    </w:rPr>
  </w:style>
  <w:style w:type="table" w:customStyle="1" w:styleId="LightShading1">
    <w:name w:val="Light Shading1"/>
    <w:basedOn w:val="TableNormal"/>
    <w:next w:val="LightShading"/>
    <w:uiPriority w:val="60"/>
    <w:rsid w:val="004E1F3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Number">
    <w:name w:val="List Number"/>
    <w:basedOn w:val="BodyText"/>
    <w:uiPriority w:val="99"/>
    <w:unhideWhenUsed/>
    <w:qFormat/>
    <w:rsid w:val="003359D7"/>
    <w:pPr>
      <w:numPr>
        <w:numId w:val="45"/>
      </w:numPr>
      <w:suppressAutoHyphens w:val="0"/>
      <w:spacing w:after="165" w:line="260" w:lineRule="atLeast"/>
    </w:pPr>
    <w:rPr>
      <w:rFonts w:ascii="Arial" w:eastAsia="Calibri" w:hAnsi="Arial" w:cs="Times New Roman"/>
      <w:sz w:val="22"/>
      <w:szCs w:val="22"/>
      <w:lang w:eastAsia="en-US"/>
    </w:rPr>
  </w:style>
  <w:style w:type="numbering" w:customStyle="1" w:styleId="HCANumbering1">
    <w:name w:val="HCA Numbering1"/>
    <w:basedOn w:val="NoList"/>
    <w:uiPriority w:val="99"/>
    <w:rsid w:val="004E1F37"/>
    <w:pPr>
      <w:numPr>
        <w:numId w:val="43"/>
      </w:numPr>
    </w:pPr>
  </w:style>
  <w:style w:type="paragraph" w:customStyle="1" w:styleId="msolistparagraph0">
    <w:name w:val="msolistparagraph"/>
    <w:basedOn w:val="Normal"/>
    <w:uiPriority w:val="99"/>
    <w:rsid w:val="004E1F37"/>
    <w:pPr>
      <w:spacing w:after="0" w:line="240" w:lineRule="auto"/>
      <w:ind w:left="720"/>
    </w:pPr>
    <w:rPr>
      <w:rFonts w:ascii="Calibri" w:eastAsia="Times New Roman" w:hAnsi="Calibri" w:cs="Times New Roman"/>
      <w:lang w:eastAsia="en-GB"/>
    </w:rPr>
  </w:style>
  <w:style w:type="paragraph" w:styleId="ListContinue">
    <w:name w:val="List Continue"/>
    <w:basedOn w:val="Normal"/>
    <w:uiPriority w:val="99"/>
    <w:unhideWhenUsed/>
    <w:qFormat/>
    <w:rsid w:val="004E1F37"/>
    <w:pPr>
      <w:spacing w:after="165" w:line="260" w:lineRule="atLeast"/>
      <w:ind w:left="851"/>
    </w:pPr>
    <w:rPr>
      <w:rFonts w:eastAsia="Calibri" w:cs="Times New Roman"/>
    </w:rPr>
  </w:style>
  <w:style w:type="paragraph" w:styleId="ListContinue2">
    <w:name w:val="List Continue 2"/>
    <w:basedOn w:val="Normal"/>
    <w:uiPriority w:val="99"/>
    <w:unhideWhenUsed/>
    <w:qFormat/>
    <w:rsid w:val="004E1F37"/>
    <w:pPr>
      <w:spacing w:after="165" w:line="260" w:lineRule="atLeast"/>
      <w:ind w:left="1276"/>
    </w:pPr>
    <w:rPr>
      <w:rFonts w:eastAsia="Calibri" w:cs="Times New Roman"/>
    </w:rPr>
  </w:style>
  <w:style w:type="paragraph" w:styleId="ListBullet">
    <w:name w:val="List Bullet"/>
    <w:basedOn w:val="Normal"/>
    <w:uiPriority w:val="99"/>
    <w:unhideWhenUsed/>
    <w:qFormat/>
    <w:rsid w:val="003359D7"/>
    <w:pPr>
      <w:numPr>
        <w:numId w:val="41"/>
      </w:numPr>
      <w:spacing w:after="165" w:line="260" w:lineRule="atLeast"/>
    </w:pPr>
    <w:rPr>
      <w:rFonts w:eastAsia="Calibri" w:cs="Times New Roman"/>
    </w:rPr>
  </w:style>
  <w:style w:type="paragraph" w:styleId="Title">
    <w:name w:val="Title"/>
    <w:basedOn w:val="Normal"/>
    <w:next w:val="Normal"/>
    <w:link w:val="TitleChar"/>
    <w:uiPriority w:val="10"/>
    <w:qFormat/>
    <w:rsid w:val="004E1F37"/>
    <w:pPr>
      <w:spacing w:after="180" w:line="240" w:lineRule="auto"/>
    </w:pPr>
    <w:rPr>
      <w:rFonts w:eastAsia="Times New Roman" w:cs="Times New Roman"/>
      <w:b/>
      <w:caps/>
      <w:color w:val="FFFFFF"/>
      <w:kern w:val="28"/>
      <w:sz w:val="60"/>
      <w:szCs w:val="52"/>
    </w:rPr>
  </w:style>
  <w:style w:type="character" w:customStyle="1" w:styleId="TitleChar">
    <w:name w:val="Title Char"/>
    <w:basedOn w:val="DefaultParagraphFont"/>
    <w:link w:val="Title"/>
    <w:uiPriority w:val="10"/>
    <w:rsid w:val="004E1F37"/>
    <w:rPr>
      <w:rFonts w:ascii="Arial" w:eastAsia="Times New Roman" w:hAnsi="Arial" w:cs="Times New Roman"/>
      <w:b/>
      <w:caps/>
      <w:color w:val="FFFFFF"/>
      <w:kern w:val="28"/>
      <w:sz w:val="60"/>
      <w:szCs w:val="52"/>
    </w:rPr>
  </w:style>
  <w:style w:type="paragraph" w:styleId="Subtitle">
    <w:name w:val="Subtitle"/>
    <w:basedOn w:val="Normal"/>
    <w:next w:val="Normal"/>
    <w:link w:val="SubtitleChar"/>
    <w:uiPriority w:val="11"/>
    <w:qFormat/>
    <w:rsid w:val="004E1F37"/>
    <w:pPr>
      <w:numPr>
        <w:ilvl w:val="1"/>
      </w:numPr>
      <w:spacing w:after="0" w:line="240" w:lineRule="auto"/>
    </w:pPr>
    <w:rPr>
      <w:rFonts w:eastAsia="Times New Roman" w:cs="Times New Roman"/>
      <w:iCs/>
      <w:color w:val="FFFFFF"/>
      <w:sz w:val="40"/>
      <w:szCs w:val="24"/>
    </w:rPr>
  </w:style>
  <w:style w:type="character" w:customStyle="1" w:styleId="SubtitleChar">
    <w:name w:val="Subtitle Char"/>
    <w:basedOn w:val="DefaultParagraphFont"/>
    <w:link w:val="Subtitle"/>
    <w:uiPriority w:val="11"/>
    <w:rsid w:val="004E1F37"/>
    <w:rPr>
      <w:rFonts w:ascii="Arial" w:eastAsia="Times New Roman" w:hAnsi="Arial" w:cs="Times New Roman"/>
      <w:iCs/>
      <w:color w:val="FFFFFF"/>
      <w:sz w:val="40"/>
      <w:szCs w:val="24"/>
    </w:rPr>
  </w:style>
  <w:style w:type="table" w:customStyle="1" w:styleId="Blank">
    <w:name w:val="Blank"/>
    <w:basedOn w:val="TableNormal"/>
    <w:uiPriority w:val="99"/>
    <w:rsid w:val="004E1F37"/>
    <w:pPr>
      <w:spacing w:after="0" w:line="240" w:lineRule="auto"/>
    </w:pPr>
    <w:rPr>
      <w:rFonts w:ascii="Cambria" w:eastAsia="Calibri" w:hAnsi="Cambria" w:cs="Times New Roman"/>
      <w:sz w:val="20"/>
      <w:szCs w:val="20"/>
      <w:lang w:eastAsia="en-GB"/>
    </w:rPr>
    <w:tblPr>
      <w:tblCellMar>
        <w:left w:w="0" w:type="dxa"/>
        <w:right w:w="0" w:type="dxa"/>
      </w:tblCellMar>
    </w:tblPr>
  </w:style>
  <w:style w:type="paragraph" w:customStyle="1" w:styleId="Version">
    <w:name w:val="Version"/>
    <w:basedOn w:val="Normal"/>
    <w:qFormat/>
    <w:rsid w:val="004E1F37"/>
    <w:pPr>
      <w:spacing w:after="0" w:line="240" w:lineRule="auto"/>
    </w:pPr>
    <w:rPr>
      <w:rFonts w:eastAsia="Calibri" w:cs="Times New Roman"/>
      <w:color w:val="FFFFFF"/>
      <w:sz w:val="24"/>
    </w:rPr>
  </w:style>
  <w:style w:type="paragraph" w:customStyle="1" w:styleId="NumberedHeading">
    <w:name w:val="Numbered Heading"/>
    <w:basedOn w:val="Normal"/>
    <w:next w:val="NumberedParagraph"/>
    <w:qFormat/>
    <w:rsid w:val="003359D7"/>
    <w:pPr>
      <w:keepNext/>
      <w:numPr>
        <w:numId w:val="40"/>
      </w:numPr>
      <w:spacing w:after="200" w:line="240" w:lineRule="auto"/>
    </w:pPr>
    <w:rPr>
      <w:rFonts w:eastAsia="Calibri" w:cs="Times New Roman"/>
      <w:b/>
      <w:color w:val="155697"/>
      <w:sz w:val="32"/>
    </w:rPr>
  </w:style>
  <w:style w:type="paragraph" w:customStyle="1" w:styleId="NumberedParagraph">
    <w:name w:val="Numbered Paragraph"/>
    <w:basedOn w:val="BodyText"/>
    <w:qFormat/>
    <w:rsid w:val="003359D7"/>
    <w:pPr>
      <w:numPr>
        <w:ilvl w:val="1"/>
        <w:numId w:val="40"/>
      </w:numPr>
      <w:suppressAutoHyphens w:val="0"/>
      <w:spacing w:after="165" w:line="260" w:lineRule="atLeast"/>
    </w:pPr>
    <w:rPr>
      <w:rFonts w:ascii="Arial" w:eastAsia="Calibri" w:hAnsi="Arial" w:cs="Times New Roman"/>
      <w:sz w:val="22"/>
      <w:szCs w:val="22"/>
      <w:lang w:eastAsia="en-US"/>
    </w:rPr>
  </w:style>
  <w:style w:type="numbering" w:customStyle="1" w:styleId="HCANumbering">
    <w:name w:val="HCA Numbering"/>
    <w:basedOn w:val="NoList"/>
    <w:uiPriority w:val="99"/>
    <w:rsid w:val="004E1F37"/>
    <w:pPr>
      <w:numPr>
        <w:numId w:val="40"/>
      </w:numPr>
    </w:pPr>
  </w:style>
  <w:style w:type="numbering" w:customStyle="1" w:styleId="HCABullets">
    <w:name w:val="HCA Bullets"/>
    <w:basedOn w:val="NoList"/>
    <w:uiPriority w:val="99"/>
    <w:rsid w:val="004E1F37"/>
    <w:pPr>
      <w:numPr>
        <w:numId w:val="41"/>
      </w:numPr>
    </w:pPr>
  </w:style>
  <w:style w:type="paragraph" w:customStyle="1" w:styleId="FigureHeading">
    <w:name w:val="Figure Heading"/>
    <w:basedOn w:val="Normal"/>
    <w:next w:val="BodyText2"/>
    <w:qFormat/>
    <w:rsid w:val="004E1F37"/>
    <w:pPr>
      <w:keepNext/>
      <w:numPr>
        <w:ilvl w:val="2"/>
        <w:numId w:val="40"/>
      </w:numPr>
      <w:spacing w:after="120" w:line="240" w:lineRule="auto"/>
    </w:pPr>
    <w:rPr>
      <w:rFonts w:eastAsia="Calibri" w:cs="Times New Roman"/>
      <w:b/>
      <w:color w:val="155697"/>
      <w:sz w:val="20"/>
    </w:rPr>
  </w:style>
  <w:style w:type="paragraph" w:customStyle="1" w:styleId="Notes">
    <w:name w:val="Notes"/>
    <w:basedOn w:val="BodyText"/>
    <w:qFormat/>
    <w:rsid w:val="004E1F37"/>
    <w:pPr>
      <w:tabs>
        <w:tab w:val="left" w:pos="851"/>
      </w:tabs>
      <w:suppressAutoHyphens w:val="0"/>
      <w:spacing w:after="165" w:line="240" w:lineRule="atLeast"/>
      <w:ind w:left="1702" w:hanging="851"/>
    </w:pPr>
    <w:rPr>
      <w:rFonts w:ascii="Arial" w:eastAsia="Calibri" w:hAnsi="Arial" w:cs="Times New Roman"/>
      <w:sz w:val="20"/>
      <w:szCs w:val="22"/>
      <w:lang w:eastAsia="en-US"/>
    </w:rPr>
  </w:style>
  <w:style w:type="paragraph" w:customStyle="1" w:styleId="TableHeading">
    <w:name w:val="Table Heading"/>
    <w:basedOn w:val="Normal"/>
    <w:next w:val="BodyText2"/>
    <w:qFormat/>
    <w:rsid w:val="004E1F37"/>
    <w:pPr>
      <w:keepNext/>
      <w:numPr>
        <w:ilvl w:val="3"/>
        <w:numId w:val="40"/>
      </w:numPr>
      <w:spacing w:after="120" w:line="240" w:lineRule="auto"/>
    </w:pPr>
    <w:rPr>
      <w:rFonts w:eastAsia="Calibri" w:cs="Times New Roman"/>
      <w:b/>
      <w:color w:val="155697"/>
      <w:sz w:val="20"/>
    </w:rPr>
  </w:style>
  <w:style w:type="paragraph" w:customStyle="1" w:styleId="MapHeading">
    <w:name w:val="Map Heading"/>
    <w:basedOn w:val="Normal"/>
    <w:next w:val="BodyText2"/>
    <w:qFormat/>
    <w:rsid w:val="004E1F37"/>
    <w:pPr>
      <w:keepNext/>
      <w:numPr>
        <w:ilvl w:val="4"/>
        <w:numId w:val="40"/>
      </w:numPr>
      <w:spacing w:after="120" w:line="240" w:lineRule="auto"/>
    </w:pPr>
    <w:rPr>
      <w:rFonts w:eastAsia="Calibri" w:cs="Times New Roman"/>
      <w:b/>
      <w:color w:val="155697"/>
      <w:sz w:val="20"/>
    </w:rPr>
  </w:style>
  <w:style w:type="paragraph" w:customStyle="1" w:styleId="TableText">
    <w:name w:val="Table Text"/>
    <w:basedOn w:val="Normal"/>
    <w:qFormat/>
    <w:rsid w:val="004E1F37"/>
    <w:pPr>
      <w:spacing w:after="0" w:line="240" w:lineRule="auto"/>
    </w:pPr>
    <w:rPr>
      <w:rFonts w:eastAsia="Calibri" w:cs="Times New Roman"/>
      <w:sz w:val="20"/>
    </w:rPr>
  </w:style>
  <w:style w:type="paragraph" w:customStyle="1" w:styleId="ColumnHeading">
    <w:name w:val="Column Heading"/>
    <w:basedOn w:val="Normal"/>
    <w:qFormat/>
    <w:rsid w:val="004E1F37"/>
    <w:pPr>
      <w:spacing w:after="0" w:line="240" w:lineRule="auto"/>
    </w:pPr>
    <w:rPr>
      <w:rFonts w:eastAsia="Calibri" w:cs="Times New Roman"/>
      <w:b/>
      <w:sz w:val="20"/>
    </w:rPr>
  </w:style>
  <w:style w:type="paragraph" w:customStyle="1" w:styleId="Glossary">
    <w:name w:val="Glossary"/>
    <w:basedOn w:val="BodyText"/>
    <w:qFormat/>
    <w:rsid w:val="004E1F37"/>
    <w:pPr>
      <w:tabs>
        <w:tab w:val="left" w:pos="1134"/>
        <w:tab w:val="left" w:pos="1701"/>
      </w:tabs>
      <w:suppressAutoHyphens w:val="0"/>
      <w:spacing w:after="165" w:line="260" w:lineRule="atLeast"/>
    </w:pPr>
    <w:rPr>
      <w:rFonts w:ascii="Arial" w:eastAsia="Calibri" w:hAnsi="Arial" w:cs="Times New Roman"/>
      <w:sz w:val="22"/>
      <w:szCs w:val="22"/>
      <w:lang w:eastAsia="en-US"/>
    </w:rPr>
  </w:style>
  <w:style w:type="paragraph" w:customStyle="1" w:styleId="SignOff">
    <w:name w:val="Sign Off"/>
    <w:basedOn w:val="Normal"/>
    <w:qFormat/>
    <w:rsid w:val="004E1F37"/>
    <w:pPr>
      <w:spacing w:after="0" w:line="240" w:lineRule="auto"/>
    </w:pPr>
    <w:rPr>
      <w:rFonts w:eastAsia="Calibri" w:cs="Times New Roman"/>
      <w:sz w:val="20"/>
    </w:rPr>
  </w:style>
  <w:style w:type="paragraph" w:customStyle="1" w:styleId="SignOffHeading">
    <w:name w:val="Sign Off Heading"/>
    <w:basedOn w:val="Normal"/>
    <w:next w:val="SignOff"/>
    <w:qFormat/>
    <w:rsid w:val="004E1F37"/>
    <w:pPr>
      <w:spacing w:after="0" w:line="240" w:lineRule="auto"/>
    </w:pPr>
    <w:rPr>
      <w:rFonts w:eastAsia="Calibri" w:cs="Times New Roman"/>
      <w:b/>
      <w:sz w:val="20"/>
    </w:rPr>
  </w:style>
  <w:style w:type="paragraph" w:styleId="Date">
    <w:name w:val="Date"/>
    <w:basedOn w:val="Normal"/>
    <w:next w:val="Normal"/>
    <w:link w:val="DateChar"/>
    <w:uiPriority w:val="99"/>
    <w:rsid w:val="004E1F37"/>
    <w:pPr>
      <w:spacing w:after="0" w:line="240" w:lineRule="auto"/>
    </w:pPr>
    <w:rPr>
      <w:rFonts w:eastAsia="Calibri" w:cs="Times New Roman"/>
      <w:color w:val="696968"/>
      <w:sz w:val="14"/>
    </w:rPr>
  </w:style>
  <w:style w:type="character" w:customStyle="1" w:styleId="DateChar">
    <w:name w:val="Date Char"/>
    <w:basedOn w:val="DefaultParagraphFont"/>
    <w:link w:val="Date"/>
    <w:uiPriority w:val="99"/>
    <w:rsid w:val="004E1F37"/>
    <w:rPr>
      <w:rFonts w:ascii="Arial" w:eastAsia="Calibri" w:hAnsi="Arial" w:cs="Times New Roman"/>
      <w:color w:val="696968"/>
      <w:sz w:val="14"/>
    </w:rPr>
  </w:style>
  <w:style w:type="numbering" w:customStyle="1" w:styleId="HCAListNumbers">
    <w:name w:val="HCA List Numbers"/>
    <w:basedOn w:val="NoList"/>
    <w:uiPriority w:val="99"/>
    <w:rsid w:val="004E1F37"/>
    <w:pPr>
      <w:numPr>
        <w:numId w:val="42"/>
      </w:numPr>
    </w:pPr>
  </w:style>
  <w:style w:type="paragraph" w:customStyle="1" w:styleId="TableParagraph">
    <w:name w:val="Table Paragraph"/>
    <w:basedOn w:val="Normal"/>
    <w:uiPriority w:val="1"/>
    <w:qFormat/>
    <w:rsid w:val="004E1F37"/>
    <w:pPr>
      <w:widowControl w:val="0"/>
      <w:spacing w:after="0" w:line="240" w:lineRule="auto"/>
    </w:pPr>
    <w:rPr>
      <w:rFonts w:ascii="Calibri" w:eastAsia="Calibri" w:hAnsi="Calibri" w:cs="Times New Roman"/>
      <w:lang w:val="en-US"/>
    </w:rPr>
  </w:style>
  <w:style w:type="paragraph" w:customStyle="1" w:styleId="Sub-heading">
    <w:name w:val="Sub-heading"/>
    <w:basedOn w:val="Heading1"/>
    <w:next w:val="Heading1"/>
    <w:rsid w:val="004E1F37"/>
    <w:pPr>
      <w:keepLines w:val="0"/>
      <w:tabs>
        <w:tab w:val="num" w:pos="540"/>
        <w:tab w:val="left" w:pos="1152"/>
      </w:tabs>
      <w:spacing w:before="100" w:beforeAutospacing="1" w:after="60" w:line="240" w:lineRule="auto"/>
      <w:ind w:left="252" w:hanging="72"/>
    </w:pPr>
    <w:rPr>
      <w:rFonts w:ascii="Univers" w:eastAsia="Times New Roman" w:hAnsi="Univers" w:cs="Arial"/>
      <w:b/>
      <w:bCs/>
      <w:color w:val="808080"/>
      <w:kern w:val="32"/>
      <w:sz w:val="28"/>
      <w:szCs w:val="24"/>
      <w:lang w:val="x-none"/>
    </w:rPr>
  </w:style>
  <w:style w:type="paragraph" w:customStyle="1" w:styleId="Blockquote">
    <w:name w:val="Blockquote"/>
    <w:basedOn w:val="Normal"/>
    <w:rsid w:val="004E1F37"/>
    <w:pPr>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Sub-Sub-Heading">
    <w:name w:val="Sub-Sub-Heading"/>
    <w:basedOn w:val="BodyText"/>
    <w:rsid w:val="004E1F37"/>
    <w:pPr>
      <w:suppressAutoHyphens w:val="0"/>
      <w:autoSpaceDE w:val="0"/>
      <w:autoSpaceDN w:val="0"/>
      <w:adjustRightInd w:val="0"/>
      <w:spacing w:after="0"/>
      <w:jc w:val="both"/>
    </w:pPr>
    <w:rPr>
      <w:rFonts w:ascii="Univers" w:eastAsia="Times New Roman" w:hAnsi="Univers" w:cs="Arial"/>
      <w:b/>
      <w:color w:val="808080"/>
      <w:u w:val="single"/>
      <w:lang w:val="en-US" w:eastAsia="x-none"/>
    </w:rPr>
  </w:style>
  <w:style w:type="paragraph" w:customStyle="1" w:styleId="Body">
    <w:name w:val="Body"/>
    <w:basedOn w:val="Normal"/>
    <w:rsid w:val="004E1F37"/>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Style1Char">
    <w:name w:val="Style1 Char"/>
    <w:rsid w:val="004E1F37"/>
    <w:rPr>
      <w:rFonts w:ascii="Arial" w:eastAsia="Times New Roman" w:hAnsi="Arial" w:cs="Times New Roman"/>
      <w:b/>
      <w:bCs/>
      <w:kern w:val="0"/>
      <w14:ligatures w14:val="none"/>
    </w:rPr>
  </w:style>
  <w:style w:type="paragraph" w:customStyle="1" w:styleId="Unformatteed">
    <w:name w:val="Unformatteed"/>
    <w:basedOn w:val="Normal"/>
    <w:rsid w:val="004E1F37"/>
    <w:pPr>
      <w:tabs>
        <w:tab w:val="left" w:pos="851"/>
      </w:tabs>
      <w:spacing w:after="0" w:line="240" w:lineRule="auto"/>
      <w:jc w:val="both"/>
    </w:pPr>
    <w:rPr>
      <w:rFonts w:eastAsia="Times New Roman" w:cs="Arial"/>
      <w:sz w:val="18"/>
      <w:szCs w:val="18"/>
    </w:rPr>
  </w:style>
  <w:style w:type="paragraph" w:styleId="BodyTextIndent3">
    <w:name w:val="Body Text Indent 3"/>
    <w:basedOn w:val="Normal"/>
    <w:link w:val="BodyTextIndent3Char"/>
    <w:rsid w:val="004E1F37"/>
    <w:pPr>
      <w:tabs>
        <w:tab w:val="left" w:pos="-1440"/>
        <w:tab w:val="left" w:pos="-720"/>
      </w:tabs>
      <w:suppressAutoHyphens/>
      <w:spacing w:after="0" w:line="240" w:lineRule="auto"/>
      <w:ind w:left="720"/>
      <w:jc w:val="both"/>
    </w:pPr>
    <w:rPr>
      <w:rFonts w:ascii="Times New Roman" w:eastAsia="Times New Roman" w:hAnsi="Times New Roman" w:cs="Times New Roman"/>
      <w:spacing w:val="-3"/>
      <w:sz w:val="24"/>
      <w:szCs w:val="24"/>
    </w:rPr>
  </w:style>
  <w:style w:type="character" w:customStyle="1" w:styleId="BodyTextIndent3Char">
    <w:name w:val="Body Text Indent 3 Char"/>
    <w:basedOn w:val="DefaultParagraphFont"/>
    <w:link w:val="BodyTextIndent3"/>
    <w:rsid w:val="004E1F37"/>
    <w:rPr>
      <w:rFonts w:ascii="Times New Roman" w:eastAsia="Times New Roman" w:hAnsi="Times New Roman" w:cs="Times New Roman"/>
      <w:spacing w:val="-3"/>
      <w:sz w:val="24"/>
      <w:szCs w:val="24"/>
    </w:rPr>
  </w:style>
  <w:style w:type="paragraph" w:customStyle="1" w:styleId="Schedule">
    <w:name w:val="Schedule"/>
    <w:basedOn w:val="Normal"/>
    <w:next w:val="BodyText"/>
    <w:rsid w:val="004E1F37"/>
    <w:pPr>
      <w:numPr>
        <w:numId w:val="44"/>
      </w:numPr>
      <w:spacing w:after="240" w:line="240" w:lineRule="auto"/>
    </w:pPr>
    <w:rPr>
      <w:rFonts w:eastAsia="Times New Roman" w:cs="Times New Roman"/>
      <w:b/>
      <w:sz w:val="28"/>
      <w:szCs w:val="20"/>
    </w:rPr>
  </w:style>
  <w:style w:type="paragraph" w:customStyle="1" w:styleId="CommentaryText">
    <w:name w:val="CommentaryText"/>
    <w:basedOn w:val="Normal"/>
    <w:next w:val="Normal"/>
    <w:link w:val="CommentaryTextChar"/>
    <w:rsid w:val="004E1F37"/>
    <w:pPr>
      <w:spacing w:after="120" w:line="240" w:lineRule="auto"/>
    </w:pPr>
    <w:rPr>
      <w:rFonts w:eastAsia="Times New Roman" w:cs="Times New Roman"/>
      <w:i/>
      <w:sz w:val="18"/>
      <w:szCs w:val="20"/>
      <w:lang w:val="x-none" w:eastAsia="en-GB"/>
    </w:rPr>
  </w:style>
  <w:style w:type="character" w:customStyle="1" w:styleId="CommentaryTextChar">
    <w:name w:val="CommentaryText Char"/>
    <w:link w:val="CommentaryText"/>
    <w:rsid w:val="004E1F37"/>
    <w:rPr>
      <w:rFonts w:ascii="Arial" w:eastAsia="Times New Roman" w:hAnsi="Arial" w:cs="Times New Roman"/>
      <w:i/>
      <w:sz w:val="18"/>
      <w:szCs w:val="20"/>
      <w:lang w:val="x-none" w:eastAsia="en-GB"/>
    </w:rPr>
  </w:style>
  <w:style w:type="table" w:customStyle="1" w:styleId="LightShading-Accent21">
    <w:name w:val="Light Shading - Accent 21"/>
    <w:basedOn w:val="TableNormal"/>
    <w:next w:val="LightShading-Accent2"/>
    <w:uiPriority w:val="60"/>
    <w:rsid w:val="004E1F37"/>
    <w:pPr>
      <w:spacing w:after="0" w:line="240" w:lineRule="auto"/>
    </w:pPr>
    <w:rPr>
      <w:rFonts w:ascii="Corbel" w:hAnsi="Corbel"/>
      <w:color w:val="92D050"/>
      <w:sz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BookTitle">
    <w:name w:val="Book Title"/>
    <w:basedOn w:val="DefaultParagraphFont"/>
    <w:uiPriority w:val="33"/>
    <w:qFormat/>
    <w:rsid w:val="004E1F37"/>
    <w:rPr>
      <w:b/>
      <w:bCs/>
      <w:smallCaps/>
      <w:spacing w:val="5"/>
    </w:rPr>
  </w:style>
  <w:style w:type="table" w:customStyle="1" w:styleId="MediumShading11">
    <w:name w:val="Medium Shading 11"/>
    <w:basedOn w:val="TableNormal"/>
    <w:next w:val="MediumShading1"/>
    <w:uiPriority w:val="63"/>
    <w:rsid w:val="004E1F3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semiHidden/>
    <w:unhideWhenUsed/>
    <w:rsid w:val="004E1F37"/>
    <w:pPr>
      <w:spacing w:after="0" w:line="240" w:lineRule="auto"/>
    </w:pPr>
    <w:rPr>
      <w:color w:val="000000" w:themeColor="text1" w:themeShade="BF"/>
      <w:kern w:val="2"/>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4E1F37"/>
    <w:pPr>
      <w:spacing w:after="0" w:line="240" w:lineRule="auto"/>
    </w:pPr>
    <w:rPr>
      <w:color w:val="C45911" w:themeColor="accent2" w:themeShade="BF"/>
      <w:kern w:val="2"/>
      <w14:ligatures w14:val="standardContextual"/>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Shading1">
    <w:name w:val="Medium Shading 1"/>
    <w:basedOn w:val="TableNormal"/>
    <w:uiPriority w:val="63"/>
    <w:semiHidden/>
    <w:unhideWhenUsed/>
    <w:rsid w:val="004E1F37"/>
    <w:pPr>
      <w:spacing w:after="0" w:line="240" w:lineRule="auto"/>
    </w:pPr>
    <w:rPr>
      <w:kern w:val="2"/>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4E1F37"/>
  </w:style>
  <w:style w:type="table" w:customStyle="1" w:styleId="TableGrid3">
    <w:name w:val="Table Grid3"/>
    <w:basedOn w:val="TableNormal"/>
    <w:next w:val="TableGrid"/>
    <w:uiPriority w:val="59"/>
    <w:rsid w:val="004E1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4E1F3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HCANumbering11">
    <w:name w:val="HCA Numbering11"/>
    <w:basedOn w:val="NoList"/>
    <w:uiPriority w:val="99"/>
    <w:rsid w:val="004E1F37"/>
  </w:style>
  <w:style w:type="numbering" w:customStyle="1" w:styleId="HCANumbering2">
    <w:name w:val="HCA Numbering2"/>
    <w:basedOn w:val="NoList"/>
    <w:uiPriority w:val="99"/>
    <w:rsid w:val="004E1F37"/>
  </w:style>
  <w:style w:type="numbering" w:customStyle="1" w:styleId="HCABullets1">
    <w:name w:val="HCA Bullets1"/>
    <w:basedOn w:val="NoList"/>
    <w:uiPriority w:val="99"/>
    <w:rsid w:val="004E1F37"/>
  </w:style>
  <w:style w:type="numbering" w:customStyle="1" w:styleId="HCAListNumbers1">
    <w:name w:val="HCA List Numbers1"/>
    <w:basedOn w:val="NoList"/>
    <w:uiPriority w:val="99"/>
    <w:rsid w:val="004E1F37"/>
  </w:style>
  <w:style w:type="table" w:customStyle="1" w:styleId="LightShading-Accent22">
    <w:name w:val="Light Shading - Accent 22"/>
    <w:basedOn w:val="TableNormal"/>
    <w:next w:val="LightShading-Accent2"/>
    <w:uiPriority w:val="60"/>
    <w:rsid w:val="004E1F37"/>
    <w:pPr>
      <w:spacing w:after="0" w:line="240" w:lineRule="auto"/>
    </w:pPr>
    <w:rPr>
      <w:rFonts w:ascii="Corbel" w:hAnsi="Corbel"/>
      <w:color w:val="92D050"/>
      <w:sz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2">
    <w:name w:val="Medium Shading 12"/>
    <w:basedOn w:val="TableNormal"/>
    <w:next w:val="MediumShading1"/>
    <w:uiPriority w:val="63"/>
    <w:rsid w:val="004E1F3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WWNum35">
    <w:name w:val="WWNum35"/>
    <w:basedOn w:val="NoList"/>
    <w:rsid w:val="004E1F37"/>
    <w:pPr>
      <w:numPr>
        <w:numId w:val="46"/>
      </w:numPr>
    </w:pPr>
  </w:style>
  <w:style w:type="numbering" w:customStyle="1" w:styleId="WWNum36">
    <w:name w:val="WWNum36"/>
    <w:basedOn w:val="NoList"/>
    <w:rsid w:val="004E1F37"/>
    <w:pPr>
      <w:numPr>
        <w:numId w:val="47"/>
      </w:numPr>
    </w:pPr>
  </w:style>
  <w:style w:type="numbering" w:customStyle="1" w:styleId="WWNum5">
    <w:name w:val="WWNum5"/>
    <w:basedOn w:val="NoList"/>
    <w:rsid w:val="004E1F37"/>
    <w:pPr>
      <w:numPr>
        <w:numId w:val="48"/>
      </w:numPr>
    </w:pPr>
  </w:style>
  <w:style w:type="numbering" w:customStyle="1" w:styleId="WWNum10">
    <w:name w:val="WWNum10"/>
    <w:basedOn w:val="NoList"/>
    <w:rsid w:val="004E1F37"/>
    <w:pPr>
      <w:numPr>
        <w:numId w:val="49"/>
      </w:numPr>
    </w:pPr>
  </w:style>
  <w:style w:type="numbering" w:customStyle="1" w:styleId="WWNum19">
    <w:name w:val="WWNum19"/>
    <w:basedOn w:val="NoList"/>
    <w:rsid w:val="004E1F37"/>
    <w:pPr>
      <w:numPr>
        <w:numId w:val="50"/>
      </w:numPr>
    </w:pPr>
  </w:style>
  <w:style w:type="numbering" w:customStyle="1" w:styleId="WWNum24">
    <w:name w:val="WWNum24"/>
    <w:basedOn w:val="NoList"/>
    <w:rsid w:val="004E1F37"/>
    <w:pPr>
      <w:numPr>
        <w:numId w:val="51"/>
      </w:numPr>
    </w:pPr>
  </w:style>
  <w:style w:type="numbering" w:customStyle="1" w:styleId="WWNum38">
    <w:name w:val="WWNum38"/>
    <w:basedOn w:val="NoList"/>
    <w:rsid w:val="004E1F37"/>
    <w:pPr>
      <w:numPr>
        <w:numId w:val="52"/>
      </w:numPr>
    </w:pPr>
  </w:style>
  <w:style w:type="numbering" w:customStyle="1" w:styleId="WWNum39">
    <w:name w:val="WWNum39"/>
    <w:basedOn w:val="NoList"/>
    <w:rsid w:val="004E1F37"/>
    <w:pPr>
      <w:numPr>
        <w:numId w:val="53"/>
      </w:numPr>
    </w:pPr>
  </w:style>
  <w:style w:type="numbering" w:customStyle="1" w:styleId="WWNum41">
    <w:name w:val="WWNum41"/>
    <w:basedOn w:val="NoList"/>
    <w:rsid w:val="004E1F37"/>
    <w:pPr>
      <w:numPr>
        <w:numId w:val="54"/>
      </w:numPr>
    </w:pPr>
  </w:style>
  <w:style w:type="numbering" w:customStyle="1" w:styleId="WWNum3">
    <w:name w:val="WWNum3"/>
    <w:basedOn w:val="NoList"/>
    <w:rsid w:val="004E1F37"/>
    <w:pPr>
      <w:numPr>
        <w:numId w:val="55"/>
      </w:numPr>
    </w:pPr>
  </w:style>
  <w:style w:type="numbering" w:customStyle="1" w:styleId="WWNum20">
    <w:name w:val="WWNum20"/>
    <w:basedOn w:val="NoList"/>
    <w:rsid w:val="004E1F37"/>
    <w:pPr>
      <w:numPr>
        <w:numId w:val="56"/>
      </w:numPr>
    </w:pPr>
  </w:style>
  <w:style w:type="numbering" w:customStyle="1" w:styleId="WWNum40">
    <w:name w:val="WWNum40"/>
    <w:basedOn w:val="NoList"/>
    <w:rsid w:val="004E1F37"/>
    <w:pPr>
      <w:numPr>
        <w:numId w:val="57"/>
      </w:numPr>
    </w:pPr>
  </w:style>
  <w:style w:type="numbering" w:customStyle="1" w:styleId="WWNum42">
    <w:name w:val="WWNum42"/>
    <w:basedOn w:val="NoList"/>
    <w:rsid w:val="004E1F37"/>
    <w:pPr>
      <w:numPr>
        <w:numId w:val="58"/>
      </w:numPr>
    </w:pPr>
  </w:style>
  <w:style w:type="paragraph" w:customStyle="1" w:styleId="legclearfix">
    <w:name w:val="legclearfix"/>
    <w:basedOn w:val="Normal"/>
    <w:rsid w:val="004E1F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4E1F37"/>
  </w:style>
  <w:style w:type="character" w:customStyle="1" w:styleId="legterm">
    <w:name w:val="legterm"/>
    <w:basedOn w:val="DefaultParagraphFont"/>
    <w:rsid w:val="004E1F37"/>
  </w:style>
  <w:style w:type="paragraph" w:customStyle="1" w:styleId="legrhs">
    <w:name w:val="legrhs"/>
    <w:basedOn w:val="Normal"/>
    <w:rsid w:val="004E1F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listtextstandard">
    <w:name w:val="leglisttextstandard"/>
    <w:basedOn w:val="Normal"/>
    <w:rsid w:val="004E1F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E1F37"/>
  </w:style>
  <w:style w:type="paragraph" w:customStyle="1" w:styleId="pf1">
    <w:name w:val="pf1"/>
    <w:basedOn w:val="Normal"/>
    <w:rsid w:val="00EF3F6B"/>
    <w:pPr>
      <w:spacing w:before="100" w:beforeAutospacing="1" w:after="100" w:afterAutospacing="1" w:line="240" w:lineRule="auto"/>
      <w:ind w:left="780"/>
    </w:pPr>
    <w:rPr>
      <w:rFonts w:ascii="Times New Roman" w:eastAsia="Times New Roman" w:hAnsi="Times New Roman" w:cs="Times New Roman"/>
      <w:sz w:val="24"/>
      <w:szCs w:val="24"/>
      <w:lang w:eastAsia="en-GB"/>
    </w:rPr>
  </w:style>
  <w:style w:type="character" w:customStyle="1" w:styleId="cf11">
    <w:name w:val="cf11"/>
    <w:basedOn w:val="DefaultParagraphFont"/>
    <w:rsid w:val="00EF3F6B"/>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5451">
      <w:bodyDiv w:val="1"/>
      <w:marLeft w:val="0"/>
      <w:marRight w:val="0"/>
      <w:marTop w:val="0"/>
      <w:marBottom w:val="0"/>
      <w:divBdr>
        <w:top w:val="none" w:sz="0" w:space="0" w:color="auto"/>
        <w:left w:val="none" w:sz="0" w:space="0" w:color="auto"/>
        <w:bottom w:val="none" w:sz="0" w:space="0" w:color="auto"/>
        <w:right w:val="none" w:sz="0" w:space="0" w:color="auto"/>
      </w:divBdr>
      <w:divsChild>
        <w:div w:id="34431387">
          <w:marLeft w:val="0"/>
          <w:marRight w:val="0"/>
          <w:marTop w:val="0"/>
          <w:marBottom w:val="0"/>
          <w:divBdr>
            <w:top w:val="none" w:sz="0" w:space="0" w:color="auto"/>
            <w:left w:val="none" w:sz="0" w:space="0" w:color="auto"/>
            <w:bottom w:val="none" w:sz="0" w:space="0" w:color="auto"/>
            <w:right w:val="none" w:sz="0" w:space="0" w:color="auto"/>
          </w:divBdr>
          <w:divsChild>
            <w:div w:id="221605719">
              <w:marLeft w:val="0"/>
              <w:marRight w:val="0"/>
              <w:marTop w:val="0"/>
              <w:marBottom w:val="0"/>
              <w:divBdr>
                <w:top w:val="none" w:sz="0" w:space="0" w:color="auto"/>
                <w:left w:val="none" w:sz="0" w:space="0" w:color="auto"/>
                <w:bottom w:val="none" w:sz="0" w:space="0" w:color="auto"/>
                <w:right w:val="none" w:sz="0" w:space="0" w:color="auto"/>
              </w:divBdr>
            </w:div>
            <w:div w:id="284624219">
              <w:marLeft w:val="0"/>
              <w:marRight w:val="0"/>
              <w:marTop w:val="0"/>
              <w:marBottom w:val="0"/>
              <w:divBdr>
                <w:top w:val="none" w:sz="0" w:space="0" w:color="auto"/>
                <w:left w:val="none" w:sz="0" w:space="0" w:color="auto"/>
                <w:bottom w:val="none" w:sz="0" w:space="0" w:color="auto"/>
                <w:right w:val="none" w:sz="0" w:space="0" w:color="auto"/>
              </w:divBdr>
            </w:div>
          </w:divsChild>
        </w:div>
        <w:div w:id="1192184292">
          <w:marLeft w:val="0"/>
          <w:marRight w:val="0"/>
          <w:marTop w:val="0"/>
          <w:marBottom w:val="0"/>
          <w:divBdr>
            <w:top w:val="none" w:sz="0" w:space="0" w:color="auto"/>
            <w:left w:val="none" w:sz="0" w:space="0" w:color="auto"/>
            <w:bottom w:val="none" w:sz="0" w:space="0" w:color="auto"/>
            <w:right w:val="none" w:sz="0" w:space="0" w:color="auto"/>
          </w:divBdr>
          <w:divsChild>
            <w:div w:id="165050758">
              <w:marLeft w:val="0"/>
              <w:marRight w:val="0"/>
              <w:marTop w:val="0"/>
              <w:marBottom w:val="0"/>
              <w:divBdr>
                <w:top w:val="none" w:sz="0" w:space="0" w:color="auto"/>
                <w:left w:val="none" w:sz="0" w:space="0" w:color="auto"/>
                <w:bottom w:val="none" w:sz="0" w:space="0" w:color="auto"/>
                <w:right w:val="none" w:sz="0" w:space="0" w:color="auto"/>
              </w:divBdr>
            </w:div>
            <w:div w:id="450981526">
              <w:marLeft w:val="0"/>
              <w:marRight w:val="0"/>
              <w:marTop w:val="0"/>
              <w:marBottom w:val="0"/>
              <w:divBdr>
                <w:top w:val="none" w:sz="0" w:space="0" w:color="auto"/>
                <w:left w:val="none" w:sz="0" w:space="0" w:color="auto"/>
                <w:bottom w:val="none" w:sz="0" w:space="0" w:color="auto"/>
                <w:right w:val="none" w:sz="0" w:space="0" w:color="auto"/>
              </w:divBdr>
            </w:div>
            <w:div w:id="519929017">
              <w:marLeft w:val="0"/>
              <w:marRight w:val="0"/>
              <w:marTop w:val="0"/>
              <w:marBottom w:val="0"/>
              <w:divBdr>
                <w:top w:val="none" w:sz="0" w:space="0" w:color="auto"/>
                <w:left w:val="none" w:sz="0" w:space="0" w:color="auto"/>
                <w:bottom w:val="none" w:sz="0" w:space="0" w:color="auto"/>
                <w:right w:val="none" w:sz="0" w:space="0" w:color="auto"/>
              </w:divBdr>
            </w:div>
            <w:div w:id="1486507534">
              <w:marLeft w:val="0"/>
              <w:marRight w:val="0"/>
              <w:marTop w:val="0"/>
              <w:marBottom w:val="0"/>
              <w:divBdr>
                <w:top w:val="none" w:sz="0" w:space="0" w:color="auto"/>
                <w:left w:val="none" w:sz="0" w:space="0" w:color="auto"/>
                <w:bottom w:val="none" w:sz="0" w:space="0" w:color="auto"/>
                <w:right w:val="none" w:sz="0" w:space="0" w:color="auto"/>
              </w:divBdr>
            </w:div>
            <w:div w:id="2088375742">
              <w:marLeft w:val="0"/>
              <w:marRight w:val="0"/>
              <w:marTop w:val="0"/>
              <w:marBottom w:val="0"/>
              <w:divBdr>
                <w:top w:val="none" w:sz="0" w:space="0" w:color="auto"/>
                <w:left w:val="none" w:sz="0" w:space="0" w:color="auto"/>
                <w:bottom w:val="none" w:sz="0" w:space="0" w:color="auto"/>
                <w:right w:val="none" w:sz="0" w:space="0" w:color="auto"/>
              </w:divBdr>
            </w:div>
          </w:divsChild>
        </w:div>
        <w:div w:id="1219129186">
          <w:marLeft w:val="0"/>
          <w:marRight w:val="0"/>
          <w:marTop w:val="0"/>
          <w:marBottom w:val="0"/>
          <w:divBdr>
            <w:top w:val="none" w:sz="0" w:space="0" w:color="auto"/>
            <w:left w:val="none" w:sz="0" w:space="0" w:color="auto"/>
            <w:bottom w:val="none" w:sz="0" w:space="0" w:color="auto"/>
            <w:right w:val="none" w:sz="0" w:space="0" w:color="auto"/>
          </w:divBdr>
          <w:divsChild>
            <w:div w:id="256835693">
              <w:marLeft w:val="0"/>
              <w:marRight w:val="0"/>
              <w:marTop w:val="0"/>
              <w:marBottom w:val="0"/>
              <w:divBdr>
                <w:top w:val="none" w:sz="0" w:space="0" w:color="auto"/>
                <w:left w:val="none" w:sz="0" w:space="0" w:color="auto"/>
                <w:bottom w:val="none" w:sz="0" w:space="0" w:color="auto"/>
                <w:right w:val="none" w:sz="0" w:space="0" w:color="auto"/>
              </w:divBdr>
            </w:div>
            <w:div w:id="357397087">
              <w:marLeft w:val="0"/>
              <w:marRight w:val="0"/>
              <w:marTop w:val="0"/>
              <w:marBottom w:val="0"/>
              <w:divBdr>
                <w:top w:val="none" w:sz="0" w:space="0" w:color="auto"/>
                <w:left w:val="none" w:sz="0" w:space="0" w:color="auto"/>
                <w:bottom w:val="none" w:sz="0" w:space="0" w:color="auto"/>
                <w:right w:val="none" w:sz="0" w:space="0" w:color="auto"/>
              </w:divBdr>
            </w:div>
            <w:div w:id="945499897">
              <w:marLeft w:val="0"/>
              <w:marRight w:val="0"/>
              <w:marTop w:val="0"/>
              <w:marBottom w:val="0"/>
              <w:divBdr>
                <w:top w:val="none" w:sz="0" w:space="0" w:color="auto"/>
                <w:left w:val="none" w:sz="0" w:space="0" w:color="auto"/>
                <w:bottom w:val="none" w:sz="0" w:space="0" w:color="auto"/>
                <w:right w:val="none" w:sz="0" w:space="0" w:color="auto"/>
              </w:divBdr>
            </w:div>
            <w:div w:id="1202667699">
              <w:marLeft w:val="0"/>
              <w:marRight w:val="0"/>
              <w:marTop w:val="0"/>
              <w:marBottom w:val="0"/>
              <w:divBdr>
                <w:top w:val="none" w:sz="0" w:space="0" w:color="auto"/>
                <w:left w:val="none" w:sz="0" w:space="0" w:color="auto"/>
                <w:bottom w:val="none" w:sz="0" w:space="0" w:color="auto"/>
                <w:right w:val="none" w:sz="0" w:space="0" w:color="auto"/>
              </w:divBdr>
            </w:div>
            <w:div w:id="1667785366">
              <w:marLeft w:val="0"/>
              <w:marRight w:val="0"/>
              <w:marTop w:val="0"/>
              <w:marBottom w:val="0"/>
              <w:divBdr>
                <w:top w:val="none" w:sz="0" w:space="0" w:color="auto"/>
                <w:left w:val="none" w:sz="0" w:space="0" w:color="auto"/>
                <w:bottom w:val="none" w:sz="0" w:space="0" w:color="auto"/>
                <w:right w:val="none" w:sz="0" w:space="0" w:color="auto"/>
              </w:divBdr>
            </w:div>
          </w:divsChild>
        </w:div>
        <w:div w:id="1893732743">
          <w:marLeft w:val="0"/>
          <w:marRight w:val="0"/>
          <w:marTop w:val="0"/>
          <w:marBottom w:val="0"/>
          <w:divBdr>
            <w:top w:val="none" w:sz="0" w:space="0" w:color="auto"/>
            <w:left w:val="none" w:sz="0" w:space="0" w:color="auto"/>
            <w:bottom w:val="none" w:sz="0" w:space="0" w:color="auto"/>
            <w:right w:val="none" w:sz="0" w:space="0" w:color="auto"/>
          </w:divBdr>
          <w:divsChild>
            <w:div w:id="850485778">
              <w:marLeft w:val="0"/>
              <w:marRight w:val="0"/>
              <w:marTop w:val="0"/>
              <w:marBottom w:val="0"/>
              <w:divBdr>
                <w:top w:val="none" w:sz="0" w:space="0" w:color="auto"/>
                <w:left w:val="none" w:sz="0" w:space="0" w:color="auto"/>
                <w:bottom w:val="none" w:sz="0" w:space="0" w:color="auto"/>
                <w:right w:val="none" w:sz="0" w:space="0" w:color="auto"/>
              </w:divBdr>
            </w:div>
            <w:div w:id="1558667874">
              <w:marLeft w:val="0"/>
              <w:marRight w:val="0"/>
              <w:marTop w:val="0"/>
              <w:marBottom w:val="0"/>
              <w:divBdr>
                <w:top w:val="none" w:sz="0" w:space="0" w:color="auto"/>
                <w:left w:val="none" w:sz="0" w:space="0" w:color="auto"/>
                <w:bottom w:val="none" w:sz="0" w:space="0" w:color="auto"/>
                <w:right w:val="none" w:sz="0" w:space="0" w:color="auto"/>
              </w:divBdr>
            </w:div>
            <w:div w:id="17424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7760">
      <w:bodyDiv w:val="1"/>
      <w:marLeft w:val="0"/>
      <w:marRight w:val="0"/>
      <w:marTop w:val="0"/>
      <w:marBottom w:val="0"/>
      <w:divBdr>
        <w:top w:val="none" w:sz="0" w:space="0" w:color="auto"/>
        <w:left w:val="none" w:sz="0" w:space="0" w:color="auto"/>
        <w:bottom w:val="none" w:sz="0" w:space="0" w:color="auto"/>
        <w:right w:val="none" w:sz="0" w:space="0" w:color="auto"/>
      </w:divBdr>
    </w:div>
    <w:div w:id="42677707">
      <w:bodyDiv w:val="1"/>
      <w:marLeft w:val="0"/>
      <w:marRight w:val="0"/>
      <w:marTop w:val="0"/>
      <w:marBottom w:val="0"/>
      <w:divBdr>
        <w:top w:val="none" w:sz="0" w:space="0" w:color="auto"/>
        <w:left w:val="none" w:sz="0" w:space="0" w:color="auto"/>
        <w:bottom w:val="none" w:sz="0" w:space="0" w:color="auto"/>
        <w:right w:val="none" w:sz="0" w:space="0" w:color="auto"/>
      </w:divBdr>
    </w:div>
    <w:div w:id="68620682">
      <w:bodyDiv w:val="1"/>
      <w:marLeft w:val="0"/>
      <w:marRight w:val="0"/>
      <w:marTop w:val="0"/>
      <w:marBottom w:val="0"/>
      <w:divBdr>
        <w:top w:val="none" w:sz="0" w:space="0" w:color="auto"/>
        <w:left w:val="none" w:sz="0" w:space="0" w:color="auto"/>
        <w:bottom w:val="none" w:sz="0" w:space="0" w:color="auto"/>
        <w:right w:val="none" w:sz="0" w:space="0" w:color="auto"/>
      </w:divBdr>
      <w:divsChild>
        <w:div w:id="459228554">
          <w:marLeft w:val="0"/>
          <w:marRight w:val="0"/>
          <w:marTop w:val="0"/>
          <w:marBottom w:val="0"/>
          <w:divBdr>
            <w:top w:val="none" w:sz="0" w:space="0" w:color="auto"/>
            <w:left w:val="none" w:sz="0" w:space="0" w:color="auto"/>
            <w:bottom w:val="none" w:sz="0" w:space="0" w:color="auto"/>
            <w:right w:val="none" w:sz="0" w:space="0" w:color="auto"/>
          </w:divBdr>
        </w:div>
        <w:div w:id="476453931">
          <w:marLeft w:val="0"/>
          <w:marRight w:val="0"/>
          <w:marTop w:val="0"/>
          <w:marBottom w:val="0"/>
          <w:divBdr>
            <w:top w:val="none" w:sz="0" w:space="0" w:color="auto"/>
            <w:left w:val="none" w:sz="0" w:space="0" w:color="auto"/>
            <w:bottom w:val="none" w:sz="0" w:space="0" w:color="auto"/>
            <w:right w:val="none" w:sz="0" w:space="0" w:color="auto"/>
          </w:divBdr>
        </w:div>
        <w:div w:id="650523617">
          <w:marLeft w:val="0"/>
          <w:marRight w:val="0"/>
          <w:marTop w:val="0"/>
          <w:marBottom w:val="0"/>
          <w:divBdr>
            <w:top w:val="none" w:sz="0" w:space="0" w:color="auto"/>
            <w:left w:val="none" w:sz="0" w:space="0" w:color="auto"/>
            <w:bottom w:val="none" w:sz="0" w:space="0" w:color="auto"/>
            <w:right w:val="none" w:sz="0" w:space="0" w:color="auto"/>
          </w:divBdr>
        </w:div>
        <w:div w:id="917788358">
          <w:marLeft w:val="0"/>
          <w:marRight w:val="0"/>
          <w:marTop w:val="0"/>
          <w:marBottom w:val="0"/>
          <w:divBdr>
            <w:top w:val="none" w:sz="0" w:space="0" w:color="auto"/>
            <w:left w:val="none" w:sz="0" w:space="0" w:color="auto"/>
            <w:bottom w:val="none" w:sz="0" w:space="0" w:color="auto"/>
            <w:right w:val="none" w:sz="0" w:space="0" w:color="auto"/>
          </w:divBdr>
        </w:div>
        <w:div w:id="1255360575">
          <w:marLeft w:val="0"/>
          <w:marRight w:val="0"/>
          <w:marTop w:val="0"/>
          <w:marBottom w:val="0"/>
          <w:divBdr>
            <w:top w:val="none" w:sz="0" w:space="0" w:color="auto"/>
            <w:left w:val="none" w:sz="0" w:space="0" w:color="auto"/>
            <w:bottom w:val="none" w:sz="0" w:space="0" w:color="auto"/>
            <w:right w:val="none" w:sz="0" w:space="0" w:color="auto"/>
          </w:divBdr>
        </w:div>
        <w:div w:id="1555920332">
          <w:marLeft w:val="0"/>
          <w:marRight w:val="0"/>
          <w:marTop w:val="0"/>
          <w:marBottom w:val="0"/>
          <w:divBdr>
            <w:top w:val="none" w:sz="0" w:space="0" w:color="auto"/>
            <w:left w:val="none" w:sz="0" w:space="0" w:color="auto"/>
            <w:bottom w:val="none" w:sz="0" w:space="0" w:color="auto"/>
            <w:right w:val="none" w:sz="0" w:space="0" w:color="auto"/>
          </w:divBdr>
        </w:div>
        <w:div w:id="1696423242">
          <w:marLeft w:val="0"/>
          <w:marRight w:val="0"/>
          <w:marTop w:val="0"/>
          <w:marBottom w:val="0"/>
          <w:divBdr>
            <w:top w:val="none" w:sz="0" w:space="0" w:color="auto"/>
            <w:left w:val="none" w:sz="0" w:space="0" w:color="auto"/>
            <w:bottom w:val="none" w:sz="0" w:space="0" w:color="auto"/>
            <w:right w:val="none" w:sz="0" w:space="0" w:color="auto"/>
          </w:divBdr>
        </w:div>
        <w:div w:id="1967081776">
          <w:marLeft w:val="0"/>
          <w:marRight w:val="0"/>
          <w:marTop w:val="0"/>
          <w:marBottom w:val="0"/>
          <w:divBdr>
            <w:top w:val="none" w:sz="0" w:space="0" w:color="auto"/>
            <w:left w:val="none" w:sz="0" w:space="0" w:color="auto"/>
            <w:bottom w:val="none" w:sz="0" w:space="0" w:color="auto"/>
            <w:right w:val="none" w:sz="0" w:space="0" w:color="auto"/>
          </w:divBdr>
        </w:div>
      </w:divsChild>
    </w:div>
    <w:div w:id="132143277">
      <w:bodyDiv w:val="1"/>
      <w:marLeft w:val="0"/>
      <w:marRight w:val="0"/>
      <w:marTop w:val="0"/>
      <w:marBottom w:val="0"/>
      <w:divBdr>
        <w:top w:val="none" w:sz="0" w:space="0" w:color="auto"/>
        <w:left w:val="none" w:sz="0" w:space="0" w:color="auto"/>
        <w:bottom w:val="none" w:sz="0" w:space="0" w:color="auto"/>
        <w:right w:val="none" w:sz="0" w:space="0" w:color="auto"/>
      </w:divBdr>
    </w:div>
    <w:div w:id="136268268">
      <w:bodyDiv w:val="1"/>
      <w:marLeft w:val="0"/>
      <w:marRight w:val="0"/>
      <w:marTop w:val="0"/>
      <w:marBottom w:val="0"/>
      <w:divBdr>
        <w:top w:val="none" w:sz="0" w:space="0" w:color="auto"/>
        <w:left w:val="none" w:sz="0" w:space="0" w:color="auto"/>
        <w:bottom w:val="none" w:sz="0" w:space="0" w:color="auto"/>
        <w:right w:val="none" w:sz="0" w:space="0" w:color="auto"/>
      </w:divBdr>
    </w:div>
    <w:div w:id="187721377">
      <w:bodyDiv w:val="1"/>
      <w:marLeft w:val="0"/>
      <w:marRight w:val="0"/>
      <w:marTop w:val="0"/>
      <w:marBottom w:val="0"/>
      <w:divBdr>
        <w:top w:val="none" w:sz="0" w:space="0" w:color="auto"/>
        <w:left w:val="none" w:sz="0" w:space="0" w:color="auto"/>
        <w:bottom w:val="none" w:sz="0" w:space="0" w:color="auto"/>
        <w:right w:val="none" w:sz="0" w:space="0" w:color="auto"/>
      </w:divBdr>
      <w:divsChild>
        <w:div w:id="29497207">
          <w:marLeft w:val="0"/>
          <w:marRight w:val="0"/>
          <w:marTop w:val="0"/>
          <w:marBottom w:val="0"/>
          <w:divBdr>
            <w:top w:val="none" w:sz="0" w:space="0" w:color="auto"/>
            <w:left w:val="none" w:sz="0" w:space="0" w:color="auto"/>
            <w:bottom w:val="none" w:sz="0" w:space="0" w:color="auto"/>
            <w:right w:val="none" w:sz="0" w:space="0" w:color="auto"/>
          </w:divBdr>
          <w:divsChild>
            <w:div w:id="305862804">
              <w:marLeft w:val="0"/>
              <w:marRight w:val="0"/>
              <w:marTop w:val="0"/>
              <w:marBottom w:val="0"/>
              <w:divBdr>
                <w:top w:val="none" w:sz="0" w:space="0" w:color="auto"/>
                <w:left w:val="none" w:sz="0" w:space="0" w:color="auto"/>
                <w:bottom w:val="none" w:sz="0" w:space="0" w:color="auto"/>
                <w:right w:val="none" w:sz="0" w:space="0" w:color="auto"/>
              </w:divBdr>
            </w:div>
          </w:divsChild>
        </w:div>
        <w:div w:id="57290751">
          <w:marLeft w:val="0"/>
          <w:marRight w:val="0"/>
          <w:marTop w:val="0"/>
          <w:marBottom w:val="0"/>
          <w:divBdr>
            <w:top w:val="none" w:sz="0" w:space="0" w:color="auto"/>
            <w:left w:val="none" w:sz="0" w:space="0" w:color="auto"/>
            <w:bottom w:val="none" w:sz="0" w:space="0" w:color="auto"/>
            <w:right w:val="none" w:sz="0" w:space="0" w:color="auto"/>
          </w:divBdr>
          <w:divsChild>
            <w:div w:id="629433900">
              <w:marLeft w:val="0"/>
              <w:marRight w:val="0"/>
              <w:marTop w:val="0"/>
              <w:marBottom w:val="0"/>
              <w:divBdr>
                <w:top w:val="none" w:sz="0" w:space="0" w:color="auto"/>
                <w:left w:val="none" w:sz="0" w:space="0" w:color="auto"/>
                <w:bottom w:val="none" w:sz="0" w:space="0" w:color="auto"/>
                <w:right w:val="none" w:sz="0" w:space="0" w:color="auto"/>
              </w:divBdr>
            </w:div>
            <w:div w:id="822744228">
              <w:marLeft w:val="0"/>
              <w:marRight w:val="0"/>
              <w:marTop w:val="0"/>
              <w:marBottom w:val="0"/>
              <w:divBdr>
                <w:top w:val="none" w:sz="0" w:space="0" w:color="auto"/>
                <w:left w:val="none" w:sz="0" w:space="0" w:color="auto"/>
                <w:bottom w:val="none" w:sz="0" w:space="0" w:color="auto"/>
                <w:right w:val="none" w:sz="0" w:space="0" w:color="auto"/>
              </w:divBdr>
            </w:div>
            <w:div w:id="1107237504">
              <w:marLeft w:val="0"/>
              <w:marRight w:val="0"/>
              <w:marTop w:val="0"/>
              <w:marBottom w:val="0"/>
              <w:divBdr>
                <w:top w:val="none" w:sz="0" w:space="0" w:color="auto"/>
                <w:left w:val="none" w:sz="0" w:space="0" w:color="auto"/>
                <w:bottom w:val="none" w:sz="0" w:space="0" w:color="auto"/>
                <w:right w:val="none" w:sz="0" w:space="0" w:color="auto"/>
              </w:divBdr>
            </w:div>
            <w:div w:id="1121613404">
              <w:marLeft w:val="0"/>
              <w:marRight w:val="0"/>
              <w:marTop w:val="0"/>
              <w:marBottom w:val="0"/>
              <w:divBdr>
                <w:top w:val="none" w:sz="0" w:space="0" w:color="auto"/>
                <w:left w:val="none" w:sz="0" w:space="0" w:color="auto"/>
                <w:bottom w:val="none" w:sz="0" w:space="0" w:color="auto"/>
                <w:right w:val="none" w:sz="0" w:space="0" w:color="auto"/>
              </w:divBdr>
            </w:div>
            <w:div w:id="1183470688">
              <w:marLeft w:val="0"/>
              <w:marRight w:val="0"/>
              <w:marTop w:val="0"/>
              <w:marBottom w:val="0"/>
              <w:divBdr>
                <w:top w:val="none" w:sz="0" w:space="0" w:color="auto"/>
                <w:left w:val="none" w:sz="0" w:space="0" w:color="auto"/>
                <w:bottom w:val="none" w:sz="0" w:space="0" w:color="auto"/>
                <w:right w:val="none" w:sz="0" w:space="0" w:color="auto"/>
              </w:divBdr>
            </w:div>
            <w:div w:id="1262032326">
              <w:marLeft w:val="0"/>
              <w:marRight w:val="0"/>
              <w:marTop w:val="0"/>
              <w:marBottom w:val="0"/>
              <w:divBdr>
                <w:top w:val="none" w:sz="0" w:space="0" w:color="auto"/>
                <w:left w:val="none" w:sz="0" w:space="0" w:color="auto"/>
                <w:bottom w:val="none" w:sz="0" w:space="0" w:color="auto"/>
                <w:right w:val="none" w:sz="0" w:space="0" w:color="auto"/>
              </w:divBdr>
            </w:div>
            <w:div w:id="1265110720">
              <w:marLeft w:val="0"/>
              <w:marRight w:val="0"/>
              <w:marTop w:val="0"/>
              <w:marBottom w:val="0"/>
              <w:divBdr>
                <w:top w:val="none" w:sz="0" w:space="0" w:color="auto"/>
                <w:left w:val="none" w:sz="0" w:space="0" w:color="auto"/>
                <w:bottom w:val="none" w:sz="0" w:space="0" w:color="auto"/>
                <w:right w:val="none" w:sz="0" w:space="0" w:color="auto"/>
              </w:divBdr>
            </w:div>
            <w:div w:id="1302074819">
              <w:marLeft w:val="0"/>
              <w:marRight w:val="0"/>
              <w:marTop w:val="0"/>
              <w:marBottom w:val="0"/>
              <w:divBdr>
                <w:top w:val="none" w:sz="0" w:space="0" w:color="auto"/>
                <w:left w:val="none" w:sz="0" w:space="0" w:color="auto"/>
                <w:bottom w:val="none" w:sz="0" w:space="0" w:color="auto"/>
                <w:right w:val="none" w:sz="0" w:space="0" w:color="auto"/>
              </w:divBdr>
            </w:div>
            <w:div w:id="1366910058">
              <w:marLeft w:val="0"/>
              <w:marRight w:val="0"/>
              <w:marTop w:val="0"/>
              <w:marBottom w:val="0"/>
              <w:divBdr>
                <w:top w:val="none" w:sz="0" w:space="0" w:color="auto"/>
                <w:left w:val="none" w:sz="0" w:space="0" w:color="auto"/>
                <w:bottom w:val="none" w:sz="0" w:space="0" w:color="auto"/>
                <w:right w:val="none" w:sz="0" w:space="0" w:color="auto"/>
              </w:divBdr>
            </w:div>
            <w:div w:id="1389109566">
              <w:marLeft w:val="0"/>
              <w:marRight w:val="0"/>
              <w:marTop w:val="0"/>
              <w:marBottom w:val="0"/>
              <w:divBdr>
                <w:top w:val="none" w:sz="0" w:space="0" w:color="auto"/>
                <w:left w:val="none" w:sz="0" w:space="0" w:color="auto"/>
                <w:bottom w:val="none" w:sz="0" w:space="0" w:color="auto"/>
                <w:right w:val="none" w:sz="0" w:space="0" w:color="auto"/>
              </w:divBdr>
            </w:div>
            <w:div w:id="1563516787">
              <w:marLeft w:val="0"/>
              <w:marRight w:val="0"/>
              <w:marTop w:val="0"/>
              <w:marBottom w:val="0"/>
              <w:divBdr>
                <w:top w:val="none" w:sz="0" w:space="0" w:color="auto"/>
                <w:left w:val="none" w:sz="0" w:space="0" w:color="auto"/>
                <w:bottom w:val="none" w:sz="0" w:space="0" w:color="auto"/>
                <w:right w:val="none" w:sz="0" w:space="0" w:color="auto"/>
              </w:divBdr>
            </w:div>
            <w:div w:id="1869446711">
              <w:marLeft w:val="0"/>
              <w:marRight w:val="0"/>
              <w:marTop w:val="0"/>
              <w:marBottom w:val="0"/>
              <w:divBdr>
                <w:top w:val="none" w:sz="0" w:space="0" w:color="auto"/>
                <w:left w:val="none" w:sz="0" w:space="0" w:color="auto"/>
                <w:bottom w:val="none" w:sz="0" w:space="0" w:color="auto"/>
                <w:right w:val="none" w:sz="0" w:space="0" w:color="auto"/>
              </w:divBdr>
            </w:div>
            <w:div w:id="1890922056">
              <w:marLeft w:val="0"/>
              <w:marRight w:val="0"/>
              <w:marTop w:val="0"/>
              <w:marBottom w:val="0"/>
              <w:divBdr>
                <w:top w:val="none" w:sz="0" w:space="0" w:color="auto"/>
                <w:left w:val="none" w:sz="0" w:space="0" w:color="auto"/>
                <w:bottom w:val="none" w:sz="0" w:space="0" w:color="auto"/>
                <w:right w:val="none" w:sz="0" w:space="0" w:color="auto"/>
              </w:divBdr>
            </w:div>
          </w:divsChild>
        </w:div>
        <w:div w:id="289554437">
          <w:marLeft w:val="0"/>
          <w:marRight w:val="0"/>
          <w:marTop w:val="0"/>
          <w:marBottom w:val="0"/>
          <w:divBdr>
            <w:top w:val="none" w:sz="0" w:space="0" w:color="auto"/>
            <w:left w:val="none" w:sz="0" w:space="0" w:color="auto"/>
            <w:bottom w:val="none" w:sz="0" w:space="0" w:color="auto"/>
            <w:right w:val="none" w:sz="0" w:space="0" w:color="auto"/>
          </w:divBdr>
          <w:divsChild>
            <w:div w:id="136269923">
              <w:marLeft w:val="0"/>
              <w:marRight w:val="0"/>
              <w:marTop w:val="0"/>
              <w:marBottom w:val="0"/>
              <w:divBdr>
                <w:top w:val="none" w:sz="0" w:space="0" w:color="auto"/>
                <w:left w:val="none" w:sz="0" w:space="0" w:color="auto"/>
                <w:bottom w:val="none" w:sz="0" w:space="0" w:color="auto"/>
                <w:right w:val="none" w:sz="0" w:space="0" w:color="auto"/>
              </w:divBdr>
            </w:div>
            <w:div w:id="551118559">
              <w:marLeft w:val="0"/>
              <w:marRight w:val="0"/>
              <w:marTop w:val="0"/>
              <w:marBottom w:val="0"/>
              <w:divBdr>
                <w:top w:val="none" w:sz="0" w:space="0" w:color="auto"/>
                <w:left w:val="none" w:sz="0" w:space="0" w:color="auto"/>
                <w:bottom w:val="none" w:sz="0" w:space="0" w:color="auto"/>
                <w:right w:val="none" w:sz="0" w:space="0" w:color="auto"/>
              </w:divBdr>
            </w:div>
            <w:div w:id="820267589">
              <w:marLeft w:val="0"/>
              <w:marRight w:val="0"/>
              <w:marTop w:val="0"/>
              <w:marBottom w:val="0"/>
              <w:divBdr>
                <w:top w:val="none" w:sz="0" w:space="0" w:color="auto"/>
                <w:left w:val="none" w:sz="0" w:space="0" w:color="auto"/>
                <w:bottom w:val="none" w:sz="0" w:space="0" w:color="auto"/>
                <w:right w:val="none" w:sz="0" w:space="0" w:color="auto"/>
              </w:divBdr>
            </w:div>
            <w:div w:id="1049649211">
              <w:marLeft w:val="0"/>
              <w:marRight w:val="0"/>
              <w:marTop w:val="0"/>
              <w:marBottom w:val="0"/>
              <w:divBdr>
                <w:top w:val="none" w:sz="0" w:space="0" w:color="auto"/>
                <w:left w:val="none" w:sz="0" w:space="0" w:color="auto"/>
                <w:bottom w:val="none" w:sz="0" w:space="0" w:color="auto"/>
                <w:right w:val="none" w:sz="0" w:space="0" w:color="auto"/>
              </w:divBdr>
            </w:div>
            <w:div w:id="1541936220">
              <w:marLeft w:val="0"/>
              <w:marRight w:val="0"/>
              <w:marTop w:val="0"/>
              <w:marBottom w:val="0"/>
              <w:divBdr>
                <w:top w:val="none" w:sz="0" w:space="0" w:color="auto"/>
                <w:left w:val="none" w:sz="0" w:space="0" w:color="auto"/>
                <w:bottom w:val="none" w:sz="0" w:space="0" w:color="auto"/>
                <w:right w:val="none" w:sz="0" w:space="0" w:color="auto"/>
              </w:divBdr>
            </w:div>
            <w:div w:id="1636449628">
              <w:marLeft w:val="0"/>
              <w:marRight w:val="0"/>
              <w:marTop w:val="0"/>
              <w:marBottom w:val="0"/>
              <w:divBdr>
                <w:top w:val="none" w:sz="0" w:space="0" w:color="auto"/>
                <w:left w:val="none" w:sz="0" w:space="0" w:color="auto"/>
                <w:bottom w:val="none" w:sz="0" w:space="0" w:color="auto"/>
                <w:right w:val="none" w:sz="0" w:space="0" w:color="auto"/>
              </w:divBdr>
            </w:div>
          </w:divsChild>
        </w:div>
        <w:div w:id="299847915">
          <w:marLeft w:val="0"/>
          <w:marRight w:val="0"/>
          <w:marTop w:val="0"/>
          <w:marBottom w:val="0"/>
          <w:divBdr>
            <w:top w:val="none" w:sz="0" w:space="0" w:color="auto"/>
            <w:left w:val="none" w:sz="0" w:space="0" w:color="auto"/>
            <w:bottom w:val="none" w:sz="0" w:space="0" w:color="auto"/>
            <w:right w:val="none" w:sz="0" w:space="0" w:color="auto"/>
          </w:divBdr>
          <w:divsChild>
            <w:div w:id="237517280">
              <w:marLeft w:val="0"/>
              <w:marRight w:val="0"/>
              <w:marTop w:val="0"/>
              <w:marBottom w:val="0"/>
              <w:divBdr>
                <w:top w:val="none" w:sz="0" w:space="0" w:color="auto"/>
                <w:left w:val="none" w:sz="0" w:space="0" w:color="auto"/>
                <w:bottom w:val="none" w:sz="0" w:space="0" w:color="auto"/>
                <w:right w:val="none" w:sz="0" w:space="0" w:color="auto"/>
              </w:divBdr>
            </w:div>
            <w:div w:id="305935199">
              <w:marLeft w:val="0"/>
              <w:marRight w:val="0"/>
              <w:marTop w:val="0"/>
              <w:marBottom w:val="0"/>
              <w:divBdr>
                <w:top w:val="none" w:sz="0" w:space="0" w:color="auto"/>
                <w:left w:val="none" w:sz="0" w:space="0" w:color="auto"/>
                <w:bottom w:val="none" w:sz="0" w:space="0" w:color="auto"/>
                <w:right w:val="none" w:sz="0" w:space="0" w:color="auto"/>
              </w:divBdr>
            </w:div>
            <w:div w:id="445467022">
              <w:marLeft w:val="0"/>
              <w:marRight w:val="0"/>
              <w:marTop w:val="0"/>
              <w:marBottom w:val="0"/>
              <w:divBdr>
                <w:top w:val="none" w:sz="0" w:space="0" w:color="auto"/>
                <w:left w:val="none" w:sz="0" w:space="0" w:color="auto"/>
                <w:bottom w:val="none" w:sz="0" w:space="0" w:color="auto"/>
                <w:right w:val="none" w:sz="0" w:space="0" w:color="auto"/>
              </w:divBdr>
            </w:div>
            <w:div w:id="790826604">
              <w:marLeft w:val="0"/>
              <w:marRight w:val="0"/>
              <w:marTop w:val="0"/>
              <w:marBottom w:val="0"/>
              <w:divBdr>
                <w:top w:val="none" w:sz="0" w:space="0" w:color="auto"/>
                <w:left w:val="none" w:sz="0" w:space="0" w:color="auto"/>
                <w:bottom w:val="none" w:sz="0" w:space="0" w:color="auto"/>
                <w:right w:val="none" w:sz="0" w:space="0" w:color="auto"/>
              </w:divBdr>
            </w:div>
            <w:div w:id="919675893">
              <w:marLeft w:val="0"/>
              <w:marRight w:val="0"/>
              <w:marTop w:val="0"/>
              <w:marBottom w:val="0"/>
              <w:divBdr>
                <w:top w:val="none" w:sz="0" w:space="0" w:color="auto"/>
                <w:left w:val="none" w:sz="0" w:space="0" w:color="auto"/>
                <w:bottom w:val="none" w:sz="0" w:space="0" w:color="auto"/>
                <w:right w:val="none" w:sz="0" w:space="0" w:color="auto"/>
              </w:divBdr>
            </w:div>
            <w:div w:id="929584485">
              <w:marLeft w:val="0"/>
              <w:marRight w:val="0"/>
              <w:marTop w:val="0"/>
              <w:marBottom w:val="0"/>
              <w:divBdr>
                <w:top w:val="none" w:sz="0" w:space="0" w:color="auto"/>
                <w:left w:val="none" w:sz="0" w:space="0" w:color="auto"/>
                <w:bottom w:val="none" w:sz="0" w:space="0" w:color="auto"/>
                <w:right w:val="none" w:sz="0" w:space="0" w:color="auto"/>
              </w:divBdr>
            </w:div>
            <w:div w:id="1014570432">
              <w:marLeft w:val="0"/>
              <w:marRight w:val="0"/>
              <w:marTop w:val="0"/>
              <w:marBottom w:val="0"/>
              <w:divBdr>
                <w:top w:val="none" w:sz="0" w:space="0" w:color="auto"/>
                <w:left w:val="none" w:sz="0" w:space="0" w:color="auto"/>
                <w:bottom w:val="none" w:sz="0" w:space="0" w:color="auto"/>
                <w:right w:val="none" w:sz="0" w:space="0" w:color="auto"/>
              </w:divBdr>
            </w:div>
            <w:div w:id="1049840907">
              <w:marLeft w:val="0"/>
              <w:marRight w:val="0"/>
              <w:marTop w:val="0"/>
              <w:marBottom w:val="0"/>
              <w:divBdr>
                <w:top w:val="none" w:sz="0" w:space="0" w:color="auto"/>
                <w:left w:val="none" w:sz="0" w:space="0" w:color="auto"/>
                <w:bottom w:val="none" w:sz="0" w:space="0" w:color="auto"/>
                <w:right w:val="none" w:sz="0" w:space="0" w:color="auto"/>
              </w:divBdr>
            </w:div>
            <w:div w:id="1338462268">
              <w:marLeft w:val="0"/>
              <w:marRight w:val="0"/>
              <w:marTop w:val="0"/>
              <w:marBottom w:val="0"/>
              <w:divBdr>
                <w:top w:val="none" w:sz="0" w:space="0" w:color="auto"/>
                <w:left w:val="none" w:sz="0" w:space="0" w:color="auto"/>
                <w:bottom w:val="none" w:sz="0" w:space="0" w:color="auto"/>
                <w:right w:val="none" w:sz="0" w:space="0" w:color="auto"/>
              </w:divBdr>
            </w:div>
            <w:div w:id="1473524125">
              <w:marLeft w:val="0"/>
              <w:marRight w:val="0"/>
              <w:marTop w:val="0"/>
              <w:marBottom w:val="0"/>
              <w:divBdr>
                <w:top w:val="none" w:sz="0" w:space="0" w:color="auto"/>
                <w:left w:val="none" w:sz="0" w:space="0" w:color="auto"/>
                <w:bottom w:val="none" w:sz="0" w:space="0" w:color="auto"/>
                <w:right w:val="none" w:sz="0" w:space="0" w:color="auto"/>
              </w:divBdr>
            </w:div>
            <w:div w:id="1496410958">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0"/>
              <w:marBottom w:val="0"/>
              <w:divBdr>
                <w:top w:val="none" w:sz="0" w:space="0" w:color="auto"/>
                <w:left w:val="none" w:sz="0" w:space="0" w:color="auto"/>
                <w:bottom w:val="none" w:sz="0" w:space="0" w:color="auto"/>
                <w:right w:val="none" w:sz="0" w:space="0" w:color="auto"/>
              </w:divBdr>
            </w:div>
            <w:div w:id="2062633376">
              <w:marLeft w:val="0"/>
              <w:marRight w:val="0"/>
              <w:marTop w:val="0"/>
              <w:marBottom w:val="0"/>
              <w:divBdr>
                <w:top w:val="none" w:sz="0" w:space="0" w:color="auto"/>
                <w:left w:val="none" w:sz="0" w:space="0" w:color="auto"/>
                <w:bottom w:val="none" w:sz="0" w:space="0" w:color="auto"/>
                <w:right w:val="none" w:sz="0" w:space="0" w:color="auto"/>
              </w:divBdr>
            </w:div>
          </w:divsChild>
        </w:div>
        <w:div w:id="415521515">
          <w:marLeft w:val="0"/>
          <w:marRight w:val="0"/>
          <w:marTop w:val="0"/>
          <w:marBottom w:val="0"/>
          <w:divBdr>
            <w:top w:val="none" w:sz="0" w:space="0" w:color="auto"/>
            <w:left w:val="none" w:sz="0" w:space="0" w:color="auto"/>
            <w:bottom w:val="none" w:sz="0" w:space="0" w:color="auto"/>
            <w:right w:val="none" w:sz="0" w:space="0" w:color="auto"/>
          </w:divBdr>
          <w:divsChild>
            <w:div w:id="2047564070">
              <w:marLeft w:val="0"/>
              <w:marRight w:val="0"/>
              <w:marTop w:val="0"/>
              <w:marBottom w:val="0"/>
              <w:divBdr>
                <w:top w:val="none" w:sz="0" w:space="0" w:color="auto"/>
                <w:left w:val="none" w:sz="0" w:space="0" w:color="auto"/>
                <w:bottom w:val="none" w:sz="0" w:space="0" w:color="auto"/>
                <w:right w:val="none" w:sz="0" w:space="0" w:color="auto"/>
              </w:divBdr>
            </w:div>
          </w:divsChild>
        </w:div>
        <w:div w:id="432629036">
          <w:marLeft w:val="0"/>
          <w:marRight w:val="0"/>
          <w:marTop w:val="0"/>
          <w:marBottom w:val="0"/>
          <w:divBdr>
            <w:top w:val="none" w:sz="0" w:space="0" w:color="auto"/>
            <w:left w:val="none" w:sz="0" w:space="0" w:color="auto"/>
            <w:bottom w:val="none" w:sz="0" w:space="0" w:color="auto"/>
            <w:right w:val="none" w:sz="0" w:space="0" w:color="auto"/>
          </w:divBdr>
          <w:divsChild>
            <w:div w:id="724378173">
              <w:marLeft w:val="0"/>
              <w:marRight w:val="0"/>
              <w:marTop w:val="0"/>
              <w:marBottom w:val="0"/>
              <w:divBdr>
                <w:top w:val="none" w:sz="0" w:space="0" w:color="auto"/>
                <w:left w:val="none" w:sz="0" w:space="0" w:color="auto"/>
                <w:bottom w:val="none" w:sz="0" w:space="0" w:color="auto"/>
                <w:right w:val="none" w:sz="0" w:space="0" w:color="auto"/>
              </w:divBdr>
            </w:div>
          </w:divsChild>
        </w:div>
        <w:div w:id="463426625">
          <w:marLeft w:val="0"/>
          <w:marRight w:val="0"/>
          <w:marTop w:val="0"/>
          <w:marBottom w:val="0"/>
          <w:divBdr>
            <w:top w:val="none" w:sz="0" w:space="0" w:color="auto"/>
            <w:left w:val="none" w:sz="0" w:space="0" w:color="auto"/>
            <w:bottom w:val="none" w:sz="0" w:space="0" w:color="auto"/>
            <w:right w:val="none" w:sz="0" w:space="0" w:color="auto"/>
          </w:divBdr>
          <w:divsChild>
            <w:div w:id="1048608477">
              <w:marLeft w:val="0"/>
              <w:marRight w:val="0"/>
              <w:marTop w:val="0"/>
              <w:marBottom w:val="0"/>
              <w:divBdr>
                <w:top w:val="none" w:sz="0" w:space="0" w:color="auto"/>
                <w:left w:val="none" w:sz="0" w:space="0" w:color="auto"/>
                <w:bottom w:val="none" w:sz="0" w:space="0" w:color="auto"/>
                <w:right w:val="none" w:sz="0" w:space="0" w:color="auto"/>
              </w:divBdr>
            </w:div>
          </w:divsChild>
        </w:div>
        <w:div w:id="490877384">
          <w:marLeft w:val="0"/>
          <w:marRight w:val="0"/>
          <w:marTop w:val="0"/>
          <w:marBottom w:val="0"/>
          <w:divBdr>
            <w:top w:val="none" w:sz="0" w:space="0" w:color="auto"/>
            <w:left w:val="none" w:sz="0" w:space="0" w:color="auto"/>
            <w:bottom w:val="none" w:sz="0" w:space="0" w:color="auto"/>
            <w:right w:val="none" w:sz="0" w:space="0" w:color="auto"/>
          </w:divBdr>
          <w:divsChild>
            <w:div w:id="1749307295">
              <w:marLeft w:val="0"/>
              <w:marRight w:val="0"/>
              <w:marTop w:val="0"/>
              <w:marBottom w:val="0"/>
              <w:divBdr>
                <w:top w:val="none" w:sz="0" w:space="0" w:color="auto"/>
                <w:left w:val="none" w:sz="0" w:space="0" w:color="auto"/>
                <w:bottom w:val="none" w:sz="0" w:space="0" w:color="auto"/>
                <w:right w:val="none" w:sz="0" w:space="0" w:color="auto"/>
              </w:divBdr>
            </w:div>
          </w:divsChild>
        </w:div>
        <w:div w:id="504855680">
          <w:marLeft w:val="0"/>
          <w:marRight w:val="0"/>
          <w:marTop w:val="0"/>
          <w:marBottom w:val="0"/>
          <w:divBdr>
            <w:top w:val="none" w:sz="0" w:space="0" w:color="auto"/>
            <w:left w:val="none" w:sz="0" w:space="0" w:color="auto"/>
            <w:bottom w:val="none" w:sz="0" w:space="0" w:color="auto"/>
            <w:right w:val="none" w:sz="0" w:space="0" w:color="auto"/>
          </w:divBdr>
          <w:divsChild>
            <w:div w:id="347299320">
              <w:marLeft w:val="0"/>
              <w:marRight w:val="0"/>
              <w:marTop w:val="0"/>
              <w:marBottom w:val="0"/>
              <w:divBdr>
                <w:top w:val="none" w:sz="0" w:space="0" w:color="auto"/>
                <w:left w:val="none" w:sz="0" w:space="0" w:color="auto"/>
                <w:bottom w:val="none" w:sz="0" w:space="0" w:color="auto"/>
                <w:right w:val="none" w:sz="0" w:space="0" w:color="auto"/>
              </w:divBdr>
            </w:div>
          </w:divsChild>
        </w:div>
        <w:div w:id="553200716">
          <w:marLeft w:val="0"/>
          <w:marRight w:val="0"/>
          <w:marTop w:val="0"/>
          <w:marBottom w:val="0"/>
          <w:divBdr>
            <w:top w:val="none" w:sz="0" w:space="0" w:color="auto"/>
            <w:left w:val="none" w:sz="0" w:space="0" w:color="auto"/>
            <w:bottom w:val="none" w:sz="0" w:space="0" w:color="auto"/>
            <w:right w:val="none" w:sz="0" w:space="0" w:color="auto"/>
          </w:divBdr>
          <w:divsChild>
            <w:div w:id="1819300847">
              <w:marLeft w:val="0"/>
              <w:marRight w:val="0"/>
              <w:marTop w:val="0"/>
              <w:marBottom w:val="0"/>
              <w:divBdr>
                <w:top w:val="none" w:sz="0" w:space="0" w:color="auto"/>
                <w:left w:val="none" w:sz="0" w:space="0" w:color="auto"/>
                <w:bottom w:val="none" w:sz="0" w:space="0" w:color="auto"/>
                <w:right w:val="none" w:sz="0" w:space="0" w:color="auto"/>
              </w:divBdr>
            </w:div>
          </w:divsChild>
        </w:div>
        <w:div w:id="555747402">
          <w:marLeft w:val="0"/>
          <w:marRight w:val="0"/>
          <w:marTop w:val="0"/>
          <w:marBottom w:val="0"/>
          <w:divBdr>
            <w:top w:val="none" w:sz="0" w:space="0" w:color="auto"/>
            <w:left w:val="none" w:sz="0" w:space="0" w:color="auto"/>
            <w:bottom w:val="none" w:sz="0" w:space="0" w:color="auto"/>
            <w:right w:val="none" w:sz="0" w:space="0" w:color="auto"/>
          </w:divBdr>
          <w:divsChild>
            <w:div w:id="1718582171">
              <w:marLeft w:val="0"/>
              <w:marRight w:val="0"/>
              <w:marTop w:val="0"/>
              <w:marBottom w:val="0"/>
              <w:divBdr>
                <w:top w:val="none" w:sz="0" w:space="0" w:color="auto"/>
                <w:left w:val="none" w:sz="0" w:space="0" w:color="auto"/>
                <w:bottom w:val="none" w:sz="0" w:space="0" w:color="auto"/>
                <w:right w:val="none" w:sz="0" w:space="0" w:color="auto"/>
              </w:divBdr>
            </w:div>
          </w:divsChild>
        </w:div>
        <w:div w:id="651179817">
          <w:marLeft w:val="0"/>
          <w:marRight w:val="0"/>
          <w:marTop w:val="0"/>
          <w:marBottom w:val="0"/>
          <w:divBdr>
            <w:top w:val="none" w:sz="0" w:space="0" w:color="auto"/>
            <w:left w:val="none" w:sz="0" w:space="0" w:color="auto"/>
            <w:bottom w:val="none" w:sz="0" w:space="0" w:color="auto"/>
            <w:right w:val="none" w:sz="0" w:space="0" w:color="auto"/>
          </w:divBdr>
          <w:divsChild>
            <w:div w:id="1195269763">
              <w:marLeft w:val="0"/>
              <w:marRight w:val="0"/>
              <w:marTop w:val="0"/>
              <w:marBottom w:val="0"/>
              <w:divBdr>
                <w:top w:val="none" w:sz="0" w:space="0" w:color="auto"/>
                <w:left w:val="none" w:sz="0" w:space="0" w:color="auto"/>
                <w:bottom w:val="none" w:sz="0" w:space="0" w:color="auto"/>
                <w:right w:val="none" w:sz="0" w:space="0" w:color="auto"/>
              </w:divBdr>
            </w:div>
            <w:div w:id="1853492769">
              <w:marLeft w:val="0"/>
              <w:marRight w:val="0"/>
              <w:marTop w:val="0"/>
              <w:marBottom w:val="0"/>
              <w:divBdr>
                <w:top w:val="none" w:sz="0" w:space="0" w:color="auto"/>
                <w:left w:val="none" w:sz="0" w:space="0" w:color="auto"/>
                <w:bottom w:val="none" w:sz="0" w:space="0" w:color="auto"/>
                <w:right w:val="none" w:sz="0" w:space="0" w:color="auto"/>
              </w:divBdr>
            </w:div>
          </w:divsChild>
        </w:div>
        <w:div w:id="677391759">
          <w:marLeft w:val="0"/>
          <w:marRight w:val="0"/>
          <w:marTop w:val="0"/>
          <w:marBottom w:val="0"/>
          <w:divBdr>
            <w:top w:val="none" w:sz="0" w:space="0" w:color="auto"/>
            <w:left w:val="none" w:sz="0" w:space="0" w:color="auto"/>
            <w:bottom w:val="none" w:sz="0" w:space="0" w:color="auto"/>
            <w:right w:val="none" w:sz="0" w:space="0" w:color="auto"/>
          </w:divBdr>
          <w:divsChild>
            <w:div w:id="196550270">
              <w:marLeft w:val="0"/>
              <w:marRight w:val="0"/>
              <w:marTop w:val="0"/>
              <w:marBottom w:val="0"/>
              <w:divBdr>
                <w:top w:val="none" w:sz="0" w:space="0" w:color="auto"/>
                <w:left w:val="none" w:sz="0" w:space="0" w:color="auto"/>
                <w:bottom w:val="none" w:sz="0" w:space="0" w:color="auto"/>
                <w:right w:val="none" w:sz="0" w:space="0" w:color="auto"/>
              </w:divBdr>
            </w:div>
            <w:div w:id="1019161299">
              <w:marLeft w:val="0"/>
              <w:marRight w:val="0"/>
              <w:marTop w:val="0"/>
              <w:marBottom w:val="0"/>
              <w:divBdr>
                <w:top w:val="none" w:sz="0" w:space="0" w:color="auto"/>
                <w:left w:val="none" w:sz="0" w:space="0" w:color="auto"/>
                <w:bottom w:val="none" w:sz="0" w:space="0" w:color="auto"/>
                <w:right w:val="none" w:sz="0" w:space="0" w:color="auto"/>
              </w:divBdr>
            </w:div>
            <w:div w:id="1324701053">
              <w:marLeft w:val="0"/>
              <w:marRight w:val="0"/>
              <w:marTop w:val="0"/>
              <w:marBottom w:val="0"/>
              <w:divBdr>
                <w:top w:val="none" w:sz="0" w:space="0" w:color="auto"/>
                <w:left w:val="none" w:sz="0" w:space="0" w:color="auto"/>
                <w:bottom w:val="none" w:sz="0" w:space="0" w:color="auto"/>
                <w:right w:val="none" w:sz="0" w:space="0" w:color="auto"/>
              </w:divBdr>
            </w:div>
            <w:div w:id="1485201202">
              <w:marLeft w:val="0"/>
              <w:marRight w:val="0"/>
              <w:marTop w:val="0"/>
              <w:marBottom w:val="0"/>
              <w:divBdr>
                <w:top w:val="none" w:sz="0" w:space="0" w:color="auto"/>
                <w:left w:val="none" w:sz="0" w:space="0" w:color="auto"/>
                <w:bottom w:val="none" w:sz="0" w:space="0" w:color="auto"/>
                <w:right w:val="none" w:sz="0" w:space="0" w:color="auto"/>
              </w:divBdr>
            </w:div>
            <w:div w:id="1683969961">
              <w:marLeft w:val="0"/>
              <w:marRight w:val="0"/>
              <w:marTop w:val="0"/>
              <w:marBottom w:val="0"/>
              <w:divBdr>
                <w:top w:val="none" w:sz="0" w:space="0" w:color="auto"/>
                <w:left w:val="none" w:sz="0" w:space="0" w:color="auto"/>
                <w:bottom w:val="none" w:sz="0" w:space="0" w:color="auto"/>
                <w:right w:val="none" w:sz="0" w:space="0" w:color="auto"/>
              </w:divBdr>
            </w:div>
            <w:div w:id="1724060449">
              <w:marLeft w:val="0"/>
              <w:marRight w:val="0"/>
              <w:marTop w:val="0"/>
              <w:marBottom w:val="0"/>
              <w:divBdr>
                <w:top w:val="none" w:sz="0" w:space="0" w:color="auto"/>
                <w:left w:val="none" w:sz="0" w:space="0" w:color="auto"/>
                <w:bottom w:val="none" w:sz="0" w:space="0" w:color="auto"/>
                <w:right w:val="none" w:sz="0" w:space="0" w:color="auto"/>
              </w:divBdr>
            </w:div>
            <w:div w:id="2001032706">
              <w:marLeft w:val="0"/>
              <w:marRight w:val="0"/>
              <w:marTop w:val="0"/>
              <w:marBottom w:val="0"/>
              <w:divBdr>
                <w:top w:val="none" w:sz="0" w:space="0" w:color="auto"/>
                <w:left w:val="none" w:sz="0" w:space="0" w:color="auto"/>
                <w:bottom w:val="none" w:sz="0" w:space="0" w:color="auto"/>
                <w:right w:val="none" w:sz="0" w:space="0" w:color="auto"/>
              </w:divBdr>
            </w:div>
          </w:divsChild>
        </w:div>
        <w:div w:id="791361438">
          <w:marLeft w:val="0"/>
          <w:marRight w:val="0"/>
          <w:marTop w:val="0"/>
          <w:marBottom w:val="0"/>
          <w:divBdr>
            <w:top w:val="none" w:sz="0" w:space="0" w:color="auto"/>
            <w:left w:val="none" w:sz="0" w:space="0" w:color="auto"/>
            <w:bottom w:val="none" w:sz="0" w:space="0" w:color="auto"/>
            <w:right w:val="none" w:sz="0" w:space="0" w:color="auto"/>
          </w:divBdr>
          <w:divsChild>
            <w:div w:id="1044332157">
              <w:marLeft w:val="0"/>
              <w:marRight w:val="0"/>
              <w:marTop w:val="0"/>
              <w:marBottom w:val="0"/>
              <w:divBdr>
                <w:top w:val="none" w:sz="0" w:space="0" w:color="auto"/>
                <w:left w:val="none" w:sz="0" w:space="0" w:color="auto"/>
                <w:bottom w:val="none" w:sz="0" w:space="0" w:color="auto"/>
                <w:right w:val="none" w:sz="0" w:space="0" w:color="auto"/>
              </w:divBdr>
            </w:div>
            <w:div w:id="1266112162">
              <w:marLeft w:val="0"/>
              <w:marRight w:val="0"/>
              <w:marTop w:val="0"/>
              <w:marBottom w:val="0"/>
              <w:divBdr>
                <w:top w:val="none" w:sz="0" w:space="0" w:color="auto"/>
                <w:left w:val="none" w:sz="0" w:space="0" w:color="auto"/>
                <w:bottom w:val="none" w:sz="0" w:space="0" w:color="auto"/>
                <w:right w:val="none" w:sz="0" w:space="0" w:color="auto"/>
              </w:divBdr>
            </w:div>
            <w:div w:id="1824077606">
              <w:marLeft w:val="0"/>
              <w:marRight w:val="0"/>
              <w:marTop w:val="0"/>
              <w:marBottom w:val="0"/>
              <w:divBdr>
                <w:top w:val="none" w:sz="0" w:space="0" w:color="auto"/>
                <w:left w:val="none" w:sz="0" w:space="0" w:color="auto"/>
                <w:bottom w:val="none" w:sz="0" w:space="0" w:color="auto"/>
                <w:right w:val="none" w:sz="0" w:space="0" w:color="auto"/>
              </w:divBdr>
            </w:div>
          </w:divsChild>
        </w:div>
        <w:div w:id="869949639">
          <w:marLeft w:val="0"/>
          <w:marRight w:val="0"/>
          <w:marTop w:val="0"/>
          <w:marBottom w:val="0"/>
          <w:divBdr>
            <w:top w:val="none" w:sz="0" w:space="0" w:color="auto"/>
            <w:left w:val="none" w:sz="0" w:space="0" w:color="auto"/>
            <w:bottom w:val="none" w:sz="0" w:space="0" w:color="auto"/>
            <w:right w:val="none" w:sz="0" w:space="0" w:color="auto"/>
          </w:divBdr>
          <w:divsChild>
            <w:div w:id="259335728">
              <w:marLeft w:val="0"/>
              <w:marRight w:val="0"/>
              <w:marTop w:val="0"/>
              <w:marBottom w:val="0"/>
              <w:divBdr>
                <w:top w:val="none" w:sz="0" w:space="0" w:color="auto"/>
                <w:left w:val="none" w:sz="0" w:space="0" w:color="auto"/>
                <w:bottom w:val="none" w:sz="0" w:space="0" w:color="auto"/>
                <w:right w:val="none" w:sz="0" w:space="0" w:color="auto"/>
              </w:divBdr>
            </w:div>
            <w:div w:id="516316268">
              <w:marLeft w:val="0"/>
              <w:marRight w:val="0"/>
              <w:marTop w:val="0"/>
              <w:marBottom w:val="0"/>
              <w:divBdr>
                <w:top w:val="none" w:sz="0" w:space="0" w:color="auto"/>
                <w:left w:val="none" w:sz="0" w:space="0" w:color="auto"/>
                <w:bottom w:val="none" w:sz="0" w:space="0" w:color="auto"/>
                <w:right w:val="none" w:sz="0" w:space="0" w:color="auto"/>
              </w:divBdr>
            </w:div>
          </w:divsChild>
        </w:div>
        <w:div w:id="900949292">
          <w:marLeft w:val="0"/>
          <w:marRight w:val="0"/>
          <w:marTop w:val="0"/>
          <w:marBottom w:val="0"/>
          <w:divBdr>
            <w:top w:val="none" w:sz="0" w:space="0" w:color="auto"/>
            <w:left w:val="none" w:sz="0" w:space="0" w:color="auto"/>
            <w:bottom w:val="none" w:sz="0" w:space="0" w:color="auto"/>
            <w:right w:val="none" w:sz="0" w:space="0" w:color="auto"/>
          </w:divBdr>
          <w:divsChild>
            <w:div w:id="1772972147">
              <w:marLeft w:val="0"/>
              <w:marRight w:val="0"/>
              <w:marTop w:val="0"/>
              <w:marBottom w:val="0"/>
              <w:divBdr>
                <w:top w:val="none" w:sz="0" w:space="0" w:color="auto"/>
                <w:left w:val="none" w:sz="0" w:space="0" w:color="auto"/>
                <w:bottom w:val="none" w:sz="0" w:space="0" w:color="auto"/>
                <w:right w:val="none" w:sz="0" w:space="0" w:color="auto"/>
              </w:divBdr>
            </w:div>
          </w:divsChild>
        </w:div>
        <w:div w:id="938827419">
          <w:marLeft w:val="0"/>
          <w:marRight w:val="0"/>
          <w:marTop w:val="0"/>
          <w:marBottom w:val="0"/>
          <w:divBdr>
            <w:top w:val="none" w:sz="0" w:space="0" w:color="auto"/>
            <w:left w:val="none" w:sz="0" w:space="0" w:color="auto"/>
            <w:bottom w:val="none" w:sz="0" w:space="0" w:color="auto"/>
            <w:right w:val="none" w:sz="0" w:space="0" w:color="auto"/>
          </w:divBdr>
          <w:divsChild>
            <w:div w:id="1406420262">
              <w:marLeft w:val="0"/>
              <w:marRight w:val="0"/>
              <w:marTop w:val="0"/>
              <w:marBottom w:val="0"/>
              <w:divBdr>
                <w:top w:val="none" w:sz="0" w:space="0" w:color="auto"/>
                <w:left w:val="none" w:sz="0" w:space="0" w:color="auto"/>
                <w:bottom w:val="none" w:sz="0" w:space="0" w:color="auto"/>
                <w:right w:val="none" w:sz="0" w:space="0" w:color="auto"/>
              </w:divBdr>
            </w:div>
            <w:div w:id="1733042450">
              <w:marLeft w:val="0"/>
              <w:marRight w:val="0"/>
              <w:marTop w:val="0"/>
              <w:marBottom w:val="0"/>
              <w:divBdr>
                <w:top w:val="none" w:sz="0" w:space="0" w:color="auto"/>
                <w:left w:val="none" w:sz="0" w:space="0" w:color="auto"/>
                <w:bottom w:val="none" w:sz="0" w:space="0" w:color="auto"/>
                <w:right w:val="none" w:sz="0" w:space="0" w:color="auto"/>
              </w:divBdr>
            </w:div>
          </w:divsChild>
        </w:div>
        <w:div w:id="963386012">
          <w:marLeft w:val="0"/>
          <w:marRight w:val="0"/>
          <w:marTop w:val="0"/>
          <w:marBottom w:val="0"/>
          <w:divBdr>
            <w:top w:val="none" w:sz="0" w:space="0" w:color="auto"/>
            <w:left w:val="none" w:sz="0" w:space="0" w:color="auto"/>
            <w:bottom w:val="none" w:sz="0" w:space="0" w:color="auto"/>
            <w:right w:val="none" w:sz="0" w:space="0" w:color="auto"/>
          </w:divBdr>
          <w:divsChild>
            <w:div w:id="1802845690">
              <w:marLeft w:val="0"/>
              <w:marRight w:val="0"/>
              <w:marTop w:val="0"/>
              <w:marBottom w:val="0"/>
              <w:divBdr>
                <w:top w:val="none" w:sz="0" w:space="0" w:color="auto"/>
                <w:left w:val="none" w:sz="0" w:space="0" w:color="auto"/>
                <w:bottom w:val="none" w:sz="0" w:space="0" w:color="auto"/>
                <w:right w:val="none" w:sz="0" w:space="0" w:color="auto"/>
              </w:divBdr>
            </w:div>
          </w:divsChild>
        </w:div>
        <w:div w:id="994719818">
          <w:marLeft w:val="0"/>
          <w:marRight w:val="0"/>
          <w:marTop w:val="0"/>
          <w:marBottom w:val="0"/>
          <w:divBdr>
            <w:top w:val="none" w:sz="0" w:space="0" w:color="auto"/>
            <w:left w:val="none" w:sz="0" w:space="0" w:color="auto"/>
            <w:bottom w:val="none" w:sz="0" w:space="0" w:color="auto"/>
            <w:right w:val="none" w:sz="0" w:space="0" w:color="auto"/>
          </w:divBdr>
          <w:divsChild>
            <w:div w:id="1379353549">
              <w:marLeft w:val="0"/>
              <w:marRight w:val="0"/>
              <w:marTop w:val="0"/>
              <w:marBottom w:val="0"/>
              <w:divBdr>
                <w:top w:val="none" w:sz="0" w:space="0" w:color="auto"/>
                <w:left w:val="none" w:sz="0" w:space="0" w:color="auto"/>
                <w:bottom w:val="none" w:sz="0" w:space="0" w:color="auto"/>
                <w:right w:val="none" w:sz="0" w:space="0" w:color="auto"/>
              </w:divBdr>
            </w:div>
          </w:divsChild>
        </w:div>
        <w:div w:id="1011958323">
          <w:marLeft w:val="0"/>
          <w:marRight w:val="0"/>
          <w:marTop w:val="0"/>
          <w:marBottom w:val="0"/>
          <w:divBdr>
            <w:top w:val="none" w:sz="0" w:space="0" w:color="auto"/>
            <w:left w:val="none" w:sz="0" w:space="0" w:color="auto"/>
            <w:bottom w:val="none" w:sz="0" w:space="0" w:color="auto"/>
            <w:right w:val="none" w:sz="0" w:space="0" w:color="auto"/>
          </w:divBdr>
          <w:divsChild>
            <w:div w:id="266696533">
              <w:marLeft w:val="0"/>
              <w:marRight w:val="0"/>
              <w:marTop w:val="0"/>
              <w:marBottom w:val="0"/>
              <w:divBdr>
                <w:top w:val="none" w:sz="0" w:space="0" w:color="auto"/>
                <w:left w:val="none" w:sz="0" w:space="0" w:color="auto"/>
                <w:bottom w:val="none" w:sz="0" w:space="0" w:color="auto"/>
                <w:right w:val="none" w:sz="0" w:space="0" w:color="auto"/>
              </w:divBdr>
            </w:div>
            <w:div w:id="632517788">
              <w:marLeft w:val="0"/>
              <w:marRight w:val="0"/>
              <w:marTop w:val="0"/>
              <w:marBottom w:val="0"/>
              <w:divBdr>
                <w:top w:val="none" w:sz="0" w:space="0" w:color="auto"/>
                <w:left w:val="none" w:sz="0" w:space="0" w:color="auto"/>
                <w:bottom w:val="none" w:sz="0" w:space="0" w:color="auto"/>
                <w:right w:val="none" w:sz="0" w:space="0" w:color="auto"/>
              </w:divBdr>
            </w:div>
            <w:div w:id="826432936">
              <w:marLeft w:val="0"/>
              <w:marRight w:val="0"/>
              <w:marTop w:val="0"/>
              <w:marBottom w:val="0"/>
              <w:divBdr>
                <w:top w:val="none" w:sz="0" w:space="0" w:color="auto"/>
                <w:left w:val="none" w:sz="0" w:space="0" w:color="auto"/>
                <w:bottom w:val="none" w:sz="0" w:space="0" w:color="auto"/>
                <w:right w:val="none" w:sz="0" w:space="0" w:color="auto"/>
              </w:divBdr>
            </w:div>
            <w:div w:id="949165834">
              <w:marLeft w:val="0"/>
              <w:marRight w:val="0"/>
              <w:marTop w:val="0"/>
              <w:marBottom w:val="0"/>
              <w:divBdr>
                <w:top w:val="none" w:sz="0" w:space="0" w:color="auto"/>
                <w:left w:val="none" w:sz="0" w:space="0" w:color="auto"/>
                <w:bottom w:val="none" w:sz="0" w:space="0" w:color="auto"/>
                <w:right w:val="none" w:sz="0" w:space="0" w:color="auto"/>
              </w:divBdr>
            </w:div>
            <w:div w:id="962150029">
              <w:marLeft w:val="0"/>
              <w:marRight w:val="0"/>
              <w:marTop w:val="0"/>
              <w:marBottom w:val="0"/>
              <w:divBdr>
                <w:top w:val="none" w:sz="0" w:space="0" w:color="auto"/>
                <w:left w:val="none" w:sz="0" w:space="0" w:color="auto"/>
                <w:bottom w:val="none" w:sz="0" w:space="0" w:color="auto"/>
                <w:right w:val="none" w:sz="0" w:space="0" w:color="auto"/>
              </w:divBdr>
            </w:div>
            <w:div w:id="1155222569">
              <w:marLeft w:val="0"/>
              <w:marRight w:val="0"/>
              <w:marTop w:val="0"/>
              <w:marBottom w:val="0"/>
              <w:divBdr>
                <w:top w:val="none" w:sz="0" w:space="0" w:color="auto"/>
                <w:left w:val="none" w:sz="0" w:space="0" w:color="auto"/>
                <w:bottom w:val="none" w:sz="0" w:space="0" w:color="auto"/>
                <w:right w:val="none" w:sz="0" w:space="0" w:color="auto"/>
              </w:divBdr>
            </w:div>
            <w:div w:id="1394279989">
              <w:marLeft w:val="0"/>
              <w:marRight w:val="0"/>
              <w:marTop w:val="0"/>
              <w:marBottom w:val="0"/>
              <w:divBdr>
                <w:top w:val="none" w:sz="0" w:space="0" w:color="auto"/>
                <w:left w:val="none" w:sz="0" w:space="0" w:color="auto"/>
                <w:bottom w:val="none" w:sz="0" w:space="0" w:color="auto"/>
                <w:right w:val="none" w:sz="0" w:space="0" w:color="auto"/>
              </w:divBdr>
            </w:div>
            <w:div w:id="1498303160">
              <w:marLeft w:val="0"/>
              <w:marRight w:val="0"/>
              <w:marTop w:val="0"/>
              <w:marBottom w:val="0"/>
              <w:divBdr>
                <w:top w:val="none" w:sz="0" w:space="0" w:color="auto"/>
                <w:left w:val="none" w:sz="0" w:space="0" w:color="auto"/>
                <w:bottom w:val="none" w:sz="0" w:space="0" w:color="auto"/>
                <w:right w:val="none" w:sz="0" w:space="0" w:color="auto"/>
              </w:divBdr>
            </w:div>
            <w:div w:id="1678800740">
              <w:marLeft w:val="0"/>
              <w:marRight w:val="0"/>
              <w:marTop w:val="0"/>
              <w:marBottom w:val="0"/>
              <w:divBdr>
                <w:top w:val="none" w:sz="0" w:space="0" w:color="auto"/>
                <w:left w:val="none" w:sz="0" w:space="0" w:color="auto"/>
                <w:bottom w:val="none" w:sz="0" w:space="0" w:color="auto"/>
                <w:right w:val="none" w:sz="0" w:space="0" w:color="auto"/>
              </w:divBdr>
            </w:div>
            <w:div w:id="1802529368">
              <w:marLeft w:val="0"/>
              <w:marRight w:val="0"/>
              <w:marTop w:val="0"/>
              <w:marBottom w:val="0"/>
              <w:divBdr>
                <w:top w:val="none" w:sz="0" w:space="0" w:color="auto"/>
                <w:left w:val="none" w:sz="0" w:space="0" w:color="auto"/>
                <w:bottom w:val="none" w:sz="0" w:space="0" w:color="auto"/>
                <w:right w:val="none" w:sz="0" w:space="0" w:color="auto"/>
              </w:divBdr>
            </w:div>
          </w:divsChild>
        </w:div>
        <w:div w:id="1015378642">
          <w:marLeft w:val="0"/>
          <w:marRight w:val="0"/>
          <w:marTop w:val="0"/>
          <w:marBottom w:val="0"/>
          <w:divBdr>
            <w:top w:val="none" w:sz="0" w:space="0" w:color="auto"/>
            <w:left w:val="none" w:sz="0" w:space="0" w:color="auto"/>
            <w:bottom w:val="none" w:sz="0" w:space="0" w:color="auto"/>
            <w:right w:val="none" w:sz="0" w:space="0" w:color="auto"/>
          </w:divBdr>
          <w:divsChild>
            <w:div w:id="1032414427">
              <w:marLeft w:val="0"/>
              <w:marRight w:val="0"/>
              <w:marTop w:val="0"/>
              <w:marBottom w:val="0"/>
              <w:divBdr>
                <w:top w:val="none" w:sz="0" w:space="0" w:color="auto"/>
                <w:left w:val="none" w:sz="0" w:space="0" w:color="auto"/>
                <w:bottom w:val="none" w:sz="0" w:space="0" w:color="auto"/>
                <w:right w:val="none" w:sz="0" w:space="0" w:color="auto"/>
              </w:divBdr>
            </w:div>
          </w:divsChild>
        </w:div>
        <w:div w:id="1024015972">
          <w:marLeft w:val="0"/>
          <w:marRight w:val="0"/>
          <w:marTop w:val="0"/>
          <w:marBottom w:val="0"/>
          <w:divBdr>
            <w:top w:val="none" w:sz="0" w:space="0" w:color="auto"/>
            <w:left w:val="none" w:sz="0" w:space="0" w:color="auto"/>
            <w:bottom w:val="none" w:sz="0" w:space="0" w:color="auto"/>
            <w:right w:val="none" w:sz="0" w:space="0" w:color="auto"/>
          </w:divBdr>
          <w:divsChild>
            <w:div w:id="1810980085">
              <w:marLeft w:val="0"/>
              <w:marRight w:val="0"/>
              <w:marTop w:val="0"/>
              <w:marBottom w:val="0"/>
              <w:divBdr>
                <w:top w:val="none" w:sz="0" w:space="0" w:color="auto"/>
                <w:left w:val="none" w:sz="0" w:space="0" w:color="auto"/>
                <w:bottom w:val="none" w:sz="0" w:space="0" w:color="auto"/>
                <w:right w:val="none" w:sz="0" w:space="0" w:color="auto"/>
              </w:divBdr>
            </w:div>
          </w:divsChild>
        </w:div>
        <w:div w:id="1060904438">
          <w:marLeft w:val="0"/>
          <w:marRight w:val="0"/>
          <w:marTop w:val="0"/>
          <w:marBottom w:val="0"/>
          <w:divBdr>
            <w:top w:val="none" w:sz="0" w:space="0" w:color="auto"/>
            <w:left w:val="none" w:sz="0" w:space="0" w:color="auto"/>
            <w:bottom w:val="none" w:sz="0" w:space="0" w:color="auto"/>
            <w:right w:val="none" w:sz="0" w:space="0" w:color="auto"/>
          </w:divBdr>
          <w:divsChild>
            <w:div w:id="1779987743">
              <w:marLeft w:val="0"/>
              <w:marRight w:val="0"/>
              <w:marTop w:val="0"/>
              <w:marBottom w:val="0"/>
              <w:divBdr>
                <w:top w:val="none" w:sz="0" w:space="0" w:color="auto"/>
                <w:left w:val="none" w:sz="0" w:space="0" w:color="auto"/>
                <w:bottom w:val="none" w:sz="0" w:space="0" w:color="auto"/>
                <w:right w:val="none" w:sz="0" w:space="0" w:color="auto"/>
              </w:divBdr>
            </w:div>
          </w:divsChild>
        </w:div>
        <w:div w:id="1079868970">
          <w:marLeft w:val="0"/>
          <w:marRight w:val="0"/>
          <w:marTop w:val="0"/>
          <w:marBottom w:val="0"/>
          <w:divBdr>
            <w:top w:val="none" w:sz="0" w:space="0" w:color="auto"/>
            <w:left w:val="none" w:sz="0" w:space="0" w:color="auto"/>
            <w:bottom w:val="none" w:sz="0" w:space="0" w:color="auto"/>
            <w:right w:val="none" w:sz="0" w:space="0" w:color="auto"/>
          </w:divBdr>
          <w:divsChild>
            <w:div w:id="1850830635">
              <w:marLeft w:val="0"/>
              <w:marRight w:val="0"/>
              <w:marTop w:val="0"/>
              <w:marBottom w:val="0"/>
              <w:divBdr>
                <w:top w:val="none" w:sz="0" w:space="0" w:color="auto"/>
                <w:left w:val="none" w:sz="0" w:space="0" w:color="auto"/>
                <w:bottom w:val="none" w:sz="0" w:space="0" w:color="auto"/>
                <w:right w:val="none" w:sz="0" w:space="0" w:color="auto"/>
              </w:divBdr>
            </w:div>
            <w:div w:id="2095663618">
              <w:marLeft w:val="0"/>
              <w:marRight w:val="0"/>
              <w:marTop w:val="0"/>
              <w:marBottom w:val="0"/>
              <w:divBdr>
                <w:top w:val="none" w:sz="0" w:space="0" w:color="auto"/>
                <w:left w:val="none" w:sz="0" w:space="0" w:color="auto"/>
                <w:bottom w:val="none" w:sz="0" w:space="0" w:color="auto"/>
                <w:right w:val="none" w:sz="0" w:space="0" w:color="auto"/>
              </w:divBdr>
            </w:div>
          </w:divsChild>
        </w:div>
        <w:div w:id="1091856698">
          <w:marLeft w:val="0"/>
          <w:marRight w:val="0"/>
          <w:marTop w:val="0"/>
          <w:marBottom w:val="0"/>
          <w:divBdr>
            <w:top w:val="none" w:sz="0" w:space="0" w:color="auto"/>
            <w:left w:val="none" w:sz="0" w:space="0" w:color="auto"/>
            <w:bottom w:val="none" w:sz="0" w:space="0" w:color="auto"/>
            <w:right w:val="none" w:sz="0" w:space="0" w:color="auto"/>
          </w:divBdr>
          <w:divsChild>
            <w:div w:id="610432720">
              <w:marLeft w:val="0"/>
              <w:marRight w:val="0"/>
              <w:marTop w:val="0"/>
              <w:marBottom w:val="0"/>
              <w:divBdr>
                <w:top w:val="none" w:sz="0" w:space="0" w:color="auto"/>
                <w:left w:val="none" w:sz="0" w:space="0" w:color="auto"/>
                <w:bottom w:val="none" w:sz="0" w:space="0" w:color="auto"/>
                <w:right w:val="none" w:sz="0" w:space="0" w:color="auto"/>
              </w:divBdr>
            </w:div>
          </w:divsChild>
        </w:div>
        <w:div w:id="1143354020">
          <w:marLeft w:val="0"/>
          <w:marRight w:val="0"/>
          <w:marTop w:val="0"/>
          <w:marBottom w:val="0"/>
          <w:divBdr>
            <w:top w:val="none" w:sz="0" w:space="0" w:color="auto"/>
            <w:left w:val="none" w:sz="0" w:space="0" w:color="auto"/>
            <w:bottom w:val="none" w:sz="0" w:space="0" w:color="auto"/>
            <w:right w:val="none" w:sz="0" w:space="0" w:color="auto"/>
          </w:divBdr>
          <w:divsChild>
            <w:div w:id="2114087335">
              <w:marLeft w:val="0"/>
              <w:marRight w:val="0"/>
              <w:marTop w:val="0"/>
              <w:marBottom w:val="0"/>
              <w:divBdr>
                <w:top w:val="none" w:sz="0" w:space="0" w:color="auto"/>
                <w:left w:val="none" w:sz="0" w:space="0" w:color="auto"/>
                <w:bottom w:val="none" w:sz="0" w:space="0" w:color="auto"/>
                <w:right w:val="none" w:sz="0" w:space="0" w:color="auto"/>
              </w:divBdr>
            </w:div>
          </w:divsChild>
        </w:div>
        <w:div w:id="1160536229">
          <w:marLeft w:val="0"/>
          <w:marRight w:val="0"/>
          <w:marTop w:val="0"/>
          <w:marBottom w:val="0"/>
          <w:divBdr>
            <w:top w:val="none" w:sz="0" w:space="0" w:color="auto"/>
            <w:left w:val="none" w:sz="0" w:space="0" w:color="auto"/>
            <w:bottom w:val="none" w:sz="0" w:space="0" w:color="auto"/>
            <w:right w:val="none" w:sz="0" w:space="0" w:color="auto"/>
          </w:divBdr>
          <w:divsChild>
            <w:div w:id="191505224">
              <w:marLeft w:val="0"/>
              <w:marRight w:val="0"/>
              <w:marTop w:val="0"/>
              <w:marBottom w:val="0"/>
              <w:divBdr>
                <w:top w:val="none" w:sz="0" w:space="0" w:color="auto"/>
                <w:left w:val="none" w:sz="0" w:space="0" w:color="auto"/>
                <w:bottom w:val="none" w:sz="0" w:space="0" w:color="auto"/>
                <w:right w:val="none" w:sz="0" w:space="0" w:color="auto"/>
              </w:divBdr>
            </w:div>
            <w:div w:id="274676398">
              <w:marLeft w:val="0"/>
              <w:marRight w:val="0"/>
              <w:marTop w:val="0"/>
              <w:marBottom w:val="0"/>
              <w:divBdr>
                <w:top w:val="none" w:sz="0" w:space="0" w:color="auto"/>
                <w:left w:val="none" w:sz="0" w:space="0" w:color="auto"/>
                <w:bottom w:val="none" w:sz="0" w:space="0" w:color="auto"/>
                <w:right w:val="none" w:sz="0" w:space="0" w:color="auto"/>
              </w:divBdr>
            </w:div>
            <w:div w:id="520555951">
              <w:marLeft w:val="0"/>
              <w:marRight w:val="0"/>
              <w:marTop w:val="0"/>
              <w:marBottom w:val="0"/>
              <w:divBdr>
                <w:top w:val="none" w:sz="0" w:space="0" w:color="auto"/>
                <w:left w:val="none" w:sz="0" w:space="0" w:color="auto"/>
                <w:bottom w:val="none" w:sz="0" w:space="0" w:color="auto"/>
                <w:right w:val="none" w:sz="0" w:space="0" w:color="auto"/>
              </w:divBdr>
            </w:div>
            <w:div w:id="899948977">
              <w:marLeft w:val="0"/>
              <w:marRight w:val="0"/>
              <w:marTop w:val="0"/>
              <w:marBottom w:val="0"/>
              <w:divBdr>
                <w:top w:val="none" w:sz="0" w:space="0" w:color="auto"/>
                <w:left w:val="none" w:sz="0" w:space="0" w:color="auto"/>
                <w:bottom w:val="none" w:sz="0" w:space="0" w:color="auto"/>
                <w:right w:val="none" w:sz="0" w:space="0" w:color="auto"/>
              </w:divBdr>
            </w:div>
            <w:div w:id="1398356683">
              <w:marLeft w:val="0"/>
              <w:marRight w:val="0"/>
              <w:marTop w:val="0"/>
              <w:marBottom w:val="0"/>
              <w:divBdr>
                <w:top w:val="none" w:sz="0" w:space="0" w:color="auto"/>
                <w:left w:val="none" w:sz="0" w:space="0" w:color="auto"/>
                <w:bottom w:val="none" w:sz="0" w:space="0" w:color="auto"/>
                <w:right w:val="none" w:sz="0" w:space="0" w:color="auto"/>
              </w:divBdr>
            </w:div>
            <w:div w:id="1475492407">
              <w:marLeft w:val="0"/>
              <w:marRight w:val="0"/>
              <w:marTop w:val="0"/>
              <w:marBottom w:val="0"/>
              <w:divBdr>
                <w:top w:val="none" w:sz="0" w:space="0" w:color="auto"/>
                <w:left w:val="none" w:sz="0" w:space="0" w:color="auto"/>
                <w:bottom w:val="none" w:sz="0" w:space="0" w:color="auto"/>
                <w:right w:val="none" w:sz="0" w:space="0" w:color="auto"/>
              </w:divBdr>
            </w:div>
            <w:div w:id="1606881163">
              <w:marLeft w:val="0"/>
              <w:marRight w:val="0"/>
              <w:marTop w:val="0"/>
              <w:marBottom w:val="0"/>
              <w:divBdr>
                <w:top w:val="none" w:sz="0" w:space="0" w:color="auto"/>
                <w:left w:val="none" w:sz="0" w:space="0" w:color="auto"/>
                <w:bottom w:val="none" w:sz="0" w:space="0" w:color="auto"/>
                <w:right w:val="none" w:sz="0" w:space="0" w:color="auto"/>
              </w:divBdr>
            </w:div>
            <w:div w:id="1665624682">
              <w:marLeft w:val="0"/>
              <w:marRight w:val="0"/>
              <w:marTop w:val="0"/>
              <w:marBottom w:val="0"/>
              <w:divBdr>
                <w:top w:val="none" w:sz="0" w:space="0" w:color="auto"/>
                <w:left w:val="none" w:sz="0" w:space="0" w:color="auto"/>
                <w:bottom w:val="none" w:sz="0" w:space="0" w:color="auto"/>
                <w:right w:val="none" w:sz="0" w:space="0" w:color="auto"/>
              </w:divBdr>
            </w:div>
          </w:divsChild>
        </w:div>
        <w:div w:id="1166478426">
          <w:marLeft w:val="0"/>
          <w:marRight w:val="0"/>
          <w:marTop w:val="0"/>
          <w:marBottom w:val="0"/>
          <w:divBdr>
            <w:top w:val="none" w:sz="0" w:space="0" w:color="auto"/>
            <w:left w:val="none" w:sz="0" w:space="0" w:color="auto"/>
            <w:bottom w:val="none" w:sz="0" w:space="0" w:color="auto"/>
            <w:right w:val="none" w:sz="0" w:space="0" w:color="auto"/>
          </w:divBdr>
          <w:divsChild>
            <w:div w:id="433983477">
              <w:marLeft w:val="0"/>
              <w:marRight w:val="0"/>
              <w:marTop w:val="0"/>
              <w:marBottom w:val="0"/>
              <w:divBdr>
                <w:top w:val="none" w:sz="0" w:space="0" w:color="auto"/>
                <w:left w:val="none" w:sz="0" w:space="0" w:color="auto"/>
                <w:bottom w:val="none" w:sz="0" w:space="0" w:color="auto"/>
                <w:right w:val="none" w:sz="0" w:space="0" w:color="auto"/>
              </w:divBdr>
            </w:div>
          </w:divsChild>
        </w:div>
        <w:div w:id="1217357465">
          <w:marLeft w:val="0"/>
          <w:marRight w:val="0"/>
          <w:marTop w:val="0"/>
          <w:marBottom w:val="0"/>
          <w:divBdr>
            <w:top w:val="none" w:sz="0" w:space="0" w:color="auto"/>
            <w:left w:val="none" w:sz="0" w:space="0" w:color="auto"/>
            <w:bottom w:val="none" w:sz="0" w:space="0" w:color="auto"/>
            <w:right w:val="none" w:sz="0" w:space="0" w:color="auto"/>
          </w:divBdr>
          <w:divsChild>
            <w:div w:id="1437864730">
              <w:marLeft w:val="0"/>
              <w:marRight w:val="0"/>
              <w:marTop w:val="0"/>
              <w:marBottom w:val="0"/>
              <w:divBdr>
                <w:top w:val="none" w:sz="0" w:space="0" w:color="auto"/>
                <w:left w:val="none" w:sz="0" w:space="0" w:color="auto"/>
                <w:bottom w:val="none" w:sz="0" w:space="0" w:color="auto"/>
                <w:right w:val="none" w:sz="0" w:space="0" w:color="auto"/>
              </w:divBdr>
            </w:div>
          </w:divsChild>
        </w:div>
        <w:div w:id="1228110244">
          <w:marLeft w:val="0"/>
          <w:marRight w:val="0"/>
          <w:marTop w:val="0"/>
          <w:marBottom w:val="0"/>
          <w:divBdr>
            <w:top w:val="none" w:sz="0" w:space="0" w:color="auto"/>
            <w:left w:val="none" w:sz="0" w:space="0" w:color="auto"/>
            <w:bottom w:val="none" w:sz="0" w:space="0" w:color="auto"/>
            <w:right w:val="none" w:sz="0" w:space="0" w:color="auto"/>
          </w:divBdr>
          <w:divsChild>
            <w:div w:id="1718967331">
              <w:marLeft w:val="0"/>
              <w:marRight w:val="0"/>
              <w:marTop w:val="0"/>
              <w:marBottom w:val="0"/>
              <w:divBdr>
                <w:top w:val="none" w:sz="0" w:space="0" w:color="auto"/>
                <w:left w:val="none" w:sz="0" w:space="0" w:color="auto"/>
                <w:bottom w:val="none" w:sz="0" w:space="0" w:color="auto"/>
                <w:right w:val="none" w:sz="0" w:space="0" w:color="auto"/>
              </w:divBdr>
            </w:div>
          </w:divsChild>
        </w:div>
        <w:div w:id="1250041464">
          <w:marLeft w:val="0"/>
          <w:marRight w:val="0"/>
          <w:marTop w:val="0"/>
          <w:marBottom w:val="0"/>
          <w:divBdr>
            <w:top w:val="none" w:sz="0" w:space="0" w:color="auto"/>
            <w:left w:val="none" w:sz="0" w:space="0" w:color="auto"/>
            <w:bottom w:val="none" w:sz="0" w:space="0" w:color="auto"/>
            <w:right w:val="none" w:sz="0" w:space="0" w:color="auto"/>
          </w:divBdr>
          <w:divsChild>
            <w:div w:id="622229861">
              <w:marLeft w:val="0"/>
              <w:marRight w:val="0"/>
              <w:marTop w:val="0"/>
              <w:marBottom w:val="0"/>
              <w:divBdr>
                <w:top w:val="none" w:sz="0" w:space="0" w:color="auto"/>
                <w:left w:val="none" w:sz="0" w:space="0" w:color="auto"/>
                <w:bottom w:val="none" w:sz="0" w:space="0" w:color="auto"/>
                <w:right w:val="none" w:sz="0" w:space="0" w:color="auto"/>
              </w:divBdr>
            </w:div>
          </w:divsChild>
        </w:div>
        <w:div w:id="1251083641">
          <w:marLeft w:val="0"/>
          <w:marRight w:val="0"/>
          <w:marTop w:val="0"/>
          <w:marBottom w:val="0"/>
          <w:divBdr>
            <w:top w:val="none" w:sz="0" w:space="0" w:color="auto"/>
            <w:left w:val="none" w:sz="0" w:space="0" w:color="auto"/>
            <w:bottom w:val="none" w:sz="0" w:space="0" w:color="auto"/>
            <w:right w:val="none" w:sz="0" w:space="0" w:color="auto"/>
          </w:divBdr>
          <w:divsChild>
            <w:div w:id="1361736170">
              <w:marLeft w:val="0"/>
              <w:marRight w:val="0"/>
              <w:marTop w:val="0"/>
              <w:marBottom w:val="0"/>
              <w:divBdr>
                <w:top w:val="none" w:sz="0" w:space="0" w:color="auto"/>
                <w:left w:val="none" w:sz="0" w:space="0" w:color="auto"/>
                <w:bottom w:val="none" w:sz="0" w:space="0" w:color="auto"/>
                <w:right w:val="none" w:sz="0" w:space="0" w:color="auto"/>
              </w:divBdr>
            </w:div>
          </w:divsChild>
        </w:div>
        <w:div w:id="1279289230">
          <w:marLeft w:val="0"/>
          <w:marRight w:val="0"/>
          <w:marTop w:val="0"/>
          <w:marBottom w:val="0"/>
          <w:divBdr>
            <w:top w:val="none" w:sz="0" w:space="0" w:color="auto"/>
            <w:left w:val="none" w:sz="0" w:space="0" w:color="auto"/>
            <w:bottom w:val="none" w:sz="0" w:space="0" w:color="auto"/>
            <w:right w:val="none" w:sz="0" w:space="0" w:color="auto"/>
          </w:divBdr>
          <w:divsChild>
            <w:div w:id="1215309031">
              <w:marLeft w:val="0"/>
              <w:marRight w:val="0"/>
              <w:marTop w:val="0"/>
              <w:marBottom w:val="0"/>
              <w:divBdr>
                <w:top w:val="none" w:sz="0" w:space="0" w:color="auto"/>
                <w:left w:val="none" w:sz="0" w:space="0" w:color="auto"/>
                <w:bottom w:val="none" w:sz="0" w:space="0" w:color="auto"/>
                <w:right w:val="none" w:sz="0" w:space="0" w:color="auto"/>
              </w:divBdr>
            </w:div>
          </w:divsChild>
        </w:div>
        <w:div w:id="1340698890">
          <w:marLeft w:val="0"/>
          <w:marRight w:val="0"/>
          <w:marTop w:val="0"/>
          <w:marBottom w:val="0"/>
          <w:divBdr>
            <w:top w:val="none" w:sz="0" w:space="0" w:color="auto"/>
            <w:left w:val="none" w:sz="0" w:space="0" w:color="auto"/>
            <w:bottom w:val="none" w:sz="0" w:space="0" w:color="auto"/>
            <w:right w:val="none" w:sz="0" w:space="0" w:color="auto"/>
          </w:divBdr>
          <w:divsChild>
            <w:div w:id="1866868607">
              <w:marLeft w:val="0"/>
              <w:marRight w:val="0"/>
              <w:marTop w:val="0"/>
              <w:marBottom w:val="0"/>
              <w:divBdr>
                <w:top w:val="none" w:sz="0" w:space="0" w:color="auto"/>
                <w:left w:val="none" w:sz="0" w:space="0" w:color="auto"/>
                <w:bottom w:val="none" w:sz="0" w:space="0" w:color="auto"/>
                <w:right w:val="none" w:sz="0" w:space="0" w:color="auto"/>
              </w:divBdr>
            </w:div>
          </w:divsChild>
        </w:div>
        <w:div w:id="1399281386">
          <w:marLeft w:val="0"/>
          <w:marRight w:val="0"/>
          <w:marTop w:val="0"/>
          <w:marBottom w:val="0"/>
          <w:divBdr>
            <w:top w:val="none" w:sz="0" w:space="0" w:color="auto"/>
            <w:left w:val="none" w:sz="0" w:space="0" w:color="auto"/>
            <w:bottom w:val="none" w:sz="0" w:space="0" w:color="auto"/>
            <w:right w:val="none" w:sz="0" w:space="0" w:color="auto"/>
          </w:divBdr>
          <w:divsChild>
            <w:div w:id="1988850224">
              <w:marLeft w:val="0"/>
              <w:marRight w:val="0"/>
              <w:marTop w:val="0"/>
              <w:marBottom w:val="0"/>
              <w:divBdr>
                <w:top w:val="none" w:sz="0" w:space="0" w:color="auto"/>
                <w:left w:val="none" w:sz="0" w:space="0" w:color="auto"/>
                <w:bottom w:val="none" w:sz="0" w:space="0" w:color="auto"/>
                <w:right w:val="none" w:sz="0" w:space="0" w:color="auto"/>
              </w:divBdr>
            </w:div>
          </w:divsChild>
        </w:div>
        <w:div w:id="1407727181">
          <w:marLeft w:val="0"/>
          <w:marRight w:val="0"/>
          <w:marTop w:val="0"/>
          <w:marBottom w:val="0"/>
          <w:divBdr>
            <w:top w:val="none" w:sz="0" w:space="0" w:color="auto"/>
            <w:left w:val="none" w:sz="0" w:space="0" w:color="auto"/>
            <w:bottom w:val="none" w:sz="0" w:space="0" w:color="auto"/>
            <w:right w:val="none" w:sz="0" w:space="0" w:color="auto"/>
          </w:divBdr>
          <w:divsChild>
            <w:div w:id="63836757">
              <w:marLeft w:val="0"/>
              <w:marRight w:val="0"/>
              <w:marTop w:val="0"/>
              <w:marBottom w:val="0"/>
              <w:divBdr>
                <w:top w:val="none" w:sz="0" w:space="0" w:color="auto"/>
                <w:left w:val="none" w:sz="0" w:space="0" w:color="auto"/>
                <w:bottom w:val="none" w:sz="0" w:space="0" w:color="auto"/>
                <w:right w:val="none" w:sz="0" w:space="0" w:color="auto"/>
              </w:divBdr>
            </w:div>
          </w:divsChild>
        </w:div>
        <w:div w:id="1470786702">
          <w:marLeft w:val="0"/>
          <w:marRight w:val="0"/>
          <w:marTop w:val="0"/>
          <w:marBottom w:val="0"/>
          <w:divBdr>
            <w:top w:val="none" w:sz="0" w:space="0" w:color="auto"/>
            <w:left w:val="none" w:sz="0" w:space="0" w:color="auto"/>
            <w:bottom w:val="none" w:sz="0" w:space="0" w:color="auto"/>
            <w:right w:val="none" w:sz="0" w:space="0" w:color="auto"/>
          </w:divBdr>
          <w:divsChild>
            <w:div w:id="1423796307">
              <w:marLeft w:val="0"/>
              <w:marRight w:val="0"/>
              <w:marTop w:val="0"/>
              <w:marBottom w:val="0"/>
              <w:divBdr>
                <w:top w:val="none" w:sz="0" w:space="0" w:color="auto"/>
                <w:left w:val="none" w:sz="0" w:space="0" w:color="auto"/>
                <w:bottom w:val="none" w:sz="0" w:space="0" w:color="auto"/>
                <w:right w:val="none" w:sz="0" w:space="0" w:color="auto"/>
              </w:divBdr>
            </w:div>
          </w:divsChild>
        </w:div>
        <w:div w:id="1477868225">
          <w:marLeft w:val="0"/>
          <w:marRight w:val="0"/>
          <w:marTop w:val="0"/>
          <w:marBottom w:val="0"/>
          <w:divBdr>
            <w:top w:val="none" w:sz="0" w:space="0" w:color="auto"/>
            <w:left w:val="none" w:sz="0" w:space="0" w:color="auto"/>
            <w:bottom w:val="none" w:sz="0" w:space="0" w:color="auto"/>
            <w:right w:val="none" w:sz="0" w:space="0" w:color="auto"/>
          </w:divBdr>
          <w:divsChild>
            <w:div w:id="337124231">
              <w:marLeft w:val="0"/>
              <w:marRight w:val="0"/>
              <w:marTop w:val="0"/>
              <w:marBottom w:val="0"/>
              <w:divBdr>
                <w:top w:val="none" w:sz="0" w:space="0" w:color="auto"/>
                <w:left w:val="none" w:sz="0" w:space="0" w:color="auto"/>
                <w:bottom w:val="none" w:sz="0" w:space="0" w:color="auto"/>
                <w:right w:val="none" w:sz="0" w:space="0" w:color="auto"/>
              </w:divBdr>
            </w:div>
            <w:div w:id="362747506">
              <w:marLeft w:val="0"/>
              <w:marRight w:val="0"/>
              <w:marTop w:val="0"/>
              <w:marBottom w:val="0"/>
              <w:divBdr>
                <w:top w:val="none" w:sz="0" w:space="0" w:color="auto"/>
                <w:left w:val="none" w:sz="0" w:space="0" w:color="auto"/>
                <w:bottom w:val="none" w:sz="0" w:space="0" w:color="auto"/>
                <w:right w:val="none" w:sz="0" w:space="0" w:color="auto"/>
              </w:divBdr>
            </w:div>
            <w:div w:id="444814479">
              <w:marLeft w:val="0"/>
              <w:marRight w:val="0"/>
              <w:marTop w:val="0"/>
              <w:marBottom w:val="0"/>
              <w:divBdr>
                <w:top w:val="none" w:sz="0" w:space="0" w:color="auto"/>
                <w:left w:val="none" w:sz="0" w:space="0" w:color="auto"/>
                <w:bottom w:val="none" w:sz="0" w:space="0" w:color="auto"/>
                <w:right w:val="none" w:sz="0" w:space="0" w:color="auto"/>
              </w:divBdr>
            </w:div>
            <w:div w:id="607006469">
              <w:marLeft w:val="0"/>
              <w:marRight w:val="0"/>
              <w:marTop w:val="0"/>
              <w:marBottom w:val="0"/>
              <w:divBdr>
                <w:top w:val="none" w:sz="0" w:space="0" w:color="auto"/>
                <w:left w:val="none" w:sz="0" w:space="0" w:color="auto"/>
                <w:bottom w:val="none" w:sz="0" w:space="0" w:color="auto"/>
                <w:right w:val="none" w:sz="0" w:space="0" w:color="auto"/>
              </w:divBdr>
            </w:div>
            <w:div w:id="808127920">
              <w:marLeft w:val="0"/>
              <w:marRight w:val="0"/>
              <w:marTop w:val="0"/>
              <w:marBottom w:val="0"/>
              <w:divBdr>
                <w:top w:val="none" w:sz="0" w:space="0" w:color="auto"/>
                <w:left w:val="none" w:sz="0" w:space="0" w:color="auto"/>
                <w:bottom w:val="none" w:sz="0" w:space="0" w:color="auto"/>
                <w:right w:val="none" w:sz="0" w:space="0" w:color="auto"/>
              </w:divBdr>
            </w:div>
            <w:div w:id="900940111">
              <w:marLeft w:val="0"/>
              <w:marRight w:val="0"/>
              <w:marTop w:val="0"/>
              <w:marBottom w:val="0"/>
              <w:divBdr>
                <w:top w:val="none" w:sz="0" w:space="0" w:color="auto"/>
                <w:left w:val="none" w:sz="0" w:space="0" w:color="auto"/>
                <w:bottom w:val="none" w:sz="0" w:space="0" w:color="auto"/>
                <w:right w:val="none" w:sz="0" w:space="0" w:color="auto"/>
              </w:divBdr>
            </w:div>
            <w:div w:id="1829707633">
              <w:marLeft w:val="0"/>
              <w:marRight w:val="0"/>
              <w:marTop w:val="0"/>
              <w:marBottom w:val="0"/>
              <w:divBdr>
                <w:top w:val="none" w:sz="0" w:space="0" w:color="auto"/>
                <w:left w:val="none" w:sz="0" w:space="0" w:color="auto"/>
                <w:bottom w:val="none" w:sz="0" w:space="0" w:color="auto"/>
                <w:right w:val="none" w:sz="0" w:space="0" w:color="auto"/>
              </w:divBdr>
            </w:div>
          </w:divsChild>
        </w:div>
        <w:div w:id="1514683883">
          <w:marLeft w:val="0"/>
          <w:marRight w:val="0"/>
          <w:marTop w:val="0"/>
          <w:marBottom w:val="0"/>
          <w:divBdr>
            <w:top w:val="none" w:sz="0" w:space="0" w:color="auto"/>
            <w:left w:val="none" w:sz="0" w:space="0" w:color="auto"/>
            <w:bottom w:val="none" w:sz="0" w:space="0" w:color="auto"/>
            <w:right w:val="none" w:sz="0" w:space="0" w:color="auto"/>
          </w:divBdr>
          <w:divsChild>
            <w:div w:id="346030919">
              <w:marLeft w:val="0"/>
              <w:marRight w:val="0"/>
              <w:marTop w:val="0"/>
              <w:marBottom w:val="0"/>
              <w:divBdr>
                <w:top w:val="none" w:sz="0" w:space="0" w:color="auto"/>
                <w:left w:val="none" w:sz="0" w:space="0" w:color="auto"/>
                <w:bottom w:val="none" w:sz="0" w:space="0" w:color="auto"/>
                <w:right w:val="none" w:sz="0" w:space="0" w:color="auto"/>
              </w:divBdr>
            </w:div>
            <w:div w:id="465977146">
              <w:marLeft w:val="0"/>
              <w:marRight w:val="0"/>
              <w:marTop w:val="0"/>
              <w:marBottom w:val="0"/>
              <w:divBdr>
                <w:top w:val="none" w:sz="0" w:space="0" w:color="auto"/>
                <w:left w:val="none" w:sz="0" w:space="0" w:color="auto"/>
                <w:bottom w:val="none" w:sz="0" w:space="0" w:color="auto"/>
                <w:right w:val="none" w:sz="0" w:space="0" w:color="auto"/>
              </w:divBdr>
            </w:div>
            <w:div w:id="675888932">
              <w:marLeft w:val="0"/>
              <w:marRight w:val="0"/>
              <w:marTop w:val="0"/>
              <w:marBottom w:val="0"/>
              <w:divBdr>
                <w:top w:val="none" w:sz="0" w:space="0" w:color="auto"/>
                <w:left w:val="none" w:sz="0" w:space="0" w:color="auto"/>
                <w:bottom w:val="none" w:sz="0" w:space="0" w:color="auto"/>
                <w:right w:val="none" w:sz="0" w:space="0" w:color="auto"/>
              </w:divBdr>
            </w:div>
            <w:div w:id="799421044">
              <w:marLeft w:val="0"/>
              <w:marRight w:val="0"/>
              <w:marTop w:val="0"/>
              <w:marBottom w:val="0"/>
              <w:divBdr>
                <w:top w:val="none" w:sz="0" w:space="0" w:color="auto"/>
                <w:left w:val="none" w:sz="0" w:space="0" w:color="auto"/>
                <w:bottom w:val="none" w:sz="0" w:space="0" w:color="auto"/>
                <w:right w:val="none" w:sz="0" w:space="0" w:color="auto"/>
              </w:divBdr>
            </w:div>
            <w:div w:id="935748262">
              <w:marLeft w:val="0"/>
              <w:marRight w:val="0"/>
              <w:marTop w:val="0"/>
              <w:marBottom w:val="0"/>
              <w:divBdr>
                <w:top w:val="none" w:sz="0" w:space="0" w:color="auto"/>
                <w:left w:val="none" w:sz="0" w:space="0" w:color="auto"/>
                <w:bottom w:val="none" w:sz="0" w:space="0" w:color="auto"/>
                <w:right w:val="none" w:sz="0" w:space="0" w:color="auto"/>
              </w:divBdr>
            </w:div>
            <w:div w:id="1421684846">
              <w:marLeft w:val="0"/>
              <w:marRight w:val="0"/>
              <w:marTop w:val="0"/>
              <w:marBottom w:val="0"/>
              <w:divBdr>
                <w:top w:val="none" w:sz="0" w:space="0" w:color="auto"/>
                <w:left w:val="none" w:sz="0" w:space="0" w:color="auto"/>
                <w:bottom w:val="none" w:sz="0" w:space="0" w:color="auto"/>
                <w:right w:val="none" w:sz="0" w:space="0" w:color="auto"/>
              </w:divBdr>
            </w:div>
          </w:divsChild>
        </w:div>
        <w:div w:id="1588997349">
          <w:marLeft w:val="0"/>
          <w:marRight w:val="0"/>
          <w:marTop w:val="0"/>
          <w:marBottom w:val="0"/>
          <w:divBdr>
            <w:top w:val="none" w:sz="0" w:space="0" w:color="auto"/>
            <w:left w:val="none" w:sz="0" w:space="0" w:color="auto"/>
            <w:bottom w:val="none" w:sz="0" w:space="0" w:color="auto"/>
            <w:right w:val="none" w:sz="0" w:space="0" w:color="auto"/>
          </w:divBdr>
          <w:divsChild>
            <w:div w:id="1173447429">
              <w:marLeft w:val="0"/>
              <w:marRight w:val="0"/>
              <w:marTop w:val="0"/>
              <w:marBottom w:val="0"/>
              <w:divBdr>
                <w:top w:val="none" w:sz="0" w:space="0" w:color="auto"/>
                <w:left w:val="none" w:sz="0" w:space="0" w:color="auto"/>
                <w:bottom w:val="none" w:sz="0" w:space="0" w:color="auto"/>
                <w:right w:val="none" w:sz="0" w:space="0" w:color="auto"/>
              </w:divBdr>
            </w:div>
          </w:divsChild>
        </w:div>
        <w:div w:id="1650860737">
          <w:marLeft w:val="0"/>
          <w:marRight w:val="0"/>
          <w:marTop w:val="0"/>
          <w:marBottom w:val="0"/>
          <w:divBdr>
            <w:top w:val="none" w:sz="0" w:space="0" w:color="auto"/>
            <w:left w:val="none" w:sz="0" w:space="0" w:color="auto"/>
            <w:bottom w:val="none" w:sz="0" w:space="0" w:color="auto"/>
            <w:right w:val="none" w:sz="0" w:space="0" w:color="auto"/>
          </w:divBdr>
          <w:divsChild>
            <w:div w:id="820654672">
              <w:marLeft w:val="0"/>
              <w:marRight w:val="0"/>
              <w:marTop w:val="0"/>
              <w:marBottom w:val="0"/>
              <w:divBdr>
                <w:top w:val="none" w:sz="0" w:space="0" w:color="auto"/>
                <w:left w:val="none" w:sz="0" w:space="0" w:color="auto"/>
                <w:bottom w:val="none" w:sz="0" w:space="0" w:color="auto"/>
                <w:right w:val="none" w:sz="0" w:space="0" w:color="auto"/>
              </w:divBdr>
            </w:div>
            <w:div w:id="997151842">
              <w:marLeft w:val="0"/>
              <w:marRight w:val="0"/>
              <w:marTop w:val="0"/>
              <w:marBottom w:val="0"/>
              <w:divBdr>
                <w:top w:val="none" w:sz="0" w:space="0" w:color="auto"/>
                <w:left w:val="none" w:sz="0" w:space="0" w:color="auto"/>
                <w:bottom w:val="none" w:sz="0" w:space="0" w:color="auto"/>
                <w:right w:val="none" w:sz="0" w:space="0" w:color="auto"/>
              </w:divBdr>
            </w:div>
          </w:divsChild>
        </w:div>
        <w:div w:id="1678535671">
          <w:marLeft w:val="0"/>
          <w:marRight w:val="0"/>
          <w:marTop w:val="0"/>
          <w:marBottom w:val="0"/>
          <w:divBdr>
            <w:top w:val="none" w:sz="0" w:space="0" w:color="auto"/>
            <w:left w:val="none" w:sz="0" w:space="0" w:color="auto"/>
            <w:bottom w:val="none" w:sz="0" w:space="0" w:color="auto"/>
            <w:right w:val="none" w:sz="0" w:space="0" w:color="auto"/>
          </w:divBdr>
          <w:divsChild>
            <w:div w:id="987051711">
              <w:marLeft w:val="0"/>
              <w:marRight w:val="0"/>
              <w:marTop w:val="0"/>
              <w:marBottom w:val="0"/>
              <w:divBdr>
                <w:top w:val="none" w:sz="0" w:space="0" w:color="auto"/>
                <w:left w:val="none" w:sz="0" w:space="0" w:color="auto"/>
                <w:bottom w:val="none" w:sz="0" w:space="0" w:color="auto"/>
                <w:right w:val="none" w:sz="0" w:space="0" w:color="auto"/>
              </w:divBdr>
            </w:div>
          </w:divsChild>
        </w:div>
        <w:div w:id="1708024729">
          <w:marLeft w:val="0"/>
          <w:marRight w:val="0"/>
          <w:marTop w:val="0"/>
          <w:marBottom w:val="0"/>
          <w:divBdr>
            <w:top w:val="none" w:sz="0" w:space="0" w:color="auto"/>
            <w:left w:val="none" w:sz="0" w:space="0" w:color="auto"/>
            <w:bottom w:val="none" w:sz="0" w:space="0" w:color="auto"/>
            <w:right w:val="none" w:sz="0" w:space="0" w:color="auto"/>
          </w:divBdr>
          <w:divsChild>
            <w:div w:id="1842743222">
              <w:marLeft w:val="0"/>
              <w:marRight w:val="0"/>
              <w:marTop w:val="0"/>
              <w:marBottom w:val="0"/>
              <w:divBdr>
                <w:top w:val="none" w:sz="0" w:space="0" w:color="auto"/>
                <w:left w:val="none" w:sz="0" w:space="0" w:color="auto"/>
                <w:bottom w:val="none" w:sz="0" w:space="0" w:color="auto"/>
                <w:right w:val="none" w:sz="0" w:space="0" w:color="auto"/>
              </w:divBdr>
            </w:div>
          </w:divsChild>
        </w:div>
        <w:div w:id="1714231477">
          <w:marLeft w:val="0"/>
          <w:marRight w:val="0"/>
          <w:marTop w:val="0"/>
          <w:marBottom w:val="0"/>
          <w:divBdr>
            <w:top w:val="none" w:sz="0" w:space="0" w:color="auto"/>
            <w:left w:val="none" w:sz="0" w:space="0" w:color="auto"/>
            <w:bottom w:val="none" w:sz="0" w:space="0" w:color="auto"/>
            <w:right w:val="none" w:sz="0" w:space="0" w:color="auto"/>
          </w:divBdr>
          <w:divsChild>
            <w:div w:id="643659586">
              <w:marLeft w:val="0"/>
              <w:marRight w:val="0"/>
              <w:marTop w:val="0"/>
              <w:marBottom w:val="0"/>
              <w:divBdr>
                <w:top w:val="none" w:sz="0" w:space="0" w:color="auto"/>
                <w:left w:val="none" w:sz="0" w:space="0" w:color="auto"/>
                <w:bottom w:val="none" w:sz="0" w:space="0" w:color="auto"/>
                <w:right w:val="none" w:sz="0" w:space="0" w:color="auto"/>
              </w:divBdr>
            </w:div>
            <w:div w:id="950665836">
              <w:marLeft w:val="0"/>
              <w:marRight w:val="0"/>
              <w:marTop w:val="0"/>
              <w:marBottom w:val="0"/>
              <w:divBdr>
                <w:top w:val="none" w:sz="0" w:space="0" w:color="auto"/>
                <w:left w:val="none" w:sz="0" w:space="0" w:color="auto"/>
                <w:bottom w:val="none" w:sz="0" w:space="0" w:color="auto"/>
                <w:right w:val="none" w:sz="0" w:space="0" w:color="auto"/>
              </w:divBdr>
            </w:div>
            <w:div w:id="1313364991">
              <w:marLeft w:val="0"/>
              <w:marRight w:val="0"/>
              <w:marTop w:val="0"/>
              <w:marBottom w:val="0"/>
              <w:divBdr>
                <w:top w:val="none" w:sz="0" w:space="0" w:color="auto"/>
                <w:left w:val="none" w:sz="0" w:space="0" w:color="auto"/>
                <w:bottom w:val="none" w:sz="0" w:space="0" w:color="auto"/>
                <w:right w:val="none" w:sz="0" w:space="0" w:color="auto"/>
              </w:divBdr>
            </w:div>
            <w:div w:id="1368529183">
              <w:marLeft w:val="0"/>
              <w:marRight w:val="0"/>
              <w:marTop w:val="0"/>
              <w:marBottom w:val="0"/>
              <w:divBdr>
                <w:top w:val="none" w:sz="0" w:space="0" w:color="auto"/>
                <w:left w:val="none" w:sz="0" w:space="0" w:color="auto"/>
                <w:bottom w:val="none" w:sz="0" w:space="0" w:color="auto"/>
                <w:right w:val="none" w:sz="0" w:space="0" w:color="auto"/>
              </w:divBdr>
            </w:div>
            <w:div w:id="1748728201">
              <w:marLeft w:val="0"/>
              <w:marRight w:val="0"/>
              <w:marTop w:val="0"/>
              <w:marBottom w:val="0"/>
              <w:divBdr>
                <w:top w:val="none" w:sz="0" w:space="0" w:color="auto"/>
                <w:left w:val="none" w:sz="0" w:space="0" w:color="auto"/>
                <w:bottom w:val="none" w:sz="0" w:space="0" w:color="auto"/>
                <w:right w:val="none" w:sz="0" w:space="0" w:color="auto"/>
              </w:divBdr>
            </w:div>
          </w:divsChild>
        </w:div>
        <w:div w:id="1763602690">
          <w:marLeft w:val="0"/>
          <w:marRight w:val="0"/>
          <w:marTop w:val="0"/>
          <w:marBottom w:val="0"/>
          <w:divBdr>
            <w:top w:val="none" w:sz="0" w:space="0" w:color="auto"/>
            <w:left w:val="none" w:sz="0" w:space="0" w:color="auto"/>
            <w:bottom w:val="none" w:sz="0" w:space="0" w:color="auto"/>
            <w:right w:val="none" w:sz="0" w:space="0" w:color="auto"/>
          </w:divBdr>
          <w:divsChild>
            <w:div w:id="266011740">
              <w:marLeft w:val="0"/>
              <w:marRight w:val="0"/>
              <w:marTop w:val="0"/>
              <w:marBottom w:val="0"/>
              <w:divBdr>
                <w:top w:val="none" w:sz="0" w:space="0" w:color="auto"/>
                <w:left w:val="none" w:sz="0" w:space="0" w:color="auto"/>
                <w:bottom w:val="none" w:sz="0" w:space="0" w:color="auto"/>
                <w:right w:val="none" w:sz="0" w:space="0" w:color="auto"/>
              </w:divBdr>
            </w:div>
            <w:div w:id="1458917131">
              <w:marLeft w:val="0"/>
              <w:marRight w:val="0"/>
              <w:marTop w:val="0"/>
              <w:marBottom w:val="0"/>
              <w:divBdr>
                <w:top w:val="none" w:sz="0" w:space="0" w:color="auto"/>
                <w:left w:val="none" w:sz="0" w:space="0" w:color="auto"/>
                <w:bottom w:val="none" w:sz="0" w:space="0" w:color="auto"/>
                <w:right w:val="none" w:sz="0" w:space="0" w:color="auto"/>
              </w:divBdr>
            </w:div>
            <w:div w:id="1667241355">
              <w:marLeft w:val="0"/>
              <w:marRight w:val="0"/>
              <w:marTop w:val="0"/>
              <w:marBottom w:val="0"/>
              <w:divBdr>
                <w:top w:val="none" w:sz="0" w:space="0" w:color="auto"/>
                <w:left w:val="none" w:sz="0" w:space="0" w:color="auto"/>
                <w:bottom w:val="none" w:sz="0" w:space="0" w:color="auto"/>
                <w:right w:val="none" w:sz="0" w:space="0" w:color="auto"/>
              </w:divBdr>
            </w:div>
          </w:divsChild>
        </w:div>
        <w:div w:id="1788890967">
          <w:marLeft w:val="0"/>
          <w:marRight w:val="0"/>
          <w:marTop w:val="0"/>
          <w:marBottom w:val="0"/>
          <w:divBdr>
            <w:top w:val="none" w:sz="0" w:space="0" w:color="auto"/>
            <w:left w:val="none" w:sz="0" w:space="0" w:color="auto"/>
            <w:bottom w:val="none" w:sz="0" w:space="0" w:color="auto"/>
            <w:right w:val="none" w:sz="0" w:space="0" w:color="auto"/>
          </w:divBdr>
          <w:divsChild>
            <w:div w:id="156266988">
              <w:marLeft w:val="0"/>
              <w:marRight w:val="0"/>
              <w:marTop w:val="0"/>
              <w:marBottom w:val="0"/>
              <w:divBdr>
                <w:top w:val="none" w:sz="0" w:space="0" w:color="auto"/>
                <w:left w:val="none" w:sz="0" w:space="0" w:color="auto"/>
                <w:bottom w:val="none" w:sz="0" w:space="0" w:color="auto"/>
                <w:right w:val="none" w:sz="0" w:space="0" w:color="auto"/>
              </w:divBdr>
            </w:div>
            <w:div w:id="191117466">
              <w:marLeft w:val="0"/>
              <w:marRight w:val="0"/>
              <w:marTop w:val="0"/>
              <w:marBottom w:val="0"/>
              <w:divBdr>
                <w:top w:val="none" w:sz="0" w:space="0" w:color="auto"/>
                <w:left w:val="none" w:sz="0" w:space="0" w:color="auto"/>
                <w:bottom w:val="none" w:sz="0" w:space="0" w:color="auto"/>
                <w:right w:val="none" w:sz="0" w:space="0" w:color="auto"/>
              </w:divBdr>
            </w:div>
            <w:div w:id="293214382">
              <w:marLeft w:val="0"/>
              <w:marRight w:val="0"/>
              <w:marTop w:val="0"/>
              <w:marBottom w:val="0"/>
              <w:divBdr>
                <w:top w:val="none" w:sz="0" w:space="0" w:color="auto"/>
                <w:left w:val="none" w:sz="0" w:space="0" w:color="auto"/>
                <w:bottom w:val="none" w:sz="0" w:space="0" w:color="auto"/>
                <w:right w:val="none" w:sz="0" w:space="0" w:color="auto"/>
              </w:divBdr>
            </w:div>
            <w:div w:id="399645539">
              <w:marLeft w:val="0"/>
              <w:marRight w:val="0"/>
              <w:marTop w:val="0"/>
              <w:marBottom w:val="0"/>
              <w:divBdr>
                <w:top w:val="none" w:sz="0" w:space="0" w:color="auto"/>
                <w:left w:val="none" w:sz="0" w:space="0" w:color="auto"/>
                <w:bottom w:val="none" w:sz="0" w:space="0" w:color="auto"/>
                <w:right w:val="none" w:sz="0" w:space="0" w:color="auto"/>
              </w:divBdr>
            </w:div>
            <w:div w:id="426080051">
              <w:marLeft w:val="0"/>
              <w:marRight w:val="0"/>
              <w:marTop w:val="0"/>
              <w:marBottom w:val="0"/>
              <w:divBdr>
                <w:top w:val="none" w:sz="0" w:space="0" w:color="auto"/>
                <w:left w:val="none" w:sz="0" w:space="0" w:color="auto"/>
                <w:bottom w:val="none" w:sz="0" w:space="0" w:color="auto"/>
                <w:right w:val="none" w:sz="0" w:space="0" w:color="auto"/>
              </w:divBdr>
            </w:div>
            <w:div w:id="938296278">
              <w:marLeft w:val="0"/>
              <w:marRight w:val="0"/>
              <w:marTop w:val="0"/>
              <w:marBottom w:val="0"/>
              <w:divBdr>
                <w:top w:val="none" w:sz="0" w:space="0" w:color="auto"/>
                <w:left w:val="none" w:sz="0" w:space="0" w:color="auto"/>
                <w:bottom w:val="none" w:sz="0" w:space="0" w:color="auto"/>
                <w:right w:val="none" w:sz="0" w:space="0" w:color="auto"/>
              </w:divBdr>
            </w:div>
            <w:div w:id="971013940">
              <w:marLeft w:val="0"/>
              <w:marRight w:val="0"/>
              <w:marTop w:val="0"/>
              <w:marBottom w:val="0"/>
              <w:divBdr>
                <w:top w:val="none" w:sz="0" w:space="0" w:color="auto"/>
                <w:left w:val="none" w:sz="0" w:space="0" w:color="auto"/>
                <w:bottom w:val="none" w:sz="0" w:space="0" w:color="auto"/>
                <w:right w:val="none" w:sz="0" w:space="0" w:color="auto"/>
              </w:divBdr>
            </w:div>
            <w:div w:id="1100220155">
              <w:marLeft w:val="0"/>
              <w:marRight w:val="0"/>
              <w:marTop w:val="0"/>
              <w:marBottom w:val="0"/>
              <w:divBdr>
                <w:top w:val="none" w:sz="0" w:space="0" w:color="auto"/>
                <w:left w:val="none" w:sz="0" w:space="0" w:color="auto"/>
                <w:bottom w:val="none" w:sz="0" w:space="0" w:color="auto"/>
                <w:right w:val="none" w:sz="0" w:space="0" w:color="auto"/>
              </w:divBdr>
            </w:div>
            <w:div w:id="1579712262">
              <w:marLeft w:val="0"/>
              <w:marRight w:val="0"/>
              <w:marTop w:val="0"/>
              <w:marBottom w:val="0"/>
              <w:divBdr>
                <w:top w:val="none" w:sz="0" w:space="0" w:color="auto"/>
                <w:left w:val="none" w:sz="0" w:space="0" w:color="auto"/>
                <w:bottom w:val="none" w:sz="0" w:space="0" w:color="auto"/>
                <w:right w:val="none" w:sz="0" w:space="0" w:color="auto"/>
              </w:divBdr>
            </w:div>
            <w:div w:id="1596094772">
              <w:marLeft w:val="0"/>
              <w:marRight w:val="0"/>
              <w:marTop w:val="0"/>
              <w:marBottom w:val="0"/>
              <w:divBdr>
                <w:top w:val="none" w:sz="0" w:space="0" w:color="auto"/>
                <w:left w:val="none" w:sz="0" w:space="0" w:color="auto"/>
                <w:bottom w:val="none" w:sz="0" w:space="0" w:color="auto"/>
                <w:right w:val="none" w:sz="0" w:space="0" w:color="auto"/>
              </w:divBdr>
            </w:div>
            <w:div w:id="1617102772">
              <w:marLeft w:val="0"/>
              <w:marRight w:val="0"/>
              <w:marTop w:val="0"/>
              <w:marBottom w:val="0"/>
              <w:divBdr>
                <w:top w:val="none" w:sz="0" w:space="0" w:color="auto"/>
                <w:left w:val="none" w:sz="0" w:space="0" w:color="auto"/>
                <w:bottom w:val="none" w:sz="0" w:space="0" w:color="auto"/>
                <w:right w:val="none" w:sz="0" w:space="0" w:color="auto"/>
              </w:divBdr>
            </w:div>
            <w:div w:id="1637636111">
              <w:marLeft w:val="0"/>
              <w:marRight w:val="0"/>
              <w:marTop w:val="0"/>
              <w:marBottom w:val="0"/>
              <w:divBdr>
                <w:top w:val="none" w:sz="0" w:space="0" w:color="auto"/>
                <w:left w:val="none" w:sz="0" w:space="0" w:color="auto"/>
                <w:bottom w:val="none" w:sz="0" w:space="0" w:color="auto"/>
                <w:right w:val="none" w:sz="0" w:space="0" w:color="auto"/>
              </w:divBdr>
            </w:div>
            <w:div w:id="2113158635">
              <w:marLeft w:val="0"/>
              <w:marRight w:val="0"/>
              <w:marTop w:val="0"/>
              <w:marBottom w:val="0"/>
              <w:divBdr>
                <w:top w:val="none" w:sz="0" w:space="0" w:color="auto"/>
                <w:left w:val="none" w:sz="0" w:space="0" w:color="auto"/>
                <w:bottom w:val="none" w:sz="0" w:space="0" w:color="auto"/>
                <w:right w:val="none" w:sz="0" w:space="0" w:color="auto"/>
              </w:divBdr>
            </w:div>
          </w:divsChild>
        </w:div>
        <w:div w:id="1841237484">
          <w:marLeft w:val="0"/>
          <w:marRight w:val="0"/>
          <w:marTop w:val="0"/>
          <w:marBottom w:val="0"/>
          <w:divBdr>
            <w:top w:val="none" w:sz="0" w:space="0" w:color="auto"/>
            <w:left w:val="none" w:sz="0" w:space="0" w:color="auto"/>
            <w:bottom w:val="none" w:sz="0" w:space="0" w:color="auto"/>
            <w:right w:val="none" w:sz="0" w:space="0" w:color="auto"/>
          </w:divBdr>
          <w:divsChild>
            <w:div w:id="75635504">
              <w:marLeft w:val="0"/>
              <w:marRight w:val="0"/>
              <w:marTop w:val="0"/>
              <w:marBottom w:val="0"/>
              <w:divBdr>
                <w:top w:val="none" w:sz="0" w:space="0" w:color="auto"/>
                <w:left w:val="none" w:sz="0" w:space="0" w:color="auto"/>
                <w:bottom w:val="none" w:sz="0" w:space="0" w:color="auto"/>
                <w:right w:val="none" w:sz="0" w:space="0" w:color="auto"/>
              </w:divBdr>
            </w:div>
            <w:div w:id="204484537">
              <w:marLeft w:val="0"/>
              <w:marRight w:val="0"/>
              <w:marTop w:val="0"/>
              <w:marBottom w:val="0"/>
              <w:divBdr>
                <w:top w:val="none" w:sz="0" w:space="0" w:color="auto"/>
                <w:left w:val="none" w:sz="0" w:space="0" w:color="auto"/>
                <w:bottom w:val="none" w:sz="0" w:space="0" w:color="auto"/>
                <w:right w:val="none" w:sz="0" w:space="0" w:color="auto"/>
              </w:divBdr>
            </w:div>
            <w:div w:id="308902801">
              <w:marLeft w:val="0"/>
              <w:marRight w:val="0"/>
              <w:marTop w:val="0"/>
              <w:marBottom w:val="0"/>
              <w:divBdr>
                <w:top w:val="none" w:sz="0" w:space="0" w:color="auto"/>
                <w:left w:val="none" w:sz="0" w:space="0" w:color="auto"/>
                <w:bottom w:val="none" w:sz="0" w:space="0" w:color="auto"/>
                <w:right w:val="none" w:sz="0" w:space="0" w:color="auto"/>
              </w:divBdr>
            </w:div>
            <w:div w:id="314068145">
              <w:marLeft w:val="0"/>
              <w:marRight w:val="0"/>
              <w:marTop w:val="0"/>
              <w:marBottom w:val="0"/>
              <w:divBdr>
                <w:top w:val="none" w:sz="0" w:space="0" w:color="auto"/>
                <w:left w:val="none" w:sz="0" w:space="0" w:color="auto"/>
                <w:bottom w:val="none" w:sz="0" w:space="0" w:color="auto"/>
                <w:right w:val="none" w:sz="0" w:space="0" w:color="auto"/>
              </w:divBdr>
            </w:div>
            <w:div w:id="352804453">
              <w:marLeft w:val="0"/>
              <w:marRight w:val="0"/>
              <w:marTop w:val="0"/>
              <w:marBottom w:val="0"/>
              <w:divBdr>
                <w:top w:val="none" w:sz="0" w:space="0" w:color="auto"/>
                <w:left w:val="none" w:sz="0" w:space="0" w:color="auto"/>
                <w:bottom w:val="none" w:sz="0" w:space="0" w:color="auto"/>
                <w:right w:val="none" w:sz="0" w:space="0" w:color="auto"/>
              </w:divBdr>
            </w:div>
            <w:div w:id="369958792">
              <w:marLeft w:val="0"/>
              <w:marRight w:val="0"/>
              <w:marTop w:val="0"/>
              <w:marBottom w:val="0"/>
              <w:divBdr>
                <w:top w:val="none" w:sz="0" w:space="0" w:color="auto"/>
                <w:left w:val="none" w:sz="0" w:space="0" w:color="auto"/>
                <w:bottom w:val="none" w:sz="0" w:space="0" w:color="auto"/>
                <w:right w:val="none" w:sz="0" w:space="0" w:color="auto"/>
              </w:divBdr>
            </w:div>
            <w:div w:id="493643571">
              <w:marLeft w:val="0"/>
              <w:marRight w:val="0"/>
              <w:marTop w:val="0"/>
              <w:marBottom w:val="0"/>
              <w:divBdr>
                <w:top w:val="none" w:sz="0" w:space="0" w:color="auto"/>
                <w:left w:val="none" w:sz="0" w:space="0" w:color="auto"/>
                <w:bottom w:val="none" w:sz="0" w:space="0" w:color="auto"/>
                <w:right w:val="none" w:sz="0" w:space="0" w:color="auto"/>
              </w:divBdr>
            </w:div>
            <w:div w:id="571307306">
              <w:marLeft w:val="0"/>
              <w:marRight w:val="0"/>
              <w:marTop w:val="0"/>
              <w:marBottom w:val="0"/>
              <w:divBdr>
                <w:top w:val="none" w:sz="0" w:space="0" w:color="auto"/>
                <w:left w:val="none" w:sz="0" w:space="0" w:color="auto"/>
                <w:bottom w:val="none" w:sz="0" w:space="0" w:color="auto"/>
                <w:right w:val="none" w:sz="0" w:space="0" w:color="auto"/>
              </w:divBdr>
            </w:div>
            <w:div w:id="800264517">
              <w:marLeft w:val="0"/>
              <w:marRight w:val="0"/>
              <w:marTop w:val="0"/>
              <w:marBottom w:val="0"/>
              <w:divBdr>
                <w:top w:val="none" w:sz="0" w:space="0" w:color="auto"/>
                <w:left w:val="none" w:sz="0" w:space="0" w:color="auto"/>
                <w:bottom w:val="none" w:sz="0" w:space="0" w:color="auto"/>
                <w:right w:val="none" w:sz="0" w:space="0" w:color="auto"/>
              </w:divBdr>
            </w:div>
            <w:div w:id="821968633">
              <w:marLeft w:val="0"/>
              <w:marRight w:val="0"/>
              <w:marTop w:val="0"/>
              <w:marBottom w:val="0"/>
              <w:divBdr>
                <w:top w:val="none" w:sz="0" w:space="0" w:color="auto"/>
                <w:left w:val="none" w:sz="0" w:space="0" w:color="auto"/>
                <w:bottom w:val="none" w:sz="0" w:space="0" w:color="auto"/>
                <w:right w:val="none" w:sz="0" w:space="0" w:color="auto"/>
              </w:divBdr>
            </w:div>
            <w:div w:id="1056322093">
              <w:marLeft w:val="0"/>
              <w:marRight w:val="0"/>
              <w:marTop w:val="0"/>
              <w:marBottom w:val="0"/>
              <w:divBdr>
                <w:top w:val="none" w:sz="0" w:space="0" w:color="auto"/>
                <w:left w:val="none" w:sz="0" w:space="0" w:color="auto"/>
                <w:bottom w:val="none" w:sz="0" w:space="0" w:color="auto"/>
                <w:right w:val="none" w:sz="0" w:space="0" w:color="auto"/>
              </w:divBdr>
            </w:div>
            <w:div w:id="1137602161">
              <w:marLeft w:val="0"/>
              <w:marRight w:val="0"/>
              <w:marTop w:val="0"/>
              <w:marBottom w:val="0"/>
              <w:divBdr>
                <w:top w:val="none" w:sz="0" w:space="0" w:color="auto"/>
                <w:left w:val="none" w:sz="0" w:space="0" w:color="auto"/>
                <w:bottom w:val="none" w:sz="0" w:space="0" w:color="auto"/>
                <w:right w:val="none" w:sz="0" w:space="0" w:color="auto"/>
              </w:divBdr>
            </w:div>
            <w:div w:id="1274509844">
              <w:marLeft w:val="0"/>
              <w:marRight w:val="0"/>
              <w:marTop w:val="0"/>
              <w:marBottom w:val="0"/>
              <w:divBdr>
                <w:top w:val="none" w:sz="0" w:space="0" w:color="auto"/>
                <w:left w:val="none" w:sz="0" w:space="0" w:color="auto"/>
                <w:bottom w:val="none" w:sz="0" w:space="0" w:color="auto"/>
                <w:right w:val="none" w:sz="0" w:space="0" w:color="auto"/>
              </w:divBdr>
            </w:div>
            <w:div w:id="1528638820">
              <w:marLeft w:val="0"/>
              <w:marRight w:val="0"/>
              <w:marTop w:val="0"/>
              <w:marBottom w:val="0"/>
              <w:divBdr>
                <w:top w:val="none" w:sz="0" w:space="0" w:color="auto"/>
                <w:left w:val="none" w:sz="0" w:space="0" w:color="auto"/>
                <w:bottom w:val="none" w:sz="0" w:space="0" w:color="auto"/>
                <w:right w:val="none" w:sz="0" w:space="0" w:color="auto"/>
              </w:divBdr>
            </w:div>
            <w:div w:id="1624653984">
              <w:marLeft w:val="0"/>
              <w:marRight w:val="0"/>
              <w:marTop w:val="0"/>
              <w:marBottom w:val="0"/>
              <w:divBdr>
                <w:top w:val="none" w:sz="0" w:space="0" w:color="auto"/>
                <w:left w:val="none" w:sz="0" w:space="0" w:color="auto"/>
                <w:bottom w:val="none" w:sz="0" w:space="0" w:color="auto"/>
                <w:right w:val="none" w:sz="0" w:space="0" w:color="auto"/>
              </w:divBdr>
            </w:div>
            <w:div w:id="1726106190">
              <w:marLeft w:val="0"/>
              <w:marRight w:val="0"/>
              <w:marTop w:val="0"/>
              <w:marBottom w:val="0"/>
              <w:divBdr>
                <w:top w:val="none" w:sz="0" w:space="0" w:color="auto"/>
                <w:left w:val="none" w:sz="0" w:space="0" w:color="auto"/>
                <w:bottom w:val="none" w:sz="0" w:space="0" w:color="auto"/>
                <w:right w:val="none" w:sz="0" w:space="0" w:color="auto"/>
              </w:divBdr>
            </w:div>
            <w:div w:id="1732652815">
              <w:marLeft w:val="0"/>
              <w:marRight w:val="0"/>
              <w:marTop w:val="0"/>
              <w:marBottom w:val="0"/>
              <w:divBdr>
                <w:top w:val="none" w:sz="0" w:space="0" w:color="auto"/>
                <w:left w:val="none" w:sz="0" w:space="0" w:color="auto"/>
                <w:bottom w:val="none" w:sz="0" w:space="0" w:color="auto"/>
                <w:right w:val="none" w:sz="0" w:space="0" w:color="auto"/>
              </w:divBdr>
            </w:div>
            <w:div w:id="1740011300">
              <w:marLeft w:val="0"/>
              <w:marRight w:val="0"/>
              <w:marTop w:val="0"/>
              <w:marBottom w:val="0"/>
              <w:divBdr>
                <w:top w:val="none" w:sz="0" w:space="0" w:color="auto"/>
                <w:left w:val="none" w:sz="0" w:space="0" w:color="auto"/>
                <w:bottom w:val="none" w:sz="0" w:space="0" w:color="auto"/>
                <w:right w:val="none" w:sz="0" w:space="0" w:color="auto"/>
              </w:divBdr>
            </w:div>
            <w:div w:id="1802377721">
              <w:marLeft w:val="0"/>
              <w:marRight w:val="0"/>
              <w:marTop w:val="0"/>
              <w:marBottom w:val="0"/>
              <w:divBdr>
                <w:top w:val="none" w:sz="0" w:space="0" w:color="auto"/>
                <w:left w:val="none" w:sz="0" w:space="0" w:color="auto"/>
                <w:bottom w:val="none" w:sz="0" w:space="0" w:color="auto"/>
                <w:right w:val="none" w:sz="0" w:space="0" w:color="auto"/>
              </w:divBdr>
            </w:div>
            <w:div w:id="1893232086">
              <w:marLeft w:val="0"/>
              <w:marRight w:val="0"/>
              <w:marTop w:val="0"/>
              <w:marBottom w:val="0"/>
              <w:divBdr>
                <w:top w:val="none" w:sz="0" w:space="0" w:color="auto"/>
                <w:left w:val="none" w:sz="0" w:space="0" w:color="auto"/>
                <w:bottom w:val="none" w:sz="0" w:space="0" w:color="auto"/>
                <w:right w:val="none" w:sz="0" w:space="0" w:color="auto"/>
              </w:divBdr>
            </w:div>
          </w:divsChild>
        </w:div>
        <w:div w:id="1869876347">
          <w:marLeft w:val="0"/>
          <w:marRight w:val="0"/>
          <w:marTop w:val="0"/>
          <w:marBottom w:val="0"/>
          <w:divBdr>
            <w:top w:val="none" w:sz="0" w:space="0" w:color="auto"/>
            <w:left w:val="none" w:sz="0" w:space="0" w:color="auto"/>
            <w:bottom w:val="none" w:sz="0" w:space="0" w:color="auto"/>
            <w:right w:val="none" w:sz="0" w:space="0" w:color="auto"/>
          </w:divBdr>
          <w:divsChild>
            <w:div w:id="1699236845">
              <w:marLeft w:val="0"/>
              <w:marRight w:val="0"/>
              <w:marTop w:val="0"/>
              <w:marBottom w:val="0"/>
              <w:divBdr>
                <w:top w:val="none" w:sz="0" w:space="0" w:color="auto"/>
                <w:left w:val="none" w:sz="0" w:space="0" w:color="auto"/>
                <w:bottom w:val="none" w:sz="0" w:space="0" w:color="auto"/>
                <w:right w:val="none" w:sz="0" w:space="0" w:color="auto"/>
              </w:divBdr>
            </w:div>
          </w:divsChild>
        </w:div>
        <w:div w:id="1909532683">
          <w:marLeft w:val="0"/>
          <w:marRight w:val="0"/>
          <w:marTop w:val="0"/>
          <w:marBottom w:val="0"/>
          <w:divBdr>
            <w:top w:val="none" w:sz="0" w:space="0" w:color="auto"/>
            <w:left w:val="none" w:sz="0" w:space="0" w:color="auto"/>
            <w:bottom w:val="none" w:sz="0" w:space="0" w:color="auto"/>
            <w:right w:val="none" w:sz="0" w:space="0" w:color="auto"/>
          </w:divBdr>
          <w:divsChild>
            <w:div w:id="297539966">
              <w:marLeft w:val="0"/>
              <w:marRight w:val="0"/>
              <w:marTop w:val="0"/>
              <w:marBottom w:val="0"/>
              <w:divBdr>
                <w:top w:val="none" w:sz="0" w:space="0" w:color="auto"/>
                <w:left w:val="none" w:sz="0" w:space="0" w:color="auto"/>
                <w:bottom w:val="none" w:sz="0" w:space="0" w:color="auto"/>
                <w:right w:val="none" w:sz="0" w:space="0" w:color="auto"/>
              </w:divBdr>
            </w:div>
            <w:div w:id="336276559">
              <w:marLeft w:val="0"/>
              <w:marRight w:val="0"/>
              <w:marTop w:val="0"/>
              <w:marBottom w:val="0"/>
              <w:divBdr>
                <w:top w:val="none" w:sz="0" w:space="0" w:color="auto"/>
                <w:left w:val="none" w:sz="0" w:space="0" w:color="auto"/>
                <w:bottom w:val="none" w:sz="0" w:space="0" w:color="auto"/>
                <w:right w:val="none" w:sz="0" w:space="0" w:color="auto"/>
              </w:divBdr>
            </w:div>
          </w:divsChild>
        </w:div>
        <w:div w:id="1943299712">
          <w:marLeft w:val="0"/>
          <w:marRight w:val="0"/>
          <w:marTop w:val="0"/>
          <w:marBottom w:val="0"/>
          <w:divBdr>
            <w:top w:val="none" w:sz="0" w:space="0" w:color="auto"/>
            <w:left w:val="none" w:sz="0" w:space="0" w:color="auto"/>
            <w:bottom w:val="none" w:sz="0" w:space="0" w:color="auto"/>
            <w:right w:val="none" w:sz="0" w:space="0" w:color="auto"/>
          </w:divBdr>
          <w:divsChild>
            <w:div w:id="1340935826">
              <w:marLeft w:val="0"/>
              <w:marRight w:val="0"/>
              <w:marTop w:val="0"/>
              <w:marBottom w:val="0"/>
              <w:divBdr>
                <w:top w:val="none" w:sz="0" w:space="0" w:color="auto"/>
                <w:left w:val="none" w:sz="0" w:space="0" w:color="auto"/>
                <w:bottom w:val="none" w:sz="0" w:space="0" w:color="auto"/>
                <w:right w:val="none" w:sz="0" w:space="0" w:color="auto"/>
              </w:divBdr>
            </w:div>
          </w:divsChild>
        </w:div>
        <w:div w:id="2047097539">
          <w:marLeft w:val="0"/>
          <w:marRight w:val="0"/>
          <w:marTop w:val="0"/>
          <w:marBottom w:val="0"/>
          <w:divBdr>
            <w:top w:val="none" w:sz="0" w:space="0" w:color="auto"/>
            <w:left w:val="none" w:sz="0" w:space="0" w:color="auto"/>
            <w:bottom w:val="none" w:sz="0" w:space="0" w:color="auto"/>
            <w:right w:val="none" w:sz="0" w:space="0" w:color="auto"/>
          </w:divBdr>
          <w:divsChild>
            <w:div w:id="44721996">
              <w:marLeft w:val="0"/>
              <w:marRight w:val="0"/>
              <w:marTop w:val="0"/>
              <w:marBottom w:val="0"/>
              <w:divBdr>
                <w:top w:val="none" w:sz="0" w:space="0" w:color="auto"/>
                <w:left w:val="none" w:sz="0" w:space="0" w:color="auto"/>
                <w:bottom w:val="none" w:sz="0" w:space="0" w:color="auto"/>
                <w:right w:val="none" w:sz="0" w:space="0" w:color="auto"/>
              </w:divBdr>
            </w:div>
          </w:divsChild>
        </w:div>
        <w:div w:id="2057728927">
          <w:marLeft w:val="0"/>
          <w:marRight w:val="0"/>
          <w:marTop w:val="0"/>
          <w:marBottom w:val="0"/>
          <w:divBdr>
            <w:top w:val="none" w:sz="0" w:space="0" w:color="auto"/>
            <w:left w:val="none" w:sz="0" w:space="0" w:color="auto"/>
            <w:bottom w:val="none" w:sz="0" w:space="0" w:color="auto"/>
            <w:right w:val="none" w:sz="0" w:space="0" w:color="auto"/>
          </w:divBdr>
          <w:divsChild>
            <w:div w:id="8992219">
              <w:marLeft w:val="0"/>
              <w:marRight w:val="0"/>
              <w:marTop w:val="0"/>
              <w:marBottom w:val="0"/>
              <w:divBdr>
                <w:top w:val="none" w:sz="0" w:space="0" w:color="auto"/>
                <w:left w:val="none" w:sz="0" w:space="0" w:color="auto"/>
                <w:bottom w:val="none" w:sz="0" w:space="0" w:color="auto"/>
                <w:right w:val="none" w:sz="0" w:space="0" w:color="auto"/>
              </w:divBdr>
            </w:div>
            <w:div w:id="38020913">
              <w:marLeft w:val="0"/>
              <w:marRight w:val="0"/>
              <w:marTop w:val="0"/>
              <w:marBottom w:val="0"/>
              <w:divBdr>
                <w:top w:val="none" w:sz="0" w:space="0" w:color="auto"/>
                <w:left w:val="none" w:sz="0" w:space="0" w:color="auto"/>
                <w:bottom w:val="none" w:sz="0" w:space="0" w:color="auto"/>
                <w:right w:val="none" w:sz="0" w:space="0" w:color="auto"/>
              </w:divBdr>
            </w:div>
            <w:div w:id="184830257">
              <w:marLeft w:val="0"/>
              <w:marRight w:val="0"/>
              <w:marTop w:val="0"/>
              <w:marBottom w:val="0"/>
              <w:divBdr>
                <w:top w:val="none" w:sz="0" w:space="0" w:color="auto"/>
                <w:left w:val="none" w:sz="0" w:space="0" w:color="auto"/>
                <w:bottom w:val="none" w:sz="0" w:space="0" w:color="auto"/>
                <w:right w:val="none" w:sz="0" w:space="0" w:color="auto"/>
              </w:divBdr>
            </w:div>
            <w:div w:id="439491816">
              <w:marLeft w:val="0"/>
              <w:marRight w:val="0"/>
              <w:marTop w:val="0"/>
              <w:marBottom w:val="0"/>
              <w:divBdr>
                <w:top w:val="none" w:sz="0" w:space="0" w:color="auto"/>
                <w:left w:val="none" w:sz="0" w:space="0" w:color="auto"/>
                <w:bottom w:val="none" w:sz="0" w:space="0" w:color="auto"/>
                <w:right w:val="none" w:sz="0" w:space="0" w:color="auto"/>
              </w:divBdr>
            </w:div>
            <w:div w:id="1841234894">
              <w:marLeft w:val="0"/>
              <w:marRight w:val="0"/>
              <w:marTop w:val="0"/>
              <w:marBottom w:val="0"/>
              <w:divBdr>
                <w:top w:val="none" w:sz="0" w:space="0" w:color="auto"/>
                <w:left w:val="none" w:sz="0" w:space="0" w:color="auto"/>
                <w:bottom w:val="none" w:sz="0" w:space="0" w:color="auto"/>
                <w:right w:val="none" w:sz="0" w:space="0" w:color="auto"/>
              </w:divBdr>
            </w:div>
            <w:div w:id="19729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60804">
      <w:bodyDiv w:val="1"/>
      <w:marLeft w:val="0"/>
      <w:marRight w:val="0"/>
      <w:marTop w:val="0"/>
      <w:marBottom w:val="0"/>
      <w:divBdr>
        <w:top w:val="none" w:sz="0" w:space="0" w:color="auto"/>
        <w:left w:val="none" w:sz="0" w:space="0" w:color="auto"/>
        <w:bottom w:val="none" w:sz="0" w:space="0" w:color="auto"/>
        <w:right w:val="none" w:sz="0" w:space="0" w:color="auto"/>
      </w:divBdr>
    </w:div>
    <w:div w:id="251475620">
      <w:bodyDiv w:val="1"/>
      <w:marLeft w:val="0"/>
      <w:marRight w:val="0"/>
      <w:marTop w:val="0"/>
      <w:marBottom w:val="0"/>
      <w:divBdr>
        <w:top w:val="none" w:sz="0" w:space="0" w:color="auto"/>
        <w:left w:val="none" w:sz="0" w:space="0" w:color="auto"/>
        <w:bottom w:val="none" w:sz="0" w:space="0" w:color="auto"/>
        <w:right w:val="none" w:sz="0" w:space="0" w:color="auto"/>
      </w:divBdr>
    </w:div>
    <w:div w:id="468549216">
      <w:bodyDiv w:val="1"/>
      <w:marLeft w:val="0"/>
      <w:marRight w:val="0"/>
      <w:marTop w:val="0"/>
      <w:marBottom w:val="0"/>
      <w:divBdr>
        <w:top w:val="none" w:sz="0" w:space="0" w:color="auto"/>
        <w:left w:val="none" w:sz="0" w:space="0" w:color="auto"/>
        <w:bottom w:val="none" w:sz="0" w:space="0" w:color="auto"/>
        <w:right w:val="none" w:sz="0" w:space="0" w:color="auto"/>
      </w:divBdr>
    </w:div>
    <w:div w:id="555169668">
      <w:bodyDiv w:val="1"/>
      <w:marLeft w:val="0"/>
      <w:marRight w:val="0"/>
      <w:marTop w:val="0"/>
      <w:marBottom w:val="0"/>
      <w:divBdr>
        <w:top w:val="none" w:sz="0" w:space="0" w:color="auto"/>
        <w:left w:val="none" w:sz="0" w:space="0" w:color="auto"/>
        <w:bottom w:val="none" w:sz="0" w:space="0" w:color="auto"/>
        <w:right w:val="none" w:sz="0" w:space="0" w:color="auto"/>
      </w:divBdr>
    </w:div>
    <w:div w:id="669522012">
      <w:bodyDiv w:val="1"/>
      <w:marLeft w:val="0"/>
      <w:marRight w:val="0"/>
      <w:marTop w:val="0"/>
      <w:marBottom w:val="0"/>
      <w:divBdr>
        <w:top w:val="none" w:sz="0" w:space="0" w:color="auto"/>
        <w:left w:val="none" w:sz="0" w:space="0" w:color="auto"/>
        <w:bottom w:val="none" w:sz="0" w:space="0" w:color="auto"/>
        <w:right w:val="none" w:sz="0" w:space="0" w:color="auto"/>
      </w:divBdr>
    </w:div>
    <w:div w:id="719942446">
      <w:bodyDiv w:val="1"/>
      <w:marLeft w:val="0"/>
      <w:marRight w:val="0"/>
      <w:marTop w:val="0"/>
      <w:marBottom w:val="0"/>
      <w:divBdr>
        <w:top w:val="none" w:sz="0" w:space="0" w:color="auto"/>
        <w:left w:val="none" w:sz="0" w:space="0" w:color="auto"/>
        <w:bottom w:val="none" w:sz="0" w:space="0" w:color="auto"/>
        <w:right w:val="none" w:sz="0" w:space="0" w:color="auto"/>
      </w:divBdr>
    </w:div>
    <w:div w:id="732435546">
      <w:bodyDiv w:val="1"/>
      <w:marLeft w:val="0"/>
      <w:marRight w:val="0"/>
      <w:marTop w:val="0"/>
      <w:marBottom w:val="0"/>
      <w:divBdr>
        <w:top w:val="none" w:sz="0" w:space="0" w:color="auto"/>
        <w:left w:val="none" w:sz="0" w:space="0" w:color="auto"/>
        <w:bottom w:val="none" w:sz="0" w:space="0" w:color="auto"/>
        <w:right w:val="none" w:sz="0" w:space="0" w:color="auto"/>
      </w:divBdr>
    </w:div>
    <w:div w:id="820582268">
      <w:bodyDiv w:val="1"/>
      <w:marLeft w:val="0"/>
      <w:marRight w:val="0"/>
      <w:marTop w:val="0"/>
      <w:marBottom w:val="0"/>
      <w:divBdr>
        <w:top w:val="none" w:sz="0" w:space="0" w:color="auto"/>
        <w:left w:val="none" w:sz="0" w:space="0" w:color="auto"/>
        <w:bottom w:val="none" w:sz="0" w:space="0" w:color="auto"/>
        <w:right w:val="none" w:sz="0" w:space="0" w:color="auto"/>
      </w:divBdr>
    </w:div>
    <w:div w:id="864756006">
      <w:bodyDiv w:val="1"/>
      <w:marLeft w:val="0"/>
      <w:marRight w:val="0"/>
      <w:marTop w:val="0"/>
      <w:marBottom w:val="0"/>
      <w:divBdr>
        <w:top w:val="none" w:sz="0" w:space="0" w:color="auto"/>
        <w:left w:val="none" w:sz="0" w:space="0" w:color="auto"/>
        <w:bottom w:val="none" w:sz="0" w:space="0" w:color="auto"/>
        <w:right w:val="none" w:sz="0" w:space="0" w:color="auto"/>
      </w:divBdr>
    </w:div>
    <w:div w:id="866068955">
      <w:bodyDiv w:val="1"/>
      <w:marLeft w:val="0"/>
      <w:marRight w:val="0"/>
      <w:marTop w:val="0"/>
      <w:marBottom w:val="0"/>
      <w:divBdr>
        <w:top w:val="none" w:sz="0" w:space="0" w:color="auto"/>
        <w:left w:val="none" w:sz="0" w:space="0" w:color="auto"/>
        <w:bottom w:val="none" w:sz="0" w:space="0" w:color="auto"/>
        <w:right w:val="none" w:sz="0" w:space="0" w:color="auto"/>
      </w:divBdr>
    </w:div>
    <w:div w:id="874578754">
      <w:bodyDiv w:val="1"/>
      <w:marLeft w:val="0"/>
      <w:marRight w:val="0"/>
      <w:marTop w:val="0"/>
      <w:marBottom w:val="0"/>
      <w:divBdr>
        <w:top w:val="none" w:sz="0" w:space="0" w:color="auto"/>
        <w:left w:val="none" w:sz="0" w:space="0" w:color="auto"/>
        <w:bottom w:val="none" w:sz="0" w:space="0" w:color="auto"/>
        <w:right w:val="none" w:sz="0" w:space="0" w:color="auto"/>
      </w:divBdr>
    </w:div>
    <w:div w:id="910771847">
      <w:bodyDiv w:val="1"/>
      <w:marLeft w:val="0"/>
      <w:marRight w:val="0"/>
      <w:marTop w:val="0"/>
      <w:marBottom w:val="0"/>
      <w:divBdr>
        <w:top w:val="none" w:sz="0" w:space="0" w:color="auto"/>
        <w:left w:val="none" w:sz="0" w:space="0" w:color="auto"/>
        <w:bottom w:val="none" w:sz="0" w:space="0" w:color="auto"/>
        <w:right w:val="none" w:sz="0" w:space="0" w:color="auto"/>
      </w:divBdr>
    </w:div>
    <w:div w:id="1096828419">
      <w:bodyDiv w:val="1"/>
      <w:marLeft w:val="0"/>
      <w:marRight w:val="0"/>
      <w:marTop w:val="0"/>
      <w:marBottom w:val="0"/>
      <w:divBdr>
        <w:top w:val="none" w:sz="0" w:space="0" w:color="auto"/>
        <w:left w:val="none" w:sz="0" w:space="0" w:color="auto"/>
        <w:bottom w:val="none" w:sz="0" w:space="0" w:color="auto"/>
        <w:right w:val="none" w:sz="0" w:space="0" w:color="auto"/>
      </w:divBdr>
    </w:div>
    <w:div w:id="1108699026">
      <w:bodyDiv w:val="1"/>
      <w:marLeft w:val="0"/>
      <w:marRight w:val="0"/>
      <w:marTop w:val="0"/>
      <w:marBottom w:val="0"/>
      <w:divBdr>
        <w:top w:val="none" w:sz="0" w:space="0" w:color="auto"/>
        <w:left w:val="none" w:sz="0" w:space="0" w:color="auto"/>
        <w:bottom w:val="none" w:sz="0" w:space="0" w:color="auto"/>
        <w:right w:val="none" w:sz="0" w:space="0" w:color="auto"/>
      </w:divBdr>
    </w:div>
    <w:div w:id="1218392724">
      <w:bodyDiv w:val="1"/>
      <w:marLeft w:val="0"/>
      <w:marRight w:val="0"/>
      <w:marTop w:val="0"/>
      <w:marBottom w:val="0"/>
      <w:divBdr>
        <w:top w:val="none" w:sz="0" w:space="0" w:color="auto"/>
        <w:left w:val="none" w:sz="0" w:space="0" w:color="auto"/>
        <w:bottom w:val="none" w:sz="0" w:space="0" w:color="auto"/>
        <w:right w:val="none" w:sz="0" w:space="0" w:color="auto"/>
      </w:divBdr>
      <w:divsChild>
        <w:div w:id="1074429880">
          <w:marLeft w:val="0"/>
          <w:marRight w:val="0"/>
          <w:marTop w:val="0"/>
          <w:marBottom w:val="0"/>
          <w:divBdr>
            <w:top w:val="none" w:sz="0" w:space="0" w:color="auto"/>
            <w:left w:val="none" w:sz="0" w:space="0" w:color="auto"/>
            <w:bottom w:val="none" w:sz="0" w:space="0" w:color="auto"/>
            <w:right w:val="none" w:sz="0" w:space="0" w:color="auto"/>
          </w:divBdr>
          <w:divsChild>
            <w:div w:id="435445078">
              <w:marLeft w:val="0"/>
              <w:marRight w:val="0"/>
              <w:marTop w:val="0"/>
              <w:marBottom w:val="0"/>
              <w:divBdr>
                <w:top w:val="none" w:sz="0" w:space="0" w:color="auto"/>
                <w:left w:val="none" w:sz="0" w:space="0" w:color="auto"/>
                <w:bottom w:val="none" w:sz="0" w:space="0" w:color="auto"/>
                <w:right w:val="none" w:sz="0" w:space="0" w:color="auto"/>
              </w:divBdr>
            </w:div>
          </w:divsChild>
        </w:div>
        <w:div w:id="1094940902">
          <w:marLeft w:val="0"/>
          <w:marRight w:val="0"/>
          <w:marTop w:val="0"/>
          <w:marBottom w:val="0"/>
          <w:divBdr>
            <w:top w:val="none" w:sz="0" w:space="0" w:color="auto"/>
            <w:left w:val="none" w:sz="0" w:space="0" w:color="auto"/>
            <w:bottom w:val="none" w:sz="0" w:space="0" w:color="auto"/>
            <w:right w:val="none" w:sz="0" w:space="0" w:color="auto"/>
          </w:divBdr>
          <w:divsChild>
            <w:div w:id="322587137">
              <w:marLeft w:val="0"/>
              <w:marRight w:val="0"/>
              <w:marTop w:val="0"/>
              <w:marBottom w:val="0"/>
              <w:divBdr>
                <w:top w:val="none" w:sz="0" w:space="0" w:color="auto"/>
                <w:left w:val="none" w:sz="0" w:space="0" w:color="auto"/>
                <w:bottom w:val="none" w:sz="0" w:space="0" w:color="auto"/>
                <w:right w:val="none" w:sz="0" w:space="0" w:color="auto"/>
              </w:divBdr>
              <w:divsChild>
                <w:div w:id="1408527488">
                  <w:marLeft w:val="0"/>
                  <w:marRight w:val="0"/>
                  <w:marTop w:val="0"/>
                  <w:marBottom w:val="0"/>
                  <w:divBdr>
                    <w:top w:val="none" w:sz="0" w:space="0" w:color="auto"/>
                    <w:left w:val="none" w:sz="0" w:space="0" w:color="auto"/>
                    <w:bottom w:val="none" w:sz="0" w:space="0" w:color="auto"/>
                    <w:right w:val="none" w:sz="0" w:space="0" w:color="auto"/>
                  </w:divBdr>
                  <w:divsChild>
                    <w:div w:id="17678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21759">
              <w:marLeft w:val="0"/>
              <w:marRight w:val="0"/>
              <w:marTop w:val="0"/>
              <w:marBottom w:val="0"/>
              <w:divBdr>
                <w:top w:val="none" w:sz="0" w:space="0" w:color="auto"/>
                <w:left w:val="none" w:sz="0" w:space="0" w:color="auto"/>
                <w:bottom w:val="none" w:sz="0" w:space="0" w:color="auto"/>
                <w:right w:val="none" w:sz="0" w:space="0" w:color="auto"/>
              </w:divBdr>
              <w:divsChild>
                <w:div w:id="572353091">
                  <w:marLeft w:val="0"/>
                  <w:marRight w:val="0"/>
                  <w:marTop w:val="0"/>
                  <w:marBottom w:val="0"/>
                  <w:divBdr>
                    <w:top w:val="none" w:sz="0" w:space="0" w:color="auto"/>
                    <w:left w:val="none" w:sz="0" w:space="0" w:color="auto"/>
                    <w:bottom w:val="none" w:sz="0" w:space="0" w:color="auto"/>
                    <w:right w:val="none" w:sz="0" w:space="0" w:color="auto"/>
                  </w:divBdr>
                  <w:divsChild>
                    <w:div w:id="4324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7475">
      <w:bodyDiv w:val="1"/>
      <w:marLeft w:val="0"/>
      <w:marRight w:val="0"/>
      <w:marTop w:val="0"/>
      <w:marBottom w:val="0"/>
      <w:divBdr>
        <w:top w:val="none" w:sz="0" w:space="0" w:color="auto"/>
        <w:left w:val="none" w:sz="0" w:space="0" w:color="auto"/>
        <w:bottom w:val="none" w:sz="0" w:space="0" w:color="auto"/>
        <w:right w:val="none" w:sz="0" w:space="0" w:color="auto"/>
      </w:divBdr>
    </w:div>
    <w:div w:id="1266110787">
      <w:bodyDiv w:val="1"/>
      <w:marLeft w:val="0"/>
      <w:marRight w:val="0"/>
      <w:marTop w:val="0"/>
      <w:marBottom w:val="0"/>
      <w:divBdr>
        <w:top w:val="none" w:sz="0" w:space="0" w:color="auto"/>
        <w:left w:val="none" w:sz="0" w:space="0" w:color="auto"/>
        <w:bottom w:val="none" w:sz="0" w:space="0" w:color="auto"/>
        <w:right w:val="none" w:sz="0" w:space="0" w:color="auto"/>
      </w:divBdr>
    </w:div>
    <w:div w:id="1332221086">
      <w:bodyDiv w:val="1"/>
      <w:marLeft w:val="0"/>
      <w:marRight w:val="0"/>
      <w:marTop w:val="0"/>
      <w:marBottom w:val="0"/>
      <w:divBdr>
        <w:top w:val="none" w:sz="0" w:space="0" w:color="auto"/>
        <w:left w:val="none" w:sz="0" w:space="0" w:color="auto"/>
        <w:bottom w:val="none" w:sz="0" w:space="0" w:color="auto"/>
        <w:right w:val="none" w:sz="0" w:space="0" w:color="auto"/>
      </w:divBdr>
    </w:div>
    <w:div w:id="1345593893">
      <w:bodyDiv w:val="1"/>
      <w:marLeft w:val="0"/>
      <w:marRight w:val="0"/>
      <w:marTop w:val="0"/>
      <w:marBottom w:val="0"/>
      <w:divBdr>
        <w:top w:val="none" w:sz="0" w:space="0" w:color="auto"/>
        <w:left w:val="none" w:sz="0" w:space="0" w:color="auto"/>
        <w:bottom w:val="none" w:sz="0" w:space="0" w:color="auto"/>
        <w:right w:val="none" w:sz="0" w:space="0" w:color="auto"/>
      </w:divBdr>
    </w:div>
    <w:div w:id="1364984428">
      <w:bodyDiv w:val="1"/>
      <w:marLeft w:val="0"/>
      <w:marRight w:val="0"/>
      <w:marTop w:val="0"/>
      <w:marBottom w:val="0"/>
      <w:divBdr>
        <w:top w:val="none" w:sz="0" w:space="0" w:color="auto"/>
        <w:left w:val="none" w:sz="0" w:space="0" w:color="auto"/>
        <w:bottom w:val="none" w:sz="0" w:space="0" w:color="auto"/>
        <w:right w:val="none" w:sz="0" w:space="0" w:color="auto"/>
      </w:divBdr>
    </w:div>
    <w:div w:id="1441027071">
      <w:bodyDiv w:val="1"/>
      <w:marLeft w:val="0"/>
      <w:marRight w:val="0"/>
      <w:marTop w:val="0"/>
      <w:marBottom w:val="0"/>
      <w:divBdr>
        <w:top w:val="none" w:sz="0" w:space="0" w:color="auto"/>
        <w:left w:val="none" w:sz="0" w:space="0" w:color="auto"/>
        <w:bottom w:val="none" w:sz="0" w:space="0" w:color="auto"/>
        <w:right w:val="none" w:sz="0" w:space="0" w:color="auto"/>
      </w:divBdr>
    </w:div>
    <w:div w:id="1484155597">
      <w:bodyDiv w:val="1"/>
      <w:marLeft w:val="0"/>
      <w:marRight w:val="0"/>
      <w:marTop w:val="0"/>
      <w:marBottom w:val="0"/>
      <w:divBdr>
        <w:top w:val="none" w:sz="0" w:space="0" w:color="auto"/>
        <w:left w:val="none" w:sz="0" w:space="0" w:color="auto"/>
        <w:bottom w:val="none" w:sz="0" w:space="0" w:color="auto"/>
        <w:right w:val="none" w:sz="0" w:space="0" w:color="auto"/>
      </w:divBdr>
    </w:div>
    <w:div w:id="1530412935">
      <w:bodyDiv w:val="1"/>
      <w:marLeft w:val="0"/>
      <w:marRight w:val="0"/>
      <w:marTop w:val="0"/>
      <w:marBottom w:val="0"/>
      <w:divBdr>
        <w:top w:val="none" w:sz="0" w:space="0" w:color="auto"/>
        <w:left w:val="none" w:sz="0" w:space="0" w:color="auto"/>
        <w:bottom w:val="none" w:sz="0" w:space="0" w:color="auto"/>
        <w:right w:val="none" w:sz="0" w:space="0" w:color="auto"/>
      </w:divBdr>
    </w:div>
    <w:div w:id="1537499567">
      <w:bodyDiv w:val="1"/>
      <w:marLeft w:val="0"/>
      <w:marRight w:val="0"/>
      <w:marTop w:val="0"/>
      <w:marBottom w:val="0"/>
      <w:divBdr>
        <w:top w:val="none" w:sz="0" w:space="0" w:color="auto"/>
        <w:left w:val="none" w:sz="0" w:space="0" w:color="auto"/>
        <w:bottom w:val="none" w:sz="0" w:space="0" w:color="auto"/>
        <w:right w:val="none" w:sz="0" w:space="0" w:color="auto"/>
      </w:divBdr>
    </w:div>
    <w:div w:id="1551109001">
      <w:bodyDiv w:val="1"/>
      <w:marLeft w:val="0"/>
      <w:marRight w:val="0"/>
      <w:marTop w:val="0"/>
      <w:marBottom w:val="0"/>
      <w:divBdr>
        <w:top w:val="none" w:sz="0" w:space="0" w:color="auto"/>
        <w:left w:val="none" w:sz="0" w:space="0" w:color="auto"/>
        <w:bottom w:val="none" w:sz="0" w:space="0" w:color="auto"/>
        <w:right w:val="none" w:sz="0" w:space="0" w:color="auto"/>
      </w:divBdr>
    </w:div>
    <w:div w:id="1621256591">
      <w:bodyDiv w:val="1"/>
      <w:marLeft w:val="0"/>
      <w:marRight w:val="0"/>
      <w:marTop w:val="0"/>
      <w:marBottom w:val="0"/>
      <w:divBdr>
        <w:top w:val="none" w:sz="0" w:space="0" w:color="auto"/>
        <w:left w:val="none" w:sz="0" w:space="0" w:color="auto"/>
        <w:bottom w:val="none" w:sz="0" w:space="0" w:color="auto"/>
        <w:right w:val="none" w:sz="0" w:space="0" w:color="auto"/>
      </w:divBdr>
      <w:divsChild>
        <w:div w:id="405615246">
          <w:marLeft w:val="0"/>
          <w:marRight w:val="0"/>
          <w:marTop w:val="0"/>
          <w:marBottom w:val="0"/>
          <w:divBdr>
            <w:top w:val="none" w:sz="0" w:space="0" w:color="auto"/>
            <w:left w:val="none" w:sz="0" w:space="0" w:color="auto"/>
            <w:bottom w:val="none" w:sz="0" w:space="0" w:color="auto"/>
            <w:right w:val="none" w:sz="0" w:space="0" w:color="auto"/>
          </w:divBdr>
          <w:divsChild>
            <w:div w:id="396126930">
              <w:marLeft w:val="0"/>
              <w:marRight w:val="0"/>
              <w:marTop w:val="0"/>
              <w:marBottom w:val="0"/>
              <w:divBdr>
                <w:top w:val="none" w:sz="0" w:space="0" w:color="auto"/>
                <w:left w:val="none" w:sz="0" w:space="0" w:color="auto"/>
                <w:bottom w:val="none" w:sz="0" w:space="0" w:color="auto"/>
                <w:right w:val="none" w:sz="0" w:space="0" w:color="auto"/>
              </w:divBdr>
            </w:div>
            <w:div w:id="1335767836">
              <w:marLeft w:val="0"/>
              <w:marRight w:val="0"/>
              <w:marTop w:val="0"/>
              <w:marBottom w:val="0"/>
              <w:divBdr>
                <w:top w:val="none" w:sz="0" w:space="0" w:color="auto"/>
                <w:left w:val="none" w:sz="0" w:space="0" w:color="auto"/>
                <w:bottom w:val="none" w:sz="0" w:space="0" w:color="auto"/>
                <w:right w:val="none" w:sz="0" w:space="0" w:color="auto"/>
              </w:divBdr>
            </w:div>
            <w:div w:id="1614750996">
              <w:marLeft w:val="0"/>
              <w:marRight w:val="0"/>
              <w:marTop w:val="0"/>
              <w:marBottom w:val="0"/>
              <w:divBdr>
                <w:top w:val="none" w:sz="0" w:space="0" w:color="auto"/>
                <w:left w:val="none" w:sz="0" w:space="0" w:color="auto"/>
                <w:bottom w:val="none" w:sz="0" w:space="0" w:color="auto"/>
                <w:right w:val="none" w:sz="0" w:space="0" w:color="auto"/>
              </w:divBdr>
            </w:div>
            <w:div w:id="2116167685">
              <w:marLeft w:val="0"/>
              <w:marRight w:val="0"/>
              <w:marTop w:val="0"/>
              <w:marBottom w:val="0"/>
              <w:divBdr>
                <w:top w:val="none" w:sz="0" w:space="0" w:color="auto"/>
                <w:left w:val="none" w:sz="0" w:space="0" w:color="auto"/>
                <w:bottom w:val="none" w:sz="0" w:space="0" w:color="auto"/>
                <w:right w:val="none" w:sz="0" w:space="0" w:color="auto"/>
              </w:divBdr>
            </w:div>
            <w:div w:id="2130389920">
              <w:marLeft w:val="0"/>
              <w:marRight w:val="0"/>
              <w:marTop w:val="0"/>
              <w:marBottom w:val="0"/>
              <w:divBdr>
                <w:top w:val="none" w:sz="0" w:space="0" w:color="auto"/>
                <w:left w:val="none" w:sz="0" w:space="0" w:color="auto"/>
                <w:bottom w:val="none" w:sz="0" w:space="0" w:color="auto"/>
                <w:right w:val="none" w:sz="0" w:space="0" w:color="auto"/>
              </w:divBdr>
            </w:div>
          </w:divsChild>
        </w:div>
        <w:div w:id="1507286702">
          <w:marLeft w:val="0"/>
          <w:marRight w:val="0"/>
          <w:marTop w:val="0"/>
          <w:marBottom w:val="0"/>
          <w:divBdr>
            <w:top w:val="none" w:sz="0" w:space="0" w:color="auto"/>
            <w:left w:val="none" w:sz="0" w:space="0" w:color="auto"/>
            <w:bottom w:val="none" w:sz="0" w:space="0" w:color="auto"/>
            <w:right w:val="none" w:sz="0" w:space="0" w:color="auto"/>
          </w:divBdr>
          <w:divsChild>
            <w:div w:id="505823158">
              <w:marLeft w:val="0"/>
              <w:marRight w:val="0"/>
              <w:marTop w:val="0"/>
              <w:marBottom w:val="0"/>
              <w:divBdr>
                <w:top w:val="none" w:sz="0" w:space="0" w:color="auto"/>
                <w:left w:val="none" w:sz="0" w:space="0" w:color="auto"/>
                <w:bottom w:val="none" w:sz="0" w:space="0" w:color="auto"/>
                <w:right w:val="none" w:sz="0" w:space="0" w:color="auto"/>
              </w:divBdr>
            </w:div>
            <w:div w:id="606431053">
              <w:marLeft w:val="0"/>
              <w:marRight w:val="0"/>
              <w:marTop w:val="0"/>
              <w:marBottom w:val="0"/>
              <w:divBdr>
                <w:top w:val="none" w:sz="0" w:space="0" w:color="auto"/>
                <w:left w:val="none" w:sz="0" w:space="0" w:color="auto"/>
                <w:bottom w:val="none" w:sz="0" w:space="0" w:color="auto"/>
                <w:right w:val="none" w:sz="0" w:space="0" w:color="auto"/>
              </w:divBdr>
            </w:div>
            <w:div w:id="957296786">
              <w:marLeft w:val="0"/>
              <w:marRight w:val="0"/>
              <w:marTop w:val="0"/>
              <w:marBottom w:val="0"/>
              <w:divBdr>
                <w:top w:val="none" w:sz="0" w:space="0" w:color="auto"/>
                <w:left w:val="none" w:sz="0" w:space="0" w:color="auto"/>
                <w:bottom w:val="none" w:sz="0" w:space="0" w:color="auto"/>
                <w:right w:val="none" w:sz="0" w:space="0" w:color="auto"/>
              </w:divBdr>
            </w:div>
            <w:div w:id="1150827103">
              <w:marLeft w:val="0"/>
              <w:marRight w:val="0"/>
              <w:marTop w:val="0"/>
              <w:marBottom w:val="0"/>
              <w:divBdr>
                <w:top w:val="none" w:sz="0" w:space="0" w:color="auto"/>
                <w:left w:val="none" w:sz="0" w:space="0" w:color="auto"/>
                <w:bottom w:val="none" w:sz="0" w:space="0" w:color="auto"/>
                <w:right w:val="none" w:sz="0" w:space="0" w:color="auto"/>
              </w:divBdr>
            </w:div>
            <w:div w:id="1479223903">
              <w:marLeft w:val="0"/>
              <w:marRight w:val="0"/>
              <w:marTop w:val="0"/>
              <w:marBottom w:val="0"/>
              <w:divBdr>
                <w:top w:val="none" w:sz="0" w:space="0" w:color="auto"/>
                <w:left w:val="none" w:sz="0" w:space="0" w:color="auto"/>
                <w:bottom w:val="none" w:sz="0" w:space="0" w:color="auto"/>
                <w:right w:val="none" w:sz="0" w:space="0" w:color="auto"/>
              </w:divBdr>
            </w:div>
          </w:divsChild>
        </w:div>
        <w:div w:id="1900050396">
          <w:marLeft w:val="0"/>
          <w:marRight w:val="0"/>
          <w:marTop w:val="0"/>
          <w:marBottom w:val="0"/>
          <w:divBdr>
            <w:top w:val="none" w:sz="0" w:space="0" w:color="auto"/>
            <w:left w:val="none" w:sz="0" w:space="0" w:color="auto"/>
            <w:bottom w:val="none" w:sz="0" w:space="0" w:color="auto"/>
            <w:right w:val="none" w:sz="0" w:space="0" w:color="auto"/>
          </w:divBdr>
          <w:divsChild>
            <w:div w:id="730345628">
              <w:marLeft w:val="0"/>
              <w:marRight w:val="0"/>
              <w:marTop w:val="0"/>
              <w:marBottom w:val="0"/>
              <w:divBdr>
                <w:top w:val="none" w:sz="0" w:space="0" w:color="auto"/>
                <w:left w:val="none" w:sz="0" w:space="0" w:color="auto"/>
                <w:bottom w:val="none" w:sz="0" w:space="0" w:color="auto"/>
                <w:right w:val="none" w:sz="0" w:space="0" w:color="auto"/>
              </w:divBdr>
            </w:div>
            <w:div w:id="1159074937">
              <w:marLeft w:val="0"/>
              <w:marRight w:val="0"/>
              <w:marTop w:val="0"/>
              <w:marBottom w:val="0"/>
              <w:divBdr>
                <w:top w:val="none" w:sz="0" w:space="0" w:color="auto"/>
                <w:left w:val="none" w:sz="0" w:space="0" w:color="auto"/>
                <w:bottom w:val="none" w:sz="0" w:space="0" w:color="auto"/>
                <w:right w:val="none" w:sz="0" w:space="0" w:color="auto"/>
              </w:divBdr>
            </w:div>
          </w:divsChild>
        </w:div>
        <w:div w:id="1946814103">
          <w:marLeft w:val="0"/>
          <w:marRight w:val="0"/>
          <w:marTop w:val="0"/>
          <w:marBottom w:val="0"/>
          <w:divBdr>
            <w:top w:val="none" w:sz="0" w:space="0" w:color="auto"/>
            <w:left w:val="none" w:sz="0" w:space="0" w:color="auto"/>
            <w:bottom w:val="none" w:sz="0" w:space="0" w:color="auto"/>
            <w:right w:val="none" w:sz="0" w:space="0" w:color="auto"/>
          </w:divBdr>
          <w:divsChild>
            <w:div w:id="147601858">
              <w:marLeft w:val="0"/>
              <w:marRight w:val="0"/>
              <w:marTop w:val="0"/>
              <w:marBottom w:val="0"/>
              <w:divBdr>
                <w:top w:val="none" w:sz="0" w:space="0" w:color="auto"/>
                <w:left w:val="none" w:sz="0" w:space="0" w:color="auto"/>
                <w:bottom w:val="none" w:sz="0" w:space="0" w:color="auto"/>
                <w:right w:val="none" w:sz="0" w:space="0" w:color="auto"/>
              </w:divBdr>
            </w:div>
            <w:div w:id="589706317">
              <w:marLeft w:val="0"/>
              <w:marRight w:val="0"/>
              <w:marTop w:val="0"/>
              <w:marBottom w:val="0"/>
              <w:divBdr>
                <w:top w:val="none" w:sz="0" w:space="0" w:color="auto"/>
                <w:left w:val="none" w:sz="0" w:space="0" w:color="auto"/>
                <w:bottom w:val="none" w:sz="0" w:space="0" w:color="auto"/>
                <w:right w:val="none" w:sz="0" w:space="0" w:color="auto"/>
              </w:divBdr>
            </w:div>
            <w:div w:id="18615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3279">
      <w:bodyDiv w:val="1"/>
      <w:marLeft w:val="0"/>
      <w:marRight w:val="0"/>
      <w:marTop w:val="0"/>
      <w:marBottom w:val="0"/>
      <w:divBdr>
        <w:top w:val="none" w:sz="0" w:space="0" w:color="auto"/>
        <w:left w:val="none" w:sz="0" w:space="0" w:color="auto"/>
        <w:bottom w:val="none" w:sz="0" w:space="0" w:color="auto"/>
        <w:right w:val="none" w:sz="0" w:space="0" w:color="auto"/>
      </w:divBdr>
      <w:divsChild>
        <w:div w:id="984629002">
          <w:marLeft w:val="0"/>
          <w:marRight w:val="0"/>
          <w:marTop w:val="0"/>
          <w:marBottom w:val="0"/>
          <w:divBdr>
            <w:top w:val="none" w:sz="0" w:space="0" w:color="auto"/>
            <w:left w:val="none" w:sz="0" w:space="0" w:color="auto"/>
            <w:bottom w:val="none" w:sz="0" w:space="0" w:color="auto"/>
            <w:right w:val="none" w:sz="0" w:space="0" w:color="auto"/>
          </w:divBdr>
          <w:divsChild>
            <w:div w:id="342779549">
              <w:marLeft w:val="0"/>
              <w:marRight w:val="0"/>
              <w:marTop w:val="0"/>
              <w:marBottom w:val="0"/>
              <w:divBdr>
                <w:top w:val="none" w:sz="0" w:space="0" w:color="auto"/>
                <w:left w:val="none" w:sz="0" w:space="0" w:color="auto"/>
                <w:bottom w:val="none" w:sz="0" w:space="0" w:color="auto"/>
                <w:right w:val="none" w:sz="0" w:space="0" w:color="auto"/>
              </w:divBdr>
            </w:div>
          </w:divsChild>
        </w:div>
        <w:div w:id="1014258699">
          <w:marLeft w:val="0"/>
          <w:marRight w:val="0"/>
          <w:marTop w:val="0"/>
          <w:marBottom w:val="0"/>
          <w:divBdr>
            <w:top w:val="none" w:sz="0" w:space="0" w:color="auto"/>
            <w:left w:val="none" w:sz="0" w:space="0" w:color="auto"/>
            <w:bottom w:val="none" w:sz="0" w:space="0" w:color="auto"/>
            <w:right w:val="none" w:sz="0" w:space="0" w:color="auto"/>
          </w:divBdr>
          <w:divsChild>
            <w:div w:id="1793090652">
              <w:marLeft w:val="0"/>
              <w:marRight w:val="0"/>
              <w:marTop w:val="0"/>
              <w:marBottom w:val="0"/>
              <w:divBdr>
                <w:top w:val="none" w:sz="0" w:space="0" w:color="auto"/>
                <w:left w:val="none" w:sz="0" w:space="0" w:color="auto"/>
                <w:bottom w:val="none" w:sz="0" w:space="0" w:color="auto"/>
                <w:right w:val="none" w:sz="0" w:space="0" w:color="auto"/>
              </w:divBdr>
            </w:div>
          </w:divsChild>
        </w:div>
        <w:div w:id="1211192215">
          <w:marLeft w:val="0"/>
          <w:marRight w:val="0"/>
          <w:marTop w:val="0"/>
          <w:marBottom w:val="0"/>
          <w:divBdr>
            <w:top w:val="none" w:sz="0" w:space="0" w:color="auto"/>
            <w:left w:val="none" w:sz="0" w:space="0" w:color="auto"/>
            <w:bottom w:val="none" w:sz="0" w:space="0" w:color="auto"/>
            <w:right w:val="none" w:sz="0" w:space="0" w:color="auto"/>
          </w:divBdr>
          <w:divsChild>
            <w:div w:id="520167928">
              <w:marLeft w:val="0"/>
              <w:marRight w:val="0"/>
              <w:marTop w:val="0"/>
              <w:marBottom w:val="0"/>
              <w:divBdr>
                <w:top w:val="none" w:sz="0" w:space="0" w:color="auto"/>
                <w:left w:val="none" w:sz="0" w:space="0" w:color="auto"/>
                <w:bottom w:val="none" w:sz="0" w:space="0" w:color="auto"/>
                <w:right w:val="none" w:sz="0" w:space="0" w:color="auto"/>
              </w:divBdr>
              <w:divsChild>
                <w:div w:id="1284581062">
                  <w:marLeft w:val="0"/>
                  <w:marRight w:val="0"/>
                  <w:marTop w:val="0"/>
                  <w:marBottom w:val="0"/>
                  <w:divBdr>
                    <w:top w:val="none" w:sz="0" w:space="0" w:color="auto"/>
                    <w:left w:val="none" w:sz="0" w:space="0" w:color="auto"/>
                    <w:bottom w:val="none" w:sz="0" w:space="0" w:color="auto"/>
                    <w:right w:val="none" w:sz="0" w:space="0" w:color="auto"/>
                  </w:divBdr>
                  <w:divsChild>
                    <w:div w:id="18364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38637">
              <w:marLeft w:val="0"/>
              <w:marRight w:val="0"/>
              <w:marTop w:val="0"/>
              <w:marBottom w:val="0"/>
              <w:divBdr>
                <w:top w:val="none" w:sz="0" w:space="0" w:color="auto"/>
                <w:left w:val="none" w:sz="0" w:space="0" w:color="auto"/>
                <w:bottom w:val="none" w:sz="0" w:space="0" w:color="auto"/>
                <w:right w:val="none" w:sz="0" w:space="0" w:color="auto"/>
              </w:divBdr>
              <w:divsChild>
                <w:div w:id="11415777">
                  <w:marLeft w:val="0"/>
                  <w:marRight w:val="0"/>
                  <w:marTop w:val="0"/>
                  <w:marBottom w:val="0"/>
                  <w:divBdr>
                    <w:top w:val="none" w:sz="0" w:space="0" w:color="auto"/>
                    <w:left w:val="none" w:sz="0" w:space="0" w:color="auto"/>
                    <w:bottom w:val="none" w:sz="0" w:space="0" w:color="auto"/>
                    <w:right w:val="none" w:sz="0" w:space="0" w:color="auto"/>
                  </w:divBdr>
                  <w:divsChild>
                    <w:div w:id="443765122">
                      <w:marLeft w:val="0"/>
                      <w:marRight w:val="0"/>
                      <w:marTop w:val="0"/>
                      <w:marBottom w:val="0"/>
                      <w:divBdr>
                        <w:top w:val="none" w:sz="0" w:space="0" w:color="auto"/>
                        <w:left w:val="none" w:sz="0" w:space="0" w:color="auto"/>
                        <w:bottom w:val="none" w:sz="0" w:space="0" w:color="auto"/>
                        <w:right w:val="none" w:sz="0" w:space="0" w:color="auto"/>
                      </w:divBdr>
                    </w:div>
                  </w:divsChild>
                </w:div>
                <w:div w:id="216555731">
                  <w:marLeft w:val="0"/>
                  <w:marRight w:val="0"/>
                  <w:marTop w:val="0"/>
                  <w:marBottom w:val="0"/>
                  <w:divBdr>
                    <w:top w:val="none" w:sz="0" w:space="0" w:color="auto"/>
                    <w:left w:val="none" w:sz="0" w:space="0" w:color="auto"/>
                    <w:bottom w:val="none" w:sz="0" w:space="0" w:color="auto"/>
                    <w:right w:val="none" w:sz="0" w:space="0" w:color="auto"/>
                  </w:divBdr>
                  <w:divsChild>
                    <w:div w:id="1104768602">
                      <w:marLeft w:val="0"/>
                      <w:marRight w:val="0"/>
                      <w:marTop w:val="0"/>
                      <w:marBottom w:val="0"/>
                      <w:divBdr>
                        <w:top w:val="none" w:sz="0" w:space="0" w:color="auto"/>
                        <w:left w:val="none" w:sz="0" w:space="0" w:color="auto"/>
                        <w:bottom w:val="none" w:sz="0" w:space="0" w:color="auto"/>
                        <w:right w:val="none" w:sz="0" w:space="0" w:color="auto"/>
                      </w:divBdr>
                      <w:divsChild>
                        <w:div w:id="882908844">
                          <w:marLeft w:val="0"/>
                          <w:marRight w:val="0"/>
                          <w:marTop w:val="0"/>
                          <w:marBottom w:val="0"/>
                          <w:divBdr>
                            <w:top w:val="none" w:sz="0" w:space="0" w:color="auto"/>
                            <w:left w:val="none" w:sz="0" w:space="0" w:color="auto"/>
                            <w:bottom w:val="none" w:sz="0" w:space="0" w:color="auto"/>
                            <w:right w:val="none" w:sz="0" w:space="0" w:color="auto"/>
                          </w:divBdr>
                          <w:divsChild>
                            <w:div w:id="6958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08962">
                      <w:marLeft w:val="0"/>
                      <w:marRight w:val="0"/>
                      <w:marTop w:val="0"/>
                      <w:marBottom w:val="0"/>
                      <w:divBdr>
                        <w:top w:val="none" w:sz="0" w:space="0" w:color="auto"/>
                        <w:left w:val="none" w:sz="0" w:space="0" w:color="auto"/>
                        <w:bottom w:val="none" w:sz="0" w:space="0" w:color="auto"/>
                        <w:right w:val="none" w:sz="0" w:space="0" w:color="auto"/>
                      </w:divBdr>
                      <w:divsChild>
                        <w:div w:id="1561792569">
                          <w:marLeft w:val="0"/>
                          <w:marRight w:val="0"/>
                          <w:marTop w:val="0"/>
                          <w:marBottom w:val="0"/>
                          <w:divBdr>
                            <w:top w:val="none" w:sz="0" w:space="0" w:color="auto"/>
                            <w:left w:val="none" w:sz="0" w:space="0" w:color="auto"/>
                            <w:bottom w:val="none" w:sz="0" w:space="0" w:color="auto"/>
                            <w:right w:val="none" w:sz="0" w:space="0" w:color="auto"/>
                          </w:divBdr>
                          <w:divsChild>
                            <w:div w:id="4309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1160">
                  <w:marLeft w:val="0"/>
                  <w:marRight w:val="0"/>
                  <w:marTop w:val="0"/>
                  <w:marBottom w:val="0"/>
                  <w:divBdr>
                    <w:top w:val="none" w:sz="0" w:space="0" w:color="auto"/>
                    <w:left w:val="none" w:sz="0" w:space="0" w:color="auto"/>
                    <w:bottom w:val="none" w:sz="0" w:space="0" w:color="auto"/>
                    <w:right w:val="none" w:sz="0" w:space="0" w:color="auto"/>
                  </w:divBdr>
                  <w:divsChild>
                    <w:div w:id="11928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7195">
              <w:marLeft w:val="0"/>
              <w:marRight w:val="0"/>
              <w:marTop w:val="0"/>
              <w:marBottom w:val="0"/>
              <w:divBdr>
                <w:top w:val="none" w:sz="0" w:space="0" w:color="auto"/>
                <w:left w:val="none" w:sz="0" w:space="0" w:color="auto"/>
                <w:bottom w:val="none" w:sz="0" w:space="0" w:color="auto"/>
                <w:right w:val="none" w:sz="0" w:space="0" w:color="auto"/>
              </w:divBdr>
              <w:divsChild>
                <w:div w:id="437986352">
                  <w:marLeft w:val="0"/>
                  <w:marRight w:val="0"/>
                  <w:marTop w:val="0"/>
                  <w:marBottom w:val="0"/>
                  <w:divBdr>
                    <w:top w:val="none" w:sz="0" w:space="0" w:color="auto"/>
                    <w:left w:val="none" w:sz="0" w:space="0" w:color="auto"/>
                    <w:bottom w:val="none" w:sz="0" w:space="0" w:color="auto"/>
                    <w:right w:val="none" w:sz="0" w:space="0" w:color="auto"/>
                  </w:divBdr>
                  <w:divsChild>
                    <w:div w:id="14104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944">
          <w:marLeft w:val="0"/>
          <w:marRight w:val="0"/>
          <w:marTop w:val="0"/>
          <w:marBottom w:val="0"/>
          <w:divBdr>
            <w:top w:val="none" w:sz="0" w:space="0" w:color="auto"/>
            <w:left w:val="none" w:sz="0" w:space="0" w:color="auto"/>
            <w:bottom w:val="none" w:sz="0" w:space="0" w:color="auto"/>
            <w:right w:val="none" w:sz="0" w:space="0" w:color="auto"/>
          </w:divBdr>
          <w:divsChild>
            <w:div w:id="19224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59093">
      <w:bodyDiv w:val="1"/>
      <w:marLeft w:val="0"/>
      <w:marRight w:val="0"/>
      <w:marTop w:val="0"/>
      <w:marBottom w:val="0"/>
      <w:divBdr>
        <w:top w:val="none" w:sz="0" w:space="0" w:color="auto"/>
        <w:left w:val="none" w:sz="0" w:space="0" w:color="auto"/>
        <w:bottom w:val="none" w:sz="0" w:space="0" w:color="auto"/>
        <w:right w:val="none" w:sz="0" w:space="0" w:color="auto"/>
      </w:divBdr>
      <w:divsChild>
        <w:div w:id="573978403">
          <w:marLeft w:val="0"/>
          <w:marRight w:val="0"/>
          <w:marTop w:val="0"/>
          <w:marBottom w:val="0"/>
          <w:divBdr>
            <w:top w:val="none" w:sz="0" w:space="0" w:color="auto"/>
            <w:left w:val="none" w:sz="0" w:space="0" w:color="auto"/>
            <w:bottom w:val="none" w:sz="0" w:space="0" w:color="auto"/>
            <w:right w:val="none" w:sz="0" w:space="0" w:color="auto"/>
          </w:divBdr>
          <w:divsChild>
            <w:div w:id="1744912242">
              <w:marLeft w:val="0"/>
              <w:marRight w:val="0"/>
              <w:marTop w:val="0"/>
              <w:marBottom w:val="0"/>
              <w:divBdr>
                <w:top w:val="none" w:sz="0" w:space="0" w:color="auto"/>
                <w:left w:val="none" w:sz="0" w:space="0" w:color="auto"/>
                <w:bottom w:val="none" w:sz="0" w:space="0" w:color="auto"/>
                <w:right w:val="none" w:sz="0" w:space="0" w:color="auto"/>
              </w:divBdr>
            </w:div>
          </w:divsChild>
        </w:div>
        <w:div w:id="1399981349">
          <w:marLeft w:val="0"/>
          <w:marRight w:val="0"/>
          <w:marTop w:val="0"/>
          <w:marBottom w:val="0"/>
          <w:divBdr>
            <w:top w:val="none" w:sz="0" w:space="0" w:color="auto"/>
            <w:left w:val="none" w:sz="0" w:space="0" w:color="auto"/>
            <w:bottom w:val="none" w:sz="0" w:space="0" w:color="auto"/>
            <w:right w:val="none" w:sz="0" w:space="0" w:color="auto"/>
          </w:divBdr>
          <w:divsChild>
            <w:div w:id="16279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3822">
      <w:bodyDiv w:val="1"/>
      <w:marLeft w:val="0"/>
      <w:marRight w:val="0"/>
      <w:marTop w:val="0"/>
      <w:marBottom w:val="0"/>
      <w:divBdr>
        <w:top w:val="none" w:sz="0" w:space="0" w:color="auto"/>
        <w:left w:val="none" w:sz="0" w:space="0" w:color="auto"/>
        <w:bottom w:val="none" w:sz="0" w:space="0" w:color="auto"/>
        <w:right w:val="none" w:sz="0" w:space="0" w:color="auto"/>
      </w:divBdr>
      <w:divsChild>
        <w:div w:id="749616711">
          <w:marLeft w:val="0"/>
          <w:marRight w:val="0"/>
          <w:marTop w:val="0"/>
          <w:marBottom w:val="0"/>
          <w:divBdr>
            <w:top w:val="none" w:sz="0" w:space="0" w:color="auto"/>
            <w:left w:val="none" w:sz="0" w:space="0" w:color="auto"/>
            <w:bottom w:val="none" w:sz="0" w:space="0" w:color="auto"/>
            <w:right w:val="none" w:sz="0" w:space="0" w:color="auto"/>
          </w:divBdr>
          <w:divsChild>
            <w:div w:id="522791476">
              <w:marLeft w:val="0"/>
              <w:marRight w:val="0"/>
              <w:marTop w:val="0"/>
              <w:marBottom w:val="0"/>
              <w:divBdr>
                <w:top w:val="none" w:sz="0" w:space="0" w:color="auto"/>
                <w:left w:val="none" w:sz="0" w:space="0" w:color="auto"/>
                <w:bottom w:val="none" w:sz="0" w:space="0" w:color="auto"/>
                <w:right w:val="none" w:sz="0" w:space="0" w:color="auto"/>
              </w:divBdr>
            </w:div>
          </w:divsChild>
        </w:div>
        <w:div w:id="1197625574">
          <w:marLeft w:val="0"/>
          <w:marRight w:val="0"/>
          <w:marTop w:val="0"/>
          <w:marBottom w:val="0"/>
          <w:divBdr>
            <w:top w:val="none" w:sz="0" w:space="0" w:color="auto"/>
            <w:left w:val="none" w:sz="0" w:space="0" w:color="auto"/>
            <w:bottom w:val="none" w:sz="0" w:space="0" w:color="auto"/>
            <w:right w:val="none" w:sz="0" w:space="0" w:color="auto"/>
          </w:divBdr>
          <w:divsChild>
            <w:div w:id="1634864688">
              <w:marLeft w:val="0"/>
              <w:marRight w:val="0"/>
              <w:marTop w:val="0"/>
              <w:marBottom w:val="0"/>
              <w:divBdr>
                <w:top w:val="none" w:sz="0" w:space="0" w:color="auto"/>
                <w:left w:val="none" w:sz="0" w:space="0" w:color="auto"/>
                <w:bottom w:val="none" w:sz="0" w:space="0" w:color="auto"/>
                <w:right w:val="none" w:sz="0" w:space="0" w:color="auto"/>
              </w:divBdr>
            </w:div>
          </w:divsChild>
        </w:div>
        <w:div w:id="1600869344">
          <w:marLeft w:val="0"/>
          <w:marRight w:val="0"/>
          <w:marTop w:val="0"/>
          <w:marBottom w:val="0"/>
          <w:divBdr>
            <w:top w:val="none" w:sz="0" w:space="0" w:color="auto"/>
            <w:left w:val="none" w:sz="0" w:space="0" w:color="auto"/>
            <w:bottom w:val="none" w:sz="0" w:space="0" w:color="auto"/>
            <w:right w:val="none" w:sz="0" w:space="0" w:color="auto"/>
          </w:divBdr>
          <w:divsChild>
            <w:div w:id="884751640">
              <w:marLeft w:val="0"/>
              <w:marRight w:val="0"/>
              <w:marTop w:val="0"/>
              <w:marBottom w:val="0"/>
              <w:divBdr>
                <w:top w:val="none" w:sz="0" w:space="0" w:color="auto"/>
                <w:left w:val="none" w:sz="0" w:space="0" w:color="auto"/>
                <w:bottom w:val="none" w:sz="0" w:space="0" w:color="auto"/>
                <w:right w:val="none" w:sz="0" w:space="0" w:color="auto"/>
              </w:divBdr>
            </w:div>
          </w:divsChild>
        </w:div>
        <w:div w:id="1752696108">
          <w:marLeft w:val="0"/>
          <w:marRight w:val="0"/>
          <w:marTop w:val="0"/>
          <w:marBottom w:val="0"/>
          <w:divBdr>
            <w:top w:val="none" w:sz="0" w:space="0" w:color="auto"/>
            <w:left w:val="none" w:sz="0" w:space="0" w:color="auto"/>
            <w:bottom w:val="none" w:sz="0" w:space="0" w:color="auto"/>
            <w:right w:val="none" w:sz="0" w:space="0" w:color="auto"/>
          </w:divBdr>
          <w:divsChild>
            <w:div w:id="66462818">
              <w:marLeft w:val="0"/>
              <w:marRight w:val="0"/>
              <w:marTop w:val="0"/>
              <w:marBottom w:val="0"/>
              <w:divBdr>
                <w:top w:val="none" w:sz="0" w:space="0" w:color="auto"/>
                <w:left w:val="none" w:sz="0" w:space="0" w:color="auto"/>
                <w:bottom w:val="none" w:sz="0" w:space="0" w:color="auto"/>
                <w:right w:val="none" w:sz="0" w:space="0" w:color="auto"/>
              </w:divBdr>
              <w:divsChild>
                <w:div w:id="893010573">
                  <w:marLeft w:val="0"/>
                  <w:marRight w:val="0"/>
                  <w:marTop w:val="0"/>
                  <w:marBottom w:val="0"/>
                  <w:divBdr>
                    <w:top w:val="none" w:sz="0" w:space="0" w:color="auto"/>
                    <w:left w:val="none" w:sz="0" w:space="0" w:color="auto"/>
                    <w:bottom w:val="none" w:sz="0" w:space="0" w:color="auto"/>
                    <w:right w:val="none" w:sz="0" w:space="0" w:color="auto"/>
                  </w:divBdr>
                  <w:divsChild>
                    <w:div w:id="210533251">
                      <w:marLeft w:val="0"/>
                      <w:marRight w:val="0"/>
                      <w:marTop w:val="0"/>
                      <w:marBottom w:val="0"/>
                      <w:divBdr>
                        <w:top w:val="none" w:sz="0" w:space="0" w:color="auto"/>
                        <w:left w:val="none" w:sz="0" w:space="0" w:color="auto"/>
                        <w:bottom w:val="none" w:sz="0" w:space="0" w:color="auto"/>
                        <w:right w:val="none" w:sz="0" w:space="0" w:color="auto"/>
                      </w:divBdr>
                      <w:divsChild>
                        <w:div w:id="1617640699">
                          <w:marLeft w:val="0"/>
                          <w:marRight w:val="0"/>
                          <w:marTop w:val="0"/>
                          <w:marBottom w:val="0"/>
                          <w:divBdr>
                            <w:top w:val="none" w:sz="0" w:space="0" w:color="auto"/>
                            <w:left w:val="none" w:sz="0" w:space="0" w:color="auto"/>
                            <w:bottom w:val="none" w:sz="0" w:space="0" w:color="auto"/>
                            <w:right w:val="none" w:sz="0" w:space="0" w:color="auto"/>
                          </w:divBdr>
                          <w:divsChild>
                            <w:div w:id="180650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11580">
                      <w:marLeft w:val="0"/>
                      <w:marRight w:val="0"/>
                      <w:marTop w:val="0"/>
                      <w:marBottom w:val="0"/>
                      <w:divBdr>
                        <w:top w:val="none" w:sz="0" w:space="0" w:color="auto"/>
                        <w:left w:val="none" w:sz="0" w:space="0" w:color="auto"/>
                        <w:bottom w:val="none" w:sz="0" w:space="0" w:color="auto"/>
                        <w:right w:val="none" w:sz="0" w:space="0" w:color="auto"/>
                      </w:divBdr>
                      <w:divsChild>
                        <w:div w:id="1625117642">
                          <w:marLeft w:val="0"/>
                          <w:marRight w:val="0"/>
                          <w:marTop w:val="0"/>
                          <w:marBottom w:val="0"/>
                          <w:divBdr>
                            <w:top w:val="none" w:sz="0" w:space="0" w:color="auto"/>
                            <w:left w:val="none" w:sz="0" w:space="0" w:color="auto"/>
                            <w:bottom w:val="none" w:sz="0" w:space="0" w:color="auto"/>
                            <w:right w:val="none" w:sz="0" w:space="0" w:color="auto"/>
                          </w:divBdr>
                          <w:divsChild>
                            <w:div w:id="18141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9778">
                  <w:marLeft w:val="0"/>
                  <w:marRight w:val="0"/>
                  <w:marTop w:val="0"/>
                  <w:marBottom w:val="0"/>
                  <w:divBdr>
                    <w:top w:val="none" w:sz="0" w:space="0" w:color="auto"/>
                    <w:left w:val="none" w:sz="0" w:space="0" w:color="auto"/>
                    <w:bottom w:val="none" w:sz="0" w:space="0" w:color="auto"/>
                    <w:right w:val="none" w:sz="0" w:space="0" w:color="auto"/>
                  </w:divBdr>
                  <w:divsChild>
                    <w:div w:id="1361860636">
                      <w:marLeft w:val="0"/>
                      <w:marRight w:val="0"/>
                      <w:marTop w:val="0"/>
                      <w:marBottom w:val="0"/>
                      <w:divBdr>
                        <w:top w:val="none" w:sz="0" w:space="0" w:color="auto"/>
                        <w:left w:val="none" w:sz="0" w:space="0" w:color="auto"/>
                        <w:bottom w:val="none" w:sz="0" w:space="0" w:color="auto"/>
                        <w:right w:val="none" w:sz="0" w:space="0" w:color="auto"/>
                      </w:divBdr>
                    </w:div>
                  </w:divsChild>
                </w:div>
                <w:div w:id="1430349004">
                  <w:marLeft w:val="0"/>
                  <w:marRight w:val="0"/>
                  <w:marTop w:val="0"/>
                  <w:marBottom w:val="0"/>
                  <w:divBdr>
                    <w:top w:val="none" w:sz="0" w:space="0" w:color="auto"/>
                    <w:left w:val="none" w:sz="0" w:space="0" w:color="auto"/>
                    <w:bottom w:val="none" w:sz="0" w:space="0" w:color="auto"/>
                    <w:right w:val="none" w:sz="0" w:space="0" w:color="auto"/>
                  </w:divBdr>
                  <w:divsChild>
                    <w:div w:id="9540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532">
              <w:marLeft w:val="0"/>
              <w:marRight w:val="0"/>
              <w:marTop w:val="0"/>
              <w:marBottom w:val="0"/>
              <w:divBdr>
                <w:top w:val="none" w:sz="0" w:space="0" w:color="auto"/>
                <w:left w:val="none" w:sz="0" w:space="0" w:color="auto"/>
                <w:bottom w:val="none" w:sz="0" w:space="0" w:color="auto"/>
                <w:right w:val="none" w:sz="0" w:space="0" w:color="auto"/>
              </w:divBdr>
              <w:divsChild>
                <w:div w:id="1641571278">
                  <w:marLeft w:val="0"/>
                  <w:marRight w:val="0"/>
                  <w:marTop w:val="0"/>
                  <w:marBottom w:val="0"/>
                  <w:divBdr>
                    <w:top w:val="none" w:sz="0" w:space="0" w:color="auto"/>
                    <w:left w:val="none" w:sz="0" w:space="0" w:color="auto"/>
                    <w:bottom w:val="none" w:sz="0" w:space="0" w:color="auto"/>
                    <w:right w:val="none" w:sz="0" w:space="0" w:color="auto"/>
                  </w:divBdr>
                  <w:divsChild>
                    <w:div w:id="10958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6109">
              <w:marLeft w:val="0"/>
              <w:marRight w:val="0"/>
              <w:marTop w:val="0"/>
              <w:marBottom w:val="0"/>
              <w:divBdr>
                <w:top w:val="none" w:sz="0" w:space="0" w:color="auto"/>
                <w:left w:val="none" w:sz="0" w:space="0" w:color="auto"/>
                <w:bottom w:val="none" w:sz="0" w:space="0" w:color="auto"/>
                <w:right w:val="none" w:sz="0" w:space="0" w:color="auto"/>
              </w:divBdr>
              <w:divsChild>
                <w:div w:id="672729335">
                  <w:marLeft w:val="0"/>
                  <w:marRight w:val="0"/>
                  <w:marTop w:val="0"/>
                  <w:marBottom w:val="0"/>
                  <w:divBdr>
                    <w:top w:val="none" w:sz="0" w:space="0" w:color="auto"/>
                    <w:left w:val="none" w:sz="0" w:space="0" w:color="auto"/>
                    <w:bottom w:val="none" w:sz="0" w:space="0" w:color="auto"/>
                    <w:right w:val="none" w:sz="0" w:space="0" w:color="auto"/>
                  </w:divBdr>
                  <w:divsChild>
                    <w:div w:id="10236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725091">
      <w:bodyDiv w:val="1"/>
      <w:marLeft w:val="0"/>
      <w:marRight w:val="0"/>
      <w:marTop w:val="0"/>
      <w:marBottom w:val="0"/>
      <w:divBdr>
        <w:top w:val="none" w:sz="0" w:space="0" w:color="auto"/>
        <w:left w:val="none" w:sz="0" w:space="0" w:color="auto"/>
        <w:bottom w:val="none" w:sz="0" w:space="0" w:color="auto"/>
        <w:right w:val="none" w:sz="0" w:space="0" w:color="auto"/>
      </w:divBdr>
    </w:div>
    <w:div w:id="211833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groups/government-banking-service-gbs" TargetMode="External"/><Relationship Id="rId18" Type="http://schemas.openxmlformats.org/officeDocument/2006/relationships/hyperlink" Target="https://www.gov.uk/find-tender" TargetMode="External"/><Relationship Id="rId26" Type="http://schemas.openxmlformats.org/officeDocument/2006/relationships/hyperlink" Target="https://www.gov.uk/government/publications/social-value-act-information-and-resources/social-value-act-information-and-resources" TargetMode="External"/><Relationship Id="rId39"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gov.uk/government/publications/ppn-006-taking-account-of-carbon-reduction-plans-in-the-procurement-of-major-government-contract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ocial-value-act-information-and-resources/social-value-act-information-and-resources" TargetMode="External"/><Relationship Id="rId25" Type="http://schemas.openxmlformats.org/officeDocument/2006/relationships/hyperlink" Target="https://www.gov.uk/government/collections/model-services-contract" TargetMode="External"/><Relationship Id="rId33" Type="http://schemas.openxmlformats.org/officeDocument/2006/relationships/hyperlink" Target="https://www.gov.uk/government/publications/ppn-009-tackling-modern-slavery-in-government-supply-chains/ppn-009-tackling-modern-slavery-in-government-supply-chains-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header" Target="header2.xml"/><Relationship Id="rId29" Type="http://schemas.openxmlformats.org/officeDocument/2006/relationships/hyperlink" Target="https://www.gov.uk/find-tend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government-security-classifications/government-security-classifications-policy-html" TargetMode="External"/><Relationship Id="rId23" Type="http://schemas.openxmlformats.org/officeDocument/2006/relationships/header" Target="header3.xml"/><Relationship Id="rId28" Type="http://schemas.openxmlformats.org/officeDocument/2006/relationships/package" Target="embeddings/Microsoft_Word_Document.docx"/><Relationship Id="rId36" Type="http://schemas.openxmlformats.org/officeDocument/2006/relationships/hyperlink" Target="https://www.gov.uk/government/publications/ppn-006-taking-account-of-carbon-reduction-plans-in-the-procurement-of-major-government-contracts"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www.gov.uk/government/publications/business-payment-practices-and-performance-reporting-require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find-tender" TargetMode="External"/><Relationship Id="rId22" Type="http://schemas.openxmlformats.org/officeDocument/2006/relationships/footer" Target="footer2.xml"/><Relationship Id="rId27" Type="http://schemas.openxmlformats.org/officeDocument/2006/relationships/image" Target="media/image2.emf"/><Relationship Id="rId30" Type="http://schemas.openxmlformats.org/officeDocument/2006/relationships/hyperlink" Target="https://www.gov.uk/government/publications/ppn-015-how-to-take-account-of-a-suppliers-approach-to-payment-in-the-procurement-of-major-contracts/ppn-015-taking-account-of-a-suppliers-approach-to-payment-in-the-procurement-of-major-contracts-html" TargetMode="External"/><Relationship Id="rId35" Type="http://schemas.openxmlformats.org/officeDocument/2006/relationships/hyperlink" Target="https://assets.publishing.service.gov.uk/media/67b716f078dd6cacb71c6a87/2025-02-05_PPN_006_Guidance_on_taking_account_of_carbon_reduction_plans_-_adopting_and_applying_conditions_of_participation.docx.pdf" TargetMode="External"/></Relationships>
</file>

<file path=word/documenttasks/documenttasks1.xml><?xml version="1.0" encoding="utf-8"?>
<t:Tasks xmlns:t="http://schemas.microsoft.com/office/tasks/2019/documenttasks" xmlns:oel="http://schemas.microsoft.com/office/2019/extlst">
  <t:Task id="{E1F7D430-8AB6-4F0D-AB28-03077F071E7A}">
    <t:Anchor>
      <t:Comment id="1123690804"/>
    </t:Anchor>
    <t:History>
      <t:Event id="{A579573F-1DD1-4FDB-9845-45F583D7E79D}" time="2025-06-12T12:57:39.68Z">
        <t:Attribution userId="S::eamonn.coyle@hmrc.gov.uk::2fc0b566-0376-4851-9608-526feb227ec7" userProvider="AD" userName="Coyle, Eamonn (CDIO)"/>
        <t:Anchor>
          <t:Comment id="430015053"/>
        </t:Anchor>
        <t:Create/>
      </t:Event>
      <t:Event id="{986380F9-31BB-4925-B79C-2C6B7E9AC062}" time="2025-06-12T12:57:39.68Z">
        <t:Attribution userId="S::eamonn.coyle@hmrc.gov.uk::2fc0b566-0376-4851-9608-526feb227ec7" userProvider="AD" userName="Coyle, Eamonn (CDIO)"/>
        <t:Anchor>
          <t:Comment id="430015053"/>
        </t:Anchor>
        <t:Assign userId="S::chris.woods@hmrc.gov.uk::889f7d7a-5761-44d9-a546-2da0fb5471f2" userProvider="AD" userName="Woods, Chris (CDIO)"/>
      </t:Event>
      <t:Event id="{3F6CB9A7-4BB1-4E24-812F-237B61235012}" time="2025-06-12T12:57:39.68Z">
        <t:Attribution userId="S::eamonn.coyle@hmrc.gov.uk::2fc0b566-0376-4851-9608-526feb227ec7" userProvider="AD" userName="Coyle, Eamonn (CDIO)"/>
        <t:Anchor>
          <t:Comment id="430015053"/>
        </t:Anchor>
        <t:SetTitle title="Agree this should be sub criteria @Woods, Chris (CDIO) "/>
      </t:Event>
      <t:Event id="{BF26591E-F5BC-4526-851E-C4646D8C993F}" time="2025-06-12T13:05:44.39Z">
        <t:Attribution userId="S::chris.woods@hmrc.gov.uk::889f7d7a-5761-44d9-a546-2da0fb5471f2" userProvider="AD" userName="Woods, Chris (CDI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2412D44BD44469F52023AF9F35AAD" ma:contentTypeVersion="10" ma:contentTypeDescription="Create a new document." ma:contentTypeScope="" ma:versionID="457cd8c60c0ae048c1e24fc55275a66c">
  <xsd:schema xmlns:xsd="http://www.w3.org/2001/XMLSchema" xmlns:xs="http://www.w3.org/2001/XMLSchema" xmlns:p="http://schemas.microsoft.com/office/2006/metadata/properties" xmlns:ns2="d586cfcb-98ea-4836-888e-3ef3e3d266d1" targetNamespace="http://schemas.microsoft.com/office/2006/metadata/properties" ma:root="true" ma:fieldsID="2a2e5d47e64b12d7dfab66393926ccb4" ns2:_="">
    <xsd:import namespace="d586cfcb-98ea-4836-888e-3ef3e3d266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cfcb-98ea-4836-888e-3ef3e3d26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erties xmlns="http://www.imanage.com/work/xmlschema">
  <documentid>UKMATTERS!206177224.1</documentid>
  <senderid>104070</senderid>
  <senderemail>MARTYN.SCOTT@DLAPIPER.COM</senderemail>
  <lastmodified>2025-06-23T15:42:00.0000000+01:00</lastmodified>
  <database>UKMATTERS</database>
</properties>
</file>

<file path=customXml/itemProps1.xml><?xml version="1.0" encoding="utf-8"?>
<ds:datastoreItem xmlns:ds="http://schemas.openxmlformats.org/officeDocument/2006/customXml" ds:itemID="{ECFE117E-B29E-44E9-9235-ACBDEDC73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cfcb-98ea-4836-888e-3ef3e3d26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4289A-5B92-468E-9AEF-ACA207295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5407A6-73D2-4B84-8C98-A975F9DC1B00}">
  <ds:schemaRefs>
    <ds:schemaRef ds:uri="http://schemas.openxmlformats.org/officeDocument/2006/bibliography"/>
  </ds:schemaRefs>
</ds:datastoreItem>
</file>

<file path=customXml/itemProps4.xml><?xml version="1.0" encoding="utf-8"?>
<ds:datastoreItem xmlns:ds="http://schemas.openxmlformats.org/officeDocument/2006/customXml" ds:itemID="{E54AA4B8-D084-4681-BC37-CE93214C6A99}">
  <ds:schemaRefs>
    <ds:schemaRef ds:uri="http://schemas.microsoft.com/sharepoint/v3/contenttype/forms"/>
  </ds:schemaRefs>
</ds:datastoreItem>
</file>

<file path=customXml/itemProps5.xml><?xml version="1.0" encoding="utf-8"?>
<ds:datastoreItem xmlns:ds="http://schemas.openxmlformats.org/officeDocument/2006/customXml" ds:itemID="{66C82FCB-C08E-44BF-83CB-BDF7FCEAD3E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23330</Words>
  <Characters>132983</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156001</CharactersWithSpaces>
  <SharedDoc>false</SharedDoc>
  <HLinks>
    <vt:vector size="96" baseType="variant">
      <vt:variant>
        <vt:i4>1179715</vt:i4>
      </vt:variant>
      <vt:variant>
        <vt:i4>279</vt:i4>
      </vt:variant>
      <vt:variant>
        <vt:i4>0</vt:i4>
      </vt:variant>
      <vt:variant>
        <vt:i4>5</vt:i4>
      </vt:variant>
      <vt:variant>
        <vt:lpwstr>https://www.gov.uk/government/publications/ppn-006-taking-account-of-carbon-reduction-plans-in-the-procurement-of-major-government-contracts</vt:lpwstr>
      </vt:variant>
      <vt:variant>
        <vt:lpwstr/>
      </vt:variant>
      <vt:variant>
        <vt:i4>6488156</vt:i4>
      </vt:variant>
      <vt:variant>
        <vt:i4>276</vt:i4>
      </vt:variant>
      <vt:variant>
        <vt:i4>0</vt:i4>
      </vt:variant>
      <vt:variant>
        <vt:i4>5</vt:i4>
      </vt:variant>
      <vt:variant>
        <vt:lpwstr>https://assets.publishing.service.gov.uk/media/67b716f078dd6cacb71c6a87/2025-02-05_PPN_006_Guidance_on_taking_account_of_carbon_reduction_plans_-_adopting_and_applying_conditions_of_participation.docx.pdf</vt:lpwstr>
      </vt:variant>
      <vt:variant>
        <vt:lpwstr/>
      </vt:variant>
      <vt:variant>
        <vt:i4>1179715</vt:i4>
      </vt:variant>
      <vt:variant>
        <vt:i4>273</vt:i4>
      </vt:variant>
      <vt:variant>
        <vt:i4>0</vt:i4>
      </vt:variant>
      <vt:variant>
        <vt:i4>5</vt:i4>
      </vt:variant>
      <vt:variant>
        <vt:lpwstr>https://www.gov.uk/government/publications/ppn-006-taking-account-of-carbon-reduction-plans-in-the-procurement-of-major-government-contracts</vt:lpwstr>
      </vt:variant>
      <vt:variant>
        <vt:lpwstr/>
      </vt:variant>
      <vt:variant>
        <vt:i4>3801146</vt:i4>
      </vt:variant>
      <vt:variant>
        <vt:i4>249</vt:i4>
      </vt:variant>
      <vt:variant>
        <vt:i4>0</vt:i4>
      </vt:variant>
      <vt:variant>
        <vt:i4>5</vt:i4>
      </vt:variant>
      <vt:variant>
        <vt:lpwstr>https://www.gov.uk/government/publications/ppn-009-tackling-modern-slavery-in-government-supply-chains/ppn-009-tackling-modern-slavery-in-government-supply-chains-html</vt:lpwstr>
      </vt:variant>
      <vt:variant>
        <vt:lpwstr/>
      </vt:variant>
      <vt:variant>
        <vt:i4>3997818</vt:i4>
      </vt:variant>
      <vt:variant>
        <vt:i4>234</vt:i4>
      </vt:variant>
      <vt:variant>
        <vt:i4>0</vt:i4>
      </vt:variant>
      <vt:variant>
        <vt:i4>5</vt:i4>
      </vt:variant>
      <vt:variant>
        <vt:lpwstr>https://www.gov.uk/government/publications/ppn-006-taking-account-of-carbon-reduction-plans-in-the-procurement-of-major-government-contracts/ppn-006-taking-account-of-carbon-reduction-plans-html</vt:lpwstr>
      </vt:variant>
      <vt:variant>
        <vt:lpwstr/>
      </vt:variant>
      <vt:variant>
        <vt:i4>3014712</vt:i4>
      </vt:variant>
      <vt:variant>
        <vt:i4>225</vt:i4>
      </vt:variant>
      <vt:variant>
        <vt:i4>0</vt:i4>
      </vt:variant>
      <vt:variant>
        <vt:i4>5</vt:i4>
      </vt:variant>
      <vt:variant>
        <vt:lpwstr>http://www.gov.uk/government/publications/business-payment-practices-and-performance-reporting-requirements</vt:lpwstr>
      </vt:variant>
      <vt:variant>
        <vt:lpwstr/>
      </vt:variant>
      <vt:variant>
        <vt:i4>5374032</vt:i4>
      </vt:variant>
      <vt:variant>
        <vt:i4>204</vt:i4>
      </vt:variant>
      <vt:variant>
        <vt:i4>0</vt:i4>
      </vt:variant>
      <vt:variant>
        <vt:i4>5</vt:i4>
      </vt:variant>
      <vt:variant>
        <vt:lpwstr>https://www.gov.uk/government/publications/ppn-015-how-to-take-account-of-a-suppliers-approach-to-payment-in-the-procurement-of-major-contracts/ppn-015-taking-account-of-a-suppliers-approach-to-payment-in-the-procurement-of-major-contracts-html</vt:lpwstr>
      </vt:variant>
      <vt:variant>
        <vt:lpwstr/>
      </vt:variant>
      <vt:variant>
        <vt:i4>3407993</vt:i4>
      </vt:variant>
      <vt:variant>
        <vt:i4>99</vt:i4>
      </vt:variant>
      <vt:variant>
        <vt:i4>0</vt:i4>
      </vt:variant>
      <vt:variant>
        <vt:i4>5</vt:i4>
      </vt:variant>
      <vt:variant>
        <vt:lpwstr>https://www.gov.uk/find-tender</vt:lpwstr>
      </vt:variant>
      <vt:variant>
        <vt:lpwstr/>
      </vt:variant>
      <vt:variant>
        <vt:i4>4522009</vt:i4>
      </vt:variant>
      <vt:variant>
        <vt:i4>93</vt:i4>
      </vt:variant>
      <vt:variant>
        <vt:i4>0</vt:i4>
      </vt:variant>
      <vt:variant>
        <vt:i4>5</vt:i4>
      </vt:variant>
      <vt:variant>
        <vt:lpwstr>https://www.gov.uk/government/publications/social-value-act-information-and-resources/social-value-act-information-and-resources</vt:lpwstr>
      </vt:variant>
      <vt:variant>
        <vt:lpwstr/>
      </vt:variant>
      <vt:variant>
        <vt:i4>6094915</vt:i4>
      </vt:variant>
      <vt:variant>
        <vt:i4>90</vt:i4>
      </vt:variant>
      <vt:variant>
        <vt:i4>0</vt:i4>
      </vt:variant>
      <vt:variant>
        <vt:i4>5</vt:i4>
      </vt:variant>
      <vt:variant>
        <vt:lpwstr>https://www.gov.uk/government/collections/model-services-contract</vt:lpwstr>
      </vt:variant>
      <vt:variant>
        <vt:lpwstr/>
      </vt:variant>
      <vt:variant>
        <vt:i4>3407993</vt:i4>
      </vt:variant>
      <vt:variant>
        <vt:i4>87</vt:i4>
      </vt:variant>
      <vt:variant>
        <vt:i4>0</vt:i4>
      </vt:variant>
      <vt:variant>
        <vt:i4>5</vt:i4>
      </vt:variant>
      <vt:variant>
        <vt:lpwstr>https://www.gov.uk/find-tender</vt:lpwstr>
      </vt:variant>
      <vt:variant>
        <vt:lpwstr/>
      </vt:variant>
      <vt:variant>
        <vt:i4>4522009</vt:i4>
      </vt:variant>
      <vt:variant>
        <vt:i4>84</vt:i4>
      </vt:variant>
      <vt:variant>
        <vt:i4>0</vt:i4>
      </vt:variant>
      <vt:variant>
        <vt:i4>5</vt:i4>
      </vt:variant>
      <vt:variant>
        <vt:lpwstr>https://www.gov.uk/government/publications/social-value-act-information-and-resources/social-value-act-information-and-resources</vt:lpwstr>
      </vt:variant>
      <vt:variant>
        <vt:lpwstr/>
      </vt:variant>
      <vt:variant>
        <vt:i4>8323114</vt:i4>
      </vt:variant>
      <vt:variant>
        <vt:i4>75</vt:i4>
      </vt:variant>
      <vt:variant>
        <vt:i4>0</vt:i4>
      </vt:variant>
      <vt:variant>
        <vt:i4>5</vt:i4>
      </vt:variant>
      <vt:variant>
        <vt:lpwstr>http://www.ico.org.uk/</vt:lpwstr>
      </vt:variant>
      <vt:variant>
        <vt:lpwstr/>
      </vt:variant>
      <vt:variant>
        <vt:i4>7667764</vt:i4>
      </vt:variant>
      <vt:variant>
        <vt:i4>72</vt:i4>
      </vt:variant>
      <vt:variant>
        <vt:i4>0</vt:i4>
      </vt:variant>
      <vt:variant>
        <vt:i4>5</vt:i4>
      </vt:variant>
      <vt:variant>
        <vt:lpwstr>https://www.gov.uk/government/publications/government-security-classifications/government-security-classifications-policy-html</vt:lpwstr>
      </vt:variant>
      <vt:variant>
        <vt:lpwstr/>
      </vt:variant>
      <vt:variant>
        <vt:i4>3407993</vt:i4>
      </vt:variant>
      <vt:variant>
        <vt:i4>69</vt:i4>
      </vt:variant>
      <vt:variant>
        <vt:i4>0</vt:i4>
      </vt:variant>
      <vt:variant>
        <vt:i4>5</vt:i4>
      </vt:variant>
      <vt:variant>
        <vt:lpwstr>https://www.gov.uk/find-tender</vt:lpwstr>
      </vt:variant>
      <vt:variant>
        <vt:lpwstr/>
      </vt:variant>
      <vt:variant>
        <vt:i4>6422580</vt:i4>
      </vt:variant>
      <vt:variant>
        <vt:i4>63</vt:i4>
      </vt:variant>
      <vt:variant>
        <vt:i4>0</vt:i4>
      </vt:variant>
      <vt:variant>
        <vt:i4>5</vt:i4>
      </vt:variant>
      <vt:variant>
        <vt:lpwstr>https://www.gov.uk/government/groups/government-banking-service-gbs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Dixon</cp:lastModifiedBy>
  <cp:revision>72</cp:revision>
  <cp:lastPrinted>2025-06-13T04:33:00Z</cp:lastPrinted>
  <dcterms:created xsi:type="dcterms:W3CDTF">2025-06-26T12:24:00Z</dcterms:created>
  <dcterms:modified xsi:type="dcterms:W3CDTF">2025-06-26T14:47:00Z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2021-05-18T12:48:59Z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b616b3ed-4ffa-481c-b8b7-3ccc7dc433a6</vt:lpwstr>
  </property>
  <property fmtid="{D5CDD505-2E9C-101B-9397-08002B2CF9AE}" pid="8" name="MSIP_Label_f9af038e-07b4-4369-a678-c835687cb272_ContentBits">
    <vt:lpwstr>2</vt:lpwstr>
  </property>
  <property fmtid="{D5CDD505-2E9C-101B-9397-08002B2CF9AE}" pid="9" name="ContentTypeId">
    <vt:lpwstr>0x010100C1B2412D44BD44469F52023AF9F35AAD</vt:lpwstr>
  </property>
  <property fmtid="{D5CDD505-2E9C-101B-9397-08002B2CF9AE}" pid="10" name="MediaServiceImageTags">
    <vt:lpwstr/>
  </property>
  <property fmtid="{D5CDD505-2E9C-101B-9397-08002B2CF9AE}" pid="11" name="Plato EditorId">
    <vt:lpwstr>8bd07428-e338-411a-aeb9-4fead5c98872</vt:lpwstr>
  </property>
</Properties>
</file>