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5B77" w14:textId="6E843428" w:rsidR="006817F4" w:rsidRDefault="003D35BA" w:rsidP="003D35BA">
      <w:pPr>
        <w:pStyle w:val="Title"/>
        <w:rPr>
          <w:lang w:val="en-US"/>
        </w:rPr>
      </w:pPr>
      <w:r>
        <w:rPr>
          <w:lang w:val="en-US"/>
        </w:rPr>
        <w:t>Cranbrook Town Council</w:t>
      </w:r>
    </w:p>
    <w:p w14:paraId="6D78A91D" w14:textId="3C5ACC8F" w:rsidR="003D35BA" w:rsidRDefault="003D35BA" w:rsidP="003D35BA">
      <w:pPr>
        <w:pStyle w:val="Title"/>
        <w:rPr>
          <w:lang w:val="en-US"/>
        </w:rPr>
      </w:pPr>
      <w:r>
        <w:rPr>
          <w:lang w:val="en-US"/>
        </w:rPr>
        <w:t>Country Park Path Management Plan</w:t>
      </w:r>
    </w:p>
    <w:p w14:paraId="5F7662E7" w14:textId="77777777" w:rsidR="003D35BA" w:rsidRDefault="003D35BA" w:rsidP="003D35BA">
      <w:pPr>
        <w:rPr>
          <w:lang w:val="en-US"/>
        </w:rPr>
      </w:pPr>
    </w:p>
    <w:p w14:paraId="48C5672F" w14:textId="4E148E1B" w:rsidR="003D35BA" w:rsidRPr="003D35BA" w:rsidRDefault="003D35BA" w:rsidP="003D35BA">
      <w:pPr>
        <w:pStyle w:val="ListParagraph"/>
        <w:numPr>
          <w:ilvl w:val="0"/>
          <w:numId w:val="6"/>
        </w:numPr>
        <w:rPr>
          <w:rStyle w:val="Heading1Char"/>
          <w:rFonts w:eastAsiaTheme="minorHAnsi"/>
        </w:rPr>
      </w:pPr>
      <w:r w:rsidRPr="003D35BA">
        <w:rPr>
          <w:rStyle w:val="Heading1Char"/>
          <w:rFonts w:eastAsiaTheme="minorHAnsi"/>
        </w:rPr>
        <w:t>Introduction</w:t>
      </w:r>
    </w:p>
    <w:p w14:paraId="15AC92DE" w14:textId="256C05A5" w:rsidR="003D35BA" w:rsidRDefault="003D35BA" w:rsidP="003D35BA">
      <w:r w:rsidRPr="003D35BA">
        <w:br/>
        <w:t xml:space="preserve">To ensure that the pathways in the </w:t>
      </w:r>
      <w:r>
        <w:t>C</w:t>
      </w:r>
      <w:r w:rsidRPr="003D35BA">
        <w:t xml:space="preserve">ountry </w:t>
      </w:r>
      <w:r>
        <w:t>P</w:t>
      </w:r>
      <w:r w:rsidRPr="003D35BA">
        <w:t xml:space="preserve">ark provide safe, accessible, and sustainable access routes for all </w:t>
      </w:r>
      <w:r w:rsidRPr="003D35BA">
        <w:t>visitor’s</w:t>
      </w:r>
      <w:r>
        <w:t xml:space="preserve"> maintenance and quality of standards must be upkept</w:t>
      </w:r>
      <w:r w:rsidRPr="003D35BA">
        <w:t xml:space="preserve"> while maintaining the integrity of the surrounding environment and reducing the creation of unauthorised desire lines.</w:t>
      </w:r>
    </w:p>
    <w:p w14:paraId="188AFF94" w14:textId="2F7F1026" w:rsidR="003D35BA" w:rsidRDefault="003D35BA" w:rsidP="003D35BA"/>
    <w:p w14:paraId="1BCFBFAE" w14:textId="77777777" w:rsidR="00990FDA" w:rsidRDefault="00990FDA" w:rsidP="003D35BA"/>
    <w:p w14:paraId="453851DD" w14:textId="086A3AAE" w:rsidR="00990FDA" w:rsidRDefault="00990FDA" w:rsidP="00990FDA">
      <w:pPr>
        <w:pStyle w:val="Heading1"/>
        <w:numPr>
          <w:ilvl w:val="0"/>
          <w:numId w:val="6"/>
        </w:numPr>
      </w:pPr>
      <w:r>
        <w:t>Maintenance and Monitoring</w:t>
      </w:r>
    </w:p>
    <w:p w14:paraId="08E03DD8" w14:textId="77777777" w:rsidR="00990FDA" w:rsidRDefault="00990FDA" w:rsidP="00990FDA">
      <w:pPr>
        <w:rPr>
          <w:lang w:eastAsia="en-GB"/>
        </w:rPr>
      </w:pPr>
    </w:p>
    <w:p w14:paraId="1D4D4857" w14:textId="38537891" w:rsidR="00990FDA" w:rsidRDefault="00990FDA" w:rsidP="00D83F09">
      <w:pPr>
        <w:pStyle w:val="Heading2"/>
      </w:pPr>
      <w:r>
        <w:t xml:space="preserve">2.1 </w:t>
      </w:r>
      <w:r>
        <w:t>Regular Monitoring:</w:t>
      </w:r>
    </w:p>
    <w:p w14:paraId="7C038F9C" w14:textId="77777777" w:rsidR="003344A8" w:rsidRPr="003344A8" w:rsidRDefault="003344A8" w:rsidP="003344A8">
      <w:pPr>
        <w:rPr>
          <w:lang w:eastAsia="en-GB"/>
        </w:rPr>
      </w:pPr>
    </w:p>
    <w:p w14:paraId="38DCE18F" w14:textId="77777777" w:rsidR="00990FDA" w:rsidRDefault="00990FDA" w:rsidP="00990FDA">
      <w:pPr>
        <w:rPr>
          <w:lang w:eastAsia="en-GB"/>
        </w:rPr>
      </w:pPr>
      <w:r>
        <w:rPr>
          <w:lang w:eastAsia="en-GB"/>
        </w:rPr>
        <w:t>Pathways will be regularly monitored to ensure they remain accessible and safe for all users. This includes checks for wear and tear, damage, or any obstructions that may impede access.</w:t>
      </w:r>
    </w:p>
    <w:p w14:paraId="0CC60E62" w14:textId="77777777" w:rsidR="00990FDA" w:rsidRDefault="00990FDA" w:rsidP="00990FDA">
      <w:pPr>
        <w:rPr>
          <w:lang w:eastAsia="en-GB"/>
        </w:rPr>
      </w:pPr>
    </w:p>
    <w:p w14:paraId="25227A81" w14:textId="31EA9898" w:rsidR="00990FDA" w:rsidRDefault="00990FDA" w:rsidP="00D83F09">
      <w:pPr>
        <w:pStyle w:val="Heading2"/>
      </w:pPr>
      <w:r>
        <w:t xml:space="preserve">2.2 </w:t>
      </w:r>
      <w:r>
        <w:t>Weed and Obstruction Control:</w:t>
      </w:r>
    </w:p>
    <w:p w14:paraId="1730814C" w14:textId="77777777" w:rsidR="003344A8" w:rsidRPr="003344A8" w:rsidRDefault="003344A8" w:rsidP="003344A8">
      <w:pPr>
        <w:rPr>
          <w:lang w:eastAsia="en-GB"/>
        </w:rPr>
      </w:pPr>
    </w:p>
    <w:p w14:paraId="36C2637B" w14:textId="77777777" w:rsidR="00990FDA" w:rsidRDefault="00990FDA" w:rsidP="00990FDA">
      <w:pPr>
        <w:rPr>
          <w:lang w:eastAsia="en-GB"/>
        </w:rPr>
      </w:pPr>
      <w:r>
        <w:rPr>
          <w:lang w:eastAsia="en-GB"/>
        </w:rPr>
        <w:t>All paths will be kept free from weeds, trip hazards, and other obstructions. When weed control is necessary, only products that are approved for use near water will be applied to avoid any adverse environmental impact.</w:t>
      </w:r>
    </w:p>
    <w:p w14:paraId="5A6F3D80" w14:textId="77777777" w:rsidR="00990FDA" w:rsidRDefault="00990FDA" w:rsidP="00990FDA">
      <w:pPr>
        <w:rPr>
          <w:lang w:eastAsia="en-GB"/>
        </w:rPr>
      </w:pPr>
    </w:p>
    <w:p w14:paraId="78972CD7" w14:textId="5FB2475E" w:rsidR="00990FDA" w:rsidRDefault="00990FDA" w:rsidP="00D83F09">
      <w:pPr>
        <w:pStyle w:val="Heading2"/>
      </w:pPr>
      <w:r>
        <w:t xml:space="preserve">2.3 </w:t>
      </w:r>
      <w:r>
        <w:t>Pathway Repairs and Upkeep</w:t>
      </w:r>
      <w:r w:rsidR="003344A8">
        <w:t>:</w:t>
      </w:r>
    </w:p>
    <w:p w14:paraId="330D31B5" w14:textId="77777777" w:rsidR="003344A8" w:rsidRPr="003344A8" w:rsidRDefault="003344A8" w:rsidP="003344A8">
      <w:pPr>
        <w:rPr>
          <w:lang w:eastAsia="en-GB"/>
        </w:rPr>
      </w:pPr>
    </w:p>
    <w:p w14:paraId="346B595C" w14:textId="174CF254" w:rsidR="00990FDA" w:rsidRDefault="00990FDA" w:rsidP="00990FDA">
      <w:pPr>
        <w:rPr>
          <w:lang w:eastAsia="en-GB"/>
        </w:rPr>
      </w:pPr>
      <w:r>
        <w:rPr>
          <w:lang w:eastAsia="en-GB"/>
        </w:rPr>
        <w:t xml:space="preserve">Where necessary, paths will be topped up with </w:t>
      </w:r>
      <w:proofErr w:type="spellStart"/>
      <w:r>
        <w:rPr>
          <w:lang w:eastAsia="en-GB"/>
        </w:rPr>
        <w:t>Granodust</w:t>
      </w:r>
      <w:proofErr w:type="spellEnd"/>
      <w:r>
        <w:rPr>
          <w:lang w:eastAsia="en-GB"/>
        </w:rPr>
        <w:t xml:space="preserve"> to amend any wear or damage, in accordance with the specifications set out in </w:t>
      </w:r>
      <w:r w:rsidR="003344A8">
        <w:rPr>
          <w:lang w:eastAsia="en-GB"/>
        </w:rPr>
        <w:t>Appendix A</w:t>
      </w:r>
      <w:r>
        <w:rPr>
          <w:lang w:eastAsia="en-GB"/>
        </w:rPr>
        <w:t>. Self-binding gravel will be replenished to ensure the path remains smooth and stable.</w:t>
      </w:r>
    </w:p>
    <w:p w14:paraId="5C57E86D" w14:textId="77777777" w:rsidR="003344A8" w:rsidRDefault="003344A8" w:rsidP="00990FDA">
      <w:pPr>
        <w:rPr>
          <w:lang w:eastAsia="en-GB"/>
        </w:rPr>
      </w:pPr>
    </w:p>
    <w:tbl>
      <w:tblPr>
        <w:tblStyle w:val="TableGrid"/>
        <w:tblW w:w="0" w:type="auto"/>
        <w:tblLook w:val="04A0" w:firstRow="1" w:lastRow="0" w:firstColumn="1" w:lastColumn="0" w:noHBand="0" w:noVBand="1"/>
      </w:tblPr>
      <w:tblGrid>
        <w:gridCol w:w="3005"/>
        <w:gridCol w:w="3005"/>
        <w:gridCol w:w="3006"/>
      </w:tblGrid>
      <w:tr w:rsidR="003344A8" w14:paraId="00F3A189" w14:textId="77777777" w:rsidTr="003344A8">
        <w:tc>
          <w:tcPr>
            <w:tcW w:w="3005" w:type="dxa"/>
          </w:tcPr>
          <w:p w14:paraId="65F64DC4" w14:textId="7A3F6A64" w:rsidR="003344A8" w:rsidRPr="003344A8" w:rsidRDefault="003344A8" w:rsidP="003344A8">
            <w:pPr>
              <w:rPr>
                <w:b/>
                <w:bCs/>
                <w:lang w:eastAsia="en-GB"/>
              </w:rPr>
            </w:pPr>
            <w:r w:rsidRPr="003344A8">
              <w:rPr>
                <w:b/>
                <w:bCs/>
              </w:rPr>
              <w:t>Task</w:t>
            </w:r>
          </w:p>
        </w:tc>
        <w:tc>
          <w:tcPr>
            <w:tcW w:w="3005" w:type="dxa"/>
          </w:tcPr>
          <w:p w14:paraId="35123C4F" w14:textId="6DE16ABF" w:rsidR="003344A8" w:rsidRPr="003344A8" w:rsidRDefault="003344A8" w:rsidP="003344A8">
            <w:pPr>
              <w:rPr>
                <w:b/>
                <w:bCs/>
                <w:lang w:eastAsia="en-GB"/>
              </w:rPr>
            </w:pPr>
            <w:r w:rsidRPr="003344A8">
              <w:rPr>
                <w:b/>
                <w:bCs/>
              </w:rPr>
              <w:t>Frequency</w:t>
            </w:r>
          </w:p>
        </w:tc>
        <w:tc>
          <w:tcPr>
            <w:tcW w:w="3006" w:type="dxa"/>
          </w:tcPr>
          <w:p w14:paraId="17A06FF4" w14:textId="7BC91B4B" w:rsidR="003344A8" w:rsidRPr="003344A8" w:rsidRDefault="003344A8" w:rsidP="003344A8">
            <w:pPr>
              <w:rPr>
                <w:b/>
                <w:bCs/>
                <w:lang w:eastAsia="en-GB"/>
              </w:rPr>
            </w:pPr>
            <w:r w:rsidRPr="003344A8">
              <w:rPr>
                <w:b/>
                <w:bCs/>
              </w:rPr>
              <w:t>Details</w:t>
            </w:r>
          </w:p>
        </w:tc>
      </w:tr>
      <w:tr w:rsidR="003344A8" w14:paraId="7E79A44E" w14:textId="77777777" w:rsidTr="003344A8">
        <w:tc>
          <w:tcPr>
            <w:tcW w:w="3005" w:type="dxa"/>
          </w:tcPr>
          <w:p w14:paraId="3C45D0C9" w14:textId="6D28FA77" w:rsidR="003344A8" w:rsidRPr="003344A8" w:rsidRDefault="003344A8" w:rsidP="003344A8">
            <w:pPr>
              <w:jc w:val="left"/>
              <w:rPr>
                <w:b/>
                <w:bCs/>
                <w:lang w:eastAsia="en-GB"/>
              </w:rPr>
            </w:pPr>
            <w:r w:rsidRPr="003344A8">
              <w:rPr>
                <w:b/>
                <w:bCs/>
              </w:rPr>
              <w:t>General Pathway Inspection</w:t>
            </w:r>
          </w:p>
        </w:tc>
        <w:tc>
          <w:tcPr>
            <w:tcW w:w="3005" w:type="dxa"/>
          </w:tcPr>
          <w:p w14:paraId="5D6785A3" w14:textId="581D8890" w:rsidR="003344A8" w:rsidRDefault="003344A8" w:rsidP="003344A8">
            <w:pPr>
              <w:rPr>
                <w:lang w:eastAsia="en-GB"/>
              </w:rPr>
            </w:pPr>
            <w:r w:rsidRPr="00694488">
              <w:t>Monthly</w:t>
            </w:r>
          </w:p>
        </w:tc>
        <w:tc>
          <w:tcPr>
            <w:tcW w:w="3006" w:type="dxa"/>
          </w:tcPr>
          <w:p w14:paraId="677E9727" w14:textId="000CD45C" w:rsidR="003344A8" w:rsidRDefault="003344A8" w:rsidP="003344A8">
            <w:pPr>
              <w:rPr>
                <w:lang w:eastAsia="en-GB"/>
              </w:rPr>
            </w:pPr>
            <w:r w:rsidRPr="00694488">
              <w:t>Check for surface wear, trip hazards, accessibility issues, and unauthorised desire lines.</w:t>
            </w:r>
          </w:p>
        </w:tc>
      </w:tr>
      <w:tr w:rsidR="003344A8" w14:paraId="163848FB" w14:textId="77777777" w:rsidTr="003344A8">
        <w:tc>
          <w:tcPr>
            <w:tcW w:w="3005" w:type="dxa"/>
          </w:tcPr>
          <w:p w14:paraId="1BA14F2E" w14:textId="073B6AF3" w:rsidR="003344A8" w:rsidRPr="003344A8" w:rsidRDefault="003344A8" w:rsidP="003344A8">
            <w:pPr>
              <w:jc w:val="left"/>
              <w:rPr>
                <w:b/>
                <w:bCs/>
                <w:lang w:eastAsia="en-GB"/>
              </w:rPr>
            </w:pPr>
            <w:r w:rsidRPr="003344A8">
              <w:rPr>
                <w:b/>
                <w:bCs/>
              </w:rPr>
              <w:t xml:space="preserve">Topping Up with </w:t>
            </w:r>
            <w:proofErr w:type="spellStart"/>
            <w:r w:rsidRPr="003344A8">
              <w:rPr>
                <w:b/>
                <w:bCs/>
              </w:rPr>
              <w:t>Granodust</w:t>
            </w:r>
            <w:proofErr w:type="spellEnd"/>
          </w:p>
        </w:tc>
        <w:tc>
          <w:tcPr>
            <w:tcW w:w="3005" w:type="dxa"/>
          </w:tcPr>
          <w:p w14:paraId="16676185" w14:textId="0D828F20" w:rsidR="003344A8" w:rsidRDefault="003344A8" w:rsidP="003344A8">
            <w:pPr>
              <w:rPr>
                <w:lang w:eastAsia="en-GB"/>
              </w:rPr>
            </w:pPr>
            <w:r w:rsidRPr="00694488">
              <w:t>As needed (at least annually)</w:t>
            </w:r>
          </w:p>
        </w:tc>
        <w:tc>
          <w:tcPr>
            <w:tcW w:w="3006" w:type="dxa"/>
          </w:tcPr>
          <w:p w14:paraId="1714DB93" w14:textId="64B96B26" w:rsidR="003344A8" w:rsidRDefault="003344A8" w:rsidP="003344A8">
            <w:pPr>
              <w:rPr>
                <w:lang w:eastAsia="en-GB"/>
              </w:rPr>
            </w:pPr>
            <w:r w:rsidRPr="00694488">
              <w:t xml:space="preserve">Apply </w:t>
            </w:r>
            <w:proofErr w:type="spellStart"/>
            <w:r w:rsidRPr="00694488">
              <w:t>Granodust</w:t>
            </w:r>
            <w:proofErr w:type="spellEnd"/>
            <w:r w:rsidRPr="00694488">
              <w:t xml:space="preserve"> to worn areas to maintain surface quality and accessibility.</w:t>
            </w:r>
          </w:p>
        </w:tc>
      </w:tr>
      <w:tr w:rsidR="003344A8" w14:paraId="5F180DF6" w14:textId="77777777" w:rsidTr="003344A8">
        <w:tc>
          <w:tcPr>
            <w:tcW w:w="3005" w:type="dxa"/>
          </w:tcPr>
          <w:p w14:paraId="08548FF7" w14:textId="3850851D" w:rsidR="003344A8" w:rsidRPr="003344A8" w:rsidRDefault="003344A8" w:rsidP="003344A8">
            <w:pPr>
              <w:jc w:val="left"/>
              <w:rPr>
                <w:b/>
                <w:bCs/>
                <w:lang w:eastAsia="en-GB"/>
              </w:rPr>
            </w:pPr>
            <w:r w:rsidRPr="003344A8">
              <w:rPr>
                <w:b/>
                <w:bCs/>
              </w:rPr>
              <w:t>Weed Control</w:t>
            </w:r>
          </w:p>
        </w:tc>
        <w:tc>
          <w:tcPr>
            <w:tcW w:w="3005" w:type="dxa"/>
          </w:tcPr>
          <w:p w14:paraId="2F23B4D9" w14:textId="040F77EA" w:rsidR="003344A8" w:rsidRDefault="003344A8" w:rsidP="003344A8">
            <w:pPr>
              <w:rPr>
                <w:lang w:eastAsia="en-GB"/>
              </w:rPr>
            </w:pPr>
            <w:r w:rsidRPr="00694488">
              <w:t>Quarterly</w:t>
            </w:r>
          </w:p>
        </w:tc>
        <w:tc>
          <w:tcPr>
            <w:tcW w:w="3006" w:type="dxa"/>
          </w:tcPr>
          <w:p w14:paraId="07DDB291" w14:textId="6077FF55" w:rsidR="003344A8" w:rsidRDefault="003344A8" w:rsidP="003344A8">
            <w:pPr>
              <w:rPr>
                <w:lang w:eastAsia="en-GB"/>
              </w:rPr>
            </w:pPr>
            <w:r w:rsidRPr="00694488">
              <w:t>Remove weeds manually or apply approved herbicides near water.</w:t>
            </w:r>
          </w:p>
        </w:tc>
      </w:tr>
      <w:tr w:rsidR="003344A8" w14:paraId="2FA54D5B" w14:textId="77777777" w:rsidTr="003344A8">
        <w:tc>
          <w:tcPr>
            <w:tcW w:w="3005" w:type="dxa"/>
          </w:tcPr>
          <w:p w14:paraId="38DC736E" w14:textId="768B49F9" w:rsidR="003344A8" w:rsidRPr="003344A8" w:rsidRDefault="003344A8" w:rsidP="003344A8">
            <w:pPr>
              <w:jc w:val="left"/>
              <w:rPr>
                <w:b/>
                <w:bCs/>
                <w:lang w:eastAsia="en-GB"/>
              </w:rPr>
            </w:pPr>
            <w:r w:rsidRPr="003344A8">
              <w:rPr>
                <w:b/>
                <w:bCs/>
              </w:rPr>
              <w:t>Surface Compaction &amp; Repairs</w:t>
            </w:r>
          </w:p>
        </w:tc>
        <w:tc>
          <w:tcPr>
            <w:tcW w:w="3005" w:type="dxa"/>
          </w:tcPr>
          <w:p w14:paraId="7C450D5D" w14:textId="58A1DD73" w:rsidR="003344A8" w:rsidRDefault="003344A8" w:rsidP="003344A8">
            <w:pPr>
              <w:rPr>
                <w:lang w:eastAsia="en-GB"/>
              </w:rPr>
            </w:pPr>
            <w:r w:rsidRPr="00694488">
              <w:t>Annually (or after extreme weather)</w:t>
            </w:r>
          </w:p>
        </w:tc>
        <w:tc>
          <w:tcPr>
            <w:tcW w:w="3006" w:type="dxa"/>
          </w:tcPr>
          <w:p w14:paraId="001E90CA" w14:textId="54B978B1" w:rsidR="003344A8" w:rsidRDefault="003344A8" w:rsidP="003344A8">
            <w:pPr>
              <w:rPr>
                <w:lang w:eastAsia="en-GB"/>
              </w:rPr>
            </w:pPr>
            <w:r w:rsidRPr="00694488">
              <w:t>Recompact gravel to ensure a stable and even surface, repairing any eroded areas.</w:t>
            </w:r>
          </w:p>
        </w:tc>
      </w:tr>
      <w:tr w:rsidR="003344A8" w14:paraId="729A1352" w14:textId="77777777" w:rsidTr="003344A8">
        <w:tc>
          <w:tcPr>
            <w:tcW w:w="3005" w:type="dxa"/>
          </w:tcPr>
          <w:p w14:paraId="739569D5" w14:textId="6A57F810" w:rsidR="003344A8" w:rsidRPr="003344A8" w:rsidRDefault="003344A8" w:rsidP="003344A8">
            <w:pPr>
              <w:jc w:val="left"/>
              <w:rPr>
                <w:b/>
                <w:bCs/>
                <w:lang w:eastAsia="en-GB"/>
              </w:rPr>
            </w:pPr>
            <w:r w:rsidRPr="003344A8">
              <w:rPr>
                <w:b/>
                <w:bCs/>
              </w:rPr>
              <w:t>Drainage and Gradient Check</w:t>
            </w:r>
          </w:p>
        </w:tc>
        <w:tc>
          <w:tcPr>
            <w:tcW w:w="3005" w:type="dxa"/>
          </w:tcPr>
          <w:p w14:paraId="460A0D6F" w14:textId="4BD46EE1" w:rsidR="003344A8" w:rsidRDefault="003344A8" w:rsidP="003344A8">
            <w:pPr>
              <w:rPr>
                <w:lang w:eastAsia="en-GB"/>
              </w:rPr>
            </w:pPr>
            <w:r w:rsidRPr="00694488">
              <w:t>Annually</w:t>
            </w:r>
          </w:p>
        </w:tc>
        <w:tc>
          <w:tcPr>
            <w:tcW w:w="3006" w:type="dxa"/>
          </w:tcPr>
          <w:p w14:paraId="0AB23B50" w14:textId="2FAE8B40" w:rsidR="003344A8" w:rsidRDefault="003344A8" w:rsidP="003344A8">
            <w:pPr>
              <w:rPr>
                <w:lang w:eastAsia="en-GB"/>
              </w:rPr>
            </w:pPr>
            <w:r w:rsidRPr="00694488">
              <w:t>Ensure cross-fall gradients are intact, and water is draining correctly to prevent erosion.</w:t>
            </w:r>
          </w:p>
        </w:tc>
      </w:tr>
      <w:tr w:rsidR="003344A8" w14:paraId="0EF5DD1C" w14:textId="77777777" w:rsidTr="003344A8">
        <w:tc>
          <w:tcPr>
            <w:tcW w:w="3005" w:type="dxa"/>
          </w:tcPr>
          <w:p w14:paraId="1BE437E3" w14:textId="5620E419" w:rsidR="003344A8" w:rsidRPr="003344A8" w:rsidRDefault="003344A8" w:rsidP="003344A8">
            <w:pPr>
              <w:jc w:val="left"/>
              <w:rPr>
                <w:b/>
                <w:bCs/>
                <w:lang w:eastAsia="en-GB"/>
              </w:rPr>
            </w:pPr>
            <w:r w:rsidRPr="003344A8">
              <w:rPr>
                <w:b/>
                <w:bCs/>
              </w:rPr>
              <w:lastRenderedPageBreak/>
              <w:t>Clearing Obstructions (fallen branches, debris, etc.)</w:t>
            </w:r>
          </w:p>
        </w:tc>
        <w:tc>
          <w:tcPr>
            <w:tcW w:w="3005" w:type="dxa"/>
          </w:tcPr>
          <w:p w14:paraId="1D40C620" w14:textId="46DB88B8" w:rsidR="003344A8" w:rsidRDefault="003344A8" w:rsidP="003344A8">
            <w:pPr>
              <w:rPr>
                <w:lang w:eastAsia="en-GB"/>
              </w:rPr>
            </w:pPr>
            <w:r w:rsidRPr="00694488">
              <w:t>After storms or heavy winds</w:t>
            </w:r>
          </w:p>
        </w:tc>
        <w:tc>
          <w:tcPr>
            <w:tcW w:w="3006" w:type="dxa"/>
          </w:tcPr>
          <w:p w14:paraId="58FD781D" w14:textId="6F18DB6C" w:rsidR="003344A8" w:rsidRDefault="003344A8" w:rsidP="003344A8">
            <w:pPr>
              <w:rPr>
                <w:lang w:eastAsia="en-GB"/>
              </w:rPr>
            </w:pPr>
            <w:r w:rsidRPr="00694488">
              <w:t>Ensure paths remain clear and accessible.</w:t>
            </w:r>
          </w:p>
        </w:tc>
      </w:tr>
    </w:tbl>
    <w:p w14:paraId="749DEA1E" w14:textId="77777777" w:rsidR="00990FDA" w:rsidRDefault="00990FDA" w:rsidP="003D35BA"/>
    <w:p w14:paraId="1C5EFC36" w14:textId="77777777" w:rsidR="003D35BA" w:rsidRPr="003D35BA" w:rsidRDefault="003D35BA" w:rsidP="003D35BA"/>
    <w:p w14:paraId="277B9BB2" w14:textId="0A79567E" w:rsidR="003D35BA" w:rsidRDefault="003D35BA" w:rsidP="003D35BA">
      <w:pPr>
        <w:pStyle w:val="Heading1"/>
        <w:numPr>
          <w:ilvl w:val="0"/>
          <w:numId w:val="6"/>
        </w:numPr>
      </w:pPr>
      <w:r w:rsidRPr="003D35BA">
        <w:t>Pathway Construction and Materials</w:t>
      </w:r>
    </w:p>
    <w:p w14:paraId="737F7875" w14:textId="77777777" w:rsidR="003D35BA" w:rsidRDefault="003D35BA" w:rsidP="003D35BA">
      <w:pPr>
        <w:rPr>
          <w:lang w:eastAsia="en-GB"/>
        </w:rPr>
      </w:pPr>
    </w:p>
    <w:p w14:paraId="3D579593" w14:textId="42068335" w:rsidR="003D35BA" w:rsidRDefault="003344A8" w:rsidP="00D83F09">
      <w:pPr>
        <w:pStyle w:val="Heading2"/>
      </w:pPr>
      <w:r>
        <w:t xml:space="preserve">3.1 </w:t>
      </w:r>
      <w:r w:rsidR="003D35BA">
        <w:t>Sub-base and Surface:</w:t>
      </w:r>
    </w:p>
    <w:p w14:paraId="384A054B" w14:textId="77777777" w:rsidR="003D35BA" w:rsidRDefault="003D35BA" w:rsidP="003D35BA">
      <w:pPr>
        <w:rPr>
          <w:lang w:eastAsia="en-GB"/>
        </w:rPr>
      </w:pPr>
    </w:p>
    <w:p w14:paraId="1793B67B" w14:textId="1B706FB7" w:rsidR="003D35BA" w:rsidRDefault="003D35BA" w:rsidP="003D35BA">
      <w:pPr>
        <w:rPr>
          <w:lang w:eastAsia="en-GB"/>
        </w:rPr>
      </w:pPr>
      <w:r w:rsidRPr="003D35BA">
        <w:rPr>
          <w:lang w:eastAsia="en-GB"/>
        </w:rPr>
        <w:t>Pathways will be constructed using a granular sub-base (40mm to dust), laid on top of a Terram geotextile. The sub-base will be compacted to a thickness of 175mm. A 25mm wearing course of compacted self-binding gravel (10mm to dust) will be applied</w:t>
      </w:r>
      <w:r>
        <w:rPr>
          <w:lang w:eastAsia="en-GB"/>
        </w:rPr>
        <w:t xml:space="preserve">. </w:t>
      </w:r>
      <w:r w:rsidRPr="003D35BA">
        <w:rPr>
          <w:lang w:eastAsia="en-GB"/>
        </w:rPr>
        <w:t>This combination ensures durability, reduces erosion, and maintains a solid, non-slip surface.</w:t>
      </w:r>
    </w:p>
    <w:p w14:paraId="4C0BED81" w14:textId="77777777" w:rsidR="003D35BA" w:rsidRDefault="003D35BA" w:rsidP="003D35BA">
      <w:pPr>
        <w:rPr>
          <w:lang w:eastAsia="en-GB"/>
        </w:rPr>
      </w:pPr>
    </w:p>
    <w:p w14:paraId="113C6A80" w14:textId="3EBB096F" w:rsidR="003D35BA" w:rsidRDefault="003344A8" w:rsidP="00D83F09">
      <w:pPr>
        <w:pStyle w:val="Heading2"/>
      </w:pPr>
      <w:r>
        <w:t xml:space="preserve">3.2 </w:t>
      </w:r>
      <w:r w:rsidR="003D35BA">
        <w:t>Gradient Specification:</w:t>
      </w:r>
    </w:p>
    <w:p w14:paraId="15DBA418" w14:textId="77777777" w:rsidR="003D35BA" w:rsidRDefault="003D35BA" w:rsidP="003D35BA">
      <w:pPr>
        <w:rPr>
          <w:lang w:eastAsia="en-GB"/>
        </w:rPr>
      </w:pPr>
    </w:p>
    <w:p w14:paraId="4CB0BC65" w14:textId="77777777" w:rsidR="00990FDA" w:rsidRDefault="00990FDA" w:rsidP="00990FDA">
      <w:pPr>
        <w:rPr>
          <w:lang w:eastAsia="en-GB"/>
        </w:rPr>
      </w:pPr>
      <w:r w:rsidRPr="00990FDA">
        <w:rPr>
          <w:lang w:eastAsia="en-GB"/>
        </w:rPr>
        <w:t>The pathway gradients will be constructed with a cross-fall gradient of 1:50, and the going gradients will vary between ‘flat’ and 1:20, which are gently sloping and designed with accessibility in mind. The gradient of self-binding gravel pathways will not exceed 1:15, as recommended by aggregate suppliers. These gradients are suitable for wheelchair and push-buggy access, ensuring inclusivity for all park visitors.</w:t>
      </w:r>
    </w:p>
    <w:p w14:paraId="44DA986C" w14:textId="77777777" w:rsidR="003344A8" w:rsidRDefault="003344A8" w:rsidP="00990FDA">
      <w:pPr>
        <w:rPr>
          <w:lang w:eastAsia="en-GB"/>
        </w:rPr>
      </w:pPr>
    </w:p>
    <w:p w14:paraId="1E8BDEE9" w14:textId="77777777" w:rsidR="003344A8" w:rsidRDefault="003344A8" w:rsidP="00990FDA">
      <w:pPr>
        <w:rPr>
          <w:lang w:eastAsia="en-GB"/>
        </w:rPr>
      </w:pPr>
    </w:p>
    <w:p w14:paraId="496B04B2" w14:textId="6DB73311" w:rsidR="00990FDA" w:rsidRDefault="003344A8" w:rsidP="003344A8">
      <w:pPr>
        <w:pStyle w:val="Heading1"/>
        <w:numPr>
          <w:ilvl w:val="0"/>
          <w:numId w:val="6"/>
        </w:numPr>
      </w:pPr>
      <w:r>
        <w:t>Access and Accessibility</w:t>
      </w:r>
    </w:p>
    <w:p w14:paraId="2D91E9D2" w14:textId="77777777" w:rsidR="003344A8" w:rsidRDefault="003344A8" w:rsidP="003344A8">
      <w:pPr>
        <w:rPr>
          <w:lang w:eastAsia="en-GB"/>
        </w:rPr>
      </w:pPr>
    </w:p>
    <w:p w14:paraId="1E07351A" w14:textId="2865C164" w:rsidR="003344A8" w:rsidRDefault="003344A8" w:rsidP="00D83F09">
      <w:pPr>
        <w:pStyle w:val="Heading2"/>
      </w:pPr>
      <w:r>
        <w:t xml:space="preserve">4.1 </w:t>
      </w:r>
      <w:r>
        <w:t>Inclusive Design:</w:t>
      </w:r>
    </w:p>
    <w:p w14:paraId="158CF559" w14:textId="77777777" w:rsidR="003344A8" w:rsidRDefault="003344A8" w:rsidP="003344A8">
      <w:pPr>
        <w:rPr>
          <w:lang w:eastAsia="en-GB"/>
        </w:rPr>
      </w:pPr>
      <w:r>
        <w:rPr>
          <w:lang w:eastAsia="en-GB"/>
        </w:rPr>
        <w:t>All paths will be designed and maintained with accessibility at their core, ensuring they are suitable for wheelchair and push-buggy users. The surface will be compacted to avoid any unevenness that could create obstacles for users with mobility needs.</w:t>
      </w:r>
    </w:p>
    <w:p w14:paraId="5BAD1512" w14:textId="77777777" w:rsidR="003344A8" w:rsidRDefault="003344A8" w:rsidP="003344A8">
      <w:pPr>
        <w:rPr>
          <w:lang w:eastAsia="en-GB"/>
        </w:rPr>
      </w:pPr>
    </w:p>
    <w:p w14:paraId="1A0E4728" w14:textId="47F0D3CA" w:rsidR="003344A8" w:rsidRDefault="003344A8" w:rsidP="00D83F09">
      <w:pPr>
        <w:pStyle w:val="Heading2"/>
      </w:pPr>
      <w:r>
        <w:t xml:space="preserve">4.2 </w:t>
      </w:r>
      <w:r>
        <w:t>Ongoing Assessment:</w:t>
      </w:r>
    </w:p>
    <w:p w14:paraId="30CC876C" w14:textId="77777777" w:rsidR="003344A8" w:rsidRDefault="003344A8" w:rsidP="003344A8">
      <w:pPr>
        <w:rPr>
          <w:lang w:eastAsia="en-GB"/>
        </w:rPr>
      </w:pPr>
      <w:r>
        <w:rPr>
          <w:lang w:eastAsia="en-GB"/>
        </w:rPr>
        <w:t>Accessibility will be assessed regularly, particularly after severe weather events or high foot traffic periods. Any areas showing signs of wear or damage that may impair accessibility will be promptly addressed.</w:t>
      </w:r>
    </w:p>
    <w:p w14:paraId="61A54FEE" w14:textId="77777777" w:rsidR="003344A8" w:rsidRDefault="003344A8" w:rsidP="003344A8">
      <w:pPr>
        <w:rPr>
          <w:lang w:eastAsia="en-GB"/>
        </w:rPr>
      </w:pPr>
    </w:p>
    <w:p w14:paraId="04826290" w14:textId="77777777" w:rsidR="00D83F09" w:rsidRDefault="00D83F09" w:rsidP="003344A8">
      <w:pPr>
        <w:rPr>
          <w:lang w:eastAsia="en-GB"/>
        </w:rPr>
      </w:pPr>
    </w:p>
    <w:p w14:paraId="76A5A247" w14:textId="6489E0F5" w:rsidR="00D83F09" w:rsidRDefault="00D83F09" w:rsidP="00D83F09">
      <w:pPr>
        <w:pStyle w:val="Heading1"/>
        <w:numPr>
          <w:ilvl w:val="0"/>
          <w:numId w:val="6"/>
        </w:numPr>
      </w:pPr>
      <w:r>
        <w:t>Environmental Considerations</w:t>
      </w:r>
    </w:p>
    <w:p w14:paraId="375F3663" w14:textId="77777777" w:rsidR="00D83F09" w:rsidRDefault="00D83F09" w:rsidP="00D83F09">
      <w:pPr>
        <w:rPr>
          <w:lang w:eastAsia="en-GB"/>
        </w:rPr>
      </w:pPr>
    </w:p>
    <w:p w14:paraId="5E479509" w14:textId="469B0EBB" w:rsidR="00D83F09" w:rsidRDefault="00D83F09" w:rsidP="00D83F09">
      <w:pPr>
        <w:pStyle w:val="Heading2"/>
      </w:pPr>
      <w:r>
        <w:t xml:space="preserve">5.1 </w:t>
      </w:r>
      <w:r w:rsidRPr="00D83F09">
        <w:t>Protection of Sensitive Habitats:</w:t>
      </w:r>
    </w:p>
    <w:p w14:paraId="5CA75139" w14:textId="30E1B773" w:rsidR="00D83F09" w:rsidRDefault="00D83F09" w:rsidP="00D83F09">
      <w:r w:rsidRPr="00D83F09">
        <w:br/>
        <w:t>Pathways provide defined access routes, effectively reducing the potential for the creation of unauthorised desire lines that could lead to damage in sensitive habitats. By maintaining clear, managed paths, the park helps protect vulnerable areas and ensures visitors are guided to areas where their presence will have the least environmental impact.</w:t>
      </w:r>
    </w:p>
    <w:p w14:paraId="116B68AA" w14:textId="77777777" w:rsidR="00D83F09" w:rsidRPr="00D83F09" w:rsidRDefault="00D83F09" w:rsidP="00D83F09"/>
    <w:p w14:paraId="57D18D2F" w14:textId="77777777" w:rsidR="00D83F09" w:rsidRDefault="00D83F09" w:rsidP="00D83F09">
      <w:pPr>
        <w:pStyle w:val="Heading2"/>
      </w:pPr>
      <w:r w:rsidRPr="00D83F09">
        <w:t xml:space="preserve">5.2 </w:t>
      </w:r>
      <w:r w:rsidRPr="00D83F09">
        <w:t>Sustainable Materials and Practices:</w:t>
      </w:r>
    </w:p>
    <w:p w14:paraId="19E3D4FF" w14:textId="70DC8B1B" w:rsidR="00D83F09" w:rsidRPr="00D83F09" w:rsidRDefault="00D83F09" w:rsidP="00D83F09">
      <w:r w:rsidRPr="00D83F09">
        <w:br/>
        <w:t xml:space="preserve">The materials used for path construction, such as self-binding gravel, are chosen for their environmental sustainability. Furthermore, maintenance practices, including the limited use of </w:t>
      </w:r>
      <w:r w:rsidRPr="00D83F09">
        <w:lastRenderedPageBreak/>
        <w:t>weed control products and the replenishing of gravel, aim to ensure that the park's environmental integrity is maintained while providing a functional and accessible infrastructure.</w:t>
      </w:r>
    </w:p>
    <w:p w14:paraId="1DDC74A2" w14:textId="546EF395" w:rsidR="00D83F09" w:rsidRPr="00D83F09" w:rsidRDefault="00D83F09" w:rsidP="00D83F09">
      <w:pPr>
        <w:pStyle w:val="Heading2"/>
      </w:pPr>
    </w:p>
    <w:p w14:paraId="78E13DF7" w14:textId="77777777" w:rsidR="00990FDA" w:rsidRPr="00990FDA" w:rsidRDefault="00990FDA" w:rsidP="00990FDA">
      <w:pPr>
        <w:rPr>
          <w:lang w:eastAsia="en-GB"/>
        </w:rPr>
      </w:pPr>
    </w:p>
    <w:p w14:paraId="0C1CC9D1" w14:textId="572924F8" w:rsidR="003D35BA" w:rsidRDefault="00D83F09" w:rsidP="00D83F09">
      <w:pPr>
        <w:pStyle w:val="Heading1"/>
        <w:numPr>
          <w:ilvl w:val="0"/>
          <w:numId w:val="6"/>
        </w:numPr>
      </w:pPr>
      <w:r>
        <w:t>Long-Term Management</w:t>
      </w:r>
    </w:p>
    <w:p w14:paraId="144A3684" w14:textId="77777777" w:rsidR="00D83F09" w:rsidRDefault="00D83F09" w:rsidP="00D83F09">
      <w:pPr>
        <w:rPr>
          <w:lang w:eastAsia="en-GB"/>
        </w:rPr>
      </w:pPr>
    </w:p>
    <w:p w14:paraId="4D0D40A8" w14:textId="2717BFAD" w:rsidR="00D83F09" w:rsidRDefault="00D83F09" w:rsidP="00D83F09">
      <w:pPr>
        <w:pStyle w:val="Heading2"/>
      </w:pPr>
      <w:r>
        <w:t xml:space="preserve">6.1 </w:t>
      </w:r>
      <w:r>
        <w:t>Pathway Assessment and Updates:</w:t>
      </w:r>
    </w:p>
    <w:p w14:paraId="059534B9" w14:textId="77777777" w:rsidR="00D83F09" w:rsidRPr="00D83F09" w:rsidRDefault="00D83F09" w:rsidP="00D83F09">
      <w:pPr>
        <w:pStyle w:val="ListParagraph"/>
        <w:ind w:left="2520"/>
        <w:rPr>
          <w:lang w:eastAsia="en-GB"/>
        </w:rPr>
      </w:pPr>
    </w:p>
    <w:p w14:paraId="10764753" w14:textId="77777777" w:rsidR="00D83F09" w:rsidRDefault="00D83F09" w:rsidP="00D83F09">
      <w:pPr>
        <w:rPr>
          <w:lang w:eastAsia="en-GB"/>
        </w:rPr>
      </w:pPr>
      <w:r>
        <w:rPr>
          <w:lang w:eastAsia="en-GB"/>
        </w:rPr>
        <w:t>Over time, the path network will be assessed for any necessary upgrades or improvements to ensure it continues to meet accessibility standards and withstand the demands of regular use. Future works may involve updating path surfaces or enhancing drainage systems where necessary.</w:t>
      </w:r>
    </w:p>
    <w:p w14:paraId="249AE9E9" w14:textId="77777777" w:rsidR="00D83F09" w:rsidRDefault="00D83F09" w:rsidP="00D83F09">
      <w:pPr>
        <w:rPr>
          <w:lang w:eastAsia="en-GB"/>
        </w:rPr>
      </w:pPr>
    </w:p>
    <w:p w14:paraId="660C504E" w14:textId="7472EB5C" w:rsidR="00D83F09" w:rsidRDefault="00D83F09" w:rsidP="00D83F09">
      <w:pPr>
        <w:pStyle w:val="Heading2"/>
      </w:pPr>
      <w:r>
        <w:t xml:space="preserve">6.2 </w:t>
      </w:r>
      <w:r>
        <w:t>Community Involvement:</w:t>
      </w:r>
    </w:p>
    <w:p w14:paraId="72496DA0" w14:textId="77777777" w:rsidR="00D83F09" w:rsidRPr="00D83F09" w:rsidRDefault="00D83F09" w:rsidP="00D83F09">
      <w:pPr>
        <w:rPr>
          <w:lang w:eastAsia="en-GB"/>
        </w:rPr>
      </w:pPr>
    </w:p>
    <w:p w14:paraId="0171B72D" w14:textId="77777777" w:rsidR="00D83F09" w:rsidRDefault="00D83F09" w:rsidP="00D83F09">
      <w:pPr>
        <w:rPr>
          <w:lang w:eastAsia="en-GB"/>
        </w:rPr>
      </w:pPr>
      <w:r>
        <w:rPr>
          <w:lang w:eastAsia="en-GB"/>
        </w:rPr>
        <w:t>Local stakeholders and visitors will be encouraged to report any concerns regarding pathway accessibility or maintenance. Community engagement will play a vital role in the ongoing management and upkeep of the paths.</w:t>
      </w:r>
    </w:p>
    <w:p w14:paraId="028CEFF9" w14:textId="77777777" w:rsidR="00D83F09" w:rsidRDefault="00D83F09" w:rsidP="00D83F09">
      <w:pPr>
        <w:rPr>
          <w:lang w:eastAsia="en-GB"/>
        </w:rPr>
      </w:pPr>
    </w:p>
    <w:p w14:paraId="73DEE6E4" w14:textId="310BFBD4" w:rsidR="00D83F09" w:rsidRDefault="00D83F09" w:rsidP="00D83F09">
      <w:pPr>
        <w:pStyle w:val="Heading2"/>
      </w:pPr>
      <w:r>
        <w:t xml:space="preserve">6.3 </w:t>
      </w:r>
      <w:r>
        <w:t>Sustainability Goals:</w:t>
      </w:r>
    </w:p>
    <w:p w14:paraId="394BFF35" w14:textId="77777777" w:rsidR="00D83F09" w:rsidRPr="00D83F09" w:rsidRDefault="00D83F09" w:rsidP="00D83F09">
      <w:pPr>
        <w:rPr>
          <w:lang w:eastAsia="en-GB"/>
        </w:rPr>
      </w:pPr>
    </w:p>
    <w:p w14:paraId="4B625638" w14:textId="494CB073" w:rsidR="00D83F09" w:rsidRDefault="00D83F09" w:rsidP="00D83F09">
      <w:pPr>
        <w:rPr>
          <w:lang w:eastAsia="en-GB"/>
        </w:rPr>
      </w:pPr>
      <w:r>
        <w:rPr>
          <w:lang w:eastAsia="en-GB"/>
        </w:rPr>
        <w:t xml:space="preserve">As part of the park’s commitment to sustainability, </w:t>
      </w:r>
      <w:proofErr w:type="gramStart"/>
      <w:r>
        <w:rPr>
          <w:lang w:eastAsia="en-GB"/>
        </w:rPr>
        <w:t>future plans</w:t>
      </w:r>
      <w:proofErr w:type="gramEnd"/>
      <w:r>
        <w:rPr>
          <w:lang w:eastAsia="en-GB"/>
        </w:rPr>
        <w:t xml:space="preserve"> may include exploring additional eco-friendly materials or innovative construction techniques that could further reduce the environmental impact of path maintenance and upgrades.</w:t>
      </w:r>
    </w:p>
    <w:p w14:paraId="5D922436" w14:textId="77777777" w:rsidR="00D83F09" w:rsidRDefault="00D83F09" w:rsidP="00D83F09">
      <w:pPr>
        <w:rPr>
          <w:lang w:eastAsia="en-GB"/>
        </w:rPr>
      </w:pPr>
    </w:p>
    <w:p w14:paraId="4A1959E7" w14:textId="77777777" w:rsidR="00D83F09" w:rsidRDefault="00D83F09" w:rsidP="00D83F09">
      <w:pPr>
        <w:rPr>
          <w:lang w:eastAsia="en-GB"/>
        </w:rPr>
      </w:pPr>
    </w:p>
    <w:p w14:paraId="53071C23" w14:textId="43FC286D" w:rsidR="00D83F09" w:rsidRDefault="00D83F09" w:rsidP="00D83F09">
      <w:pPr>
        <w:pStyle w:val="Heading1"/>
        <w:numPr>
          <w:ilvl w:val="0"/>
          <w:numId w:val="6"/>
        </w:numPr>
      </w:pPr>
      <w:r>
        <w:t>Conclusion</w:t>
      </w:r>
    </w:p>
    <w:p w14:paraId="2ED896F8" w14:textId="77777777" w:rsidR="00D83F09" w:rsidRDefault="00D83F09" w:rsidP="00D83F09">
      <w:pPr>
        <w:rPr>
          <w:lang w:eastAsia="en-GB"/>
        </w:rPr>
      </w:pPr>
    </w:p>
    <w:p w14:paraId="0020F071" w14:textId="3835A6B8" w:rsidR="00D83F09" w:rsidRPr="00D83F09" w:rsidRDefault="0088056A" w:rsidP="00D83F09">
      <w:pPr>
        <w:rPr>
          <w:lang w:eastAsia="en-GB"/>
        </w:rPr>
      </w:pPr>
      <w:r w:rsidRPr="0088056A">
        <w:rPr>
          <w:lang w:eastAsia="en-GB"/>
        </w:rPr>
        <w:t>This management plan outlines a comprehensive approach to the maintenance and management of the pathways in the country park. By adhering to accessibility, environmental, and maintenance standards, the park will provide a safe, inclusive, and environmentally sustainable route</w:t>
      </w:r>
      <w:r>
        <w:rPr>
          <w:lang w:eastAsia="en-GB"/>
        </w:rPr>
        <w:t>s</w:t>
      </w:r>
      <w:r w:rsidRPr="0088056A">
        <w:rPr>
          <w:lang w:eastAsia="en-GB"/>
        </w:rPr>
        <w:t xml:space="preserve"> for all visitors while protecting sensitive habitats.</w:t>
      </w:r>
    </w:p>
    <w:p w14:paraId="46E7CE4B" w14:textId="77777777" w:rsidR="003D35BA" w:rsidRDefault="003D35BA" w:rsidP="003D35BA">
      <w:pPr>
        <w:rPr>
          <w:lang w:eastAsia="en-GB"/>
        </w:rPr>
      </w:pPr>
    </w:p>
    <w:p w14:paraId="057F8B9E" w14:textId="77777777" w:rsidR="003D35BA" w:rsidRPr="003D35BA" w:rsidRDefault="003D35BA" w:rsidP="003D35BA">
      <w:pPr>
        <w:rPr>
          <w:lang w:eastAsia="en-GB"/>
        </w:rPr>
      </w:pPr>
    </w:p>
    <w:p w14:paraId="154EA199" w14:textId="77777777" w:rsidR="003D35BA" w:rsidRPr="003D35BA" w:rsidRDefault="003D35BA" w:rsidP="003D35BA">
      <w:pPr>
        <w:rPr>
          <w:lang w:eastAsia="en-GB"/>
        </w:rPr>
      </w:pPr>
    </w:p>
    <w:sectPr w:rsidR="003D35BA" w:rsidRPr="003D3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56A5"/>
    <w:multiLevelType w:val="multilevel"/>
    <w:tmpl w:val="7226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43027"/>
    <w:multiLevelType w:val="multilevel"/>
    <w:tmpl w:val="F2F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D7EBC"/>
    <w:multiLevelType w:val="multilevel"/>
    <w:tmpl w:val="6E4A8DAE"/>
    <w:lvl w:ilvl="0">
      <w:start w:val="1"/>
      <w:numFmt w:val="decimal"/>
      <w:lvlText w:val="%1."/>
      <w:lvlJc w:val="left"/>
      <w:pPr>
        <w:ind w:left="360" w:hanging="360"/>
      </w:pPr>
      <w:rPr>
        <w:rFonts w:hint="default"/>
      </w:rPr>
    </w:lvl>
    <w:lvl w:ilvl="1">
      <w:start w:val="1"/>
      <w:numFmt w:val="decimal"/>
      <w:isLgl/>
      <w:lvlText w:val="%1.%2"/>
      <w:lvlJc w:val="left"/>
      <w:pPr>
        <w:ind w:left="2520" w:hanging="2520"/>
      </w:pPr>
      <w:rPr>
        <w:rFonts w:eastAsiaTheme="majorEastAsia" w:cstheme="majorBidi" w:hint="default"/>
        <w:u w:val="none"/>
      </w:rPr>
    </w:lvl>
    <w:lvl w:ilvl="2">
      <w:start w:val="1"/>
      <w:numFmt w:val="decimal"/>
      <w:isLgl/>
      <w:lvlText w:val="%1.%2.%3"/>
      <w:lvlJc w:val="left"/>
      <w:pPr>
        <w:ind w:left="2520" w:hanging="2520"/>
      </w:pPr>
      <w:rPr>
        <w:rFonts w:eastAsiaTheme="majorEastAsia" w:cstheme="majorBidi" w:hint="default"/>
        <w:u w:val="single"/>
      </w:rPr>
    </w:lvl>
    <w:lvl w:ilvl="3">
      <w:start w:val="1"/>
      <w:numFmt w:val="decimal"/>
      <w:isLgl/>
      <w:lvlText w:val="%1.%2.%3.%4"/>
      <w:lvlJc w:val="left"/>
      <w:pPr>
        <w:ind w:left="2520" w:hanging="2520"/>
      </w:pPr>
      <w:rPr>
        <w:rFonts w:eastAsiaTheme="majorEastAsia" w:cstheme="majorBidi" w:hint="default"/>
        <w:u w:val="single"/>
      </w:rPr>
    </w:lvl>
    <w:lvl w:ilvl="4">
      <w:start w:val="1"/>
      <w:numFmt w:val="decimal"/>
      <w:isLgl/>
      <w:lvlText w:val="%1.%2.%3.%4.%5"/>
      <w:lvlJc w:val="left"/>
      <w:pPr>
        <w:ind w:left="2520" w:hanging="2520"/>
      </w:pPr>
      <w:rPr>
        <w:rFonts w:eastAsiaTheme="majorEastAsia" w:cstheme="majorBidi" w:hint="default"/>
        <w:u w:val="single"/>
      </w:rPr>
    </w:lvl>
    <w:lvl w:ilvl="5">
      <w:start w:val="1"/>
      <w:numFmt w:val="decimal"/>
      <w:isLgl/>
      <w:lvlText w:val="%1.%2.%3.%4.%5.%6"/>
      <w:lvlJc w:val="left"/>
      <w:pPr>
        <w:ind w:left="2520" w:hanging="2520"/>
      </w:pPr>
      <w:rPr>
        <w:rFonts w:eastAsiaTheme="majorEastAsia" w:cstheme="majorBidi" w:hint="default"/>
        <w:u w:val="single"/>
      </w:rPr>
    </w:lvl>
    <w:lvl w:ilvl="6">
      <w:start w:val="1"/>
      <w:numFmt w:val="decimal"/>
      <w:isLgl/>
      <w:lvlText w:val="%1.%2.%3.%4.%5.%6.%7"/>
      <w:lvlJc w:val="left"/>
      <w:pPr>
        <w:ind w:left="2520" w:hanging="2520"/>
      </w:pPr>
      <w:rPr>
        <w:rFonts w:eastAsiaTheme="majorEastAsia" w:cstheme="majorBidi" w:hint="default"/>
        <w:u w:val="single"/>
      </w:rPr>
    </w:lvl>
    <w:lvl w:ilvl="7">
      <w:start w:val="1"/>
      <w:numFmt w:val="decimal"/>
      <w:isLgl/>
      <w:lvlText w:val="%1.%2.%3.%4.%5.%6.%7.%8"/>
      <w:lvlJc w:val="left"/>
      <w:pPr>
        <w:ind w:left="2520" w:hanging="2520"/>
      </w:pPr>
      <w:rPr>
        <w:rFonts w:eastAsiaTheme="majorEastAsia" w:cstheme="majorBidi" w:hint="default"/>
        <w:u w:val="single"/>
      </w:rPr>
    </w:lvl>
    <w:lvl w:ilvl="8">
      <w:start w:val="1"/>
      <w:numFmt w:val="decimal"/>
      <w:isLgl/>
      <w:lvlText w:val="%1.%2.%3.%4.%5.%6.%7.%8.%9"/>
      <w:lvlJc w:val="left"/>
      <w:pPr>
        <w:ind w:left="2520" w:hanging="2520"/>
      </w:pPr>
      <w:rPr>
        <w:rFonts w:eastAsiaTheme="majorEastAsia" w:cstheme="majorBidi" w:hint="default"/>
        <w:u w:val="single"/>
      </w:rPr>
    </w:lvl>
  </w:abstractNum>
  <w:abstractNum w:abstractNumId="3" w15:restartNumberingAfterBreak="0">
    <w:nsid w:val="23E541E6"/>
    <w:multiLevelType w:val="multilevel"/>
    <w:tmpl w:val="B8E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77AAE"/>
    <w:multiLevelType w:val="multilevel"/>
    <w:tmpl w:val="8DC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A5308"/>
    <w:multiLevelType w:val="multilevel"/>
    <w:tmpl w:val="35D24B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D3B5F76"/>
    <w:multiLevelType w:val="multilevel"/>
    <w:tmpl w:val="DEA0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014254">
    <w:abstractNumId w:val="5"/>
  </w:num>
  <w:num w:numId="2" w16cid:durableId="1178427348">
    <w:abstractNumId w:val="0"/>
  </w:num>
  <w:num w:numId="3" w16cid:durableId="85880920">
    <w:abstractNumId w:val="1"/>
  </w:num>
  <w:num w:numId="4" w16cid:durableId="1525900473">
    <w:abstractNumId w:val="3"/>
  </w:num>
  <w:num w:numId="5" w16cid:durableId="383480488">
    <w:abstractNumId w:val="6"/>
  </w:num>
  <w:num w:numId="6" w16cid:durableId="692460559">
    <w:abstractNumId w:val="2"/>
  </w:num>
  <w:num w:numId="7" w16cid:durableId="241988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BA"/>
    <w:rsid w:val="0009128C"/>
    <w:rsid w:val="003344A8"/>
    <w:rsid w:val="003D35BA"/>
    <w:rsid w:val="006817F4"/>
    <w:rsid w:val="0088056A"/>
    <w:rsid w:val="00990FDA"/>
    <w:rsid w:val="00BA1DB8"/>
    <w:rsid w:val="00D83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3772"/>
  <w15:chartTrackingRefBased/>
  <w15:docId w15:val="{6E0D2A21-74A4-4CB7-B2CF-1E9A7634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A8"/>
    <w:pPr>
      <w:spacing w:after="0" w:line="259" w:lineRule="auto"/>
      <w:jc w:val="both"/>
    </w:pPr>
    <w:rPr>
      <w:rFonts w:ascii="Arial" w:hAnsi="Arial"/>
      <w:sz w:val="22"/>
      <w:szCs w:val="22"/>
    </w:rPr>
  </w:style>
  <w:style w:type="paragraph" w:styleId="Heading1">
    <w:name w:val="heading 1"/>
    <w:aliases w:val="Report Heading"/>
    <w:basedOn w:val="Normal"/>
    <w:next w:val="Normal"/>
    <w:link w:val="Heading1Char"/>
    <w:autoRedefine/>
    <w:uiPriority w:val="9"/>
    <w:qFormat/>
    <w:rsid w:val="006817F4"/>
    <w:pPr>
      <w:keepNext/>
      <w:keepLines/>
      <w:outlineLvl w:val="0"/>
    </w:pPr>
    <w:rPr>
      <w:rFonts w:eastAsia="Times New Roman" w:cstheme="majorBidi"/>
      <w:b/>
      <w:sz w:val="28"/>
      <w:szCs w:val="36"/>
      <w:u w:val="single"/>
      <w:lang w:eastAsia="en-GB"/>
    </w:rPr>
  </w:style>
  <w:style w:type="paragraph" w:styleId="Heading2">
    <w:name w:val="heading 2"/>
    <w:aliases w:val="SubHeading"/>
    <w:basedOn w:val="Normal"/>
    <w:next w:val="Normal"/>
    <w:link w:val="Heading2Char"/>
    <w:autoRedefine/>
    <w:uiPriority w:val="9"/>
    <w:unhideWhenUsed/>
    <w:qFormat/>
    <w:rsid w:val="00D83F09"/>
    <w:pPr>
      <w:keepNext/>
      <w:keepLines/>
      <w:outlineLvl w:val="1"/>
    </w:pPr>
    <w:rPr>
      <w:rFonts w:eastAsiaTheme="majorEastAsia" w:cstheme="majorBidi"/>
      <w:sz w:val="24"/>
      <w:szCs w:val="32"/>
      <w:u w:val="single"/>
      <w:lang w:eastAsia="en-GB"/>
    </w:rPr>
  </w:style>
  <w:style w:type="paragraph" w:styleId="Heading3">
    <w:name w:val="heading 3"/>
    <w:basedOn w:val="Normal"/>
    <w:next w:val="Normal"/>
    <w:link w:val="Heading3Char"/>
    <w:uiPriority w:val="9"/>
    <w:semiHidden/>
    <w:unhideWhenUsed/>
    <w:qFormat/>
    <w:rsid w:val="003D35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5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35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35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35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35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35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eport Body"/>
    <w:link w:val="NoSpacingChar"/>
    <w:autoRedefine/>
    <w:uiPriority w:val="1"/>
    <w:qFormat/>
    <w:rsid w:val="006817F4"/>
    <w:pPr>
      <w:spacing w:after="0" w:line="240" w:lineRule="auto"/>
      <w:jc w:val="both"/>
    </w:pPr>
    <w:rPr>
      <w:rFonts w:ascii="Arial" w:hAnsi="Arial"/>
      <w:u w:val="single"/>
    </w:rPr>
  </w:style>
  <w:style w:type="character" w:customStyle="1" w:styleId="NoSpacingChar">
    <w:name w:val="No Spacing Char"/>
    <w:aliases w:val="Report Body Char"/>
    <w:basedOn w:val="DefaultParagraphFont"/>
    <w:link w:val="NoSpacing"/>
    <w:uiPriority w:val="1"/>
    <w:rsid w:val="006817F4"/>
    <w:rPr>
      <w:rFonts w:ascii="Arial" w:hAnsi="Arial"/>
      <w:u w:val="single"/>
    </w:rPr>
  </w:style>
  <w:style w:type="character" w:customStyle="1" w:styleId="Heading1Char">
    <w:name w:val="Heading 1 Char"/>
    <w:aliases w:val="Report Heading Char"/>
    <w:basedOn w:val="DefaultParagraphFont"/>
    <w:link w:val="Heading1"/>
    <w:uiPriority w:val="9"/>
    <w:rsid w:val="006817F4"/>
    <w:rPr>
      <w:rFonts w:ascii="Arial" w:eastAsia="Times New Roman" w:hAnsi="Arial" w:cstheme="majorBidi"/>
      <w:b/>
      <w:sz w:val="28"/>
      <w:szCs w:val="36"/>
      <w:u w:val="single"/>
      <w:lang w:eastAsia="en-GB"/>
    </w:rPr>
  </w:style>
  <w:style w:type="paragraph" w:styleId="Title">
    <w:name w:val="Title"/>
    <w:basedOn w:val="Normal"/>
    <w:next w:val="Normal"/>
    <w:link w:val="TitleChar"/>
    <w:uiPriority w:val="10"/>
    <w:qFormat/>
    <w:rsid w:val="006817F4"/>
    <w:pPr>
      <w:spacing w:after="80" w:line="240" w:lineRule="auto"/>
      <w:contextualSpacing/>
    </w:pPr>
    <w:rPr>
      <w:rFonts w:eastAsiaTheme="majorEastAsia" w:cstheme="majorBidi"/>
      <w:b/>
      <w:spacing w:val="-10"/>
      <w:kern w:val="28"/>
      <w:sz w:val="36"/>
      <w:szCs w:val="56"/>
      <w:u w:val="single"/>
    </w:rPr>
  </w:style>
  <w:style w:type="character" w:customStyle="1" w:styleId="TitleChar">
    <w:name w:val="Title Char"/>
    <w:basedOn w:val="DefaultParagraphFont"/>
    <w:link w:val="Title"/>
    <w:uiPriority w:val="10"/>
    <w:rsid w:val="006817F4"/>
    <w:rPr>
      <w:rFonts w:ascii="Arial" w:eastAsiaTheme="majorEastAsia" w:hAnsi="Arial" w:cstheme="majorBidi"/>
      <w:b/>
      <w:spacing w:val="-10"/>
      <w:kern w:val="28"/>
      <w:sz w:val="36"/>
      <w:szCs w:val="56"/>
      <w:u w:val="single"/>
    </w:rPr>
  </w:style>
  <w:style w:type="character" w:customStyle="1" w:styleId="Heading2Char">
    <w:name w:val="Heading 2 Char"/>
    <w:aliases w:val="SubHeading Char"/>
    <w:basedOn w:val="DefaultParagraphFont"/>
    <w:link w:val="Heading2"/>
    <w:uiPriority w:val="9"/>
    <w:rsid w:val="00D83F09"/>
    <w:rPr>
      <w:rFonts w:ascii="Arial" w:eastAsiaTheme="majorEastAsia" w:hAnsi="Arial" w:cstheme="majorBidi"/>
      <w:szCs w:val="32"/>
      <w:u w:val="single"/>
      <w:lang w:eastAsia="en-GB"/>
    </w:rPr>
  </w:style>
  <w:style w:type="character" w:customStyle="1" w:styleId="Heading3Char">
    <w:name w:val="Heading 3 Char"/>
    <w:basedOn w:val="DefaultParagraphFont"/>
    <w:link w:val="Heading3"/>
    <w:uiPriority w:val="9"/>
    <w:semiHidden/>
    <w:rsid w:val="003D3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5BA"/>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3D35BA"/>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3D35BA"/>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3D35BA"/>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3D35BA"/>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3D35BA"/>
    <w:rPr>
      <w:rFonts w:eastAsiaTheme="majorEastAsia" w:cstheme="majorBidi"/>
      <w:color w:val="272727" w:themeColor="text1" w:themeTint="D8"/>
      <w:sz w:val="22"/>
      <w:szCs w:val="22"/>
    </w:rPr>
  </w:style>
  <w:style w:type="paragraph" w:styleId="Subtitle">
    <w:name w:val="Subtitle"/>
    <w:basedOn w:val="Normal"/>
    <w:next w:val="Normal"/>
    <w:link w:val="SubtitleChar"/>
    <w:uiPriority w:val="11"/>
    <w:qFormat/>
    <w:rsid w:val="003D35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5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5BA"/>
    <w:rPr>
      <w:rFonts w:ascii="Arial" w:hAnsi="Arial"/>
      <w:i/>
      <w:iCs/>
      <w:color w:val="404040" w:themeColor="text1" w:themeTint="BF"/>
      <w:sz w:val="22"/>
      <w:szCs w:val="22"/>
    </w:rPr>
  </w:style>
  <w:style w:type="paragraph" w:styleId="ListParagraph">
    <w:name w:val="List Paragraph"/>
    <w:basedOn w:val="Normal"/>
    <w:uiPriority w:val="34"/>
    <w:qFormat/>
    <w:rsid w:val="003D35BA"/>
    <w:pPr>
      <w:ind w:left="720"/>
      <w:contextualSpacing/>
    </w:pPr>
  </w:style>
  <w:style w:type="character" w:styleId="IntenseEmphasis">
    <w:name w:val="Intense Emphasis"/>
    <w:basedOn w:val="DefaultParagraphFont"/>
    <w:uiPriority w:val="21"/>
    <w:qFormat/>
    <w:rsid w:val="003D35BA"/>
    <w:rPr>
      <w:i/>
      <w:iCs/>
      <w:color w:val="0F4761" w:themeColor="accent1" w:themeShade="BF"/>
    </w:rPr>
  </w:style>
  <w:style w:type="paragraph" w:styleId="IntenseQuote">
    <w:name w:val="Intense Quote"/>
    <w:basedOn w:val="Normal"/>
    <w:next w:val="Normal"/>
    <w:link w:val="IntenseQuoteChar"/>
    <w:uiPriority w:val="30"/>
    <w:qFormat/>
    <w:rsid w:val="003D3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5BA"/>
    <w:rPr>
      <w:rFonts w:ascii="Arial" w:hAnsi="Arial"/>
      <w:i/>
      <w:iCs/>
      <w:color w:val="0F4761" w:themeColor="accent1" w:themeShade="BF"/>
      <w:sz w:val="22"/>
      <w:szCs w:val="22"/>
    </w:rPr>
  </w:style>
  <w:style w:type="character" w:styleId="IntenseReference">
    <w:name w:val="Intense Reference"/>
    <w:basedOn w:val="DefaultParagraphFont"/>
    <w:uiPriority w:val="32"/>
    <w:qFormat/>
    <w:rsid w:val="003D35BA"/>
    <w:rPr>
      <w:b/>
      <w:bCs/>
      <w:smallCaps/>
      <w:color w:val="0F4761" w:themeColor="accent1" w:themeShade="BF"/>
      <w:spacing w:val="5"/>
    </w:rPr>
  </w:style>
  <w:style w:type="table" w:styleId="TableGrid">
    <w:name w:val="Table Grid"/>
    <w:basedOn w:val="TableNormal"/>
    <w:uiPriority w:val="39"/>
    <w:rsid w:val="00334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3F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056">
      <w:bodyDiv w:val="1"/>
      <w:marLeft w:val="0"/>
      <w:marRight w:val="0"/>
      <w:marTop w:val="0"/>
      <w:marBottom w:val="0"/>
      <w:divBdr>
        <w:top w:val="none" w:sz="0" w:space="0" w:color="auto"/>
        <w:left w:val="none" w:sz="0" w:space="0" w:color="auto"/>
        <w:bottom w:val="none" w:sz="0" w:space="0" w:color="auto"/>
        <w:right w:val="none" w:sz="0" w:space="0" w:color="auto"/>
      </w:divBdr>
    </w:div>
    <w:div w:id="161087891">
      <w:bodyDiv w:val="1"/>
      <w:marLeft w:val="0"/>
      <w:marRight w:val="0"/>
      <w:marTop w:val="0"/>
      <w:marBottom w:val="0"/>
      <w:divBdr>
        <w:top w:val="none" w:sz="0" w:space="0" w:color="auto"/>
        <w:left w:val="none" w:sz="0" w:space="0" w:color="auto"/>
        <w:bottom w:val="none" w:sz="0" w:space="0" w:color="auto"/>
        <w:right w:val="none" w:sz="0" w:space="0" w:color="auto"/>
      </w:divBdr>
    </w:div>
    <w:div w:id="253780204">
      <w:bodyDiv w:val="1"/>
      <w:marLeft w:val="0"/>
      <w:marRight w:val="0"/>
      <w:marTop w:val="0"/>
      <w:marBottom w:val="0"/>
      <w:divBdr>
        <w:top w:val="none" w:sz="0" w:space="0" w:color="auto"/>
        <w:left w:val="none" w:sz="0" w:space="0" w:color="auto"/>
        <w:bottom w:val="none" w:sz="0" w:space="0" w:color="auto"/>
        <w:right w:val="none" w:sz="0" w:space="0" w:color="auto"/>
      </w:divBdr>
    </w:div>
    <w:div w:id="500896373">
      <w:bodyDiv w:val="1"/>
      <w:marLeft w:val="0"/>
      <w:marRight w:val="0"/>
      <w:marTop w:val="0"/>
      <w:marBottom w:val="0"/>
      <w:divBdr>
        <w:top w:val="none" w:sz="0" w:space="0" w:color="auto"/>
        <w:left w:val="none" w:sz="0" w:space="0" w:color="auto"/>
        <w:bottom w:val="none" w:sz="0" w:space="0" w:color="auto"/>
        <w:right w:val="none" w:sz="0" w:space="0" w:color="auto"/>
      </w:divBdr>
    </w:div>
    <w:div w:id="1161192794">
      <w:bodyDiv w:val="1"/>
      <w:marLeft w:val="0"/>
      <w:marRight w:val="0"/>
      <w:marTop w:val="0"/>
      <w:marBottom w:val="0"/>
      <w:divBdr>
        <w:top w:val="none" w:sz="0" w:space="0" w:color="auto"/>
        <w:left w:val="none" w:sz="0" w:space="0" w:color="auto"/>
        <w:bottom w:val="none" w:sz="0" w:space="0" w:color="auto"/>
        <w:right w:val="none" w:sz="0" w:space="0" w:color="auto"/>
      </w:divBdr>
    </w:div>
    <w:div w:id="1743990168">
      <w:bodyDiv w:val="1"/>
      <w:marLeft w:val="0"/>
      <w:marRight w:val="0"/>
      <w:marTop w:val="0"/>
      <w:marBottom w:val="0"/>
      <w:divBdr>
        <w:top w:val="none" w:sz="0" w:space="0" w:color="auto"/>
        <w:left w:val="none" w:sz="0" w:space="0" w:color="auto"/>
        <w:bottom w:val="none" w:sz="0" w:space="0" w:color="auto"/>
        <w:right w:val="none" w:sz="0" w:space="0" w:color="auto"/>
      </w:divBdr>
    </w:div>
    <w:div w:id="18312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Props1.xml><?xml version="1.0" encoding="utf-8"?>
<ds:datastoreItem xmlns:ds="http://schemas.openxmlformats.org/officeDocument/2006/customXml" ds:itemID="{88C82E6B-6828-4798-A398-84DF823865DF}"/>
</file>

<file path=customXml/itemProps2.xml><?xml version="1.0" encoding="utf-8"?>
<ds:datastoreItem xmlns:ds="http://schemas.openxmlformats.org/officeDocument/2006/customXml" ds:itemID="{419F1CE0-84BE-4EDA-AD73-AB9D83D272A7}"/>
</file>

<file path=customXml/itemProps3.xml><?xml version="1.0" encoding="utf-8"?>
<ds:datastoreItem xmlns:ds="http://schemas.openxmlformats.org/officeDocument/2006/customXml" ds:itemID="{4C485AF6-8FFB-461E-A58A-8A9EF3861A6F}"/>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Chapman-New</dc:creator>
  <cp:keywords/>
  <dc:description/>
  <cp:lastModifiedBy>Andrew Chapman-New</cp:lastModifiedBy>
  <cp:revision>1</cp:revision>
  <dcterms:created xsi:type="dcterms:W3CDTF">2025-03-07T11:58:00Z</dcterms:created>
  <dcterms:modified xsi:type="dcterms:W3CDTF">2025-03-07T12:41:00Z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ies>
</file>