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CD4" w14:textId="2F23A5C6" w:rsidR="006817F4" w:rsidRDefault="00543112" w:rsidP="00844F8D">
      <w:pPr>
        <w:pStyle w:val="Title"/>
        <w:numPr>
          <w:ilvl w:val="0"/>
          <w:numId w:val="0"/>
        </w:numPr>
        <w:ind w:left="360"/>
      </w:pPr>
      <w:r>
        <w:t xml:space="preserve">Service Specification: </w:t>
      </w:r>
      <w:r w:rsidR="00417093">
        <w:t xml:space="preserve">Hedge Maintenance </w:t>
      </w:r>
    </w:p>
    <w:p w14:paraId="6FEC2F4F" w14:textId="77777777" w:rsidR="00543112" w:rsidRDefault="00543112" w:rsidP="00543112">
      <w:pPr>
        <w:rPr>
          <w:lang w:val="en-US" w:eastAsia="en-GB"/>
        </w:rPr>
      </w:pPr>
    </w:p>
    <w:p w14:paraId="0E8735E0" w14:textId="11055C49" w:rsidR="00543112" w:rsidRDefault="00543112" w:rsidP="00A50402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Introduction</w:t>
      </w:r>
    </w:p>
    <w:p w14:paraId="18333F5F" w14:textId="77777777" w:rsidR="00543112" w:rsidRDefault="00543112" w:rsidP="00543112">
      <w:pPr>
        <w:rPr>
          <w:lang w:val="en-US" w:eastAsia="en-GB"/>
        </w:rPr>
      </w:pPr>
    </w:p>
    <w:p w14:paraId="6EF6EFEE" w14:textId="36FA2232" w:rsidR="005568A6" w:rsidRPr="005568A6" w:rsidRDefault="00543112" w:rsidP="005568A6">
      <w:pPr>
        <w:rPr>
          <w:lang w:eastAsia="en-GB"/>
        </w:rPr>
      </w:pPr>
      <w:r w:rsidRPr="00543112">
        <w:rPr>
          <w:lang w:val="en-US" w:eastAsia="en-GB"/>
        </w:rPr>
        <w:t xml:space="preserve">Cranbrook Town Council invites tenders for the provision of </w:t>
      </w:r>
      <w:r w:rsidR="008B50F4">
        <w:rPr>
          <w:lang w:val="en-US" w:eastAsia="en-GB"/>
        </w:rPr>
        <w:t>hedge</w:t>
      </w:r>
      <w:r w:rsidRPr="00543112">
        <w:rPr>
          <w:lang w:val="en-US" w:eastAsia="en-GB"/>
        </w:rPr>
        <w:t xml:space="preserve"> maintenance across Cranbrook Country Park, public open spaces, and designated green areas. The contractor will be responsible for delivering a high-quality, environmentally sensitive </w:t>
      </w:r>
      <w:r w:rsidR="00631955">
        <w:rPr>
          <w:lang w:val="en-US" w:eastAsia="en-GB"/>
        </w:rPr>
        <w:t>maintenance</w:t>
      </w:r>
      <w:r w:rsidRPr="00543112">
        <w:rPr>
          <w:lang w:val="en-US" w:eastAsia="en-GB"/>
        </w:rPr>
        <w:t xml:space="preserve"> service in accordance with this specification</w:t>
      </w:r>
      <w:r w:rsidR="00961C33">
        <w:rPr>
          <w:lang w:val="en-US" w:eastAsia="en-GB"/>
        </w:rPr>
        <w:t xml:space="preserve"> over the following areas of public open space (POS) </w:t>
      </w:r>
      <w:r w:rsidR="005568A6" w:rsidRPr="005568A6">
        <w:rPr>
          <w:lang w:eastAsia="en-GB"/>
        </w:rPr>
        <w:t xml:space="preserve">including the Country Park, play areas, green corridors, and other designated locations. </w:t>
      </w:r>
    </w:p>
    <w:p w14:paraId="2513EC7F" w14:textId="125F738D" w:rsidR="00543112" w:rsidRDefault="00543112" w:rsidP="00543112">
      <w:pPr>
        <w:rPr>
          <w:lang w:val="en-US" w:eastAsia="en-GB"/>
        </w:rPr>
      </w:pPr>
    </w:p>
    <w:p w14:paraId="77215EEA" w14:textId="78384926" w:rsidR="00C348AA" w:rsidRPr="00A50402" w:rsidRDefault="008B50F4" w:rsidP="00A50402">
      <w:pPr>
        <w:rPr>
          <w:lang w:val="en-US" w:eastAsia="en-GB"/>
        </w:rPr>
      </w:pPr>
      <w:r>
        <w:rPr>
          <w:lang w:val="en-US" w:eastAsia="en-GB"/>
        </w:rPr>
        <w:t xml:space="preserve">The Council commissions a separate contract covering </w:t>
      </w:r>
      <w:r w:rsidRPr="008B50F4">
        <w:rPr>
          <w:lang w:val="en-US" w:eastAsia="en-GB"/>
        </w:rPr>
        <w:t>a range of operations including grass management, weed control, scrub and shrub maintenance as well as path maintenance.</w:t>
      </w:r>
    </w:p>
    <w:p w14:paraId="27F85B39" w14:textId="77777777" w:rsidR="00344213" w:rsidRPr="008B50F4" w:rsidRDefault="00344213" w:rsidP="008B50F4">
      <w:pPr>
        <w:rPr>
          <w:lang w:val="en-US" w:eastAsia="en-GB"/>
        </w:rPr>
      </w:pPr>
    </w:p>
    <w:p w14:paraId="42DB0C8C" w14:textId="493E7022" w:rsidR="00344213" w:rsidRPr="00A50402" w:rsidRDefault="00FA29C4" w:rsidP="00A50402">
      <w:pPr>
        <w:rPr>
          <w:lang w:val="en-US" w:eastAsia="en-GB"/>
        </w:rPr>
      </w:pPr>
      <w:r w:rsidRPr="00A50402">
        <w:rPr>
          <w:lang w:val="en-US" w:eastAsia="en-GB"/>
        </w:rPr>
        <w:t xml:space="preserve">Meadow </w:t>
      </w:r>
      <w:r w:rsidR="00063EDC" w:rsidRPr="00A50402">
        <w:rPr>
          <w:lang w:val="en-US" w:eastAsia="en-GB"/>
        </w:rPr>
        <w:t>Grassland,</w:t>
      </w:r>
      <w:r w:rsidRPr="00A50402">
        <w:rPr>
          <w:lang w:val="en-US" w:eastAsia="en-GB"/>
        </w:rPr>
        <w:t xml:space="preserve"> to be cut, bailed, and removed within the Country </w:t>
      </w:r>
      <w:r w:rsidR="00063EDC" w:rsidRPr="00A50402">
        <w:rPr>
          <w:lang w:val="en-US" w:eastAsia="en-GB"/>
        </w:rPr>
        <w:t>Park,</w:t>
      </w:r>
      <w:r w:rsidRPr="00A50402">
        <w:rPr>
          <w:lang w:val="en-US" w:eastAsia="en-GB"/>
        </w:rPr>
        <w:t xml:space="preserve"> </w:t>
      </w:r>
      <w:r w:rsidR="00063EDC" w:rsidRPr="00A50402">
        <w:rPr>
          <w:lang w:val="en-US" w:eastAsia="en-GB"/>
        </w:rPr>
        <w:t xml:space="preserve">will be </w:t>
      </w:r>
      <w:r w:rsidRPr="00A50402">
        <w:rPr>
          <w:lang w:val="en-US" w:eastAsia="en-GB"/>
        </w:rPr>
        <w:t xml:space="preserve">under the procurement of a separate tender by a chosen contractor unless agreed otherwise by Cranbrook Town Council. </w:t>
      </w:r>
    </w:p>
    <w:p w14:paraId="09F6DC3F" w14:textId="77777777" w:rsidR="00815854" w:rsidRPr="00815854" w:rsidRDefault="00815854" w:rsidP="00815854">
      <w:pPr>
        <w:pStyle w:val="ListParagraph"/>
        <w:rPr>
          <w:lang w:val="en-US" w:eastAsia="en-GB"/>
        </w:rPr>
      </w:pPr>
    </w:p>
    <w:p w14:paraId="232628C5" w14:textId="77777777" w:rsidR="00815854" w:rsidRDefault="00815854" w:rsidP="00815854">
      <w:pPr>
        <w:rPr>
          <w:lang w:val="en-US" w:eastAsia="en-GB"/>
        </w:rPr>
      </w:pPr>
    </w:p>
    <w:p w14:paraId="46B5B87B" w14:textId="4B15F54C" w:rsidR="00815854" w:rsidRDefault="00FE4A1C" w:rsidP="001B772E">
      <w:pPr>
        <w:pStyle w:val="Heading1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Summary of </w:t>
      </w:r>
      <w:r w:rsidR="00815854">
        <w:rPr>
          <w:lang w:val="en-US"/>
        </w:rPr>
        <w:t>Tasks</w:t>
      </w:r>
    </w:p>
    <w:p w14:paraId="58CA928F" w14:textId="77777777" w:rsidR="004163A0" w:rsidRDefault="004163A0" w:rsidP="004163A0">
      <w:pPr>
        <w:rPr>
          <w:lang w:val="en-US" w:eastAsia="en-GB"/>
        </w:rPr>
      </w:pPr>
    </w:p>
    <w:p w14:paraId="3FBD6708" w14:textId="41764A82" w:rsidR="004163A0" w:rsidRPr="004163A0" w:rsidRDefault="004163A0" w:rsidP="004163A0">
      <w:pPr>
        <w:rPr>
          <w:i/>
          <w:iCs/>
          <w:lang w:val="en-US" w:eastAsia="en-GB"/>
        </w:rPr>
      </w:pPr>
      <w:r>
        <w:rPr>
          <w:i/>
          <w:iCs/>
          <w:lang w:val="en-US" w:eastAsia="en-GB"/>
        </w:rPr>
        <w:t>Detail specifications of each task provided further below.</w:t>
      </w:r>
    </w:p>
    <w:p w14:paraId="52BE46A3" w14:textId="1D4B1764" w:rsidR="000A346E" w:rsidRDefault="000A346E" w:rsidP="000A346E">
      <w:pPr>
        <w:rPr>
          <w:lang w:val="en-US" w:eastAsia="en-GB"/>
        </w:rPr>
      </w:pP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687"/>
        <w:gridCol w:w="3402"/>
        <w:gridCol w:w="2977"/>
        <w:gridCol w:w="4133"/>
      </w:tblGrid>
      <w:tr w:rsidR="001B772E" w14:paraId="44191C4B" w14:textId="77777777" w:rsidTr="001B772E">
        <w:tc>
          <w:tcPr>
            <w:tcW w:w="687" w:type="dxa"/>
          </w:tcPr>
          <w:p w14:paraId="639360CB" w14:textId="77777777" w:rsidR="001B772E" w:rsidRPr="00155521" w:rsidRDefault="001B772E" w:rsidP="0015552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DEBE2F0" w14:textId="4EA32370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Task</w:t>
            </w:r>
          </w:p>
        </w:tc>
        <w:tc>
          <w:tcPr>
            <w:tcW w:w="2977" w:type="dxa"/>
          </w:tcPr>
          <w:p w14:paraId="1D6DEC74" w14:textId="4E0EF2F3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Frequency</w:t>
            </w:r>
          </w:p>
        </w:tc>
        <w:tc>
          <w:tcPr>
            <w:tcW w:w="4133" w:type="dxa"/>
          </w:tcPr>
          <w:p w14:paraId="1D14DAC3" w14:textId="2E8B329D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Notes</w:t>
            </w:r>
          </w:p>
        </w:tc>
      </w:tr>
      <w:tr w:rsidR="001B772E" w14:paraId="2BB1EEF1" w14:textId="77777777" w:rsidTr="001B772E">
        <w:tc>
          <w:tcPr>
            <w:tcW w:w="687" w:type="dxa"/>
          </w:tcPr>
          <w:p w14:paraId="53F751B4" w14:textId="314660E6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3402" w:type="dxa"/>
          </w:tcPr>
          <w:p w14:paraId="125F3E98" w14:textId="442ED6E8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Pre-management hedge assessment</w:t>
            </w:r>
          </w:p>
        </w:tc>
        <w:tc>
          <w:tcPr>
            <w:tcW w:w="2977" w:type="dxa"/>
          </w:tcPr>
          <w:p w14:paraId="6AF0FC6C" w14:textId="790AB9DD" w:rsidR="001B772E" w:rsidRDefault="001B772E" w:rsidP="00155521">
            <w:pPr>
              <w:rPr>
                <w:lang w:val="en-US" w:eastAsia="en-GB"/>
              </w:rPr>
            </w:pPr>
            <w:r w:rsidRPr="00472CC3">
              <w:t>Annually (March–April)</w:t>
            </w:r>
          </w:p>
        </w:tc>
        <w:tc>
          <w:tcPr>
            <w:tcW w:w="4133" w:type="dxa"/>
          </w:tcPr>
          <w:p w14:paraId="3A10A5B5" w14:textId="2B895E5B" w:rsidR="001B772E" w:rsidRDefault="001B772E" w:rsidP="00155521">
            <w:pPr>
              <w:rPr>
                <w:lang w:val="en-US" w:eastAsia="en-GB"/>
              </w:rPr>
            </w:pPr>
            <w:r w:rsidRPr="00472CC3">
              <w:t>Review hedge condition using Hedge Management Cycle (HMC); record stage and needs.</w:t>
            </w:r>
          </w:p>
        </w:tc>
      </w:tr>
      <w:tr w:rsidR="001B772E" w14:paraId="4168C858" w14:textId="77777777" w:rsidTr="001B772E">
        <w:tc>
          <w:tcPr>
            <w:tcW w:w="687" w:type="dxa"/>
          </w:tcPr>
          <w:p w14:paraId="15620CB8" w14:textId="5C769161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3402" w:type="dxa"/>
          </w:tcPr>
          <w:p w14:paraId="64285363" w14:textId="5117B405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Hedge cutting – Residential areas</w:t>
            </w:r>
          </w:p>
        </w:tc>
        <w:tc>
          <w:tcPr>
            <w:tcW w:w="2977" w:type="dxa"/>
          </w:tcPr>
          <w:p w14:paraId="7A13F3DF" w14:textId="186F5D2B" w:rsidR="001B772E" w:rsidRDefault="001B772E" w:rsidP="00155521">
            <w:pPr>
              <w:rPr>
                <w:lang w:val="en-US" w:eastAsia="en-GB"/>
              </w:rPr>
            </w:pPr>
            <w:r w:rsidRPr="00472CC3">
              <w:t>Annually (Sept–Feb)</w:t>
            </w:r>
          </w:p>
        </w:tc>
        <w:tc>
          <w:tcPr>
            <w:tcW w:w="4133" w:type="dxa"/>
          </w:tcPr>
          <w:p w14:paraId="6A7FBC54" w14:textId="0355F272" w:rsidR="001B772E" w:rsidRDefault="001B772E" w:rsidP="00155521">
            <w:pPr>
              <w:rPr>
                <w:lang w:val="en-US" w:eastAsia="en-GB"/>
              </w:rPr>
            </w:pPr>
            <w:r w:rsidRPr="00472CC3">
              <w:t>Maintain shape and safety; avoid March–August (bird nesting season).</w:t>
            </w:r>
          </w:p>
        </w:tc>
      </w:tr>
      <w:tr w:rsidR="001B772E" w14:paraId="10082CE7" w14:textId="77777777" w:rsidTr="001B772E">
        <w:tc>
          <w:tcPr>
            <w:tcW w:w="687" w:type="dxa"/>
          </w:tcPr>
          <w:p w14:paraId="7FB1D5C3" w14:textId="3D8AFCF9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3402" w:type="dxa"/>
          </w:tcPr>
          <w:p w14:paraId="6BDAAC09" w14:textId="57A568C9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Hedge cutting – Border areas</w:t>
            </w:r>
          </w:p>
        </w:tc>
        <w:tc>
          <w:tcPr>
            <w:tcW w:w="2977" w:type="dxa"/>
          </w:tcPr>
          <w:p w14:paraId="3F06CDD4" w14:textId="02AFF12A" w:rsidR="001B772E" w:rsidRDefault="001B772E" w:rsidP="00155521">
            <w:pPr>
              <w:rPr>
                <w:lang w:val="en-US" w:eastAsia="en-GB"/>
              </w:rPr>
            </w:pPr>
            <w:r w:rsidRPr="00472CC3">
              <w:t>Every 2–3 years (Sept–Feb)</w:t>
            </w:r>
          </w:p>
        </w:tc>
        <w:tc>
          <w:tcPr>
            <w:tcW w:w="4133" w:type="dxa"/>
          </w:tcPr>
          <w:p w14:paraId="031321E6" w14:textId="04A97830" w:rsidR="001B772E" w:rsidRDefault="001B772E" w:rsidP="00155521">
            <w:pPr>
              <w:rPr>
                <w:lang w:val="en-US" w:eastAsia="en-GB"/>
              </w:rPr>
            </w:pPr>
            <w:r w:rsidRPr="00472CC3">
              <w:t>Rotational cutting: maintain structure and prevent overgrowth.</w:t>
            </w:r>
          </w:p>
        </w:tc>
      </w:tr>
      <w:tr w:rsidR="001B772E" w14:paraId="315FE0A6" w14:textId="77777777" w:rsidTr="001B772E">
        <w:tc>
          <w:tcPr>
            <w:tcW w:w="687" w:type="dxa"/>
          </w:tcPr>
          <w:p w14:paraId="361C6826" w14:textId="5C754967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3402" w:type="dxa"/>
          </w:tcPr>
          <w:p w14:paraId="24AF642D" w14:textId="10D42858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Hedge cutting – Open Space</w:t>
            </w:r>
          </w:p>
        </w:tc>
        <w:tc>
          <w:tcPr>
            <w:tcW w:w="2977" w:type="dxa"/>
          </w:tcPr>
          <w:p w14:paraId="77A2DD0C" w14:textId="23ECFDBA" w:rsidR="001B772E" w:rsidRDefault="001B772E" w:rsidP="00155521">
            <w:pPr>
              <w:rPr>
                <w:lang w:val="en-US" w:eastAsia="en-GB"/>
              </w:rPr>
            </w:pPr>
            <w:r w:rsidRPr="00472CC3">
              <w:t>Ad hoc</w:t>
            </w:r>
          </w:p>
        </w:tc>
        <w:tc>
          <w:tcPr>
            <w:tcW w:w="4133" w:type="dxa"/>
          </w:tcPr>
          <w:p w14:paraId="3E07193C" w14:textId="55CE99F1" w:rsidR="001B772E" w:rsidRDefault="001B772E" w:rsidP="00155521">
            <w:pPr>
              <w:rPr>
                <w:lang w:val="en-US" w:eastAsia="en-GB"/>
              </w:rPr>
            </w:pPr>
            <w:r w:rsidRPr="00472CC3">
              <w:t>Only as needed; promote ecological value and linear woodland formation.</w:t>
            </w:r>
          </w:p>
        </w:tc>
      </w:tr>
      <w:tr w:rsidR="001B772E" w14:paraId="113379BC" w14:textId="77777777" w:rsidTr="001B772E">
        <w:tc>
          <w:tcPr>
            <w:tcW w:w="687" w:type="dxa"/>
          </w:tcPr>
          <w:p w14:paraId="7060C066" w14:textId="607C5DF1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3402" w:type="dxa"/>
          </w:tcPr>
          <w:p w14:paraId="463A0F94" w14:textId="6E849BFA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Coppicing of hedgerows</w:t>
            </w:r>
          </w:p>
        </w:tc>
        <w:tc>
          <w:tcPr>
            <w:tcW w:w="2977" w:type="dxa"/>
          </w:tcPr>
          <w:p w14:paraId="3C748159" w14:textId="4F3BD8AB" w:rsidR="001B772E" w:rsidRDefault="001B772E" w:rsidP="00155521">
            <w:pPr>
              <w:rPr>
                <w:lang w:val="en-US" w:eastAsia="en-GB"/>
              </w:rPr>
            </w:pPr>
            <w:r w:rsidRPr="00472CC3">
              <w:t>Every 5–7 years (Winter)</w:t>
            </w:r>
          </w:p>
        </w:tc>
        <w:tc>
          <w:tcPr>
            <w:tcW w:w="4133" w:type="dxa"/>
          </w:tcPr>
          <w:p w14:paraId="5C931257" w14:textId="45F408BD" w:rsidR="001B772E" w:rsidRDefault="001B772E" w:rsidP="00155521">
            <w:pPr>
              <w:rPr>
                <w:lang w:val="en-US" w:eastAsia="en-GB"/>
              </w:rPr>
            </w:pPr>
            <w:r w:rsidRPr="00472CC3">
              <w:t>Rejuvenate old/leggy hedgerows; promote dense regrowth.</w:t>
            </w:r>
          </w:p>
        </w:tc>
      </w:tr>
      <w:tr w:rsidR="001B772E" w14:paraId="6B7C0924" w14:textId="77777777" w:rsidTr="001B772E">
        <w:tc>
          <w:tcPr>
            <w:tcW w:w="687" w:type="dxa"/>
          </w:tcPr>
          <w:p w14:paraId="1FE9B4D1" w14:textId="75CBD498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3402" w:type="dxa"/>
          </w:tcPr>
          <w:p w14:paraId="2E0998E2" w14:textId="2A5F2A62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Laying or steeping</w:t>
            </w:r>
          </w:p>
        </w:tc>
        <w:tc>
          <w:tcPr>
            <w:tcW w:w="2977" w:type="dxa"/>
          </w:tcPr>
          <w:p w14:paraId="413AF1F7" w14:textId="2427E3C9" w:rsidR="001B772E" w:rsidRDefault="001B772E" w:rsidP="00155521">
            <w:pPr>
              <w:rPr>
                <w:lang w:val="en-US" w:eastAsia="en-GB"/>
              </w:rPr>
            </w:pPr>
            <w:r w:rsidRPr="00472CC3">
              <w:t>As needed (Winter)</w:t>
            </w:r>
          </w:p>
        </w:tc>
        <w:tc>
          <w:tcPr>
            <w:tcW w:w="4133" w:type="dxa"/>
          </w:tcPr>
          <w:p w14:paraId="0D615EBC" w14:textId="295A630C" w:rsidR="001B772E" w:rsidRDefault="001B772E" w:rsidP="00155521">
            <w:pPr>
              <w:rPr>
                <w:lang w:val="en-US" w:eastAsia="en-GB"/>
              </w:rPr>
            </w:pPr>
            <w:r w:rsidRPr="00472CC3">
              <w:t>Maintain hedge density at base, typically after HMC 7.</w:t>
            </w:r>
          </w:p>
        </w:tc>
      </w:tr>
      <w:tr w:rsidR="001B772E" w14:paraId="0B33F4D8" w14:textId="77777777" w:rsidTr="001B772E">
        <w:tc>
          <w:tcPr>
            <w:tcW w:w="687" w:type="dxa"/>
          </w:tcPr>
          <w:p w14:paraId="2BEFCB84" w14:textId="68CAF581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3402" w:type="dxa"/>
          </w:tcPr>
          <w:p w14:paraId="1077A8C9" w14:textId="32CADF93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Gapping-up</w:t>
            </w:r>
          </w:p>
        </w:tc>
        <w:tc>
          <w:tcPr>
            <w:tcW w:w="2977" w:type="dxa"/>
          </w:tcPr>
          <w:p w14:paraId="5992E07D" w14:textId="2A87114E" w:rsidR="001B772E" w:rsidRDefault="001B772E" w:rsidP="00155521">
            <w:pPr>
              <w:rPr>
                <w:lang w:val="en-US" w:eastAsia="en-GB"/>
              </w:rPr>
            </w:pPr>
            <w:r w:rsidRPr="00472CC3">
              <w:t>Every 2–3 years or as needed</w:t>
            </w:r>
          </w:p>
        </w:tc>
        <w:tc>
          <w:tcPr>
            <w:tcW w:w="4133" w:type="dxa"/>
          </w:tcPr>
          <w:p w14:paraId="72BB0176" w14:textId="1AAFB83A" w:rsidR="001B772E" w:rsidRDefault="001B772E" w:rsidP="00155521">
            <w:pPr>
              <w:rPr>
                <w:lang w:val="en-US" w:eastAsia="en-GB"/>
              </w:rPr>
            </w:pPr>
            <w:r w:rsidRPr="00472CC3">
              <w:t>Replant gaps using native species; following coppicing or laying.</w:t>
            </w:r>
          </w:p>
        </w:tc>
      </w:tr>
      <w:tr w:rsidR="001B772E" w14:paraId="6E74EB34" w14:textId="77777777" w:rsidTr="001B772E">
        <w:tc>
          <w:tcPr>
            <w:tcW w:w="687" w:type="dxa"/>
          </w:tcPr>
          <w:p w14:paraId="6F6CF78B" w14:textId="525E0107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3402" w:type="dxa"/>
          </w:tcPr>
          <w:p w14:paraId="6344C860" w14:textId="62E7BDE5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Casting-up (soil stabilisation)</w:t>
            </w:r>
          </w:p>
        </w:tc>
        <w:tc>
          <w:tcPr>
            <w:tcW w:w="2977" w:type="dxa"/>
          </w:tcPr>
          <w:p w14:paraId="60C7F6C5" w14:textId="177462AE" w:rsidR="001B772E" w:rsidRDefault="001B772E" w:rsidP="00155521">
            <w:pPr>
              <w:rPr>
                <w:lang w:val="en-US" w:eastAsia="en-GB"/>
              </w:rPr>
            </w:pPr>
            <w:r w:rsidRPr="00472CC3">
              <w:t>Every 3 years (Oct–Nov)</w:t>
            </w:r>
          </w:p>
        </w:tc>
        <w:tc>
          <w:tcPr>
            <w:tcW w:w="4133" w:type="dxa"/>
          </w:tcPr>
          <w:p w14:paraId="7252D2FB" w14:textId="66FA5A51" w:rsidR="001B772E" w:rsidRDefault="001B772E" w:rsidP="00155521">
            <w:pPr>
              <w:rPr>
                <w:lang w:val="en-US" w:eastAsia="en-GB"/>
              </w:rPr>
            </w:pPr>
            <w:r w:rsidRPr="00472CC3">
              <w:t>Rebuild eroded hedgebanks using turf/stone to retain shape and height.</w:t>
            </w:r>
          </w:p>
        </w:tc>
      </w:tr>
      <w:tr w:rsidR="001B772E" w14:paraId="03A7FDA4" w14:textId="77777777" w:rsidTr="001B772E">
        <w:tc>
          <w:tcPr>
            <w:tcW w:w="687" w:type="dxa"/>
          </w:tcPr>
          <w:p w14:paraId="6C4B6621" w14:textId="3C0EE4EC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3402" w:type="dxa"/>
          </w:tcPr>
          <w:p w14:paraId="16702C32" w14:textId="46D81FDE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Hedge shaping and trimming</w:t>
            </w:r>
          </w:p>
        </w:tc>
        <w:tc>
          <w:tcPr>
            <w:tcW w:w="2977" w:type="dxa"/>
          </w:tcPr>
          <w:p w14:paraId="685C28D8" w14:textId="7FBB3E5A" w:rsidR="001B772E" w:rsidRDefault="001B772E" w:rsidP="00155521">
            <w:pPr>
              <w:rPr>
                <w:lang w:val="en-US" w:eastAsia="en-GB"/>
              </w:rPr>
            </w:pPr>
            <w:r w:rsidRPr="00472CC3">
              <w:t>Annually or as per cycle</w:t>
            </w:r>
          </w:p>
        </w:tc>
        <w:tc>
          <w:tcPr>
            <w:tcW w:w="4133" w:type="dxa"/>
          </w:tcPr>
          <w:p w14:paraId="3297C687" w14:textId="4D53FDCD" w:rsidR="001B772E" w:rsidRDefault="001B772E" w:rsidP="00155521">
            <w:pPr>
              <w:rPr>
                <w:lang w:val="en-US" w:eastAsia="en-GB"/>
              </w:rPr>
            </w:pPr>
            <w:r w:rsidRPr="00472CC3">
              <w:t>Shape to natural 'A' profile; raise cutter head by 10cm each cycle to avoid scar tissue.</w:t>
            </w:r>
          </w:p>
        </w:tc>
      </w:tr>
      <w:tr w:rsidR="001B772E" w14:paraId="62ECB360" w14:textId="77777777" w:rsidTr="001B772E">
        <w:tc>
          <w:tcPr>
            <w:tcW w:w="687" w:type="dxa"/>
          </w:tcPr>
          <w:p w14:paraId="1F2C59A1" w14:textId="5C990700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1.10</w:t>
            </w:r>
          </w:p>
        </w:tc>
        <w:tc>
          <w:tcPr>
            <w:tcW w:w="3402" w:type="dxa"/>
          </w:tcPr>
          <w:p w14:paraId="5EBA32D3" w14:textId="5A52379D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Hedge arisings removal</w:t>
            </w:r>
          </w:p>
        </w:tc>
        <w:tc>
          <w:tcPr>
            <w:tcW w:w="2977" w:type="dxa"/>
          </w:tcPr>
          <w:p w14:paraId="283CB5F9" w14:textId="6FD760C3" w:rsidR="001B772E" w:rsidRDefault="001B772E" w:rsidP="00155521">
            <w:pPr>
              <w:rPr>
                <w:lang w:val="en-US" w:eastAsia="en-GB"/>
              </w:rPr>
            </w:pPr>
            <w:r w:rsidRPr="00472CC3">
              <w:t>After each cut</w:t>
            </w:r>
          </w:p>
        </w:tc>
        <w:tc>
          <w:tcPr>
            <w:tcW w:w="4133" w:type="dxa"/>
          </w:tcPr>
          <w:p w14:paraId="3C1DEBD2" w14:textId="34A81632" w:rsidR="001B772E" w:rsidRDefault="001B772E" w:rsidP="00155521">
            <w:pPr>
              <w:rPr>
                <w:lang w:val="en-US" w:eastAsia="en-GB"/>
              </w:rPr>
            </w:pPr>
            <w:r w:rsidRPr="00472CC3">
              <w:t>Remove or pile in hibernacula zones; dispose per Environmental Protection Act 1990.</w:t>
            </w:r>
          </w:p>
        </w:tc>
      </w:tr>
      <w:tr w:rsidR="001B772E" w14:paraId="324E6EDC" w14:textId="77777777" w:rsidTr="001B772E">
        <w:tc>
          <w:tcPr>
            <w:tcW w:w="687" w:type="dxa"/>
          </w:tcPr>
          <w:p w14:paraId="11A93382" w14:textId="2C2C1CB9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1.11</w:t>
            </w:r>
          </w:p>
        </w:tc>
        <w:tc>
          <w:tcPr>
            <w:tcW w:w="3402" w:type="dxa"/>
          </w:tcPr>
          <w:p w14:paraId="2DAA4CC8" w14:textId="7080A0E4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Ditch inspection (general)</w:t>
            </w:r>
          </w:p>
        </w:tc>
        <w:tc>
          <w:tcPr>
            <w:tcW w:w="2977" w:type="dxa"/>
          </w:tcPr>
          <w:p w14:paraId="79506580" w14:textId="50117D89" w:rsidR="001B772E" w:rsidRDefault="001B772E" w:rsidP="00155521">
            <w:pPr>
              <w:rPr>
                <w:lang w:val="en-US" w:eastAsia="en-GB"/>
              </w:rPr>
            </w:pPr>
            <w:r w:rsidRPr="00472CC3">
              <w:t>Annually or biannually</w:t>
            </w:r>
          </w:p>
        </w:tc>
        <w:tc>
          <w:tcPr>
            <w:tcW w:w="4133" w:type="dxa"/>
          </w:tcPr>
          <w:p w14:paraId="1C52DF55" w14:textId="4A09D300" w:rsidR="001B772E" w:rsidRDefault="001B772E" w:rsidP="00155521">
            <w:pPr>
              <w:rPr>
                <w:lang w:val="en-US" w:eastAsia="en-GB"/>
              </w:rPr>
            </w:pPr>
            <w:r w:rsidRPr="00472CC3">
              <w:t>Assess flow and sediment build-up; coordinate with hedge work where applicable.</w:t>
            </w:r>
          </w:p>
        </w:tc>
      </w:tr>
      <w:tr w:rsidR="001B772E" w14:paraId="1FF0EB49" w14:textId="77777777" w:rsidTr="001B772E">
        <w:tc>
          <w:tcPr>
            <w:tcW w:w="687" w:type="dxa"/>
          </w:tcPr>
          <w:p w14:paraId="2FBEEE92" w14:textId="25A51813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</w:tc>
        <w:tc>
          <w:tcPr>
            <w:tcW w:w="3402" w:type="dxa"/>
          </w:tcPr>
          <w:p w14:paraId="2E7C1478" w14:textId="0B5DFCFB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Ditch clearance</w:t>
            </w:r>
          </w:p>
        </w:tc>
        <w:tc>
          <w:tcPr>
            <w:tcW w:w="2977" w:type="dxa"/>
          </w:tcPr>
          <w:p w14:paraId="692A081F" w14:textId="274C211D" w:rsidR="001B772E" w:rsidRDefault="001B772E" w:rsidP="00155521">
            <w:pPr>
              <w:rPr>
                <w:lang w:val="en-US" w:eastAsia="en-GB"/>
              </w:rPr>
            </w:pPr>
            <w:r w:rsidRPr="00472CC3">
              <w:t>Annually or biannually</w:t>
            </w:r>
          </w:p>
        </w:tc>
        <w:tc>
          <w:tcPr>
            <w:tcW w:w="4133" w:type="dxa"/>
          </w:tcPr>
          <w:p w14:paraId="0C8686E0" w14:textId="2E9F276F" w:rsidR="001B772E" w:rsidRDefault="001B772E" w:rsidP="00155521">
            <w:pPr>
              <w:rPr>
                <w:lang w:val="en-US" w:eastAsia="en-GB"/>
              </w:rPr>
            </w:pPr>
            <w:r w:rsidRPr="00472CC3">
              <w:t>Remove silt, vegetation, and obstructions; avoid damage to wildlife habitat.</w:t>
            </w:r>
          </w:p>
        </w:tc>
      </w:tr>
      <w:tr w:rsidR="001B772E" w14:paraId="408B5068" w14:textId="77777777" w:rsidTr="001B772E">
        <w:tc>
          <w:tcPr>
            <w:tcW w:w="687" w:type="dxa"/>
          </w:tcPr>
          <w:p w14:paraId="57B784DC" w14:textId="0B19D30C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1.13</w:t>
            </w:r>
          </w:p>
        </w:tc>
        <w:tc>
          <w:tcPr>
            <w:tcW w:w="3402" w:type="dxa"/>
          </w:tcPr>
          <w:p w14:paraId="787F13ED" w14:textId="40D5735D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Deep ditch clearance</w:t>
            </w:r>
          </w:p>
        </w:tc>
        <w:tc>
          <w:tcPr>
            <w:tcW w:w="2977" w:type="dxa"/>
          </w:tcPr>
          <w:p w14:paraId="3E2C6515" w14:textId="0642C6D8" w:rsidR="001B772E" w:rsidRDefault="001B772E" w:rsidP="00155521">
            <w:pPr>
              <w:rPr>
                <w:lang w:val="en-US" w:eastAsia="en-GB"/>
              </w:rPr>
            </w:pPr>
            <w:r w:rsidRPr="00472CC3">
              <w:t>Every 2–3 years (Sept)</w:t>
            </w:r>
          </w:p>
        </w:tc>
        <w:tc>
          <w:tcPr>
            <w:tcW w:w="4133" w:type="dxa"/>
          </w:tcPr>
          <w:p w14:paraId="482EA561" w14:textId="6A99BD45" w:rsidR="001B772E" w:rsidRDefault="001B772E" w:rsidP="00155521">
            <w:pPr>
              <w:rPr>
                <w:lang w:val="en-US" w:eastAsia="en-GB"/>
              </w:rPr>
            </w:pPr>
            <w:r w:rsidRPr="00472CC3">
              <w:t xml:space="preserve">For Hedgebank </w:t>
            </w:r>
            <w:proofErr w:type="gramStart"/>
            <w:r w:rsidRPr="00472CC3">
              <w:t>ditches;</w:t>
            </w:r>
            <w:proofErr w:type="gramEnd"/>
            <w:r w:rsidRPr="00472CC3">
              <w:t xml:space="preserve"> prevent silting and maintain water flow.</w:t>
            </w:r>
          </w:p>
        </w:tc>
      </w:tr>
      <w:tr w:rsidR="001B772E" w14:paraId="089EC5F3" w14:textId="77777777" w:rsidTr="001B772E">
        <w:tc>
          <w:tcPr>
            <w:tcW w:w="687" w:type="dxa"/>
          </w:tcPr>
          <w:p w14:paraId="6BBDAC63" w14:textId="617234D2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1.14</w:t>
            </w:r>
          </w:p>
        </w:tc>
        <w:tc>
          <w:tcPr>
            <w:tcW w:w="3402" w:type="dxa"/>
          </w:tcPr>
          <w:p w14:paraId="3B987B46" w14:textId="23D2DEE5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Ditch–hedge coordination</w:t>
            </w:r>
          </w:p>
        </w:tc>
        <w:tc>
          <w:tcPr>
            <w:tcW w:w="2977" w:type="dxa"/>
          </w:tcPr>
          <w:p w14:paraId="63BE0FEF" w14:textId="066D9CCD" w:rsidR="001B772E" w:rsidRDefault="001B772E" w:rsidP="00155521">
            <w:pPr>
              <w:rPr>
                <w:lang w:val="en-US" w:eastAsia="en-GB"/>
              </w:rPr>
            </w:pPr>
            <w:r w:rsidRPr="00472CC3">
              <w:t>As scheduled</w:t>
            </w:r>
          </w:p>
        </w:tc>
        <w:tc>
          <w:tcPr>
            <w:tcW w:w="4133" w:type="dxa"/>
          </w:tcPr>
          <w:p w14:paraId="0D76260F" w14:textId="36251840" w:rsidR="001B772E" w:rsidRDefault="001B772E" w:rsidP="00155521">
            <w:pPr>
              <w:rPr>
                <w:lang w:val="en-US" w:eastAsia="en-GB"/>
              </w:rPr>
            </w:pPr>
            <w:r w:rsidRPr="00472CC3">
              <w:t>Complete hedge and ditch clearance in the same season when adjacent.</w:t>
            </w:r>
          </w:p>
        </w:tc>
      </w:tr>
      <w:tr w:rsidR="001B772E" w14:paraId="11C788E9" w14:textId="77777777" w:rsidTr="001B772E">
        <w:tc>
          <w:tcPr>
            <w:tcW w:w="687" w:type="dxa"/>
          </w:tcPr>
          <w:p w14:paraId="1F7134AF" w14:textId="6C278A5F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1.15</w:t>
            </w:r>
          </w:p>
        </w:tc>
        <w:tc>
          <w:tcPr>
            <w:tcW w:w="3402" w:type="dxa"/>
          </w:tcPr>
          <w:p w14:paraId="4E1CAD1B" w14:textId="19063D7A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Structural issue reporting</w:t>
            </w:r>
          </w:p>
        </w:tc>
        <w:tc>
          <w:tcPr>
            <w:tcW w:w="2977" w:type="dxa"/>
          </w:tcPr>
          <w:p w14:paraId="3D29B6A1" w14:textId="1209693C" w:rsidR="001B772E" w:rsidRDefault="001B772E" w:rsidP="00155521">
            <w:pPr>
              <w:rPr>
                <w:lang w:val="en-US" w:eastAsia="en-GB"/>
              </w:rPr>
            </w:pPr>
            <w:r w:rsidRPr="00472CC3">
              <w:t>As needed</w:t>
            </w:r>
          </w:p>
        </w:tc>
        <w:tc>
          <w:tcPr>
            <w:tcW w:w="4133" w:type="dxa"/>
          </w:tcPr>
          <w:p w14:paraId="045025D2" w14:textId="0E16CC29" w:rsidR="001B772E" w:rsidRDefault="001B772E" w:rsidP="00155521">
            <w:pPr>
              <w:rPr>
                <w:lang w:val="en-US" w:eastAsia="en-GB"/>
              </w:rPr>
            </w:pPr>
            <w:r w:rsidRPr="00472CC3">
              <w:t>Report collapses, erosion, or drainage failures for further action.</w:t>
            </w:r>
          </w:p>
        </w:tc>
      </w:tr>
      <w:tr w:rsidR="001B772E" w14:paraId="725F35ED" w14:textId="77777777" w:rsidTr="001B772E">
        <w:tc>
          <w:tcPr>
            <w:tcW w:w="687" w:type="dxa"/>
          </w:tcPr>
          <w:p w14:paraId="6E33C778" w14:textId="13E71FB3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1.16</w:t>
            </w:r>
          </w:p>
        </w:tc>
        <w:tc>
          <w:tcPr>
            <w:tcW w:w="3402" w:type="dxa"/>
          </w:tcPr>
          <w:p w14:paraId="2EDC1F26" w14:textId="7778BE91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Ecological monitoring</w:t>
            </w:r>
          </w:p>
        </w:tc>
        <w:tc>
          <w:tcPr>
            <w:tcW w:w="2977" w:type="dxa"/>
          </w:tcPr>
          <w:p w14:paraId="4DA3B9BD" w14:textId="570CA098" w:rsidR="001B772E" w:rsidRDefault="001B772E" w:rsidP="00155521">
            <w:pPr>
              <w:rPr>
                <w:lang w:val="en-US" w:eastAsia="en-GB"/>
              </w:rPr>
            </w:pPr>
            <w:r w:rsidRPr="00472CC3">
              <w:t>Biannually (June &amp; Nov)</w:t>
            </w:r>
          </w:p>
        </w:tc>
        <w:tc>
          <w:tcPr>
            <w:tcW w:w="4133" w:type="dxa"/>
          </w:tcPr>
          <w:p w14:paraId="1D1965B3" w14:textId="1A79CF99" w:rsidR="001B772E" w:rsidRDefault="001B772E" w:rsidP="00155521">
            <w:pPr>
              <w:rPr>
                <w:lang w:val="en-US" w:eastAsia="en-GB"/>
              </w:rPr>
            </w:pPr>
            <w:r w:rsidRPr="00472CC3">
              <w:t>Survey flora and fauna response to maintenance; inform adaptive management.</w:t>
            </w:r>
          </w:p>
        </w:tc>
      </w:tr>
      <w:tr w:rsidR="001B772E" w14:paraId="7B1A4527" w14:textId="77777777" w:rsidTr="001B772E">
        <w:tc>
          <w:tcPr>
            <w:tcW w:w="687" w:type="dxa"/>
          </w:tcPr>
          <w:p w14:paraId="48AC0FF4" w14:textId="66BF84F6" w:rsidR="001B772E" w:rsidRPr="00155521" w:rsidRDefault="001B772E" w:rsidP="00155521">
            <w:pPr>
              <w:rPr>
                <w:b/>
                <w:bCs/>
              </w:rPr>
            </w:pPr>
            <w:r>
              <w:rPr>
                <w:b/>
                <w:bCs/>
              </w:rPr>
              <w:t>1.17</w:t>
            </w:r>
          </w:p>
        </w:tc>
        <w:tc>
          <w:tcPr>
            <w:tcW w:w="3402" w:type="dxa"/>
          </w:tcPr>
          <w:p w14:paraId="49A4C440" w14:textId="01D7A39B" w:rsidR="001B772E" w:rsidRPr="00155521" w:rsidRDefault="001B772E" w:rsidP="00155521">
            <w:pPr>
              <w:rPr>
                <w:b/>
                <w:bCs/>
                <w:lang w:val="en-US" w:eastAsia="en-GB"/>
              </w:rPr>
            </w:pPr>
            <w:r w:rsidRPr="00155521">
              <w:rPr>
                <w:b/>
                <w:bCs/>
              </w:rPr>
              <w:t>Compliance with nesting season</w:t>
            </w:r>
          </w:p>
        </w:tc>
        <w:tc>
          <w:tcPr>
            <w:tcW w:w="2977" w:type="dxa"/>
          </w:tcPr>
          <w:p w14:paraId="5109AE87" w14:textId="69827370" w:rsidR="001B772E" w:rsidRDefault="001B772E" w:rsidP="00155521">
            <w:pPr>
              <w:rPr>
                <w:lang w:val="en-US" w:eastAsia="en-GB"/>
              </w:rPr>
            </w:pPr>
            <w:r w:rsidRPr="00472CC3">
              <w:t>Ongoing</w:t>
            </w:r>
          </w:p>
        </w:tc>
        <w:tc>
          <w:tcPr>
            <w:tcW w:w="4133" w:type="dxa"/>
          </w:tcPr>
          <w:p w14:paraId="7B7964BB" w14:textId="4C93803B" w:rsidR="001B772E" w:rsidRDefault="001B772E" w:rsidP="00155521">
            <w:pPr>
              <w:rPr>
                <w:lang w:val="en-US" w:eastAsia="en-GB"/>
              </w:rPr>
            </w:pPr>
            <w:r w:rsidRPr="00472CC3">
              <w:t>No hedge work March–August (Wildlife and Countryside Act 1981).</w:t>
            </w:r>
          </w:p>
        </w:tc>
      </w:tr>
    </w:tbl>
    <w:p w14:paraId="51DCD01F" w14:textId="77777777" w:rsidR="008862D5" w:rsidRDefault="008862D5" w:rsidP="008862D5">
      <w:pPr>
        <w:rPr>
          <w:lang w:val="en-US" w:eastAsia="en-GB"/>
        </w:rPr>
      </w:pPr>
    </w:p>
    <w:p w14:paraId="5C83F85C" w14:textId="77777777" w:rsidR="008F057D" w:rsidRPr="00893470" w:rsidRDefault="008F057D" w:rsidP="008862D5">
      <w:pPr>
        <w:rPr>
          <w:lang w:val="en-US" w:eastAsia="en-GB"/>
        </w:rPr>
      </w:pPr>
    </w:p>
    <w:p w14:paraId="7BBCD693" w14:textId="39EEA26A" w:rsidR="00A50402" w:rsidRDefault="007611FB" w:rsidP="007611FB">
      <w:pPr>
        <w:pStyle w:val="Heading1"/>
        <w:numPr>
          <w:ilvl w:val="0"/>
          <w:numId w:val="0"/>
        </w:numPr>
        <w:ind w:left="360" w:hanging="360"/>
      </w:pPr>
      <w:r>
        <w:t>Specifications</w:t>
      </w:r>
    </w:p>
    <w:p w14:paraId="230B79AB" w14:textId="1784C401" w:rsidR="008F057D" w:rsidRDefault="008F057D" w:rsidP="001B772E">
      <w:pPr>
        <w:pStyle w:val="Heading3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Hedge Management</w:t>
      </w:r>
    </w:p>
    <w:p w14:paraId="6D5C945F" w14:textId="77777777" w:rsidR="008F057D" w:rsidRDefault="008F057D" w:rsidP="007611FB">
      <w:pPr>
        <w:rPr>
          <w:lang w:eastAsia="en-GB"/>
        </w:rPr>
      </w:pPr>
    </w:p>
    <w:p w14:paraId="7AC92896" w14:textId="492423BB" w:rsidR="00151CD4" w:rsidRPr="00151CD4" w:rsidRDefault="00151CD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bookmarkStart w:id="0" w:name="_Hlk195165032"/>
      <w:r>
        <w:rPr>
          <w:lang w:eastAsia="en-GB"/>
        </w:rPr>
        <w:t>H</w:t>
      </w:r>
      <w:r w:rsidRPr="00151CD4">
        <w:rPr>
          <w:lang w:eastAsia="en-GB"/>
        </w:rPr>
        <w:t xml:space="preserve">edge Cutting will be </w:t>
      </w:r>
      <w:r w:rsidRPr="00151CD4">
        <w:t>under the procurement of a separate contract unless agreed otherwise by Cranbrook Town Council. This</w:t>
      </w:r>
      <w:r w:rsidRPr="00151CD4">
        <w:rPr>
          <w:lang w:eastAsia="en-GB"/>
        </w:rPr>
        <w:t xml:space="preserve"> will follow the Hedgerow Management Plan and the Hedge Management Cycle. </w:t>
      </w:r>
    </w:p>
    <w:bookmarkEnd w:id="0"/>
    <w:p w14:paraId="1226F330" w14:textId="77777777" w:rsidR="00151CD4" w:rsidRPr="00151CD4" w:rsidRDefault="00151CD4" w:rsidP="00151CD4">
      <w:pPr>
        <w:contextualSpacing/>
        <w:rPr>
          <w:lang w:eastAsia="en-GB"/>
        </w:rPr>
      </w:pPr>
    </w:p>
    <w:p w14:paraId="7B4C331A" w14:textId="4AC8AE23" w:rsidR="00151CD4" w:rsidRPr="00151CD4" w:rsidRDefault="00151CD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151CD4">
        <w:rPr>
          <w:lang w:eastAsia="en-GB"/>
        </w:rPr>
        <w:t>Frequency of cuts will be determined by the location.</w:t>
      </w:r>
    </w:p>
    <w:p w14:paraId="35517544" w14:textId="77777777" w:rsidR="00151CD4" w:rsidRPr="00151CD4" w:rsidRDefault="00151CD4" w:rsidP="001B772E">
      <w:pPr>
        <w:numPr>
          <w:ilvl w:val="0"/>
          <w:numId w:val="3"/>
        </w:numPr>
        <w:contextualSpacing/>
        <w:jc w:val="both"/>
        <w:rPr>
          <w:lang w:eastAsia="en-GB"/>
        </w:rPr>
      </w:pPr>
      <w:r w:rsidRPr="00151CD4">
        <w:rPr>
          <w:lang w:eastAsia="en-GB"/>
        </w:rPr>
        <w:t>Residential: Annually</w:t>
      </w:r>
    </w:p>
    <w:p w14:paraId="110C7F42" w14:textId="77777777" w:rsidR="00151CD4" w:rsidRPr="00151CD4" w:rsidRDefault="00151CD4" w:rsidP="001B772E">
      <w:pPr>
        <w:numPr>
          <w:ilvl w:val="0"/>
          <w:numId w:val="3"/>
        </w:numPr>
        <w:contextualSpacing/>
        <w:jc w:val="both"/>
        <w:rPr>
          <w:lang w:eastAsia="en-GB"/>
        </w:rPr>
      </w:pPr>
      <w:r w:rsidRPr="00151CD4">
        <w:rPr>
          <w:lang w:eastAsia="en-GB"/>
        </w:rPr>
        <w:t>Borders: 2–3-year rotational cut</w:t>
      </w:r>
    </w:p>
    <w:p w14:paraId="277ABA61" w14:textId="77777777" w:rsidR="00151CD4" w:rsidRPr="00151CD4" w:rsidRDefault="00151CD4" w:rsidP="001B772E">
      <w:pPr>
        <w:numPr>
          <w:ilvl w:val="0"/>
          <w:numId w:val="3"/>
        </w:numPr>
        <w:contextualSpacing/>
        <w:jc w:val="both"/>
        <w:rPr>
          <w:lang w:eastAsia="en-GB"/>
        </w:rPr>
      </w:pPr>
      <w:r w:rsidRPr="00151CD4">
        <w:rPr>
          <w:lang w:eastAsia="en-GB"/>
        </w:rPr>
        <w:t>Open Space: Ad Hoc basis</w:t>
      </w:r>
    </w:p>
    <w:p w14:paraId="2A4CE5F2" w14:textId="77777777" w:rsidR="00151CD4" w:rsidRPr="00151CD4" w:rsidRDefault="00151CD4" w:rsidP="00151CD4">
      <w:pPr>
        <w:ind w:left="709"/>
        <w:contextualSpacing/>
        <w:rPr>
          <w:lang w:eastAsia="en-GB"/>
        </w:rPr>
      </w:pPr>
    </w:p>
    <w:p w14:paraId="631E2C0F" w14:textId="59AE6929" w:rsidR="00151CD4" w:rsidRPr="00151CD4" w:rsidRDefault="00151CD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151CD4">
        <w:rPr>
          <w:lang w:eastAsia="en-GB"/>
        </w:rPr>
        <w:t xml:space="preserve">Works will be completed outside of bird nesting season as per the regulations set out in Section 1 of the Wildlife and Countryside Act 1981. </w:t>
      </w:r>
    </w:p>
    <w:p w14:paraId="178D2FAA" w14:textId="77777777" w:rsidR="00151CD4" w:rsidRPr="00151CD4" w:rsidRDefault="00151CD4" w:rsidP="00151CD4">
      <w:pPr>
        <w:contextualSpacing/>
        <w:rPr>
          <w:lang w:eastAsia="en-GB"/>
        </w:rPr>
      </w:pPr>
    </w:p>
    <w:p w14:paraId="71597F7C" w14:textId="04706252" w:rsidR="00151CD4" w:rsidRDefault="00151CD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151CD4">
        <w:rPr>
          <w:lang w:eastAsia="en-GB"/>
        </w:rPr>
        <w:t>Hedges should be cut to maintain a neat and uniform shape allowing natural growth</w:t>
      </w:r>
      <w:r w:rsidR="002B2C94">
        <w:rPr>
          <w:lang w:eastAsia="en-GB"/>
        </w:rPr>
        <w:t xml:space="preserve"> and follow Department</w:t>
      </w:r>
      <w:r w:rsidR="002E6F41">
        <w:rPr>
          <w:lang w:eastAsia="en-GB"/>
        </w:rPr>
        <w:t xml:space="preserve"> for Environment, Food &amp; Rural Affairs</w:t>
      </w:r>
      <w:r w:rsidR="00F71DE6">
        <w:rPr>
          <w:lang w:eastAsia="en-GB"/>
        </w:rPr>
        <w:t xml:space="preserve"> (DEFRA), Natural England and</w:t>
      </w:r>
      <w:r w:rsidR="00543F5C">
        <w:rPr>
          <w:lang w:eastAsia="en-GB"/>
        </w:rPr>
        <w:t xml:space="preserve"> Wildlife Trusts</w:t>
      </w:r>
      <w:r w:rsidR="002E6F41">
        <w:rPr>
          <w:lang w:eastAsia="en-GB"/>
        </w:rPr>
        <w:t xml:space="preserve"> </w:t>
      </w:r>
      <w:r w:rsidR="00F71DE6">
        <w:rPr>
          <w:lang w:eastAsia="en-GB"/>
        </w:rPr>
        <w:t>best practice guidelines</w:t>
      </w:r>
      <w:r w:rsidRPr="00151CD4">
        <w:rPr>
          <w:lang w:eastAsia="en-GB"/>
        </w:rPr>
        <w:t>.</w:t>
      </w:r>
    </w:p>
    <w:p w14:paraId="7D0BD5BA" w14:textId="77777777" w:rsidR="00F67532" w:rsidRDefault="00F67532" w:rsidP="00F67532">
      <w:pPr>
        <w:pStyle w:val="ListParagraph"/>
        <w:rPr>
          <w:lang w:eastAsia="en-GB"/>
        </w:rPr>
      </w:pPr>
    </w:p>
    <w:p w14:paraId="4C83FC5F" w14:textId="77777777" w:rsidR="008B0A72" w:rsidRDefault="008B0A7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>
        <w:rPr>
          <w:lang w:eastAsia="en-GB"/>
        </w:rPr>
        <w:t>R</w:t>
      </w:r>
      <w:r w:rsidR="00F67532" w:rsidRPr="00F67532">
        <w:rPr>
          <w:lang w:eastAsia="en-GB"/>
        </w:rPr>
        <w:t xml:space="preserve">esidential </w:t>
      </w:r>
      <w:r>
        <w:rPr>
          <w:lang w:eastAsia="en-GB"/>
        </w:rPr>
        <w:t>hedge height</w:t>
      </w:r>
      <w:r w:rsidR="00F67532" w:rsidRPr="00F67532">
        <w:rPr>
          <w:lang w:eastAsia="en-GB"/>
        </w:rPr>
        <w:t xml:space="preserve"> should typically be maintained between 1.2 and 2 metres to ensure visibility and a tidy appearance, with annual trimming recommended. </w:t>
      </w:r>
    </w:p>
    <w:p w14:paraId="7E75B348" w14:textId="77777777" w:rsidR="008B0A72" w:rsidRDefault="008B0A72" w:rsidP="008B0A72">
      <w:pPr>
        <w:pStyle w:val="ListParagraph"/>
        <w:rPr>
          <w:lang w:eastAsia="en-GB"/>
        </w:rPr>
      </w:pPr>
    </w:p>
    <w:p w14:paraId="23A2F7F5" w14:textId="77777777" w:rsidR="008B0A72" w:rsidRDefault="00F6753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F67532">
        <w:rPr>
          <w:lang w:eastAsia="en-GB"/>
        </w:rPr>
        <w:t xml:space="preserve">Border hedges, which provide screening but do not obstruct access, should be maintained at heights of 1.5 to 2.5 metres, with a rotational cut every 2 to 3 years to promote ecological value while controlling growth. </w:t>
      </w:r>
    </w:p>
    <w:p w14:paraId="3E0F3358" w14:textId="77777777" w:rsidR="008B0A72" w:rsidRDefault="008B0A72" w:rsidP="008B0A72">
      <w:pPr>
        <w:pStyle w:val="ListParagraph"/>
        <w:rPr>
          <w:lang w:eastAsia="en-GB"/>
        </w:rPr>
      </w:pPr>
    </w:p>
    <w:p w14:paraId="5BB42156" w14:textId="77777777" w:rsidR="008B0A72" w:rsidRDefault="00F6753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F67532">
        <w:rPr>
          <w:lang w:eastAsia="en-GB"/>
        </w:rPr>
        <w:t xml:space="preserve">Open space hedges, which are not functionally required to be cut, may be allowed to grow taller—up to 3 metres or more—to encourage biodiversity and natural woodland structure, with ad hoc management. </w:t>
      </w:r>
    </w:p>
    <w:p w14:paraId="286FC7B8" w14:textId="77777777" w:rsidR="008B0A72" w:rsidRDefault="008B0A72" w:rsidP="008B0A72">
      <w:pPr>
        <w:pStyle w:val="ListParagraph"/>
        <w:rPr>
          <w:lang w:eastAsia="en-GB"/>
        </w:rPr>
      </w:pPr>
    </w:p>
    <w:p w14:paraId="57CF83A5" w14:textId="77777777" w:rsidR="00BE032C" w:rsidRDefault="00F6753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F67532">
        <w:rPr>
          <w:lang w:eastAsia="en-GB"/>
        </w:rPr>
        <w:lastRenderedPageBreak/>
        <w:t xml:space="preserve">For hedges that are due to be laid, a height of 2 to 3.5 metres is preferred to ensure sufficient stem maturity. </w:t>
      </w:r>
    </w:p>
    <w:p w14:paraId="4EFA2C6E" w14:textId="77777777" w:rsidR="00BE032C" w:rsidRDefault="00BE032C" w:rsidP="00BE032C">
      <w:pPr>
        <w:pStyle w:val="ListParagraph"/>
        <w:rPr>
          <w:lang w:eastAsia="en-GB"/>
        </w:rPr>
      </w:pPr>
    </w:p>
    <w:p w14:paraId="4C3C4B18" w14:textId="77777777" w:rsidR="00BE032C" w:rsidRDefault="00F6753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F67532">
        <w:rPr>
          <w:lang w:eastAsia="en-GB"/>
        </w:rPr>
        <w:t xml:space="preserve">Following laying or coppicing, regrowth should be allowed from a base height of 0.3 to 0.5 metres before any subsequent trimming. </w:t>
      </w:r>
    </w:p>
    <w:p w14:paraId="4019C1AB" w14:textId="77777777" w:rsidR="00BE032C" w:rsidRDefault="00BE032C" w:rsidP="00BE032C">
      <w:pPr>
        <w:pStyle w:val="ListParagraph"/>
        <w:rPr>
          <w:lang w:eastAsia="en-GB"/>
        </w:rPr>
      </w:pPr>
    </w:p>
    <w:p w14:paraId="06B230EE" w14:textId="3DDAD248" w:rsidR="00F67532" w:rsidRDefault="00F67532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F67532">
        <w:rPr>
          <w:lang w:eastAsia="en-GB"/>
        </w:rPr>
        <w:t>Where hedges are regularly shaped for amenity value, they should be trimmed in an “A” profile to encourage a dense base and allow natural light penetration, with the cutting height raised by approximately 10cm each year to prevent scarring and long-term dieback caused by repeated cuts at the same height.</w:t>
      </w:r>
    </w:p>
    <w:p w14:paraId="1F24A7A7" w14:textId="77777777" w:rsidR="00151CD4" w:rsidRPr="00151CD4" w:rsidRDefault="00151CD4" w:rsidP="00151CD4">
      <w:pPr>
        <w:contextualSpacing/>
        <w:jc w:val="both"/>
        <w:rPr>
          <w:lang w:eastAsia="en-GB"/>
        </w:rPr>
      </w:pPr>
    </w:p>
    <w:p w14:paraId="117CBD6C" w14:textId="164C9DF5" w:rsidR="00151CD4" w:rsidRPr="00151CD4" w:rsidRDefault="00151CD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151CD4">
        <w:rPr>
          <w:lang w:eastAsia="en-GB"/>
        </w:rPr>
        <w:t>Removal of all cuttings and disposal in accordance with environmental regulations relating to waste disposal and habitat protection such as Section 34 Environmental Protection Act 1990 – Duty of Care for Waste.</w:t>
      </w:r>
    </w:p>
    <w:p w14:paraId="5B6B31EB" w14:textId="77777777" w:rsidR="00FA372C" w:rsidRDefault="00FA372C" w:rsidP="007611FB">
      <w:pPr>
        <w:rPr>
          <w:lang w:eastAsia="en-GB"/>
        </w:rPr>
      </w:pPr>
    </w:p>
    <w:p w14:paraId="407D2949" w14:textId="7F11BB71" w:rsidR="001359E6" w:rsidRPr="001359E6" w:rsidRDefault="001359E6" w:rsidP="001B772E">
      <w:pPr>
        <w:pStyle w:val="Heading3"/>
        <w:numPr>
          <w:ilvl w:val="0"/>
          <w:numId w:val="5"/>
        </w:numPr>
        <w:rPr>
          <w:lang w:eastAsia="en-GB"/>
        </w:rPr>
      </w:pPr>
      <w:r w:rsidRPr="001359E6">
        <w:rPr>
          <w:lang w:eastAsia="en-GB"/>
        </w:rPr>
        <w:t>Monitoring &amp; Responsibilities</w:t>
      </w:r>
    </w:p>
    <w:p w14:paraId="1CA59A28" w14:textId="77777777" w:rsidR="001359E6" w:rsidRPr="001359E6" w:rsidRDefault="001359E6" w:rsidP="001359E6">
      <w:pPr>
        <w:rPr>
          <w:lang w:eastAsia="en-GB"/>
        </w:rPr>
      </w:pPr>
    </w:p>
    <w:p w14:paraId="1817B2B2" w14:textId="51693A46" w:rsidR="001359E6" w:rsidRPr="001359E6" w:rsidRDefault="001359E6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1359E6">
        <w:rPr>
          <w:lang w:eastAsia="en-GB"/>
        </w:rPr>
        <w:t>Contractual meetings with representatives from Cranbrook Town Council to assess required works will be complete prior to work commencing.</w:t>
      </w:r>
    </w:p>
    <w:p w14:paraId="602F190D" w14:textId="77777777" w:rsidR="001359E6" w:rsidRPr="001359E6" w:rsidRDefault="001359E6" w:rsidP="001359E6">
      <w:pPr>
        <w:rPr>
          <w:lang w:eastAsia="en-GB"/>
        </w:rPr>
      </w:pPr>
    </w:p>
    <w:p w14:paraId="09E0DF05" w14:textId="77777777" w:rsidR="001359E6" w:rsidRDefault="001359E6" w:rsidP="001B772E">
      <w:pPr>
        <w:pStyle w:val="ListParagraph"/>
        <w:numPr>
          <w:ilvl w:val="1"/>
          <w:numId w:val="5"/>
        </w:numPr>
        <w:jc w:val="both"/>
      </w:pPr>
      <w:r w:rsidRPr="001359E6">
        <w:t>Hedge stages and required works will be reviewed using the Hedge Management Cycle, with additional works and reasons noted.</w:t>
      </w:r>
    </w:p>
    <w:p w14:paraId="3FC436D7" w14:textId="77777777" w:rsidR="00CA3D30" w:rsidRPr="001359E6" w:rsidRDefault="00CA3D30" w:rsidP="00CA3D30">
      <w:pPr>
        <w:jc w:val="both"/>
      </w:pPr>
    </w:p>
    <w:p w14:paraId="03A5B441" w14:textId="48E3FCD5" w:rsidR="008F057D" w:rsidRDefault="00CB7E6E" w:rsidP="001B772E">
      <w:pPr>
        <w:pStyle w:val="Heading3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Ditch Management</w:t>
      </w:r>
    </w:p>
    <w:p w14:paraId="3221C64E" w14:textId="77777777" w:rsidR="00CB7E6E" w:rsidRDefault="00CB7E6E" w:rsidP="00CB7E6E">
      <w:pPr>
        <w:rPr>
          <w:lang w:eastAsia="en-GB"/>
        </w:rPr>
      </w:pPr>
    </w:p>
    <w:p w14:paraId="3AD9C1DD" w14:textId="2F501DC3" w:rsidR="003C6095" w:rsidRDefault="003C6095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3C6095">
        <w:rPr>
          <w:lang w:eastAsia="en-GB"/>
        </w:rPr>
        <w:t>Annual or biannual clearance of drainage ditches required to maintain efficient water flo</w:t>
      </w:r>
      <w:r w:rsidR="00EB4611">
        <w:rPr>
          <w:lang w:eastAsia="en-GB"/>
        </w:rPr>
        <w:t xml:space="preserve">w, assess </w:t>
      </w:r>
      <w:r w:rsidR="00EB4611" w:rsidRPr="00EB4611">
        <w:rPr>
          <w:lang w:eastAsia="en-GB"/>
        </w:rPr>
        <w:t>sediment build-up, and potential blockages</w:t>
      </w:r>
    </w:p>
    <w:p w14:paraId="044C3918" w14:textId="77777777" w:rsidR="00EB4611" w:rsidRDefault="00EB4611" w:rsidP="00EB4611">
      <w:pPr>
        <w:pStyle w:val="ListParagraph"/>
        <w:ind w:left="792"/>
        <w:jc w:val="both"/>
        <w:rPr>
          <w:lang w:eastAsia="en-GB"/>
        </w:rPr>
      </w:pPr>
    </w:p>
    <w:p w14:paraId="4C5A5B48" w14:textId="3B6959E2" w:rsidR="00EB4611" w:rsidRDefault="00A9239A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A9239A">
        <w:rPr>
          <w:lang w:eastAsia="en-GB"/>
        </w:rPr>
        <w:t>Full clearance will typically occur in autumn or early spring when vegetation is minimal and disturbance to wildlife is reduced.</w:t>
      </w:r>
    </w:p>
    <w:p w14:paraId="127A37C0" w14:textId="77777777" w:rsidR="00A9239A" w:rsidRDefault="00A9239A" w:rsidP="00A9239A">
      <w:pPr>
        <w:pStyle w:val="ListParagraph"/>
        <w:rPr>
          <w:lang w:eastAsia="en-GB"/>
        </w:rPr>
      </w:pPr>
    </w:p>
    <w:p w14:paraId="36FFE829" w14:textId="5179F6C2" w:rsidR="00A9239A" w:rsidRDefault="00A9239A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>
        <w:rPr>
          <w:lang w:eastAsia="en-GB"/>
        </w:rPr>
        <w:t>D</w:t>
      </w:r>
      <w:r w:rsidRPr="00A9239A">
        <w:rPr>
          <w:lang w:eastAsia="en-GB"/>
        </w:rPr>
        <w:t xml:space="preserve">eep clearance of </w:t>
      </w:r>
      <w:r>
        <w:rPr>
          <w:lang w:eastAsia="en-GB"/>
        </w:rPr>
        <w:t>h</w:t>
      </w:r>
      <w:r w:rsidRPr="00A9239A">
        <w:rPr>
          <w:lang w:eastAsia="en-GB"/>
        </w:rPr>
        <w:t>edge ditches should be undertaken every 2 to 3 years, ideally in September, to remove accumulated silt, debris, and dense vegetation, ensuring water flow is retained and habitats are preserved.</w:t>
      </w:r>
    </w:p>
    <w:p w14:paraId="168A1FB5" w14:textId="77777777" w:rsidR="00A9239A" w:rsidRDefault="00A9239A" w:rsidP="00A9239A">
      <w:pPr>
        <w:pStyle w:val="ListParagraph"/>
        <w:rPr>
          <w:lang w:eastAsia="en-GB"/>
        </w:rPr>
      </w:pPr>
    </w:p>
    <w:p w14:paraId="3F17FE78" w14:textId="0AD54CC6" w:rsidR="00A9239A" w:rsidRDefault="00E53EE7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E53EE7">
        <w:rPr>
          <w:lang w:eastAsia="en-GB"/>
        </w:rPr>
        <w:t xml:space="preserve">All arisings must be removed from the ditch but can be temporarily deposited on the bank </w:t>
      </w:r>
      <w:r>
        <w:rPr>
          <w:lang w:eastAsia="en-GB"/>
        </w:rPr>
        <w:t xml:space="preserve">to allow for any wildlife to </w:t>
      </w:r>
      <w:r w:rsidR="00D32DDE">
        <w:rPr>
          <w:lang w:eastAsia="en-GB"/>
        </w:rPr>
        <w:t>vacate</w:t>
      </w:r>
      <w:r w:rsidRPr="00E53EE7">
        <w:rPr>
          <w:lang w:eastAsia="en-GB"/>
        </w:rPr>
        <w:t xml:space="preserve">, </w:t>
      </w:r>
      <w:r w:rsidR="00D32DDE">
        <w:rPr>
          <w:lang w:eastAsia="en-GB"/>
        </w:rPr>
        <w:t>attention as to</w:t>
      </w:r>
      <w:r w:rsidRPr="00E53EE7">
        <w:rPr>
          <w:lang w:eastAsia="en-GB"/>
        </w:rPr>
        <w:t xml:space="preserve"> not block flow or smother vegetation</w:t>
      </w:r>
      <w:r w:rsidR="00D32DDE">
        <w:rPr>
          <w:lang w:eastAsia="en-GB"/>
        </w:rPr>
        <w:t xml:space="preserve"> on bankside is required</w:t>
      </w:r>
      <w:r w:rsidRPr="00E53EE7">
        <w:rPr>
          <w:lang w:eastAsia="en-GB"/>
        </w:rPr>
        <w:t>.</w:t>
      </w:r>
    </w:p>
    <w:p w14:paraId="24C477C1" w14:textId="77777777" w:rsidR="00685C63" w:rsidRDefault="00685C63" w:rsidP="00685C63">
      <w:pPr>
        <w:pStyle w:val="ListParagraph"/>
        <w:rPr>
          <w:lang w:eastAsia="en-GB"/>
        </w:rPr>
      </w:pPr>
    </w:p>
    <w:p w14:paraId="3291F72E" w14:textId="2A038293" w:rsidR="00685C63" w:rsidRDefault="00685C63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685C63">
        <w:rPr>
          <w:lang w:eastAsia="en-GB"/>
        </w:rPr>
        <w:t>Clearance works must be conducted with sensitivity to biodiversity and scheduled to avoid harm to aquatic life and nesting birds.</w:t>
      </w:r>
    </w:p>
    <w:p w14:paraId="62752371" w14:textId="77777777" w:rsidR="00685C63" w:rsidRDefault="00685C63" w:rsidP="00685C63">
      <w:pPr>
        <w:pStyle w:val="ListParagraph"/>
        <w:rPr>
          <w:lang w:eastAsia="en-GB"/>
        </w:rPr>
      </w:pPr>
    </w:p>
    <w:p w14:paraId="2AB45031" w14:textId="49AB8D44" w:rsidR="00685C63" w:rsidRDefault="005F1E2C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5F1E2C">
        <w:rPr>
          <w:lang w:eastAsia="en-GB"/>
        </w:rPr>
        <w:t>Any clearance adjacent to hedgerows should be coordinated with hedge management where possible, allowing simultaneous access and reducing disruption.</w:t>
      </w:r>
    </w:p>
    <w:p w14:paraId="71FC29AF" w14:textId="77777777" w:rsidR="005F1E2C" w:rsidRDefault="005F1E2C" w:rsidP="005F1E2C">
      <w:pPr>
        <w:pStyle w:val="ListParagraph"/>
        <w:rPr>
          <w:lang w:eastAsia="en-GB"/>
        </w:rPr>
      </w:pPr>
    </w:p>
    <w:p w14:paraId="2F127416" w14:textId="7AD19244" w:rsidR="005F1E2C" w:rsidRDefault="005F1E2C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5F1E2C">
        <w:rPr>
          <w:lang w:eastAsia="en-GB"/>
        </w:rPr>
        <w:t>Mechanical excavation may be used where access allows, but hand clearance is preferred in sensitive areas or where machinery would damage surrounding habitats.</w:t>
      </w:r>
    </w:p>
    <w:p w14:paraId="4A9E1A53" w14:textId="77777777" w:rsidR="005F1E2C" w:rsidRDefault="005F1E2C" w:rsidP="005F1E2C">
      <w:pPr>
        <w:pStyle w:val="ListParagraph"/>
        <w:rPr>
          <w:lang w:eastAsia="en-GB"/>
        </w:rPr>
      </w:pPr>
    </w:p>
    <w:p w14:paraId="5C913B55" w14:textId="59D2EEE5" w:rsidR="005F1E2C" w:rsidRDefault="005F1E2C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5F1E2C">
        <w:rPr>
          <w:lang w:eastAsia="en-GB"/>
        </w:rPr>
        <w:lastRenderedPageBreak/>
        <w:t>Contractors must report any structural defects, such as collapsed ditch banks or erosion, to Cranbrook Town Council for further action.</w:t>
      </w:r>
    </w:p>
    <w:p w14:paraId="1049B459" w14:textId="77777777" w:rsidR="005F1E2C" w:rsidRDefault="005F1E2C" w:rsidP="005F1E2C">
      <w:pPr>
        <w:pStyle w:val="ListParagraph"/>
        <w:rPr>
          <w:lang w:eastAsia="en-GB"/>
        </w:rPr>
      </w:pPr>
    </w:p>
    <w:p w14:paraId="717AD4FC" w14:textId="383E8935" w:rsidR="005F1E2C" w:rsidRPr="003C6095" w:rsidRDefault="002B2C94" w:rsidP="001B772E">
      <w:pPr>
        <w:pStyle w:val="ListParagraph"/>
        <w:numPr>
          <w:ilvl w:val="1"/>
          <w:numId w:val="5"/>
        </w:numPr>
        <w:jc w:val="both"/>
        <w:rPr>
          <w:lang w:eastAsia="en-GB"/>
        </w:rPr>
      </w:pPr>
      <w:r w:rsidRPr="002B2C94">
        <w:rPr>
          <w:lang w:eastAsia="en-GB"/>
        </w:rPr>
        <w:t>All works must comply with relevant environmental legislation, including the Wildlife and Countryside Act 1981 and the Environmental Protection Act 1990.</w:t>
      </w:r>
    </w:p>
    <w:p w14:paraId="1DFB1EB6" w14:textId="77777777" w:rsidR="00CB7E6E" w:rsidRPr="00CB7E6E" w:rsidRDefault="00CB7E6E" w:rsidP="00CB7E6E">
      <w:pPr>
        <w:rPr>
          <w:lang w:eastAsia="en-GB"/>
        </w:rPr>
      </w:pPr>
    </w:p>
    <w:sectPr w:rsidR="00CB7E6E" w:rsidRPr="00CB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003"/>
    <w:multiLevelType w:val="multilevel"/>
    <w:tmpl w:val="F092A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A0DCC"/>
    <w:multiLevelType w:val="multilevel"/>
    <w:tmpl w:val="6A6C3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35C77"/>
    <w:multiLevelType w:val="hybridMultilevel"/>
    <w:tmpl w:val="2FC61F5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075406"/>
    <w:multiLevelType w:val="multilevel"/>
    <w:tmpl w:val="519E911E"/>
    <w:lvl w:ilvl="0">
      <w:start w:val="1"/>
      <w:numFmt w:val="decimal"/>
      <w:pStyle w:val="NoSpac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F726F2"/>
    <w:multiLevelType w:val="multilevel"/>
    <w:tmpl w:val="F2ECF7B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5602202">
    <w:abstractNumId w:val="1"/>
  </w:num>
  <w:num w:numId="2" w16cid:durableId="189732649">
    <w:abstractNumId w:val="4"/>
  </w:num>
  <w:num w:numId="3" w16cid:durableId="965693479">
    <w:abstractNumId w:val="2"/>
  </w:num>
  <w:num w:numId="4" w16cid:durableId="2004889260">
    <w:abstractNumId w:val="3"/>
  </w:num>
  <w:num w:numId="5" w16cid:durableId="9326634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12"/>
    <w:rsid w:val="000008BE"/>
    <w:rsid w:val="000066CC"/>
    <w:rsid w:val="00025746"/>
    <w:rsid w:val="000273EA"/>
    <w:rsid w:val="000304B7"/>
    <w:rsid w:val="00030883"/>
    <w:rsid w:val="00036AB4"/>
    <w:rsid w:val="00037870"/>
    <w:rsid w:val="0004656F"/>
    <w:rsid w:val="0004731A"/>
    <w:rsid w:val="000506F1"/>
    <w:rsid w:val="000600B0"/>
    <w:rsid w:val="00063EDC"/>
    <w:rsid w:val="00067E31"/>
    <w:rsid w:val="0007384D"/>
    <w:rsid w:val="00087AE9"/>
    <w:rsid w:val="0009128C"/>
    <w:rsid w:val="00095969"/>
    <w:rsid w:val="000A02B4"/>
    <w:rsid w:val="000A091B"/>
    <w:rsid w:val="000A1898"/>
    <w:rsid w:val="000A346E"/>
    <w:rsid w:val="000A5075"/>
    <w:rsid w:val="000A63F4"/>
    <w:rsid w:val="000B4A53"/>
    <w:rsid w:val="000B708B"/>
    <w:rsid w:val="000C0142"/>
    <w:rsid w:val="000D66C6"/>
    <w:rsid w:val="000E6AEB"/>
    <w:rsid w:val="000F5419"/>
    <w:rsid w:val="001202C0"/>
    <w:rsid w:val="00124611"/>
    <w:rsid w:val="001359E6"/>
    <w:rsid w:val="00137552"/>
    <w:rsid w:val="00142AD8"/>
    <w:rsid w:val="00145DF0"/>
    <w:rsid w:val="00151CD4"/>
    <w:rsid w:val="00155521"/>
    <w:rsid w:val="00157E31"/>
    <w:rsid w:val="00160597"/>
    <w:rsid w:val="00163511"/>
    <w:rsid w:val="00163F5A"/>
    <w:rsid w:val="00166ACC"/>
    <w:rsid w:val="001774F7"/>
    <w:rsid w:val="00184D50"/>
    <w:rsid w:val="001973BD"/>
    <w:rsid w:val="001A21B9"/>
    <w:rsid w:val="001A6A93"/>
    <w:rsid w:val="001B6239"/>
    <w:rsid w:val="001B772E"/>
    <w:rsid w:val="001D05D0"/>
    <w:rsid w:val="001D0BBD"/>
    <w:rsid w:val="001D4A93"/>
    <w:rsid w:val="001E2BDE"/>
    <w:rsid w:val="001E6F01"/>
    <w:rsid w:val="001F2E6B"/>
    <w:rsid w:val="001F345E"/>
    <w:rsid w:val="00200253"/>
    <w:rsid w:val="00202933"/>
    <w:rsid w:val="002034E3"/>
    <w:rsid w:val="002302BE"/>
    <w:rsid w:val="00236FF5"/>
    <w:rsid w:val="00261B86"/>
    <w:rsid w:val="00264DB7"/>
    <w:rsid w:val="00270A72"/>
    <w:rsid w:val="00284A64"/>
    <w:rsid w:val="0028567F"/>
    <w:rsid w:val="0029207E"/>
    <w:rsid w:val="002A118B"/>
    <w:rsid w:val="002A6C6A"/>
    <w:rsid w:val="002B2C94"/>
    <w:rsid w:val="002B4F76"/>
    <w:rsid w:val="002B5AA9"/>
    <w:rsid w:val="002C2DE7"/>
    <w:rsid w:val="002C5FDB"/>
    <w:rsid w:val="002D09FA"/>
    <w:rsid w:val="002D2673"/>
    <w:rsid w:val="002E6F41"/>
    <w:rsid w:val="002F1A6B"/>
    <w:rsid w:val="002F2FF4"/>
    <w:rsid w:val="003005DE"/>
    <w:rsid w:val="003055E3"/>
    <w:rsid w:val="003307DC"/>
    <w:rsid w:val="00333FFB"/>
    <w:rsid w:val="003353BE"/>
    <w:rsid w:val="00344213"/>
    <w:rsid w:val="003520CF"/>
    <w:rsid w:val="003526F0"/>
    <w:rsid w:val="00356D11"/>
    <w:rsid w:val="00357955"/>
    <w:rsid w:val="00363353"/>
    <w:rsid w:val="00372DEC"/>
    <w:rsid w:val="003771A9"/>
    <w:rsid w:val="00380536"/>
    <w:rsid w:val="0039766D"/>
    <w:rsid w:val="003A09AF"/>
    <w:rsid w:val="003A51CA"/>
    <w:rsid w:val="003B65B4"/>
    <w:rsid w:val="003C6095"/>
    <w:rsid w:val="003D291E"/>
    <w:rsid w:val="003F6CEE"/>
    <w:rsid w:val="004026E5"/>
    <w:rsid w:val="00405E47"/>
    <w:rsid w:val="0041350B"/>
    <w:rsid w:val="004154E6"/>
    <w:rsid w:val="004156C3"/>
    <w:rsid w:val="00415C46"/>
    <w:rsid w:val="004163A0"/>
    <w:rsid w:val="00417093"/>
    <w:rsid w:val="00417E4C"/>
    <w:rsid w:val="00431E25"/>
    <w:rsid w:val="00440A33"/>
    <w:rsid w:val="00455520"/>
    <w:rsid w:val="004741AD"/>
    <w:rsid w:val="0048034A"/>
    <w:rsid w:val="004832E3"/>
    <w:rsid w:val="00487B3A"/>
    <w:rsid w:val="00497552"/>
    <w:rsid w:val="004A01B8"/>
    <w:rsid w:val="004A5D79"/>
    <w:rsid w:val="004B3163"/>
    <w:rsid w:val="004B453C"/>
    <w:rsid w:val="004C2F16"/>
    <w:rsid w:val="004C3067"/>
    <w:rsid w:val="004C41C3"/>
    <w:rsid w:val="004F1142"/>
    <w:rsid w:val="004F1BA3"/>
    <w:rsid w:val="00506028"/>
    <w:rsid w:val="00506E6E"/>
    <w:rsid w:val="005114B1"/>
    <w:rsid w:val="005177C3"/>
    <w:rsid w:val="00525B32"/>
    <w:rsid w:val="00541ACA"/>
    <w:rsid w:val="00543112"/>
    <w:rsid w:val="00543F5C"/>
    <w:rsid w:val="005442F4"/>
    <w:rsid w:val="0055108C"/>
    <w:rsid w:val="005568A6"/>
    <w:rsid w:val="00575955"/>
    <w:rsid w:val="005810D3"/>
    <w:rsid w:val="00587EC4"/>
    <w:rsid w:val="0059148B"/>
    <w:rsid w:val="005A1AB9"/>
    <w:rsid w:val="005A3E63"/>
    <w:rsid w:val="005C242F"/>
    <w:rsid w:val="005C4D0F"/>
    <w:rsid w:val="005D3153"/>
    <w:rsid w:val="005D48D7"/>
    <w:rsid w:val="005E3222"/>
    <w:rsid w:val="005E4F67"/>
    <w:rsid w:val="005E6F8F"/>
    <w:rsid w:val="005F1E2C"/>
    <w:rsid w:val="005F50E7"/>
    <w:rsid w:val="0060064F"/>
    <w:rsid w:val="00601A94"/>
    <w:rsid w:val="00607CF6"/>
    <w:rsid w:val="00613261"/>
    <w:rsid w:val="00620DDD"/>
    <w:rsid w:val="00631079"/>
    <w:rsid w:val="006313D0"/>
    <w:rsid w:val="00631955"/>
    <w:rsid w:val="00652BBE"/>
    <w:rsid w:val="00654AD7"/>
    <w:rsid w:val="0066286A"/>
    <w:rsid w:val="00663FCB"/>
    <w:rsid w:val="00666B94"/>
    <w:rsid w:val="00667628"/>
    <w:rsid w:val="00672FB1"/>
    <w:rsid w:val="00675CCB"/>
    <w:rsid w:val="00681669"/>
    <w:rsid w:val="006817F4"/>
    <w:rsid w:val="00684CA1"/>
    <w:rsid w:val="00685C63"/>
    <w:rsid w:val="006970CF"/>
    <w:rsid w:val="006A7F3A"/>
    <w:rsid w:val="006B02D1"/>
    <w:rsid w:val="006B2EE1"/>
    <w:rsid w:val="006D0B5D"/>
    <w:rsid w:val="006D3CE1"/>
    <w:rsid w:val="006E2A7D"/>
    <w:rsid w:val="006F4399"/>
    <w:rsid w:val="006F5FCC"/>
    <w:rsid w:val="007056EC"/>
    <w:rsid w:val="007136AF"/>
    <w:rsid w:val="0072705D"/>
    <w:rsid w:val="007328BD"/>
    <w:rsid w:val="00734AF2"/>
    <w:rsid w:val="00737BFE"/>
    <w:rsid w:val="00742E94"/>
    <w:rsid w:val="007433C3"/>
    <w:rsid w:val="0075558E"/>
    <w:rsid w:val="0075688B"/>
    <w:rsid w:val="00756E3B"/>
    <w:rsid w:val="007611FB"/>
    <w:rsid w:val="007633A8"/>
    <w:rsid w:val="0077040B"/>
    <w:rsid w:val="00776EEC"/>
    <w:rsid w:val="00780D45"/>
    <w:rsid w:val="00781A76"/>
    <w:rsid w:val="00796D51"/>
    <w:rsid w:val="007A033A"/>
    <w:rsid w:val="007A219A"/>
    <w:rsid w:val="007A4878"/>
    <w:rsid w:val="007A4F83"/>
    <w:rsid w:val="007B715B"/>
    <w:rsid w:val="007C27B4"/>
    <w:rsid w:val="007C32BC"/>
    <w:rsid w:val="007D13B1"/>
    <w:rsid w:val="007D3466"/>
    <w:rsid w:val="007E0707"/>
    <w:rsid w:val="007E51D8"/>
    <w:rsid w:val="007F1427"/>
    <w:rsid w:val="007F4C4C"/>
    <w:rsid w:val="007F62AB"/>
    <w:rsid w:val="00800183"/>
    <w:rsid w:val="0080237B"/>
    <w:rsid w:val="008111F5"/>
    <w:rsid w:val="00815854"/>
    <w:rsid w:val="008215A8"/>
    <w:rsid w:val="00822A3E"/>
    <w:rsid w:val="00825A40"/>
    <w:rsid w:val="008307AD"/>
    <w:rsid w:val="00842371"/>
    <w:rsid w:val="00842E56"/>
    <w:rsid w:val="00844F8D"/>
    <w:rsid w:val="00846C97"/>
    <w:rsid w:val="00853B1F"/>
    <w:rsid w:val="00854712"/>
    <w:rsid w:val="00855D9B"/>
    <w:rsid w:val="008702F7"/>
    <w:rsid w:val="00882CB4"/>
    <w:rsid w:val="00883B8A"/>
    <w:rsid w:val="008862D5"/>
    <w:rsid w:val="00893470"/>
    <w:rsid w:val="008965D2"/>
    <w:rsid w:val="008A0E0F"/>
    <w:rsid w:val="008A42E0"/>
    <w:rsid w:val="008B0A72"/>
    <w:rsid w:val="008B13DE"/>
    <w:rsid w:val="008B50F4"/>
    <w:rsid w:val="008E0D92"/>
    <w:rsid w:val="008E2C8B"/>
    <w:rsid w:val="008E478F"/>
    <w:rsid w:val="008E641B"/>
    <w:rsid w:val="008F057D"/>
    <w:rsid w:val="008F45B9"/>
    <w:rsid w:val="00901E2F"/>
    <w:rsid w:val="0090562B"/>
    <w:rsid w:val="009073B7"/>
    <w:rsid w:val="0091101F"/>
    <w:rsid w:val="0091788A"/>
    <w:rsid w:val="0092328D"/>
    <w:rsid w:val="00925F04"/>
    <w:rsid w:val="00941D74"/>
    <w:rsid w:val="00953178"/>
    <w:rsid w:val="009549C3"/>
    <w:rsid w:val="0095716B"/>
    <w:rsid w:val="00961C33"/>
    <w:rsid w:val="00961E1E"/>
    <w:rsid w:val="009742DD"/>
    <w:rsid w:val="00974CA3"/>
    <w:rsid w:val="00975CB9"/>
    <w:rsid w:val="00976AD6"/>
    <w:rsid w:val="009813C8"/>
    <w:rsid w:val="00982893"/>
    <w:rsid w:val="0099740F"/>
    <w:rsid w:val="009C0482"/>
    <w:rsid w:val="009C15E5"/>
    <w:rsid w:val="009D5750"/>
    <w:rsid w:val="009F3A92"/>
    <w:rsid w:val="00A0058E"/>
    <w:rsid w:val="00A16D6B"/>
    <w:rsid w:val="00A23534"/>
    <w:rsid w:val="00A421E4"/>
    <w:rsid w:val="00A43C91"/>
    <w:rsid w:val="00A440AA"/>
    <w:rsid w:val="00A46AFF"/>
    <w:rsid w:val="00A50294"/>
    <w:rsid w:val="00A50402"/>
    <w:rsid w:val="00A532EB"/>
    <w:rsid w:val="00A55706"/>
    <w:rsid w:val="00A663D0"/>
    <w:rsid w:val="00A67722"/>
    <w:rsid w:val="00A71194"/>
    <w:rsid w:val="00A72785"/>
    <w:rsid w:val="00A80CE2"/>
    <w:rsid w:val="00A810E5"/>
    <w:rsid w:val="00A87162"/>
    <w:rsid w:val="00A9239A"/>
    <w:rsid w:val="00A95961"/>
    <w:rsid w:val="00A97BD5"/>
    <w:rsid w:val="00AA1518"/>
    <w:rsid w:val="00AA3BDA"/>
    <w:rsid w:val="00AA46BD"/>
    <w:rsid w:val="00AC4C6D"/>
    <w:rsid w:val="00AC7922"/>
    <w:rsid w:val="00AD1295"/>
    <w:rsid w:val="00AD23B8"/>
    <w:rsid w:val="00AD46D1"/>
    <w:rsid w:val="00AE5E39"/>
    <w:rsid w:val="00AE7B98"/>
    <w:rsid w:val="00AE7CD1"/>
    <w:rsid w:val="00AF6B68"/>
    <w:rsid w:val="00AF6F8F"/>
    <w:rsid w:val="00B0061E"/>
    <w:rsid w:val="00B07C9B"/>
    <w:rsid w:val="00B13855"/>
    <w:rsid w:val="00B17D5B"/>
    <w:rsid w:val="00B24BF1"/>
    <w:rsid w:val="00B326FD"/>
    <w:rsid w:val="00B32DF9"/>
    <w:rsid w:val="00B365E5"/>
    <w:rsid w:val="00B42DE5"/>
    <w:rsid w:val="00B4558F"/>
    <w:rsid w:val="00B50AE1"/>
    <w:rsid w:val="00B65AA0"/>
    <w:rsid w:val="00B8367F"/>
    <w:rsid w:val="00BA1DB8"/>
    <w:rsid w:val="00BB2A83"/>
    <w:rsid w:val="00BC4F21"/>
    <w:rsid w:val="00BD1447"/>
    <w:rsid w:val="00BD3607"/>
    <w:rsid w:val="00BD5AA5"/>
    <w:rsid w:val="00BE032C"/>
    <w:rsid w:val="00BE70A7"/>
    <w:rsid w:val="00BE7F59"/>
    <w:rsid w:val="00BF021C"/>
    <w:rsid w:val="00BF27E6"/>
    <w:rsid w:val="00BF39D5"/>
    <w:rsid w:val="00BF6817"/>
    <w:rsid w:val="00C116C9"/>
    <w:rsid w:val="00C1681D"/>
    <w:rsid w:val="00C20079"/>
    <w:rsid w:val="00C26CCD"/>
    <w:rsid w:val="00C3485E"/>
    <w:rsid w:val="00C348AA"/>
    <w:rsid w:val="00C541BB"/>
    <w:rsid w:val="00C55195"/>
    <w:rsid w:val="00C55BCE"/>
    <w:rsid w:val="00C56C23"/>
    <w:rsid w:val="00C70A7B"/>
    <w:rsid w:val="00C7206B"/>
    <w:rsid w:val="00C72154"/>
    <w:rsid w:val="00C76761"/>
    <w:rsid w:val="00C80844"/>
    <w:rsid w:val="00C81033"/>
    <w:rsid w:val="00C87FED"/>
    <w:rsid w:val="00CA1010"/>
    <w:rsid w:val="00CA3D30"/>
    <w:rsid w:val="00CA7CFA"/>
    <w:rsid w:val="00CB0CAD"/>
    <w:rsid w:val="00CB1D4A"/>
    <w:rsid w:val="00CB7E6E"/>
    <w:rsid w:val="00CD63FB"/>
    <w:rsid w:val="00CE0203"/>
    <w:rsid w:val="00CF56AF"/>
    <w:rsid w:val="00CF79A4"/>
    <w:rsid w:val="00D061E6"/>
    <w:rsid w:val="00D0731D"/>
    <w:rsid w:val="00D26744"/>
    <w:rsid w:val="00D32DDE"/>
    <w:rsid w:val="00D34520"/>
    <w:rsid w:val="00D41B80"/>
    <w:rsid w:val="00D60AA4"/>
    <w:rsid w:val="00D6169B"/>
    <w:rsid w:val="00D61921"/>
    <w:rsid w:val="00D667B9"/>
    <w:rsid w:val="00D7697E"/>
    <w:rsid w:val="00D848BD"/>
    <w:rsid w:val="00D910FA"/>
    <w:rsid w:val="00D95210"/>
    <w:rsid w:val="00D95946"/>
    <w:rsid w:val="00DA2C38"/>
    <w:rsid w:val="00DC2DB4"/>
    <w:rsid w:val="00DD61A3"/>
    <w:rsid w:val="00DE14C7"/>
    <w:rsid w:val="00DE5197"/>
    <w:rsid w:val="00DE69C7"/>
    <w:rsid w:val="00E159DA"/>
    <w:rsid w:val="00E32299"/>
    <w:rsid w:val="00E36C97"/>
    <w:rsid w:val="00E42EF5"/>
    <w:rsid w:val="00E437BB"/>
    <w:rsid w:val="00E53EE7"/>
    <w:rsid w:val="00E54F2C"/>
    <w:rsid w:val="00E55AA8"/>
    <w:rsid w:val="00E6104E"/>
    <w:rsid w:val="00E63C72"/>
    <w:rsid w:val="00E722AB"/>
    <w:rsid w:val="00E732E5"/>
    <w:rsid w:val="00E766B6"/>
    <w:rsid w:val="00E813F7"/>
    <w:rsid w:val="00E82BCE"/>
    <w:rsid w:val="00E869AD"/>
    <w:rsid w:val="00E92014"/>
    <w:rsid w:val="00E92EA3"/>
    <w:rsid w:val="00EA4131"/>
    <w:rsid w:val="00EA6416"/>
    <w:rsid w:val="00EB4611"/>
    <w:rsid w:val="00EB6CA8"/>
    <w:rsid w:val="00EC17ED"/>
    <w:rsid w:val="00EC40CC"/>
    <w:rsid w:val="00ED2D54"/>
    <w:rsid w:val="00EE60AD"/>
    <w:rsid w:val="00EF53D4"/>
    <w:rsid w:val="00EF7EE7"/>
    <w:rsid w:val="00F00545"/>
    <w:rsid w:val="00F01579"/>
    <w:rsid w:val="00F033AB"/>
    <w:rsid w:val="00F13C73"/>
    <w:rsid w:val="00F14CA5"/>
    <w:rsid w:val="00F177BF"/>
    <w:rsid w:val="00F226C4"/>
    <w:rsid w:val="00F27D4D"/>
    <w:rsid w:val="00F31DC4"/>
    <w:rsid w:val="00F3380E"/>
    <w:rsid w:val="00F36F06"/>
    <w:rsid w:val="00F4275A"/>
    <w:rsid w:val="00F43E52"/>
    <w:rsid w:val="00F529EC"/>
    <w:rsid w:val="00F61CA2"/>
    <w:rsid w:val="00F67532"/>
    <w:rsid w:val="00F67E12"/>
    <w:rsid w:val="00F701BF"/>
    <w:rsid w:val="00F71DE6"/>
    <w:rsid w:val="00F77EBA"/>
    <w:rsid w:val="00F836BB"/>
    <w:rsid w:val="00F9590A"/>
    <w:rsid w:val="00F95F23"/>
    <w:rsid w:val="00FA0046"/>
    <w:rsid w:val="00FA29C4"/>
    <w:rsid w:val="00FA372C"/>
    <w:rsid w:val="00FB433F"/>
    <w:rsid w:val="00FB7559"/>
    <w:rsid w:val="00FC013F"/>
    <w:rsid w:val="00FC2C30"/>
    <w:rsid w:val="00FC6ABD"/>
    <w:rsid w:val="00FD2043"/>
    <w:rsid w:val="00FD6849"/>
    <w:rsid w:val="00FE1B3B"/>
    <w:rsid w:val="00FE4A1C"/>
    <w:rsid w:val="00FF059F"/>
    <w:rsid w:val="00FF3A08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CE31"/>
  <w15:chartTrackingRefBased/>
  <w15:docId w15:val="{C5167BD0-E9FF-4CF9-98F3-6CD59E4B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port Body"/>
    <w:qFormat/>
    <w:rsid w:val="005A1AB9"/>
    <w:pPr>
      <w:spacing w:after="0" w:line="259" w:lineRule="auto"/>
    </w:pPr>
    <w:rPr>
      <w:rFonts w:ascii="Arial" w:hAnsi="Arial"/>
      <w:sz w:val="22"/>
      <w:szCs w:val="22"/>
    </w:rPr>
  </w:style>
  <w:style w:type="paragraph" w:styleId="Heading1">
    <w:name w:val="heading 1"/>
    <w:aliases w:val="Report Heading"/>
    <w:basedOn w:val="Normal"/>
    <w:next w:val="Normal"/>
    <w:link w:val="Heading1Char"/>
    <w:autoRedefine/>
    <w:uiPriority w:val="9"/>
    <w:qFormat/>
    <w:rsid w:val="00C20079"/>
    <w:pPr>
      <w:keepNext/>
      <w:keepLines/>
      <w:numPr>
        <w:numId w:val="2"/>
      </w:numPr>
      <w:outlineLvl w:val="0"/>
    </w:pPr>
    <w:rPr>
      <w:rFonts w:eastAsia="Times New Roman" w:cstheme="majorBidi"/>
      <w:b/>
      <w:sz w:val="28"/>
      <w:szCs w:val="36"/>
      <w:u w:val="single"/>
      <w:lang w:eastAsia="en-GB"/>
    </w:rPr>
  </w:style>
  <w:style w:type="paragraph" w:styleId="Heading2">
    <w:name w:val="heading 2"/>
    <w:aliases w:val="SubHeading"/>
    <w:basedOn w:val="Normal"/>
    <w:next w:val="Normal"/>
    <w:link w:val="Heading2Char"/>
    <w:autoRedefine/>
    <w:uiPriority w:val="9"/>
    <w:unhideWhenUsed/>
    <w:qFormat/>
    <w:rsid w:val="00844F8D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sz w:val="24"/>
      <w:szCs w:val="32"/>
      <w:u w:val="single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2BC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eport Subheading"/>
    <w:next w:val="Heading1"/>
    <w:link w:val="NoSpacingChar"/>
    <w:autoRedefine/>
    <w:uiPriority w:val="1"/>
    <w:qFormat/>
    <w:rsid w:val="004C41C3"/>
    <w:pPr>
      <w:numPr>
        <w:numId w:val="4"/>
      </w:numPr>
      <w:spacing w:after="0" w:line="240" w:lineRule="auto"/>
      <w:jc w:val="both"/>
    </w:pPr>
    <w:rPr>
      <w:rFonts w:ascii="Arial" w:hAnsi="Arial"/>
      <w:u w:val="single"/>
      <w:lang w:eastAsia="en-GB"/>
    </w:rPr>
  </w:style>
  <w:style w:type="character" w:customStyle="1" w:styleId="NoSpacingChar">
    <w:name w:val="No Spacing Char"/>
    <w:aliases w:val="Report Subheading Char"/>
    <w:basedOn w:val="DefaultParagraphFont"/>
    <w:link w:val="NoSpacing"/>
    <w:uiPriority w:val="1"/>
    <w:rsid w:val="004C41C3"/>
    <w:rPr>
      <w:rFonts w:ascii="Arial" w:hAnsi="Arial"/>
      <w:u w:val="single"/>
      <w:lang w:eastAsia="en-GB"/>
    </w:rPr>
  </w:style>
  <w:style w:type="character" w:customStyle="1" w:styleId="Heading1Char">
    <w:name w:val="Heading 1 Char"/>
    <w:aliases w:val="Report Heading Char"/>
    <w:basedOn w:val="DefaultParagraphFont"/>
    <w:link w:val="Heading1"/>
    <w:uiPriority w:val="9"/>
    <w:rsid w:val="00C20079"/>
    <w:rPr>
      <w:rFonts w:ascii="Arial" w:eastAsia="Times New Roman" w:hAnsi="Arial" w:cstheme="majorBidi"/>
      <w:b/>
      <w:sz w:val="28"/>
      <w:szCs w:val="36"/>
      <w:u w:val="single"/>
      <w:lang w:eastAsia="en-GB"/>
    </w:rPr>
  </w:style>
  <w:style w:type="paragraph" w:styleId="Title">
    <w:name w:val="Title"/>
    <w:aliases w:val="Sub"/>
    <w:basedOn w:val="Heading2"/>
    <w:next w:val="NoSpacing"/>
    <w:link w:val="TitleChar"/>
    <w:uiPriority w:val="10"/>
    <w:qFormat/>
    <w:rsid w:val="00C56C23"/>
    <w:pPr>
      <w:spacing w:before="40"/>
      <w:contextualSpacing/>
    </w:pPr>
    <w:rPr>
      <w:b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Sub Char"/>
    <w:basedOn w:val="DefaultParagraphFont"/>
    <w:link w:val="Title"/>
    <w:uiPriority w:val="10"/>
    <w:rsid w:val="00C56C23"/>
    <w:rPr>
      <w:rFonts w:ascii="Arial" w:eastAsiaTheme="majorEastAsia" w:hAnsi="Arial" w:cstheme="majorBidi"/>
      <w:b/>
      <w:spacing w:val="-10"/>
      <w:kern w:val="28"/>
      <w:sz w:val="32"/>
      <w:szCs w:val="56"/>
      <w:u w:val="single"/>
      <w:lang w:val="en-U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844F8D"/>
    <w:rPr>
      <w:rFonts w:ascii="Arial" w:eastAsiaTheme="majorEastAsia" w:hAnsi="Arial" w:cstheme="majorBidi"/>
      <w:szCs w:val="32"/>
      <w:u w:val="single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32BC"/>
    <w:rPr>
      <w:rFonts w:ascii="Arial" w:eastAsiaTheme="majorEastAsia" w:hAnsi="Arial" w:cstheme="majorBidi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43112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12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12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12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12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12"/>
    <w:rPr>
      <w:rFonts w:eastAsiaTheme="majorEastAsia" w:cstheme="majorBidi"/>
      <w:color w:val="272727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12"/>
    <w:rPr>
      <w:rFonts w:ascii="Arial" w:hAnsi="Arial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43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12"/>
    <w:rPr>
      <w:rFonts w:ascii="Arial" w:hAnsi="Arial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543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48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68A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6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CCD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CCD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61c1b-d9cf-4c82-a329-2efedace3606">
      <Terms xmlns="http://schemas.microsoft.com/office/infopath/2007/PartnerControls"/>
    </lcf76f155ced4ddcb4097134ff3c332f>
    <TaxCatchAll xmlns="b8aabae5-729e-4630-87a4-56987b495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ECC95239503459844DC36E4EF7C04" ma:contentTypeVersion="13" ma:contentTypeDescription="Create a new document." ma:contentTypeScope="" ma:versionID="dd351f22418996fb236ad9e923e74052">
  <xsd:schema xmlns:xsd="http://www.w3.org/2001/XMLSchema" xmlns:xs="http://www.w3.org/2001/XMLSchema" xmlns:p="http://schemas.microsoft.com/office/2006/metadata/properties" xmlns:ns2="84161c1b-d9cf-4c82-a329-2efedace3606" xmlns:ns3="b8aabae5-729e-4630-87a4-56987b4955bf" targetNamespace="http://schemas.microsoft.com/office/2006/metadata/properties" ma:root="true" ma:fieldsID="af2166a17a18567628ef1076475b989f" ns2:_="" ns3:_="">
    <xsd:import namespace="84161c1b-d9cf-4c82-a329-2efedace3606"/>
    <xsd:import namespace="b8aabae5-729e-4630-87a4-56987b495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1c1b-d9cf-4c82-a329-2efedace3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d02a82-ca48-40af-81fa-b603daede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abae5-729e-4630-87a4-56987b4955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599ea1-195f-4e6b-ac7e-24897d34ba40}" ma:internalName="TaxCatchAll" ma:showField="CatchAllData" ma:web="b8aabae5-729e-4630-87a4-56987b495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01AEE-847A-48E5-8F14-BBFACE79F349}">
  <ds:schemaRefs>
    <ds:schemaRef ds:uri="http://schemas.microsoft.com/office/2006/metadata/properties"/>
    <ds:schemaRef ds:uri="http://schemas.microsoft.com/office/infopath/2007/PartnerControls"/>
    <ds:schemaRef ds:uri="84161c1b-d9cf-4c82-a329-2efedace3606"/>
    <ds:schemaRef ds:uri="b8aabae5-729e-4630-87a4-56987b4955bf"/>
  </ds:schemaRefs>
</ds:datastoreItem>
</file>

<file path=customXml/itemProps2.xml><?xml version="1.0" encoding="utf-8"?>
<ds:datastoreItem xmlns:ds="http://schemas.openxmlformats.org/officeDocument/2006/customXml" ds:itemID="{0E815B32-FB6E-49F3-913A-F9133A4FA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7C145-C55B-48FF-894E-6A71466F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61c1b-d9cf-4c82-a329-2efedace3606"/>
    <ds:schemaRef ds:uri="b8aabae5-729e-4630-87a4-56987b495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Chapman-New</dc:creator>
  <cp:keywords/>
  <dc:description/>
  <cp:lastModifiedBy>Janine Gardner</cp:lastModifiedBy>
  <cp:revision>3</cp:revision>
  <dcterms:created xsi:type="dcterms:W3CDTF">2025-04-22T10:04:00Z</dcterms:created>
  <dcterms:modified xsi:type="dcterms:W3CDTF">2025-04-22T10:05:00Z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0x010100BA8ECC95239503459844DC36E4EF7C04</vt:lpwstr>
  </property>
  <property fmtid="{D5CDD505-2E9C-101B-9397-08002B2CF9AE}" pid="3" name="MediaServiceImageTags">
    <vt:lpwstr/>
  </property>
</Properties>
</file>