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DC4A" w14:textId="67B1117D" w:rsidR="000A471E" w:rsidRPr="004B21CB" w:rsidRDefault="00A66641" w:rsidP="3E8F8492">
      <w:pPr>
        <w:rPr>
          <w:b/>
          <w:bCs/>
          <w:sz w:val="28"/>
          <w:szCs w:val="28"/>
        </w:rPr>
      </w:pPr>
      <w:r w:rsidRPr="3E8F8492">
        <w:rPr>
          <w:b/>
          <w:bCs/>
          <w:sz w:val="28"/>
          <w:szCs w:val="28"/>
        </w:rPr>
        <w:t xml:space="preserve">Annex </w:t>
      </w:r>
      <w:r w:rsidR="65AC37B1" w:rsidRPr="3E8F8492">
        <w:rPr>
          <w:b/>
          <w:bCs/>
          <w:sz w:val="28"/>
          <w:szCs w:val="28"/>
        </w:rPr>
        <w:t>9</w:t>
      </w:r>
    </w:p>
    <w:p w14:paraId="7D8AA8D1" w14:textId="3E78022E" w:rsidR="00E565F4" w:rsidRPr="004B21CB" w:rsidRDefault="00A66641" w:rsidP="004B21CB">
      <w:pPr>
        <w:pStyle w:val="Heading1"/>
        <w:rPr>
          <w:rFonts w:ascii="Arial" w:hAnsi="Arial" w:cs="Arial"/>
          <w:b/>
          <w:bCs/>
          <w:color w:val="auto"/>
          <w:sz w:val="28"/>
          <w:szCs w:val="28"/>
        </w:rPr>
      </w:pPr>
      <w:r>
        <w:rPr>
          <w:rFonts w:ascii="Arial" w:hAnsi="Arial" w:cs="Arial"/>
          <w:b/>
          <w:bCs/>
          <w:color w:val="auto"/>
          <w:sz w:val="28"/>
          <w:szCs w:val="28"/>
        </w:rPr>
        <w:t xml:space="preserve">Example </w:t>
      </w:r>
      <w:r w:rsidR="00E565F4" w:rsidRPr="004B21CB">
        <w:rPr>
          <w:rFonts w:ascii="Arial" w:hAnsi="Arial" w:cs="Arial"/>
          <w:b/>
          <w:bCs/>
          <w:color w:val="auto"/>
          <w:sz w:val="28"/>
          <w:szCs w:val="28"/>
        </w:rPr>
        <w:t xml:space="preserve">Job description </w:t>
      </w:r>
    </w:p>
    <w:p w14:paraId="5421E779" w14:textId="77777777" w:rsidR="00E565F4" w:rsidRPr="004B21CB" w:rsidRDefault="00E565F4" w:rsidP="00E565F4">
      <w:pPr>
        <w:rPr>
          <w:sz w:val="28"/>
          <w:szCs w:val="28"/>
        </w:rPr>
      </w:pPr>
    </w:p>
    <w:p w14:paraId="2CC7B824" w14:textId="12B5FC2A" w:rsidR="00E565F4" w:rsidRPr="004B21CB" w:rsidRDefault="0051165E" w:rsidP="00E565F4">
      <w:pPr>
        <w:rPr>
          <w:b/>
          <w:sz w:val="28"/>
          <w:szCs w:val="28"/>
        </w:rPr>
      </w:pPr>
      <w:r>
        <w:rPr>
          <w:b/>
          <w:sz w:val="28"/>
          <w:szCs w:val="28"/>
        </w:rPr>
        <w:t>Employment Specialist</w:t>
      </w:r>
    </w:p>
    <w:p w14:paraId="466F28F2" w14:textId="77777777" w:rsidR="006209FF" w:rsidRPr="0040066B" w:rsidRDefault="006209FF" w:rsidP="0064492C">
      <w:pPr>
        <w:jc w:val="center"/>
        <w:rPr>
          <w:rFonts w:cs="Arial"/>
          <w:b/>
        </w:rPr>
      </w:pPr>
    </w:p>
    <w:p w14:paraId="2130EE29" w14:textId="77777777" w:rsidR="0064492C" w:rsidRPr="0040066B" w:rsidRDefault="0064492C" w:rsidP="0064492C">
      <w:pPr>
        <w:rPr>
          <w:rFonts w:cs="Arial"/>
          <w:b/>
        </w:rPr>
      </w:pPr>
    </w:p>
    <w:tbl>
      <w:tblPr>
        <w:tblStyle w:val="TableGrid"/>
        <w:tblW w:w="4999" w:type="pct"/>
        <w:tblLook w:val="01E0" w:firstRow="1" w:lastRow="1" w:firstColumn="1" w:lastColumn="1" w:noHBand="0" w:noVBand="0"/>
      </w:tblPr>
      <w:tblGrid>
        <w:gridCol w:w="9626"/>
      </w:tblGrid>
      <w:tr w:rsidR="00640819" w:rsidRPr="00D939F1" w14:paraId="2A997627" w14:textId="77777777" w:rsidTr="00077C31">
        <w:tc>
          <w:tcPr>
            <w:tcW w:w="5000" w:type="pct"/>
          </w:tcPr>
          <w:p w14:paraId="48A2DA31" w14:textId="7E1E2128" w:rsidR="00640819" w:rsidRPr="00D939F1" w:rsidRDefault="00640819" w:rsidP="00976AC2">
            <w:pPr>
              <w:rPr>
                <w:rFonts w:cs="Arial"/>
                <w:b/>
              </w:rPr>
            </w:pPr>
            <w:r w:rsidRPr="00D939F1">
              <w:rPr>
                <w:rFonts w:cs="Arial"/>
                <w:b/>
              </w:rPr>
              <w:t>Job Purpose</w:t>
            </w:r>
            <w:r w:rsidR="00BC4F9E" w:rsidRPr="00D939F1">
              <w:rPr>
                <w:rFonts w:cs="Arial"/>
              </w:rPr>
              <w:t xml:space="preserve"> </w:t>
            </w:r>
          </w:p>
        </w:tc>
      </w:tr>
      <w:tr w:rsidR="00640819" w:rsidRPr="00D939F1" w14:paraId="7B927FED" w14:textId="77777777" w:rsidTr="00077C31">
        <w:trPr>
          <w:trHeight w:val="1134"/>
        </w:trPr>
        <w:tc>
          <w:tcPr>
            <w:tcW w:w="5000" w:type="pct"/>
          </w:tcPr>
          <w:p w14:paraId="779CB7BC" w14:textId="79DA2EBD" w:rsidR="00640819" w:rsidRDefault="00227183" w:rsidP="00087ECD">
            <w:pPr>
              <w:rPr>
                <w:rFonts w:cs="Arial"/>
              </w:rPr>
            </w:pPr>
            <w:r>
              <w:rPr>
                <w:rFonts w:cs="Arial"/>
              </w:rPr>
              <w:t>The role</w:t>
            </w:r>
            <w:r w:rsidR="004D4D36" w:rsidRPr="004D4D36">
              <w:rPr>
                <w:rFonts w:cs="Arial"/>
              </w:rPr>
              <w:t xml:space="preserve"> will work with </w:t>
            </w:r>
            <w:r>
              <w:rPr>
                <w:rFonts w:cs="Arial"/>
              </w:rPr>
              <w:t xml:space="preserve">Norfolk </w:t>
            </w:r>
            <w:r w:rsidR="004D4D36">
              <w:rPr>
                <w:rFonts w:cs="Arial"/>
              </w:rPr>
              <w:t>residents</w:t>
            </w:r>
            <w:r w:rsidR="008C0F93">
              <w:rPr>
                <w:rFonts w:cs="Arial"/>
              </w:rPr>
              <w:t xml:space="preserve"> in the Connect to Work project, </w:t>
            </w:r>
            <w:r w:rsidR="004D4D36" w:rsidRPr="004D4D36">
              <w:rPr>
                <w:rFonts w:cs="Arial"/>
              </w:rPr>
              <w:t>managing a caseload</w:t>
            </w:r>
            <w:r w:rsidR="008C0F93">
              <w:rPr>
                <w:rFonts w:cs="Arial"/>
              </w:rPr>
              <w:t xml:space="preserve"> of project participants</w:t>
            </w:r>
            <w:r w:rsidR="004D4D36" w:rsidRPr="004D4D36">
              <w:rPr>
                <w:rFonts w:cs="Arial"/>
              </w:rPr>
              <w:t xml:space="preserve"> who have </w:t>
            </w:r>
            <w:r w:rsidR="004D4D36">
              <w:rPr>
                <w:rFonts w:cs="Arial"/>
              </w:rPr>
              <w:t>barriers to finding</w:t>
            </w:r>
            <w:r>
              <w:rPr>
                <w:rFonts w:cs="Arial"/>
              </w:rPr>
              <w:t xml:space="preserve"> work</w:t>
            </w:r>
            <w:r w:rsidR="004D4D36" w:rsidRPr="004D4D36">
              <w:rPr>
                <w:rFonts w:cs="Arial"/>
              </w:rPr>
              <w:t xml:space="preserve">, </w:t>
            </w:r>
            <w:r>
              <w:rPr>
                <w:rFonts w:cs="Arial"/>
              </w:rPr>
              <w:t>supporting</w:t>
            </w:r>
            <w:r w:rsidR="004D4D36" w:rsidRPr="004D4D36">
              <w:rPr>
                <w:rFonts w:cs="Arial"/>
              </w:rPr>
              <w:t xml:space="preserve"> them </w:t>
            </w:r>
            <w:r w:rsidR="006572FB">
              <w:rPr>
                <w:rFonts w:cs="Arial"/>
              </w:rPr>
              <w:t>to secure</w:t>
            </w:r>
            <w:r w:rsidR="004D4D36" w:rsidRPr="004D4D36">
              <w:rPr>
                <w:rFonts w:cs="Arial"/>
              </w:rPr>
              <w:t xml:space="preserve"> sustainable paid employment. You will deliver the Individual Placement and Support (IPS) approach (for which training will be given</w:t>
            </w:r>
            <w:proofErr w:type="gramStart"/>
            <w:r w:rsidR="004D4D36" w:rsidRPr="004D4D36">
              <w:rPr>
                <w:rFonts w:cs="Arial"/>
              </w:rPr>
              <w:t>);</w:t>
            </w:r>
            <w:proofErr w:type="gramEnd"/>
            <w:r w:rsidR="004D4D36" w:rsidRPr="004D4D36">
              <w:rPr>
                <w:rFonts w:cs="Arial"/>
              </w:rPr>
              <w:t xml:space="preserve"> providing person centred advice and guidance to clients, whilst building positive relationships with local employers to enable clients to move into suitable employment.</w:t>
            </w:r>
          </w:p>
          <w:p w14:paraId="3C5644BA" w14:textId="77777777" w:rsidR="006572FB" w:rsidRDefault="006572FB" w:rsidP="00087ECD">
            <w:pPr>
              <w:rPr>
                <w:rFonts w:cs="Arial"/>
              </w:rPr>
            </w:pPr>
          </w:p>
          <w:p w14:paraId="0DC70979" w14:textId="6BBBE04F" w:rsidR="006572FB" w:rsidRDefault="006572FB" w:rsidP="00087ECD">
            <w:pPr>
              <w:rPr>
                <w:rFonts w:cs="Arial"/>
              </w:rPr>
            </w:pPr>
            <w:r>
              <w:rPr>
                <w:rFonts w:cs="Arial"/>
              </w:rPr>
              <w:t xml:space="preserve">The role will include managing a wide range of partner relationships, supporting referrals and resident pathways from a </w:t>
            </w:r>
            <w:r w:rsidR="008C0F93">
              <w:rPr>
                <w:rFonts w:cs="Arial"/>
              </w:rPr>
              <w:t xml:space="preserve">breadth of health, community and voluntary sector settings. </w:t>
            </w:r>
          </w:p>
          <w:p w14:paraId="5C56734F" w14:textId="7E59F1BB" w:rsidR="006572FB" w:rsidRPr="00D939F1" w:rsidRDefault="006572FB" w:rsidP="00087ECD">
            <w:pPr>
              <w:rPr>
                <w:rFonts w:cs="Arial"/>
              </w:rPr>
            </w:pPr>
          </w:p>
        </w:tc>
      </w:tr>
      <w:tr w:rsidR="00640819" w:rsidRPr="00D939F1" w14:paraId="1ED99E22" w14:textId="77777777" w:rsidTr="00077C31">
        <w:trPr>
          <w:trHeight w:val="301"/>
        </w:trPr>
        <w:tc>
          <w:tcPr>
            <w:tcW w:w="5000" w:type="pct"/>
          </w:tcPr>
          <w:p w14:paraId="3E42AC52" w14:textId="1F5AEC0B" w:rsidR="00640819" w:rsidRPr="00D939F1" w:rsidRDefault="00F01474" w:rsidP="00976AC2">
            <w:pPr>
              <w:rPr>
                <w:rFonts w:cs="Arial"/>
                <w:b/>
              </w:rPr>
            </w:pPr>
            <w:r w:rsidRPr="00D939F1">
              <w:rPr>
                <w:rFonts w:cs="Arial"/>
                <w:b/>
              </w:rPr>
              <w:t>Context</w:t>
            </w:r>
            <w:r w:rsidR="000B480A">
              <w:rPr>
                <w:rFonts w:cs="Arial"/>
                <w:b/>
              </w:rPr>
              <w:t xml:space="preserve"> </w:t>
            </w:r>
          </w:p>
        </w:tc>
      </w:tr>
      <w:tr w:rsidR="00640819" w:rsidRPr="00D939F1" w14:paraId="5A2B7978" w14:textId="77777777" w:rsidTr="00077C31">
        <w:trPr>
          <w:trHeight w:val="1134"/>
        </w:trPr>
        <w:tc>
          <w:tcPr>
            <w:tcW w:w="5000" w:type="pct"/>
          </w:tcPr>
          <w:p w14:paraId="42ACB888" w14:textId="731F112F" w:rsidR="008C0F93" w:rsidRPr="008C0F93" w:rsidRDefault="008C0F93" w:rsidP="008C0F93">
            <w:pPr>
              <w:rPr>
                <w:rFonts w:cs="Arial"/>
              </w:rPr>
            </w:pPr>
            <w:r>
              <w:rPr>
                <w:rFonts w:cs="Arial"/>
              </w:rPr>
              <w:t xml:space="preserve">The Connect to Work project (CTW) is managed by Norfolk County Council Employment &amp; Skills department, </w:t>
            </w:r>
            <w:r w:rsidRPr="008C0F93">
              <w:rPr>
                <w:rFonts w:cs="Arial"/>
              </w:rPr>
              <w:t xml:space="preserve">a key outward facing service within the </w:t>
            </w:r>
            <w:r>
              <w:rPr>
                <w:rFonts w:cs="Arial"/>
              </w:rPr>
              <w:t>Authorities Growth &amp; Investment directorate</w:t>
            </w:r>
            <w:r w:rsidRPr="008C0F93">
              <w:rPr>
                <w:rFonts w:cs="Arial"/>
              </w:rPr>
              <w:t xml:space="preserve">. The </w:t>
            </w:r>
            <w:r>
              <w:rPr>
                <w:rFonts w:cs="Arial"/>
              </w:rPr>
              <w:t>directorate</w:t>
            </w:r>
            <w:r w:rsidRPr="008C0F93">
              <w:rPr>
                <w:rFonts w:cs="Arial"/>
              </w:rPr>
              <w:t xml:space="preserve"> seeks to create the right conditions for economic growth and remove barriers to it, involving considerable work with external partners.</w:t>
            </w:r>
          </w:p>
          <w:p w14:paraId="2EF31322" w14:textId="4494FDCE" w:rsidR="008C0F93" w:rsidRPr="008C0F93" w:rsidRDefault="008C0F93" w:rsidP="008C0F93">
            <w:pPr>
              <w:rPr>
                <w:rFonts w:cs="Arial"/>
              </w:rPr>
            </w:pPr>
            <w:r w:rsidRPr="008C0F93">
              <w:rPr>
                <w:rFonts w:cs="Arial"/>
              </w:rPr>
              <w:t xml:space="preserve"> </w:t>
            </w:r>
          </w:p>
          <w:p w14:paraId="3B594091" w14:textId="3770A417" w:rsidR="003B08BA" w:rsidRDefault="003B08BA" w:rsidP="008C0F93">
            <w:pPr>
              <w:rPr>
                <w:rFonts w:cs="Arial"/>
              </w:rPr>
            </w:pPr>
            <w:r w:rsidRPr="003B08BA">
              <w:rPr>
                <w:rFonts w:cs="Arial"/>
              </w:rPr>
              <w:t>Connect to Work is a voluntary programme to help tackle economic inactivity by providing a specific form of support targeted at the right people at the right time, based on their individual circumstances. Participants must be both eligible and suitable for the provision. Connect to Work will deliver the evidence-based Supported Employment model, ‘place, train, and maintain’, building on the existing DWP funded Supported Employment programmes; Local Supported Employment (LSE) and Individual Placement and Support in Primary Care (IPSPC)</w:t>
            </w:r>
            <w:r>
              <w:rPr>
                <w:rFonts w:cs="Arial"/>
              </w:rPr>
              <w:t xml:space="preserve"> and delivering over a </w:t>
            </w:r>
            <w:r w:rsidR="00FE05A7">
              <w:rPr>
                <w:rFonts w:cs="Arial"/>
              </w:rPr>
              <w:t>5-year</w:t>
            </w:r>
            <w:r>
              <w:rPr>
                <w:rFonts w:cs="Arial"/>
              </w:rPr>
              <w:t xml:space="preserve"> period 2025-2030. </w:t>
            </w:r>
          </w:p>
          <w:p w14:paraId="6DFB41A4" w14:textId="77777777" w:rsidR="003B08BA" w:rsidRDefault="003B08BA" w:rsidP="008C0F93">
            <w:pPr>
              <w:rPr>
                <w:rFonts w:cs="Arial"/>
              </w:rPr>
            </w:pPr>
          </w:p>
          <w:p w14:paraId="5FCD09AE" w14:textId="2A433A31" w:rsidR="003B08BA" w:rsidRDefault="003B08BA" w:rsidP="008C0F93">
            <w:pPr>
              <w:rPr>
                <w:rFonts w:cs="Arial"/>
              </w:rPr>
            </w:pPr>
            <w:r w:rsidRPr="003B08BA">
              <w:rPr>
                <w:rFonts w:cs="Arial"/>
              </w:rPr>
              <w:t>Good quality work provides people with income, social interaction, and a sense of fulfilment and purpose among many other benefits. It’s known that work has a positive effect on people’s physical and mental health, and their wellbeing, while unemployment often has a harmful impac</w:t>
            </w:r>
            <w:r>
              <w:rPr>
                <w:rFonts w:cs="Arial"/>
              </w:rPr>
              <w:t xml:space="preserve">t. </w:t>
            </w:r>
          </w:p>
          <w:p w14:paraId="113AE948" w14:textId="77777777" w:rsidR="003B08BA" w:rsidRDefault="003B08BA" w:rsidP="008C0F93">
            <w:pPr>
              <w:rPr>
                <w:rFonts w:cs="Arial"/>
              </w:rPr>
            </w:pPr>
          </w:p>
          <w:p w14:paraId="0BF363A7" w14:textId="3C65BD69" w:rsidR="00640819" w:rsidRDefault="003B08BA" w:rsidP="003B08BA">
            <w:pPr>
              <w:rPr>
                <w:rFonts w:cs="Arial"/>
              </w:rPr>
            </w:pPr>
            <w:r w:rsidRPr="003B08BA">
              <w:rPr>
                <w:rFonts w:cs="Arial"/>
              </w:rPr>
              <w:t>Connect to Work will take a collaborative, locally led approach to tackling ‘Hidden Unemployment’</w:t>
            </w:r>
            <w:r>
              <w:rPr>
                <w:rFonts w:cs="Arial"/>
              </w:rPr>
              <w:t xml:space="preserve"> across Norfolk</w:t>
            </w:r>
            <w:r w:rsidR="004A3F34">
              <w:rPr>
                <w:rFonts w:cs="Arial"/>
              </w:rPr>
              <w:t xml:space="preserve">. The </w:t>
            </w:r>
            <w:r>
              <w:rPr>
                <w:rFonts w:cs="Arial"/>
              </w:rPr>
              <w:t xml:space="preserve">aim for the project </w:t>
            </w:r>
            <w:r w:rsidR="004A3F34">
              <w:rPr>
                <w:rFonts w:cs="Arial"/>
              </w:rPr>
              <w:t xml:space="preserve">is </w:t>
            </w:r>
            <w:r w:rsidRPr="003B08BA">
              <w:rPr>
                <w:rFonts w:cs="Arial"/>
              </w:rPr>
              <w:t>to transform lives</w:t>
            </w:r>
            <w:r>
              <w:rPr>
                <w:rFonts w:cs="Arial"/>
              </w:rPr>
              <w:t xml:space="preserve"> and </w:t>
            </w:r>
            <w:r w:rsidRPr="003B08BA">
              <w:rPr>
                <w:rFonts w:cs="Arial"/>
              </w:rPr>
              <w:t>make a difference for disabled people, people with health conditions and other complex barriers to employment, helping them to get into and on in work.</w:t>
            </w:r>
          </w:p>
          <w:p w14:paraId="1D9437C0" w14:textId="65554BAD" w:rsidR="00430E49" w:rsidRPr="00D939F1" w:rsidRDefault="00430E49" w:rsidP="003B08BA">
            <w:pPr>
              <w:rPr>
                <w:rFonts w:cs="Arial"/>
              </w:rPr>
            </w:pPr>
          </w:p>
        </w:tc>
      </w:tr>
    </w:tbl>
    <w:p w14:paraId="4653723A" w14:textId="77777777" w:rsidR="0064492C" w:rsidRPr="0040066B" w:rsidRDefault="0064492C" w:rsidP="00976AC2">
      <w:pPr>
        <w:rPr>
          <w:rFonts w:cs="Arial"/>
          <w:b/>
        </w:rPr>
      </w:pPr>
    </w:p>
    <w:tbl>
      <w:tblPr>
        <w:tblStyle w:val="TableGrid"/>
        <w:tblW w:w="9634" w:type="dxa"/>
        <w:tblLayout w:type="fixed"/>
        <w:tblLook w:val="01E0" w:firstRow="1" w:lastRow="1" w:firstColumn="1" w:lastColumn="1" w:noHBand="0" w:noVBand="0"/>
      </w:tblPr>
      <w:tblGrid>
        <w:gridCol w:w="9634"/>
      </w:tblGrid>
      <w:tr w:rsidR="00F01474" w:rsidRPr="00D939F1" w14:paraId="03EE4EAD" w14:textId="77777777" w:rsidTr="00077C31">
        <w:trPr>
          <w:trHeight w:val="567"/>
        </w:trPr>
        <w:tc>
          <w:tcPr>
            <w:tcW w:w="5000" w:type="pct"/>
          </w:tcPr>
          <w:p w14:paraId="0A51EC99" w14:textId="4EA7B311" w:rsidR="00F01474" w:rsidRPr="00D939F1" w:rsidRDefault="00926DFB" w:rsidP="00F2063D">
            <w:pPr>
              <w:rPr>
                <w:rFonts w:cs="Arial"/>
                <w:b/>
              </w:rPr>
            </w:pPr>
            <w:r w:rsidRPr="00D939F1">
              <w:rPr>
                <w:rFonts w:cs="Arial"/>
                <w:b/>
              </w:rPr>
              <w:lastRenderedPageBreak/>
              <w:t>A</w:t>
            </w:r>
            <w:r w:rsidR="00F01474" w:rsidRPr="00D939F1">
              <w:rPr>
                <w:rFonts w:cs="Arial"/>
                <w:b/>
              </w:rPr>
              <w:t>ccountabili</w:t>
            </w:r>
            <w:r w:rsidRPr="00D939F1">
              <w:rPr>
                <w:rFonts w:cs="Arial"/>
                <w:b/>
              </w:rPr>
              <w:t>ties</w:t>
            </w:r>
          </w:p>
        </w:tc>
      </w:tr>
      <w:tr w:rsidR="00F318C2" w:rsidRPr="00D939F1" w14:paraId="6B1145A4" w14:textId="77777777" w:rsidTr="00077C31">
        <w:trPr>
          <w:trHeight w:val="567"/>
        </w:trPr>
        <w:tc>
          <w:tcPr>
            <w:tcW w:w="5000" w:type="pct"/>
          </w:tcPr>
          <w:p w14:paraId="030DED89" w14:textId="6C2479CC" w:rsidR="00F318C2" w:rsidRDefault="00E155BF" w:rsidP="00976AC2">
            <w:pPr>
              <w:rPr>
                <w:rFonts w:cs="Arial"/>
                <w:bCs/>
              </w:rPr>
            </w:pPr>
            <w:r w:rsidRPr="00A36BC8">
              <w:rPr>
                <w:rFonts w:cs="Arial"/>
                <w:bCs/>
              </w:rPr>
              <w:t>To deliver job coaching using the 5 stage Supported Employment model: Customer Engagement</w:t>
            </w:r>
            <w:r w:rsidR="00F1787E">
              <w:rPr>
                <w:rFonts w:cs="Arial"/>
                <w:bCs/>
              </w:rPr>
              <w:t xml:space="preserve">, </w:t>
            </w:r>
            <w:r w:rsidRPr="00A36BC8">
              <w:rPr>
                <w:rFonts w:cs="Arial"/>
                <w:bCs/>
              </w:rPr>
              <w:t>Vocational profiling, Employer Engagement, Job Matching</w:t>
            </w:r>
            <w:r w:rsidR="00580343">
              <w:rPr>
                <w:rFonts w:cs="Arial"/>
                <w:bCs/>
              </w:rPr>
              <w:t xml:space="preserve"> and</w:t>
            </w:r>
            <w:r w:rsidRPr="00A36BC8">
              <w:rPr>
                <w:rFonts w:cs="Arial"/>
                <w:bCs/>
              </w:rPr>
              <w:t xml:space="preserve"> In-Work Support</w:t>
            </w:r>
            <w:r w:rsidR="00580343">
              <w:rPr>
                <w:rFonts w:cs="Arial"/>
                <w:bCs/>
              </w:rPr>
              <w:t>/</w:t>
            </w:r>
            <w:r w:rsidRPr="00A36BC8">
              <w:rPr>
                <w:rFonts w:cs="Arial"/>
                <w:bCs/>
              </w:rPr>
              <w:t>Career Development.</w:t>
            </w:r>
          </w:p>
          <w:p w14:paraId="684CF2F3" w14:textId="79E17E36" w:rsidR="00430E49" w:rsidRPr="00A36BC8" w:rsidRDefault="00430E49" w:rsidP="00976AC2">
            <w:pPr>
              <w:rPr>
                <w:rFonts w:cs="Arial"/>
                <w:bCs/>
              </w:rPr>
            </w:pPr>
          </w:p>
        </w:tc>
      </w:tr>
      <w:tr w:rsidR="00F318C2" w:rsidRPr="00D939F1" w14:paraId="561DCA19" w14:textId="77777777" w:rsidTr="00077C31">
        <w:trPr>
          <w:trHeight w:val="567"/>
        </w:trPr>
        <w:tc>
          <w:tcPr>
            <w:tcW w:w="5000" w:type="pct"/>
          </w:tcPr>
          <w:p w14:paraId="673FD622" w14:textId="77777777" w:rsidR="00F318C2" w:rsidRDefault="00A36BC8" w:rsidP="00976AC2">
            <w:pPr>
              <w:rPr>
                <w:rFonts w:cs="Arial"/>
                <w:bCs/>
              </w:rPr>
            </w:pPr>
            <w:r w:rsidRPr="00A36BC8">
              <w:rPr>
                <w:rFonts w:cs="Arial"/>
                <w:bCs/>
              </w:rPr>
              <w:t xml:space="preserve">Efficiently manage and progress a cohort of individuals in to paid employment who meet the eligibility requirements of the </w:t>
            </w:r>
            <w:r>
              <w:rPr>
                <w:rFonts w:cs="Arial"/>
                <w:bCs/>
              </w:rPr>
              <w:t>IPS</w:t>
            </w:r>
            <w:r w:rsidRPr="00A36BC8">
              <w:rPr>
                <w:rFonts w:cs="Arial"/>
                <w:bCs/>
              </w:rPr>
              <w:t xml:space="preserve"> project</w:t>
            </w:r>
            <w:r>
              <w:rPr>
                <w:rFonts w:cs="Arial"/>
                <w:bCs/>
              </w:rPr>
              <w:t xml:space="preserve"> theme</w:t>
            </w:r>
            <w:r w:rsidRPr="00A36BC8">
              <w:rPr>
                <w:rFonts w:cs="Arial"/>
                <w:bCs/>
              </w:rPr>
              <w:t>, by utilising effective caseload management and associate caseload management tools.</w:t>
            </w:r>
          </w:p>
          <w:p w14:paraId="10A99DF7" w14:textId="32837573" w:rsidR="00430E49" w:rsidRPr="00A36BC8" w:rsidRDefault="00430E49" w:rsidP="00976AC2">
            <w:pPr>
              <w:rPr>
                <w:rFonts w:cs="Arial"/>
                <w:bCs/>
              </w:rPr>
            </w:pPr>
          </w:p>
        </w:tc>
      </w:tr>
      <w:tr w:rsidR="00F318C2" w:rsidRPr="00D939F1" w14:paraId="36F1310E" w14:textId="77777777" w:rsidTr="00077C31">
        <w:trPr>
          <w:trHeight w:val="567"/>
        </w:trPr>
        <w:tc>
          <w:tcPr>
            <w:tcW w:w="5000" w:type="pct"/>
          </w:tcPr>
          <w:p w14:paraId="7C115AE0" w14:textId="77777777" w:rsidR="00F318C2" w:rsidRDefault="004A0A35" w:rsidP="00976AC2">
            <w:pPr>
              <w:rPr>
                <w:rFonts w:cs="Arial"/>
                <w:bCs/>
              </w:rPr>
            </w:pPr>
            <w:r w:rsidRPr="004A0A35">
              <w:rPr>
                <w:rFonts w:cs="Arial"/>
                <w:bCs/>
              </w:rPr>
              <w:t>Meet and support clients to understand their key skills, aspirations and goals through completing a Vocational Profile and produce an Action Plan to help them obtain and sustain competitive employment.  This includes support with their job search, CV production, application forms, interview techniques and career development.</w:t>
            </w:r>
          </w:p>
          <w:p w14:paraId="4FDEF1DB" w14:textId="2A99AE0E" w:rsidR="00430E49" w:rsidRPr="00E53BF2" w:rsidRDefault="00430E49" w:rsidP="00976AC2">
            <w:pPr>
              <w:rPr>
                <w:rFonts w:cs="Arial"/>
                <w:bCs/>
              </w:rPr>
            </w:pPr>
          </w:p>
        </w:tc>
      </w:tr>
      <w:tr w:rsidR="00F318C2" w:rsidRPr="00D939F1" w14:paraId="6B0299AC" w14:textId="77777777" w:rsidTr="00077C31">
        <w:trPr>
          <w:trHeight w:val="567"/>
        </w:trPr>
        <w:tc>
          <w:tcPr>
            <w:tcW w:w="5000" w:type="pct"/>
          </w:tcPr>
          <w:p w14:paraId="439F96C5" w14:textId="77777777" w:rsidR="00F318C2" w:rsidRDefault="00522B15" w:rsidP="00976AC2">
            <w:pPr>
              <w:rPr>
                <w:rFonts w:cs="Arial"/>
                <w:bCs/>
              </w:rPr>
            </w:pPr>
            <w:r w:rsidRPr="00636240">
              <w:rPr>
                <w:rFonts w:cs="Arial"/>
                <w:bCs/>
              </w:rPr>
              <w:t>Develop relationships with a variety of groups, services and organisations to promote Connect to Work, participant recruitment and the benefits of employment generally, to help working age adults find appropriate employment options.</w:t>
            </w:r>
          </w:p>
          <w:p w14:paraId="5DF3BF66" w14:textId="15A5EBDE" w:rsidR="00430E49" w:rsidRPr="00636240" w:rsidRDefault="00430E49" w:rsidP="00976AC2">
            <w:pPr>
              <w:rPr>
                <w:rFonts w:cs="Arial"/>
                <w:bCs/>
              </w:rPr>
            </w:pPr>
          </w:p>
        </w:tc>
      </w:tr>
      <w:tr w:rsidR="00F318C2" w:rsidRPr="00D939F1" w14:paraId="4F21F1F5" w14:textId="77777777" w:rsidTr="00077C31">
        <w:trPr>
          <w:trHeight w:val="567"/>
        </w:trPr>
        <w:tc>
          <w:tcPr>
            <w:tcW w:w="5000" w:type="pct"/>
          </w:tcPr>
          <w:p w14:paraId="19DBF6FB" w14:textId="77777777" w:rsidR="00F318C2" w:rsidRDefault="00987AC7" w:rsidP="00976AC2">
            <w:pPr>
              <w:rPr>
                <w:rFonts w:cs="Arial"/>
                <w:bCs/>
              </w:rPr>
            </w:pPr>
            <w:r w:rsidRPr="00636240">
              <w:rPr>
                <w:rFonts w:cs="Arial"/>
                <w:bCs/>
              </w:rPr>
              <w:t xml:space="preserve">Advocate on behalf of the person with prospective employers as necessary, aiming to identify work solutions that will overcome or maximise opportunities within the workplace.  This will also be through partnership working with the </w:t>
            </w:r>
            <w:r w:rsidR="00636240" w:rsidRPr="00636240">
              <w:rPr>
                <w:rFonts w:cs="Arial"/>
                <w:bCs/>
              </w:rPr>
              <w:t>CTW central t</w:t>
            </w:r>
            <w:r w:rsidRPr="00636240">
              <w:rPr>
                <w:rFonts w:cs="Arial"/>
                <w:bCs/>
              </w:rPr>
              <w:t xml:space="preserve">eam who will </w:t>
            </w:r>
            <w:r w:rsidR="00636240" w:rsidRPr="00636240">
              <w:rPr>
                <w:rFonts w:cs="Arial"/>
                <w:bCs/>
              </w:rPr>
              <w:t>support in</w:t>
            </w:r>
            <w:r w:rsidRPr="00636240">
              <w:rPr>
                <w:rFonts w:cs="Arial"/>
                <w:bCs/>
              </w:rPr>
              <w:t xml:space="preserve"> identifying employment opportunities.</w:t>
            </w:r>
          </w:p>
          <w:p w14:paraId="5DCE51B8" w14:textId="51FB9248" w:rsidR="00430E49" w:rsidRPr="00636240" w:rsidRDefault="00430E49" w:rsidP="00976AC2">
            <w:pPr>
              <w:rPr>
                <w:rFonts w:cs="Arial"/>
                <w:bCs/>
              </w:rPr>
            </w:pPr>
          </w:p>
        </w:tc>
      </w:tr>
      <w:tr w:rsidR="00F318C2" w:rsidRPr="00D939F1" w14:paraId="5ACDAEDA" w14:textId="77777777" w:rsidTr="00077C31">
        <w:trPr>
          <w:trHeight w:val="567"/>
        </w:trPr>
        <w:tc>
          <w:tcPr>
            <w:tcW w:w="5000" w:type="pct"/>
          </w:tcPr>
          <w:p w14:paraId="2F9F8694" w14:textId="77777777" w:rsidR="00F318C2" w:rsidRDefault="006165C1" w:rsidP="00976AC2">
            <w:pPr>
              <w:rPr>
                <w:rFonts w:cs="Arial"/>
                <w:bCs/>
              </w:rPr>
            </w:pPr>
            <w:r w:rsidRPr="00D74894">
              <w:rPr>
                <w:rFonts w:cs="Arial"/>
                <w:bCs/>
              </w:rPr>
              <w:t>Increase employer awareness of the implications under the Equality Act 2010 to make reasonable adjustments.</w:t>
            </w:r>
          </w:p>
          <w:p w14:paraId="644C3658" w14:textId="18E2AAAF" w:rsidR="00430E49" w:rsidRPr="00D74894" w:rsidRDefault="00430E49" w:rsidP="00976AC2">
            <w:pPr>
              <w:rPr>
                <w:rFonts w:cs="Arial"/>
                <w:bCs/>
              </w:rPr>
            </w:pPr>
          </w:p>
        </w:tc>
      </w:tr>
      <w:tr w:rsidR="00F318C2" w:rsidRPr="00D939F1" w14:paraId="327D0320" w14:textId="77777777" w:rsidTr="00077C31">
        <w:trPr>
          <w:trHeight w:val="567"/>
        </w:trPr>
        <w:tc>
          <w:tcPr>
            <w:tcW w:w="5000" w:type="pct"/>
          </w:tcPr>
          <w:p w14:paraId="4B7DCADB" w14:textId="77777777" w:rsidR="00F318C2" w:rsidRDefault="000E337E" w:rsidP="00976AC2">
            <w:pPr>
              <w:rPr>
                <w:rFonts w:cs="Arial"/>
                <w:bCs/>
              </w:rPr>
            </w:pPr>
            <w:r w:rsidRPr="00D74894">
              <w:rPr>
                <w:rFonts w:cs="Arial"/>
                <w:bCs/>
              </w:rPr>
              <w:t>Build relationships with colleagues in clinical teams to engage and generate referrals and create collaborative working partnerships with clinical staff (promoting employment as a positive intervention in the recovery journey).</w:t>
            </w:r>
          </w:p>
          <w:p w14:paraId="1FB9B5B7" w14:textId="59A327A7" w:rsidR="00430E49" w:rsidRPr="00D74894" w:rsidRDefault="00430E49" w:rsidP="00976AC2">
            <w:pPr>
              <w:rPr>
                <w:rFonts w:cs="Arial"/>
                <w:bCs/>
              </w:rPr>
            </w:pPr>
          </w:p>
        </w:tc>
      </w:tr>
      <w:tr w:rsidR="00F318C2" w:rsidRPr="00D939F1" w14:paraId="392DAC61" w14:textId="77777777" w:rsidTr="00077C31">
        <w:trPr>
          <w:trHeight w:val="567"/>
        </w:trPr>
        <w:tc>
          <w:tcPr>
            <w:tcW w:w="5000" w:type="pct"/>
          </w:tcPr>
          <w:p w14:paraId="1AD880CB" w14:textId="77777777" w:rsidR="00F318C2" w:rsidRDefault="001566DE" w:rsidP="00976AC2">
            <w:pPr>
              <w:rPr>
                <w:rFonts w:cs="Arial"/>
                <w:bCs/>
              </w:rPr>
            </w:pPr>
            <w:r w:rsidRPr="00D74894">
              <w:rPr>
                <w:rFonts w:cs="Arial"/>
                <w:bCs/>
              </w:rPr>
              <w:t>Once employment has been secured continue to provide quality service through conducting regular visits, effective monitoring and in-work support to clients and employers to help sustain employment.</w:t>
            </w:r>
          </w:p>
          <w:p w14:paraId="00EDADB5" w14:textId="103C790E" w:rsidR="00430E49" w:rsidRPr="00D74894" w:rsidRDefault="00430E49" w:rsidP="00976AC2">
            <w:pPr>
              <w:rPr>
                <w:rFonts w:cs="Arial"/>
                <w:bCs/>
              </w:rPr>
            </w:pPr>
          </w:p>
        </w:tc>
      </w:tr>
      <w:tr w:rsidR="00F01474" w:rsidRPr="00D939F1" w14:paraId="766A3571" w14:textId="77777777" w:rsidTr="00077C31">
        <w:tc>
          <w:tcPr>
            <w:tcW w:w="5000" w:type="pct"/>
          </w:tcPr>
          <w:p w14:paraId="49E78A1D" w14:textId="77777777" w:rsidR="00F01474" w:rsidRDefault="00D2136C" w:rsidP="00976AC2">
            <w:pPr>
              <w:rPr>
                <w:rFonts w:cs="Arial"/>
                <w:bCs/>
              </w:rPr>
            </w:pPr>
            <w:r w:rsidRPr="00D74894">
              <w:rPr>
                <w:rFonts w:cs="Arial"/>
                <w:bCs/>
              </w:rPr>
              <w:t xml:space="preserve">Ensure that safeguarding and wellbeing </w:t>
            </w:r>
            <w:r w:rsidR="003E488D" w:rsidRPr="00D74894">
              <w:rPr>
                <w:rFonts w:cs="Arial"/>
                <w:bCs/>
              </w:rPr>
              <w:t xml:space="preserve">practices are carried out in support of project participants. </w:t>
            </w:r>
          </w:p>
          <w:p w14:paraId="283AE4DA" w14:textId="73DF282E" w:rsidR="00430E49" w:rsidRPr="00D74894" w:rsidRDefault="00430E49" w:rsidP="00976AC2">
            <w:pPr>
              <w:rPr>
                <w:rFonts w:cs="Arial"/>
                <w:bCs/>
              </w:rPr>
            </w:pPr>
          </w:p>
        </w:tc>
      </w:tr>
    </w:tbl>
    <w:p w14:paraId="69F7783A" w14:textId="77777777" w:rsidR="00F073E6" w:rsidRPr="004B21CB" w:rsidRDefault="00F073E6" w:rsidP="00976AC2">
      <w:pPr>
        <w:rPr>
          <w:rFonts w:cs="Arial"/>
          <w:b/>
          <w:sz w:val="28"/>
          <w:szCs w:val="28"/>
        </w:rPr>
      </w:pPr>
    </w:p>
    <w:p w14:paraId="04848A5D" w14:textId="38CF30BB" w:rsidR="00B9502F" w:rsidRPr="004B21CB" w:rsidRDefault="008D18E4" w:rsidP="00976AC2">
      <w:pPr>
        <w:rPr>
          <w:rFonts w:cs="Arial"/>
          <w:b/>
          <w:sz w:val="28"/>
          <w:szCs w:val="28"/>
        </w:rPr>
      </w:pPr>
      <w:r w:rsidRPr="004B21CB">
        <w:rPr>
          <w:rFonts w:cs="Arial"/>
          <w:b/>
          <w:sz w:val="28"/>
          <w:szCs w:val="28"/>
        </w:rPr>
        <w:t>P</w:t>
      </w:r>
      <w:r w:rsidR="00F97481" w:rsidRPr="004B21CB">
        <w:rPr>
          <w:rFonts w:cs="Arial"/>
          <w:b/>
          <w:sz w:val="28"/>
          <w:szCs w:val="28"/>
        </w:rPr>
        <w:t>erson specification</w:t>
      </w:r>
    </w:p>
    <w:p w14:paraId="2632D976" w14:textId="77777777" w:rsidR="008D18E4" w:rsidRPr="0040066B" w:rsidRDefault="008D18E4" w:rsidP="00976AC2">
      <w:pPr>
        <w:rPr>
          <w:rFonts w:cs="Arial"/>
          <w:b/>
        </w:rPr>
      </w:pPr>
    </w:p>
    <w:tbl>
      <w:tblPr>
        <w:tblStyle w:val="TableGrid"/>
        <w:tblW w:w="5000" w:type="pct"/>
        <w:tblLayout w:type="fixed"/>
        <w:tblLook w:val="01E0" w:firstRow="1" w:lastRow="1" w:firstColumn="1" w:lastColumn="1" w:noHBand="0" w:noVBand="0"/>
      </w:tblPr>
      <w:tblGrid>
        <w:gridCol w:w="6516"/>
        <w:gridCol w:w="1607"/>
        <w:gridCol w:w="1505"/>
      </w:tblGrid>
      <w:tr w:rsidR="00417857" w:rsidRPr="00D939F1" w14:paraId="3F170EDF" w14:textId="77777777" w:rsidTr="004B21CB">
        <w:trPr>
          <w:trHeight w:val="20"/>
        </w:trPr>
        <w:tc>
          <w:tcPr>
            <w:tcW w:w="6516" w:type="dxa"/>
          </w:tcPr>
          <w:p w14:paraId="77F5EA34" w14:textId="3F65EBC9" w:rsidR="009934E4" w:rsidRPr="00D939F1" w:rsidRDefault="00205B3F" w:rsidP="008129F4">
            <w:pPr>
              <w:rPr>
                <w:rFonts w:cs="Arial"/>
                <w:b/>
              </w:rPr>
            </w:pPr>
            <w:r>
              <w:rPr>
                <w:rFonts w:cs="Arial"/>
                <w:b/>
              </w:rPr>
              <w:t>Skills and abilities</w:t>
            </w:r>
            <w:r w:rsidR="00B85310" w:rsidRPr="00D939F1">
              <w:rPr>
                <w:rFonts w:cs="Arial"/>
                <w:b/>
              </w:rPr>
              <w:t>:</w:t>
            </w:r>
          </w:p>
        </w:tc>
        <w:tc>
          <w:tcPr>
            <w:tcW w:w="1607" w:type="dxa"/>
          </w:tcPr>
          <w:p w14:paraId="3026CD2B" w14:textId="455D4605" w:rsidR="009934E4" w:rsidRPr="00D939F1" w:rsidRDefault="00B85310" w:rsidP="004E7328">
            <w:pPr>
              <w:jc w:val="center"/>
              <w:rPr>
                <w:rFonts w:cs="Arial"/>
                <w:b/>
              </w:rPr>
            </w:pPr>
            <w:r>
              <w:rPr>
                <w:rFonts w:cs="Arial"/>
                <w:b/>
              </w:rPr>
              <w:t xml:space="preserve">Essential </w:t>
            </w:r>
            <w:r w:rsidR="00CB17D5">
              <w:rPr>
                <w:rFonts w:cs="Arial"/>
                <w:b/>
              </w:rPr>
              <w:t>(</w:t>
            </w:r>
            <w:r w:rsidR="00417857">
              <w:rPr>
                <w:rFonts w:ascii="Wingdings" w:eastAsia="Wingdings" w:hAnsi="Wingdings" w:cs="Wingdings"/>
                <w:b/>
              </w:rPr>
              <w:t>ü</w:t>
            </w:r>
            <w:r w:rsidR="00CB17D5">
              <w:rPr>
                <w:rFonts w:cs="Arial"/>
                <w:b/>
              </w:rPr>
              <w:t>)</w:t>
            </w:r>
          </w:p>
        </w:tc>
        <w:tc>
          <w:tcPr>
            <w:tcW w:w="1505" w:type="dxa"/>
          </w:tcPr>
          <w:p w14:paraId="0165F28F" w14:textId="016BA18F" w:rsidR="009934E4" w:rsidRPr="00D939F1" w:rsidRDefault="00B85310" w:rsidP="004E7328">
            <w:pPr>
              <w:jc w:val="center"/>
              <w:rPr>
                <w:rFonts w:cs="Arial"/>
                <w:b/>
              </w:rPr>
            </w:pPr>
            <w:r>
              <w:rPr>
                <w:rFonts w:cs="Arial"/>
                <w:b/>
              </w:rPr>
              <w:t>Desirable</w:t>
            </w:r>
            <w:r w:rsidR="00417857">
              <w:rPr>
                <w:rFonts w:cs="Arial"/>
                <w:b/>
              </w:rPr>
              <w:t xml:space="preserve"> </w:t>
            </w:r>
            <w:r w:rsidR="00CB17D5">
              <w:rPr>
                <w:rFonts w:cs="Arial"/>
                <w:b/>
              </w:rPr>
              <w:t>(</w:t>
            </w:r>
            <w:r w:rsidR="00417857">
              <w:rPr>
                <w:rFonts w:ascii="Wingdings" w:eastAsia="Wingdings" w:hAnsi="Wingdings" w:cs="Wingdings"/>
                <w:b/>
              </w:rPr>
              <w:t>ü</w:t>
            </w:r>
            <w:r w:rsidR="00CB17D5">
              <w:rPr>
                <w:rFonts w:cs="Arial"/>
                <w:b/>
              </w:rPr>
              <w:t>)</w:t>
            </w:r>
          </w:p>
        </w:tc>
      </w:tr>
      <w:tr w:rsidR="00B85310" w:rsidRPr="00D939F1" w14:paraId="48473A5B" w14:textId="77777777" w:rsidTr="004B21CB">
        <w:trPr>
          <w:trHeight w:val="20"/>
        </w:trPr>
        <w:tc>
          <w:tcPr>
            <w:tcW w:w="6516" w:type="dxa"/>
          </w:tcPr>
          <w:p w14:paraId="3B49F781" w14:textId="77777777" w:rsidR="00B85310" w:rsidRPr="00F766AC" w:rsidRDefault="00B85310" w:rsidP="008129F4">
            <w:pPr>
              <w:rPr>
                <w:rFonts w:cs="Arial"/>
                <w:bCs/>
              </w:rPr>
            </w:pPr>
          </w:p>
          <w:p w14:paraId="38AF125F" w14:textId="7375283B" w:rsidR="008C3C14" w:rsidRPr="00F766AC" w:rsidRDefault="008C3C14" w:rsidP="008C3C14">
            <w:pPr>
              <w:rPr>
                <w:rFonts w:cs="Arial"/>
                <w:bCs/>
              </w:rPr>
            </w:pPr>
            <w:r w:rsidRPr="00F766AC">
              <w:rPr>
                <w:rFonts w:cs="Arial"/>
                <w:bCs/>
              </w:rPr>
              <w:t>Good motivational, communication and listening skills</w:t>
            </w:r>
          </w:p>
          <w:p w14:paraId="50DE8E33" w14:textId="77777777" w:rsidR="008C3C14" w:rsidRPr="00F766AC" w:rsidRDefault="008C3C14" w:rsidP="008C3C14">
            <w:pPr>
              <w:rPr>
                <w:rFonts w:cs="Arial"/>
                <w:bCs/>
              </w:rPr>
            </w:pPr>
          </w:p>
          <w:p w14:paraId="2F609A22" w14:textId="2DA5E8BE" w:rsidR="008C3C14" w:rsidRPr="00F766AC" w:rsidRDefault="008C3C14" w:rsidP="008C3C14">
            <w:pPr>
              <w:rPr>
                <w:rFonts w:cs="Arial"/>
                <w:bCs/>
              </w:rPr>
            </w:pPr>
            <w:r w:rsidRPr="00F766AC">
              <w:rPr>
                <w:rFonts w:cs="Arial"/>
                <w:bCs/>
              </w:rPr>
              <w:t>Outstanding interpersonal skills and ability to build rapport with a range of people</w:t>
            </w:r>
          </w:p>
          <w:p w14:paraId="58517AC3" w14:textId="77777777" w:rsidR="008C3C14" w:rsidRPr="00F766AC" w:rsidRDefault="008C3C14" w:rsidP="008C3C14">
            <w:pPr>
              <w:rPr>
                <w:rFonts w:cs="Arial"/>
                <w:bCs/>
              </w:rPr>
            </w:pPr>
          </w:p>
          <w:p w14:paraId="2805D91A" w14:textId="2648F7A7" w:rsidR="008C3C14" w:rsidRPr="00F766AC" w:rsidRDefault="008C3C14" w:rsidP="008C3C14">
            <w:pPr>
              <w:rPr>
                <w:rFonts w:cs="Arial"/>
                <w:bCs/>
              </w:rPr>
            </w:pPr>
            <w:r w:rsidRPr="00F766AC">
              <w:rPr>
                <w:rFonts w:cs="Arial"/>
                <w:bCs/>
              </w:rPr>
              <w:t>Good organisational ability</w:t>
            </w:r>
          </w:p>
          <w:p w14:paraId="2135ED95" w14:textId="77777777" w:rsidR="008C3C14" w:rsidRPr="00F766AC" w:rsidRDefault="008C3C14" w:rsidP="008C3C14">
            <w:pPr>
              <w:rPr>
                <w:rFonts w:cs="Arial"/>
                <w:bCs/>
              </w:rPr>
            </w:pPr>
          </w:p>
          <w:p w14:paraId="0366909E" w14:textId="7423EC87" w:rsidR="008C3C14" w:rsidRPr="00F766AC" w:rsidRDefault="008C3C14" w:rsidP="008C3C14">
            <w:pPr>
              <w:rPr>
                <w:rFonts w:cs="Arial"/>
                <w:bCs/>
              </w:rPr>
            </w:pPr>
            <w:r w:rsidRPr="00F766AC">
              <w:rPr>
                <w:rFonts w:cs="Arial"/>
                <w:bCs/>
              </w:rPr>
              <w:t>Natural ability to build close, trusting and productive relationships with people</w:t>
            </w:r>
          </w:p>
          <w:p w14:paraId="12C99BF1" w14:textId="77777777" w:rsidR="008C3C14" w:rsidRPr="00F766AC" w:rsidRDefault="008C3C14" w:rsidP="008C3C14">
            <w:pPr>
              <w:rPr>
                <w:rFonts w:cs="Arial"/>
                <w:bCs/>
              </w:rPr>
            </w:pPr>
          </w:p>
          <w:p w14:paraId="10C6AC88" w14:textId="1569B175" w:rsidR="008C3C14" w:rsidRPr="00F766AC" w:rsidRDefault="008C3C14" w:rsidP="008C3C14">
            <w:pPr>
              <w:rPr>
                <w:rFonts w:cs="Arial"/>
                <w:bCs/>
              </w:rPr>
            </w:pPr>
            <w:r w:rsidRPr="00F766AC">
              <w:rPr>
                <w:rFonts w:cs="Arial"/>
                <w:bCs/>
              </w:rPr>
              <w:t xml:space="preserve">Team orientated and </w:t>
            </w:r>
            <w:proofErr w:type="gramStart"/>
            <w:r w:rsidRPr="00F766AC">
              <w:rPr>
                <w:rFonts w:cs="Arial"/>
                <w:bCs/>
              </w:rPr>
              <w:t>works</w:t>
            </w:r>
            <w:proofErr w:type="gramEnd"/>
            <w:r w:rsidRPr="00F766AC">
              <w:rPr>
                <w:rFonts w:cs="Arial"/>
                <w:bCs/>
              </w:rPr>
              <w:t xml:space="preserve"> collaboratively within a mixed-disciplinary team</w:t>
            </w:r>
          </w:p>
          <w:p w14:paraId="2B9BC076" w14:textId="77777777" w:rsidR="008C3C14" w:rsidRPr="00F766AC" w:rsidRDefault="008C3C14" w:rsidP="008C3C14">
            <w:pPr>
              <w:rPr>
                <w:rFonts w:cs="Arial"/>
                <w:bCs/>
              </w:rPr>
            </w:pPr>
          </w:p>
          <w:p w14:paraId="30D59A8D" w14:textId="760E0F48" w:rsidR="008C3C14" w:rsidRPr="00F766AC" w:rsidRDefault="008C3C14" w:rsidP="008C3C14">
            <w:pPr>
              <w:rPr>
                <w:rFonts w:cs="Arial"/>
                <w:bCs/>
              </w:rPr>
            </w:pPr>
            <w:r w:rsidRPr="00F766AC">
              <w:rPr>
                <w:rFonts w:cs="Arial"/>
                <w:bCs/>
              </w:rPr>
              <w:t>Ability to work independently and use initiative to develop and promote a service</w:t>
            </w:r>
          </w:p>
          <w:p w14:paraId="3ECEF90C" w14:textId="77777777" w:rsidR="008C3C14" w:rsidRPr="00F766AC" w:rsidRDefault="008C3C14" w:rsidP="008C3C14">
            <w:pPr>
              <w:rPr>
                <w:rFonts w:cs="Arial"/>
                <w:bCs/>
              </w:rPr>
            </w:pPr>
          </w:p>
          <w:p w14:paraId="0D96CF18" w14:textId="00FCA9BB" w:rsidR="008C3C14" w:rsidRPr="00F766AC" w:rsidRDefault="008C3C14" w:rsidP="008C3C14">
            <w:pPr>
              <w:rPr>
                <w:rFonts w:cs="Arial"/>
                <w:bCs/>
              </w:rPr>
            </w:pPr>
            <w:r w:rsidRPr="00F766AC">
              <w:rPr>
                <w:rFonts w:cs="Arial"/>
                <w:bCs/>
              </w:rPr>
              <w:t>Non-judgemental and trustworthy</w:t>
            </w:r>
          </w:p>
          <w:p w14:paraId="5AEBFD72" w14:textId="77777777" w:rsidR="008C3C14" w:rsidRDefault="008C3C14" w:rsidP="008C3C14">
            <w:pPr>
              <w:rPr>
                <w:rFonts w:cs="Arial"/>
                <w:b/>
              </w:rPr>
            </w:pPr>
          </w:p>
          <w:p w14:paraId="6D938436" w14:textId="3E83A209" w:rsidR="008C3C14" w:rsidRPr="00F766AC" w:rsidRDefault="008C3C14" w:rsidP="008C3C14">
            <w:pPr>
              <w:rPr>
                <w:rFonts w:cs="Arial"/>
                <w:bCs/>
              </w:rPr>
            </w:pPr>
            <w:r w:rsidRPr="00F766AC">
              <w:rPr>
                <w:rFonts w:cs="Arial"/>
                <w:bCs/>
              </w:rPr>
              <w:t>Empathy with the needs of those with mental health support needs</w:t>
            </w:r>
          </w:p>
          <w:p w14:paraId="3C817270" w14:textId="77777777" w:rsidR="008C3C14" w:rsidRPr="00F766AC" w:rsidRDefault="008C3C14" w:rsidP="008C3C14">
            <w:pPr>
              <w:rPr>
                <w:rFonts w:cs="Arial"/>
                <w:bCs/>
              </w:rPr>
            </w:pPr>
          </w:p>
          <w:p w14:paraId="4F440A2C" w14:textId="73CDE2C4" w:rsidR="008C3C14" w:rsidRPr="00F766AC" w:rsidRDefault="008C3C14" w:rsidP="008C3C14">
            <w:pPr>
              <w:rPr>
                <w:rFonts w:cs="Arial"/>
                <w:bCs/>
              </w:rPr>
            </w:pPr>
            <w:r w:rsidRPr="00F766AC">
              <w:rPr>
                <w:rFonts w:cs="Arial"/>
                <w:bCs/>
              </w:rPr>
              <w:t>Passion and drive to make a positive difference to people's lives</w:t>
            </w:r>
          </w:p>
          <w:p w14:paraId="5D0BA7C4" w14:textId="77777777" w:rsidR="008C3C14" w:rsidRPr="00F766AC" w:rsidRDefault="008C3C14" w:rsidP="008C3C14">
            <w:pPr>
              <w:rPr>
                <w:rFonts w:cs="Arial"/>
                <w:bCs/>
              </w:rPr>
            </w:pPr>
          </w:p>
          <w:p w14:paraId="00470BE3" w14:textId="46198B8E" w:rsidR="008C3C14" w:rsidRPr="00F766AC" w:rsidRDefault="008C3C14" w:rsidP="008C3C14">
            <w:pPr>
              <w:rPr>
                <w:rFonts w:cs="Arial"/>
                <w:bCs/>
              </w:rPr>
            </w:pPr>
            <w:r w:rsidRPr="00F766AC">
              <w:rPr>
                <w:rFonts w:cs="Arial"/>
                <w:bCs/>
              </w:rPr>
              <w:t>Highly motivated with a genuine belief that someone with a mental health condition can find paid employment</w:t>
            </w:r>
          </w:p>
          <w:p w14:paraId="4A1094DA" w14:textId="77777777" w:rsidR="008C3C14" w:rsidRPr="00F766AC" w:rsidRDefault="008C3C14" w:rsidP="008C3C14">
            <w:pPr>
              <w:rPr>
                <w:rFonts w:cs="Arial"/>
                <w:bCs/>
              </w:rPr>
            </w:pPr>
          </w:p>
          <w:p w14:paraId="409FA508" w14:textId="55CA3999" w:rsidR="008C3C14" w:rsidRPr="00F766AC" w:rsidRDefault="008C3C14" w:rsidP="008C3C14">
            <w:pPr>
              <w:rPr>
                <w:rFonts w:cs="Arial"/>
                <w:bCs/>
              </w:rPr>
            </w:pPr>
            <w:r w:rsidRPr="00F766AC">
              <w:rPr>
                <w:rFonts w:cs="Arial"/>
                <w:bCs/>
              </w:rPr>
              <w:t>Resilient and tenacious to not give up despite setbacks and frustrations</w:t>
            </w:r>
          </w:p>
          <w:p w14:paraId="02B58728" w14:textId="77777777" w:rsidR="008C3C14" w:rsidRPr="00F766AC" w:rsidRDefault="008C3C14" w:rsidP="008C3C14">
            <w:pPr>
              <w:rPr>
                <w:rFonts w:cs="Arial"/>
                <w:bCs/>
              </w:rPr>
            </w:pPr>
          </w:p>
          <w:p w14:paraId="478B0C22" w14:textId="38572865" w:rsidR="008C3C14" w:rsidRPr="00F766AC" w:rsidRDefault="008C3C14" w:rsidP="008C3C14">
            <w:pPr>
              <w:rPr>
                <w:rFonts w:cs="Arial"/>
                <w:bCs/>
              </w:rPr>
            </w:pPr>
            <w:r w:rsidRPr="00F766AC">
              <w:rPr>
                <w:rFonts w:cs="Arial"/>
                <w:bCs/>
              </w:rPr>
              <w:t>Self-aware of personal strengths and weaknesses and actively invest in personal and professional development</w:t>
            </w:r>
          </w:p>
          <w:p w14:paraId="5F47C7F7" w14:textId="77777777" w:rsidR="008C3C14" w:rsidRPr="00F766AC" w:rsidRDefault="008C3C14" w:rsidP="008C3C14">
            <w:pPr>
              <w:rPr>
                <w:rFonts w:cs="Arial"/>
                <w:bCs/>
              </w:rPr>
            </w:pPr>
          </w:p>
          <w:p w14:paraId="4B69E1A5" w14:textId="1DD9540C" w:rsidR="00B85310" w:rsidRPr="00D939F1" w:rsidRDefault="008C3C14" w:rsidP="00F93878">
            <w:pPr>
              <w:rPr>
                <w:rFonts w:cs="Arial"/>
                <w:b/>
              </w:rPr>
            </w:pPr>
            <w:r w:rsidRPr="00F766AC">
              <w:rPr>
                <w:rFonts w:cs="Arial"/>
                <w:bCs/>
              </w:rPr>
              <w:t xml:space="preserve">Willingness to travel within </w:t>
            </w:r>
            <w:r w:rsidR="002F4D84">
              <w:rPr>
                <w:rFonts w:cs="Arial"/>
                <w:bCs/>
              </w:rPr>
              <w:t>a</w:t>
            </w:r>
            <w:r w:rsidR="00C14884">
              <w:rPr>
                <w:rFonts w:cs="Arial"/>
                <w:bCs/>
              </w:rPr>
              <w:t xml:space="preserve"> designated locality</w:t>
            </w:r>
          </w:p>
        </w:tc>
        <w:tc>
          <w:tcPr>
            <w:tcW w:w="1607" w:type="dxa"/>
          </w:tcPr>
          <w:p w14:paraId="72C4AF9C" w14:textId="77777777" w:rsidR="00B85310" w:rsidRDefault="00B85310" w:rsidP="00CA6CA7">
            <w:pPr>
              <w:jc w:val="center"/>
              <w:rPr>
                <w:rFonts w:cs="Arial"/>
                <w:b/>
              </w:rPr>
            </w:pPr>
          </w:p>
          <w:p w14:paraId="016313FF" w14:textId="77777777" w:rsidR="008C3C14" w:rsidRPr="008C3C14" w:rsidRDefault="008C3C14" w:rsidP="00CA6CA7">
            <w:pPr>
              <w:pStyle w:val="ListParagraph"/>
              <w:numPr>
                <w:ilvl w:val="0"/>
                <w:numId w:val="11"/>
              </w:numPr>
              <w:jc w:val="center"/>
              <w:rPr>
                <w:rFonts w:cs="Arial"/>
                <w:b/>
              </w:rPr>
            </w:pPr>
          </w:p>
          <w:p w14:paraId="7453B4C0" w14:textId="77777777" w:rsidR="008C3C14" w:rsidRDefault="008C3C14" w:rsidP="00CA6CA7">
            <w:pPr>
              <w:jc w:val="center"/>
              <w:rPr>
                <w:rFonts w:cs="Arial"/>
                <w:b/>
              </w:rPr>
            </w:pPr>
          </w:p>
          <w:p w14:paraId="15E2B94F" w14:textId="77777777" w:rsidR="008C3C14" w:rsidRPr="00F766AC" w:rsidRDefault="008C3C14" w:rsidP="00CA6CA7">
            <w:pPr>
              <w:pStyle w:val="ListParagraph"/>
              <w:numPr>
                <w:ilvl w:val="0"/>
                <w:numId w:val="11"/>
              </w:numPr>
              <w:jc w:val="center"/>
              <w:rPr>
                <w:rFonts w:cs="Arial"/>
                <w:b/>
              </w:rPr>
            </w:pPr>
          </w:p>
          <w:p w14:paraId="33B828FD" w14:textId="77777777" w:rsidR="008C3C14" w:rsidRDefault="008C3C14" w:rsidP="00CA6CA7">
            <w:pPr>
              <w:jc w:val="center"/>
              <w:rPr>
                <w:rFonts w:cs="Arial"/>
                <w:b/>
              </w:rPr>
            </w:pPr>
          </w:p>
          <w:p w14:paraId="6F1BF160" w14:textId="77777777" w:rsidR="008C3C14" w:rsidRDefault="008C3C14" w:rsidP="00CA6CA7">
            <w:pPr>
              <w:jc w:val="center"/>
              <w:rPr>
                <w:rFonts w:cs="Arial"/>
                <w:b/>
              </w:rPr>
            </w:pPr>
          </w:p>
          <w:p w14:paraId="3069EE42" w14:textId="77777777" w:rsidR="008C3C14" w:rsidRPr="00F766AC" w:rsidRDefault="008C3C14" w:rsidP="00CA6CA7">
            <w:pPr>
              <w:pStyle w:val="ListParagraph"/>
              <w:numPr>
                <w:ilvl w:val="0"/>
                <w:numId w:val="11"/>
              </w:numPr>
              <w:jc w:val="center"/>
              <w:rPr>
                <w:rFonts w:cs="Arial"/>
                <w:b/>
              </w:rPr>
            </w:pPr>
          </w:p>
          <w:p w14:paraId="1CAC471C" w14:textId="77777777" w:rsidR="008C3C14" w:rsidRDefault="008C3C14" w:rsidP="00CA6CA7">
            <w:pPr>
              <w:jc w:val="center"/>
              <w:rPr>
                <w:rFonts w:cs="Arial"/>
                <w:b/>
              </w:rPr>
            </w:pPr>
          </w:p>
          <w:p w14:paraId="1F79DC08" w14:textId="77777777" w:rsidR="008C3C14" w:rsidRPr="00F766AC" w:rsidRDefault="008C3C14" w:rsidP="00CA6CA7">
            <w:pPr>
              <w:pStyle w:val="ListParagraph"/>
              <w:numPr>
                <w:ilvl w:val="0"/>
                <w:numId w:val="11"/>
              </w:numPr>
              <w:jc w:val="center"/>
              <w:rPr>
                <w:rFonts w:cs="Arial"/>
                <w:b/>
              </w:rPr>
            </w:pPr>
          </w:p>
          <w:p w14:paraId="51AAC82B" w14:textId="77777777" w:rsidR="008C3C14" w:rsidRDefault="008C3C14" w:rsidP="00CA6CA7">
            <w:pPr>
              <w:jc w:val="center"/>
              <w:rPr>
                <w:rFonts w:cs="Arial"/>
                <w:b/>
              </w:rPr>
            </w:pPr>
          </w:p>
          <w:p w14:paraId="3D5D6C62" w14:textId="77777777" w:rsidR="008C3C14" w:rsidRDefault="008C3C14" w:rsidP="00CA6CA7">
            <w:pPr>
              <w:jc w:val="center"/>
              <w:rPr>
                <w:rFonts w:cs="Arial"/>
                <w:b/>
              </w:rPr>
            </w:pPr>
          </w:p>
          <w:p w14:paraId="4242F77C" w14:textId="77777777" w:rsidR="008C3C14" w:rsidRPr="00F766AC" w:rsidRDefault="008C3C14" w:rsidP="00CA6CA7">
            <w:pPr>
              <w:pStyle w:val="ListParagraph"/>
              <w:numPr>
                <w:ilvl w:val="0"/>
                <w:numId w:val="11"/>
              </w:numPr>
              <w:jc w:val="center"/>
              <w:rPr>
                <w:rFonts w:cs="Arial"/>
                <w:b/>
              </w:rPr>
            </w:pPr>
          </w:p>
          <w:p w14:paraId="61E7E399" w14:textId="77777777" w:rsidR="008C3C14" w:rsidRDefault="008C3C14" w:rsidP="00CA6CA7">
            <w:pPr>
              <w:jc w:val="center"/>
              <w:rPr>
                <w:rFonts w:cs="Arial"/>
                <w:b/>
              </w:rPr>
            </w:pPr>
          </w:p>
          <w:p w14:paraId="37D269F0" w14:textId="77777777" w:rsidR="008C3C14" w:rsidRDefault="008C3C14" w:rsidP="00CA6CA7">
            <w:pPr>
              <w:jc w:val="center"/>
              <w:rPr>
                <w:rFonts w:cs="Arial"/>
                <w:b/>
              </w:rPr>
            </w:pPr>
          </w:p>
          <w:p w14:paraId="3D1C0121" w14:textId="77777777" w:rsidR="008C3C14" w:rsidRPr="00F766AC" w:rsidRDefault="008C3C14" w:rsidP="00CA6CA7">
            <w:pPr>
              <w:pStyle w:val="ListParagraph"/>
              <w:numPr>
                <w:ilvl w:val="0"/>
                <w:numId w:val="11"/>
              </w:numPr>
              <w:jc w:val="center"/>
              <w:rPr>
                <w:rFonts w:cs="Arial"/>
                <w:b/>
              </w:rPr>
            </w:pPr>
          </w:p>
          <w:p w14:paraId="7BE69A07" w14:textId="77777777" w:rsidR="008C3C14" w:rsidRDefault="008C3C14" w:rsidP="00CA6CA7">
            <w:pPr>
              <w:jc w:val="center"/>
              <w:rPr>
                <w:rFonts w:cs="Arial"/>
                <w:b/>
              </w:rPr>
            </w:pPr>
          </w:p>
          <w:p w14:paraId="7384AEDB" w14:textId="77777777" w:rsidR="008C3C14" w:rsidRDefault="008C3C14" w:rsidP="00CA6CA7">
            <w:pPr>
              <w:jc w:val="center"/>
              <w:rPr>
                <w:rFonts w:cs="Arial"/>
                <w:b/>
              </w:rPr>
            </w:pPr>
          </w:p>
          <w:p w14:paraId="3D69E459" w14:textId="77777777" w:rsidR="008C3C14" w:rsidRPr="00F766AC" w:rsidRDefault="008C3C14" w:rsidP="00CA6CA7">
            <w:pPr>
              <w:pStyle w:val="ListParagraph"/>
              <w:numPr>
                <w:ilvl w:val="0"/>
                <w:numId w:val="11"/>
              </w:numPr>
              <w:jc w:val="center"/>
              <w:rPr>
                <w:rFonts w:cs="Arial"/>
                <w:b/>
              </w:rPr>
            </w:pPr>
          </w:p>
          <w:p w14:paraId="58EF74FD" w14:textId="77777777" w:rsidR="008C3C14" w:rsidRDefault="008C3C14" w:rsidP="00CA6CA7">
            <w:pPr>
              <w:jc w:val="center"/>
              <w:rPr>
                <w:rFonts w:cs="Arial"/>
                <w:b/>
              </w:rPr>
            </w:pPr>
          </w:p>
          <w:p w14:paraId="32BEAE0C" w14:textId="77777777" w:rsidR="008C3C14" w:rsidRPr="00F766AC" w:rsidRDefault="008C3C14" w:rsidP="00CA6CA7">
            <w:pPr>
              <w:pStyle w:val="ListParagraph"/>
              <w:numPr>
                <w:ilvl w:val="0"/>
                <w:numId w:val="11"/>
              </w:numPr>
              <w:jc w:val="center"/>
              <w:rPr>
                <w:rFonts w:cs="Arial"/>
                <w:b/>
              </w:rPr>
            </w:pPr>
          </w:p>
          <w:p w14:paraId="09408458" w14:textId="77777777" w:rsidR="008C3C14" w:rsidRDefault="008C3C14" w:rsidP="00CA6CA7">
            <w:pPr>
              <w:jc w:val="center"/>
              <w:rPr>
                <w:rFonts w:cs="Arial"/>
                <w:b/>
              </w:rPr>
            </w:pPr>
          </w:p>
          <w:p w14:paraId="2E52AB11" w14:textId="77777777" w:rsidR="008C3C14" w:rsidRDefault="008C3C14" w:rsidP="00CA6CA7">
            <w:pPr>
              <w:jc w:val="center"/>
              <w:rPr>
                <w:rFonts w:cs="Arial"/>
                <w:b/>
              </w:rPr>
            </w:pPr>
          </w:p>
          <w:p w14:paraId="342D44EC" w14:textId="77777777" w:rsidR="008C3C14" w:rsidRPr="00FF0AFC" w:rsidRDefault="008C3C14" w:rsidP="00CA6CA7">
            <w:pPr>
              <w:pStyle w:val="ListParagraph"/>
              <w:numPr>
                <w:ilvl w:val="0"/>
                <w:numId w:val="11"/>
              </w:numPr>
              <w:jc w:val="center"/>
              <w:rPr>
                <w:rFonts w:cs="Arial"/>
                <w:b/>
              </w:rPr>
            </w:pPr>
          </w:p>
          <w:p w14:paraId="3E7EA6E4" w14:textId="77777777" w:rsidR="008C3C14" w:rsidRDefault="008C3C14" w:rsidP="00CA6CA7">
            <w:pPr>
              <w:jc w:val="center"/>
              <w:rPr>
                <w:rFonts w:cs="Arial"/>
                <w:b/>
              </w:rPr>
            </w:pPr>
          </w:p>
          <w:p w14:paraId="61194411" w14:textId="77777777" w:rsidR="008C3C14" w:rsidRDefault="008C3C14" w:rsidP="00CA6CA7">
            <w:pPr>
              <w:jc w:val="center"/>
              <w:rPr>
                <w:rFonts w:cs="Arial"/>
                <w:b/>
              </w:rPr>
            </w:pPr>
          </w:p>
          <w:p w14:paraId="5DCA63F6" w14:textId="77777777" w:rsidR="008C3C14" w:rsidRPr="00FF0AFC" w:rsidRDefault="008C3C14" w:rsidP="00CA6CA7">
            <w:pPr>
              <w:pStyle w:val="ListParagraph"/>
              <w:numPr>
                <w:ilvl w:val="0"/>
                <w:numId w:val="11"/>
              </w:numPr>
              <w:jc w:val="center"/>
              <w:rPr>
                <w:rFonts w:cs="Arial"/>
                <w:b/>
              </w:rPr>
            </w:pPr>
          </w:p>
          <w:p w14:paraId="4C38574D" w14:textId="77777777" w:rsidR="008C3C14" w:rsidRDefault="008C3C14" w:rsidP="00CA6CA7">
            <w:pPr>
              <w:jc w:val="center"/>
              <w:rPr>
                <w:rFonts w:cs="Arial"/>
                <w:b/>
              </w:rPr>
            </w:pPr>
          </w:p>
          <w:p w14:paraId="6B877F5A" w14:textId="77777777" w:rsidR="008C3C14" w:rsidRDefault="008C3C14" w:rsidP="00CA6CA7">
            <w:pPr>
              <w:jc w:val="center"/>
              <w:rPr>
                <w:rFonts w:cs="Arial"/>
                <w:b/>
              </w:rPr>
            </w:pPr>
          </w:p>
          <w:p w14:paraId="18031BD3" w14:textId="77777777" w:rsidR="008C3C14" w:rsidRPr="00FF0AFC" w:rsidRDefault="008C3C14" w:rsidP="00CA6CA7">
            <w:pPr>
              <w:pStyle w:val="ListParagraph"/>
              <w:numPr>
                <w:ilvl w:val="0"/>
                <w:numId w:val="11"/>
              </w:numPr>
              <w:jc w:val="center"/>
              <w:rPr>
                <w:rFonts w:cs="Arial"/>
                <w:b/>
              </w:rPr>
            </w:pPr>
          </w:p>
          <w:p w14:paraId="590FDCA6" w14:textId="77777777" w:rsidR="008C3C14" w:rsidRDefault="008C3C14" w:rsidP="00CA6CA7">
            <w:pPr>
              <w:jc w:val="center"/>
              <w:rPr>
                <w:rFonts w:cs="Arial"/>
                <w:b/>
              </w:rPr>
            </w:pPr>
          </w:p>
          <w:p w14:paraId="5C0B5F87" w14:textId="77777777" w:rsidR="008C3C14" w:rsidRDefault="008C3C14" w:rsidP="00CA6CA7">
            <w:pPr>
              <w:jc w:val="center"/>
              <w:rPr>
                <w:rFonts w:cs="Arial"/>
                <w:b/>
              </w:rPr>
            </w:pPr>
          </w:p>
          <w:p w14:paraId="6EC1F6A7" w14:textId="77777777" w:rsidR="008C3C14" w:rsidRDefault="008C3C14" w:rsidP="00CA6CA7">
            <w:pPr>
              <w:jc w:val="center"/>
              <w:rPr>
                <w:rFonts w:cs="Arial"/>
                <w:b/>
              </w:rPr>
            </w:pPr>
          </w:p>
          <w:p w14:paraId="4E0D04BB" w14:textId="77777777" w:rsidR="008C3C14" w:rsidRPr="00FF0AFC" w:rsidRDefault="008C3C14" w:rsidP="00CA6CA7">
            <w:pPr>
              <w:pStyle w:val="ListParagraph"/>
              <w:numPr>
                <w:ilvl w:val="0"/>
                <w:numId w:val="11"/>
              </w:numPr>
              <w:jc w:val="center"/>
              <w:rPr>
                <w:rFonts w:cs="Arial"/>
                <w:b/>
              </w:rPr>
            </w:pPr>
          </w:p>
          <w:p w14:paraId="6835DC86" w14:textId="77777777" w:rsidR="008C3C14" w:rsidRDefault="008C3C14" w:rsidP="00CA6CA7">
            <w:pPr>
              <w:jc w:val="center"/>
              <w:rPr>
                <w:rFonts w:cs="Arial"/>
                <w:b/>
              </w:rPr>
            </w:pPr>
          </w:p>
          <w:p w14:paraId="49E6EA32" w14:textId="77777777" w:rsidR="008C3C14" w:rsidRPr="00F93878" w:rsidRDefault="008C3C14" w:rsidP="00CA6CA7">
            <w:pPr>
              <w:pStyle w:val="ListParagraph"/>
              <w:numPr>
                <w:ilvl w:val="0"/>
                <w:numId w:val="11"/>
              </w:numPr>
              <w:jc w:val="center"/>
              <w:rPr>
                <w:rFonts w:cs="Arial"/>
                <w:b/>
              </w:rPr>
            </w:pPr>
          </w:p>
          <w:p w14:paraId="38024C5C" w14:textId="77777777" w:rsidR="008C3C14" w:rsidRPr="008C3C14" w:rsidRDefault="008C3C14" w:rsidP="00CA6CA7">
            <w:pPr>
              <w:jc w:val="center"/>
              <w:rPr>
                <w:rFonts w:cs="Arial"/>
                <w:b/>
              </w:rPr>
            </w:pPr>
          </w:p>
        </w:tc>
        <w:tc>
          <w:tcPr>
            <w:tcW w:w="1505" w:type="dxa"/>
          </w:tcPr>
          <w:p w14:paraId="4B3841F5" w14:textId="77777777" w:rsidR="00B85310" w:rsidRPr="00D939F1" w:rsidRDefault="00B85310" w:rsidP="004E7328">
            <w:pPr>
              <w:jc w:val="center"/>
              <w:rPr>
                <w:rFonts w:cs="Arial"/>
                <w:b/>
              </w:rPr>
            </w:pPr>
          </w:p>
        </w:tc>
      </w:tr>
      <w:tr w:rsidR="00CB17D5" w:rsidRPr="00D939F1" w14:paraId="771F6324" w14:textId="77777777" w:rsidTr="004B21CB">
        <w:trPr>
          <w:trHeight w:val="20"/>
        </w:trPr>
        <w:tc>
          <w:tcPr>
            <w:tcW w:w="6516" w:type="dxa"/>
          </w:tcPr>
          <w:p w14:paraId="502C5F8C" w14:textId="66C1F1CB" w:rsidR="00CB17D5" w:rsidRPr="00D939F1" w:rsidRDefault="00CB17D5" w:rsidP="00CB17D5">
            <w:pPr>
              <w:rPr>
                <w:rFonts w:cs="Arial"/>
                <w:b/>
              </w:rPr>
            </w:pPr>
            <w:r w:rsidRPr="00D939F1">
              <w:rPr>
                <w:rFonts w:cs="Arial"/>
                <w:b/>
              </w:rPr>
              <w:t>Knowledge/Experience</w:t>
            </w:r>
          </w:p>
        </w:tc>
        <w:tc>
          <w:tcPr>
            <w:tcW w:w="1607" w:type="dxa"/>
          </w:tcPr>
          <w:p w14:paraId="515A6855" w14:textId="2E0219B9" w:rsidR="00CB17D5" w:rsidRPr="00D939F1" w:rsidRDefault="00CB17D5" w:rsidP="004E7328">
            <w:pPr>
              <w:jc w:val="center"/>
              <w:rPr>
                <w:rFonts w:cs="Arial"/>
                <w:b/>
              </w:rPr>
            </w:pPr>
            <w:r>
              <w:rPr>
                <w:rFonts w:cs="Arial"/>
                <w:b/>
              </w:rPr>
              <w:t>Essential (</w:t>
            </w:r>
            <w:r>
              <w:rPr>
                <w:rFonts w:ascii="Wingdings" w:eastAsia="Wingdings" w:hAnsi="Wingdings" w:cs="Wingdings"/>
                <w:b/>
              </w:rPr>
              <w:t>ü</w:t>
            </w:r>
            <w:r>
              <w:rPr>
                <w:rFonts w:cs="Arial"/>
                <w:b/>
              </w:rPr>
              <w:t>)</w:t>
            </w:r>
          </w:p>
        </w:tc>
        <w:tc>
          <w:tcPr>
            <w:tcW w:w="1505" w:type="dxa"/>
          </w:tcPr>
          <w:p w14:paraId="146162FE" w14:textId="4CF8BCBC" w:rsidR="00CB17D5" w:rsidRPr="00D939F1" w:rsidRDefault="00CB17D5" w:rsidP="004E7328">
            <w:pPr>
              <w:jc w:val="center"/>
              <w:rPr>
                <w:rFonts w:cs="Arial"/>
                <w:b/>
              </w:rPr>
            </w:pPr>
            <w:r>
              <w:rPr>
                <w:rFonts w:cs="Arial"/>
                <w:b/>
              </w:rPr>
              <w:t>Desirable (</w:t>
            </w:r>
            <w:r>
              <w:rPr>
                <w:rFonts w:ascii="Wingdings" w:eastAsia="Wingdings" w:hAnsi="Wingdings" w:cs="Wingdings"/>
                <w:b/>
              </w:rPr>
              <w:t>ü</w:t>
            </w:r>
            <w:r>
              <w:rPr>
                <w:rFonts w:cs="Arial"/>
                <w:b/>
              </w:rPr>
              <w:t>)</w:t>
            </w:r>
          </w:p>
        </w:tc>
      </w:tr>
      <w:tr w:rsidR="00B85310" w:rsidRPr="00D939F1" w14:paraId="1AA6466F" w14:textId="77777777" w:rsidTr="004B21CB">
        <w:trPr>
          <w:trHeight w:val="20"/>
        </w:trPr>
        <w:tc>
          <w:tcPr>
            <w:tcW w:w="6516" w:type="dxa"/>
          </w:tcPr>
          <w:p w14:paraId="6ED8D27B" w14:textId="30E2301F" w:rsidR="00E40D39" w:rsidRPr="001934BF" w:rsidRDefault="00E40D39" w:rsidP="00E40D39">
            <w:pPr>
              <w:rPr>
                <w:rFonts w:cs="Arial"/>
                <w:bCs/>
              </w:rPr>
            </w:pPr>
            <w:r w:rsidRPr="001934BF">
              <w:rPr>
                <w:rFonts w:cs="Arial"/>
                <w:bCs/>
              </w:rPr>
              <w:t>Experience/understanding of working with people with health support needs, or a similar client group within health, social services or the voluntary sector</w:t>
            </w:r>
          </w:p>
          <w:p w14:paraId="027E875B" w14:textId="77777777" w:rsidR="00E40D39" w:rsidRPr="001934BF" w:rsidRDefault="00E40D39" w:rsidP="00E40D39">
            <w:pPr>
              <w:rPr>
                <w:rFonts w:cs="Arial"/>
                <w:bCs/>
              </w:rPr>
            </w:pPr>
          </w:p>
          <w:p w14:paraId="0F0FBD03" w14:textId="6508179B" w:rsidR="00E40D39" w:rsidRPr="001934BF" w:rsidRDefault="00E40D39" w:rsidP="00E40D39">
            <w:pPr>
              <w:rPr>
                <w:rFonts w:cs="Arial"/>
                <w:bCs/>
              </w:rPr>
            </w:pPr>
            <w:r w:rsidRPr="001934BF">
              <w:rPr>
                <w:rFonts w:cs="Arial"/>
                <w:bCs/>
              </w:rPr>
              <w:t xml:space="preserve">Experience of working with someone on a one-to-one basis </w:t>
            </w:r>
          </w:p>
          <w:p w14:paraId="715A7A65" w14:textId="77777777" w:rsidR="00E40D39" w:rsidRPr="001934BF" w:rsidRDefault="00E40D39" w:rsidP="00E40D39">
            <w:pPr>
              <w:rPr>
                <w:rFonts w:cs="Arial"/>
                <w:bCs/>
              </w:rPr>
            </w:pPr>
          </w:p>
          <w:p w14:paraId="69D2C72C" w14:textId="645067E0" w:rsidR="00E40D39" w:rsidRPr="001934BF" w:rsidRDefault="00E40D39" w:rsidP="00E40D39">
            <w:pPr>
              <w:rPr>
                <w:rFonts w:cs="Arial"/>
                <w:bCs/>
              </w:rPr>
            </w:pPr>
            <w:r w:rsidRPr="001934BF">
              <w:rPr>
                <w:rFonts w:cs="Arial"/>
                <w:bCs/>
              </w:rPr>
              <w:t>Experience of managing multiple tasks at any one time</w:t>
            </w:r>
          </w:p>
          <w:p w14:paraId="5DCEE3DA" w14:textId="77777777" w:rsidR="00E40D39" w:rsidRPr="001934BF" w:rsidRDefault="00E40D39" w:rsidP="00E40D39">
            <w:pPr>
              <w:rPr>
                <w:rFonts w:cs="Arial"/>
                <w:bCs/>
              </w:rPr>
            </w:pPr>
          </w:p>
          <w:p w14:paraId="69E3DA1D" w14:textId="77777777" w:rsidR="00E40D39" w:rsidRPr="001934BF" w:rsidRDefault="00E40D39" w:rsidP="00E40D39">
            <w:pPr>
              <w:rPr>
                <w:rFonts w:cs="Arial"/>
                <w:bCs/>
              </w:rPr>
            </w:pPr>
            <w:r w:rsidRPr="001934BF">
              <w:rPr>
                <w:rFonts w:cs="Arial"/>
                <w:bCs/>
              </w:rPr>
              <w:t>Experience of working assertively to influence decision makers</w:t>
            </w:r>
          </w:p>
          <w:p w14:paraId="0095BD6E" w14:textId="77777777" w:rsidR="00E40D39" w:rsidRPr="001934BF" w:rsidRDefault="00E40D39" w:rsidP="00E40D39">
            <w:pPr>
              <w:rPr>
                <w:rFonts w:cs="Arial"/>
                <w:bCs/>
              </w:rPr>
            </w:pPr>
          </w:p>
          <w:p w14:paraId="562FCDD5" w14:textId="65336AD1" w:rsidR="00E40D39" w:rsidRPr="001934BF" w:rsidRDefault="00E40D39" w:rsidP="00E40D39">
            <w:pPr>
              <w:rPr>
                <w:rFonts w:cs="Arial"/>
                <w:bCs/>
              </w:rPr>
            </w:pPr>
            <w:r w:rsidRPr="001934BF">
              <w:rPr>
                <w:rFonts w:cs="Arial"/>
                <w:bCs/>
              </w:rPr>
              <w:t>Experience of supporting people to obtain or keep work</w:t>
            </w:r>
          </w:p>
          <w:p w14:paraId="38FA1805" w14:textId="77777777" w:rsidR="00E40D39" w:rsidRPr="001934BF" w:rsidRDefault="00E40D39" w:rsidP="00E40D39">
            <w:pPr>
              <w:rPr>
                <w:rFonts w:cs="Arial"/>
                <w:bCs/>
              </w:rPr>
            </w:pPr>
          </w:p>
          <w:p w14:paraId="02F83EF9" w14:textId="62B4464E" w:rsidR="00E40D39" w:rsidRPr="001934BF" w:rsidRDefault="00E40D39" w:rsidP="00E40D39">
            <w:pPr>
              <w:rPr>
                <w:rFonts w:cs="Arial"/>
                <w:bCs/>
              </w:rPr>
            </w:pPr>
            <w:r w:rsidRPr="001934BF">
              <w:rPr>
                <w:rFonts w:cs="Arial"/>
                <w:bCs/>
              </w:rPr>
              <w:t>Experience of working within mental health services</w:t>
            </w:r>
          </w:p>
          <w:p w14:paraId="0C6D5201" w14:textId="77777777" w:rsidR="00E40D39" w:rsidRPr="001934BF" w:rsidRDefault="00E40D39" w:rsidP="00E40D39">
            <w:pPr>
              <w:rPr>
                <w:rFonts w:cs="Arial"/>
                <w:bCs/>
              </w:rPr>
            </w:pPr>
          </w:p>
          <w:p w14:paraId="40456709" w14:textId="13414B29" w:rsidR="00B35ECA" w:rsidRPr="001934BF" w:rsidRDefault="00E40D39" w:rsidP="00E40D39">
            <w:pPr>
              <w:rPr>
                <w:rFonts w:cs="Arial"/>
                <w:bCs/>
              </w:rPr>
            </w:pPr>
            <w:r w:rsidRPr="001934BF">
              <w:rPr>
                <w:rFonts w:cs="Arial"/>
                <w:bCs/>
              </w:rPr>
              <w:t>Proven experience of meeting and exceeding outcomes and targets</w:t>
            </w:r>
          </w:p>
          <w:p w14:paraId="16183813" w14:textId="77777777" w:rsidR="00B35ECA" w:rsidRPr="001934BF" w:rsidRDefault="00B35ECA" w:rsidP="00E40D39">
            <w:pPr>
              <w:rPr>
                <w:rFonts w:cs="Arial"/>
                <w:bCs/>
              </w:rPr>
            </w:pPr>
          </w:p>
          <w:p w14:paraId="71946728" w14:textId="53EF584F" w:rsidR="00E40D39" w:rsidRPr="001934BF" w:rsidRDefault="00E40D39" w:rsidP="00E40D39">
            <w:pPr>
              <w:rPr>
                <w:rFonts w:cs="Arial"/>
                <w:bCs/>
              </w:rPr>
            </w:pPr>
            <w:r w:rsidRPr="001934BF">
              <w:rPr>
                <w:rFonts w:cs="Arial"/>
                <w:bCs/>
              </w:rPr>
              <w:t>An understanding of the employment needs, and challenges faced by people who experience mental</w:t>
            </w:r>
            <w:r w:rsidR="00034DEA">
              <w:rPr>
                <w:rFonts w:cs="Arial"/>
                <w:bCs/>
              </w:rPr>
              <w:t xml:space="preserve"> and physical </w:t>
            </w:r>
            <w:r w:rsidRPr="001934BF">
              <w:rPr>
                <w:rFonts w:cs="Arial"/>
                <w:bCs/>
              </w:rPr>
              <w:t>health difficulties</w:t>
            </w:r>
          </w:p>
          <w:p w14:paraId="3FC5BBD8" w14:textId="77777777" w:rsidR="00B35ECA" w:rsidRPr="001934BF" w:rsidRDefault="00B35ECA" w:rsidP="00E40D39">
            <w:pPr>
              <w:rPr>
                <w:rFonts w:cs="Arial"/>
                <w:bCs/>
              </w:rPr>
            </w:pPr>
          </w:p>
          <w:p w14:paraId="654659C6" w14:textId="41982538" w:rsidR="00E40D39" w:rsidRPr="001934BF" w:rsidRDefault="00E40D39" w:rsidP="00E40D39">
            <w:pPr>
              <w:rPr>
                <w:rFonts w:cs="Arial"/>
                <w:bCs/>
              </w:rPr>
            </w:pPr>
            <w:r w:rsidRPr="001934BF">
              <w:rPr>
                <w:rFonts w:cs="Arial"/>
                <w:bCs/>
              </w:rPr>
              <w:t>Developing a knowledge of a broad range of occupations and jobs</w:t>
            </w:r>
          </w:p>
          <w:p w14:paraId="12644C0E" w14:textId="77777777" w:rsidR="00B35ECA" w:rsidRPr="001934BF" w:rsidRDefault="00B35ECA" w:rsidP="00E40D39">
            <w:pPr>
              <w:rPr>
                <w:rFonts w:cs="Arial"/>
                <w:bCs/>
              </w:rPr>
            </w:pPr>
          </w:p>
          <w:p w14:paraId="43A16C65" w14:textId="77777777" w:rsidR="00B35ECA" w:rsidRPr="001934BF" w:rsidRDefault="00E40D39" w:rsidP="00E40D39">
            <w:pPr>
              <w:rPr>
                <w:rFonts w:cs="Arial"/>
                <w:bCs/>
              </w:rPr>
            </w:pPr>
            <w:r w:rsidRPr="001934BF">
              <w:rPr>
                <w:rFonts w:cs="Arial"/>
                <w:bCs/>
              </w:rPr>
              <w:t>Able to use IT and tools such as MS Word, PowerPoint and Excel</w:t>
            </w:r>
          </w:p>
          <w:p w14:paraId="74E5D9D1" w14:textId="77777777" w:rsidR="00B35ECA" w:rsidRPr="001934BF" w:rsidRDefault="00B35ECA" w:rsidP="00E40D39">
            <w:pPr>
              <w:rPr>
                <w:rFonts w:cs="Arial"/>
                <w:bCs/>
              </w:rPr>
            </w:pPr>
          </w:p>
          <w:p w14:paraId="51717ECC" w14:textId="1A6228CD" w:rsidR="00B85310" w:rsidRPr="001934BF" w:rsidRDefault="00E40D39" w:rsidP="00CA6CA7">
            <w:pPr>
              <w:rPr>
                <w:rFonts w:cs="Arial"/>
                <w:bCs/>
              </w:rPr>
            </w:pPr>
            <w:r w:rsidRPr="001934BF">
              <w:rPr>
                <w:rFonts w:cs="Arial"/>
                <w:bCs/>
              </w:rPr>
              <w:t>Knowledge of the benefits agency and all disability/ employment related benefits</w:t>
            </w:r>
          </w:p>
        </w:tc>
        <w:tc>
          <w:tcPr>
            <w:tcW w:w="1607" w:type="dxa"/>
          </w:tcPr>
          <w:p w14:paraId="554C8DA1" w14:textId="77777777" w:rsidR="00B85310" w:rsidRDefault="00B85310" w:rsidP="00CA6CA7">
            <w:pPr>
              <w:jc w:val="center"/>
              <w:rPr>
                <w:rFonts w:cs="Arial"/>
                <w:b/>
              </w:rPr>
            </w:pPr>
          </w:p>
          <w:p w14:paraId="289DC3BC" w14:textId="77777777" w:rsidR="00CA6CA7" w:rsidRPr="00CA6CA7" w:rsidRDefault="00CA6CA7" w:rsidP="00CA6CA7">
            <w:pPr>
              <w:pStyle w:val="ListParagraph"/>
              <w:numPr>
                <w:ilvl w:val="0"/>
                <w:numId w:val="11"/>
              </w:numPr>
              <w:jc w:val="center"/>
              <w:rPr>
                <w:rFonts w:cs="Arial"/>
                <w:b/>
              </w:rPr>
            </w:pPr>
          </w:p>
          <w:p w14:paraId="691CE01C" w14:textId="77777777" w:rsidR="00CA6CA7" w:rsidRDefault="00CA6CA7" w:rsidP="00CA6CA7">
            <w:pPr>
              <w:jc w:val="center"/>
              <w:rPr>
                <w:rFonts w:cs="Arial"/>
                <w:b/>
              </w:rPr>
            </w:pPr>
          </w:p>
          <w:p w14:paraId="745F9ABD" w14:textId="77777777" w:rsidR="00CA6CA7" w:rsidRDefault="00CA6CA7" w:rsidP="00CA6CA7">
            <w:pPr>
              <w:jc w:val="center"/>
              <w:rPr>
                <w:rFonts w:cs="Arial"/>
                <w:b/>
              </w:rPr>
            </w:pPr>
          </w:p>
          <w:p w14:paraId="71B4CB58" w14:textId="77777777" w:rsidR="00CA6CA7" w:rsidRPr="00CA6CA7" w:rsidRDefault="00CA6CA7" w:rsidP="00CA6CA7">
            <w:pPr>
              <w:pStyle w:val="ListParagraph"/>
              <w:numPr>
                <w:ilvl w:val="0"/>
                <w:numId w:val="11"/>
              </w:numPr>
              <w:jc w:val="center"/>
              <w:rPr>
                <w:rFonts w:cs="Arial"/>
                <w:b/>
              </w:rPr>
            </w:pPr>
          </w:p>
          <w:p w14:paraId="0B896852" w14:textId="77777777" w:rsidR="00CA6CA7" w:rsidRDefault="00CA6CA7" w:rsidP="00CA6CA7">
            <w:pPr>
              <w:jc w:val="center"/>
              <w:rPr>
                <w:rFonts w:cs="Arial"/>
                <w:b/>
              </w:rPr>
            </w:pPr>
          </w:p>
          <w:p w14:paraId="40E23932" w14:textId="77777777" w:rsidR="00CA6CA7" w:rsidRPr="00CA6CA7" w:rsidRDefault="00CA6CA7" w:rsidP="00CA6CA7">
            <w:pPr>
              <w:pStyle w:val="ListParagraph"/>
              <w:numPr>
                <w:ilvl w:val="0"/>
                <w:numId w:val="11"/>
              </w:numPr>
              <w:jc w:val="center"/>
              <w:rPr>
                <w:rFonts w:cs="Arial"/>
                <w:b/>
              </w:rPr>
            </w:pPr>
          </w:p>
          <w:p w14:paraId="722F1CCD" w14:textId="77777777" w:rsidR="00CA6CA7" w:rsidRDefault="00CA6CA7" w:rsidP="00CA6CA7">
            <w:pPr>
              <w:jc w:val="center"/>
              <w:rPr>
                <w:rFonts w:cs="Arial"/>
                <w:b/>
              </w:rPr>
            </w:pPr>
          </w:p>
          <w:p w14:paraId="48A5C251" w14:textId="77777777" w:rsidR="00CA6CA7" w:rsidRPr="00CA6CA7" w:rsidRDefault="00CA6CA7" w:rsidP="00CA6CA7">
            <w:pPr>
              <w:pStyle w:val="ListParagraph"/>
              <w:numPr>
                <w:ilvl w:val="0"/>
                <w:numId w:val="11"/>
              </w:numPr>
              <w:jc w:val="center"/>
              <w:rPr>
                <w:rFonts w:cs="Arial"/>
                <w:b/>
              </w:rPr>
            </w:pPr>
          </w:p>
          <w:p w14:paraId="531AC63A" w14:textId="77777777" w:rsidR="00CA6CA7" w:rsidRDefault="00CA6CA7" w:rsidP="00CA6CA7">
            <w:pPr>
              <w:jc w:val="center"/>
              <w:rPr>
                <w:rFonts w:cs="Arial"/>
                <w:b/>
              </w:rPr>
            </w:pPr>
          </w:p>
          <w:p w14:paraId="6150C439" w14:textId="77777777" w:rsidR="00CA6CA7" w:rsidRDefault="00CA6CA7" w:rsidP="00CA6CA7">
            <w:pPr>
              <w:jc w:val="center"/>
              <w:rPr>
                <w:rFonts w:cs="Arial"/>
                <w:b/>
              </w:rPr>
            </w:pPr>
          </w:p>
          <w:p w14:paraId="65051735" w14:textId="77777777" w:rsidR="00CA6CA7" w:rsidRPr="00CA6CA7" w:rsidRDefault="00CA6CA7" w:rsidP="00CA6CA7">
            <w:pPr>
              <w:pStyle w:val="ListParagraph"/>
              <w:numPr>
                <w:ilvl w:val="0"/>
                <w:numId w:val="11"/>
              </w:numPr>
              <w:jc w:val="center"/>
              <w:rPr>
                <w:rFonts w:cs="Arial"/>
                <w:b/>
              </w:rPr>
            </w:pPr>
          </w:p>
          <w:p w14:paraId="490CBB17" w14:textId="77777777" w:rsidR="00CA6CA7" w:rsidRDefault="00CA6CA7" w:rsidP="00CA6CA7">
            <w:pPr>
              <w:jc w:val="center"/>
              <w:rPr>
                <w:rFonts w:cs="Arial"/>
                <w:b/>
              </w:rPr>
            </w:pPr>
          </w:p>
          <w:p w14:paraId="21BD3A2F" w14:textId="77777777" w:rsidR="00CA6CA7" w:rsidRPr="00CA6CA7" w:rsidRDefault="00CA6CA7" w:rsidP="00CA6CA7">
            <w:pPr>
              <w:pStyle w:val="ListParagraph"/>
              <w:numPr>
                <w:ilvl w:val="0"/>
                <w:numId w:val="11"/>
              </w:numPr>
              <w:jc w:val="center"/>
              <w:rPr>
                <w:rFonts w:cs="Arial"/>
                <w:b/>
              </w:rPr>
            </w:pPr>
          </w:p>
          <w:p w14:paraId="5798BAE0" w14:textId="77777777" w:rsidR="00CA6CA7" w:rsidRDefault="00CA6CA7" w:rsidP="00CA6CA7">
            <w:pPr>
              <w:jc w:val="center"/>
              <w:rPr>
                <w:rFonts w:cs="Arial"/>
                <w:b/>
              </w:rPr>
            </w:pPr>
          </w:p>
          <w:p w14:paraId="2EF2E2ED" w14:textId="77777777" w:rsidR="00CA6CA7" w:rsidRPr="00CA6CA7" w:rsidRDefault="00CA6CA7" w:rsidP="00CA6CA7">
            <w:pPr>
              <w:pStyle w:val="ListParagraph"/>
              <w:numPr>
                <w:ilvl w:val="0"/>
                <w:numId w:val="11"/>
              </w:numPr>
              <w:jc w:val="center"/>
              <w:rPr>
                <w:rFonts w:cs="Arial"/>
                <w:b/>
              </w:rPr>
            </w:pPr>
          </w:p>
          <w:p w14:paraId="74C7C7BC" w14:textId="77777777" w:rsidR="00CA6CA7" w:rsidRDefault="00CA6CA7" w:rsidP="00CA6CA7">
            <w:pPr>
              <w:jc w:val="center"/>
              <w:rPr>
                <w:rFonts w:cs="Arial"/>
                <w:b/>
              </w:rPr>
            </w:pPr>
          </w:p>
          <w:p w14:paraId="3E99AD48" w14:textId="77777777" w:rsidR="00CA6CA7" w:rsidRDefault="00CA6CA7" w:rsidP="00CA6CA7">
            <w:pPr>
              <w:jc w:val="center"/>
              <w:rPr>
                <w:rFonts w:cs="Arial"/>
                <w:b/>
              </w:rPr>
            </w:pPr>
          </w:p>
          <w:p w14:paraId="20E1D0E4" w14:textId="77777777" w:rsidR="00CA6CA7" w:rsidRDefault="00CA6CA7" w:rsidP="00CA6CA7">
            <w:pPr>
              <w:jc w:val="center"/>
              <w:rPr>
                <w:rFonts w:cs="Arial"/>
                <w:b/>
              </w:rPr>
            </w:pPr>
          </w:p>
          <w:p w14:paraId="2C1FA7C5" w14:textId="77777777" w:rsidR="00CA6CA7" w:rsidRPr="00CA6CA7" w:rsidRDefault="00CA6CA7" w:rsidP="00CA6CA7">
            <w:pPr>
              <w:pStyle w:val="ListParagraph"/>
              <w:numPr>
                <w:ilvl w:val="0"/>
                <w:numId w:val="11"/>
              </w:numPr>
              <w:jc w:val="center"/>
              <w:rPr>
                <w:rFonts w:cs="Arial"/>
                <w:b/>
              </w:rPr>
            </w:pPr>
          </w:p>
          <w:p w14:paraId="5F4A2EC1" w14:textId="77777777" w:rsidR="00CA6CA7" w:rsidRDefault="00CA6CA7" w:rsidP="00CA6CA7">
            <w:pPr>
              <w:jc w:val="center"/>
              <w:rPr>
                <w:rFonts w:cs="Arial"/>
                <w:b/>
              </w:rPr>
            </w:pPr>
          </w:p>
          <w:p w14:paraId="1611D752" w14:textId="77777777" w:rsidR="00CA6CA7" w:rsidRDefault="00CA6CA7" w:rsidP="00CA6CA7">
            <w:pPr>
              <w:jc w:val="center"/>
              <w:rPr>
                <w:rFonts w:cs="Arial"/>
                <w:b/>
              </w:rPr>
            </w:pPr>
          </w:p>
          <w:p w14:paraId="13BD4020" w14:textId="77777777" w:rsidR="00CA6CA7" w:rsidRPr="00CA6CA7" w:rsidRDefault="00CA6CA7" w:rsidP="00CA6CA7">
            <w:pPr>
              <w:pStyle w:val="ListParagraph"/>
              <w:numPr>
                <w:ilvl w:val="0"/>
                <w:numId w:val="11"/>
              </w:numPr>
              <w:jc w:val="center"/>
              <w:rPr>
                <w:rFonts w:cs="Arial"/>
                <w:b/>
              </w:rPr>
            </w:pPr>
          </w:p>
          <w:p w14:paraId="02286E18" w14:textId="77777777" w:rsidR="00CA6CA7" w:rsidRDefault="00CA6CA7" w:rsidP="00CA6CA7">
            <w:pPr>
              <w:jc w:val="center"/>
              <w:rPr>
                <w:rFonts w:cs="Arial"/>
                <w:b/>
              </w:rPr>
            </w:pPr>
          </w:p>
          <w:p w14:paraId="783969F7" w14:textId="77777777" w:rsidR="00CA6CA7" w:rsidRDefault="00CA6CA7" w:rsidP="00CA6CA7">
            <w:pPr>
              <w:jc w:val="center"/>
              <w:rPr>
                <w:rFonts w:cs="Arial"/>
                <w:b/>
              </w:rPr>
            </w:pPr>
          </w:p>
          <w:p w14:paraId="05A5BEC0" w14:textId="77777777" w:rsidR="00CA6CA7" w:rsidRPr="00CA6CA7" w:rsidRDefault="00CA6CA7" w:rsidP="00CA6CA7">
            <w:pPr>
              <w:pStyle w:val="ListParagraph"/>
              <w:numPr>
                <w:ilvl w:val="0"/>
                <w:numId w:val="11"/>
              </w:numPr>
              <w:jc w:val="center"/>
              <w:rPr>
                <w:rFonts w:cs="Arial"/>
                <w:b/>
              </w:rPr>
            </w:pPr>
          </w:p>
          <w:p w14:paraId="2F1A4A87" w14:textId="77777777" w:rsidR="00CA6CA7" w:rsidRDefault="00CA6CA7" w:rsidP="00CA6CA7">
            <w:pPr>
              <w:jc w:val="center"/>
              <w:rPr>
                <w:rFonts w:cs="Arial"/>
                <w:b/>
              </w:rPr>
            </w:pPr>
          </w:p>
          <w:p w14:paraId="793A703A" w14:textId="77777777" w:rsidR="00CA6CA7" w:rsidRDefault="00CA6CA7" w:rsidP="00CA6CA7">
            <w:pPr>
              <w:jc w:val="center"/>
              <w:rPr>
                <w:rFonts w:cs="Arial"/>
                <w:b/>
              </w:rPr>
            </w:pPr>
          </w:p>
          <w:p w14:paraId="0DFBAA51" w14:textId="77777777" w:rsidR="00CA6CA7" w:rsidRDefault="00CA6CA7" w:rsidP="00CA6CA7">
            <w:pPr>
              <w:jc w:val="center"/>
              <w:rPr>
                <w:rFonts w:cs="Arial"/>
                <w:b/>
              </w:rPr>
            </w:pPr>
          </w:p>
          <w:p w14:paraId="3E9558CA" w14:textId="77777777" w:rsidR="00CA6CA7" w:rsidRDefault="00CA6CA7" w:rsidP="00CA6CA7">
            <w:pPr>
              <w:jc w:val="center"/>
              <w:rPr>
                <w:rFonts w:cs="Arial"/>
                <w:b/>
              </w:rPr>
            </w:pPr>
          </w:p>
          <w:p w14:paraId="6F290524" w14:textId="77777777" w:rsidR="00CA6CA7" w:rsidRDefault="00CA6CA7" w:rsidP="00CA6CA7">
            <w:pPr>
              <w:jc w:val="center"/>
              <w:rPr>
                <w:rFonts w:cs="Arial"/>
                <w:b/>
              </w:rPr>
            </w:pPr>
          </w:p>
          <w:p w14:paraId="75C17B61" w14:textId="77777777" w:rsidR="00CA6CA7" w:rsidRDefault="00CA6CA7" w:rsidP="00CA6CA7">
            <w:pPr>
              <w:jc w:val="center"/>
              <w:rPr>
                <w:rFonts w:cs="Arial"/>
                <w:b/>
              </w:rPr>
            </w:pPr>
          </w:p>
          <w:p w14:paraId="0A1A316D" w14:textId="77777777" w:rsidR="00CA6CA7" w:rsidRPr="00CA6CA7" w:rsidRDefault="00CA6CA7" w:rsidP="00CA6CA7">
            <w:pPr>
              <w:jc w:val="center"/>
              <w:rPr>
                <w:rFonts w:cs="Arial"/>
                <w:b/>
              </w:rPr>
            </w:pPr>
          </w:p>
        </w:tc>
        <w:tc>
          <w:tcPr>
            <w:tcW w:w="1505" w:type="dxa"/>
          </w:tcPr>
          <w:p w14:paraId="59B0FFD5" w14:textId="77777777" w:rsidR="00B85310" w:rsidRDefault="00B85310" w:rsidP="004E7328">
            <w:pPr>
              <w:jc w:val="center"/>
              <w:rPr>
                <w:rFonts w:cs="Arial"/>
                <w:b/>
              </w:rPr>
            </w:pPr>
          </w:p>
          <w:p w14:paraId="7B16A3E3" w14:textId="77777777" w:rsidR="00CA6CA7" w:rsidRDefault="00CA6CA7" w:rsidP="004E7328">
            <w:pPr>
              <w:jc w:val="center"/>
              <w:rPr>
                <w:rFonts w:cs="Arial"/>
                <w:b/>
              </w:rPr>
            </w:pPr>
          </w:p>
          <w:p w14:paraId="6F994DBA" w14:textId="77777777" w:rsidR="00CA6CA7" w:rsidRDefault="00CA6CA7" w:rsidP="004E7328">
            <w:pPr>
              <w:jc w:val="center"/>
              <w:rPr>
                <w:rFonts w:cs="Arial"/>
                <w:b/>
              </w:rPr>
            </w:pPr>
          </w:p>
          <w:p w14:paraId="4623C5FD" w14:textId="77777777" w:rsidR="00CA6CA7" w:rsidRDefault="00CA6CA7" w:rsidP="004E7328">
            <w:pPr>
              <w:jc w:val="center"/>
              <w:rPr>
                <w:rFonts w:cs="Arial"/>
                <w:b/>
              </w:rPr>
            </w:pPr>
          </w:p>
          <w:p w14:paraId="7D7D1F9D" w14:textId="77777777" w:rsidR="00CA6CA7" w:rsidRDefault="00CA6CA7" w:rsidP="004E7328">
            <w:pPr>
              <w:jc w:val="center"/>
              <w:rPr>
                <w:rFonts w:cs="Arial"/>
                <w:b/>
              </w:rPr>
            </w:pPr>
          </w:p>
          <w:p w14:paraId="6AE73EF1" w14:textId="77777777" w:rsidR="00CA6CA7" w:rsidRDefault="00CA6CA7" w:rsidP="004E7328">
            <w:pPr>
              <w:jc w:val="center"/>
              <w:rPr>
                <w:rFonts w:cs="Arial"/>
                <w:b/>
              </w:rPr>
            </w:pPr>
          </w:p>
          <w:p w14:paraId="300C9BCA" w14:textId="77777777" w:rsidR="00CA6CA7" w:rsidRDefault="00CA6CA7" w:rsidP="004E7328">
            <w:pPr>
              <w:jc w:val="center"/>
              <w:rPr>
                <w:rFonts w:cs="Arial"/>
                <w:b/>
              </w:rPr>
            </w:pPr>
          </w:p>
          <w:p w14:paraId="0DF06F68" w14:textId="77777777" w:rsidR="00CA6CA7" w:rsidRDefault="00CA6CA7" w:rsidP="004E7328">
            <w:pPr>
              <w:jc w:val="center"/>
              <w:rPr>
                <w:rFonts w:cs="Arial"/>
                <w:b/>
              </w:rPr>
            </w:pPr>
          </w:p>
          <w:p w14:paraId="6EE9FF3F" w14:textId="77777777" w:rsidR="00CA6CA7" w:rsidRDefault="00CA6CA7" w:rsidP="004E7328">
            <w:pPr>
              <w:jc w:val="center"/>
              <w:rPr>
                <w:rFonts w:cs="Arial"/>
                <w:b/>
              </w:rPr>
            </w:pPr>
          </w:p>
          <w:p w14:paraId="5B9B2EE6" w14:textId="77777777" w:rsidR="00CA6CA7" w:rsidRDefault="00CA6CA7" w:rsidP="004E7328">
            <w:pPr>
              <w:jc w:val="center"/>
              <w:rPr>
                <w:rFonts w:cs="Arial"/>
                <w:b/>
              </w:rPr>
            </w:pPr>
          </w:p>
          <w:p w14:paraId="5367051C" w14:textId="77777777" w:rsidR="00CA6CA7" w:rsidRDefault="00CA6CA7" w:rsidP="004E7328">
            <w:pPr>
              <w:jc w:val="center"/>
              <w:rPr>
                <w:rFonts w:cs="Arial"/>
                <w:b/>
              </w:rPr>
            </w:pPr>
          </w:p>
          <w:p w14:paraId="3EA8C19B" w14:textId="77777777" w:rsidR="00CA6CA7" w:rsidRDefault="00CA6CA7" w:rsidP="004E7328">
            <w:pPr>
              <w:jc w:val="center"/>
              <w:rPr>
                <w:rFonts w:cs="Arial"/>
                <w:b/>
              </w:rPr>
            </w:pPr>
          </w:p>
          <w:p w14:paraId="198157B9" w14:textId="77777777" w:rsidR="00CA6CA7" w:rsidRDefault="00CA6CA7" w:rsidP="004E7328">
            <w:pPr>
              <w:jc w:val="center"/>
              <w:rPr>
                <w:rFonts w:cs="Arial"/>
                <w:b/>
              </w:rPr>
            </w:pPr>
          </w:p>
          <w:p w14:paraId="65B215BA" w14:textId="77777777" w:rsidR="00CA6CA7" w:rsidRDefault="00CA6CA7" w:rsidP="004E7328">
            <w:pPr>
              <w:jc w:val="center"/>
              <w:rPr>
                <w:rFonts w:cs="Arial"/>
                <w:b/>
              </w:rPr>
            </w:pPr>
          </w:p>
          <w:p w14:paraId="04E75AD5" w14:textId="77777777" w:rsidR="00CA6CA7" w:rsidRDefault="00CA6CA7" w:rsidP="004E7328">
            <w:pPr>
              <w:jc w:val="center"/>
              <w:rPr>
                <w:rFonts w:cs="Arial"/>
                <w:b/>
              </w:rPr>
            </w:pPr>
          </w:p>
          <w:p w14:paraId="6875A1A4" w14:textId="77777777" w:rsidR="00CA6CA7" w:rsidRDefault="00CA6CA7" w:rsidP="004E7328">
            <w:pPr>
              <w:jc w:val="center"/>
              <w:rPr>
                <w:rFonts w:cs="Arial"/>
                <w:b/>
              </w:rPr>
            </w:pPr>
          </w:p>
          <w:p w14:paraId="03498375" w14:textId="77777777" w:rsidR="00CA6CA7" w:rsidRDefault="00CA6CA7" w:rsidP="004E7328">
            <w:pPr>
              <w:jc w:val="center"/>
              <w:rPr>
                <w:rFonts w:cs="Arial"/>
                <w:b/>
              </w:rPr>
            </w:pPr>
          </w:p>
          <w:p w14:paraId="0A392F08" w14:textId="77777777" w:rsidR="00CA6CA7" w:rsidRDefault="00CA6CA7" w:rsidP="004E7328">
            <w:pPr>
              <w:jc w:val="center"/>
              <w:rPr>
                <w:rFonts w:cs="Arial"/>
                <w:b/>
              </w:rPr>
            </w:pPr>
          </w:p>
          <w:p w14:paraId="5154BA35" w14:textId="77777777" w:rsidR="00CA6CA7" w:rsidRDefault="00CA6CA7" w:rsidP="004E7328">
            <w:pPr>
              <w:jc w:val="center"/>
              <w:rPr>
                <w:rFonts w:cs="Arial"/>
                <w:b/>
              </w:rPr>
            </w:pPr>
          </w:p>
          <w:p w14:paraId="3A7DA684" w14:textId="77777777" w:rsidR="00CA6CA7" w:rsidRDefault="00CA6CA7" w:rsidP="004E7328">
            <w:pPr>
              <w:jc w:val="center"/>
              <w:rPr>
                <w:rFonts w:cs="Arial"/>
                <w:b/>
              </w:rPr>
            </w:pPr>
          </w:p>
          <w:p w14:paraId="567A836E" w14:textId="77777777" w:rsidR="00CA6CA7" w:rsidRDefault="00CA6CA7" w:rsidP="004E7328">
            <w:pPr>
              <w:jc w:val="center"/>
              <w:rPr>
                <w:rFonts w:cs="Arial"/>
                <w:b/>
              </w:rPr>
            </w:pPr>
          </w:p>
          <w:p w14:paraId="64148038" w14:textId="77777777" w:rsidR="00CA6CA7" w:rsidRDefault="00CA6CA7" w:rsidP="004E7328">
            <w:pPr>
              <w:jc w:val="center"/>
              <w:rPr>
                <w:rFonts w:cs="Arial"/>
                <w:b/>
              </w:rPr>
            </w:pPr>
          </w:p>
          <w:p w14:paraId="54DEE5F6" w14:textId="77777777" w:rsidR="00CA6CA7" w:rsidRDefault="00CA6CA7" w:rsidP="004E7328">
            <w:pPr>
              <w:jc w:val="center"/>
              <w:rPr>
                <w:rFonts w:cs="Arial"/>
                <w:b/>
              </w:rPr>
            </w:pPr>
          </w:p>
          <w:p w14:paraId="6D40F548" w14:textId="77777777" w:rsidR="00CA6CA7" w:rsidRDefault="00CA6CA7" w:rsidP="004E7328">
            <w:pPr>
              <w:jc w:val="center"/>
              <w:rPr>
                <w:rFonts w:cs="Arial"/>
                <w:b/>
              </w:rPr>
            </w:pPr>
          </w:p>
          <w:p w14:paraId="7E77A9F6" w14:textId="77777777" w:rsidR="00CA6CA7" w:rsidRDefault="00CA6CA7" w:rsidP="004E7328">
            <w:pPr>
              <w:jc w:val="center"/>
              <w:rPr>
                <w:rFonts w:cs="Arial"/>
                <w:b/>
              </w:rPr>
            </w:pPr>
          </w:p>
          <w:p w14:paraId="1DBB2D4E" w14:textId="77777777" w:rsidR="00CA6CA7" w:rsidRDefault="00CA6CA7" w:rsidP="004E7328">
            <w:pPr>
              <w:jc w:val="center"/>
              <w:rPr>
                <w:rFonts w:cs="Arial"/>
                <w:b/>
              </w:rPr>
            </w:pPr>
          </w:p>
          <w:p w14:paraId="305BC188" w14:textId="77777777" w:rsidR="00CA6CA7" w:rsidRDefault="00CA6CA7" w:rsidP="004E7328">
            <w:pPr>
              <w:jc w:val="center"/>
              <w:rPr>
                <w:rFonts w:cs="Arial"/>
                <w:b/>
              </w:rPr>
            </w:pPr>
          </w:p>
          <w:p w14:paraId="198099EA" w14:textId="77777777" w:rsidR="00CA6CA7" w:rsidRDefault="00CA6CA7" w:rsidP="004E7328">
            <w:pPr>
              <w:jc w:val="center"/>
              <w:rPr>
                <w:rFonts w:cs="Arial"/>
                <w:b/>
              </w:rPr>
            </w:pPr>
          </w:p>
          <w:p w14:paraId="3316BDD8" w14:textId="77777777" w:rsidR="00CA6CA7" w:rsidRDefault="00CA6CA7" w:rsidP="004E7328">
            <w:pPr>
              <w:jc w:val="center"/>
              <w:rPr>
                <w:rFonts w:cs="Arial"/>
                <w:b/>
              </w:rPr>
            </w:pPr>
          </w:p>
          <w:p w14:paraId="1B3C19BC" w14:textId="77777777" w:rsidR="00CA6CA7" w:rsidRPr="00CA6CA7" w:rsidRDefault="00CA6CA7" w:rsidP="00CA6CA7">
            <w:pPr>
              <w:pStyle w:val="ListParagraph"/>
              <w:numPr>
                <w:ilvl w:val="0"/>
                <w:numId w:val="11"/>
              </w:numPr>
              <w:jc w:val="center"/>
              <w:rPr>
                <w:rFonts w:cs="Arial"/>
                <w:b/>
              </w:rPr>
            </w:pPr>
          </w:p>
          <w:p w14:paraId="29E6E9DB" w14:textId="77777777" w:rsidR="00CA6CA7" w:rsidRPr="00D939F1" w:rsidRDefault="00CA6CA7" w:rsidP="00CA6CA7">
            <w:pPr>
              <w:rPr>
                <w:rFonts w:cs="Arial"/>
                <w:b/>
              </w:rPr>
            </w:pPr>
          </w:p>
        </w:tc>
      </w:tr>
      <w:tr w:rsidR="00CB17D5" w:rsidRPr="00D939F1" w14:paraId="792109CC" w14:textId="77777777" w:rsidTr="004B21CB">
        <w:trPr>
          <w:trHeight w:val="20"/>
        </w:trPr>
        <w:tc>
          <w:tcPr>
            <w:tcW w:w="6516" w:type="dxa"/>
          </w:tcPr>
          <w:p w14:paraId="024CD810" w14:textId="44134FEB" w:rsidR="00CB17D5" w:rsidRDefault="00B91CF0">
            <w:pPr>
              <w:rPr>
                <w:rFonts w:cs="Arial"/>
                <w:b/>
              </w:rPr>
            </w:pPr>
            <w:r>
              <w:rPr>
                <w:rFonts w:cs="Arial"/>
                <w:b/>
              </w:rPr>
              <w:lastRenderedPageBreak/>
              <w:t>Qualifications</w:t>
            </w:r>
          </w:p>
        </w:tc>
        <w:tc>
          <w:tcPr>
            <w:tcW w:w="1607" w:type="dxa"/>
          </w:tcPr>
          <w:p w14:paraId="5909A12C" w14:textId="33EDB24E" w:rsidR="00CB17D5" w:rsidRPr="00D939F1" w:rsidRDefault="00B91CF0" w:rsidP="004E7328">
            <w:pPr>
              <w:jc w:val="center"/>
              <w:rPr>
                <w:rFonts w:cs="Arial"/>
                <w:b/>
              </w:rPr>
            </w:pPr>
            <w:r>
              <w:rPr>
                <w:rFonts w:cs="Arial"/>
                <w:b/>
              </w:rPr>
              <w:t xml:space="preserve">Mandatory </w:t>
            </w:r>
            <w:r w:rsidR="00CB17D5">
              <w:rPr>
                <w:rFonts w:cs="Arial"/>
                <w:b/>
              </w:rPr>
              <w:t>(</w:t>
            </w:r>
            <w:r w:rsidR="00CB17D5">
              <w:rPr>
                <w:rFonts w:ascii="Wingdings" w:eastAsia="Wingdings" w:hAnsi="Wingdings" w:cs="Wingdings"/>
                <w:b/>
              </w:rPr>
              <w:t>ü</w:t>
            </w:r>
            <w:r w:rsidR="00CB17D5">
              <w:rPr>
                <w:rFonts w:cs="Arial"/>
                <w:b/>
              </w:rPr>
              <w:t>)</w:t>
            </w:r>
          </w:p>
        </w:tc>
        <w:tc>
          <w:tcPr>
            <w:tcW w:w="1505" w:type="dxa"/>
          </w:tcPr>
          <w:p w14:paraId="6178FA23" w14:textId="40DE1C33" w:rsidR="00CB17D5" w:rsidRPr="00D939F1" w:rsidRDefault="008D18E4" w:rsidP="004E7328">
            <w:pPr>
              <w:jc w:val="center"/>
              <w:rPr>
                <w:rFonts w:cs="Arial"/>
                <w:b/>
              </w:rPr>
            </w:pPr>
            <w:r>
              <w:rPr>
                <w:rFonts w:cs="Arial"/>
                <w:b/>
              </w:rPr>
              <w:t>Indicative</w:t>
            </w:r>
            <w:r w:rsidR="00B91CF0">
              <w:rPr>
                <w:rFonts w:cs="Arial"/>
                <w:b/>
              </w:rPr>
              <w:t xml:space="preserve"> </w:t>
            </w:r>
            <w:r w:rsidR="00CB17D5">
              <w:rPr>
                <w:rFonts w:cs="Arial"/>
                <w:b/>
              </w:rPr>
              <w:t>(</w:t>
            </w:r>
            <w:r w:rsidR="00CB17D5">
              <w:rPr>
                <w:rFonts w:ascii="Wingdings" w:eastAsia="Wingdings" w:hAnsi="Wingdings" w:cs="Wingdings"/>
                <w:b/>
              </w:rPr>
              <w:t>ü</w:t>
            </w:r>
            <w:r w:rsidR="00CB17D5">
              <w:rPr>
                <w:rFonts w:cs="Arial"/>
                <w:b/>
              </w:rPr>
              <w:t>)</w:t>
            </w:r>
          </w:p>
        </w:tc>
      </w:tr>
      <w:tr w:rsidR="00B85310" w:rsidRPr="00D939F1" w14:paraId="2A016D1F" w14:textId="77777777" w:rsidTr="004B21CB">
        <w:trPr>
          <w:trHeight w:val="20"/>
        </w:trPr>
        <w:tc>
          <w:tcPr>
            <w:tcW w:w="6516" w:type="dxa"/>
          </w:tcPr>
          <w:p w14:paraId="78BA5336" w14:textId="77777777" w:rsidR="009F7FD3" w:rsidRDefault="009F7FD3" w:rsidP="009F7FD3">
            <w:pPr>
              <w:rPr>
                <w:sz w:val="22"/>
                <w:szCs w:val="22"/>
              </w:rPr>
            </w:pPr>
            <w:r w:rsidRPr="00B963F2">
              <w:rPr>
                <w:sz w:val="22"/>
                <w:szCs w:val="22"/>
              </w:rPr>
              <w:t>Minimum 5 GCSEs or equivalent at Level 2, including English and maths</w:t>
            </w:r>
          </w:p>
          <w:p w14:paraId="5C6432B9" w14:textId="77777777" w:rsidR="00390F9A" w:rsidRDefault="00390F9A" w:rsidP="009F7FD3">
            <w:pPr>
              <w:rPr>
                <w:sz w:val="22"/>
                <w:szCs w:val="22"/>
              </w:rPr>
            </w:pPr>
          </w:p>
          <w:p w14:paraId="1FE1157C" w14:textId="77777777" w:rsidR="00390F9A" w:rsidRDefault="00390F9A" w:rsidP="00571365">
            <w:pPr>
              <w:contextualSpacing/>
              <w:rPr>
                <w:rFonts w:eastAsia="Calibri" w:cs="Arial"/>
                <w:sz w:val="22"/>
                <w:szCs w:val="20"/>
                <w:lang w:eastAsia="en-US"/>
              </w:rPr>
            </w:pPr>
            <w:r w:rsidRPr="00571365">
              <w:rPr>
                <w:rFonts w:eastAsia="Calibri" w:cs="Arial"/>
                <w:sz w:val="22"/>
                <w:szCs w:val="20"/>
                <w:lang w:eastAsia="en-US"/>
              </w:rPr>
              <w:t>Trained in IPS approach</w:t>
            </w:r>
          </w:p>
          <w:p w14:paraId="7EBC8395" w14:textId="77777777" w:rsidR="00033C47" w:rsidRPr="00571365" w:rsidRDefault="00033C47" w:rsidP="00571365">
            <w:pPr>
              <w:contextualSpacing/>
              <w:rPr>
                <w:rFonts w:eastAsia="Calibri" w:cs="Arial"/>
                <w:sz w:val="22"/>
                <w:szCs w:val="20"/>
                <w:lang w:eastAsia="en-US"/>
              </w:rPr>
            </w:pPr>
          </w:p>
          <w:p w14:paraId="1901F4B1" w14:textId="77777777" w:rsidR="00390F9A" w:rsidRDefault="00390F9A" w:rsidP="00571365">
            <w:pPr>
              <w:contextualSpacing/>
              <w:rPr>
                <w:rFonts w:eastAsia="Calibri" w:cs="Arial"/>
                <w:sz w:val="22"/>
                <w:szCs w:val="20"/>
                <w:lang w:eastAsia="en-US"/>
              </w:rPr>
            </w:pPr>
            <w:r w:rsidRPr="00571365">
              <w:rPr>
                <w:rFonts w:eastAsia="Calibri" w:cs="Arial"/>
                <w:sz w:val="22"/>
                <w:szCs w:val="20"/>
                <w:lang w:eastAsia="en-US"/>
              </w:rPr>
              <w:t>Level 3 Diploma in Employability Services Sector Qualification</w:t>
            </w:r>
          </w:p>
          <w:p w14:paraId="20467775" w14:textId="77777777" w:rsidR="00033C47" w:rsidRPr="00571365" w:rsidRDefault="00033C47" w:rsidP="00571365">
            <w:pPr>
              <w:contextualSpacing/>
              <w:rPr>
                <w:rFonts w:eastAsia="Calibri" w:cs="Arial"/>
                <w:sz w:val="22"/>
                <w:szCs w:val="20"/>
                <w:lang w:eastAsia="en-US"/>
              </w:rPr>
            </w:pPr>
          </w:p>
          <w:p w14:paraId="4AD73B97" w14:textId="6EEF7B54" w:rsidR="00B85310" w:rsidRDefault="00390F9A" w:rsidP="00B85310">
            <w:pPr>
              <w:rPr>
                <w:rFonts w:cs="Arial"/>
                <w:b/>
              </w:rPr>
            </w:pPr>
            <w:r w:rsidRPr="00571365">
              <w:rPr>
                <w:rFonts w:eastAsia="Calibri" w:cs="Arial"/>
                <w:szCs w:val="20"/>
                <w:lang w:eastAsia="en-US"/>
              </w:rPr>
              <w:t>QCF in Advice &amp; Guidance (Level 3)</w:t>
            </w:r>
          </w:p>
          <w:p w14:paraId="6931C927" w14:textId="77777777" w:rsidR="00B85310" w:rsidRDefault="00B85310" w:rsidP="00B85310">
            <w:pPr>
              <w:rPr>
                <w:rFonts w:cs="Arial"/>
                <w:b/>
              </w:rPr>
            </w:pPr>
          </w:p>
          <w:p w14:paraId="18089208" w14:textId="3E15E653" w:rsidR="00B85310" w:rsidRPr="00D939F1" w:rsidRDefault="00B85310" w:rsidP="00B85310">
            <w:pPr>
              <w:rPr>
                <w:rFonts w:cs="Arial"/>
                <w:b/>
              </w:rPr>
            </w:pPr>
          </w:p>
        </w:tc>
        <w:tc>
          <w:tcPr>
            <w:tcW w:w="1607" w:type="dxa"/>
          </w:tcPr>
          <w:p w14:paraId="1BD6F39B" w14:textId="77777777" w:rsidR="00B85310" w:rsidRPr="009F7FD3" w:rsidRDefault="00B85310" w:rsidP="009F7FD3">
            <w:pPr>
              <w:pStyle w:val="ListParagraph"/>
              <w:numPr>
                <w:ilvl w:val="0"/>
                <w:numId w:val="7"/>
              </w:numPr>
              <w:jc w:val="center"/>
              <w:rPr>
                <w:rFonts w:cs="Arial"/>
                <w:b/>
              </w:rPr>
            </w:pPr>
          </w:p>
        </w:tc>
        <w:tc>
          <w:tcPr>
            <w:tcW w:w="1505" w:type="dxa"/>
          </w:tcPr>
          <w:p w14:paraId="1F3C5A07" w14:textId="77777777" w:rsidR="00B85310" w:rsidRDefault="00B85310" w:rsidP="004E7328">
            <w:pPr>
              <w:jc w:val="center"/>
              <w:rPr>
                <w:rFonts w:cs="Arial"/>
                <w:b/>
              </w:rPr>
            </w:pPr>
          </w:p>
          <w:p w14:paraId="32F29172" w14:textId="77777777" w:rsidR="00571365" w:rsidRDefault="00571365" w:rsidP="004E7328">
            <w:pPr>
              <w:jc w:val="center"/>
              <w:rPr>
                <w:rFonts w:cs="Arial"/>
                <w:b/>
              </w:rPr>
            </w:pPr>
          </w:p>
          <w:p w14:paraId="3729DB6B" w14:textId="77777777" w:rsidR="00571365" w:rsidRDefault="00571365" w:rsidP="004E7328">
            <w:pPr>
              <w:jc w:val="center"/>
              <w:rPr>
                <w:rFonts w:cs="Arial"/>
                <w:b/>
              </w:rPr>
            </w:pPr>
          </w:p>
          <w:p w14:paraId="0D8F2A7E" w14:textId="77777777" w:rsidR="00571365" w:rsidRPr="00571365" w:rsidRDefault="00571365" w:rsidP="00571365">
            <w:pPr>
              <w:pStyle w:val="ListParagraph"/>
              <w:numPr>
                <w:ilvl w:val="0"/>
                <w:numId w:val="7"/>
              </w:numPr>
              <w:jc w:val="center"/>
              <w:rPr>
                <w:rFonts w:cs="Arial"/>
                <w:b/>
              </w:rPr>
            </w:pPr>
          </w:p>
          <w:p w14:paraId="52540CB7" w14:textId="77777777" w:rsidR="00571365" w:rsidRDefault="00571365" w:rsidP="004E7328">
            <w:pPr>
              <w:jc w:val="center"/>
              <w:rPr>
                <w:rFonts w:cs="Arial"/>
                <w:b/>
              </w:rPr>
            </w:pPr>
          </w:p>
          <w:p w14:paraId="19A72211" w14:textId="77777777" w:rsidR="00571365" w:rsidRPr="00571365" w:rsidRDefault="00571365" w:rsidP="00571365">
            <w:pPr>
              <w:pStyle w:val="ListParagraph"/>
              <w:numPr>
                <w:ilvl w:val="0"/>
                <w:numId w:val="7"/>
              </w:numPr>
              <w:jc w:val="center"/>
              <w:rPr>
                <w:rFonts w:cs="Arial"/>
                <w:b/>
              </w:rPr>
            </w:pPr>
          </w:p>
          <w:p w14:paraId="55FE0FFC" w14:textId="77777777" w:rsidR="00571365" w:rsidRDefault="00571365" w:rsidP="004E7328">
            <w:pPr>
              <w:jc w:val="center"/>
              <w:rPr>
                <w:rFonts w:cs="Arial"/>
                <w:b/>
              </w:rPr>
            </w:pPr>
          </w:p>
          <w:p w14:paraId="204C4BB7" w14:textId="77777777" w:rsidR="00571365" w:rsidRPr="00571365" w:rsidRDefault="00571365" w:rsidP="00571365">
            <w:pPr>
              <w:pStyle w:val="ListParagraph"/>
              <w:numPr>
                <w:ilvl w:val="0"/>
                <w:numId w:val="7"/>
              </w:numPr>
              <w:jc w:val="center"/>
              <w:rPr>
                <w:rFonts w:cs="Arial"/>
                <w:b/>
              </w:rPr>
            </w:pPr>
          </w:p>
        </w:tc>
      </w:tr>
    </w:tbl>
    <w:p w14:paraId="1B4C93DF" w14:textId="348EB04B" w:rsidR="009E7CB1" w:rsidRPr="004B21CB" w:rsidRDefault="009E7CB1" w:rsidP="004B21CB">
      <w:pPr>
        <w:jc w:val="right"/>
        <w:rPr>
          <w:rFonts w:cs="Arial"/>
        </w:rPr>
      </w:pPr>
    </w:p>
    <w:sectPr w:rsidR="009E7CB1" w:rsidRPr="004B21CB" w:rsidSect="004B21CB">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153D" w14:textId="77777777" w:rsidR="00C42088" w:rsidRDefault="00C42088">
      <w:r>
        <w:separator/>
      </w:r>
    </w:p>
  </w:endnote>
  <w:endnote w:type="continuationSeparator" w:id="0">
    <w:p w14:paraId="2ABDEC03" w14:textId="77777777" w:rsidR="00C42088" w:rsidRDefault="00C4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F3AB" w14:textId="77777777" w:rsidR="00C90C7B" w:rsidRDefault="00C90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C509" w14:textId="39ACFA9E" w:rsidR="00E75377" w:rsidRPr="00EA43E9" w:rsidRDefault="3E8F8492" w:rsidP="3E8F8492">
    <w:pPr>
      <w:jc w:val="right"/>
    </w:pPr>
    <w:r>
      <w:rPr>
        <w:noProof/>
      </w:rPr>
      <w:drawing>
        <wp:inline distT="0" distB="0" distL="0" distR="0" wp14:anchorId="0410DF74" wp14:editId="6B7A3439">
          <wp:extent cx="2952750" cy="495300"/>
          <wp:effectExtent l="0" t="0" r="0" b="0"/>
          <wp:docPr id="429915695" name="Picture 429915695"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52750" cy="495300"/>
                  </a:xfrm>
                  <a:prstGeom prst="rect">
                    <a:avLst/>
                  </a:prstGeom>
                </pic:spPr>
              </pic:pic>
            </a:graphicData>
          </a:graphic>
        </wp:inline>
      </w:drawing>
    </w:r>
    <w:r w:rsidR="00EA43E9">
      <w:br/>
    </w:r>
    <w:sdt>
      <w:sdtPr>
        <w:id w:val="1113319399"/>
        <w:docPartObj>
          <w:docPartGallery w:val="Page Numbers (Bottom of Page)"/>
          <w:docPartUnique/>
        </w:docPartObj>
      </w:sdtPr>
      <w:sdtContent>
        <w:sdt>
          <w:sdtPr>
            <w:id w:val="1728636285"/>
            <w:docPartObj>
              <w:docPartGallery w:val="Page Numbers (Top of Page)"/>
              <w:docPartUnique/>
            </w:docPartObj>
          </w:sdtPr>
          <w:sdtContent>
            <w:r w:rsidRPr="3E8F8492">
              <w:rPr>
                <w:sz w:val="18"/>
                <w:szCs w:val="18"/>
              </w:rPr>
              <w:t xml:space="preserve">Page </w:t>
            </w:r>
            <w:r w:rsidR="00EA43E9" w:rsidRPr="3E8F8492">
              <w:rPr>
                <w:noProof/>
                <w:sz w:val="18"/>
                <w:szCs w:val="18"/>
              </w:rPr>
              <w:fldChar w:fldCharType="begin"/>
            </w:r>
            <w:r w:rsidR="00EA43E9" w:rsidRPr="3E8F8492">
              <w:rPr>
                <w:sz w:val="18"/>
                <w:szCs w:val="18"/>
              </w:rPr>
              <w:instrText xml:space="preserve"> PAGE </w:instrText>
            </w:r>
            <w:r w:rsidR="00EA43E9" w:rsidRPr="3E8F8492">
              <w:rPr>
                <w:sz w:val="18"/>
                <w:szCs w:val="18"/>
              </w:rPr>
              <w:fldChar w:fldCharType="separate"/>
            </w:r>
            <w:r w:rsidRPr="3E8F8492">
              <w:rPr>
                <w:noProof/>
                <w:sz w:val="18"/>
                <w:szCs w:val="18"/>
              </w:rPr>
              <w:t>2</w:t>
            </w:r>
            <w:r w:rsidR="00EA43E9" w:rsidRPr="3E8F8492">
              <w:rPr>
                <w:noProof/>
                <w:sz w:val="18"/>
                <w:szCs w:val="18"/>
              </w:rPr>
              <w:fldChar w:fldCharType="end"/>
            </w:r>
            <w:r w:rsidRPr="3E8F8492">
              <w:rPr>
                <w:sz w:val="18"/>
                <w:szCs w:val="18"/>
              </w:rPr>
              <w:t xml:space="preserve"> of </w:t>
            </w:r>
            <w:r w:rsidR="00EA43E9" w:rsidRPr="3E8F8492">
              <w:rPr>
                <w:noProof/>
                <w:sz w:val="18"/>
                <w:szCs w:val="18"/>
              </w:rPr>
              <w:fldChar w:fldCharType="begin"/>
            </w:r>
            <w:r w:rsidR="00EA43E9" w:rsidRPr="3E8F8492">
              <w:rPr>
                <w:sz w:val="18"/>
                <w:szCs w:val="18"/>
              </w:rPr>
              <w:instrText xml:space="preserve"> NUMPAGES  </w:instrText>
            </w:r>
            <w:r w:rsidR="00EA43E9" w:rsidRPr="3E8F8492">
              <w:rPr>
                <w:sz w:val="18"/>
                <w:szCs w:val="18"/>
              </w:rPr>
              <w:fldChar w:fldCharType="separate"/>
            </w:r>
            <w:r w:rsidRPr="3E8F8492">
              <w:rPr>
                <w:noProof/>
                <w:sz w:val="18"/>
                <w:szCs w:val="18"/>
              </w:rPr>
              <w:t>2</w:t>
            </w:r>
            <w:r w:rsidR="00EA43E9" w:rsidRPr="3E8F8492">
              <w:rPr>
                <w:noProof/>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1F6F" w14:textId="77777777" w:rsidR="00C90C7B" w:rsidRDefault="00C9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8308" w14:textId="77777777" w:rsidR="00C42088" w:rsidRDefault="00C42088">
      <w:r>
        <w:separator/>
      </w:r>
    </w:p>
  </w:footnote>
  <w:footnote w:type="continuationSeparator" w:id="0">
    <w:p w14:paraId="714DF192" w14:textId="77777777" w:rsidR="00C42088" w:rsidRDefault="00C42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EC35" w14:textId="77777777" w:rsidR="00C90C7B" w:rsidRDefault="00C90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F2EB" w14:textId="04A749A9" w:rsidR="00E75377" w:rsidRDefault="3E8F8492" w:rsidP="3E8F8492">
    <w:r>
      <w:rPr>
        <w:noProof/>
      </w:rPr>
      <w:drawing>
        <wp:inline distT="0" distB="0" distL="0" distR="0" wp14:anchorId="34ADAD35" wp14:editId="277F4996">
          <wp:extent cx="3581400" cy="1247775"/>
          <wp:effectExtent l="0" t="0" r="0" b="0"/>
          <wp:docPr id="1980656065" name="Picture 1980656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581400" cy="1247775"/>
                  </a:xfrm>
                  <a:prstGeom prst="rect">
                    <a:avLst/>
                  </a:prstGeom>
                </pic:spPr>
              </pic:pic>
            </a:graphicData>
          </a:graphic>
        </wp:inline>
      </w:drawing>
    </w:r>
  </w:p>
  <w:p w14:paraId="206D4C10" w14:textId="333562A1" w:rsidR="00E75377" w:rsidRDefault="3E8F8492" w:rsidP="0060256A">
    <w:pPr>
      <w:pStyle w:val="Header"/>
      <w:tabs>
        <w:tab w:val="clear" w:pos="8306"/>
        <w:tab w:val="right" w:pos="10260"/>
      </w:tabs>
      <w:rPr>
        <w:rFonts w:ascii="Verdana" w:hAnsi="Verdana"/>
        <w:color w:val="000000"/>
        <w:sz w:val="21"/>
        <w:szCs w:val="21"/>
      </w:rPr>
    </w:pPr>
    <w:r w:rsidRPr="3E8F8492">
      <w:rPr>
        <w:rFonts w:ascii="Verdana" w:hAnsi="Verdana"/>
        <w:color w:val="000000" w:themeColor="text1"/>
        <w:sz w:val="21"/>
        <w:szCs w:val="21"/>
      </w:rPr>
      <w:t xml:space="preserve">                             </w:t>
    </w:r>
  </w:p>
  <w:p w14:paraId="0B362707" w14:textId="77777777" w:rsidR="00A64833" w:rsidRDefault="00A64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3B40" w14:textId="77777777" w:rsidR="00C90C7B" w:rsidRDefault="00C90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39FA"/>
    <w:multiLevelType w:val="hybridMultilevel"/>
    <w:tmpl w:val="B6649CBE"/>
    <w:lvl w:ilvl="0" w:tplc="07B4FF98">
      <w:start w:val="1"/>
      <w:numFmt w:val="bullet"/>
      <w:lvlText w:val=""/>
      <w:lvlJc w:val="left"/>
      <w:pPr>
        <w:ind w:left="432" w:hanging="288"/>
      </w:pPr>
      <w:rPr>
        <w:rFonts w:ascii="Symbol" w:hAnsi="Symbol" w:hint="default"/>
        <w:color w:val="BB18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E219E"/>
    <w:multiLevelType w:val="hybridMultilevel"/>
    <w:tmpl w:val="4CCC8C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930A3"/>
    <w:multiLevelType w:val="hybridMultilevel"/>
    <w:tmpl w:val="AF942C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73F95"/>
    <w:multiLevelType w:val="hybridMultilevel"/>
    <w:tmpl w:val="6E6249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20BAF"/>
    <w:multiLevelType w:val="hybridMultilevel"/>
    <w:tmpl w:val="C700C4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17444"/>
    <w:multiLevelType w:val="hybridMultilevel"/>
    <w:tmpl w:val="DBC0D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544927"/>
    <w:multiLevelType w:val="hybridMultilevel"/>
    <w:tmpl w:val="D2BE6C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05368"/>
    <w:multiLevelType w:val="hybridMultilevel"/>
    <w:tmpl w:val="7D6C0B9E"/>
    <w:lvl w:ilvl="0" w:tplc="88709A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C06FF"/>
    <w:multiLevelType w:val="hybridMultilevel"/>
    <w:tmpl w:val="C734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75031"/>
    <w:multiLevelType w:val="hybridMultilevel"/>
    <w:tmpl w:val="298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D18B0"/>
    <w:multiLevelType w:val="hybridMultilevel"/>
    <w:tmpl w:val="B51A19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176986">
    <w:abstractNumId w:val="1"/>
  </w:num>
  <w:num w:numId="2" w16cid:durableId="1410695073">
    <w:abstractNumId w:val="9"/>
  </w:num>
  <w:num w:numId="3" w16cid:durableId="1998653519">
    <w:abstractNumId w:val="8"/>
  </w:num>
  <w:num w:numId="4" w16cid:durableId="1365908740">
    <w:abstractNumId w:val="7"/>
  </w:num>
  <w:num w:numId="5" w16cid:durableId="1217544480">
    <w:abstractNumId w:val="5"/>
  </w:num>
  <w:num w:numId="6" w16cid:durableId="269707790">
    <w:abstractNumId w:val="6"/>
  </w:num>
  <w:num w:numId="7" w16cid:durableId="655109420">
    <w:abstractNumId w:val="3"/>
  </w:num>
  <w:num w:numId="8" w16cid:durableId="1317802341">
    <w:abstractNumId w:val="0"/>
  </w:num>
  <w:num w:numId="9" w16cid:durableId="1642996631">
    <w:abstractNumId w:val="10"/>
  </w:num>
  <w:num w:numId="10" w16cid:durableId="968634351">
    <w:abstractNumId w:val="4"/>
  </w:num>
  <w:num w:numId="11" w16cid:durableId="261113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F5"/>
    <w:rsid w:val="00013DF6"/>
    <w:rsid w:val="00024381"/>
    <w:rsid w:val="00031A6B"/>
    <w:rsid w:val="00033C47"/>
    <w:rsid w:val="00034DEA"/>
    <w:rsid w:val="00043E06"/>
    <w:rsid w:val="00055C38"/>
    <w:rsid w:val="00077C31"/>
    <w:rsid w:val="00087ECD"/>
    <w:rsid w:val="00093591"/>
    <w:rsid w:val="000A471E"/>
    <w:rsid w:val="000A6204"/>
    <w:rsid w:val="000A6544"/>
    <w:rsid w:val="000B2F65"/>
    <w:rsid w:val="000B480A"/>
    <w:rsid w:val="000C3C0F"/>
    <w:rsid w:val="000E337E"/>
    <w:rsid w:val="000E7307"/>
    <w:rsid w:val="000F27A9"/>
    <w:rsid w:val="000F5714"/>
    <w:rsid w:val="0011758E"/>
    <w:rsid w:val="00117B9C"/>
    <w:rsid w:val="00122E58"/>
    <w:rsid w:val="00124530"/>
    <w:rsid w:val="00133F6D"/>
    <w:rsid w:val="0014020A"/>
    <w:rsid w:val="00150EFC"/>
    <w:rsid w:val="001566DE"/>
    <w:rsid w:val="00156FF1"/>
    <w:rsid w:val="001600E7"/>
    <w:rsid w:val="00162CCA"/>
    <w:rsid w:val="001759B0"/>
    <w:rsid w:val="0018361E"/>
    <w:rsid w:val="001860BA"/>
    <w:rsid w:val="001934BF"/>
    <w:rsid w:val="0019388A"/>
    <w:rsid w:val="001C734A"/>
    <w:rsid w:val="001D6EF0"/>
    <w:rsid w:val="001F6748"/>
    <w:rsid w:val="00205B3F"/>
    <w:rsid w:val="002117E6"/>
    <w:rsid w:val="002150A1"/>
    <w:rsid w:val="00224C2D"/>
    <w:rsid w:val="00225DB8"/>
    <w:rsid w:val="00227183"/>
    <w:rsid w:val="0024665C"/>
    <w:rsid w:val="002466D1"/>
    <w:rsid w:val="0026105A"/>
    <w:rsid w:val="00261D0E"/>
    <w:rsid w:val="00264692"/>
    <w:rsid w:val="00274C56"/>
    <w:rsid w:val="002B6476"/>
    <w:rsid w:val="002C03F5"/>
    <w:rsid w:val="002C3EEC"/>
    <w:rsid w:val="002F2EE0"/>
    <w:rsid w:val="002F4D84"/>
    <w:rsid w:val="00321964"/>
    <w:rsid w:val="00331141"/>
    <w:rsid w:val="003361DB"/>
    <w:rsid w:val="0033787F"/>
    <w:rsid w:val="00350549"/>
    <w:rsid w:val="00355995"/>
    <w:rsid w:val="0035726C"/>
    <w:rsid w:val="003855AE"/>
    <w:rsid w:val="0038794A"/>
    <w:rsid w:val="00390F9A"/>
    <w:rsid w:val="00391A8F"/>
    <w:rsid w:val="003A7DBB"/>
    <w:rsid w:val="003B0411"/>
    <w:rsid w:val="003B08BA"/>
    <w:rsid w:val="003B125C"/>
    <w:rsid w:val="003D1CB2"/>
    <w:rsid w:val="003E488D"/>
    <w:rsid w:val="003E5917"/>
    <w:rsid w:val="003F40CF"/>
    <w:rsid w:val="0040066B"/>
    <w:rsid w:val="00402DF7"/>
    <w:rsid w:val="004048E3"/>
    <w:rsid w:val="00406B5D"/>
    <w:rsid w:val="00415BA7"/>
    <w:rsid w:val="00417857"/>
    <w:rsid w:val="00430263"/>
    <w:rsid w:val="00430E49"/>
    <w:rsid w:val="004331D8"/>
    <w:rsid w:val="00434D06"/>
    <w:rsid w:val="00444BA5"/>
    <w:rsid w:val="00466E92"/>
    <w:rsid w:val="00494C5F"/>
    <w:rsid w:val="004A0A35"/>
    <w:rsid w:val="004A3F34"/>
    <w:rsid w:val="004B21CB"/>
    <w:rsid w:val="004C7E4A"/>
    <w:rsid w:val="004D4D36"/>
    <w:rsid w:val="004D5AEB"/>
    <w:rsid w:val="004E7328"/>
    <w:rsid w:val="004F5CD2"/>
    <w:rsid w:val="004F7F60"/>
    <w:rsid w:val="0051165E"/>
    <w:rsid w:val="00522B15"/>
    <w:rsid w:val="0054550B"/>
    <w:rsid w:val="00551AC6"/>
    <w:rsid w:val="00557983"/>
    <w:rsid w:val="0056399D"/>
    <w:rsid w:val="005661CF"/>
    <w:rsid w:val="00571365"/>
    <w:rsid w:val="00580343"/>
    <w:rsid w:val="005874D1"/>
    <w:rsid w:val="00590E7C"/>
    <w:rsid w:val="005A10F4"/>
    <w:rsid w:val="005A32E2"/>
    <w:rsid w:val="005B0ED9"/>
    <w:rsid w:val="0060256A"/>
    <w:rsid w:val="00611C97"/>
    <w:rsid w:val="006165C1"/>
    <w:rsid w:val="00617916"/>
    <w:rsid w:val="006209FF"/>
    <w:rsid w:val="00621B78"/>
    <w:rsid w:val="00621BD4"/>
    <w:rsid w:val="006225C3"/>
    <w:rsid w:val="0062775A"/>
    <w:rsid w:val="00636240"/>
    <w:rsid w:val="00640819"/>
    <w:rsid w:val="0064492C"/>
    <w:rsid w:val="00645AA8"/>
    <w:rsid w:val="00653659"/>
    <w:rsid w:val="006572FB"/>
    <w:rsid w:val="006760F4"/>
    <w:rsid w:val="00677D68"/>
    <w:rsid w:val="006843C7"/>
    <w:rsid w:val="00686DA9"/>
    <w:rsid w:val="006A40C9"/>
    <w:rsid w:val="006A4C83"/>
    <w:rsid w:val="006B2454"/>
    <w:rsid w:val="006B5D34"/>
    <w:rsid w:val="006C0839"/>
    <w:rsid w:val="006C1DF8"/>
    <w:rsid w:val="006D2F5A"/>
    <w:rsid w:val="006E5E7C"/>
    <w:rsid w:val="0070539E"/>
    <w:rsid w:val="007330E3"/>
    <w:rsid w:val="00740D88"/>
    <w:rsid w:val="0074456E"/>
    <w:rsid w:val="007500C2"/>
    <w:rsid w:val="0076449B"/>
    <w:rsid w:val="007659ED"/>
    <w:rsid w:val="00767D3F"/>
    <w:rsid w:val="0078575E"/>
    <w:rsid w:val="00787FA4"/>
    <w:rsid w:val="007A45DE"/>
    <w:rsid w:val="007B7460"/>
    <w:rsid w:val="007E32E9"/>
    <w:rsid w:val="008129F4"/>
    <w:rsid w:val="00817355"/>
    <w:rsid w:val="00847220"/>
    <w:rsid w:val="00852EFA"/>
    <w:rsid w:val="00853995"/>
    <w:rsid w:val="00854D86"/>
    <w:rsid w:val="00876C81"/>
    <w:rsid w:val="00880DF3"/>
    <w:rsid w:val="008812DB"/>
    <w:rsid w:val="00891D2B"/>
    <w:rsid w:val="0089380E"/>
    <w:rsid w:val="008A77CC"/>
    <w:rsid w:val="008B15A1"/>
    <w:rsid w:val="008C0F93"/>
    <w:rsid w:val="008C3C14"/>
    <w:rsid w:val="008C7CF4"/>
    <w:rsid w:val="008D18E4"/>
    <w:rsid w:val="008D1C70"/>
    <w:rsid w:val="008E1768"/>
    <w:rsid w:val="008F77A1"/>
    <w:rsid w:val="00906CB3"/>
    <w:rsid w:val="00924458"/>
    <w:rsid w:val="00926140"/>
    <w:rsid w:val="00926DFB"/>
    <w:rsid w:val="009419DD"/>
    <w:rsid w:val="00952A67"/>
    <w:rsid w:val="00965BCE"/>
    <w:rsid w:val="00974927"/>
    <w:rsid w:val="00976AC2"/>
    <w:rsid w:val="009875EB"/>
    <w:rsid w:val="00987AC7"/>
    <w:rsid w:val="009934E4"/>
    <w:rsid w:val="009A35B3"/>
    <w:rsid w:val="009C0A88"/>
    <w:rsid w:val="009C2F32"/>
    <w:rsid w:val="009E31E6"/>
    <w:rsid w:val="009E573B"/>
    <w:rsid w:val="009E7CB1"/>
    <w:rsid w:val="009F7FD3"/>
    <w:rsid w:val="00A056DA"/>
    <w:rsid w:val="00A30ED8"/>
    <w:rsid w:val="00A34525"/>
    <w:rsid w:val="00A36BC8"/>
    <w:rsid w:val="00A36DF1"/>
    <w:rsid w:val="00A47996"/>
    <w:rsid w:val="00A61442"/>
    <w:rsid w:val="00A616EF"/>
    <w:rsid w:val="00A64833"/>
    <w:rsid w:val="00A66641"/>
    <w:rsid w:val="00A81716"/>
    <w:rsid w:val="00A93C10"/>
    <w:rsid w:val="00AA11FB"/>
    <w:rsid w:val="00AA22B1"/>
    <w:rsid w:val="00AB09D0"/>
    <w:rsid w:val="00AB4F97"/>
    <w:rsid w:val="00AC5493"/>
    <w:rsid w:val="00AC694A"/>
    <w:rsid w:val="00AD0109"/>
    <w:rsid w:val="00AD23D2"/>
    <w:rsid w:val="00AE3FA7"/>
    <w:rsid w:val="00AF475A"/>
    <w:rsid w:val="00AF5A3B"/>
    <w:rsid w:val="00AF6288"/>
    <w:rsid w:val="00B002F3"/>
    <w:rsid w:val="00B00345"/>
    <w:rsid w:val="00B03893"/>
    <w:rsid w:val="00B10F72"/>
    <w:rsid w:val="00B2268E"/>
    <w:rsid w:val="00B227F8"/>
    <w:rsid w:val="00B274E4"/>
    <w:rsid w:val="00B33665"/>
    <w:rsid w:val="00B35B55"/>
    <w:rsid w:val="00B35ECA"/>
    <w:rsid w:val="00B56F6A"/>
    <w:rsid w:val="00B85310"/>
    <w:rsid w:val="00B91984"/>
    <w:rsid w:val="00B91CF0"/>
    <w:rsid w:val="00B9502F"/>
    <w:rsid w:val="00B95C1A"/>
    <w:rsid w:val="00BA0FDC"/>
    <w:rsid w:val="00BA5B8D"/>
    <w:rsid w:val="00BB560D"/>
    <w:rsid w:val="00BC4F9E"/>
    <w:rsid w:val="00BC5EF0"/>
    <w:rsid w:val="00BD435C"/>
    <w:rsid w:val="00BF0ADF"/>
    <w:rsid w:val="00C14884"/>
    <w:rsid w:val="00C1607F"/>
    <w:rsid w:val="00C42088"/>
    <w:rsid w:val="00C51BEE"/>
    <w:rsid w:val="00C537EE"/>
    <w:rsid w:val="00C735F1"/>
    <w:rsid w:val="00C75F78"/>
    <w:rsid w:val="00C83A32"/>
    <w:rsid w:val="00C90C7B"/>
    <w:rsid w:val="00C93576"/>
    <w:rsid w:val="00C95423"/>
    <w:rsid w:val="00CA6CA7"/>
    <w:rsid w:val="00CB17D5"/>
    <w:rsid w:val="00CC5F86"/>
    <w:rsid w:val="00CD7BB1"/>
    <w:rsid w:val="00CE0AE1"/>
    <w:rsid w:val="00D02A9C"/>
    <w:rsid w:val="00D2136C"/>
    <w:rsid w:val="00D21E04"/>
    <w:rsid w:val="00D24D23"/>
    <w:rsid w:val="00D26B9A"/>
    <w:rsid w:val="00D310BA"/>
    <w:rsid w:val="00D318C7"/>
    <w:rsid w:val="00D323A7"/>
    <w:rsid w:val="00D37C4F"/>
    <w:rsid w:val="00D41C86"/>
    <w:rsid w:val="00D42B96"/>
    <w:rsid w:val="00D47A85"/>
    <w:rsid w:val="00D51590"/>
    <w:rsid w:val="00D607E7"/>
    <w:rsid w:val="00D66BD3"/>
    <w:rsid w:val="00D74894"/>
    <w:rsid w:val="00D807F0"/>
    <w:rsid w:val="00D8675A"/>
    <w:rsid w:val="00D9301A"/>
    <w:rsid w:val="00D939F1"/>
    <w:rsid w:val="00D96DEC"/>
    <w:rsid w:val="00DB0045"/>
    <w:rsid w:val="00DC56D1"/>
    <w:rsid w:val="00DF3FC3"/>
    <w:rsid w:val="00E009A9"/>
    <w:rsid w:val="00E155BF"/>
    <w:rsid w:val="00E40D39"/>
    <w:rsid w:val="00E423A7"/>
    <w:rsid w:val="00E53BF2"/>
    <w:rsid w:val="00E54D96"/>
    <w:rsid w:val="00E565F4"/>
    <w:rsid w:val="00E71FC1"/>
    <w:rsid w:val="00E72BC5"/>
    <w:rsid w:val="00E75377"/>
    <w:rsid w:val="00E93518"/>
    <w:rsid w:val="00E96387"/>
    <w:rsid w:val="00EA0B5C"/>
    <w:rsid w:val="00EA2454"/>
    <w:rsid w:val="00EA2B3A"/>
    <w:rsid w:val="00EA43E9"/>
    <w:rsid w:val="00EC0C19"/>
    <w:rsid w:val="00EC2793"/>
    <w:rsid w:val="00F01474"/>
    <w:rsid w:val="00F06708"/>
    <w:rsid w:val="00F073E6"/>
    <w:rsid w:val="00F16F83"/>
    <w:rsid w:val="00F1787E"/>
    <w:rsid w:val="00F2063D"/>
    <w:rsid w:val="00F2303F"/>
    <w:rsid w:val="00F318C2"/>
    <w:rsid w:val="00F36307"/>
    <w:rsid w:val="00F46B56"/>
    <w:rsid w:val="00F57096"/>
    <w:rsid w:val="00F766AC"/>
    <w:rsid w:val="00F77C55"/>
    <w:rsid w:val="00F81730"/>
    <w:rsid w:val="00F93878"/>
    <w:rsid w:val="00F97481"/>
    <w:rsid w:val="00FA26B6"/>
    <w:rsid w:val="00FA5571"/>
    <w:rsid w:val="00FB1D5E"/>
    <w:rsid w:val="00FB45D0"/>
    <w:rsid w:val="00FB65BD"/>
    <w:rsid w:val="00FC3375"/>
    <w:rsid w:val="00FC5799"/>
    <w:rsid w:val="00FE05A7"/>
    <w:rsid w:val="00FF0AFC"/>
    <w:rsid w:val="00FF3F0D"/>
    <w:rsid w:val="0405D4CA"/>
    <w:rsid w:val="186AB760"/>
    <w:rsid w:val="3E8F8492"/>
    <w:rsid w:val="65AC37B1"/>
    <w:rsid w:val="70F0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8AC66"/>
  <w15:chartTrackingRefBased/>
  <w15:docId w15:val="{D64524BC-9837-4C11-9417-662A886B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E565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4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SJ Head1"/>
    <w:basedOn w:val="Normal"/>
    <w:link w:val="HeaderChar"/>
    <w:rsid w:val="00C537EE"/>
    <w:pPr>
      <w:tabs>
        <w:tab w:val="center" w:pos="4153"/>
        <w:tab w:val="right" w:pos="8306"/>
      </w:tabs>
    </w:pPr>
  </w:style>
  <w:style w:type="paragraph" w:styleId="Footer">
    <w:name w:val="footer"/>
    <w:basedOn w:val="Normal"/>
    <w:link w:val="FooterChar"/>
    <w:uiPriority w:val="99"/>
    <w:rsid w:val="00C537EE"/>
    <w:pPr>
      <w:tabs>
        <w:tab w:val="center" w:pos="4153"/>
        <w:tab w:val="right" w:pos="8306"/>
      </w:tabs>
    </w:pPr>
  </w:style>
  <w:style w:type="character" w:styleId="Hyperlink">
    <w:name w:val="Hyperlink"/>
    <w:rsid w:val="000E7307"/>
    <w:rPr>
      <w:color w:val="0000FF"/>
      <w:u w:val="single"/>
    </w:rPr>
  </w:style>
  <w:style w:type="paragraph" w:styleId="BalloonText">
    <w:name w:val="Balloon Text"/>
    <w:basedOn w:val="Normal"/>
    <w:semiHidden/>
    <w:rsid w:val="0060256A"/>
    <w:rPr>
      <w:rFonts w:ascii="Tahoma" w:hAnsi="Tahoma" w:cs="Tahoma"/>
      <w:sz w:val="16"/>
      <w:szCs w:val="16"/>
    </w:rPr>
  </w:style>
  <w:style w:type="paragraph" w:styleId="ListParagraph">
    <w:name w:val="List Paragraph"/>
    <w:basedOn w:val="Normal"/>
    <w:uiPriority w:val="34"/>
    <w:qFormat/>
    <w:rsid w:val="004F5CD2"/>
    <w:pPr>
      <w:ind w:left="720"/>
    </w:pPr>
  </w:style>
  <w:style w:type="character" w:styleId="UnresolvedMention">
    <w:name w:val="Unresolved Mention"/>
    <w:uiPriority w:val="99"/>
    <w:semiHidden/>
    <w:unhideWhenUsed/>
    <w:rsid w:val="004F5CD2"/>
    <w:rPr>
      <w:color w:val="808080"/>
      <w:shd w:val="clear" w:color="auto" w:fill="E6E6E6"/>
    </w:rPr>
  </w:style>
  <w:style w:type="table" w:styleId="TableGridLight">
    <w:name w:val="Grid Table Light"/>
    <w:basedOn w:val="TableNormal"/>
    <w:uiPriority w:val="40"/>
    <w:rsid w:val="00B274E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AC549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rsid w:val="00F2063D"/>
    <w:rPr>
      <w:sz w:val="16"/>
      <w:szCs w:val="16"/>
    </w:rPr>
  </w:style>
  <w:style w:type="paragraph" w:styleId="CommentText">
    <w:name w:val="annotation text"/>
    <w:basedOn w:val="Normal"/>
    <w:link w:val="CommentTextChar"/>
    <w:rsid w:val="00F2063D"/>
    <w:rPr>
      <w:sz w:val="20"/>
      <w:szCs w:val="20"/>
    </w:rPr>
  </w:style>
  <w:style w:type="character" w:customStyle="1" w:styleId="CommentTextChar">
    <w:name w:val="Comment Text Char"/>
    <w:link w:val="CommentText"/>
    <w:rsid w:val="00F2063D"/>
    <w:rPr>
      <w:rFonts w:ascii="Arial" w:hAnsi="Arial"/>
    </w:rPr>
  </w:style>
  <w:style w:type="paragraph" w:styleId="CommentSubject">
    <w:name w:val="annotation subject"/>
    <w:basedOn w:val="CommentText"/>
    <w:next w:val="CommentText"/>
    <w:link w:val="CommentSubjectChar"/>
    <w:rsid w:val="00F2063D"/>
    <w:rPr>
      <w:b/>
      <w:bCs/>
    </w:rPr>
  </w:style>
  <w:style w:type="character" w:customStyle="1" w:styleId="CommentSubjectChar">
    <w:name w:val="Comment Subject Char"/>
    <w:link w:val="CommentSubject"/>
    <w:rsid w:val="00F2063D"/>
    <w:rPr>
      <w:rFonts w:ascii="Arial" w:hAnsi="Arial"/>
      <w:b/>
      <w:bCs/>
    </w:rPr>
  </w:style>
  <w:style w:type="paragraph" w:styleId="Revision">
    <w:name w:val="Revision"/>
    <w:hidden/>
    <w:uiPriority w:val="99"/>
    <w:semiHidden/>
    <w:rsid w:val="00F2063D"/>
    <w:rPr>
      <w:rFonts w:ascii="Arial" w:hAnsi="Arial"/>
      <w:sz w:val="24"/>
      <w:szCs w:val="24"/>
    </w:rPr>
  </w:style>
  <w:style w:type="character" w:styleId="PlaceholderText">
    <w:name w:val="Placeholder Text"/>
    <w:basedOn w:val="DefaultParagraphFont"/>
    <w:uiPriority w:val="99"/>
    <w:semiHidden/>
    <w:rsid w:val="007E32E9"/>
    <w:rPr>
      <w:color w:val="808080"/>
    </w:rPr>
  </w:style>
  <w:style w:type="character" w:customStyle="1" w:styleId="Style1">
    <w:name w:val="Style1"/>
    <w:basedOn w:val="DefaultParagraphFont"/>
    <w:uiPriority w:val="1"/>
    <w:rsid w:val="001D6EF0"/>
    <w:rPr>
      <w:rFonts w:ascii="Arial" w:hAnsi="Arial"/>
      <w:b/>
      <w:sz w:val="32"/>
    </w:rPr>
  </w:style>
  <w:style w:type="character" w:customStyle="1" w:styleId="HeaderChar">
    <w:name w:val="Header Char"/>
    <w:aliases w:val="SJ Head1 Char"/>
    <w:basedOn w:val="DefaultParagraphFont"/>
    <w:link w:val="Header"/>
    <w:rsid w:val="00E565F4"/>
    <w:rPr>
      <w:rFonts w:ascii="Arial" w:hAnsi="Arial"/>
      <w:sz w:val="24"/>
      <w:szCs w:val="24"/>
    </w:rPr>
  </w:style>
  <w:style w:type="character" w:customStyle="1" w:styleId="Heading1Char">
    <w:name w:val="Heading 1 Char"/>
    <w:basedOn w:val="DefaultParagraphFont"/>
    <w:link w:val="Heading1"/>
    <w:rsid w:val="00E565F4"/>
    <w:rPr>
      <w:rFonts w:asciiTheme="majorHAnsi" w:eastAsiaTheme="majorEastAsia" w:hAnsiTheme="majorHAnsi" w:cstheme="majorBidi"/>
      <w:color w:val="2F5496" w:themeColor="accent1" w:themeShade="BF"/>
      <w:sz w:val="32"/>
      <w:szCs w:val="32"/>
    </w:rPr>
  </w:style>
  <w:style w:type="character" w:customStyle="1" w:styleId="FooterChar">
    <w:name w:val="Footer Char"/>
    <w:basedOn w:val="DefaultParagraphFont"/>
    <w:link w:val="Footer"/>
    <w:uiPriority w:val="99"/>
    <w:rsid w:val="00B91CF0"/>
    <w:rPr>
      <w:rFonts w:ascii="Arial" w:hAnsi="Arial"/>
      <w:sz w:val="24"/>
      <w:szCs w:val="24"/>
    </w:rPr>
  </w:style>
  <w:style w:type="character" w:customStyle="1" w:styleId="wacimagecontainer">
    <w:name w:val="wacimagecontainer"/>
    <w:basedOn w:val="DefaultParagraphFont"/>
    <w:rsid w:val="00224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6ee3491-b5b1-4be3-80a9-381477ef7be2" xsi:nil="true"/>
    <lcf76f155ced4ddcb4097134ff3c332f xmlns="090efa07-1915-42b2-8f09-4ebb8036b799">
      <Terms xmlns="http://schemas.microsoft.com/office/infopath/2007/PartnerControls"/>
    </lcf76f155ced4ddcb4097134ff3c332f>
    <_Flow_SignoffStatus xmlns="090efa07-1915-42b2-8f09-4ebb8036b799" xsi:nil="true"/>
  </documentManagement>
</p:properties>
</file>

<file path=customXml/itemProps1.xml><?xml version="1.0" encoding="utf-8"?>
<ds:datastoreItem xmlns:ds="http://schemas.openxmlformats.org/officeDocument/2006/customXml" ds:itemID="{274E9247-2929-4EDC-9C06-7986CDB7B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1AA9F-FEB9-4C2E-8115-3BB08B033A7F}">
  <ds:schemaRefs>
    <ds:schemaRef ds:uri="http://schemas.microsoft.com/sharepoint/v3/contenttype/forms"/>
  </ds:schemaRefs>
</ds:datastoreItem>
</file>

<file path=customXml/itemProps3.xml><?xml version="1.0" encoding="utf-8"?>
<ds:datastoreItem xmlns:ds="http://schemas.openxmlformats.org/officeDocument/2006/customXml" ds:itemID="{5A0FC6D7-8EED-4244-BFFB-DF1EA84CF757}">
  <ds:schemaRefs>
    <ds:schemaRef ds:uri="http://schemas.openxmlformats.org/officeDocument/2006/bibliography"/>
  </ds:schemaRefs>
</ds:datastoreItem>
</file>

<file path=customXml/itemProps4.xml><?xml version="1.0" encoding="utf-8"?>
<ds:datastoreItem xmlns:ds="http://schemas.openxmlformats.org/officeDocument/2006/customXml" ds:itemID="{198FFCD7-6BA2-4D9A-8435-0BF4987510FC}">
  <ds:schemaRefs>
    <ds:schemaRef ds:uri="http://schemas.microsoft.com/office/2006/metadata/properties"/>
    <ds:schemaRef ds:uri="http://schemas.microsoft.com/office/infopath/2007/PartnerControls"/>
    <ds:schemaRef ds:uri="96ee3491-b5b1-4be3-80a9-381477ef7be2"/>
    <ds:schemaRef ds:uri="090efa07-1915-42b2-8f09-4ebb8036b7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5518</Characters>
  <Application>Microsoft Office Word</Application>
  <DocSecurity>0</DocSecurity>
  <Lines>45</Lines>
  <Paragraphs>12</Paragraphs>
  <ScaleCrop>false</ScaleCrop>
  <Company>Norfolk County Council</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F218 Job description and person specification template</dc:title>
  <dc:subject/>
  <dc:creator>Albrow, Sally</dc:creator>
  <cp:keywords/>
  <cp:lastModifiedBy>Morgane Hervy</cp:lastModifiedBy>
  <cp:revision>17</cp:revision>
  <cp:lastPrinted>2019-01-15T10:28:00Z</cp:lastPrinted>
  <dcterms:created xsi:type="dcterms:W3CDTF">2025-03-24T18:04:00Z</dcterms:created>
  <dcterms:modified xsi:type="dcterms:W3CDTF">2025-06-19T11:35:00Z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