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61670B75" w:rsidR="007663D4" w:rsidRPr="00394909" w:rsidRDefault="00283796" w:rsidP="000E4710">
            <w:pPr>
              <w:pStyle w:val="NoSpacing"/>
              <w:ind w:right="-247"/>
              <w:rPr>
                <w:sz w:val="68"/>
                <w:szCs w:val="68"/>
              </w:rPr>
            </w:pPr>
            <w:r>
              <w:rPr>
                <w:sz w:val="68"/>
                <w:szCs w:val="68"/>
              </w:rPr>
              <w:t>Hollymount</w:t>
            </w:r>
            <w:r w:rsidR="00CC464E" w:rsidRPr="00CC464E">
              <w:rPr>
                <w:sz w:val="68"/>
                <w:szCs w:val="68"/>
              </w:rPr>
              <w:t xml:space="preserve"> Primary School – </w:t>
            </w:r>
            <w:r>
              <w:rPr>
                <w:sz w:val="68"/>
                <w:szCs w:val="68"/>
              </w:rPr>
              <w:t xml:space="preserve">Lightning Protection and Footpath </w:t>
            </w:r>
            <w:r w:rsidR="00CC464E" w:rsidRPr="00CC464E">
              <w:rPr>
                <w:sz w:val="68"/>
                <w:szCs w:val="68"/>
              </w:rPr>
              <w:t xml:space="preserve"> Works/Project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2062921E" w:rsidR="007663D4" w:rsidRPr="00CF2C9A" w:rsidRDefault="00283796" w:rsidP="009D0078">
            <w:pPr>
              <w:pStyle w:val="NoSpacing"/>
              <w:rPr>
                <w:sz w:val="40"/>
                <w:szCs w:val="28"/>
              </w:rPr>
            </w:pPr>
            <w:r>
              <w:rPr>
                <w:sz w:val="40"/>
                <w:szCs w:val="28"/>
              </w:rPr>
              <w:t>23</w:t>
            </w:r>
            <w:r w:rsidR="00394909" w:rsidRPr="00394909">
              <w:rPr>
                <w:sz w:val="40"/>
                <w:szCs w:val="28"/>
              </w:rPr>
              <w:t xml:space="preserve"> June</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72CDB033" w:rsidR="00F77717" w:rsidRPr="00F77717" w:rsidRDefault="00F77717">
                            <w:pPr>
                              <w:rPr>
                                <w:b/>
                                <w:bCs/>
                                <w:sz w:val="18"/>
                              </w:rPr>
                            </w:pPr>
                            <w:r w:rsidRPr="00F77717">
                              <w:rPr>
                                <w:b/>
                                <w:bCs/>
                                <w:sz w:val="18"/>
                              </w:rPr>
                              <w:t xml:space="preserve">Date: </w:t>
                            </w:r>
                            <w:r w:rsidR="00283796">
                              <w:rPr>
                                <w:b/>
                                <w:bCs/>
                                <w:sz w:val="18"/>
                              </w:rPr>
                              <w:t>23</w:t>
                            </w:r>
                            <w:r w:rsidR="00394909">
                              <w:rPr>
                                <w:b/>
                                <w:bCs/>
                                <w:sz w:val="18"/>
                              </w:rPr>
                              <w:t xml:space="preserve"> June</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72CDB033" w:rsidR="00F77717" w:rsidRPr="00F77717" w:rsidRDefault="00F77717">
                      <w:pPr>
                        <w:rPr>
                          <w:b/>
                          <w:bCs/>
                          <w:sz w:val="18"/>
                        </w:rPr>
                      </w:pPr>
                      <w:r w:rsidRPr="00F77717">
                        <w:rPr>
                          <w:b/>
                          <w:bCs/>
                          <w:sz w:val="18"/>
                        </w:rPr>
                        <w:t xml:space="preserve">Date: </w:t>
                      </w:r>
                      <w:r w:rsidR="00283796">
                        <w:rPr>
                          <w:b/>
                          <w:bCs/>
                          <w:sz w:val="18"/>
                        </w:rPr>
                        <w:t>23</w:t>
                      </w:r>
                      <w:r w:rsidR="00394909">
                        <w:rPr>
                          <w:b/>
                          <w:bCs/>
                          <w:sz w:val="18"/>
                        </w:rPr>
                        <w:t xml:space="preserve"> June</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618C6FF9"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Ref No.:  DN</w:t>
      </w:r>
      <w:r w:rsidR="00394909">
        <w:rPr>
          <w:rFonts w:cs="Arial"/>
          <w:b/>
          <w:bCs/>
        </w:rPr>
        <w:t>7</w:t>
      </w:r>
      <w:r w:rsidR="00CC464E">
        <w:rPr>
          <w:rFonts w:cs="Arial"/>
          <w:b/>
          <w:bCs/>
        </w:rPr>
        <w:t>7</w:t>
      </w:r>
      <w:r w:rsidR="00283796">
        <w:rPr>
          <w:rFonts w:cs="Arial"/>
          <w:b/>
          <w:bCs/>
        </w:rPr>
        <w:t>5018</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2E6BF636"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283796">
        <w:rPr>
          <w:rFonts w:cs="Arial"/>
          <w:b/>
          <w:bCs/>
        </w:rPr>
        <w:t>Lightning Protection and footpath</w:t>
      </w:r>
      <w:r w:rsidR="00CC464E" w:rsidRPr="00CC464E">
        <w:rPr>
          <w:rFonts w:cs="Arial"/>
          <w:b/>
          <w:bCs/>
        </w:rPr>
        <w:t xml:space="preserve"> Works</w:t>
      </w:r>
      <w:r w:rsidR="00CC464E">
        <w:rPr>
          <w:rFonts w:cs="Arial"/>
          <w:b/>
          <w:bCs/>
        </w:rPr>
        <w:t xml:space="preserve"> at</w:t>
      </w:r>
      <w:r w:rsidR="00394909">
        <w:rPr>
          <w:rFonts w:cs="Arial"/>
        </w:rPr>
        <w:t xml:space="preserve"> </w:t>
      </w:r>
      <w:r w:rsidR="00283796">
        <w:rPr>
          <w:rFonts w:cs="Arial"/>
          <w:b/>
          <w:bCs/>
        </w:rPr>
        <w:t>Hollymount</w:t>
      </w:r>
      <w:r w:rsidR="00CC464E" w:rsidRPr="00CC464E">
        <w:rPr>
          <w:rFonts w:cs="Arial"/>
          <w:b/>
          <w:bCs/>
        </w:rPr>
        <w:t xml:space="preserve"> Primary School</w:t>
      </w:r>
      <w:r w:rsidR="00CC464E">
        <w:rPr>
          <w:rFonts w:cs="Arial"/>
          <w:b/>
          <w:bCs/>
        </w:rPr>
        <w:t>,</w:t>
      </w:r>
      <w:r w:rsidR="006C4572">
        <w:rPr>
          <w:rFonts w:cs="Arial"/>
        </w:rPr>
        <w:t xml:space="preserve"> </w:t>
      </w:r>
      <w:r w:rsidRPr="4E80FBEF">
        <w:rPr>
          <w:rFonts w:cs="Arial"/>
        </w:rPr>
        <w:t xml:space="preserve">which are due to be undertaken over the </w:t>
      </w:r>
      <w:r w:rsidRPr="00394909">
        <w:rPr>
          <w:rFonts w:cs="Arial"/>
        </w:rPr>
        <w:t>upcoming summer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20236885"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r w:rsidR="000E4710">
        <w:rPr>
          <w:rFonts w:cs="Arial"/>
          <w:szCs w:val="24"/>
        </w:rPr>
        <w:t>McBains</w:t>
      </w:r>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The Council is inviting bid submissions to deliver this project the London Tenders Portal using its ProContract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3DAE7B04"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Contract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283796">
        <w:rPr>
          <w:rFonts w:cs="Arial"/>
          <w:szCs w:val="24"/>
        </w:rPr>
        <w:t>7</w:t>
      </w:r>
      <w:r w:rsidR="000E4710" w:rsidRPr="000E4710">
        <w:rPr>
          <w:rFonts w:cs="Arial"/>
          <w:szCs w:val="24"/>
          <w:vertAlign w:val="superscript"/>
        </w:rPr>
        <w:t>th</w:t>
      </w:r>
      <w:r w:rsidR="000E4710">
        <w:rPr>
          <w:rFonts w:cs="Arial"/>
          <w:szCs w:val="24"/>
        </w:rPr>
        <w:t xml:space="preserve"> </w:t>
      </w:r>
      <w:r w:rsidR="00394909">
        <w:rPr>
          <w:rFonts w:cs="Arial"/>
          <w:szCs w:val="24"/>
        </w:rPr>
        <w:t>July</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ProContract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55AE4934"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9E62B0">
        <w:rPr>
          <w:rFonts w:ascii="Arial" w:hAnsi="Arial" w:cs="Arial"/>
          <w:smallCaps w:val="0"/>
          <w:sz w:val="26"/>
          <w:szCs w:val="26"/>
        </w:rPr>
        <w:t>23</w:t>
      </w:r>
      <w:r w:rsidR="00394909">
        <w:rPr>
          <w:rFonts w:ascii="Arial" w:hAnsi="Arial" w:cs="Arial"/>
          <w:smallCaps w:val="0"/>
          <w:sz w:val="26"/>
          <w:szCs w:val="26"/>
        </w:rPr>
        <w:t>/06/</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56784944" w14:textId="67CDFBD4" w:rsidR="00A43CA0" w:rsidRPr="000E4710" w:rsidRDefault="00283796" w:rsidP="00A43CA0">
      <w:pPr>
        <w:jc w:val="center"/>
        <w:rPr>
          <w:rFonts w:cs="Arial"/>
          <w:b/>
          <w:sz w:val="28"/>
          <w:szCs w:val="28"/>
        </w:rPr>
      </w:pPr>
      <w:r>
        <w:rPr>
          <w:rFonts w:eastAsiaTheme="minorEastAsia" w:cs="Arial"/>
          <w:b/>
          <w:sz w:val="26"/>
          <w:szCs w:val="26"/>
        </w:rPr>
        <w:t>Lightning Protection and Footpath</w:t>
      </w:r>
      <w:r w:rsidR="00CC464E" w:rsidRPr="00CC464E">
        <w:rPr>
          <w:rFonts w:eastAsiaTheme="minorEastAsia" w:cs="Arial"/>
          <w:b/>
          <w:sz w:val="26"/>
          <w:szCs w:val="26"/>
        </w:rPr>
        <w:t xml:space="preserve"> Works at </w:t>
      </w:r>
      <w:r>
        <w:rPr>
          <w:rFonts w:eastAsiaTheme="minorEastAsia" w:cs="Arial"/>
          <w:b/>
          <w:sz w:val="26"/>
          <w:szCs w:val="26"/>
        </w:rPr>
        <w:t>Hollymount</w:t>
      </w:r>
      <w:r w:rsidR="00CC464E" w:rsidRPr="00CC464E">
        <w:rPr>
          <w:rFonts w:eastAsiaTheme="minorEastAsia" w:cs="Arial"/>
          <w:b/>
          <w:sz w:val="26"/>
          <w:szCs w:val="26"/>
        </w:rPr>
        <w:t xml:space="preserve"> Park Primary</w:t>
      </w:r>
      <w:r w:rsidR="00CC464E" w:rsidRPr="000E4710">
        <w:rPr>
          <w:rFonts w:cs="Arial"/>
          <w:b/>
          <w:bCs/>
          <w:sz w:val="28"/>
          <w:szCs w:val="28"/>
        </w:rPr>
        <w:t xml:space="preserve"> </w:t>
      </w:r>
      <w:r w:rsidR="000E4710" w:rsidRPr="000E4710">
        <w:rPr>
          <w:rFonts w:cs="Arial"/>
          <w:b/>
          <w:bCs/>
          <w:sz w:val="28"/>
          <w:szCs w:val="28"/>
        </w:rPr>
        <w:t>School</w:t>
      </w:r>
    </w:p>
    <w:p w14:paraId="59C9AC23" w14:textId="4518A63A"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w:t>
      </w:r>
      <w:r w:rsidR="00283796">
        <w:rPr>
          <w:rFonts w:cs="Arial"/>
          <w:b/>
          <w:bCs/>
          <w:sz w:val="26"/>
          <w:szCs w:val="26"/>
        </w:rPr>
        <w:t>5018</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73587DF1"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283796">
              <w:rPr>
                <w:rFonts w:ascii="Arial" w:hAnsi="Arial" w:cs="Arial"/>
                <w:b/>
                <w:sz w:val="26"/>
                <w:szCs w:val="26"/>
              </w:rPr>
              <w:t>7</w:t>
            </w:r>
            <w:r w:rsidR="000E4710" w:rsidRPr="000E4710">
              <w:rPr>
                <w:rFonts w:ascii="Arial" w:hAnsi="Arial" w:cs="Arial"/>
                <w:b/>
                <w:sz w:val="26"/>
                <w:szCs w:val="26"/>
                <w:vertAlign w:val="superscript"/>
              </w:rPr>
              <w:t>th</w:t>
            </w:r>
            <w:r w:rsidR="000E4710">
              <w:rPr>
                <w:rFonts w:ascii="Arial" w:hAnsi="Arial" w:cs="Arial"/>
                <w:b/>
                <w:sz w:val="26"/>
                <w:szCs w:val="26"/>
              </w:rPr>
              <w:t xml:space="preserve"> J</w:t>
            </w:r>
            <w:r w:rsidR="00394909">
              <w:rPr>
                <w:rFonts w:ascii="Arial" w:hAnsi="Arial" w:cs="Arial"/>
                <w:b/>
                <w:sz w:val="26"/>
                <w:szCs w:val="26"/>
              </w:rPr>
              <w:t>uly</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353256DC"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15272C">
          <w:rPr>
            <w:noProof/>
            <w:webHidden/>
          </w:rPr>
          <w:t>1</w:t>
        </w:r>
        <w:r w:rsidR="007E25B9">
          <w:rPr>
            <w:noProof/>
            <w:webHidden/>
          </w:rPr>
          <w:fldChar w:fldCharType="end"/>
        </w:r>
      </w:hyperlink>
    </w:p>
    <w:p w14:paraId="265288DE" w14:textId="350DEA32"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15272C">
          <w:rPr>
            <w:noProof/>
            <w:webHidden/>
          </w:rPr>
          <w:t>2</w:t>
        </w:r>
        <w:r>
          <w:rPr>
            <w:noProof/>
            <w:webHidden/>
          </w:rPr>
          <w:fldChar w:fldCharType="end"/>
        </w:r>
      </w:hyperlink>
    </w:p>
    <w:p w14:paraId="475965AB" w14:textId="7832E0EC"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15272C">
          <w:rPr>
            <w:noProof/>
            <w:webHidden/>
          </w:rPr>
          <w:t>3</w:t>
        </w:r>
        <w:r>
          <w:rPr>
            <w:noProof/>
            <w:webHidden/>
          </w:rPr>
          <w:fldChar w:fldCharType="end"/>
        </w:r>
      </w:hyperlink>
    </w:p>
    <w:p w14:paraId="4B9E33BA" w14:textId="38E831AD"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15272C">
          <w:rPr>
            <w:noProof/>
            <w:webHidden/>
          </w:rPr>
          <w:t>3</w:t>
        </w:r>
        <w:r>
          <w:rPr>
            <w:noProof/>
            <w:webHidden/>
          </w:rPr>
          <w:fldChar w:fldCharType="end"/>
        </w:r>
      </w:hyperlink>
    </w:p>
    <w:p w14:paraId="0F3341E9" w14:textId="62DA7B95"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15272C">
          <w:rPr>
            <w:noProof/>
            <w:webHidden/>
          </w:rPr>
          <w:t>4</w:t>
        </w:r>
        <w:r>
          <w:rPr>
            <w:noProof/>
            <w:webHidden/>
          </w:rPr>
          <w:fldChar w:fldCharType="end"/>
        </w:r>
      </w:hyperlink>
    </w:p>
    <w:p w14:paraId="3C744B3B" w14:textId="61A4695F"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15272C">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13AC99E5"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283796">
        <w:rPr>
          <w:rFonts w:cs="Arial"/>
          <w:sz w:val="26"/>
          <w:szCs w:val="26"/>
        </w:rPr>
        <w:t>Hollymount</w:t>
      </w:r>
      <w:r w:rsidR="006B35AE">
        <w:rPr>
          <w:rFonts w:cs="Arial"/>
          <w:sz w:val="26"/>
          <w:szCs w:val="26"/>
        </w:rPr>
        <w:t xml:space="preserve"> Primary</w:t>
      </w:r>
      <w:r w:rsidR="00394909">
        <w:rPr>
          <w:rFonts w:cs="Arial"/>
          <w:sz w:val="26"/>
          <w:szCs w:val="26"/>
        </w:rPr>
        <w:t xml:space="preserve"> </w:t>
      </w:r>
      <w:r w:rsidR="00AA57B2">
        <w:rPr>
          <w:rFonts w:cs="Arial"/>
          <w:sz w:val="26"/>
          <w:szCs w:val="26"/>
        </w:rPr>
        <w:t>School</w:t>
      </w:r>
      <w:r w:rsidRPr="4E80FBEF">
        <w:rPr>
          <w:rFonts w:cs="Arial"/>
          <w:sz w:val="26"/>
          <w:szCs w:val="26"/>
        </w:rPr>
        <w:t xml:space="preserve"> </w:t>
      </w:r>
      <w:bookmarkStart w:id="8" w:name="_Hlk70409967"/>
      <w:r w:rsidRPr="00394909">
        <w:rPr>
          <w:rFonts w:cs="Arial"/>
          <w:sz w:val="26"/>
          <w:szCs w:val="26"/>
        </w:rPr>
        <w:t>over the upcoming summer holiday period (202</w:t>
      </w:r>
      <w:r w:rsidR="006177D9" w:rsidRPr="00394909">
        <w:rPr>
          <w:rFonts w:cs="Arial"/>
          <w:sz w:val="26"/>
          <w:szCs w:val="26"/>
        </w:rPr>
        <w:t>5</w:t>
      </w:r>
      <w:r w:rsidRPr="00394909">
        <w:rPr>
          <w:rFonts w:cs="Arial"/>
          <w:sz w:val="26"/>
          <w:szCs w:val="26"/>
        </w:rPr>
        <w:t xml:space="preserve">).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0338FB6A"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r w:rsidR="000E4710">
        <w:rPr>
          <w:rFonts w:cs="Arial"/>
          <w:sz w:val="26"/>
          <w:szCs w:val="26"/>
        </w:rPr>
        <w:t>McBains</w:t>
      </w:r>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on the basis of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7CD680B1"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02E5129">
        <w:rPr>
          <w:rFonts w:cs="Arial"/>
          <w:sz w:val="26"/>
          <w:szCs w:val="26"/>
        </w:rPr>
        <w:t>: Tendering 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6809EEA0" w:rsidR="00FC10A0" w:rsidRDefault="00FC10A0" w:rsidP="4E80FBEF">
      <w:pPr>
        <w:tabs>
          <w:tab w:val="left" w:pos="851"/>
        </w:tabs>
        <w:spacing w:before="240" w:after="60"/>
        <w:jc w:val="both"/>
        <w:outlineLvl w:val="3"/>
        <w:rPr>
          <w:rFonts w:cs="Arial"/>
        </w:rPr>
      </w:pPr>
      <w:r w:rsidRPr="4E80FBEF">
        <w:rPr>
          <w:rFonts w:cs="Arial"/>
          <w:sz w:val="26"/>
          <w:szCs w:val="26"/>
        </w:rPr>
        <w:t>The Council is seeking to procure construction works for</w:t>
      </w:r>
      <w:r w:rsidR="009E62B0" w:rsidRPr="009E62B0">
        <w:rPr>
          <w:rFonts w:cs="Arial"/>
          <w:b/>
          <w:bCs/>
        </w:rPr>
        <w:t xml:space="preserve"> </w:t>
      </w:r>
      <w:r w:rsidR="009E62B0" w:rsidRPr="009E62B0">
        <w:rPr>
          <w:rFonts w:cs="Arial"/>
        </w:rPr>
        <w:t>Lightning Protection and footpath Works at Hollymount Primary School</w:t>
      </w:r>
      <w:r w:rsidR="009E62B0" w:rsidRPr="4E80FBEF">
        <w:rPr>
          <w:rFonts w:cs="Arial"/>
        </w:rPr>
        <w:t xml:space="preserve"> </w:t>
      </w:r>
      <w:r w:rsidR="46FBB080" w:rsidRPr="4E80FBEF">
        <w:rPr>
          <w:rFonts w:cs="Arial"/>
        </w:rPr>
        <w:t xml:space="preserve">– please refer to </w:t>
      </w:r>
      <w:r w:rsidR="000E4710">
        <w:rPr>
          <w:rFonts w:cs="Arial"/>
        </w:rPr>
        <w:t>the McBains</w:t>
      </w:r>
      <w:r w:rsidR="006177D9">
        <w:rPr>
          <w:rFonts w:cs="Arial"/>
        </w:rPr>
        <w:t xml:space="preserve"> </w:t>
      </w:r>
      <w:r w:rsidR="46FBB080" w:rsidRPr="4E80FBEF">
        <w:rPr>
          <w:rFonts w:cs="Arial"/>
        </w:rPr>
        <w:t>tender pack for full details.</w:t>
      </w:r>
    </w:p>
    <w:p w14:paraId="03A41746" w14:textId="733BBC53"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summer holiday period of this year in order to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The successful bidder will be required to enter</w:t>
      </w:r>
      <w:r w:rsidRPr="4E80FBEF">
        <w:rPr>
          <w:rFonts w:cs="Arial"/>
          <w:sz w:val="26"/>
          <w:szCs w:val="26"/>
        </w:rPr>
        <w:t xml:space="preserve"> into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531ADC19"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r w:rsidR="000E4710">
        <w:rPr>
          <w:rFonts w:cs="Arial"/>
        </w:rPr>
        <w:t>McBains</w:t>
      </w:r>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entered into between the Council and the Bidder who submits a successful bid within the tender process will be required to enter into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1B47EB7B" w:rsidR="00FC10A0" w:rsidRPr="00394909" w:rsidRDefault="00283796" w:rsidP="009D0078">
            <w:pPr>
              <w:rPr>
                <w:rFonts w:cs="Arial"/>
                <w:color w:val="000000"/>
                <w:sz w:val="26"/>
                <w:szCs w:val="26"/>
              </w:rPr>
            </w:pPr>
            <w:r>
              <w:rPr>
                <w:rFonts w:cs="Arial"/>
                <w:color w:val="000000"/>
                <w:sz w:val="26"/>
                <w:szCs w:val="26"/>
              </w:rPr>
              <w:t>23</w:t>
            </w:r>
            <w:r w:rsidR="006B35AE">
              <w:rPr>
                <w:rFonts w:cs="Arial"/>
                <w:color w:val="000000"/>
                <w:sz w:val="26"/>
                <w:szCs w:val="26"/>
              </w:rPr>
              <w:t xml:space="preserve"> </w:t>
            </w:r>
            <w:r w:rsidR="00394909" w:rsidRPr="00394909">
              <w:rPr>
                <w:rFonts w:cs="Arial"/>
                <w:color w:val="000000"/>
                <w:sz w:val="26"/>
                <w:szCs w:val="26"/>
              </w:rPr>
              <w:t>June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734E1A28" w:rsidR="00394909" w:rsidRPr="00394909" w:rsidRDefault="00283796" w:rsidP="00394909">
            <w:pPr>
              <w:rPr>
                <w:rFonts w:cs="Arial"/>
                <w:color w:val="000000"/>
                <w:sz w:val="26"/>
                <w:szCs w:val="26"/>
              </w:rPr>
            </w:pPr>
            <w:r>
              <w:rPr>
                <w:rFonts w:cs="Arial"/>
                <w:color w:val="000000"/>
                <w:sz w:val="26"/>
                <w:szCs w:val="26"/>
              </w:rPr>
              <w:t>12</w:t>
            </w:r>
            <w:r w:rsidR="00394909" w:rsidRPr="00394909">
              <w:rPr>
                <w:rFonts w:cs="Arial"/>
                <w:color w:val="000000"/>
                <w:sz w:val="26"/>
                <w:szCs w:val="26"/>
              </w:rPr>
              <w:t xml:space="preserve">pm </w:t>
            </w:r>
            <w:r>
              <w:rPr>
                <w:rFonts w:cs="Arial"/>
                <w:color w:val="000000"/>
                <w:sz w:val="26"/>
                <w:szCs w:val="26"/>
              </w:rPr>
              <w:t xml:space="preserve">(noon) </w:t>
            </w:r>
            <w:r w:rsidR="00394909" w:rsidRPr="00394909">
              <w:rPr>
                <w:rFonts w:cs="Arial"/>
                <w:color w:val="000000"/>
                <w:sz w:val="26"/>
                <w:szCs w:val="26"/>
              </w:rPr>
              <w:t xml:space="preserve">on </w:t>
            </w:r>
            <w:r>
              <w:rPr>
                <w:rFonts w:cs="Arial"/>
                <w:color w:val="000000"/>
                <w:sz w:val="26"/>
                <w:szCs w:val="26"/>
              </w:rPr>
              <w:t>7</w:t>
            </w:r>
            <w:r w:rsidR="00394909" w:rsidRPr="00394909">
              <w:rPr>
                <w:rFonts w:cs="Arial"/>
                <w:color w:val="000000"/>
                <w:sz w:val="26"/>
                <w:szCs w:val="26"/>
              </w:rPr>
              <w:t xml:space="preserve"> July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57E64976" w:rsidR="00394909" w:rsidRPr="00394909" w:rsidRDefault="00394909" w:rsidP="00394909">
            <w:pPr>
              <w:rPr>
                <w:rFonts w:cs="Arial"/>
                <w:color w:val="000000"/>
                <w:sz w:val="26"/>
                <w:szCs w:val="26"/>
              </w:rPr>
            </w:pPr>
            <w:r w:rsidRPr="00394909">
              <w:rPr>
                <w:rFonts w:cs="Arial"/>
                <w:color w:val="000000"/>
                <w:sz w:val="26"/>
                <w:szCs w:val="26"/>
              </w:rPr>
              <w:t xml:space="preserve">12pm (noon) on </w:t>
            </w:r>
            <w:r w:rsidR="00283796">
              <w:rPr>
                <w:rFonts w:cs="Arial"/>
                <w:color w:val="000000"/>
                <w:sz w:val="26"/>
                <w:szCs w:val="26"/>
              </w:rPr>
              <w:t>7</w:t>
            </w:r>
            <w:r w:rsidR="006C4572">
              <w:rPr>
                <w:rFonts w:cs="Arial"/>
                <w:color w:val="000000"/>
                <w:sz w:val="26"/>
                <w:szCs w:val="26"/>
              </w:rPr>
              <w:t xml:space="preserve"> </w:t>
            </w:r>
            <w:r w:rsidRPr="00394909">
              <w:rPr>
                <w:rFonts w:cs="Arial"/>
                <w:color w:val="000000"/>
                <w:sz w:val="26"/>
                <w:szCs w:val="26"/>
              </w:rPr>
              <w:t>July 202</w:t>
            </w:r>
            <w:r w:rsidR="006C4572">
              <w:rPr>
                <w:rFonts w:cs="Arial"/>
                <w:color w:val="000000"/>
                <w:sz w:val="26"/>
                <w:szCs w:val="26"/>
              </w:rPr>
              <w:t>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51F7ECC4" w:rsidR="00394909" w:rsidRPr="00394909" w:rsidRDefault="00283796" w:rsidP="00394909">
            <w:pPr>
              <w:rPr>
                <w:rFonts w:cs="Arial"/>
                <w:color w:val="000000"/>
                <w:sz w:val="26"/>
                <w:szCs w:val="26"/>
              </w:rPr>
            </w:pPr>
            <w:r>
              <w:rPr>
                <w:rFonts w:cs="Arial"/>
                <w:color w:val="000000"/>
                <w:sz w:val="26"/>
                <w:szCs w:val="26"/>
              </w:rPr>
              <w:t>7</w:t>
            </w:r>
            <w:r w:rsidR="00394909" w:rsidRPr="00394909">
              <w:rPr>
                <w:rFonts w:cs="Arial"/>
                <w:color w:val="000000"/>
                <w:sz w:val="26"/>
                <w:szCs w:val="26"/>
              </w:rPr>
              <w:t xml:space="preserve"> July - </w:t>
            </w:r>
            <w:r>
              <w:rPr>
                <w:rFonts w:cs="Arial"/>
                <w:color w:val="000000"/>
                <w:sz w:val="26"/>
                <w:szCs w:val="26"/>
              </w:rPr>
              <w:t>10</w:t>
            </w:r>
            <w:r w:rsidR="00394909" w:rsidRPr="00394909">
              <w:rPr>
                <w:rFonts w:cs="Arial"/>
                <w:color w:val="000000"/>
                <w:sz w:val="26"/>
                <w:szCs w:val="26"/>
              </w:rPr>
              <w:t xml:space="preserve"> July 202</w:t>
            </w:r>
            <w:r w:rsidR="006C4572">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39B4E6A1" w:rsidR="00394909" w:rsidRPr="00394909" w:rsidRDefault="00394909" w:rsidP="00394909">
            <w:pPr>
              <w:rPr>
                <w:rFonts w:cs="Arial"/>
                <w:color w:val="000000"/>
                <w:sz w:val="26"/>
                <w:szCs w:val="26"/>
              </w:rPr>
            </w:pPr>
            <w:r w:rsidRPr="00394909">
              <w:rPr>
                <w:rFonts w:cs="Arial"/>
                <w:color w:val="000000"/>
                <w:sz w:val="26"/>
                <w:szCs w:val="26"/>
              </w:rPr>
              <w:t>1</w:t>
            </w:r>
            <w:r w:rsidR="00283796">
              <w:rPr>
                <w:rFonts w:cs="Arial"/>
                <w:color w:val="000000"/>
                <w:sz w:val="26"/>
                <w:szCs w:val="26"/>
              </w:rPr>
              <w:t>5</w:t>
            </w:r>
            <w:r w:rsidRPr="00394909">
              <w:rPr>
                <w:rFonts w:cs="Arial"/>
                <w:color w:val="000000"/>
                <w:sz w:val="26"/>
                <w:szCs w:val="26"/>
              </w:rPr>
              <w:t xml:space="preserve"> July 202</w:t>
            </w:r>
            <w:r w:rsidR="006C4572">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6A2D5F30" w:rsidR="00394909" w:rsidRPr="00394909" w:rsidRDefault="006B35AE" w:rsidP="00394909">
            <w:pPr>
              <w:rPr>
                <w:rFonts w:cs="Arial"/>
                <w:color w:val="000000"/>
                <w:sz w:val="26"/>
                <w:szCs w:val="26"/>
              </w:rPr>
            </w:pPr>
            <w:r>
              <w:rPr>
                <w:rFonts w:cs="Arial"/>
                <w:color w:val="000000"/>
                <w:sz w:val="26"/>
                <w:szCs w:val="26"/>
              </w:rPr>
              <w:t>1</w:t>
            </w:r>
            <w:r w:rsidR="00283796">
              <w:rPr>
                <w:rFonts w:cs="Arial"/>
                <w:color w:val="000000"/>
                <w:sz w:val="26"/>
                <w:szCs w:val="26"/>
              </w:rPr>
              <w:t>8</w:t>
            </w:r>
            <w:r w:rsidR="000E4710">
              <w:rPr>
                <w:rFonts w:cs="Arial"/>
                <w:color w:val="000000"/>
                <w:sz w:val="26"/>
                <w:szCs w:val="26"/>
              </w:rPr>
              <w:t xml:space="preserve"> August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ProContract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enter into a contractual arrangement.</w:t>
      </w:r>
      <w:r w:rsidRPr="00F13AD7">
        <w:rPr>
          <w:rFonts w:cs="Arial"/>
          <w:bCs/>
          <w:sz w:val="26"/>
          <w:szCs w:val="26"/>
        </w:rPr>
        <w:t xml:space="preserve"> </w:t>
      </w:r>
      <w:r>
        <w:rPr>
          <w:rFonts w:cs="Arial"/>
          <w:bCs/>
          <w:sz w:val="26"/>
          <w:szCs w:val="26"/>
        </w:rPr>
        <w:t xml:space="preserve"> Specifically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r>
        <w:rPr>
          <w:rFonts w:cs="Arial"/>
          <w:bCs/>
          <w:sz w:val="26"/>
          <w:szCs w:val="26"/>
        </w:rPr>
        <w:t xml:space="preserve">on the basis of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This tender exercise will be conducted electronically via the Council’s E-Tendering system ProContract,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ProContract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s should communicate with the Council using ProContract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experience</w:t>
      </w:r>
      <w:r w:rsidRPr="00D22D0E">
        <w:rPr>
          <w:rFonts w:cs="Arial"/>
          <w:sz w:val="26"/>
          <w:szCs w:val="26"/>
        </w:rPr>
        <w:t xml:space="preserve"> difficulty in accessing the London Tenders Portal or using the ProContract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the Council’s nominated contact via the ProContract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C22E7A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r w:rsidR="000E4710">
        <w:rPr>
          <w:rFonts w:cs="Arial"/>
          <w:sz w:val="26"/>
          <w:szCs w:val="26"/>
        </w:rPr>
        <w:t>McBains</w:t>
      </w:r>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In particular, please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r Organisation</w:t>
      </w:r>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ProContract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r w:rsidRPr="00325316">
        <w:rPr>
          <w:sz w:val="26"/>
          <w:szCs w:val="26"/>
        </w:rPr>
        <w:t xml:space="preserve">In order to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(the </w:t>
      </w:r>
      <w:r>
        <w:rPr>
          <w:rFonts w:cs="Arial"/>
          <w:sz w:val="26"/>
          <w:szCs w:val="26"/>
        </w:rPr>
        <w:t>”</w:t>
      </w:r>
      <w:r w:rsidRPr="00862141">
        <w:rPr>
          <w:rFonts w:cs="Arial"/>
          <w:sz w:val="26"/>
          <w:szCs w:val="26"/>
        </w:rPr>
        <w:t>FoIA</w:t>
      </w:r>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FoIA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clearly identify such information as commercially sensitive;</w:t>
      </w:r>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period of time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w:t>
      </w:r>
      <w:r w:rsidRPr="00862141">
        <w:rPr>
          <w:rFonts w:cs="Arial"/>
          <w:sz w:val="26"/>
          <w:szCs w:val="26"/>
        </w:rPr>
        <w:lastRenderedPageBreak/>
        <w:t xml:space="preserve">assessing whether it is appropriate to apply the various exemptions available in the FoIA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FoIA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whether or not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contract(s),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entered into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7B012AC5"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 xml:space="preserve">later than </w:t>
      </w:r>
      <w:r w:rsidR="009E62B0">
        <w:rPr>
          <w:rFonts w:cs="Arial"/>
          <w:sz w:val="26"/>
          <w:szCs w:val="26"/>
        </w:rPr>
        <w:t>12noon o</w:t>
      </w:r>
      <w:r w:rsidR="00FC10A0" w:rsidRPr="0091549D">
        <w:rPr>
          <w:rFonts w:cs="Arial"/>
          <w:sz w:val="26"/>
          <w:szCs w:val="26"/>
        </w:rPr>
        <w:t>n</w:t>
      </w:r>
      <w:r w:rsidR="00FC10A0">
        <w:rPr>
          <w:rFonts w:cs="Arial"/>
          <w:sz w:val="26"/>
          <w:szCs w:val="26"/>
        </w:rPr>
        <w:t xml:space="preserve"> </w:t>
      </w:r>
      <w:r w:rsidR="009E62B0">
        <w:rPr>
          <w:rFonts w:cs="Arial"/>
          <w:sz w:val="26"/>
          <w:szCs w:val="26"/>
        </w:rPr>
        <w:t>7</w:t>
      </w:r>
      <w:r w:rsidR="004A5576">
        <w:rPr>
          <w:rFonts w:cs="Arial"/>
          <w:sz w:val="26"/>
          <w:szCs w:val="26"/>
        </w:rPr>
        <w:t xml:space="preserve"> July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lastRenderedPageBreak/>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whether or not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2B5EED76"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283796">
        <w:rPr>
          <w:rFonts w:ascii="Arial" w:hAnsi="Arial" w:cs="Arial"/>
          <w:sz w:val="26"/>
          <w:szCs w:val="26"/>
        </w:rPr>
        <w:t>7</w:t>
      </w:r>
      <w:r w:rsidR="004A5576" w:rsidRPr="004A5576">
        <w:rPr>
          <w:rFonts w:ascii="Arial" w:hAnsi="Arial" w:cs="Arial"/>
          <w:sz w:val="26"/>
          <w:szCs w:val="26"/>
          <w:vertAlign w:val="superscript"/>
        </w:rPr>
        <w:t>th</w:t>
      </w:r>
      <w:r w:rsidR="004A5576">
        <w:rPr>
          <w:rFonts w:ascii="Arial" w:hAnsi="Arial" w:cs="Arial"/>
          <w:sz w:val="26"/>
          <w:szCs w:val="26"/>
        </w:rPr>
        <w:t xml:space="preserve"> July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reason of a failure of the ProContract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w:t>
      </w:r>
      <w:r w:rsidRPr="00862141">
        <w:rPr>
          <w:rFonts w:cs="Arial"/>
          <w:sz w:val="26"/>
          <w:szCs w:val="26"/>
        </w:rPr>
        <w:lastRenderedPageBreak/>
        <w:t xml:space="preserve">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hoose not to award any Contract as a result of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lastRenderedPageBreak/>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communicates to any person other than the Council the amount or approximate amount of the prices shown in its Tender, except where such communication is made in confidence in order to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in connection with the award of the Contract, commits an offence under the Bribery Act 2010 or gives any fee or reward the receipt of which is an offence under section 117(2) Local Government Act 1972;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w:t>
      </w:r>
      <w:r w:rsidRPr="00301B59">
        <w:rPr>
          <w:rFonts w:cs="Arial"/>
          <w:sz w:val="26"/>
          <w:szCs w:val="26"/>
        </w:rPr>
        <w:lastRenderedPageBreak/>
        <w:t xml:space="preserve">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these instructions</w:t>
      </w:r>
      <w:r w:rsidRPr="00301B59">
        <w:rPr>
          <w:rFonts w:cs="Arial"/>
          <w:sz w:val="26"/>
          <w:szCs w:val="26"/>
        </w:rPr>
        <w:t>;</w:t>
      </w:r>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or its employees or officers in connection with or arising out of its tender are true, complete and accurate in all respects;</w:t>
      </w:r>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enter into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Council;</w:t>
      </w:r>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is of sound financial standing and its officers and employees are not aware of any circumstances (other than as may be disclosed in the audited accounts or other financial statements submitted) which may adversely affect its financial standing in the future;</w:t>
      </w:r>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73522A0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lastRenderedPageBreak/>
        <w:t xml:space="preserve">All Bidders will be notified of the Council’s decision on the Invitation to Tender on or about </w:t>
      </w:r>
      <w:r w:rsidR="004A5576">
        <w:rPr>
          <w:rFonts w:cs="Arial"/>
          <w:sz w:val="26"/>
          <w:szCs w:val="26"/>
        </w:rPr>
        <w:t>1</w:t>
      </w:r>
      <w:r w:rsidR="00283796">
        <w:rPr>
          <w:rFonts w:cs="Arial"/>
          <w:sz w:val="26"/>
          <w:szCs w:val="26"/>
        </w:rPr>
        <w:t>5</w:t>
      </w:r>
      <w:r w:rsidR="004A5576" w:rsidRPr="004A5576">
        <w:rPr>
          <w:rFonts w:cs="Arial"/>
          <w:sz w:val="26"/>
          <w:szCs w:val="26"/>
          <w:vertAlign w:val="superscript"/>
        </w:rPr>
        <w:t>th</w:t>
      </w:r>
      <w:r w:rsidR="004A5576">
        <w:rPr>
          <w:rFonts w:cs="Arial"/>
          <w:sz w:val="26"/>
          <w:szCs w:val="26"/>
        </w:rPr>
        <w:t xml:space="preserve"> July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r w:rsidRPr="00521277">
        <w:rPr>
          <w:rFonts w:cs="Arial"/>
          <w:sz w:val="26"/>
          <w:szCs w:val="26"/>
        </w:rPr>
        <w:t>on the basis of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r w:rsidRPr="00862141">
        <w:rPr>
          <w:rFonts w:cs="Arial"/>
          <w:sz w:val="26"/>
          <w:szCs w:val="26"/>
        </w:rPr>
        <w:t xml:space="preserve">In the event that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7BC753A3"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r w:rsidR="000E4710">
        <w:rPr>
          <w:rFonts w:cs="Arial"/>
          <w:sz w:val="26"/>
          <w:szCs w:val="26"/>
        </w:rPr>
        <w:t>McBains</w:t>
      </w:r>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“self clean”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has to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taking into account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in order to assist the evaluation process. Any such clarifications will be sent via </w:t>
      </w:r>
      <w:r>
        <w:rPr>
          <w:rFonts w:cs="Arial"/>
          <w:sz w:val="26"/>
          <w:szCs w:val="26"/>
        </w:rPr>
        <w:t>the Council</w:t>
      </w:r>
      <w:r w:rsidRPr="00862141">
        <w:rPr>
          <w:rFonts w:cs="Arial"/>
          <w:sz w:val="26"/>
          <w:szCs w:val="26"/>
        </w:rPr>
        <w:t xml:space="preserve">’s e-procurement system;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0C5D" w14:textId="77777777" w:rsidR="00B40957" w:rsidRDefault="00B40957">
      <w:r>
        <w:separator/>
      </w:r>
    </w:p>
  </w:endnote>
  <w:endnote w:type="continuationSeparator" w:id="0">
    <w:p w14:paraId="3A348641" w14:textId="77777777" w:rsidR="00B40957" w:rsidRDefault="00B40957">
      <w:r>
        <w:continuationSeparator/>
      </w:r>
    </w:p>
  </w:endnote>
  <w:endnote w:type="continuationNotice" w:id="1">
    <w:p w14:paraId="40EE048E" w14:textId="77777777" w:rsidR="00B40957" w:rsidRDefault="00B40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03E9D9"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FE89" w14:textId="77777777" w:rsidR="00B40957" w:rsidRDefault="00B40957">
      <w:r>
        <w:separator/>
      </w:r>
    </w:p>
  </w:footnote>
  <w:footnote w:type="continuationSeparator" w:id="0">
    <w:p w14:paraId="4A4B58E0" w14:textId="77777777" w:rsidR="00B40957" w:rsidRDefault="00B40957">
      <w:r>
        <w:continuationSeparator/>
      </w:r>
    </w:p>
  </w:footnote>
  <w:footnote w:type="continuationNotice" w:id="1">
    <w:p w14:paraId="7D4FD700" w14:textId="77777777" w:rsidR="00B40957" w:rsidRDefault="00B409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3376"/>
    <w:rsid w:val="00013C20"/>
    <w:rsid w:val="000169B5"/>
    <w:rsid w:val="00030FEE"/>
    <w:rsid w:val="00032914"/>
    <w:rsid w:val="0003791F"/>
    <w:rsid w:val="000405A0"/>
    <w:rsid w:val="0004182F"/>
    <w:rsid w:val="0004399D"/>
    <w:rsid w:val="00044F1C"/>
    <w:rsid w:val="00045960"/>
    <w:rsid w:val="00052833"/>
    <w:rsid w:val="00061141"/>
    <w:rsid w:val="00065DC1"/>
    <w:rsid w:val="00066CF0"/>
    <w:rsid w:val="000704C8"/>
    <w:rsid w:val="00070BD9"/>
    <w:rsid w:val="000722E1"/>
    <w:rsid w:val="000726FB"/>
    <w:rsid w:val="00073729"/>
    <w:rsid w:val="000810F1"/>
    <w:rsid w:val="00086FA7"/>
    <w:rsid w:val="00090B58"/>
    <w:rsid w:val="00094D3A"/>
    <w:rsid w:val="000A1382"/>
    <w:rsid w:val="000A1C79"/>
    <w:rsid w:val="000A55D6"/>
    <w:rsid w:val="000A619D"/>
    <w:rsid w:val="000A6580"/>
    <w:rsid w:val="000A6867"/>
    <w:rsid w:val="000A712C"/>
    <w:rsid w:val="000B22ED"/>
    <w:rsid w:val="000C3637"/>
    <w:rsid w:val="000D59BE"/>
    <w:rsid w:val="000D6542"/>
    <w:rsid w:val="000E0349"/>
    <w:rsid w:val="000E0C18"/>
    <w:rsid w:val="000E160B"/>
    <w:rsid w:val="000E1A52"/>
    <w:rsid w:val="000E3C3D"/>
    <w:rsid w:val="000E4710"/>
    <w:rsid w:val="000F1816"/>
    <w:rsid w:val="00116F31"/>
    <w:rsid w:val="00117ADB"/>
    <w:rsid w:val="00117F53"/>
    <w:rsid w:val="00125D44"/>
    <w:rsid w:val="00125DC9"/>
    <w:rsid w:val="0013013B"/>
    <w:rsid w:val="00147A67"/>
    <w:rsid w:val="0015272C"/>
    <w:rsid w:val="0015561C"/>
    <w:rsid w:val="00155B1B"/>
    <w:rsid w:val="00157B95"/>
    <w:rsid w:val="0017029F"/>
    <w:rsid w:val="00172B12"/>
    <w:rsid w:val="00175498"/>
    <w:rsid w:val="00176694"/>
    <w:rsid w:val="0018175B"/>
    <w:rsid w:val="00181E09"/>
    <w:rsid w:val="00181E95"/>
    <w:rsid w:val="00182653"/>
    <w:rsid w:val="00190F69"/>
    <w:rsid w:val="0019223C"/>
    <w:rsid w:val="0019259B"/>
    <w:rsid w:val="00192CDD"/>
    <w:rsid w:val="001A0513"/>
    <w:rsid w:val="001A3D20"/>
    <w:rsid w:val="001A4DDC"/>
    <w:rsid w:val="001A517A"/>
    <w:rsid w:val="001B5C0B"/>
    <w:rsid w:val="001B73D3"/>
    <w:rsid w:val="001D5A5E"/>
    <w:rsid w:val="001E34A9"/>
    <w:rsid w:val="001F09D9"/>
    <w:rsid w:val="001F72C4"/>
    <w:rsid w:val="002030A7"/>
    <w:rsid w:val="002030B8"/>
    <w:rsid w:val="0020591B"/>
    <w:rsid w:val="00205C8A"/>
    <w:rsid w:val="0020692B"/>
    <w:rsid w:val="002070F5"/>
    <w:rsid w:val="002131E3"/>
    <w:rsid w:val="002241F6"/>
    <w:rsid w:val="002247AA"/>
    <w:rsid w:val="00232CEA"/>
    <w:rsid w:val="00233CCF"/>
    <w:rsid w:val="00235B57"/>
    <w:rsid w:val="00237BA4"/>
    <w:rsid w:val="00237F5B"/>
    <w:rsid w:val="002449D8"/>
    <w:rsid w:val="00250968"/>
    <w:rsid w:val="00250E23"/>
    <w:rsid w:val="0025212C"/>
    <w:rsid w:val="00252A16"/>
    <w:rsid w:val="00253782"/>
    <w:rsid w:val="00280251"/>
    <w:rsid w:val="00281A70"/>
    <w:rsid w:val="00283796"/>
    <w:rsid w:val="0028539A"/>
    <w:rsid w:val="00293A7B"/>
    <w:rsid w:val="002954B9"/>
    <w:rsid w:val="002A0B24"/>
    <w:rsid w:val="002A1A0C"/>
    <w:rsid w:val="002A1C51"/>
    <w:rsid w:val="002A5D66"/>
    <w:rsid w:val="002B1075"/>
    <w:rsid w:val="002B301F"/>
    <w:rsid w:val="002C2A76"/>
    <w:rsid w:val="002C68EA"/>
    <w:rsid w:val="002C70FE"/>
    <w:rsid w:val="002D02F7"/>
    <w:rsid w:val="002D2EBA"/>
    <w:rsid w:val="002D62A2"/>
    <w:rsid w:val="002E05D9"/>
    <w:rsid w:val="002E0D20"/>
    <w:rsid w:val="002E0DF3"/>
    <w:rsid w:val="002E43CE"/>
    <w:rsid w:val="002E5129"/>
    <w:rsid w:val="002F0360"/>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78F6"/>
    <w:rsid w:val="0039024D"/>
    <w:rsid w:val="0039054C"/>
    <w:rsid w:val="003931EF"/>
    <w:rsid w:val="00393AA6"/>
    <w:rsid w:val="00394909"/>
    <w:rsid w:val="00397A10"/>
    <w:rsid w:val="00397C87"/>
    <w:rsid w:val="003A1965"/>
    <w:rsid w:val="003A66A4"/>
    <w:rsid w:val="003B5353"/>
    <w:rsid w:val="003B56C9"/>
    <w:rsid w:val="003C01E2"/>
    <w:rsid w:val="003C052A"/>
    <w:rsid w:val="003C1C1E"/>
    <w:rsid w:val="003C52F0"/>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51595"/>
    <w:rsid w:val="00451747"/>
    <w:rsid w:val="00451C37"/>
    <w:rsid w:val="004711D5"/>
    <w:rsid w:val="0047341A"/>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D2AA6"/>
    <w:rsid w:val="005E0080"/>
    <w:rsid w:val="005E0D3C"/>
    <w:rsid w:val="005F1A41"/>
    <w:rsid w:val="00601786"/>
    <w:rsid w:val="0060413B"/>
    <w:rsid w:val="006048BC"/>
    <w:rsid w:val="00607093"/>
    <w:rsid w:val="00610A2C"/>
    <w:rsid w:val="00612C72"/>
    <w:rsid w:val="006161DF"/>
    <w:rsid w:val="006177D9"/>
    <w:rsid w:val="00626DFC"/>
    <w:rsid w:val="006308DA"/>
    <w:rsid w:val="00630934"/>
    <w:rsid w:val="006324E5"/>
    <w:rsid w:val="00634BBE"/>
    <w:rsid w:val="00635EB7"/>
    <w:rsid w:val="006362FD"/>
    <w:rsid w:val="00643033"/>
    <w:rsid w:val="00645D0A"/>
    <w:rsid w:val="0064602F"/>
    <w:rsid w:val="00653A58"/>
    <w:rsid w:val="0065502B"/>
    <w:rsid w:val="006554B5"/>
    <w:rsid w:val="006632B9"/>
    <w:rsid w:val="00664E2C"/>
    <w:rsid w:val="006657E7"/>
    <w:rsid w:val="00670B42"/>
    <w:rsid w:val="00673610"/>
    <w:rsid w:val="006776A0"/>
    <w:rsid w:val="006813B7"/>
    <w:rsid w:val="006830C6"/>
    <w:rsid w:val="006833A1"/>
    <w:rsid w:val="00685E5A"/>
    <w:rsid w:val="00690E4E"/>
    <w:rsid w:val="006942E4"/>
    <w:rsid w:val="00697963"/>
    <w:rsid w:val="006B1EB7"/>
    <w:rsid w:val="006B35AE"/>
    <w:rsid w:val="006B6575"/>
    <w:rsid w:val="006B66D1"/>
    <w:rsid w:val="006B7860"/>
    <w:rsid w:val="006C30B6"/>
    <w:rsid w:val="006C4572"/>
    <w:rsid w:val="006C5DCB"/>
    <w:rsid w:val="006D4E3F"/>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211B"/>
    <w:rsid w:val="0078359A"/>
    <w:rsid w:val="00783E1D"/>
    <w:rsid w:val="00790AE8"/>
    <w:rsid w:val="00791661"/>
    <w:rsid w:val="007A204A"/>
    <w:rsid w:val="007A250E"/>
    <w:rsid w:val="007B02B6"/>
    <w:rsid w:val="007B1312"/>
    <w:rsid w:val="007D66C8"/>
    <w:rsid w:val="007E25B9"/>
    <w:rsid w:val="007E25CD"/>
    <w:rsid w:val="007F6A8C"/>
    <w:rsid w:val="007F6C50"/>
    <w:rsid w:val="008003A0"/>
    <w:rsid w:val="00800611"/>
    <w:rsid w:val="00810FE0"/>
    <w:rsid w:val="008209D8"/>
    <w:rsid w:val="00823921"/>
    <w:rsid w:val="00823C48"/>
    <w:rsid w:val="00832776"/>
    <w:rsid w:val="00834F61"/>
    <w:rsid w:val="00835269"/>
    <w:rsid w:val="0084162D"/>
    <w:rsid w:val="00845BED"/>
    <w:rsid w:val="008506C0"/>
    <w:rsid w:val="008561B8"/>
    <w:rsid w:val="00861B10"/>
    <w:rsid w:val="00865437"/>
    <w:rsid w:val="00866890"/>
    <w:rsid w:val="00866C9D"/>
    <w:rsid w:val="008670CE"/>
    <w:rsid w:val="0088121C"/>
    <w:rsid w:val="00881628"/>
    <w:rsid w:val="00890DFF"/>
    <w:rsid w:val="0089580D"/>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62B0"/>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32A0"/>
    <w:rsid w:val="00A641C2"/>
    <w:rsid w:val="00A654F1"/>
    <w:rsid w:val="00A65D5C"/>
    <w:rsid w:val="00A820A1"/>
    <w:rsid w:val="00A84317"/>
    <w:rsid w:val="00A86583"/>
    <w:rsid w:val="00A9251E"/>
    <w:rsid w:val="00A93415"/>
    <w:rsid w:val="00A94663"/>
    <w:rsid w:val="00A96A6E"/>
    <w:rsid w:val="00AA12FA"/>
    <w:rsid w:val="00AA2D13"/>
    <w:rsid w:val="00AA2E87"/>
    <w:rsid w:val="00AA492D"/>
    <w:rsid w:val="00AA57B2"/>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40957"/>
    <w:rsid w:val="00B50E7D"/>
    <w:rsid w:val="00B52D35"/>
    <w:rsid w:val="00B60D0E"/>
    <w:rsid w:val="00B64039"/>
    <w:rsid w:val="00B754EC"/>
    <w:rsid w:val="00B75D51"/>
    <w:rsid w:val="00B83669"/>
    <w:rsid w:val="00B87EAA"/>
    <w:rsid w:val="00B94325"/>
    <w:rsid w:val="00B978BB"/>
    <w:rsid w:val="00BA4A2A"/>
    <w:rsid w:val="00BA7BF0"/>
    <w:rsid w:val="00BB182A"/>
    <w:rsid w:val="00BB77E7"/>
    <w:rsid w:val="00BC0D4D"/>
    <w:rsid w:val="00BC4919"/>
    <w:rsid w:val="00BE33F5"/>
    <w:rsid w:val="00BE406A"/>
    <w:rsid w:val="00BE6670"/>
    <w:rsid w:val="00BE74C7"/>
    <w:rsid w:val="00BE7D8F"/>
    <w:rsid w:val="00BF3470"/>
    <w:rsid w:val="00BF5169"/>
    <w:rsid w:val="00BF74D6"/>
    <w:rsid w:val="00C222BD"/>
    <w:rsid w:val="00C24A53"/>
    <w:rsid w:val="00C2564D"/>
    <w:rsid w:val="00C26405"/>
    <w:rsid w:val="00C27D7F"/>
    <w:rsid w:val="00C31305"/>
    <w:rsid w:val="00C600BE"/>
    <w:rsid w:val="00C64731"/>
    <w:rsid w:val="00C64AE3"/>
    <w:rsid w:val="00C73B2D"/>
    <w:rsid w:val="00C74EE3"/>
    <w:rsid w:val="00C76871"/>
    <w:rsid w:val="00C84020"/>
    <w:rsid w:val="00C84BFA"/>
    <w:rsid w:val="00C854F3"/>
    <w:rsid w:val="00CA4251"/>
    <w:rsid w:val="00CA45CB"/>
    <w:rsid w:val="00CB16C6"/>
    <w:rsid w:val="00CC369A"/>
    <w:rsid w:val="00CC464E"/>
    <w:rsid w:val="00CD16A5"/>
    <w:rsid w:val="00CD342C"/>
    <w:rsid w:val="00CD349C"/>
    <w:rsid w:val="00CD5FEE"/>
    <w:rsid w:val="00CE1113"/>
    <w:rsid w:val="00CE4F5E"/>
    <w:rsid w:val="00CE53D5"/>
    <w:rsid w:val="00CF3230"/>
    <w:rsid w:val="00CF46AD"/>
    <w:rsid w:val="00CF783F"/>
    <w:rsid w:val="00CF7D14"/>
    <w:rsid w:val="00D04B0E"/>
    <w:rsid w:val="00D151CD"/>
    <w:rsid w:val="00D30D1A"/>
    <w:rsid w:val="00D366D4"/>
    <w:rsid w:val="00D42995"/>
    <w:rsid w:val="00D50F83"/>
    <w:rsid w:val="00D5512B"/>
    <w:rsid w:val="00D634BF"/>
    <w:rsid w:val="00D6493F"/>
    <w:rsid w:val="00D672B5"/>
    <w:rsid w:val="00D67592"/>
    <w:rsid w:val="00D734D2"/>
    <w:rsid w:val="00D76324"/>
    <w:rsid w:val="00D8036A"/>
    <w:rsid w:val="00D92332"/>
    <w:rsid w:val="00D92EC8"/>
    <w:rsid w:val="00D96427"/>
    <w:rsid w:val="00D97091"/>
    <w:rsid w:val="00DA2FAD"/>
    <w:rsid w:val="00DA6ECD"/>
    <w:rsid w:val="00DA77E7"/>
    <w:rsid w:val="00DD151F"/>
    <w:rsid w:val="00DD454D"/>
    <w:rsid w:val="00DD5EFB"/>
    <w:rsid w:val="00DF7140"/>
    <w:rsid w:val="00DF781C"/>
    <w:rsid w:val="00E02B40"/>
    <w:rsid w:val="00E078D9"/>
    <w:rsid w:val="00E11F48"/>
    <w:rsid w:val="00E14307"/>
    <w:rsid w:val="00E26918"/>
    <w:rsid w:val="00E26F43"/>
    <w:rsid w:val="00E320A1"/>
    <w:rsid w:val="00E36FBB"/>
    <w:rsid w:val="00E42F12"/>
    <w:rsid w:val="00E518DF"/>
    <w:rsid w:val="00E7793F"/>
    <w:rsid w:val="00E77CC2"/>
    <w:rsid w:val="00E85678"/>
    <w:rsid w:val="00E87C52"/>
    <w:rsid w:val="00E87CFA"/>
    <w:rsid w:val="00E90B67"/>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27CB2"/>
    <w:rsid w:val="00F30A98"/>
    <w:rsid w:val="00F41F9A"/>
    <w:rsid w:val="00F4515A"/>
    <w:rsid w:val="00F461C7"/>
    <w:rsid w:val="00F77717"/>
    <w:rsid w:val="00F86108"/>
    <w:rsid w:val="00F862FD"/>
    <w:rsid w:val="00F91D1F"/>
    <w:rsid w:val="00F92541"/>
    <w:rsid w:val="00F97FCD"/>
    <w:rsid w:val="00FA1284"/>
    <w:rsid w:val="00FA3FBE"/>
    <w:rsid w:val="00FB1E60"/>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2YUKVKS6S5CY-1141667991-72491</_dlc_DocId>
    <_dlc_DocIdUrl xmlns="1ac5e5f3-4286-431a-b2f6-40db626cee98">
      <Url>https://lbmerton.sharepoint.com/sites/cso/_layouts/15/DocIdRedir.aspx?ID=2YUKVKS6S5CY-1141667991-72491</Url>
      <Description>2YUKVKS6S5CY-1141667991-72491</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2.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3.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4.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6.xml><?xml version="1.0" encoding="utf-8"?>
<ds:datastoreItem xmlns:ds="http://schemas.openxmlformats.org/officeDocument/2006/customXml" ds:itemID="{0EF7C96E-E720-4D6C-A637-4F26268983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5196</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34748</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2</cp:revision>
  <cp:lastPrinted>2025-06-19T14:50:00Z</cp:lastPrinted>
  <dcterms:created xsi:type="dcterms:W3CDTF">2025-06-23T09:07:00Z</dcterms:created>
  <dcterms:modified xsi:type="dcterms:W3CDTF">2025-06-23T09:07:00Z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63e0e083-255a-4dc8-bbe9-cccd9f3f78ce</vt:lpwstr>
  </property>
</Properties>
</file>