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3167"/>
        <w:gridCol w:w="4802"/>
      </w:tblGrid>
      <w:tr w:rsidR="00CA4BA2" w:rsidRPr="00961A47" w14:paraId="73D24E97" w14:textId="77777777" w:rsidTr="7459DA7F">
        <w:trPr>
          <w:trHeight w:val="341"/>
        </w:trPr>
        <w:tc>
          <w:tcPr>
            <w:tcW w:w="794" w:type="dxa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9356" w:type="dxa"/>
            <w:gridSpan w:val="2"/>
            <w:shd w:val="clear" w:color="auto" w:fill="auto"/>
          </w:tcPr>
          <w:p w14:paraId="7C4B6799" w14:textId="52C2E560" w:rsidR="00CA4BA2" w:rsidRPr="00513005" w:rsidRDefault="0051300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513005">
              <w:rPr>
                <w:rFonts w:ascii="Arial" w:hAnsi="Arial" w:cs="Arial"/>
                <w:iCs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 w:rsidTr="7459DA7F">
        <w:trPr>
          <w:trHeight w:val="611"/>
        </w:trPr>
        <w:tc>
          <w:tcPr>
            <w:tcW w:w="794" w:type="dxa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9356" w:type="dxa"/>
            <w:gridSpan w:val="2"/>
            <w:shd w:val="clear" w:color="auto" w:fill="auto"/>
          </w:tcPr>
          <w:p w14:paraId="06D9B842" w14:textId="77777777" w:rsidR="005F7D64" w:rsidRPr="005F7D64" w:rsidRDefault="005F7D64" w:rsidP="005F7D6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  <w:lang w:val="en-GB"/>
              </w:rPr>
            </w:pPr>
          </w:p>
          <w:p w14:paraId="697E7392" w14:textId="77777777" w:rsidR="005F7D64" w:rsidRPr="005F7D64" w:rsidRDefault="005F7D64" w:rsidP="005F7D6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5F7D64"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  <w:t xml:space="preserve">NATURAL ENGLAND </w:t>
            </w:r>
            <w:r w:rsidRPr="005F7D64">
              <w:rPr>
                <w:rFonts w:ascii="Arial" w:hAnsi="Arial" w:cs="Arial"/>
                <w:iCs/>
                <w:sz w:val="18"/>
                <w:szCs w:val="18"/>
                <w:lang w:val="en-GB"/>
              </w:rPr>
              <w:t xml:space="preserve">of 4th Floor, Foss House, Kings Pool, 1-2 Peasholme Green, York, YO1 7PX </w:t>
            </w:r>
          </w:p>
          <w:p w14:paraId="271A4682" w14:textId="671AB68A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C3EA26A" w14:textId="77777777" w:rsidTr="7459DA7F">
        <w:trPr>
          <w:trHeight w:val="197"/>
        </w:trPr>
        <w:tc>
          <w:tcPr>
            <w:tcW w:w="794" w:type="dxa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9356" w:type="dxa"/>
            <w:gridSpan w:val="2"/>
            <w:shd w:val="clear" w:color="auto" w:fill="auto"/>
          </w:tcPr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7459DA7F">
        <w:trPr>
          <w:trHeight w:val="197"/>
        </w:trPr>
        <w:tc>
          <w:tcPr>
            <w:tcW w:w="794" w:type="dxa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9356" w:type="dxa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Pr="003054CD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EBA64D" w14:textId="30F4BABC" w:rsidR="007E7D58" w:rsidRPr="003054CD" w:rsidRDefault="003054CD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3054CD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7459DA7F">
        <w:trPr>
          <w:trHeight w:val="197"/>
        </w:trPr>
        <w:tc>
          <w:tcPr>
            <w:tcW w:w="794" w:type="dxa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9356" w:type="dxa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7459DA7F">
        <w:trPr>
          <w:trHeight w:val="966"/>
        </w:trPr>
        <w:tc>
          <w:tcPr>
            <w:tcW w:w="794" w:type="dxa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3638" w:type="dxa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5718" w:type="dxa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9D96197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60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71E13FCD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9660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7E7D58" w:rsidRPr="00961A47" w14:paraId="4ED88D31" w14:textId="77777777" w:rsidTr="7459DA7F">
        <w:trPr>
          <w:trHeight w:val="966"/>
        </w:trPr>
        <w:tc>
          <w:tcPr>
            <w:tcW w:w="794" w:type="dxa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5718" w:type="dxa"/>
            <w:shd w:val="clear" w:color="auto" w:fill="auto"/>
          </w:tcPr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130842" w14:textId="155640B0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_DV_C147"/>
            <w:r w:rsidR="00E307FB">
              <w:rPr>
                <w:rFonts w:ascii="Arial" w:hAnsi="Arial" w:cs="Arial"/>
                <w:i/>
                <w:sz w:val="18"/>
                <w:szCs w:val="18"/>
              </w:rPr>
              <w:t>Gavin Measures (</w:t>
            </w:r>
            <w:r w:rsidR="000309FC"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="000309FC" w:rsidRPr="000309FC">
              <w:rPr>
                <w:rFonts w:ascii="Arial" w:hAnsi="Arial" w:cs="Arial"/>
                <w:i/>
                <w:sz w:val="18"/>
                <w:szCs w:val="18"/>
              </w:rPr>
              <w:t>7826065189</w:t>
            </w:r>
            <w:bookmarkEnd w:id="1"/>
            <w:r w:rsidR="000309FC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EB36D0" w:rsidRPr="00EB36D0">
              <w:rPr>
                <w:rFonts w:ascii="Segoe UI" w:hAnsi="Segoe UI" w:cs="Segoe UI"/>
                <w:color w:val="323130"/>
                <w:shd w:val="clear" w:color="auto" w:fill="FFFFFF"/>
              </w:rPr>
              <w:t xml:space="preserve"> </w:t>
            </w:r>
            <w:r w:rsidR="00EB36D0" w:rsidRPr="00EB36D0">
              <w:rPr>
                <w:rFonts w:ascii="Arial" w:hAnsi="Arial" w:cs="Arial"/>
                <w:i/>
                <w:sz w:val="18"/>
                <w:szCs w:val="18"/>
              </w:rPr>
              <w:t>Floor 5, Quay House, 2 East Station Road, Fletton Quays, PE2 8YY</w:t>
            </w:r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09947205" w:rsidR="007E7D58" w:rsidRPr="00B46D37" w:rsidRDefault="0F6D86D5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bookmarkStart w:id="2" w:name="_DV_C148"/>
            <w:r w:rsidRPr="60472FC8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3" w:name="_DV_C149"/>
            <w:bookmarkEnd w:id="2"/>
            <w:r w:rsidRPr="60472FC8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End w:id="3"/>
          </w:p>
          <w:p w14:paraId="16C690C5" w14:textId="515F74AE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45ECC9" w14:textId="32551462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bookmarkStart w:id="4" w:name="_DV_C150"/>
            <w:r w:rsidRPr="004D6A40">
              <w:rPr>
                <w:rFonts w:ascii="Arial" w:hAnsi="Arial" w:cs="Arial"/>
                <w:sz w:val="18"/>
                <w:szCs w:val="18"/>
              </w:rPr>
              <w:t>Packaging Instructions:</w:t>
            </w:r>
            <w:bookmarkStart w:id="5" w:name="_DV_C151"/>
            <w:bookmarkEnd w:id="4"/>
            <w:r w:rsidRPr="004D6A40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5"/>
          </w:p>
          <w:p w14:paraId="2B186540" w14:textId="6DCE128C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4D1CCE" w14:textId="7DDE118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bookmarkStart w:id="6" w:name="_DV_C152"/>
            <w:r w:rsidRPr="6F09C447">
              <w:rPr>
                <w:rFonts w:ascii="Arial" w:hAnsi="Arial" w:cs="Arial"/>
                <w:sz w:val="18"/>
                <w:szCs w:val="18"/>
              </w:rPr>
              <w:t>Additional Delivery Instructions:</w:t>
            </w:r>
            <w:bookmarkEnd w:id="6"/>
          </w:p>
          <w:p w14:paraId="4656DF9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14:paraId="26A6310E" w14:textId="6F527D83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6F09C447">
              <w:rPr>
                <w:rFonts w:ascii="Arial" w:hAnsi="Arial" w:cs="Arial"/>
                <w:sz w:val="18"/>
                <w:szCs w:val="18"/>
              </w:rPr>
              <w:t>Warranty Period:</w:t>
            </w:r>
            <w:r w:rsidRPr="6F09C4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 w:rsidTr="7459DA7F">
        <w:trPr>
          <w:trHeight w:val="383"/>
        </w:trPr>
        <w:tc>
          <w:tcPr>
            <w:tcW w:w="794" w:type="dxa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5718" w:type="dxa"/>
            <w:shd w:val="clear" w:color="auto" w:fill="auto"/>
          </w:tcPr>
          <w:p w14:paraId="6065CEB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bookmarkStart w:id="7" w:name="_DV_C144"/>
            <w:bookmarkStart w:id="8" w:name="_Ref377110627"/>
          </w:p>
          <w:bookmarkEnd w:id="7"/>
          <w:bookmarkEnd w:id="8"/>
          <w:p w14:paraId="3CB7F8A7" w14:textId="0FFC1F49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4F1BF803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[</w:t>
            </w:r>
            <w:r w:rsidRPr="4F1BF803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r w:rsidRPr="4F1BF8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 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05CF437E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1C2A652E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958CC" w:rsidRPr="00961A47" w14:paraId="2A3F6693" w14:textId="77777777" w:rsidTr="7459DA7F">
        <w:trPr>
          <w:trHeight w:val="698"/>
        </w:trPr>
        <w:tc>
          <w:tcPr>
            <w:tcW w:w="794" w:type="dxa"/>
            <w:shd w:val="clear" w:color="auto" w:fill="auto"/>
          </w:tcPr>
          <w:p w14:paraId="66431E1A" w14:textId="77777777" w:rsidR="00A958CC" w:rsidRPr="006C1774" w:rsidRDefault="00A958CC" w:rsidP="00A958CC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9356" w:type="dxa"/>
            <w:gridSpan w:val="2"/>
            <w:shd w:val="clear" w:color="auto" w:fill="auto"/>
          </w:tcPr>
          <w:p w14:paraId="37E6BF23" w14:textId="255D3C6E" w:rsidR="00A958CC" w:rsidRPr="00B46D37" w:rsidRDefault="00A958CC" w:rsidP="00796605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A958CC" w:rsidRPr="00961A47" w14:paraId="71B2C04E" w14:textId="77777777" w:rsidTr="7459DA7F">
        <w:trPr>
          <w:trHeight w:val="383"/>
        </w:trPr>
        <w:tc>
          <w:tcPr>
            <w:tcW w:w="794" w:type="dxa"/>
            <w:shd w:val="clear" w:color="auto" w:fill="auto"/>
          </w:tcPr>
          <w:p w14:paraId="5D4EEC78" w14:textId="77777777" w:rsidR="00A958CC" w:rsidRPr="006C1774" w:rsidDel="000738CA" w:rsidRDefault="00A958CC" w:rsidP="00A958CC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9356" w:type="dxa"/>
            <w:gridSpan w:val="2"/>
            <w:shd w:val="clear" w:color="auto" w:fill="auto"/>
          </w:tcPr>
          <w:p w14:paraId="6DB57D0E" w14:textId="4B024154" w:rsidR="00A958CC" w:rsidRDefault="00A958CC" w:rsidP="00A958CC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2483DC9A" w14:textId="7CF662E9" w:rsidR="00A958CC" w:rsidRPr="00B46D37" w:rsidRDefault="00A958CC" w:rsidP="00A958CC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958CC" w:rsidRPr="00961A47" w14:paraId="6D89A4FD" w14:textId="77777777" w:rsidTr="7459DA7F">
        <w:trPr>
          <w:trHeight w:val="383"/>
        </w:trPr>
        <w:tc>
          <w:tcPr>
            <w:tcW w:w="794" w:type="dxa"/>
            <w:shd w:val="clear" w:color="auto" w:fill="auto"/>
          </w:tcPr>
          <w:p w14:paraId="718871A9" w14:textId="77777777" w:rsidR="00A958CC" w:rsidRPr="006C1774" w:rsidRDefault="00A958CC" w:rsidP="00A958CC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69"/>
            <w:bookmarkStart w:id="10" w:name="_Ref99635697"/>
            <w:bookmarkStart w:id="11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9"/>
          </w:p>
        </w:tc>
        <w:tc>
          <w:tcPr>
            <w:tcW w:w="9356" w:type="dxa"/>
            <w:gridSpan w:val="2"/>
            <w:shd w:val="clear" w:color="auto" w:fill="auto"/>
          </w:tcPr>
          <w:p w14:paraId="1A7D4E04" w14:textId="760CD2B2" w:rsidR="00A958CC" w:rsidRPr="00B46D37" w:rsidRDefault="00A958CC" w:rsidP="00A958CC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2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3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3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12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A958CC" w:rsidRPr="00B46D37" w:rsidRDefault="00A958CC" w:rsidP="00A958CC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A958CC" w:rsidRPr="00961A47" w14:paraId="369D4DAE" w14:textId="77777777" w:rsidTr="7459DA7F">
        <w:trPr>
          <w:trHeight w:val="383"/>
        </w:trPr>
        <w:tc>
          <w:tcPr>
            <w:tcW w:w="794" w:type="dxa"/>
            <w:shd w:val="clear" w:color="auto" w:fill="auto"/>
          </w:tcPr>
          <w:p w14:paraId="548B5E31" w14:textId="77777777" w:rsidR="00A958CC" w:rsidRPr="00B46D37" w:rsidRDefault="00A958CC" w:rsidP="00A958CC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4"/>
          </w:p>
        </w:tc>
        <w:tc>
          <w:tcPr>
            <w:tcW w:w="9356" w:type="dxa"/>
            <w:gridSpan w:val="2"/>
            <w:shd w:val="clear" w:color="auto" w:fill="auto"/>
          </w:tcPr>
          <w:p w14:paraId="58052F16" w14:textId="6E459096" w:rsidR="00A958CC" w:rsidRPr="000368D8" w:rsidRDefault="00A958CC" w:rsidP="00A958CC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5" w:name="_DV_M104"/>
            <w:bookmarkStart w:id="16" w:name="_DV_M110"/>
            <w:bookmarkEnd w:id="15"/>
            <w:bookmarkEnd w:id="16"/>
            <w:r w:rsidRPr="000368D8">
              <w:rPr>
                <w:rFonts w:ascii="Arial" w:hAnsi="Arial" w:cs="Arial"/>
                <w:sz w:val="18"/>
                <w:szCs w:val="18"/>
              </w:rPr>
              <w:t>Payments will be made payments will be made in pounds by BACS transfer using the details provided by the supplier on submission of a compliant invoice</w:t>
            </w:r>
            <w:r w:rsidR="00B40FEE">
              <w:rPr>
                <w:rFonts w:ascii="Arial" w:hAnsi="Arial" w:cs="Arial"/>
                <w:sz w:val="18"/>
                <w:szCs w:val="18"/>
              </w:rPr>
              <w:t xml:space="preserve"> including Natural England Purchase Order and the project reference code</w:t>
            </w:r>
          </w:p>
          <w:p w14:paraId="5AEFA517" w14:textId="77777777" w:rsidR="00A958CC" w:rsidRPr="000368D8" w:rsidRDefault="00A958CC" w:rsidP="00A958CC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58CC" w:rsidRPr="00961A47" w14:paraId="62E0B503" w14:textId="77777777" w:rsidTr="7459DA7F">
        <w:trPr>
          <w:trHeight w:val="383"/>
        </w:trPr>
        <w:tc>
          <w:tcPr>
            <w:tcW w:w="794" w:type="dxa"/>
            <w:shd w:val="clear" w:color="auto" w:fill="auto"/>
          </w:tcPr>
          <w:p w14:paraId="19A13727" w14:textId="4D923FEC" w:rsidR="00A958CC" w:rsidRPr="00B46D37" w:rsidRDefault="00A958CC" w:rsidP="00A958CC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Liability Cap (Clause 13.2.1)</w:t>
            </w:r>
          </w:p>
        </w:tc>
        <w:tc>
          <w:tcPr>
            <w:tcW w:w="9356" w:type="dxa"/>
            <w:gridSpan w:val="2"/>
            <w:shd w:val="clear" w:color="auto" w:fill="auto"/>
          </w:tcPr>
          <w:p w14:paraId="787ED3D4" w14:textId="1CC0E275" w:rsidR="00A958CC" w:rsidRDefault="00A958CC" w:rsidP="00A958CC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10BF0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DD73A1" w14:textId="77777777" w:rsidR="00A958CC" w:rsidRDefault="00A958CC" w:rsidP="00A958CC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A958CC" w:rsidRPr="00B46D37" w:rsidRDefault="00A958CC" w:rsidP="00A958CC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58CC" w:rsidRPr="00961A47" w14:paraId="24ABF653" w14:textId="77777777" w:rsidTr="7459DA7F">
        <w:trPr>
          <w:trHeight w:val="383"/>
        </w:trPr>
        <w:tc>
          <w:tcPr>
            <w:tcW w:w="794" w:type="dxa"/>
            <w:shd w:val="clear" w:color="auto" w:fill="auto"/>
          </w:tcPr>
          <w:p w14:paraId="4BB9E7D9" w14:textId="77777777" w:rsidR="00A958CC" w:rsidRPr="00B46D37" w:rsidRDefault="00A958CC" w:rsidP="00A958CC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9356" w:type="dxa"/>
            <w:gridSpan w:val="2"/>
            <w:shd w:val="clear" w:color="auto" w:fill="auto"/>
          </w:tcPr>
          <w:p w14:paraId="36004F4B" w14:textId="77777777" w:rsidR="00A958CC" w:rsidRPr="00B46D37" w:rsidRDefault="00A958CC" w:rsidP="00A958CC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A958CC" w:rsidRPr="00B46D37" w:rsidRDefault="00A958CC" w:rsidP="00A958CC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DC8B2A" w14:textId="77777777" w:rsidR="00A958CC" w:rsidRPr="00B46D37" w:rsidRDefault="00A958CC" w:rsidP="00A958CC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A958CC" w:rsidRPr="00B46D37" w:rsidRDefault="00A958CC" w:rsidP="00A958CC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A958CC" w:rsidRPr="00B46D37" w:rsidRDefault="00A958CC" w:rsidP="00A958CC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77777777" w:rsidR="00A958CC" w:rsidRPr="00B46D37" w:rsidRDefault="00A958CC" w:rsidP="00943CC0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58CC" w:rsidRPr="00961A47" w14:paraId="26FB4D09" w14:textId="77777777" w:rsidTr="7459DA7F">
        <w:trPr>
          <w:trHeight w:val="383"/>
        </w:trPr>
        <w:tc>
          <w:tcPr>
            <w:tcW w:w="794" w:type="dxa"/>
            <w:shd w:val="clear" w:color="auto" w:fill="auto"/>
          </w:tcPr>
          <w:p w14:paraId="7415A584" w14:textId="77777777" w:rsidR="00A958CC" w:rsidRPr="00B46D37" w:rsidRDefault="00A958CC" w:rsidP="00A958CC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9356" w:type="dxa"/>
            <w:gridSpan w:val="2"/>
            <w:shd w:val="clear" w:color="auto" w:fill="auto"/>
          </w:tcPr>
          <w:p w14:paraId="7D7BB136" w14:textId="77777777" w:rsidR="00A958CC" w:rsidRPr="00B46D37" w:rsidRDefault="00A958CC" w:rsidP="00A958CC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A958CC" w:rsidRPr="00B46D37" w:rsidRDefault="00A958CC" w:rsidP="00A958CC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E72DA5" w14:textId="77777777" w:rsidR="00A958CC" w:rsidRPr="00B46D37" w:rsidRDefault="00A958CC" w:rsidP="00A958CC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A958CC" w:rsidRPr="00B46D37" w:rsidRDefault="00A958CC" w:rsidP="00A958CC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A958CC" w:rsidRPr="00B46D37" w:rsidRDefault="00A958CC" w:rsidP="00A958CC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7D88F0" w14:textId="77777777" w:rsidR="00A958CC" w:rsidRPr="00B46D37" w:rsidRDefault="00A958CC" w:rsidP="00943CC0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58CC" w:rsidRPr="00961A47" w14:paraId="3B6DEDD3" w14:textId="77777777" w:rsidTr="7459DA7F">
        <w:trPr>
          <w:trHeight w:val="383"/>
        </w:trPr>
        <w:tc>
          <w:tcPr>
            <w:tcW w:w="794" w:type="dxa"/>
            <w:shd w:val="clear" w:color="auto" w:fill="auto"/>
          </w:tcPr>
          <w:p w14:paraId="11C710D6" w14:textId="019BF3A4" w:rsidR="00A958CC" w:rsidRPr="00B46D37" w:rsidRDefault="00A958CC" w:rsidP="00A958CC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0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11"/>
          </w:p>
        </w:tc>
        <w:tc>
          <w:tcPr>
            <w:tcW w:w="9356" w:type="dxa"/>
            <w:gridSpan w:val="2"/>
            <w:shd w:val="clear" w:color="auto" w:fill="auto"/>
          </w:tcPr>
          <w:p w14:paraId="1CDDAEEC" w14:textId="65CF39AB" w:rsidR="00A958CC" w:rsidRPr="006D3AB7" w:rsidRDefault="00A958CC" w:rsidP="00A958CC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="00943CC0" w:rsidRPr="00943CC0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4575D670" w:rsidR="00A958CC" w:rsidRPr="00B46D37" w:rsidRDefault="00A958CC" w:rsidP="00A958CC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A958CC" w:rsidRPr="00961A47" w14:paraId="66EB0154" w14:textId="77777777" w:rsidTr="7459DA7F">
        <w:trPr>
          <w:trHeight w:val="383"/>
        </w:trPr>
        <w:tc>
          <w:tcPr>
            <w:tcW w:w="794" w:type="dxa"/>
            <w:shd w:val="clear" w:color="auto" w:fill="auto"/>
          </w:tcPr>
          <w:p w14:paraId="03498F3F" w14:textId="77777777" w:rsidR="00A958CC" w:rsidRPr="00060369" w:rsidRDefault="00A958CC" w:rsidP="00A958CC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7"/>
          </w:p>
        </w:tc>
        <w:tc>
          <w:tcPr>
            <w:tcW w:w="9356" w:type="dxa"/>
            <w:gridSpan w:val="2"/>
            <w:shd w:val="clear" w:color="auto" w:fill="auto"/>
          </w:tcPr>
          <w:p w14:paraId="136953E5" w14:textId="7FCA2CBE" w:rsidR="00A958CC" w:rsidRPr="00060369" w:rsidRDefault="00A958CC" w:rsidP="00DE0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ind w:left="3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DE07C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as detailed in </w:t>
            </w:r>
            <w:r w:rsidR="00C81229">
              <w:rPr>
                <w:rFonts w:ascii="Arial" w:eastAsia="Arial" w:hAnsi="Arial" w:cs="Arial"/>
                <w:color w:val="000000"/>
                <w:sz w:val="18"/>
                <w:szCs w:val="18"/>
              </w:rPr>
              <w:t>Section 2</w:t>
            </w:r>
          </w:p>
          <w:p w14:paraId="4AC4472A" w14:textId="1A1D6E13" w:rsidR="00A958CC" w:rsidRPr="00060369" w:rsidRDefault="00A958CC" w:rsidP="00A95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958CC" w:rsidRPr="00961A47" w14:paraId="0CA426CF" w14:textId="77777777" w:rsidTr="7459DA7F">
        <w:trPr>
          <w:trHeight w:val="383"/>
        </w:trPr>
        <w:tc>
          <w:tcPr>
            <w:tcW w:w="794" w:type="dxa"/>
            <w:shd w:val="clear" w:color="auto" w:fill="auto"/>
          </w:tcPr>
          <w:p w14:paraId="609EE302" w14:textId="77777777" w:rsidR="00A958CC" w:rsidRPr="00060369" w:rsidRDefault="00A958CC" w:rsidP="00A958CC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9356" w:type="dxa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41"/>
              <w:gridCol w:w="2212"/>
            </w:tblGrid>
            <w:tr w:rsidR="00A958CC" w14:paraId="430CB4B5" w14:textId="77777777" w:rsidTr="00BC7CC2">
              <w:tc>
                <w:tcPr>
                  <w:tcW w:w="4531" w:type="dxa"/>
                </w:tcPr>
                <w:p w14:paraId="4A77A85B" w14:textId="77777777" w:rsidR="00A958CC" w:rsidRPr="00CA4BA2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A958CC" w:rsidRPr="00CA4BA2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A958CC" w:rsidRPr="00CA4BA2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A958CC" w14:paraId="70090F7F" w14:textId="77777777" w:rsidTr="00BC7CC2">
              <w:tc>
                <w:tcPr>
                  <w:tcW w:w="4531" w:type="dxa"/>
                </w:tcPr>
                <w:p w14:paraId="37295CA9" w14:textId="77777777" w:rsidR="00A958CC" w:rsidRPr="00CA4BA2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9F2E9DF" w:rsidR="00A958CC" w:rsidRPr="00CA4BA2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</w:p>
                <w:p w14:paraId="2051F599" w14:textId="77777777" w:rsidR="00A958CC" w:rsidRPr="00CA4BA2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03171B" w:rsidR="00A958CC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</w:p>
                <w:p w14:paraId="25214AD3" w14:textId="77777777" w:rsidR="00A958CC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A958CC" w:rsidRPr="00CA4BA2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F4D4C1E" w14:textId="77777777" w:rsidR="00A958CC" w:rsidRPr="00CA4BA2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231ACCA5" w:rsidR="00A958CC" w:rsidRPr="00CA4BA2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</w:p>
                <w:p w14:paraId="3F0A691C" w14:textId="77777777" w:rsidR="00A958CC" w:rsidRPr="00CA4BA2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56298EE3" w:rsidR="00A958CC" w:rsidRPr="00CA4BA2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</w:p>
              </w:tc>
            </w:tr>
            <w:tr w:rsidR="00A958CC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4C9A53D4" w:rsidR="00A958CC" w:rsidRPr="00CA4BA2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A958CC" w:rsidRPr="00060369" w:rsidRDefault="00A958CC" w:rsidP="00A958CC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A958CC" w:rsidRPr="00961A47" w14:paraId="6AB1CBCC" w14:textId="77777777" w:rsidTr="7459DA7F">
        <w:trPr>
          <w:trHeight w:val="1750"/>
        </w:trPr>
        <w:tc>
          <w:tcPr>
            <w:tcW w:w="794" w:type="dxa"/>
            <w:shd w:val="clear" w:color="auto" w:fill="auto"/>
          </w:tcPr>
          <w:p w14:paraId="10717F1C" w14:textId="738D99A7" w:rsidR="00A958CC" w:rsidRPr="00060369" w:rsidRDefault="00A958CC" w:rsidP="00A958CC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8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8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9356" w:type="dxa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A958CC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A958CC" w:rsidRPr="00060369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A958CC" w:rsidRPr="00060369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A958CC" w:rsidRPr="00060369" w:rsidDel="006867E5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A958CC" w:rsidRPr="00060369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A958CC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A958CC" w:rsidRPr="00060369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A958CC" w:rsidRPr="00060369" w:rsidDel="006867E5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A958CC" w:rsidRPr="00060369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958CC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135B761B" w:rsidR="00A958CC" w:rsidRPr="00060369" w:rsidDel="006867E5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A958CC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A958CC" w:rsidRPr="00060369" w:rsidDel="006867E5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A958CC" w:rsidRPr="00060369" w:rsidDel="006867E5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A958CC" w:rsidRPr="00060369" w:rsidDel="006867E5" w:rsidRDefault="00A958CC" w:rsidP="00A958C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A958CC" w:rsidRPr="00060369" w:rsidRDefault="00A958CC" w:rsidP="00A958C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58CC" w:rsidRPr="00961A47" w14:paraId="5D4E2D47" w14:textId="77777777" w:rsidTr="7459DA7F">
        <w:tc>
          <w:tcPr>
            <w:tcW w:w="794" w:type="dxa"/>
            <w:shd w:val="clear" w:color="auto" w:fill="auto"/>
          </w:tcPr>
          <w:p w14:paraId="41E43A9C" w14:textId="77777777" w:rsidR="00A958CC" w:rsidRPr="00060369" w:rsidRDefault="00A958CC" w:rsidP="00A958CC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9"/>
          </w:p>
        </w:tc>
        <w:tc>
          <w:tcPr>
            <w:tcW w:w="9356" w:type="dxa"/>
            <w:gridSpan w:val="2"/>
            <w:shd w:val="clear" w:color="auto" w:fill="auto"/>
          </w:tcPr>
          <w:p w14:paraId="00A1E155" w14:textId="5C7A4DC4" w:rsidR="00A958CC" w:rsidRPr="00060369" w:rsidRDefault="00FD70E7" w:rsidP="00A958C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A958CC" w:rsidRPr="00961A47" w14:paraId="5BE74AA2" w14:textId="77777777" w:rsidTr="7459DA7F">
        <w:tc>
          <w:tcPr>
            <w:tcW w:w="794" w:type="dxa"/>
            <w:shd w:val="clear" w:color="auto" w:fill="auto"/>
          </w:tcPr>
          <w:p w14:paraId="1B2BEDDD" w14:textId="77777777" w:rsidR="00A958CC" w:rsidRPr="00607C0A" w:rsidRDefault="00A958CC" w:rsidP="00A958CC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0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20"/>
          </w:p>
        </w:tc>
        <w:tc>
          <w:tcPr>
            <w:tcW w:w="9356" w:type="dxa"/>
            <w:gridSpan w:val="2"/>
            <w:shd w:val="clear" w:color="auto" w:fill="auto"/>
          </w:tcPr>
          <w:p w14:paraId="471A725E" w14:textId="6713AEA6" w:rsidR="00A958CC" w:rsidRPr="00E567F8" w:rsidRDefault="00FD70E7" w:rsidP="00A958CC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A958CC" w:rsidRPr="00607C0A" w:rsidRDefault="00A958CC" w:rsidP="00A958CC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958CC" w:rsidRPr="00961A47" w14:paraId="3A1B4439" w14:textId="77777777" w:rsidTr="7459DA7F">
        <w:tc>
          <w:tcPr>
            <w:tcW w:w="794" w:type="dxa"/>
            <w:shd w:val="clear" w:color="auto" w:fill="auto"/>
          </w:tcPr>
          <w:p w14:paraId="5327047D" w14:textId="77777777" w:rsidR="00A958CC" w:rsidRPr="00060369" w:rsidRDefault="00A958CC" w:rsidP="00A958CC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9356" w:type="dxa"/>
            <w:gridSpan w:val="2"/>
            <w:shd w:val="clear" w:color="auto" w:fill="auto"/>
          </w:tcPr>
          <w:p w14:paraId="1AE40EDF" w14:textId="7C118DC6" w:rsidR="00A958CC" w:rsidRPr="00060369" w:rsidRDefault="00FD70E7" w:rsidP="00A958CC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A958CC" w:rsidRPr="00961A47" w14:paraId="5FF59053" w14:textId="77777777" w:rsidTr="7459DA7F">
        <w:tc>
          <w:tcPr>
            <w:tcW w:w="794" w:type="dxa"/>
            <w:shd w:val="clear" w:color="auto" w:fill="auto"/>
          </w:tcPr>
          <w:p w14:paraId="4E4C9474" w14:textId="7F6261B7" w:rsidR="00A958CC" w:rsidRPr="00280C77" w:rsidRDefault="00A958CC" w:rsidP="00A958CC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9356" w:type="dxa"/>
            <w:gridSpan w:val="2"/>
            <w:shd w:val="clear" w:color="auto" w:fill="auto"/>
          </w:tcPr>
          <w:p w14:paraId="59DFDD32" w14:textId="6BA41EED" w:rsidR="00A958CC" w:rsidRPr="00280C77" w:rsidRDefault="00A958CC" w:rsidP="00A958CC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A958CC" w:rsidRPr="00280C77" w:rsidRDefault="00A958CC" w:rsidP="00A958CC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22FCE88F" w:rsidR="00A958CC" w:rsidRPr="00280C77" w:rsidRDefault="00A958CC" w:rsidP="00A958CC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7AC2E0F0" w:rsidR="00A958CC" w:rsidRPr="00280C77" w:rsidRDefault="00A958CC" w:rsidP="00A958CC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C81229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C81229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C81229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C81229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93999" w14:textId="77777777" w:rsidR="00F62075" w:rsidRDefault="00F62075" w:rsidP="006D4D44">
      <w:r>
        <w:separator/>
      </w:r>
    </w:p>
  </w:endnote>
  <w:endnote w:type="continuationSeparator" w:id="0">
    <w:p w14:paraId="16AE3B77" w14:textId="77777777" w:rsidR="00F62075" w:rsidRDefault="00F62075" w:rsidP="006D4D44">
      <w:r>
        <w:continuationSeparator/>
      </w:r>
    </w:p>
  </w:endnote>
  <w:endnote w:type="continuationNotice" w:id="1">
    <w:p w14:paraId="769640B6" w14:textId="77777777" w:rsidR="00F62075" w:rsidRDefault="00F620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766F" w14:textId="77777777" w:rsidR="00F62075" w:rsidRDefault="00F62075" w:rsidP="006D4D44">
      <w:r>
        <w:separator/>
      </w:r>
    </w:p>
  </w:footnote>
  <w:footnote w:type="continuationSeparator" w:id="0">
    <w:p w14:paraId="05C4FB89" w14:textId="77777777" w:rsidR="00F62075" w:rsidRDefault="00F62075" w:rsidP="006D4D44">
      <w:r>
        <w:continuationSeparator/>
      </w:r>
    </w:p>
  </w:footnote>
  <w:footnote w:type="continuationNotice" w:id="1">
    <w:p w14:paraId="1E2ACCD6" w14:textId="77777777" w:rsidR="00F62075" w:rsidRDefault="00F620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3C2A"/>
    <w:rsid w:val="00005103"/>
    <w:rsid w:val="00014806"/>
    <w:rsid w:val="000309FC"/>
    <w:rsid w:val="00031050"/>
    <w:rsid w:val="000368D8"/>
    <w:rsid w:val="000465D8"/>
    <w:rsid w:val="00051580"/>
    <w:rsid w:val="0005513C"/>
    <w:rsid w:val="00060369"/>
    <w:rsid w:val="00064402"/>
    <w:rsid w:val="00067DE9"/>
    <w:rsid w:val="00067FA0"/>
    <w:rsid w:val="00074097"/>
    <w:rsid w:val="000843F0"/>
    <w:rsid w:val="00086559"/>
    <w:rsid w:val="00090B3C"/>
    <w:rsid w:val="00093053"/>
    <w:rsid w:val="00093C18"/>
    <w:rsid w:val="000955ED"/>
    <w:rsid w:val="000C346E"/>
    <w:rsid w:val="000D3162"/>
    <w:rsid w:val="000D4BA5"/>
    <w:rsid w:val="000D6A64"/>
    <w:rsid w:val="000E216C"/>
    <w:rsid w:val="000E22F5"/>
    <w:rsid w:val="000E2930"/>
    <w:rsid w:val="000E43D4"/>
    <w:rsid w:val="000F48E3"/>
    <w:rsid w:val="00103D5D"/>
    <w:rsid w:val="00106DEB"/>
    <w:rsid w:val="00107BD9"/>
    <w:rsid w:val="00112FA7"/>
    <w:rsid w:val="00117472"/>
    <w:rsid w:val="00122B8B"/>
    <w:rsid w:val="00123E5D"/>
    <w:rsid w:val="00137FF0"/>
    <w:rsid w:val="00140E15"/>
    <w:rsid w:val="00152BE0"/>
    <w:rsid w:val="0018116A"/>
    <w:rsid w:val="00184C46"/>
    <w:rsid w:val="001918AC"/>
    <w:rsid w:val="001A5EE7"/>
    <w:rsid w:val="001A7EE6"/>
    <w:rsid w:val="001B4F0A"/>
    <w:rsid w:val="001C27CB"/>
    <w:rsid w:val="001C550E"/>
    <w:rsid w:val="001C728F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1791F"/>
    <w:rsid w:val="002312B7"/>
    <w:rsid w:val="002316D2"/>
    <w:rsid w:val="00245322"/>
    <w:rsid w:val="00260BC4"/>
    <w:rsid w:val="00261E81"/>
    <w:rsid w:val="00280C77"/>
    <w:rsid w:val="0028352A"/>
    <w:rsid w:val="0028704B"/>
    <w:rsid w:val="00287073"/>
    <w:rsid w:val="00296170"/>
    <w:rsid w:val="0029726B"/>
    <w:rsid w:val="002A4700"/>
    <w:rsid w:val="002B11D2"/>
    <w:rsid w:val="002B339E"/>
    <w:rsid w:val="002C5FF2"/>
    <w:rsid w:val="002D71E6"/>
    <w:rsid w:val="002F5F2D"/>
    <w:rsid w:val="002F6F29"/>
    <w:rsid w:val="0030291B"/>
    <w:rsid w:val="003054CD"/>
    <w:rsid w:val="00306F3A"/>
    <w:rsid w:val="003112A2"/>
    <w:rsid w:val="0034377E"/>
    <w:rsid w:val="0034450F"/>
    <w:rsid w:val="00351CF5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D1DE1"/>
    <w:rsid w:val="003D27D3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0645"/>
    <w:rsid w:val="0047390D"/>
    <w:rsid w:val="0048127E"/>
    <w:rsid w:val="0048635C"/>
    <w:rsid w:val="00486A72"/>
    <w:rsid w:val="00495AF2"/>
    <w:rsid w:val="004977C7"/>
    <w:rsid w:val="004A3885"/>
    <w:rsid w:val="004A78E6"/>
    <w:rsid w:val="004B4C55"/>
    <w:rsid w:val="004C0AB0"/>
    <w:rsid w:val="004C735C"/>
    <w:rsid w:val="004D2A72"/>
    <w:rsid w:val="004D6A40"/>
    <w:rsid w:val="004E3F6D"/>
    <w:rsid w:val="004E401D"/>
    <w:rsid w:val="00502A7F"/>
    <w:rsid w:val="00502C2A"/>
    <w:rsid w:val="00513005"/>
    <w:rsid w:val="005270DD"/>
    <w:rsid w:val="005331C6"/>
    <w:rsid w:val="00560301"/>
    <w:rsid w:val="00561D0A"/>
    <w:rsid w:val="005647BF"/>
    <w:rsid w:val="0056575C"/>
    <w:rsid w:val="0056680F"/>
    <w:rsid w:val="00592833"/>
    <w:rsid w:val="005954B9"/>
    <w:rsid w:val="005A0CF5"/>
    <w:rsid w:val="005A6439"/>
    <w:rsid w:val="005B1BD6"/>
    <w:rsid w:val="005B7BA0"/>
    <w:rsid w:val="005D7E88"/>
    <w:rsid w:val="005E3AB1"/>
    <w:rsid w:val="005F21B0"/>
    <w:rsid w:val="005F7D64"/>
    <w:rsid w:val="00607C0A"/>
    <w:rsid w:val="00622BBD"/>
    <w:rsid w:val="0062693F"/>
    <w:rsid w:val="00632C26"/>
    <w:rsid w:val="006418F8"/>
    <w:rsid w:val="00643F0F"/>
    <w:rsid w:val="00650E75"/>
    <w:rsid w:val="00655A48"/>
    <w:rsid w:val="00661567"/>
    <w:rsid w:val="00666487"/>
    <w:rsid w:val="00671CDA"/>
    <w:rsid w:val="00675C3D"/>
    <w:rsid w:val="006907C9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05642"/>
    <w:rsid w:val="00710324"/>
    <w:rsid w:val="00710BF0"/>
    <w:rsid w:val="00714685"/>
    <w:rsid w:val="00720A44"/>
    <w:rsid w:val="007309AF"/>
    <w:rsid w:val="007368D0"/>
    <w:rsid w:val="00737933"/>
    <w:rsid w:val="00745249"/>
    <w:rsid w:val="0074547B"/>
    <w:rsid w:val="00755B7F"/>
    <w:rsid w:val="00775FBA"/>
    <w:rsid w:val="00782853"/>
    <w:rsid w:val="00782BF3"/>
    <w:rsid w:val="00786A8B"/>
    <w:rsid w:val="007940DD"/>
    <w:rsid w:val="00795DE6"/>
    <w:rsid w:val="00796605"/>
    <w:rsid w:val="007A1EC5"/>
    <w:rsid w:val="007A7B89"/>
    <w:rsid w:val="007C0E3C"/>
    <w:rsid w:val="007C2C25"/>
    <w:rsid w:val="007C3600"/>
    <w:rsid w:val="007C4512"/>
    <w:rsid w:val="007C701F"/>
    <w:rsid w:val="007C7CDE"/>
    <w:rsid w:val="007D1C0C"/>
    <w:rsid w:val="007D770C"/>
    <w:rsid w:val="007E13D8"/>
    <w:rsid w:val="007E3C94"/>
    <w:rsid w:val="007E4362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8748D"/>
    <w:rsid w:val="0089641B"/>
    <w:rsid w:val="00897DEE"/>
    <w:rsid w:val="008A6193"/>
    <w:rsid w:val="008B397E"/>
    <w:rsid w:val="008C01E5"/>
    <w:rsid w:val="008C06F3"/>
    <w:rsid w:val="008C0AAD"/>
    <w:rsid w:val="008C6DE8"/>
    <w:rsid w:val="008D6424"/>
    <w:rsid w:val="008D7F94"/>
    <w:rsid w:val="008E750D"/>
    <w:rsid w:val="008E75A7"/>
    <w:rsid w:val="008F21B2"/>
    <w:rsid w:val="008F26D3"/>
    <w:rsid w:val="008F6523"/>
    <w:rsid w:val="00902AD3"/>
    <w:rsid w:val="0090448C"/>
    <w:rsid w:val="00904553"/>
    <w:rsid w:val="009179C1"/>
    <w:rsid w:val="00937B12"/>
    <w:rsid w:val="00943CC0"/>
    <w:rsid w:val="00946D10"/>
    <w:rsid w:val="0095605E"/>
    <w:rsid w:val="00956B28"/>
    <w:rsid w:val="00957A9E"/>
    <w:rsid w:val="00964799"/>
    <w:rsid w:val="00964B32"/>
    <w:rsid w:val="00973FCF"/>
    <w:rsid w:val="00982134"/>
    <w:rsid w:val="00982F06"/>
    <w:rsid w:val="00983BD6"/>
    <w:rsid w:val="00987AD1"/>
    <w:rsid w:val="009B489E"/>
    <w:rsid w:val="009C2213"/>
    <w:rsid w:val="009D51E3"/>
    <w:rsid w:val="009D6BFB"/>
    <w:rsid w:val="009E4387"/>
    <w:rsid w:val="009E6FFC"/>
    <w:rsid w:val="009F6829"/>
    <w:rsid w:val="009F7160"/>
    <w:rsid w:val="009F72D7"/>
    <w:rsid w:val="00A1327E"/>
    <w:rsid w:val="00A14AE1"/>
    <w:rsid w:val="00A211A0"/>
    <w:rsid w:val="00A211DD"/>
    <w:rsid w:val="00A242C1"/>
    <w:rsid w:val="00A348D3"/>
    <w:rsid w:val="00A37246"/>
    <w:rsid w:val="00A6302F"/>
    <w:rsid w:val="00A81221"/>
    <w:rsid w:val="00A81E57"/>
    <w:rsid w:val="00A82FE8"/>
    <w:rsid w:val="00A91278"/>
    <w:rsid w:val="00A958CC"/>
    <w:rsid w:val="00A96A21"/>
    <w:rsid w:val="00AD73E4"/>
    <w:rsid w:val="00AE364D"/>
    <w:rsid w:val="00AE4917"/>
    <w:rsid w:val="00AE4BE3"/>
    <w:rsid w:val="00B16F5C"/>
    <w:rsid w:val="00B23851"/>
    <w:rsid w:val="00B40FEE"/>
    <w:rsid w:val="00B45454"/>
    <w:rsid w:val="00B462BF"/>
    <w:rsid w:val="00B46D37"/>
    <w:rsid w:val="00B46EB2"/>
    <w:rsid w:val="00B56E50"/>
    <w:rsid w:val="00B632B0"/>
    <w:rsid w:val="00B671BE"/>
    <w:rsid w:val="00B76B73"/>
    <w:rsid w:val="00BA1A16"/>
    <w:rsid w:val="00BB4E1D"/>
    <w:rsid w:val="00BB513D"/>
    <w:rsid w:val="00BB5F97"/>
    <w:rsid w:val="00BC1D50"/>
    <w:rsid w:val="00BC7CC2"/>
    <w:rsid w:val="00BD046A"/>
    <w:rsid w:val="00BE2155"/>
    <w:rsid w:val="00BE2C7F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77384"/>
    <w:rsid w:val="00C81229"/>
    <w:rsid w:val="00CA4382"/>
    <w:rsid w:val="00CA4BA2"/>
    <w:rsid w:val="00CA7303"/>
    <w:rsid w:val="00CB1B7D"/>
    <w:rsid w:val="00CD0BC1"/>
    <w:rsid w:val="00CE4CC2"/>
    <w:rsid w:val="00CE4F63"/>
    <w:rsid w:val="00CF22FF"/>
    <w:rsid w:val="00CF313C"/>
    <w:rsid w:val="00CF572A"/>
    <w:rsid w:val="00CF68EF"/>
    <w:rsid w:val="00D016D1"/>
    <w:rsid w:val="00D067DB"/>
    <w:rsid w:val="00D0758E"/>
    <w:rsid w:val="00D109E4"/>
    <w:rsid w:val="00D13D45"/>
    <w:rsid w:val="00D21BA4"/>
    <w:rsid w:val="00D2736E"/>
    <w:rsid w:val="00D46565"/>
    <w:rsid w:val="00D833E2"/>
    <w:rsid w:val="00D92643"/>
    <w:rsid w:val="00D929D8"/>
    <w:rsid w:val="00DA5CAA"/>
    <w:rsid w:val="00DA66F9"/>
    <w:rsid w:val="00DB48D2"/>
    <w:rsid w:val="00DC3186"/>
    <w:rsid w:val="00DD176F"/>
    <w:rsid w:val="00DD5B37"/>
    <w:rsid w:val="00DE07C4"/>
    <w:rsid w:val="00DE4F91"/>
    <w:rsid w:val="00DF1F5A"/>
    <w:rsid w:val="00DF7B9A"/>
    <w:rsid w:val="00E02BF7"/>
    <w:rsid w:val="00E05204"/>
    <w:rsid w:val="00E15392"/>
    <w:rsid w:val="00E25618"/>
    <w:rsid w:val="00E3048C"/>
    <w:rsid w:val="00E307FB"/>
    <w:rsid w:val="00E31A41"/>
    <w:rsid w:val="00E42D4F"/>
    <w:rsid w:val="00E4362A"/>
    <w:rsid w:val="00E567F8"/>
    <w:rsid w:val="00E618F8"/>
    <w:rsid w:val="00E636D3"/>
    <w:rsid w:val="00E71E78"/>
    <w:rsid w:val="00E72C17"/>
    <w:rsid w:val="00E747E2"/>
    <w:rsid w:val="00E767AE"/>
    <w:rsid w:val="00E76D6F"/>
    <w:rsid w:val="00E82DFB"/>
    <w:rsid w:val="00E82F01"/>
    <w:rsid w:val="00E91B77"/>
    <w:rsid w:val="00E96B1C"/>
    <w:rsid w:val="00EA529F"/>
    <w:rsid w:val="00EB36D0"/>
    <w:rsid w:val="00EB5236"/>
    <w:rsid w:val="00ED3EB7"/>
    <w:rsid w:val="00ED6B02"/>
    <w:rsid w:val="00ED7D8D"/>
    <w:rsid w:val="00EE2E80"/>
    <w:rsid w:val="00EE40F2"/>
    <w:rsid w:val="00EF562A"/>
    <w:rsid w:val="00F1039B"/>
    <w:rsid w:val="00F162FF"/>
    <w:rsid w:val="00F25890"/>
    <w:rsid w:val="00F315B1"/>
    <w:rsid w:val="00F34637"/>
    <w:rsid w:val="00F41BF3"/>
    <w:rsid w:val="00F476E9"/>
    <w:rsid w:val="00F5113F"/>
    <w:rsid w:val="00F51C72"/>
    <w:rsid w:val="00F52B8D"/>
    <w:rsid w:val="00F53C99"/>
    <w:rsid w:val="00F55C82"/>
    <w:rsid w:val="00F60A5A"/>
    <w:rsid w:val="00F62075"/>
    <w:rsid w:val="00F622CE"/>
    <w:rsid w:val="00F703C7"/>
    <w:rsid w:val="00F76444"/>
    <w:rsid w:val="00F77094"/>
    <w:rsid w:val="00F81522"/>
    <w:rsid w:val="00F830D5"/>
    <w:rsid w:val="00F8541A"/>
    <w:rsid w:val="00F932A0"/>
    <w:rsid w:val="00FA0A80"/>
    <w:rsid w:val="00FA2C69"/>
    <w:rsid w:val="00FA703D"/>
    <w:rsid w:val="00FC69D3"/>
    <w:rsid w:val="00FD57F2"/>
    <w:rsid w:val="00FD70E7"/>
    <w:rsid w:val="00FD7AA5"/>
    <w:rsid w:val="00FF5115"/>
    <w:rsid w:val="00FF634A"/>
    <w:rsid w:val="0F6D86D5"/>
    <w:rsid w:val="1C2A652E"/>
    <w:rsid w:val="3C6000BE"/>
    <w:rsid w:val="4F1BF803"/>
    <w:rsid w:val="60472FC8"/>
    <w:rsid w:val="6F09C447"/>
    <w:rsid w:val="70297A6A"/>
    <w:rsid w:val="7459D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D3C7F39B-19BA-4880-BA4A-9969D8B7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atural England Document" ma:contentTypeID="0x010100A5BF1C78D9F64B679A5EBDE1C6598EBC0201009522A3A273BB5E489C0834C6D52360E4" ma:contentTypeVersion="4" ma:contentTypeDescription="This is the original generic Natural England document type that is used by most departments for their documents.     " ma:contentTypeScope="" ma:versionID="13f20318634fc937fdaa00433424028c">
  <xsd:schema xmlns:xsd="http://www.w3.org/2001/XMLSchema" xmlns:xs="http://www.w3.org/2001/XMLSchema" xmlns:p="http://schemas.microsoft.com/office/2006/metadata/properties" xmlns:ns2="662745e8-e224-48e8-a2e3-254862b8c2f5" targetNamespace="http://schemas.microsoft.com/office/2006/metadata/properties" ma:root="true" ma:fieldsID="9bf0b5cab43b1ce76a8b9fdd6f0b2bcf" ns2:_=""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2:Container_x0020__x0028_NE_x0029_" minOccurs="0"/>
                <xsd:element ref="ns2:New_x0020_Protective_x0020_Marking_x0020_Descriptor_x0020__x0028_NE_x0029_" minOccurs="0"/>
                <xsd:element ref="ns2:Internal_x0020_Ref_x0020_Number_x0020__x0028_NE_x0029_" minOccurs="0"/>
                <xsd:element ref="ns2:External_x0020_Ref_x0020_Number_x0020__x0028_NE_x0029_" minOccurs="0"/>
                <xsd:element ref="ns2:Notes_x0020__x0028_NE_x0029_" minOccurs="0"/>
                <xsd:element ref="ns2:Author_x0020__x0028_NE_x0029_" minOccurs="0"/>
                <xsd:element ref="ns2:Owner_x0020__x0028_NE_x0029_" minOccurs="0"/>
                <xsd:element ref="ns2:Alternative_x0020_Container_x0020__x0028_NE_x0029_" minOccurs="0"/>
                <xsd:element ref="ns2:Content_x0020_Type_x0020__x0028_NE_x0029_" minOccurs="0"/>
                <xsd:element ref="ns2:Record_x0020_Number_x0020__x0028_NE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1b7b097-3f6c-44ef-81ac-81c87fe03e43}" ma:internalName="TaxCatchAll" ma:showField="CatchAllData" ma:web="69a8a3cd-4039-4cd2-ace3-047849b86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1b7b097-3f6c-44ef-81ac-81c87fe03e43}" ma:internalName="TaxCatchAllLabel" ma:readOnly="true" ma:showField="CatchAllDataLabel" ma:web="69a8a3cd-4039-4cd2-ace3-047849b86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3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internalName="Team">
      <xsd:simpleType>
        <xsd:restriction base="dms:Text"/>
      </xsd:simpleType>
    </xsd:element>
    <xsd:element name="Topic" ma:index="20" nillable="true" ma:displayName="Topic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ainer_x0020__x0028_NE_x0029_" ma:index="25" nillable="true" ma:displayName="Container (NE)" ma:default="N/A" ma:description="&quot;This is original TRIM container that the file resided within. &#10;This will not be required for new SharePoint files. &quot;" ma:internalName="Container_x0020__x0028_NE_x0029_">
      <xsd:simpleType>
        <xsd:restriction base="dms:Text">
          <xsd:maxLength value="255"/>
        </xsd:restriction>
      </xsd:simpleType>
    </xsd:element>
    <xsd:element name="New_x0020_Protective_x0020_Marking_x0020_Descriptor_x0020__x0028_NE_x0029_" ma:index="26" nillable="true" ma:displayName="New Protective Marking Descriptor (NE)" ma:default="" ma:description="This is selection for the reason for the protective marking chosen. The selection is between:&#10;COMMERCIAL&#10;LOCALLY SENSITIVE&#10;NONE&#10;PERSONAL" ma:format="Dropdown" ma:internalName="New_x0020_Protective_x0020_Marking_x0020_Descriptor_x0020__x0028_NE_x0029_">
      <xsd:simpleType>
        <xsd:restriction base="dms:Choice">
          <xsd:enumeration value="COMMERCIAL"/>
          <xsd:enumeration value="LOCALLY SENSITIVE"/>
          <xsd:enumeration value="NONE"/>
          <xsd:enumeration value="PERSONAL"/>
        </xsd:restriction>
      </xsd:simpleType>
    </xsd:element>
    <xsd:element name="Internal_x0020_Ref_x0020_Number_x0020__x0028_NE_x0029_" ma:index="27" nillable="true" ma:displayName="Internal Ref Number (NE)" ma:default="" ma:description="This is the internal TRIM reference allocated to the document." ma:internalName="Internal_x0020_Ref_x0020_Number_x0020__x0028_NE_x0029_">
      <xsd:simpleType>
        <xsd:restriction base="dms:Text">
          <xsd:maxLength value="255"/>
        </xsd:restriction>
      </xsd:simpleType>
    </xsd:element>
    <xsd:element name="External_x0020_Ref_x0020_Number_x0020__x0028_NE_x0029_" ma:index="28" nillable="true" ma:displayName="External Ref Number (NE)" ma:default="" ma:description="This is the external reference that this document is known as outside of the system to the likes of 3rd parties involved." ma:internalName="External_x0020_Ref_x0020_Number_x0020__x0028_NE_x0029_">
      <xsd:simpleType>
        <xsd:restriction base="dms:Text">
          <xsd:maxLength value="255"/>
        </xsd:restriction>
      </xsd:simpleType>
    </xsd:element>
    <xsd:element name="Notes_x0020__x0028_NE_x0029_" ma:index="29" nillable="true" ma:displayName="Notes (NE)" ma:default="" ma:description="Any notes the case workers have on the document." ma:internalName="Notes_x0020__x0028_NE_x0029_">
      <xsd:simpleType>
        <xsd:restriction base="dms:Note">
          <xsd:maxLength value="255"/>
        </xsd:restriction>
      </xsd:simpleType>
    </xsd:element>
    <xsd:element name="Author_x0020__x0028_NE_x0029_" ma:index="30" nillable="true" ma:displayName="Author (NE)" ma:default="" ma:description="The individual that is/was the author of the document." ma:internalName="Author_x0020__x0028_NE_x0029_">
      <xsd:simpleType>
        <xsd:restriction base="dms:Text">
          <xsd:maxLength value="255"/>
        </xsd:restriction>
      </xsd:simpleType>
    </xsd:element>
    <xsd:element name="Owner_x0020__x0028_NE_x0029_" ma:index="31" nillable="true" ma:displayName="Owner (NE)" ma:default="" ma:description="The individual who owns this particular document." ma:internalName="Owner_x0020__x0028_NE_x0029_">
      <xsd:simpleType>
        <xsd:restriction base="dms:Text">
          <xsd:maxLength value="255"/>
        </xsd:restriction>
      </xsd:simpleType>
    </xsd:element>
    <xsd:element name="Alternative_x0020_Container_x0020__x0028_NE_x0029_" ma:index="32" nillable="true" ma:displayName="Alternative Container (NE)" ma:default="" ma:description="This is the other containers within the TRIM system that the document is housed within. This document is linked to these other TRIM containers." ma:internalName="Alternative_x0020_Container_x0020__x0028_NE_x0029_">
      <xsd:simpleType>
        <xsd:restriction base="dms:Text">
          <xsd:maxLength value="255"/>
        </xsd:restriction>
      </xsd:simpleType>
    </xsd:element>
    <xsd:element name="Content_x0020_Type_x0020__x0028_NE_x0029_" ma:index="33" nillable="true" ma:displayName="Content Type (NE)" ma:default="" ma:description="This is free text classification for the document type (i.e. bank statement, policy, map)" ma:internalName="Content_x0020_Type_x0020__x0028_NE_x0029_">
      <xsd:simpleType>
        <xsd:restriction base="dms:Text">
          <xsd:maxLength value="255"/>
        </xsd:restriction>
      </xsd:simpleType>
    </xsd:element>
    <xsd:element name="Record_x0020_Number_x0020__x0028_NE_x0029_" ma:index="34" nillable="true" ma:displayName="Record Number (NE)" ma:default="" ma:description="This is the TRIM record number that gets automatically associated with the record." ma:internalName="Record_x0020_Number_x0020__x0028_NE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16</Value>
      <Value>30</Value>
      <Value>3</Value>
      <Value>2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Container_x0020__x0028_NE_x0029_ xmlns="662745e8-e224-48e8-a2e3-254862b8c2f5">N/A</Container_x0020__x0028_NE_x0029_>
    <Content_x0020_Type_x0020__x0028_NE_x0029_ xmlns="662745e8-e224-48e8-a2e3-254862b8c2f5" xsi:nil="true"/>
    <Owner_x0020__x0028_NE_x0029_ xmlns="662745e8-e224-48e8-a2e3-254862b8c2f5" xsi:nil="true"/>
    <Author_x0020__x0028_NE_x0029_ xmlns="662745e8-e224-48e8-a2e3-254862b8c2f5" xsi:nil="true"/>
    <External_x0020_Ref_x0020_Number_x0020__x0028_NE_x0029_ xmlns="662745e8-e224-48e8-a2e3-254862b8c2f5" xsi:nil="true"/>
    <Notes_x0020__x0028_NE_x0029_ xmlns="662745e8-e224-48e8-a2e3-254862b8c2f5" xsi:nil="true"/>
    <Internal_x0020_Ref_x0020_Number_x0020__x0028_NE_x0029_ xmlns="662745e8-e224-48e8-a2e3-254862b8c2f5" xsi:nil="true"/>
    <Alternative_x0020_Container_x0020__x0028_NE_x0029_ xmlns="662745e8-e224-48e8-a2e3-254862b8c2f5" xsi:nil="true"/>
    <New_x0020_Protective_x0020_Marking_x0020_Descriptor_x0020__x0028_NE_x0029_ xmlns="662745e8-e224-48e8-a2e3-254862b8c2f5" xsi:nil="true"/>
    <Record_x0020_Number_x0020__x0028_NE_x0029_ xmlns="662745e8-e224-48e8-a2e3-254862b8c2f5" xsi:nil="true"/>
  </documentManagement>
</p:properti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201" PreviousValue="false" LastSyncTimeStamp="2023-02-17T14:59:45.643Z"/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FCA73-2D91-4061-AE9C-B9D4BF943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662745e8-e224-48e8-a2e3-254862b8c2f5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6C82F1E-0256-4725-9868-154D9C65ADA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752</Words>
  <Characters>4290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Links>
    <vt:vector size="6" baseType="variant">
      <vt:variant>
        <vt:i4>8323186</vt:i4>
      </vt:variant>
      <vt:variant>
        <vt:i4>0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Lowe, Becky</cp:lastModifiedBy>
  <cp:revision>41</cp:revision>
  <dcterms:created xsi:type="dcterms:W3CDTF">2025-03-18T15:54:00Z</dcterms:created>
  <dcterms:modified xsi:type="dcterms:W3CDTF">2025-03-18T14:06:00Z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0x010100A5BF1C78D9F64B679A5EBDE1C6598EBC0201009522A3A273BB5E489C0834C6D52360E4</vt:lpwstr>
  </property>
  <property fmtid="{D5CDD505-2E9C-101B-9397-08002B2CF9AE}" pid="4" name="MediaServiceImageTags">
    <vt:lpwstr/>
  </property>
  <property fmtid="{D5CDD505-2E9C-101B-9397-08002B2CF9AE}" pid="5" name="InformationType">
    <vt:lpwstr/>
  </property>
  <property fmtid="{D5CDD505-2E9C-101B-9397-08002B2CF9AE}" pid="6" name="Distribution">
    <vt:lpwstr>6;#Internal Defra Group|0867f7b3-e76e-40ca-bb1f-5ba341a49230</vt:lpwstr>
  </property>
  <property fmtid="{D5CDD505-2E9C-101B-9397-08002B2CF9AE}" pid="7" name="HOCopyrightLevel">
    <vt:lpwstr>3;#Crown|69589897-2828-4761-976e-717fd8e631c9</vt:lpwstr>
  </property>
  <property fmtid="{D5CDD505-2E9C-101B-9397-08002B2CF9AE}" pid="8" name="HOGovernmentSecurityClassification">
    <vt:lpwstr>2;#Official|14c80daa-741b-422c-9722-f71693c9ede4</vt:lpwstr>
  </property>
  <property fmtid="{D5CDD505-2E9C-101B-9397-08002B2CF9AE}" pid="9" name="HOSiteType">
    <vt:lpwstr>16;#Community|144ac7d7-0b9a-42f9-9385-2935294b6de3</vt:lpwstr>
  </property>
  <property fmtid="{D5CDD505-2E9C-101B-9397-08002B2CF9AE}" pid="10" name="OrganisationalUnit">
    <vt:lpwstr>30;#Defra Group Commercial|88c065df-18f9-4530-b972-ea809b7dd96d</vt:lpwstr>
  </property>
  <property fmtid="{D5CDD505-2E9C-101B-9397-08002B2CF9AE}" pid="11" name="lcf76f155ced4ddcb4097134ff3c332f">
    <vt:lpwstr/>
  </property>
</Properties>
</file>